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26E69" w14:textId="77777777" w:rsidR="000669FC" w:rsidRPr="004F3582" w:rsidRDefault="000669FC">
      <w:pPr>
        <w:pStyle w:val="EMEABodyText"/>
      </w:pPr>
      <w:bookmarkStart w:id="0" w:name="_GoBack"/>
      <w:bookmarkEnd w:id="0"/>
    </w:p>
    <w:p w14:paraId="320283E4" w14:textId="77777777" w:rsidR="000669FC" w:rsidRPr="004F3582" w:rsidRDefault="000669FC">
      <w:pPr>
        <w:pStyle w:val="EMEABodyText"/>
      </w:pPr>
    </w:p>
    <w:p w14:paraId="258AA230" w14:textId="77777777" w:rsidR="000669FC" w:rsidRPr="004F3582" w:rsidRDefault="000669FC">
      <w:pPr>
        <w:pStyle w:val="EMEABodyText"/>
      </w:pPr>
    </w:p>
    <w:p w14:paraId="527CD58A" w14:textId="77777777" w:rsidR="000669FC" w:rsidRPr="004F3582" w:rsidRDefault="000669FC">
      <w:pPr>
        <w:pStyle w:val="EMEABodyText"/>
      </w:pPr>
    </w:p>
    <w:p w14:paraId="1A1901A0" w14:textId="77777777" w:rsidR="000669FC" w:rsidRPr="004F3582" w:rsidRDefault="000669FC">
      <w:pPr>
        <w:pStyle w:val="EMEABodyText"/>
      </w:pPr>
    </w:p>
    <w:p w14:paraId="4C601F95" w14:textId="77777777" w:rsidR="000669FC" w:rsidRPr="004F3582" w:rsidRDefault="000669FC">
      <w:pPr>
        <w:pStyle w:val="EMEABodyText"/>
      </w:pPr>
    </w:p>
    <w:p w14:paraId="1EA86369" w14:textId="77777777" w:rsidR="000669FC" w:rsidRPr="004F3582" w:rsidRDefault="000669FC">
      <w:pPr>
        <w:pStyle w:val="EMEABodyText"/>
      </w:pPr>
    </w:p>
    <w:p w14:paraId="3CFA632D" w14:textId="77777777" w:rsidR="000669FC" w:rsidRPr="004F3582" w:rsidRDefault="000669FC">
      <w:pPr>
        <w:pStyle w:val="EMEABodyText"/>
      </w:pPr>
    </w:p>
    <w:p w14:paraId="6CBB7961" w14:textId="77777777" w:rsidR="000669FC" w:rsidRPr="004F3582" w:rsidRDefault="000669FC">
      <w:pPr>
        <w:pStyle w:val="EMEABodyText"/>
      </w:pPr>
    </w:p>
    <w:p w14:paraId="6F2C7BBE" w14:textId="77777777" w:rsidR="000669FC" w:rsidRPr="004F3582" w:rsidRDefault="000669FC">
      <w:pPr>
        <w:pStyle w:val="EMEABodyText"/>
      </w:pPr>
    </w:p>
    <w:p w14:paraId="18940B75" w14:textId="77777777" w:rsidR="000669FC" w:rsidRPr="004F3582" w:rsidRDefault="000669FC">
      <w:pPr>
        <w:pStyle w:val="EMEABodyText"/>
      </w:pPr>
    </w:p>
    <w:p w14:paraId="02883C7B" w14:textId="77777777" w:rsidR="000669FC" w:rsidRPr="004F3582" w:rsidRDefault="000669FC">
      <w:pPr>
        <w:pStyle w:val="EMEABodyText"/>
      </w:pPr>
    </w:p>
    <w:p w14:paraId="3F84FE45" w14:textId="77777777" w:rsidR="000669FC" w:rsidRPr="004F3582" w:rsidRDefault="000669FC">
      <w:pPr>
        <w:pStyle w:val="EMEABodyText"/>
      </w:pPr>
    </w:p>
    <w:p w14:paraId="6C1B70C3" w14:textId="77777777" w:rsidR="000669FC" w:rsidRPr="004F3582" w:rsidRDefault="000669FC">
      <w:pPr>
        <w:pStyle w:val="EMEABodyText"/>
      </w:pPr>
    </w:p>
    <w:p w14:paraId="73C1D58F" w14:textId="77777777" w:rsidR="000669FC" w:rsidRPr="004F3582" w:rsidRDefault="000669FC">
      <w:pPr>
        <w:pStyle w:val="EMEABodyText"/>
      </w:pPr>
    </w:p>
    <w:p w14:paraId="6E2ABE5D" w14:textId="77777777" w:rsidR="000669FC" w:rsidRPr="004F3582" w:rsidRDefault="000669FC">
      <w:pPr>
        <w:pStyle w:val="EMEABodyText"/>
      </w:pPr>
    </w:p>
    <w:p w14:paraId="78D5F9E1" w14:textId="77777777" w:rsidR="000669FC" w:rsidRPr="004F3582" w:rsidRDefault="000669FC">
      <w:pPr>
        <w:pStyle w:val="EMEABodyText"/>
      </w:pPr>
    </w:p>
    <w:p w14:paraId="43E035EF" w14:textId="77777777" w:rsidR="000669FC" w:rsidRPr="004F3582" w:rsidRDefault="000669FC">
      <w:pPr>
        <w:pStyle w:val="EMEABodyText"/>
      </w:pPr>
    </w:p>
    <w:p w14:paraId="0B81DBC8" w14:textId="77777777" w:rsidR="000669FC" w:rsidRPr="004F3582" w:rsidRDefault="000669FC">
      <w:pPr>
        <w:pStyle w:val="EMEABodyText"/>
      </w:pPr>
    </w:p>
    <w:p w14:paraId="0FD945DA" w14:textId="77777777" w:rsidR="000669FC" w:rsidRPr="004F3582" w:rsidRDefault="000669FC">
      <w:pPr>
        <w:pStyle w:val="EMEABodyText"/>
      </w:pPr>
    </w:p>
    <w:p w14:paraId="1D596688" w14:textId="77777777" w:rsidR="000669FC" w:rsidRPr="004F3582" w:rsidRDefault="000669FC">
      <w:pPr>
        <w:pStyle w:val="EMEABodyText"/>
      </w:pPr>
    </w:p>
    <w:p w14:paraId="09BF3AF0" w14:textId="77777777" w:rsidR="000669FC" w:rsidRPr="004F3582" w:rsidRDefault="000669FC">
      <w:pPr>
        <w:pStyle w:val="EMEABodyText"/>
      </w:pPr>
    </w:p>
    <w:p w14:paraId="0844C043" w14:textId="77777777" w:rsidR="000669FC" w:rsidRPr="004F3582" w:rsidRDefault="000669FC">
      <w:pPr>
        <w:pStyle w:val="EMEABodyText"/>
      </w:pPr>
    </w:p>
    <w:p w14:paraId="50909139" w14:textId="77777777" w:rsidR="000669FC" w:rsidRPr="00D31EBB" w:rsidRDefault="000669FC">
      <w:pPr>
        <w:pStyle w:val="EMEATitle"/>
      </w:pPr>
      <w:r>
        <w:t>ANNEX I</w:t>
      </w:r>
    </w:p>
    <w:p w14:paraId="55200B1A" w14:textId="77777777" w:rsidR="000669FC" w:rsidRPr="00D31EBB" w:rsidRDefault="000669FC">
      <w:pPr>
        <w:pStyle w:val="EMEABodyText"/>
        <w:rPr>
          <w:lang w:val="en-US"/>
        </w:rPr>
      </w:pPr>
    </w:p>
    <w:p w14:paraId="4956C4A7" w14:textId="77777777" w:rsidR="000669FC" w:rsidRPr="00D31EBB" w:rsidRDefault="000669FC">
      <w:pPr>
        <w:pStyle w:val="EMEATitle"/>
      </w:pPr>
      <w:r>
        <w:t>SUMMARY OF PRODUCT CHARACTERISTICS</w:t>
      </w:r>
    </w:p>
    <w:p w14:paraId="20C31D33" w14:textId="77777777" w:rsidR="00D02BC8" w:rsidRPr="00D31EBB" w:rsidRDefault="00443442" w:rsidP="008B6CCB">
      <w:pPr>
        <w:pStyle w:val="EMEAHeading1"/>
        <w:rPr>
          <w:noProof/>
        </w:rPr>
      </w:pPr>
      <w:r>
        <w:br w:type="page"/>
      </w:r>
      <w:r>
        <w:lastRenderedPageBreak/>
        <w:t>1.</w:t>
      </w:r>
      <w:r>
        <w:tab/>
        <w:t>NAME OF THE MEDICINAL PRODUCT</w:t>
      </w:r>
    </w:p>
    <w:p w14:paraId="784401E5" w14:textId="77777777" w:rsidR="00D02BC8" w:rsidRPr="00D31EBB" w:rsidRDefault="00D02BC8" w:rsidP="008B6CCB">
      <w:pPr>
        <w:pStyle w:val="EMEAHeading1"/>
        <w:rPr>
          <w:noProof/>
          <w:lang w:val="en-US"/>
        </w:rPr>
      </w:pPr>
    </w:p>
    <w:p w14:paraId="64099C42" w14:textId="77777777" w:rsidR="00D02BC8" w:rsidRPr="00D31EBB" w:rsidRDefault="00D02BC8" w:rsidP="008B6CCB">
      <w:pPr>
        <w:pStyle w:val="EMEABodyText"/>
      </w:pPr>
      <w:r>
        <w:t>REYATAZ 100 mg hard capsules</w:t>
      </w:r>
    </w:p>
    <w:p w14:paraId="5FBC89BC" w14:textId="77777777" w:rsidR="00353147" w:rsidRPr="00D31EBB" w:rsidRDefault="00353147" w:rsidP="00353147">
      <w:pPr>
        <w:pStyle w:val="EMEABodyText"/>
      </w:pPr>
      <w:r>
        <w:t>REYATAZ 150 mg hard capsules</w:t>
      </w:r>
    </w:p>
    <w:p w14:paraId="5EFCD181" w14:textId="77777777" w:rsidR="00353147" w:rsidRPr="00D31EBB" w:rsidRDefault="00353147" w:rsidP="00353147">
      <w:pPr>
        <w:pStyle w:val="EMEABodyText"/>
      </w:pPr>
      <w:r>
        <w:t>REYATAZ 200 mg hard capsules</w:t>
      </w:r>
    </w:p>
    <w:p w14:paraId="23FE2465" w14:textId="77777777" w:rsidR="00353147" w:rsidRPr="00D31EBB" w:rsidRDefault="00353147" w:rsidP="00353147">
      <w:pPr>
        <w:pStyle w:val="EMEABodyText"/>
      </w:pPr>
      <w:r>
        <w:t>REYATAZ 300 mg hard capsules</w:t>
      </w:r>
    </w:p>
    <w:p w14:paraId="67C70B0F" w14:textId="77777777" w:rsidR="00D02BC8" w:rsidRPr="00D31EBB" w:rsidRDefault="00D02BC8" w:rsidP="008B6CCB">
      <w:pPr>
        <w:pStyle w:val="EMEABodyText"/>
        <w:rPr>
          <w:bCs/>
          <w:noProof/>
          <w:lang w:val="en-US"/>
        </w:rPr>
      </w:pPr>
    </w:p>
    <w:p w14:paraId="5A002C85" w14:textId="77777777" w:rsidR="00D02BC8" w:rsidRPr="00D31EBB" w:rsidRDefault="00D02BC8" w:rsidP="008B6CCB">
      <w:pPr>
        <w:pStyle w:val="EMEABodyText"/>
        <w:rPr>
          <w:bCs/>
          <w:noProof/>
          <w:lang w:val="en-US"/>
        </w:rPr>
      </w:pPr>
    </w:p>
    <w:p w14:paraId="53B8BDA3" w14:textId="77777777" w:rsidR="00D02BC8" w:rsidRPr="00D31EBB" w:rsidRDefault="00D02BC8" w:rsidP="008B6CCB">
      <w:pPr>
        <w:pStyle w:val="EMEAHeading1"/>
        <w:rPr>
          <w:noProof/>
        </w:rPr>
      </w:pPr>
      <w:r>
        <w:t>2.</w:t>
      </w:r>
      <w:r>
        <w:tab/>
        <w:t>QUALITATIVE AND QUANTITATIVE COMPOSITION</w:t>
      </w:r>
    </w:p>
    <w:p w14:paraId="714FEF74" w14:textId="77777777" w:rsidR="00D02BC8" w:rsidRPr="00D31EBB" w:rsidRDefault="00D02BC8" w:rsidP="008B6CCB">
      <w:pPr>
        <w:pStyle w:val="EMEAHeading1"/>
        <w:rPr>
          <w:noProof/>
          <w:lang w:val="en-US"/>
        </w:rPr>
      </w:pPr>
    </w:p>
    <w:p w14:paraId="22A21BCB" w14:textId="77777777" w:rsidR="00353147" w:rsidRPr="00D31EBB" w:rsidRDefault="00353147" w:rsidP="00353147">
      <w:pPr>
        <w:pStyle w:val="EMEABodyText"/>
        <w:rPr>
          <w:u w:val="single"/>
        </w:rPr>
      </w:pPr>
      <w:r>
        <w:rPr>
          <w:u w:val="single"/>
        </w:rPr>
        <w:t>REYATAZ 100 mg hard capsules</w:t>
      </w:r>
    </w:p>
    <w:p w14:paraId="40110EE4" w14:textId="77777777" w:rsidR="00353147" w:rsidRPr="00D31EBB" w:rsidRDefault="00353147" w:rsidP="00353147">
      <w:pPr>
        <w:pStyle w:val="EMEABodyText"/>
      </w:pPr>
      <w:r>
        <w:t>Each capsule contains 100 mg of atazanavir (as sulphate).</w:t>
      </w:r>
    </w:p>
    <w:p w14:paraId="697519FE" w14:textId="77777777" w:rsidR="00353147" w:rsidRPr="00D31EBB" w:rsidRDefault="00353147" w:rsidP="00353147">
      <w:pPr>
        <w:pStyle w:val="EMEABodyText"/>
        <w:rPr>
          <w:lang w:val="en-US"/>
        </w:rPr>
      </w:pPr>
    </w:p>
    <w:p w14:paraId="4C7304F5" w14:textId="77777777" w:rsidR="00353147" w:rsidRPr="00D31EBB" w:rsidRDefault="00353147" w:rsidP="00353147">
      <w:pPr>
        <w:pStyle w:val="EMEABodyText"/>
      </w:pPr>
      <w:r>
        <w:t>Excipient with known effect: 54.79 mg of lactose per capsule.</w:t>
      </w:r>
    </w:p>
    <w:p w14:paraId="7392031E" w14:textId="77777777" w:rsidR="00353147" w:rsidRPr="00D31EBB" w:rsidRDefault="00353147" w:rsidP="00353147">
      <w:pPr>
        <w:pStyle w:val="EMEABodyText"/>
        <w:rPr>
          <w:lang w:val="en-US"/>
        </w:rPr>
      </w:pPr>
    </w:p>
    <w:p w14:paraId="438E871D" w14:textId="77777777" w:rsidR="00353147" w:rsidRPr="00D31EBB" w:rsidRDefault="00353147" w:rsidP="00353147">
      <w:pPr>
        <w:pStyle w:val="EMEABodyText"/>
        <w:rPr>
          <w:u w:val="single"/>
        </w:rPr>
      </w:pPr>
      <w:r>
        <w:rPr>
          <w:u w:val="single"/>
        </w:rPr>
        <w:t>REYATAZ 150 mg hard capsules</w:t>
      </w:r>
    </w:p>
    <w:p w14:paraId="4DE24F0F" w14:textId="77777777" w:rsidR="00353147" w:rsidRPr="00D31EBB" w:rsidRDefault="00353147" w:rsidP="00353147">
      <w:pPr>
        <w:pStyle w:val="EMEABodyText"/>
      </w:pPr>
      <w:r>
        <w:t>Each capsule contains 150 mg of atazanavir (as sulphate).</w:t>
      </w:r>
    </w:p>
    <w:p w14:paraId="7DFFBF06" w14:textId="77777777" w:rsidR="00353147" w:rsidRPr="00D31EBB" w:rsidRDefault="00353147" w:rsidP="00353147">
      <w:pPr>
        <w:pStyle w:val="EMEABodyText"/>
        <w:rPr>
          <w:lang w:val="en-US"/>
        </w:rPr>
      </w:pPr>
    </w:p>
    <w:p w14:paraId="57503B72" w14:textId="77777777" w:rsidR="00353147" w:rsidRPr="00D31EBB" w:rsidRDefault="00353147" w:rsidP="00353147">
      <w:pPr>
        <w:pStyle w:val="EMEABodyText"/>
      </w:pPr>
      <w:r>
        <w:t>Excipient with known effect: 82.18 mg of lactose per capsule.</w:t>
      </w:r>
    </w:p>
    <w:p w14:paraId="3C055E67" w14:textId="77777777" w:rsidR="00353147" w:rsidRPr="00D31EBB" w:rsidRDefault="00353147" w:rsidP="00353147">
      <w:pPr>
        <w:pStyle w:val="EMEABodyText"/>
        <w:rPr>
          <w:lang w:val="en-US"/>
        </w:rPr>
      </w:pPr>
    </w:p>
    <w:p w14:paraId="35037507" w14:textId="77777777" w:rsidR="00353147" w:rsidRPr="00D31EBB" w:rsidRDefault="00353147" w:rsidP="00353147">
      <w:pPr>
        <w:pStyle w:val="EMEABodyText"/>
        <w:rPr>
          <w:u w:val="single"/>
        </w:rPr>
      </w:pPr>
      <w:r>
        <w:rPr>
          <w:u w:val="single"/>
        </w:rPr>
        <w:t>REYATAZ 200 mg hard capsules</w:t>
      </w:r>
    </w:p>
    <w:p w14:paraId="60AD5EB0" w14:textId="77777777" w:rsidR="00353147" w:rsidRPr="00D31EBB" w:rsidRDefault="00353147" w:rsidP="00353147">
      <w:pPr>
        <w:pStyle w:val="EMEABodyText"/>
      </w:pPr>
      <w:r>
        <w:t>Each capsule contains 200 mg of atazanavir (as sulphate).</w:t>
      </w:r>
    </w:p>
    <w:p w14:paraId="76167B46" w14:textId="77777777" w:rsidR="00353147" w:rsidRPr="00D31EBB" w:rsidRDefault="00353147" w:rsidP="00353147">
      <w:pPr>
        <w:pStyle w:val="EMEABodyText"/>
        <w:rPr>
          <w:lang w:val="en-US"/>
        </w:rPr>
      </w:pPr>
    </w:p>
    <w:p w14:paraId="57841780" w14:textId="77777777" w:rsidR="00353147" w:rsidRPr="00D31EBB" w:rsidRDefault="00353147" w:rsidP="00353147">
      <w:pPr>
        <w:pStyle w:val="EMEABodyText"/>
      </w:pPr>
      <w:r>
        <w:t>Excipient with known effect: 109.57 mg of lactose per capsule.</w:t>
      </w:r>
    </w:p>
    <w:p w14:paraId="01867913" w14:textId="77777777" w:rsidR="00353147" w:rsidRPr="00D31EBB" w:rsidRDefault="00353147" w:rsidP="00353147">
      <w:pPr>
        <w:pStyle w:val="EMEABodyText"/>
        <w:rPr>
          <w:lang w:val="en-US"/>
        </w:rPr>
      </w:pPr>
    </w:p>
    <w:p w14:paraId="1EDF6CC6" w14:textId="77777777" w:rsidR="00353147" w:rsidRPr="00D31EBB" w:rsidRDefault="00353147" w:rsidP="00353147">
      <w:pPr>
        <w:pStyle w:val="EMEABodyText"/>
        <w:rPr>
          <w:u w:val="single"/>
        </w:rPr>
      </w:pPr>
      <w:r>
        <w:rPr>
          <w:u w:val="single"/>
        </w:rPr>
        <w:t>REYATAZ 300 mg hard capsules</w:t>
      </w:r>
    </w:p>
    <w:p w14:paraId="7C5CBB79" w14:textId="77777777" w:rsidR="00353147" w:rsidRPr="00D31EBB" w:rsidRDefault="00353147" w:rsidP="00353147">
      <w:pPr>
        <w:pStyle w:val="EMEABodyText"/>
      </w:pPr>
      <w:r>
        <w:t>Each capsule contains 300 mg of atazanavir (as sulphate).</w:t>
      </w:r>
    </w:p>
    <w:p w14:paraId="0C910A9B" w14:textId="77777777" w:rsidR="00353147" w:rsidRPr="00D31EBB" w:rsidRDefault="00353147" w:rsidP="00353147">
      <w:pPr>
        <w:pStyle w:val="EMEABodyText"/>
        <w:rPr>
          <w:lang w:val="en-US"/>
        </w:rPr>
      </w:pPr>
    </w:p>
    <w:p w14:paraId="33509EEC" w14:textId="77777777" w:rsidR="00353147" w:rsidRPr="00D31EBB" w:rsidRDefault="00353147" w:rsidP="00353147">
      <w:pPr>
        <w:pStyle w:val="EMEABodyText"/>
      </w:pPr>
      <w:r>
        <w:t>Excipient with known effect: 164.36 mg of lactose per capsule.</w:t>
      </w:r>
    </w:p>
    <w:p w14:paraId="36ED8992" w14:textId="77777777" w:rsidR="00D02BC8" w:rsidRPr="00D31EBB" w:rsidRDefault="00D02BC8" w:rsidP="008B6CCB">
      <w:pPr>
        <w:pStyle w:val="EMEABodyText"/>
        <w:rPr>
          <w:lang w:val="en-US"/>
        </w:rPr>
      </w:pPr>
    </w:p>
    <w:p w14:paraId="51C3649A" w14:textId="77777777" w:rsidR="00D02BC8" w:rsidRPr="00D31EBB" w:rsidRDefault="00D02BC8" w:rsidP="008B6CCB">
      <w:pPr>
        <w:pStyle w:val="EMEABodyText"/>
        <w:rPr>
          <w:noProof/>
        </w:rPr>
      </w:pPr>
      <w:r>
        <w:t>For the full list of excipients, see section 6.1.</w:t>
      </w:r>
    </w:p>
    <w:p w14:paraId="4FF75B7C" w14:textId="77777777" w:rsidR="00D02BC8" w:rsidRPr="00D31EBB" w:rsidRDefault="00D02BC8" w:rsidP="008B6CCB">
      <w:pPr>
        <w:pStyle w:val="EMEABodyText"/>
        <w:rPr>
          <w:noProof/>
          <w:lang w:val="en-US"/>
        </w:rPr>
      </w:pPr>
    </w:p>
    <w:p w14:paraId="5F7D8155" w14:textId="77777777" w:rsidR="00D02BC8" w:rsidRPr="00D31EBB" w:rsidRDefault="00D02BC8" w:rsidP="008B6CCB">
      <w:pPr>
        <w:pStyle w:val="EMEABodyText"/>
        <w:rPr>
          <w:noProof/>
          <w:lang w:val="en-US"/>
        </w:rPr>
      </w:pPr>
    </w:p>
    <w:p w14:paraId="6CD7792F" w14:textId="77777777" w:rsidR="00D02BC8" w:rsidRPr="00D31EBB" w:rsidRDefault="00D02BC8" w:rsidP="008B6CCB">
      <w:pPr>
        <w:pStyle w:val="EMEAHeading1"/>
        <w:rPr>
          <w:noProof/>
        </w:rPr>
      </w:pPr>
      <w:r>
        <w:t>3.</w:t>
      </w:r>
      <w:r>
        <w:tab/>
        <w:t>PHARMACEUTICAL form</w:t>
      </w:r>
    </w:p>
    <w:p w14:paraId="21510214" w14:textId="77777777" w:rsidR="00D02BC8" w:rsidRPr="00D31EBB" w:rsidRDefault="00D02BC8" w:rsidP="008B6CCB">
      <w:pPr>
        <w:pStyle w:val="EMEAHeading1"/>
        <w:rPr>
          <w:noProof/>
          <w:lang w:val="en-US"/>
        </w:rPr>
      </w:pPr>
    </w:p>
    <w:p w14:paraId="3BC97270" w14:textId="77777777" w:rsidR="00D02BC8" w:rsidRPr="00D31EBB" w:rsidRDefault="00D02BC8" w:rsidP="008B6CCB">
      <w:pPr>
        <w:pStyle w:val="EMEABodyText"/>
      </w:pPr>
      <w:r>
        <w:t>Hard capsule</w:t>
      </w:r>
    </w:p>
    <w:p w14:paraId="3A37FCDE" w14:textId="77777777" w:rsidR="00353147" w:rsidRPr="00D31EBB" w:rsidRDefault="00353147" w:rsidP="008B6CCB">
      <w:pPr>
        <w:pStyle w:val="EMEABodyText"/>
        <w:rPr>
          <w:lang w:val="en-US"/>
        </w:rPr>
      </w:pPr>
    </w:p>
    <w:p w14:paraId="10ECA3BF" w14:textId="77777777" w:rsidR="00353147" w:rsidRPr="00D31EBB" w:rsidRDefault="00353147" w:rsidP="00353147">
      <w:pPr>
        <w:pStyle w:val="EMEABodyText"/>
        <w:rPr>
          <w:u w:val="single"/>
        </w:rPr>
      </w:pPr>
      <w:r>
        <w:rPr>
          <w:u w:val="single"/>
        </w:rPr>
        <w:t>REYATAZ 100 mg hard capsules</w:t>
      </w:r>
    </w:p>
    <w:p w14:paraId="61529AB8" w14:textId="77777777" w:rsidR="00353147" w:rsidRPr="00D31EBB" w:rsidRDefault="00353147" w:rsidP="00353147">
      <w:pPr>
        <w:pStyle w:val="EMEABodyText"/>
      </w:pPr>
      <w:r>
        <w:t>Opaque blue and white capsule printed with white and blue inks, with "BMS 100 mg" on one half and with "3623" on the other half.</w:t>
      </w:r>
    </w:p>
    <w:p w14:paraId="390677DC" w14:textId="77777777" w:rsidR="00353147" w:rsidRPr="00D31EBB" w:rsidRDefault="00353147" w:rsidP="00353147">
      <w:pPr>
        <w:pStyle w:val="EMEABodyText"/>
        <w:rPr>
          <w:lang w:val="en-US"/>
        </w:rPr>
      </w:pPr>
    </w:p>
    <w:p w14:paraId="483105CB" w14:textId="77777777" w:rsidR="00353147" w:rsidRPr="00D31EBB" w:rsidRDefault="00353147" w:rsidP="00353147">
      <w:pPr>
        <w:pStyle w:val="EMEABodyText"/>
        <w:rPr>
          <w:u w:val="single"/>
        </w:rPr>
      </w:pPr>
      <w:r>
        <w:rPr>
          <w:u w:val="single"/>
        </w:rPr>
        <w:t>REYATAZ 150 mg hard capsules</w:t>
      </w:r>
    </w:p>
    <w:p w14:paraId="1BB8128B" w14:textId="77777777" w:rsidR="00353147" w:rsidRPr="00D31EBB" w:rsidRDefault="00353147" w:rsidP="00353147">
      <w:pPr>
        <w:pStyle w:val="EMEABodyText"/>
      </w:pPr>
      <w:r>
        <w:t>Opaque blue and powder blue capsule printed with white and blue inks, with "BMS 150 mg" on one half and with "3624" on the other half.</w:t>
      </w:r>
    </w:p>
    <w:p w14:paraId="7FAC1125" w14:textId="77777777" w:rsidR="00353147" w:rsidRPr="00D31EBB" w:rsidRDefault="00353147" w:rsidP="00353147">
      <w:pPr>
        <w:pStyle w:val="EMEABodyText"/>
        <w:rPr>
          <w:lang w:val="en-US"/>
        </w:rPr>
      </w:pPr>
    </w:p>
    <w:p w14:paraId="071AB08E" w14:textId="77777777" w:rsidR="00353147" w:rsidRPr="00D31EBB" w:rsidRDefault="00353147" w:rsidP="00353147">
      <w:pPr>
        <w:pStyle w:val="EMEABodyText"/>
        <w:rPr>
          <w:u w:val="single"/>
        </w:rPr>
      </w:pPr>
      <w:r>
        <w:rPr>
          <w:u w:val="single"/>
        </w:rPr>
        <w:t>REYATAZ 200 mg hard capsules</w:t>
      </w:r>
    </w:p>
    <w:p w14:paraId="25F3F1A8" w14:textId="77777777" w:rsidR="00353147" w:rsidRPr="00D31EBB" w:rsidRDefault="00353147" w:rsidP="00353147">
      <w:pPr>
        <w:pStyle w:val="EMEABodyText"/>
      </w:pPr>
      <w:r>
        <w:t>Opaque blue capsule printed with white ink, with "BMS 200 mg" on one half and with "3631" on the other half.</w:t>
      </w:r>
    </w:p>
    <w:p w14:paraId="1A8A8B1B" w14:textId="77777777" w:rsidR="00353147" w:rsidRPr="00D31EBB" w:rsidRDefault="00353147" w:rsidP="00353147">
      <w:pPr>
        <w:pStyle w:val="EMEABodyText"/>
        <w:rPr>
          <w:lang w:val="en-US"/>
        </w:rPr>
      </w:pPr>
    </w:p>
    <w:p w14:paraId="500752D0" w14:textId="77777777" w:rsidR="00353147" w:rsidRPr="00D31EBB" w:rsidRDefault="00353147" w:rsidP="00353147">
      <w:pPr>
        <w:pStyle w:val="EMEABodyText"/>
        <w:rPr>
          <w:u w:val="single"/>
        </w:rPr>
      </w:pPr>
      <w:r>
        <w:rPr>
          <w:u w:val="single"/>
        </w:rPr>
        <w:t>REYATAZ 300 mg hard capsules</w:t>
      </w:r>
    </w:p>
    <w:p w14:paraId="4400E4C2" w14:textId="77777777" w:rsidR="00353147" w:rsidRPr="00D31EBB" w:rsidRDefault="00353147" w:rsidP="00353147">
      <w:pPr>
        <w:pStyle w:val="EMEABodyText"/>
      </w:pPr>
      <w:r>
        <w:t>Opaque red and blue capsule printed with white ink, with "BMS 300 mg" on one half and with "3622" on the other half.</w:t>
      </w:r>
    </w:p>
    <w:p w14:paraId="7154AF3B" w14:textId="77777777" w:rsidR="00353147" w:rsidRPr="00D31EBB" w:rsidRDefault="00353147" w:rsidP="008B6CCB">
      <w:pPr>
        <w:pStyle w:val="EMEABodyText"/>
        <w:rPr>
          <w:noProof/>
          <w:szCs w:val="22"/>
          <w:lang w:val="en-US"/>
        </w:rPr>
      </w:pPr>
    </w:p>
    <w:p w14:paraId="58D35295" w14:textId="77777777" w:rsidR="00D02BC8" w:rsidRPr="00D31EBB" w:rsidRDefault="00D02BC8" w:rsidP="008B6CCB">
      <w:pPr>
        <w:pStyle w:val="EMEABodyText"/>
        <w:rPr>
          <w:noProof/>
          <w:lang w:val="en-US"/>
        </w:rPr>
      </w:pPr>
    </w:p>
    <w:p w14:paraId="3E140A8D" w14:textId="77777777" w:rsidR="00D02BC8" w:rsidRPr="00D31EBB" w:rsidRDefault="00D02BC8" w:rsidP="008B6CCB">
      <w:pPr>
        <w:pStyle w:val="EMEAHeading1"/>
        <w:rPr>
          <w:noProof/>
        </w:rPr>
      </w:pPr>
      <w:r>
        <w:lastRenderedPageBreak/>
        <w:t>4.</w:t>
      </w:r>
      <w:r>
        <w:tab/>
        <w:t>Clinical particulars</w:t>
      </w:r>
    </w:p>
    <w:p w14:paraId="21E596B2" w14:textId="77777777" w:rsidR="00D02BC8" w:rsidRPr="00D31EBB" w:rsidRDefault="00D02BC8" w:rsidP="008B6CCB">
      <w:pPr>
        <w:pStyle w:val="EMEAHeading1"/>
        <w:rPr>
          <w:noProof/>
          <w:lang w:val="en-US"/>
        </w:rPr>
      </w:pPr>
    </w:p>
    <w:p w14:paraId="7FD2EB79" w14:textId="77777777" w:rsidR="00D02BC8" w:rsidRPr="00D31EBB" w:rsidRDefault="00D02BC8" w:rsidP="008B6CCB">
      <w:pPr>
        <w:pStyle w:val="EMEAHeading2"/>
        <w:rPr>
          <w:noProof/>
        </w:rPr>
      </w:pPr>
      <w:r>
        <w:t>4.1</w:t>
      </w:r>
      <w:r>
        <w:tab/>
        <w:t>Therapeutic indications</w:t>
      </w:r>
    </w:p>
    <w:p w14:paraId="59A085BB" w14:textId="77777777" w:rsidR="00D02BC8" w:rsidRPr="00D31EBB" w:rsidRDefault="00D02BC8" w:rsidP="008B6CCB">
      <w:pPr>
        <w:pStyle w:val="EMEAHeading2"/>
        <w:rPr>
          <w:noProof/>
          <w:lang w:val="en-US"/>
        </w:rPr>
      </w:pPr>
    </w:p>
    <w:p w14:paraId="7E372BAD" w14:textId="77777777" w:rsidR="00D02BC8" w:rsidRPr="00D31EBB" w:rsidRDefault="00D02BC8" w:rsidP="008B6CCB">
      <w:pPr>
        <w:pStyle w:val="EMEABodyText"/>
      </w:pPr>
      <w:r>
        <w:t>REYATAZ capsules, co-administered with low dose ritonavir, are indicated for the treatment of HIV-1 infected adults and paediatric patients 6 years of age and older in combination with other antiretroviral medicinal products (see section 4.2).</w:t>
      </w:r>
    </w:p>
    <w:p w14:paraId="25937666" w14:textId="77777777" w:rsidR="00D02BC8" w:rsidRPr="00D31EBB" w:rsidRDefault="00D02BC8" w:rsidP="008B6CCB">
      <w:pPr>
        <w:pStyle w:val="EMEABodyText"/>
        <w:rPr>
          <w:lang w:val="en-US"/>
        </w:rPr>
      </w:pPr>
    </w:p>
    <w:p w14:paraId="2531E5EC" w14:textId="77777777" w:rsidR="00D02BC8" w:rsidRPr="00D31EBB" w:rsidRDefault="00D02BC8" w:rsidP="008B6CCB">
      <w:pPr>
        <w:pStyle w:val="EMEABodyText"/>
      </w:pPr>
      <w:r>
        <w:t xml:space="preserve">Based on available virological and clinical data from adult patients, no benefit is expected in patients with strains resistant to multiple protease inhibitors (≥ 4 PI mutations). </w:t>
      </w:r>
    </w:p>
    <w:p w14:paraId="064E516D" w14:textId="77777777" w:rsidR="00D02BC8" w:rsidRPr="00D31EBB" w:rsidRDefault="00D02BC8" w:rsidP="008B6CCB">
      <w:pPr>
        <w:pStyle w:val="EMEABodyText"/>
        <w:rPr>
          <w:lang w:val="en-US"/>
        </w:rPr>
      </w:pPr>
    </w:p>
    <w:p w14:paraId="0596690A" w14:textId="77777777" w:rsidR="00D02BC8" w:rsidRPr="00D31EBB" w:rsidRDefault="00D02BC8" w:rsidP="008B6CCB">
      <w:pPr>
        <w:pStyle w:val="EMEABodyText"/>
      </w:pPr>
      <w:r>
        <w:t>The choice of REYATAZ in treatment experienced adult and paediatric patients should be based on individual viral resistance testing and the patient’s treatment history (see sections 4.4 and 5.1).</w:t>
      </w:r>
    </w:p>
    <w:p w14:paraId="76485F13" w14:textId="77777777" w:rsidR="00D02BC8" w:rsidRPr="00D31EBB" w:rsidRDefault="00D02BC8" w:rsidP="008B6CCB">
      <w:pPr>
        <w:pStyle w:val="EMEABodyText"/>
        <w:rPr>
          <w:noProof/>
          <w:lang w:val="en-US"/>
        </w:rPr>
      </w:pPr>
    </w:p>
    <w:p w14:paraId="51744FD1" w14:textId="77777777" w:rsidR="00D02BC8" w:rsidRPr="00965E20" w:rsidRDefault="00D02BC8" w:rsidP="008B6CCB">
      <w:pPr>
        <w:pStyle w:val="EMEAHeading2"/>
        <w:rPr>
          <w:noProof/>
        </w:rPr>
      </w:pPr>
      <w:r>
        <w:t>4.2</w:t>
      </w:r>
      <w:r>
        <w:tab/>
        <w:t>Posology and method of administration</w:t>
      </w:r>
    </w:p>
    <w:p w14:paraId="7626DEC3" w14:textId="77777777" w:rsidR="00D02BC8" w:rsidRPr="00965E20" w:rsidRDefault="00D02BC8" w:rsidP="008B6CCB">
      <w:pPr>
        <w:pStyle w:val="EMEAHeading2"/>
        <w:rPr>
          <w:noProof/>
          <w:lang w:val="en-US"/>
        </w:rPr>
      </w:pPr>
    </w:p>
    <w:p w14:paraId="4C3CD6E0" w14:textId="77777777" w:rsidR="00AF0F7F" w:rsidRPr="00D31EBB" w:rsidRDefault="00AF0F7F" w:rsidP="00AF0F7F">
      <w:pPr>
        <w:pStyle w:val="EMEABodyText"/>
      </w:pPr>
      <w:r>
        <w:t>Therapy should be initiated by a physician experienced in the management of HIV infection.</w:t>
      </w:r>
    </w:p>
    <w:p w14:paraId="550C28EA" w14:textId="77777777" w:rsidR="00AF0F7F" w:rsidRPr="00D31EBB" w:rsidRDefault="00AF0F7F" w:rsidP="008B6CCB">
      <w:pPr>
        <w:pStyle w:val="EMEABodyText"/>
        <w:rPr>
          <w:u w:val="single"/>
          <w:lang w:val="en-US"/>
        </w:rPr>
      </w:pPr>
    </w:p>
    <w:p w14:paraId="4E8A752B" w14:textId="77777777" w:rsidR="00D02BC8" w:rsidRPr="00D31EBB" w:rsidRDefault="00D02BC8" w:rsidP="008B6CCB">
      <w:pPr>
        <w:pStyle w:val="EMEABodyText"/>
        <w:rPr>
          <w:u w:val="single"/>
        </w:rPr>
      </w:pPr>
      <w:r>
        <w:rPr>
          <w:u w:val="single"/>
        </w:rPr>
        <w:t>Posology</w:t>
      </w:r>
    </w:p>
    <w:p w14:paraId="30BDDC7F" w14:textId="77777777" w:rsidR="00773BF0" w:rsidRPr="00D31EBB" w:rsidRDefault="00D02BC8" w:rsidP="008B6CCB">
      <w:pPr>
        <w:pStyle w:val="EMEABodyText"/>
      </w:pPr>
      <w:r>
        <w:rPr>
          <w:i/>
        </w:rPr>
        <w:t>Adults</w:t>
      </w:r>
    </w:p>
    <w:p w14:paraId="7EC0C0DC" w14:textId="77777777" w:rsidR="00D02BC8" w:rsidRPr="00D31EBB" w:rsidRDefault="00773BF0" w:rsidP="008B6CCB">
      <w:pPr>
        <w:pStyle w:val="EMEABodyText"/>
      </w:pPr>
      <w:r>
        <w:t>The recommended dose of REYATAZ capsules is 300 mg once daily taken with ritonavir 100 mg once daily and with food. Ritonavir is used as a booster of atazanavir pharmacokinetics (see sections 4.5 and 5.1). (See also section 4.4 Withdrawal of ritonavir only under restrictive conditions).</w:t>
      </w:r>
    </w:p>
    <w:p w14:paraId="43B3B820" w14:textId="77777777" w:rsidR="00D02BC8" w:rsidRPr="00D31EBB" w:rsidRDefault="00D02BC8" w:rsidP="008B6CCB">
      <w:pPr>
        <w:pStyle w:val="EMEABodyText"/>
        <w:rPr>
          <w:lang w:val="en-US"/>
        </w:rPr>
      </w:pPr>
    </w:p>
    <w:p w14:paraId="60AB755F" w14:textId="77777777" w:rsidR="006013CD" w:rsidRPr="00D31EBB" w:rsidRDefault="00D02BC8" w:rsidP="008B6CCB">
      <w:pPr>
        <w:pStyle w:val="EMEABodyText"/>
      </w:pPr>
      <w:r>
        <w:rPr>
          <w:i/>
        </w:rPr>
        <w:t>Paediatric patients (6 years to less than 18 years of age and weighing at least 15 kg)</w:t>
      </w:r>
    </w:p>
    <w:p w14:paraId="2CC29DDF" w14:textId="77777777" w:rsidR="00D02BC8" w:rsidRPr="00D31EBB" w:rsidRDefault="00D02BC8" w:rsidP="008B6CCB">
      <w:pPr>
        <w:pStyle w:val="EMEABodyText"/>
      </w:pPr>
      <w:r>
        <w:t>The dose of atazanavir capsules for paediatric patients is based on body weight as shown in Table 1 and should not exceed the recommended adult dose. REYATAZ capsules must be taken with ritonavir and have to be taken with food.</w:t>
      </w:r>
    </w:p>
    <w:p w14:paraId="412F3E1E" w14:textId="77777777" w:rsidR="00D02BC8" w:rsidRPr="00D31EBB" w:rsidRDefault="00D02BC8" w:rsidP="008B6CCB">
      <w:pPr>
        <w:pStyle w:val="EMEABodyText"/>
        <w:rPr>
          <w:lang w:val="en-US"/>
        </w:rPr>
      </w:pPr>
    </w:p>
    <w:tbl>
      <w:tblPr>
        <w:tblW w:w="0" w:type="auto"/>
        <w:tblLook w:val="01E0" w:firstRow="1" w:lastRow="1" w:firstColumn="1" w:lastColumn="1" w:noHBand="0" w:noVBand="0"/>
      </w:tblPr>
      <w:tblGrid>
        <w:gridCol w:w="3018"/>
        <w:gridCol w:w="3031"/>
        <w:gridCol w:w="3024"/>
      </w:tblGrid>
      <w:tr w:rsidR="00D02BC8" w:rsidRPr="00965E20" w14:paraId="5255C1FF" w14:textId="77777777" w:rsidTr="008B6CCB">
        <w:trPr>
          <w:cantSplit/>
        </w:trPr>
        <w:tc>
          <w:tcPr>
            <w:tcW w:w="9287" w:type="dxa"/>
            <w:gridSpan w:val="3"/>
            <w:tcBorders>
              <w:bottom w:val="single" w:sz="4" w:space="0" w:color="auto"/>
            </w:tcBorders>
          </w:tcPr>
          <w:p w14:paraId="4C6ED106" w14:textId="77777777" w:rsidR="00D02BC8" w:rsidRPr="00D31EBB" w:rsidRDefault="00D02BC8" w:rsidP="00773BF0">
            <w:pPr>
              <w:pStyle w:val="EMEABodyText"/>
              <w:keepNext/>
              <w:ind w:left="1134" w:hanging="1134"/>
            </w:pPr>
            <w:r>
              <w:rPr>
                <w:b/>
              </w:rPr>
              <w:t>Table 1:</w:t>
            </w:r>
            <w:r>
              <w:rPr>
                <w:b/>
              </w:rPr>
              <w:tab/>
              <w:t>Dose for paediatric patients (6 years to less than 18 years of age and weighing at least 15 kg) for REYATAZ capsules with ritonavir</w:t>
            </w:r>
          </w:p>
        </w:tc>
      </w:tr>
      <w:tr w:rsidR="00D02BC8" w:rsidRPr="004F3582" w14:paraId="2BEF221A" w14:textId="77777777" w:rsidTr="008B6CCB">
        <w:trPr>
          <w:cantSplit/>
        </w:trPr>
        <w:tc>
          <w:tcPr>
            <w:tcW w:w="3096" w:type="dxa"/>
            <w:tcBorders>
              <w:top w:val="single" w:sz="4" w:space="0" w:color="auto"/>
            </w:tcBorders>
            <w:vAlign w:val="center"/>
          </w:tcPr>
          <w:p w14:paraId="3F004647" w14:textId="77777777" w:rsidR="00D02BC8" w:rsidRPr="004F3582" w:rsidRDefault="00D02BC8" w:rsidP="008B6CCB">
            <w:pPr>
              <w:pStyle w:val="EMEABodyText"/>
              <w:keepNext/>
            </w:pPr>
            <w:r>
              <w:rPr>
                <w:b/>
              </w:rPr>
              <w:t>Body Weight (kg)</w:t>
            </w:r>
          </w:p>
        </w:tc>
        <w:tc>
          <w:tcPr>
            <w:tcW w:w="3095" w:type="dxa"/>
            <w:tcBorders>
              <w:top w:val="single" w:sz="4" w:space="0" w:color="auto"/>
            </w:tcBorders>
            <w:vAlign w:val="center"/>
          </w:tcPr>
          <w:p w14:paraId="0894E830" w14:textId="77777777" w:rsidR="00D02BC8" w:rsidRPr="004F3582" w:rsidRDefault="00D02BC8" w:rsidP="008B6CCB">
            <w:pPr>
              <w:pStyle w:val="EMEABodyText"/>
              <w:keepNext/>
              <w:jc w:val="center"/>
              <w:rPr>
                <w:b/>
              </w:rPr>
            </w:pPr>
            <w:r>
              <w:rPr>
                <w:b/>
              </w:rPr>
              <w:t>REYATAZ once daily dose</w:t>
            </w:r>
          </w:p>
        </w:tc>
        <w:tc>
          <w:tcPr>
            <w:tcW w:w="3096" w:type="dxa"/>
            <w:tcBorders>
              <w:top w:val="single" w:sz="4" w:space="0" w:color="auto"/>
            </w:tcBorders>
            <w:vAlign w:val="center"/>
          </w:tcPr>
          <w:p w14:paraId="539C3D79" w14:textId="77777777" w:rsidR="00D02BC8" w:rsidRPr="004F3582" w:rsidRDefault="00D02BC8" w:rsidP="008B6CCB">
            <w:pPr>
              <w:pStyle w:val="EMEABodyText"/>
              <w:keepNext/>
              <w:jc w:val="center"/>
              <w:rPr>
                <w:b/>
              </w:rPr>
            </w:pPr>
            <w:r>
              <w:rPr>
                <w:b/>
              </w:rPr>
              <w:t>ritonavir once daily dose</w:t>
            </w:r>
            <w:r>
              <w:rPr>
                <w:b/>
                <w:sz w:val="28"/>
                <w:vertAlign w:val="superscript"/>
              </w:rPr>
              <w:t>a</w:t>
            </w:r>
          </w:p>
        </w:tc>
      </w:tr>
      <w:tr w:rsidR="00D02BC8" w:rsidRPr="004F3582" w14:paraId="674123F5" w14:textId="77777777" w:rsidTr="008B6CCB">
        <w:trPr>
          <w:cantSplit/>
        </w:trPr>
        <w:tc>
          <w:tcPr>
            <w:tcW w:w="3096" w:type="dxa"/>
          </w:tcPr>
          <w:p w14:paraId="0FFBFC71" w14:textId="77777777" w:rsidR="00D02BC8" w:rsidRPr="004F3582" w:rsidRDefault="00D02BC8" w:rsidP="00885B9D">
            <w:pPr>
              <w:pStyle w:val="EMEABodyText"/>
              <w:keepNext/>
            </w:pPr>
            <w:r>
              <w:t>15 to less than 35</w:t>
            </w:r>
          </w:p>
        </w:tc>
        <w:tc>
          <w:tcPr>
            <w:tcW w:w="3095" w:type="dxa"/>
          </w:tcPr>
          <w:p w14:paraId="511028FB" w14:textId="77777777" w:rsidR="00D02BC8" w:rsidRPr="004F3582" w:rsidRDefault="006013CD" w:rsidP="008B6CCB">
            <w:pPr>
              <w:pStyle w:val="EMEABodyText"/>
              <w:keepNext/>
              <w:jc w:val="center"/>
            </w:pPr>
            <w:r>
              <w:t>200 mg</w:t>
            </w:r>
          </w:p>
        </w:tc>
        <w:tc>
          <w:tcPr>
            <w:tcW w:w="3096" w:type="dxa"/>
          </w:tcPr>
          <w:p w14:paraId="74010C48" w14:textId="77777777" w:rsidR="00D02BC8" w:rsidRPr="004F3582" w:rsidRDefault="00D02BC8" w:rsidP="00885B9D">
            <w:pPr>
              <w:pStyle w:val="EMEABodyText"/>
              <w:keepNext/>
              <w:jc w:val="center"/>
            </w:pPr>
            <w:r>
              <w:t>100 mg</w:t>
            </w:r>
          </w:p>
        </w:tc>
      </w:tr>
      <w:tr w:rsidR="00D02BC8" w:rsidRPr="004F3582" w14:paraId="6BA50833" w14:textId="77777777" w:rsidTr="008B6CCB">
        <w:trPr>
          <w:cantSplit/>
        </w:trPr>
        <w:tc>
          <w:tcPr>
            <w:tcW w:w="3096" w:type="dxa"/>
            <w:tcBorders>
              <w:bottom w:val="single" w:sz="4" w:space="0" w:color="auto"/>
            </w:tcBorders>
          </w:tcPr>
          <w:p w14:paraId="490D6D4F" w14:textId="77777777" w:rsidR="00D02BC8" w:rsidRPr="004F3582" w:rsidRDefault="00D02BC8" w:rsidP="00885B9D">
            <w:pPr>
              <w:pStyle w:val="EMEABodyText"/>
              <w:keepNext/>
            </w:pPr>
            <w:r>
              <w:t>at least 35</w:t>
            </w:r>
          </w:p>
        </w:tc>
        <w:tc>
          <w:tcPr>
            <w:tcW w:w="3095" w:type="dxa"/>
            <w:tcBorders>
              <w:bottom w:val="single" w:sz="4" w:space="0" w:color="auto"/>
            </w:tcBorders>
          </w:tcPr>
          <w:p w14:paraId="23273A7B" w14:textId="77777777" w:rsidR="00D02BC8" w:rsidRPr="004F3582" w:rsidRDefault="00D02BC8" w:rsidP="008B6CCB">
            <w:pPr>
              <w:pStyle w:val="EMEABodyText"/>
              <w:keepNext/>
              <w:jc w:val="center"/>
            </w:pPr>
            <w:r>
              <w:t>300 mg</w:t>
            </w:r>
          </w:p>
        </w:tc>
        <w:tc>
          <w:tcPr>
            <w:tcW w:w="3096" w:type="dxa"/>
            <w:tcBorders>
              <w:bottom w:val="single" w:sz="4" w:space="0" w:color="auto"/>
            </w:tcBorders>
          </w:tcPr>
          <w:p w14:paraId="32FB3ECD" w14:textId="77777777" w:rsidR="00D02BC8" w:rsidRPr="004F3582" w:rsidRDefault="00D02BC8" w:rsidP="008B6CCB">
            <w:pPr>
              <w:pStyle w:val="EMEABodyText"/>
              <w:keepNext/>
              <w:jc w:val="center"/>
            </w:pPr>
            <w:r>
              <w:t>100 mg</w:t>
            </w:r>
          </w:p>
        </w:tc>
      </w:tr>
      <w:tr w:rsidR="00D02BC8" w:rsidRPr="004F3582" w14:paraId="53F4C545" w14:textId="77777777" w:rsidTr="008B6CCB">
        <w:trPr>
          <w:cantSplit/>
        </w:trPr>
        <w:tc>
          <w:tcPr>
            <w:tcW w:w="9287" w:type="dxa"/>
            <w:gridSpan w:val="3"/>
            <w:tcBorders>
              <w:top w:val="single" w:sz="4" w:space="0" w:color="auto"/>
            </w:tcBorders>
          </w:tcPr>
          <w:p w14:paraId="3538828A" w14:textId="77777777" w:rsidR="00D02BC8" w:rsidRPr="004F3582" w:rsidRDefault="00D02BC8" w:rsidP="00187713">
            <w:pPr>
              <w:pStyle w:val="EMEABodyText"/>
              <w:keepNext/>
              <w:rPr>
                <w:sz w:val="18"/>
              </w:rPr>
            </w:pPr>
            <w:r>
              <w:rPr>
                <w:sz w:val="18"/>
                <w:szCs w:val="22"/>
                <w:vertAlign w:val="superscript"/>
              </w:rPr>
              <w:t>a</w:t>
            </w:r>
            <w:r>
              <w:rPr>
                <w:sz w:val="18"/>
                <w:szCs w:val="22"/>
              </w:rPr>
              <w:t xml:space="preserve"> Ritonavir capsules, tablets or oral solution.</w:t>
            </w:r>
          </w:p>
        </w:tc>
      </w:tr>
    </w:tbl>
    <w:p w14:paraId="7040B970" w14:textId="77777777" w:rsidR="00D02BC8" w:rsidRPr="004F3582" w:rsidRDefault="00D02BC8" w:rsidP="008B6CCB">
      <w:pPr>
        <w:pStyle w:val="EMEABodyText"/>
      </w:pPr>
    </w:p>
    <w:p w14:paraId="7E16E190" w14:textId="77777777" w:rsidR="00187713" w:rsidRPr="00D31EBB" w:rsidRDefault="00187713" w:rsidP="00187713">
      <w:pPr>
        <w:pStyle w:val="EMEABodyText"/>
        <w:rPr>
          <w:bCs/>
          <w:iCs/>
        </w:rPr>
      </w:pPr>
      <w:r>
        <w:rPr>
          <w:bCs/>
          <w:i/>
          <w:iCs/>
        </w:rPr>
        <w:t>Paediatric patients (at least 3 months of age and weighing at least 5 kg):</w:t>
      </w:r>
      <w:r>
        <w:t xml:space="preserve"> REYATAZ oral powder is available for paediatric patients at least 3 months of age and weighing at least 5 kg (see Summary of Product Characteristics for REYATAZ oral powder). Switching to REYATAZ capsules from REYATAZ oral powder is encouraged as soon as patients are able to consistently swallow capsules.</w:t>
      </w:r>
    </w:p>
    <w:p w14:paraId="4ED85676" w14:textId="77777777" w:rsidR="006013CD" w:rsidRPr="00D31EBB" w:rsidRDefault="006013CD" w:rsidP="00187713">
      <w:pPr>
        <w:pStyle w:val="EMEABodyText"/>
        <w:rPr>
          <w:bCs/>
          <w:iCs/>
          <w:lang w:val="en-US"/>
        </w:rPr>
      </w:pPr>
    </w:p>
    <w:p w14:paraId="5C79BE2A" w14:textId="77777777" w:rsidR="006013CD" w:rsidRPr="00D31EBB" w:rsidRDefault="006013CD" w:rsidP="006013CD">
      <w:pPr>
        <w:pStyle w:val="EMEABodyText"/>
        <w:rPr>
          <w:szCs w:val="22"/>
        </w:rPr>
      </w:pPr>
      <w:r>
        <w:t>When transitioning between formulations, a change in dose may be needed. Consult the dosing table for the specific formulation (see Summary of Product Characteristics for REYATAZ oral powder).</w:t>
      </w:r>
    </w:p>
    <w:p w14:paraId="45812E2B" w14:textId="77777777" w:rsidR="00187713" w:rsidRPr="00D31EBB" w:rsidRDefault="00187713" w:rsidP="00187713">
      <w:pPr>
        <w:pStyle w:val="EMEABodyText"/>
        <w:rPr>
          <w:bCs/>
          <w:iCs/>
          <w:lang w:val="en-US"/>
        </w:rPr>
      </w:pPr>
    </w:p>
    <w:p w14:paraId="07D50A75" w14:textId="77777777" w:rsidR="00D02BC8" w:rsidRPr="00D31EBB" w:rsidRDefault="00D02BC8" w:rsidP="008B6CCB">
      <w:pPr>
        <w:pStyle w:val="EMEABodyText"/>
        <w:rPr>
          <w:i/>
        </w:rPr>
      </w:pPr>
      <w:r>
        <w:rPr>
          <w:i/>
        </w:rPr>
        <w:t>Special populations</w:t>
      </w:r>
    </w:p>
    <w:p w14:paraId="12FECE06" w14:textId="77777777" w:rsidR="00016C8D" w:rsidRPr="00D31EBB" w:rsidRDefault="006013CD" w:rsidP="008B6CCB">
      <w:pPr>
        <w:pStyle w:val="EMEABodyText"/>
      </w:pPr>
      <w:r>
        <w:rPr>
          <w:i/>
        </w:rPr>
        <w:t>Renal impairment</w:t>
      </w:r>
    </w:p>
    <w:p w14:paraId="54327367" w14:textId="77777777" w:rsidR="00D02BC8" w:rsidRPr="00D31EBB" w:rsidRDefault="00016C8D" w:rsidP="008B6CCB">
      <w:pPr>
        <w:pStyle w:val="EMEABodyText"/>
      </w:pPr>
      <w:r>
        <w:t>No dosage adjustment is needed. REYATAZ with ritonavir is not recommended in patients undergoing haemodialysis (see sections 4.4 and 5.2).</w:t>
      </w:r>
    </w:p>
    <w:p w14:paraId="2E820B3D" w14:textId="77777777" w:rsidR="00D02BC8" w:rsidRPr="00D31EBB" w:rsidRDefault="00D02BC8" w:rsidP="008B6CCB">
      <w:pPr>
        <w:pStyle w:val="EMEABodyText"/>
        <w:rPr>
          <w:lang w:val="en-US"/>
        </w:rPr>
      </w:pPr>
    </w:p>
    <w:p w14:paraId="4DF5EE50" w14:textId="77777777" w:rsidR="00016C8D" w:rsidRPr="00D31EBB" w:rsidRDefault="006013CD" w:rsidP="00EF4C08">
      <w:pPr>
        <w:pStyle w:val="EMEABodyText"/>
      </w:pPr>
      <w:r>
        <w:rPr>
          <w:i/>
        </w:rPr>
        <w:t>Hepatic impairment</w:t>
      </w:r>
    </w:p>
    <w:p w14:paraId="6EC45404" w14:textId="77777777" w:rsidR="00EF4C08" w:rsidRPr="00D31EBB" w:rsidRDefault="00D02BC8" w:rsidP="00EF4C08">
      <w:pPr>
        <w:pStyle w:val="EMEABodyText"/>
      </w:pPr>
      <w:r>
        <w:t>REYATAZ with ritonavir has not been studied in patients with hepatic impairment. REYATAZ with ritonavir should be used with caution in patients with mild hepatic impairment. REYATAZ with ritonavir must not be used in patients with moderate to severe hepatic impairment (see sections 4.3, 4.4 and 5.2).</w:t>
      </w:r>
    </w:p>
    <w:p w14:paraId="7CD81F4D" w14:textId="77777777" w:rsidR="00EF4C08" w:rsidRPr="00D31EBB" w:rsidRDefault="00EF4C08" w:rsidP="00EF4C08">
      <w:pPr>
        <w:pStyle w:val="EMEABodyText"/>
        <w:rPr>
          <w:lang w:val="en-US"/>
        </w:rPr>
      </w:pPr>
    </w:p>
    <w:p w14:paraId="0A35C4F0" w14:textId="77777777" w:rsidR="00EF4C08" w:rsidRPr="00D31EBB" w:rsidRDefault="00EF4C08" w:rsidP="00EF4C08">
      <w:pPr>
        <w:pStyle w:val="EMEABodyText"/>
      </w:pPr>
      <w:r>
        <w:t xml:space="preserve">In case of withdrawal of ritonavir from the initial recommended ritonavir boosted regimen (see section 4.4), unboosted REYATAZ could be maintained in patients with mild hepatic impairment </w:t>
      </w:r>
      <w:r>
        <w:lastRenderedPageBreak/>
        <w:t>at a dose of 400 mg, and in patients with moderate hepatic impairment with a reduced dose of 300 mg once daily with food (see section 5.2). Unboosted REYATAZ must not be used in patients with severe hepatic impairment.</w:t>
      </w:r>
    </w:p>
    <w:p w14:paraId="4BD0D752" w14:textId="77777777" w:rsidR="00D02BC8" w:rsidRPr="00D31EBB" w:rsidRDefault="00D02BC8" w:rsidP="008B6CCB">
      <w:pPr>
        <w:pStyle w:val="EMEABodyText"/>
        <w:rPr>
          <w:lang w:val="en-US"/>
        </w:rPr>
      </w:pPr>
    </w:p>
    <w:p w14:paraId="25E13E1B" w14:textId="77777777" w:rsidR="00D02BC8" w:rsidRPr="00D31EBB" w:rsidRDefault="00D02BC8" w:rsidP="008B6CCB">
      <w:pPr>
        <w:pStyle w:val="EMEABodyText"/>
        <w:rPr>
          <w:i/>
        </w:rPr>
      </w:pPr>
      <w:r>
        <w:rPr>
          <w:i/>
        </w:rPr>
        <w:t>Pregnancy and Postpartum</w:t>
      </w:r>
    </w:p>
    <w:p w14:paraId="4D185911" w14:textId="77777777" w:rsidR="00D02BC8" w:rsidRPr="00D31EBB" w:rsidRDefault="00D02BC8" w:rsidP="008B6CCB">
      <w:pPr>
        <w:pStyle w:val="EMEABodyText"/>
      </w:pPr>
      <w:r>
        <w:t>During the second and third trimesters of pregnancy:</w:t>
      </w:r>
    </w:p>
    <w:p w14:paraId="3A1DB10D" w14:textId="77777777" w:rsidR="00D02BC8" w:rsidRPr="00D31EBB" w:rsidRDefault="00D02BC8" w:rsidP="008B6CCB">
      <w:pPr>
        <w:pStyle w:val="EMEABodyText"/>
      </w:pPr>
      <w:r>
        <w:t>REYATAZ 300 mg with ritonavir 100 mg may not provide sufficient exposure to atazanavir, especially when the activity of atazanavir or the whole regimen may be compromised due to drug resistance. Since there are limited data available and due to inter-patient variability during pregnancy, Therapeutic Drug Monitoring (TDM) may be considered to ensure adequate exposure.</w:t>
      </w:r>
    </w:p>
    <w:p w14:paraId="201E0B54" w14:textId="77777777" w:rsidR="00D02BC8" w:rsidRPr="00D31EBB" w:rsidRDefault="00D02BC8" w:rsidP="008B6CCB">
      <w:pPr>
        <w:pStyle w:val="EMEABodyText"/>
        <w:rPr>
          <w:lang w:val="en-US"/>
        </w:rPr>
      </w:pPr>
    </w:p>
    <w:p w14:paraId="3BA5538F" w14:textId="77777777" w:rsidR="00D02BC8" w:rsidRPr="00D31EBB" w:rsidRDefault="00D02BC8" w:rsidP="008B6CCB">
      <w:pPr>
        <w:pStyle w:val="EMEABodyText"/>
      </w:pPr>
      <w:r>
        <w:t>The risk of a further decrease in atazanavir exposure is expected when atazanavir is given with medicinal products known to reduce its exposure (e.g., tenofovir disoproxil or H</w:t>
      </w:r>
      <w:r>
        <w:rPr>
          <w:szCs w:val="22"/>
          <w:vertAlign w:val="subscript"/>
        </w:rPr>
        <w:t>2</w:t>
      </w:r>
      <w:r>
        <w:t>-receptor antagonists).</w:t>
      </w:r>
    </w:p>
    <w:p w14:paraId="508357B6" w14:textId="77777777" w:rsidR="00D02BC8" w:rsidRPr="00D31EBB" w:rsidRDefault="00D02BC8" w:rsidP="008B182F">
      <w:pPr>
        <w:pStyle w:val="EMEABodyTextIndent"/>
        <w:ind w:left="284"/>
      </w:pPr>
      <w:r>
        <w:t>If tenofovir disoproxil or an H</w:t>
      </w:r>
      <w:r>
        <w:rPr>
          <w:vertAlign w:val="subscript"/>
        </w:rPr>
        <w:t>2</w:t>
      </w:r>
      <w:r>
        <w:t>-receptor antagonist is needed, a dose increase to REYATAZ 400 mg with ritonavir 100 mg with TDM may be considered (see sections 4.6 and 5.2).</w:t>
      </w:r>
    </w:p>
    <w:p w14:paraId="59C8B4E3" w14:textId="77777777" w:rsidR="00D02BC8" w:rsidRPr="00D31EBB" w:rsidRDefault="00D02BC8" w:rsidP="008B182F">
      <w:pPr>
        <w:pStyle w:val="EMEABodyTextIndent"/>
        <w:ind w:left="284"/>
      </w:pPr>
      <w:r>
        <w:t>It is not recommended to use REYATAZ with ritonavir for pregnant patients who are receiving both tenofovir disoproxil and an H</w:t>
      </w:r>
      <w:r>
        <w:rPr>
          <w:vertAlign w:val="subscript"/>
        </w:rPr>
        <w:t>2</w:t>
      </w:r>
      <w:r>
        <w:t>-receptor antagonist.</w:t>
      </w:r>
    </w:p>
    <w:p w14:paraId="03D04528" w14:textId="77777777" w:rsidR="00D02BC8" w:rsidRPr="00D31EBB" w:rsidRDefault="00D02BC8" w:rsidP="008B6CCB">
      <w:pPr>
        <w:pStyle w:val="EMEABodyText"/>
        <w:ind w:left="567"/>
        <w:rPr>
          <w:lang w:val="en-US"/>
        </w:rPr>
      </w:pPr>
    </w:p>
    <w:p w14:paraId="67F9B717" w14:textId="77777777" w:rsidR="00D02BC8" w:rsidRPr="00D31EBB" w:rsidRDefault="00EF4C08" w:rsidP="008B6CCB">
      <w:pPr>
        <w:pStyle w:val="EMEABodyText"/>
      </w:pPr>
      <w:r>
        <w:t>(See section 4.4 Withdrawal of ritonavir only under restrictive conditions).</w:t>
      </w:r>
    </w:p>
    <w:p w14:paraId="71F1E9F5" w14:textId="77777777" w:rsidR="00D02BC8" w:rsidRPr="00D31EBB" w:rsidRDefault="00D02BC8" w:rsidP="008B6CCB">
      <w:pPr>
        <w:pStyle w:val="EMEABodyText"/>
        <w:rPr>
          <w:lang w:val="en-US"/>
        </w:rPr>
      </w:pPr>
    </w:p>
    <w:p w14:paraId="68A95ED4" w14:textId="77777777" w:rsidR="00D02BC8" w:rsidRPr="00D31EBB" w:rsidRDefault="00D02BC8" w:rsidP="008B6CCB">
      <w:pPr>
        <w:pStyle w:val="EMEABodyText"/>
      </w:pPr>
      <w:r>
        <w:t>During postpartum:</w:t>
      </w:r>
    </w:p>
    <w:p w14:paraId="44A7CA8D" w14:textId="77777777" w:rsidR="00D02BC8" w:rsidRPr="00D31EBB" w:rsidRDefault="00D02BC8" w:rsidP="008B6CCB">
      <w:pPr>
        <w:pStyle w:val="EMEABodyText"/>
      </w:pPr>
      <w:r>
        <w:t>Following a possible decrease in atazanavir exposure during the second and third trimester, atazanavir exposures might increase during the first two months after delivery (see section 5.2). Therefore, postpartum patients should be closely monitored for adverse reactions.</w:t>
      </w:r>
    </w:p>
    <w:p w14:paraId="74124D66" w14:textId="77777777" w:rsidR="00D02BC8" w:rsidRPr="00D31EBB" w:rsidRDefault="00D02BC8" w:rsidP="008B182F">
      <w:pPr>
        <w:pStyle w:val="EMEABodyTextIndent"/>
        <w:ind w:left="284" w:hanging="284"/>
      </w:pPr>
      <w:r>
        <w:t>During this time, postpartum patients should follow the same dose recommendation as for non-pregnant patients, including those for co-administration of medicinal products known to affect atazanavir exposure (see section 4.5).</w:t>
      </w:r>
    </w:p>
    <w:p w14:paraId="7D303B83" w14:textId="77777777" w:rsidR="00D02BC8" w:rsidRPr="00D31EBB" w:rsidRDefault="00D02BC8" w:rsidP="008B6CCB">
      <w:pPr>
        <w:pStyle w:val="EMEABodyText"/>
        <w:rPr>
          <w:u w:val="single"/>
          <w:lang w:val="en-US"/>
        </w:rPr>
      </w:pPr>
    </w:p>
    <w:p w14:paraId="3E67FB5D" w14:textId="77777777" w:rsidR="006013CD" w:rsidRPr="00D31EBB" w:rsidRDefault="006013CD" w:rsidP="006013CD">
      <w:pPr>
        <w:pStyle w:val="EMEABodyText"/>
        <w:rPr>
          <w:i/>
        </w:rPr>
      </w:pPr>
      <w:r>
        <w:rPr>
          <w:i/>
        </w:rPr>
        <w:t>Paediatric patients (less than 3 months of age)</w:t>
      </w:r>
    </w:p>
    <w:p w14:paraId="3622F27B" w14:textId="77777777" w:rsidR="006013CD" w:rsidRPr="00D31EBB" w:rsidRDefault="006013CD" w:rsidP="006013CD">
      <w:pPr>
        <w:pStyle w:val="EMEABodyText"/>
        <w:rPr>
          <w:bCs/>
          <w:iCs/>
        </w:rPr>
      </w:pPr>
      <w:r>
        <w:t>REYATAZ should not be used in children less than 3 months because of safety concerns especially taking into account the potential risk of kernicterus.</w:t>
      </w:r>
    </w:p>
    <w:p w14:paraId="75BD2E66" w14:textId="77777777" w:rsidR="006013CD" w:rsidRPr="00D31EBB" w:rsidRDefault="006013CD" w:rsidP="008B6CCB">
      <w:pPr>
        <w:pStyle w:val="EMEABodyText"/>
        <w:rPr>
          <w:u w:val="single"/>
          <w:lang w:val="en-US"/>
        </w:rPr>
      </w:pPr>
    </w:p>
    <w:p w14:paraId="75A9F776" w14:textId="77777777" w:rsidR="006013CD" w:rsidRPr="00D31EBB" w:rsidRDefault="00D02BC8" w:rsidP="008B6CCB">
      <w:pPr>
        <w:pStyle w:val="EMEABodyText"/>
      </w:pPr>
      <w:r>
        <w:rPr>
          <w:u w:val="single"/>
        </w:rPr>
        <w:t>Method of administration</w:t>
      </w:r>
      <w:r>
        <w:t>:</w:t>
      </w:r>
    </w:p>
    <w:p w14:paraId="1487662D" w14:textId="77777777" w:rsidR="00D02BC8" w:rsidRPr="00D31EBB" w:rsidRDefault="006013CD" w:rsidP="008B6CCB">
      <w:pPr>
        <w:pStyle w:val="EMEABodyText"/>
      </w:pPr>
      <w:r>
        <w:t xml:space="preserve">For oral use. The capsules should be swallowed whole. </w:t>
      </w:r>
    </w:p>
    <w:p w14:paraId="29678D03" w14:textId="77777777" w:rsidR="00D02BC8" w:rsidRPr="00D31EBB" w:rsidRDefault="00D02BC8" w:rsidP="008B6CCB">
      <w:pPr>
        <w:pStyle w:val="EMEABodyText"/>
        <w:rPr>
          <w:b/>
          <w:noProof/>
          <w:lang w:val="en-US"/>
        </w:rPr>
      </w:pPr>
    </w:p>
    <w:p w14:paraId="04997C91" w14:textId="77777777" w:rsidR="00D02BC8" w:rsidRPr="00D31EBB" w:rsidRDefault="00D02BC8" w:rsidP="008B6CCB">
      <w:pPr>
        <w:pStyle w:val="EMEAHeading2"/>
        <w:rPr>
          <w:noProof/>
        </w:rPr>
      </w:pPr>
      <w:r>
        <w:t>4.3</w:t>
      </w:r>
      <w:r>
        <w:tab/>
        <w:t>Contraindications</w:t>
      </w:r>
    </w:p>
    <w:p w14:paraId="0F4C7D4D" w14:textId="77777777" w:rsidR="00D02BC8" w:rsidRPr="00D31EBB" w:rsidRDefault="00D02BC8" w:rsidP="008B6CCB">
      <w:pPr>
        <w:pStyle w:val="EMEAHeading2"/>
        <w:rPr>
          <w:noProof/>
          <w:lang w:val="en-US"/>
        </w:rPr>
      </w:pPr>
    </w:p>
    <w:p w14:paraId="046FB669" w14:textId="77777777" w:rsidR="00D02BC8" w:rsidRPr="00D31EBB" w:rsidRDefault="00D02BC8" w:rsidP="008B6CCB">
      <w:pPr>
        <w:pStyle w:val="EMEABodyText"/>
      </w:pPr>
      <w:r>
        <w:t>Hypersensitivity to the active substance or to any of the excipients listed in section 6.1.</w:t>
      </w:r>
    </w:p>
    <w:p w14:paraId="4CB59FE7" w14:textId="77777777" w:rsidR="00D02BC8" w:rsidRPr="00D31EBB" w:rsidRDefault="00D02BC8" w:rsidP="008B6CCB">
      <w:pPr>
        <w:pStyle w:val="EMEABodyText"/>
        <w:rPr>
          <w:lang w:val="en-US"/>
        </w:rPr>
      </w:pPr>
    </w:p>
    <w:p w14:paraId="6EC43EE0" w14:textId="77777777" w:rsidR="00D02BC8" w:rsidRPr="00D31EBB" w:rsidRDefault="00D02BC8" w:rsidP="008B6CCB">
      <w:pPr>
        <w:pStyle w:val="EMEABodyText"/>
        <w:rPr>
          <w:i/>
        </w:rPr>
      </w:pPr>
      <w:r>
        <w:t>REYATAZ is contraindicated in patients with severe hepatic insufficiency (see sections 4.2, 4.4 and 5.2). REYATAZ with ritonavir is contraindicated in patients with moderate hepatic insufficiency (see sections 4.2, 4.4 and 5.2).</w:t>
      </w:r>
    </w:p>
    <w:p w14:paraId="79AD0F08" w14:textId="77777777" w:rsidR="00D02BC8" w:rsidRPr="00D31EBB" w:rsidRDefault="00D02BC8" w:rsidP="008B6CCB">
      <w:pPr>
        <w:pStyle w:val="EMEABodyText"/>
        <w:rPr>
          <w:lang w:val="en-US"/>
        </w:rPr>
      </w:pPr>
    </w:p>
    <w:p w14:paraId="7F26A941" w14:textId="77777777" w:rsidR="00D02BC8" w:rsidRPr="00D31EBB" w:rsidRDefault="00D02BC8" w:rsidP="008B6CCB">
      <w:pPr>
        <w:pStyle w:val="EMEABodyText"/>
      </w:pPr>
      <w:r>
        <w:t>Co-administration with simvastatin or lovastatin (see section 4.5).</w:t>
      </w:r>
    </w:p>
    <w:p w14:paraId="09380C7E" w14:textId="77777777" w:rsidR="00D02BC8" w:rsidRPr="00D31EBB" w:rsidRDefault="00D02BC8" w:rsidP="008B6CCB">
      <w:pPr>
        <w:pStyle w:val="EMEABodyText"/>
        <w:rPr>
          <w:lang w:val="en-US"/>
        </w:rPr>
      </w:pPr>
    </w:p>
    <w:p w14:paraId="4643E436" w14:textId="77777777" w:rsidR="00D02BC8" w:rsidRPr="00D31EBB" w:rsidRDefault="00D02BC8" w:rsidP="008B6CCB">
      <w:pPr>
        <w:pStyle w:val="EMEABodyText"/>
      </w:pPr>
      <w:r>
        <w:t>Combination of rifampicin (see section 4.5).</w:t>
      </w:r>
    </w:p>
    <w:p w14:paraId="3596CC6D" w14:textId="77777777" w:rsidR="00D02BC8" w:rsidRPr="00D31EBB" w:rsidRDefault="00D02BC8" w:rsidP="008B6CCB">
      <w:pPr>
        <w:pStyle w:val="EMEABodyText"/>
        <w:rPr>
          <w:lang w:val="en-US"/>
        </w:rPr>
      </w:pPr>
    </w:p>
    <w:p w14:paraId="752D3F25" w14:textId="77777777" w:rsidR="00D02BC8" w:rsidRPr="00D31EBB" w:rsidRDefault="006013CD" w:rsidP="008B6CCB">
      <w:pPr>
        <w:pStyle w:val="EMEABodyText"/>
      </w:pPr>
      <w:r>
        <w:t>Combination of the PDE5 inhibitor sildenafil when used for the treatment of pulmonary arterial hypertension (PAH) only (see section 4.5). For co-administration of sildenafil for the treatment of erectile dysfunction see sections 4.4 and 4.5.</w:t>
      </w:r>
    </w:p>
    <w:p w14:paraId="63DC6E91" w14:textId="77777777" w:rsidR="00D02BC8" w:rsidRPr="00D31EBB" w:rsidRDefault="00D02BC8" w:rsidP="008B6CCB">
      <w:pPr>
        <w:pStyle w:val="EMEABodyText"/>
        <w:rPr>
          <w:lang w:val="en-US"/>
        </w:rPr>
      </w:pPr>
    </w:p>
    <w:p w14:paraId="1A8AA1E5" w14:textId="77777777" w:rsidR="00D02BC8" w:rsidRPr="00D31EBB" w:rsidRDefault="006013CD" w:rsidP="008B6CCB">
      <w:pPr>
        <w:pStyle w:val="EMEABodyText"/>
      </w:pPr>
      <w:r>
        <w:t>Co-administration with medicinal products that are substrates of the CYP3A4 isoform of cytochrome P450 and have narrow therapeutic windows (e.g., quetiapine, lurasidone, alfuzosin, astemizole, terfenadine, cisapride, pimozide, quinidine, bepridil, triazolam, midazolam administered orally (for caution on parenterally administered midazolam, see section 4.5), and ergot alkaloids, particularly, ergotamine, dihydroergotamine, ergonovine, methylergonovine) (see section 4.5).</w:t>
      </w:r>
    </w:p>
    <w:p w14:paraId="53719346" w14:textId="77777777" w:rsidR="0096648A" w:rsidRPr="00D31EBB" w:rsidRDefault="0096648A" w:rsidP="008B6CCB">
      <w:pPr>
        <w:pStyle w:val="EMEABodyText"/>
        <w:rPr>
          <w:lang w:val="en-US"/>
        </w:rPr>
      </w:pPr>
    </w:p>
    <w:p w14:paraId="472BD067" w14:textId="77777777" w:rsidR="0096648A" w:rsidRPr="00D31EBB" w:rsidRDefault="0096648A" w:rsidP="0096648A">
      <w:pPr>
        <w:pStyle w:val="EMEABodyText"/>
      </w:pPr>
      <w:r>
        <w:t>Co-administration with grazoprevir-containing products, including elbasvir/grazoprevir fixed dose combination (see section 4.5).</w:t>
      </w:r>
    </w:p>
    <w:p w14:paraId="76E6CF70" w14:textId="77777777" w:rsidR="00D02BC8" w:rsidRPr="00D31EBB" w:rsidRDefault="00D02BC8" w:rsidP="008B6CCB">
      <w:pPr>
        <w:pStyle w:val="EMEABodyText"/>
        <w:rPr>
          <w:i/>
          <w:lang w:val="en-US"/>
        </w:rPr>
      </w:pPr>
    </w:p>
    <w:p w14:paraId="0FB0FB98" w14:textId="77777777" w:rsidR="006903B0" w:rsidRPr="00D31EBB" w:rsidRDefault="006903B0" w:rsidP="008B6CCB">
      <w:pPr>
        <w:pStyle w:val="EMEABodyText"/>
        <w:rPr>
          <w:i/>
        </w:rPr>
      </w:pPr>
      <w:r>
        <w:rPr>
          <w:i/>
        </w:rPr>
        <w:t xml:space="preserve">Co-administration with </w:t>
      </w:r>
      <w:r>
        <w:t>glecaprevir/pibrentasvir fixed dose combination (see section 4.5)</w:t>
      </w:r>
    </w:p>
    <w:p w14:paraId="13B0AC18" w14:textId="77777777" w:rsidR="006903B0" w:rsidRPr="00D31EBB" w:rsidRDefault="006903B0" w:rsidP="008B6CCB">
      <w:pPr>
        <w:pStyle w:val="EMEABodyText"/>
        <w:rPr>
          <w:i/>
          <w:lang w:val="en-US"/>
        </w:rPr>
      </w:pPr>
    </w:p>
    <w:p w14:paraId="7BC6DF32" w14:textId="77777777" w:rsidR="00D02BC8" w:rsidRPr="00D31EBB" w:rsidRDefault="006013CD" w:rsidP="008B6CCB">
      <w:pPr>
        <w:pStyle w:val="EMEABodyText"/>
      </w:pPr>
      <w:r>
        <w:t>Co-administration with products containing St. John’s wort (</w:t>
      </w:r>
      <w:r>
        <w:rPr>
          <w:i/>
        </w:rPr>
        <w:t>Hypericum perforatum</w:t>
      </w:r>
      <w:r>
        <w:t>) (see section 4.5).</w:t>
      </w:r>
    </w:p>
    <w:p w14:paraId="176D7023" w14:textId="77777777" w:rsidR="00D02BC8" w:rsidRPr="00D31EBB" w:rsidRDefault="00D02BC8" w:rsidP="008B6CCB">
      <w:pPr>
        <w:pStyle w:val="EMEABodyText"/>
        <w:rPr>
          <w:noProof/>
          <w:lang w:val="en-US"/>
        </w:rPr>
      </w:pPr>
    </w:p>
    <w:p w14:paraId="5C73A2A4" w14:textId="77777777" w:rsidR="00D02BC8" w:rsidRPr="00D31EBB" w:rsidRDefault="00D02BC8" w:rsidP="008B6CCB">
      <w:pPr>
        <w:pStyle w:val="EMEAHeading2"/>
        <w:rPr>
          <w:noProof/>
        </w:rPr>
      </w:pPr>
      <w:r>
        <w:t>4.4</w:t>
      </w:r>
      <w:r>
        <w:tab/>
        <w:t>Special warnings and precautions for use</w:t>
      </w:r>
    </w:p>
    <w:p w14:paraId="5B3342B2" w14:textId="77777777" w:rsidR="00D02BC8" w:rsidRPr="00D31EBB" w:rsidRDefault="00D02BC8" w:rsidP="008B6CCB">
      <w:pPr>
        <w:pStyle w:val="EMEAHeading2"/>
        <w:rPr>
          <w:noProof/>
          <w:lang w:val="en-US"/>
        </w:rPr>
      </w:pPr>
    </w:p>
    <w:p w14:paraId="58928DB0" w14:textId="77777777" w:rsidR="00D02BC8" w:rsidRPr="00D31EBB" w:rsidRDefault="00D02BC8" w:rsidP="008B6CCB">
      <w:pPr>
        <w:pStyle w:val="EMEABodyText"/>
        <w:rPr>
          <w:szCs w:val="22"/>
        </w:rPr>
      </w:pPr>
      <w:r>
        <w:t>While effective viral suppression with antiretroviral therapy has been proven to substantially reduce the risk of sexual transmission, a residual risk cannot be excluded. Precautions to prevent transmission should be taken in accordance with national guidelines.</w:t>
      </w:r>
    </w:p>
    <w:p w14:paraId="09528FC7" w14:textId="77777777" w:rsidR="00D02BC8" w:rsidRPr="00D31EBB" w:rsidRDefault="00D02BC8" w:rsidP="008B6CCB">
      <w:pPr>
        <w:pStyle w:val="EMEABodyText"/>
        <w:rPr>
          <w:lang w:val="en-US"/>
        </w:rPr>
      </w:pPr>
    </w:p>
    <w:p w14:paraId="3F627BEB" w14:textId="77777777" w:rsidR="00D02BC8" w:rsidRPr="00D31EBB" w:rsidRDefault="00D02BC8" w:rsidP="008B6CCB">
      <w:pPr>
        <w:pStyle w:val="EMEABodyText"/>
      </w:pPr>
      <w:r>
        <w:t>Co-administration of REYATAZ with ritonavir at doses greater than 100 mg once daily has not been clinically evaluated. The use of higher ritonavir doses may alter the safety profile of atazanavir (cardiac effects, hyperbilirubinaemia) and therefore is not recommended. Only when atazanavir with ritonavir is co-administered with efavirenz, a dose increase of ritonavir to 200 mg once daily could be considered. In this instance, close clinical monitoring is warranted (see Interaction with other Medicinal Products below).</w:t>
      </w:r>
    </w:p>
    <w:p w14:paraId="4038A9CF" w14:textId="77777777" w:rsidR="00D02BC8" w:rsidRPr="00D31EBB" w:rsidRDefault="00D02BC8" w:rsidP="008B6CCB">
      <w:pPr>
        <w:pStyle w:val="EMEABodyText"/>
        <w:rPr>
          <w:lang w:val="en-US"/>
        </w:rPr>
      </w:pPr>
    </w:p>
    <w:p w14:paraId="58D72FF5" w14:textId="77777777" w:rsidR="00D02BC8" w:rsidRPr="00D31EBB" w:rsidRDefault="00D02BC8" w:rsidP="008B6CCB">
      <w:pPr>
        <w:pStyle w:val="EMEABodyText"/>
        <w:keepNext/>
        <w:rPr>
          <w:u w:val="single"/>
        </w:rPr>
      </w:pPr>
      <w:r>
        <w:rPr>
          <w:u w:val="single"/>
        </w:rPr>
        <w:t>Patients with coexisting conditions</w:t>
      </w:r>
    </w:p>
    <w:p w14:paraId="5257A7F7" w14:textId="77777777" w:rsidR="00D02BC8" w:rsidRPr="00D31EBB" w:rsidRDefault="00D02BC8" w:rsidP="008B6CCB">
      <w:pPr>
        <w:pStyle w:val="EMEABodyText"/>
        <w:keepNext/>
        <w:rPr>
          <w:u w:val="single"/>
          <w:lang w:val="en-US"/>
        </w:rPr>
      </w:pPr>
    </w:p>
    <w:p w14:paraId="07D38008" w14:textId="77777777" w:rsidR="00D02BC8" w:rsidRPr="00D31EBB" w:rsidRDefault="00D02BC8" w:rsidP="008B6CCB">
      <w:pPr>
        <w:pStyle w:val="EMEABodyText"/>
      </w:pPr>
      <w:r>
        <w:t>Hepatic impairment: Atazanavir is primarily hepatically metabolised and increased plasma concentrations were observed in patients with hepatic impairment (see sections 4.2 and 4.3). The safety and efficacy of REYATAZ has not been established in patients with significant underlying liver disorders. Patients with chronic hepatitis B or C and treated with combination antiretroviral therapy are at an increased risk for severe and potentially fatal hepatic adverse reactions. In case of concomitant antiviral therapy for hepatitis B or C, please refer also to the relevant Summary of Product Characteristics for these medicinal products (see section 4.8).</w:t>
      </w:r>
    </w:p>
    <w:p w14:paraId="57E36974" w14:textId="77777777" w:rsidR="00D02BC8" w:rsidRPr="00D31EBB" w:rsidRDefault="00D02BC8" w:rsidP="008B6CCB">
      <w:pPr>
        <w:pStyle w:val="EMEABodyText"/>
        <w:rPr>
          <w:lang w:val="en-US"/>
        </w:rPr>
      </w:pPr>
    </w:p>
    <w:p w14:paraId="4A5169F9" w14:textId="77777777" w:rsidR="00D02BC8" w:rsidRPr="00D31EBB" w:rsidRDefault="00D02BC8" w:rsidP="008B6CCB">
      <w:pPr>
        <w:pStyle w:val="EMEABodyText"/>
      </w:pPr>
      <w:r>
        <w:t>Patients with pre-existing liver dysfunction, including chronic active hepatitis, have an increased frequency of liver function abnormalities during combination antiretroviral therapy and should be monitored according to standard practice. If there is evidence of worsening liver disease in such patients, interruption or discontinuation of treatment must be considered.</w:t>
      </w:r>
    </w:p>
    <w:p w14:paraId="305B3F56" w14:textId="77777777" w:rsidR="00D02BC8" w:rsidRPr="00D31EBB" w:rsidRDefault="00D02BC8" w:rsidP="008B6CCB">
      <w:pPr>
        <w:pStyle w:val="EMEABodyText"/>
        <w:rPr>
          <w:lang w:val="en-US"/>
        </w:rPr>
      </w:pPr>
    </w:p>
    <w:p w14:paraId="3799A3D4" w14:textId="77777777" w:rsidR="00D02BC8" w:rsidRPr="00D31EBB" w:rsidRDefault="00D02BC8" w:rsidP="008B6CCB">
      <w:pPr>
        <w:pStyle w:val="EMEABodyText"/>
      </w:pPr>
      <w:r>
        <w:t>Renal impairment: No dosage adjustment is needed in patients with renal impairment. However, REYATAZ is not recommended in patients undergoing haemodialysis (see sections 4.2 and 5.2).</w:t>
      </w:r>
    </w:p>
    <w:p w14:paraId="1C2ED0D6" w14:textId="77777777" w:rsidR="00D02BC8" w:rsidRPr="00D31EBB" w:rsidRDefault="00D02BC8" w:rsidP="008B6CCB">
      <w:pPr>
        <w:pStyle w:val="EMEABodyText"/>
        <w:rPr>
          <w:lang w:val="en-US"/>
        </w:rPr>
      </w:pPr>
    </w:p>
    <w:p w14:paraId="4B0E6CE5" w14:textId="77777777" w:rsidR="00D02BC8" w:rsidRPr="00D31EBB" w:rsidRDefault="00D02BC8" w:rsidP="008B6CCB">
      <w:pPr>
        <w:pStyle w:val="EMEABodyText"/>
        <w:rPr>
          <w:i/>
        </w:rPr>
      </w:pPr>
      <w:r>
        <w:t>QT prolongation: Dose related asymptomatic prolongations in PR interval with REYATAZ have been observed in clinical studies. Caution should be used with medicinal products known to induce PR prolongations. In patients with pre-existing conduction problems (second degree or higher atrioventricular or complex bundle-branch block), REYATAZ should be used with caution and only if the benefits exceed the risk (see section 5.1). Particular caution should be used when prescribing REYATAZ in association with medicinal products which have the potential to increase the QT interval and/or in patients with pre-existing risk factors (bradycardia, long congenital QT, electrolyte imbalances (see sections 4.8 and 5.3).</w:t>
      </w:r>
    </w:p>
    <w:p w14:paraId="03746E27" w14:textId="77777777" w:rsidR="00D02BC8" w:rsidRPr="00D31EBB" w:rsidRDefault="00D02BC8" w:rsidP="008B6CCB">
      <w:pPr>
        <w:pStyle w:val="EMEABodyText"/>
        <w:rPr>
          <w:lang w:val="en-US"/>
        </w:rPr>
      </w:pPr>
    </w:p>
    <w:p w14:paraId="24B2834B" w14:textId="77777777" w:rsidR="00D02BC8" w:rsidRPr="00D31EBB" w:rsidRDefault="00D02BC8" w:rsidP="008B6CCB">
      <w:pPr>
        <w:pStyle w:val="EMEABodyText"/>
      </w:pPr>
      <w:r>
        <w:t>Haemophiliac patients: There have been reports of increased bleeding, including spontaneous skin haematomas and haemarthroses, in type A and B haemophiliac patients treated with protease inhibitors. In some patients additional factor VIII was given. In more than half of the reported cases, treatment with protease inhibitors was continued or reintroduced if treatment had been discontinued. A causal relationship has been suggested, although the mechanism of action has not been elucidated. Haemophiliac patients should therefore be made aware of the possibility of increased bleeding.</w:t>
      </w:r>
    </w:p>
    <w:p w14:paraId="6F63A5C4" w14:textId="77777777" w:rsidR="00D02BC8" w:rsidRPr="00D31EBB" w:rsidRDefault="00D02BC8" w:rsidP="008B6CCB">
      <w:pPr>
        <w:pStyle w:val="EMEABodyText"/>
        <w:rPr>
          <w:u w:val="single"/>
          <w:lang w:val="en-US"/>
        </w:rPr>
      </w:pPr>
    </w:p>
    <w:p w14:paraId="5CDB4205" w14:textId="77777777" w:rsidR="004B14F8" w:rsidRPr="00D31EBB" w:rsidRDefault="004B14F8" w:rsidP="004B14F8">
      <w:pPr>
        <w:pStyle w:val="EMEABodyText"/>
        <w:keepNext/>
        <w:rPr>
          <w:u w:val="single"/>
        </w:rPr>
      </w:pPr>
      <w:r>
        <w:rPr>
          <w:u w:val="single"/>
        </w:rPr>
        <w:lastRenderedPageBreak/>
        <w:t>Weight and metabolic parameters</w:t>
      </w:r>
    </w:p>
    <w:p w14:paraId="6280905B" w14:textId="77777777" w:rsidR="004B14F8" w:rsidRPr="00D31EBB" w:rsidRDefault="004B14F8" w:rsidP="004B14F8">
      <w:pPr>
        <w:pStyle w:val="EMEABodyText"/>
      </w:pPr>
      <w:r>
        <w:t>An increase in weight and in levels of blood lipids and glucose may occur during antiretroviral therapy. Such changes may in part be linked to the disease control and life style. For lipids, there is in some cases evidence for a treatment effect, while for weight gain there is no strong evidence relating this to any particular treatment. For monitoring of blood lipids and glucose reference is made to established HIV treatment guidelines. Lipid disorders should be managed as clinically appropriate.</w:t>
      </w:r>
    </w:p>
    <w:p w14:paraId="792EEB64" w14:textId="77777777" w:rsidR="004B14F8" w:rsidRPr="00D31EBB" w:rsidRDefault="004B14F8" w:rsidP="004B14F8">
      <w:pPr>
        <w:pStyle w:val="EMEABodyText"/>
        <w:rPr>
          <w:lang w:val="en-US"/>
        </w:rPr>
      </w:pPr>
    </w:p>
    <w:p w14:paraId="18095098" w14:textId="77777777" w:rsidR="004B14F8" w:rsidRPr="00D31EBB" w:rsidRDefault="004B14F8" w:rsidP="004B14F8">
      <w:pPr>
        <w:pStyle w:val="EMEABodyText"/>
        <w:rPr>
          <w:strike/>
        </w:rPr>
      </w:pPr>
      <w:r>
        <w:t xml:space="preserve">In clinical studies, REYATAZ (with or without ritonavir) has been shown to induce dyslipidaemia to a lesser extent than comparators. </w:t>
      </w:r>
    </w:p>
    <w:p w14:paraId="38659509" w14:textId="77777777" w:rsidR="00D02BC8" w:rsidRPr="00D31EBB" w:rsidRDefault="00D02BC8" w:rsidP="008B6CCB">
      <w:pPr>
        <w:pStyle w:val="EMEABodyText"/>
        <w:rPr>
          <w:lang w:val="en-US"/>
        </w:rPr>
      </w:pPr>
    </w:p>
    <w:p w14:paraId="2C134E7E" w14:textId="77777777" w:rsidR="00D02BC8" w:rsidRPr="00D31EBB" w:rsidRDefault="00D02BC8" w:rsidP="008B6CCB">
      <w:pPr>
        <w:pStyle w:val="EMEABodyText"/>
        <w:keepNext/>
        <w:rPr>
          <w:u w:val="single"/>
        </w:rPr>
      </w:pPr>
      <w:r>
        <w:rPr>
          <w:u w:val="single"/>
        </w:rPr>
        <w:t>Hyperbilirubinaemia</w:t>
      </w:r>
    </w:p>
    <w:p w14:paraId="7BB6F18A" w14:textId="77777777" w:rsidR="00D02BC8" w:rsidRPr="00D31EBB" w:rsidRDefault="00D02BC8" w:rsidP="008B6CCB">
      <w:pPr>
        <w:pStyle w:val="EMEABodyText"/>
        <w:rPr>
          <w:u w:val="single"/>
        </w:rPr>
      </w:pPr>
      <w:r>
        <w:t>Reversible elevations in indirect (unconjugated) bilirubin related to inhibition of UDP-glucuronosyl transferase (UGT) have occurred in patients receiving REYATAZ (see section 4.8). Hepatic transaminase elevations that occur with elevated bilirubin in patients receiving REYATAZ should be evaluated for alternative aetiologies. Alternative antiretroviral therapy to REYATAZ may be considered if jaundice or scleral icterus is unacceptable to a patient. Dose reduction of atazanavir is not recommended because it may result in a loss of therapeutic effect and development of resistance.</w:t>
      </w:r>
    </w:p>
    <w:p w14:paraId="345D3D0F" w14:textId="77777777" w:rsidR="00D02BC8" w:rsidRPr="00D31EBB" w:rsidRDefault="00D02BC8" w:rsidP="008B6CCB">
      <w:pPr>
        <w:pStyle w:val="EMEABodyText"/>
        <w:rPr>
          <w:lang w:val="en-US"/>
        </w:rPr>
      </w:pPr>
    </w:p>
    <w:p w14:paraId="77FC4116" w14:textId="77777777" w:rsidR="00D02BC8" w:rsidRPr="00D31EBB" w:rsidRDefault="00D02BC8" w:rsidP="008B6CCB">
      <w:pPr>
        <w:pStyle w:val="EMEABodyText"/>
      </w:pPr>
      <w:r>
        <w:t>Indinavir is also associated with indirect (unconjugated) hyperbilirubinaemia due to inhibition of UGT. Combinations of REYATAZ and indinavir have not been studied and co-administration of these medicinal products is not recommended (see section 4.5).</w:t>
      </w:r>
    </w:p>
    <w:p w14:paraId="2359E4A0" w14:textId="77777777" w:rsidR="00D02BC8" w:rsidRPr="00D31EBB" w:rsidRDefault="00D02BC8" w:rsidP="008B6CCB">
      <w:pPr>
        <w:pStyle w:val="EMEABodyText"/>
        <w:rPr>
          <w:lang w:val="en-US"/>
        </w:rPr>
      </w:pPr>
    </w:p>
    <w:p w14:paraId="4AA49CE0" w14:textId="77777777" w:rsidR="00BC76A6" w:rsidRPr="00D31EBB" w:rsidRDefault="00BC76A6" w:rsidP="00701D08">
      <w:pPr>
        <w:pStyle w:val="EMEABodyText"/>
        <w:rPr>
          <w:u w:val="single"/>
        </w:rPr>
      </w:pPr>
      <w:r>
        <w:rPr>
          <w:u w:val="single"/>
        </w:rPr>
        <w:t>Withdrawal of ritonavir only under restrictive conditions</w:t>
      </w:r>
    </w:p>
    <w:p w14:paraId="2823138B" w14:textId="77777777" w:rsidR="00BC76A6" w:rsidRPr="00D31EBB" w:rsidRDefault="00BC76A6" w:rsidP="00701D08">
      <w:pPr>
        <w:pStyle w:val="EMEABodyText"/>
      </w:pPr>
      <w:r>
        <w:t xml:space="preserve">The recommended standard treatment is REYATAZ boosted with ritonavir, ensuring optimal pharmacokinetic parameters and level of virologic suppression. </w:t>
      </w:r>
    </w:p>
    <w:p w14:paraId="64B190FD" w14:textId="77777777" w:rsidR="00BC76A6" w:rsidRPr="00D31EBB" w:rsidRDefault="00BC76A6" w:rsidP="00701D08">
      <w:pPr>
        <w:pStyle w:val="EMEABodyText"/>
      </w:pPr>
      <w:r>
        <w:t>The withdrawal of ritonavir from the boosted regimen of REYATAZ is not recommended, but may be considered in adults patients at the dose of 400 mg once daily with food only under the following combined restrictive conditions:</w:t>
      </w:r>
    </w:p>
    <w:p w14:paraId="0B141D6B" w14:textId="77777777" w:rsidR="00BC76A6" w:rsidRPr="004F3582" w:rsidRDefault="00BC76A6" w:rsidP="008B182F">
      <w:pPr>
        <w:pStyle w:val="EMEABodyTextIndent"/>
        <w:ind w:left="426"/>
        <w:rPr>
          <w:i/>
        </w:rPr>
      </w:pPr>
      <w:r>
        <w:t xml:space="preserve">absence of prior virologic failure </w:t>
      </w:r>
    </w:p>
    <w:p w14:paraId="1DB94DBE" w14:textId="77777777" w:rsidR="00BC76A6" w:rsidRPr="00D31EBB" w:rsidRDefault="00BC76A6" w:rsidP="008B182F">
      <w:pPr>
        <w:pStyle w:val="EMEABodyTextIndent"/>
        <w:ind w:left="426"/>
        <w:rPr>
          <w:i/>
        </w:rPr>
      </w:pPr>
      <w:r>
        <w:t>undetectable viral load during the last 6 months under current regimen</w:t>
      </w:r>
    </w:p>
    <w:p w14:paraId="68E82A84" w14:textId="77777777" w:rsidR="00BC76A6" w:rsidRPr="00D31EBB" w:rsidRDefault="00BC76A6" w:rsidP="008B182F">
      <w:pPr>
        <w:pStyle w:val="EMEABodyTextIndent"/>
        <w:ind w:left="426"/>
        <w:rPr>
          <w:i/>
        </w:rPr>
      </w:pPr>
      <w:r>
        <w:t>viral strains not harbouring HIV resistance associated mutations (RAMs) to current regimen.</w:t>
      </w:r>
    </w:p>
    <w:p w14:paraId="2DB40882" w14:textId="77777777" w:rsidR="00BC76A6" w:rsidRPr="00D31EBB" w:rsidRDefault="00BC76A6" w:rsidP="00701D08">
      <w:pPr>
        <w:pStyle w:val="EMEABodyText"/>
        <w:rPr>
          <w:lang w:val="en-US"/>
        </w:rPr>
      </w:pPr>
    </w:p>
    <w:p w14:paraId="6EB7350C" w14:textId="77777777" w:rsidR="00BC76A6" w:rsidRPr="00D31EBB" w:rsidRDefault="00BC76A6" w:rsidP="00701D08">
      <w:pPr>
        <w:pStyle w:val="EMEABodyText"/>
      </w:pPr>
      <w:r>
        <w:t>REYATAZ given without ritonavir should not be considered in patients treated with a backbone regimen containing tenofovir disoproxil and with other concomitant medications that reduce atazanavir bioavailability (see section 4.5 In case of withdrawal of ritonavir from the recommended atazanavir boosted regimen) or in case of perceived challenging compliance.</w:t>
      </w:r>
    </w:p>
    <w:p w14:paraId="057AF4B0" w14:textId="77777777" w:rsidR="00965CD8" w:rsidRPr="00D31EBB" w:rsidRDefault="00965CD8" w:rsidP="00701D08">
      <w:pPr>
        <w:pStyle w:val="EMEABodyText"/>
        <w:rPr>
          <w:lang w:val="en-US"/>
        </w:rPr>
      </w:pPr>
    </w:p>
    <w:p w14:paraId="5909C9FF" w14:textId="77777777" w:rsidR="00BC76A6" w:rsidRPr="00D31EBB" w:rsidRDefault="00BC76A6" w:rsidP="00701D08">
      <w:pPr>
        <w:pStyle w:val="EMEABodyText"/>
      </w:pPr>
      <w:r>
        <w:t xml:space="preserve">REYATAZ given without ritonavir should not be used in pregnant patients given that it could result of suboptimal exposure of particular concern for the mother infection and vertical transmission. </w:t>
      </w:r>
    </w:p>
    <w:p w14:paraId="67970F1B" w14:textId="77777777" w:rsidR="00D02BC8" w:rsidRPr="00D31EBB" w:rsidRDefault="00D02BC8" w:rsidP="008B6CCB">
      <w:pPr>
        <w:pStyle w:val="EMEABodyText"/>
        <w:rPr>
          <w:lang w:val="en-US"/>
        </w:rPr>
      </w:pPr>
    </w:p>
    <w:p w14:paraId="292B65FD" w14:textId="77777777" w:rsidR="00D02BC8" w:rsidRPr="00D31EBB" w:rsidRDefault="00D02BC8" w:rsidP="008B6CCB">
      <w:pPr>
        <w:pStyle w:val="EMEABodyText"/>
        <w:keepNext/>
        <w:rPr>
          <w:u w:val="single"/>
        </w:rPr>
      </w:pPr>
      <w:r>
        <w:rPr>
          <w:u w:val="single"/>
        </w:rPr>
        <w:t>Cholelithiasis</w:t>
      </w:r>
    </w:p>
    <w:p w14:paraId="00F452F6" w14:textId="77777777" w:rsidR="00D02BC8" w:rsidRPr="00D31EBB" w:rsidRDefault="00D02BC8" w:rsidP="008B6CCB">
      <w:pPr>
        <w:pStyle w:val="EMEABodyText"/>
        <w:keepNext/>
      </w:pPr>
      <w:r>
        <w:t>Cholelithiasis has been reported in patients receiving REYATAZ (see section 4.8). Some patients required hospitalization for additional management and some had complications. If signs or symptoms of cholelithiasis occur, temporary interruption or discontinuation of treatment may be considered.</w:t>
      </w:r>
    </w:p>
    <w:p w14:paraId="381F55C0" w14:textId="77777777" w:rsidR="00EF4F14" w:rsidRPr="00D31EBB" w:rsidRDefault="00EF4F14" w:rsidP="00EF4F14">
      <w:pPr>
        <w:pStyle w:val="EMEABodyText"/>
        <w:keepNext/>
        <w:rPr>
          <w:lang w:val="en-US"/>
        </w:rPr>
      </w:pPr>
    </w:p>
    <w:p w14:paraId="25296AF0" w14:textId="77777777" w:rsidR="00EF4F14" w:rsidRPr="00D31EBB" w:rsidRDefault="00EF4F14" w:rsidP="00EF4F14">
      <w:pPr>
        <w:pStyle w:val="EMEABodyText"/>
        <w:rPr>
          <w:u w:val="single"/>
        </w:rPr>
      </w:pPr>
      <w:r>
        <w:rPr>
          <w:u w:val="single"/>
        </w:rPr>
        <w:t>Chronic kidney disease</w:t>
      </w:r>
    </w:p>
    <w:p w14:paraId="40F8435E" w14:textId="77777777" w:rsidR="00EF4F14" w:rsidRPr="00D31EBB" w:rsidRDefault="00EF4F14" w:rsidP="00EF4F14">
      <w:pPr>
        <w:pStyle w:val="EMEABodyText"/>
        <w:keepNext/>
      </w:pPr>
      <w:r>
        <w:t>Chronic kidney disease in HIV-infected patients treated with atazanavir, with or without ritonavir, has been reported during postmarketing surveillance. A large prospective observational study has shown an association between an increased incidence of chronic kidney disease and cumulative exposure to atazanavir/ritonavir-containing regimen in HIV-infected patients with an initially normal eGFR. This association was observed independently of exposure to tenofovir disoproxil. Regular monitoring of the renal function of patients should be maintained throughout the treatment duration (see section 4.8).</w:t>
      </w:r>
    </w:p>
    <w:p w14:paraId="0F3D403F" w14:textId="77777777" w:rsidR="00D02BC8" w:rsidRPr="00D31EBB" w:rsidRDefault="00D02BC8" w:rsidP="008B6CCB">
      <w:pPr>
        <w:pStyle w:val="EMEABodyText"/>
        <w:keepNext/>
        <w:rPr>
          <w:lang w:val="en-US"/>
        </w:rPr>
      </w:pPr>
    </w:p>
    <w:p w14:paraId="3BD67539" w14:textId="77777777" w:rsidR="00D02BC8" w:rsidRPr="00D31EBB" w:rsidRDefault="00D02BC8" w:rsidP="008B6CCB">
      <w:pPr>
        <w:pStyle w:val="EMEABodyText"/>
        <w:keepNext/>
        <w:rPr>
          <w:u w:val="single"/>
        </w:rPr>
      </w:pPr>
      <w:r>
        <w:rPr>
          <w:u w:val="single"/>
        </w:rPr>
        <w:t>Nephrolithiasis</w:t>
      </w:r>
    </w:p>
    <w:p w14:paraId="2D5BD85C" w14:textId="77777777" w:rsidR="00D02BC8" w:rsidRPr="00D31EBB" w:rsidRDefault="00D02BC8" w:rsidP="008B6CCB">
      <w:pPr>
        <w:pStyle w:val="EMEABodyText"/>
      </w:pPr>
      <w:r>
        <w:t xml:space="preserve">Nephrolithiasis has been reported in patients receiving REYATAZ (see section 4.8). Some patients required hospitalization for additional management and some had complications. In some cases, </w:t>
      </w:r>
      <w:r>
        <w:lastRenderedPageBreak/>
        <w:t xml:space="preserve">nephrolithiasis has been associated with acute renal failure or renal insufficiency. If signs or symptoms of nephrolithiasis occur, temporary interruption or discontinuation of treatment may be considered. </w:t>
      </w:r>
    </w:p>
    <w:p w14:paraId="3788144B" w14:textId="77777777" w:rsidR="00D02BC8" w:rsidRPr="00D31EBB" w:rsidRDefault="00D02BC8" w:rsidP="008B6CCB">
      <w:pPr>
        <w:pStyle w:val="EMEABodyText"/>
        <w:rPr>
          <w:lang w:val="en-US"/>
        </w:rPr>
      </w:pPr>
    </w:p>
    <w:p w14:paraId="7A7F5709" w14:textId="77777777" w:rsidR="00D02BC8" w:rsidRPr="00D31EBB" w:rsidRDefault="00D02BC8" w:rsidP="008B6CCB">
      <w:pPr>
        <w:pStyle w:val="EMEABodyText"/>
        <w:keepNext/>
        <w:rPr>
          <w:u w:val="single"/>
        </w:rPr>
      </w:pPr>
      <w:r>
        <w:rPr>
          <w:u w:val="single"/>
        </w:rPr>
        <w:t>Immune reactivation syndrome</w:t>
      </w:r>
    </w:p>
    <w:p w14:paraId="023AF3A7" w14:textId="77777777" w:rsidR="00D02BC8" w:rsidRPr="00D31EBB" w:rsidRDefault="00D02BC8" w:rsidP="008B6CCB">
      <w:pPr>
        <w:pStyle w:val="EMEABodyText"/>
      </w:pPr>
      <w:r>
        <w:t xml:space="preserve">In HIV-infected patients with severe immune deficiency at the time of institution of combination antiretroviral therapy (CART), an inflammatory reaction to asymptomatic or residual opportunistic pathogens may arise and cause serious clinical conditions, or aggravation of symptoms. Typically, such reactions have been observed within the first few weeks or months of initiation of CART. Relevant examples are cytomegalovirus retinitis, generalised and/or focal mycobacterial infections, and </w:t>
      </w:r>
      <w:r>
        <w:rPr>
          <w:i/>
        </w:rPr>
        <w:t xml:space="preserve">Pneumocystis jirovecii </w:t>
      </w:r>
      <w:r>
        <w:t>pneumonia. Any inflammatory symptoms should be evaluated and treatment instituted when necessary. Autoimmune disorders (such as Graves' disease and autoimmune hepatitis) have also been reported to occur in the setting of immune reactivation; however, the reported time to onset is more variable and these events can occurs many months after initiation of treatment.</w:t>
      </w:r>
    </w:p>
    <w:p w14:paraId="2AA1F90E" w14:textId="77777777" w:rsidR="00D02BC8" w:rsidRPr="00D31EBB" w:rsidRDefault="00D02BC8" w:rsidP="008B6CCB">
      <w:pPr>
        <w:pStyle w:val="EMEABodyText"/>
        <w:rPr>
          <w:lang w:val="en-US"/>
        </w:rPr>
      </w:pPr>
    </w:p>
    <w:p w14:paraId="22DC4816" w14:textId="77777777" w:rsidR="00D02BC8" w:rsidRPr="00D31EBB" w:rsidRDefault="00D02BC8" w:rsidP="008B6CCB">
      <w:pPr>
        <w:pStyle w:val="EMEAHeading2"/>
        <w:ind w:left="0" w:firstLine="0"/>
        <w:rPr>
          <w:b w:val="0"/>
          <w:u w:val="single"/>
        </w:rPr>
      </w:pPr>
      <w:r>
        <w:rPr>
          <w:b w:val="0"/>
          <w:u w:val="single"/>
        </w:rPr>
        <w:t>Osteonecrosis</w:t>
      </w:r>
    </w:p>
    <w:p w14:paraId="77C62EBC" w14:textId="77777777" w:rsidR="00D02BC8" w:rsidRPr="00D31EBB" w:rsidRDefault="00D02BC8" w:rsidP="008B6CCB">
      <w:pPr>
        <w:pStyle w:val="EMEABodyText"/>
      </w:pPr>
      <w:r>
        <w:t>Although the aetiology is considered to be multifactorial (including corticosteroid use, alcohol consumption, severe immunosuppression, higher body mass index), cases of osteonecrosis have been reported particularly in patients with advanced HIV-disease and/or long-term exposure to combination antiretroviral therapy (CART). Patients should be advised to seek medical advice if they experience joint aches and pain, joint stiffness or difficulty in movement.</w:t>
      </w:r>
    </w:p>
    <w:p w14:paraId="08FBCBBA" w14:textId="77777777" w:rsidR="00D02BC8" w:rsidRPr="00D31EBB" w:rsidRDefault="00D02BC8" w:rsidP="008B6CCB">
      <w:pPr>
        <w:pStyle w:val="EMEABodyText"/>
        <w:rPr>
          <w:lang w:val="en-US"/>
        </w:rPr>
      </w:pPr>
    </w:p>
    <w:p w14:paraId="3EC34190" w14:textId="77777777" w:rsidR="00D02BC8" w:rsidRPr="00D31EBB" w:rsidRDefault="00D02BC8" w:rsidP="008B6CCB">
      <w:pPr>
        <w:pStyle w:val="EMEABodyText"/>
        <w:rPr>
          <w:u w:val="single"/>
        </w:rPr>
      </w:pPr>
      <w:r>
        <w:rPr>
          <w:u w:val="single"/>
        </w:rPr>
        <w:t>Rash and associated syndromes</w:t>
      </w:r>
    </w:p>
    <w:p w14:paraId="63B7047B" w14:textId="77777777" w:rsidR="00D02BC8" w:rsidRPr="00D31EBB" w:rsidRDefault="00D02BC8" w:rsidP="008B6CCB">
      <w:pPr>
        <w:pStyle w:val="EMEABodyText"/>
      </w:pPr>
      <w:r>
        <w:t xml:space="preserve">Rashes are usually mild -to-moderate maculopapular skin eruptions that occur within the first 3 weeks of starting therapy with REYATAZ. </w:t>
      </w:r>
    </w:p>
    <w:p w14:paraId="7F33D459" w14:textId="77777777" w:rsidR="00D02BC8" w:rsidRPr="00D31EBB" w:rsidRDefault="00D02BC8" w:rsidP="008B6CCB">
      <w:pPr>
        <w:pStyle w:val="EMEABodyText"/>
        <w:rPr>
          <w:lang w:val="en-US"/>
        </w:rPr>
      </w:pPr>
    </w:p>
    <w:p w14:paraId="0266493B" w14:textId="77777777" w:rsidR="00D02BC8" w:rsidRPr="00D31EBB" w:rsidRDefault="00D02BC8" w:rsidP="008B6CCB">
      <w:pPr>
        <w:pStyle w:val="EMEABodyText"/>
      </w:pPr>
      <w:r>
        <w:t>Stevens-Johnson syndrome (SJS), erythema multiforme, toxic skin eruptions and drug rash with eosinophilia and systemic symptoms (DRESS) syndrome have been reported in patients receiving REYATAZ. Patients should be advised of the signs and symptoms and monitored closely for skin reactions. REYATAZ should be discontinued if severe rash develops.</w:t>
      </w:r>
    </w:p>
    <w:p w14:paraId="29140951" w14:textId="77777777" w:rsidR="00D02BC8" w:rsidRPr="00D31EBB" w:rsidRDefault="00D02BC8" w:rsidP="008B6CCB">
      <w:pPr>
        <w:pStyle w:val="EMEABodyText"/>
        <w:rPr>
          <w:lang w:val="en-US"/>
        </w:rPr>
      </w:pPr>
    </w:p>
    <w:p w14:paraId="00B63AB4" w14:textId="77777777" w:rsidR="00D02BC8" w:rsidRPr="00D31EBB" w:rsidRDefault="00D02BC8" w:rsidP="008B6CCB">
      <w:pPr>
        <w:pStyle w:val="EMEABodyText"/>
      </w:pPr>
      <w:r>
        <w:t>The best results in managing these events come from early diagnosis and immediate interruption of any suspect medicines. If the patient has developed SJS or DRESS associated with the use of REYATAZ, REYATAZ may not be restarted.</w:t>
      </w:r>
    </w:p>
    <w:p w14:paraId="69F6C070" w14:textId="77777777" w:rsidR="00D02BC8" w:rsidRPr="00D31EBB" w:rsidRDefault="00D02BC8" w:rsidP="008B6CCB">
      <w:pPr>
        <w:pStyle w:val="EMEABodyText"/>
        <w:rPr>
          <w:lang w:val="en-US"/>
        </w:rPr>
      </w:pPr>
    </w:p>
    <w:p w14:paraId="3A41799B" w14:textId="77777777" w:rsidR="00D02BC8" w:rsidRPr="00D31EBB" w:rsidRDefault="00D02BC8" w:rsidP="008B6CCB">
      <w:pPr>
        <w:pStyle w:val="EMEABodyText"/>
        <w:keepNext/>
        <w:rPr>
          <w:u w:val="single"/>
        </w:rPr>
      </w:pPr>
      <w:r>
        <w:rPr>
          <w:u w:val="single"/>
        </w:rPr>
        <w:t>Interactions with other medicinal products</w:t>
      </w:r>
    </w:p>
    <w:p w14:paraId="7CE30A58" w14:textId="77777777" w:rsidR="00D02BC8" w:rsidRPr="00D31EBB" w:rsidRDefault="00D02BC8" w:rsidP="008B6CCB">
      <w:pPr>
        <w:pStyle w:val="EMEABodyText"/>
      </w:pPr>
      <w:r>
        <w:t>The combination of REYATAZ with atorvastatin is not recommended (see section 4.5).</w:t>
      </w:r>
    </w:p>
    <w:p w14:paraId="2D10C669" w14:textId="77777777" w:rsidR="00D02BC8" w:rsidRPr="00D31EBB" w:rsidRDefault="00D02BC8" w:rsidP="008B6CCB">
      <w:pPr>
        <w:pStyle w:val="EMEABodyText"/>
        <w:rPr>
          <w:lang w:val="en-US"/>
        </w:rPr>
      </w:pPr>
    </w:p>
    <w:p w14:paraId="7798681B" w14:textId="77777777" w:rsidR="00D02BC8" w:rsidRPr="00D31EBB" w:rsidRDefault="00D02BC8" w:rsidP="008B6CCB">
      <w:pPr>
        <w:pStyle w:val="EMEABodyText"/>
        <w:rPr>
          <w:dstrike/>
        </w:rPr>
      </w:pPr>
      <w:r>
        <w:t>Co-administration of REYATAZ with nevirapine or efavirenz is not recommended (see section 4.5).</w:t>
      </w:r>
    </w:p>
    <w:p w14:paraId="2CDEDC54" w14:textId="77777777" w:rsidR="00D02BC8" w:rsidRPr="00D31EBB" w:rsidRDefault="00D02BC8" w:rsidP="008B6CCB">
      <w:pPr>
        <w:pStyle w:val="EMEABodyText"/>
      </w:pPr>
      <w:r>
        <w:t>If the co-administration of REYATAZ with an NNRTI is required, an increase in the dose of both REYATAZ and ritonavir to 400 mg and 200 mg, respectively, in combination with efavirenz could be considered with close clinical monitoring.</w:t>
      </w:r>
    </w:p>
    <w:p w14:paraId="7CB75A8E" w14:textId="77777777" w:rsidR="00D02BC8" w:rsidRPr="00D31EBB" w:rsidRDefault="00D02BC8" w:rsidP="008B6CCB">
      <w:pPr>
        <w:pStyle w:val="EMEABodyText"/>
        <w:rPr>
          <w:lang w:val="en-US"/>
        </w:rPr>
      </w:pPr>
    </w:p>
    <w:p w14:paraId="2119E3D6" w14:textId="77777777" w:rsidR="00D02BC8" w:rsidRPr="00D31EBB" w:rsidRDefault="00D02BC8" w:rsidP="008B6CCB">
      <w:pPr>
        <w:pStyle w:val="EMEABodyText"/>
      </w:pPr>
      <w:r>
        <w:t>Atazanavir is metabolised principally by CYP3A4. Co-administration of REYATAZ and medicinal products that induce CYP3A4 is not recommended (see sections 4.3 and 4.5).</w:t>
      </w:r>
    </w:p>
    <w:p w14:paraId="79465218" w14:textId="77777777" w:rsidR="00D02BC8" w:rsidRPr="00D31EBB" w:rsidRDefault="00D02BC8" w:rsidP="008B6CCB">
      <w:pPr>
        <w:pStyle w:val="EMEABodyText"/>
        <w:rPr>
          <w:lang w:val="en-US"/>
        </w:rPr>
      </w:pPr>
    </w:p>
    <w:p w14:paraId="19C85C41" w14:textId="77777777" w:rsidR="00D02BC8" w:rsidRPr="00D31EBB" w:rsidRDefault="00D02BC8" w:rsidP="008B6CCB">
      <w:pPr>
        <w:pStyle w:val="EMEABodyText"/>
      </w:pPr>
      <w:r>
        <w:t>PDE5 inhibitors used for the treatment of erectile dysfunction: particular caution should be used when prescribing PDE5-inhibitors (sildenafil, tadalafil, or vardenafil) for the treatment of erectile dysfunction in patients receiving REYATAZ. Co-administration of REYATAZ with these medicinal products is expected to substantially increase their concentrations and may result in PDE5-associated adverse reactions such as hypotension, visual changes and priapism (see section 4.5).</w:t>
      </w:r>
    </w:p>
    <w:p w14:paraId="3687F511" w14:textId="77777777" w:rsidR="00D02BC8" w:rsidRPr="00D31EBB" w:rsidRDefault="00D02BC8" w:rsidP="008B6CCB">
      <w:pPr>
        <w:pStyle w:val="EMEABodyText"/>
        <w:rPr>
          <w:lang w:val="en-US"/>
        </w:rPr>
      </w:pPr>
    </w:p>
    <w:p w14:paraId="18D163A5" w14:textId="77777777" w:rsidR="00D02BC8" w:rsidRPr="00D31EBB" w:rsidRDefault="00D02BC8" w:rsidP="008B6CCB">
      <w:pPr>
        <w:pStyle w:val="EMEABodyText"/>
      </w:pPr>
      <w:r>
        <w:t>Co-administration of voriconazole and REYATAZ with ritonavir is not recommended, unless an assessment of the benefit/risk justifies the use of voriconazole.</w:t>
      </w:r>
    </w:p>
    <w:p w14:paraId="33E87BF2" w14:textId="77777777" w:rsidR="00D02BC8" w:rsidRPr="00D31EBB" w:rsidRDefault="00D02BC8" w:rsidP="008B6CCB">
      <w:pPr>
        <w:pStyle w:val="EMEABodyText"/>
        <w:rPr>
          <w:highlight w:val="yellow"/>
          <w:lang w:val="en-US"/>
        </w:rPr>
      </w:pPr>
    </w:p>
    <w:p w14:paraId="78E7C5EE" w14:textId="77777777" w:rsidR="00D02BC8" w:rsidRPr="00D31EBB" w:rsidRDefault="00D02BC8" w:rsidP="008B6CCB">
      <w:pPr>
        <w:pStyle w:val="EMEABodyText"/>
      </w:pPr>
      <w:r>
        <w:t>In the majority of patients, a reduction in both voriconazole and atazanavir exposures are expected. In a small number of patients without a functional CYP2C19 allele, significantly increased voriconazole exposures are expected (see section 4.5).</w:t>
      </w:r>
    </w:p>
    <w:p w14:paraId="6EA1458D" w14:textId="77777777" w:rsidR="00D02BC8" w:rsidRPr="00D31EBB" w:rsidRDefault="00D02BC8" w:rsidP="008B6CCB">
      <w:pPr>
        <w:pStyle w:val="EMEABodyText"/>
        <w:rPr>
          <w:lang w:val="en-US"/>
        </w:rPr>
      </w:pPr>
    </w:p>
    <w:p w14:paraId="3BF6296F" w14:textId="77777777" w:rsidR="00D02BC8" w:rsidRPr="00D31EBB" w:rsidRDefault="00D02BC8" w:rsidP="008B6CCB">
      <w:pPr>
        <w:pStyle w:val="EMEABodyText"/>
      </w:pPr>
      <w:r>
        <w:t>Concomitant use of REYATAZ/ritonavir and fluticasone or other glucocorticoids that are metabolised by CYP3A4 is not recommended unless the potential benefit of treatment outweighs the risk of systemic corticosteroid effects, including Cushing's syndrome and adrenal suppression (see section 4.5).</w:t>
      </w:r>
    </w:p>
    <w:p w14:paraId="6DA060DC" w14:textId="77777777" w:rsidR="00D02BC8" w:rsidRPr="00D31EBB" w:rsidRDefault="00D02BC8" w:rsidP="008B6CCB">
      <w:pPr>
        <w:pStyle w:val="EMEABodyText"/>
        <w:rPr>
          <w:lang w:val="en-US"/>
        </w:rPr>
      </w:pPr>
    </w:p>
    <w:p w14:paraId="3CB0DA73" w14:textId="77777777" w:rsidR="00D02BC8" w:rsidRPr="00D31EBB" w:rsidRDefault="00D02BC8" w:rsidP="008B6CCB">
      <w:pPr>
        <w:pStyle w:val="EMEABodyText"/>
        <w:rPr>
          <w:sz w:val="20"/>
        </w:rPr>
      </w:pPr>
      <w:r>
        <w:t>Concomitant use of salmeterol and REYATAZ may result in increased cardiovascular adverse events associated with salmeterol. Co-administration of salmeterol and REYATAZ is not recommended (see section 4.5).</w:t>
      </w:r>
    </w:p>
    <w:p w14:paraId="67B9316F" w14:textId="77777777" w:rsidR="00D02BC8" w:rsidRPr="00D31EBB" w:rsidRDefault="00D02BC8" w:rsidP="008B6CCB">
      <w:pPr>
        <w:pStyle w:val="EMEABodyText"/>
        <w:rPr>
          <w:lang w:val="en-US"/>
        </w:rPr>
      </w:pPr>
    </w:p>
    <w:p w14:paraId="46AA705A" w14:textId="77777777" w:rsidR="00D02BC8" w:rsidRPr="00D31EBB" w:rsidRDefault="00D02BC8" w:rsidP="008B6CCB">
      <w:pPr>
        <w:pStyle w:val="EMEABodyText"/>
      </w:pPr>
      <w:r>
        <w:t>The absorption of atazanavir may be reduced in situations where gastric pH is increased irrespective of cause.</w:t>
      </w:r>
    </w:p>
    <w:p w14:paraId="13A4FE4C" w14:textId="77777777" w:rsidR="00D02BC8" w:rsidRPr="00D31EBB" w:rsidRDefault="00D02BC8" w:rsidP="008B6CCB">
      <w:pPr>
        <w:pStyle w:val="EMEABodyText"/>
        <w:rPr>
          <w:lang w:val="en-US"/>
        </w:rPr>
      </w:pPr>
    </w:p>
    <w:p w14:paraId="3BBC55AB" w14:textId="77777777" w:rsidR="00D02BC8" w:rsidRPr="00D31EBB" w:rsidRDefault="00D02BC8" w:rsidP="008B6CCB">
      <w:pPr>
        <w:pStyle w:val="EMEABodyText"/>
      </w:pPr>
      <w:r>
        <w:t>Co-administration of REYATAZ with proton pump inhibitors is not recommended (see section 4.5). If the combination of REYATAZ with a proton pump inhibitor is judged unavoidable, close clinical monitoring is recommended in combination with an increase in the dose of REYATAZ to 400 mg with 100 mg of ritonavir; doses of proton pump inhibitors comparable to omeprazole 20 mg should not be exceeded.</w:t>
      </w:r>
    </w:p>
    <w:p w14:paraId="432F5378" w14:textId="77777777" w:rsidR="00D02BC8" w:rsidRPr="00D31EBB" w:rsidRDefault="00D02BC8" w:rsidP="008B6CCB">
      <w:pPr>
        <w:pStyle w:val="EMEABodyText"/>
        <w:rPr>
          <w:lang w:val="en-US"/>
        </w:rPr>
      </w:pPr>
    </w:p>
    <w:p w14:paraId="09A1EDFA" w14:textId="77777777" w:rsidR="00D02BC8" w:rsidRPr="00D31EBB" w:rsidRDefault="00D02BC8" w:rsidP="008B6CCB">
      <w:pPr>
        <w:pStyle w:val="EMEABodyText"/>
      </w:pPr>
      <w:r>
        <w:t>Co-administration of REYATAZ with other hormonal contraceptives or oral contraceptives containing progestogens other than norgestimate or norethindrone has not been studied, and therefore should be avoided (see section 4.5).</w:t>
      </w:r>
    </w:p>
    <w:p w14:paraId="243338F5" w14:textId="77777777" w:rsidR="00D02BC8" w:rsidRPr="00D31EBB" w:rsidRDefault="00D02BC8" w:rsidP="008B6CCB">
      <w:pPr>
        <w:pStyle w:val="EMEABodyText"/>
        <w:rPr>
          <w:lang w:val="en-US"/>
        </w:rPr>
      </w:pPr>
    </w:p>
    <w:p w14:paraId="5C1CDE20" w14:textId="77777777" w:rsidR="003228A9" w:rsidRPr="00D31EBB" w:rsidRDefault="00D02BC8" w:rsidP="008B6CCB">
      <w:pPr>
        <w:pStyle w:val="EMEABodyText"/>
        <w:rPr>
          <w:i/>
        </w:rPr>
      </w:pPr>
      <w:r>
        <w:rPr>
          <w:u w:val="single"/>
        </w:rPr>
        <w:t>Paediatric population</w:t>
      </w:r>
    </w:p>
    <w:p w14:paraId="5A826AA2" w14:textId="77777777" w:rsidR="00D02BC8" w:rsidRPr="00D31EBB" w:rsidRDefault="00D02BC8" w:rsidP="008B6CCB">
      <w:pPr>
        <w:pStyle w:val="EMEABodyText"/>
        <w:rPr>
          <w:i/>
        </w:rPr>
      </w:pPr>
      <w:r>
        <w:rPr>
          <w:i/>
        </w:rPr>
        <w:t>Safety</w:t>
      </w:r>
    </w:p>
    <w:p w14:paraId="5841B01A" w14:textId="77777777" w:rsidR="00D02BC8" w:rsidRPr="00D31EBB" w:rsidRDefault="00D02BC8" w:rsidP="008B6CCB">
      <w:pPr>
        <w:pStyle w:val="EMEABodyText"/>
      </w:pPr>
      <w:r>
        <w:t>Asymptomatic PR interval prolongation was more frequent in paediatric patients than adults. Asymptomatic first- and second-degree AV block was reported in paediatric patients (see section 4.8). Caution should be used with medicinal products known to induce PR prolongations. In paediatric patients with pre-existing conduction problems (second degree or higher atrioventricular or complex bundle-branch block), REYATAZ should be used with caution and only if the benefits exceed the risk. Cardiac monitoring is recommended based on the presence of clinical findings (e.g., bradycardia).</w:t>
      </w:r>
    </w:p>
    <w:p w14:paraId="6B0DBAD2" w14:textId="77777777" w:rsidR="00D02BC8" w:rsidRPr="00D31EBB" w:rsidRDefault="00D02BC8" w:rsidP="008B6CCB">
      <w:pPr>
        <w:pStyle w:val="EMEABodyText"/>
        <w:rPr>
          <w:lang w:val="en-US"/>
        </w:rPr>
      </w:pPr>
    </w:p>
    <w:p w14:paraId="08C50147" w14:textId="77777777" w:rsidR="00D02BC8" w:rsidRPr="00D31EBB" w:rsidRDefault="00D02BC8" w:rsidP="008B6CCB">
      <w:pPr>
        <w:pStyle w:val="EMEABodyText"/>
        <w:rPr>
          <w:i/>
        </w:rPr>
      </w:pPr>
      <w:r>
        <w:rPr>
          <w:i/>
        </w:rPr>
        <w:t>Efficacy</w:t>
      </w:r>
    </w:p>
    <w:p w14:paraId="08CEC55B" w14:textId="77777777" w:rsidR="00D02BC8" w:rsidRPr="00D31EBB" w:rsidRDefault="00D02BC8" w:rsidP="008B6CCB">
      <w:pPr>
        <w:pStyle w:val="EMEABodyText"/>
      </w:pPr>
      <w:r>
        <w:t xml:space="preserve">Atazanavir/ritonavir is not effective in viral strains harbouring multiple mutations of resistance. </w:t>
      </w:r>
    </w:p>
    <w:p w14:paraId="7F75EF40" w14:textId="77777777" w:rsidR="003D1EBD" w:rsidRPr="00D31EBB" w:rsidRDefault="003D1EBD" w:rsidP="008B6CCB">
      <w:pPr>
        <w:pStyle w:val="EMEABodyText"/>
        <w:rPr>
          <w:lang w:val="en-US"/>
        </w:rPr>
      </w:pPr>
    </w:p>
    <w:p w14:paraId="6A68571E" w14:textId="77777777" w:rsidR="006013CD" w:rsidRPr="00D31EBB" w:rsidRDefault="006013CD" w:rsidP="006013CD">
      <w:pPr>
        <w:pStyle w:val="EMEABodyText"/>
        <w:keepNext/>
        <w:rPr>
          <w:u w:val="single"/>
        </w:rPr>
      </w:pPr>
      <w:r>
        <w:rPr>
          <w:u w:val="single"/>
        </w:rPr>
        <w:t>Excipients</w:t>
      </w:r>
    </w:p>
    <w:p w14:paraId="3FE31741" w14:textId="77777777" w:rsidR="006013CD" w:rsidRPr="00D31EBB" w:rsidRDefault="006013CD" w:rsidP="006013CD">
      <w:pPr>
        <w:pStyle w:val="EMEABodyText"/>
        <w:keepNext/>
        <w:rPr>
          <w:i/>
        </w:rPr>
      </w:pPr>
      <w:r>
        <w:rPr>
          <w:i/>
        </w:rPr>
        <w:t>Lactose</w:t>
      </w:r>
    </w:p>
    <w:p w14:paraId="05FFEE09" w14:textId="77777777" w:rsidR="006013CD" w:rsidRPr="00D31EBB" w:rsidRDefault="006013CD" w:rsidP="006013CD">
      <w:pPr>
        <w:pStyle w:val="EMEABodyText"/>
      </w:pPr>
      <w:r>
        <w:t>Patients with rare hereditary problems of galactose intolerance, the Lapp lactase deficiency or glucose-galactose malabsorption should not take this medicinal product.</w:t>
      </w:r>
    </w:p>
    <w:p w14:paraId="465B8571" w14:textId="77777777" w:rsidR="003D1EBD" w:rsidRPr="00D31EBB" w:rsidRDefault="003D1EBD" w:rsidP="008B6CCB">
      <w:pPr>
        <w:pStyle w:val="EMEABodyText"/>
        <w:rPr>
          <w:lang w:val="en-US"/>
        </w:rPr>
      </w:pPr>
    </w:p>
    <w:p w14:paraId="401B2667" w14:textId="77777777" w:rsidR="00D02BC8" w:rsidRPr="00D31EBB" w:rsidRDefault="00D02BC8" w:rsidP="008B6CCB">
      <w:pPr>
        <w:pStyle w:val="EMEAHeading2"/>
        <w:rPr>
          <w:noProof/>
        </w:rPr>
      </w:pPr>
      <w:r>
        <w:t>4.5</w:t>
      </w:r>
      <w:r>
        <w:tab/>
        <w:t>Interaction with other medicinal products and other forms of interaction</w:t>
      </w:r>
    </w:p>
    <w:p w14:paraId="6C9D1BE6" w14:textId="77777777" w:rsidR="00D02BC8" w:rsidRPr="00D31EBB" w:rsidRDefault="00D02BC8" w:rsidP="008B6CCB">
      <w:pPr>
        <w:pStyle w:val="EMEAHeading2"/>
        <w:rPr>
          <w:noProof/>
          <w:lang w:val="en-US"/>
        </w:rPr>
      </w:pPr>
    </w:p>
    <w:p w14:paraId="624448A1" w14:textId="77777777" w:rsidR="00D02BC8" w:rsidRPr="00D31EBB" w:rsidRDefault="00D02BC8" w:rsidP="008B6CCB">
      <w:pPr>
        <w:pStyle w:val="EMEABodyText"/>
      </w:pPr>
      <w:r>
        <w:t>When REYATAZ and ritonavir are co-administered, the metabolic drug interaction profile for ritonavir may predominate because ritonavir is a more potent CYP3A4 inhibitor than atazanavir. The Summary of Product Characteristics for ritonavir must be consulted before initiation of therapy with REYATAZ and ritonavir.</w:t>
      </w:r>
    </w:p>
    <w:p w14:paraId="70A32EEA" w14:textId="77777777" w:rsidR="00D02BC8" w:rsidRPr="00D31EBB" w:rsidRDefault="00D02BC8" w:rsidP="008B6CCB">
      <w:pPr>
        <w:pStyle w:val="EMEABodyText"/>
        <w:rPr>
          <w:lang w:val="en-US"/>
        </w:rPr>
      </w:pPr>
    </w:p>
    <w:p w14:paraId="3F4BAC76" w14:textId="77777777" w:rsidR="00D02BC8" w:rsidRPr="00D31EBB" w:rsidRDefault="00D02BC8" w:rsidP="008B6CCB">
      <w:pPr>
        <w:pStyle w:val="EMEABodyText"/>
      </w:pPr>
      <w:r>
        <w:t>Atazanavir is metabolised in the liver through CYP3A4. It inhibits CYP3A4. Therefore, REYATAZ is contraindicated with medicinal products that are substrates of CYP3A4 and have a narrow therapeutic index: quetiapine, lurasidone, alfuzosin, astemizole, terfenadine, cisapride, pimozide, quinidine, bepridil, triazolam, orally administered midazolam, and ergot alkaloids, particularly ergotamine and dihydroergotamine (see section 4.3).</w:t>
      </w:r>
      <w:r>
        <w:br/>
        <w:t xml:space="preserve">Co-administration of REYATAZ with grazoprevir-containing products, including elbasvir/grazoprevir fixed dose combination is contraindicated because of the increase in grazoprevir and elbasvir plasma concentrations and potential for the increase in risk of ALT elevations associated with increased grazoprevir concentrations (see section 4.3). Co-administration of REYATAZ with glecaprevir/pibrentasvir fixed dose combination is contraindicated because of the potential increase in </w:t>
      </w:r>
      <w:r>
        <w:lastRenderedPageBreak/>
        <w:t>the risk of ALT elevations due to a significant increase in glecapreir and pibrentasvir plasma concentrations (see section 4.3).</w:t>
      </w:r>
    </w:p>
    <w:p w14:paraId="5524029B" w14:textId="77777777" w:rsidR="00D02BC8" w:rsidRPr="00D31EBB" w:rsidRDefault="00D02BC8" w:rsidP="008B6CCB">
      <w:pPr>
        <w:pStyle w:val="EMEABodyText"/>
        <w:rPr>
          <w:lang w:val="en-US"/>
        </w:rPr>
      </w:pPr>
    </w:p>
    <w:p w14:paraId="6184E90C" w14:textId="77777777" w:rsidR="003228A9" w:rsidRPr="00D31EBB" w:rsidRDefault="00D02BC8" w:rsidP="00A34CCE">
      <w:pPr>
        <w:pStyle w:val="EMEAHeading2"/>
      </w:pPr>
      <w:r>
        <w:rPr>
          <w:b w:val="0"/>
          <w:i/>
        </w:rPr>
        <w:t>Other interactions</w:t>
      </w:r>
    </w:p>
    <w:p w14:paraId="42ED4B0C" w14:textId="77777777" w:rsidR="0096648A" w:rsidRPr="00D31EBB" w:rsidRDefault="00D02BC8" w:rsidP="008B6CCB">
      <w:pPr>
        <w:pStyle w:val="EMEABodyText"/>
        <w:rPr>
          <w:noProof/>
        </w:rPr>
      </w:pPr>
      <w:r>
        <w:t>Interactions between atazanavir and other medicinal products are listed in the table below (increase is indicated as “↑”, decrease as “↓”, no change as “↔”). If available, 90% confidence intervals (CI) are shown in parentheses. The studies presented in Table 2 were conducted in healthy subjects unless otherwise noted. Of importance, many studies were conducted with unboosted atazanavir, which is not the recommended regimen of atazanavir (see section 4.4).</w:t>
      </w:r>
    </w:p>
    <w:p w14:paraId="2464F576" w14:textId="77777777" w:rsidR="00BC76A6" w:rsidRPr="00D31EBB" w:rsidRDefault="00D02BC8" w:rsidP="008B6CCB">
      <w:pPr>
        <w:pStyle w:val="EMEABodyText"/>
        <w:rPr>
          <w:noProof/>
        </w:rPr>
      </w:pPr>
      <w:r>
        <w:t xml:space="preserve"> </w:t>
      </w:r>
    </w:p>
    <w:p w14:paraId="50296B23" w14:textId="77777777" w:rsidR="00D02BC8" w:rsidRPr="00D31EBB" w:rsidRDefault="00D02BC8" w:rsidP="008B6CCB">
      <w:pPr>
        <w:pStyle w:val="EMEABodyText"/>
        <w:rPr>
          <w:noProof/>
        </w:rPr>
      </w:pPr>
      <w:r>
        <w:t>If withdrawal of ritonavir is medically warranted under restrictive conditions (see section 4.4), special attention should be given to atazanavir interactions that may differ in the absence of ritonavir (see information below Table 2).</w:t>
      </w:r>
    </w:p>
    <w:p w14:paraId="5FFFEB30" w14:textId="77777777" w:rsidR="00D02BC8" w:rsidRPr="00D31EBB" w:rsidRDefault="00D02BC8" w:rsidP="008B6CCB">
      <w:pPr>
        <w:pStyle w:val="EMEABodyText"/>
        <w:rPr>
          <w:lang w:val="en-US"/>
        </w:rPr>
      </w:pPr>
    </w:p>
    <w:p w14:paraId="77EE8998" w14:textId="77777777" w:rsidR="00D02BC8" w:rsidRPr="00D31EBB" w:rsidRDefault="00D02BC8" w:rsidP="008B6CCB">
      <w:pPr>
        <w:pStyle w:val="EMEAHeading2"/>
        <w:rPr>
          <w:noProof/>
        </w:rPr>
      </w:pPr>
      <w:r>
        <w:t>Table 2: Interactions between REYATAZ and other medicinal products</w:t>
      </w:r>
    </w:p>
    <w:p w14:paraId="15218169" w14:textId="77777777" w:rsidR="00D02BC8" w:rsidRPr="00D31EBB" w:rsidRDefault="00D02BC8" w:rsidP="008B6CCB">
      <w:pPr>
        <w:pStyle w:val="EMEABodyText"/>
        <w:rPr>
          <w:szCs w:val="22"/>
          <w:lang w:val="en-US"/>
        </w:rPr>
      </w:pP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3676"/>
        <w:gridCol w:w="3119"/>
      </w:tblGrid>
      <w:tr w:rsidR="00D02BC8" w:rsidRPr="004F3582" w14:paraId="755BBBA0" w14:textId="77777777" w:rsidTr="008B6CCB">
        <w:trPr>
          <w:cantSplit/>
          <w:trHeight w:hRule="exact" w:val="737"/>
        </w:trPr>
        <w:tc>
          <w:tcPr>
            <w:tcW w:w="3095" w:type="dxa"/>
          </w:tcPr>
          <w:p w14:paraId="416E4FEB" w14:textId="77777777" w:rsidR="00D02BC8" w:rsidRPr="00D31EBB" w:rsidRDefault="00D02BC8" w:rsidP="008B6CCB">
            <w:pPr>
              <w:pStyle w:val="EMEABodyText"/>
              <w:rPr>
                <w:szCs w:val="22"/>
              </w:rPr>
            </w:pPr>
            <w:r>
              <w:rPr>
                <w:b/>
                <w:bCs/>
                <w:szCs w:val="22"/>
              </w:rPr>
              <w:t>Medicinal products by therapeutic area</w:t>
            </w:r>
          </w:p>
        </w:tc>
        <w:tc>
          <w:tcPr>
            <w:tcW w:w="3676" w:type="dxa"/>
          </w:tcPr>
          <w:p w14:paraId="3FFCBBBE" w14:textId="77777777" w:rsidR="00D02BC8" w:rsidRPr="004F3582" w:rsidRDefault="00D02BC8" w:rsidP="008B6CCB">
            <w:pPr>
              <w:pStyle w:val="EMEABodyText"/>
              <w:rPr>
                <w:szCs w:val="22"/>
              </w:rPr>
            </w:pPr>
            <w:r>
              <w:rPr>
                <w:b/>
                <w:bCs/>
                <w:szCs w:val="22"/>
              </w:rPr>
              <w:t>Interaction</w:t>
            </w:r>
          </w:p>
        </w:tc>
        <w:tc>
          <w:tcPr>
            <w:tcW w:w="3119" w:type="dxa"/>
          </w:tcPr>
          <w:p w14:paraId="5DBB4BE7" w14:textId="77777777" w:rsidR="00D02BC8" w:rsidRPr="004F3582" w:rsidRDefault="00D02BC8" w:rsidP="008B6CCB">
            <w:pPr>
              <w:pStyle w:val="EMEABodyText"/>
              <w:rPr>
                <w:szCs w:val="22"/>
              </w:rPr>
            </w:pPr>
            <w:r>
              <w:rPr>
                <w:b/>
                <w:bCs/>
                <w:szCs w:val="22"/>
              </w:rPr>
              <w:t>Recommendations concerning co-administration</w:t>
            </w:r>
          </w:p>
        </w:tc>
      </w:tr>
      <w:tr w:rsidR="0096648A" w:rsidRPr="004F3582" w14:paraId="55632829" w14:textId="77777777" w:rsidTr="0096648A">
        <w:trPr>
          <w:cantSplit/>
          <w:trHeight w:hRule="exact" w:val="466"/>
        </w:trPr>
        <w:tc>
          <w:tcPr>
            <w:tcW w:w="9890" w:type="dxa"/>
            <w:gridSpan w:val="3"/>
          </w:tcPr>
          <w:p w14:paraId="5B39D9BE" w14:textId="77777777" w:rsidR="0096648A" w:rsidRPr="004F3582" w:rsidRDefault="0096648A" w:rsidP="008B6CCB">
            <w:pPr>
              <w:pStyle w:val="EMEABodyText"/>
              <w:rPr>
                <w:b/>
                <w:bCs/>
                <w:szCs w:val="22"/>
              </w:rPr>
            </w:pPr>
            <w:r>
              <w:rPr>
                <w:b/>
                <w:szCs w:val="22"/>
              </w:rPr>
              <w:t>ANTI-HCV AGENTS</w:t>
            </w:r>
          </w:p>
        </w:tc>
      </w:tr>
      <w:tr w:rsidR="0096648A" w:rsidRPr="00965E20" w14:paraId="2D1169D1" w14:textId="77777777" w:rsidTr="009E1943">
        <w:trPr>
          <w:cantSplit/>
          <w:trHeight w:val="20"/>
        </w:trPr>
        <w:tc>
          <w:tcPr>
            <w:tcW w:w="3095" w:type="dxa"/>
          </w:tcPr>
          <w:p w14:paraId="58089A70" w14:textId="77777777" w:rsidR="0096648A" w:rsidRPr="00D31EBB" w:rsidRDefault="0096648A" w:rsidP="0096648A">
            <w:pPr>
              <w:pStyle w:val="EMEABodyText"/>
              <w:rPr>
                <w:b/>
                <w:szCs w:val="22"/>
              </w:rPr>
            </w:pPr>
            <w:r>
              <w:rPr>
                <w:b/>
                <w:szCs w:val="22"/>
              </w:rPr>
              <w:t>Grazoprevir 200 mg once daily</w:t>
            </w:r>
          </w:p>
          <w:p w14:paraId="5D19A9F4" w14:textId="77777777" w:rsidR="0096648A" w:rsidRPr="00D31EBB" w:rsidRDefault="0096648A" w:rsidP="00C506A1">
            <w:pPr>
              <w:pStyle w:val="EMEABodyText"/>
              <w:rPr>
                <w:b/>
                <w:bCs/>
                <w:szCs w:val="22"/>
              </w:rPr>
            </w:pPr>
            <w:r>
              <w:t>(atazanavir 300 mg / ritonavir 100 mg once daily)</w:t>
            </w:r>
          </w:p>
        </w:tc>
        <w:tc>
          <w:tcPr>
            <w:tcW w:w="3676" w:type="dxa"/>
          </w:tcPr>
          <w:p w14:paraId="3C99EBBA" w14:textId="77777777" w:rsidR="0096648A" w:rsidRPr="00D31EBB" w:rsidRDefault="0096648A" w:rsidP="0096648A">
            <w:pPr>
              <w:pStyle w:val="EMEABodyText"/>
              <w:rPr>
                <w:szCs w:val="22"/>
              </w:rPr>
            </w:pPr>
            <w:r>
              <w:t>Atazanavir AUC ↑43% (↑30% ↑57%)</w:t>
            </w:r>
          </w:p>
          <w:p w14:paraId="77F52299" w14:textId="77777777" w:rsidR="0096648A" w:rsidRPr="00D31EBB" w:rsidRDefault="0096648A" w:rsidP="0096648A">
            <w:pPr>
              <w:pStyle w:val="EMEABodyText"/>
              <w:rPr>
                <w:szCs w:val="22"/>
              </w:rPr>
            </w:pPr>
            <w:r>
              <w:t>Atazanavir C</w:t>
            </w:r>
            <w:r>
              <w:rPr>
                <w:szCs w:val="22"/>
                <w:vertAlign w:val="subscript"/>
              </w:rPr>
              <w:t>max</w:t>
            </w:r>
            <w:r>
              <w:t xml:space="preserve"> ↑12% (↑1% ↑24%)</w:t>
            </w:r>
          </w:p>
          <w:p w14:paraId="123D343B" w14:textId="77777777" w:rsidR="0096648A" w:rsidRPr="00D31EBB" w:rsidRDefault="0096648A" w:rsidP="0096648A">
            <w:pPr>
              <w:pStyle w:val="EMEABodyText"/>
              <w:rPr>
                <w:szCs w:val="22"/>
              </w:rPr>
            </w:pPr>
            <w:r>
              <w:t>Atazanavir C</w:t>
            </w:r>
            <w:r>
              <w:rPr>
                <w:szCs w:val="22"/>
                <w:vertAlign w:val="subscript"/>
              </w:rPr>
              <w:t>min</w:t>
            </w:r>
            <w:r>
              <w:t xml:space="preserve"> ↑23% (↑13% ↑134%)</w:t>
            </w:r>
          </w:p>
          <w:p w14:paraId="51097D98" w14:textId="77777777" w:rsidR="0096648A" w:rsidRPr="00FF5A0D" w:rsidRDefault="0096648A" w:rsidP="0096648A">
            <w:pPr>
              <w:pStyle w:val="EMEABodyText"/>
              <w:rPr>
                <w:szCs w:val="22"/>
              </w:rPr>
            </w:pPr>
          </w:p>
          <w:p w14:paraId="742418F7" w14:textId="77777777" w:rsidR="0096648A" w:rsidRPr="00D31EBB" w:rsidRDefault="0096648A" w:rsidP="0096648A">
            <w:pPr>
              <w:pStyle w:val="EMEABodyText"/>
              <w:rPr>
                <w:szCs w:val="22"/>
              </w:rPr>
            </w:pPr>
            <w:r>
              <w:t>Grazoprevir AUC: ↑958% (↑678% ↑1339%)</w:t>
            </w:r>
          </w:p>
          <w:p w14:paraId="27DEB963" w14:textId="77777777" w:rsidR="0096648A" w:rsidRPr="00D31EBB" w:rsidRDefault="0096648A" w:rsidP="0096648A">
            <w:pPr>
              <w:pStyle w:val="EMEABodyText"/>
              <w:rPr>
                <w:szCs w:val="22"/>
              </w:rPr>
            </w:pPr>
            <w:r>
              <w:t>Grazoprevir C</w:t>
            </w:r>
            <w:r>
              <w:rPr>
                <w:szCs w:val="22"/>
                <w:vertAlign w:val="subscript"/>
              </w:rPr>
              <w:t>max</w:t>
            </w:r>
            <w:r>
              <w:t>: ↑524% (↑342% ↑781%)</w:t>
            </w:r>
          </w:p>
          <w:p w14:paraId="267AD5F8" w14:textId="77777777" w:rsidR="0096648A" w:rsidRPr="00D31EBB" w:rsidRDefault="0096648A" w:rsidP="0096648A">
            <w:pPr>
              <w:pStyle w:val="EMEABodyText"/>
              <w:rPr>
                <w:szCs w:val="22"/>
              </w:rPr>
            </w:pPr>
            <w:r>
              <w:t>Grazoprevir C</w:t>
            </w:r>
            <w:r>
              <w:rPr>
                <w:szCs w:val="22"/>
                <w:vertAlign w:val="subscript"/>
              </w:rPr>
              <w:t>min</w:t>
            </w:r>
            <w:r>
              <w:t>: ↑1064% (↑696% ↑1602%)</w:t>
            </w:r>
          </w:p>
          <w:p w14:paraId="516F5E1D" w14:textId="77777777" w:rsidR="0096648A" w:rsidRPr="00FF5A0D" w:rsidRDefault="0096648A" w:rsidP="0096648A">
            <w:pPr>
              <w:pStyle w:val="EMEABodyText"/>
              <w:rPr>
                <w:szCs w:val="22"/>
              </w:rPr>
            </w:pPr>
          </w:p>
          <w:p w14:paraId="387A6244" w14:textId="77777777" w:rsidR="0096648A" w:rsidRPr="00D31EBB" w:rsidRDefault="0096648A" w:rsidP="00C71837">
            <w:pPr>
              <w:pStyle w:val="EMEABodyText"/>
              <w:rPr>
                <w:b/>
                <w:bCs/>
                <w:szCs w:val="22"/>
              </w:rPr>
            </w:pPr>
            <w:r>
              <w:t>Grazoprevir concentrations were greatly increased when co</w:t>
            </w:r>
            <w:r>
              <w:noBreakHyphen/>
              <w:t>administered with atazanavir/ritonavir.</w:t>
            </w:r>
          </w:p>
        </w:tc>
        <w:tc>
          <w:tcPr>
            <w:tcW w:w="3119" w:type="dxa"/>
            <w:vMerge w:val="restart"/>
          </w:tcPr>
          <w:p w14:paraId="4A189B7A" w14:textId="77777777" w:rsidR="0096648A" w:rsidRPr="00D31EBB" w:rsidRDefault="0096648A" w:rsidP="008B6CCB">
            <w:pPr>
              <w:pStyle w:val="EMEABodyText"/>
              <w:rPr>
                <w:b/>
                <w:bCs/>
                <w:szCs w:val="22"/>
              </w:rPr>
            </w:pPr>
            <w:r>
              <w:t>Co-administration of REYATAZ and elbasvir/grazoprevir is contraindicated because of a significant increase in grazoprevir plasma concentrations and an associated potential increase in the risk of ALT elevations (see section 4.3).</w:t>
            </w:r>
          </w:p>
        </w:tc>
      </w:tr>
      <w:tr w:rsidR="0096648A" w:rsidRPr="00965E20" w14:paraId="1FDD27AD" w14:textId="77777777" w:rsidTr="009E1943">
        <w:trPr>
          <w:cantSplit/>
          <w:trHeight w:val="20"/>
        </w:trPr>
        <w:tc>
          <w:tcPr>
            <w:tcW w:w="3095" w:type="dxa"/>
          </w:tcPr>
          <w:p w14:paraId="1015503E" w14:textId="77777777" w:rsidR="0096648A" w:rsidRPr="00D31EBB" w:rsidRDefault="0096648A" w:rsidP="0096648A">
            <w:pPr>
              <w:pStyle w:val="EMEABodyText"/>
              <w:rPr>
                <w:b/>
                <w:szCs w:val="22"/>
              </w:rPr>
            </w:pPr>
            <w:r>
              <w:rPr>
                <w:b/>
                <w:szCs w:val="22"/>
              </w:rPr>
              <w:t>Elbasvir 50 mg once daily</w:t>
            </w:r>
          </w:p>
          <w:p w14:paraId="1CB421C8" w14:textId="77777777" w:rsidR="0096648A" w:rsidRPr="00D31EBB" w:rsidRDefault="0096648A" w:rsidP="0096648A">
            <w:pPr>
              <w:pStyle w:val="EMEABodyText"/>
              <w:rPr>
                <w:szCs w:val="22"/>
              </w:rPr>
            </w:pPr>
            <w:r>
              <w:t>(atazanavir 300 mg / ritonavir 100 mg once daily)</w:t>
            </w:r>
          </w:p>
          <w:p w14:paraId="4580C588" w14:textId="77777777" w:rsidR="0096648A" w:rsidRPr="00D31EBB" w:rsidRDefault="0096648A" w:rsidP="008B6CCB">
            <w:pPr>
              <w:pStyle w:val="EMEABodyText"/>
              <w:rPr>
                <w:b/>
                <w:bCs/>
                <w:szCs w:val="22"/>
                <w:lang w:val="en-US"/>
              </w:rPr>
            </w:pPr>
          </w:p>
        </w:tc>
        <w:tc>
          <w:tcPr>
            <w:tcW w:w="3676" w:type="dxa"/>
          </w:tcPr>
          <w:p w14:paraId="7826BE01" w14:textId="77777777" w:rsidR="0096648A" w:rsidRPr="00D31EBB" w:rsidRDefault="0096648A" w:rsidP="0096648A">
            <w:pPr>
              <w:pStyle w:val="EMEABodyText"/>
              <w:rPr>
                <w:szCs w:val="22"/>
              </w:rPr>
            </w:pPr>
            <w:r>
              <w:t>Atazanavir AUC ↑7% (↓2% ↑17%)</w:t>
            </w:r>
          </w:p>
          <w:p w14:paraId="01543722" w14:textId="77777777" w:rsidR="0096648A" w:rsidRPr="00D31EBB" w:rsidRDefault="0096648A" w:rsidP="0096648A">
            <w:pPr>
              <w:pStyle w:val="EMEABodyText"/>
              <w:rPr>
                <w:szCs w:val="22"/>
              </w:rPr>
            </w:pPr>
            <w:r>
              <w:t>Atazanavir C</w:t>
            </w:r>
            <w:r>
              <w:rPr>
                <w:szCs w:val="22"/>
                <w:vertAlign w:val="subscript"/>
              </w:rPr>
              <w:t>max</w:t>
            </w:r>
            <w:r>
              <w:t xml:space="preserve"> ↑2% (↓4% ↑8%)</w:t>
            </w:r>
          </w:p>
          <w:p w14:paraId="16D3D61E" w14:textId="77777777" w:rsidR="0096648A" w:rsidRPr="00D31EBB" w:rsidRDefault="0096648A" w:rsidP="0096648A">
            <w:pPr>
              <w:pStyle w:val="EMEABodyText"/>
              <w:rPr>
                <w:szCs w:val="22"/>
              </w:rPr>
            </w:pPr>
            <w:r>
              <w:t>Atazanavir C</w:t>
            </w:r>
            <w:r>
              <w:rPr>
                <w:szCs w:val="22"/>
                <w:vertAlign w:val="subscript"/>
              </w:rPr>
              <w:t>min</w:t>
            </w:r>
            <w:r>
              <w:t xml:space="preserve"> ↑15% (↑2% ↑29%)</w:t>
            </w:r>
          </w:p>
          <w:p w14:paraId="57C9EA4E" w14:textId="77777777" w:rsidR="0096648A" w:rsidRPr="00D31EBB" w:rsidRDefault="0096648A" w:rsidP="0096648A">
            <w:pPr>
              <w:pStyle w:val="EMEABodyText"/>
              <w:rPr>
                <w:szCs w:val="22"/>
                <w:lang w:val="en-US"/>
              </w:rPr>
            </w:pPr>
          </w:p>
          <w:p w14:paraId="782E9A85" w14:textId="77777777" w:rsidR="0096648A" w:rsidRPr="00D31EBB" w:rsidRDefault="0096648A" w:rsidP="0096648A">
            <w:pPr>
              <w:pStyle w:val="EMEABodyText"/>
              <w:rPr>
                <w:szCs w:val="22"/>
              </w:rPr>
            </w:pPr>
            <w:r>
              <w:t>Elbasvir AUC: ↑376% (↑307% ↑456%)</w:t>
            </w:r>
          </w:p>
          <w:p w14:paraId="2EEAE34B" w14:textId="77777777" w:rsidR="0096648A" w:rsidRPr="00D31EBB" w:rsidRDefault="0096648A" w:rsidP="0096648A">
            <w:pPr>
              <w:pStyle w:val="EMEABodyText"/>
              <w:rPr>
                <w:szCs w:val="22"/>
              </w:rPr>
            </w:pPr>
            <w:r>
              <w:t>Elbasvir C</w:t>
            </w:r>
            <w:r>
              <w:rPr>
                <w:szCs w:val="22"/>
                <w:vertAlign w:val="subscript"/>
              </w:rPr>
              <w:t>max</w:t>
            </w:r>
            <w:r>
              <w:t>: ↑315% (↑246% ↑397%)</w:t>
            </w:r>
          </w:p>
          <w:p w14:paraId="041E7B35" w14:textId="77777777" w:rsidR="0096648A" w:rsidRPr="00D31EBB" w:rsidRDefault="0096648A" w:rsidP="0096648A">
            <w:pPr>
              <w:pStyle w:val="EMEABodyText"/>
              <w:rPr>
                <w:szCs w:val="22"/>
              </w:rPr>
            </w:pPr>
            <w:r>
              <w:t>Elbasvir C</w:t>
            </w:r>
            <w:r>
              <w:rPr>
                <w:szCs w:val="22"/>
                <w:vertAlign w:val="subscript"/>
              </w:rPr>
              <w:t>min</w:t>
            </w:r>
            <w:r>
              <w:t>: ↑545% (↑451% ↑654%)</w:t>
            </w:r>
          </w:p>
          <w:p w14:paraId="20695442" w14:textId="77777777" w:rsidR="0096648A" w:rsidRPr="00D31EBB" w:rsidRDefault="0096648A" w:rsidP="0096648A">
            <w:pPr>
              <w:pStyle w:val="EMEABodyText"/>
              <w:rPr>
                <w:szCs w:val="22"/>
                <w:lang w:val="en-US"/>
              </w:rPr>
            </w:pPr>
          </w:p>
          <w:p w14:paraId="03D21DB4" w14:textId="77777777" w:rsidR="0096648A" w:rsidRPr="00D31EBB" w:rsidRDefault="0096648A" w:rsidP="00C71837">
            <w:pPr>
              <w:pStyle w:val="EMEABodyText"/>
              <w:rPr>
                <w:b/>
                <w:bCs/>
                <w:szCs w:val="22"/>
              </w:rPr>
            </w:pPr>
            <w:r>
              <w:t>Elbasvir concentrations were increased when co</w:t>
            </w:r>
            <w:r>
              <w:noBreakHyphen/>
              <w:t>administered with atazanavir/ritonavir.</w:t>
            </w:r>
          </w:p>
        </w:tc>
        <w:tc>
          <w:tcPr>
            <w:tcW w:w="3119" w:type="dxa"/>
            <w:vMerge/>
          </w:tcPr>
          <w:p w14:paraId="2ECA3EEF" w14:textId="77777777" w:rsidR="0096648A" w:rsidRPr="00D31EBB" w:rsidRDefault="0096648A" w:rsidP="008B6CCB">
            <w:pPr>
              <w:pStyle w:val="EMEABodyText"/>
              <w:rPr>
                <w:b/>
                <w:bCs/>
                <w:szCs w:val="22"/>
                <w:lang w:val="en-US"/>
              </w:rPr>
            </w:pPr>
          </w:p>
        </w:tc>
      </w:tr>
      <w:tr w:rsidR="006903B0" w:rsidRPr="00965E20" w14:paraId="7E5A2AA4" w14:textId="77777777" w:rsidTr="009E1943">
        <w:trPr>
          <w:cantSplit/>
          <w:trHeight w:val="20"/>
        </w:trPr>
        <w:tc>
          <w:tcPr>
            <w:tcW w:w="3095" w:type="dxa"/>
          </w:tcPr>
          <w:p w14:paraId="0247CAF4" w14:textId="77777777" w:rsidR="006903B0" w:rsidRPr="00D31EBB" w:rsidRDefault="006903B0" w:rsidP="006903B0">
            <w:pPr>
              <w:pStyle w:val="EMEABodyText"/>
              <w:rPr>
                <w:szCs w:val="22"/>
              </w:rPr>
            </w:pPr>
            <w:r>
              <w:rPr>
                <w:b/>
                <w:szCs w:val="22"/>
              </w:rPr>
              <w:lastRenderedPageBreak/>
              <w:t>Sofosbuvir 400 mg / velpatasvir 100 mg /voxilaprevir 100 mg single dose</w:t>
            </w:r>
            <w:r>
              <w:t>*</w:t>
            </w:r>
          </w:p>
          <w:p w14:paraId="1741A179" w14:textId="77777777" w:rsidR="006903B0" w:rsidRPr="00D31EBB" w:rsidRDefault="006903B0" w:rsidP="006903B0">
            <w:pPr>
              <w:pStyle w:val="EMEABodyText"/>
              <w:rPr>
                <w:b/>
                <w:szCs w:val="22"/>
              </w:rPr>
            </w:pPr>
            <w:r>
              <w:t>(atazanavir 300 mg / ritonavir 100 mg once daily)</w:t>
            </w:r>
          </w:p>
        </w:tc>
        <w:tc>
          <w:tcPr>
            <w:tcW w:w="3676" w:type="dxa"/>
          </w:tcPr>
          <w:p w14:paraId="4BDC6697" w14:textId="77777777" w:rsidR="006903B0" w:rsidRPr="00D31EBB" w:rsidRDefault="006903B0" w:rsidP="006903B0">
            <w:pPr>
              <w:pStyle w:val="EMEABodyText"/>
              <w:rPr>
                <w:szCs w:val="22"/>
              </w:rPr>
            </w:pPr>
            <w:r>
              <w:t>Sofosbuvir AUC : ↑40% (↑25% ↑57%)</w:t>
            </w:r>
          </w:p>
          <w:p w14:paraId="61589235" w14:textId="77777777" w:rsidR="006903B0" w:rsidRPr="00D31EBB" w:rsidRDefault="006903B0" w:rsidP="006903B0">
            <w:pPr>
              <w:pStyle w:val="EMEABodyText"/>
              <w:rPr>
                <w:szCs w:val="22"/>
              </w:rPr>
            </w:pPr>
            <w:r>
              <w:t>Sofosbuvir C</w:t>
            </w:r>
            <w:r>
              <w:rPr>
                <w:szCs w:val="22"/>
                <w:vertAlign w:val="subscript"/>
              </w:rPr>
              <w:t>max </w:t>
            </w:r>
            <w:r>
              <w:t>:↑29% (↑9% ↑52%)</w:t>
            </w:r>
          </w:p>
          <w:p w14:paraId="1DEDF5EA" w14:textId="77777777" w:rsidR="006903B0" w:rsidRPr="00FF5A0D" w:rsidRDefault="006903B0" w:rsidP="006903B0">
            <w:pPr>
              <w:pStyle w:val="EMEABodyText"/>
              <w:rPr>
                <w:szCs w:val="22"/>
              </w:rPr>
            </w:pPr>
          </w:p>
          <w:p w14:paraId="4CFFD2BF" w14:textId="77777777" w:rsidR="006903B0" w:rsidRPr="00D31EBB" w:rsidRDefault="006903B0" w:rsidP="006903B0">
            <w:pPr>
              <w:pStyle w:val="EMEABodyText"/>
              <w:rPr>
                <w:szCs w:val="22"/>
              </w:rPr>
            </w:pPr>
            <w:r>
              <w:t>Velpatasvir AUC: ↑93% (↑58% ↑136%)</w:t>
            </w:r>
          </w:p>
          <w:p w14:paraId="0D44C0D5" w14:textId="77777777" w:rsidR="006903B0" w:rsidRPr="00D31EBB" w:rsidRDefault="006903B0" w:rsidP="006903B0">
            <w:pPr>
              <w:pStyle w:val="EMEABodyText"/>
              <w:rPr>
                <w:szCs w:val="22"/>
              </w:rPr>
            </w:pPr>
            <w:r>
              <w:t>Velpatasvir C</w:t>
            </w:r>
            <w:r>
              <w:rPr>
                <w:szCs w:val="22"/>
                <w:vertAlign w:val="subscript"/>
              </w:rPr>
              <w:t>max </w:t>
            </w:r>
            <w:r>
              <w:t>: ↑29% (↑7% ↑56%)</w:t>
            </w:r>
          </w:p>
          <w:p w14:paraId="21A65DE2" w14:textId="77777777" w:rsidR="006903B0" w:rsidRPr="00FF5A0D" w:rsidRDefault="006903B0" w:rsidP="006903B0">
            <w:pPr>
              <w:pStyle w:val="EMEABodyText"/>
              <w:rPr>
                <w:szCs w:val="22"/>
              </w:rPr>
            </w:pPr>
          </w:p>
          <w:p w14:paraId="066C6AEA" w14:textId="77777777" w:rsidR="006903B0" w:rsidRPr="00D31EBB" w:rsidRDefault="006903B0" w:rsidP="006903B0">
            <w:pPr>
              <w:pStyle w:val="EMEABodyText"/>
              <w:rPr>
                <w:szCs w:val="22"/>
              </w:rPr>
            </w:pPr>
            <w:r>
              <w:t>Voxilaprevir AUC</w:t>
            </w:r>
            <w:r>
              <w:rPr>
                <w:szCs w:val="22"/>
                <w:vertAlign w:val="subscript"/>
              </w:rPr>
              <w:t> </w:t>
            </w:r>
            <w:r>
              <w:t>: ↑331% (↑276% ↑393%)</w:t>
            </w:r>
          </w:p>
          <w:p w14:paraId="084E5540" w14:textId="77777777" w:rsidR="006903B0" w:rsidRPr="00D31EBB" w:rsidRDefault="006903B0" w:rsidP="006903B0">
            <w:pPr>
              <w:pStyle w:val="EMEABodyText"/>
              <w:rPr>
                <w:szCs w:val="22"/>
              </w:rPr>
            </w:pPr>
            <w:r>
              <w:t>Voxilaprevir C</w:t>
            </w:r>
            <w:r>
              <w:rPr>
                <w:szCs w:val="22"/>
                <w:vertAlign w:val="subscript"/>
              </w:rPr>
              <w:t>max </w:t>
            </w:r>
            <w:r>
              <w:t>: ↑342% (↑265% ↑435%)</w:t>
            </w:r>
          </w:p>
          <w:p w14:paraId="40291B3E" w14:textId="77777777" w:rsidR="006903B0" w:rsidRPr="00FF5A0D" w:rsidRDefault="006903B0" w:rsidP="006903B0">
            <w:pPr>
              <w:rPr>
                <w:szCs w:val="22"/>
              </w:rPr>
            </w:pPr>
          </w:p>
          <w:p w14:paraId="0406ECB3" w14:textId="77777777" w:rsidR="006903B0" w:rsidRPr="00D31EBB" w:rsidRDefault="006903B0" w:rsidP="006903B0">
            <w:pPr>
              <w:rPr>
                <w:sz w:val="20"/>
              </w:rPr>
            </w:pPr>
            <w:r>
              <w:t xml:space="preserve">*Lack of pharmacokinetics interaction bounds 70-143% </w:t>
            </w:r>
          </w:p>
          <w:p w14:paraId="18B333F8" w14:textId="77777777" w:rsidR="006903B0" w:rsidRPr="00D31EBB" w:rsidRDefault="006903B0" w:rsidP="006903B0">
            <w:pPr>
              <w:pStyle w:val="EMEABodyText"/>
              <w:rPr>
                <w:szCs w:val="22"/>
                <w:vertAlign w:val="subscript"/>
                <w:lang w:val="en-US"/>
              </w:rPr>
            </w:pPr>
          </w:p>
          <w:p w14:paraId="2DDD79A0" w14:textId="77777777" w:rsidR="006903B0" w:rsidRPr="00D31EBB" w:rsidRDefault="006903B0" w:rsidP="006903B0">
            <w:pPr>
              <w:autoSpaceDE w:val="0"/>
              <w:autoSpaceDN w:val="0"/>
              <w:adjustRightInd w:val="0"/>
              <w:rPr>
                <w:szCs w:val="22"/>
              </w:rPr>
            </w:pPr>
            <w:r>
              <w:t>Effect on atazanavir and ritonavir exposure has not been studied.</w:t>
            </w:r>
          </w:p>
          <w:p w14:paraId="248FC25F" w14:textId="77777777" w:rsidR="006903B0" w:rsidRPr="00D31EBB" w:rsidRDefault="006903B0" w:rsidP="006903B0">
            <w:pPr>
              <w:autoSpaceDE w:val="0"/>
              <w:autoSpaceDN w:val="0"/>
              <w:adjustRightInd w:val="0"/>
            </w:pPr>
            <w:r>
              <w:t>Expected:</w:t>
            </w:r>
          </w:p>
          <w:p w14:paraId="3A2088C9" w14:textId="77777777" w:rsidR="006903B0" w:rsidRPr="00D31EBB" w:rsidRDefault="006903B0" w:rsidP="006903B0">
            <w:pPr>
              <w:autoSpaceDE w:val="0"/>
              <w:autoSpaceDN w:val="0"/>
              <w:adjustRightInd w:val="0"/>
            </w:pPr>
            <w:r>
              <w:t xml:space="preserve">↔ Atazanavir </w:t>
            </w:r>
          </w:p>
          <w:p w14:paraId="0D2C4B6F" w14:textId="77777777" w:rsidR="006903B0" w:rsidRPr="00D31EBB" w:rsidRDefault="006903B0" w:rsidP="006903B0">
            <w:pPr>
              <w:autoSpaceDE w:val="0"/>
              <w:autoSpaceDN w:val="0"/>
              <w:adjustRightInd w:val="0"/>
              <w:rPr>
                <w:szCs w:val="22"/>
              </w:rPr>
            </w:pPr>
            <w:r>
              <w:t xml:space="preserve">↔ Ritonavir </w:t>
            </w:r>
          </w:p>
          <w:p w14:paraId="77568E94" w14:textId="77777777" w:rsidR="006903B0" w:rsidRPr="00D31EBB" w:rsidRDefault="006903B0" w:rsidP="006903B0">
            <w:pPr>
              <w:autoSpaceDE w:val="0"/>
              <w:autoSpaceDN w:val="0"/>
              <w:adjustRightInd w:val="0"/>
              <w:rPr>
                <w:szCs w:val="22"/>
                <w:lang w:val="en-US"/>
              </w:rPr>
            </w:pPr>
          </w:p>
          <w:p w14:paraId="4EA8B8E1" w14:textId="77777777" w:rsidR="006903B0" w:rsidRPr="00D31EBB" w:rsidRDefault="006903B0" w:rsidP="006903B0">
            <w:pPr>
              <w:autoSpaceDE w:val="0"/>
              <w:autoSpaceDN w:val="0"/>
              <w:adjustRightInd w:val="0"/>
              <w:rPr>
                <w:szCs w:val="22"/>
              </w:rPr>
            </w:pPr>
            <w:r>
              <w:t>The mechanism of interaction between REYATAZ/ritonavir and sofosbuvir/velpatasvir/voxilaprevir is inhibition of OATP1B, Pgp, and CYP3A.</w:t>
            </w:r>
          </w:p>
        </w:tc>
        <w:tc>
          <w:tcPr>
            <w:tcW w:w="3119" w:type="dxa"/>
          </w:tcPr>
          <w:p w14:paraId="39C965FB" w14:textId="77777777" w:rsidR="006903B0" w:rsidRPr="00D31EBB" w:rsidRDefault="006903B0" w:rsidP="008B6CCB">
            <w:pPr>
              <w:pStyle w:val="EMEABodyText"/>
              <w:rPr>
                <w:b/>
                <w:bCs/>
                <w:szCs w:val="22"/>
              </w:rPr>
            </w:pPr>
            <w:r>
              <w:t>Co-administration of REYATAZ with voxilaprevir-containing products is expected to increase the concentration of voxilaprevir. Co-administration of REYATAZ with voxilaprevir-containing regimens is not recommended.</w:t>
            </w:r>
          </w:p>
        </w:tc>
      </w:tr>
      <w:tr w:rsidR="006903B0" w:rsidRPr="00965E20" w14:paraId="6CC38F96" w14:textId="77777777" w:rsidTr="009E1943">
        <w:trPr>
          <w:cantSplit/>
          <w:trHeight w:val="20"/>
        </w:trPr>
        <w:tc>
          <w:tcPr>
            <w:tcW w:w="3095" w:type="dxa"/>
          </w:tcPr>
          <w:p w14:paraId="6422DB53" w14:textId="77777777" w:rsidR="006903B0" w:rsidRPr="00D31EBB" w:rsidRDefault="006903B0" w:rsidP="006903B0">
            <w:pPr>
              <w:pStyle w:val="EMEABodyText"/>
              <w:rPr>
                <w:b/>
                <w:szCs w:val="22"/>
              </w:rPr>
            </w:pPr>
            <w:r>
              <w:rPr>
                <w:b/>
                <w:szCs w:val="22"/>
              </w:rPr>
              <w:t>Glecaprevir 300 mg / pibrentasvir 120 mg once daily</w:t>
            </w:r>
          </w:p>
          <w:p w14:paraId="2844E1D6" w14:textId="77777777" w:rsidR="006903B0" w:rsidRPr="00D31EBB" w:rsidRDefault="006903B0" w:rsidP="006903B0">
            <w:pPr>
              <w:pStyle w:val="EMEABodyText"/>
              <w:rPr>
                <w:b/>
                <w:szCs w:val="22"/>
              </w:rPr>
            </w:pPr>
            <w:r>
              <w:t>(atazanavir 300 mg / ritonavir 100 mg once daily*)</w:t>
            </w:r>
          </w:p>
        </w:tc>
        <w:tc>
          <w:tcPr>
            <w:tcW w:w="3676" w:type="dxa"/>
          </w:tcPr>
          <w:p w14:paraId="75988AAF" w14:textId="77777777" w:rsidR="006903B0" w:rsidRPr="00D31EBB" w:rsidRDefault="006903B0" w:rsidP="006903B0">
            <w:pPr>
              <w:pStyle w:val="EMEABodyText"/>
              <w:rPr>
                <w:szCs w:val="22"/>
              </w:rPr>
            </w:pPr>
            <w:r>
              <w:t>Glecaprevir AUC : ↑553% (↑424% ↑714%)</w:t>
            </w:r>
          </w:p>
          <w:p w14:paraId="780D4166" w14:textId="77777777" w:rsidR="006903B0" w:rsidRPr="00D31EBB" w:rsidRDefault="006903B0" w:rsidP="006903B0">
            <w:pPr>
              <w:pStyle w:val="EMEABodyText"/>
              <w:rPr>
                <w:szCs w:val="22"/>
              </w:rPr>
            </w:pPr>
            <w:r>
              <w:t>Glecaprevir C</w:t>
            </w:r>
            <w:r>
              <w:rPr>
                <w:szCs w:val="22"/>
                <w:vertAlign w:val="subscript"/>
              </w:rPr>
              <w:t>max</w:t>
            </w:r>
            <w:r>
              <w:t> : ↑306% (↑215% ↑423%)</w:t>
            </w:r>
          </w:p>
          <w:p w14:paraId="2F92E090" w14:textId="77777777" w:rsidR="006903B0" w:rsidRPr="00D31EBB" w:rsidRDefault="006903B0" w:rsidP="006903B0">
            <w:pPr>
              <w:pStyle w:val="EMEABodyText"/>
              <w:rPr>
                <w:szCs w:val="22"/>
              </w:rPr>
            </w:pPr>
            <w:r>
              <w:t>Glecaprevir C</w:t>
            </w:r>
            <w:r>
              <w:rPr>
                <w:szCs w:val="22"/>
                <w:vertAlign w:val="subscript"/>
              </w:rPr>
              <w:t xml:space="preserve">min </w:t>
            </w:r>
            <w:r>
              <w:t>: ↑1330% (↑885% ↑1970%)</w:t>
            </w:r>
          </w:p>
          <w:p w14:paraId="30BDCD8E" w14:textId="77777777" w:rsidR="006903B0" w:rsidRPr="00FF5A0D" w:rsidRDefault="006903B0" w:rsidP="006903B0">
            <w:pPr>
              <w:pStyle w:val="EMEABodyText"/>
              <w:rPr>
                <w:szCs w:val="22"/>
              </w:rPr>
            </w:pPr>
          </w:p>
          <w:p w14:paraId="7C8380DF" w14:textId="77777777" w:rsidR="006903B0" w:rsidRPr="00D31EBB" w:rsidRDefault="006903B0" w:rsidP="006903B0">
            <w:pPr>
              <w:pStyle w:val="EMEABodyText"/>
              <w:rPr>
                <w:szCs w:val="22"/>
              </w:rPr>
            </w:pPr>
            <w:r>
              <w:t>Pibrentasvir AUC : ↑64% (↑48% ↑82%)</w:t>
            </w:r>
          </w:p>
          <w:p w14:paraId="5BF3E55E" w14:textId="77777777" w:rsidR="006903B0" w:rsidRPr="00D31EBB" w:rsidRDefault="006903B0" w:rsidP="006903B0">
            <w:pPr>
              <w:pStyle w:val="EMEABodyText"/>
              <w:rPr>
                <w:szCs w:val="22"/>
              </w:rPr>
            </w:pPr>
            <w:r>
              <w:t>Pibrentasvir C</w:t>
            </w:r>
            <w:r>
              <w:rPr>
                <w:szCs w:val="22"/>
                <w:vertAlign w:val="subscript"/>
              </w:rPr>
              <w:t>max </w:t>
            </w:r>
            <w:r>
              <w:t>: ↑29% (↑15% ↑45%)</w:t>
            </w:r>
          </w:p>
          <w:p w14:paraId="36B338D1" w14:textId="77777777" w:rsidR="006903B0" w:rsidRPr="00D31EBB" w:rsidRDefault="006903B0" w:rsidP="006903B0">
            <w:pPr>
              <w:pStyle w:val="EMEABodyText"/>
              <w:rPr>
                <w:szCs w:val="22"/>
              </w:rPr>
            </w:pPr>
            <w:r>
              <w:t>Pibrentasvir C</w:t>
            </w:r>
            <w:r>
              <w:rPr>
                <w:szCs w:val="22"/>
                <w:vertAlign w:val="subscript"/>
              </w:rPr>
              <w:t>min</w:t>
            </w:r>
            <w:r>
              <w:t>: ↑129% (↑95% ↑168%)</w:t>
            </w:r>
          </w:p>
          <w:p w14:paraId="14977276" w14:textId="77777777" w:rsidR="006903B0" w:rsidRPr="00FF5A0D" w:rsidRDefault="006903B0" w:rsidP="006903B0">
            <w:pPr>
              <w:pStyle w:val="EMEABodyText"/>
              <w:rPr>
                <w:szCs w:val="22"/>
              </w:rPr>
            </w:pPr>
          </w:p>
          <w:p w14:paraId="110EC5C1" w14:textId="77777777" w:rsidR="006903B0" w:rsidRPr="00D31EBB" w:rsidRDefault="006903B0" w:rsidP="006903B0">
            <w:pPr>
              <w:pStyle w:val="EMEABodyText"/>
              <w:rPr>
                <w:szCs w:val="22"/>
              </w:rPr>
            </w:pPr>
            <w:r>
              <w:t>* Effect of atazanavir and ritonavir on the first dose of glecaprevir and pibrentasvir is reported.</w:t>
            </w:r>
          </w:p>
        </w:tc>
        <w:tc>
          <w:tcPr>
            <w:tcW w:w="3119" w:type="dxa"/>
          </w:tcPr>
          <w:p w14:paraId="7EC52905" w14:textId="77777777" w:rsidR="006903B0" w:rsidRPr="00D31EBB" w:rsidRDefault="006903B0" w:rsidP="006903B0">
            <w:pPr>
              <w:pStyle w:val="EMEABodyText"/>
              <w:rPr>
                <w:b/>
                <w:bCs/>
                <w:szCs w:val="22"/>
              </w:rPr>
            </w:pPr>
            <w:r>
              <w:t>Co-administration of REYATAZ with glecaprevir/pibrentasvir is contraindicated because of the potential increase in the risk of ALT elevations due to a significant increase in glecaprevir and pibrentasvir plasma concentrations (see section 4.3)</w:t>
            </w:r>
          </w:p>
        </w:tc>
      </w:tr>
      <w:tr w:rsidR="00D02BC8" w:rsidRPr="004F3582" w14:paraId="31596204" w14:textId="77777777" w:rsidTr="008B6CCB">
        <w:trPr>
          <w:cantSplit/>
          <w:trHeight w:val="340"/>
        </w:trPr>
        <w:tc>
          <w:tcPr>
            <w:tcW w:w="9890" w:type="dxa"/>
            <w:gridSpan w:val="3"/>
          </w:tcPr>
          <w:p w14:paraId="2568678D" w14:textId="77777777" w:rsidR="00D02BC8" w:rsidRPr="004F3582" w:rsidRDefault="00D02BC8" w:rsidP="008B6CCB">
            <w:pPr>
              <w:pStyle w:val="EMEABodyText"/>
              <w:rPr>
                <w:szCs w:val="22"/>
              </w:rPr>
            </w:pPr>
            <w:r>
              <w:rPr>
                <w:b/>
                <w:szCs w:val="22"/>
              </w:rPr>
              <w:t>ANTI-RETROVIRALS</w:t>
            </w:r>
          </w:p>
        </w:tc>
      </w:tr>
      <w:tr w:rsidR="00D02BC8" w:rsidRPr="004F3582" w14:paraId="48752957" w14:textId="77777777" w:rsidTr="008B6CCB">
        <w:trPr>
          <w:cantSplit/>
          <w:trHeight w:val="340"/>
        </w:trPr>
        <w:tc>
          <w:tcPr>
            <w:tcW w:w="9890" w:type="dxa"/>
            <w:gridSpan w:val="3"/>
          </w:tcPr>
          <w:p w14:paraId="4D120C78" w14:textId="77777777" w:rsidR="00D02BC8" w:rsidRPr="004F3582" w:rsidRDefault="00D02BC8" w:rsidP="008B6CCB">
            <w:pPr>
              <w:pStyle w:val="EMEABodyText"/>
              <w:rPr>
                <w:szCs w:val="22"/>
              </w:rPr>
            </w:pPr>
            <w:r>
              <w:rPr>
                <w:i/>
                <w:szCs w:val="22"/>
              </w:rPr>
              <w:t>Protease inhibitors:</w:t>
            </w:r>
            <w:r>
              <w:rPr>
                <w:b/>
                <w:szCs w:val="22"/>
              </w:rPr>
              <w:t xml:space="preserve"> </w:t>
            </w:r>
            <w:r>
              <w:t>The co-administration of REYATAZ/ritonavir and other protease inhibitors has not been studied but would be expected to increase exposure to other protease inhibitors. Therefore, such co-administration is not recommended.</w:t>
            </w:r>
          </w:p>
        </w:tc>
      </w:tr>
      <w:tr w:rsidR="00D02BC8" w:rsidRPr="00965E20" w14:paraId="67770C90" w14:textId="77777777" w:rsidTr="008B6CCB">
        <w:trPr>
          <w:cantSplit/>
          <w:trHeight w:val="340"/>
        </w:trPr>
        <w:tc>
          <w:tcPr>
            <w:tcW w:w="3095" w:type="dxa"/>
          </w:tcPr>
          <w:p w14:paraId="51BFCEF6" w14:textId="77777777" w:rsidR="00D02BC8" w:rsidRPr="00D31EBB" w:rsidRDefault="00D02BC8" w:rsidP="008B6CCB">
            <w:pPr>
              <w:pStyle w:val="EMEABodyText"/>
              <w:rPr>
                <w:b/>
                <w:szCs w:val="22"/>
              </w:rPr>
            </w:pPr>
            <w:r>
              <w:rPr>
                <w:b/>
                <w:szCs w:val="22"/>
              </w:rPr>
              <w:lastRenderedPageBreak/>
              <w:t>Ritonavir 100 mg once daily</w:t>
            </w:r>
          </w:p>
          <w:p w14:paraId="4673A3D6" w14:textId="77777777" w:rsidR="00D02BC8" w:rsidRPr="00D31EBB" w:rsidRDefault="00D02BC8" w:rsidP="008B6CCB">
            <w:pPr>
              <w:rPr>
                <w:szCs w:val="22"/>
              </w:rPr>
            </w:pPr>
            <w:r>
              <w:t>(atazanavir 300 mg once daily)</w:t>
            </w:r>
          </w:p>
          <w:p w14:paraId="5D6114DE" w14:textId="77777777" w:rsidR="00D02BC8" w:rsidRPr="00D31EBB" w:rsidRDefault="00D02BC8" w:rsidP="008B6CCB">
            <w:pPr>
              <w:rPr>
                <w:szCs w:val="22"/>
                <w:lang w:val="en-US"/>
              </w:rPr>
            </w:pPr>
          </w:p>
          <w:p w14:paraId="706A7777" w14:textId="77777777" w:rsidR="00D02BC8" w:rsidRPr="00D31EBB" w:rsidRDefault="00D02BC8" w:rsidP="008B6CCB">
            <w:pPr>
              <w:rPr>
                <w:szCs w:val="22"/>
              </w:rPr>
            </w:pPr>
            <w:r>
              <w:t>Studies conducted in HIV-infected patients.</w:t>
            </w:r>
          </w:p>
          <w:p w14:paraId="3F7602DF" w14:textId="77777777" w:rsidR="00D02BC8" w:rsidRPr="00D31EBB" w:rsidRDefault="00D02BC8" w:rsidP="008B6CCB">
            <w:pPr>
              <w:pStyle w:val="EMEABodyText"/>
              <w:rPr>
                <w:szCs w:val="22"/>
                <w:lang w:val="en-US"/>
              </w:rPr>
            </w:pPr>
          </w:p>
        </w:tc>
        <w:tc>
          <w:tcPr>
            <w:tcW w:w="3676" w:type="dxa"/>
          </w:tcPr>
          <w:p w14:paraId="2D58FB8E" w14:textId="77777777" w:rsidR="00D02BC8" w:rsidRPr="00D31EBB" w:rsidRDefault="00D02BC8" w:rsidP="008B6CCB">
            <w:pPr>
              <w:pStyle w:val="EMEABodyText"/>
              <w:rPr>
                <w:szCs w:val="22"/>
              </w:rPr>
            </w:pPr>
            <w:r>
              <w:t>Atazanavir AUC: ↑250% (↑144% ↑403%)*</w:t>
            </w:r>
          </w:p>
          <w:p w14:paraId="49B7488F" w14:textId="77777777" w:rsidR="00D02BC8" w:rsidRPr="00D31EBB" w:rsidRDefault="00D02BC8" w:rsidP="008B6CCB">
            <w:pPr>
              <w:pStyle w:val="EMEABodyText"/>
              <w:rPr>
                <w:szCs w:val="22"/>
              </w:rPr>
            </w:pPr>
            <w:r>
              <w:t>Atazanavir C</w:t>
            </w:r>
            <w:r>
              <w:rPr>
                <w:szCs w:val="22"/>
                <w:vertAlign w:val="subscript"/>
              </w:rPr>
              <w:t>max</w:t>
            </w:r>
            <w:r>
              <w:t>: ↑120% (↑56% ↑211%)*</w:t>
            </w:r>
          </w:p>
          <w:p w14:paraId="176764DA" w14:textId="77777777" w:rsidR="00D02BC8" w:rsidRPr="00D31EBB" w:rsidRDefault="00D02BC8" w:rsidP="008B6CCB">
            <w:pPr>
              <w:pStyle w:val="EMEABodyText"/>
              <w:rPr>
                <w:szCs w:val="22"/>
              </w:rPr>
            </w:pPr>
            <w:r>
              <w:t>Atazanavir C</w:t>
            </w:r>
            <w:r>
              <w:rPr>
                <w:szCs w:val="22"/>
                <w:vertAlign w:val="subscript"/>
              </w:rPr>
              <w:t>min</w:t>
            </w:r>
            <w:r>
              <w:t>: ↑713% (↑359% ↑1339%)*</w:t>
            </w:r>
          </w:p>
          <w:p w14:paraId="7494BCEF" w14:textId="77777777" w:rsidR="00D02BC8" w:rsidRPr="00D31EBB" w:rsidRDefault="00D02BC8" w:rsidP="008B6CCB">
            <w:pPr>
              <w:pStyle w:val="EMEABodyText"/>
              <w:rPr>
                <w:szCs w:val="22"/>
                <w:lang w:val="en-US"/>
              </w:rPr>
            </w:pPr>
          </w:p>
          <w:p w14:paraId="09211071" w14:textId="77777777" w:rsidR="00D02BC8" w:rsidRPr="00D31EBB" w:rsidRDefault="00D02BC8" w:rsidP="008B6CCB">
            <w:pPr>
              <w:rPr>
                <w:szCs w:val="22"/>
              </w:rPr>
            </w:pPr>
            <w:r>
              <w:t>* In a combined analysis, atazanavir 300 mg and ritonavir 100 mg (n=33) was compared to atazanavir 400 mg without ritonavir (n=28).</w:t>
            </w:r>
          </w:p>
          <w:p w14:paraId="54807D04" w14:textId="77777777" w:rsidR="00D02BC8" w:rsidRPr="00D31EBB" w:rsidRDefault="00D02BC8" w:rsidP="008B6CCB">
            <w:pPr>
              <w:pStyle w:val="EMEABodyText"/>
              <w:rPr>
                <w:szCs w:val="22"/>
              </w:rPr>
            </w:pPr>
            <w:r>
              <w:t>The mechanism of interaction between atazanavir and ritonavir is CYP3A4 inhibition.</w:t>
            </w:r>
          </w:p>
        </w:tc>
        <w:tc>
          <w:tcPr>
            <w:tcW w:w="3119" w:type="dxa"/>
          </w:tcPr>
          <w:p w14:paraId="6048E49C" w14:textId="77777777" w:rsidR="00D02BC8" w:rsidRPr="00D31EBB" w:rsidRDefault="00D02BC8" w:rsidP="008B6CCB">
            <w:pPr>
              <w:pStyle w:val="EMEABodyText"/>
              <w:rPr>
                <w:szCs w:val="22"/>
              </w:rPr>
            </w:pPr>
            <w:r>
              <w:t>Ritonavir 100 mg once daily is used as a booster of atazanavir pharmacokinetics.</w:t>
            </w:r>
          </w:p>
        </w:tc>
      </w:tr>
      <w:tr w:rsidR="00D02BC8" w:rsidRPr="00965E20" w14:paraId="2CE7FD0E" w14:textId="77777777" w:rsidTr="008B6CCB">
        <w:trPr>
          <w:cantSplit/>
          <w:trHeight w:val="340"/>
        </w:trPr>
        <w:tc>
          <w:tcPr>
            <w:tcW w:w="3095" w:type="dxa"/>
          </w:tcPr>
          <w:p w14:paraId="5D29CC9F" w14:textId="77777777" w:rsidR="00D02BC8" w:rsidRPr="004F3582" w:rsidRDefault="00D02BC8" w:rsidP="008B6CCB">
            <w:pPr>
              <w:pStyle w:val="EMEABodyText"/>
              <w:rPr>
                <w:b/>
                <w:szCs w:val="22"/>
              </w:rPr>
            </w:pPr>
            <w:r>
              <w:rPr>
                <w:b/>
                <w:szCs w:val="22"/>
              </w:rPr>
              <w:t>Indinavir</w:t>
            </w:r>
          </w:p>
        </w:tc>
        <w:tc>
          <w:tcPr>
            <w:tcW w:w="3676" w:type="dxa"/>
          </w:tcPr>
          <w:p w14:paraId="279BE793" w14:textId="77777777" w:rsidR="00D02BC8" w:rsidRPr="00D31EBB" w:rsidRDefault="00D02BC8" w:rsidP="008B6CCB">
            <w:pPr>
              <w:pStyle w:val="EMEABodyText"/>
              <w:rPr>
                <w:szCs w:val="22"/>
              </w:rPr>
            </w:pPr>
            <w:r>
              <w:t>Indinavir is associated with indirect unconjugated hyperbilirubinaemia due to inhibition of UGT.</w:t>
            </w:r>
          </w:p>
        </w:tc>
        <w:tc>
          <w:tcPr>
            <w:tcW w:w="3119" w:type="dxa"/>
          </w:tcPr>
          <w:p w14:paraId="230FB6E4" w14:textId="77777777" w:rsidR="00D02BC8" w:rsidRPr="00D31EBB" w:rsidRDefault="00D02BC8" w:rsidP="00BC76A6">
            <w:pPr>
              <w:pStyle w:val="EMEABodyText"/>
              <w:rPr>
                <w:szCs w:val="22"/>
              </w:rPr>
            </w:pPr>
            <w:r>
              <w:t>Co-administration of REYATAZ and indinavir is not recommended (see section 4.4).</w:t>
            </w:r>
          </w:p>
        </w:tc>
      </w:tr>
      <w:tr w:rsidR="00D02BC8" w:rsidRPr="00965E20" w14:paraId="70315F05" w14:textId="77777777" w:rsidTr="008B6CCB">
        <w:trPr>
          <w:cantSplit/>
          <w:trHeight w:val="340"/>
        </w:trPr>
        <w:tc>
          <w:tcPr>
            <w:tcW w:w="9890" w:type="dxa"/>
            <w:gridSpan w:val="3"/>
          </w:tcPr>
          <w:p w14:paraId="5AE3CCB7" w14:textId="77777777" w:rsidR="00D02BC8" w:rsidRPr="00D31EBB" w:rsidRDefault="00D02BC8" w:rsidP="008B6CCB">
            <w:pPr>
              <w:pStyle w:val="EMEABodyText"/>
              <w:rPr>
                <w:i/>
                <w:szCs w:val="22"/>
              </w:rPr>
            </w:pPr>
            <w:r>
              <w:rPr>
                <w:i/>
                <w:szCs w:val="22"/>
              </w:rPr>
              <w:t>Nucleoside/nucleotide reverse transcriptase inhibitors (NRTIs)</w:t>
            </w:r>
          </w:p>
        </w:tc>
      </w:tr>
      <w:tr w:rsidR="00D02BC8" w:rsidRPr="00965E20" w14:paraId="3A095384" w14:textId="77777777" w:rsidTr="008B6CCB">
        <w:trPr>
          <w:cantSplit/>
          <w:trHeight w:val="340"/>
        </w:trPr>
        <w:tc>
          <w:tcPr>
            <w:tcW w:w="3095" w:type="dxa"/>
          </w:tcPr>
          <w:p w14:paraId="31173B27" w14:textId="77777777" w:rsidR="00D02BC8" w:rsidRPr="00D31EBB" w:rsidRDefault="00D02BC8" w:rsidP="008B6CCB">
            <w:pPr>
              <w:pStyle w:val="EMEABodyText"/>
              <w:rPr>
                <w:b/>
                <w:szCs w:val="22"/>
              </w:rPr>
            </w:pPr>
            <w:r>
              <w:rPr>
                <w:b/>
                <w:szCs w:val="22"/>
              </w:rPr>
              <w:t>Lamivudine 150 mg twice daily + zidovudine 300 mg twice daily</w:t>
            </w:r>
          </w:p>
          <w:p w14:paraId="63451637" w14:textId="77777777" w:rsidR="00D02BC8" w:rsidRPr="004F3582" w:rsidRDefault="00D02BC8" w:rsidP="008B6CCB">
            <w:pPr>
              <w:pStyle w:val="EMEABodyText"/>
              <w:rPr>
                <w:szCs w:val="22"/>
              </w:rPr>
            </w:pPr>
            <w:r>
              <w:t>(atazanavir 400 mg once daily)</w:t>
            </w:r>
          </w:p>
        </w:tc>
        <w:tc>
          <w:tcPr>
            <w:tcW w:w="3676" w:type="dxa"/>
          </w:tcPr>
          <w:p w14:paraId="6C722E05" w14:textId="77777777" w:rsidR="00D02BC8" w:rsidRPr="00D31EBB" w:rsidRDefault="00D02BC8" w:rsidP="008B6CCB">
            <w:pPr>
              <w:pStyle w:val="EMEABodyText"/>
              <w:rPr>
                <w:szCs w:val="22"/>
              </w:rPr>
            </w:pPr>
            <w:r>
              <w:t>No significant effect on lamivudine and zidovudine concentrations was observed.</w:t>
            </w:r>
          </w:p>
        </w:tc>
        <w:tc>
          <w:tcPr>
            <w:tcW w:w="3119" w:type="dxa"/>
          </w:tcPr>
          <w:p w14:paraId="735C6130" w14:textId="77777777" w:rsidR="00D02BC8" w:rsidRPr="00D31EBB" w:rsidRDefault="00D02BC8" w:rsidP="006013CD">
            <w:pPr>
              <w:pStyle w:val="EMEABodyText"/>
              <w:rPr>
                <w:szCs w:val="22"/>
              </w:rPr>
            </w:pPr>
            <w:r>
              <w:t>Based on these data and because ritonavir is not expected to have a significant impact on the pharmacokinetics of NRTIs, the co-administration of these medicinal products and REYATAZ is not expected to significantly alter the exposure of the co-administered medicinal products.</w:t>
            </w:r>
          </w:p>
        </w:tc>
      </w:tr>
      <w:tr w:rsidR="00D02BC8" w:rsidRPr="00965E20" w14:paraId="77E76336" w14:textId="77777777" w:rsidTr="008B6CCB">
        <w:trPr>
          <w:cantSplit/>
          <w:trHeight w:val="340"/>
        </w:trPr>
        <w:tc>
          <w:tcPr>
            <w:tcW w:w="3095" w:type="dxa"/>
          </w:tcPr>
          <w:p w14:paraId="12D5CA25" w14:textId="77777777" w:rsidR="00D02BC8" w:rsidRPr="004F3582" w:rsidRDefault="00D02BC8" w:rsidP="008B6CCB">
            <w:pPr>
              <w:pStyle w:val="EMEABodyText"/>
              <w:rPr>
                <w:b/>
                <w:szCs w:val="22"/>
              </w:rPr>
            </w:pPr>
            <w:r>
              <w:rPr>
                <w:b/>
                <w:szCs w:val="22"/>
              </w:rPr>
              <w:t>Abacavir</w:t>
            </w:r>
          </w:p>
        </w:tc>
        <w:tc>
          <w:tcPr>
            <w:tcW w:w="3676" w:type="dxa"/>
          </w:tcPr>
          <w:p w14:paraId="2EB8A317" w14:textId="77777777" w:rsidR="00D02BC8" w:rsidRPr="00D31EBB" w:rsidRDefault="00D02BC8" w:rsidP="00BC76A6">
            <w:pPr>
              <w:pStyle w:val="EMEABodyText"/>
              <w:rPr>
                <w:szCs w:val="22"/>
              </w:rPr>
            </w:pPr>
            <w:r>
              <w:t>The co-administration of abacavir and REYATAZ is not expected to significantly alter the exposure of abacavir.</w:t>
            </w:r>
          </w:p>
        </w:tc>
        <w:tc>
          <w:tcPr>
            <w:tcW w:w="3119" w:type="dxa"/>
          </w:tcPr>
          <w:p w14:paraId="7C55854A" w14:textId="77777777" w:rsidR="00D02BC8" w:rsidRPr="00D31EBB" w:rsidRDefault="00D02BC8" w:rsidP="008B6CCB">
            <w:pPr>
              <w:pStyle w:val="EMEABodyText"/>
              <w:rPr>
                <w:szCs w:val="22"/>
                <w:lang w:val="en-US"/>
              </w:rPr>
            </w:pPr>
          </w:p>
        </w:tc>
      </w:tr>
      <w:tr w:rsidR="00D02BC8" w:rsidRPr="00965E20" w14:paraId="4C9D5CBE" w14:textId="77777777" w:rsidTr="008B6CCB">
        <w:trPr>
          <w:cantSplit/>
          <w:trHeight w:val="340"/>
        </w:trPr>
        <w:tc>
          <w:tcPr>
            <w:tcW w:w="3095" w:type="dxa"/>
          </w:tcPr>
          <w:p w14:paraId="02D60E39" w14:textId="77777777" w:rsidR="00D02BC8" w:rsidRPr="00D31EBB" w:rsidRDefault="00D02BC8" w:rsidP="008B6CCB">
            <w:pPr>
              <w:pStyle w:val="EMEABodyText"/>
              <w:rPr>
                <w:szCs w:val="22"/>
              </w:rPr>
            </w:pPr>
            <w:r>
              <w:rPr>
                <w:b/>
                <w:szCs w:val="22"/>
              </w:rPr>
              <w:t>Didanosine (buffered tablets) 200 mg/stavudine 40 mg, both single dose</w:t>
            </w:r>
          </w:p>
          <w:p w14:paraId="68EC6111" w14:textId="77777777" w:rsidR="00D02BC8" w:rsidRPr="004F3582" w:rsidRDefault="00D02BC8" w:rsidP="008B6CCB">
            <w:pPr>
              <w:pStyle w:val="EMEABodyText"/>
              <w:rPr>
                <w:szCs w:val="22"/>
              </w:rPr>
            </w:pPr>
            <w:r>
              <w:t>(atazanavir 400 mg single dose)</w:t>
            </w:r>
          </w:p>
        </w:tc>
        <w:tc>
          <w:tcPr>
            <w:tcW w:w="3676" w:type="dxa"/>
          </w:tcPr>
          <w:p w14:paraId="4F54CA81" w14:textId="77777777" w:rsidR="00D02BC8" w:rsidRPr="00D31EBB" w:rsidRDefault="00D02BC8" w:rsidP="008B6CCB">
            <w:pPr>
              <w:pStyle w:val="EMEABodyText"/>
              <w:rPr>
                <w:szCs w:val="22"/>
              </w:rPr>
            </w:pPr>
            <w:r>
              <w:t>Atazanavir, simultaneous administration with ddI+d4T (fasted)</w:t>
            </w:r>
          </w:p>
          <w:p w14:paraId="02E994FA" w14:textId="77777777" w:rsidR="00D02BC8" w:rsidRPr="00D31EBB" w:rsidRDefault="00D02BC8" w:rsidP="008B6CCB">
            <w:pPr>
              <w:pStyle w:val="EMEABodyText"/>
              <w:rPr>
                <w:szCs w:val="22"/>
              </w:rPr>
            </w:pPr>
            <w:r>
              <w:t>Atazanavir AUC ↓87% (↓92% ↓79%)</w:t>
            </w:r>
          </w:p>
          <w:p w14:paraId="5604F3B1" w14:textId="77777777" w:rsidR="00D02BC8" w:rsidRPr="00D31EBB" w:rsidRDefault="00D02BC8" w:rsidP="008B6CCB">
            <w:pPr>
              <w:pStyle w:val="EMEABodyText"/>
              <w:rPr>
                <w:szCs w:val="22"/>
              </w:rPr>
            </w:pPr>
            <w:r>
              <w:t>Atazanavir C</w:t>
            </w:r>
            <w:r>
              <w:rPr>
                <w:szCs w:val="22"/>
                <w:vertAlign w:val="subscript"/>
              </w:rPr>
              <w:t>max</w:t>
            </w:r>
            <w:r>
              <w:t xml:space="preserve"> ↓89% (↓94% ↓82%)</w:t>
            </w:r>
          </w:p>
          <w:p w14:paraId="1705A1FA" w14:textId="77777777" w:rsidR="00D02BC8" w:rsidRPr="00D31EBB" w:rsidRDefault="00D02BC8" w:rsidP="008B6CCB">
            <w:pPr>
              <w:pStyle w:val="EMEABodyText"/>
              <w:rPr>
                <w:szCs w:val="22"/>
              </w:rPr>
            </w:pPr>
            <w:r>
              <w:t>Atazanavir C</w:t>
            </w:r>
            <w:r>
              <w:rPr>
                <w:szCs w:val="22"/>
                <w:vertAlign w:val="subscript"/>
              </w:rPr>
              <w:t>min</w:t>
            </w:r>
            <w:r>
              <w:t xml:space="preserve"> ↓84% (↓90% ↓73%)</w:t>
            </w:r>
          </w:p>
          <w:p w14:paraId="4E23A1AD" w14:textId="77777777" w:rsidR="00D02BC8" w:rsidRPr="00FF5A0D" w:rsidRDefault="00D02BC8" w:rsidP="008B6CCB">
            <w:pPr>
              <w:pStyle w:val="EMEABodyText"/>
              <w:rPr>
                <w:szCs w:val="22"/>
              </w:rPr>
            </w:pPr>
          </w:p>
          <w:p w14:paraId="47FE49FB" w14:textId="77777777" w:rsidR="00D02BC8" w:rsidRPr="00D31EBB" w:rsidRDefault="00D02BC8" w:rsidP="008B6CCB">
            <w:pPr>
              <w:pStyle w:val="EMEABodyText"/>
              <w:rPr>
                <w:szCs w:val="22"/>
              </w:rPr>
            </w:pPr>
            <w:r>
              <w:t>Atazanavir, dosed 1 hr after ddI+d4T (fasted)</w:t>
            </w:r>
          </w:p>
          <w:p w14:paraId="0168FDC0" w14:textId="77777777" w:rsidR="00D02BC8" w:rsidRPr="00D31EBB" w:rsidRDefault="00D02BC8" w:rsidP="008B6CCB">
            <w:pPr>
              <w:pStyle w:val="EMEABodyText"/>
              <w:rPr>
                <w:szCs w:val="22"/>
              </w:rPr>
            </w:pPr>
            <w:r>
              <w:t>Atazanavir AUC ↔3% (↓36% ↑67%)</w:t>
            </w:r>
          </w:p>
          <w:p w14:paraId="33DB60E1" w14:textId="77777777" w:rsidR="00D02BC8" w:rsidRPr="00D31EBB" w:rsidRDefault="00D02BC8" w:rsidP="008B6CCB">
            <w:pPr>
              <w:pStyle w:val="EMEABodyText"/>
              <w:rPr>
                <w:szCs w:val="22"/>
              </w:rPr>
            </w:pPr>
            <w:r>
              <w:t>Atazanavir C</w:t>
            </w:r>
            <w:r>
              <w:rPr>
                <w:szCs w:val="22"/>
                <w:vertAlign w:val="subscript"/>
              </w:rPr>
              <w:t>max</w:t>
            </w:r>
            <w:r>
              <w:t xml:space="preserve"> ↑12% (↓33% ↑18%)</w:t>
            </w:r>
          </w:p>
          <w:p w14:paraId="02205F13" w14:textId="77777777" w:rsidR="00D02BC8" w:rsidRPr="00D31EBB" w:rsidRDefault="00D02BC8" w:rsidP="008B6CCB">
            <w:pPr>
              <w:pStyle w:val="EMEABodyText"/>
              <w:rPr>
                <w:szCs w:val="22"/>
              </w:rPr>
            </w:pPr>
            <w:r>
              <w:t>Atazanavir C</w:t>
            </w:r>
            <w:r>
              <w:rPr>
                <w:szCs w:val="22"/>
                <w:vertAlign w:val="subscript"/>
              </w:rPr>
              <w:t>min</w:t>
            </w:r>
            <w:r>
              <w:t xml:space="preserve"> ↔3% (↓39% ↑73%)</w:t>
            </w:r>
          </w:p>
          <w:p w14:paraId="2EEC17E2" w14:textId="77777777" w:rsidR="00D02BC8" w:rsidRPr="00FF5A0D" w:rsidRDefault="00D02BC8" w:rsidP="008B6CCB">
            <w:pPr>
              <w:pStyle w:val="EMEABodyText"/>
              <w:rPr>
                <w:szCs w:val="22"/>
              </w:rPr>
            </w:pPr>
          </w:p>
          <w:p w14:paraId="325D0F3C" w14:textId="77777777" w:rsidR="00D02BC8" w:rsidRPr="00D31EBB" w:rsidRDefault="00D02BC8" w:rsidP="008B6CCB">
            <w:pPr>
              <w:pStyle w:val="EMEABodyText"/>
              <w:rPr>
                <w:szCs w:val="22"/>
              </w:rPr>
            </w:pPr>
            <w:r>
              <w:t>Atazanavir concentrations were greatly decreased when co-administered with didanosine (buffered tablets) and stavudine. The mechanism of interaction is a reduced solubility of atazanavir with increasing pH related to the presence of anti-acid agent in didanosine buffered tablets.</w:t>
            </w:r>
          </w:p>
          <w:p w14:paraId="371E46A1" w14:textId="77777777" w:rsidR="00D02BC8" w:rsidRPr="00D31EBB" w:rsidRDefault="00D02BC8" w:rsidP="008B6CCB">
            <w:pPr>
              <w:pStyle w:val="EMEABodyText"/>
              <w:rPr>
                <w:szCs w:val="22"/>
              </w:rPr>
            </w:pPr>
            <w:r>
              <w:t>No significant effect on didanosine and stavudine concentrations was observed.</w:t>
            </w:r>
          </w:p>
        </w:tc>
        <w:tc>
          <w:tcPr>
            <w:tcW w:w="3119" w:type="dxa"/>
            <w:vMerge w:val="restart"/>
          </w:tcPr>
          <w:p w14:paraId="1F8857CF" w14:textId="77777777" w:rsidR="00D02BC8" w:rsidRPr="00D31EBB" w:rsidRDefault="00D02BC8" w:rsidP="00E320BD">
            <w:pPr>
              <w:pStyle w:val="EMEABodyText"/>
              <w:rPr>
                <w:szCs w:val="22"/>
              </w:rPr>
            </w:pPr>
            <w:r>
              <w:t>Didanosine should be taken at the fasted state 2 hours after REYATAZ taken with food. The co-administration of stavudine with REYATAZ is not expected to significantly alter the exposure of stavudine.</w:t>
            </w:r>
          </w:p>
        </w:tc>
      </w:tr>
      <w:tr w:rsidR="00D02BC8" w:rsidRPr="00965E20" w14:paraId="6EDB4F6D" w14:textId="77777777" w:rsidTr="008B6CCB">
        <w:trPr>
          <w:cantSplit/>
          <w:trHeight w:val="340"/>
        </w:trPr>
        <w:tc>
          <w:tcPr>
            <w:tcW w:w="3095" w:type="dxa"/>
          </w:tcPr>
          <w:p w14:paraId="4BFBB5DF" w14:textId="77777777" w:rsidR="00D02BC8" w:rsidRPr="00D31EBB" w:rsidRDefault="00D02BC8" w:rsidP="008B6CCB">
            <w:pPr>
              <w:pStyle w:val="EMEABodyText"/>
              <w:rPr>
                <w:szCs w:val="22"/>
              </w:rPr>
            </w:pPr>
            <w:r>
              <w:rPr>
                <w:b/>
                <w:szCs w:val="22"/>
              </w:rPr>
              <w:lastRenderedPageBreak/>
              <w:t>Didanosine (enteric coated capsules) 400 mg single dose</w:t>
            </w:r>
          </w:p>
          <w:p w14:paraId="127D057B" w14:textId="77777777" w:rsidR="00D02BC8" w:rsidRPr="00D31EBB" w:rsidRDefault="00D02BC8" w:rsidP="008B6CCB">
            <w:pPr>
              <w:pStyle w:val="EMEABodyText"/>
              <w:rPr>
                <w:szCs w:val="22"/>
              </w:rPr>
            </w:pPr>
            <w:r>
              <w:t>(atazanavir 300 mg once daily with ritonavir 100 mg once daily)</w:t>
            </w:r>
          </w:p>
        </w:tc>
        <w:tc>
          <w:tcPr>
            <w:tcW w:w="3676" w:type="dxa"/>
          </w:tcPr>
          <w:p w14:paraId="6147EE83" w14:textId="77777777" w:rsidR="00D02BC8" w:rsidRPr="00D31EBB" w:rsidRDefault="00D02BC8" w:rsidP="008B6CCB">
            <w:pPr>
              <w:pStyle w:val="EMEABodyText"/>
              <w:rPr>
                <w:szCs w:val="22"/>
              </w:rPr>
            </w:pPr>
            <w:r>
              <w:t>Didanosine (with food)</w:t>
            </w:r>
          </w:p>
          <w:p w14:paraId="1F960596" w14:textId="77777777" w:rsidR="00D02BC8" w:rsidRPr="00D31EBB" w:rsidRDefault="00D02BC8" w:rsidP="008B6CCB">
            <w:pPr>
              <w:pStyle w:val="EMEABodyText"/>
              <w:rPr>
                <w:szCs w:val="22"/>
              </w:rPr>
            </w:pPr>
            <w:r>
              <w:t>Didanosine AUC ↓34% (↓41% ↓27%)</w:t>
            </w:r>
          </w:p>
          <w:p w14:paraId="596117D8" w14:textId="77777777" w:rsidR="00D02BC8" w:rsidRPr="00D31EBB" w:rsidRDefault="00D02BC8" w:rsidP="008B6CCB">
            <w:pPr>
              <w:pStyle w:val="EMEABodyText"/>
              <w:rPr>
                <w:szCs w:val="22"/>
              </w:rPr>
            </w:pPr>
            <w:r>
              <w:t>Didanosine C</w:t>
            </w:r>
            <w:r>
              <w:rPr>
                <w:szCs w:val="22"/>
                <w:vertAlign w:val="subscript"/>
              </w:rPr>
              <w:t>max</w:t>
            </w:r>
            <w:r>
              <w:t xml:space="preserve"> ↓38% (↓48% ↓26%)</w:t>
            </w:r>
          </w:p>
          <w:p w14:paraId="7CDC96D3" w14:textId="77777777" w:rsidR="00D02BC8" w:rsidRPr="00D31EBB" w:rsidRDefault="00D02BC8" w:rsidP="008B6CCB">
            <w:pPr>
              <w:pStyle w:val="EMEABodyText"/>
              <w:rPr>
                <w:szCs w:val="22"/>
              </w:rPr>
            </w:pPr>
            <w:r>
              <w:t>Didanosine C</w:t>
            </w:r>
            <w:r>
              <w:rPr>
                <w:szCs w:val="22"/>
                <w:vertAlign w:val="subscript"/>
              </w:rPr>
              <w:t>min</w:t>
            </w:r>
            <w:r>
              <w:t xml:space="preserve"> ↑25% (↓8% ↑69%)</w:t>
            </w:r>
          </w:p>
          <w:p w14:paraId="3593294B" w14:textId="77777777" w:rsidR="00D02BC8" w:rsidRPr="00D31EBB" w:rsidRDefault="00D02BC8" w:rsidP="008B6CCB">
            <w:pPr>
              <w:pStyle w:val="EMEABodyText"/>
              <w:rPr>
                <w:szCs w:val="22"/>
                <w:lang w:val="en-US"/>
              </w:rPr>
            </w:pPr>
          </w:p>
          <w:p w14:paraId="69A3F9D6" w14:textId="77777777" w:rsidR="00D02BC8" w:rsidRPr="00D31EBB" w:rsidRDefault="00D02BC8" w:rsidP="008B6CCB">
            <w:pPr>
              <w:pStyle w:val="EMEABodyText"/>
              <w:rPr>
                <w:szCs w:val="22"/>
              </w:rPr>
            </w:pPr>
            <w:r>
              <w:t>No significant effect on atazanavir concentrations was observed when administered with enteric-coated didanosine, but administration with food decreased didanosine concentrations.</w:t>
            </w:r>
          </w:p>
        </w:tc>
        <w:tc>
          <w:tcPr>
            <w:tcW w:w="3119" w:type="dxa"/>
            <w:vMerge/>
          </w:tcPr>
          <w:p w14:paraId="52B46D8B" w14:textId="77777777" w:rsidR="00D02BC8" w:rsidRPr="00D31EBB" w:rsidRDefault="00D02BC8" w:rsidP="008B6CCB">
            <w:pPr>
              <w:pStyle w:val="EMEABodyText"/>
              <w:rPr>
                <w:szCs w:val="22"/>
                <w:lang w:val="en-US"/>
              </w:rPr>
            </w:pPr>
          </w:p>
        </w:tc>
      </w:tr>
      <w:tr w:rsidR="00D02BC8" w:rsidRPr="00965E20" w14:paraId="5ABC4C46" w14:textId="77777777" w:rsidTr="008B6CCB">
        <w:trPr>
          <w:cantSplit/>
          <w:trHeight w:val="340"/>
        </w:trPr>
        <w:tc>
          <w:tcPr>
            <w:tcW w:w="3095" w:type="dxa"/>
          </w:tcPr>
          <w:p w14:paraId="6E82F1F2" w14:textId="77777777" w:rsidR="00D02BC8" w:rsidRPr="00D31EBB" w:rsidRDefault="00D02BC8" w:rsidP="008B6CCB">
            <w:pPr>
              <w:pStyle w:val="EMEABodyText"/>
              <w:rPr>
                <w:b/>
                <w:szCs w:val="22"/>
              </w:rPr>
            </w:pPr>
            <w:r>
              <w:rPr>
                <w:b/>
                <w:szCs w:val="22"/>
              </w:rPr>
              <w:t>Tenofovir disoproxil fumarate 300 mg once daily</w:t>
            </w:r>
          </w:p>
          <w:p w14:paraId="3088B9BD" w14:textId="77777777" w:rsidR="00D02BC8" w:rsidRPr="00D31EBB" w:rsidRDefault="00D02BC8" w:rsidP="008B6CCB">
            <w:pPr>
              <w:pStyle w:val="EMEABodyText"/>
              <w:rPr>
                <w:szCs w:val="22"/>
              </w:rPr>
            </w:pPr>
            <w:r>
              <w:t>(atazanavir 300 mg once daily with ritonavir 100 mg once daily)</w:t>
            </w:r>
          </w:p>
          <w:p w14:paraId="084A6600" w14:textId="77777777" w:rsidR="00E54274" w:rsidRPr="00D31EBB" w:rsidRDefault="00E54274" w:rsidP="008B6CCB">
            <w:pPr>
              <w:pStyle w:val="EMEABodyText"/>
              <w:rPr>
                <w:szCs w:val="22"/>
                <w:lang w:val="en-US"/>
              </w:rPr>
            </w:pPr>
          </w:p>
          <w:p w14:paraId="2937B56A" w14:textId="77777777" w:rsidR="00E54274" w:rsidRPr="00D31EBB" w:rsidRDefault="00E54274" w:rsidP="00E54274">
            <w:pPr>
              <w:pStyle w:val="EMEABodyText"/>
              <w:rPr>
                <w:szCs w:val="22"/>
              </w:rPr>
            </w:pPr>
            <w:r>
              <w:t xml:space="preserve">300 mg tenofovir disoproxil fumarate is equivalent to </w:t>
            </w:r>
            <w:r>
              <w:br/>
              <w:t>245 mg tenofovir disoproxil.</w:t>
            </w:r>
          </w:p>
          <w:p w14:paraId="59376BD0" w14:textId="77777777" w:rsidR="00D02BC8" w:rsidRPr="00D31EBB" w:rsidRDefault="00D02BC8" w:rsidP="008B6CCB">
            <w:pPr>
              <w:pStyle w:val="EMEABodyText"/>
              <w:rPr>
                <w:szCs w:val="22"/>
                <w:lang w:val="en-US"/>
              </w:rPr>
            </w:pPr>
          </w:p>
          <w:p w14:paraId="3E2FEF44" w14:textId="77777777" w:rsidR="00D02BC8" w:rsidRPr="00D31EBB" w:rsidRDefault="00D02BC8" w:rsidP="008B6CCB">
            <w:pPr>
              <w:pStyle w:val="EMEABodyText"/>
              <w:rPr>
                <w:szCs w:val="22"/>
              </w:rPr>
            </w:pPr>
            <w:r>
              <w:t>Studies conducted in HIV-infected patients</w:t>
            </w:r>
          </w:p>
        </w:tc>
        <w:tc>
          <w:tcPr>
            <w:tcW w:w="3676" w:type="dxa"/>
          </w:tcPr>
          <w:p w14:paraId="4FFAE256" w14:textId="77777777" w:rsidR="00D02BC8" w:rsidRPr="00D31EBB" w:rsidRDefault="00D02BC8" w:rsidP="008B6CCB">
            <w:pPr>
              <w:pStyle w:val="EMEABodyText"/>
              <w:rPr>
                <w:szCs w:val="22"/>
              </w:rPr>
            </w:pPr>
            <w:r>
              <w:t>Atazanavir AUC ↓22% (↓35% ↓6%) *</w:t>
            </w:r>
          </w:p>
          <w:p w14:paraId="66C9E6E4" w14:textId="77777777" w:rsidR="00D02BC8" w:rsidRPr="00D31EBB" w:rsidRDefault="00D02BC8" w:rsidP="008B6CCB">
            <w:pPr>
              <w:pStyle w:val="EMEABodyText"/>
              <w:rPr>
                <w:szCs w:val="22"/>
              </w:rPr>
            </w:pPr>
            <w:r>
              <w:t>Atazanavir C</w:t>
            </w:r>
            <w:r>
              <w:rPr>
                <w:szCs w:val="22"/>
                <w:vertAlign w:val="subscript"/>
              </w:rPr>
              <w:t>max</w:t>
            </w:r>
            <w:r>
              <w:t xml:space="preserve"> ↓16% (↓30% ↔0%) *</w:t>
            </w:r>
          </w:p>
          <w:p w14:paraId="6AAB9703" w14:textId="77777777" w:rsidR="00D02BC8" w:rsidRPr="00D31EBB" w:rsidRDefault="00D02BC8" w:rsidP="008B6CCB">
            <w:pPr>
              <w:pStyle w:val="EMEABodyText"/>
              <w:rPr>
                <w:szCs w:val="22"/>
              </w:rPr>
            </w:pPr>
            <w:r>
              <w:t>Atazanavir C</w:t>
            </w:r>
            <w:r>
              <w:rPr>
                <w:szCs w:val="22"/>
                <w:vertAlign w:val="subscript"/>
              </w:rPr>
              <w:t>min</w:t>
            </w:r>
            <w:r>
              <w:t xml:space="preserve"> ↓23% (↓43% ↑2%) *</w:t>
            </w:r>
          </w:p>
          <w:p w14:paraId="53CD344B" w14:textId="77777777" w:rsidR="00D02BC8" w:rsidRPr="00FF5A0D" w:rsidRDefault="00D02BC8" w:rsidP="008B6CCB">
            <w:pPr>
              <w:pStyle w:val="EMEABodyText"/>
              <w:rPr>
                <w:szCs w:val="22"/>
              </w:rPr>
            </w:pPr>
          </w:p>
          <w:p w14:paraId="025BF1CC" w14:textId="77777777" w:rsidR="00D02BC8" w:rsidRPr="00D31EBB" w:rsidRDefault="00D02BC8" w:rsidP="008B6CCB">
            <w:pPr>
              <w:pStyle w:val="EMEABodyText"/>
              <w:rPr>
                <w:szCs w:val="22"/>
              </w:rPr>
            </w:pPr>
            <w:r>
              <w:t>* In a combined analysis from several clinical studies, atazanavir/ritonavir 300/100 mg co-administered with tenofovir disoproxil fumarate 300 mg (n=39) was compared to atazanavir/ritonavir 300/100 mg (n=33).</w:t>
            </w:r>
          </w:p>
          <w:p w14:paraId="1C57DCB4" w14:textId="77777777" w:rsidR="00D02BC8" w:rsidRPr="00D31EBB" w:rsidRDefault="00D02BC8" w:rsidP="008B6CCB">
            <w:pPr>
              <w:pStyle w:val="EMEABodyText"/>
              <w:rPr>
                <w:szCs w:val="22"/>
                <w:lang w:val="en-US"/>
              </w:rPr>
            </w:pPr>
          </w:p>
          <w:p w14:paraId="71BAA4B4" w14:textId="77777777" w:rsidR="00D02BC8" w:rsidRPr="00D31EBB" w:rsidRDefault="00D02BC8" w:rsidP="00C506A1">
            <w:pPr>
              <w:pStyle w:val="EMEABodyText"/>
              <w:rPr>
                <w:szCs w:val="22"/>
              </w:rPr>
            </w:pPr>
            <w:r>
              <w:t>The efficacy of REYATAZ/ritonavir in combination with tenofovir disoproxil fumarate in treatment-experienced patients has been demonstrated in clinical study 045 and in treatment naive patients in clinical study 138 (see sections 4.8 and 5.1). The mechanism of interaction between atazanavir and tenofovir disoproxil fumarate is unknown.</w:t>
            </w:r>
          </w:p>
        </w:tc>
        <w:tc>
          <w:tcPr>
            <w:tcW w:w="3119" w:type="dxa"/>
          </w:tcPr>
          <w:p w14:paraId="204D90E4" w14:textId="77777777" w:rsidR="00D02BC8" w:rsidRPr="00D31EBB" w:rsidRDefault="00D02BC8" w:rsidP="00C506A1">
            <w:pPr>
              <w:pStyle w:val="EMEABodyText"/>
              <w:rPr>
                <w:szCs w:val="22"/>
              </w:rPr>
            </w:pPr>
            <w:r>
              <w:t xml:space="preserve">When co-administered with tenofovir disoproxil fumarate, it is recommended that REYATAZ 300 mg be given with ritonavir 100 mg and tenofovir disoproxil fumarate 300 mg (all as a single dose with food). </w:t>
            </w:r>
          </w:p>
        </w:tc>
      </w:tr>
      <w:tr w:rsidR="00D02BC8" w:rsidRPr="00965E20" w14:paraId="25E41F61" w14:textId="77777777" w:rsidTr="008B6CCB">
        <w:trPr>
          <w:cantSplit/>
          <w:trHeight w:val="340"/>
        </w:trPr>
        <w:tc>
          <w:tcPr>
            <w:tcW w:w="3095" w:type="dxa"/>
          </w:tcPr>
          <w:p w14:paraId="04C70448" w14:textId="77777777" w:rsidR="00D02BC8" w:rsidRPr="00D31EBB" w:rsidRDefault="00D02BC8" w:rsidP="008B6CCB">
            <w:pPr>
              <w:pStyle w:val="EMEABodyText"/>
              <w:rPr>
                <w:b/>
                <w:szCs w:val="22"/>
              </w:rPr>
            </w:pPr>
            <w:r>
              <w:rPr>
                <w:b/>
                <w:szCs w:val="22"/>
              </w:rPr>
              <w:t>Tenofovir disoproxil fumarate 300 mg once daily</w:t>
            </w:r>
          </w:p>
          <w:p w14:paraId="61FBF261" w14:textId="77777777" w:rsidR="00C506A1" w:rsidRPr="00D31EBB" w:rsidRDefault="00D02BC8" w:rsidP="00C506A1">
            <w:pPr>
              <w:pStyle w:val="EMEABodyText"/>
              <w:rPr>
                <w:szCs w:val="22"/>
              </w:rPr>
            </w:pPr>
            <w:r>
              <w:t>(atazanavir 300 mg once daily with ritonavir 100 mg once daily)</w:t>
            </w:r>
          </w:p>
          <w:p w14:paraId="198E643C" w14:textId="77777777" w:rsidR="00E54274" w:rsidRPr="00D31EBB" w:rsidRDefault="00E54274" w:rsidP="00C506A1">
            <w:pPr>
              <w:pStyle w:val="EMEABodyText"/>
              <w:rPr>
                <w:szCs w:val="22"/>
                <w:lang w:val="en-US"/>
              </w:rPr>
            </w:pPr>
          </w:p>
          <w:p w14:paraId="06A801FB" w14:textId="77777777" w:rsidR="00E54274" w:rsidRPr="004F3582" w:rsidRDefault="00E54274" w:rsidP="00E54274">
            <w:pPr>
              <w:pStyle w:val="EMEABodyText"/>
              <w:rPr>
                <w:szCs w:val="22"/>
              </w:rPr>
            </w:pPr>
            <w:r>
              <w:t xml:space="preserve">300 mg tenofovir disoproxil fumarate is equivalent to </w:t>
            </w:r>
            <w:r>
              <w:br/>
              <w:t>245 mg tenofovir disoproxil.</w:t>
            </w:r>
          </w:p>
        </w:tc>
        <w:tc>
          <w:tcPr>
            <w:tcW w:w="3676" w:type="dxa"/>
          </w:tcPr>
          <w:p w14:paraId="7660A5CA" w14:textId="77777777" w:rsidR="00D02BC8" w:rsidRPr="00C506A1" w:rsidRDefault="00D02BC8" w:rsidP="008B6CCB">
            <w:pPr>
              <w:pStyle w:val="EMEABodyText"/>
              <w:rPr>
                <w:szCs w:val="22"/>
              </w:rPr>
            </w:pPr>
            <w:r>
              <w:t>Tenofovir disoproxil fumarate AUC ↑37% (↑30% ↑45%)</w:t>
            </w:r>
          </w:p>
          <w:p w14:paraId="74C52BA5" w14:textId="77777777" w:rsidR="00D02BC8" w:rsidRPr="00C506A1" w:rsidRDefault="00D02BC8" w:rsidP="008B6CCB">
            <w:pPr>
              <w:pStyle w:val="EMEABodyText"/>
              <w:rPr>
                <w:szCs w:val="22"/>
              </w:rPr>
            </w:pPr>
            <w:r>
              <w:t>Tenofovir disoproxil fumarate C</w:t>
            </w:r>
            <w:r>
              <w:rPr>
                <w:szCs w:val="22"/>
                <w:vertAlign w:val="subscript"/>
              </w:rPr>
              <w:t>max</w:t>
            </w:r>
            <w:r>
              <w:t xml:space="preserve"> ↑34% (↑20% ↑51%)</w:t>
            </w:r>
          </w:p>
          <w:p w14:paraId="4B283D1F" w14:textId="77777777" w:rsidR="00D02BC8" w:rsidRPr="004F3582" w:rsidRDefault="00D02BC8" w:rsidP="008B6CCB">
            <w:pPr>
              <w:pStyle w:val="EMEABodyText"/>
              <w:rPr>
                <w:szCs w:val="22"/>
              </w:rPr>
            </w:pPr>
            <w:r>
              <w:t>Tenofovir disoproxil fumarate C</w:t>
            </w:r>
            <w:r>
              <w:rPr>
                <w:szCs w:val="22"/>
                <w:vertAlign w:val="subscript"/>
              </w:rPr>
              <w:t>min</w:t>
            </w:r>
            <w:r>
              <w:t xml:space="preserve"> ↑29% (↑21% ↑36%)</w:t>
            </w:r>
          </w:p>
          <w:p w14:paraId="61BDA28E" w14:textId="77777777" w:rsidR="00D02BC8" w:rsidRPr="004F3582" w:rsidRDefault="00D02BC8" w:rsidP="008B6CCB">
            <w:pPr>
              <w:pStyle w:val="EMEABodyText"/>
              <w:rPr>
                <w:szCs w:val="22"/>
              </w:rPr>
            </w:pPr>
          </w:p>
        </w:tc>
        <w:tc>
          <w:tcPr>
            <w:tcW w:w="3119" w:type="dxa"/>
          </w:tcPr>
          <w:p w14:paraId="431208B0" w14:textId="77777777" w:rsidR="00D02BC8" w:rsidRPr="00D31EBB" w:rsidRDefault="00D02BC8" w:rsidP="00C506A1">
            <w:pPr>
              <w:pStyle w:val="EMEABodyText"/>
              <w:rPr>
                <w:szCs w:val="22"/>
              </w:rPr>
            </w:pPr>
            <w:r>
              <w:t>Patients should be closely monitored for tenofovir disoproxil fumarate-associated adverse reactions, including renal disorders.</w:t>
            </w:r>
          </w:p>
        </w:tc>
      </w:tr>
      <w:tr w:rsidR="00D02BC8" w:rsidRPr="004F3582" w14:paraId="508EC09E" w14:textId="77777777" w:rsidTr="008B6CCB">
        <w:trPr>
          <w:cantSplit/>
          <w:trHeight w:val="340"/>
        </w:trPr>
        <w:tc>
          <w:tcPr>
            <w:tcW w:w="9890" w:type="dxa"/>
            <w:gridSpan w:val="3"/>
          </w:tcPr>
          <w:p w14:paraId="3B94A51B" w14:textId="77777777" w:rsidR="00D02BC8" w:rsidRPr="004F3582" w:rsidRDefault="00D02BC8" w:rsidP="008B6CCB">
            <w:pPr>
              <w:pStyle w:val="EMEABodyText"/>
              <w:rPr>
                <w:i/>
                <w:szCs w:val="22"/>
              </w:rPr>
            </w:pPr>
            <w:r>
              <w:rPr>
                <w:i/>
                <w:szCs w:val="22"/>
              </w:rPr>
              <w:t>Non-nucleoside reverse transcriptase inhibitors (NNRTIs)</w:t>
            </w:r>
          </w:p>
        </w:tc>
      </w:tr>
      <w:tr w:rsidR="00D02BC8" w:rsidRPr="00965E20" w14:paraId="0D9AE812" w14:textId="77777777" w:rsidTr="008B6CCB">
        <w:trPr>
          <w:cantSplit/>
          <w:trHeight w:val="340"/>
        </w:trPr>
        <w:tc>
          <w:tcPr>
            <w:tcW w:w="3095" w:type="dxa"/>
          </w:tcPr>
          <w:p w14:paraId="0F805600" w14:textId="77777777" w:rsidR="00D02BC8" w:rsidRPr="00D31EBB" w:rsidRDefault="00D02BC8" w:rsidP="008B6CCB">
            <w:pPr>
              <w:pStyle w:val="EMEABodyText"/>
              <w:rPr>
                <w:b/>
                <w:szCs w:val="22"/>
              </w:rPr>
            </w:pPr>
            <w:r>
              <w:rPr>
                <w:b/>
                <w:szCs w:val="22"/>
              </w:rPr>
              <w:t>Efavirenz 600 mg once daily</w:t>
            </w:r>
          </w:p>
          <w:p w14:paraId="4970075B" w14:textId="77777777" w:rsidR="00D02BC8" w:rsidRPr="00D31EBB" w:rsidRDefault="00D02BC8" w:rsidP="008B6CCB">
            <w:pPr>
              <w:pStyle w:val="EMEABodyText"/>
              <w:rPr>
                <w:szCs w:val="22"/>
              </w:rPr>
            </w:pPr>
            <w:r>
              <w:t>(atazanavir 400 mg once daily with ritonavir 100 mg once daily)</w:t>
            </w:r>
          </w:p>
          <w:p w14:paraId="69D7013A" w14:textId="77777777" w:rsidR="00D02BC8" w:rsidRPr="00D31EBB" w:rsidRDefault="00D02BC8" w:rsidP="008B6CCB">
            <w:pPr>
              <w:pStyle w:val="EMEABodyText"/>
              <w:rPr>
                <w:szCs w:val="22"/>
                <w:lang w:val="en-US"/>
              </w:rPr>
            </w:pPr>
          </w:p>
        </w:tc>
        <w:tc>
          <w:tcPr>
            <w:tcW w:w="3676" w:type="dxa"/>
          </w:tcPr>
          <w:p w14:paraId="7856FFBC" w14:textId="77777777" w:rsidR="00D02BC8" w:rsidRPr="00D31EBB" w:rsidRDefault="00D02BC8" w:rsidP="008B6CCB">
            <w:pPr>
              <w:pStyle w:val="EMEABodyText"/>
              <w:rPr>
                <w:szCs w:val="22"/>
              </w:rPr>
            </w:pPr>
            <w:r>
              <w:t>Atazanavir (pm): all administered with food</w:t>
            </w:r>
          </w:p>
          <w:p w14:paraId="3C9DBE31" w14:textId="77777777" w:rsidR="00D02BC8" w:rsidRPr="00D31EBB" w:rsidRDefault="00D02BC8" w:rsidP="008B6CCB">
            <w:pPr>
              <w:pStyle w:val="EMEABodyText"/>
              <w:rPr>
                <w:szCs w:val="22"/>
              </w:rPr>
            </w:pPr>
            <w:r>
              <w:t>Atazanavir AUC ↔0%(↓9% ↑10%)*</w:t>
            </w:r>
          </w:p>
          <w:p w14:paraId="0A96310D" w14:textId="77777777" w:rsidR="00D02BC8" w:rsidRPr="00D31EBB" w:rsidRDefault="00D02BC8" w:rsidP="008B6CCB">
            <w:pPr>
              <w:pStyle w:val="EMEABodyText"/>
              <w:rPr>
                <w:szCs w:val="22"/>
              </w:rPr>
            </w:pPr>
            <w:r>
              <w:t>Atazanavir C</w:t>
            </w:r>
            <w:r>
              <w:rPr>
                <w:szCs w:val="22"/>
                <w:vertAlign w:val="subscript"/>
              </w:rPr>
              <w:t>max</w:t>
            </w:r>
            <w:r>
              <w:t xml:space="preserve"> ↑17%(↑8% ↑27%)*</w:t>
            </w:r>
          </w:p>
          <w:p w14:paraId="3EE46BA2" w14:textId="77777777" w:rsidR="00D02BC8" w:rsidRPr="00D31EBB" w:rsidRDefault="00D02BC8" w:rsidP="008B6CCB">
            <w:pPr>
              <w:pStyle w:val="EMEABodyText"/>
              <w:rPr>
                <w:szCs w:val="22"/>
              </w:rPr>
            </w:pPr>
            <w:r>
              <w:t>Atazanavir C</w:t>
            </w:r>
            <w:r>
              <w:rPr>
                <w:szCs w:val="22"/>
                <w:vertAlign w:val="subscript"/>
              </w:rPr>
              <w:t>min</w:t>
            </w:r>
            <w:r>
              <w:t xml:space="preserve"> ↓42%(↓51% ↓31%)*</w:t>
            </w:r>
          </w:p>
          <w:p w14:paraId="5C01EA42" w14:textId="77777777" w:rsidR="00D02BC8" w:rsidRPr="00FF5A0D" w:rsidRDefault="00D02BC8" w:rsidP="008B6CCB">
            <w:pPr>
              <w:pStyle w:val="EMEABodyText"/>
              <w:rPr>
                <w:szCs w:val="22"/>
              </w:rPr>
            </w:pPr>
          </w:p>
        </w:tc>
        <w:tc>
          <w:tcPr>
            <w:tcW w:w="3119" w:type="dxa"/>
            <w:vMerge w:val="restart"/>
          </w:tcPr>
          <w:p w14:paraId="5084DFF6" w14:textId="77777777" w:rsidR="00D02BC8" w:rsidRPr="00D31EBB" w:rsidRDefault="00D02BC8" w:rsidP="008B6CCB">
            <w:pPr>
              <w:pStyle w:val="EMEABodyText"/>
              <w:rPr>
                <w:szCs w:val="22"/>
              </w:rPr>
            </w:pPr>
            <w:r>
              <w:t>Co-administration of efavirenz and REYATAZ is not recommended (see section 4.4)</w:t>
            </w:r>
          </w:p>
          <w:p w14:paraId="1490AF1F" w14:textId="77777777" w:rsidR="00D02BC8" w:rsidRPr="00D31EBB" w:rsidRDefault="00D02BC8" w:rsidP="008B6CCB">
            <w:pPr>
              <w:pStyle w:val="EMEABodyText"/>
              <w:rPr>
                <w:szCs w:val="22"/>
                <w:lang w:val="en-US"/>
              </w:rPr>
            </w:pPr>
          </w:p>
        </w:tc>
      </w:tr>
      <w:tr w:rsidR="00D02BC8" w:rsidRPr="00965E20" w14:paraId="1156590F" w14:textId="77777777" w:rsidTr="008B6CCB">
        <w:trPr>
          <w:cantSplit/>
          <w:trHeight w:val="340"/>
        </w:trPr>
        <w:tc>
          <w:tcPr>
            <w:tcW w:w="3095" w:type="dxa"/>
          </w:tcPr>
          <w:p w14:paraId="0AC5A9AC" w14:textId="77777777" w:rsidR="00D02BC8" w:rsidRPr="00D31EBB" w:rsidRDefault="00D02BC8" w:rsidP="008B6CCB">
            <w:pPr>
              <w:pStyle w:val="EMEABodyText"/>
              <w:rPr>
                <w:b/>
                <w:szCs w:val="22"/>
              </w:rPr>
            </w:pPr>
            <w:r>
              <w:rPr>
                <w:b/>
                <w:szCs w:val="22"/>
              </w:rPr>
              <w:lastRenderedPageBreak/>
              <w:t>Efavirenz 600 mg once daily</w:t>
            </w:r>
          </w:p>
          <w:p w14:paraId="5C0AE8A0" w14:textId="77777777" w:rsidR="00D02BC8" w:rsidRPr="00D31EBB" w:rsidRDefault="00D02BC8" w:rsidP="008B6CCB">
            <w:pPr>
              <w:pStyle w:val="EMEABodyText"/>
              <w:rPr>
                <w:szCs w:val="22"/>
              </w:rPr>
            </w:pPr>
            <w:r>
              <w:t>(atazanavir 400 mg once daily with ritonavir 200 mg once daily)</w:t>
            </w:r>
          </w:p>
        </w:tc>
        <w:tc>
          <w:tcPr>
            <w:tcW w:w="3676" w:type="dxa"/>
          </w:tcPr>
          <w:p w14:paraId="298B245C" w14:textId="77777777" w:rsidR="00D02BC8" w:rsidRPr="00D31EBB" w:rsidRDefault="00D02BC8" w:rsidP="008B6CCB">
            <w:pPr>
              <w:pStyle w:val="EMEABodyText"/>
              <w:rPr>
                <w:szCs w:val="22"/>
              </w:rPr>
            </w:pPr>
            <w:r>
              <w:t>Atazanavir (pm): all administered with food</w:t>
            </w:r>
          </w:p>
          <w:p w14:paraId="59FE95EB" w14:textId="77777777" w:rsidR="00D02BC8" w:rsidRPr="00D31EBB" w:rsidRDefault="00D02BC8" w:rsidP="008B6CCB">
            <w:pPr>
              <w:pStyle w:val="EMEABodyText"/>
              <w:rPr>
                <w:szCs w:val="22"/>
              </w:rPr>
            </w:pPr>
            <w:r>
              <w:t>Atazanavir AUC ↔6% (↓10% ↑26%) */**</w:t>
            </w:r>
          </w:p>
          <w:p w14:paraId="16CA3091" w14:textId="77777777" w:rsidR="00D02BC8" w:rsidRPr="00D31EBB" w:rsidRDefault="00D02BC8" w:rsidP="008B6CCB">
            <w:pPr>
              <w:pStyle w:val="EMEABodyText"/>
              <w:rPr>
                <w:szCs w:val="22"/>
              </w:rPr>
            </w:pPr>
            <w:r>
              <w:t>Atazanavir C</w:t>
            </w:r>
            <w:r>
              <w:rPr>
                <w:szCs w:val="22"/>
                <w:vertAlign w:val="subscript"/>
              </w:rPr>
              <w:t>max</w:t>
            </w:r>
            <w:r>
              <w:t xml:space="preserve"> ↔9% (↓5% ↑26%) */**</w:t>
            </w:r>
          </w:p>
          <w:p w14:paraId="65B5D622" w14:textId="77777777" w:rsidR="00D02BC8" w:rsidRPr="00D31EBB" w:rsidRDefault="00D02BC8" w:rsidP="008B6CCB">
            <w:pPr>
              <w:pStyle w:val="EMEABodyText"/>
              <w:rPr>
                <w:szCs w:val="22"/>
              </w:rPr>
            </w:pPr>
            <w:r>
              <w:t>Atazanavir C</w:t>
            </w:r>
            <w:r>
              <w:rPr>
                <w:szCs w:val="22"/>
                <w:vertAlign w:val="subscript"/>
              </w:rPr>
              <w:t>min</w:t>
            </w:r>
            <w:r>
              <w:t xml:space="preserve"> ↔12% (↓16% ↑49%) */**</w:t>
            </w:r>
          </w:p>
          <w:p w14:paraId="0BE4BDAE" w14:textId="77777777" w:rsidR="00D02BC8" w:rsidRPr="00D31EBB" w:rsidRDefault="00D02BC8" w:rsidP="008B6CCB">
            <w:pPr>
              <w:pStyle w:val="EMEABodyText"/>
              <w:rPr>
                <w:szCs w:val="22"/>
              </w:rPr>
            </w:pPr>
            <w:r>
              <w:t>* When compared to REYATAZ 300 mg/ritonavir 100 mg once daily in the evening without efavirenz. This decrease in atazanavir C</w:t>
            </w:r>
            <w:r>
              <w:rPr>
                <w:szCs w:val="22"/>
                <w:vertAlign w:val="subscript"/>
              </w:rPr>
              <w:t>min</w:t>
            </w:r>
            <w:r>
              <w:t>, might negatively impact the efficacy of atazanavir. The mechanism of efavirenz/atazanavir interaction is CYP3A4 induction.</w:t>
            </w:r>
          </w:p>
          <w:p w14:paraId="614D8231" w14:textId="77777777" w:rsidR="00D02BC8" w:rsidRPr="00D31EBB" w:rsidRDefault="00D02BC8" w:rsidP="008B6CCB">
            <w:pPr>
              <w:pStyle w:val="EMEABodyText"/>
              <w:rPr>
                <w:szCs w:val="22"/>
              </w:rPr>
            </w:pPr>
            <w:r>
              <w:t>** Based on historical comparison.</w:t>
            </w:r>
          </w:p>
        </w:tc>
        <w:tc>
          <w:tcPr>
            <w:tcW w:w="3119" w:type="dxa"/>
            <w:vMerge/>
          </w:tcPr>
          <w:p w14:paraId="758884AA" w14:textId="77777777" w:rsidR="00D02BC8" w:rsidRPr="00D31EBB" w:rsidRDefault="00D02BC8" w:rsidP="008B6CCB">
            <w:pPr>
              <w:pStyle w:val="EMEABodyText"/>
              <w:rPr>
                <w:szCs w:val="22"/>
                <w:lang w:val="en-US"/>
              </w:rPr>
            </w:pPr>
          </w:p>
        </w:tc>
      </w:tr>
      <w:tr w:rsidR="00D02BC8" w:rsidRPr="00965E20" w14:paraId="56EE3B0A" w14:textId="77777777" w:rsidTr="008B6CCB">
        <w:trPr>
          <w:cantSplit/>
          <w:trHeight w:val="340"/>
        </w:trPr>
        <w:tc>
          <w:tcPr>
            <w:tcW w:w="3095" w:type="dxa"/>
          </w:tcPr>
          <w:p w14:paraId="38A34C1F" w14:textId="77777777" w:rsidR="00D02BC8" w:rsidRPr="00D31EBB" w:rsidRDefault="00D02BC8" w:rsidP="008B6CCB">
            <w:pPr>
              <w:pStyle w:val="EMEABodyText"/>
              <w:rPr>
                <w:b/>
                <w:szCs w:val="22"/>
              </w:rPr>
            </w:pPr>
            <w:r>
              <w:rPr>
                <w:b/>
                <w:szCs w:val="22"/>
              </w:rPr>
              <w:t>Nevirapine 200 mg twice daily</w:t>
            </w:r>
          </w:p>
          <w:p w14:paraId="6BAC1986" w14:textId="77777777" w:rsidR="00D02BC8" w:rsidRPr="00D31EBB" w:rsidRDefault="00D02BC8" w:rsidP="008B6CCB">
            <w:pPr>
              <w:pStyle w:val="EMEABodyText"/>
              <w:rPr>
                <w:szCs w:val="22"/>
              </w:rPr>
            </w:pPr>
            <w:r>
              <w:t>(atazanavir 400 mg once daily with ritonavir 100 mg once daily)</w:t>
            </w:r>
          </w:p>
          <w:p w14:paraId="445C28D5" w14:textId="77777777" w:rsidR="00D02BC8" w:rsidRPr="00D31EBB" w:rsidRDefault="00D02BC8" w:rsidP="008B6CCB">
            <w:pPr>
              <w:pStyle w:val="EMEABodyText"/>
              <w:rPr>
                <w:szCs w:val="22"/>
                <w:lang w:val="en-US"/>
              </w:rPr>
            </w:pPr>
          </w:p>
          <w:p w14:paraId="1E9756A9" w14:textId="77777777" w:rsidR="00D02BC8" w:rsidRPr="00D31EBB" w:rsidRDefault="00D02BC8" w:rsidP="008B6CCB">
            <w:pPr>
              <w:pStyle w:val="EMEABodyText"/>
              <w:rPr>
                <w:szCs w:val="22"/>
              </w:rPr>
            </w:pPr>
            <w:r>
              <w:t>Study conducted in HIV infected patients</w:t>
            </w:r>
          </w:p>
          <w:p w14:paraId="2EE45EB9" w14:textId="77777777" w:rsidR="00D02BC8" w:rsidRPr="00D31EBB" w:rsidRDefault="00D02BC8" w:rsidP="008B6CCB">
            <w:pPr>
              <w:pStyle w:val="EMEABodyText"/>
              <w:rPr>
                <w:szCs w:val="22"/>
                <w:lang w:val="en-US"/>
              </w:rPr>
            </w:pPr>
          </w:p>
        </w:tc>
        <w:tc>
          <w:tcPr>
            <w:tcW w:w="3676" w:type="dxa"/>
          </w:tcPr>
          <w:p w14:paraId="0A12A412" w14:textId="77777777" w:rsidR="00D02BC8" w:rsidRPr="00D31EBB" w:rsidRDefault="00D02BC8" w:rsidP="008B6CCB">
            <w:pPr>
              <w:pStyle w:val="EMEABodyText"/>
              <w:rPr>
                <w:szCs w:val="22"/>
              </w:rPr>
            </w:pPr>
            <w:r>
              <w:t>Nevirapine AUC ↑26% (↑17% ↑36%)</w:t>
            </w:r>
          </w:p>
          <w:p w14:paraId="082CF73F" w14:textId="77777777" w:rsidR="00D02BC8" w:rsidRPr="00D31EBB" w:rsidRDefault="00D02BC8" w:rsidP="008B6CCB">
            <w:pPr>
              <w:pStyle w:val="EMEABodyText"/>
              <w:rPr>
                <w:szCs w:val="22"/>
              </w:rPr>
            </w:pPr>
            <w:r>
              <w:t>Nevirapine C</w:t>
            </w:r>
            <w:r>
              <w:rPr>
                <w:szCs w:val="22"/>
                <w:vertAlign w:val="subscript"/>
              </w:rPr>
              <w:t>max</w:t>
            </w:r>
            <w:r>
              <w:t xml:space="preserve"> ↑21% (↑11% ↑32%)</w:t>
            </w:r>
          </w:p>
          <w:p w14:paraId="4015E1E9" w14:textId="77777777" w:rsidR="00D02BC8" w:rsidRPr="00D31EBB" w:rsidRDefault="00D02BC8" w:rsidP="008B6CCB">
            <w:pPr>
              <w:pStyle w:val="EMEABodyText"/>
              <w:rPr>
                <w:szCs w:val="22"/>
              </w:rPr>
            </w:pPr>
            <w:r>
              <w:t>Nevirapine C</w:t>
            </w:r>
            <w:r>
              <w:rPr>
                <w:szCs w:val="22"/>
                <w:vertAlign w:val="subscript"/>
              </w:rPr>
              <w:t>min</w:t>
            </w:r>
            <w:r>
              <w:t xml:space="preserve"> ↑35% (↑25% ↑47%)</w:t>
            </w:r>
          </w:p>
          <w:p w14:paraId="22888010" w14:textId="77777777" w:rsidR="00D02BC8" w:rsidRPr="00D31EBB" w:rsidRDefault="00D02BC8" w:rsidP="008B6CCB">
            <w:pPr>
              <w:pStyle w:val="EMEABodyText"/>
              <w:rPr>
                <w:szCs w:val="22"/>
                <w:lang w:val="en-US"/>
              </w:rPr>
            </w:pPr>
          </w:p>
          <w:p w14:paraId="69A5A62C" w14:textId="77777777" w:rsidR="00D02BC8" w:rsidRPr="00D31EBB" w:rsidRDefault="00D02BC8" w:rsidP="008B6CCB">
            <w:pPr>
              <w:pStyle w:val="EMEABodyText"/>
              <w:rPr>
                <w:szCs w:val="22"/>
              </w:rPr>
            </w:pPr>
            <w:r>
              <w:t>Atazanavir AUC ↓19% (↓35% ↑2%) *</w:t>
            </w:r>
          </w:p>
          <w:p w14:paraId="12E4E750" w14:textId="77777777" w:rsidR="00D02BC8" w:rsidRPr="00D31EBB" w:rsidRDefault="00D02BC8" w:rsidP="008B6CCB">
            <w:pPr>
              <w:pStyle w:val="EMEABodyText"/>
              <w:rPr>
                <w:szCs w:val="22"/>
              </w:rPr>
            </w:pPr>
            <w:r>
              <w:t>Atazanavir C</w:t>
            </w:r>
            <w:r>
              <w:rPr>
                <w:szCs w:val="22"/>
                <w:vertAlign w:val="subscript"/>
              </w:rPr>
              <w:t>max</w:t>
            </w:r>
            <w:r>
              <w:t xml:space="preserve"> ↔2% (↓15% ↑24%) *</w:t>
            </w:r>
          </w:p>
          <w:p w14:paraId="728AAF2B" w14:textId="77777777" w:rsidR="00D02BC8" w:rsidRPr="00D31EBB" w:rsidRDefault="00D02BC8" w:rsidP="008B6CCB">
            <w:pPr>
              <w:pStyle w:val="EMEABodyText"/>
              <w:rPr>
                <w:szCs w:val="22"/>
              </w:rPr>
            </w:pPr>
            <w:r>
              <w:t>Atazanavir C</w:t>
            </w:r>
            <w:r>
              <w:rPr>
                <w:szCs w:val="22"/>
                <w:vertAlign w:val="subscript"/>
              </w:rPr>
              <w:t>min</w:t>
            </w:r>
            <w:r>
              <w:t xml:space="preserve"> ↓59% (↓73% ↓40%) *</w:t>
            </w:r>
          </w:p>
          <w:p w14:paraId="4D6EECEC" w14:textId="77777777" w:rsidR="00D02BC8" w:rsidRPr="00D31EBB" w:rsidRDefault="00D02BC8" w:rsidP="008B6CCB">
            <w:pPr>
              <w:pStyle w:val="EMEABodyText"/>
              <w:rPr>
                <w:szCs w:val="22"/>
                <w:lang w:val="en-US"/>
              </w:rPr>
            </w:pPr>
          </w:p>
          <w:p w14:paraId="3383ED95" w14:textId="77777777" w:rsidR="00D02BC8" w:rsidRPr="004F3582" w:rsidRDefault="00D02BC8" w:rsidP="008B6CCB">
            <w:pPr>
              <w:pStyle w:val="EMEABodyText"/>
              <w:rPr>
                <w:szCs w:val="22"/>
              </w:rPr>
            </w:pPr>
            <w:r>
              <w:t>* When compared to REYATAZ 300 mg and ritonavir 100 mg without nevirapine. This decrease in atazanavir C</w:t>
            </w:r>
            <w:r>
              <w:rPr>
                <w:szCs w:val="22"/>
                <w:vertAlign w:val="subscript"/>
              </w:rPr>
              <w:t>min</w:t>
            </w:r>
            <w:r>
              <w:t>, might negatively impact the efficacy of atazanavir. The mechanism of nevirapine/atazanavir interaction is CYP3A4 induction.</w:t>
            </w:r>
          </w:p>
        </w:tc>
        <w:tc>
          <w:tcPr>
            <w:tcW w:w="3119" w:type="dxa"/>
          </w:tcPr>
          <w:p w14:paraId="673E2A6B" w14:textId="77777777" w:rsidR="00D02BC8" w:rsidRPr="00D31EBB" w:rsidRDefault="00D02BC8" w:rsidP="00BC76A6">
            <w:pPr>
              <w:pStyle w:val="EMEABodyText"/>
              <w:rPr>
                <w:szCs w:val="22"/>
              </w:rPr>
            </w:pPr>
            <w:r>
              <w:t>Co-administration of nevirapine and REYATAZ is not recommended (see section 4.4)</w:t>
            </w:r>
          </w:p>
        </w:tc>
      </w:tr>
      <w:tr w:rsidR="00D02BC8" w:rsidRPr="004F3582" w14:paraId="37AB0131" w14:textId="77777777" w:rsidTr="008B6CCB">
        <w:trPr>
          <w:cantSplit/>
          <w:trHeight w:val="340"/>
        </w:trPr>
        <w:tc>
          <w:tcPr>
            <w:tcW w:w="9890" w:type="dxa"/>
            <w:gridSpan w:val="3"/>
          </w:tcPr>
          <w:p w14:paraId="0C5BC541" w14:textId="77777777" w:rsidR="00D02BC8" w:rsidRPr="004F3582" w:rsidRDefault="00D02BC8" w:rsidP="008B6CCB">
            <w:pPr>
              <w:pStyle w:val="EMEABodyText"/>
              <w:rPr>
                <w:i/>
                <w:szCs w:val="22"/>
              </w:rPr>
            </w:pPr>
            <w:r>
              <w:rPr>
                <w:i/>
                <w:szCs w:val="22"/>
              </w:rPr>
              <w:t>Integrase Inhibitors</w:t>
            </w:r>
          </w:p>
        </w:tc>
      </w:tr>
      <w:tr w:rsidR="00D02BC8" w:rsidRPr="00965E20" w14:paraId="7ECB6C33" w14:textId="77777777" w:rsidTr="008B6CCB">
        <w:trPr>
          <w:cantSplit/>
          <w:trHeight w:val="340"/>
        </w:trPr>
        <w:tc>
          <w:tcPr>
            <w:tcW w:w="3095" w:type="dxa"/>
          </w:tcPr>
          <w:p w14:paraId="36597F95" w14:textId="77777777" w:rsidR="00D02BC8" w:rsidRPr="00D31EBB" w:rsidRDefault="00D02BC8" w:rsidP="008B6CCB">
            <w:pPr>
              <w:pStyle w:val="EMEABodyText"/>
              <w:rPr>
                <w:b/>
                <w:szCs w:val="22"/>
              </w:rPr>
            </w:pPr>
            <w:r>
              <w:rPr>
                <w:b/>
                <w:szCs w:val="22"/>
              </w:rPr>
              <w:t>Raltegravir 400 mg twice daily</w:t>
            </w:r>
          </w:p>
          <w:p w14:paraId="2280353F" w14:textId="77777777" w:rsidR="00D02BC8" w:rsidRPr="00D31EBB" w:rsidRDefault="00D02BC8" w:rsidP="008B6CCB">
            <w:pPr>
              <w:pStyle w:val="EMEABodyText"/>
              <w:rPr>
                <w:szCs w:val="22"/>
              </w:rPr>
            </w:pPr>
            <w:r>
              <w:t>(atazanavir/ritonavir)</w:t>
            </w:r>
          </w:p>
        </w:tc>
        <w:tc>
          <w:tcPr>
            <w:tcW w:w="3676" w:type="dxa"/>
          </w:tcPr>
          <w:p w14:paraId="2B877B9E" w14:textId="77777777" w:rsidR="00D02BC8" w:rsidRPr="00D31EBB" w:rsidRDefault="00D02BC8" w:rsidP="008B6CCB">
            <w:pPr>
              <w:pStyle w:val="EMEABodyText"/>
              <w:rPr>
                <w:szCs w:val="22"/>
              </w:rPr>
            </w:pPr>
            <w:r>
              <w:t>Raltegravir AUC ↑41%</w:t>
            </w:r>
          </w:p>
          <w:p w14:paraId="079E2C0D" w14:textId="77777777" w:rsidR="00D02BC8" w:rsidRPr="00D31EBB" w:rsidRDefault="00D02BC8" w:rsidP="008B6CCB">
            <w:pPr>
              <w:pStyle w:val="EMEABodyText"/>
              <w:rPr>
                <w:szCs w:val="22"/>
              </w:rPr>
            </w:pPr>
            <w:r>
              <w:t>Raltegravir C</w:t>
            </w:r>
            <w:r>
              <w:rPr>
                <w:szCs w:val="22"/>
                <w:vertAlign w:val="subscript"/>
              </w:rPr>
              <w:t xml:space="preserve">max </w:t>
            </w:r>
            <w:r>
              <w:t>↑24%</w:t>
            </w:r>
          </w:p>
          <w:p w14:paraId="5A0CA56B" w14:textId="77777777" w:rsidR="00D02BC8" w:rsidRPr="00D31EBB" w:rsidRDefault="00D02BC8" w:rsidP="008B6CCB">
            <w:pPr>
              <w:pStyle w:val="EMEABodyText"/>
              <w:rPr>
                <w:szCs w:val="22"/>
              </w:rPr>
            </w:pPr>
            <w:r>
              <w:t>Raltegravir C</w:t>
            </w:r>
            <w:r>
              <w:rPr>
                <w:szCs w:val="22"/>
                <w:vertAlign w:val="subscript"/>
              </w:rPr>
              <w:t xml:space="preserve">12hr </w:t>
            </w:r>
            <w:r>
              <w:t>↑77%</w:t>
            </w:r>
          </w:p>
          <w:p w14:paraId="3232EAA4" w14:textId="77777777" w:rsidR="00D02BC8" w:rsidRPr="005C4B2B" w:rsidRDefault="00D02BC8" w:rsidP="008B6CCB">
            <w:pPr>
              <w:pStyle w:val="EMEABodyText"/>
              <w:rPr>
                <w:szCs w:val="22"/>
                <w:lang w:val="es-ES"/>
              </w:rPr>
            </w:pPr>
          </w:p>
          <w:p w14:paraId="66605737" w14:textId="77777777" w:rsidR="00D02BC8" w:rsidRPr="00D31EBB" w:rsidRDefault="00D02BC8" w:rsidP="008B6CCB">
            <w:pPr>
              <w:pStyle w:val="EMEABodyText"/>
              <w:rPr>
                <w:szCs w:val="22"/>
              </w:rPr>
            </w:pPr>
            <w:r>
              <w:t>The mechanism is UGT1A1 inhibition.</w:t>
            </w:r>
          </w:p>
        </w:tc>
        <w:tc>
          <w:tcPr>
            <w:tcW w:w="3119" w:type="dxa"/>
          </w:tcPr>
          <w:p w14:paraId="18FEB751" w14:textId="77777777" w:rsidR="00D02BC8" w:rsidRPr="00D31EBB" w:rsidRDefault="00D02BC8" w:rsidP="000424FD">
            <w:pPr>
              <w:pStyle w:val="EMEABodyText"/>
              <w:rPr>
                <w:szCs w:val="22"/>
              </w:rPr>
            </w:pPr>
            <w:r>
              <w:t>No dose adjustment required for raltegravir.</w:t>
            </w:r>
          </w:p>
        </w:tc>
      </w:tr>
      <w:tr w:rsidR="00D02BC8" w:rsidRPr="004F3582" w14:paraId="4FD395F1" w14:textId="77777777" w:rsidTr="008B6CCB">
        <w:trPr>
          <w:cantSplit/>
          <w:trHeight w:val="340"/>
        </w:trPr>
        <w:tc>
          <w:tcPr>
            <w:tcW w:w="9890" w:type="dxa"/>
            <w:gridSpan w:val="3"/>
          </w:tcPr>
          <w:p w14:paraId="5D02CF32" w14:textId="77777777" w:rsidR="00D02BC8" w:rsidRPr="004F3582" w:rsidRDefault="00D02BC8" w:rsidP="00F22397">
            <w:pPr>
              <w:pStyle w:val="EMEABodyText"/>
              <w:keepNext/>
              <w:rPr>
                <w:i/>
                <w:szCs w:val="22"/>
              </w:rPr>
            </w:pPr>
            <w:r>
              <w:rPr>
                <w:i/>
                <w:szCs w:val="22"/>
              </w:rPr>
              <w:t>HCV Protease Inhibitors</w:t>
            </w:r>
          </w:p>
        </w:tc>
      </w:tr>
      <w:tr w:rsidR="00D02BC8" w:rsidRPr="00965E20" w14:paraId="2A9509BC" w14:textId="77777777" w:rsidTr="008B6CCB">
        <w:trPr>
          <w:cantSplit/>
          <w:trHeight w:val="340"/>
        </w:trPr>
        <w:tc>
          <w:tcPr>
            <w:tcW w:w="3095" w:type="dxa"/>
          </w:tcPr>
          <w:p w14:paraId="032C2428" w14:textId="77777777" w:rsidR="00D02BC8" w:rsidRPr="00D31EBB" w:rsidRDefault="00D02BC8" w:rsidP="00FF2270">
            <w:pPr>
              <w:pStyle w:val="EMEABodyText"/>
              <w:rPr>
                <w:b/>
                <w:szCs w:val="22"/>
              </w:rPr>
            </w:pPr>
            <w:r>
              <w:rPr>
                <w:b/>
                <w:szCs w:val="22"/>
              </w:rPr>
              <w:t>Boceprevir 800 mg three times daily</w:t>
            </w:r>
          </w:p>
          <w:p w14:paraId="4F73D1B2" w14:textId="77777777" w:rsidR="00D02BC8" w:rsidRPr="00D31EBB" w:rsidRDefault="00D02BC8" w:rsidP="00FF2270">
            <w:pPr>
              <w:pStyle w:val="EMEABodyText"/>
              <w:rPr>
                <w:szCs w:val="22"/>
              </w:rPr>
            </w:pPr>
            <w:r>
              <w:t>(atazanavir 300 mg/ritonavir 100 mg once daily)</w:t>
            </w:r>
          </w:p>
        </w:tc>
        <w:tc>
          <w:tcPr>
            <w:tcW w:w="3676" w:type="dxa"/>
          </w:tcPr>
          <w:p w14:paraId="2940783A" w14:textId="77777777" w:rsidR="00D02BC8" w:rsidRPr="00D31EBB" w:rsidRDefault="00D02BC8" w:rsidP="00FF2270">
            <w:pPr>
              <w:pStyle w:val="Default"/>
              <w:rPr>
                <w:sz w:val="22"/>
                <w:szCs w:val="22"/>
              </w:rPr>
            </w:pPr>
            <w:r>
              <w:rPr>
                <w:sz w:val="22"/>
                <w:szCs w:val="22"/>
              </w:rPr>
              <w:t>boceprevir AUC ↔5%</w:t>
            </w:r>
          </w:p>
          <w:p w14:paraId="29511C64" w14:textId="77777777" w:rsidR="00D02BC8" w:rsidRPr="00D31EBB" w:rsidRDefault="00D02BC8" w:rsidP="00FF2270">
            <w:pPr>
              <w:pStyle w:val="Default"/>
              <w:rPr>
                <w:sz w:val="22"/>
                <w:szCs w:val="22"/>
              </w:rPr>
            </w:pPr>
            <w:r>
              <w:rPr>
                <w:sz w:val="22"/>
                <w:szCs w:val="22"/>
              </w:rPr>
              <w:t>boceprevir C</w:t>
            </w:r>
            <w:r>
              <w:rPr>
                <w:sz w:val="22"/>
                <w:szCs w:val="22"/>
                <w:vertAlign w:val="subscript"/>
              </w:rPr>
              <w:t>max</w:t>
            </w:r>
            <w:r>
              <w:rPr>
                <w:sz w:val="22"/>
                <w:szCs w:val="22"/>
              </w:rPr>
              <w:t xml:space="preserve"> ↔7%</w:t>
            </w:r>
          </w:p>
          <w:p w14:paraId="27BB0192" w14:textId="77777777" w:rsidR="00D02BC8" w:rsidRPr="00D31EBB" w:rsidRDefault="00D02BC8" w:rsidP="00FF2270">
            <w:pPr>
              <w:pStyle w:val="Default"/>
              <w:rPr>
                <w:sz w:val="22"/>
                <w:szCs w:val="22"/>
              </w:rPr>
            </w:pPr>
            <w:r>
              <w:rPr>
                <w:sz w:val="22"/>
                <w:szCs w:val="22"/>
              </w:rPr>
              <w:t>boceprevir C</w:t>
            </w:r>
            <w:r>
              <w:rPr>
                <w:sz w:val="22"/>
                <w:szCs w:val="22"/>
                <w:vertAlign w:val="subscript"/>
              </w:rPr>
              <w:t>min</w:t>
            </w:r>
            <w:r>
              <w:rPr>
                <w:sz w:val="22"/>
                <w:szCs w:val="22"/>
              </w:rPr>
              <w:t xml:space="preserve"> ↔18%</w:t>
            </w:r>
          </w:p>
          <w:p w14:paraId="4C37FE54" w14:textId="77777777" w:rsidR="00D02BC8" w:rsidRPr="005C4B2B" w:rsidRDefault="00D02BC8" w:rsidP="00FF2270">
            <w:pPr>
              <w:pStyle w:val="Default"/>
              <w:rPr>
                <w:sz w:val="22"/>
                <w:szCs w:val="22"/>
                <w:lang w:val="es-ES"/>
              </w:rPr>
            </w:pPr>
          </w:p>
          <w:p w14:paraId="1B24B083" w14:textId="77777777" w:rsidR="00D02BC8" w:rsidRPr="00D31EBB" w:rsidRDefault="00D02BC8" w:rsidP="00FF2270">
            <w:pPr>
              <w:pStyle w:val="Default"/>
              <w:rPr>
                <w:sz w:val="22"/>
                <w:szCs w:val="22"/>
              </w:rPr>
            </w:pPr>
            <w:r>
              <w:rPr>
                <w:sz w:val="22"/>
                <w:szCs w:val="22"/>
              </w:rPr>
              <w:t>atazanavir AUC ↓ 35%</w:t>
            </w:r>
          </w:p>
          <w:p w14:paraId="69945CD1" w14:textId="77777777" w:rsidR="00D02BC8" w:rsidRPr="00D31EBB" w:rsidRDefault="00D02BC8" w:rsidP="00FF2270">
            <w:pPr>
              <w:pStyle w:val="Default"/>
              <w:rPr>
                <w:sz w:val="22"/>
                <w:szCs w:val="22"/>
              </w:rPr>
            </w:pPr>
            <w:r>
              <w:rPr>
                <w:sz w:val="22"/>
                <w:szCs w:val="22"/>
              </w:rPr>
              <w:t>atazanavir C</w:t>
            </w:r>
            <w:r>
              <w:rPr>
                <w:sz w:val="22"/>
                <w:szCs w:val="22"/>
                <w:vertAlign w:val="subscript"/>
              </w:rPr>
              <w:t>max</w:t>
            </w:r>
            <w:r>
              <w:rPr>
                <w:sz w:val="22"/>
                <w:szCs w:val="22"/>
              </w:rPr>
              <w:t xml:space="preserve"> ↓ 25%</w:t>
            </w:r>
          </w:p>
          <w:p w14:paraId="7BB9A5D9" w14:textId="77777777" w:rsidR="00D02BC8" w:rsidRPr="00D31EBB" w:rsidRDefault="00D02BC8" w:rsidP="00FF2270">
            <w:pPr>
              <w:pStyle w:val="Default"/>
              <w:rPr>
                <w:sz w:val="22"/>
                <w:szCs w:val="22"/>
              </w:rPr>
            </w:pPr>
            <w:r>
              <w:rPr>
                <w:sz w:val="22"/>
                <w:szCs w:val="22"/>
              </w:rPr>
              <w:t>atazanavir C</w:t>
            </w:r>
            <w:r>
              <w:rPr>
                <w:sz w:val="22"/>
                <w:szCs w:val="22"/>
                <w:vertAlign w:val="subscript"/>
              </w:rPr>
              <w:t>min</w:t>
            </w:r>
            <w:r>
              <w:rPr>
                <w:sz w:val="22"/>
                <w:szCs w:val="22"/>
              </w:rPr>
              <w:t xml:space="preserve"> ↓ 49%</w:t>
            </w:r>
          </w:p>
          <w:p w14:paraId="1C1C7390" w14:textId="77777777" w:rsidR="00D02BC8" w:rsidRPr="005C4B2B" w:rsidRDefault="00D02BC8" w:rsidP="00FF2270">
            <w:pPr>
              <w:pStyle w:val="Default"/>
              <w:rPr>
                <w:sz w:val="22"/>
                <w:szCs w:val="22"/>
                <w:lang w:val="es-ES"/>
              </w:rPr>
            </w:pPr>
          </w:p>
          <w:p w14:paraId="0A8A2D5D" w14:textId="77777777" w:rsidR="00D02BC8" w:rsidRPr="00D31EBB" w:rsidRDefault="00D02BC8" w:rsidP="00FF2270">
            <w:pPr>
              <w:pStyle w:val="Default"/>
              <w:rPr>
                <w:sz w:val="22"/>
                <w:szCs w:val="22"/>
              </w:rPr>
            </w:pPr>
            <w:r>
              <w:rPr>
                <w:sz w:val="22"/>
                <w:szCs w:val="22"/>
              </w:rPr>
              <w:t>ritonavir AUC ↓ 36%</w:t>
            </w:r>
          </w:p>
          <w:p w14:paraId="71FAF849" w14:textId="77777777" w:rsidR="00D02BC8" w:rsidRPr="00D31EBB" w:rsidRDefault="00D02BC8" w:rsidP="00FF2270">
            <w:pPr>
              <w:pStyle w:val="Default"/>
              <w:rPr>
                <w:sz w:val="22"/>
                <w:szCs w:val="22"/>
              </w:rPr>
            </w:pPr>
            <w:r>
              <w:rPr>
                <w:sz w:val="22"/>
                <w:szCs w:val="22"/>
              </w:rPr>
              <w:t>ritonavir C</w:t>
            </w:r>
            <w:r>
              <w:rPr>
                <w:sz w:val="22"/>
                <w:szCs w:val="22"/>
                <w:vertAlign w:val="subscript"/>
              </w:rPr>
              <w:t>max</w:t>
            </w:r>
            <w:r>
              <w:rPr>
                <w:sz w:val="22"/>
                <w:szCs w:val="22"/>
              </w:rPr>
              <w:t xml:space="preserve"> ↓ 27%</w:t>
            </w:r>
          </w:p>
          <w:p w14:paraId="44140EDE" w14:textId="77777777" w:rsidR="00D02BC8" w:rsidRPr="00D31EBB" w:rsidRDefault="00D02BC8" w:rsidP="00FF2270">
            <w:pPr>
              <w:pStyle w:val="EMEABodyText"/>
              <w:rPr>
                <w:szCs w:val="22"/>
              </w:rPr>
            </w:pPr>
            <w:r>
              <w:t>ritonavir C</w:t>
            </w:r>
            <w:r>
              <w:rPr>
                <w:szCs w:val="22"/>
                <w:vertAlign w:val="subscript"/>
              </w:rPr>
              <w:t>min</w:t>
            </w:r>
            <w:r>
              <w:t xml:space="preserve"> ↓ 45%</w:t>
            </w:r>
          </w:p>
          <w:p w14:paraId="508B2859" w14:textId="77777777" w:rsidR="00D02BC8" w:rsidRPr="005C4B2B" w:rsidRDefault="00D02BC8" w:rsidP="00FF2270">
            <w:pPr>
              <w:pStyle w:val="EMEABodyText"/>
              <w:rPr>
                <w:szCs w:val="22"/>
                <w:lang w:val="es-ES"/>
              </w:rPr>
            </w:pPr>
          </w:p>
        </w:tc>
        <w:tc>
          <w:tcPr>
            <w:tcW w:w="3119" w:type="dxa"/>
          </w:tcPr>
          <w:p w14:paraId="0597C609" w14:textId="77777777" w:rsidR="00D02BC8" w:rsidRPr="00D31EBB" w:rsidRDefault="00D02BC8" w:rsidP="00FF2270">
            <w:pPr>
              <w:pStyle w:val="Default"/>
              <w:rPr>
                <w:szCs w:val="22"/>
              </w:rPr>
            </w:pPr>
            <w:r>
              <w:rPr>
                <w:sz w:val="22"/>
                <w:szCs w:val="22"/>
              </w:rPr>
              <w:t xml:space="preserve">Co-administration of atazanavir/ritonavir with boceprevir resulted in lower exposure of atazanavir which may be associated with lower efficacy and loss of HIV control. This co-administration might be considered on a case by case basis if deemed necessary, in patients with suppressed HIV viral loads and with HIV viral strain without any suspected resistance to the HIV regimen. Increased clinical and laboratory monitoring for HIV suppression is warranted. </w:t>
            </w:r>
          </w:p>
        </w:tc>
      </w:tr>
      <w:tr w:rsidR="00D02BC8" w:rsidRPr="004F3582" w14:paraId="387029F9" w14:textId="77777777" w:rsidTr="008B6CCB">
        <w:trPr>
          <w:cantSplit/>
          <w:trHeight w:val="340"/>
        </w:trPr>
        <w:tc>
          <w:tcPr>
            <w:tcW w:w="9890" w:type="dxa"/>
            <w:gridSpan w:val="3"/>
          </w:tcPr>
          <w:p w14:paraId="32A32932" w14:textId="77777777" w:rsidR="00D02BC8" w:rsidRPr="004F3582" w:rsidRDefault="00D02BC8" w:rsidP="00FF2270">
            <w:pPr>
              <w:pStyle w:val="EMEABodyText"/>
              <w:keepNext/>
              <w:rPr>
                <w:szCs w:val="22"/>
              </w:rPr>
            </w:pPr>
            <w:r>
              <w:rPr>
                <w:b/>
                <w:szCs w:val="22"/>
              </w:rPr>
              <w:lastRenderedPageBreak/>
              <w:t>ANTIBIOTICS</w:t>
            </w:r>
          </w:p>
        </w:tc>
      </w:tr>
      <w:tr w:rsidR="00D02BC8" w:rsidRPr="00965E20" w14:paraId="6E1CFE13" w14:textId="77777777" w:rsidTr="008B6CCB">
        <w:trPr>
          <w:cantSplit/>
          <w:trHeight w:val="340"/>
        </w:trPr>
        <w:tc>
          <w:tcPr>
            <w:tcW w:w="3095" w:type="dxa"/>
          </w:tcPr>
          <w:p w14:paraId="420701E2" w14:textId="77777777" w:rsidR="00D02BC8" w:rsidRPr="00D31EBB" w:rsidRDefault="00D02BC8" w:rsidP="00FF2270">
            <w:pPr>
              <w:pStyle w:val="EMEABodyText"/>
              <w:keepNext/>
              <w:rPr>
                <w:b/>
                <w:szCs w:val="22"/>
              </w:rPr>
            </w:pPr>
            <w:r>
              <w:rPr>
                <w:b/>
                <w:szCs w:val="22"/>
              </w:rPr>
              <w:t>Clarithromycin 500 mg twice daily</w:t>
            </w:r>
          </w:p>
          <w:p w14:paraId="21E01F6F" w14:textId="77777777" w:rsidR="00D02BC8" w:rsidRPr="00D31EBB" w:rsidRDefault="00D02BC8" w:rsidP="00FF2270">
            <w:pPr>
              <w:pStyle w:val="EMEABodyText"/>
              <w:keepNext/>
              <w:rPr>
                <w:szCs w:val="22"/>
              </w:rPr>
            </w:pPr>
            <w:r>
              <w:t>(atazanavir 400 mg once daily)</w:t>
            </w:r>
          </w:p>
        </w:tc>
        <w:tc>
          <w:tcPr>
            <w:tcW w:w="3676" w:type="dxa"/>
          </w:tcPr>
          <w:p w14:paraId="2E22A11E" w14:textId="77777777" w:rsidR="00D02BC8" w:rsidRPr="00D31EBB" w:rsidRDefault="00D02BC8" w:rsidP="00FF2270">
            <w:pPr>
              <w:pStyle w:val="EMEABodyText"/>
              <w:keepNext/>
              <w:rPr>
                <w:szCs w:val="22"/>
              </w:rPr>
            </w:pPr>
            <w:r>
              <w:t>Clarithromycin AUC ↑94% (↑75% ↑116%)</w:t>
            </w:r>
          </w:p>
          <w:p w14:paraId="018BD3CB" w14:textId="77777777" w:rsidR="00D02BC8" w:rsidRPr="00D31EBB" w:rsidRDefault="00D02BC8" w:rsidP="00FF2270">
            <w:pPr>
              <w:pStyle w:val="EMEABodyText"/>
              <w:keepNext/>
              <w:rPr>
                <w:szCs w:val="22"/>
              </w:rPr>
            </w:pPr>
            <w:r>
              <w:t>Clarithromycin C</w:t>
            </w:r>
            <w:r>
              <w:rPr>
                <w:szCs w:val="22"/>
                <w:vertAlign w:val="subscript"/>
              </w:rPr>
              <w:t>max</w:t>
            </w:r>
            <w:r>
              <w:t xml:space="preserve"> ↑50% (↑32% ↑71%)</w:t>
            </w:r>
          </w:p>
          <w:p w14:paraId="6C48C8B1" w14:textId="77777777" w:rsidR="00D02BC8" w:rsidRPr="00D31EBB" w:rsidRDefault="00D02BC8" w:rsidP="00FF2270">
            <w:pPr>
              <w:pStyle w:val="EMEABodyText"/>
              <w:keepNext/>
              <w:rPr>
                <w:szCs w:val="22"/>
              </w:rPr>
            </w:pPr>
            <w:r>
              <w:t>Clarithromycin C</w:t>
            </w:r>
            <w:r>
              <w:rPr>
                <w:szCs w:val="22"/>
                <w:vertAlign w:val="subscript"/>
              </w:rPr>
              <w:t>min</w:t>
            </w:r>
            <w:r>
              <w:t xml:space="preserve"> ↑160% (↑135% ↑188%)</w:t>
            </w:r>
          </w:p>
          <w:p w14:paraId="3F48261D" w14:textId="77777777" w:rsidR="00D02BC8" w:rsidRPr="00FF5A0D" w:rsidRDefault="00D02BC8" w:rsidP="00FF2270">
            <w:pPr>
              <w:pStyle w:val="EMEABodyText"/>
              <w:keepNext/>
              <w:rPr>
                <w:szCs w:val="22"/>
              </w:rPr>
            </w:pPr>
          </w:p>
          <w:p w14:paraId="4DEAF6A2" w14:textId="77777777" w:rsidR="00D02BC8" w:rsidRPr="00D31EBB" w:rsidRDefault="00D02BC8" w:rsidP="00FF2270">
            <w:pPr>
              <w:pStyle w:val="EMEABodyText"/>
              <w:keepNext/>
              <w:rPr>
                <w:szCs w:val="22"/>
              </w:rPr>
            </w:pPr>
            <w:r>
              <w:t>14-OH clarithromycin</w:t>
            </w:r>
          </w:p>
          <w:p w14:paraId="4A04855C" w14:textId="77777777" w:rsidR="00D02BC8" w:rsidRPr="00D31EBB" w:rsidRDefault="00D02BC8" w:rsidP="00FF2270">
            <w:pPr>
              <w:pStyle w:val="EMEABodyText"/>
              <w:keepNext/>
              <w:rPr>
                <w:szCs w:val="22"/>
              </w:rPr>
            </w:pPr>
            <w:r>
              <w:t>14-OH clarithromycin AUC ↓70% (↓74% ↓66%)</w:t>
            </w:r>
          </w:p>
          <w:p w14:paraId="2A7CF277" w14:textId="77777777" w:rsidR="00D02BC8" w:rsidRPr="00D31EBB" w:rsidRDefault="00D02BC8" w:rsidP="00FF2270">
            <w:pPr>
              <w:pStyle w:val="EMEABodyText"/>
              <w:keepNext/>
              <w:rPr>
                <w:szCs w:val="22"/>
              </w:rPr>
            </w:pPr>
            <w:r>
              <w:t>14-OH clarithromycin C</w:t>
            </w:r>
            <w:r>
              <w:rPr>
                <w:szCs w:val="22"/>
                <w:vertAlign w:val="subscript"/>
              </w:rPr>
              <w:t>max</w:t>
            </w:r>
            <w:r>
              <w:t xml:space="preserve"> ↓72% (↓76% ↓67%)</w:t>
            </w:r>
          </w:p>
          <w:p w14:paraId="166E831E" w14:textId="77777777" w:rsidR="00D02BC8" w:rsidRPr="00D31EBB" w:rsidRDefault="00D02BC8" w:rsidP="00FF2270">
            <w:pPr>
              <w:pStyle w:val="EMEABodyText"/>
              <w:keepNext/>
              <w:rPr>
                <w:szCs w:val="22"/>
              </w:rPr>
            </w:pPr>
            <w:r>
              <w:t>14-OH clarithromycin C</w:t>
            </w:r>
            <w:r>
              <w:rPr>
                <w:szCs w:val="22"/>
                <w:vertAlign w:val="subscript"/>
              </w:rPr>
              <w:t>min</w:t>
            </w:r>
            <w:r>
              <w:t xml:space="preserve"> ↓62% (↓66% ↓58%)</w:t>
            </w:r>
          </w:p>
          <w:p w14:paraId="28A8DF1B" w14:textId="77777777" w:rsidR="00D02BC8" w:rsidRPr="00FF5A0D" w:rsidRDefault="00D02BC8" w:rsidP="00FF2270">
            <w:pPr>
              <w:pStyle w:val="EMEABodyText"/>
              <w:keepNext/>
              <w:rPr>
                <w:szCs w:val="22"/>
              </w:rPr>
            </w:pPr>
          </w:p>
          <w:p w14:paraId="7183D40A" w14:textId="77777777" w:rsidR="00D02BC8" w:rsidRPr="00D31EBB" w:rsidRDefault="00D02BC8" w:rsidP="00FF2270">
            <w:pPr>
              <w:pStyle w:val="EMEABodyText"/>
              <w:keepNext/>
              <w:rPr>
                <w:szCs w:val="22"/>
              </w:rPr>
            </w:pPr>
            <w:r>
              <w:t>Atazanavir AUC ↑28% (↑16% ↑43%)</w:t>
            </w:r>
          </w:p>
          <w:p w14:paraId="696A7D8A" w14:textId="77777777" w:rsidR="00D02BC8" w:rsidRPr="00D31EBB" w:rsidRDefault="00D02BC8" w:rsidP="00FF2270">
            <w:pPr>
              <w:pStyle w:val="EMEABodyText"/>
              <w:keepNext/>
              <w:rPr>
                <w:szCs w:val="22"/>
              </w:rPr>
            </w:pPr>
            <w:r>
              <w:t>Atazanavir C</w:t>
            </w:r>
            <w:r>
              <w:rPr>
                <w:szCs w:val="22"/>
                <w:vertAlign w:val="subscript"/>
              </w:rPr>
              <w:t>max</w:t>
            </w:r>
            <w:r>
              <w:t xml:space="preserve"> ↔6% (↓7% ↑20%)</w:t>
            </w:r>
          </w:p>
          <w:p w14:paraId="355F055A" w14:textId="77777777" w:rsidR="00D02BC8" w:rsidRPr="00D31EBB" w:rsidRDefault="00D02BC8" w:rsidP="00FF2270">
            <w:pPr>
              <w:pStyle w:val="EMEABodyText"/>
              <w:keepNext/>
              <w:rPr>
                <w:szCs w:val="22"/>
              </w:rPr>
            </w:pPr>
            <w:r>
              <w:t>Atazanavir C</w:t>
            </w:r>
            <w:r>
              <w:rPr>
                <w:szCs w:val="22"/>
                <w:vertAlign w:val="subscript"/>
              </w:rPr>
              <w:t>min</w:t>
            </w:r>
            <w:r>
              <w:t xml:space="preserve"> ↑91% (↑66% ↑121%)</w:t>
            </w:r>
          </w:p>
          <w:p w14:paraId="195D2EF4" w14:textId="77777777" w:rsidR="00D02BC8" w:rsidRPr="00FF5A0D" w:rsidRDefault="00D02BC8" w:rsidP="00FF2270">
            <w:pPr>
              <w:pStyle w:val="EMEABodyText"/>
              <w:keepNext/>
              <w:rPr>
                <w:szCs w:val="22"/>
              </w:rPr>
            </w:pPr>
          </w:p>
          <w:p w14:paraId="26DF17A4" w14:textId="77777777" w:rsidR="00D02BC8" w:rsidRPr="00D31EBB" w:rsidRDefault="00D02BC8" w:rsidP="00FF2270">
            <w:pPr>
              <w:pStyle w:val="EMEABodyText"/>
              <w:keepNext/>
              <w:rPr>
                <w:szCs w:val="22"/>
              </w:rPr>
            </w:pPr>
            <w:r>
              <w:t>A dose reduction of clarithromycin may result in subtherapeutic concentrations of 14-OH clarithromycin. The mechanism of the clarithromycin/atazanavir interaction is CYP3A4 inhibition.</w:t>
            </w:r>
          </w:p>
          <w:p w14:paraId="579AAF9D" w14:textId="77777777" w:rsidR="00D02BC8" w:rsidRPr="00D31EBB" w:rsidRDefault="00D02BC8" w:rsidP="00FF2270">
            <w:pPr>
              <w:pStyle w:val="EMEABodyText"/>
              <w:keepNext/>
              <w:rPr>
                <w:szCs w:val="22"/>
                <w:lang w:val="en-US"/>
              </w:rPr>
            </w:pPr>
          </w:p>
        </w:tc>
        <w:tc>
          <w:tcPr>
            <w:tcW w:w="3119" w:type="dxa"/>
          </w:tcPr>
          <w:p w14:paraId="64500D59" w14:textId="77777777" w:rsidR="00D02BC8" w:rsidRPr="00D31EBB" w:rsidRDefault="00D02BC8" w:rsidP="00FF2270">
            <w:pPr>
              <w:pStyle w:val="EMEABodyText"/>
              <w:keepNext/>
              <w:rPr>
                <w:szCs w:val="22"/>
              </w:rPr>
            </w:pPr>
            <w:r>
              <w:t>No recommendation regarding dose reduction can be made; therefore, caution should be exercised if REYATAZ is co-administered with clarithromycin.</w:t>
            </w:r>
          </w:p>
        </w:tc>
      </w:tr>
      <w:tr w:rsidR="00D02BC8" w:rsidRPr="004F3582" w14:paraId="253E83FE" w14:textId="77777777" w:rsidTr="008B6CCB">
        <w:trPr>
          <w:cantSplit/>
          <w:trHeight w:val="340"/>
        </w:trPr>
        <w:tc>
          <w:tcPr>
            <w:tcW w:w="9890" w:type="dxa"/>
            <w:gridSpan w:val="3"/>
          </w:tcPr>
          <w:p w14:paraId="694C0A92" w14:textId="77777777" w:rsidR="00D02BC8" w:rsidRPr="004F3582" w:rsidRDefault="00D02BC8" w:rsidP="00F22397">
            <w:pPr>
              <w:pStyle w:val="EMEABodyText"/>
              <w:keepNext/>
              <w:rPr>
                <w:szCs w:val="22"/>
              </w:rPr>
            </w:pPr>
            <w:r>
              <w:rPr>
                <w:b/>
                <w:szCs w:val="22"/>
              </w:rPr>
              <w:t>ANTIFUNGALS</w:t>
            </w:r>
          </w:p>
        </w:tc>
      </w:tr>
      <w:tr w:rsidR="00D02BC8" w:rsidRPr="00965E20" w14:paraId="06BF9A79" w14:textId="77777777" w:rsidTr="008B6CCB">
        <w:trPr>
          <w:cantSplit/>
          <w:trHeight w:val="340"/>
        </w:trPr>
        <w:tc>
          <w:tcPr>
            <w:tcW w:w="3095" w:type="dxa"/>
          </w:tcPr>
          <w:p w14:paraId="6A5A71E6" w14:textId="77777777" w:rsidR="00D02BC8" w:rsidRPr="00D31EBB" w:rsidRDefault="00D02BC8" w:rsidP="00F22397">
            <w:pPr>
              <w:pStyle w:val="EMEABodyText"/>
              <w:keepNext/>
              <w:rPr>
                <w:b/>
                <w:szCs w:val="22"/>
              </w:rPr>
            </w:pPr>
            <w:r>
              <w:rPr>
                <w:b/>
                <w:szCs w:val="22"/>
              </w:rPr>
              <w:t>Ketoconazole 200 mg once daily</w:t>
            </w:r>
          </w:p>
          <w:p w14:paraId="2AD08176" w14:textId="77777777" w:rsidR="00D02BC8" w:rsidRPr="00D31EBB" w:rsidRDefault="00D02BC8" w:rsidP="00F22397">
            <w:pPr>
              <w:pStyle w:val="EMEABodyText"/>
              <w:keepNext/>
              <w:rPr>
                <w:szCs w:val="22"/>
              </w:rPr>
            </w:pPr>
            <w:r>
              <w:t>(atazanavir 400 mg once daily)</w:t>
            </w:r>
          </w:p>
        </w:tc>
        <w:tc>
          <w:tcPr>
            <w:tcW w:w="3676" w:type="dxa"/>
          </w:tcPr>
          <w:p w14:paraId="1C035DD7" w14:textId="77777777" w:rsidR="00D02BC8" w:rsidRPr="00D31EBB" w:rsidRDefault="00D02BC8" w:rsidP="00F22397">
            <w:pPr>
              <w:pStyle w:val="EMEABodyText"/>
              <w:keepNext/>
              <w:rPr>
                <w:szCs w:val="22"/>
              </w:rPr>
            </w:pPr>
            <w:r>
              <w:t>No significant effect on atazanavir concentrations was observed.</w:t>
            </w:r>
          </w:p>
        </w:tc>
        <w:tc>
          <w:tcPr>
            <w:tcW w:w="3119" w:type="dxa"/>
            <w:vMerge w:val="restart"/>
          </w:tcPr>
          <w:p w14:paraId="4833D001" w14:textId="77777777" w:rsidR="00D02BC8" w:rsidRPr="00D31EBB" w:rsidRDefault="00D02BC8" w:rsidP="00BC76A6">
            <w:pPr>
              <w:pStyle w:val="EMEABodyText"/>
              <w:rPr>
                <w:szCs w:val="22"/>
              </w:rPr>
            </w:pPr>
            <w:r>
              <w:t>Ketoconazole and itraconazole should be used cautiously with REYATAZ/ritonavir, high doses of ketoconazole and itraconazole (&gt;200 mg/day) are not recommended.</w:t>
            </w:r>
          </w:p>
        </w:tc>
      </w:tr>
      <w:tr w:rsidR="00D02BC8" w:rsidRPr="00965E20" w14:paraId="4256F672" w14:textId="77777777" w:rsidTr="008B6CCB">
        <w:trPr>
          <w:cantSplit/>
          <w:trHeight w:val="934"/>
        </w:trPr>
        <w:tc>
          <w:tcPr>
            <w:tcW w:w="3095" w:type="dxa"/>
          </w:tcPr>
          <w:p w14:paraId="7F95BAD7" w14:textId="77777777" w:rsidR="00D02BC8" w:rsidRPr="004F3582" w:rsidRDefault="00D02BC8" w:rsidP="00F22397">
            <w:pPr>
              <w:pStyle w:val="EMEABodyText"/>
              <w:keepNext/>
              <w:rPr>
                <w:b/>
                <w:szCs w:val="22"/>
              </w:rPr>
            </w:pPr>
            <w:r>
              <w:rPr>
                <w:b/>
                <w:szCs w:val="22"/>
              </w:rPr>
              <w:t>Itraconazole</w:t>
            </w:r>
          </w:p>
        </w:tc>
        <w:tc>
          <w:tcPr>
            <w:tcW w:w="3676" w:type="dxa"/>
          </w:tcPr>
          <w:p w14:paraId="2E2DD4B9" w14:textId="77777777" w:rsidR="00D02BC8" w:rsidRPr="00D31EBB" w:rsidRDefault="00D02BC8" w:rsidP="00F22397">
            <w:pPr>
              <w:pStyle w:val="EMEABodyText"/>
              <w:keepNext/>
              <w:rPr>
                <w:szCs w:val="22"/>
              </w:rPr>
            </w:pPr>
            <w:r>
              <w:t>Itraconazole, like ketoconazole, is a potent inhibitor as well as a substrate of CYP3A4.</w:t>
            </w:r>
          </w:p>
        </w:tc>
        <w:tc>
          <w:tcPr>
            <w:tcW w:w="3119" w:type="dxa"/>
            <w:vMerge/>
          </w:tcPr>
          <w:p w14:paraId="2F46988C" w14:textId="77777777" w:rsidR="00D02BC8" w:rsidRPr="00D31EBB" w:rsidRDefault="00D02BC8" w:rsidP="008B6CCB">
            <w:pPr>
              <w:pStyle w:val="EMEABodyText"/>
              <w:rPr>
                <w:szCs w:val="22"/>
                <w:lang w:val="en-US"/>
              </w:rPr>
            </w:pPr>
          </w:p>
        </w:tc>
      </w:tr>
      <w:tr w:rsidR="00D02BC8" w:rsidRPr="00965E20" w14:paraId="56C7D53E" w14:textId="77777777" w:rsidTr="008B6CCB">
        <w:trPr>
          <w:cantSplit/>
          <w:trHeight w:val="1725"/>
        </w:trPr>
        <w:tc>
          <w:tcPr>
            <w:tcW w:w="3095" w:type="dxa"/>
          </w:tcPr>
          <w:p w14:paraId="1D39471D" w14:textId="77777777" w:rsidR="00D02BC8" w:rsidRPr="00D31EBB" w:rsidRDefault="00D02BC8" w:rsidP="00F22397">
            <w:pPr>
              <w:pStyle w:val="EMEABodyText"/>
              <w:keepNext/>
              <w:rPr>
                <w:b/>
                <w:szCs w:val="22"/>
                <w:lang w:val="en-US"/>
              </w:rPr>
            </w:pPr>
          </w:p>
        </w:tc>
        <w:tc>
          <w:tcPr>
            <w:tcW w:w="3676" w:type="dxa"/>
          </w:tcPr>
          <w:p w14:paraId="3969D2E4" w14:textId="77777777" w:rsidR="00D02BC8" w:rsidRPr="00D31EBB" w:rsidRDefault="00D02BC8" w:rsidP="00F22397">
            <w:pPr>
              <w:pStyle w:val="EMEABodyText"/>
              <w:keepNext/>
              <w:rPr>
                <w:szCs w:val="22"/>
              </w:rPr>
            </w:pPr>
            <w:r>
              <w:t>Based on data obtained with other boosted PIs and ketoconazole, where ketoconazole AUC showed a 3-fold increase, REYATAZ/ritonavir is expected to increase ketoconazole or itraconazole concentrations.</w:t>
            </w:r>
          </w:p>
        </w:tc>
        <w:tc>
          <w:tcPr>
            <w:tcW w:w="3119" w:type="dxa"/>
            <w:vMerge/>
          </w:tcPr>
          <w:p w14:paraId="2BCC46E0" w14:textId="77777777" w:rsidR="00D02BC8" w:rsidRPr="00D31EBB" w:rsidRDefault="00D02BC8" w:rsidP="008B6CCB">
            <w:pPr>
              <w:pStyle w:val="EMEABodyText"/>
              <w:rPr>
                <w:szCs w:val="22"/>
                <w:lang w:val="en-US"/>
              </w:rPr>
            </w:pPr>
          </w:p>
        </w:tc>
      </w:tr>
      <w:tr w:rsidR="00D02BC8" w:rsidRPr="00965E20" w14:paraId="23B03E03" w14:textId="77777777" w:rsidTr="008B6CCB">
        <w:trPr>
          <w:cantSplit/>
          <w:trHeight w:val="340"/>
        </w:trPr>
        <w:tc>
          <w:tcPr>
            <w:tcW w:w="3095" w:type="dxa"/>
          </w:tcPr>
          <w:p w14:paraId="4B4C8B82" w14:textId="77777777" w:rsidR="00D02BC8" w:rsidRPr="00D31EBB" w:rsidRDefault="00D02BC8" w:rsidP="008B6CCB">
            <w:pPr>
              <w:pStyle w:val="EMEABodyText"/>
              <w:rPr>
                <w:szCs w:val="22"/>
              </w:rPr>
            </w:pPr>
            <w:r>
              <w:rPr>
                <w:b/>
                <w:szCs w:val="22"/>
              </w:rPr>
              <w:lastRenderedPageBreak/>
              <w:t xml:space="preserve">Voriconazole 200 mg twice daily </w:t>
            </w:r>
            <w:r>
              <w:t>(atazanavir 300 mg/ritonavir 100 mg once daily)</w:t>
            </w:r>
          </w:p>
          <w:p w14:paraId="5290C7DA" w14:textId="77777777" w:rsidR="00D02BC8" w:rsidRPr="00D31EBB" w:rsidRDefault="00D02BC8" w:rsidP="008B6CCB">
            <w:pPr>
              <w:pStyle w:val="EMEABodyText"/>
              <w:rPr>
                <w:szCs w:val="22"/>
                <w:lang w:val="en-US"/>
              </w:rPr>
            </w:pPr>
          </w:p>
          <w:p w14:paraId="174FD6EE" w14:textId="77777777" w:rsidR="00D02BC8" w:rsidRPr="00D31EBB" w:rsidRDefault="00D02BC8" w:rsidP="008B6CCB">
            <w:pPr>
              <w:pStyle w:val="EMEABodyText"/>
              <w:rPr>
                <w:szCs w:val="22"/>
              </w:rPr>
            </w:pPr>
            <w:r>
              <w:t>Subjects with at least one functional CYP2C19 allele.</w:t>
            </w:r>
          </w:p>
          <w:p w14:paraId="6CF52F0A" w14:textId="77777777" w:rsidR="00D02BC8" w:rsidRPr="00D31EBB" w:rsidRDefault="00D02BC8" w:rsidP="008B6CCB">
            <w:pPr>
              <w:pStyle w:val="EMEABodyText"/>
              <w:rPr>
                <w:b/>
                <w:szCs w:val="22"/>
                <w:lang w:val="en-US"/>
              </w:rPr>
            </w:pPr>
          </w:p>
        </w:tc>
        <w:tc>
          <w:tcPr>
            <w:tcW w:w="3676" w:type="dxa"/>
          </w:tcPr>
          <w:p w14:paraId="151A96E2" w14:textId="77777777" w:rsidR="00D02BC8" w:rsidRPr="00D31EBB" w:rsidRDefault="00D02BC8" w:rsidP="008B6CCB">
            <w:pPr>
              <w:pStyle w:val="EMEABodyText"/>
              <w:rPr>
                <w:szCs w:val="22"/>
              </w:rPr>
            </w:pPr>
            <w:r>
              <w:t>Voriconazole AUC ↓33% (↓42% ↓22%)</w:t>
            </w:r>
          </w:p>
          <w:p w14:paraId="381B2682" w14:textId="77777777" w:rsidR="00D02BC8" w:rsidRPr="00D31EBB" w:rsidRDefault="00D02BC8" w:rsidP="008B6CCB">
            <w:pPr>
              <w:pStyle w:val="EMEABodyText"/>
              <w:rPr>
                <w:szCs w:val="22"/>
              </w:rPr>
            </w:pPr>
            <w:r>
              <w:t>Voriconazole C</w:t>
            </w:r>
            <w:r>
              <w:rPr>
                <w:szCs w:val="22"/>
                <w:vertAlign w:val="subscript"/>
              </w:rPr>
              <w:t>max</w:t>
            </w:r>
            <w:r>
              <w:t xml:space="preserve"> ↓10% (↓22% ↓4%)</w:t>
            </w:r>
          </w:p>
          <w:p w14:paraId="04A10ADE" w14:textId="77777777" w:rsidR="00D02BC8" w:rsidRPr="00D31EBB" w:rsidRDefault="00D02BC8" w:rsidP="008B6CCB">
            <w:pPr>
              <w:pStyle w:val="EMEABodyText"/>
              <w:rPr>
                <w:szCs w:val="22"/>
              </w:rPr>
            </w:pPr>
            <w:r>
              <w:t>Voriconazole C</w:t>
            </w:r>
            <w:r>
              <w:rPr>
                <w:szCs w:val="22"/>
                <w:vertAlign w:val="subscript"/>
              </w:rPr>
              <w:t>min</w:t>
            </w:r>
            <w:r>
              <w:t xml:space="preserve"> ↓39% (↓49% ↓28%)</w:t>
            </w:r>
          </w:p>
          <w:p w14:paraId="312A9E9F" w14:textId="77777777" w:rsidR="00D02BC8" w:rsidRPr="00D31EBB" w:rsidRDefault="00D02BC8" w:rsidP="008B6CCB">
            <w:pPr>
              <w:pStyle w:val="EMEABodyText"/>
              <w:rPr>
                <w:szCs w:val="22"/>
                <w:lang w:val="en-US"/>
              </w:rPr>
            </w:pPr>
          </w:p>
          <w:p w14:paraId="4B140789" w14:textId="77777777" w:rsidR="00D02BC8" w:rsidRPr="00D31EBB" w:rsidRDefault="00D02BC8" w:rsidP="008B6CCB">
            <w:pPr>
              <w:pStyle w:val="EMEABodyText"/>
              <w:rPr>
                <w:szCs w:val="22"/>
                <w:lang w:val="en-US"/>
              </w:rPr>
            </w:pPr>
          </w:p>
          <w:p w14:paraId="5A720170" w14:textId="77777777" w:rsidR="00D02BC8" w:rsidRPr="00D31EBB" w:rsidRDefault="00D02BC8" w:rsidP="008B6CCB">
            <w:pPr>
              <w:pStyle w:val="EMEABodyText"/>
              <w:rPr>
                <w:szCs w:val="22"/>
              </w:rPr>
            </w:pPr>
            <w:r>
              <w:t>Atazanavir AUC ↓12% (↓18% ↓5%)</w:t>
            </w:r>
          </w:p>
          <w:p w14:paraId="62AE0A64" w14:textId="77777777" w:rsidR="00D02BC8" w:rsidRPr="00D31EBB" w:rsidRDefault="00D02BC8" w:rsidP="008B6CCB">
            <w:pPr>
              <w:pStyle w:val="EMEABodyText"/>
              <w:rPr>
                <w:szCs w:val="22"/>
              </w:rPr>
            </w:pPr>
            <w:r>
              <w:t>Atazanavir C</w:t>
            </w:r>
            <w:r>
              <w:rPr>
                <w:szCs w:val="22"/>
                <w:vertAlign w:val="subscript"/>
              </w:rPr>
              <w:t>max</w:t>
            </w:r>
            <w:r>
              <w:t xml:space="preserve"> ↓13% (↓20% ↓4%)</w:t>
            </w:r>
          </w:p>
          <w:p w14:paraId="49D17CF6" w14:textId="77777777" w:rsidR="00D02BC8" w:rsidRPr="00D31EBB" w:rsidRDefault="00D02BC8" w:rsidP="008B6CCB">
            <w:pPr>
              <w:pStyle w:val="EMEABodyText"/>
              <w:rPr>
                <w:szCs w:val="22"/>
              </w:rPr>
            </w:pPr>
            <w:r>
              <w:t>Atazanavir C</w:t>
            </w:r>
            <w:r>
              <w:rPr>
                <w:szCs w:val="22"/>
                <w:vertAlign w:val="subscript"/>
              </w:rPr>
              <w:t>min</w:t>
            </w:r>
            <w:r>
              <w:t xml:space="preserve"> ↓ 20 % (↓28 % ↓10%)</w:t>
            </w:r>
          </w:p>
          <w:p w14:paraId="04B3D305" w14:textId="77777777" w:rsidR="00D02BC8" w:rsidRPr="00D31EBB" w:rsidRDefault="00D02BC8" w:rsidP="008B6CCB">
            <w:pPr>
              <w:pStyle w:val="EMEABodyText"/>
              <w:rPr>
                <w:szCs w:val="22"/>
                <w:lang w:val="en-US"/>
              </w:rPr>
            </w:pPr>
          </w:p>
          <w:p w14:paraId="01B31EA4" w14:textId="77777777" w:rsidR="00D02BC8" w:rsidRPr="00D31EBB" w:rsidRDefault="00D02BC8" w:rsidP="008B6CCB">
            <w:pPr>
              <w:pStyle w:val="EMEABodyText"/>
              <w:rPr>
                <w:szCs w:val="22"/>
                <w:lang w:val="en-US"/>
              </w:rPr>
            </w:pPr>
          </w:p>
          <w:p w14:paraId="4FAB396B" w14:textId="77777777" w:rsidR="00D02BC8" w:rsidRPr="00D31EBB" w:rsidRDefault="00D02BC8" w:rsidP="008B6CCB">
            <w:pPr>
              <w:pStyle w:val="EMEABodyText"/>
              <w:rPr>
                <w:szCs w:val="22"/>
              </w:rPr>
            </w:pPr>
            <w:r>
              <w:t>Ritonavir AUC ↓12% (↓17% ↓7%)</w:t>
            </w:r>
          </w:p>
          <w:p w14:paraId="76C68E6B" w14:textId="77777777" w:rsidR="00D02BC8" w:rsidRPr="00D31EBB" w:rsidRDefault="00D02BC8" w:rsidP="008B6CCB">
            <w:pPr>
              <w:pStyle w:val="EMEABodyText"/>
              <w:rPr>
                <w:szCs w:val="22"/>
              </w:rPr>
            </w:pPr>
            <w:r>
              <w:t>Ritonavir C</w:t>
            </w:r>
            <w:r>
              <w:rPr>
                <w:szCs w:val="22"/>
                <w:vertAlign w:val="subscript"/>
              </w:rPr>
              <w:t>max</w:t>
            </w:r>
            <w:r>
              <w:t xml:space="preserve"> ↓9% (↓17% ↔0%)</w:t>
            </w:r>
          </w:p>
          <w:p w14:paraId="3A5299D4" w14:textId="77777777" w:rsidR="00D02BC8" w:rsidRPr="00D31EBB" w:rsidRDefault="00D02BC8" w:rsidP="008B6CCB">
            <w:pPr>
              <w:pStyle w:val="EMEABodyText"/>
              <w:rPr>
                <w:szCs w:val="22"/>
              </w:rPr>
            </w:pPr>
            <w:r>
              <w:t>Ritonavir C</w:t>
            </w:r>
            <w:r>
              <w:rPr>
                <w:szCs w:val="22"/>
                <w:vertAlign w:val="subscript"/>
              </w:rPr>
              <w:t>min</w:t>
            </w:r>
            <w:r>
              <w:t xml:space="preserve"> ↓25% (↓35% ↓14%)</w:t>
            </w:r>
          </w:p>
          <w:p w14:paraId="0DE436B5" w14:textId="77777777" w:rsidR="00D02BC8" w:rsidRPr="00D31EBB" w:rsidRDefault="00D02BC8" w:rsidP="008B6CCB">
            <w:pPr>
              <w:pStyle w:val="EMEABodyText"/>
              <w:rPr>
                <w:szCs w:val="22"/>
                <w:lang w:val="en-US"/>
              </w:rPr>
            </w:pPr>
          </w:p>
          <w:p w14:paraId="07136552" w14:textId="77777777" w:rsidR="00D02BC8" w:rsidRPr="00D31EBB" w:rsidRDefault="00D02BC8" w:rsidP="008B6CCB">
            <w:pPr>
              <w:pStyle w:val="EMEABodyText"/>
              <w:rPr>
                <w:szCs w:val="22"/>
              </w:rPr>
            </w:pPr>
            <w:r>
              <w:t xml:space="preserve">In the majority of patients with at least one functional CYP2C19 allele, a reduction in both voriconazole and atazanavir exposures are expected. </w:t>
            </w:r>
          </w:p>
          <w:p w14:paraId="0E22AAAC" w14:textId="77777777" w:rsidR="00D02BC8" w:rsidRPr="00D31EBB" w:rsidRDefault="00D02BC8" w:rsidP="008B6CCB">
            <w:pPr>
              <w:pStyle w:val="EMEABodyText"/>
              <w:rPr>
                <w:szCs w:val="22"/>
                <w:lang w:val="en-US"/>
              </w:rPr>
            </w:pPr>
          </w:p>
        </w:tc>
        <w:tc>
          <w:tcPr>
            <w:tcW w:w="3119" w:type="dxa"/>
            <w:vMerge w:val="restart"/>
          </w:tcPr>
          <w:p w14:paraId="62FA3E95" w14:textId="77777777" w:rsidR="00D02BC8" w:rsidRPr="00D31EBB" w:rsidRDefault="00D02BC8" w:rsidP="008B6CCB">
            <w:pPr>
              <w:pStyle w:val="EMEABodyText"/>
              <w:rPr>
                <w:szCs w:val="22"/>
              </w:rPr>
            </w:pPr>
            <w:r>
              <w:t xml:space="preserve">Co-administration of voriconazole and REYATAZ with ritonavir is not recommended unless an assessment of the benefit/risk to the patient justifies the use of voriconazole (see section 4.4). </w:t>
            </w:r>
          </w:p>
          <w:p w14:paraId="353FB983" w14:textId="77777777" w:rsidR="00D02BC8" w:rsidRPr="00D31EBB" w:rsidRDefault="00D02BC8" w:rsidP="008B6CCB">
            <w:pPr>
              <w:pStyle w:val="EMEABodyText"/>
              <w:rPr>
                <w:szCs w:val="22"/>
                <w:lang w:val="en-US"/>
              </w:rPr>
            </w:pPr>
          </w:p>
          <w:p w14:paraId="68BCB931" w14:textId="77777777" w:rsidR="00D02BC8" w:rsidRPr="00D31EBB" w:rsidRDefault="00D02BC8" w:rsidP="008B6CCB">
            <w:pPr>
              <w:pStyle w:val="EMEABodyText"/>
              <w:rPr>
                <w:szCs w:val="22"/>
              </w:rPr>
            </w:pPr>
            <w:r>
              <w:t>At the time voriconazole treatment is required, a patient's CYP2C19 genotype should be performed if feasible.</w:t>
            </w:r>
          </w:p>
          <w:p w14:paraId="2B198E81" w14:textId="77777777" w:rsidR="00D02BC8" w:rsidRPr="00D31EBB" w:rsidRDefault="00D02BC8" w:rsidP="008B6CCB">
            <w:pPr>
              <w:pStyle w:val="EMEABodyText"/>
              <w:rPr>
                <w:szCs w:val="22"/>
                <w:lang w:val="en-US"/>
              </w:rPr>
            </w:pPr>
          </w:p>
          <w:p w14:paraId="0E7CAE74" w14:textId="77777777" w:rsidR="00D02BC8" w:rsidRPr="00D31EBB" w:rsidRDefault="00D02BC8" w:rsidP="008B6CCB">
            <w:pPr>
              <w:pStyle w:val="EMEABodyText"/>
              <w:rPr>
                <w:szCs w:val="22"/>
              </w:rPr>
            </w:pPr>
            <w:r>
              <w:t>Therefore if the combination is unavoidable, the following recommendations are made according to the CYP2C19 status:</w:t>
            </w:r>
          </w:p>
          <w:p w14:paraId="603D4578" w14:textId="77777777" w:rsidR="00D02BC8" w:rsidRPr="00D31EBB" w:rsidRDefault="00D02BC8" w:rsidP="008B6CCB">
            <w:pPr>
              <w:pStyle w:val="EMEABodyText"/>
              <w:rPr>
                <w:szCs w:val="22"/>
                <w:lang w:val="en-US"/>
              </w:rPr>
            </w:pPr>
          </w:p>
          <w:p w14:paraId="299F08AD" w14:textId="77777777" w:rsidR="00D02BC8" w:rsidRPr="00D31EBB" w:rsidRDefault="00D02BC8" w:rsidP="008B6CCB">
            <w:pPr>
              <w:pStyle w:val="EMEABodyText"/>
              <w:rPr>
                <w:szCs w:val="22"/>
              </w:rPr>
            </w:pPr>
            <w:r>
              <w:t xml:space="preserve">- in patients with at least one functional CYP2C19 allele, close clinical monitoring for a loss of both voriconazole (clinical signs) and atazanavir (virologic response) efficacy is recommended. </w:t>
            </w:r>
          </w:p>
          <w:p w14:paraId="551CA6E5" w14:textId="77777777" w:rsidR="00D02BC8" w:rsidRPr="00D31EBB" w:rsidRDefault="00D02BC8" w:rsidP="008B6CCB">
            <w:pPr>
              <w:pStyle w:val="EMEABodyText"/>
              <w:rPr>
                <w:szCs w:val="22"/>
                <w:lang w:val="en-US"/>
              </w:rPr>
            </w:pPr>
          </w:p>
          <w:p w14:paraId="473B750F" w14:textId="77777777" w:rsidR="00D02BC8" w:rsidRPr="00D31EBB" w:rsidRDefault="00D02BC8" w:rsidP="008B6CCB">
            <w:pPr>
              <w:pStyle w:val="EMEABodyText"/>
              <w:rPr>
                <w:szCs w:val="22"/>
              </w:rPr>
            </w:pPr>
            <w:r>
              <w:t>- in patients without a functional CYP2C19 allele, close clinical and laboratory monitoring of voriconazole-associated adverse events is recommended.</w:t>
            </w:r>
          </w:p>
          <w:p w14:paraId="4F06A06F" w14:textId="77777777" w:rsidR="00D02BC8" w:rsidRPr="00D31EBB" w:rsidRDefault="00D02BC8" w:rsidP="008B6CCB">
            <w:pPr>
              <w:pStyle w:val="EMEABodyText"/>
              <w:rPr>
                <w:szCs w:val="22"/>
                <w:lang w:val="en-US"/>
              </w:rPr>
            </w:pPr>
          </w:p>
          <w:p w14:paraId="4C458FF3" w14:textId="77777777" w:rsidR="00D02BC8" w:rsidRPr="00D31EBB" w:rsidRDefault="00D02BC8" w:rsidP="000424FD">
            <w:pPr>
              <w:pStyle w:val="EMEABodyText"/>
              <w:rPr>
                <w:szCs w:val="22"/>
              </w:rPr>
            </w:pPr>
            <w:r>
              <w:t>If genotyping is not feasible, full monitoring of safety and efficacy should be performed.</w:t>
            </w:r>
          </w:p>
        </w:tc>
      </w:tr>
      <w:tr w:rsidR="00D02BC8" w:rsidRPr="00965E20" w14:paraId="22FFBC1D" w14:textId="77777777" w:rsidTr="008B6CCB">
        <w:trPr>
          <w:cantSplit/>
          <w:trHeight w:val="340"/>
        </w:trPr>
        <w:tc>
          <w:tcPr>
            <w:tcW w:w="3095" w:type="dxa"/>
          </w:tcPr>
          <w:p w14:paraId="3B47BFAC" w14:textId="77777777" w:rsidR="00D02BC8" w:rsidRPr="00D31EBB" w:rsidRDefault="00D02BC8" w:rsidP="008B6CCB">
            <w:pPr>
              <w:pStyle w:val="EMEABodyText"/>
              <w:rPr>
                <w:szCs w:val="22"/>
              </w:rPr>
            </w:pPr>
            <w:r>
              <w:rPr>
                <w:b/>
                <w:szCs w:val="22"/>
              </w:rPr>
              <w:t xml:space="preserve">Voriconazole 50 mg twice daily </w:t>
            </w:r>
            <w:r>
              <w:t>(atazanavir 300 mg/ritonavir 100 mg once daily)</w:t>
            </w:r>
          </w:p>
          <w:p w14:paraId="4A91075F" w14:textId="77777777" w:rsidR="00D02BC8" w:rsidRPr="00D31EBB" w:rsidRDefault="00D02BC8" w:rsidP="008B6CCB">
            <w:pPr>
              <w:pStyle w:val="EMEABodyText"/>
              <w:rPr>
                <w:b/>
                <w:szCs w:val="22"/>
                <w:lang w:val="en-US"/>
              </w:rPr>
            </w:pPr>
          </w:p>
          <w:p w14:paraId="38D491D7" w14:textId="77777777" w:rsidR="00D02BC8" w:rsidRPr="00D31EBB" w:rsidRDefault="00D02BC8" w:rsidP="008B6CCB">
            <w:pPr>
              <w:pStyle w:val="EMEABodyText"/>
              <w:rPr>
                <w:szCs w:val="22"/>
              </w:rPr>
            </w:pPr>
            <w:r>
              <w:t>Subjects without a functional CYP2C19 allele.</w:t>
            </w:r>
          </w:p>
          <w:p w14:paraId="4DEBC623" w14:textId="77777777" w:rsidR="00D02BC8" w:rsidRPr="00D31EBB" w:rsidRDefault="00D02BC8" w:rsidP="008B6CCB">
            <w:pPr>
              <w:pStyle w:val="EMEABodyText"/>
              <w:rPr>
                <w:b/>
                <w:szCs w:val="22"/>
                <w:lang w:val="en-US"/>
              </w:rPr>
            </w:pPr>
          </w:p>
        </w:tc>
        <w:tc>
          <w:tcPr>
            <w:tcW w:w="3676" w:type="dxa"/>
          </w:tcPr>
          <w:p w14:paraId="691D0F2B" w14:textId="77777777" w:rsidR="00D02BC8" w:rsidRPr="00D31EBB" w:rsidRDefault="00D02BC8" w:rsidP="008B6CCB">
            <w:pPr>
              <w:pStyle w:val="EMEABodyText"/>
              <w:rPr>
                <w:szCs w:val="22"/>
              </w:rPr>
            </w:pPr>
            <w:r>
              <w:t>Voriconazole AUC ↑561% (↑451% ↑699%)</w:t>
            </w:r>
          </w:p>
          <w:p w14:paraId="1ADBD863" w14:textId="77777777" w:rsidR="00D02BC8" w:rsidRPr="00D31EBB" w:rsidRDefault="00D02BC8" w:rsidP="008B6CCB">
            <w:pPr>
              <w:pStyle w:val="EMEABodyText"/>
              <w:rPr>
                <w:szCs w:val="22"/>
              </w:rPr>
            </w:pPr>
            <w:r>
              <w:t>Voriconazole C</w:t>
            </w:r>
            <w:r>
              <w:rPr>
                <w:szCs w:val="22"/>
                <w:vertAlign w:val="subscript"/>
              </w:rPr>
              <w:t>max</w:t>
            </w:r>
            <w:r>
              <w:t xml:space="preserve"> ↑438% (↑355% ↑539%)</w:t>
            </w:r>
          </w:p>
          <w:p w14:paraId="7F0919CA" w14:textId="77777777" w:rsidR="00D02BC8" w:rsidRPr="00D31EBB" w:rsidRDefault="00D02BC8" w:rsidP="008B6CCB">
            <w:pPr>
              <w:pStyle w:val="EMEABodyText"/>
              <w:rPr>
                <w:szCs w:val="22"/>
              </w:rPr>
            </w:pPr>
            <w:r>
              <w:t>Voriconazole C</w:t>
            </w:r>
            <w:r>
              <w:rPr>
                <w:szCs w:val="22"/>
                <w:vertAlign w:val="subscript"/>
              </w:rPr>
              <w:t>min</w:t>
            </w:r>
            <w:r>
              <w:t xml:space="preserve"> ↑765% (↑571% ↑1,020%)</w:t>
            </w:r>
          </w:p>
          <w:p w14:paraId="1B2F53B2" w14:textId="77777777" w:rsidR="00D02BC8" w:rsidRPr="00D31EBB" w:rsidRDefault="00D02BC8" w:rsidP="008B6CCB">
            <w:pPr>
              <w:pStyle w:val="EMEABodyText"/>
              <w:rPr>
                <w:szCs w:val="22"/>
                <w:lang w:val="en-US"/>
              </w:rPr>
            </w:pPr>
          </w:p>
          <w:p w14:paraId="01AA8A24" w14:textId="77777777" w:rsidR="00D02BC8" w:rsidRPr="00D31EBB" w:rsidRDefault="00D02BC8" w:rsidP="008B6CCB">
            <w:pPr>
              <w:pStyle w:val="EMEABodyText"/>
              <w:rPr>
                <w:szCs w:val="22"/>
                <w:lang w:val="en-US"/>
              </w:rPr>
            </w:pPr>
          </w:p>
          <w:p w14:paraId="06823C95" w14:textId="77777777" w:rsidR="00D02BC8" w:rsidRPr="00D31EBB" w:rsidRDefault="00D02BC8" w:rsidP="008B6CCB">
            <w:pPr>
              <w:pStyle w:val="EMEABodyText"/>
              <w:rPr>
                <w:szCs w:val="22"/>
              </w:rPr>
            </w:pPr>
            <w:r>
              <w:t>Atazanavir AUC ↓20% (↓35% ↓3%)</w:t>
            </w:r>
          </w:p>
          <w:p w14:paraId="4D5AC7C5" w14:textId="77777777" w:rsidR="00D02BC8" w:rsidRPr="00D31EBB" w:rsidRDefault="00D02BC8" w:rsidP="008B6CCB">
            <w:pPr>
              <w:pStyle w:val="EMEABodyText"/>
              <w:rPr>
                <w:szCs w:val="22"/>
              </w:rPr>
            </w:pPr>
            <w:r>
              <w:t>Atazanavir C</w:t>
            </w:r>
            <w:r>
              <w:rPr>
                <w:szCs w:val="22"/>
                <w:vertAlign w:val="subscript"/>
              </w:rPr>
              <w:t>max</w:t>
            </w:r>
            <w:r>
              <w:t xml:space="preserve"> ↓19% (↓34% ↔0.2%)</w:t>
            </w:r>
          </w:p>
          <w:p w14:paraId="2EAE9E69" w14:textId="77777777" w:rsidR="00D02BC8" w:rsidRPr="00D31EBB" w:rsidRDefault="00D02BC8" w:rsidP="008B6CCB">
            <w:pPr>
              <w:pStyle w:val="EMEABodyText"/>
              <w:rPr>
                <w:szCs w:val="22"/>
              </w:rPr>
            </w:pPr>
            <w:r>
              <w:t>Atazanavir C</w:t>
            </w:r>
            <w:r>
              <w:rPr>
                <w:szCs w:val="22"/>
                <w:vertAlign w:val="subscript"/>
              </w:rPr>
              <w:t>min</w:t>
            </w:r>
            <w:r>
              <w:t xml:space="preserve"> ↓ 31 % (↓46 % ↓13%)</w:t>
            </w:r>
          </w:p>
          <w:p w14:paraId="7BFFE221" w14:textId="77777777" w:rsidR="00D02BC8" w:rsidRPr="00D31EBB" w:rsidRDefault="00D02BC8" w:rsidP="008B6CCB">
            <w:pPr>
              <w:pStyle w:val="EMEABodyText"/>
              <w:rPr>
                <w:szCs w:val="22"/>
                <w:lang w:val="en-US"/>
              </w:rPr>
            </w:pPr>
          </w:p>
          <w:p w14:paraId="229310D7" w14:textId="77777777" w:rsidR="00D02BC8" w:rsidRPr="00D31EBB" w:rsidRDefault="00D02BC8" w:rsidP="008B6CCB">
            <w:pPr>
              <w:pStyle w:val="EMEABodyText"/>
              <w:rPr>
                <w:szCs w:val="22"/>
                <w:lang w:val="en-US"/>
              </w:rPr>
            </w:pPr>
          </w:p>
          <w:p w14:paraId="7EF9BD87" w14:textId="77777777" w:rsidR="00D02BC8" w:rsidRPr="00D31EBB" w:rsidRDefault="00D02BC8" w:rsidP="008B6CCB">
            <w:pPr>
              <w:pStyle w:val="EMEABodyText"/>
              <w:rPr>
                <w:szCs w:val="22"/>
              </w:rPr>
            </w:pPr>
            <w:r>
              <w:t>Ritonavir AUC ↓11% (↓20% ↓1%)</w:t>
            </w:r>
          </w:p>
          <w:p w14:paraId="4DE8D170" w14:textId="77777777" w:rsidR="00D02BC8" w:rsidRPr="00D31EBB" w:rsidRDefault="00D02BC8" w:rsidP="008B6CCB">
            <w:pPr>
              <w:pStyle w:val="EMEABodyText"/>
              <w:rPr>
                <w:szCs w:val="22"/>
              </w:rPr>
            </w:pPr>
            <w:r>
              <w:t>Ritonavir C</w:t>
            </w:r>
            <w:r>
              <w:rPr>
                <w:szCs w:val="22"/>
                <w:vertAlign w:val="subscript"/>
              </w:rPr>
              <w:t>max</w:t>
            </w:r>
            <w:r>
              <w:t xml:space="preserve"> ↓11% (↓24% ↑4%)</w:t>
            </w:r>
          </w:p>
          <w:p w14:paraId="77B79704" w14:textId="77777777" w:rsidR="00D02BC8" w:rsidRPr="00D31EBB" w:rsidRDefault="00D02BC8" w:rsidP="008B6CCB">
            <w:pPr>
              <w:pStyle w:val="EMEABodyText"/>
              <w:rPr>
                <w:szCs w:val="22"/>
              </w:rPr>
            </w:pPr>
            <w:r>
              <w:t>Ritonavir C</w:t>
            </w:r>
            <w:r>
              <w:rPr>
                <w:szCs w:val="22"/>
                <w:vertAlign w:val="subscript"/>
              </w:rPr>
              <w:t>min</w:t>
            </w:r>
            <w:r>
              <w:t xml:space="preserve"> ↓19% (↓35% ↑1%)</w:t>
            </w:r>
          </w:p>
          <w:p w14:paraId="592972C8" w14:textId="77777777" w:rsidR="00D02BC8" w:rsidRPr="00D31EBB" w:rsidRDefault="00D02BC8" w:rsidP="008B6CCB">
            <w:pPr>
              <w:pStyle w:val="EMEABodyText"/>
              <w:rPr>
                <w:szCs w:val="22"/>
                <w:lang w:val="en-US"/>
              </w:rPr>
            </w:pPr>
          </w:p>
          <w:p w14:paraId="26254617" w14:textId="77777777" w:rsidR="00D02BC8" w:rsidRPr="00D31EBB" w:rsidRDefault="00D02BC8" w:rsidP="008B6CCB">
            <w:pPr>
              <w:pStyle w:val="EMEABodyText"/>
              <w:rPr>
                <w:szCs w:val="22"/>
              </w:rPr>
            </w:pPr>
            <w:r>
              <w:t xml:space="preserve">In a small number of patients without a functional CYP2C19 allele, significantly increased voriconazole exposures are expected. </w:t>
            </w:r>
          </w:p>
          <w:p w14:paraId="7EFE9540" w14:textId="77777777" w:rsidR="00D02BC8" w:rsidRPr="00D31EBB" w:rsidRDefault="00D02BC8" w:rsidP="008B6CCB">
            <w:pPr>
              <w:pStyle w:val="EMEABodyText"/>
              <w:rPr>
                <w:szCs w:val="22"/>
                <w:lang w:val="en-US"/>
              </w:rPr>
            </w:pPr>
          </w:p>
        </w:tc>
        <w:tc>
          <w:tcPr>
            <w:tcW w:w="3119" w:type="dxa"/>
            <w:vMerge/>
          </w:tcPr>
          <w:p w14:paraId="07B0C199" w14:textId="77777777" w:rsidR="00D02BC8" w:rsidRPr="00D31EBB" w:rsidRDefault="00D02BC8" w:rsidP="008B6CCB">
            <w:pPr>
              <w:pStyle w:val="EMEABodyText"/>
              <w:rPr>
                <w:szCs w:val="22"/>
                <w:lang w:val="en-US"/>
              </w:rPr>
            </w:pPr>
          </w:p>
        </w:tc>
      </w:tr>
      <w:tr w:rsidR="00D02BC8" w:rsidRPr="00965E20" w14:paraId="36812153" w14:textId="77777777" w:rsidTr="008B6CCB">
        <w:trPr>
          <w:cantSplit/>
          <w:trHeight w:val="340"/>
        </w:trPr>
        <w:tc>
          <w:tcPr>
            <w:tcW w:w="3095" w:type="dxa"/>
          </w:tcPr>
          <w:p w14:paraId="47E05A7C" w14:textId="77777777" w:rsidR="00D02BC8" w:rsidRPr="00D31EBB" w:rsidRDefault="00D02BC8" w:rsidP="008B6CCB">
            <w:pPr>
              <w:pStyle w:val="EMEABodyText"/>
              <w:rPr>
                <w:b/>
                <w:szCs w:val="22"/>
              </w:rPr>
            </w:pPr>
            <w:r>
              <w:rPr>
                <w:b/>
                <w:szCs w:val="22"/>
              </w:rPr>
              <w:t>Fluconazole 200 mg once daily</w:t>
            </w:r>
          </w:p>
          <w:p w14:paraId="04FC187F" w14:textId="77777777" w:rsidR="00D02BC8" w:rsidRPr="00D31EBB" w:rsidRDefault="00D02BC8" w:rsidP="008B6CCB">
            <w:pPr>
              <w:pStyle w:val="EMEABodyText"/>
              <w:rPr>
                <w:szCs w:val="22"/>
              </w:rPr>
            </w:pPr>
            <w:r>
              <w:t>(atazanavir 300 mg and ritonavir 100 mg once daily)</w:t>
            </w:r>
          </w:p>
        </w:tc>
        <w:tc>
          <w:tcPr>
            <w:tcW w:w="3676" w:type="dxa"/>
          </w:tcPr>
          <w:p w14:paraId="5644849F" w14:textId="77777777" w:rsidR="00D02BC8" w:rsidRPr="00D31EBB" w:rsidRDefault="00D02BC8" w:rsidP="008B6CCB">
            <w:pPr>
              <w:pStyle w:val="EMEABodyText"/>
              <w:rPr>
                <w:szCs w:val="22"/>
              </w:rPr>
            </w:pPr>
            <w:r>
              <w:t>Atazanavir and fluconazole concentrations were not significantly modified when REYATAZ/ritonavir was co-administered with fluconazole.</w:t>
            </w:r>
          </w:p>
        </w:tc>
        <w:tc>
          <w:tcPr>
            <w:tcW w:w="3119" w:type="dxa"/>
          </w:tcPr>
          <w:p w14:paraId="1DA0A25A" w14:textId="77777777" w:rsidR="00D02BC8" w:rsidRPr="00D31EBB" w:rsidRDefault="00D02BC8" w:rsidP="00965CD8">
            <w:pPr>
              <w:pStyle w:val="EMEABodyText"/>
              <w:rPr>
                <w:szCs w:val="22"/>
              </w:rPr>
            </w:pPr>
            <w:r>
              <w:t>No dosage adjustments are needed for fluconazole and REYATAZ.</w:t>
            </w:r>
          </w:p>
        </w:tc>
      </w:tr>
      <w:tr w:rsidR="00D02BC8" w:rsidRPr="004F3582" w14:paraId="7379D5A2" w14:textId="77777777" w:rsidTr="008B6CCB">
        <w:trPr>
          <w:cantSplit/>
          <w:trHeight w:val="340"/>
        </w:trPr>
        <w:tc>
          <w:tcPr>
            <w:tcW w:w="9890" w:type="dxa"/>
            <w:gridSpan w:val="3"/>
          </w:tcPr>
          <w:p w14:paraId="12E843B3" w14:textId="77777777" w:rsidR="00D02BC8" w:rsidRPr="004F3582" w:rsidRDefault="00D02BC8" w:rsidP="00FF2270">
            <w:pPr>
              <w:pStyle w:val="EMEABodyText"/>
              <w:keepNext/>
              <w:rPr>
                <w:szCs w:val="22"/>
              </w:rPr>
            </w:pPr>
            <w:r>
              <w:rPr>
                <w:b/>
                <w:szCs w:val="22"/>
              </w:rPr>
              <w:lastRenderedPageBreak/>
              <w:t>ANTIMYCOBACTERIAL</w:t>
            </w:r>
          </w:p>
        </w:tc>
      </w:tr>
      <w:tr w:rsidR="00D02BC8" w:rsidRPr="004F3582" w14:paraId="37E35EE7" w14:textId="77777777" w:rsidTr="008B6CCB">
        <w:trPr>
          <w:cantSplit/>
          <w:trHeight w:val="340"/>
        </w:trPr>
        <w:tc>
          <w:tcPr>
            <w:tcW w:w="3095" w:type="dxa"/>
          </w:tcPr>
          <w:p w14:paraId="24059D1E" w14:textId="77777777" w:rsidR="00D02BC8" w:rsidRPr="00D31EBB" w:rsidRDefault="00D02BC8" w:rsidP="008B6CCB">
            <w:pPr>
              <w:pStyle w:val="EMEABodyText"/>
              <w:rPr>
                <w:b/>
                <w:szCs w:val="22"/>
              </w:rPr>
            </w:pPr>
            <w:r>
              <w:rPr>
                <w:b/>
                <w:szCs w:val="22"/>
              </w:rPr>
              <w:t>Rifabutin 150 mg twice weekly</w:t>
            </w:r>
          </w:p>
          <w:p w14:paraId="066945B8" w14:textId="77777777" w:rsidR="00D02BC8" w:rsidRPr="00D31EBB" w:rsidRDefault="00D02BC8" w:rsidP="008B6CCB">
            <w:pPr>
              <w:pStyle w:val="EMEABodyText"/>
              <w:rPr>
                <w:szCs w:val="22"/>
              </w:rPr>
            </w:pPr>
            <w:r>
              <w:t>(atazanavir 300 mg and ritonavir 100 mg once daily)</w:t>
            </w:r>
          </w:p>
        </w:tc>
        <w:tc>
          <w:tcPr>
            <w:tcW w:w="3676" w:type="dxa"/>
          </w:tcPr>
          <w:p w14:paraId="0FA451B4" w14:textId="77777777" w:rsidR="00D02BC8" w:rsidRPr="00D31EBB" w:rsidRDefault="00D02BC8" w:rsidP="008B6CCB">
            <w:pPr>
              <w:pStyle w:val="EMEABodyText"/>
              <w:rPr>
                <w:szCs w:val="22"/>
              </w:rPr>
            </w:pPr>
            <w:r>
              <w:t>Rifabutin AUC ↑48% (↑19% ↑84%) **</w:t>
            </w:r>
          </w:p>
          <w:p w14:paraId="2DDF2029" w14:textId="77777777" w:rsidR="00D02BC8" w:rsidRPr="00D31EBB" w:rsidRDefault="00D02BC8" w:rsidP="008B6CCB">
            <w:pPr>
              <w:pStyle w:val="EMEABodyText"/>
              <w:rPr>
                <w:szCs w:val="22"/>
              </w:rPr>
            </w:pPr>
            <w:r>
              <w:t>Rifabutin C</w:t>
            </w:r>
            <w:r>
              <w:rPr>
                <w:szCs w:val="22"/>
                <w:vertAlign w:val="subscript"/>
              </w:rPr>
              <w:t>max</w:t>
            </w:r>
            <w:r>
              <w:t xml:space="preserve"> ↑149% (↑103% ↑206%) **</w:t>
            </w:r>
          </w:p>
          <w:p w14:paraId="63E1A074" w14:textId="77777777" w:rsidR="00D02BC8" w:rsidRPr="00D31EBB" w:rsidRDefault="00D02BC8" w:rsidP="008B6CCB">
            <w:pPr>
              <w:pStyle w:val="EMEABodyText"/>
              <w:rPr>
                <w:szCs w:val="22"/>
              </w:rPr>
            </w:pPr>
            <w:r>
              <w:t>Rifabutin C</w:t>
            </w:r>
            <w:r>
              <w:rPr>
                <w:szCs w:val="22"/>
                <w:vertAlign w:val="subscript"/>
              </w:rPr>
              <w:t>min</w:t>
            </w:r>
            <w:r>
              <w:t xml:space="preserve"> ↑40% (↑5% ↑87%) **</w:t>
            </w:r>
          </w:p>
          <w:p w14:paraId="61D580FE" w14:textId="77777777" w:rsidR="00D02BC8" w:rsidRPr="00FF5A0D" w:rsidRDefault="00D02BC8" w:rsidP="008B6CCB">
            <w:pPr>
              <w:pStyle w:val="EMEABodyText"/>
              <w:rPr>
                <w:szCs w:val="22"/>
              </w:rPr>
            </w:pPr>
          </w:p>
          <w:p w14:paraId="56C27DF8" w14:textId="77777777" w:rsidR="00D02BC8" w:rsidRPr="00D31EBB" w:rsidRDefault="00D02BC8" w:rsidP="008B6CCB">
            <w:pPr>
              <w:pStyle w:val="EMEABodyText"/>
              <w:rPr>
                <w:szCs w:val="22"/>
              </w:rPr>
            </w:pPr>
            <w:r>
              <w:t>25-O-desacetyl-rifabutin AUC ↑990% (↑714% ↑1361%) **</w:t>
            </w:r>
          </w:p>
          <w:p w14:paraId="7E6769EF" w14:textId="77777777" w:rsidR="00D02BC8" w:rsidRPr="00D31EBB" w:rsidRDefault="00D02BC8" w:rsidP="008B6CCB">
            <w:pPr>
              <w:pStyle w:val="EMEABodyText"/>
              <w:rPr>
                <w:szCs w:val="22"/>
              </w:rPr>
            </w:pPr>
            <w:r>
              <w:t>25-O-desacetyl-rifabutin C</w:t>
            </w:r>
            <w:r>
              <w:rPr>
                <w:szCs w:val="22"/>
                <w:vertAlign w:val="subscript"/>
              </w:rPr>
              <w:t>max</w:t>
            </w:r>
            <w:r>
              <w:t xml:space="preserve"> ↑677% (↑513% ↑883%) **</w:t>
            </w:r>
          </w:p>
          <w:p w14:paraId="6057E3AB" w14:textId="77777777" w:rsidR="00D02BC8" w:rsidRPr="00D31EBB" w:rsidRDefault="00D02BC8" w:rsidP="008B6CCB">
            <w:pPr>
              <w:pStyle w:val="EMEABodyText"/>
              <w:rPr>
                <w:szCs w:val="22"/>
              </w:rPr>
            </w:pPr>
            <w:r>
              <w:t>25-O-desacetyl-rifabutin C</w:t>
            </w:r>
            <w:r>
              <w:rPr>
                <w:szCs w:val="22"/>
                <w:vertAlign w:val="subscript"/>
              </w:rPr>
              <w:t>min</w:t>
            </w:r>
            <w:r>
              <w:t xml:space="preserve"> ↑1045% (↑715% ↑1510%) **</w:t>
            </w:r>
          </w:p>
          <w:p w14:paraId="26C5FC0D" w14:textId="77777777" w:rsidR="00D02BC8" w:rsidRPr="00D31EBB" w:rsidRDefault="00D02BC8" w:rsidP="008B6CCB">
            <w:pPr>
              <w:pStyle w:val="EMEABodyText"/>
              <w:rPr>
                <w:szCs w:val="22"/>
                <w:lang w:val="en-US"/>
              </w:rPr>
            </w:pPr>
          </w:p>
          <w:p w14:paraId="14634BE7" w14:textId="77777777" w:rsidR="00D02BC8" w:rsidRPr="00D31EBB" w:rsidRDefault="00D02BC8" w:rsidP="008B6CCB">
            <w:pPr>
              <w:pStyle w:val="EMEABodyText"/>
              <w:rPr>
                <w:szCs w:val="22"/>
              </w:rPr>
            </w:pPr>
            <w:r>
              <w:t>** When compared to rifabutin 150 mg once daily alone. Total rifabutin and 25-O-desacetyl-rifabutin AUC ↑119% (↑78% ↑169%).</w:t>
            </w:r>
          </w:p>
          <w:p w14:paraId="406393D7" w14:textId="77777777" w:rsidR="00D02BC8" w:rsidRPr="00D31EBB" w:rsidRDefault="00D02BC8" w:rsidP="008B6CCB">
            <w:pPr>
              <w:pStyle w:val="EMEABodyText"/>
              <w:rPr>
                <w:szCs w:val="22"/>
                <w:lang w:val="en-US"/>
              </w:rPr>
            </w:pPr>
          </w:p>
          <w:p w14:paraId="472B7E6A" w14:textId="77777777" w:rsidR="00D02BC8" w:rsidRPr="00D31EBB" w:rsidRDefault="00D02BC8" w:rsidP="008B6CCB">
            <w:pPr>
              <w:pStyle w:val="EMEABodyText"/>
              <w:rPr>
                <w:szCs w:val="22"/>
              </w:rPr>
            </w:pPr>
            <w:r>
              <w:t>In previous studies, the pharmacokinetics of atazanavir was not altered by rifabutin.</w:t>
            </w:r>
          </w:p>
        </w:tc>
        <w:tc>
          <w:tcPr>
            <w:tcW w:w="3119" w:type="dxa"/>
          </w:tcPr>
          <w:p w14:paraId="6A9D8425" w14:textId="77777777" w:rsidR="00D02BC8" w:rsidRPr="004F3582" w:rsidRDefault="00D02BC8" w:rsidP="00BC76A6">
            <w:pPr>
              <w:pStyle w:val="EMEABodyText"/>
              <w:rPr>
                <w:szCs w:val="22"/>
              </w:rPr>
            </w:pPr>
            <w:r>
              <w:t>When given with REYATAZ, the recommended dose of rifabutin is 150 mg 3 times per week on set days (for example Monday-Wednesday-Friday). Increased monitoring for rifabutin-associated adverse reactions including neutropenia and uveitis is warranted due to an expected increase in exposure to rifabutin. Further dosage reduction of rifabutin to 150 mg twice weekly on set days is recommended for patients in whom the 150 mg dose 3 times per week is not tolerated. It should be kept in mind that the twice weekly dosage of 150 mg may not provide an optimal exposure to rifabutin thus leading to a risk of rifamycin resistance and a treatment failure. No dose adjustment is needed for REYATAZ.</w:t>
            </w:r>
          </w:p>
        </w:tc>
      </w:tr>
      <w:tr w:rsidR="00D02BC8" w:rsidRPr="00965E20" w14:paraId="37FB4328" w14:textId="77777777" w:rsidTr="008B6CCB">
        <w:trPr>
          <w:cantSplit/>
          <w:trHeight w:val="340"/>
        </w:trPr>
        <w:tc>
          <w:tcPr>
            <w:tcW w:w="3095" w:type="dxa"/>
          </w:tcPr>
          <w:p w14:paraId="28BC8721" w14:textId="77777777" w:rsidR="00D02BC8" w:rsidRPr="004F3582" w:rsidRDefault="00D02BC8" w:rsidP="008B6CCB">
            <w:pPr>
              <w:pStyle w:val="EMEABodyText"/>
              <w:rPr>
                <w:b/>
                <w:szCs w:val="22"/>
              </w:rPr>
            </w:pPr>
            <w:r>
              <w:rPr>
                <w:b/>
                <w:szCs w:val="22"/>
              </w:rPr>
              <w:t>Rifampicin</w:t>
            </w:r>
          </w:p>
        </w:tc>
        <w:tc>
          <w:tcPr>
            <w:tcW w:w="3676" w:type="dxa"/>
          </w:tcPr>
          <w:p w14:paraId="6398D434" w14:textId="77777777" w:rsidR="00D02BC8" w:rsidRPr="00D31EBB" w:rsidRDefault="00D02BC8" w:rsidP="008B6CCB">
            <w:pPr>
              <w:pStyle w:val="EMEABodyText"/>
              <w:rPr>
                <w:szCs w:val="22"/>
              </w:rPr>
            </w:pPr>
            <w:r>
              <w:t>Rifampicin is a strong CYP3A4 inducer and has been shown to cause a 72% decrease in atazanavir AUC which can result in virological failure and resistance development. During attempts to overcome the decreased exposure by increasing the dose of REYATAZ or other protease inhibitors with ritonavir, a high frequency of liver reactions was seen.</w:t>
            </w:r>
          </w:p>
        </w:tc>
        <w:tc>
          <w:tcPr>
            <w:tcW w:w="3119" w:type="dxa"/>
          </w:tcPr>
          <w:p w14:paraId="7911B936" w14:textId="77777777" w:rsidR="00D02BC8" w:rsidRPr="00D31EBB" w:rsidRDefault="00D02BC8" w:rsidP="00BC76A6">
            <w:pPr>
              <w:pStyle w:val="EMEABodyText"/>
              <w:rPr>
                <w:szCs w:val="22"/>
              </w:rPr>
            </w:pPr>
            <w:r>
              <w:t>The combination of rifampicin and REYATAZ is contraindicated (see section 4.3).</w:t>
            </w:r>
          </w:p>
        </w:tc>
      </w:tr>
      <w:tr w:rsidR="00D02BC8" w:rsidRPr="004F3582" w14:paraId="2B134B9B" w14:textId="77777777" w:rsidTr="008B6CCB">
        <w:trPr>
          <w:cantSplit/>
          <w:trHeight w:val="340"/>
        </w:trPr>
        <w:tc>
          <w:tcPr>
            <w:tcW w:w="9890" w:type="dxa"/>
            <w:gridSpan w:val="3"/>
          </w:tcPr>
          <w:p w14:paraId="3D4C16CB" w14:textId="77777777" w:rsidR="00D02BC8" w:rsidRPr="004F3582" w:rsidRDefault="00D02BC8" w:rsidP="008B6CCB">
            <w:pPr>
              <w:pStyle w:val="EMEABodyText"/>
              <w:rPr>
                <w:b/>
                <w:szCs w:val="22"/>
              </w:rPr>
            </w:pPr>
            <w:r>
              <w:rPr>
                <w:b/>
                <w:szCs w:val="22"/>
              </w:rPr>
              <w:t>ANTIPSYCHOTICS</w:t>
            </w:r>
          </w:p>
        </w:tc>
      </w:tr>
      <w:tr w:rsidR="00D02BC8" w:rsidRPr="00965E20" w14:paraId="1E39DAA5" w14:textId="77777777" w:rsidTr="008B6CCB">
        <w:trPr>
          <w:cantSplit/>
          <w:trHeight w:val="340"/>
        </w:trPr>
        <w:tc>
          <w:tcPr>
            <w:tcW w:w="3095" w:type="dxa"/>
          </w:tcPr>
          <w:p w14:paraId="1E483554" w14:textId="77777777" w:rsidR="00D02BC8" w:rsidRPr="004F3582" w:rsidRDefault="00D02BC8" w:rsidP="00FF2270">
            <w:pPr>
              <w:pStyle w:val="EMEABodyText"/>
              <w:rPr>
                <w:b/>
                <w:szCs w:val="22"/>
              </w:rPr>
            </w:pPr>
            <w:r>
              <w:rPr>
                <w:b/>
                <w:szCs w:val="22"/>
              </w:rPr>
              <w:t>Quetiapine</w:t>
            </w:r>
          </w:p>
        </w:tc>
        <w:tc>
          <w:tcPr>
            <w:tcW w:w="3676" w:type="dxa"/>
          </w:tcPr>
          <w:p w14:paraId="53329DF3" w14:textId="77777777" w:rsidR="00D02BC8" w:rsidRPr="00D31EBB" w:rsidRDefault="00D02BC8" w:rsidP="00FF2270">
            <w:pPr>
              <w:pStyle w:val="EMEABodyText"/>
              <w:rPr>
                <w:szCs w:val="22"/>
              </w:rPr>
            </w:pPr>
            <w:r>
              <w:t>Due to CYP3A4 inhibition by REYATAZ, concentrations of quetiapine are expected to increase.</w:t>
            </w:r>
          </w:p>
        </w:tc>
        <w:tc>
          <w:tcPr>
            <w:tcW w:w="3119" w:type="dxa"/>
          </w:tcPr>
          <w:p w14:paraId="57E2433A" w14:textId="77777777" w:rsidR="00D02BC8" w:rsidRPr="00D31EBB" w:rsidRDefault="00D02BC8" w:rsidP="00FF2270">
            <w:pPr>
              <w:pStyle w:val="EMEABodyText"/>
              <w:rPr>
                <w:szCs w:val="22"/>
              </w:rPr>
            </w:pPr>
            <w:r>
              <w:t>Co-administration of quetiapine with REYATAZ is contraindicated as REYATAZ may increase quetiapine-related toxicity. Increased plasma concentrations of quetiapine may lead to coma (see section 4.3).</w:t>
            </w:r>
          </w:p>
        </w:tc>
      </w:tr>
      <w:tr w:rsidR="005C4B2B" w:rsidRPr="00965E20" w14:paraId="1E28E221" w14:textId="77777777" w:rsidTr="008B6CCB">
        <w:trPr>
          <w:cantSplit/>
          <w:trHeight w:val="340"/>
        </w:trPr>
        <w:tc>
          <w:tcPr>
            <w:tcW w:w="3095" w:type="dxa"/>
          </w:tcPr>
          <w:p w14:paraId="2C85A5DD" w14:textId="77777777" w:rsidR="005C4B2B" w:rsidRPr="004F3582" w:rsidRDefault="005C4B2B" w:rsidP="005C4B2B">
            <w:pPr>
              <w:pStyle w:val="EMEABodyText"/>
              <w:rPr>
                <w:b/>
                <w:szCs w:val="22"/>
              </w:rPr>
            </w:pPr>
            <w:r>
              <w:rPr>
                <w:b/>
                <w:szCs w:val="22"/>
              </w:rPr>
              <w:t>Lurasidone</w:t>
            </w:r>
          </w:p>
        </w:tc>
        <w:tc>
          <w:tcPr>
            <w:tcW w:w="3676" w:type="dxa"/>
          </w:tcPr>
          <w:p w14:paraId="1E38D26C" w14:textId="77777777" w:rsidR="005C4B2B" w:rsidRPr="00D31EBB" w:rsidRDefault="002D4A1A" w:rsidP="002D4A1A">
            <w:pPr>
              <w:pStyle w:val="EMEABodyText"/>
              <w:rPr>
                <w:szCs w:val="22"/>
              </w:rPr>
            </w:pPr>
            <w:r>
              <w:t>REYATAZ is expected to increase plasma levels of lurasidone due to CYP3A4 inhibition.</w:t>
            </w:r>
          </w:p>
        </w:tc>
        <w:tc>
          <w:tcPr>
            <w:tcW w:w="3119" w:type="dxa"/>
          </w:tcPr>
          <w:p w14:paraId="04ED497D" w14:textId="77777777" w:rsidR="005C4B2B" w:rsidRPr="00D31EBB" w:rsidRDefault="005C4B2B" w:rsidP="002D4A1A">
            <w:pPr>
              <w:pStyle w:val="EMEABodyText"/>
              <w:rPr>
                <w:szCs w:val="22"/>
              </w:rPr>
            </w:pPr>
            <w:r>
              <w:t>Co-administration of lurasidone with REYATAZ is contra-ndicated as this may increase lurasidone-related toxicity (see section 4.3).</w:t>
            </w:r>
          </w:p>
        </w:tc>
      </w:tr>
      <w:tr w:rsidR="00D02BC8" w:rsidRPr="004F3582" w14:paraId="0E379905" w14:textId="77777777" w:rsidTr="008B6CCB">
        <w:trPr>
          <w:cantSplit/>
          <w:trHeight w:val="340"/>
        </w:trPr>
        <w:tc>
          <w:tcPr>
            <w:tcW w:w="9890" w:type="dxa"/>
            <w:gridSpan w:val="3"/>
          </w:tcPr>
          <w:p w14:paraId="2177DBCA" w14:textId="77777777" w:rsidR="00D02BC8" w:rsidRPr="004F3582" w:rsidRDefault="00D02BC8" w:rsidP="00FF2270">
            <w:pPr>
              <w:pStyle w:val="EMEABodyText"/>
              <w:keepNext/>
              <w:rPr>
                <w:szCs w:val="22"/>
              </w:rPr>
            </w:pPr>
            <w:r>
              <w:rPr>
                <w:b/>
                <w:szCs w:val="22"/>
              </w:rPr>
              <w:lastRenderedPageBreak/>
              <w:t>ACID REDUCING AGENTS</w:t>
            </w:r>
          </w:p>
        </w:tc>
      </w:tr>
      <w:tr w:rsidR="00D02BC8" w:rsidRPr="004F3582" w14:paraId="4CDC5D92" w14:textId="77777777" w:rsidTr="008B6CCB">
        <w:trPr>
          <w:cantSplit/>
          <w:trHeight w:val="340"/>
        </w:trPr>
        <w:tc>
          <w:tcPr>
            <w:tcW w:w="9890" w:type="dxa"/>
            <w:gridSpan w:val="3"/>
          </w:tcPr>
          <w:p w14:paraId="05F616FB" w14:textId="77777777" w:rsidR="00D02BC8" w:rsidRPr="004F3582" w:rsidRDefault="00D02BC8" w:rsidP="00FF2270">
            <w:pPr>
              <w:pStyle w:val="EMEABodyText"/>
              <w:keepNext/>
              <w:rPr>
                <w:i/>
                <w:szCs w:val="22"/>
              </w:rPr>
            </w:pPr>
            <w:r>
              <w:rPr>
                <w:i/>
                <w:szCs w:val="22"/>
              </w:rPr>
              <w:t>H</w:t>
            </w:r>
            <w:r>
              <w:rPr>
                <w:i/>
                <w:szCs w:val="22"/>
                <w:vertAlign w:val="subscript"/>
              </w:rPr>
              <w:t>2</w:t>
            </w:r>
            <w:r>
              <w:rPr>
                <w:i/>
                <w:szCs w:val="22"/>
              </w:rPr>
              <w:t>-Receptor antagonists</w:t>
            </w:r>
          </w:p>
        </w:tc>
      </w:tr>
      <w:tr w:rsidR="00D02BC8" w:rsidRPr="004F3582" w14:paraId="0AB464D0" w14:textId="77777777" w:rsidTr="008B6CCB">
        <w:trPr>
          <w:cantSplit/>
          <w:trHeight w:val="255"/>
        </w:trPr>
        <w:tc>
          <w:tcPr>
            <w:tcW w:w="9890" w:type="dxa"/>
            <w:gridSpan w:val="3"/>
          </w:tcPr>
          <w:p w14:paraId="3CFE8155" w14:textId="77777777" w:rsidR="00D02BC8" w:rsidRPr="004F3582" w:rsidRDefault="00D02BC8" w:rsidP="00E54274">
            <w:pPr>
              <w:pStyle w:val="EMEABodyText"/>
              <w:keepNext/>
              <w:rPr>
                <w:szCs w:val="22"/>
              </w:rPr>
            </w:pPr>
            <w:r>
              <w:rPr>
                <w:b/>
                <w:szCs w:val="22"/>
              </w:rPr>
              <w:t>Without Tenofovir</w:t>
            </w:r>
          </w:p>
        </w:tc>
      </w:tr>
      <w:tr w:rsidR="00D02BC8" w:rsidRPr="00965E20" w14:paraId="7670E5D7" w14:textId="77777777" w:rsidTr="008B6CCB">
        <w:trPr>
          <w:cantSplit/>
          <w:trHeight w:val="255"/>
        </w:trPr>
        <w:tc>
          <w:tcPr>
            <w:tcW w:w="6771" w:type="dxa"/>
            <w:gridSpan w:val="2"/>
          </w:tcPr>
          <w:p w14:paraId="458C2540" w14:textId="77777777" w:rsidR="00D02BC8" w:rsidRPr="00D31EBB" w:rsidRDefault="00D02BC8" w:rsidP="00FF2270">
            <w:pPr>
              <w:pStyle w:val="EMEABodyText"/>
              <w:keepNext/>
              <w:rPr>
                <w:b/>
                <w:szCs w:val="22"/>
              </w:rPr>
            </w:pPr>
            <w:r>
              <w:t>In HIV-infected patients with atazanavir/ritonavir at the recommended dose 300/100 mg once daily</w:t>
            </w:r>
          </w:p>
        </w:tc>
        <w:tc>
          <w:tcPr>
            <w:tcW w:w="3119" w:type="dxa"/>
            <w:vMerge w:val="restart"/>
          </w:tcPr>
          <w:p w14:paraId="2C7DF01A" w14:textId="77777777" w:rsidR="00D02BC8" w:rsidRPr="00D31EBB" w:rsidRDefault="00D02BC8" w:rsidP="00E54274">
            <w:pPr>
              <w:pStyle w:val="EMEABodyText"/>
              <w:keepNext/>
              <w:rPr>
                <w:b/>
                <w:szCs w:val="22"/>
              </w:rPr>
            </w:pPr>
            <w:r>
              <w:rPr>
                <w:b/>
                <w:szCs w:val="22"/>
              </w:rPr>
              <w:t>For patients not taking tenofovir,</w:t>
            </w:r>
            <w:r>
              <w:t xml:space="preserve"> if REYATAZ 300 mg/ritonavir 100 mg and H</w:t>
            </w:r>
            <w:r>
              <w:rPr>
                <w:szCs w:val="22"/>
                <w:vertAlign w:val="subscript"/>
              </w:rPr>
              <w:t>2</w:t>
            </w:r>
            <w:r>
              <w:t>-receptor antagonists are co-administered, a dose equivalent to famotidine 20 mg twice daily should not be exceeded. If a higher dose of an H</w:t>
            </w:r>
            <w:r>
              <w:rPr>
                <w:szCs w:val="22"/>
                <w:vertAlign w:val="subscript"/>
              </w:rPr>
              <w:t>2</w:t>
            </w:r>
            <w:r>
              <w:t>-receptor antagonist is required (e.g., famotidine 40 mg twice daily or equivalent) an increase of the REYATAZ/ritonavir dose from 300/100 mg to 400/100 mg can be considered.</w:t>
            </w:r>
          </w:p>
        </w:tc>
      </w:tr>
      <w:tr w:rsidR="00D02BC8" w:rsidRPr="004F3582" w14:paraId="67FC22E9" w14:textId="77777777" w:rsidTr="008B6CCB">
        <w:trPr>
          <w:cantSplit/>
          <w:trHeight w:val="340"/>
        </w:trPr>
        <w:tc>
          <w:tcPr>
            <w:tcW w:w="3095" w:type="dxa"/>
          </w:tcPr>
          <w:p w14:paraId="642E657C" w14:textId="77777777" w:rsidR="00D02BC8" w:rsidRPr="004F3582" w:rsidRDefault="00D02BC8" w:rsidP="00FF2270">
            <w:pPr>
              <w:pStyle w:val="EMEABodyText"/>
              <w:keepNext/>
              <w:rPr>
                <w:b/>
                <w:szCs w:val="22"/>
              </w:rPr>
            </w:pPr>
            <w:r>
              <w:rPr>
                <w:b/>
                <w:szCs w:val="22"/>
              </w:rPr>
              <w:t>Famotidine 20 mg twice daily</w:t>
            </w:r>
          </w:p>
        </w:tc>
        <w:tc>
          <w:tcPr>
            <w:tcW w:w="3676" w:type="dxa"/>
          </w:tcPr>
          <w:p w14:paraId="62F833F7" w14:textId="77777777" w:rsidR="00D02BC8" w:rsidRPr="004F3582" w:rsidRDefault="00D02BC8" w:rsidP="00FF2270">
            <w:pPr>
              <w:pStyle w:val="EMEABodyText"/>
              <w:keepNext/>
              <w:rPr>
                <w:szCs w:val="22"/>
              </w:rPr>
            </w:pPr>
            <w:r>
              <w:t>Atazanavir AUC ↓18% (↓25% ↑1%)</w:t>
            </w:r>
          </w:p>
          <w:p w14:paraId="66EE767A" w14:textId="77777777" w:rsidR="00D02BC8" w:rsidRPr="004F3582" w:rsidRDefault="00D02BC8" w:rsidP="00FF2270">
            <w:pPr>
              <w:pStyle w:val="EMEABodyText"/>
              <w:keepNext/>
              <w:rPr>
                <w:szCs w:val="22"/>
              </w:rPr>
            </w:pPr>
            <w:r>
              <w:t>Atazanavir C</w:t>
            </w:r>
            <w:r>
              <w:rPr>
                <w:szCs w:val="22"/>
                <w:vertAlign w:val="subscript"/>
              </w:rPr>
              <w:t>max</w:t>
            </w:r>
            <w:r>
              <w:t xml:space="preserve"> ↓20% (↓32% ↓7%)</w:t>
            </w:r>
          </w:p>
          <w:p w14:paraId="654407CD" w14:textId="77777777" w:rsidR="00D02BC8" w:rsidRPr="004F3582" w:rsidRDefault="00D02BC8" w:rsidP="00FF2270">
            <w:pPr>
              <w:pStyle w:val="EMEABodyText"/>
              <w:keepNext/>
              <w:rPr>
                <w:szCs w:val="22"/>
              </w:rPr>
            </w:pPr>
            <w:r>
              <w:t>Atazanavir C</w:t>
            </w:r>
            <w:r>
              <w:rPr>
                <w:szCs w:val="22"/>
                <w:vertAlign w:val="subscript"/>
              </w:rPr>
              <w:t>min</w:t>
            </w:r>
            <w:r>
              <w:t xml:space="preserve"> ↔1% (↓16% ↑18%)</w:t>
            </w:r>
          </w:p>
        </w:tc>
        <w:tc>
          <w:tcPr>
            <w:tcW w:w="3119" w:type="dxa"/>
            <w:vMerge/>
          </w:tcPr>
          <w:p w14:paraId="7DEC295F" w14:textId="77777777" w:rsidR="00D02BC8" w:rsidRPr="004F3582" w:rsidRDefault="00D02BC8" w:rsidP="008B6CCB">
            <w:pPr>
              <w:pStyle w:val="EMEABodyText"/>
              <w:rPr>
                <w:szCs w:val="22"/>
              </w:rPr>
            </w:pPr>
          </w:p>
        </w:tc>
      </w:tr>
      <w:tr w:rsidR="00D02BC8" w:rsidRPr="004F3582" w14:paraId="009C4880" w14:textId="77777777" w:rsidTr="008B6CCB">
        <w:trPr>
          <w:cantSplit/>
          <w:trHeight w:val="340"/>
        </w:trPr>
        <w:tc>
          <w:tcPr>
            <w:tcW w:w="3095" w:type="dxa"/>
          </w:tcPr>
          <w:p w14:paraId="4ED43928" w14:textId="77777777" w:rsidR="00D02BC8" w:rsidRPr="004F3582" w:rsidRDefault="00D02BC8" w:rsidP="00FF2270">
            <w:pPr>
              <w:pStyle w:val="EMEABodyText"/>
              <w:keepNext/>
              <w:rPr>
                <w:b/>
                <w:szCs w:val="22"/>
              </w:rPr>
            </w:pPr>
            <w:r>
              <w:rPr>
                <w:b/>
                <w:szCs w:val="22"/>
              </w:rPr>
              <w:t>Famotidine 40 mg twice daily</w:t>
            </w:r>
          </w:p>
        </w:tc>
        <w:tc>
          <w:tcPr>
            <w:tcW w:w="3676" w:type="dxa"/>
          </w:tcPr>
          <w:p w14:paraId="3EA19EAE" w14:textId="77777777" w:rsidR="00D02BC8" w:rsidRPr="004F3582" w:rsidRDefault="00D02BC8" w:rsidP="00FF2270">
            <w:pPr>
              <w:pStyle w:val="EMEABodyText"/>
              <w:keepNext/>
              <w:rPr>
                <w:szCs w:val="22"/>
              </w:rPr>
            </w:pPr>
            <w:r>
              <w:t>Atazanavir AUC ↓23% (↓32% ↓14%)</w:t>
            </w:r>
          </w:p>
          <w:p w14:paraId="5951494F" w14:textId="77777777" w:rsidR="00D02BC8" w:rsidRPr="004F3582" w:rsidRDefault="00D02BC8" w:rsidP="00FF2270">
            <w:pPr>
              <w:pStyle w:val="EMEABodyText"/>
              <w:keepNext/>
              <w:rPr>
                <w:szCs w:val="22"/>
              </w:rPr>
            </w:pPr>
            <w:r>
              <w:t>Atazanavir C</w:t>
            </w:r>
            <w:r>
              <w:rPr>
                <w:szCs w:val="22"/>
                <w:vertAlign w:val="subscript"/>
              </w:rPr>
              <w:t>max</w:t>
            </w:r>
            <w:r>
              <w:t xml:space="preserve"> ↓23% (↓33% ↓12%)</w:t>
            </w:r>
          </w:p>
          <w:p w14:paraId="1E763C36" w14:textId="77777777" w:rsidR="00D02BC8" w:rsidRPr="004F3582" w:rsidRDefault="00D02BC8" w:rsidP="00FF2270">
            <w:pPr>
              <w:pStyle w:val="EMEABodyText"/>
              <w:keepNext/>
              <w:rPr>
                <w:szCs w:val="22"/>
              </w:rPr>
            </w:pPr>
            <w:r>
              <w:t>Atazanavir C</w:t>
            </w:r>
            <w:r>
              <w:rPr>
                <w:szCs w:val="22"/>
                <w:vertAlign w:val="subscript"/>
              </w:rPr>
              <w:t>min</w:t>
            </w:r>
            <w:r>
              <w:t xml:space="preserve"> ↓20% (↓31% ↓8%)</w:t>
            </w:r>
          </w:p>
        </w:tc>
        <w:tc>
          <w:tcPr>
            <w:tcW w:w="3119" w:type="dxa"/>
            <w:vMerge/>
          </w:tcPr>
          <w:p w14:paraId="38F0954C" w14:textId="77777777" w:rsidR="00D02BC8" w:rsidRPr="004F3582" w:rsidRDefault="00D02BC8" w:rsidP="008B6CCB">
            <w:pPr>
              <w:pStyle w:val="EMEABodyText"/>
              <w:rPr>
                <w:szCs w:val="22"/>
              </w:rPr>
            </w:pPr>
          </w:p>
        </w:tc>
      </w:tr>
      <w:tr w:rsidR="00D02BC8" w:rsidRPr="00965E20" w14:paraId="79762BEE" w14:textId="77777777" w:rsidTr="008B6CCB">
        <w:trPr>
          <w:cantSplit/>
          <w:trHeight w:val="340"/>
        </w:trPr>
        <w:tc>
          <w:tcPr>
            <w:tcW w:w="6771" w:type="dxa"/>
            <w:gridSpan w:val="2"/>
          </w:tcPr>
          <w:p w14:paraId="0695F958" w14:textId="77777777" w:rsidR="00D02BC8" w:rsidRPr="00D31EBB" w:rsidRDefault="00D02BC8" w:rsidP="00FF2270">
            <w:pPr>
              <w:pStyle w:val="EMEABodyText"/>
              <w:keepNext/>
              <w:rPr>
                <w:szCs w:val="22"/>
              </w:rPr>
            </w:pPr>
            <w:r>
              <w:t>In Healthy volunteers with atazanavir/ritonavir at an increased dose of 400/100 mg once daily</w:t>
            </w:r>
          </w:p>
        </w:tc>
        <w:tc>
          <w:tcPr>
            <w:tcW w:w="3119" w:type="dxa"/>
            <w:vMerge/>
          </w:tcPr>
          <w:p w14:paraId="428B6A34" w14:textId="77777777" w:rsidR="00D02BC8" w:rsidRPr="00D31EBB" w:rsidRDefault="00D02BC8" w:rsidP="008B6CCB">
            <w:pPr>
              <w:pStyle w:val="EMEABodyText"/>
              <w:rPr>
                <w:szCs w:val="22"/>
                <w:lang w:val="en-US"/>
              </w:rPr>
            </w:pPr>
          </w:p>
        </w:tc>
      </w:tr>
      <w:tr w:rsidR="00D02BC8" w:rsidRPr="004F3582" w14:paraId="140C9425" w14:textId="77777777" w:rsidTr="008B6CCB">
        <w:trPr>
          <w:cantSplit/>
          <w:trHeight w:val="340"/>
        </w:trPr>
        <w:tc>
          <w:tcPr>
            <w:tcW w:w="3095" w:type="dxa"/>
          </w:tcPr>
          <w:p w14:paraId="45803EA6" w14:textId="77777777" w:rsidR="00D02BC8" w:rsidRPr="004F3582" w:rsidRDefault="00D02BC8" w:rsidP="00FF2270">
            <w:pPr>
              <w:pStyle w:val="EMEABodyText"/>
              <w:keepNext/>
              <w:rPr>
                <w:b/>
                <w:szCs w:val="22"/>
              </w:rPr>
            </w:pPr>
            <w:r>
              <w:rPr>
                <w:b/>
                <w:szCs w:val="22"/>
              </w:rPr>
              <w:t>Famotidine 40 mg twice daily</w:t>
            </w:r>
          </w:p>
        </w:tc>
        <w:tc>
          <w:tcPr>
            <w:tcW w:w="3676" w:type="dxa"/>
          </w:tcPr>
          <w:p w14:paraId="63F04370" w14:textId="77777777" w:rsidR="00D02BC8" w:rsidRPr="004F3582" w:rsidRDefault="00D02BC8" w:rsidP="00FF2270">
            <w:pPr>
              <w:pStyle w:val="EMEABodyText"/>
              <w:keepNext/>
              <w:rPr>
                <w:szCs w:val="22"/>
              </w:rPr>
            </w:pPr>
            <w:r>
              <w:t>Atazanavir AUC ↔3% (↓14% ↑22%)</w:t>
            </w:r>
          </w:p>
          <w:p w14:paraId="1358176D" w14:textId="77777777" w:rsidR="00D02BC8" w:rsidRPr="004F3582" w:rsidRDefault="00D02BC8" w:rsidP="00FF2270">
            <w:pPr>
              <w:pStyle w:val="EMEABodyText"/>
              <w:keepNext/>
              <w:rPr>
                <w:szCs w:val="22"/>
              </w:rPr>
            </w:pPr>
            <w:r>
              <w:t>Atazanavir C</w:t>
            </w:r>
            <w:r>
              <w:rPr>
                <w:szCs w:val="22"/>
                <w:vertAlign w:val="subscript"/>
              </w:rPr>
              <w:t>max</w:t>
            </w:r>
            <w:r>
              <w:t xml:space="preserve"> ↔2% (↓13% ↑8%)</w:t>
            </w:r>
          </w:p>
          <w:p w14:paraId="35876E1D" w14:textId="77777777" w:rsidR="00D02BC8" w:rsidRPr="004F3582" w:rsidRDefault="00D02BC8" w:rsidP="00FF2270">
            <w:pPr>
              <w:pStyle w:val="EMEABodyText"/>
              <w:keepNext/>
              <w:rPr>
                <w:szCs w:val="22"/>
              </w:rPr>
            </w:pPr>
            <w:r>
              <w:t>Atazanavir C</w:t>
            </w:r>
            <w:r>
              <w:rPr>
                <w:szCs w:val="22"/>
                <w:vertAlign w:val="subscript"/>
              </w:rPr>
              <w:t>min</w:t>
            </w:r>
            <w:r>
              <w:t xml:space="preserve"> ↓14% (↓32% ↑8%)</w:t>
            </w:r>
          </w:p>
        </w:tc>
        <w:tc>
          <w:tcPr>
            <w:tcW w:w="3119" w:type="dxa"/>
            <w:vMerge/>
          </w:tcPr>
          <w:p w14:paraId="27982D3F" w14:textId="77777777" w:rsidR="00D02BC8" w:rsidRPr="004F3582" w:rsidRDefault="00D02BC8" w:rsidP="008B6CCB">
            <w:pPr>
              <w:pStyle w:val="EMEABodyText"/>
              <w:rPr>
                <w:szCs w:val="22"/>
              </w:rPr>
            </w:pPr>
          </w:p>
        </w:tc>
      </w:tr>
      <w:tr w:rsidR="00D02BC8" w:rsidRPr="00965E20" w14:paraId="193162A8" w14:textId="77777777" w:rsidTr="008B6CCB">
        <w:trPr>
          <w:cantSplit/>
          <w:trHeight w:val="340"/>
        </w:trPr>
        <w:tc>
          <w:tcPr>
            <w:tcW w:w="9890" w:type="dxa"/>
            <w:gridSpan w:val="3"/>
          </w:tcPr>
          <w:p w14:paraId="419C0324" w14:textId="77777777" w:rsidR="00D02BC8" w:rsidRPr="00D31EBB" w:rsidRDefault="00D02BC8" w:rsidP="002B73B9">
            <w:pPr>
              <w:pStyle w:val="EMEABodyText"/>
              <w:rPr>
                <w:szCs w:val="22"/>
              </w:rPr>
            </w:pPr>
            <w:r>
              <w:rPr>
                <w:b/>
                <w:szCs w:val="22"/>
              </w:rPr>
              <w:t>With Tenofovir disoproxil fumarate 300 mg once daily (equivalent to 245 mg tenofovir disoproxil)</w:t>
            </w:r>
          </w:p>
        </w:tc>
      </w:tr>
      <w:tr w:rsidR="00D02BC8" w:rsidRPr="00965E20" w14:paraId="64A1C3A9" w14:textId="77777777" w:rsidTr="008B6CCB">
        <w:trPr>
          <w:cantSplit/>
          <w:trHeight w:val="340"/>
        </w:trPr>
        <w:tc>
          <w:tcPr>
            <w:tcW w:w="6771" w:type="dxa"/>
            <w:gridSpan w:val="2"/>
          </w:tcPr>
          <w:p w14:paraId="16A2940F" w14:textId="77777777" w:rsidR="00D02BC8" w:rsidRPr="00D31EBB" w:rsidRDefault="00D02BC8" w:rsidP="008B6CCB">
            <w:pPr>
              <w:pStyle w:val="EMEABodyText"/>
              <w:rPr>
                <w:szCs w:val="22"/>
              </w:rPr>
            </w:pPr>
            <w:r>
              <w:t>In HIV-infected patients with atazanavir/ritonavir at the recommended dose of 300/100 mg once daily</w:t>
            </w:r>
          </w:p>
        </w:tc>
        <w:tc>
          <w:tcPr>
            <w:tcW w:w="3119" w:type="dxa"/>
            <w:vMerge w:val="restart"/>
          </w:tcPr>
          <w:p w14:paraId="7616D2CC" w14:textId="77777777" w:rsidR="00D02BC8" w:rsidRPr="00D31EBB" w:rsidRDefault="00D02BC8" w:rsidP="00C506A1">
            <w:pPr>
              <w:pStyle w:val="EMEABodyText"/>
              <w:rPr>
                <w:szCs w:val="22"/>
              </w:rPr>
            </w:pPr>
            <w:r>
              <w:rPr>
                <w:b/>
                <w:szCs w:val="22"/>
              </w:rPr>
              <w:t xml:space="preserve">For patients who are taking tenofovir disoproxil fumarate, </w:t>
            </w:r>
            <w:r>
              <w:t>if REYATAZ/ritonavir with both tenofovir disoproxil fumarate and an H</w:t>
            </w:r>
            <w:r>
              <w:rPr>
                <w:szCs w:val="22"/>
                <w:vertAlign w:val="subscript"/>
              </w:rPr>
              <w:t>2</w:t>
            </w:r>
            <w:r>
              <w:t>-receptor antagonist are co-administered, a dose increase of REYATAZ to 400 mg with 100 mg of ritonavir is recommended. A dose equivalent to famotidine 40 mg twice daily should not be exceeded.</w:t>
            </w:r>
          </w:p>
        </w:tc>
      </w:tr>
      <w:tr w:rsidR="00D02BC8" w:rsidRPr="004F3582" w14:paraId="053834BB" w14:textId="77777777" w:rsidTr="008B6CCB">
        <w:trPr>
          <w:cantSplit/>
          <w:trHeight w:val="340"/>
        </w:trPr>
        <w:tc>
          <w:tcPr>
            <w:tcW w:w="3095" w:type="dxa"/>
          </w:tcPr>
          <w:p w14:paraId="2CDC056F" w14:textId="77777777" w:rsidR="00D02BC8" w:rsidRPr="004F3582" w:rsidRDefault="00D02BC8" w:rsidP="008B6CCB">
            <w:pPr>
              <w:pStyle w:val="EMEABodyText"/>
              <w:rPr>
                <w:b/>
                <w:szCs w:val="22"/>
              </w:rPr>
            </w:pPr>
            <w:r>
              <w:rPr>
                <w:b/>
                <w:szCs w:val="22"/>
              </w:rPr>
              <w:t>Famotidine 20 mg twice daily</w:t>
            </w:r>
          </w:p>
        </w:tc>
        <w:tc>
          <w:tcPr>
            <w:tcW w:w="3676" w:type="dxa"/>
          </w:tcPr>
          <w:p w14:paraId="0FC94167" w14:textId="77777777" w:rsidR="00D02BC8" w:rsidRPr="004F3582" w:rsidRDefault="00D02BC8" w:rsidP="008B6CCB">
            <w:pPr>
              <w:pStyle w:val="EMEABodyText"/>
              <w:rPr>
                <w:szCs w:val="22"/>
              </w:rPr>
            </w:pPr>
            <w:r>
              <w:t>Atazanavir AUC ↓21% (↓34% ↓4%) *</w:t>
            </w:r>
          </w:p>
          <w:p w14:paraId="36DECA3C" w14:textId="77777777" w:rsidR="00D02BC8" w:rsidRPr="004F3582" w:rsidRDefault="00D02BC8" w:rsidP="008B6CCB">
            <w:pPr>
              <w:pStyle w:val="EMEABodyText"/>
              <w:rPr>
                <w:szCs w:val="22"/>
              </w:rPr>
            </w:pPr>
            <w:r>
              <w:t>Atazanavir C</w:t>
            </w:r>
            <w:r>
              <w:rPr>
                <w:szCs w:val="22"/>
                <w:vertAlign w:val="subscript"/>
              </w:rPr>
              <w:t>max</w:t>
            </w:r>
            <w:r>
              <w:t xml:space="preserve"> ↓21% (↓36% ↓4%) *</w:t>
            </w:r>
          </w:p>
          <w:p w14:paraId="1C013405" w14:textId="77777777" w:rsidR="00D02BC8" w:rsidRPr="004F3582" w:rsidRDefault="00D02BC8" w:rsidP="008B6CCB">
            <w:pPr>
              <w:pStyle w:val="EMEABodyText"/>
              <w:rPr>
                <w:szCs w:val="22"/>
              </w:rPr>
            </w:pPr>
            <w:r>
              <w:t>Atazanavir C</w:t>
            </w:r>
            <w:r>
              <w:rPr>
                <w:szCs w:val="22"/>
                <w:vertAlign w:val="subscript"/>
              </w:rPr>
              <w:t>min</w:t>
            </w:r>
            <w:r>
              <w:t xml:space="preserve"> ↓19% (↓37% ↑5%) *</w:t>
            </w:r>
          </w:p>
          <w:p w14:paraId="75355D95" w14:textId="77777777" w:rsidR="00D02BC8" w:rsidRPr="004F3582" w:rsidRDefault="00D02BC8" w:rsidP="008B6CCB">
            <w:pPr>
              <w:pStyle w:val="EMEABodyText"/>
              <w:rPr>
                <w:szCs w:val="22"/>
              </w:rPr>
            </w:pPr>
          </w:p>
        </w:tc>
        <w:tc>
          <w:tcPr>
            <w:tcW w:w="3119" w:type="dxa"/>
            <w:vMerge/>
          </w:tcPr>
          <w:p w14:paraId="1B541F0F" w14:textId="77777777" w:rsidR="00D02BC8" w:rsidRPr="004F3582" w:rsidRDefault="00D02BC8" w:rsidP="008B6CCB">
            <w:pPr>
              <w:pStyle w:val="EMEABodyText"/>
              <w:rPr>
                <w:szCs w:val="22"/>
              </w:rPr>
            </w:pPr>
          </w:p>
        </w:tc>
      </w:tr>
      <w:tr w:rsidR="00D02BC8" w:rsidRPr="004F3582" w14:paraId="5AB60514" w14:textId="77777777" w:rsidTr="008B6CCB">
        <w:trPr>
          <w:cantSplit/>
          <w:trHeight w:val="340"/>
        </w:trPr>
        <w:tc>
          <w:tcPr>
            <w:tcW w:w="3095" w:type="dxa"/>
          </w:tcPr>
          <w:p w14:paraId="584B98D6" w14:textId="77777777" w:rsidR="00D02BC8" w:rsidRPr="004F3582" w:rsidRDefault="00D02BC8" w:rsidP="008B6CCB">
            <w:pPr>
              <w:pStyle w:val="EMEABodyText"/>
              <w:rPr>
                <w:b/>
                <w:szCs w:val="22"/>
              </w:rPr>
            </w:pPr>
            <w:r>
              <w:rPr>
                <w:b/>
                <w:szCs w:val="22"/>
              </w:rPr>
              <w:t>Famotidine 40 mg twice daily</w:t>
            </w:r>
          </w:p>
        </w:tc>
        <w:tc>
          <w:tcPr>
            <w:tcW w:w="3676" w:type="dxa"/>
          </w:tcPr>
          <w:p w14:paraId="67333EB4" w14:textId="77777777" w:rsidR="00D02BC8" w:rsidRPr="004F3582" w:rsidRDefault="00D02BC8" w:rsidP="008B6CCB">
            <w:pPr>
              <w:pStyle w:val="EMEABodyText"/>
              <w:rPr>
                <w:szCs w:val="22"/>
              </w:rPr>
            </w:pPr>
            <w:r>
              <w:t>Atazanavir AUC ↓24% (↓36% ↓11%)*</w:t>
            </w:r>
          </w:p>
          <w:p w14:paraId="33F96DFC" w14:textId="77777777" w:rsidR="00D02BC8" w:rsidRPr="004F3582" w:rsidRDefault="00D02BC8" w:rsidP="008B6CCB">
            <w:pPr>
              <w:pStyle w:val="EMEABodyText"/>
              <w:rPr>
                <w:szCs w:val="22"/>
              </w:rPr>
            </w:pPr>
            <w:r>
              <w:t>Atazanavir C</w:t>
            </w:r>
            <w:r>
              <w:rPr>
                <w:szCs w:val="22"/>
                <w:vertAlign w:val="subscript"/>
              </w:rPr>
              <w:t>max</w:t>
            </w:r>
            <w:r>
              <w:t xml:space="preserve"> ↓23% (↓36% ↓8%) *</w:t>
            </w:r>
          </w:p>
          <w:p w14:paraId="02FD3A49" w14:textId="77777777" w:rsidR="00D02BC8" w:rsidRPr="004F3582" w:rsidRDefault="00D02BC8" w:rsidP="008B6CCB">
            <w:pPr>
              <w:pStyle w:val="EMEABodyText"/>
              <w:rPr>
                <w:szCs w:val="22"/>
              </w:rPr>
            </w:pPr>
            <w:r>
              <w:t>Atazanavir C</w:t>
            </w:r>
            <w:r>
              <w:rPr>
                <w:szCs w:val="22"/>
                <w:vertAlign w:val="subscript"/>
              </w:rPr>
              <w:t>min</w:t>
            </w:r>
            <w:r>
              <w:t xml:space="preserve"> ↓25% (↓47% ↑7%) *</w:t>
            </w:r>
          </w:p>
          <w:p w14:paraId="47B1BEE9" w14:textId="77777777" w:rsidR="00D02BC8" w:rsidRPr="004F3582" w:rsidRDefault="00D02BC8" w:rsidP="008B6CCB">
            <w:pPr>
              <w:pStyle w:val="EMEABodyText"/>
              <w:rPr>
                <w:szCs w:val="22"/>
              </w:rPr>
            </w:pPr>
          </w:p>
        </w:tc>
        <w:tc>
          <w:tcPr>
            <w:tcW w:w="3119" w:type="dxa"/>
            <w:vMerge/>
          </w:tcPr>
          <w:p w14:paraId="08F5D9ED" w14:textId="77777777" w:rsidR="00D02BC8" w:rsidRPr="004F3582" w:rsidRDefault="00D02BC8" w:rsidP="008B6CCB">
            <w:pPr>
              <w:pStyle w:val="EMEABodyText"/>
              <w:rPr>
                <w:szCs w:val="22"/>
              </w:rPr>
            </w:pPr>
          </w:p>
        </w:tc>
      </w:tr>
      <w:tr w:rsidR="00D02BC8" w:rsidRPr="00965E20" w14:paraId="4CE7FE32" w14:textId="77777777" w:rsidTr="008B6CCB">
        <w:trPr>
          <w:cantSplit/>
          <w:trHeight w:val="340"/>
        </w:trPr>
        <w:tc>
          <w:tcPr>
            <w:tcW w:w="6771" w:type="dxa"/>
            <w:gridSpan w:val="2"/>
          </w:tcPr>
          <w:p w14:paraId="13EDC203" w14:textId="77777777" w:rsidR="00D02BC8" w:rsidRPr="00D31EBB" w:rsidRDefault="00D02BC8" w:rsidP="008B6CCB">
            <w:pPr>
              <w:pStyle w:val="EMEABodyText"/>
              <w:rPr>
                <w:szCs w:val="22"/>
              </w:rPr>
            </w:pPr>
            <w:r>
              <w:t>In HIV-infected patients with atazanavir/ritonavir at an increased dose of 400/100 mg once daily</w:t>
            </w:r>
          </w:p>
        </w:tc>
        <w:tc>
          <w:tcPr>
            <w:tcW w:w="3119" w:type="dxa"/>
            <w:vMerge/>
          </w:tcPr>
          <w:p w14:paraId="2338963A" w14:textId="77777777" w:rsidR="00D02BC8" w:rsidRPr="00D31EBB" w:rsidRDefault="00D02BC8" w:rsidP="008B6CCB">
            <w:pPr>
              <w:pStyle w:val="EMEABodyText"/>
              <w:rPr>
                <w:szCs w:val="22"/>
                <w:lang w:val="en-US"/>
              </w:rPr>
            </w:pPr>
          </w:p>
        </w:tc>
      </w:tr>
      <w:tr w:rsidR="00D02BC8" w:rsidRPr="004F3582" w14:paraId="28BBC620" w14:textId="77777777" w:rsidTr="008B6CCB">
        <w:trPr>
          <w:cantSplit/>
          <w:trHeight w:val="340"/>
        </w:trPr>
        <w:tc>
          <w:tcPr>
            <w:tcW w:w="3095" w:type="dxa"/>
          </w:tcPr>
          <w:p w14:paraId="7B0F96CF" w14:textId="77777777" w:rsidR="00D02BC8" w:rsidRPr="004F3582" w:rsidRDefault="00D02BC8" w:rsidP="008B6CCB">
            <w:pPr>
              <w:pStyle w:val="EMEABodyText"/>
              <w:rPr>
                <w:b/>
                <w:szCs w:val="22"/>
              </w:rPr>
            </w:pPr>
            <w:r>
              <w:rPr>
                <w:b/>
                <w:szCs w:val="22"/>
              </w:rPr>
              <w:t>Famotidine 20 mg twice daily</w:t>
            </w:r>
          </w:p>
        </w:tc>
        <w:tc>
          <w:tcPr>
            <w:tcW w:w="3676" w:type="dxa"/>
          </w:tcPr>
          <w:p w14:paraId="20196A74" w14:textId="77777777" w:rsidR="00D02BC8" w:rsidRPr="004F3582" w:rsidRDefault="00D02BC8" w:rsidP="008B6CCB">
            <w:pPr>
              <w:pStyle w:val="EMEABodyText"/>
              <w:rPr>
                <w:szCs w:val="22"/>
              </w:rPr>
            </w:pPr>
            <w:r>
              <w:t>Atazanavir AUC ↑18% (↑6.5% ↑30%)*</w:t>
            </w:r>
          </w:p>
          <w:p w14:paraId="0A15A34F" w14:textId="77777777" w:rsidR="00D02BC8" w:rsidRPr="004F3582" w:rsidRDefault="00D02BC8" w:rsidP="008B6CCB">
            <w:pPr>
              <w:pStyle w:val="EMEABodyText"/>
              <w:rPr>
                <w:szCs w:val="22"/>
              </w:rPr>
            </w:pPr>
            <w:r>
              <w:t>Atazanavir C</w:t>
            </w:r>
            <w:r>
              <w:rPr>
                <w:szCs w:val="22"/>
                <w:vertAlign w:val="subscript"/>
              </w:rPr>
              <w:t>max</w:t>
            </w:r>
            <w:r>
              <w:t xml:space="preserve"> ↑18% (↑6.7% ↑31%)*</w:t>
            </w:r>
          </w:p>
          <w:p w14:paraId="7B26C5E4" w14:textId="77777777" w:rsidR="00D02BC8" w:rsidRPr="004F3582" w:rsidRDefault="00D02BC8" w:rsidP="008B6CCB">
            <w:pPr>
              <w:pStyle w:val="EMEABodyText"/>
              <w:rPr>
                <w:szCs w:val="22"/>
              </w:rPr>
            </w:pPr>
            <w:r>
              <w:t>Atazanavir C</w:t>
            </w:r>
            <w:r>
              <w:rPr>
                <w:szCs w:val="22"/>
                <w:vertAlign w:val="subscript"/>
              </w:rPr>
              <w:t>min</w:t>
            </w:r>
            <w:r>
              <w:t xml:space="preserve"> ↑24 % (↑10% ↑39%)*</w:t>
            </w:r>
          </w:p>
          <w:p w14:paraId="1982C4E0" w14:textId="77777777" w:rsidR="00D02BC8" w:rsidRPr="004F3582" w:rsidRDefault="00D02BC8" w:rsidP="008B6CCB">
            <w:pPr>
              <w:pStyle w:val="EMEABodyText"/>
              <w:rPr>
                <w:szCs w:val="22"/>
              </w:rPr>
            </w:pPr>
          </w:p>
        </w:tc>
        <w:tc>
          <w:tcPr>
            <w:tcW w:w="3119" w:type="dxa"/>
            <w:vMerge/>
          </w:tcPr>
          <w:p w14:paraId="48C78164" w14:textId="77777777" w:rsidR="00D02BC8" w:rsidRPr="004F3582" w:rsidRDefault="00D02BC8" w:rsidP="008B6CCB">
            <w:pPr>
              <w:pStyle w:val="EMEABodyText"/>
              <w:rPr>
                <w:szCs w:val="22"/>
              </w:rPr>
            </w:pPr>
          </w:p>
        </w:tc>
      </w:tr>
      <w:tr w:rsidR="00D02BC8" w:rsidRPr="004F3582" w14:paraId="44A0EA59" w14:textId="77777777" w:rsidTr="008B6CCB">
        <w:trPr>
          <w:cantSplit/>
          <w:trHeight w:val="340"/>
        </w:trPr>
        <w:tc>
          <w:tcPr>
            <w:tcW w:w="3095" w:type="dxa"/>
          </w:tcPr>
          <w:p w14:paraId="46AC8993" w14:textId="77777777" w:rsidR="00D02BC8" w:rsidRPr="004F3582" w:rsidRDefault="00D02BC8" w:rsidP="00FF2270">
            <w:pPr>
              <w:pStyle w:val="EMEABodyText"/>
              <w:keepNext/>
              <w:rPr>
                <w:b/>
                <w:szCs w:val="22"/>
              </w:rPr>
            </w:pPr>
            <w:r>
              <w:rPr>
                <w:b/>
                <w:szCs w:val="22"/>
              </w:rPr>
              <w:t>Famotidine 40 mg twice daily</w:t>
            </w:r>
          </w:p>
        </w:tc>
        <w:tc>
          <w:tcPr>
            <w:tcW w:w="3676" w:type="dxa"/>
          </w:tcPr>
          <w:p w14:paraId="64269EF9" w14:textId="77777777" w:rsidR="00D02BC8" w:rsidRPr="004F3582" w:rsidRDefault="00D02BC8" w:rsidP="00FF2270">
            <w:pPr>
              <w:pStyle w:val="EMEABodyText"/>
              <w:keepNext/>
              <w:rPr>
                <w:szCs w:val="22"/>
              </w:rPr>
            </w:pPr>
            <w:r>
              <w:t>Atazanavir AUC ↔2.3% (↓13% ↑10%)*</w:t>
            </w:r>
          </w:p>
          <w:p w14:paraId="38AD96BE" w14:textId="77777777" w:rsidR="00D02BC8" w:rsidRPr="004F3582" w:rsidRDefault="00D02BC8" w:rsidP="00FF2270">
            <w:pPr>
              <w:pStyle w:val="EMEABodyText"/>
              <w:keepNext/>
              <w:rPr>
                <w:szCs w:val="22"/>
              </w:rPr>
            </w:pPr>
            <w:r>
              <w:t>Atazanavir C</w:t>
            </w:r>
            <w:r>
              <w:rPr>
                <w:szCs w:val="22"/>
                <w:vertAlign w:val="subscript"/>
              </w:rPr>
              <w:t>max</w:t>
            </w:r>
            <w:r>
              <w:t xml:space="preserve"> ↔5% (↓17% ↑8.4%)*</w:t>
            </w:r>
          </w:p>
          <w:p w14:paraId="767CBA28" w14:textId="77777777" w:rsidR="00D02BC8" w:rsidRPr="004F3582" w:rsidRDefault="00D02BC8" w:rsidP="00FF2270">
            <w:pPr>
              <w:pStyle w:val="EMEABodyText"/>
              <w:keepNext/>
              <w:rPr>
                <w:szCs w:val="22"/>
              </w:rPr>
            </w:pPr>
            <w:r>
              <w:t>Atazanavir C</w:t>
            </w:r>
            <w:r>
              <w:rPr>
                <w:szCs w:val="22"/>
                <w:vertAlign w:val="subscript"/>
              </w:rPr>
              <w:t>min</w:t>
            </w:r>
            <w:r>
              <w:t xml:space="preserve"> ↔1.3% (↓10% ↑15)*</w:t>
            </w:r>
          </w:p>
          <w:p w14:paraId="29FE8725" w14:textId="77777777" w:rsidR="00D02BC8" w:rsidRPr="004F3582" w:rsidRDefault="00D02BC8" w:rsidP="00FF2270">
            <w:pPr>
              <w:pStyle w:val="EMEABodyText"/>
              <w:keepNext/>
              <w:rPr>
                <w:szCs w:val="22"/>
              </w:rPr>
            </w:pPr>
          </w:p>
        </w:tc>
        <w:tc>
          <w:tcPr>
            <w:tcW w:w="3119" w:type="dxa"/>
            <w:vMerge/>
          </w:tcPr>
          <w:p w14:paraId="24935E99" w14:textId="77777777" w:rsidR="00D02BC8" w:rsidRPr="004F3582" w:rsidRDefault="00D02BC8" w:rsidP="008B6CCB">
            <w:pPr>
              <w:pStyle w:val="EMEABodyText"/>
              <w:rPr>
                <w:szCs w:val="22"/>
              </w:rPr>
            </w:pPr>
          </w:p>
        </w:tc>
      </w:tr>
      <w:tr w:rsidR="00D02BC8" w:rsidRPr="00965E20" w14:paraId="533B3175" w14:textId="77777777" w:rsidTr="008B6CCB">
        <w:trPr>
          <w:cantSplit/>
          <w:trHeight w:val="340"/>
        </w:trPr>
        <w:tc>
          <w:tcPr>
            <w:tcW w:w="3095" w:type="dxa"/>
          </w:tcPr>
          <w:p w14:paraId="6C4B3F35" w14:textId="77777777" w:rsidR="00D02BC8" w:rsidRPr="004F3582" w:rsidRDefault="00D02BC8" w:rsidP="008B6CCB">
            <w:pPr>
              <w:pStyle w:val="EMEABodyText"/>
              <w:rPr>
                <w:szCs w:val="22"/>
              </w:rPr>
            </w:pPr>
          </w:p>
        </w:tc>
        <w:tc>
          <w:tcPr>
            <w:tcW w:w="3676" w:type="dxa"/>
          </w:tcPr>
          <w:p w14:paraId="1DC4BD28" w14:textId="77777777" w:rsidR="00D02BC8" w:rsidRPr="00D31EBB" w:rsidRDefault="00D02BC8" w:rsidP="008B6CCB">
            <w:pPr>
              <w:pStyle w:val="EMEABodyText"/>
              <w:rPr>
                <w:szCs w:val="22"/>
              </w:rPr>
            </w:pPr>
            <w:r>
              <w:t xml:space="preserve">* When compared to atazanavir 300 mg once daily with ritonavir 100 mg once daily and tenofovir disoproxil fumarate 300 mg all as a single dose with food. When compared to atazanavir 300 mg with ritonavir 100 mg </w:t>
            </w:r>
            <w:r>
              <w:rPr>
                <w:i/>
                <w:szCs w:val="22"/>
              </w:rPr>
              <w:t>without tenofovir disoproxil fumarate</w:t>
            </w:r>
            <w:r>
              <w:t xml:space="preserve">, atazanavir concentrations are expected to be additionally decreased by about 20%. </w:t>
            </w:r>
          </w:p>
          <w:p w14:paraId="1F996666" w14:textId="77777777" w:rsidR="00D02BC8" w:rsidRPr="00D31EBB" w:rsidRDefault="00D02BC8" w:rsidP="008B6CCB">
            <w:pPr>
              <w:pStyle w:val="EMEABodyText"/>
              <w:rPr>
                <w:szCs w:val="22"/>
                <w:lang w:val="en-US"/>
              </w:rPr>
            </w:pPr>
          </w:p>
          <w:p w14:paraId="5AFA19BD" w14:textId="77777777" w:rsidR="00D02BC8" w:rsidRPr="00D31EBB" w:rsidRDefault="00D02BC8" w:rsidP="007F44D8">
            <w:pPr>
              <w:pStyle w:val="EMEABodyText"/>
              <w:rPr>
                <w:szCs w:val="22"/>
              </w:rPr>
            </w:pPr>
            <w:r>
              <w:t>The mechanism of interaction is decreased solubility of atazanavir as intra-gastric pH increases with H</w:t>
            </w:r>
            <w:r>
              <w:rPr>
                <w:szCs w:val="22"/>
                <w:vertAlign w:val="subscript"/>
              </w:rPr>
              <w:t>2</w:t>
            </w:r>
            <w:r>
              <w:t>-blockers.</w:t>
            </w:r>
          </w:p>
        </w:tc>
        <w:tc>
          <w:tcPr>
            <w:tcW w:w="3119" w:type="dxa"/>
            <w:vMerge/>
          </w:tcPr>
          <w:p w14:paraId="47BA5AD3" w14:textId="77777777" w:rsidR="00D02BC8" w:rsidRPr="00D31EBB" w:rsidRDefault="00D02BC8" w:rsidP="008B6CCB">
            <w:pPr>
              <w:pStyle w:val="EMEABodyText"/>
              <w:rPr>
                <w:szCs w:val="22"/>
                <w:lang w:val="en-US"/>
              </w:rPr>
            </w:pPr>
          </w:p>
        </w:tc>
      </w:tr>
      <w:tr w:rsidR="00D02BC8" w:rsidRPr="004F3582" w14:paraId="173E67A3" w14:textId="77777777" w:rsidTr="008B6CCB">
        <w:trPr>
          <w:cantSplit/>
          <w:trHeight w:val="340"/>
        </w:trPr>
        <w:tc>
          <w:tcPr>
            <w:tcW w:w="9890" w:type="dxa"/>
            <w:gridSpan w:val="3"/>
          </w:tcPr>
          <w:p w14:paraId="20E5496C" w14:textId="77777777" w:rsidR="00D02BC8" w:rsidRPr="004F3582" w:rsidRDefault="00D02BC8" w:rsidP="008B6CCB">
            <w:pPr>
              <w:pStyle w:val="EMEABodyText"/>
              <w:rPr>
                <w:szCs w:val="22"/>
              </w:rPr>
            </w:pPr>
            <w:r>
              <w:rPr>
                <w:i/>
                <w:szCs w:val="22"/>
              </w:rPr>
              <w:lastRenderedPageBreak/>
              <w:t>Proton pump inhibitors</w:t>
            </w:r>
          </w:p>
        </w:tc>
      </w:tr>
      <w:tr w:rsidR="00D02BC8" w:rsidRPr="00965E20" w14:paraId="288A3D7B" w14:textId="77777777" w:rsidTr="008B6CCB">
        <w:trPr>
          <w:cantSplit/>
          <w:trHeight w:val="340"/>
        </w:trPr>
        <w:tc>
          <w:tcPr>
            <w:tcW w:w="3095" w:type="dxa"/>
          </w:tcPr>
          <w:p w14:paraId="501AA2EB" w14:textId="77777777" w:rsidR="00D02BC8" w:rsidRPr="00D31EBB" w:rsidRDefault="00D02BC8" w:rsidP="008B6CCB">
            <w:pPr>
              <w:pStyle w:val="EMEABodyText"/>
              <w:rPr>
                <w:szCs w:val="22"/>
              </w:rPr>
            </w:pPr>
            <w:r>
              <w:rPr>
                <w:b/>
                <w:szCs w:val="22"/>
              </w:rPr>
              <w:t>Omeprazole 40 mg once daily</w:t>
            </w:r>
          </w:p>
          <w:p w14:paraId="28E8EEE2" w14:textId="77777777" w:rsidR="00D02BC8" w:rsidRPr="00D31EBB" w:rsidRDefault="00D02BC8" w:rsidP="008B6CCB">
            <w:pPr>
              <w:pStyle w:val="EMEABodyText"/>
              <w:rPr>
                <w:szCs w:val="22"/>
              </w:rPr>
            </w:pPr>
            <w:r>
              <w:t>(atazanavir 400 mg once daily with ritonavir 100 mg once daily)</w:t>
            </w:r>
          </w:p>
          <w:p w14:paraId="0B2121F5" w14:textId="77777777" w:rsidR="00D02BC8" w:rsidRPr="00D31EBB" w:rsidRDefault="00D02BC8" w:rsidP="008B6CCB">
            <w:pPr>
              <w:pStyle w:val="EMEABodyText"/>
              <w:rPr>
                <w:szCs w:val="22"/>
                <w:lang w:val="en-US"/>
              </w:rPr>
            </w:pPr>
          </w:p>
        </w:tc>
        <w:tc>
          <w:tcPr>
            <w:tcW w:w="3676" w:type="dxa"/>
          </w:tcPr>
          <w:p w14:paraId="11205CEB" w14:textId="77777777" w:rsidR="00D02BC8" w:rsidRPr="00D31EBB" w:rsidRDefault="00D02BC8" w:rsidP="008B6CCB">
            <w:pPr>
              <w:pStyle w:val="EMEABodyText"/>
              <w:rPr>
                <w:szCs w:val="22"/>
              </w:rPr>
            </w:pPr>
            <w:r>
              <w:t>Atazanavir (am): 2 hr after omeprazole</w:t>
            </w:r>
          </w:p>
          <w:p w14:paraId="21995D98" w14:textId="77777777" w:rsidR="00D02BC8" w:rsidRPr="00D31EBB" w:rsidRDefault="00D02BC8" w:rsidP="008B6CCB">
            <w:pPr>
              <w:pStyle w:val="EMEABodyText"/>
              <w:rPr>
                <w:szCs w:val="22"/>
              </w:rPr>
            </w:pPr>
            <w:r>
              <w:t>Atazanavir AUC ↓61% (↓65% ↓55%)</w:t>
            </w:r>
          </w:p>
          <w:p w14:paraId="13A848DE" w14:textId="77777777" w:rsidR="00D02BC8" w:rsidRPr="004F3582" w:rsidRDefault="00D02BC8" w:rsidP="008B6CCB">
            <w:pPr>
              <w:pStyle w:val="EMEABodyText"/>
              <w:rPr>
                <w:szCs w:val="22"/>
              </w:rPr>
            </w:pPr>
            <w:r>
              <w:t>Atazanavir C</w:t>
            </w:r>
            <w:r>
              <w:rPr>
                <w:szCs w:val="22"/>
                <w:vertAlign w:val="subscript"/>
              </w:rPr>
              <w:t>max</w:t>
            </w:r>
            <w:r>
              <w:t xml:space="preserve"> ↓66% (↓62% ↓49%)</w:t>
            </w:r>
          </w:p>
          <w:p w14:paraId="3A002C6A" w14:textId="77777777" w:rsidR="00D02BC8" w:rsidRPr="004F3582" w:rsidRDefault="00D02BC8" w:rsidP="008B6CCB">
            <w:pPr>
              <w:pStyle w:val="EMEABodyText"/>
              <w:rPr>
                <w:szCs w:val="22"/>
              </w:rPr>
            </w:pPr>
            <w:r>
              <w:t>Atazanavir C</w:t>
            </w:r>
            <w:r>
              <w:rPr>
                <w:szCs w:val="22"/>
                <w:vertAlign w:val="subscript"/>
              </w:rPr>
              <w:t>min</w:t>
            </w:r>
            <w:r>
              <w:t xml:space="preserve"> ↓65% (↓71% ↓59%)</w:t>
            </w:r>
          </w:p>
          <w:p w14:paraId="33B4A817" w14:textId="77777777" w:rsidR="00D02BC8" w:rsidRPr="004F3582" w:rsidRDefault="00D02BC8" w:rsidP="008B6CCB">
            <w:pPr>
              <w:pStyle w:val="EMEABodyText"/>
              <w:rPr>
                <w:szCs w:val="22"/>
              </w:rPr>
            </w:pPr>
          </w:p>
        </w:tc>
        <w:tc>
          <w:tcPr>
            <w:tcW w:w="3119" w:type="dxa"/>
            <w:vMerge w:val="restart"/>
          </w:tcPr>
          <w:p w14:paraId="34A13C12" w14:textId="77777777" w:rsidR="00D02BC8" w:rsidRPr="00D31EBB" w:rsidRDefault="00D02BC8" w:rsidP="000424FD">
            <w:pPr>
              <w:pStyle w:val="EMEABodyText"/>
              <w:rPr>
                <w:szCs w:val="22"/>
              </w:rPr>
            </w:pPr>
            <w:r>
              <w:t>Co-administration of REYATAZ with ritonavir and proton pump inhibitors is not recommended. If the combination is judged unavoidable, close clinical monitoring is recommended in combination with an increase in the dose of REYATAZ to 400 mg with 100 mg of ritonavir; doses of proton pump inhibitors comparable to omeprazole 20 mg should not be exceeded (see section 4.4).</w:t>
            </w:r>
          </w:p>
        </w:tc>
      </w:tr>
      <w:tr w:rsidR="00D02BC8" w:rsidRPr="00965E20" w14:paraId="34FC9B84" w14:textId="77777777" w:rsidTr="008B6CCB">
        <w:trPr>
          <w:cantSplit/>
          <w:trHeight w:val="340"/>
        </w:trPr>
        <w:tc>
          <w:tcPr>
            <w:tcW w:w="3095" w:type="dxa"/>
          </w:tcPr>
          <w:p w14:paraId="5A656156" w14:textId="77777777" w:rsidR="00D02BC8" w:rsidRPr="00D31EBB" w:rsidRDefault="00D02BC8" w:rsidP="008B6CCB">
            <w:pPr>
              <w:pStyle w:val="EMEABodyText"/>
              <w:rPr>
                <w:b/>
                <w:szCs w:val="22"/>
              </w:rPr>
            </w:pPr>
            <w:r>
              <w:rPr>
                <w:b/>
                <w:szCs w:val="22"/>
              </w:rPr>
              <w:t>Omeprazole 20 mg once daily</w:t>
            </w:r>
          </w:p>
          <w:p w14:paraId="7E540F48" w14:textId="77777777" w:rsidR="00D02BC8" w:rsidRPr="00D31EBB" w:rsidRDefault="00D02BC8" w:rsidP="008B6CCB">
            <w:pPr>
              <w:pStyle w:val="EMEABodyText"/>
              <w:rPr>
                <w:szCs w:val="22"/>
              </w:rPr>
            </w:pPr>
            <w:r>
              <w:t>(atazanavir 400 mg once daily with ritonavir 100 mg once daily)</w:t>
            </w:r>
          </w:p>
          <w:p w14:paraId="79DB44B3" w14:textId="77777777" w:rsidR="00D02BC8" w:rsidRPr="00D31EBB" w:rsidRDefault="00D02BC8" w:rsidP="008B6CCB">
            <w:pPr>
              <w:pStyle w:val="EMEABodyText"/>
              <w:rPr>
                <w:szCs w:val="22"/>
                <w:lang w:val="en-US"/>
              </w:rPr>
            </w:pPr>
          </w:p>
        </w:tc>
        <w:tc>
          <w:tcPr>
            <w:tcW w:w="3676" w:type="dxa"/>
          </w:tcPr>
          <w:p w14:paraId="6BE7777E" w14:textId="77777777" w:rsidR="00D02BC8" w:rsidRPr="00D31EBB" w:rsidRDefault="00D02BC8" w:rsidP="008B6CCB">
            <w:pPr>
              <w:rPr>
                <w:szCs w:val="22"/>
              </w:rPr>
            </w:pPr>
            <w:r>
              <w:t>Atazanavir (am): 1 hr after omeprazole</w:t>
            </w:r>
          </w:p>
          <w:p w14:paraId="29E00F57" w14:textId="77777777" w:rsidR="00D02BC8" w:rsidRPr="00D31EBB" w:rsidRDefault="00D02BC8" w:rsidP="008B6CCB">
            <w:pPr>
              <w:ind w:right="-109"/>
              <w:rPr>
                <w:szCs w:val="22"/>
              </w:rPr>
            </w:pPr>
            <w:r>
              <w:t>Atazanavir AUC ↓30% (↓43% ↓14%) *</w:t>
            </w:r>
          </w:p>
          <w:p w14:paraId="13B94C1B" w14:textId="77777777" w:rsidR="00D02BC8" w:rsidRPr="00D31EBB" w:rsidRDefault="00D02BC8" w:rsidP="008B6CCB">
            <w:pPr>
              <w:ind w:right="-109"/>
              <w:rPr>
                <w:szCs w:val="22"/>
              </w:rPr>
            </w:pPr>
            <w:r>
              <w:t>Atazanavir C</w:t>
            </w:r>
            <w:r>
              <w:rPr>
                <w:szCs w:val="22"/>
                <w:vertAlign w:val="subscript"/>
              </w:rPr>
              <w:t>max</w:t>
            </w:r>
            <w:r>
              <w:t xml:space="preserve"> ↓31% (↓42% ↓17%) *</w:t>
            </w:r>
          </w:p>
          <w:p w14:paraId="46A976EF" w14:textId="77777777" w:rsidR="00D02BC8" w:rsidRPr="00D31EBB" w:rsidRDefault="00D02BC8" w:rsidP="008B6CCB">
            <w:pPr>
              <w:ind w:right="-109"/>
              <w:rPr>
                <w:szCs w:val="22"/>
              </w:rPr>
            </w:pPr>
            <w:r>
              <w:t>Atazanavir C</w:t>
            </w:r>
            <w:r>
              <w:rPr>
                <w:szCs w:val="22"/>
                <w:vertAlign w:val="subscript"/>
              </w:rPr>
              <w:t>min</w:t>
            </w:r>
            <w:r>
              <w:t xml:space="preserve"> ↓31% (↓46% ↓12%) *</w:t>
            </w:r>
          </w:p>
          <w:p w14:paraId="6E448178" w14:textId="77777777" w:rsidR="00D02BC8" w:rsidRPr="00D31EBB" w:rsidRDefault="00D02BC8" w:rsidP="008B6CCB">
            <w:pPr>
              <w:pStyle w:val="EMEABodyText"/>
              <w:rPr>
                <w:szCs w:val="22"/>
                <w:lang w:val="en-US"/>
              </w:rPr>
            </w:pPr>
          </w:p>
          <w:p w14:paraId="5527BFD8" w14:textId="77777777" w:rsidR="00D02BC8" w:rsidRPr="00D31EBB" w:rsidRDefault="00D02BC8" w:rsidP="008B6CCB">
            <w:pPr>
              <w:pStyle w:val="EMEABodyText"/>
              <w:rPr>
                <w:szCs w:val="22"/>
              </w:rPr>
            </w:pPr>
            <w:r>
              <w:t>* When compared to atazanavir 300 mg once daily with ritonavir 100 mg once daily.</w:t>
            </w:r>
          </w:p>
          <w:p w14:paraId="70F7A6FE" w14:textId="77777777" w:rsidR="00D02BC8" w:rsidRPr="00D31EBB" w:rsidRDefault="00D02BC8" w:rsidP="008B6CCB">
            <w:pPr>
              <w:pStyle w:val="EMEABodyText"/>
              <w:rPr>
                <w:szCs w:val="22"/>
              </w:rPr>
            </w:pPr>
            <w:r>
              <w:t>The decrease in AUC, C</w:t>
            </w:r>
            <w:r>
              <w:rPr>
                <w:szCs w:val="22"/>
                <w:vertAlign w:val="subscript"/>
              </w:rPr>
              <w:t>max</w:t>
            </w:r>
            <w:r>
              <w:t>, and C</w:t>
            </w:r>
            <w:r>
              <w:rPr>
                <w:szCs w:val="22"/>
                <w:vertAlign w:val="subscript"/>
              </w:rPr>
              <w:t>min</w:t>
            </w:r>
            <w:r>
              <w:t xml:space="preserve"> was not mitigated when an increased dose of REYATAZ/ritonavir (400/100 mg once daily) was temporally separated from omeprazole by 12 hours. Although not studied, similar results are expected with other proton pump inhibitors. This decrease in atazanavir exposure might negatively impact the efficacy of atazanavir. The mechanism of interaction is decreased solubility of atazanavir as intra-gastric pH increases with proton pump inhibitors.</w:t>
            </w:r>
          </w:p>
          <w:p w14:paraId="67CE6332" w14:textId="77777777" w:rsidR="00D02BC8" w:rsidRPr="00D31EBB" w:rsidRDefault="00D02BC8" w:rsidP="008B6CCB">
            <w:pPr>
              <w:pStyle w:val="EMEABodyText"/>
              <w:rPr>
                <w:szCs w:val="22"/>
                <w:lang w:val="en-US"/>
              </w:rPr>
            </w:pPr>
          </w:p>
        </w:tc>
        <w:tc>
          <w:tcPr>
            <w:tcW w:w="3119" w:type="dxa"/>
            <w:vMerge/>
          </w:tcPr>
          <w:p w14:paraId="73C057FE" w14:textId="77777777" w:rsidR="00D02BC8" w:rsidRPr="00D31EBB" w:rsidRDefault="00D02BC8" w:rsidP="008B6CCB">
            <w:pPr>
              <w:pStyle w:val="EMEABodyText"/>
              <w:rPr>
                <w:szCs w:val="22"/>
                <w:lang w:val="en-US"/>
              </w:rPr>
            </w:pPr>
          </w:p>
        </w:tc>
      </w:tr>
      <w:tr w:rsidR="00D02BC8" w:rsidRPr="004F3582" w14:paraId="0C45E6B2" w14:textId="77777777" w:rsidTr="008B6CCB">
        <w:trPr>
          <w:cantSplit/>
          <w:trHeight w:val="340"/>
        </w:trPr>
        <w:tc>
          <w:tcPr>
            <w:tcW w:w="9890" w:type="dxa"/>
            <w:gridSpan w:val="3"/>
          </w:tcPr>
          <w:p w14:paraId="59E6F4B0" w14:textId="77777777" w:rsidR="00D02BC8" w:rsidRPr="004F3582" w:rsidRDefault="00D02BC8" w:rsidP="008B6CCB">
            <w:pPr>
              <w:pStyle w:val="EMEABodyText"/>
              <w:rPr>
                <w:szCs w:val="22"/>
              </w:rPr>
            </w:pPr>
            <w:r>
              <w:rPr>
                <w:i/>
                <w:szCs w:val="22"/>
              </w:rPr>
              <w:t>Antacids</w:t>
            </w:r>
          </w:p>
        </w:tc>
      </w:tr>
      <w:tr w:rsidR="00D02BC8" w:rsidRPr="00965E20" w14:paraId="1ABD8C13" w14:textId="77777777" w:rsidTr="008B6CCB">
        <w:trPr>
          <w:cantSplit/>
          <w:trHeight w:val="340"/>
        </w:trPr>
        <w:tc>
          <w:tcPr>
            <w:tcW w:w="3095" w:type="dxa"/>
          </w:tcPr>
          <w:p w14:paraId="70AFFD93" w14:textId="77777777" w:rsidR="00D02BC8" w:rsidRPr="00D31EBB" w:rsidRDefault="00D02BC8" w:rsidP="008B6CCB">
            <w:pPr>
              <w:rPr>
                <w:b/>
                <w:szCs w:val="22"/>
              </w:rPr>
            </w:pPr>
            <w:r>
              <w:rPr>
                <w:b/>
                <w:szCs w:val="22"/>
              </w:rPr>
              <w:t>Antacids and medicinal products containing buffers</w:t>
            </w:r>
          </w:p>
        </w:tc>
        <w:tc>
          <w:tcPr>
            <w:tcW w:w="3676" w:type="dxa"/>
          </w:tcPr>
          <w:p w14:paraId="2A9FD21C" w14:textId="77777777" w:rsidR="00D02BC8" w:rsidRPr="00D31EBB" w:rsidRDefault="00D02BC8" w:rsidP="008B6CCB">
            <w:pPr>
              <w:rPr>
                <w:szCs w:val="22"/>
              </w:rPr>
            </w:pPr>
            <w:r>
              <w:t xml:space="preserve">Reduced plasma concentrations of atazanavir may be the consequence of increased gastric pH if antacids, including buffered medicinal products, are administered with REYATAZ. </w:t>
            </w:r>
          </w:p>
        </w:tc>
        <w:tc>
          <w:tcPr>
            <w:tcW w:w="3119" w:type="dxa"/>
          </w:tcPr>
          <w:p w14:paraId="504C509E" w14:textId="77777777" w:rsidR="00D02BC8" w:rsidRPr="00D31EBB" w:rsidRDefault="00D02BC8" w:rsidP="00BC76A6">
            <w:pPr>
              <w:rPr>
                <w:spacing w:val="-5"/>
                <w:szCs w:val="22"/>
              </w:rPr>
            </w:pPr>
            <w:r>
              <w:t>REYATAZ should be administered 2 hours before or 1 hour after antacids or buffered medicinal products.</w:t>
            </w:r>
          </w:p>
        </w:tc>
      </w:tr>
      <w:tr w:rsidR="00D02BC8" w:rsidRPr="004F3582" w14:paraId="25DFB310" w14:textId="77777777" w:rsidTr="008B6CCB">
        <w:trPr>
          <w:cantSplit/>
          <w:trHeight w:val="340"/>
        </w:trPr>
        <w:tc>
          <w:tcPr>
            <w:tcW w:w="9890" w:type="dxa"/>
            <w:gridSpan w:val="3"/>
          </w:tcPr>
          <w:p w14:paraId="74B38419" w14:textId="77777777" w:rsidR="00D02BC8" w:rsidRPr="004F3582" w:rsidRDefault="00D02BC8" w:rsidP="00FF2270">
            <w:pPr>
              <w:pStyle w:val="EMEABodyText"/>
              <w:keepNext/>
              <w:rPr>
                <w:szCs w:val="22"/>
              </w:rPr>
            </w:pPr>
            <w:r>
              <w:rPr>
                <w:b/>
                <w:szCs w:val="22"/>
              </w:rPr>
              <w:t>ALPHA 1-ADRENORECEPTOR ANTAGONIST</w:t>
            </w:r>
          </w:p>
        </w:tc>
      </w:tr>
      <w:tr w:rsidR="00D02BC8" w:rsidRPr="00965E20" w14:paraId="5ED58630" w14:textId="77777777" w:rsidTr="008B6CCB">
        <w:trPr>
          <w:cantSplit/>
          <w:trHeight w:val="340"/>
        </w:trPr>
        <w:tc>
          <w:tcPr>
            <w:tcW w:w="3095" w:type="dxa"/>
          </w:tcPr>
          <w:p w14:paraId="11E52995" w14:textId="77777777" w:rsidR="00D02BC8" w:rsidRPr="004F3582" w:rsidRDefault="00D02BC8" w:rsidP="008B6CCB">
            <w:pPr>
              <w:rPr>
                <w:b/>
                <w:szCs w:val="22"/>
              </w:rPr>
            </w:pPr>
            <w:r>
              <w:rPr>
                <w:b/>
                <w:szCs w:val="22"/>
              </w:rPr>
              <w:t>Alfuzosin</w:t>
            </w:r>
          </w:p>
        </w:tc>
        <w:tc>
          <w:tcPr>
            <w:tcW w:w="3676" w:type="dxa"/>
          </w:tcPr>
          <w:p w14:paraId="1F78F885" w14:textId="77777777" w:rsidR="00D02BC8" w:rsidRPr="00D31EBB" w:rsidRDefault="00D02BC8" w:rsidP="008B6CCB">
            <w:pPr>
              <w:rPr>
                <w:szCs w:val="22"/>
              </w:rPr>
            </w:pPr>
            <w:r>
              <w:t>Potential for increased alfuzosin concentrations which can result in hypotension. The mechanism of interaction is CYP3A4 inhibition by REYATAZ and/or ritonavir.</w:t>
            </w:r>
          </w:p>
        </w:tc>
        <w:tc>
          <w:tcPr>
            <w:tcW w:w="3119" w:type="dxa"/>
          </w:tcPr>
          <w:p w14:paraId="7EE2D36A" w14:textId="77777777" w:rsidR="00D02BC8" w:rsidRPr="00D31EBB" w:rsidRDefault="00D02BC8" w:rsidP="008B27F4">
            <w:pPr>
              <w:rPr>
                <w:spacing w:val="-5"/>
                <w:szCs w:val="22"/>
              </w:rPr>
            </w:pPr>
            <w:r>
              <w:t>Co-administration of alfuzosin with REYATAZ is contraindicated (see section 4.3)</w:t>
            </w:r>
          </w:p>
        </w:tc>
      </w:tr>
      <w:tr w:rsidR="00D02BC8" w:rsidRPr="004F3582" w14:paraId="000599EA" w14:textId="77777777" w:rsidTr="008B6CCB">
        <w:trPr>
          <w:cantSplit/>
          <w:trHeight w:val="340"/>
        </w:trPr>
        <w:tc>
          <w:tcPr>
            <w:tcW w:w="9890" w:type="dxa"/>
            <w:gridSpan w:val="3"/>
          </w:tcPr>
          <w:p w14:paraId="4089C2DE" w14:textId="77777777" w:rsidR="00D02BC8" w:rsidRPr="004F3582" w:rsidRDefault="00D02BC8" w:rsidP="008B6CCB">
            <w:pPr>
              <w:pStyle w:val="EMEABodyText"/>
              <w:rPr>
                <w:szCs w:val="22"/>
              </w:rPr>
            </w:pPr>
            <w:r>
              <w:rPr>
                <w:b/>
                <w:szCs w:val="22"/>
              </w:rPr>
              <w:t>ANTICOAGULANTS</w:t>
            </w:r>
          </w:p>
        </w:tc>
      </w:tr>
      <w:tr w:rsidR="00D02BC8" w:rsidRPr="00965E20" w14:paraId="6B66BBB4" w14:textId="77777777" w:rsidTr="008B6CCB">
        <w:trPr>
          <w:cantSplit/>
          <w:trHeight w:val="340"/>
        </w:trPr>
        <w:tc>
          <w:tcPr>
            <w:tcW w:w="3095" w:type="dxa"/>
          </w:tcPr>
          <w:p w14:paraId="71EE629F" w14:textId="77777777" w:rsidR="00D02BC8" w:rsidRPr="004F3582" w:rsidRDefault="00D02BC8" w:rsidP="008B6CCB">
            <w:pPr>
              <w:rPr>
                <w:b/>
                <w:szCs w:val="22"/>
              </w:rPr>
            </w:pPr>
            <w:r>
              <w:rPr>
                <w:b/>
                <w:szCs w:val="22"/>
              </w:rPr>
              <w:t>Warfarin</w:t>
            </w:r>
          </w:p>
        </w:tc>
        <w:tc>
          <w:tcPr>
            <w:tcW w:w="3676" w:type="dxa"/>
          </w:tcPr>
          <w:p w14:paraId="614A6BF1" w14:textId="77777777" w:rsidR="00D02BC8" w:rsidRPr="00D31EBB" w:rsidRDefault="00D02BC8" w:rsidP="00335FEF">
            <w:pPr>
              <w:rPr>
                <w:szCs w:val="22"/>
              </w:rPr>
            </w:pPr>
            <w:r>
              <w:t>Co-administration with REYATAZ has the potential to increase or decrease warfarin concentrations.</w:t>
            </w:r>
          </w:p>
        </w:tc>
        <w:tc>
          <w:tcPr>
            <w:tcW w:w="3119" w:type="dxa"/>
          </w:tcPr>
          <w:p w14:paraId="7F1BDFD4" w14:textId="77777777" w:rsidR="00D02BC8" w:rsidRPr="00D31EBB" w:rsidRDefault="00D02BC8" w:rsidP="008B27F4">
            <w:pPr>
              <w:rPr>
                <w:spacing w:val="-5"/>
                <w:szCs w:val="22"/>
              </w:rPr>
            </w:pPr>
            <w:r>
              <w:t>It is recommended that the International Normalised Ratio (INR) be monitored carefully during treatment with REYATAZ, especially when commencing therapy.</w:t>
            </w:r>
          </w:p>
        </w:tc>
      </w:tr>
      <w:tr w:rsidR="00D02BC8" w:rsidRPr="004F3582" w14:paraId="1532052E" w14:textId="77777777" w:rsidTr="008B6CCB">
        <w:trPr>
          <w:cantSplit/>
          <w:trHeight w:val="340"/>
        </w:trPr>
        <w:tc>
          <w:tcPr>
            <w:tcW w:w="9890" w:type="dxa"/>
            <w:gridSpan w:val="3"/>
          </w:tcPr>
          <w:p w14:paraId="5F3BD39D" w14:textId="77777777" w:rsidR="00D02BC8" w:rsidRPr="004F3582" w:rsidRDefault="00D02BC8" w:rsidP="008B6CCB">
            <w:pPr>
              <w:rPr>
                <w:b/>
                <w:szCs w:val="22"/>
              </w:rPr>
            </w:pPr>
            <w:r>
              <w:rPr>
                <w:b/>
                <w:szCs w:val="22"/>
              </w:rPr>
              <w:t>ANTIEPILEPTICS</w:t>
            </w:r>
          </w:p>
        </w:tc>
      </w:tr>
      <w:tr w:rsidR="00D02BC8" w:rsidRPr="00965E20" w14:paraId="465456BF" w14:textId="77777777" w:rsidTr="008B6CCB">
        <w:trPr>
          <w:cantSplit/>
          <w:trHeight w:val="340"/>
        </w:trPr>
        <w:tc>
          <w:tcPr>
            <w:tcW w:w="3095" w:type="dxa"/>
          </w:tcPr>
          <w:p w14:paraId="3AFD72B4" w14:textId="77777777" w:rsidR="00D02BC8" w:rsidRPr="004F3582" w:rsidRDefault="00D02BC8" w:rsidP="008B6CCB">
            <w:pPr>
              <w:rPr>
                <w:b/>
                <w:szCs w:val="22"/>
              </w:rPr>
            </w:pPr>
            <w:r>
              <w:rPr>
                <w:b/>
                <w:szCs w:val="22"/>
              </w:rPr>
              <w:lastRenderedPageBreak/>
              <w:t>Carbamazepine</w:t>
            </w:r>
          </w:p>
        </w:tc>
        <w:tc>
          <w:tcPr>
            <w:tcW w:w="3676" w:type="dxa"/>
          </w:tcPr>
          <w:p w14:paraId="282637B0" w14:textId="77777777" w:rsidR="00D02BC8" w:rsidRPr="00D31EBB" w:rsidRDefault="00D02BC8" w:rsidP="008B6CCB">
            <w:pPr>
              <w:rPr>
                <w:szCs w:val="22"/>
              </w:rPr>
            </w:pPr>
            <w:r>
              <w:t xml:space="preserve">REYATAZ may increase plasma levels of carbamazepine due to CYP3A4 inhibition. </w:t>
            </w:r>
          </w:p>
          <w:p w14:paraId="5D331BAD" w14:textId="77777777" w:rsidR="00D02BC8" w:rsidRPr="00D31EBB" w:rsidRDefault="00D02BC8" w:rsidP="008B6CCB">
            <w:pPr>
              <w:rPr>
                <w:szCs w:val="22"/>
              </w:rPr>
            </w:pPr>
            <w:r>
              <w:t>Due to carbamazepine inducing effect, a reduction in REYATAZ exposure cannot be ruled out.</w:t>
            </w:r>
          </w:p>
        </w:tc>
        <w:tc>
          <w:tcPr>
            <w:tcW w:w="3119" w:type="dxa"/>
          </w:tcPr>
          <w:p w14:paraId="0CB9934B" w14:textId="77777777" w:rsidR="00D02BC8" w:rsidRPr="00D31EBB" w:rsidRDefault="00D02BC8" w:rsidP="000424FD">
            <w:pPr>
              <w:rPr>
                <w:szCs w:val="22"/>
              </w:rPr>
            </w:pPr>
            <w:r>
              <w:t xml:space="preserve">Carbamazepine should be used with caution in combination with REYATAZ. If necessary, monitor carbamazepine serum concentrations and adjust the dose accordingly. Close monitoring of the patient's virologic response should be excercised. </w:t>
            </w:r>
          </w:p>
        </w:tc>
      </w:tr>
      <w:tr w:rsidR="00D02BC8" w:rsidRPr="00965E20" w14:paraId="07EC9FD5" w14:textId="77777777" w:rsidTr="008B6CCB">
        <w:trPr>
          <w:cantSplit/>
          <w:trHeight w:val="340"/>
        </w:trPr>
        <w:tc>
          <w:tcPr>
            <w:tcW w:w="3095" w:type="dxa"/>
          </w:tcPr>
          <w:p w14:paraId="2C90C790" w14:textId="77777777" w:rsidR="00D02BC8" w:rsidRPr="004F3582" w:rsidRDefault="00D02BC8" w:rsidP="008B6CCB">
            <w:pPr>
              <w:rPr>
                <w:b/>
                <w:szCs w:val="22"/>
              </w:rPr>
            </w:pPr>
            <w:r>
              <w:rPr>
                <w:b/>
                <w:szCs w:val="22"/>
              </w:rPr>
              <w:t>Phenytoin, phenobarbital</w:t>
            </w:r>
          </w:p>
        </w:tc>
        <w:tc>
          <w:tcPr>
            <w:tcW w:w="3676" w:type="dxa"/>
          </w:tcPr>
          <w:p w14:paraId="4944A18D" w14:textId="77777777" w:rsidR="00D02BC8" w:rsidRPr="00D31EBB" w:rsidRDefault="00D02BC8" w:rsidP="008B6CCB">
            <w:pPr>
              <w:rPr>
                <w:szCs w:val="22"/>
              </w:rPr>
            </w:pPr>
            <w:r>
              <w:t>Ritonavir may decrease plasma levels of phenytoin and/or phenobarbital due to CYP2C9 and CYP2C19 induction.</w:t>
            </w:r>
          </w:p>
          <w:p w14:paraId="68F66793" w14:textId="77777777" w:rsidR="00D02BC8" w:rsidRPr="00D31EBB" w:rsidRDefault="00D02BC8" w:rsidP="008B27F4">
            <w:pPr>
              <w:rPr>
                <w:szCs w:val="22"/>
              </w:rPr>
            </w:pPr>
            <w:r>
              <w:t>Due to phenytoin/phenobarbital inducing effect, a reduction in REYATAZ exposure cannot be ruled out.</w:t>
            </w:r>
          </w:p>
        </w:tc>
        <w:tc>
          <w:tcPr>
            <w:tcW w:w="3119" w:type="dxa"/>
          </w:tcPr>
          <w:p w14:paraId="4FF06BEF" w14:textId="77777777" w:rsidR="00D02BC8" w:rsidRPr="00D31EBB" w:rsidRDefault="00D02BC8" w:rsidP="008B6CCB">
            <w:pPr>
              <w:rPr>
                <w:szCs w:val="22"/>
              </w:rPr>
            </w:pPr>
            <w:r>
              <w:t>Phenobarbital and phenytoin should be used with caution in combination with REYATAZ/ritonavir.</w:t>
            </w:r>
          </w:p>
          <w:p w14:paraId="5569A17D" w14:textId="77777777" w:rsidR="00D02BC8" w:rsidRPr="00D31EBB" w:rsidRDefault="00D02BC8" w:rsidP="008B6CCB">
            <w:pPr>
              <w:rPr>
                <w:szCs w:val="22"/>
                <w:lang w:val="en-US"/>
              </w:rPr>
            </w:pPr>
          </w:p>
          <w:p w14:paraId="5065274E" w14:textId="77777777" w:rsidR="00D02BC8" w:rsidRPr="00D31EBB" w:rsidRDefault="00D02BC8" w:rsidP="008B6CCB">
            <w:pPr>
              <w:rPr>
                <w:szCs w:val="22"/>
              </w:rPr>
            </w:pPr>
            <w:r>
              <w:t>When REYATAZ/ritonavir is co-administered with either phenytoin or phenobarbital, a dose adjustment of phenytoin or phenobarbital may be required.</w:t>
            </w:r>
          </w:p>
          <w:p w14:paraId="53A1AE95" w14:textId="77777777" w:rsidR="00D02BC8" w:rsidRPr="00D31EBB" w:rsidRDefault="00D02BC8" w:rsidP="008B6CCB">
            <w:pPr>
              <w:rPr>
                <w:szCs w:val="22"/>
                <w:lang w:val="en-US"/>
              </w:rPr>
            </w:pPr>
          </w:p>
          <w:p w14:paraId="7CB35C66" w14:textId="77777777" w:rsidR="00D02BC8" w:rsidRPr="00D31EBB" w:rsidRDefault="00D02BC8" w:rsidP="000424FD">
            <w:pPr>
              <w:rPr>
                <w:szCs w:val="22"/>
              </w:rPr>
            </w:pPr>
            <w:r>
              <w:t>Close monitoring of patient's virologic response should be exercised.</w:t>
            </w:r>
          </w:p>
        </w:tc>
      </w:tr>
      <w:tr w:rsidR="00D02BC8" w:rsidRPr="00965E20" w14:paraId="381165AD" w14:textId="77777777" w:rsidTr="008B6CCB">
        <w:trPr>
          <w:cantSplit/>
          <w:trHeight w:val="340"/>
        </w:trPr>
        <w:tc>
          <w:tcPr>
            <w:tcW w:w="3095" w:type="dxa"/>
          </w:tcPr>
          <w:p w14:paraId="1BBC5BB7" w14:textId="77777777" w:rsidR="00D02BC8" w:rsidRPr="004F3582" w:rsidRDefault="00D02BC8" w:rsidP="008B6CCB">
            <w:pPr>
              <w:rPr>
                <w:b/>
                <w:szCs w:val="22"/>
              </w:rPr>
            </w:pPr>
            <w:r>
              <w:rPr>
                <w:b/>
                <w:szCs w:val="22"/>
              </w:rPr>
              <w:t>Lamotrigine</w:t>
            </w:r>
          </w:p>
        </w:tc>
        <w:tc>
          <w:tcPr>
            <w:tcW w:w="3676" w:type="dxa"/>
          </w:tcPr>
          <w:p w14:paraId="24172AD6" w14:textId="77777777" w:rsidR="00D02BC8" w:rsidRPr="00D31EBB" w:rsidRDefault="00D02BC8" w:rsidP="008B6CCB">
            <w:pPr>
              <w:rPr>
                <w:szCs w:val="22"/>
              </w:rPr>
            </w:pPr>
            <w:r>
              <w:t>Co-administration of lamotrigine and REYATAZ/ritonavir may decrease lamotrigine plasma concentrations due to UGT1A4 induction.</w:t>
            </w:r>
          </w:p>
          <w:p w14:paraId="27D325CA" w14:textId="77777777" w:rsidR="00D02BC8" w:rsidRPr="00D31EBB" w:rsidRDefault="00D02BC8" w:rsidP="008B6CCB">
            <w:pPr>
              <w:rPr>
                <w:szCs w:val="22"/>
                <w:lang w:val="en-US"/>
              </w:rPr>
            </w:pPr>
          </w:p>
          <w:p w14:paraId="6A5D8C40" w14:textId="77777777" w:rsidR="00D02BC8" w:rsidRPr="00D31EBB" w:rsidRDefault="00D02BC8" w:rsidP="008B6CCB">
            <w:pPr>
              <w:rPr>
                <w:szCs w:val="22"/>
                <w:lang w:val="en-US"/>
              </w:rPr>
            </w:pPr>
          </w:p>
        </w:tc>
        <w:tc>
          <w:tcPr>
            <w:tcW w:w="3119" w:type="dxa"/>
          </w:tcPr>
          <w:p w14:paraId="21DA533C" w14:textId="77777777" w:rsidR="00D02BC8" w:rsidRPr="00D31EBB" w:rsidRDefault="00D02BC8" w:rsidP="008B6CCB">
            <w:pPr>
              <w:rPr>
                <w:szCs w:val="22"/>
              </w:rPr>
            </w:pPr>
            <w:r>
              <w:t xml:space="preserve">Lamotrigine should be used with caution in combination with REYATAZ/ritonavir. </w:t>
            </w:r>
          </w:p>
          <w:p w14:paraId="4FB7F26C" w14:textId="77777777" w:rsidR="00D02BC8" w:rsidRPr="00D31EBB" w:rsidRDefault="00D02BC8" w:rsidP="008B6CCB">
            <w:pPr>
              <w:rPr>
                <w:szCs w:val="22"/>
                <w:lang w:val="en-US"/>
              </w:rPr>
            </w:pPr>
          </w:p>
          <w:p w14:paraId="5EDBF9F7" w14:textId="77777777" w:rsidR="00D02BC8" w:rsidRPr="00D31EBB" w:rsidRDefault="00D02BC8" w:rsidP="000424FD">
            <w:pPr>
              <w:rPr>
                <w:szCs w:val="22"/>
              </w:rPr>
            </w:pPr>
            <w:r>
              <w:t xml:space="preserve">If necessary, monitor lamotrigine concentrations and adjust the dose accordingly. </w:t>
            </w:r>
          </w:p>
        </w:tc>
      </w:tr>
      <w:tr w:rsidR="00D02BC8" w:rsidRPr="004F3582" w14:paraId="7275A59F" w14:textId="77777777" w:rsidTr="008B6CCB">
        <w:trPr>
          <w:cantSplit/>
          <w:trHeight w:val="340"/>
        </w:trPr>
        <w:tc>
          <w:tcPr>
            <w:tcW w:w="9890" w:type="dxa"/>
            <w:gridSpan w:val="3"/>
          </w:tcPr>
          <w:p w14:paraId="0E767BBC" w14:textId="77777777" w:rsidR="00D02BC8" w:rsidRPr="004F3582" w:rsidRDefault="00D02BC8" w:rsidP="008B6CCB">
            <w:pPr>
              <w:pStyle w:val="EMEABodyText"/>
              <w:rPr>
                <w:szCs w:val="22"/>
              </w:rPr>
            </w:pPr>
            <w:r>
              <w:rPr>
                <w:b/>
                <w:szCs w:val="22"/>
              </w:rPr>
              <w:t>ANTINEOPLASTICS AND IMMUNOSUPRESSANTS</w:t>
            </w:r>
          </w:p>
        </w:tc>
      </w:tr>
      <w:tr w:rsidR="00D02BC8" w:rsidRPr="004F3582" w14:paraId="4427FD10" w14:textId="77777777" w:rsidTr="008B6CCB">
        <w:trPr>
          <w:cantSplit/>
          <w:trHeight w:val="340"/>
        </w:trPr>
        <w:tc>
          <w:tcPr>
            <w:tcW w:w="9890" w:type="dxa"/>
            <w:gridSpan w:val="3"/>
          </w:tcPr>
          <w:p w14:paraId="265FCC29" w14:textId="77777777" w:rsidR="00D02BC8" w:rsidRPr="004F3582" w:rsidRDefault="00D02BC8" w:rsidP="008B6CCB">
            <w:pPr>
              <w:pStyle w:val="EMEABodyText"/>
              <w:rPr>
                <w:i/>
                <w:szCs w:val="22"/>
              </w:rPr>
            </w:pPr>
            <w:r>
              <w:rPr>
                <w:i/>
                <w:szCs w:val="22"/>
              </w:rPr>
              <w:t>Antineoplastics</w:t>
            </w:r>
          </w:p>
        </w:tc>
      </w:tr>
      <w:tr w:rsidR="00D02BC8" w:rsidRPr="00965E20" w14:paraId="7C86A00E" w14:textId="77777777" w:rsidTr="008B6CCB">
        <w:trPr>
          <w:cantSplit/>
          <w:trHeight w:val="340"/>
        </w:trPr>
        <w:tc>
          <w:tcPr>
            <w:tcW w:w="3095" w:type="dxa"/>
          </w:tcPr>
          <w:p w14:paraId="4D24232E" w14:textId="77777777" w:rsidR="00D02BC8" w:rsidRPr="004F3582" w:rsidRDefault="00D02BC8" w:rsidP="008B6CCB">
            <w:pPr>
              <w:rPr>
                <w:b/>
                <w:szCs w:val="22"/>
              </w:rPr>
            </w:pPr>
            <w:r>
              <w:rPr>
                <w:b/>
                <w:szCs w:val="22"/>
              </w:rPr>
              <w:t>Irinotecan</w:t>
            </w:r>
          </w:p>
        </w:tc>
        <w:tc>
          <w:tcPr>
            <w:tcW w:w="3676" w:type="dxa"/>
          </w:tcPr>
          <w:p w14:paraId="7E6689C7" w14:textId="77777777" w:rsidR="00D02BC8" w:rsidRPr="00D31EBB" w:rsidRDefault="00D02BC8" w:rsidP="008B6CCB">
            <w:pPr>
              <w:rPr>
                <w:szCs w:val="22"/>
              </w:rPr>
            </w:pPr>
            <w:r>
              <w:t xml:space="preserve">Atazanavir inhibits UGT and may interfere with the metabolism of irinotecan, resulting in increased irinotecan toxicities. </w:t>
            </w:r>
          </w:p>
        </w:tc>
        <w:tc>
          <w:tcPr>
            <w:tcW w:w="3119" w:type="dxa"/>
          </w:tcPr>
          <w:p w14:paraId="3EC090FA" w14:textId="77777777" w:rsidR="00D02BC8" w:rsidRPr="00D31EBB" w:rsidRDefault="00D02BC8" w:rsidP="00335FEF">
            <w:pPr>
              <w:rPr>
                <w:spacing w:val="-5"/>
                <w:szCs w:val="22"/>
              </w:rPr>
            </w:pPr>
            <w:r>
              <w:t>If REYATAZ is co-administered with irinotecan, patients should be closely monitored for adverse events related to irinotecan.</w:t>
            </w:r>
          </w:p>
        </w:tc>
      </w:tr>
      <w:tr w:rsidR="00D02BC8" w:rsidRPr="004F3582" w14:paraId="39092797" w14:textId="77777777" w:rsidTr="008B6CCB">
        <w:trPr>
          <w:cantSplit/>
          <w:trHeight w:val="340"/>
        </w:trPr>
        <w:tc>
          <w:tcPr>
            <w:tcW w:w="9890" w:type="dxa"/>
            <w:gridSpan w:val="3"/>
          </w:tcPr>
          <w:p w14:paraId="53B7461A" w14:textId="77777777" w:rsidR="00D02BC8" w:rsidRPr="004F3582" w:rsidRDefault="00D02BC8" w:rsidP="00FF2270">
            <w:pPr>
              <w:pStyle w:val="EMEABodyText"/>
              <w:keepNext/>
              <w:rPr>
                <w:i/>
                <w:szCs w:val="22"/>
              </w:rPr>
            </w:pPr>
            <w:r>
              <w:rPr>
                <w:i/>
                <w:szCs w:val="22"/>
              </w:rPr>
              <w:t>Immunosuppressants</w:t>
            </w:r>
          </w:p>
        </w:tc>
      </w:tr>
      <w:tr w:rsidR="00D02BC8" w:rsidRPr="00965E20" w14:paraId="6983153C" w14:textId="77777777" w:rsidTr="008B6CCB">
        <w:trPr>
          <w:cantSplit/>
          <w:trHeight w:val="340"/>
        </w:trPr>
        <w:tc>
          <w:tcPr>
            <w:tcW w:w="3095" w:type="dxa"/>
          </w:tcPr>
          <w:p w14:paraId="2F40A505" w14:textId="77777777" w:rsidR="00D02BC8" w:rsidRPr="004F3582" w:rsidRDefault="00D02BC8" w:rsidP="008B6CCB">
            <w:pPr>
              <w:rPr>
                <w:b/>
                <w:szCs w:val="22"/>
              </w:rPr>
            </w:pPr>
            <w:r>
              <w:rPr>
                <w:b/>
                <w:szCs w:val="22"/>
              </w:rPr>
              <w:t>Cyclosporin</w:t>
            </w:r>
          </w:p>
          <w:p w14:paraId="5E079080" w14:textId="77777777" w:rsidR="00D02BC8" w:rsidRPr="004F3582" w:rsidRDefault="00D02BC8" w:rsidP="008B6CCB">
            <w:pPr>
              <w:rPr>
                <w:b/>
                <w:szCs w:val="22"/>
              </w:rPr>
            </w:pPr>
            <w:r>
              <w:rPr>
                <w:b/>
                <w:szCs w:val="22"/>
              </w:rPr>
              <w:t>Tacrolimus</w:t>
            </w:r>
          </w:p>
          <w:p w14:paraId="633F569D" w14:textId="77777777" w:rsidR="00D02BC8" w:rsidRPr="004F3582" w:rsidRDefault="00D02BC8" w:rsidP="008B6CCB">
            <w:pPr>
              <w:rPr>
                <w:b/>
                <w:szCs w:val="22"/>
              </w:rPr>
            </w:pPr>
            <w:r>
              <w:rPr>
                <w:b/>
                <w:szCs w:val="22"/>
              </w:rPr>
              <w:t>Sirolimus</w:t>
            </w:r>
          </w:p>
          <w:p w14:paraId="0FEAB641" w14:textId="77777777" w:rsidR="00D02BC8" w:rsidRPr="004F3582" w:rsidRDefault="00D02BC8" w:rsidP="008B6CCB">
            <w:pPr>
              <w:rPr>
                <w:b/>
                <w:szCs w:val="22"/>
              </w:rPr>
            </w:pPr>
          </w:p>
        </w:tc>
        <w:tc>
          <w:tcPr>
            <w:tcW w:w="3676" w:type="dxa"/>
          </w:tcPr>
          <w:p w14:paraId="3A5EA0B3" w14:textId="77777777" w:rsidR="00D02BC8" w:rsidRPr="00D31EBB" w:rsidRDefault="00D02BC8" w:rsidP="00335FEF">
            <w:pPr>
              <w:rPr>
                <w:szCs w:val="22"/>
              </w:rPr>
            </w:pPr>
            <w:r>
              <w:t>Concentrations of these immunosuppressants may be increased when co-administered with REYATAZ due to CYP3A4 inhibition.</w:t>
            </w:r>
          </w:p>
        </w:tc>
        <w:tc>
          <w:tcPr>
            <w:tcW w:w="3119" w:type="dxa"/>
          </w:tcPr>
          <w:p w14:paraId="5B47B8A2" w14:textId="77777777" w:rsidR="00D02BC8" w:rsidRPr="00D31EBB" w:rsidRDefault="00D02BC8" w:rsidP="008B6CCB">
            <w:pPr>
              <w:rPr>
                <w:spacing w:val="-5"/>
                <w:szCs w:val="22"/>
              </w:rPr>
            </w:pPr>
            <w:r>
              <w:t>More frequent therapeutic concentration monitoring of these medicinal products is recommended until plasma levels have been stabilised.</w:t>
            </w:r>
          </w:p>
        </w:tc>
      </w:tr>
      <w:tr w:rsidR="00D02BC8" w:rsidRPr="004F3582" w14:paraId="7F1F1530" w14:textId="77777777" w:rsidTr="008B6CCB">
        <w:trPr>
          <w:cantSplit/>
          <w:trHeight w:val="340"/>
        </w:trPr>
        <w:tc>
          <w:tcPr>
            <w:tcW w:w="9890" w:type="dxa"/>
            <w:gridSpan w:val="3"/>
          </w:tcPr>
          <w:p w14:paraId="64D29EB3" w14:textId="77777777" w:rsidR="00D02BC8" w:rsidRPr="004F3582" w:rsidRDefault="00D02BC8" w:rsidP="00F22397">
            <w:pPr>
              <w:pStyle w:val="EMEABodyText"/>
              <w:keepNext/>
              <w:rPr>
                <w:szCs w:val="22"/>
              </w:rPr>
            </w:pPr>
            <w:r>
              <w:rPr>
                <w:b/>
                <w:szCs w:val="22"/>
              </w:rPr>
              <w:t>CARDIOVASCULAR AGENTS</w:t>
            </w:r>
          </w:p>
        </w:tc>
      </w:tr>
      <w:tr w:rsidR="00D02BC8" w:rsidRPr="004F3582" w14:paraId="5A5115DD" w14:textId="77777777" w:rsidTr="008B6CCB">
        <w:trPr>
          <w:cantSplit/>
          <w:trHeight w:val="340"/>
        </w:trPr>
        <w:tc>
          <w:tcPr>
            <w:tcW w:w="9890" w:type="dxa"/>
            <w:gridSpan w:val="3"/>
          </w:tcPr>
          <w:p w14:paraId="667CBC4F" w14:textId="77777777" w:rsidR="00D02BC8" w:rsidRPr="004F3582" w:rsidRDefault="00D02BC8" w:rsidP="00F22397">
            <w:pPr>
              <w:pStyle w:val="EMEABodyText"/>
              <w:keepNext/>
              <w:rPr>
                <w:i/>
                <w:szCs w:val="22"/>
              </w:rPr>
            </w:pPr>
            <w:r>
              <w:rPr>
                <w:i/>
                <w:szCs w:val="22"/>
              </w:rPr>
              <w:t>Antiarrhythmics</w:t>
            </w:r>
          </w:p>
        </w:tc>
      </w:tr>
      <w:tr w:rsidR="00D02BC8" w:rsidRPr="004F3582" w14:paraId="7B4FD634" w14:textId="77777777" w:rsidTr="008B6CCB">
        <w:trPr>
          <w:cantSplit/>
          <w:trHeight w:val="340"/>
        </w:trPr>
        <w:tc>
          <w:tcPr>
            <w:tcW w:w="3095" w:type="dxa"/>
          </w:tcPr>
          <w:p w14:paraId="73C0A017" w14:textId="77777777" w:rsidR="00D02BC8" w:rsidRPr="004F3582" w:rsidRDefault="00D02BC8" w:rsidP="00F22397">
            <w:pPr>
              <w:keepNext/>
              <w:tabs>
                <w:tab w:val="left" w:pos="0"/>
              </w:tabs>
              <w:rPr>
                <w:b/>
                <w:szCs w:val="22"/>
              </w:rPr>
            </w:pPr>
            <w:r>
              <w:rPr>
                <w:b/>
                <w:szCs w:val="22"/>
              </w:rPr>
              <w:t xml:space="preserve">Amiodarone, </w:t>
            </w:r>
          </w:p>
          <w:p w14:paraId="3FCA8645" w14:textId="77777777" w:rsidR="00D02BC8" w:rsidRPr="004F3582" w:rsidRDefault="00D02BC8" w:rsidP="00F22397">
            <w:pPr>
              <w:keepNext/>
              <w:tabs>
                <w:tab w:val="left" w:pos="0"/>
              </w:tabs>
              <w:rPr>
                <w:b/>
                <w:szCs w:val="22"/>
              </w:rPr>
            </w:pPr>
            <w:r>
              <w:rPr>
                <w:b/>
                <w:szCs w:val="22"/>
              </w:rPr>
              <w:t xml:space="preserve">Systemic lidocaine, </w:t>
            </w:r>
          </w:p>
          <w:p w14:paraId="578DDEE8" w14:textId="77777777" w:rsidR="00D02BC8" w:rsidRPr="004F3582" w:rsidRDefault="00D02BC8" w:rsidP="00F22397">
            <w:pPr>
              <w:keepNext/>
              <w:rPr>
                <w:b/>
                <w:szCs w:val="22"/>
              </w:rPr>
            </w:pPr>
            <w:r>
              <w:rPr>
                <w:b/>
                <w:szCs w:val="22"/>
              </w:rPr>
              <w:t>Quinidine</w:t>
            </w:r>
          </w:p>
        </w:tc>
        <w:tc>
          <w:tcPr>
            <w:tcW w:w="3676" w:type="dxa"/>
          </w:tcPr>
          <w:p w14:paraId="78AD3BF3" w14:textId="77777777" w:rsidR="00D02BC8" w:rsidRPr="00D31EBB" w:rsidRDefault="00D02BC8" w:rsidP="00F22397">
            <w:pPr>
              <w:keepNext/>
              <w:rPr>
                <w:szCs w:val="22"/>
              </w:rPr>
            </w:pPr>
            <w:r>
              <w:t>Concentrations of these antiarrhythmics may be increased when co-administered with REYATAZ. The mechanism of amiodarone or systemic lidocaine/atazanavir interaction is CYP3A inhibition. Quinidine has a narrow therapeutic window and is contraindicated due to potential inhibition of CYP3A by REYATAZ.</w:t>
            </w:r>
          </w:p>
        </w:tc>
        <w:tc>
          <w:tcPr>
            <w:tcW w:w="3119" w:type="dxa"/>
          </w:tcPr>
          <w:p w14:paraId="28E1D908" w14:textId="77777777" w:rsidR="00D02BC8" w:rsidRPr="004F3582" w:rsidRDefault="00D02BC8" w:rsidP="00F22397">
            <w:pPr>
              <w:keepNext/>
              <w:rPr>
                <w:spacing w:val="-5"/>
                <w:szCs w:val="22"/>
              </w:rPr>
            </w:pPr>
            <w:r>
              <w:t>Caution is warranted and therapeutic concentration monitoring is recommended when available. The concomitant use of quinidine is contraindicated (see section 4.3).</w:t>
            </w:r>
          </w:p>
        </w:tc>
      </w:tr>
      <w:tr w:rsidR="00D02BC8" w:rsidRPr="004F3582" w14:paraId="735C1BAC" w14:textId="77777777" w:rsidTr="008B6CCB">
        <w:trPr>
          <w:cantSplit/>
          <w:trHeight w:val="340"/>
        </w:trPr>
        <w:tc>
          <w:tcPr>
            <w:tcW w:w="9890" w:type="dxa"/>
            <w:gridSpan w:val="3"/>
          </w:tcPr>
          <w:p w14:paraId="40D981FA" w14:textId="77777777" w:rsidR="00D02BC8" w:rsidRPr="004F3582" w:rsidRDefault="00D02BC8" w:rsidP="008B6CCB">
            <w:pPr>
              <w:pStyle w:val="EMEABodyText"/>
              <w:rPr>
                <w:i/>
                <w:szCs w:val="22"/>
              </w:rPr>
            </w:pPr>
            <w:r>
              <w:rPr>
                <w:i/>
                <w:szCs w:val="22"/>
              </w:rPr>
              <w:t>Calcium channel blockers</w:t>
            </w:r>
          </w:p>
        </w:tc>
      </w:tr>
      <w:tr w:rsidR="00D02BC8" w:rsidRPr="00965E20" w14:paraId="6C57800A" w14:textId="77777777" w:rsidTr="008B6CCB">
        <w:trPr>
          <w:cantSplit/>
          <w:trHeight w:val="340"/>
        </w:trPr>
        <w:tc>
          <w:tcPr>
            <w:tcW w:w="3095" w:type="dxa"/>
          </w:tcPr>
          <w:p w14:paraId="2F9E9D1B" w14:textId="77777777" w:rsidR="00D02BC8" w:rsidRPr="004F3582" w:rsidRDefault="00D02BC8" w:rsidP="008B6CCB">
            <w:pPr>
              <w:rPr>
                <w:b/>
                <w:szCs w:val="22"/>
              </w:rPr>
            </w:pPr>
            <w:r>
              <w:rPr>
                <w:b/>
                <w:szCs w:val="22"/>
              </w:rPr>
              <w:lastRenderedPageBreak/>
              <w:t>Bepridil</w:t>
            </w:r>
          </w:p>
        </w:tc>
        <w:tc>
          <w:tcPr>
            <w:tcW w:w="3676" w:type="dxa"/>
          </w:tcPr>
          <w:p w14:paraId="72FDE5F4" w14:textId="77777777" w:rsidR="00D02BC8" w:rsidRPr="00D31EBB" w:rsidRDefault="00D02BC8" w:rsidP="00335FEF">
            <w:pPr>
              <w:rPr>
                <w:szCs w:val="22"/>
              </w:rPr>
            </w:pPr>
            <w:r>
              <w:t>REYATAZ should not be used in combination with medicinal products that are substrates of CYP3A4 and have a narrow therapeutic index.</w:t>
            </w:r>
          </w:p>
        </w:tc>
        <w:tc>
          <w:tcPr>
            <w:tcW w:w="3119" w:type="dxa"/>
          </w:tcPr>
          <w:p w14:paraId="116BB6FB" w14:textId="77777777" w:rsidR="00D02BC8" w:rsidRPr="00D31EBB" w:rsidRDefault="00D02BC8" w:rsidP="008B6CCB">
            <w:pPr>
              <w:rPr>
                <w:spacing w:val="-5"/>
                <w:szCs w:val="22"/>
              </w:rPr>
            </w:pPr>
            <w:r>
              <w:t>Co-administration with bepridil is contraindicated (see section 4.3)</w:t>
            </w:r>
          </w:p>
        </w:tc>
      </w:tr>
      <w:tr w:rsidR="00D02BC8" w:rsidRPr="00965E20" w14:paraId="03587112" w14:textId="77777777" w:rsidTr="008B6CCB">
        <w:trPr>
          <w:cantSplit/>
          <w:trHeight w:val="340"/>
        </w:trPr>
        <w:tc>
          <w:tcPr>
            <w:tcW w:w="3095" w:type="dxa"/>
          </w:tcPr>
          <w:p w14:paraId="73D7FD0F" w14:textId="77777777" w:rsidR="00D02BC8" w:rsidRPr="00D31EBB" w:rsidRDefault="00D02BC8" w:rsidP="008B6CCB">
            <w:pPr>
              <w:pStyle w:val="EMEABodyText"/>
              <w:rPr>
                <w:b/>
                <w:szCs w:val="22"/>
              </w:rPr>
            </w:pPr>
            <w:r>
              <w:rPr>
                <w:b/>
                <w:szCs w:val="22"/>
              </w:rPr>
              <w:t>Diltiazem 180 mg once daily</w:t>
            </w:r>
          </w:p>
          <w:p w14:paraId="40142B59" w14:textId="77777777" w:rsidR="00D02BC8" w:rsidRPr="00D31EBB" w:rsidRDefault="00D02BC8" w:rsidP="008B6CCB">
            <w:pPr>
              <w:pStyle w:val="EMEABodyText"/>
              <w:rPr>
                <w:szCs w:val="22"/>
              </w:rPr>
            </w:pPr>
            <w:r>
              <w:t>(atazanavir 400 mg once daily)</w:t>
            </w:r>
          </w:p>
        </w:tc>
        <w:tc>
          <w:tcPr>
            <w:tcW w:w="3676" w:type="dxa"/>
          </w:tcPr>
          <w:p w14:paraId="60CFDBC2" w14:textId="77777777" w:rsidR="00D02BC8" w:rsidRPr="00D31EBB" w:rsidRDefault="00D02BC8" w:rsidP="008B6CCB">
            <w:pPr>
              <w:pStyle w:val="EMEABodyText"/>
              <w:rPr>
                <w:szCs w:val="22"/>
              </w:rPr>
            </w:pPr>
            <w:r>
              <w:t>Diltiazem AUC ↑125% (↑109% ↑141%)</w:t>
            </w:r>
          </w:p>
          <w:p w14:paraId="212E86EF" w14:textId="77777777" w:rsidR="00D02BC8" w:rsidRPr="00D31EBB" w:rsidRDefault="00D02BC8" w:rsidP="008B6CCB">
            <w:pPr>
              <w:pStyle w:val="EMEABodyText"/>
              <w:rPr>
                <w:szCs w:val="22"/>
              </w:rPr>
            </w:pPr>
            <w:r>
              <w:t>Diltiazem C</w:t>
            </w:r>
            <w:r>
              <w:rPr>
                <w:szCs w:val="22"/>
                <w:vertAlign w:val="subscript"/>
              </w:rPr>
              <w:t>max</w:t>
            </w:r>
            <w:r>
              <w:t xml:space="preserve"> ↑98% (↑78% ↑119%)</w:t>
            </w:r>
          </w:p>
          <w:p w14:paraId="10FB300E" w14:textId="77777777" w:rsidR="00D02BC8" w:rsidRPr="00D31EBB" w:rsidRDefault="00D02BC8" w:rsidP="008B6CCB">
            <w:pPr>
              <w:pStyle w:val="EMEABodyText"/>
              <w:rPr>
                <w:szCs w:val="22"/>
              </w:rPr>
            </w:pPr>
            <w:r>
              <w:t>Diltiazem C</w:t>
            </w:r>
            <w:r>
              <w:rPr>
                <w:szCs w:val="22"/>
                <w:vertAlign w:val="subscript"/>
              </w:rPr>
              <w:t>min</w:t>
            </w:r>
            <w:r>
              <w:t xml:space="preserve"> ↑142% (↑114% ↑173%)</w:t>
            </w:r>
          </w:p>
          <w:p w14:paraId="0F6F4987" w14:textId="77777777" w:rsidR="00D02BC8" w:rsidRPr="00FF5A0D" w:rsidRDefault="00D02BC8" w:rsidP="008B6CCB">
            <w:pPr>
              <w:pStyle w:val="EMEABodyText"/>
              <w:rPr>
                <w:szCs w:val="22"/>
              </w:rPr>
            </w:pPr>
          </w:p>
          <w:p w14:paraId="3B647B9D" w14:textId="77777777" w:rsidR="00D02BC8" w:rsidRPr="00D31EBB" w:rsidRDefault="00D02BC8" w:rsidP="008B6CCB">
            <w:pPr>
              <w:pStyle w:val="EMEABodyText"/>
              <w:rPr>
                <w:szCs w:val="22"/>
              </w:rPr>
            </w:pPr>
            <w:r>
              <w:t>Desacetyl-diltiazem AUC ↑165% (↑145% ↑187%)</w:t>
            </w:r>
          </w:p>
          <w:p w14:paraId="18E6F906" w14:textId="77777777" w:rsidR="00D02BC8" w:rsidRPr="00D31EBB" w:rsidRDefault="00D02BC8" w:rsidP="008B6CCB">
            <w:pPr>
              <w:pStyle w:val="EMEABodyText"/>
              <w:rPr>
                <w:szCs w:val="22"/>
              </w:rPr>
            </w:pPr>
            <w:r>
              <w:t>Desacetyl-diltiazem C</w:t>
            </w:r>
            <w:r>
              <w:rPr>
                <w:szCs w:val="22"/>
                <w:vertAlign w:val="subscript"/>
              </w:rPr>
              <w:t>max</w:t>
            </w:r>
            <w:r>
              <w:t xml:space="preserve"> ↑172% (↑144% ↑203%)</w:t>
            </w:r>
          </w:p>
          <w:p w14:paraId="6FEC1D7D" w14:textId="77777777" w:rsidR="00D02BC8" w:rsidRPr="00D31EBB" w:rsidRDefault="00D02BC8" w:rsidP="008B6CCB">
            <w:pPr>
              <w:pStyle w:val="EMEABodyText"/>
              <w:rPr>
                <w:szCs w:val="22"/>
              </w:rPr>
            </w:pPr>
            <w:r>
              <w:t>Desacetyl-diltiazem C</w:t>
            </w:r>
            <w:r>
              <w:rPr>
                <w:szCs w:val="22"/>
                <w:vertAlign w:val="subscript"/>
              </w:rPr>
              <w:t>min</w:t>
            </w:r>
            <w:r>
              <w:t xml:space="preserve"> ↑121% (↑102% ↑142%)</w:t>
            </w:r>
          </w:p>
          <w:p w14:paraId="50343B19" w14:textId="77777777" w:rsidR="00D02BC8" w:rsidRPr="00D31EBB" w:rsidRDefault="00D02BC8" w:rsidP="008B6CCB">
            <w:pPr>
              <w:pStyle w:val="EMEABodyText"/>
              <w:rPr>
                <w:szCs w:val="22"/>
                <w:lang w:val="en-US"/>
              </w:rPr>
            </w:pPr>
          </w:p>
          <w:p w14:paraId="7ECBFD21" w14:textId="77777777" w:rsidR="00D02BC8" w:rsidRPr="004F3582" w:rsidRDefault="00D02BC8" w:rsidP="008B6CCB">
            <w:pPr>
              <w:pStyle w:val="EMEABodyText"/>
              <w:rPr>
                <w:szCs w:val="22"/>
              </w:rPr>
            </w:pPr>
            <w:r>
              <w:t>No significant effect on atazanavir concentrations was observed. There was an increase in the maximum PR interval compared to atazanavir alone. Co-administration of diltiazem and REYATAZ/ritonavir has not been studied. The mechanism of diltiazem/atazanavir interaction is CYP3A4 inhibition.</w:t>
            </w:r>
          </w:p>
        </w:tc>
        <w:tc>
          <w:tcPr>
            <w:tcW w:w="3119" w:type="dxa"/>
          </w:tcPr>
          <w:p w14:paraId="72BACD07" w14:textId="77777777" w:rsidR="00D02BC8" w:rsidRPr="00D31EBB" w:rsidRDefault="00D02BC8" w:rsidP="008B6CCB">
            <w:pPr>
              <w:pStyle w:val="EMEABodyText"/>
              <w:rPr>
                <w:szCs w:val="22"/>
              </w:rPr>
            </w:pPr>
            <w:r>
              <w:t>An initial dose reduction of diltiazem by 50% is recommended, with subsequent titration as needed and ECG monitoring.</w:t>
            </w:r>
          </w:p>
        </w:tc>
      </w:tr>
      <w:tr w:rsidR="00D02BC8" w:rsidRPr="00965E20" w14:paraId="56B336CE" w14:textId="77777777" w:rsidTr="008B6CCB">
        <w:trPr>
          <w:cantSplit/>
          <w:trHeight w:val="340"/>
        </w:trPr>
        <w:tc>
          <w:tcPr>
            <w:tcW w:w="3095" w:type="dxa"/>
          </w:tcPr>
          <w:p w14:paraId="72F665D3" w14:textId="77777777" w:rsidR="00D02BC8" w:rsidRPr="004F3582" w:rsidRDefault="00D02BC8" w:rsidP="008B6CCB">
            <w:pPr>
              <w:rPr>
                <w:b/>
                <w:szCs w:val="22"/>
              </w:rPr>
            </w:pPr>
            <w:r>
              <w:rPr>
                <w:b/>
                <w:szCs w:val="22"/>
              </w:rPr>
              <w:t>Verapamil</w:t>
            </w:r>
          </w:p>
        </w:tc>
        <w:tc>
          <w:tcPr>
            <w:tcW w:w="3676" w:type="dxa"/>
          </w:tcPr>
          <w:p w14:paraId="71AD48E2" w14:textId="77777777" w:rsidR="00D02BC8" w:rsidRPr="00D31EBB" w:rsidRDefault="00D02BC8" w:rsidP="00335FEF">
            <w:pPr>
              <w:rPr>
                <w:szCs w:val="22"/>
              </w:rPr>
            </w:pPr>
            <w:r>
              <w:t>Serum concentrations of verapamil may be increased by REYATAZ due to CYP3A4 inhibition.</w:t>
            </w:r>
          </w:p>
        </w:tc>
        <w:tc>
          <w:tcPr>
            <w:tcW w:w="3119" w:type="dxa"/>
          </w:tcPr>
          <w:p w14:paraId="1FD20269" w14:textId="77777777" w:rsidR="00D02BC8" w:rsidRPr="00D31EBB" w:rsidRDefault="00D02BC8" w:rsidP="00335FEF">
            <w:pPr>
              <w:rPr>
                <w:spacing w:val="-5"/>
                <w:szCs w:val="22"/>
              </w:rPr>
            </w:pPr>
            <w:r>
              <w:t>Caution should be exercised when verapamil is co-administered with REYATAZ.</w:t>
            </w:r>
          </w:p>
        </w:tc>
      </w:tr>
      <w:tr w:rsidR="00D02BC8" w:rsidRPr="004F3582" w14:paraId="27446A79" w14:textId="77777777" w:rsidTr="008B6CCB">
        <w:trPr>
          <w:cantSplit/>
          <w:trHeight w:val="340"/>
        </w:trPr>
        <w:tc>
          <w:tcPr>
            <w:tcW w:w="9890" w:type="dxa"/>
            <w:gridSpan w:val="3"/>
          </w:tcPr>
          <w:p w14:paraId="344A73AC" w14:textId="77777777" w:rsidR="00D02BC8" w:rsidRPr="004F3582" w:rsidRDefault="00D02BC8" w:rsidP="00F22397">
            <w:pPr>
              <w:pStyle w:val="EMEABodyText"/>
              <w:keepNext/>
              <w:rPr>
                <w:szCs w:val="22"/>
              </w:rPr>
            </w:pPr>
            <w:r>
              <w:rPr>
                <w:b/>
                <w:szCs w:val="22"/>
              </w:rPr>
              <w:t>CORTICOSTEROIDS</w:t>
            </w:r>
          </w:p>
        </w:tc>
      </w:tr>
      <w:tr w:rsidR="00D02BC8" w:rsidRPr="00965E20" w14:paraId="21C74AA9" w14:textId="77777777" w:rsidTr="008B6CCB">
        <w:trPr>
          <w:cantSplit/>
          <w:trHeight w:val="340"/>
        </w:trPr>
        <w:tc>
          <w:tcPr>
            <w:tcW w:w="3095" w:type="dxa"/>
          </w:tcPr>
          <w:p w14:paraId="06B56765" w14:textId="77777777" w:rsidR="00D02BC8" w:rsidRPr="00D31EBB" w:rsidRDefault="00D02BC8" w:rsidP="00F22397">
            <w:pPr>
              <w:pStyle w:val="EMEABodyText"/>
              <w:keepNext/>
              <w:rPr>
                <w:b/>
                <w:szCs w:val="22"/>
              </w:rPr>
            </w:pPr>
            <w:r>
              <w:rPr>
                <w:b/>
                <w:szCs w:val="22"/>
              </w:rPr>
              <w:t>Fluticasone propionate intranasal 50 µg 4 times daily for 7 days</w:t>
            </w:r>
          </w:p>
          <w:p w14:paraId="784C5372" w14:textId="77777777" w:rsidR="00D02BC8" w:rsidRPr="00D31EBB" w:rsidRDefault="00D02BC8" w:rsidP="00F22397">
            <w:pPr>
              <w:pStyle w:val="EMEABodyText"/>
              <w:keepNext/>
              <w:rPr>
                <w:szCs w:val="22"/>
              </w:rPr>
            </w:pPr>
            <w:r>
              <w:t>(ritonavir 100 mg capsules twice daily)</w:t>
            </w:r>
          </w:p>
        </w:tc>
        <w:tc>
          <w:tcPr>
            <w:tcW w:w="3676" w:type="dxa"/>
          </w:tcPr>
          <w:p w14:paraId="232A40BD" w14:textId="77777777" w:rsidR="00D02BC8" w:rsidRPr="004F3582" w:rsidRDefault="00D02BC8" w:rsidP="00C51E90">
            <w:pPr>
              <w:pStyle w:val="EMEABodyText"/>
              <w:keepNext/>
              <w:rPr>
                <w:szCs w:val="22"/>
              </w:rPr>
            </w:pPr>
            <w:r>
              <w:t>The fluticasone propionate plasma levels increased significantly, whereas the intrinsic cortisol levels decreased by approximately 86% (90% confidence interval 82%-89%). Greater effects may be expected when fluticasone propionate is inhaled. Systemic corticosteroid effects including Cushing’s syndrome and adrenal suppression have been reported in patients receiving ritonavir and inhaled or intranasally administered fluticasone propionate; this could also occur with other corticosteroids metabolised via the P450 3A pathway, e.g., budesonide. The effects of high fluticasone systemic exposure on ritonavir plasma levels are yet unknown. The mechanism of interaction is CYP3A4 inhibition.</w:t>
            </w:r>
          </w:p>
        </w:tc>
        <w:tc>
          <w:tcPr>
            <w:tcW w:w="3119" w:type="dxa"/>
          </w:tcPr>
          <w:p w14:paraId="2702641C" w14:textId="77777777" w:rsidR="00335FEF" w:rsidRPr="00D31EBB" w:rsidRDefault="00D02BC8" w:rsidP="00F22397">
            <w:pPr>
              <w:pStyle w:val="EMEABodyText"/>
              <w:keepNext/>
              <w:rPr>
                <w:szCs w:val="22"/>
              </w:rPr>
            </w:pPr>
            <w:r>
              <w:t>Co-administration of REYATAZ/ritonavir and these glucocorticoids is not recommended unless the potential benefit of treatment outweighs the risk of systemic corticosteroid effects (see section 4.4). A dose reduction of the glucocorticoid should be considered with close monitoring of local and systemic effects or a switch to a glucocorticoid, which is not a substrate for CYP3A4 (e.g., beclomethasone). Moreover, in case of withdrawal of glucocorticoids, progressive dose reduction may have to be performed over a longer period.</w:t>
            </w:r>
          </w:p>
        </w:tc>
      </w:tr>
      <w:tr w:rsidR="00D02BC8" w:rsidRPr="004F3582" w14:paraId="7A1A4363" w14:textId="77777777" w:rsidTr="008B6CCB">
        <w:trPr>
          <w:cantSplit/>
          <w:trHeight w:val="340"/>
        </w:trPr>
        <w:tc>
          <w:tcPr>
            <w:tcW w:w="9890" w:type="dxa"/>
            <w:gridSpan w:val="3"/>
          </w:tcPr>
          <w:p w14:paraId="7587E99E" w14:textId="77777777" w:rsidR="00D02BC8" w:rsidRPr="004F3582" w:rsidRDefault="00D02BC8" w:rsidP="008B6CCB">
            <w:pPr>
              <w:pStyle w:val="EMEABodyText"/>
              <w:rPr>
                <w:szCs w:val="22"/>
              </w:rPr>
            </w:pPr>
            <w:r>
              <w:rPr>
                <w:b/>
                <w:iCs/>
                <w:szCs w:val="22"/>
              </w:rPr>
              <w:t>ERECTILE DYSFUNCTION</w:t>
            </w:r>
          </w:p>
        </w:tc>
      </w:tr>
      <w:tr w:rsidR="00D02BC8" w:rsidRPr="004F3582" w14:paraId="548B220F" w14:textId="77777777" w:rsidTr="008B6CCB">
        <w:trPr>
          <w:cantSplit/>
          <w:trHeight w:val="340"/>
        </w:trPr>
        <w:tc>
          <w:tcPr>
            <w:tcW w:w="9890" w:type="dxa"/>
            <w:gridSpan w:val="3"/>
          </w:tcPr>
          <w:p w14:paraId="5C9829DE" w14:textId="77777777" w:rsidR="00D02BC8" w:rsidRPr="004F3582" w:rsidRDefault="00D02BC8" w:rsidP="008B6CCB">
            <w:pPr>
              <w:pStyle w:val="EMEABodyText"/>
              <w:rPr>
                <w:szCs w:val="22"/>
              </w:rPr>
            </w:pPr>
            <w:r>
              <w:rPr>
                <w:i/>
                <w:szCs w:val="22"/>
              </w:rPr>
              <w:t>PDE5 Inhibitors</w:t>
            </w:r>
          </w:p>
        </w:tc>
      </w:tr>
      <w:tr w:rsidR="00D02BC8" w:rsidRPr="00965E20" w14:paraId="25D50773" w14:textId="77777777" w:rsidTr="008B6CCB">
        <w:trPr>
          <w:cantSplit/>
          <w:trHeight w:val="340"/>
        </w:trPr>
        <w:tc>
          <w:tcPr>
            <w:tcW w:w="3095" w:type="dxa"/>
          </w:tcPr>
          <w:p w14:paraId="78A66F50" w14:textId="77777777" w:rsidR="00D02BC8" w:rsidRPr="004F3582" w:rsidRDefault="00D02BC8" w:rsidP="008B6CCB">
            <w:pPr>
              <w:rPr>
                <w:b/>
                <w:szCs w:val="22"/>
              </w:rPr>
            </w:pPr>
            <w:r>
              <w:rPr>
                <w:b/>
                <w:szCs w:val="22"/>
              </w:rPr>
              <w:lastRenderedPageBreak/>
              <w:t>Sildenafil, tadalafil, vardenafil</w:t>
            </w:r>
          </w:p>
        </w:tc>
        <w:tc>
          <w:tcPr>
            <w:tcW w:w="3676" w:type="dxa"/>
          </w:tcPr>
          <w:p w14:paraId="24095669" w14:textId="77777777" w:rsidR="00D02BC8" w:rsidRPr="004F3582" w:rsidRDefault="00D02BC8" w:rsidP="00335FEF">
            <w:pPr>
              <w:rPr>
                <w:szCs w:val="22"/>
              </w:rPr>
            </w:pPr>
            <w:r>
              <w:t>Sildenafil, tadalafil and vardenafil are metabolised by CYP3A4. Co-administration with REYATAZ may result in increased concentrations of the PDE5 inhibitor and an increase in PDE5-associated adverse events, including hypotension, visual changes, and priapism. The mechanism of this interaction is CYP3A4 inhibition.</w:t>
            </w:r>
          </w:p>
        </w:tc>
        <w:tc>
          <w:tcPr>
            <w:tcW w:w="3119" w:type="dxa"/>
          </w:tcPr>
          <w:p w14:paraId="1544C7D9" w14:textId="77777777" w:rsidR="00D02BC8" w:rsidRPr="00D31EBB" w:rsidRDefault="00D02BC8" w:rsidP="008B6CCB">
            <w:pPr>
              <w:rPr>
                <w:szCs w:val="22"/>
              </w:rPr>
            </w:pPr>
            <w:r>
              <w:t>Patients should be warned about these possible side effects when using PDE5 inhibitors for erectile dysfunction with REYATAZ (see section 4.4).</w:t>
            </w:r>
          </w:p>
          <w:p w14:paraId="0AB3912C" w14:textId="77777777" w:rsidR="00D02BC8" w:rsidRPr="00D31EBB" w:rsidRDefault="00D02BC8" w:rsidP="00E452F3">
            <w:pPr>
              <w:rPr>
                <w:spacing w:val="-5"/>
                <w:szCs w:val="22"/>
              </w:rPr>
            </w:pPr>
            <w:r>
              <w:t>Also see PULMONARY ARTERIAL HYPERTENSION in this table for further information regarding co-administration of REYATAZ with sildenafil.</w:t>
            </w:r>
          </w:p>
        </w:tc>
      </w:tr>
      <w:tr w:rsidR="00D02BC8" w:rsidRPr="004F3582" w14:paraId="1A8779A8" w14:textId="77777777" w:rsidTr="008B6CCB">
        <w:trPr>
          <w:cantSplit/>
          <w:trHeight w:val="340"/>
        </w:trPr>
        <w:tc>
          <w:tcPr>
            <w:tcW w:w="9890" w:type="dxa"/>
            <w:gridSpan w:val="3"/>
          </w:tcPr>
          <w:p w14:paraId="788B7EAC" w14:textId="77777777" w:rsidR="00D02BC8" w:rsidRPr="004F3582" w:rsidRDefault="00D02BC8" w:rsidP="008B6CCB">
            <w:pPr>
              <w:pStyle w:val="EMEABodyText"/>
              <w:rPr>
                <w:szCs w:val="22"/>
              </w:rPr>
            </w:pPr>
            <w:r>
              <w:rPr>
                <w:b/>
                <w:szCs w:val="22"/>
              </w:rPr>
              <w:t>HERBAL PRODUCTS</w:t>
            </w:r>
          </w:p>
        </w:tc>
      </w:tr>
      <w:tr w:rsidR="00D02BC8" w:rsidRPr="00965E20" w14:paraId="304F9ADD" w14:textId="77777777" w:rsidTr="008B6CCB">
        <w:trPr>
          <w:cantSplit/>
          <w:trHeight w:val="340"/>
        </w:trPr>
        <w:tc>
          <w:tcPr>
            <w:tcW w:w="3095" w:type="dxa"/>
          </w:tcPr>
          <w:p w14:paraId="5A52EE88" w14:textId="77777777" w:rsidR="00D02BC8" w:rsidRPr="00D31EBB" w:rsidRDefault="00D02BC8" w:rsidP="008B6CCB">
            <w:pPr>
              <w:rPr>
                <w:b/>
                <w:szCs w:val="22"/>
              </w:rPr>
            </w:pPr>
            <w:r>
              <w:rPr>
                <w:b/>
                <w:szCs w:val="22"/>
              </w:rPr>
              <w:t>St. John’s wort (Hypericum perforatum)</w:t>
            </w:r>
          </w:p>
        </w:tc>
        <w:tc>
          <w:tcPr>
            <w:tcW w:w="3676" w:type="dxa"/>
          </w:tcPr>
          <w:p w14:paraId="3A95C2B4" w14:textId="77777777" w:rsidR="00D02BC8" w:rsidRPr="00D31EBB" w:rsidRDefault="00D02BC8" w:rsidP="008B6CCB">
            <w:pPr>
              <w:rPr>
                <w:szCs w:val="22"/>
              </w:rPr>
            </w:pPr>
            <w:r>
              <w:t>Concomitant use of St. John's wort with REYATAZ may be expected to result in significant reduction in plasma levels of atazanavir. This effect may be due to an induction of CYP3A4. There is a risk of loss of therapeutic effect and development of resistance (see section 4.3).</w:t>
            </w:r>
          </w:p>
        </w:tc>
        <w:tc>
          <w:tcPr>
            <w:tcW w:w="3119" w:type="dxa"/>
          </w:tcPr>
          <w:p w14:paraId="1E5B516E" w14:textId="77777777" w:rsidR="00D02BC8" w:rsidRPr="00D31EBB" w:rsidRDefault="00D02BC8" w:rsidP="00335FEF">
            <w:pPr>
              <w:rPr>
                <w:szCs w:val="22"/>
              </w:rPr>
            </w:pPr>
            <w:r>
              <w:t>Co-administration of REYATAZ with products containing St. John's wort is contraindicated.</w:t>
            </w:r>
          </w:p>
        </w:tc>
      </w:tr>
      <w:tr w:rsidR="00D02BC8" w:rsidRPr="004F3582" w14:paraId="669E611B" w14:textId="77777777" w:rsidTr="008B6CCB">
        <w:trPr>
          <w:cantSplit/>
          <w:trHeight w:val="340"/>
        </w:trPr>
        <w:tc>
          <w:tcPr>
            <w:tcW w:w="9890" w:type="dxa"/>
            <w:gridSpan w:val="3"/>
          </w:tcPr>
          <w:p w14:paraId="78F4E912" w14:textId="77777777" w:rsidR="00D02BC8" w:rsidRPr="004F3582" w:rsidRDefault="00D02BC8" w:rsidP="00F22397">
            <w:pPr>
              <w:pStyle w:val="EMEABodyText"/>
              <w:keepNext/>
              <w:rPr>
                <w:szCs w:val="22"/>
              </w:rPr>
            </w:pPr>
            <w:r>
              <w:rPr>
                <w:b/>
                <w:szCs w:val="22"/>
              </w:rPr>
              <w:t>HORMONAL CONTRACEPTIVES</w:t>
            </w:r>
          </w:p>
        </w:tc>
      </w:tr>
      <w:tr w:rsidR="00A404E4" w:rsidRPr="004F3582" w14:paraId="79F4CA62" w14:textId="77777777" w:rsidTr="008B6CCB">
        <w:trPr>
          <w:cantSplit/>
          <w:trHeight w:val="340"/>
        </w:trPr>
        <w:tc>
          <w:tcPr>
            <w:tcW w:w="3095" w:type="dxa"/>
          </w:tcPr>
          <w:p w14:paraId="65003587" w14:textId="77777777" w:rsidR="00A404E4" w:rsidRPr="00D31EBB" w:rsidRDefault="00A404E4" w:rsidP="00723038">
            <w:pPr>
              <w:rPr>
                <w:b/>
                <w:szCs w:val="22"/>
              </w:rPr>
            </w:pPr>
            <w:r>
              <w:rPr>
                <w:b/>
                <w:szCs w:val="22"/>
              </w:rPr>
              <w:t>Ethinyloestradiol 25 μg + norgestimate</w:t>
            </w:r>
          </w:p>
          <w:p w14:paraId="54126B63" w14:textId="77777777" w:rsidR="00A404E4" w:rsidRPr="00D31EBB" w:rsidRDefault="00A404E4" w:rsidP="00F22397">
            <w:pPr>
              <w:pStyle w:val="EMEABodyText"/>
              <w:keepNext/>
              <w:rPr>
                <w:szCs w:val="22"/>
              </w:rPr>
            </w:pPr>
            <w:r>
              <w:t>(atazanavir 300 mg once daily with ritonavir 100 mg once daily)</w:t>
            </w:r>
          </w:p>
        </w:tc>
        <w:tc>
          <w:tcPr>
            <w:tcW w:w="3676" w:type="dxa"/>
          </w:tcPr>
          <w:p w14:paraId="61AE8BA8" w14:textId="77777777" w:rsidR="00A404E4" w:rsidRPr="00D31EBB" w:rsidRDefault="00A404E4" w:rsidP="00F22397">
            <w:pPr>
              <w:pStyle w:val="EMEABodyText"/>
              <w:keepNext/>
              <w:rPr>
                <w:szCs w:val="22"/>
              </w:rPr>
            </w:pPr>
            <w:r>
              <w:t>Ethinyloestradiol AUC ↓19% (↓25% ↓13%)</w:t>
            </w:r>
          </w:p>
          <w:p w14:paraId="00308BF2" w14:textId="77777777" w:rsidR="00A404E4" w:rsidRPr="00D31EBB" w:rsidRDefault="00A404E4" w:rsidP="00F22397">
            <w:pPr>
              <w:pStyle w:val="EMEABodyText"/>
              <w:keepNext/>
              <w:rPr>
                <w:szCs w:val="22"/>
              </w:rPr>
            </w:pPr>
            <w:r>
              <w:t>Ethinyloestradiol C</w:t>
            </w:r>
            <w:r>
              <w:rPr>
                <w:szCs w:val="22"/>
                <w:vertAlign w:val="subscript"/>
              </w:rPr>
              <w:t>max</w:t>
            </w:r>
            <w:r>
              <w:t xml:space="preserve"> ↓16% (↓26% ↓5%)</w:t>
            </w:r>
          </w:p>
          <w:p w14:paraId="61756335" w14:textId="77777777" w:rsidR="00A404E4" w:rsidRPr="00D31EBB" w:rsidRDefault="00A404E4" w:rsidP="00F22397">
            <w:pPr>
              <w:pStyle w:val="EMEABodyText"/>
              <w:keepNext/>
              <w:rPr>
                <w:szCs w:val="22"/>
              </w:rPr>
            </w:pPr>
            <w:r>
              <w:t>Ethinyloestradiol C</w:t>
            </w:r>
            <w:r>
              <w:rPr>
                <w:szCs w:val="22"/>
                <w:vertAlign w:val="subscript"/>
              </w:rPr>
              <w:t>min</w:t>
            </w:r>
            <w:r>
              <w:t xml:space="preserve"> ↓37% (↓45% ↓29%)</w:t>
            </w:r>
          </w:p>
          <w:p w14:paraId="6F6BCD1B" w14:textId="77777777" w:rsidR="00A404E4" w:rsidRPr="00FF5A0D" w:rsidRDefault="00A404E4" w:rsidP="00F22397">
            <w:pPr>
              <w:pStyle w:val="EMEABodyText"/>
              <w:keepNext/>
              <w:rPr>
                <w:szCs w:val="22"/>
              </w:rPr>
            </w:pPr>
          </w:p>
          <w:p w14:paraId="15A87FC5" w14:textId="77777777" w:rsidR="00A404E4" w:rsidRPr="00D31EBB" w:rsidRDefault="00A404E4" w:rsidP="00F22397">
            <w:pPr>
              <w:pStyle w:val="EMEABodyText"/>
              <w:keepNext/>
              <w:rPr>
                <w:szCs w:val="22"/>
              </w:rPr>
            </w:pPr>
            <w:r>
              <w:t>Norgestimate AUC ↑85% (↑67% ↑105%)</w:t>
            </w:r>
          </w:p>
          <w:p w14:paraId="7C3A5EE3" w14:textId="77777777" w:rsidR="00A404E4" w:rsidRPr="00D31EBB" w:rsidRDefault="00A404E4" w:rsidP="00F22397">
            <w:pPr>
              <w:pStyle w:val="EMEABodyText"/>
              <w:keepNext/>
              <w:rPr>
                <w:szCs w:val="22"/>
              </w:rPr>
            </w:pPr>
            <w:r>
              <w:t>Norgestimate C</w:t>
            </w:r>
            <w:r>
              <w:rPr>
                <w:szCs w:val="22"/>
                <w:vertAlign w:val="subscript"/>
              </w:rPr>
              <w:t>max</w:t>
            </w:r>
            <w:r>
              <w:t xml:space="preserve"> ↑68% (↑51% ↑88%)</w:t>
            </w:r>
          </w:p>
          <w:p w14:paraId="66571EC0" w14:textId="77777777" w:rsidR="00A404E4" w:rsidRPr="00D31EBB" w:rsidRDefault="00A404E4" w:rsidP="00F22397">
            <w:pPr>
              <w:pStyle w:val="EMEABodyText"/>
              <w:keepNext/>
              <w:rPr>
                <w:szCs w:val="22"/>
              </w:rPr>
            </w:pPr>
            <w:r>
              <w:t>Norgestimate C</w:t>
            </w:r>
            <w:r>
              <w:rPr>
                <w:szCs w:val="22"/>
                <w:vertAlign w:val="subscript"/>
              </w:rPr>
              <w:t>min</w:t>
            </w:r>
            <w:r>
              <w:t xml:space="preserve"> ↑102% (↑77% ↑131%)</w:t>
            </w:r>
          </w:p>
          <w:p w14:paraId="3743A85B" w14:textId="77777777" w:rsidR="00A404E4" w:rsidRPr="00D31EBB" w:rsidRDefault="00A404E4" w:rsidP="00F22397">
            <w:pPr>
              <w:pStyle w:val="EMEABodyText"/>
              <w:keepNext/>
              <w:rPr>
                <w:szCs w:val="22"/>
                <w:lang w:val="en-US"/>
              </w:rPr>
            </w:pPr>
          </w:p>
          <w:p w14:paraId="399E8785" w14:textId="77777777" w:rsidR="00A404E4" w:rsidRPr="00D31EBB" w:rsidRDefault="00A404E4" w:rsidP="00F22397">
            <w:pPr>
              <w:pStyle w:val="EMEABodyText"/>
              <w:keepNext/>
              <w:rPr>
                <w:szCs w:val="22"/>
              </w:rPr>
            </w:pPr>
            <w:r>
              <w:t xml:space="preserve">While the concentration of ethinyloestradiol was increased with atazanavir given alone, due to both UGT and CYP3A4 inhibition by atazanavir, the net effect of atazanavir/ritonavir is a decrease in ethinyloestradiol levels because of the inducing effect of ritonavir. </w:t>
            </w:r>
          </w:p>
          <w:p w14:paraId="11C1D8B4" w14:textId="77777777" w:rsidR="00A404E4" w:rsidRPr="00D31EBB" w:rsidRDefault="00A404E4" w:rsidP="00F22397">
            <w:pPr>
              <w:pStyle w:val="EMEABodyText"/>
              <w:keepNext/>
              <w:rPr>
                <w:szCs w:val="22"/>
                <w:lang w:val="en-US"/>
              </w:rPr>
            </w:pPr>
          </w:p>
          <w:p w14:paraId="54A32DA2" w14:textId="77777777" w:rsidR="00A404E4" w:rsidRPr="00D31EBB" w:rsidRDefault="00A404E4" w:rsidP="00F22397">
            <w:pPr>
              <w:pStyle w:val="EMEABodyText"/>
              <w:keepNext/>
              <w:rPr>
                <w:szCs w:val="22"/>
              </w:rPr>
            </w:pPr>
            <w:r>
              <w:t>The increase in progestin exposure may lead to related side-effects (e.g. insulin resistance, dyslipidemia, acne and spotting), thus possibly affecting the compliance.</w:t>
            </w:r>
          </w:p>
        </w:tc>
        <w:tc>
          <w:tcPr>
            <w:tcW w:w="3119" w:type="dxa"/>
            <w:vMerge w:val="restart"/>
          </w:tcPr>
          <w:p w14:paraId="131A7B31" w14:textId="77777777" w:rsidR="00A404E4" w:rsidRPr="004F3582" w:rsidRDefault="00A404E4" w:rsidP="00F22397">
            <w:pPr>
              <w:pStyle w:val="EMEABodyText"/>
              <w:keepNext/>
              <w:rPr>
                <w:szCs w:val="22"/>
              </w:rPr>
            </w:pPr>
            <w:r>
              <w:t>If an oral contraceptive is administered with REYATAZ/ritonavir, it is recommended that the oral contraceptive contain at least 30 μg of ethinyloestradiol and that the patient be reminded of strict compliance with this contraceptive dosing regimen. Co-administration of REYATAZ/ritonavir with other hormonal contraceptives or oral contraceptives containing progestogens other than norgestimate has not been studied, and therefore should be avoided. An alternate reliable method of contraception is recommended.</w:t>
            </w:r>
          </w:p>
        </w:tc>
      </w:tr>
      <w:tr w:rsidR="00A404E4" w:rsidRPr="00965E20" w14:paraId="3E8F49E9" w14:textId="77777777" w:rsidTr="008B6CCB">
        <w:trPr>
          <w:cantSplit/>
          <w:trHeight w:val="340"/>
        </w:trPr>
        <w:tc>
          <w:tcPr>
            <w:tcW w:w="3095" w:type="dxa"/>
          </w:tcPr>
          <w:p w14:paraId="3F050BA9" w14:textId="77777777" w:rsidR="00A404E4" w:rsidRPr="00D31EBB" w:rsidRDefault="00A404E4" w:rsidP="008B6CCB">
            <w:pPr>
              <w:pStyle w:val="EMEABodyText"/>
              <w:rPr>
                <w:b/>
                <w:iCs/>
                <w:szCs w:val="22"/>
              </w:rPr>
            </w:pPr>
            <w:r>
              <w:rPr>
                <w:b/>
                <w:iCs/>
                <w:szCs w:val="22"/>
              </w:rPr>
              <w:lastRenderedPageBreak/>
              <w:t>Ethinyloestradiol 35 µg + norethindrone</w:t>
            </w:r>
            <w:r>
              <w:rPr>
                <w:b/>
                <w:iCs/>
                <w:szCs w:val="22"/>
              </w:rPr>
              <w:br/>
            </w:r>
            <w:r>
              <w:t>(atazanavir 400 mg once daily)</w:t>
            </w:r>
          </w:p>
        </w:tc>
        <w:tc>
          <w:tcPr>
            <w:tcW w:w="3676" w:type="dxa"/>
          </w:tcPr>
          <w:p w14:paraId="3F9D2830" w14:textId="77777777" w:rsidR="00A404E4" w:rsidRPr="00D31EBB" w:rsidRDefault="00A404E4" w:rsidP="008B6CCB">
            <w:pPr>
              <w:pStyle w:val="EMEABodyText"/>
              <w:rPr>
                <w:szCs w:val="22"/>
              </w:rPr>
            </w:pPr>
            <w:r>
              <w:t>Ethinyloestradiol AUC ↑48% (↑31% ↑68%)</w:t>
            </w:r>
          </w:p>
          <w:p w14:paraId="0B1B9275" w14:textId="77777777" w:rsidR="00A404E4" w:rsidRPr="00D31EBB" w:rsidRDefault="00A404E4" w:rsidP="008B6CCB">
            <w:pPr>
              <w:pStyle w:val="EMEABodyText"/>
              <w:rPr>
                <w:szCs w:val="22"/>
              </w:rPr>
            </w:pPr>
            <w:r>
              <w:t>Ethinyloestradiol C</w:t>
            </w:r>
            <w:r>
              <w:rPr>
                <w:szCs w:val="22"/>
                <w:vertAlign w:val="subscript"/>
              </w:rPr>
              <w:t>max</w:t>
            </w:r>
            <w:r>
              <w:t xml:space="preserve"> ↑15% (↓1% ↑32%)</w:t>
            </w:r>
          </w:p>
          <w:p w14:paraId="3BCE3DE3" w14:textId="77777777" w:rsidR="00A404E4" w:rsidRPr="00D31EBB" w:rsidRDefault="00A404E4" w:rsidP="008B6CCB">
            <w:pPr>
              <w:pStyle w:val="EMEABodyText"/>
              <w:rPr>
                <w:szCs w:val="22"/>
              </w:rPr>
            </w:pPr>
            <w:r>
              <w:t>Ethinyloestradiol C</w:t>
            </w:r>
            <w:r>
              <w:rPr>
                <w:szCs w:val="22"/>
                <w:vertAlign w:val="subscript"/>
              </w:rPr>
              <w:t>min</w:t>
            </w:r>
            <w:r>
              <w:t xml:space="preserve"> ↑91% (↑57% ↑133%)</w:t>
            </w:r>
          </w:p>
          <w:p w14:paraId="72290DD2" w14:textId="77777777" w:rsidR="00A404E4" w:rsidRPr="00FF5A0D" w:rsidRDefault="00A404E4" w:rsidP="008B6CCB">
            <w:pPr>
              <w:pStyle w:val="EMEABodyText"/>
              <w:rPr>
                <w:szCs w:val="22"/>
              </w:rPr>
            </w:pPr>
          </w:p>
          <w:p w14:paraId="2C0421C2" w14:textId="77777777" w:rsidR="00A404E4" w:rsidRPr="00D31EBB" w:rsidRDefault="00A404E4" w:rsidP="008B6CCB">
            <w:pPr>
              <w:pStyle w:val="EMEABodyText"/>
              <w:rPr>
                <w:szCs w:val="22"/>
              </w:rPr>
            </w:pPr>
            <w:r>
              <w:t>Norethindrone AUC ↑110% (↑68% ↑162%)</w:t>
            </w:r>
          </w:p>
          <w:p w14:paraId="358FDBAE" w14:textId="77777777" w:rsidR="00A404E4" w:rsidRPr="00D31EBB" w:rsidRDefault="00A404E4" w:rsidP="008B6CCB">
            <w:pPr>
              <w:pStyle w:val="EMEABodyText"/>
              <w:rPr>
                <w:szCs w:val="22"/>
              </w:rPr>
            </w:pPr>
            <w:r>
              <w:t>Norethindrone C</w:t>
            </w:r>
            <w:r>
              <w:rPr>
                <w:szCs w:val="22"/>
                <w:vertAlign w:val="subscript"/>
              </w:rPr>
              <w:t>max</w:t>
            </w:r>
            <w:r>
              <w:t xml:space="preserve"> ↑67% (↑42% ↑196%)</w:t>
            </w:r>
          </w:p>
          <w:p w14:paraId="6AEB71A2" w14:textId="77777777" w:rsidR="00A404E4" w:rsidRPr="00D31EBB" w:rsidRDefault="00A404E4" w:rsidP="008B6CCB">
            <w:pPr>
              <w:pStyle w:val="EMEABodyText"/>
              <w:rPr>
                <w:szCs w:val="22"/>
              </w:rPr>
            </w:pPr>
            <w:r>
              <w:t>Norethindrone C</w:t>
            </w:r>
            <w:r>
              <w:rPr>
                <w:szCs w:val="22"/>
                <w:vertAlign w:val="subscript"/>
              </w:rPr>
              <w:t>min</w:t>
            </w:r>
            <w:r>
              <w:t xml:space="preserve"> ↑262% (↑157% ↑409%)</w:t>
            </w:r>
          </w:p>
          <w:p w14:paraId="6573425E" w14:textId="77777777" w:rsidR="00A404E4" w:rsidRPr="00FF5A0D" w:rsidRDefault="00A404E4" w:rsidP="008B6CCB">
            <w:pPr>
              <w:pStyle w:val="EMEABodyText"/>
              <w:rPr>
                <w:szCs w:val="22"/>
              </w:rPr>
            </w:pPr>
          </w:p>
          <w:p w14:paraId="11C60D5B" w14:textId="77777777" w:rsidR="00A404E4" w:rsidRPr="00D31EBB" w:rsidRDefault="00A404E4" w:rsidP="008B6CCB">
            <w:pPr>
              <w:pStyle w:val="EMEABodyText"/>
              <w:rPr>
                <w:szCs w:val="22"/>
              </w:rPr>
            </w:pPr>
            <w:r>
              <w:t>The increase in progestin exposure may lead to related side-effects (e.g. insulin resistance, dyslipidemia, acne and spotting), thus possibly affecting the compliance.</w:t>
            </w:r>
          </w:p>
        </w:tc>
        <w:tc>
          <w:tcPr>
            <w:tcW w:w="3119" w:type="dxa"/>
            <w:vMerge/>
          </w:tcPr>
          <w:p w14:paraId="75FB238A" w14:textId="77777777" w:rsidR="00A404E4" w:rsidRPr="00D31EBB" w:rsidRDefault="00A404E4" w:rsidP="008B6CCB">
            <w:pPr>
              <w:pStyle w:val="EMEABodyText"/>
              <w:rPr>
                <w:szCs w:val="22"/>
                <w:lang w:val="en-US"/>
              </w:rPr>
            </w:pPr>
          </w:p>
        </w:tc>
      </w:tr>
      <w:tr w:rsidR="00D02BC8" w:rsidRPr="004F3582" w14:paraId="72BD1748" w14:textId="77777777" w:rsidTr="008B6CCB">
        <w:trPr>
          <w:cantSplit/>
          <w:trHeight w:val="340"/>
        </w:trPr>
        <w:tc>
          <w:tcPr>
            <w:tcW w:w="9890" w:type="dxa"/>
            <w:gridSpan w:val="3"/>
          </w:tcPr>
          <w:p w14:paraId="1A135553" w14:textId="77777777" w:rsidR="00D02BC8" w:rsidRPr="004F3582" w:rsidRDefault="00D02BC8" w:rsidP="008B6CCB">
            <w:pPr>
              <w:pStyle w:val="EMEABodyText"/>
              <w:rPr>
                <w:szCs w:val="22"/>
              </w:rPr>
            </w:pPr>
            <w:r>
              <w:rPr>
                <w:b/>
                <w:szCs w:val="22"/>
              </w:rPr>
              <w:t>LIPID LOWERING AGENTS</w:t>
            </w:r>
          </w:p>
        </w:tc>
      </w:tr>
      <w:tr w:rsidR="00D02BC8" w:rsidRPr="004F3582" w14:paraId="54440B22" w14:textId="77777777" w:rsidTr="008B6CCB">
        <w:trPr>
          <w:cantSplit/>
          <w:trHeight w:val="340"/>
        </w:trPr>
        <w:tc>
          <w:tcPr>
            <w:tcW w:w="9890" w:type="dxa"/>
            <w:gridSpan w:val="3"/>
          </w:tcPr>
          <w:p w14:paraId="5B3325F5" w14:textId="77777777" w:rsidR="00D02BC8" w:rsidRPr="004F3582" w:rsidRDefault="00D02BC8" w:rsidP="008B6CCB">
            <w:pPr>
              <w:pStyle w:val="EMEABodyText"/>
              <w:rPr>
                <w:i/>
                <w:szCs w:val="22"/>
              </w:rPr>
            </w:pPr>
            <w:r>
              <w:rPr>
                <w:i/>
                <w:szCs w:val="22"/>
              </w:rPr>
              <w:t>HMG-CoA reductase inhibitors</w:t>
            </w:r>
          </w:p>
        </w:tc>
      </w:tr>
      <w:tr w:rsidR="00D02BC8" w:rsidRPr="00965E20" w14:paraId="7C04B25E" w14:textId="77777777" w:rsidTr="008B6CCB">
        <w:trPr>
          <w:cantSplit/>
          <w:trHeight w:val="340"/>
        </w:trPr>
        <w:tc>
          <w:tcPr>
            <w:tcW w:w="3095" w:type="dxa"/>
          </w:tcPr>
          <w:p w14:paraId="516BFD1A" w14:textId="77777777" w:rsidR="00D02BC8" w:rsidRPr="004F3582" w:rsidRDefault="00D02BC8" w:rsidP="008B6CCB">
            <w:pPr>
              <w:rPr>
                <w:b/>
                <w:szCs w:val="22"/>
              </w:rPr>
            </w:pPr>
            <w:r>
              <w:rPr>
                <w:b/>
                <w:szCs w:val="22"/>
              </w:rPr>
              <w:t>Simvastatin</w:t>
            </w:r>
          </w:p>
          <w:p w14:paraId="36D9C1E9" w14:textId="77777777" w:rsidR="00D02BC8" w:rsidRPr="004F3582" w:rsidRDefault="00D02BC8" w:rsidP="008B6CCB">
            <w:pPr>
              <w:rPr>
                <w:szCs w:val="22"/>
              </w:rPr>
            </w:pPr>
            <w:r>
              <w:rPr>
                <w:b/>
                <w:szCs w:val="22"/>
              </w:rPr>
              <w:t>Lovastatin</w:t>
            </w:r>
          </w:p>
        </w:tc>
        <w:tc>
          <w:tcPr>
            <w:tcW w:w="3676" w:type="dxa"/>
          </w:tcPr>
          <w:p w14:paraId="5AF0DDF6" w14:textId="77777777" w:rsidR="00D02BC8" w:rsidRPr="00D31EBB" w:rsidRDefault="00D02BC8" w:rsidP="00A404E4">
            <w:pPr>
              <w:rPr>
                <w:szCs w:val="22"/>
              </w:rPr>
            </w:pPr>
            <w:r>
              <w:t xml:space="preserve">Simvastatin and lovastatin are highly dependent on CYP3A4 for their metabolism and co-administration with REYATAZ may result in increased concentrations. </w:t>
            </w:r>
          </w:p>
        </w:tc>
        <w:tc>
          <w:tcPr>
            <w:tcW w:w="3119" w:type="dxa"/>
          </w:tcPr>
          <w:p w14:paraId="658009CC" w14:textId="77777777" w:rsidR="00D02BC8" w:rsidRPr="00D31EBB" w:rsidRDefault="00D02BC8" w:rsidP="00C23538">
            <w:pPr>
              <w:rPr>
                <w:szCs w:val="22"/>
              </w:rPr>
            </w:pPr>
            <w:r>
              <w:t>Co-administration of simvastatin or lovastatin with REYATAZ is contraindicated due to an increased risk of myopathy including rhabdomyolysis (see section 4.3).</w:t>
            </w:r>
          </w:p>
        </w:tc>
      </w:tr>
      <w:tr w:rsidR="00D02BC8" w:rsidRPr="00965E20" w14:paraId="0F70EFFD" w14:textId="77777777" w:rsidTr="008B6CCB">
        <w:trPr>
          <w:cantSplit/>
          <w:trHeight w:val="340"/>
        </w:trPr>
        <w:tc>
          <w:tcPr>
            <w:tcW w:w="3095" w:type="dxa"/>
          </w:tcPr>
          <w:p w14:paraId="5B3BC97E" w14:textId="77777777" w:rsidR="00D02BC8" w:rsidRPr="004F3582" w:rsidRDefault="00D02BC8" w:rsidP="008B6CCB">
            <w:pPr>
              <w:rPr>
                <w:b/>
                <w:szCs w:val="22"/>
              </w:rPr>
            </w:pPr>
            <w:r>
              <w:rPr>
                <w:b/>
                <w:szCs w:val="22"/>
              </w:rPr>
              <w:t>Atorvastatin</w:t>
            </w:r>
          </w:p>
        </w:tc>
        <w:tc>
          <w:tcPr>
            <w:tcW w:w="3676" w:type="dxa"/>
          </w:tcPr>
          <w:p w14:paraId="1FADBEAB" w14:textId="77777777" w:rsidR="00D02BC8" w:rsidRPr="00D31EBB" w:rsidRDefault="00D02BC8" w:rsidP="008B6CCB">
            <w:pPr>
              <w:rPr>
                <w:szCs w:val="22"/>
              </w:rPr>
            </w:pPr>
            <w:r>
              <w:t xml:space="preserve">The risk of myopathy including rhabdomyolysis may also be increased with atorvastatin, which is also metabolised by CYP3A4. </w:t>
            </w:r>
          </w:p>
        </w:tc>
        <w:tc>
          <w:tcPr>
            <w:tcW w:w="3119" w:type="dxa"/>
          </w:tcPr>
          <w:p w14:paraId="67785C11" w14:textId="77777777" w:rsidR="00D02BC8" w:rsidRPr="00D31EBB" w:rsidRDefault="00D02BC8" w:rsidP="008B6CCB">
            <w:pPr>
              <w:rPr>
                <w:szCs w:val="22"/>
              </w:rPr>
            </w:pPr>
            <w:r>
              <w:t>Co-administration of atorvastatin with REYATAZ is not recommended. If the use of atorvastatin is considered strictly necessary, the lowest possible dose of atorvastatin should be administered with careful safety monitoring (see section 4.4).</w:t>
            </w:r>
          </w:p>
        </w:tc>
      </w:tr>
      <w:tr w:rsidR="00D02BC8" w:rsidRPr="004F3582" w14:paraId="53D0472D" w14:textId="77777777" w:rsidTr="008B6CCB">
        <w:trPr>
          <w:cantSplit/>
          <w:trHeight w:val="340"/>
        </w:trPr>
        <w:tc>
          <w:tcPr>
            <w:tcW w:w="3095" w:type="dxa"/>
          </w:tcPr>
          <w:p w14:paraId="7AB38164" w14:textId="77777777" w:rsidR="00D02BC8" w:rsidRPr="004F3582" w:rsidRDefault="00D02BC8" w:rsidP="008B6CCB">
            <w:pPr>
              <w:rPr>
                <w:b/>
                <w:szCs w:val="22"/>
              </w:rPr>
            </w:pPr>
            <w:r>
              <w:rPr>
                <w:b/>
                <w:szCs w:val="22"/>
              </w:rPr>
              <w:t>Pravastatin</w:t>
            </w:r>
          </w:p>
          <w:p w14:paraId="5377DA47" w14:textId="77777777" w:rsidR="00D02BC8" w:rsidRPr="004F3582" w:rsidRDefault="00D02BC8" w:rsidP="008B6CCB">
            <w:pPr>
              <w:rPr>
                <w:b/>
                <w:szCs w:val="22"/>
              </w:rPr>
            </w:pPr>
            <w:r>
              <w:rPr>
                <w:b/>
                <w:szCs w:val="22"/>
              </w:rPr>
              <w:t>Fluvastatin</w:t>
            </w:r>
          </w:p>
        </w:tc>
        <w:tc>
          <w:tcPr>
            <w:tcW w:w="3676" w:type="dxa"/>
          </w:tcPr>
          <w:p w14:paraId="37FDC6DC" w14:textId="77777777" w:rsidR="00D02BC8" w:rsidRPr="00D31EBB" w:rsidRDefault="00D02BC8" w:rsidP="008B6CCB">
            <w:pPr>
              <w:rPr>
                <w:szCs w:val="22"/>
              </w:rPr>
            </w:pPr>
            <w:r>
              <w:t>Although not studied, there is a potential for an increase in pravastatin or fluvastatin exposure when co-administered with protease inhibitors.</w:t>
            </w:r>
            <w:r>
              <w:rPr>
                <w:color w:val="0000FF"/>
                <w:szCs w:val="22"/>
              </w:rPr>
              <w:t xml:space="preserve"> </w:t>
            </w:r>
            <w:r>
              <w:t>Pravastatin is not metabolised by CYP3A4. Fluvastatin is partially metabolised by CYP2C9.</w:t>
            </w:r>
          </w:p>
        </w:tc>
        <w:tc>
          <w:tcPr>
            <w:tcW w:w="3119" w:type="dxa"/>
          </w:tcPr>
          <w:p w14:paraId="1DC2C36F" w14:textId="77777777" w:rsidR="00D02BC8" w:rsidRPr="004F3582" w:rsidRDefault="00D02BC8" w:rsidP="008B6CCB">
            <w:pPr>
              <w:rPr>
                <w:szCs w:val="22"/>
              </w:rPr>
            </w:pPr>
            <w:r>
              <w:t>Caution should be exercised.</w:t>
            </w:r>
          </w:p>
        </w:tc>
      </w:tr>
      <w:tr w:rsidR="00D02BC8" w:rsidRPr="004F3582" w14:paraId="641FAC58" w14:textId="77777777" w:rsidTr="008B6CCB">
        <w:trPr>
          <w:cantSplit/>
          <w:trHeight w:val="340"/>
        </w:trPr>
        <w:tc>
          <w:tcPr>
            <w:tcW w:w="9890" w:type="dxa"/>
            <w:gridSpan w:val="3"/>
          </w:tcPr>
          <w:p w14:paraId="7847589E" w14:textId="77777777" w:rsidR="00D02BC8" w:rsidRPr="004F3582" w:rsidRDefault="00D02BC8" w:rsidP="008B6CCB">
            <w:pPr>
              <w:pStyle w:val="EMEABodyText"/>
              <w:rPr>
                <w:szCs w:val="22"/>
              </w:rPr>
            </w:pPr>
            <w:r>
              <w:rPr>
                <w:b/>
                <w:szCs w:val="22"/>
              </w:rPr>
              <w:t>INHALED BETA AGONISTS</w:t>
            </w:r>
          </w:p>
        </w:tc>
      </w:tr>
      <w:tr w:rsidR="00D02BC8" w:rsidRPr="00965E20" w14:paraId="782B2517" w14:textId="77777777" w:rsidTr="008B6CCB">
        <w:trPr>
          <w:cantSplit/>
          <w:trHeight w:val="340"/>
        </w:trPr>
        <w:tc>
          <w:tcPr>
            <w:tcW w:w="3095" w:type="dxa"/>
          </w:tcPr>
          <w:p w14:paraId="2E238B0E" w14:textId="77777777" w:rsidR="00D02BC8" w:rsidRPr="004F3582" w:rsidRDefault="00D02BC8" w:rsidP="008B6CCB">
            <w:pPr>
              <w:rPr>
                <w:b/>
                <w:szCs w:val="22"/>
              </w:rPr>
            </w:pPr>
            <w:r>
              <w:rPr>
                <w:b/>
                <w:szCs w:val="22"/>
              </w:rPr>
              <w:t>Salmeterol</w:t>
            </w:r>
          </w:p>
        </w:tc>
        <w:tc>
          <w:tcPr>
            <w:tcW w:w="3676" w:type="dxa"/>
          </w:tcPr>
          <w:p w14:paraId="249A5ED2" w14:textId="77777777" w:rsidR="00D02BC8" w:rsidRPr="00D31EBB" w:rsidRDefault="00D02BC8" w:rsidP="008B6CCB">
            <w:pPr>
              <w:rPr>
                <w:szCs w:val="22"/>
              </w:rPr>
            </w:pPr>
            <w:r>
              <w:t>Co-administration with REYATAZ may result in increased concentrations of salmeterol and an increase in salmeterol-associated adverse events.</w:t>
            </w:r>
          </w:p>
          <w:p w14:paraId="513463BF" w14:textId="77777777" w:rsidR="00D02BC8" w:rsidRPr="00D31EBB" w:rsidRDefault="00D02BC8" w:rsidP="008B6CCB">
            <w:pPr>
              <w:rPr>
                <w:szCs w:val="22"/>
                <w:lang w:val="en-US"/>
              </w:rPr>
            </w:pPr>
          </w:p>
          <w:p w14:paraId="61E37ED6" w14:textId="77777777" w:rsidR="00D02BC8" w:rsidRPr="00D31EBB" w:rsidRDefault="00D02BC8" w:rsidP="008B6CCB">
            <w:pPr>
              <w:rPr>
                <w:szCs w:val="22"/>
              </w:rPr>
            </w:pPr>
            <w:r>
              <w:t>The mechanism of interaction is CYP3A4 inhibition by atazanavir and/or ritonavir.</w:t>
            </w:r>
          </w:p>
        </w:tc>
        <w:tc>
          <w:tcPr>
            <w:tcW w:w="3119" w:type="dxa"/>
          </w:tcPr>
          <w:p w14:paraId="6F85B985" w14:textId="77777777" w:rsidR="00D02BC8" w:rsidRPr="00D31EBB" w:rsidRDefault="00D02BC8" w:rsidP="005460FC">
            <w:pPr>
              <w:rPr>
                <w:spacing w:val="-5"/>
                <w:szCs w:val="22"/>
              </w:rPr>
            </w:pPr>
            <w:r>
              <w:t>Co-administration of salmeterol with REYATAZ is not recommended (see section 4.4).</w:t>
            </w:r>
          </w:p>
        </w:tc>
      </w:tr>
      <w:tr w:rsidR="00D02BC8" w:rsidRPr="004F3582" w14:paraId="2DEE5114" w14:textId="77777777" w:rsidTr="008B6CCB">
        <w:trPr>
          <w:cantSplit/>
          <w:trHeight w:val="340"/>
        </w:trPr>
        <w:tc>
          <w:tcPr>
            <w:tcW w:w="9890" w:type="dxa"/>
            <w:gridSpan w:val="3"/>
          </w:tcPr>
          <w:p w14:paraId="2A3AD446" w14:textId="77777777" w:rsidR="00D02BC8" w:rsidRPr="004F3582" w:rsidRDefault="00D02BC8" w:rsidP="008B6CCB">
            <w:pPr>
              <w:pStyle w:val="EMEABodyText"/>
              <w:rPr>
                <w:szCs w:val="22"/>
              </w:rPr>
            </w:pPr>
            <w:r>
              <w:rPr>
                <w:b/>
                <w:szCs w:val="22"/>
              </w:rPr>
              <w:t>OPIOIDS</w:t>
            </w:r>
          </w:p>
        </w:tc>
      </w:tr>
      <w:tr w:rsidR="00D02BC8" w:rsidRPr="004F3582" w14:paraId="24049307" w14:textId="77777777" w:rsidTr="008B6CCB">
        <w:trPr>
          <w:cantSplit/>
          <w:trHeight w:val="340"/>
        </w:trPr>
        <w:tc>
          <w:tcPr>
            <w:tcW w:w="3095" w:type="dxa"/>
          </w:tcPr>
          <w:p w14:paraId="2AA94954" w14:textId="77777777" w:rsidR="00D02BC8" w:rsidRPr="00D31EBB" w:rsidRDefault="00D02BC8" w:rsidP="008B6CCB">
            <w:pPr>
              <w:pStyle w:val="EMEABodyText"/>
              <w:rPr>
                <w:b/>
                <w:szCs w:val="22"/>
              </w:rPr>
            </w:pPr>
            <w:r>
              <w:rPr>
                <w:b/>
                <w:szCs w:val="22"/>
              </w:rPr>
              <w:lastRenderedPageBreak/>
              <w:t>Buprenorphine, once daily, stable maintenance dose</w:t>
            </w:r>
          </w:p>
          <w:p w14:paraId="3B6EE5EC" w14:textId="77777777" w:rsidR="00D02BC8" w:rsidRPr="00D31EBB" w:rsidRDefault="00D02BC8" w:rsidP="008B6CCB">
            <w:pPr>
              <w:pStyle w:val="EMEABodyText"/>
              <w:rPr>
                <w:szCs w:val="22"/>
              </w:rPr>
            </w:pPr>
            <w:r>
              <w:t>(atazanavir 300 mg once daily with ritonavir 100 mg once daily)</w:t>
            </w:r>
          </w:p>
        </w:tc>
        <w:tc>
          <w:tcPr>
            <w:tcW w:w="3676" w:type="dxa"/>
          </w:tcPr>
          <w:p w14:paraId="28775060" w14:textId="77777777" w:rsidR="00D02BC8" w:rsidRPr="005C4B2B" w:rsidRDefault="00D02BC8" w:rsidP="008B6CCB">
            <w:pPr>
              <w:pStyle w:val="EMEABodyText"/>
              <w:rPr>
                <w:szCs w:val="22"/>
              </w:rPr>
            </w:pPr>
            <w:r>
              <w:t>Buprenorphine AUC ↑67%</w:t>
            </w:r>
          </w:p>
          <w:p w14:paraId="04532ADA" w14:textId="77777777" w:rsidR="00D02BC8" w:rsidRPr="005C4B2B" w:rsidRDefault="00D02BC8" w:rsidP="008B6CCB">
            <w:pPr>
              <w:pStyle w:val="EMEABodyText"/>
              <w:rPr>
                <w:szCs w:val="22"/>
              </w:rPr>
            </w:pPr>
            <w:r>
              <w:t>Buprenorphine C</w:t>
            </w:r>
            <w:r>
              <w:rPr>
                <w:szCs w:val="22"/>
                <w:vertAlign w:val="subscript"/>
              </w:rPr>
              <w:t>max</w:t>
            </w:r>
            <w:r>
              <w:t xml:space="preserve"> ↑37% </w:t>
            </w:r>
          </w:p>
          <w:p w14:paraId="059F949D" w14:textId="77777777" w:rsidR="00D02BC8" w:rsidRPr="005C4B2B" w:rsidRDefault="00D02BC8" w:rsidP="008B6CCB">
            <w:pPr>
              <w:pStyle w:val="EMEABodyText"/>
              <w:rPr>
                <w:szCs w:val="22"/>
              </w:rPr>
            </w:pPr>
            <w:r>
              <w:t>Buprenorphine C</w:t>
            </w:r>
            <w:r>
              <w:rPr>
                <w:szCs w:val="22"/>
                <w:vertAlign w:val="subscript"/>
              </w:rPr>
              <w:t>min</w:t>
            </w:r>
            <w:r>
              <w:t xml:space="preserve"> ↑69%</w:t>
            </w:r>
          </w:p>
          <w:p w14:paraId="5614ECFA" w14:textId="77777777" w:rsidR="00D02BC8" w:rsidRPr="005C4B2B" w:rsidRDefault="00D02BC8" w:rsidP="008B6CCB">
            <w:pPr>
              <w:pStyle w:val="EMEABodyText"/>
              <w:rPr>
                <w:szCs w:val="22"/>
              </w:rPr>
            </w:pPr>
          </w:p>
          <w:p w14:paraId="7BD41785" w14:textId="77777777" w:rsidR="00D02BC8" w:rsidRPr="005C4B2B" w:rsidRDefault="00D02BC8" w:rsidP="008B6CCB">
            <w:pPr>
              <w:pStyle w:val="EMEABodyText"/>
              <w:rPr>
                <w:szCs w:val="22"/>
              </w:rPr>
            </w:pPr>
            <w:r>
              <w:t>Norbuprenorphine AUC ↑105%</w:t>
            </w:r>
          </w:p>
          <w:p w14:paraId="12974E51" w14:textId="77777777" w:rsidR="00D02BC8" w:rsidRPr="005C4B2B" w:rsidRDefault="00D02BC8" w:rsidP="008B6CCB">
            <w:pPr>
              <w:pStyle w:val="EMEABodyText"/>
              <w:rPr>
                <w:szCs w:val="22"/>
              </w:rPr>
            </w:pPr>
            <w:r>
              <w:t>Norbuprenorphine C</w:t>
            </w:r>
            <w:r>
              <w:rPr>
                <w:szCs w:val="22"/>
                <w:vertAlign w:val="subscript"/>
              </w:rPr>
              <w:t>max</w:t>
            </w:r>
            <w:r>
              <w:t xml:space="preserve"> ↑61%</w:t>
            </w:r>
          </w:p>
          <w:p w14:paraId="51A43CC9" w14:textId="77777777" w:rsidR="00D02BC8" w:rsidRPr="005C4B2B" w:rsidRDefault="00D02BC8" w:rsidP="008B6CCB">
            <w:pPr>
              <w:pStyle w:val="EMEABodyText"/>
              <w:rPr>
                <w:szCs w:val="22"/>
              </w:rPr>
            </w:pPr>
            <w:r>
              <w:t>Norbuprenorphine C</w:t>
            </w:r>
            <w:r>
              <w:rPr>
                <w:szCs w:val="22"/>
                <w:vertAlign w:val="subscript"/>
              </w:rPr>
              <w:t>min</w:t>
            </w:r>
            <w:r>
              <w:t xml:space="preserve"> ↑101%</w:t>
            </w:r>
          </w:p>
          <w:p w14:paraId="24BCD02D" w14:textId="77777777" w:rsidR="00D02BC8" w:rsidRPr="005C4B2B" w:rsidRDefault="00D02BC8" w:rsidP="008B6CCB">
            <w:pPr>
              <w:pStyle w:val="EMEABodyText"/>
              <w:rPr>
                <w:szCs w:val="22"/>
              </w:rPr>
            </w:pPr>
          </w:p>
          <w:p w14:paraId="7A8B0A10" w14:textId="77777777" w:rsidR="00D02BC8" w:rsidRPr="00D31EBB" w:rsidRDefault="00D02BC8" w:rsidP="008B6CCB">
            <w:pPr>
              <w:pStyle w:val="EMEABodyText"/>
              <w:rPr>
                <w:szCs w:val="22"/>
              </w:rPr>
            </w:pPr>
            <w:r>
              <w:t>The mechanism of interaction is CYP3A4 and UGT1A1 inhibition.</w:t>
            </w:r>
          </w:p>
          <w:p w14:paraId="430DFF19" w14:textId="77777777" w:rsidR="00D02BC8" w:rsidRPr="00D31EBB" w:rsidRDefault="00D02BC8" w:rsidP="008B6CCB">
            <w:pPr>
              <w:pStyle w:val="EMEABodyText"/>
              <w:rPr>
                <w:szCs w:val="22"/>
              </w:rPr>
            </w:pPr>
            <w:r>
              <w:t>Concentrations of atazanavir (when given with ritonavir) were not significantly affected.</w:t>
            </w:r>
          </w:p>
        </w:tc>
        <w:tc>
          <w:tcPr>
            <w:tcW w:w="3119" w:type="dxa"/>
          </w:tcPr>
          <w:p w14:paraId="0B004285" w14:textId="77777777" w:rsidR="00D02BC8" w:rsidRPr="004F3582" w:rsidRDefault="00D02BC8" w:rsidP="000424FD">
            <w:pPr>
              <w:pStyle w:val="EMEABodyText"/>
              <w:rPr>
                <w:szCs w:val="22"/>
              </w:rPr>
            </w:pPr>
            <w:r>
              <w:t>Co-administration with REYATAZ with ritonavir warrants clinical monitoring for sedation and cognitive effects. A dose reduction of buprenorphine may be considered.</w:t>
            </w:r>
          </w:p>
        </w:tc>
      </w:tr>
      <w:tr w:rsidR="00D02BC8" w:rsidRPr="00965E20" w14:paraId="7046AFE2" w14:textId="77777777" w:rsidTr="008B6CCB">
        <w:trPr>
          <w:cantSplit/>
          <w:trHeight w:val="340"/>
        </w:trPr>
        <w:tc>
          <w:tcPr>
            <w:tcW w:w="3095" w:type="dxa"/>
          </w:tcPr>
          <w:p w14:paraId="5E893B8C" w14:textId="77777777" w:rsidR="00D02BC8" w:rsidRPr="00D31EBB" w:rsidRDefault="00D02BC8" w:rsidP="008B6CCB">
            <w:pPr>
              <w:pStyle w:val="EMEABodyText"/>
              <w:rPr>
                <w:b/>
                <w:szCs w:val="22"/>
              </w:rPr>
            </w:pPr>
            <w:r>
              <w:rPr>
                <w:b/>
                <w:szCs w:val="22"/>
              </w:rPr>
              <w:t>Methadone, stable maintenance dose</w:t>
            </w:r>
          </w:p>
          <w:p w14:paraId="51BE590D" w14:textId="77777777" w:rsidR="00D02BC8" w:rsidRPr="00D31EBB" w:rsidRDefault="00D02BC8" w:rsidP="008B6CCB">
            <w:pPr>
              <w:pStyle w:val="EMEABodyText"/>
              <w:rPr>
                <w:szCs w:val="22"/>
              </w:rPr>
            </w:pPr>
            <w:r>
              <w:t>(atazanavir 400 mg once daily)</w:t>
            </w:r>
          </w:p>
        </w:tc>
        <w:tc>
          <w:tcPr>
            <w:tcW w:w="3676" w:type="dxa"/>
          </w:tcPr>
          <w:p w14:paraId="0E6B36D8" w14:textId="77777777" w:rsidR="00D02BC8" w:rsidRPr="00D31EBB" w:rsidRDefault="00D02BC8" w:rsidP="00A404E4">
            <w:pPr>
              <w:pStyle w:val="EMEABodyText"/>
              <w:rPr>
                <w:szCs w:val="22"/>
              </w:rPr>
            </w:pPr>
            <w:r>
              <w:t>No significant effect on methadone concentrations was observed. Given that low dose ritonavir (100 mg twice daily) has been shown to have no significant effect on methadone concentrations, no interaction is expected if methadone is co-administered with REYATAZ, based on these data.</w:t>
            </w:r>
          </w:p>
        </w:tc>
        <w:tc>
          <w:tcPr>
            <w:tcW w:w="3119" w:type="dxa"/>
          </w:tcPr>
          <w:p w14:paraId="4223BE42" w14:textId="77777777" w:rsidR="00D02BC8" w:rsidRPr="00D31EBB" w:rsidRDefault="00D02BC8" w:rsidP="00A404E4">
            <w:pPr>
              <w:pStyle w:val="EMEABodyText"/>
              <w:rPr>
                <w:szCs w:val="22"/>
              </w:rPr>
            </w:pPr>
            <w:r>
              <w:t>No dosage adjustment is necessary if methadone is co-administered with REYATAZ.</w:t>
            </w:r>
          </w:p>
        </w:tc>
      </w:tr>
      <w:tr w:rsidR="00D02BC8" w:rsidRPr="004F3582" w14:paraId="54BA920E" w14:textId="77777777" w:rsidTr="008B6CCB">
        <w:trPr>
          <w:cantSplit/>
          <w:trHeight w:val="340"/>
        </w:trPr>
        <w:tc>
          <w:tcPr>
            <w:tcW w:w="9890" w:type="dxa"/>
            <w:gridSpan w:val="3"/>
          </w:tcPr>
          <w:p w14:paraId="62D65CFF" w14:textId="77777777" w:rsidR="00D02BC8" w:rsidRPr="004F3582" w:rsidRDefault="00D02BC8" w:rsidP="00F22397">
            <w:pPr>
              <w:pStyle w:val="EMEABodyText"/>
              <w:keepNext/>
              <w:rPr>
                <w:szCs w:val="22"/>
              </w:rPr>
            </w:pPr>
            <w:r>
              <w:rPr>
                <w:b/>
                <w:szCs w:val="22"/>
              </w:rPr>
              <w:t>PULMONARY ARTERIAL HYPERTENSION</w:t>
            </w:r>
          </w:p>
        </w:tc>
      </w:tr>
      <w:tr w:rsidR="00D02BC8" w:rsidRPr="004F3582" w14:paraId="5A637B2C" w14:textId="77777777" w:rsidTr="008B6CCB">
        <w:trPr>
          <w:cantSplit/>
          <w:trHeight w:val="340"/>
        </w:trPr>
        <w:tc>
          <w:tcPr>
            <w:tcW w:w="9890" w:type="dxa"/>
            <w:gridSpan w:val="3"/>
          </w:tcPr>
          <w:p w14:paraId="148200C0" w14:textId="77777777" w:rsidR="00D02BC8" w:rsidRPr="004F3582" w:rsidRDefault="00D02BC8" w:rsidP="00F22397">
            <w:pPr>
              <w:pStyle w:val="EMEABodyText"/>
              <w:keepNext/>
              <w:rPr>
                <w:szCs w:val="22"/>
              </w:rPr>
            </w:pPr>
            <w:r>
              <w:rPr>
                <w:i/>
                <w:iCs/>
                <w:szCs w:val="22"/>
              </w:rPr>
              <w:t>PDE5 Inhibitors</w:t>
            </w:r>
          </w:p>
        </w:tc>
      </w:tr>
      <w:tr w:rsidR="00D02BC8" w:rsidRPr="00965E20" w14:paraId="7D199529" w14:textId="77777777" w:rsidTr="008B6CCB">
        <w:trPr>
          <w:cantSplit/>
          <w:trHeight w:val="340"/>
        </w:trPr>
        <w:tc>
          <w:tcPr>
            <w:tcW w:w="3095" w:type="dxa"/>
          </w:tcPr>
          <w:p w14:paraId="35793461" w14:textId="77777777" w:rsidR="00D02BC8" w:rsidRPr="004F3582" w:rsidRDefault="00D02BC8" w:rsidP="00F22397">
            <w:pPr>
              <w:keepNext/>
              <w:rPr>
                <w:b/>
                <w:szCs w:val="22"/>
              </w:rPr>
            </w:pPr>
            <w:r>
              <w:rPr>
                <w:b/>
                <w:szCs w:val="22"/>
              </w:rPr>
              <w:t>Sildenafil</w:t>
            </w:r>
          </w:p>
        </w:tc>
        <w:tc>
          <w:tcPr>
            <w:tcW w:w="3676" w:type="dxa"/>
          </w:tcPr>
          <w:p w14:paraId="05DB4E93" w14:textId="77777777" w:rsidR="00D02BC8" w:rsidRPr="00D31EBB" w:rsidRDefault="00D02BC8" w:rsidP="00F22397">
            <w:pPr>
              <w:keepNext/>
              <w:rPr>
                <w:szCs w:val="22"/>
              </w:rPr>
            </w:pPr>
            <w:r>
              <w:t xml:space="preserve">Co-administration with REYATAZ may result in increased concentrations of the PDE5 inhibitor and an increase in PDE5-inhibitor-associated adverse events. </w:t>
            </w:r>
          </w:p>
          <w:p w14:paraId="49620F01" w14:textId="77777777" w:rsidR="00D02BC8" w:rsidRPr="00D31EBB" w:rsidRDefault="00D02BC8" w:rsidP="00F22397">
            <w:pPr>
              <w:keepNext/>
              <w:rPr>
                <w:szCs w:val="22"/>
                <w:lang w:val="en-US"/>
              </w:rPr>
            </w:pPr>
          </w:p>
          <w:p w14:paraId="51E67CA4" w14:textId="77777777" w:rsidR="00D02BC8" w:rsidRPr="00D31EBB" w:rsidRDefault="00D02BC8" w:rsidP="00F22397">
            <w:pPr>
              <w:keepNext/>
              <w:rPr>
                <w:szCs w:val="22"/>
              </w:rPr>
            </w:pPr>
            <w:r>
              <w:t>The mechanism of interaction is CYP3A4 inhibition by atazanavir and/or ritonavir.</w:t>
            </w:r>
          </w:p>
          <w:p w14:paraId="12489345" w14:textId="77777777" w:rsidR="00D02BC8" w:rsidRPr="00D31EBB" w:rsidRDefault="00D02BC8" w:rsidP="00F22397">
            <w:pPr>
              <w:keepNext/>
              <w:rPr>
                <w:szCs w:val="22"/>
                <w:lang w:val="en-US"/>
              </w:rPr>
            </w:pPr>
          </w:p>
        </w:tc>
        <w:tc>
          <w:tcPr>
            <w:tcW w:w="3119" w:type="dxa"/>
          </w:tcPr>
          <w:p w14:paraId="054682EE" w14:textId="77777777" w:rsidR="00D02BC8" w:rsidRPr="00D31EBB" w:rsidRDefault="00D02BC8" w:rsidP="00F22397">
            <w:pPr>
              <w:keepNext/>
              <w:rPr>
                <w:spacing w:val="-5"/>
                <w:szCs w:val="22"/>
              </w:rPr>
            </w:pPr>
            <w:r>
              <w:t>A safe and effective dose in combination with REYATAZ has not been established for sildenafil when used to treat pulmonary arterial hypertension. Sildenafil, when used for the treatment of pulmonary arterial hypertension, is contraindicated (see section 4.3).</w:t>
            </w:r>
          </w:p>
        </w:tc>
      </w:tr>
      <w:tr w:rsidR="00D02BC8" w:rsidRPr="004F3582" w14:paraId="0FFBBA6F" w14:textId="77777777" w:rsidTr="008B6CCB">
        <w:trPr>
          <w:cantSplit/>
          <w:trHeight w:val="340"/>
        </w:trPr>
        <w:tc>
          <w:tcPr>
            <w:tcW w:w="9890" w:type="dxa"/>
            <w:gridSpan w:val="3"/>
          </w:tcPr>
          <w:p w14:paraId="597C48A5" w14:textId="77777777" w:rsidR="00D02BC8" w:rsidRPr="004F3582" w:rsidRDefault="00D02BC8" w:rsidP="008B6CCB">
            <w:pPr>
              <w:pStyle w:val="EMEABodyText"/>
              <w:rPr>
                <w:szCs w:val="22"/>
              </w:rPr>
            </w:pPr>
            <w:r>
              <w:rPr>
                <w:b/>
                <w:szCs w:val="22"/>
              </w:rPr>
              <w:t>SEDATIVES</w:t>
            </w:r>
          </w:p>
        </w:tc>
      </w:tr>
      <w:tr w:rsidR="00D02BC8" w:rsidRPr="004F3582" w14:paraId="7D6232DF" w14:textId="77777777" w:rsidTr="008B6CCB">
        <w:trPr>
          <w:cantSplit/>
          <w:trHeight w:val="340"/>
        </w:trPr>
        <w:tc>
          <w:tcPr>
            <w:tcW w:w="9890" w:type="dxa"/>
            <w:gridSpan w:val="3"/>
          </w:tcPr>
          <w:p w14:paraId="472BFBA8" w14:textId="77777777" w:rsidR="00D02BC8" w:rsidRPr="004F3582" w:rsidRDefault="00D02BC8" w:rsidP="008B6CCB">
            <w:pPr>
              <w:pStyle w:val="EMEABodyText"/>
              <w:rPr>
                <w:i/>
                <w:szCs w:val="22"/>
              </w:rPr>
            </w:pPr>
            <w:r>
              <w:rPr>
                <w:i/>
                <w:iCs/>
                <w:szCs w:val="22"/>
              </w:rPr>
              <w:t>Benzodiazepines</w:t>
            </w:r>
          </w:p>
        </w:tc>
      </w:tr>
      <w:tr w:rsidR="00D02BC8" w:rsidRPr="00965E20" w14:paraId="0407C49B" w14:textId="77777777" w:rsidTr="008B6CCB">
        <w:trPr>
          <w:cantSplit/>
          <w:trHeight w:val="340"/>
        </w:trPr>
        <w:tc>
          <w:tcPr>
            <w:tcW w:w="3095" w:type="dxa"/>
          </w:tcPr>
          <w:p w14:paraId="3B4682DB" w14:textId="77777777" w:rsidR="00D02BC8" w:rsidRPr="004F3582" w:rsidRDefault="00D02BC8" w:rsidP="008B6CCB">
            <w:pPr>
              <w:pStyle w:val="EMEABodyText"/>
              <w:rPr>
                <w:b/>
                <w:iCs/>
                <w:szCs w:val="22"/>
              </w:rPr>
            </w:pPr>
            <w:r>
              <w:rPr>
                <w:b/>
                <w:iCs/>
                <w:szCs w:val="22"/>
              </w:rPr>
              <w:lastRenderedPageBreak/>
              <w:t>Midazolam</w:t>
            </w:r>
          </w:p>
          <w:p w14:paraId="1B16F07D" w14:textId="77777777" w:rsidR="00D02BC8" w:rsidRPr="004F3582" w:rsidRDefault="00D02BC8" w:rsidP="008B6CCB">
            <w:pPr>
              <w:pStyle w:val="EMEABodyText"/>
              <w:rPr>
                <w:b/>
                <w:szCs w:val="22"/>
              </w:rPr>
            </w:pPr>
            <w:r>
              <w:rPr>
                <w:b/>
                <w:iCs/>
                <w:szCs w:val="22"/>
              </w:rPr>
              <w:t>Triazolam</w:t>
            </w:r>
          </w:p>
        </w:tc>
        <w:tc>
          <w:tcPr>
            <w:tcW w:w="3676" w:type="dxa"/>
          </w:tcPr>
          <w:p w14:paraId="5A14B896" w14:textId="77777777" w:rsidR="00D02BC8" w:rsidRPr="00D31EBB" w:rsidRDefault="00D02BC8" w:rsidP="00C51E90">
            <w:pPr>
              <w:pStyle w:val="EMEABodyText"/>
              <w:rPr>
                <w:szCs w:val="22"/>
              </w:rPr>
            </w:pPr>
            <w:r>
              <w:t>Midazolam and triazolam are extensively metabolised by CYP3A4. Co-administration with REYATAZ may cause a large increase in the concentration of these benzodiazepines. No drug interaction study has been performed for the co-administration of REYATAZ with benzodiazepines. Based on data for other CYP3A4 inhibitors, plasma concentrations of midazolam are expected to be significantly higher when midazolam is given orally. Data from concomitant use of parenteral midazolam with other protease inhibitors suggest a possible 3-4 fold increase in midazolam plasma levels.</w:t>
            </w:r>
          </w:p>
        </w:tc>
        <w:tc>
          <w:tcPr>
            <w:tcW w:w="3119" w:type="dxa"/>
          </w:tcPr>
          <w:p w14:paraId="67FA2FC7" w14:textId="77777777" w:rsidR="00D02BC8" w:rsidRPr="00D31EBB" w:rsidRDefault="00D02BC8" w:rsidP="00A404E4">
            <w:pPr>
              <w:pStyle w:val="EMEABodyText"/>
              <w:rPr>
                <w:szCs w:val="22"/>
              </w:rPr>
            </w:pPr>
            <w:r>
              <w:t>Co-administration of REYATAZ with triazolam or orally administered midazolam is contraindicated (see section 4.3), whereas caution should be used with co-administration of REYATAZ and parenteral midazolam. If REYATAZ is co-administered with parenteral midazolam, it should be done in an intensive care unit (ICU) or similar setting which ensures close clinical monitoring and appropriate medical management in case of respiratory depression and/or prolonged sedation. Dosage adjustment for midazolam should be considered, especially if more than a single dose of midazolam is administered.</w:t>
            </w:r>
          </w:p>
        </w:tc>
      </w:tr>
    </w:tbl>
    <w:p w14:paraId="390E2395" w14:textId="77777777" w:rsidR="00D02BC8" w:rsidRPr="00D31EBB" w:rsidRDefault="00D02BC8" w:rsidP="008B6CCB">
      <w:pPr>
        <w:pStyle w:val="EMEABodyText"/>
        <w:rPr>
          <w:szCs w:val="22"/>
          <w:lang w:val="en-US"/>
        </w:rPr>
      </w:pPr>
    </w:p>
    <w:p w14:paraId="6E77EA96" w14:textId="77777777" w:rsidR="00A404E4" w:rsidRPr="00D31EBB" w:rsidRDefault="00A404E4" w:rsidP="00A404E4">
      <w:pPr>
        <w:pStyle w:val="EMEABodyText"/>
        <w:rPr>
          <w:i/>
        </w:rPr>
      </w:pPr>
      <w:r>
        <w:rPr>
          <w:i/>
        </w:rPr>
        <w:t>In case of withdrawal of ritonavir from the recommended atazanavir boosted regimen (see section 4.4)</w:t>
      </w:r>
    </w:p>
    <w:p w14:paraId="096F6612" w14:textId="77777777" w:rsidR="00A404E4" w:rsidRPr="00D31EBB" w:rsidRDefault="00A404E4" w:rsidP="00A404E4">
      <w:pPr>
        <w:pStyle w:val="EMEABodyText"/>
      </w:pPr>
      <w:r>
        <w:t xml:space="preserve">The same recommendations for drug drug interactions would apply except: </w:t>
      </w:r>
    </w:p>
    <w:p w14:paraId="11AB7178" w14:textId="77777777" w:rsidR="00A404E4" w:rsidRPr="00D31EBB" w:rsidRDefault="00A404E4" w:rsidP="005C4B2B">
      <w:pPr>
        <w:pStyle w:val="EMEABodyTextIndent"/>
        <w:ind w:left="426"/>
        <w:rPr>
          <w:i/>
        </w:rPr>
      </w:pPr>
      <w:r>
        <w:t>that co-administration is not recommended with tenofovir, boceprevir, carbamazepine, phenytoin, phenobarbital, proton pump inhibitors, and buprenorphine.</w:t>
      </w:r>
    </w:p>
    <w:p w14:paraId="792CD385" w14:textId="77777777" w:rsidR="002D4A1A" w:rsidRPr="00D31EBB" w:rsidRDefault="00A404E4" w:rsidP="002D4A1A">
      <w:pPr>
        <w:pStyle w:val="EMEABodyTextIndent"/>
        <w:ind w:left="426"/>
        <w:rPr>
          <w:i/>
        </w:rPr>
      </w:pPr>
      <w:r>
        <w:t xml:space="preserve">that co-administration with famotidine is not recommended but if required, atazanavir without ritonavir should be administered either 2 hours after famotidine or 12 hours before. No single dose of famotidine should exceed 20 mg, and the total daily dose of famotidine should not exceed 40 mg. </w:t>
      </w:r>
    </w:p>
    <w:p w14:paraId="47BB87BB" w14:textId="77777777" w:rsidR="00A404E4" w:rsidRPr="004F3582" w:rsidRDefault="00A404E4" w:rsidP="005C4B2B">
      <w:pPr>
        <w:pStyle w:val="EMEABodyTextIndent"/>
        <w:ind w:left="426" w:hanging="284"/>
        <w:rPr>
          <w:i/>
        </w:rPr>
      </w:pPr>
      <w:r>
        <w:t xml:space="preserve">the need to consider that </w:t>
      </w:r>
    </w:p>
    <w:p w14:paraId="0052F8DD" w14:textId="77777777" w:rsidR="00A404E4" w:rsidRPr="00D31EBB" w:rsidRDefault="00A404E4" w:rsidP="00211509">
      <w:pPr>
        <w:pStyle w:val="EMEABodyTextIndent"/>
        <w:numPr>
          <w:ilvl w:val="0"/>
          <w:numId w:val="4"/>
        </w:numPr>
        <w:ind w:left="1134" w:hanging="567"/>
        <w:rPr>
          <w:i/>
        </w:rPr>
      </w:pPr>
      <w:r>
        <w:t>co-administration of voriconazole and REYATAZ without ritonavir may affect atazanavir concentrations</w:t>
      </w:r>
    </w:p>
    <w:p w14:paraId="0A21E74B" w14:textId="77777777" w:rsidR="00A404E4" w:rsidRPr="00D31EBB" w:rsidRDefault="00A404E4" w:rsidP="00211509">
      <w:pPr>
        <w:pStyle w:val="EMEABodyTextIndent"/>
        <w:numPr>
          <w:ilvl w:val="0"/>
          <w:numId w:val="4"/>
        </w:numPr>
        <w:ind w:left="1134" w:hanging="567"/>
        <w:rPr>
          <w:i/>
        </w:rPr>
      </w:pPr>
      <w:r>
        <w:t>co-administration of fluticasone and REYATAZ without ritonavir may increase fluticasone concentrations relative to fluticasone given alone</w:t>
      </w:r>
    </w:p>
    <w:p w14:paraId="51B2D3C8" w14:textId="77777777" w:rsidR="00A404E4" w:rsidRPr="00D31EBB" w:rsidRDefault="00A404E4" w:rsidP="00211509">
      <w:pPr>
        <w:pStyle w:val="EMEABodyTextIndent"/>
        <w:numPr>
          <w:ilvl w:val="0"/>
          <w:numId w:val="4"/>
        </w:numPr>
        <w:ind w:left="1134" w:hanging="567"/>
        <w:rPr>
          <w:i/>
        </w:rPr>
      </w:pPr>
      <w:r>
        <w:t xml:space="preserve">if an oral contraceptive is administered with REYATAZ without ritonavir, it is recommended that the oral contraceptive contain no more than 30 µg of ethinyloestradiol </w:t>
      </w:r>
    </w:p>
    <w:p w14:paraId="547375F7" w14:textId="77777777" w:rsidR="00A404E4" w:rsidRPr="00D31EBB" w:rsidRDefault="00A404E4" w:rsidP="00211509">
      <w:pPr>
        <w:pStyle w:val="EMEABodyTextIndent"/>
        <w:numPr>
          <w:ilvl w:val="0"/>
          <w:numId w:val="4"/>
        </w:numPr>
        <w:ind w:left="1134" w:hanging="567"/>
        <w:rPr>
          <w:i/>
        </w:rPr>
      </w:pPr>
      <w:r>
        <w:t xml:space="preserve">no dose adjustment of lamotrigine is required </w:t>
      </w:r>
    </w:p>
    <w:p w14:paraId="6C8158DF" w14:textId="77777777" w:rsidR="00A404E4" w:rsidRPr="00D31EBB" w:rsidRDefault="00A404E4" w:rsidP="008B6CCB">
      <w:pPr>
        <w:pStyle w:val="EMEABodyText"/>
        <w:rPr>
          <w:i/>
          <w:lang w:val="en-US"/>
        </w:rPr>
      </w:pPr>
    </w:p>
    <w:p w14:paraId="393B628A" w14:textId="77777777" w:rsidR="00D02BC8" w:rsidRPr="00D31EBB" w:rsidRDefault="00D02BC8" w:rsidP="008B6CCB">
      <w:pPr>
        <w:pStyle w:val="EMEABodyText"/>
        <w:rPr>
          <w:i/>
        </w:rPr>
      </w:pPr>
      <w:r>
        <w:rPr>
          <w:i/>
        </w:rPr>
        <w:t>Paediatric population</w:t>
      </w:r>
    </w:p>
    <w:p w14:paraId="364027F8" w14:textId="77777777" w:rsidR="00D02BC8" w:rsidRPr="00D31EBB" w:rsidRDefault="00D02BC8" w:rsidP="008B6CCB">
      <w:pPr>
        <w:pStyle w:val="EMEABodyText"/>
      </w:pPr>
      <w:r>
        <w:t>Interaction studies have only been performed in adults.</w:t>
      </w:r>
    </w:p>
    <w:p w14:paraId="564A14C8" w14:textId="77777777" w:rsidR="00D02BC8" w:rsidRPr="00D31EBB" w:rsidRDefault="00D02BC8" w:rsidP="008B6CCB">
      <w:pPr>
        <w:pStyle w:val="EMEABodyText"/>
        <w:rPr>
          <w:lang w:val="en-US"/>
        </w:rPr>
      </w:pPr>
    </w:p>
    <w:p w14:paraId="730C25A1" w14:textId="77777777" w:rsidR="00D02BC8" w:rsidRPr="00D31EBB" w:rsidRDefault="00D02BC8" w:rsidP="008B6CCB">
      <w:pPr>
        <w:pStyle w:val="EMEAHeading2"/>
        <w:rPr>
          <w:noProof/>
        </w:rPr>
      </w:pPr>
      <w:r>
        <w:t>4.6</w:t>
      </w:r>
      <w:r>
        <w:tab/>
        <w:t>Fertility, pregnancy and lactation</w:t>
      </w:r>
    </w:p>
    <w:p w14:paraId="340C7DB0" w14:textId="77777777" w:rsidR="00D02BC8" w:rsidRPr="00D31EBB" w:rsidRDefault="00D02BC8" w:rsidP="008B6CCB">
      <w:pPr>
        <w:pStyle w:val="EMEAHeading2"/>
        <w:rPr>
          <w:noProof/>
          <w:lang w:val="en-US"/>
        </w:rPr>
      </w:pPr>
    </w:p>
    <w:p w14:paraId="5E3E8780" w14:textId="77777777" w:rsidR="003228A9" w:rsidRPr="00D31EBB" w:rsidRDefault="00D02BC8" w:rsidP="008B6CCB">
      <w:pPr>
        <w:pStyle w:val="EMEABodyText"/>
        <w:rPr>
          <w:u w:val="single"/>
        </w:rPr>
      </w:pPr>
      <w:r>
        <w:rPr>
          <w:u w:val="single"/>
        </w:rPr>
        <w:t>Pregnancy</w:t>
      </w:r>
    </w:p>
    <w:p w14:paraId="1FE12D0B" w14:textId="77777777" w:rsidR="00D02BC8" w:rsidRPr="00D31EBB" w:rsidRDefault="00D02BC8" w:rsidP="008B6CCB">
      <w:pPr>
        <w:pStyle w:val="EMEABodyText"/>
      </w:pPr>
      <w:r>
        <w:t>A moderate amount of data in pregnant women (between 300-1000 pregnancy outcomes) indicate no malformative toxicity of atazanavir. Animal studies do not indicate reproductive toxicity (see section 5.3). The use of REYATAZ with ritonavir may be considered during pregnancy only if the potential benefit justifies the potential risk.</w:t>
      </w:r>
    </w:p>
    <w:p w14:paraId="1C89B5EC" w14:textId="77777777" w:rsidR="00D02BC8" w:rsidRPr="00D31EBB" w:rsidRDefault="00D02BC8" w:rsidP="008B6CCB">
      <w:pPr>
        <w:pStyle w:val="EMEABodyText"/>
        <w:rPr>
          <w:noProof/>
          <w:lang w:val="en-US"/>
        </w:rPr>
      </w:pPr>
    </w:p>
    <w:p w14:paraId="6A14D7AD" w14:textId="77777777" w:rsidR="00D02BC8" w:rsidRPr="00D31EBB" w:rsidRDefault="00D02BC8" w:rsidP="008B6CCB">
      <w:pPr>
        <w:pStyle w:val="EMEABodyText"/>
        <w:rPr>
          <w:noProof/>
        </w:rPr>
      </w:pPr>
      <w:r>
        <w:t>In clinical trial AI424-182 REYATAZ/ritonavir (300/100 mg or 400/100 mg) in combination with zidovudine/lamivudine was administered to 41 pregnant women during the second or third trimester. Six of 20 (30%) women on REYATAZ/ritonavir 300/100 mg and 13 of 21 (62%) women on REYATAZ/ritonavir 400/100 mg experienced grades 3 to 4 hyperbilirubinaemia. There were no cases of lactic acidosis observed in the clinical trial AI424-182.</w:t>
      </w:r>
    </w:p>
    <w:p w14:paraId="3CA309D9" w14:textId="77777777" w:rsidR="00D02BC8" w:rsidRPr="00D31EBB" w:rsidRDefault="00D02BC8" w:rsidP="008B6CCB">
      <w:pPr>
        <w:pStyle w:val="EMEABodyText"/>
        <w:rPr>
          <w:noProof/>
          <w:lang w:val="en-US"/>
        </w:rPr>
      </w:pPr>
    </w:p>
    <w:p w14:paraId="55BDA94A" w14:textId="77777777" w:rsidR="00D02BC8" w:rsidRPr="00D31EBB" w:rsidRDefault="00D02BC8" w:rsidP="008B6CCB">
      <w:pPr>
        <w:pStyle w:val="EMEABodyText"/>
        <w:rPr>
          <w:noProof/>
        </w:rPr>
      </w:pPr>
      <w:r>
        <w:lastRenderedPageBreak/>
        <w:t>The study assessed 40 infants who received antiretroviral prophylactic treatment (which did not include REYATAZ) and were negative for HIV-1 DNA at the time of delivery and/or during the first 6 months postpartum. Three of 20 infants (15%) born to women treated with REYATAZ/ritonavir 300/100 mg and four of 20 infants (20%) born to women treated with REYATAZ/ritonavir 400/100 mg experienced grade 3-4 bilirubin. There was no evidence of pathologic jaundice and six of 40 infants in this study received phototherapy for a maximum of 4 days. There were no reported cases of kernicterus in neonates.</w:t>
      </w:r>
    </w:p>
    <w:p w14:paraId="68146574" w14:textId="77777777" w:rsidR="00D02BC8" w:rsidRPr="00D31EBB" w:rsidRDefault="00D02BC8" w:rsidP="008B6CCB">
      <w:pPr>
        <w:pStyle w:val="EMEABodyText"/>
        <w:rPr>
          <w:noProof/>
          <w:lang w:val="en-US"/>
        </w:rPr>
      </w:pPr>
    </w:p>
    <w:p w14:paraId="718510B8" w14:textId="77777777" w:rsidR="00D02BC8" w:rsidRPr="00D31EBB" w:rsidRDefault="00D02BC8" w:rsidP="008B6CCB">
      <w:pPr>
        <w:pStyle w:val="EMEABodyText"/>
        <w:rPr>
          <w:noProof/>
        </w:rPr>
      </w:pPr>
      <w:r>
        <w:t>For dosing recommendations see section 4.2 and for pharmacokinetic data see section 5.2.</w:t>
      </w:r>
    </w:p>
    <w:p w14:paraId="18DF4D2B" w14:textId="77777777" w:rsidR="00D02BC8" w:rsidRPr="00D31EBB" w:rsidRDefault="00D02BC8" w:rsidP="008B6CCB">
      <w:pPr>
        <w:pStyle w:val="EMEABodyText"/>
        <w:rPr>
          <w:noProof/>
          <w:lang w:val="en-US"/>
        </w:rPr>
      </w:pPr>
    </w:p>
    <w:p w14:paraId="49A03ADE" w14:textId="77777777" w:rsidR="00D02BC8" w:rsidRPr="00D31EBB" w:rsidRDefault="00D02BC8" w:rsidP="008B6CCB">
      <w:pPr>
        <w:pStyle w:val="EMEABodyText"/>
      </w:pPr>
      <w:r>
        <w:t>It is not known whether REYATAZ with ritonavir administered to the mother during pregnancy will exacerbate physiological hyperbilirubinaemia and lead to kernicterus in neonates and infants. In the prepartum period, additional monitoring should be considered.</w:t>
      </w:r>
    </w:p>
    <w:p w14:paraId="22FF4518" w14:textId="77777777" w:rsidR="00D02BC8" w:rsidRPr="00D31EBB" w:rsidRDefault="00D02BC8" w:rsidP="008B6CCB">
      <w:pPr>
        <w:pStyle w:val="EMEABodyText"/>
        <w:rPr>
          <w:u w:val="single"/>
          <w:lang w:val="en-US"/>
        </w:rPr>
      </w:pPr>
    </w:p>
    <w:p w14:paraId="360A7985" w14:textId="77777777" w:rsidR="003228A9" w:rsidRPr="00D31EBB" w:rsidRDefault="00D02BC8" w:rsidP="008B6CCB">
      <w:pPr>
        <w:pStyle w:val="EMEABodyText"/>
        <w:rPr>
          <w:u w:val="single"/>
        </w:rPr>
      </w:pPr>
      <w:r>
        <w:rPr>
          <w:u w:val="single"/>
        </w:rPr>
        <w:t>Breast-feeding</w:t>
      </w:r>
    </w:p>
    <w:p w14:paraId="4AE4A7F3" w14:textId="77777777" w:rsidR="00D02BC8" w:rsidRPr="00D31EBB" w:rsidRDefault="00C23538" w:rsidP="008B6CCB">
      <w:pPr>
        <w:pStyle w:val="EMEABodyText"/>
      </w:pPr>
      <w:r>
        <w:t>Atazanavir has been detected in human milk. As a general rule, it is recommended that HIV infected women not breast-feed their infants in order to avoid transmission of HIV.</w:t>
      </w:r>
    </w:p>
    <w:p w14:paraId="410BFDCD" w14:textId="77777777" w:rsidR="00D02BC8" w:rsidRPr="00D31EBB" w:rsidRDefault="00D02BC8" w:rsidP="008B6CCB">
      <w:pPr>
        <w:pStyle w:val="EMEABodyText"/>
        <w:rPr>
          <w:lang w:val="en-US"/>
        </w:rPr>
      </w:pPr>
    </w:p>
    <w:p w14:paraId="04148A3A" w14:textId="77777777" w:rsidR="003228A9" w:rsidRPr="00D31EBB" w:rsidRDefault="00D02BC8" w:rsidP="008B6CCB">
      <w:pPr>
        <w:pStyle w:val="EMEABodyText"/>
        <w:rPr>
          <w:u w:val="single"/>
        </w:rPr>
      </w:pPr>
      <w:r>
        <w:rPr>
          <w:u w:val="single"/>
        </w:rPr>
        <w:t>Fertility</w:t>
      </w:r>
    </w:p>
    <w:p w14:paraId="23078400" w14:textId="77777777" w:rsidR="00D02BC8" w:rsidRPr="00D31EBB" w:rsidRDefault="00D02BC8" w:rsidP="008B6CCB">
      <w:pPr>
        <w:pStyle w:val="EMEABodyText"/>
      </w:pPr>
      <w:r>
        <w:t>In a nonclinical fertility and early embryonic development study in rats, atazanavir altered oestrus cycling with no effects on mating or fertility (see section 5.3).</w:t>
      </w:r>
    </w:p>
    <w:p w14:paraId="725FBEED" w14:textId="77777777" w:rsidR="00D02BC8" w:rsidRPr="00D31EBB" w:rsidRDefault="00D02BC8" w:rsidP="008B6CCB">
      <w:pPr>
        <w:pStyle w:val="EMEABodyText"/>
        <w:rPr>
          <w:noProof/>
          <w:lang w:val="en-US"/>
        </w:rPr>
      </w:pPr>
    </w:p>
    <w:p w14:paraId="5E2C7C83" w14:textId="77777777" w:rsidR="00D02BC8" w:rsidRPr="00D31EBB" w:rsidRDefault="00D02BC8" w:rsidP="008B6CCB">
      <w:pPr>
        <w:pStyle w:val="EMEAHeading2"/>
        <w:rPr>
          <w:noProof/>
        </w:rPr>
      </w:pPr>
      <w:r>
        <w:t>4.7</w:t>
      </w:r>
      <w:r>
        <w:tab/>
        <w:t>Effects on ability to drive and use machines</w:t>
      </w:r>
    </w:p>
    <w:p w14:paraId="6BB19583" w14:textId="77777777" w:rsidR="00D02BC8" w:rsidRPr="00D31EBB" w:rsidRDefault="00D02BC8" w:rsidP="008B6CCB">
      <w:pPr>
        <w:pStyle w:val="EMEAHeading2"/>
        <w:rPr>
          <w:noProof/>
          <w:lang w:val="en-US"/>
        </w:rPr>
      </w:pPr>
    </w:p>
    <w:p w14:paraId="16C1C053" w14:textId="77777777" w:rsidR="00D02BC8" w:rsidRPr="00D31EBB" w:rsidRDefault="00D02BC8" w:rsidP="008B6CCB">
      <w:pPr>
        <w:pStyle w:val="EMEABodyText"/>
      </w:pPr>
      <w:r>
        <w:t xml:space="preserve">Patients should be informed that dizziness has been reported during treatment with regimens containing REYATAZ (see section 4.8). </w:t>
      </w:r>
    </w:p>
    <w:p w14:paraId="21FBDBD6" w14:textId="77777777" w:rsidR="00D02BC8" w:rsidRPr="00D31EBB" w:rsidRDefault="00D02BC8" w:rsidP="008B6CCB">
      <w:pPr>
        <w:pStyle w:val="EMEABodyText"/>
        <w:rPr>
          <w:noProof/>
          <w:lang w:val="en-US"/>
        </w:rPr>
      </w:pPr>
    </w:p>
    <w:p w14:paraId="562D769C" w14:textId="77777777" w:rsidR="00D02BC8" w:rsidRPr="00D31EBB" w:rsidRDefault="00D02BC8" w:rsidP="008B6CCB">
      <w:pPr>
        <w:pStyle w:val="EMEAHeading2"/>
        <w:rPr>
          <w:noProof/>
        </w:rPr>
      </w:pPr>
      <w:r>
        <w:t>4.8</w:t>
      </w:r>
      <w:r>
        <w:tab/>
        <w:t>Undesirable effects</w:t>
      </w:r>
    </w:p>
    <w:p w14:paraId="292C1EA8" w14:textId="77777777" w:rsidR="00D02BC8" w:rsidRPr="00D31EBB" w:rsidRDefault="00D02BC8" w:rsidP="008B6CCB">
      <w:pPr>
        <w:pStyle w:val="EMEABodyText"/>
        <w:rPr>
          <w:lang w:val="en-US"/>
        </w:rPr>
      </w:pPr>
    </w:p>
    <w:p w14:paraId="1CA0E0A9" w14:textId="77777777" w:rsidR="003228A9" w:rsidRPr="00D31EBB" w:rsidRDefault="00D02BC8" w:rsidP="008B6CCB">
      <w:pPr>
        <w:pStyle w:val="EMEABodyText"/>
        <w:rPr>
          <w:b/>
        </w:rPr>
      </w:pPr>
      <w:r>
        <w:rPr>
          <w:u w:val="single"/>
        </w:rPr>
        <w:t>Summary of the safety profile</w:t>
      </w:r>
    </w:p>
    <w:p w14:paraId="62D76DC3" w14:textId="77777777" w:rsidR="00D02BC8" w:rsidRPr="00D31EBB" w:rsidRDefault="00D02BC8" w:rsidP="008B6CCB">
      <w:pPr>
        <w:pStyle w:val="EMEABodyText"/>
      </w:pPr>
      <w:r>
        <w:t>REYATAZ has been evaluated for safety in combination therapy with other antiretroviral medicinal products in controlled clinical trials in 1,806 adult patients receiving REYATAZ 400 mg once daily (1,151 patients, 52 weeks median duration and 152 weeks maximum duration) or REYATAZ 300 mg with ritonavir 100 mg once daily (655 patients, 96 weeks median duration and 108 weeks maximum duration).</w:t>
      </w:r>
    </w:p>
    <w:p w14:paraId="7D9ABEC8" w14:textId="77777777" w:rsidR="00D02BC8" w:rsidRPr="00D31EBB" w:rsidRDefault="00D02BC8" w:rsidP="008B6CCB">
      <w:pPr>
        <w:pStyle w:val="EMEABodyText"/>
        <w:rPr>
          <w:lang w:val="en-US"/>
        </w:rPr>
      </w:pPr>
    </w:p>
    <w:p w14:paraId="349602E8" w14:textId="77777777" w:rsidR="00D02BC8" w:rsidRPr="00D31EBB" w:rsidRDefault="00D02BC8" w:rsidP="008B6CCB">
      <w:pPr>
        <w:pStyle w:val="EMEABodyText"/>
        <w:rPr>
          <w:sz w:val="20"/>
        </w:rPr>
      </w:pPr>
      <w:r>
        <w:t>Adverse reactions were consistent between patients who received REYATAZ 400 mg once daily and patients who received REYATAZ 300 mg with ritonavir 100 mg once daily, except that jaundice and elevated total bilirubin levels were reported more frequently with REYATAZ plus ritonavir.</w:t>
      </w:r>
    </w:p>
    <w:p w14:paraId="79FA48AF" w14:textId="77777777" w:rsidR="00D02BC8" w:rsidRPr="00D31EBB" w:rsidRDefault="00D02BC8" w:rsidP="008B6CCB">
      <w:pPr>
        <w:pStyle w:val="EMEABodyText"/>
        <w:rPr>
          <w:lang w:val="en-US"/>
        </w:rPr>
      </w:pPr>
    </w:p>
    <w:p w14:paraId="11C34994" w14:textId="77777777" w:rsidR="00D02BC8" w:rsidRPr="00D31EBB" w:rsidRDefault="00D02BC8" w:rsidP="008B6CCB">
      <w:pPr>
        <w:pStyle w:val="EMEABodyText"/>
      </w:pPr>
      <w:r>
        <w:t>Among patients who received REYATAZ 400 mg once daily or REYATAZ 300 mg with ritonavir 100 mg once daily, the only adverse reactions of any severity reported very commonly with at least a possible relationship to regimens containing REYATAZ and one or more NRTIs were nausea (20%), diarrhoea (10%), and jaundice (13%). Among patients receiving REYATAZ 300 mg with ritonavir 100 mg, the frequency of jaundice was 19%. In the majority of cases, jaundice was reported within a few days to a few months after the initiation of treatment (see section 4.4).</w:t>
      </w:r>
    </w:p>
    <w:p w14:paraId="0BEA6ABE" w14:textId="77777777" w:rsidR="00EF4F14" w:rsidRPr="00D31EBB" w:rsidRDefault="00EF4F14" w:rsidP="00EF4F14">
      <w:pPr>
        <w:pStyle w:val="EMEABodyText"/>
        <w:rPr>
          <w:highlight w:val="yellow"/>
          <w:lang w:val="en-US"/>
        </w:rPr>
      </w:pPr>
    </w:p>
    <w:p w14:paraId="3B0DA270" w14:textId="77777777" w:rsidR="00EF4F14" w:rsidRPr="00D31EBB" w:rsidRDefault="00EF4F14" w:rsidP="00EF4F14">
      <w:pPr>
        <w:pStyle w:val="EMEABodyText"/>
      </w:pPr>
      <w:r>
        <w:t>Chronic kidney disease in HIV-infected patients treated with atazanavir, with or without ritonavir, has been reported during postmarketing surveillance. A large prospective observational study has shown an association between an increased incidence of chronic kidney disease and cumulative exposure to atazanavir/ritonavir-containing regimen in HIV-infected patients with an initially normal eGFR. This association was observed independently of exposure to tenofovir disoproxil. Regular monitoring of the renal function of patients should be maintained throughout the treatment duration (see section 4.4).</w:t>
      </w:r>
    </w:p>
    <w:p w14:paraId="151D6AFF" w14:textId="77777777" w:rsidR="00D02BC8" w:rsidRPr="00D31EBB" w:rsidRDefault="00D02BC8" w:rsidP="008B6CCB">
      <w:pPr>
        <w:pStyle w:val="EMEABodyText"/>
        <w:rPr>
          <w:strike/>
          <w:lang w:val="en-US"/>
        </w:rPr>
      </w:pPr>
    </w:p>
    <w:p w14:paraId="249E76FB" w14:textId="77777777" w:rsidR="003228A9" w:rsidRPr="00D31EBB" w:rsidRDefault="00D02BC8" w:rsidP="008B6CCB">
      <w:pPr>
        <w:pStyle w:val="EMEABodyText"/>
        <w:keepNext/>
        <w:rPr>
          <w:b/>
        </w:rPr>
      </w:pPr>
      <w:r>
        <w:rPr>
          <w:u w:val="single"/>
        </w:rPr>
        <w:t>Tabulated list of adverse reactions</w:t>
      </w:r>
    </w:p>
    <w:p w14:paraId="6E473374" w14:textId="77777777" w:rsidR="00D02BC8" w:rsidRPr="00D31EBB" w:rsidRDefault="00D02BC8" w:rsidP="008B6CCB">
      <w:pPr>
        <w:pStyle w:val="EMEABodyText"/>
        <w:rPr>
          <w:noProof/>
        </w:rPr>
      </w:pPr>
      <w:r>
        <w:t xml:space="preserve">Assessment of adverse reactions for REYATAZ is based on safety data from clinical studies and post-marketing experience. Frequency is defined using the following convention: very common (≥ 1/10), </w:t>
      </w:r>
      <w:r>
        <w:lastRenderedPageBreak/>
        <w:t>common (≥ 1/100 to &lt; 1/10), uncommon (≥ 1/1,000 to &lt; 1/100), rare (≥ 1/10,000 to &lt; 1/1,000), very rare (&lt; 1/10,000). Within each frequency grouping, undesirable effects are presented in order of decreasing seriousness.</w:t>
      </w:r>
    </w:p>
    <w:p w14:paraId="3C8DD2CA" w14:textId="77777777" w:rsidR="00D02BC8" w:rsidRPr="00D31EBB" w:rsidRDefault="00D02BC8" w:rsidP="008B6CCB">
      <w:pPr>
        <w:pStyle w:val="EMEABodyText"/>
        <w:keepNext/>
        <w:rPr>
          <w:lang w:val="en-US"/>
        </w:rPr>
      </w:pPr>
    </w:p>
    <w:tbl>
      <w:tblPr>
        <w:tblW w:w="8647" w:type="dxa"/>
        <w:tblInd w:w="675" w:type="dxa"/>
        <w:tblLayout w:type="fixed"/>
        <w:tblLook w:val="0000" w:firstRow="0" w:lastRow="0" w:firstColumn="0" w:lastColumn="0" w:noHBand="0" w:noVBand="0"/>
      </w:tblPr>
      <w:tblGrid>
        <w:gridCol w:w="3303"/>
        <w:gridCol w:w="5344"/>
      </w:tblGrid>
      <w:tr w:rsidR="00D02BC8" w:rsidRPr="004F3582" w14:paraId="7B8D9DE0" w14:textId="77777777" w:rsidTr="008B6CCB">
        <w:tc>
          <w:tcPr>
            <w:tcW w:w="3303" w:type="dxa"/>
          </w:tcPr>
          <w:p w14:paraId="27DC6DB8" w14:textId="77777777" w:rsidR="00D02BC8" w:rsidRPr="004F3582" w:rsidRDefault="00D02BC8" w:rsidP="008B6CCB">
            <w:pPr>
              <w:pStyle w:val="EMEABodyText"/>
              <w:tabs>
                <w:tab w:val="left" w:pos="3960"/>
              </w:tabs>
              <w:rPr>
                <w:i/>
              </w:rPr>
            </w:pPr>
            <w:r>
              <w:rPr>
                <w:i/>
              </w:rPr>
              <w:t>Immune system disorders:</w:t>
            </w:r>
          </w:p>
        </w:tc>
        <w:tc>
          <w:tcPr>
            <w:tcW w:w="5344" w:type="dxa"/>
          </w:tcPr>
          <w:p w14:paraId="4E69F99E" w14:textId="77777777" w:rsidR="00D02BC8" w:rsidRPr="004F3582" w:rsidRDefault="00D02BC8" w:rsidP="008B6CCB">
            <w:pPr>
              <w:pStyle w:val="EMEABodyText"/>
              <w:tabs>
                <w:tab w:val="left" w:pos="3960"/>
              </w:tabs>
            </w:pPr>
            <w:r>
              <w:t>uncommon: hypersensitivity</w:t>
            </w:r>
          </w:p>
          <w:p w14:paraId="529A1111" w14:textId="77777777" w:rsidR="00D02BC8" w:rsidRPr="004F3582" w:rsidRDefault="00D02BC8" w:rsidP="008B6CCB">
            <w:pPr>
              <w:pStyle w:val="EMEABodyText"/>
              <w:tabs>
                <w:tab w:val="left" w:pos="3960"/>
              </w:tabs>
            </w:pPr>
          </w:p>
        </w:tc>
      </w:tr>
      <w:tr w:rsidR="00D02BC8" w:rsidRPr="00965E20" w14:paraId="66F06E5C" w14:textId="77777777" w:rsidTr="008B6CCB">
        <w:tc>
          <w:tcPr>
            <w:tcW w:w="3303" w:type="dxa"/>
          </w:tcPr>
          <w:p w14:paraId="02EE9F60" w14:textId="77777777" w:rsidR="00D02BC8" w:rsidRPr="004F3582" w:rsidRDefault="00D02BC8" w:rsidP="008B6CCB">
            <w:pPr>
              <w:pStyle w:val="EMEABodyText"/>
              <w:tabs>
                <w:tab w:val="left" w:pos="3960"/>
              </w:tabs>
              <w:rPr>
                <w:i/>
              </w:rPr>
            </w:pPr>
            <w:r>
              <w:rPr>
                <w:i/>
              </w:rPr>
              <w:t>Metabolism and nutrition disorders:</w:t>
            </w:r>
          </w:p>
        </w:tc>
        <w:tc>
          <w:tcPr>
            <w:tcW w:w="5344" w:type="dxa"/>
          </w:tcPr>
          <w:p w14:paraId="1764E93D" w14:textId="77777777" w:rsidR="00D02BC8" w:rsidRPr="00D31EBB" w:rsidRDefault="00D02BC8" w:rsidP="008B6CCB">
            <w:pPr>
              <w:pStyle w:val="EMEABodyText"/>
            </w:pPr>
            <w:r>
              <w:t>uncommon: weight decreased, weight gain, anorexia, appetite increased</w:t>
            </w:r>
          </w:p>
          <w:p w14:paraId="155487F5" w14:textId="77777777" w:rsidR="00D02BC8" w:rsidRPr="00D31EBB" w:rsidRDefault="00D02BC8" w:rsidP="008B6CCB">
            <w:pPr>
              <w:pStyle w:val="EMEABodyText"/>
              <w:rPr>
                <w:lang w:val="en-US"/>
              </w:rPr>
            </w:pPr>
          </w:p>
        </w:tc>
      </w:tr>
      <w:tr w:rsidR="00D02BC8" w:rsidRPr="00965E20" w14:paraId="76E637C3" w14:textId="77777777" w:rsidTr="008B6CCB">
        <w:tc>
          <w:tcPr>
            <w:tcW w:w="3303" w:type="dxa"/>
          </w:tcPr>
          <w:p w14:paraId="30C6ADA5" w14:textId="77777777" w:rsidR="00D02BC8" w:rsidRPr="004F3582" w:rsidRDefault="00D02BC8" w:rsidP="008B6CCB">
            <w:pPr>
              <w:pStyle w:val="EMEABodyText"/>
              <w:rPr>
                <w:i/>
              </w:rPr>
            </w:pPr>
            <w:r>
              <w:rPr>
                <w:i/>
              </w:rPr>
              <w:t>Psychiatric disorders:</w:t>
            </w:r>
          </w:p>
          <w:p w14:paraId="51004DD6" w14:textId="77777777" w:rsidR="00D02BC8" w:rsidRPr="004F3582" w:rsidRDefault="00D02BC8" w:rsidP="008B6CCB">
            <w:pPr>
              <w:pStyle w:val="EMEABodyText"/>
              <w:tabs>
                <w:tab w:val="left" w:pos="3960"/>
              </w:tabs>
              <w:rPr>
                <w:i/>
              </w:rPr>
            </w:pPr>
          </w:p>
        </w:tc>
        <w:tc>
          <w:tcPr>
            <w:tcW w:w="5344" w:type="dxa"/>
          </w:tcPr>
          <w:p w14:paraId="13B6DBBE" w14:textId="77777777" w:rsidR="00D02BC8" w:rsidRPr="00D31EBB" w:rsidRDefault="00D02BC8" w:rsidP="008B6CCB">
            <w:pPr>
              <w:pStyle w:val="EMEABodyText"/>
              <w:tabs>
                <w:tab w:val="left" w:pos="3960"/>
              </w:tabs>
            </w:pPr>
            <w:r>
              <w:t>uncommon: depression, disorientation, anxiety, insomnia, sleep disorder, abnormal dream</w:t>
            </w:r>
          </w:p>
          <w:p w14:paraId="6918C90F" w14:textId="77777777" w:rsidR="00D02BC8" w:rsidRPr="00D31EBB" w:rsidRDefault="00D02BC8" w:rsidP="008B6CCB">
            <w:pPr>
              <w:pStyle w:val="EMEABodyText"/>
              <w:tabs>
                <w:tab w:val="left" w:pos="3960"/>
              </w:tabs>
              <w:rPr>
                <w:lang w:val="en-US"/>
              </w:rPr>
            </w:pPr>
          </w:p>
        </w:tc>
      </w:tr>
      <w:tr w:rsidR="00D02BC8" w:rsidRPr="004F3582" w14:paraId="6BA03DFF" w14:textId="77777777" w:rsidTr="008B6CCB">
        <w:tc>
          <w:tcPr>
            <w:tcW w:w="3303" w:type="dxa"/>
          </w:tcPr>
          <w:p w14:paraId="78F62295" w14:textId="77777777" w:rsidR="00D02BC8" w:rsidRPr="004F3582" w:rsidRDefault="00D02BC8" w:rsidP="008B6CCB">
            <w:pPr>
              <w:pStyle w:val="EMEABodyText"/>
              <w:tabs>
                <w:tab w:val="left" w:pos="3960"/>
              </w:tabs>
              <w:rPr>
                <w:i/>
              </w:rPr>
            </w:pPr>
            <w:r>
              <w:rPr>
                <w:i/>
              </w:rPr>
              <w:t>Nervous system disorders:</w:t>
            </w:r>
          </w:p>
        </w:tc>
        <w:tc>
          <w:tcPr>
            <w:tcW w:w="5344" w:type="dxa"/>
          </w:tcPr>
          <w:p w14:paraId="159999F4" w14:textId="77777777" w:rsidR="00D02BC8" w:rsidRPr="004F3582" w:rsidRDefault="00D02BC8" w:rsidP="008B6CCB">
            <w:pPr>
              <w:pStyle w:val="EMEABodyText"/>
              <w:tabs>
                <w:tab w:val="left" w:pos="3960"/>
              </w:tabs>
            </w:pPr>
            <w:r>
              <w:t>common: headache;</w:t>
            </w:r>
          </w:p>
          <w:p w14:paraId="40B3E7CD" w14:textId="77777777" w:rsidR="00D02BC8" w:rsidRPr="004F3582" w:rsidRDefault="00D02BC8" w:rsidP="008B6CCB">
            <w:pPr>
              <w:pStyle w:val="EMEABodyText"/>
              <w:tabs>
                <w:tab w:val="left" w:pos="3960"/>
              </w:tabs>
            </w:pPr>
            <w:r>
              <w:t>uncommon: peripheral neuropathy, syncope, amnesia, dizziness, somnolence, dysgeusia</w:t>
            </w:r>
          </w:p>
          <w:p w14:paraId="50D08C39" w14:textId="77777777" w:rsidR="00D02BC8" w:rsidRPr="004F3582" w:rsidRDefault="00D02BC8" w:rsidP="008B6CCB">
            <w:pPr>
              <w:pStyle w:val="EMEABodyText"/>
              <w:tabs>
                <w:tab w:val="left" w:pos="3960"/>
              </w:tabs>
              <w:rPr>
                <w:i/>
              </w:rPr>
            </w:pPr>
          </w:p>
        </w:tc>
      </w:tr>
      <w:tr w:rsidR="00D02BC8" w:rsidRPr="004F3582" w14:paraId="0E479A53" w14:textId="77777777" w:rsidTr="008B6CCB">
        <w:tc>
          <w:tcPr>
            <w:tcW w:w="3303" w:type="dxa"/>
          </w:tcPr>
          <w:p w14:paraId="7D7750ED" w14:textId="77777777" w:rsidR="00D02BC8" w:rsidRPr="004F3582" w:rsidRDefault="00D02BC8" w:rsidP="008B6CCB">
            <w:pPr>
              <w:pStyle w:val="EMEABodyText"/>
              <w:tabs>
                <w:tab w:val="left" w:pos="3960"/>
              </w:tabs>
              <w:rPr>
                <w:i/>
              </w:rPr>
            </w:pPr>
            <w:r>
              <w:rPr>
                <w:i/>
              </w:rPr>
              <w:t>Eye disorders:</w:t>
            </w:r>
          </w:p>
        </w:tc>
        <w:tc>
          <w:tcPr>
            <w:tcW w:w="5344" w:type="dxa"/>
          </w:tcPr>
          <w:p w14:paraId="65688683" w14:textId="77777777" w:rsidR="00D02BC8" w:rsidRPr="004F3582" w:rsidRDefault="00D02BC8" w:rsidP="008B6CCB">
            <w:pPr>
              <w:pStyle w:val="EMEABodyText"/>
              <w:tabs>
                <w:tab w:val="left" w:pos="3960"/>
              </w:tabs>
            </w:pPr>
            <w:r>
              <w:t>common: ocular icterus</w:t>
            </w:r>
          </w:p>
          <w:p w14:paraId="75FD3783" w14:textId="77777777" w:rsidR="00D02BC8" w:rsidRPr="004F3582" w:rsidRDefault="00D02BC8" w:rsidP="008B6CCB">
            <w:pPr>
              <w:pStyle w:val="EMEABodyText"/>
              <w:tabs>
                <w:tab w:val="left" w:pos="3960"/>
              </w:tabs>
              <w:rPr>
                <w:i/>
              </w:rPr>
            </w:pPr>
          </w:p>
        </w:tc>
      </w:tr>
      <w:tr w:rsidR="00D02BC8" w:rsidRPr="00324E2C" w14:paraId="5E67138B" w14:textId="77777777" w:rsidTr="008B6CCB">
        <w:tc>
          <w:tcPr>
            <w:tcW w:w="3303" w:type="dxa"/>
          </w:tcPr>
          <w:p w14:paraId="6BF80DD5" w14:textId="77777777" w:rsidR="00D02BC8" w:rsidRPr="004F3582" w:rsidRDefault="00D02BC8" w:rsidP="008B6CCB">
            <w:pPr>
              <w:pStyle w:val="EMEABodyText"/>
              <w:tabs>
                <w:tab w:val="left" w:pos="3960"/>
              </w:tabs>
              <w:rPr>
                <w:i/>
              </w:rPr>
            </w:pPr>
            <w:r>
              <w:rPr>
                <w:i/>
              </w:rPr>
              <w:t>Cardiac disorders:</w:t>
            </w:r>
          </w:p>
        </w:tc>
        <w:tc>
          <w:tcPr>
            <w:tcW w:w="5344" w:type="dxa"/>
          </w:tcPr>
          <w:p w14:paraId="2637A09D" w14:textId="77777777" w:rsidR="00D02BC8" w:rsidRPr="00C23538" w:rsidRDefault="00D02BC8" w:rsidP="004B1771">
            <w:pPr>
              <w:pStyle w:val="EMEABodyText"/>
              <w:keepNext/>
              <w:tabs>
                <w:tab w:val="left" w:pos="3960"/>
              </w:tabs>
            </w:pPr>
            <w:r>
              <w:t>uncommon: torsades de pointes</w:t>
            </w:r>
            <w:r>
              <w:rPr>
                <w:vertAlign w:val="superscript"/>
              </w:rPr>
              <w:t>a</w:t>
            </w:r>
          </w:p>
          <w:p w14:paraId="3F1960CE" w14:textId="77777777" w:rsidR="00D02BC8" w:rsidRPr="00C23538" w:rsidRDefault="00D02BC8" w:rsidP="004B1771">
            <w:pPr>
              <w:pStyle w:val="EMEABodyText"/>
              <w:keepNext/>
              <w:tabs>
                <w:tab w:val="left" w:pos="3960"/>
              </w:tabs>
            </w:pPr>
            <w:r>
              <w:t>rare: QTc prolongation</w:t>
            </w:r>
            <w:r>
              <w:rPr>
                <w:vertAlign w:val="superscript"/>
              </w:rPr>
              <w:t>a</w:t>
            </w:r>
            <w:r>
              <w:t>, oedema, palpitation</w:t>
            </w:r>
          </w:p>
          <w:p w14:paraId="4BA39A66" w14:textId="77777777" w:rsidR="00D02BC8" w:rsidRPr="00C23538" w:rsidRDefault="00D02BC8" w:rsidP="008B6CCB">
            <w:pPr>
              <w:pStyle w:val="EMEABodyText"/>
              <w:keepNext/>
              <w:tabs>
                <w:tab w:val="left" w:pos="3960"/>
              </w:tabs>
            </w:pPr>
          </w:p>
        </w:tc>
      </w:tr>
      <w:tr w:rsidR="00D02BC8" w:rsidRPr="004F3582" w14:paraId="3797C4C5" w14:textId="77777777" w:rsidTr="008B6CCB">
        <w:tc>
          <w:tcPr>
            <w:tcW w:w="3303" w:type="dxa"/>
          </w:tcPr>
          <w:p w14:paraId="3365A931" w14:textId="77777777" w:rsidR="00D02BC8" w:rsidRPr="004F3582" w:rsidRDefault="00D02BC8" w:rsidP="008B6CCB">
            <w:pPr>
              <w:pStyle w:val="EMEABodyText"/>
              <w:tabs>
                <w:tab w:val="left" w:pos="3960"/>
              </w:tabs>
              <w:rPr>
                <w:i/>
              </w:rPr>
            </w:pPr>
            <w:r>
              <w:rPr>
                <w:i/>
              </w:rPr>
              <w:t>Vascular disorders:</w:t>
            </w:r>
          </w:p>
          <w:p w14:paraId="5E1893A4" w14:textId="77777777" w:rsidR="00D02BC8" w:rsidRPr="004F3582" w:rsidRDefault="00D02BC8" w:rsidP="008B6CCB">
            <w:pPr>
              <w:pStyle w:val="EMEABodyText"/>
              <w:tabs>
                <w:tab w:val="left" w:pos="3960"/>
              </w:tabs>
              <w:rPr>
                <w:i/>
              </w:rPr>
            </w:pPr>
          </w:p>
        </w:tc>
        <w:tc>
          <w:tcPr>
            <w:tcW w:w="5344" w:type="dxa"/>
          </w:tcPr>
          <w:p w14:paraId="6FE4E86C" w14:textId="77777777" w:rsidR="00D02BC8" w:rsidRPr="004F3582" w:rsidRDefault="00D02BC8" w:rsidP="008B6CCB">
            <w:pPr>
              <w:pStyle w:val="EMEABodyText"/>
            </w:pPr>
            <w:r>
              <w:t>uncommon: hypertension</w:t>
            </w:r>
          </w:p>
          <w:p w14:paraId="3BB55C03" w14:textId="77777777" w:rsidR="00D02BC8" w:rsidRPr="004F3582" w:rsidRDefault="00D02BC8" w:rsidP="008B6CCB">
            <w:pPr>
              <w:pStyle w:val="EMEABodyText"/>
              <w:tabs>
                <w:tab w:val="left" w:pos="3960"/>
              </w:tabs>
            </w:pPr>
          </w:p>
        </w:tc>
      </w:tr>
      <w:tr w:rsidR="00D02BC8" w:rsidRPr="004F3582" w14:paraId="0A9EF74F" w14:textId="77777777" w:rsidTr="008B6CCB">
        <w:tc>
          <w:tcPr>
            <w:tcW w:w="3303" w:type="dxa"/>
          </w:tcPr>
          <w:p w14:paraId="54647FB3" w14:textId="77777777" w:rsidR="00D02BC8" w:rsidRPr="00D31EBB" w:rsidRDefault="00D02BC8" w:rsidP="008B6CCB">
            <w:pPr>
              <w:pStyle w:val="EMEABodyText"/>
              <w:tabs>
                <w:tab w:val="left" w:pos="3960"/>
              </w:tabs>
              <w:rPr>
                <w:i/>
              </w:rPr>
            </w:pPr>
            <w:r>
              <w:rPr>
                <w:i/>
              </w:rPr>
              <w:t>Respiratory, thoracic and mediastinal disorders:</w:t>
            </w:r>
          </w:p>
          <w:p w14:paraId="2E83D078" w14:textId="77777777" w:rsidR="00D02BC8" w:rsidRPr="00D31EBB" w:rsidRDefault="00D02BC8" w:rsidP="008B6CCB">
            <w:pPr>
              <w:pStyle w:val="EMEABodyText"/>
              <w:tabs>
                <w:tab w:val="left" w:pos="3960"/>
              </w:tabs>
              <w:rPr>
                <w:i/>
                <w:lang w:val="en-US"/>
              </w:rPr>
            </w:pPr>
          </w:p>
        </w:tc>
        <w:tc>
          <w:tcPr>
            <w:tcW w:w="5344" w:type="dxa"/>
          </w:tcPr>
          <w:p w14:paraId="11E1484A" w14:textId="77777777" w:rsidR="00D02BC8" w:rsidRPr="004F3582" w:rsidRDefault="00D02BC8" w:rsidP="008B6CCB">
            <w:pPr>
              <w:pStyle w:val="EMEABodyText"/>
              <w:tabs>
                <w:tab w:val="left" w:pos="3960"/>
              </w:tabs>
            </w:pPr>
            <w:r>
              <w:t>uncommon: dyspnoea</w:t>
            </w:r>
          </w:p>
        </w:tc>
      </w:tr>
      <w:tr w:rsidR="00D02BC8" w:rsidRPr="00965E20" w14:paraId="2D632401" w14:textId="77777777" w:rsidTr="008B6CCB">
        <w:tc>
          <w:tcPr>
            <w:tcW w:w="3303" w:type="dxa"/>
          </w:tcPr>
          <w:p w14:paraId="0F823C90" w14:textId="77777777" w:rsidR="00D02BC8" w:rsidRPr="004F3582" w:rsidRDefault="00D02BC8" w:rsidP="008B6CCB">
            <w:pPr>
              <w:pStyle w:val="EMEABodyText"/>
              <w:tabs>
                <w:tab w:val="left" w:pos="3960"/>
              </w:tabs>
              <w:rPr>
                <w:i/>
              </w:rPr>
            </w:pPr>
            <w:r>
              <w:rPr>
                <w:i/>
              </w:rPr>
              <w:t>Gastrointestinal disorders:</w:t>
            </w:r>
          </w:p>
        </w:tc>
        <w:tc>
          <w:tcPr>
            <w:tcW w:w="5344" w:type="dxa"/>
          </w:tcPr>
          <w:p w14:paraId="125A0FE5" w14:textId="77777777" w:rsidR="00D02BC8" w:rsidRPr="00D31EBB" w:rsidRDefault="00D02BC8" w:rsidP="008B6CCB">
            <w:pPr>
              <w:pStyle w:val="EMEABodyText"/>
              <w:tabs>
                <w:tab w:val="left" w:pos="3960"/>
              </w:tabs>
            </w:pPr>
            <w:r>
              <w:t>common: vomiting, diarrhoea, abdominal pain, nausea, dyspepsia;</w:t>
            </w:r>
          </w:p>
          <w:p w14:paraId="242084C8" w14:textId="77777777" w:rsidR="00D02BC8" w:rsidRPr="00D31EBB" w:rsidRDefault="00D02BC8" w:rsidP="008B6CCB">
            <w:pPr>
              <w:pStyle w:val="EMEABodyText"/>
            </w:pPr>
            <w:r>
              <w:t>uncommon: pancreatitis, gastritis, abdominal distension, stomatitis aphthous, flatulence, dry mouth</w:t>
            </w:r>
          </w:p>
          <w:p w14:paraId="0E92B62A" w14:textId="77777777" w:rsidR="00D02BC8" w:rsidRPr="00D31EBB" w:rsidRDefault="00D02BC8" w:rsidP="008B6CCB">
            <w:pPr>
              <w:pStyle w:val="EMEABodyText"/>
              <w:tabs>
                <w:tab w:val="left" w:pos="3960"/>
              </w:tabs>
              <w:rPr>
                <w:i/>
                <w:lang w:val="en-US"/>
              </w:rPr>
            </w:pPr>
          </w:p>
        </w:tc>
      </w:tr>
      <w:tr w:rsidR="00D02BC8" w:rsidRPr="004F3582" w14:paraId="02626597" w14:textId="77777777" w:rsidTr="008B6CCB">
        <w:tc>
          <w:tcPr>
            <w:tcW w:w="3303" w:type="dxa"/>
          </w:tcPr>
          <w:p w14:paraId="4F68FD6C" w14:textId="77777777" w:rsidR="00D02BC8" w:rsidRPr="004F3582" w:rsidDel="00F47AF7" w:rsidRDefault="00D02BC8" w:rsidP="008B6CCB">
            <w:pPr>
              <w:pStyle w:val="EMEABodyText"/>
              <w:tabs>
                <w:tab w:val="left" w:pos="3960"/>
              </w:tabs>
              <w:rPr>
                <w:i/>
              </w:rPr>
            </w:pPr>
            <w:r>
              <w:rPr>
                <w:i/>
              </w:rPr>
              <w:t>Hepatobiliary disorders:</w:t>
            </w:r>
          </w:p>
        </w:tc>
        <w:tc>
          <w:tcPr>
            <w:tcW w:w="5344" w:type="dxa"/>
          </w:tcPr>
          <w:p w14:paraId="09CF07E2" w14:textId="77777777" w:rsidR="00D02BC8" w:rsidRPr="00D31EBB" w:rsidRDefault="00D02BC8" w:rsidP="008B6CCB">
            <w:pPr>
              <w:pStyle w:val="EMEABodyText"/>
              <w:tabs>
                <w:tab w:val="left" w:pos="3960"/>
              </w:tabs>
            </w:pPr>
            <w:r>
              <w:t>common: jaundice;</w:t>
            </w:r>
          </w:p>
          <w:p w14:paraId="666E0EF0" w14:textId="77777777" w:rsidR="00D02BC8" w:rsidRPr="00D31EBB" w:rsidRDefault="00D02BC8" w:rsidP="004B1771">
            <w:pPr>
              <w:pStyle w:val="EMEABodyText"/>
            </w:pPr>
            <w:r>
              <w:t>uncommon: hepatitis, cholelithiasis</w:t>
            </w:r>
            <w:r>
              <w:rPr>
                <w:vertAlign w:val="superscript"/>
              </w:rPr>
              <w:t>a</w:t>
            </w:r>
            <w:r>
              <w:t>, cholestasis</w:t>
            </w:r>
            <w:r>
              <w:rPr>
                <w:vertAlign w:val="superscript"/>
              </w:rPr>
              <w:t>a</w:t>
            </w:r>
            <w:r>
              <w:t>;</w:t>
            </w:r>
          </w:p>
          <w:p w14:paraId="274002FA" w14:textId="77777777" w:rsidR="00D02BC8" w:rsidRPr="004F3582" w:rsidRDefault="00D02BC8" w:rsidP="004B1771">
            <w:pPr>
              <w:pStyle w:val="EMEABodyText"/>
            </w:pPr>
            <w:r>
              <w:t>rare: hepatosplenomegaly, cholecystitis</w:t>
            </w:r>
            <w:r>
              <w:rPr>
                <w:vertAlign w:val="superscript"/>
              </w:rPr>
              <w:t>a</w:t>
            </w:r>
          </w:p>
          <w:p w14:paraId="5DBEF8FA" w14:textId="77777777" w:rsidR="00D02BC8" w:rsidRPr="004F3582" w:rsidDel="00F47AF7" w:rsidRDefault="00D02BC8" w:rsidP="008B6CCB">
            <w:pPr>
              <w:pStyle w:val="EMEABodyText"/>
              <w:tabs>
                <w:tab w:val="left" w:pos="3960"/>
              </w:tabs>
            </w:pPr>
          </w:p>
        </w:tc>
      </w:tr>
      <w:tr w:rsidR="00D02BC8" w:rsidRPr="004F3582" w14:paraId="2B74E899" w14:textId="77777777" w:rsidTr="008B6CCB">
        <w:tc>
          <w:tcPr>
            <w:tcW w:w="3303" w:type="dxa"/>
          </w:tcPr>
          <w:p w14:paraId="13E0125F" w14:textId="77777777" w:rsidR="00D02BC8" w:rsidRPr="00D31EBB" w:rsidRDefault="00D02BC8" w:rsidP="008B6CCB">
            <w:pPr>
              <w:pStyle w:val="EMEABodyText"/>
              <w:tabs>
                <w:tab w:val="left" w:pos="3960"/>
              </w:tabs>
              <w:rPr>
                <w:i/>
              </w:rPr>
            </w:pPr>
            <w:r>
              <w:rPr>
                <w:i/>
              </w:rPr>
              <w:t>Skin and subcutaneous tissue disorders:</w:t>
            </w:r>
          </w:p>
          <w:p w14:paraId="162D890E" w14:textId="77777777" w:rsidR="00D02BC8" w:rsidRPr="00D31EBB" w:rsidRDefault="00D02BC8" w:rsidP="008B6CCB">
            <w:pPr>
              <w:pStyle w:val="EMEABodyText"/>
              <w:tabs>
                <w:tab w:val="left" w:pos="3960"/>
              </w:tabs>
              <w:rPr>
                <w:i/>
                <w:lang w:val="en-US"/>
              </w:rPr>
            </w:pPr>
          </w:p>
        </w:tc>
        <w:tc>
          <w:tcPr>
            <w:tcW w:w="5344" w:type="dxa"/>
          </w:tcPr>
          <w:p w14:paraId="6BEF8D97" w14:textId="77777777" w:rsidR="00D02BC8" w:rsidRPr="00D31EBB" w:rsidRDefault="00D02BC8" w:rsidP="008B6CCB">
            <w:pPr>
              <w:pStyle w:val="EMEABodyText"/>
              <w:tabs>
                <w:tab w:val="left" w:pos="3960"/>
              </w:tabs>
            </w:pPr>
            <w:r>
              <w:t>common: rash;</w:t>
            </w:r>
          </w:p>
          <w:p w14:paraId="6017B9D6" w14:textId="77777777" w:rsidR="00D02BC8" w:rsidRPr="00D31EBB" w:rsidRDefault="00D02BC8" w:rsidP="008B6CCB">
            <w:pPr>
              <w:pStyle w:val="EMEABodyText"/>
            </w:pPr>
            <w:r>
              <w:t>uncommon: erythemia multiforme</w:t>
            </w:r>
            <w:r>
              <w:rPr>
                <w:vertAlign w:val="superscript"/>
              </w:rPr>
              <w:t>a,b</w:t>
            </w:r>
            <w:r>
              <w:t>, toxic skin eruptions</w:t>
            </w:r>
            <w:r>
              <w:rPr>
                <w:vertAlign w:val="superscript"/>
              </w:rPr>
              <w:t>a,b</w:t>
            </w:r>
            <w:r>
              <w:t>, drug rash with eosinophilia and systemic symptoms (DRESS) syndrome</w:t>
            </w:r>
            <w:r>
              <w:rPr>
                <w:vertAlign w:val="superscript"/>
              </w:rPr>
              <w:t>a,b</w:t>
            </w:r>
            <w:r>
              <w:t>, angioedema</w:t>
            </w:r>
            <w:r>
              <w:rPr>
                <w:vertAlign w:val="superscript"/>
              </w:rPr>
              <w:t>a</w:t>
            </w:r>
            <w:r>
              <w:t xml:space="preserve">, urticaria, alopecia, pruritus; </w:t>
            </w:r>
          </w:p>
          <w:p w14:paraId="09413ACF" w14:textId="77777777" w:rsidR="00D02BC8" w:rsidRPr="004F3582" w:rsidRDefault="00D02BC8" w:rsidP="008B6CCB">
            <w:pPr>
              <w:pStyle w:val="EMEABodyText"/>
              <w:tabs>
                <w:tab w:val="left" w:pos="3960"/>
              </w:tabs>
            </w:pPr>
            <w:r>
              <w:t>rare: Stevens-Johnson syndrome</w:t>
            </w:r>
            <w:r>
              <w:rPr>
                <w:vertAlign w:val="superscript"/>
              </w:rPr>
              <w:t>a,b</w:t>
            </w:r>
            <w:r>
              <w:t>, vesiculobullous rash, eczema, vasodilatation</w:t>
            </w:r>
          </w:p>
          <w:p w14:paraId="2679D88A" w14:textId="77777777" w:rsidR="00D02BC8" w:rsidRPr="004F3582" w:rsidRDefault="00D02BC8" w:rsidP="008B6CCB">
            <w:pPr>
              <w:pStyle w:val="EMEABodyText"/>
              <w:tabs>
                <w:tab w:val="left" w:pos="3960"/>
              </w:tabs>
              <w:rPr>
                <w:i/>
              </w:rPr>
            </w:pPr>
          </w:p>
        </w:tc>
      </w:tr>
      <w:tr w:rsidR="00D02BC8" w:rsidRPr="004F3582" w14:paraId="7C443FB6" w14:textId="77777777" w:rsidTr="008B6CCB">
        <w:tc>
          <w:tcPr>
            <w:tcW w:w="3303" w:type="dxa"/>
          </w:tcPr>
          <w:p w14:paraId="3F0BED7B" w14:textId="77777777" w:rsidR="00D02BC8" w:rsidRPr="00D31EBB" w:rsidRDefault="00D02BC8" w:rsidP="008B6CCB">
            <w:pPr>
              <w:pStyle w:val="EMEABodyText"/>
              <w:tabs>
                <w:tab w:val="left" w:pos="3960"/>
              </w:tabs>
              <w:rPr>
                <w:i/>
              </w:rPr>
            </w:pPr>
            <w:r>
              <w:rPr>
                <w:i/>
              </w:rPr>
              <w:t>Musculoskeletal and connective tissue disorders:</w:t>
            </w:r>
          </w:p>
        </w:tc>
        <w:tc>
          <w:tcPr>
            <w:tcW w:w="5344" w:type="dxa"/>
          </w:tcPr>
          <w:p w14:paraId="47A24E7E" w14:textId="77777777" w:rsidR="00D02BC8" w:rsidRPr="00D31EBB" w:rsidRDefault="00D02BC8" w:rsidP="008B6CCB">
            <w:pPr>
              <w:pStyle w:val="EMEABodyText"/>
            </w:pPr>
            <w:r>
              <w:t xml:space="preserve">uncommon: muscle atrophy, arthralgia, myalgia; </w:t>
            </w:r>
          </w:p>
          <w:p w14:paraId="38AA0433" w14:textId="77777777" w:rsidR="00D02BC8" w:rsidRPr="004F3582" w:rsidRDefault="00D02BC8" w:rsidP="008B6CCB">
            <w:pPr>
              <w:pStyle w:val="EMEABodyText"/>
              <w:tabs>
                <w:tab w:val="left" w:pos="3960"/>
              </w:tabs>
            </w:pPr>
            <w:r>
              <w:t>rare: myopathy</w:t>
            </w:r>
          </w:p>
          <w:p w14:paraId="6D6FFCDB" w14:textId="77777777" w:rsidR="00D02BC8" w:rsidRPr="004F3582" w:rsidRDefault="00D02BC8" w:rsidP="008B6CCB">
            <w:pPr>
              <w:pStyle w:val="EMEABodyText"/>
              <w:tabs>
                <w:tab w:val="left" w:pos="3960"/>
              </w:tabs>
            </w:pPr>
          </w:p>
        </w:tc>
      </w:tr>
      <w:tr w:rsidR="00D02BC8" w:rsidRPr="004F3582" w14:paraId="036B27FE" w14:textId="77777777" w:rsidTr="008B6CCB">
        <w:tc>
          <w:tcPr>
            <w:tcW w:w="3303" w:type="dxa"/>
          </w:tcPr>
          <w:p w14:paraId="614D2785" w14:textId="77777777" w:rsidR="00D02BC8" w:rsidRPr="004F3582" w:rsidRDefault="00D02BC8" w:rsidP="008B6CCB">
            <w:pPr>
              <w:pStyle w:val="EMEABodyText"/>
              <w:tabs>
                <w:tab w:val="left" w:pos="3960"/>
              </w:tabs>
              <w:rPr>
                <w:i/>
              </w:rPr>
            </w:pPr>
            <w:r>
              <w:rPr>
                <w:i/>
              </w:rPr>
              <w:t>Renal and urinary disorders:</w:t>
            </w:r>
          </w:p>
        </w:tc>
        <w:tc>
          <w:tcPr>
            <w:tcW w:w="5344" w:type="dxa"/>
          </w:tcPr>
          <w:p w14:paraId="67F203A3" w14:textId="77777777" w:rsidR="00D02BC8" w:rsidRPr="00D31EBB" w:rsidRDefault="00D02BC8" w:rsidP="008B6CCB">
            <w:pPr>
              <w:pStyle w:val="EMEABodyText"/>
            </w:pPr>
            <w:r>
              <w:t>uncommon: nephrolithiasis</w:t>
            </w:r>
            <w:r>
              <w:rPr>
                <w:vertAlign w:val="superscript"/>
              </w:rPr>
              <w:t>a</w:t>
            </w:r>
            <w:r>
              <w:t>, haematuria, proteinuria, pollakiuria, interstitial nephritis, chronic kidney disease</w:t>
            </w:r>
            <w:r>
              <w:rPr>
                <w:vertAlign w:val="superscript"/>
              </w:rPr>
              <w:t>a</w:t>
            </w:r>
            <w:r>
              <w:t>;</w:t>
            </w:r>
          </w:p>
          <w:p w14:paraId="4A827AC0" w14:textId="77777777" w:rsidR="00D02BC8" w:rsidRPr="004F3582" w:rsidRDefault="00D02BC8" w:rsidP="008B6CCB">
            <w:pPr>
              <w:pStyle w:val="EMEABodyText"/>
              <w:tabs>
                <w:tab w:val="left" w:pos="3960"/>
              </w:tabs>
            </w:pPr>
            <w:r>
              <w:t>rare: kidney pain</w:t>
            </w:r>
          </w:p>
          <w:p w14:paraId="0AABFF3B" w14:textId="77777777" w:rsidR="00D02BC8" w:rsidRPr="004F3582" w:rsidRDefault="00D02BC8" w:rsidP="008B6CCB">
            <w:pPr>
              <w:pStyle w:val="EMEABodyText"/>
              <w:tabs>
                <w:tab w:val="left" w:pos="3960"/>
              </w:tabs>
            </w:pPr>
          </w:p>
        </w:tc>
      </w:tr>
      <w:tr w:rsidR="00D02BC8" w:rsidRPr="004F3582" w14:paraId="431ECBF9" w14:textId="77777777" w:rsidTr="008B6CCB">
        <w:tc>
          <w:tcPr>
            <w:tcW w:w="3303" w:type="dxa"/>
          </w:tcPr>
          <w:p w14:paraId="40E9FF89" w14:textId="77777777" w:rsidR="00D02BC8" w:rsidRPr="00D31EBB" w:rsidRDefault="00D02BC8" w:rsidP="008B6CCB">
            <w:pPr>
              <w:pStyle w:val="EMEABodyText"/>
              <w:tabs>
                <w:tab w:val="left" w:pos="3960"/>
              </w:tabs>
              <w:rPr>
                <w:i/>
              </w:rPr>
            </w:pPr>
            <w:r>
              <w:rPr>
                <w:i/>
              </w:rPr>
              <w:t>Reproductive system and breast disorders:</w:t>
            </w:r>
          </w:p>
          <w:p w14:paraId="6BFCF073" w14:textId="77777777" w:rsidR="00D02BC8" w:rsidRPr="00D31EBB" w:rsidDel="00F47AF7" w:rsidRDefault="00D02BC8" w:rsidP="008B6CCB">
            <w:pPr>
              <w:pStyle w:val="EMEABodyText"/>
              <w:tabs>
                <w:tab w:val="left" w:pos="3960"/>
              </w:tabs>
              <w:rPr>
                <w:i/>
                <w:lang w:val="en-US"/>
              </w:rPr>
            </w:pPr>
          </w:p>
        </w:tc>
        <w:tc>
          <w:tcPr>
            <w:tcW w:w="5344" w:type="dxa"/>
          </w:tcPr>
          <w:p w14:paraId="61A16921" w14:textId="77777777" w:rsidR="00D02BC8" w:rsidRPr="004F3582" w:rsidRDefault="00D02BC8" w:rsidP="008B6CCB">
            <w:pPr>
              <w:pStyle w:val="EMEABodyText"/>
              <w:tabs>
                <w:tab w:val="left" w:pos="3960"/>
              </w:tabs>
            </w:pPr>
            <w:r>
              <w:t>uncommon: gynaecomastia</w:t>
            </w:r>
          </w:p>
          <w:p w14:paraId="084B12D9" w14:textId="77777777" w:rsidR="00D02BC8" w:rsidRPr="004F3582" w:rsidDel="00F47AF7" w:rsidRDefault="00D02BC8" w:rsidP="008B6CCB">
            <w:pPr>
              <w:pStyle w:val="EMEABodyText"/>
            </w:pPr>
          </w:p>
        </w:tc>
      </w:tr>
      <w:tr w:rsidR="00D02BC8" w:rsidRPr="004F3582" w14:paraId="243405F6" w14:textId="77777777" w:rsidTr="008B6CCB">
        <w:tc>
          <w:tcPr>
            <w:tcW w:w="3303" w:type="dxa"/>
          </w:tcPr>
          <w:p w14:paraId="0F83F1B1" w14:textId="77777777" w:rsidR="00D02BC8" w:rsidRPr="00D31EBB" w:rsidRDefault="00D02BC8" w:rsidP="008B6CCB">
            <w:pPr>
              <w:pStyle w:val="EMEABodyText"/>
              <w:tabs>
                <w:tab w:val="left" w:pos="3960"/>
              </w:tabs>
              <w:rPr>
                <w:i/>
              </w:rPr>
            </w:pPr>
            <w:r>
              <w:rPr>
                <w:i/>
              </w:rPr>
              <w:t>General disorders and administration site conditions:</w:t>
            </w:r>
          </w:p>
        </w:tc>
        <w:tc>
          <w:tcPr>
            <w:tcW w:w="5344" w:type="dxa"/>
          </w:tcPr>
          <w:p w14:paraId="53DBCBCC" w14:textId="77777777" w:rsidR="00D02BC8" w:rsidRPr="00C23538" w:rsidRDefault="00D02BC8" w:rsidP="008B6CCB">
            <w:pPr>
              <w:pStyle w:val="EMEABodyText"/>
              <w:tabs>
                <w:tab w:val="left" w:pos="3960"/>
              </w:tabs>
            </w:pPr>
            <w:r>
              <w:t>common: fatigue;</w:t>
            </w:r>
          </w:p>
          <w:p w14:paraId="3226294D" w14:textId="77777777" w:rsidR="00D02BC8" w:rsidRPr="00C23538" w:rsidRDefault="00D02BC8" w:rsidP="008B6CCB">
            <w:pPr>
              <w:pStyle w:val="EMEABodyText"/>
              <w:tabs>
                <w:tab w:val="left" w:pos="3960"/>
              </w:tabs>
            </w:pPr>
            <w:r>
              <w:t>uncommon: chest pain, malaise, pyrexia, asthenia;</w:t>
            </w:r>
          </w:p>
          <w:p w14:paraId="7D0B40CA" w14:textId="77777777" w:rsidR="00D02BC8" w:rsidRPr="004F3582" w:rsidRDefault="00D02BC8" w:rsidP="008B6CCB">
            <w:pPr>
              <w:pStyle w:val="EMEABodyText"/>
              <w:tabs>
                <w:tab w:val="left" w:pos="3960"/>
              </w:tabs>
            </w:pPr>
            <w:r>
              <w:t>rare: gait disturbance</w:t>
            </w:r>
          </w:p>
          <w:p w14:paraId="33C19313" w14:textId="77777777" w:rsidR="00D02BC8" w:rsidRPr="004F3582" w:rsidRDefault="00D02BC8" w:rsidP="008B6CCB">
            <w:pPr>
              <w:pStyle w:val="EMEABodyText"/>
              <w:tabs>
                <w:tab w:val="left" w:pos="3960"/>
              </w:tabs>
              <w:rPr>
                <w:i/>
              </w:rPr>
            </w:pPr>
          </w:p>
        </w:tc>
      </w:tr>
    </w:tbl>
    <w:p w14:paraId="7AD581D6" w14:textId="77777777" w:rsidR="00D02BC8" w:rsidRPr="00D31EBB" w:rsidRDefault="00D02BC8" w:rsidP="008B6CCB">
      <w:pPr>
        <w:pStyle w:val="EMEABodyText"/>
        <w:rPr>
          <w:sz w:val="18"/>
        </w:rPr>
      </w:pPr>
      <w:r>
        <w:rPr>
          <w:sz w:val="18"/>
          <w:vertAlign w:val="superscript"/>
        </w:rPr>
        <w:lastRenderedPageBreak/>
        <w:t>a</w:t>
      </w:r>
      <w:r>
        <w:rPr>
          <w:sz w:val="18"/>
        </w:rPr>
        <w:t xml:space="preserve"> These adverse reactions were identified through post-marketing surveillance, however, the frequencies were estimated from a statistical calculation based on the total number of patients exposed to REYATAZ in randomised controlled and other available clinical trials (n = 2321).</w:t>
      </w:r>
    </w:p>
    <w:p w14:paraId="6BE2D5EB" w14:textId="77777777" w:rsidR="00D02BC8" w:rsidRPr="00D31EBB" w:rsidRDefault="00D02BC8" w:rsidP="008B6CCB">
      <w:pPr>
        <w:pStyle w:val="EMEABodyText"/>
        <w:rPr>
          <w:rFonts w:ascii="TimesNewRomanPSMT" w:hAnsi="TimesNewRomanPSMT" w:cs="TimesNewRomanPSMT"/>
          <w:sz w:val="18"/>
        </w:rPr>
      </w:pPr>
      <w:r>
        <w:rPr>
          <w:sz w:val="18"/>
          <w:vertAlign w:val="superscript"/>
        </w:rPr>
        <w:t>b</w:t>
      </w:r>
      <w:r>
        <w:rPr>
          <w:sz w:val="18"/>
        </w:rPr>
        <w:t xml:space="preserve"> See description of selected adverse reactions for more details.</w:t>
      </w:r>
    </w:p>
    <w:p w14:paraId="783576DA" w14:textId="77777777" w:rsidR="00D02BC8" w:rsidRPr="00D31EBB" w:rsidRDefault="00D02BC8" w:rsidP="008B6CCB">
      <w:pPr>
        <w:pStyle w:val="EMEABodyText"/>
        <w:rPr>
          <w:lang w:val="en-US"/>
        </w:rPr>
      </w:pPr>
    </w:p>
    <w:p w14:paraId="361D8B59" w14:textId="77777777" w:rsidR="003228A9" w:rsidRPr="00D31EBB" w:rsidRDefault="00D02BC8" w:rsidP="008B6CCB">
      <w:pPr>
        <w:pStyle w:val="EMEABodyText"/>
        <w:rPr>
          <w:b/>
        </w:rPr>
      </w:pPr>
      <w:r>
        <w:rPr>
          <w:u w:val="single"/>
        </w:rPr>
        <w:t>Description of selected adverse reactions</w:t>
      </w:r>
    </w:p>
    <w:p w14:paraId="26779C71" w14:textId="77777777" w:rsidR="00D02BC8" w:rsidRPr="00D31EBB" w:rsidRDefault="00D02BC8" w:rsidP="008B6CCB">
      <w:pPr>
        <w:pStyle w:val="EMEABodyText"/>
      </w:pPr>
      <w:r>
        <w:t>In HIV-infected patients with severe immune deficiency at the time of initiation of combination antiretroviral therapy (CART), an inflammatory reaction to asymptomatic or residual opportunistic infections may arise. Autoimmune disorders (such as Graves' disease and autoimmune hepatitis) have also been reported; however, the reported time to onset is more variable and these events can occur many months after initiation of treatment (see section 4.4).</w:t>
      </w:r>
    </w:p>
    <w:p w14:paraId="55B95CFD" w14:textId="77777777" w:rsidR="00D02BC8" w:rsidRPr="00D31EBB" w:rsidRDefault="00D02BC8" w:rsidP="008B6CCB">
      <w:pPr>
        <w:pStyle w:val="EMEABodyText"/>
        <w:rPr>
          <w:i/>
          <w:u w:val="single"/>
          <w:lang w:val="en-US"/>
        </w:rPr>
      </w:pPr>
    </w:p>
    <w:p w14:paraId="433129C1" w14:textId="77777777" w:rsidR="00D02BC8" w:rsidRPr="00D31EBB" w:rsidRDefault="00D02BC8" w:rsidP="008B6CCB">
      <w:pPr>
        <w:pStyle w:val="EMEABodyText"/>
      </w:pPr>
      <w:r>
        <w:t>Cases of osteonecrosis have been reported, particularly in patients with generally acknowledged risk factors, advanced HIV disease or long-term exposure to combination antiretroviral therapy (CART). The frequency of this is unknown (see section 4.4).</w:t>
      </w:r>
    </w:p>
    <w:p w14:paraId="501BB4C4" w14:textId="77777777" w:rsidR="00D02BC8" w:rsidRPr="00D31EBB" w:rsidRDefault="00D02BC8" w:rsidP="004B14F8">
      <w:pPr>
        <w:pStyle w:val="EMEABodyText"/>
        <w:rPr>
          <w:lang w:val="en-US"/>
        </w:rPr>
      </w:pPr>
    </w:p>
    <w:p w14:paraId="51F2B35F" w14:textId="77777777" w:rsidR="004B14F8" w:rsidRPr="00D31EBB" w:rsidRDefault="004B14F8" w:rsidP="004B14F8">
      <w:pPr>
        <w:pStyle w:val="EMEABodyText"/>
      </w:pPr>
      <w:r>
        <w:t>Metabolic parameters</w:t>
      </w:r>
    </w:p>
    <w:p w14:paraId="66D81A20" w14:textId="77777777" w:rsidR="004B14F8" w:rsidRPr="00D31EBB" w:rsidRDefault="004B14F8" w:rsidP="004B14F8">
      <w:pPr>
        <w:pStyle w:val="EMEABodyText"/>
      </w:pPr>
      <w:r>
        <w:t>Weight and levels of blood lipids and glucose may increase during antiretroviral therapy (see section 4.4).</w:t>
      </w:r>
    </w:p>
    <w:p w14:paraId="0B6F3CEF" w14:textId="77777777" w:rsidR="00D02BC8" w:rsidRPr="00D31EBB" w:rsidRDefault="00D02BC8" w:rsidP="008B6CCB">
      <w:pPr>
        <w:pStyle w:val="EMEABodyText"/>
        <w:rPr>
          <w:u w:val="single"/>
          <w:lang w:val="en-US"/>
        </w:rPr>
      </w:pPr>
    </w:p>
    <w:p w14:paraId="4581413D" w14:textId="77777777" w:rsidR="00D02BC8" w:rsidRPr="00D31EBB" w:rsidRDefault="00D02BC8" w:rsidP="008B6CCB">
      <w:pPr>
        <w:pStyle w:val="EMEABodyText"/>
      </w:pPr>
      <w:r>
        <w:t>Rash and associated syndromes</w:t>
      </w:r>
    </w:p>
    <w:p w14:paraId="0AB0A5A4" w14:textId="77777777" w:rsidR="00D02BC8" w:rsidRPr="00D31EBB" w:rsidRDefault="00D02BC8" w:rsidP="008B6CCB">
      <w:pPr>
        <w:pStyle w:val="EMEABodyText"/>
      </w:pPr>
      <w:r>
        <w:t xml:space="preserve">Rashes are usually mild-to-moderate maculopapular skin eruptions that occur within the first 3 weeks of starting therapy with REYATAZ. </w:t>
      </w:r>
    </w:p>
    <w:p w14:paraId="35CF4E4F" w14:textId="77777777" w:rsidR="00D02BC8" w:rsidRPr="00D31EBB" w:rsidRDefault="00D02BC8" w:rsidP="008B6CCB">
      <w:pPr>
        <w:pStyle w:val="EMEABodyText"/>
        <w:rPr>
          <w:lang w:val="en-US"/>
        </w:rPr>
      </w:pPr>
    </w:p>
    <w:p w14:paraId="6CFBFC58" w14:textId="77777777" w:rsidR="00D02BC8" w:rsidRPr="00D31EBB" w:rsidRDefault="00D02BC8" w:rsidP="008B6CCB">
      <w:pPr>
        <w:pStyle w:val="EMEABodyText"/>
      </w:pPr>
      <w:r>
        <w:t>Stevens-Johnson syndrome (SJS), erythema multiforme, toxic skin eruptions and drug rash with eosinophilia and systemic symptoms (DRESS) syndrome have been reported with the use of REYATAZ (see section 4.4).</w:t>
      </w:r>
    </w:p>
    <w:p w14:paraId="1A0CBF65" w14:textId="77777777" w:rsidR="00D02BC8" w:rsidRPr="00D31EBB" w:rsidRDefault="00D02BC8" w:rsidP="008B6CCB">
      <w:pPr>
        <w:pStyle w:val="EMEABodyText"/>
        <w:rPr>
          <w:lang w:val="en-US"/>
        </w:rPr>
      </w:pPr>
    </w:p>
    <w:p w14:paraId="7617503E" w14:textId="77777777" w:rsidR="006013CD" w:rsidRPr="00D31EBB" w:rsidRDefault="00D02BC8" w:rsidP="008B6CCB">
      <w:pPr>
        <w:pStyle w:val="EMEABodyText"/>
        <w:keepNext/>
        <w:rPr>
          <w:i/>
        </w:rPr>
      </w:pPr>
      <w:r>
        <w:rPr>
          <w:i/>
        </w:rPr>
        <w:t>Laboratory abnormalities</w:t>
      </w:r>
    </w:p>
    <w:p w14:paraId="776E5075" w14:textId="77777777" w:rsidR="00D02BC8" w:rsidRPr="00D31EBB" w:rsidRDefault="00D02BC8" w:rsidP="008B6CCB">
      <w:pPr>
        <w:pStyle w:val="EMEABodyText"/>
      </w:pPr>
      <w:r>
        <w:t>The most frequently reported laboratory abnormality in patients receiving regimens containing REYATAZ and one or more NRTIs was elevated total bilirubin reported predominantly as elevated indirect [unconjugated] bilirubin (87% Grade 1, 2, 3, or 4). Grade 3 or 4 elevation of total bilirubin was noted in 37% (6% Grade 4). Among experienced patients treated with REYATAZ 300 mg once daily with 100 mg ritonavir once daily for a median duration of 95 weeks, 53% had Grade 3-4 total bilirubin elevations. Among naive patients treated with REYATAZ 300 mg once daily with 100 mg ritonavir once daily for a median duration of 96 weeks, 48% had Grade 3-4 total bilirubin elevations (see section 4.4).</w:t>
      </w:r>
    </w:p>
    <w:p w14:paraId="5E11951C" w14:textId="77777777" w:rsidR="00D02BC8" w:rsidRPr="00D31EBB" w:rsidRDefault="00D02BC8" w:rsidP="008B6CCB">
      <w:pPr>
        <w:pStyle w:val="EMEABodyText"/>
        <w:rPr>
          <w:lang w:val="en-US"/>
        </w:rPr>
      </w:pPr>
    </w:p>
    <w:p w14:paraId="63922FB5" w14:textId="77777777" w:rsidR="00D02BC8" w:rsidRPr="00D31EBB" w:rsidRDefault="00D02BC8" w:rsidP="008B6CCB">
      <w:pPr>
        <w:pStyle w:val="EMEABodyText"/>
      </w:pPr>
      <w:r>
        <w:t>Other marked clinical laboratory abnormalities (Grade 3 or 4) reported in ≥ 2% of patients receiving regimens containing REYATAZ and one or more NRTIs included: elevated creatine kinase (7%), elevated alanine aminotransferase/serum glutamic-pyruvic transaminase (ALT/SGPT) (5%), low neutrophils (5%), elevated aspartate aminotransferase/serum glutamic-oxaloacetic transaminase (AST/SGOT) (3%), and elevated lipase (3%).</w:t>
      </w:r>
    </w:p>
    <w:p w14:paraId="7A3D191A" w14:textId="77777777" w:rsidR="00D02BC8" w:rsidRPr="00D31EBB" w:rsidRDefault="00D02BC8" w:rsidP="008B6CCB">
      <w:pPr>
        <w:pStyle w:val="EMEABodyText"/>
        <w:rPr>
          <w:lang w:val="en-US"/>
        </w:rPr>
      </w:pPr>
    </w:p>
    <w:p w14:paraId="14F8FF4C" w14:textId="77777777" w:rsidR="00D02BC8" w:rsidRPr="00D31EBB" w:rsidRDefault="00D02BC8" w:rsidP="008B6CCB">
      <w:pPr>
        <w:pStyle w:val="EMEABodyText"/>
      </w:pPr>
      <w:r>
        <w:t>Two percent of patients treated with REYATAZ experienced concurrent Grade 3-4 ALT/AST and Grade 3-4 total bilirubin elevations.</w:t>
      </w:r>
    </w:p>
    <w:p w14:paraId="2F66BC09" w14:textId="77777777" w:rsidR="00D02BC8" w:rsidRPr="00D31EBB" w:rsidRDefault="00D02BC8" w:rsidP="008B6CCB">
      <w:pPr>
        <w:pStyle w:val="EMEABodyText"/>
        <w:rPr>
          <w:lang w:val="en-US"/>
        </w:rPr>
      </w:pPr>
    </w:p>
    <w:p w14:paraId="13486C4E" w14:textId="77777777" w:rsidR="003228A9" w:rsidRPr="00D31EBB" w:rsidRDefault="00D02BC8" w:rsidP="008B6CCB">
      <w:pPr>
        <w:pStyle w:val="EMEABodyText"/>
        <w:rPr>
          <w:szCs w:val="22"/>
          <w:u w:val="single"/>
        </w:rPr>
      </w:pPr>
      <w:r>
        <w:rPr>
          <w:szCs w:val="22"/>
          <w:u w:val="single"/>
        </w:rPr>
        <w:t>Paediatric population</w:t>
      </w:r>
    </w:p>
    <w:p w14:paraId="5C6FA74E" w14:textId="77777777" w:rsidR="00187713" w:rsidRPr="00D31EBB" w:rsidRDefault="00187713" w:rsidP="00187713">
      <w:pPr>
        <w:pStyle w:val="EMEABodyText"/>
        <w:rPr>
          <w:szCs w:val="22"/>
        </w:rPr>
      </w:pPr>
      <w:r>
        <w:t>In a clinical study AI424-020, paediatric patients 3 months to less than 18 years of age who received either the oral powder or capsule formulation had a mean duration of treatment with REYATAZ of 115 weeks. The safety profile in this study was overall comparable to that seen in adults. Both asymptomatic first-degree (23%) and second-degree (1%) atrioventricular block were reported in paediatric patients. The most frequently reported laboratory abnormality in paediatric patients receiving REYATAZ was elevation of total bilirubin (≥ 2.6 times ULN, Grade 3-4) which occurred in 45% of patients.</w:t>
      </w:r>
    </w:p>
    <w:p w14:paraId="4272334D" w14:textId="77777777" w:rsidR="00187713" w:rsidRPr="00D31EBB" w:rsidRDefault="00187713" w:rsidP="00187713">
      <w:pPr>
        <w:pStyle w:val="EMEABodyText"/>
        <w:rPr>
          <w:szCs w:val="22"/>
          <w:lang w:val="en-US"/>
        </w:rPr>
      </w:pPr>
    </w:p>
    <w:p w14:paraId="3226F441" w14:textId="77777777" w:rsidR="002E5D00" w:rsidRPr="00D31EBB" w:rsidRDefault="00187713" w:rsidP="002E5D00">
      <w:pPr>
        <w:pStyle w:val="EMEABodyText"/>
      </w:pPr>
      <w:r>
        <w:t xml:space="preserve">In clinical studies AI424-397 and AI424-451, paediatric patients 3 months to less than 11 years of age had a mean duration of treatment with REYATAZ oral powder of 80 weeks. No deaths were reported. </w:t>
      </w:r>
      <w:r>
        <w:lastRenderedPageBreak/>
        <w:t>The safety profile in these studies was overall comparable to that seen in previous paediatric and adult studies. The most frequently reported laboratory abnormalities in paediatric patients receiving REYATAZ oral powder was elevation of total bilirubin (≥ 2.6 times ULN, Grade 3-4; 16%) and increased amylase (Grade 3-4; 33%), generally of non-pancreatic origin. Elevation in ALT levels were more frequently reported in paediatric patients in these studies than in adults.</w:t>
      </w:r>
    </w:p>
    <w:p w14:paraId="1B752EF1" w14:textId="77777777" w:rsidR="00D02BC8" w:rsidRPr="00D31EBB" w:rsidRDefault="00D02BC8" w:rsidP="008B6CCB">
      <w:pPr>
        <w:pStyle w:val="EMEABodyText"/>
        <w:rPr>
          <w:szCs w:val="22"/>
          <w:lang w:val="en-US"/>
        </w:rPr>
      </w:pPr>
    </w:p>
    <w:p w14:paraId="79969868" w14:textId="77777777" w:rsidR="00D02BC8" w:rsidRPr="00D31EBB" w:rsidRDefault="00D02BC8" w:rsidP="008B6CCB">
      <w:pPr>
        <w:pStyle w:val="EMEABodyText"/>
        <w:rPr>
          <w:szCs w:val="22"/>
          <w:u w:val="single"/>
        </w:rPr>
      </w:pPr>
      <w:r>
        <w:rPr>
          <w:szCs w:val="22"/>
          <w:u w:val="single"/>
        </w:rPr>
        <w:t>Other special populations</w:t>
      </w:r>
    </w:p>
    <w:p w14:paraId="2161CB37" w14:textId="77777777" w:rsidR="00016C8D" w:rsidRPr="00D31EBB" w:rsidRDefault="00D02BC8" w:rsidP="008B6CCB">
      <w:pPr>
        <w:pStyle w:val="EMEABodyText"/>
        <w:keepNext/>
        <w:rPr>
          <w:i/>
        </w:rPr>
      </w:pPr>
      <w:r>
        <w:rPr>
          <w:i/>
        </w:rPr>
        <w:t>Patients co-infected with hepatitis B and/or hepatitis C virus</w:t>
      </w:r>
    </w:p>
    <w:p w14:paraId="3FBDB327" w14:textId="77777777" w:rsidR="00D02BC8" w:rsidRPr="00D31EBB" w:rsidRDefault="00D02BC8" w:rsidP="008B6CCB">
      <w:pPr>
        <w:pStyle w:val="EMEABodyText"/>
      </w:pPr>
      <w:r>
        <w:t xml:space="preserve">Among 1,151 patients receiving atazanavir 400 mg once daily, 177 patients were co-infected with chronic hepatitis B or C, and among 655 patients receiving atazanavir 300 mg once daily with ritonavir 100 mg once daily, 97 patients were co-infected with chronic hepatitis B or C. Co-infected patients were more likely to have baseline hepatic transaminase elevations than those without chronic viral hepatitis. No differences in frequency of bilirubin elevations were observed between these patients and those without viral hepatitis. The frequency of treatment emergent hepatitis or transaminase elevations in co-infected patients was comparable between REYATAZ and comparator regimens (see section 4.4). </w:t>
      </w:r>
    </w:p>
    <w:p w14:paraId="6B8EC585" w14:textId="77777777" w:rsidR="009349C5" w:rsidRPr="00D31EBB" w:rsidRDefault="009349C5" w:rsidP="008B6CCB">
      <w:pPr>
        <w:pStyle w:val="EMEABodyText"/>
        <w:rPr>
          <w:lang w:val="en-US"/>
        </w:rPr>
      </w:pPr>
    </w:p>
    <w:p w14:paraId="5F3C5DCD" w14:textId="77777777" w:rsidR="00D02BC8" w:rsidRPr="00D31EBB" w:rsidRDefault="00D02BC8" w:rsidP="008B6CCB">
      <w:pPr>
        <w:pStyle w:val="EMEABodyText"/>
        <w:rPr>
          <w:u w:val="single"/>
        </w:rPr>
      </w:pPr>
      <w:r>
        <w:rPr>
          <w:u w:val="single"/>
        </w:rPr>
        <w:t>Reporting of suspected adverse reactions</w:t>
      </w:r>
    </w:p>
    <w:p w14:paraId="29E75D43" w14:textId="770DAD5A" w:rsidR="00D02BC8" w:rsidRPr="00D31EBB" w:rsidRDefault="00D02BC8" w:rsidP="008B6CCB">
      <w:pPr>
        <w:pStyle w:val="EMEABodyText"/>
      </w:pPr>
      <w: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Pr>
          <w:highlight w:val="lightGray"/>
        </w:rPr>
        <w:t xml:space="preserve">the national reporting system listed in </w:t>
      </w:r>
      <w:hyperlink r:id="rId8" w:history="1">
        <w:r>
          <w:rPr>
            <w:rStyle w:val="Hyperlink"/>
            <w:szCs w:val="22"/>
            <w:highlight w:val="lightGray"/>
          </w:rPr>
          <w:t>Appendix V</w:t>
        </w:r>
      </w:hyperlink>
      <w:r>
        <w:rPr>
          <w:rStyle w:val="Hyperlink"/>
          <w:color w:val="auto"/>
          <w:szCs w:val="22"/>
          <w:u w:val="none"/>
        </w:rPr>
        <w:t>.</w:t>
      </w:r>
    </w:p>
    <w:p w14:paraId="2BF19A60" w14:textId="77777777" w:rsidR="00D02BC8" w:rsidRPr="00D31EBB" w:rsidRDefault="00D02BC8" w:rsidP="008B6CCB">
      <w:pPr>
        <w:pStyle w:val="EMEABodyText"/>
        <w:rPr>
          <w:lang w:val="en-US"/>
        </w:rPr>
      </w:pPr>
    </w:p>
    <w:p w14:paraId="6EBC0FD7" w14:textId="77777777" w:rsidR="00D02BC8" w:rsidRPr="00D31EBB" w:rsidRDefault="00D02BC8" w:rsidP="008B6CCB">
      <w:pPr>
        <w:pStyle w:val="EMEAHeading2"/>
        <w:rPr>
          <w:noProof/>
        </w:rPr>
      </w:pPr>
      <w:r>
        <w:t>4.9</w:t>
      </w:r>
      <w:r>
        <w:tab/>
        <w:t>Overdose</w:t>
      </w:r>
    </w:p>
    <w:p w14:paraId="3FB8A96F" w14:textId="77777777" w:rsidR="00D02BC8" w:rsidRPr="00D31EBB" w:rsidRDefault="00D02BC8" w:rsidP="008B6CCB">
      <w:pPr>
        <w:pStyle w:val="EMEAHeading2"/>
        <w:rPr>
          <w:noProof/>
          <w:lang w:val="en-US"/>
        </w:rPr>
      </w:pPr>
    </w:p>
    <w:p w14:paraId="2A48EAC1" w14:textId="77777777" w:rsidR="00D02BC8" w:rsidRPr="00D31EBB" w:rsidRDefault="00D02BC8" w:rsidP="008B6CCB">
      <w:pPr>
        <w:pStyle w:val="EMEABodyText"/>
      </w:pPr>
      <w:r>
        <w:t>Human experience of acute overdose with REYATAZ is limited. Single doses up to 1,200 mg have been taken by healthy volunteers without symptomatic untoward effects. At high doses that lead to high drug exposures, jaundice due to indirect (unconjugated) hyperbilirubinaemia (without associated liver function test changes) or PR interval prolongations may be observed (see sections 4.4 and 4.8).</w:t>
      </w:r>
    </w:p>
    <w:p w14:paraId="4A62C960" w14:textId="77777777" w:rsidR="00D02BC8" w:rsidRPr="00D31EBB" w:rsidRDefault="00D02BC8" w:rsidP="008B6CCB">
      <w:pPr>
        <w:pStyle w:val="EMEABodyText"/>
        <w:rPr>
          <w:lang w:val="en-US"/>
        </w:rPr>
      </w:pPr>
    </w:p>
    <w:p w14:paraId="4AD44ADB" w14:textId="77777777" w:rsidR="00D02BC8" w:rsidRPr="00D31EBB" w:rsidRDefault="00D02BC8" w:rsidP="008B6CCB">
      <w:pPr>
        <w:pStyle w:val="EMEABodyText"/>
      </w:pPr>
      <w:r>
        <w:t>Treatment of overdose with REYATAZ should consist of general supportive measures, including monitoring of vital signs and electrocardiogram (ECG), and observations of the patient's clinical status. If indicated, elimination of unabsorbed atazanavir should be achieved by emesis or gastric lavage. Administration of activated charcoal may also be used to aid removal of unabsorbed drug. There is no specific antidote for overdose with REYATAZ. Since atazanavir is extensively metabolised by the liver and is highly protein bound, dialysis is unlikely to be beneficial in significant removal of this medicinal product.</w:t>
      </w:r>
    </w:p>
    <w:p w14:paraId="4D488B60" w14:textId="77777777" w:rsidR="00D02BC8" w:rsidRPr="00D31EBB" w:rsidRDefault="00D02BC8" w:rsidP="008B6CCB">
      <w:pPr>
        <w:pStyle w:val="EMEABodyText"/>
        <w:rPr>
          <w:noProof/>
          <w:lang w:val="en-US"/>
        </w:rPr>
      </w:pPr>
    </w:p>
    <w:p w14:paraId="7317B737" w14:textId="77777777" w:rsidR="00D02BC8" w:rsidRPr="00D31EBB" w:rsidRDefault="00D02BC8" w:rsidP="008B6CCB">
      <w:pPr>
        <w:pStyle w:val="EMEABodyText"/>
        <w:rPr>
          <w:noProof/>
          <w:lang w:val="en-US"/>
        </w:rPr>
      </w:pPr>
    </w:p>
    <w:p w14:paraId="6FDCB4E9" w14:textId="77777777" w:rsidR="00D02BC8" w:rsidRPr="00D31EBB" w:rsidRDefault="00D02BC8" w:rsidP="008B6CCB">
      <w:pPr>
        <w:pStyle w:val="EMEAHeading1"/>
        <w:rPr>
          <w:noProof/>
        </w:rPr>
      </w:pPr>
      <w:r>
        <w:t>5.</w:t>
      </w:r>
      <w:r>
        <w:tab/>
        <w:t>PHARMACOLOGICAL PROPERTIES</w:t>
      </w:r>
    </w:p>
    <w:p w14:paraId="01153946" w14:textId="77777777" w:rsidR="00D02BC8" w:rsidRPr="00D31EBB" w:rsidRDefault="00D02BC8" w:rsidP="008B6CCB">
      <w:pPr>
        <w:pStyle w:val="EMEAHeading1"/>
        <w:rPr>
          <w:noProof/>
          <w:lang w:val="en-US"/>
        </w:rPr>
      </w:pPr>
    </w:p>
    <w:p w14:paraId="2642D1D4" w14:textId="77777777" w:rsidR="00D02BC8" w:rsidRPr="00D31EBB" w:rsidRDefault="00D02BC8" w:rsidP="008B6CCB">
      <w:pPr>
        <w:pStyle w:val="EMEAHeading2"/>
        <w:rPr>
          <w:noProof/>
        </w:rPr>
      </w:pPr>
      <w:r>
        <w:t>5.1</w:t>
      </w:r>
      <w:r>
        <w:tab/>
        <w:t>Pharmacodynamic properties</w:t>
      </w:r>
    </w:p>
    <w:p w14:paraId="6C78699C" w14:textId="77777777" w:rsidR="00D02BC8" w:rsidRPr="00D31EBB" w:rsidRDefault="00D02BC8" w:rsidP="008B6CCB">
      <w:pPr>
        <w:pStyle w:val="EMEAHeading2"/>
        <w:rPr>
          <w:noProof/>
          <w:lang w:val="en-US"/>
        </w:rPr>
      </w:pPr>
    </w:p>
    <w:p w14:paraId="627888D5" w14:textId="77777777" w:rsidR="00D02BC8" w:rsidRPr="00D31EBB" w:rsidRDefault="00D02BC8" w:rsidP="008B6CCB">
      <w:pPr>
        <w:pStyle w:val="EMEABodyText"/>
      </w:pPr>
      <w:r>
        <w:t>Pharmacotherapeutic group: antivirals for systemic use, protease inhibitors, ATC code: J05AE08</w:t>
      </w:r>
    </w:p>
    <w:p w14:paraId="45263F0D" w14:textId="77777777" w:rsidR="00D02BC8" w:rsidRPr="00D31EBB" w:rsidRDefault="00D02BC8" w:rsidP="008B6CCB">
      <w:pPr>
        <w:pStyle w:val="EMEABodyText"/>
        <w:rPr>
          <w:lang w:val="en-US"/>
        </w:rPr>
      </w:pPr>
    </w:p>
    <w:p w14:paraId="674DB03C" w14:textId="77777777" w:rsidR="00016C8D" w:rsidRPr="00D31EBB" w:rsidRDefault="00D02BC8" w:rsidP="008B6CCB">
      <w:pPr>
        <w:pStyle w:val="EMEABodyText"/>
        <w:rPr>
          <w:u w:val="single"/>
        </w:rPr>
      </w:pPr>
      <w:r>
        <w:rPr>
          <w:u w:val="single"/>
        </w:rPr>
        <w:t>Mechanism of action</w:t>
      </w:r>
    </w:p>
    <w:p w14:paraId="2A6ED7D2" w14:textId="77777777" w:rsidR="00D02BC8" w:rsidRPr="00D31EBB" w:rsidRDefault="00016C8D" w:rsidP="008B6CCB">
      <w:pPr>
        <w:pStyle w:val="EMEABodyText"/>
      </w:pPr>
      <w:r>
        <w:t>Atazanavir is an azapeptide HIV-1 protease inhibitor (PI). The compound selectively inhibits the virus-specific processing of viral Gag-Pol proteins in HIV-1 infected cells, thus preventing formation of mature virions and infection of other cells.</w:t>
      </w:r>
    </w:p>
    <w:p w14:paraId="795A6DF3" w14:textId="77777777" w:rsidR="00D02BC8" w:rsidRPr="00D31EBB" w:rsidRDefault="00D02BC8" w:rsidP="008B6CCB">
      <w:pPr>
        <w:pStyle w:val="EMEABodyText"/>
        <w:rPr>
          <w:lang w:val="en-US"/>
        </w:rPr>
      </w:pPr>
    </w:p>
    <w:p w14:paraId="1D38FB3D" w14:textId="77777777" w:rsidR="00D02BC8" w:rsidRPr="00D31EBB" w:rsidRDefault="00D02BC8" w:rsidP="008B6CCB">
      <w:pPr>
        <w:pStyle w:val="EMEABodyText"/>
      </w:pPr>
      <w:r>
        <w:rPr>
          <w:i/>
        </w:rPr>
        <w:t>Antiviral activity in vitro:</w:t>
      </w:r>
      <w:r>
        <w:t xml:space="preserve"> atazanavir exhibits anti-HIV-1 (including all clades tested) and anti-HIV-2 activity in cell culture.</w:t>
      </w:r>
    </w:p>
    <w:p w14:paraId="2E0B25A8" w14:textId="77777777" w:rsidR="00D02BC8" w:rsidRPr="00D31EBB" w:rsidRDefault="00D02BC8" w:rsidP="008B6CCB">
      <w:pPr>
        <w:pStyle w:val="EMEABodyText"/>
        <w:rPr>
          <w:lang w:val="en-US"/>
        </w:rPr>
      </w:pPr>
    </w:p>
    <w:p w14:paraId="7CB07758" w14:textId="77777777" w:rsidR="00D02BC8" w:rsidRPr="00D31EBB" w:rsidRDefault="00D02BC8" w:rsidP="008B6CCB">
      <w:pPr>
        <w:pStyle w:val="EMEABodyText"/>
        <w:keepNext/>
      </w:pPr>
      <w:r>
        <w:rPr>
          <w:b/>
        </w:rPr>
        <w:t>Resistance</w:t>
      </w:r>
    </w:p>
    <w:p w14:paraId="18DF5897" w14:textId="77777777" w:rsidR="00D02BC8" w:rsidRPr="00D31EBB" w:rsidRDefault="00D02BC8" w:rsidP="008B6CCB">
      <w:pPr>
        <w:pStyle w:val="EMEABodyText"/>
        <w:keepNext/>
      </w:pPr>
      <w:r>
        <w:rPr>
          <w:i/>
        </w:rPr>
        <w:t>Antiretroviral treatment naive adult patients</w:t>
      </w:r>
    </w:p>
    <w:p w14:paraId="4B5668CE" w14:textId="77777777" w:rsidR="00D02BC8" w:rsidRPr="00D31EBB" w:rsidRDefault="00D02BC8" w:rsidP="008B6CCB">
      <w:pPr>
        <w:pStyle w:val="EMEABodyText"/>
      </w:pPr>
      <w:r>
        <w:t xml:space="preserve">In clinical trials of antiretroviral treatment naive patients treated with unboosted atazanavir, the I50L substitution, sometimes in combination with an A71V change, is the signature resistance substitution </w:t>
      </w:r>
      <w:r>
        <w:lastRenderedPageBreak/>
        <w:t>for atazanavir. Resistance levels to atazanavir ranged from 3.5- to 29-fold without evidence of phenotypic cross resistance to other PIs. In clinical trials of antiretroviral treatment naive patients treated with boosted atazanavir, the I50L substitution did not emerge in any patient without baseline PI substitutions. The N88S substitution has been rarely observed in patients with virologic failure on atazanavir (with or without ritonavir). While it may contribute to decreased susceptibility to atazanavir when it occurs with other protease substitutions, in clinical studies N88S by itself does not always lead to phenotypic resistance to atazanavir or have a consistent impact on clinical efficacy.</w:t>
      </w:r>
    </w:p>
    <w:p w14:paraId="4CFF7968" w14:textId="77777777" w:rsidR="00D02BC8" w:rsidRPr="00D31EBB" w:rsidRDefault="00D02BC8" w:rsidP="008B6CCB">
      <w:pPr>
        <w:pStyle w:val="EMEABodyText"/>
        <w:rPr>
          <w:lang w:val="en-US"/>
        </w:rPr>
      </w:pPr>
    </w:p>
    <w:tbl>
      <w:tblPr>
        <w:tblW w:w="0" w:type="auto"/>
        <w:tblLook w:val="01E0" w:firstRow="1" w:lastRow="1" w:firstColumn="1" w:lastColumn="1" w:noHBand="0" w:noVBand="0"/>
      </w:tblPr>
      <w:tblGrid>
        <w:gridCol w:w="1741"/>
        <w:gridCol w:w="7332"/>
      </w:tblGrid>
      <w:tr w:rsidR="00D02BC8" w:rsidRPr="00965E20" w14:paraId="05D52E51" w14:textId="77777777" w:rsidTr="008B6CCB">
        <w:tc>
          <w:tcPr>
            <w:tcW w:w="9289" w:type="dxa"/>
            <w:gridSpan w:val="2"/>
            <w:tcBorders>
              <w:bottom w:val="single" w:sz="4" w:space="0" w:color="auto"/>
            </w:tcBorders>
          </w:tcPr>
          <w:p w14:paraId="7FE16B0F" w14:textId="77777777" w:rsidR="00D02BC8" w:rsidRPr="00D31EBB" w:rsidRDefault="00D02BC8" w:rsidP="008B6CCB">
            <w:pPr>
              <w:pStyle w:val="EMEABodyText"/>
              <w:rPr>
                <w:b/>
              </w:rPr>
            </w:pPr>
            <w:r>
              <w:rPr>
                <w:b/>
              </w:rPr>
              <w:t>Table 3. De novo substitutions in treatment naive patients failing therapy with atazanavir + ritonavir (Study 138, 96 weeks)</w:t>
            </w:r>
          </w:p>
        </w:tc>
      </w:tr>
      <w:tr w:rsidR="00D02BC8" w:rsidRPr="00993FF0" w14:paraId="3C3BC73E" w14:textId="77777777" w:rsidTr="008B6CCB">
        <w:tc>
          <w:tcPr>
            <w:tcW w:w="1758" w:type="dxa"/>
            <w:tcBorders>
              <w:top w:val="single" w:sz="4" w:space="0" w:color="auto"/>
              <w:bottom w:val="single" w:sz="4" w:space="0" w:color="auto"/>
            </w:tcBorders>
          </w:tcPr>
          <w:p w14:paraId="5E5E834F" w14:textId="77777777" w:rsidR="00D02BC8" w:rsidRPr="004F3582" w:rsidRDefault="00D02BC8" w:rsidP="008B6CCB">
            <w:pPr>
              <w:pStyle w:val="EMEABodyText"/>
              <w:rPr>
                <w:b/>
              </w:rPr>
            </w:pPr>
            <w:r>
              <w:rPr>
                <w:b/>
              </w:rPr>
              <w:t>Frequency</w:t>
            </w:r>
          </w:p>
        </w:tc>
        <w:tc>
          <w:tcPr>
            <w:tcW w:w="7531" w:type="dxa"/>
            <w:tcBorders>
              <w:top w:val="single" w:sz="4" w:space="0" w:color="auto"/>
              <w:bottom w:val="single" w:sz="4" w:space="0" w:color="auto"/>
            </w:tcBorders>
          </w:tcPr>
          <w:p w14:paraId="6AE05C24" w14:textId="77777777" w:rsidR="00D02BC8" w:rsidRPr="00C23538" w:rsidRDefault="00D02BC8" w:rsidP="008B6CCB">
            <w:pPr>
              <w:pStyle w:val="EMEABodyText"/>
              <w:jc w:val="center"/>
              <w:rPr>
                <w:b/>
              </w:rPr>
            </w:pPr>
            <w:r>
              <w:rPr>
                <w:b/>
              </w:rPr>
              <w:t>de novo PI substitution (n=26)</w:t>
            </w:r>
            <w:r>
              <w:rPr>
                <w:b/>
                <w:vertAlign w:val="superscript"/>
              </w:rPr>
              <w:t>a</w:t>
            </w:r>
          </w:p>
        </w:tc>
      </w:tr>
      <w:tr w:rsidR="00D02BC8" w:rsidRPr="004F3582" w14:paraId="518500BA" w14:textId="77777777" w:rsidTr="008B6CCB">
        <w:tc>
          <w:tcPr>
            <w:tcW w:w="1758" w:type="dxa"/>
            <w:tcBorders>
              <w:top w:val="single" w:sz="4" w:space="0" w:color="auto"/>
            </w:tcBorders>
          </w:tcPr>
          <w:p w14:paraId="5C575A3B" w14:textId="77777777" w:rsidR="00D02BC8" w:rsidRPr="004F3582" w:rsidRDefault="00D02BC8" w:rsidP="008B6CCB">
            <w:pPr>
              <w:pStyle w:val="EMEABodyText"/>
            </w:pPr>
            <w:r>
              <w:t>&gt;20%</w:t>
            </w:r>
          </w:p>
        </w:tc>
        <w:tc>
          <w:tcPr>
            <w:tcW w:w="7531" w:type="dxa"/>
            <w:tcBorders>
              <w:top w:val="single" w:sz="4" w:space="0" w:color="auto"/>
            </w:tcBorders>
          </w:tcPr>
          <w:p w14:paraId="1E2D78EE" w14:textId="77777777" w:rsidR="00D02BC8" w:rsidRPr="004F3582" w:rsidRDefault="00D02BC8" w:rsidP="008B6CCB">
            <w:pPr>
              <w:pStyle w:val="EMEABodyText"/>
              <w:jc w:val="center"/>
            </w:pPr>
            <w:r>
              <w:t>none</w:t>
            </w:r>
          </w:p>
        </w:tc>
      </w:tr>
      <w:tr w:rsidR="00D02BC8" w:rsidRPr="004F3582" w14:paraId="1DA6A690" w14:textId="77777777" w:rsidTr="008B6CCB">
        <w:tc>
          <w:tcPr>
            <w:tcW w:w="1758" w:type="dxa"/>
            <w:tcBorders>
              <w:bottom w:val="single" w:sz="4" w:space="0" w:color="auto"/>
            </w:tcBorders>
          </w:tcPr>
          <w:p w14:paraId="7679B73C" w14:textId="77777777" w:rsidR="00D02BC8" w:rsidRPr="004F3582" w:rsidRDefault="00D02BC8" w:rsidP="008B6CCB">
            <w:pPr>
              <w:pStyle w:val="EMEABodyText"/>
            </w:pPr>
            <w:r>
              <w:t>10-20%</w:t>
            </w:r>
          </w:p>
        </w:tc>
        <w:tc>
          <w:tcPr>
            <w:tcW w:w="7531" w:type="dxa"/>
            <w:tcBorders>
              <w:bottom w:val="single" w:sz="4" w:space="0" w:color="auto"/>
            </w:tcBorders>
          </w:tcPr>
          <w:p w14:paraId="36776691" w14:textId="77777777" w:rsidR="00D02BC8" w:rsidRPr="004F3582" w:rsidRDefault="00D02BC8" w:rsidP="008B6CCB">
            <w:pPr>
              <w:pStyle w:val="EMEABodyText"/>
              <w:jc w:val="center"/>
            </w:pPr>
            <w:r>
              <w:t>none</w:t>
            </w:r>
          </w:p>
        </w:tc>
      </w:tr>
      <w:tr w:rsidR="00D02BC8" w:rsidRPr="00965E20" w14:paraId="3AFBF09C" w14:textId="77777777" w:rsidTr="008B6CCB">
        <w:tc>
          <w:tcPr>
            <w:tcW w:w="9289" w:type="dxa"/>
            <w:gridSpan w:val="2"/>
            <w:tcBorders>
              <w:top w:val="single" w:sz="4" w:space="0" w:color="auto"/>
            </w:tcBorders>
          </w:tcPr>
          <w:p w14:paraId="1D50ACA5" w14:textId="77777777" w:rsidR="00D02BC8" w:rsidRPr="00D31EBB" w:rsidRDefault="00D02BC8" w:rsidP="008B6CCB">
            <w:pPr>
              <w:pStyle w:val="EMEABodyText"/>
              <w:rPr>
                <w:sz w:val="18"/>
                <w:szCs w:val="18"/>
              </w:rPr>
            </w:pPr>
            <w:r>
              <w:rPr>
                <w:sz w:val="18"/>
                <w:szCs w:val="18"/>
                <w:vertAlign w:val="superscript"/>
              </w:rPr>
              <w:t>a</w:t>
            </w:r>
            <w:r>
              <w:rPr>
                <w:sz w:val="18"/>
                <w:szCs w:val="18"/>
              </w:rPr>
              <w:t xml:space="preserve"> Number of patients with paired genotypes classified as virological failures (HIV RNA ≥ 400 copies/ml).</w:t>
            </w:r>
          </w:p>
        </w:tc>
      </w:tr>
    </w:tbl>
    <w:p w14:paraId="6E4A7320" w14:textId="77777777" w:rsidR="00D02BC8" w:rsidRPr="00D31EBB" w:rsidRDefault="00D02BC8" w:rsidP="008B6CCB">
      <w:pPr>
        <w:pStyle w:val="EMEABodyText"/>
        <w:rPr>
          <w:lang w:val="en-US"/>
        </w:rPr>
      </w:pPr>
    </w:p>
    <w:p w14:paraId="392F8664" w14:textId="77777777" w:rsidR="00D02BC8" w:rsidRPr="00D31EBB" w:rsidRDefault="00D02BC8" w:rsidP="008B6CCB">
      <w:pPr>
        <w:pStyle w:val="EMEABodyText"/>
      </w:pPr>
      <w:r>
        <w:t>The M184I/V substitution emerged in 5/26 REYATAZ/ritonavir and 7/26 lopinavir/ritonavir virologic failure patients, respectively.</w:t>
      </w:r>
    </w:p>
    <w:p w14:paraId="6F43763A" w14:textId="77777777" w:rsidR="00D02BC8" w:rsidRPr="00D31EBB" w:rsidRDefault="00D02BC8" w:rsidP="008B6CCB">
      <w:pPr>
        <w:pStyle w:val="EMEABodyText"/>
        <w:rPr>
          <w:i/>
          <w:lang w:val="en-US"/>
        </w:rPr>
      </w:pPr>
    </w:p>
    <w:p w14:paraId="0A1B8F5A" w14:textId="77777777" w:rsidR="00D02BC8" w:rsidRPr="00D31EBB" w:rsidRDefault="00D02BC8" w:rsidP="008B6CCB">
      <w:pPr>
        <w:pStyle w:val="EMEABodyText"/>
        <w:keepNext/>
        <w:rPr>
          <w:i/>
        </w:rPr>
      </w:pPr>
      <w:r>
        <w:rPr>
          <w:i/>
        </w:rPr>
        <w:t>Antiretroviral treatment experienced adult patients</w:t>
      </w:r>
    </w:p>
    <w:p w14:paraId="5E5721F8" w14:textId="77777777" w:rsidR="00D02BC8" w:rsidRPr="00D31EBB" w:rsidRDefault="00D02BC8" w:rsidP="008B6CCB">
      <w:pPr>
        <w:pStyle w:val="EMEABodyText"/>
      </w:pPr>
      <w:r>
        <w:t>In antiretroviral treatment experienced patients from Studies 009, 043, and 045, 100 isolates from patients designated as virological failures on therapy that included either atazanavir, atazanavir + ritonavir, or atazanavir + saquinavir were determined to have developed resistance to atazanavir. Of the 60 isolates from patients treated with either atazanavir or atazanavir + ritonavir, 18 (30%) displayed the I50L phenotype previously described in naive patients.</w:t>
      </w:r>
    </w:p>
    <w:p w14:paraId="4FBF22BA" w14:textId="77777777" w:rsidR="00D02BC8" w:rsidRPr="00D31EBB" w:rsidRDefault="00D02BC8" w:rsidP="008B6CCB">
      <w:pPr>
        <w:pStyle w:val="EMEABodyText"/>
        <w:rPr>
          <w:lang w:val="en-US"/>
        </w:rPr>
      </w:pPr>
    </w:p>
    <w:tbl>
      <w:tblPr>
        <w:tblW w:w="0" w:type="auto"/>
        <w:tblLook w:val="01E0" w:firstRow="1" w:lastRow="1" w:firstColumn="1" w:lastColumn="1" w:noHBand="0" w:noVBand="0"/>
      </w:tblPr>
      <w:tblGrid>
        <w:gridCol w:w="1741"/>
        <w:gridCol w:w="7332"/>
      </w:tblGrid>
      <w:tr w:rsidR="00D02BC8" w:rsidRPr="00965E20" w14:paraId="19DA4838" w14:textId="77777777" w:rsidTr="008B6CCB">
        <w:tc>
          <w:tcPr>
            <w:tcW w:w="9289" w:type="dxa"/>
            <w:gridSpan w:val="2"/>
            <w:tcBorders>
              <w:bottom w:val="single" w:sz="4" w:space="0" w:color="auto"/>
            </w:tcBorders>
          </w:tcPr>
          <w:p w14:paraId="72A4082B" w14:textId="77777777" w:rsidR="00D02BC8" w:rsidRPr="00D31EBB" w:rsidRDefault="00D02BC8" w:rsidP="008B6CCB">
            <w:pPr>
              <w:pStyle w:val="EMEABodyText"/>
              <w:rPr>
                <w:b/>
              </w:rPr>
            </w:pPr>
            <w:r>
              <w:rPr>
                <w:b/>
              </w:rPr>
              <w:t>Table 4. De novo substitutions in treatment experienced patients failing therapy with atazanavir + ritonavir (Study 045, 48 weeks)</w:t>
            </w:r>
          </w:p>
        </w:tc>
      </w:tr>
      <w:tr w:rsidR="00D02BC8" w:rsidRPr="00993FF0" w14:paraId="53793512" w14:textId="77777777" w:rsidTr="008B6CCB">
        <w:tc>
          <w:tcPr>
            <w:tcW w:w="1758" w:type="dxa"/>
            <w:tcBorders>
              <w:top w:val="single" w:sz="4" w:space="0" w:color="auto"/>
              <w:bottom w:val="single" w:sz="4" w:space="0" w:color="auto"/>
            </w:tcBorders>
          </w:tcPr>
          <w:p w14:paraId="661143B7" w14:textId="77777777" w:rsidR="00D02BC8" w:rsidRPr="004F3582" w:rsidRDefault="00D02BC8" w:rsidP="008B6CCB">
            <w:pPr>
              <w:pStyle w:val="EMEABodyText"/>
              <w:rPr>
                <w:b/>
              </w:rPr>
            </w:pPr>
            <w:r>
              <w:rPr>
                <w:b/>
              </w:rPr>
              <w:t>Frequency</w:t>
            </w:r>
          </w:p>
        </w:tc>
        <w:tc>
          <w:tcPr>
            <w:tcW w:w="7531" w:type="dxa"/>
            <w:tcBorders>
              <w:top w:val="single" w:sz="4" w:space="0" w:color="auto"/>
              <w:bottom w:val="single" w:sz="4" w:space="0" w:color="auto"/>
            </w:tcBorders>
          </w:tcPr>
          <w:p w14:paraId="3F5FA63C" w14:textId="77777777" w:rsidR="00D02BC8" w:rsidRPr="00C23538" w:rsidRDefault="00D02BC8" w:rsidP="008B6CCB">
            <w:pPr>
              <w:pStyle w:val="EMEABodyText"/>
              <w:jc w:val="center"/>
              <w:rPr>
                <w:b/>
              </w:rPr>
            </w:pPr>
            <w:r>
              <w:rPr>
                <w:b/>
              </w:rPr>
              <w:t>de novo PI substitution (n=35)</w:t>
            </w:r>
            <w:r>
              <w:rPr>
                <w:b/>
                <w:vertAlign w:val="superscript"/>
              </w:rPr>
              <w:t>a,b</w:t>
            </w:r>
          </w:p>
        </w:tc>
      </w:tr>
      <w:tr w:rsidR="00D02BC8" w:rsidRPr="004F3582" w14:paraId="6DB3D9A0" w14:textId="77777777" w:rsidTr="008B6CCB">
        <w:tc>
          <w:tcPr>
            <w:tcW w:w="1758" w:type="dxa"/>
            <w:tcBorders>
              <w:top w:val="single" w:sz="4" w:space="0" w:color="auto"/>
            </w:tcBorders>
          </w:tcPr>
          <w:p w14:paraId="6BF5D53E" w14:textId="77777777" w:rsidR="00D02BC8" w:rsidRPr="004F3582" w:rsidRDefault="00D02BC8" w:rsidP="008B6CCB">
            <w:pPr>
              <w:pStyle w:val="EMEABodyText"/>
            </w:pPr>
            <w:r>
              <w:t>&gt;20%</w:t>
            </w:r>
          </w:p>
        </w:tc>
        <w:tc>
          <w:tcPr>
            <w:tcW w:w="7531" w:type="dxa"/>
            <w:tcBorders>
              <w:top w:val="single" w:sz="4" w:space="0" w:color="auto"/>
            </w:tcBorders>
          </w:tcPr>
          <w:p w14:paraId="5102A655" w14:textId="77777777" w:rsidR="00D02BC8" w:rsidRPr="004F3582" w:rsidRDefault="00D02BC8" w:rsidP="008B6CCB">
            <w:pPr>
              <w:pStyle w:val="EMEABodyText"/>
              <w:jc w:val="center"/>
            </w:pPr>
            <w:r>
              <w:t>M36, M46, I54, A71, V82</w:t>
            </w:r>
          </w:p>
        </w:tc>
      </w:tr>
      <w:tr w:rsidR="00D02BC8" w:rsidRPr="00965E20" w14:paraId="40EFD4ED" w14:textId="77777777" w:rsidTr="008B6CCB">
        <w:tc>
          <w:tcPr>
            <w:tcW w:w="1758" w:type="dxa"/>
            <w:tcBorders>
              <w:bottom w:val="single" w:sz="4" w:space="0" w:color="auto"/>
            </w:tcBorders>
          </w:tcPr>
          <w:p w14:paraId="27B0CBA8" w14:textId="77777777" w:rsidR="00D02BC8" w:rsidRPr="004F3582" w:rsidRDefault="00D02BC8" w:rsidP="008B6CCB">
            <w:pPr>
              <w:pStyle w:val="EMEABodyText"/>
            </w:pPr>
            <w:r>
              <w:t>10-20%</w:t>
            </w:r>
          </w:p>
        </w:tc>
        <w:tc>
          <w:tcPr>
            <w:tcW w:w="7531" w:type="dxa"/>
            <w:tcBorders>
              <w:bottom w:val="single" w:sz="4" w:space="0" w:color="auto"/>
            </w:tcBorders>
          </w:tcPr>
          <w:p w14:paraId="4481C1AD" w14:textId="77777777" w:rsidR="00D02BC8" w:rsidRPr="00D31EBB" w:rsidRDefault="00D02BC8" w:rsidP="008B6CCB">
            <w:pPr>
              <w:pStyle w:val="EMEABodyText"/>
              <w:jc w:val="center"/>
            </w:pPr>
            <w:r>
              <w:t>L10, I15, K20, V32, E35, S37, F53, I62, G73, I84, L90</w:t>
            </w:r>
          </w:p>
        </w:tc>
      </w:tr>
      <w:tr w:rsidR="00D02BC8" w:rsidRPr="00965E20" w14:paraId="65147617" w14:textId="77777777" w:rsidTr="008B6CCB">
        <w:tc>
          <w:tcPr>
            <w:tcW w:w="9287" w:type="dxa"/>
            <w:gridSpan w:val="2"/>
            <w:tcBorders>
              <w:top w:val="single" w:sz="4" w:space="0" w:color="auto"/>
            </w:tcBorders>
          </w:tcPr>
          <w:p w14:paraId="4BC86216" w14:textId="77777777" w:rsidR="00D02BC8" w:rsidRPr="00D31EBB" w:rsidRDefault="00D02BC8" w:rsidP="008B6CCB">
            <w:pPr>
              <w:pStyle w:val="EMEABodyText"/>
              <w:rPr>
                <w:sz w:val="18"/>
                <w:szCs w:val="18"/>
              </w:rPr>
            </w:pPr>
            <w:r>
              <w:rPr>
                <w:sz w:val="18"/>
                <w:szCs w:val="18"/>
                <w:vertAlign w:val="superscript"/>
              </w:rPr>
              <w:t>a</w:t>
            </w:r>
            <w:r>
              <w:rPr>
                <w:sz w:val="18"/>
                <w:szCs w:val="18"/>
              </w:rPr>
              <w:t xml:space="preserve"> Number of patients with paired genotypes classified as virological failures (HIV RNA ≥ 400 copies/ml).</w:t>
            </w:r>
          </w:p>
          <w:p w14:paraId="6167C599" w14:textId="77777777" w:rsidR="00D02BC8" w:rsidRPr="00D31EBB" w:rsidRDefault="00D02BC8" w:rsidP="008B6CCB">
            <w:pPr>
              <w:pStyle w:val="EMEABodyText"/>
              <w:rPr>
                <w:sz w:val="18"/>
                <w:szCs w:val="18"/>
              </w:rPr>
            </w:pPr>
            <w:r>
              <w:rPr>
                <w:sz w:val="18"/>
                <w:szCs w:val="18"/>
                <w:vertAlign w:val="superscript"/>
              </w:rPr>
              <w:t>b</w:t>
            </w:r>
            <w:r>
              <w:rPr>
                <w:sz w:val="18"/>
                <w:szCs w:val="18"/>
              </w:rPr>
              <w:t xml:space="preserve"> Ten patients had baseline phenotypic resistance to atazanavir + ritonavir (fold change [FC]&gt;5.2). FC susceptibility in cell culture relative to the wild-type reference was assayed using PhenoSense</w:t>
            </w:r>
            <w:r>
              <w:rPr>
                <w:sz w:val="18"/>
                <w:szCs w:val="18"/>
                <w:vertAlign w:val="superscript"/>
              </w:rPr>
              <w:t>TM</w:t>
            </w:r>
            <w:r>
              <w:rPr>
                <w:sz w:val="18"/>
                <w:szCs w:val="18"/>
              </w:rPr>
              <w:t xml:space="preserve"> (Monogram Biosciences, South San Francisco, California, USA)</w:t>
            </w:r>
          </w:p>
        </w:tc>
      </w:tr>
    </w:tbl>
    <w:p w14:paraId="5D0345B1" w14:textId="77777777" w:rsidR="00D02BC8" w:rsidRPr="00D31EBB" w:rsidRDefault="00D02BC8" w:rsidP="008B6CCB">
      <w:pPr>
        <w:pStyle w:val="EMEABodyText"/>
        <w:rPr>
          <w:lang w:val="en-US"/>
        </w:rPr>
      </w:pPr>
    </w:p>
    <w:p w14:paraId="6195825F" w14:textId="77777777" w:rsidR="00D02BC8" w:rsidRPr="00D31EBB" w:rsidRDefault="00D02BC8" w:rsidP="008B6CCB">
      <w:pPr>
        <w:pStyle w:val="EMEABodyText"/>
      </w:pPr>
      <w:r>
        <w:t>None of the de novo substitutions (see Table 4) are specific to atazanavir and may reflect re-emergence of archived resistance on atazanavir + ritonavir in Study 045 treatment-experienced population.</w:t>
      </w:r>
    </w:p>
    <w:p w14:paraId="3FB76601" w14:textId="77777777" w:rsidR="00D02BC8" w:rsidRPr="00D31EBB" w:rsidRDefault="00D02BC8" w:rsidP="008B6CCB">
      <w:pPr>
        <w:pStyle w:val="EMEABodyText"/>
        <w:rPr>
          <w:lang w:val="en-US"/>
        </w:rPr>
      </w:pPr>
    </w:p>
    <w:p w14:paraId="79D118FD" w14:textId="77777777" w:rsidR="00D02BC8" w:rsidRPr="00D31EBB" w:rsidRDefault="00D02BC8" w:rsidP="008B6CCB">
      <w:pPr>
        <w:pStyle w:val="EMEABodyText"/>
      </w:pPr>
      <w:r>
        <w:t>The resistance in antiretroviral treatment experienced patients mainly occurs by accumulation of the major and minor resistance substitutions described previously to be involved in protease inhibitor resistance.</w:t>
      </w:r>
    </w:p>
    <w:p w14:paraId="65B89FF0" w14:textId="77777777" w:rsidR="00D02BC8" w:rsidRPr="00D31EBB" w:rsidRDefault="00D02BC8" w:rsidP="008B6CCB">
      <w:pPr>
        <w:pStyle w:val="EMEABodyText"/>
        <w:rPr>
          <w:lang w:val="en-US"/>
        </w:rPr>
      </w:pPr>
    </w:p>
    <w:p w14:paraId="76DCA81B" w14:textId="77777777" w:rsidR="00D02BC8" w:rsidRPr="00D31EBB" w:rsidRDefault="00D02BC8" w:rsidP="008B6CCB">
      <w:pPr>
        <w:pStyle w:val="EMEABodyText"/>
      </w:pPr>
      <w:r>
        <w:rPr>
          <w:b/>
        </w:rPr>
        <w:t>Clinical results</w:t>
      </w:r>
    </w:p>
    <w:p w14:paraId="0A29FF8F" w14:textId="77777777" w:rsidR="00D02BC8" w:rsidRPr="00D31EBB" w:rsidRDefault="00D02BC8" w:rsidP="008B6CCB">
      <w:pPr>
        <w:pStyle w:val="EMEABodyText"/>
        <w:rPr>
          <w:i/>
          <w:szCs w:val="22"/>
        </w:rPr>
      </w:pPr>
      <w:r>
        <w:rPr>
          <w:i/>
          <w:szCs w:val="22"/>
        </w:rPr>
        <w:t>In antiretroviral naive adult patients</w:t>
      </w:r>
    </w:p>
    <w:p w14:paraId="083DCC39" w14:textId="77777777" w:rsidR="00D02BC8" w:rsidRPr="00D31EBB" w:rsidRDefault="00D02BC8" w:rsidP="008B6CCB">
      <w:pPr>
        <w:pStyle w:val="EMEABodyText"/>
        <w:rPr>
          <w:bCs/>
        </w:rPr>
      </w:pPr>
      <w:r>
        <w:rPr>
          <w:i/>
          <w:szCs w:val="22"/>
        </w:rPr>
        <w:t>Study 138</w:t>
      </w:r>
      <w:r>
        <w:t xml:space="preserve"> is an international randomised, open-label, multicenter, prospective trial of treatment naïve patients comparing REYATAZ/ritonavir (300 mg/100 mg once daily) to lopinavir/ritonavir (400 mg/100 mg twice daily), each in combination with fixed dose tenofovir disoproxil fumarate/emtricitabine (300 mg/200 mg tablets once daily). The REYATAZ/ritonavir arm showed similar (non-inferior) antiviral efficacy compared to the lopinavir/ritonavir arm, as assessed by the proportion of patients with HIV RNA &lt; 50 copies/ml at week 48 (Table 5).</w:t>
      </w:r>
    </w:p>
    <w:p w14:paraId="45D04DD2" w14:textId="77777777" w:rsidR="00D02BC8" w:rsidRPr="00D31EBB" w:rsidRDefault="00D02BC8" w:rsidP="008B6CCB">
      <w:pPr>
        <w:pStyle w:val="EMEABodyText"/>
      </w:pPr>
      <w:r>
        <w:t>Analyses of data through 96 weeks of treatment demonstrated durability of antiviral activity (Table 5).</w:t>
      </w:r>
    </w:p>
    <w:p w14:paraId="63464415" w14:textId="77777777" w:rsidR="00D02BC8" w:rsidRPr="00D31EBB" w:rsidRDefault="00D02BC8" w:rsidP="008B6CCB">
      <w:pPr>
        <w:pStyle w:val="EMEABodyText"/>
        <w:rPr>
          <w:lang w:val="en-US"/>
        </w:rPr>
      </w:pPr>
    </w:p>
    <w:p w14:paraId="19AECED2" w14:textId="77777777" w:rsidR="00D02BC8" w:rsidRPr="00D31EBB" w:rsidRDefault="00D02BC8" w:rsidP="008B6CCB">
      <w:pPr>
        <w:pStyle w:val="EMEABodyText"/>
        <w:keepNext/>
        <w:rPr>
          <w:b/>
        </w:rPr>
      </w:pPr>
      <w:r>
        <w:rPr>
          <w:b/>
        </w:rPr>
        <w:lastRenderedPageBreak/>
        <w:t>Table 5:</w:t>
      </w:r>
      <w:r>
        <w:rPr>
          <w:b/>
        </w:rPr>
        <w:tab/>
        <w:t>Efficacy Outcomes in Study 138</w:t>
      </w:r>
      <w:r>
        <w:rPr>
          <w:b/>
          <w:vertAlign w:val="superscript"/>
        </w:rPr>
        <w:t xml:space="preserve"> 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710"/>
        <w:gridCol w:w="1710"/>
        <w:gridCol w:w="1710"/>
        <w:gridCol w:w="1710"/>
      </w:tblGrid>
      <w:tr w:rsidR="00D02BC8" w:rsidRPr="004F3582" w14:paraId="67E8713B" w14:textId="77777777" w:rsidTr="008B6CCB">
        <w:tc>
          <w:tcPr>
            <w:tcW w:w="2448" w:type="dxa"/>
            <w:vAlign w:val="bottom"/>
          </w:tcPr>
          <w:p w14:paraId="6241050F" w14:textId="77777777" w:rsidR="00D02BC8" w:rsidRPr="004F3582" w:rsidRDefault="00D02BC8" w:rsidP="008B6CCB">
            <w:pPr>
              <w:pStyle w:val="EMEABodyText"/>
              <w:keepNext/>
            </w:pPr>
            <w:r>
              <w:rPr>
                <w:b/>
              </w:rPr>
              <w:t>Parameter</w:t>
            </w:r>
          </w:p>
        </w:tc>
        <w:tc>
          <w:tcPr>
            <w:tcW w:w="3420" w:type="dxa"/>
            <w:gridSpan w:val="2"/>
          </w:tcPr>
          <w:p w14:paraId="736C082F" w14:textId="77777777" w:rsidR="00D02BC8" w:rsidRPr="00D31EBB" w:rsidRDefault="00D02BC8" w:rsidP="008B6CCB">
            <w:pPr>
              <w:pStyle w:val="EMEABodyText"/>
              <w:keepNext/>
              <w:jc w:val="center"/>
              <w:rPr>
                <w:b/>
              </w:rPr>
            </w:pPr>
            <w:r>
              <w:rPr>
                <w:b/>
              </w:rPr>
              <w:t>REYATAZ/ritonavir</w:t>
            </w:r>
            <w:r>
              <w:rPr>
                <w:b/>
                <w:vertAlign w:val="superscript"/>
              </w:rPr>
              <w:t>b</w:t>
            </w:r>
            <w:r>
              <w:rPr>
                <w:b/>
              </w:rPr>
              <w:t xml:space="preserve"> (300 mg/100 mg once daily)</w:t>
            </w:r>
          </w:p>
          <w:p w14:paraId="1282D6F5" w14:textId="77777777" w:rsidR="00D02BC8" w:rsidRPr="004F3582" w:rsidRDefault="00D02BC8" w:rsidP="008B6CCB">
            <w:pPr>
              <w:pStyle w:val="EMEABodyText"/>
              <w:keepNext/>
              <w:jc w:val="center"/>
            </w:pPr>
            <w:r>
              <w:rPr>
                <w:b/>
              </w:rPr>
              <w:t>n=440</w:t>
            </w:r>
          </w:p>
        </w:tc>
        <w:tc>
          <w:tcPr>
            <w:tcW w:w="3420" w:type="dxa"/>
            <w:gridSpan w:val="2"/>
          </w:tcPr>
          <w:p w14:paraId="407D2D6D" w14:textId="77777777" w:rsidR="00D02BC8" w:rsidRPr="00D31EBB" w:rsidRDefault="00D02BC8" w:rsidP="008B6CCB">
            <w:pPr>
              <w:pStyle w:val="EMEABodyText"/>
              <w:keepNext/>
              <w:jc w:val="center"/>
              <w:rPr>
                <w:b/>
              </w:rPr>
            </w:pPr>
            <w:r>
              <w:rPr>
                <w:b/>
              </w:rPr>
              <w:t>Lopinavir/ritonavir</w:t>
            </w:r>
            <w:r>
              <w:rPr>
                <w:b/>
                <w:vertAlign w:val="superscript"/>
              </w:rPr>
              <w:t>c</w:t>
            </w:r>
            <w:r>
              <w:rPr>
                <w:b/>
              </w:rPr>
              <w:t xml:space="preserve"> (400 mg/100 mg twice daily)</w:t>
            </w:r>
          </w:p>
          <w:p w14:paraId="1D447FD3" w14:textId="77777777" w:rsidR="00D02BC8" w:rsidRPr="004F3582" w:rsidRDefault="00D02BC8" w:rsidP="008B6CCB">
            <w:pPr>
              <w:pStyle w:val="EMEABodyText"/>
              <w:keepNext/>
              <w:jc w:val="center"/>
            </w:pPr>
            <w:r>
              <w:rPr>
                <w:b/>
              </w:rPr>
              <w:t>n=443</w:t>
            </w:r>
          </w:p>
        </w:tc>
      </w:tr>
      <w:tr w:rsidR="00D02BC8" w:rsidRPr="004F3582" w14:paraId="569F4096" w14:textId="77777777" w:rsidTr="008B6CCB">
        <w:tc>
          <w:tcPr>
            <w:tcW w:w="2448" w:type="dxa"/>
            <w:vAlign w:val="bottom"/>
          </w:tcPr>
          <w:p w14:paraId="5B4CCB62" w14:textId="77777777" w:rsidR="00D02BC8" w:rsidRPr="004F3582" w:rsidRDefault="00D02BC8" w:rsidP="008B6CCB">
            <w:pPr>
              <w:pStyle w:val="EMEABodyText"/>
              <w:keepNext/>
            </w:pPr>
          </w:p>
        </w:tc>
        <w:tc>
          <w:tcPr>
            <w:tcW w:w="1710" w:type="dxa"/>
          </w:tcPr>
          <w:p w14:paraId="2C235E79" w14:textId="77777777" w:rsidR="00D02BC8" w:rsidRPr="004F3582" w:rsidRDefault="00D02BC8" w:rsidP="008B6CCB">
            <w:pPr>
              <w:pStyle w:val="EMEABodyText"/>
              <w:keepNext/>
              <w:jc w:val="center"/>
            </w:pPr>
            <w:r>
              <w:rPr>
                <w:b/>
              </w:rPr>
              <w:t>Week 48</w:t>
            </w:r>
          </w:p>
        </w:tc>
        <w:tc>
          <w:tcPr>
            <w:tcW w:w="1710" w:type="dxa"/>
          </w:tcPr>
          <w:p w14:paraId="63EC02B3" w14:textId="77777777" w:rsidR="00D02BC8" w:rsidRPr="004F3582" w:rsidRDefault="00D02BC8" w:rsidP="008B6CCB">
            <w:pPr>
              <w:pStyle w:val="EMEABodyText"/>
              <w:keepNext/>
              <w:jc w:val="center"/>
            </w:pPr>
            <w:r>
              <w:rPr>
                <w:b/>
              </w:rPr>
              <w:t>Week 96</w:t>
            </w:r>
          </w:p>
        </w:tc>
        <w:tc>
          <w:tcPr>
            <w:tcW w:w="1710" w:type="dxa"/>
          </w:tcPr>
          <w:p w14:paraId="70307673" w14:textId="77777777" w:rsidR="00D02BC8" w:rsidRPr="004F3582" w:rsidRDefault="00D02BC8" w:rsidP="008B6CCB">
            <w:pPr>
              <w:pStyle w:val="EMEABodyText"/>
              <w:keepNext/>
              <w:jc w:val="center"/>
            </w:pPr>
            <w:r>
              <w:rPr>
                <w:b/>
              </w:rPr>
              <w:t>Week 48</w:t>
            </w:r>
          </w:p>
        </w:tc>
        <w:tc>
          <w:tcPr>
            <w:tcW w:w="1710" w:type="dxa"/>
          </w:tcPr>
          <w:p w14:paraId="0E3D096D" w14:textId="77777777" w:rsidR="00D02BC8" w:rsidRPr="004F3582" w:rsidRDefault="00D02BC8" w:rsidP="008B6CCB">
            <w:pPr>
              <w:pStyle w:val="EMEABodyText"/>
              <w:keepNext/>
              <w:jc w:val="center"/>
            </w:pPr>
            <w:r>
              <w:rPr>
                <w:b/>
              </w:rPr>
              <w:t>Week 96</w:t>
            </w:r>
          </w:p>
        </w:tc>
      </w:tr>
      <w:tr w:rsidR="00D02BC8" w:rsidRPr="004F3582" w14:paraId="0B376C7A" w14:textId="77777777" w:rsidTr="008B6CCB">
        <w:tc>
          <w:tcPr>
            <w:tcW w:w="9288" w:type="dxa"/>
            <w:gridSpan w:val="5"/>
            <w:vAlign w:val="bottom"/>
          </w:tcPr>
          <w:p w14:paraId="367D97DB" w14:textId="77777777" w:rsidR="00D02BC8" w:rsidRPr="004F3582" w:rsidRDefault="00D02BC8" w:rsidP="008B6CCB">
            <w:pPr>
              <w:pStyle w:val="EMEABodyText"/>
              <w:keepNext/>
            </w:pPr>
            <w:r>
              <w:rPr>
                <w:b/>
              </w:rPr>
              <w:t>HIV RNA &lt;50 copies/ml, %</w:t>
            </w:r>
          </w:p>
        </w:tc>
      </w:tr>
      <w:tr w:rsidR="00D02BC8" w:rsidRPr="004F3582" w14:paraId="226452C4" w14:textId="77777777" w:rsidTr="008B6CCB">
        <w:tc>
          <w:tcPr>
            <w:tcW w:w="2448" w:type="dxa"/>
            <w:vAlign w:val="bottom"/>
          </w:tcPr>
          <w:p w14:paraId="68493579" w14:textId="77777777" w:rsidR="00D02BC8" w:rsidRPr="004F3582" w:rsidRDefault="00D02BC8" w:rsidP="008B6CCB">
            <w:pPr>
              <w:pStyle w:val="EMEABodyText"/>
              <w:keepNext/>
            </w:pPr>
            <w:r>
              <w:t>All patients</w:t>
            </w:r>
            <w:r>
              <w:rPr>
                <w:vertAlign w:val="superscript"/>
              </w:rPr>
              <w:t>d</w:t>
            </w:r>
          </w:p>
        </w:tc>
        <w:tc>
          <w:tcPr>
            <w:tcW w:w="1710" w:type="dxa"/>
          </w:tcPr>
          <w:p w14:paraId="5B9542CA" w14:textId="77777777" w:rsidR="00D02BC8" w:rsidRPr="004F3582" w:rsidRDefault="00D02BC8" w:rsidP="008B6CCB">
            <w:pPr>
              <w:pStyle w:val="EMEABodyText"/>
              <w:keepNext/>
              <w:jc w:val="center"/>
            </w:pPr>
            <w:r>
              <w:t>78</w:t>
            </w:r>
          </w:p>
        </w:tc>
        <w:tc>
          <w:tcPr>
            <w:tcW w:w="1710" w:type="dxa"/>
          </w:tcPr>
          <w:p w14:paraId="08302570" w14:textId="77777777" w:rsidR="00D02BC8" w:rsidRPr="004F3582" w:rsidRDefault="00D02BC8" w:rsidP="008B6CCB">
            <w:pPr>
              <w:pStyle w:val="EMEABodyText"/>
              <w:keepNext/>
              <w:jc w:val="center"/>
            </w:pPr>
            <w:r>
              <w:t>74</w:t>
            </w:r>
          </w:p>
        </w:tc>
        <w:tc>
          <w:tcPr>
            <w:tcW w:w="1710" w:type="dxa"/>
          </w:tcPr>
          <w:p w14:paraId="3A18FC4D" w14:textId="77777777" w:rsidR="00D02BC8" w:rsidRPr="004F3582" w:rsidRDefault="00D02BC8" w:rsidP="008B6CCB">
            <w:pPr>
              <w:pStyle w:val="EMEABodyText"/>
              <w:keepNext/>
              <w:jc w:val="center"/>
            </w:pPr>
            <w:r>
              <w:t>76</w:t>
            </w:r>
          </w:p>
        </w:tc>
        <w:tc>
          <w:tcPr>
            <w:tcW w:w="1710" w:type="dxa"/>
          </w:tcPr>
          <w:p w14:paraId="6B93DBCE" w14:textId="77777777" w:rsidR="00D02BC8" w:rsidRPr="004F3582" w:rsidRDefault="00D02BC8" w:rsidP="008B6CCB">
            <w:pPr>
              <w:pStyle w:val="EMEABodyText"/>
              <w:keepNext/>
              <w:jc w:val="center"/>
            </w:pPr>
            <w:r>
              <w:t>68</w:t>
            </w:r>
          </w:p>
        </w:tc>
      </w:tr>
      <w:tr w:rsidR="00D02BC8" w:rsidRPr="004F3582" w14:paraId="3BBA9557" w14:textId="77777777" w:rsidTr="008B6CCB">
        <w:tc>
          <w:tcPr>
            <w:tcW w:w="2448" w:type="dxa"/>
          </w:tcPr>
          <w:p w14:paraId="7DC7F673" w14:textId="77777777" w:rsidR="00D02BC8" w:rsidRPr="004F3582" w:rsidRDefault="00D02BC8" w:rsidP="008B6CCB">
            <w:pPr>
              <w:pStyle w:val="EMEABodyText"/>
              <w:keepNext/>
            </w:pPr>
            <w:r>
              <w:t xml:space="preserve">Difference estimate </w:t>
            </w:r>
          </w:p>
          <w:p w14:paraId="7B46A464" w14:textId="77777777" w:rsidR="00D02BC8" w:rsidRPr="004F3582" w:rsidRDefault="00D02BC8" w:rsidP="008B6CCB">
            <w:pPr>
              <w:pStyle w:val="EMEABodyText"/>
              <w:keepNext/>
            </w:pPr>
            <w:r>
              <w:t xml:space="preserve">    [95% CI]</w:t>
            </w:r>
            <w:r>
              <w:rPr>
                <w:vertAlign w:val="superscript"/>
              </w:rPr>
              <w:t>d</w:t>
            </w:r>
          </w:p>
        </w:tc>
        <w:tc>
          <w:tcPr>
            <w:tcW w:w="6840" w:type="dxa"/>
            <w:gridSpan w:val="4"/>
          </w:tcPr>
          <w:p w14:paraId="601D9207" w14:textId="77777777" w:rsidR="00D02BC8" w:rsidRPr="004F3582" w:rsidRDefault="00D02BC8" w:rsidP="008B6CCB">
            <w:pPr>
              <w:pStyle w:val="EMEABodyText"/>
              <w:keepNext/>
              <w:jc w:val="center"/>
            </w:pPr>
            <w:r>
              <w:t>Week 48: 1.7% [-3.8%, 7.1%]</w:t>
            </w:r>
          </w:p>
          <w:p w14:paraId="69780090" w14:textId="77777777" w:rsidR="00D02BC8" w:rsidRPr="004F3582" w:rsidRDefault="00D02BC8" w:rsidP="008B6CCB">
            <w:pPr>
              <w:pStyle w:val="EMEABodyText"/>
              <w:keepNext/>
              <w:jc w:val="center"/>
            </w:pPr>
            <w:r>
              <w:t>Week 96: 6.1% [0.3%, 12.0%]</w:t>
            </w:r>
          </w:p>
        </w:tc>
      </w:tr>
      <w:tr w:rsidR="00D02BC8" w:rsidRPr="004F3582" w14:paraId="239D7A33" w14:textId="77777777" w:rsidTr="008B6CCB">
        <w:tc>
          <w:tcPr>
            <w:tcW w:w="2448" w:type="dxa"/>
          </w:tcPr>
          <w:p w14:paraId="7FFFFC33" w14:textId="77777777" w:rsidR="00D02BC8" w:rsidRPr="004F3582" w:rsidRDefault="00D02BC8" w:rsidP="008B6CCB">
            <w:pPr>
              <w:pStyle w:val="EMEABodyText"/>
              <w:keepNext/>
            </w:pPr>
            <w:r>
              <w:t>Per protocol analysis</w:t>
            </w:r>
            <w:r>
              <w:rPr>
                <w:vertAlign w:val="superscript"/>
              </w:rPr>
              <w:t>e</w:t>
            </w:r>
          </w:p>
        </w:tc>
        <w:tc>
          <w:tcPr>
            <w:tcW w:w="1710" w:type="dxa"/>
          </w:tcPr>
          <w:p w14:paraId="1A7B2950" w14:textId="77777777" w:rsidR="00D02BC8" w:rsidRPr="004F3582" w:rsidRDefault="00D02BC8" w:rsidP="008B6CCB">
            <w:pPr>
              <w:pStyle w:val="EMEABodyText"/>
              <w:keepNext/>
              <w:jc w:val="center"/>
            </w:pPr>
            <w:r>
              <w:t>86</w:t>
            </w:r>
          </w:p>
          <w:p w14:paraId="01ECB46A" w14:textId="77777777" w:rsidR="00D02BC8" w:rsidRPr="004F3582" w:rsidRDefault="00D02BC8" w:rsidP="008B6CCB">
            <w:pPr>
              <w:pStyle w:val="EMEABodyText"/>
              <w:keepNext/>
              <w:jc w:val="center"/>
            </w:pPr>
            <w:r>
              <w:t>(n=392</w:t>
            </w:r>
            <w:r>
              <w:rPr>
                <w:vertAlign w:val="superscript"/>
              </w:rPr>
              <w:t>f</w:t>
            </w:r>
            <w:r>
              <w:t>)</w:t>
            </w:r>
          </w:p>
        </w:tc>
        <w:tc>
          <w:tcPr>
            <w:tcW w:w="1710" w:type="dxa"/>
          </w:tcPr>
          <w:p w14:paraId="70D1EB85" w14:textId="77777777" w:rsidR="00D02BC8" w:rsidRPr="004F3582" w:rsidRDefault="00D02BC8" w:rsidP="008B6CCB">
            <w:pPr>
              <w:pStyle w:val="EMEABodyText"/>
              <w:keepNext/>
              <w:jc w:val="center"/>
            </w:pPr>
            <w:r>
              <w:t>91</w:t>
            </w:r>
          </w:p>
          <w:p w14:paraId="4045432E" w14:textId="77777777" w:rsidR="00D02BC8" w:rsidRPr="004F3582" w:rsidRDefault="00D02BC8" w:rsidP="008B6CCB">
            <w:pPr>
              <w:pStyle w:val="EMEABodyText"/>
              <w:keepNext/>
              <w:jc w:val="center"/>
            </w:pPr>
            <w:r>
              <w:t>(n=352)</w:t>
            </w:r>
          </w:p>
        </w:tc>
        <w:tc>
          <w:tcPr>
            <w:tcW w:w="1710" w:type="dxa"/>
          </w:tcPr>
          <w:p w14:paraId="3C2F21D7" w14:textId="77777777" w:rsidR="00D02BC8" w:rsidRPr="004F3582" w:rsidRDefault="00D02BC8" w:rsidP="008B6CCB">
            <w:pPr>
              <w:pStyle w:val="EMEABodyText"/>
              <w:keepNext/>
              <w:jc w:val="center"/>
            </w:pPr>
            <w:r>
              <w:t>89</w:t>
            </w:r>
          </w:p>
          <w:p w14:paraId="7731FEAF" w14:textId="77777777" w:rsidR="00D02BC8" w:rsidRPr="004F3582" w:rsidRDefault="00D02BC8" w:rsidP="008B6CCB">
            <w:pPr>
              <w:pStyle w:val="EMEABodyText"/>
              <w:keepNext/>
              <w:jc w:val="center"/>
            </w:pPr>
            <w:r>
              <w:t>(n=372)</w:t>
            </w:r>
          </w:p>
        </w:tc>
        <w:tc>
          <w:tcPr>
            <w:tcW w:w="1710" w:type="dxa"/>
          </w:tcPr>
          <w:p w14:paraId="540467A6" w14:textId="77777777" w:rsidR="00D02BC8" w:rsidRPr="004F3582" w:rsidRDefault="00D02BC8" w:rsidP="008B6CCB">
            <w:pPr>
              <w:pStyle w:val="EMEABodyText"/>
              <w:keepNext/>
              <w:jc w:val="center"/>
            </w:pPr>
            <w:r>
              <w:t>89</w:t>
            </w:r>
          </w:p>
          <w:p w14:paraId="480930AF" w14:textId="77777777" w:rsidR="00D02BC8" w:rsidRPr="004F3582" w:rsidRDefault="00D02BC8" w:rsidP="008B6CCB">
            <w:pPr>
              <w:pStyle w:val="EMEABodyText"/>
              <w:keepNext/>
              <w:jc w:val="center"/>
            </w:pPr>
            <w:r>
              <w:t>(n=331)</w:t>
            </w:r>
          </w:p>
        </w:tc>
      </w:tr>
      <w:tr w:rsidR="00D02BC8" w:rsidRPr="004F3582" w14:paraId="5227246D" w14:textId="77777777" w:rsidTr="008B6CCB">
        <w:tc>
          <w:tcPr>
            <w:tcW w:w="2448" w:type="dxa"/>
          </w:tcPr>
          <w:p w14:paraId="6B65BB16" w14:textId="77777777" w:rsidR="00D02BC8" w:rsidRPr="004F3582" w:rsidRDefault="00D02BC8" w:rsidP="008B6CCB">
            <w:pPr>
              <w:pStyle w:val="EMEABodyText"/>
              <w:keepNext/>
            </w:pPr>
            <w:r>
              <w:t>Difference estimate</w:t>
            </w:r>
            <w:r>
              <w:rPr>
                <w:vertAlign w:val="superscript"/>
              </w:rPr>
              <w:t>e</w:t>
            </w:r>
            <w:r>
              <w:t xml:space="preserve"> </w:t>
            </w:r>
          </w:p>
          <w:p w14:paraId="38C71C8D" w14:textId="77777777" w:rsidR="00D02BC8" w:rsidRPr="004F3582" w:rsidRDefault="00D02BC8" w:rsidP="008B6CCB">
            <w:pPr>
              <w:pStyle w:val="EMEABodyText"/>
              <w:keepNext/>
            </w:pPr>
            <w:r>
              <w:t xml:space="preserve">     [95% CI]</w:t>
            </w:r>
          </w:p>
        </w:tc>
        <w:tc>
          <w:tcPr>
            <w:tcW w:w="6840" w:type="dxa"/>
            <w:gridSpan w:val="4"/>
          </w:tcPr>
          <w:p w14:paraId="499F13E1" w14:textId="77777777" w:rsidR="00D02BC8" w:rsidRPr="004F3582" w:rsidRDefault="00D02BC8" w:rsidP="008B6CCB">
            <w:pPr>
              <w:pStyle w:val="EMEABodyText"/>
              <w:keepNext/>
              <w:jc w:val="center"/>
            </w:pPr>
            <w:r>
              <w:t>Week 48: -3% [-7.6%, 1.5%]</w:t>
            </w:r>
          </w:p>
          <w:p w14:paraId="76CA8397" w14:textId="77777777" w:rsidR="00D02BC8" w:rsidRPr="004F3582" w:rsidRDefault="00D02BC8" w:rsidP="008B6CCB">
            <w:pPr>
              <w:pStyle w:val="EMEABodyText"/>
              <w:keepNext/>
              <w:jc w:val="center"/>
            </w:pPr>
            <w:r>
              <w:t>Week 96: 2.2% [-2.3%, 6.7%]</w:t>
            </w:r>
          </w:p>
        </w:tc>
      </w:tr>
      <w:tr w:rsidR="00D02BC8" w:rsidRPr="00965E20" w14:paraId="0D26242C" w14:textId="77777777" w:rsidTr="008B6CCB">
        <w:tc>
          <w:tcPr>
            <w:tcW w:w="9288" w:type="dxa"/>
            <w:gridSpan w:val="5"/>
          </w:tcPr>
          <w:p w14:paraId="42AD4B14" w14:textId="77777777" w:rsidR="00D02BC8" w:rsidRPr="00D31EBB" w:rsidRDefault="00D02BC8" w:rsidP="008B6CCB">
            <w:pPr>
              <w:pStyle w:val="EMEABodyText"/>
              <w:keepNext/>
            </w:pPr>
            <w:r>
              <w:t>HIV RNA &lt;50 copies/ml, % by Baseline Characteristic</w:t>
            </w:r>
            <w:r>
              <w:rPr>
                <w:vertAlign w:val="superscript"/>
              </w:rPr>
              <w:t>d</w:t>
            </w:r>
          </w:p>
        </w:tc>
      </w:tr>
      <w:tr w:rsidR="00D02BC8" w:rsidRPr="004F3582" w14:paraId="5A352BD3" w14:textId="77777777" w:rsidTr="008B6CCB">
        <w:tc>
          <w:tcPr>
            <w:tcW w:w="2448" w:type="dxa"/>
          </w:tcPr>
          <w:p w14:paraId="0B4660AA" w14:textId="77777777" w:rsidR="00D02BC8" w:rsidRPr="004F3582" w:rsidRDefault="00D02BC8" w:rsidP="008B6CCB">
            <w:pPr>
              <w:pStyle w:val="EMEABodyText"/>
              <w:keepNext/>
            </w:pPr>
            <w:r>
              <w:t xml:space="preserve">HIV RNA </w:t>
            </w:r>
            <w:r>
              <w:br/>
              <w:t xml:space="preserve">    &lt;100,000 copies/ml</w:t>
            </w:r>
          </w:p>
        </w:tc>
        <w:tc>
          <w:tcPr>
            <w:tcW w:w="1710" w:type="dxa"/>
            <w:vAlign w:val="bottom"/>
          </w:tcPr>
          <w:p w14:paraId="25F70179" w14:textId="77777777" w:rsidR="00D02BC8" w:rsidRPr="004F3582" w:rsidRDefault="00D02BC8" w:rsidP="008B6CCB">
            <w:pPr>
              <w:pStyle w:val="EMEABodyText"/>
              <w:keepNext/>
              <w:jc w:val="center"/>
            </w:pPr>
            <w:r>
              <w:t>82 (n=217)</w:t>
            </w:r>
          </w:p>
        </w:tc>
        <w:tc>
          <w:tcPr>
            <w:tcW w:w="1710" w:type="dxa"/>
            <w:vAlign w:val="bottom"/>
          </w:tcPr>
          <w:p w14:paraId="10003CC7" w14:textId="77777777" w:rsidR="00D02BC8" w:rsidRPr="004F3582" w:rsidRDefault="00D02BC8" w:rsidP="008B6CCB">
            <w:pPr>
              <w:pStyle w:val="EMEABodyText"/>
              <w:keepNext/>
              <w:jc w:val="center"/>
            </w:pPr>
            <w:r>
              <w:t>75 (n=217)</w:t>
            </w:r>
          </w:p>
        </w:tc>
        <w:tc>
          <w:tcPr>
            <w:tcW w:w="1710" w:type="dxa"/>
            <w:vAlign w:val="bottom"/>
          </w:tcPr>
          <w:p w14:paraId="74284C25" w14:textId="77777777" w:rsidR="00D02BC8" w:rsidRPr="004F3582" w:rsidRDefault="00D02BC8" w:rsidP="008B6CCB">
            <w:pPr>
              <w:pStyle w:val="EMEABodyText"/>
              <w:keepNext/>
              <w:jc w:val="center"/>
            </w:pPr>
            <w:r>
              <w:t>81 (n=218)</w:t>
            </w:r>
          </w:p>
        </w:tc>
        <w:tc>
          <w:tcPr>
            <w:tcW w:w="1710" w:type="dxa"/>
            <w:vAlign w:val="bottom"/>
          </w:tcPr>
          <w:p w14:paraId="48FE2DF0" w14:textId="77777777" w:rsidR="00D02BC8" w:rsidRPr="004F3582" w:rsidRDefault="00D02BC8" w:rsidP="008B6CCB">
            <w:pPr>
              <w:pStyle w:val="EMEABodyText"/>
              <w:keepNext/>
              <w:jc w:val="center"/>
            </w:pPr>
            <w:r>
              <w:t>70 (n=218)</w:t>
            </w:r>
          </w:p>
        </w:tc>
      </w:tr>
      <w:tr w:rsidR="00D02BC8" w:rsidRPr="004F3582" w14:paraId="20BED6A3" w14:textId="77777777" w:rsidTr="008B6CCB">
        <w:tc>
          <w:tcPr>
            <w:tcW w:w="2448" w:type="dxa"/>
          </w:tcPr>
          <w:p w14:paraId="44DF1D1C" w14:textId="77777777" w:rsidR="00D02BC8" w:rsidRPr="004F3582" w:rsidRDefault="00D02BC8" w:rsidP="008B6CCB">
            <w:pPr>
              <w:pStyle w:val="EMEABodyText"/>
              <w:keepNext/>
            </w:pPr>
            <w:r>
              <w:t xml:space="preserve">    ≥100,000 copies/ml</w:t>
            </w:r>
          </w:p>
        </w:tc>
        <w:tc>
          <w:tcPr>
            <w:tcW w:w="1710" w:type="dxa"/>
          </w:tcPr>
          <w:p w14:paraId="3E6CA4BF" w14:textId="77777777" w:rsidR="00D02BC8" w:rsidRPr="004F3582" w:rsidRDefault="00D02BC8" w:rsidP="00C23538">
            <w:pPr>
              <w:pStyle w:val="EMEABodyText"/>
              <w:keepNext/>
              <w:jc w:val="center"/>
            </w:pPr>
            <w:r>
              <w:t>74 (n=223)</w:t>
            </w:r>
          </w:p>
        </w:tc>
        <w:tc>
          <w:tcPr>
            <w:tcW w:w="1710" w:type="dxa"/>
          </w:tcPr>
          <w:p w14:paraId="68F90A9A" w14:textId="77777777" w:rsidR="00D02BC8" w:rsidRPr="004F3582" w:rsidRDefault="00D02BC8" w:rsidP="008B6CCB">
            <w:pPr>
              <w:pStyle w:val="EMEABodyText"/>
              <w:keepNext/>
              <w:jc w:val="center"/>
            </w:pPr>
            <w:r>
              <w:t>74 (n=223)</w:t>
            </w:r>
          </w:p>
        </w:tc>
        <w:tc>
          <w:tcPr>
            <w:tcW w:w="1710" w:type="dxa"/>
          </w:tcPr>
          <w:p w14:paraId="3518A045" w14:textId="77777777" w:rsidR="00D02BC8" w:rsidRPr="004F3582" w:rsidRDefault="00D02BC8" w:rsidP="008B6CCB">
            <w:pPr>
              <w:pStyle w:val="EMEABodyText"/>
              <w:keepNext/>
              <w:jc w:val="center"/>
            </w:pPr>
            <w:r>
              <w:t>72 (n=225)</w:t>
            </w:r>
          </w:p>
        </w:tc>
        <w:tc>
          <w:tcPr>
            <w:tcW w:w="1710" w:type="dxa"/>
          </w:tcPr>
          <w:p w14:paraId="0CC9473E" w14:textId="77777777" w:rsidR="00D02BC8" w:rsidRPr="004F3582" w:rsidRDefault="00D02BC8" w:rsidP="008B6CCB">
            <w:pPr>
              <w:pStyle w:val="EMEABodyText"/>
              <w:keepNext/>
              <w:jc w:val="center"/>
            </w:pPr>
            <w:r>
              <w:t>66 (n=225)</w:t>
            </w:r>
          </w:p>
        </w:tc>
      </w:tr>
      <w:tr w:rsidR="00D02BC8" w:rsidRPr="004F3582" w14:paraId="4F85455B" w14:textId="77777777" w:rsidTr="008B6CCB">
        <w:tc>
          <w:tcPr>
            <w:tcW w:w="2448" w:type="dxa"/>
          </w:tcPr>
          <w:p w14:paraId="543CFF22" w14:textId="77777777" w:rsidR="00D02BC8" w:rsidRPr="004F3582" w:rsidRDefault="00D02BC8" w:rsidP="008B6CCB">
            <w:pPr>
              <w:pStyle w:val="EMEABodyText"/>
              <w:keepNext/>
            </w:pPr>
            <w:r>
              <w:t>CD4 count</w:t>
            </w:r>
            <w:r>
              <w:br/>
              <w:t xml:space="preserve">    &lt;50 cells/mm</w:t>
            </w:r>
            <w:r>
              <w:rPr>
                <w:vertAlign w:val="superscript"/>
              </w:rPr>
              <w:t>3</w:t>
            </w:r>
          </w:p>
        </w:tc>
        <w:tc>
          <w:tcPr>
            <w:tcW w:w="1710" w:type="dxa"/>
          </w:tcPr>
          <w:p w14:paraId="4314A5FA" w14:textId="77777777" w:rsidR="00D02BC8" w:rsidRPr="004F3582" w:rsidRDefault="00D02BC8" w:rsidP="008B6CCB">
            <w:pPr>
              <w:pStyle w:val="EMEABodyText"/>
              <w:keepNext/>
              <w:jc w:val="center"/>
            </w:pPr>
            <w:r>
              <w:t>78 (n=58)</w:t>
            </w:r>
          </w:p>
        </w:tc>
        <w:tc>
          <w:tcPr>
            <w:tcW w:w="1710" w:type="dxa"/>
          </w:tcPr>
          <w:p w14:paraId="0A302D82" w14:textId="77777777" w:rsidR="00D02BC8" w:rsidRPr="004F3582" w:rsidRDefault="00D02BC8" w:rsidP="008B6CCB">
            <w:pPr>
              <w:pStyle w:val="EMEABodyText"/>
              <w:keepNext/>
              <w:jc w:val="center"/>
            </w:pPr>
            <w:r>
              <w:t>78 (n=58)</w:t>
            </w:r>
          </w:p>
        </w:tc>
        <w:tc>
          <w:tcPr>
            <w:tcW w:w="1710" w:type="dxa"/>
          </w:tcPr>
          <w:p w14:paraId="754E84DA" w14:textId="77777777" w:rsidR="00D02BC8" w:rsidRPr="004F3582" w:rsidRDefault="00D02BC8" w:rsidP="008B6CCB">
            <w:pPr>
              <w:pStyle w:val="EMEABodyText"/>
              <w:keepNext/>
              <w:jc w:val="center"/>
            </w:pPr>
            <w:r>
              <w:t>63 (n=48)</w:t>
            </w:r>
          </w:p>
        </w:tc>
        <w:tc>
          <w:tcPr>
            <w:tcW w:w="1710" w:type="dxa"/>
          </w:tcPr>
          <w:p w14:paraId="604B9AFA" w14:textId="77777777" w:rsidR="00D02BC8" w:rsidRPr="004F3582" w:rsidRDefault="00D02BC8" w:rsidP="008B6CCB">
            <w:pPr>
              <w:pStyle w:val="EMEABodyText"/>
              <w:keepNext/>
              <w:jc w:val="center"/>
            </w:pPr>
            <w:r>
              <w:t>58 (n=48)</w:t>
            </w:r>
          </w:p>
        </w:tc>
      </w:tr>
      <w:tr w:rsidR="00D02BC8" w:rsidRPr="004F3582" w14:paraId="52B7E04F" w14:textId="77777777" w:rsidTr="008B6CCB">
        <w:tc>
          <w:tcPr>
            <w:tcW w:w="2448" w:type="dxa"/>
          </w:tcPr>
          <w:p w14:paraId="46C29A69" w14:textId="77777777" w:rsidR="00D02BC8" w:rsidRPr="004F3582" w:rsidRDefault="00D02BC8" w:rsidP="008B6CCB">
            <w:pPr>
              <w:pStyle w:val="EMEABodyText"/>
              <w:keepNext/>
            </w:pPr>
            <w:r>
              <w:t xml:space="preserve">    50 to &lt;100 cells/mm</w:t>
            </w:r>
            <w:r>
              <w:rPr>
                <w:vertAlign w:val="superscript"/>
              </w:rPr>
              <w:t>3</w:t>
            </w:r>
          </w:p>
        </w:tc>
        <w:tc>
          <w:tcPr>
            <w:tcW w:w="1710" w:type="dxa"/>
          </w:tcPr>
          <w:p w14:paraId="32AA8CA1" w14:textId="77777777" w:rsidR="00D02BC8" w:rsidRPr="004F3582" w:rsidRDefault="00D02BC8" w:rsidP="008B6CCB">
            <w:pPr>
              <w:pStyle w:val="EMEABodyText"/>
              <w:keepNext/>
              <w:jc w:val="center"/>
            </w:pPr>
            <w:r>
              <w:t>76 (n=45)</w:t>
            </w:r>
          </w:p>
        </w:tc>
        <w:tc>
          <w:tcPr>
            <w:tcW w:w="1710" w:type="dxa"/>
          </w:tcPr>
          <w:p w14:paraId="53E1D833" w14:textId="77777777" w:rsidR="00D02BC8" w:rsidRPr="004F3582" w:rsidRDefault="00D02BC8" w:rsidP="008B6CCB">
            <w:pPr>
              <w:pStyle w:val="EMEABodyText"/>
              <w:keepNext/>
              <w:jc w:val="center"/>
            </w:pPr>
            <w:r>
              <w:t>71 (n=45)</w:t>
            </w:r>
          </w:p>
        </w:tc>
        <w:tc>
          <w:tcPr>
            <w:tcW w:w="1710" w:type="dxa"/>
          </w:tcPr>
          <w:p w14:paraId="1A3002F5" w14:textId="77777777" w:rsidR="00D02BC8" w:rsidRPr="004F3582" w:rsidRDefault="00D02BC8" w:rsidP="008B6CCB">
            <w:pPr>
              <w:pStyle w:val="EMEABodyText"/>
              <w:keepNext/>
              <w:jc w:val="center"/>
            </w:pPr>
            <w:r>
              <w:t>69 (n=29)</w:t>
            </w:r>
          </w:p>
        </w:tc>
        <w:tc>
          <w:tcPr>
            <w:tcW w:w="1710" w:type="dxa"/>
          </w:tcPr>
          <w:p w14:paraId="3EEE3018" w14:textId="77777777" w:rsidR="00D02BC8" w:rsidRPr="004F3582" w:rsidRDefault="00D02BC8" w:rsidP="008B6CCB">
            <w:pPr>
              <w:pStyle w:val="EMEABodyText"/>
              <w:keepNext/>
              <w:jc w:val="center"/>
            </w:pPr>
            <w:r>
              <w:t>69 (n=29)</w:t>
            </w:r>
          </w:p>
        </w:tc>
      </w:tr>
      <w:tr w:rsidR="00D02BC8" w:rsidRPr="004F3582" w14:paraId="554B8DAB" w14:textId="77777777" w:rsidTr="008B6CCB">
        <w:tc>
          <w:tcPr>
            <w:tcW w:w="2448" w:type="dxa"/>
          </w:tcPr>
          <w:p w14:paraId="73251D7F" w14:textId="77777777" w:rsidR="00D02BC8" w:rsidRPr="004F3582" w:rsidRDefault="00D02BC8" w:rsidP="008B6CCB">
            <w:pPr>
              <w:pStyle w:val="EMEABodyText"/>
              <w:keepNext/>
            </w:pPr>
            <w:r>
              <w:t xml:space="preserve">    100 to &lt;200 cells/mm</w:t>
            </w:r>
            <w:r>
              <w:rPr>
                <w:vertAlign w:val="superscript"/>
              </w:rPr>
              <w:t>3</w:t>
            </w:r>
          </w:p>
        </w:tc>
        <w:tc>
          <w:tcPr>
            <w:tcW w:w="1710" w:type="dxa"/>
          </w:tcPr>
          <w:p w14:paraId="71E9996E" w14:textId="77777777" w:rsidR="00D02BC8" w:rsidRPr="004F3582" w:rsidRDefault="00D02BC8" w:rsidP="008B6CCB">
            <w:pPr>
              <w:pStyle w:val="EMEABodyText"/>
              <w:keepNext/>
              <w:jc w:val="center"/>
            </w:pPr>
            <w:r>
              <w:t>75 (n=106)</w:t>
            </w:r>
          </w:p>
        </w:tc>
        <w:tc>
          <w:tcPr>
            <w:tcW w:w="1710" w:type="dxa"/>
          </w:tcPr>
          <w:p w14:paraId="29AFFA63" w14:textId="77777777" w:rsidR="00D02BC8" w:rsidRPr="004F3582" w:rsidRDefault="00D02BC8" w:rsidP="008B6CCB">
            <w:pPr>
              <w:pStyle w:val="EMEABodyText"/>
              <w:keepNext/>
              <w:jc w:val="center"/>
            </w:pPr>
            <w:r>
              <w:t>71 (n=106)</w:t>
            </w:r>
          </w:p>
        </w:tc>
        <w:tc>
          <w:tcPr>
            <w:tcW w:w="1710" w:type="dxa"/>
          </w:tcPr>
          <w:p w14:paraId="5F257151" w14:textId="77777777" w:rsidR="00D02BC8" w:rsidRPr="004F3582" w:rsidRDefault="00D02BC8" w:rsidP="008B6CCB">
            <w:pPr>
              <w:pStyle w:val="EMEABodyText"/>
              <w:keepNext/>
              <w:jc w:val="center"/>
            </w:pPr>
            <w:r>
              <w:t>78 (n=134)</w:t>
            </w:r>
          </w:p>
        </w:tc>
        <w:tc>
          <w:tcPr>
            <w:tcW w:w="1710" w:type="dxa"/>
          </w:tcPr>
          <w:p w14:paraId="3A7929F6" w14:textId="77777777" w:rsidR="00D02BC8" w:rsidRPr="004F3582" w:rsidRDefault="00D02BC8" w:rsidP="008B6CCB">
            <w:pPr>
              <w:pStyle w:val="EMEABodyText"/>
              <w:keepNext/>
              <w:jc w:val="center"/>
            </w:pPr>
            <w:r>
              <w:t>70 (n=134)</w:t>
            </w:r>
          </w:p>
        </w:tc>
      </w:tr>
      <w:tr w:rsidR="00D02BC8" w:rsidRPr="004F3582" w14:paraId="0CEFBB76" w14:textId="77777777" w:rsidTr="008B6CCB">
        <w:tc>
          <w:tcPr>
            <w:tcW w:w="2448" w:type="dxa"/>
          </w:tcPr>
          <w:p w14:paraId="4E86C804" w14:textId="77777777" w:rsidR="00D02BC8" w:rsidRPr="004F3582" w:rsidRDefault="00D02BC8" w:rsidP="008B6CCB">
            <w:pPr>
              <w:pStyle w:val="EMEABodyText"/>
              <w:keepNext/>
            </w:pPr>
            <w:r>
              <w:t xml:space="preserve">   ≥ 200 cells/mm</w:t>
            </w:r>
            <w:r>
              <w:rPr>
                <w:vertAlign w:val="superscript"/>
              </w:rPr>
              <w:t>3</w:t>
            </w:r>
          </w:p>
        </w:tc>
        <w:tc>
          <w:tcPr>
            <w:tcW w:w="1710" w:type="dxa"/>
          </w:tcPr>
          <w:p w14:paraId="23B414B3" w14:textId="77777777" w:rsidR="00D02BC8" w:rsidRPr="004F3582" w:rsidRDefault="00D02BC8" w:rsidP="008B6CCB">
            <w:pPr>
              <w:pStyle w:val="EMEABodyText"/>
              <w:keepNext/>
              <w:jc w:val="center"/>
            </w:pPr>
            <w:r>
              <w:t>80 (n=222)</w:t>
            </w:r>
          </w:p>
        </w:tc>
        <w:tc>
          <w:tcPr>
            <w:tcW w:w="1710" w:type="dxa"/>
          </w:tcPr>
          <w:p w14:paraId="4E8AE94C" w14:textId="77777777" w:rsidR="00D02BC8" w:rsidRPr="004F3582" w:rsidRDefault="00D02BC8" w:rsidP="008B6CCB">
            <w:pPr>
              <w:pStyle w:val="EMEABodyText"/>
              <w:keepNext/>
              <w:jc w:val="center"/>
            </w:pPr>
            <w:r>
              <w:t>76 (n=222)</w:t>
            </w:r>
          </w:p>
        </w:tc>
        <w:tc>
          <w:tcPr>
            <w:tcW w:w="1710" w:type="dxa"/>
          </w:tcPr>
          <w:p w14:paraId="4224F362" w14:textId="77777777" w:rsidR="00D02BC8" w:rsidRPr="004F3582" w:rsidRDefault="00D02BC8" w:rsidP="008B6CCB">
            <w:pPr>
              <w:pStyle w:val="EMEABodyText"/>
              <w:keepNext/>
              <w:jc w:val="center"/>
            </w:pPr>
            <w:r>
              <w:t>80 (n=228)</w:t>
            </w:r>
          </w:p>
        </w:tc>
        <w:tc>
          <w:tcPr>
            <w:tcW w:w="1710" w:type="dxa"/>
          </w:tcPr>
          <w:p w14:paraId="1E99CA39" w14:textId="77777777" w:rsidR="00D02BC8" w:rsidRPr="004F3582" w:rsidRDefault="00D02BC8" w:rsidP="008B6CCB">
            <w:pPr>
              <w:pStyle w:val="EMEABodyText"/>
              <w:keepNext/>
              <w:jc w:val="center"/>
            </w:pPr>
            <w:r>
              <w:t>69 (n=228)</w:t>
            </w:r>
          </w:p>
        </w:tc>
      </w:tr>
      <w:tr w:rsidR="00D02BC8" w:rsidRPr="00965E20" w14:paraId="216B94FB" w14:textId="77777777" w:rsidTr="008B6CCB">
        <w:tc>
          <w:tcPr>
            <w:tcW w:w="9288" w:type="dxa"/>
            <w:gridSpan w:val="5"/>
          </w:tcPr>
          <w:p w14:paraId="63F74DAB" w14:textId="77777777" w:rsidR="00D02BC8" w:rsidRPr="00D31EBB" w:rsidRDefault="00D02BC8" w:rsidP="008B6CCB">
            <w:pPr>
              <w:pStyle w:val="EMEABodyText"/>
              <w:keepNext/>
            </w:pPr>
            <w:r>
              <w:rPr>
                <w:b/>
              </w:rPr>
              <w:t>HIV RNA Mean Change from Baseline, log</w:t>
            </w:r>
            <w:r>
              <w:rPr>
                <w:b/>
                <w:vertAlign w:val="subscript"/>
              </w:rPr>
              <w:t>10</w:t>
            </w:r>
            <w:r>
              <w:rPr>
                <w:b/>
              </w:rPr>
              <w:t xml:space="preserve"> copies/ml</w:t>
            </w:r>
          </w:p>
        </w:tc>
      </w:tr>
      <w:tr w:rsidR="00D02BC8" w:rsidRPr="004F3582" w14:paraId="4553E864" w14:textId="77777777" w:rsidTr="008B6CCB">
        <w:tc>
          <w:tcPr>
            <w:tcW w:w="2448" w:type="dxa"/>
          </w:tcPr>
          <w:p w14:paraId="373F1E53" w14:textId="77777777" w:rsidR="00D02BC8" w:rsidRPr="004F3582" w:rsidRDefault="00D02BC8" w:rsidP="008B6CCB">
            <w:pPr>
              <w:pStyle w:val="EMEABodyText"/>
              <w:keepNext/>
            </w:pPr>
            <w:r>
              <w:t xml:space="preserve">   All patients</w:t>
            </w:r>
          </w:p>
        </w:tc>
        <w:tc>
          <w:tcPr>
            <w:tcW w:w="1710" w:type="dxa"/>
          </w:tcPr>
          <w:p w14:paraId="0B7B3863" w14:textId="77777777" w:rsidR="00D02BC8" w:rsidRPr="004F3582" w:rsidRDefault="00D02BC8" w:rsidP="008B6CCB">
            <w:pPr>
              <w:pStyle w:val="EMEABodyText"/>
              <w:keepNext/>
              <w:jc w:val="center"/>
            </w:pPr>
            <w:r>
              <w:t>-3.09 (n=397)</w:t>
            </w:r>
          </w:p>
        </w:tc>
        <w:tc>
          <w:tcPr>
            <w:tcW w:w="1710" w:type="dxa"/>
          </w:tcPr>
          <w:p w14:paraId="112EE677" w14:textId="77777777" w:rsidR="00D02BC8" w:rsidRPr="004F3582" w:rsidRDefault="00D02BC8" w:rsidP="008B6CCB">
            <w:pPr>
              <w:pStyle w:val="EMEABodyText"/>
              <w:keepNext/>
              <w:jc w:val="center"/>
            </w:pPr>
            <w:r>
              <w:t>-3.21 (n=360)</w:t>
            </w:r>
          </w:p>
        </w:tc>
        <w:tc>
          <w:tcPr>
            <w:tcW w:w="1710" w:type="dxa"/>
          </w:tcPr>
          <w:p w14:paraId="4F4C150F" w14:textId="77777777" w:rsidR="00D02BC8" w:rsidRPr="004F3582" w:rsidRDefault="00D02BC8" w:rsidP="008B6CCB">
            <w:pPr>
              <w:pStyle w:val="EMEABodyText"/>
              <w:keepNext/>
              <w:jc w:val="center"/>
            </w:pPr>
            <w:r>
              <w:t>-3.13 (n=379)</w:t>
            </w:r>
          </w:p>
        </w:tc>
        <w:tc>
          <w:tcPr>
            <w:tcW w:w="1710" w:type="dxa"/>
          </w:tcPr>
          <w:p w14:paraId="34D0B246" w14:textId="77777777" w:rsidR="00D02BC8" w:rsidRPr="004F3582" w:rsidRDefault="00D02BC8" w:rsidP="008B6CCB">
            <w:pPr>
              <w:pStyle w:val="EMEABodyText"/>
              <w:keepNext/>
              <w:jc w:val="center"/>
            </w:pPr>
            <w:r>
              <w:t>-3.19 (n=340)</w:t>
            </w:r>
          </w:p>
        </w:tc>
      </w:tr>
      <w:tr w:rsidR="00D02BC8" w:rsidRPr="00965E20" w14:paraId="11E3295A" w14:textId="77777777" w:rsidTr="008B6CCB">
        <w:tc>
          <w:tcPr>
            <w:tcW w:w="9288" w:type="dxa"/>
            <w:gridSpan w:val="5"/>
          </w:tcPr>
          <w:p w14:paraId="3F0730AD" w14:textId="77777777" w:rsidR="00D02BC8" w:rsidRPr="00D31EBB" w:rsidRDefault="00D02BC8" w:rsidP="008B6CCB">
            <w:pPr>
              <w:pStyle w:val="EMEABodyText"/>
              <w:keepNext/>
            </w:pPr>
            <w:r>
              <w:rPr>
                <w:b/>
              </w:rPr>
              <w:t>CD4 Mean Change from Baseline, cells/mm</w:t>
            </w:r>
            <w:r>
              <w:rPr>
                <w:b/>
                <w:vertAlign w:val="superscript"/>
              </w:rPr>
              <w:t>3</w:t>
            </w:r>
            <w:r>
              <w:rPr>
                <w:b/>
              </w:rPr>
              <w:t xml:space="preserve"> </w:t>
            </w:r>
          </w:p>
        </w:tc>
      </w:tr>
      <w:tr w:rsidR="00D02BC8" w:rsidRPr="004F3582" w14:paraId="1C74C3F1" w14:textId="77777777" w:rsidTr="008B6CCB">
        <w:tc>
          <w:tcPr>
            <w:tcW w:w="2448" w:type="dxa"/>
          </w:tcPr>
          <w:p w14:paraId="52B626A1" w14:textId="77777777" w:rsidR="00D02BC8" w:rsidRPr="004F3582" w:rsidRDefault="00D02BC8" w:rsidP="008B6CCB">
            <w:pPr>
              <w:pStyle w:val="EMEABodyText"/>
              <w:keepNext/>
            </w:pPr>
            <w:r>
              <w:t xml:space="preserve">   All patients</w:t>
            </w:r>
          </w:p>
        </w:tc>
        <w:tc>
          <w:tcPr>
            <w:tcW w:w="1710" w:type="dxa"/>
          </w:tcPr>
          <w:p w14:paraId="30F4CC86" w14:textId="77777777" w:rsidR="00D02BC8" w:rsidRPr="004F3582" w:rsidRDefault="00D02BC8" w:rsidP="008B6CCB">
            <w:pPr>
              <w:pStyle w:val="EMEABodyText"/>
              <w:keepNext/>
              <w:jc w:val="center"/>
            </w:pPr>
            <w:r>
              <w:t>203 (n=370)</w:t>
            </w:r>
          </w:p>
        </w:tc>
        <w:tc>
          <w:tcPr>
            <w:tcW w:w="1710" w:type="dxa"/>
          </w:tcPr>
          <w:p w14:paraId="3A5708F2" w14:textId="77777777" w:rsidR="00D02BC8" w:rsidRPr="004F3582" w:rsidRDefault="00D02BC8" w:rsidP="008B6CCB">
            <w:pPr>
              <w:pStyle w:val="EMEABodyText"/>
              <w:keepNext/>
              <w:jc w:val="center"/>
            </w:pPr>
            <w:r>
              <w:t>268 (n=336)</w:t>
            </w:r>
          </w:p>
        </w:tc>
        <w:tc>
          <w:tcPr>
            <w:tcW w:w="1710" w:type="dxa"/>
          </w:tcPr>
          <w:p w14:paraId="37FF04B4" w14:textId="77777777" w:rsidR="00D02BC8" w:rsidRPr="004F3582" w:rsidRDefault="00D02BC8" w:rsidP="008B6CCB">
            <w:pPr>
              <w:pStyle w:val="EMEABodyText"/>
              <w:keepNext/>
              <w:jc w:val="center"/>
            </w:pPr>
            <w:r>
              <w:t>219 (n=363)</w:t>
            </w:r>
          </w:p>
        </w:tc>
        <w:tc>
          <w:tcPr>
            <w:tcW w:w="1710" w:type="dxa"/>
          </w:tcPr>
          <w:p w14:paraId="4D645098" w14:textId="77777777" w:rsidR="00D02BC8" w:rsidRPr="004F3582" w:rsidRDefault="00D02BC8" w:rsidP="008B6CCB">
            <w:pPr>
              <w:pStyle w:val="EMEABodyText"/>
              <w:keepNext/>
              <w:jc w:val="center"/>
            </w:pPr>
            <w:r>
              <w:t>290 (n=317)</w:t>
            </w:r>
          </w:p>
        </w:tc>
      </w:tr>
      <w:tr w:rsidR="00D02BC8" w:rsidRPr="00965E20" w14:paraId="46ACE119" w14:textId="77777777" w:rsidTr="008B6CCB">
        <w:tc>
          <w:tcPr>
            <w:tcW w:w="9288" w:type="dxa"/>
            <w:gridSpan w:val="5"/>
          </w:tcPr>
          <w:p w14:paraId="468DBD88" w14:textId="77777777" w:rsidR="00D02BC8" w:rsidRPr="00D31EBB" w:rsidRDefault="00D02BC8" w:rsidP="008B6CCB">
            <w:pPr>
              <w:pStyle w:val="EMEABodyText"/>
              <w:keepNext/>
            </w:pPr>
            <w:r>
              <w:t>CD4 Mean Change from Baseline, cells/mm</w:t>
            </w:r>
            <w:r>
              <w:rPr>
                <w:vertAlign w:val="superscript"/>
              </w:rPr>
              <w:t>3</w:t>
            </w:r>
            <w:r>
              <w:t xml:space="preserve"> by Baseline Characteristic</w:t>
            </w:r>
          </w:p>
        </w:tc>
      </w:tr>
      <w:tr w:rsidR="00D02BC8" w:rsidRPr="004F3582" w14:paraId="26C84C1E" w14:textId="77777777" w:rsidTr="008B6CCB">
        <w:tc>
          <w:tcPr>
            <w:tcW w:w="2448" w:type="dxa"/>
          </w:tcPr>
          <w:p w14:paraId="71445BFD" w14:textId="77777777" w:rsidR="00D02BC8" w:rsidRPr="004F3582" w:rsidRDefault="00D02BC8" w:rsidP="008B6CCB">
            <w:pPr>
              <w:pStyle w:val="EMEABodyText"/>
              <w:keepNext/>
            </w:pPr>
            <w:r>
              <w:t xml:space="preserve">HIV RNA </w:t>
            </w:r>
            <w:r>
              <w:br/>
              <w:t xml:space="preserve">   &lt;100,000 copies/ml</w:t>
            </w:r>
          </w:p>
        </w:tc>
        <w:tc>
          <w:tcPr>
            <w:tcW w:w="1710" w:type="dxa"/>
          </w:tcPr>
          <w:p w14:paraId="6689E5EE" w14:textId="77777777" w:rsidR="00D02BC8" w:rsidRPr="004F3582" w:rsidRDefault="00D02BC8" w:rsidP="008B6CCB">
            <w:pPr>
              <w:pStyle w:val="EMEABodyText"/>
              <w:keepNext/>
              <w:jc w:val="center"/>
            </w:pPr>
            <w:r>
              <w:t>179 (n=183)</w:t>
            </w:r>
          </w:p>
        </w:tc>
        <w:tc>
          <w:tcPr>
            <w:tcW w:w="1710" w:type="dxa"/>
          </w:tcPr>
          <w:p w14:paraId="5346C063" w14:textId="77777777" w:rsidR="00D02BC8" w:rsidRPr="004F3582" w:rsidRDefault="00D02BC8" w:rsidP="008B6CCB">
            <w:pPr>
              <w:pStyle w:val="EMEABodyText"/>
              <w:keepNext/>
              <w:jc w:val="center"/>
            </w:pPr>
            <w:r>
              <w:t>243 (n=163)</w:t>
            </w:r>
          </w:p>
        </w:tc>
        <w:tc>
          <w:tcPr>
            <w:tcW w:w="1710" w:type="dxa"/>
          </w:tcPr>
          <w:p w14:paraId="5C4F8981" w14:textId="77777777" w:rsidR="00D02BC8" w:rsidRPr="004F3582" w:rsidRDefault="00D02BC8" w:rsidP="008B6CCB">
            <w:pPr>
              <w:pStyle w:val="EMEABodyText"/>
              <w:keepNext/>
              <w:jc w:val="center"/>
            </w:pPr>
            <w:r>
              <w:t>194 (n=183)</w:t>
            </w:r>
          </w:p>
        </w:tc>
        <w:tc>
          <w:tcPr>
            <w:tcW w:w="1710" w:type="dxa"/>
          </w:tcPr>
          <w:p w14:paraId="725AF725" w14:textId="77777777" w:rsidR="00D02BC8" w:rsidRPr="004F3582" w:rsidRDefault="00D02BC8" w:rsidP="008B6CCB">
            <w:pPr>
              <w:pStyle w:val="EMEABodyText"/>
              <w:keepNext/>
              <w:jc w:val="center"/>
            </w:pPr>
            <w:r>
              <w:t>267 (n=152)</w:t>
            </w:r>
          </w:p>
        </w:tc>
      </w:tr>
      <w:tr w:rsidR="00D02BC8" w:rsidRPr="004F3582" w14:paraId="7E0A29C7" w14:textId="77777777" w:rsidTr="008B6CCB">
        <w:tc>
          <w:tcPr>
            <w:tcW w:w="2448" w:type="dxa"/>
          </w:tcPr>
          <w:p w14:paraId="6D1CD02C" w14:textId="77777777" w:rsidR="00D02BC8" w:rsidRPr="004F3582" w:rsidRDefault="00D02BC8" w:rsidP="008B6CCB">
            <w:pPr>
              <w:pStyle w:val="EMEABodyText"/>
              <w:keepNext/>
            </w:pPr>
            <w:r>
              <w:t xml:space="preserve">   ≥100,000 copies/ml</w:t>
            </w:r>
          </w:p>
        </w:tc>
        <w:tc>
          <w:tcPr>
            <w:tcW w:w="1710" w:type="dxa"/>
          </w:tcPr>
          <w:p w14:paraId="056B0772" w14:textId="77777777" w:rsidR="00D02BC8" w:rsidRPr="004F3582" w:rsidRDefault="00D02BC8" w:rsidP="008B6CCB">
            <w:pPr>
              <w:pStyle w:val="EMEABodyText"/>
              <w:keepNext/>
              <w:jc w:val="center"/>
            </w:pPr>
            <w:r>
              <w:t>227 (n=187)</w:t>
            </w:r>
          </w:p>
        </w:tc>
        <w:tc>
          <w:tcPr>
            <w:tcW w:w="1710" w:type="dxa"/>
            <w:vAlign w:val="bottom"/>
          </w:tcPr>
          <w:p w14:paraId="760963C6" w14:textId="77777777" w:rsidR="00D02BC8" w:rsidRPr="004F3582" w:rsidRDefault="00D02BC8" w:rsidP="008B6CCB">
            <w:pPr>
              <w:pStyle w:val="EMEABodyText"/>
              <w:keepNext/>
              <w:jc w:val="center"/>
            </w:pPr>
            <w:r>
              <w:t>291 (n=173)</w:t>
            </w:r>
          </w:p>
        </w:tc>
        <w:tc>
          <w:tcPr>
            <w:tcW w:w="1710" w:type="dxa"/>
            <w:vAlign w:val="bottom"/>
          </w:tcPr>
          <w:p w14:paraId="61458815" w14:textId="77777777" w:rsidR="00D02BC8" w:rsidRPr="004F3582" w:rsidRDefault="00D02BC8" w:rsidP="008B6CCB">
            <w:pPr>
              <w:pStyle w:val="EMEABodyText"/>
              <w:keepNext/>
              <w:jc w:val="center"/>
            </w:pPr>
            <w:r>
              <w:t>245 (n=180)</w:t>
            </w:r>
          </w:p>
        </w:tc>
        <w:tc>
          <w:tcPr>
            <w:tcW w:w="1710" w:type="dxa"/>
            <w:vAlign w:val="bottom"/>
          </w:tcPr>
          <w:p w14:paraId="43826FDC" w14:textId="77777777" w:rsidR="00D02BC8" w:rsidRPr="004F3582" w:rsidRDefault="00D02BC8" w:rsidP="008B6CCB">
            <w:pPr>
              <w:pStyle w:val="EMEABodyText"/>
              <w:keepNext/>
              <w:jc w:val="center"/>
            </w:pPr>
            <w:r>
              <w:t>310 (n=165)</w:t>
            </w:r>
          </w:p>
        </w:tc>
      </w:tr>
    </w:tbl>
    <w:p w14:paraId="66F1B5D8" w14:textId="77777777" w:rsidR="00D02BC8" w:rsidRPr="00D31EBB" w:rsidRDefault="00D02BC8" w:rsidP="008B6CCB">
      <w:pPr>
        <w:pStyle w:val="EMEABodyText"/>
        <w:keepNext/>
        <w:rPr>
          <w:sz w:val="18"/>
          <w:szCs w:val="18"/>
        </w:rPr>
      </w:pPr>
      <w:r>
        <w:rPr>
          <w:sz w:val="18"/>
          <w:szCs w:val="18"/>
          <w:vertAlign w:val="superscript"/>
        </w:rPr>
        <w:t>a</w:t>
      </w:r>
      <w:r>
        <w:rPr>
          <w:sz w:val="18"/>
          <w:szCs w:val="18"/>
        </w:rPr>
        <w:t xml:space="preserve"> Mean baseline CD4 cell count was 214 cells/mm</w:t>
      </w:r>
      <w:r>
        <w:rPr>
          <w:sz w:val="18"/>
          <w:szCs w:val="18"/>
          <w:vertAlign w:val="superscript"/>
        </w:rPr>
        <w:t>3</w:t>
      </w:r>
      <w:r>
        <w:rPr>
          <w:sz w:val="18"/>
          <w:szCs w:val="18"/>
        </w:rPr>
        <w:t xml:space="preserve"> (range 2 to 810 cells/mm</w:t>
      </w:r>
      <w:r>
        <w:rPr>
          <w:sz w:val="18"/>
          <w:szCs w:val="18"/>
          <w:vertAlign w:val="superscript"/>
        </w:rPr>
        <w:t>3</w:t>
      </w:r>
      <w:r>
        <w:rPr>
          <w:sz w:val="18"/>
          <w:szCs w:val="18"/>
        </w:rPr>
        <w:t>) and mean baseline plasma HIV-1 RNA was 4.94 log</w:t>
      </w:r>
      <w:r>
        <w:rPr>
          <w:sz w:val="18"/>
          <w:szCs w:val="18"/>
          <w:vertAlign w:val="subscript"/>
        </w:rPr>
        <w:t>10</w:t>
      </w:r>
      <w:r>
        <w:rPr>
          <w:sz w:val="18"/>
          <w:szCs w:val="18"/>
        </w:rPr>
        <w:t> copies/ml (range 2.6 to 5.88 log</w:t>
      </w:r>
      <w:r>
        <w:rPr>
          <w:sz w:val="18"/>
          <w:szCs w:val="18"/>
          <w:vertAlign w:val="subscript"/>
        </w:rPr>
        <w:t>10</w:t>
      </w:r>
      <w:r>
        <w:rPr>
          <w:sz w:val="18"/>
          <w:szCs w:val="18"/>
        </w:rPr>
        <w:t> copies/ml)</w:t>
      </w:r>
    </w:p>
    <w:p w14:paraId="61DA17BA" w14:textId="77777777" w:rsidR="00D02BC8" w:rsidRPr="00D31EBB" w:rsidRDefault="00D02BC8" w:rsidP="008B6CCB">
      <w:pPr>
        <w:pStyle w:val="EMEABodyText"/>
        <w:keepNext/>
        <w:rPr>
          <w:sz w:val="18"/>
          <w:szCs w:val="18"/>
        </w:rPr>
      </w:pPr>
      <w:r>
        <w:rPr>
          <w:sz w:val="18"/>
          <w:szCs w:val="18"/>
          <w:vertAlign w:val="superscript"/>
        </w:rPr>
        <w:t>b</w:t>
      </w:r>
      <w:r>
        <w:rPr>
          <w:sz w:val="18"/>
          <w:szCs w:val="18"/>
        </w:rPr>
        <w:t xml:space="preserve"> REYATAZ/RTV with tenofovir disoproxil fumarate/emtricitabine (fixed dose 300 mg/200 mg tablets once daily).</w:t>
      </w:r>
    </w:p>
    <w:p w14:paraId="06CD28DE" w14:textId="77777777" w:rsidR="00D02BC8" w:rsidRPr="00D31EBB" w:rsidRDefault="00D02BC8" w:rsidP="008B6CCB">
      <w:pPr>
        <w:pStyle w:val="EMEABodyText"/>
        <w:keepNext/>
        <w:rPr>
          <w:sz w:val="18"/>
          <w:szCs w:val="18"/>
        </w:rPr>
      </w:pPr>
      <w:r>
        <w:rPr>
          <w:sz w:val="18"/>
          <w:szCs w:val="18"/>
          <w:vertAlign w:val="superscript"/>
        </w:rPr>
        <w:t>c</w:t>
      </w:r>
      <w:r>
        <w:rPr>
          <w:sz w:val="18"/>
          <w:szCs w:val="18"/>
        </w:rPr>
        <w:t xml:space="preserve"> Lopinavir/RTV with tenofovir disoproxil fumarate/emtricitabine (fixed dose 300 mg/200 mg tablets once daily).</w:t>
      </w:r>
    </w:p>
    <w:p w14:paraId="07A58E84" w14:textId="77777777" w:rsidR="00D02BC8" w:rsidRPr="00D31EBB" w:rsidRDefault="00D02BC8" w:rsidP="008B6CCB">
      <w:pPr>
        <w:pStyle w:val="EMEABodyText"/>
        <w:keepNext/>
        <w:rPr>
          <w:sz w:val="18"/>
          <w:szCs w:val="18"/>
        </w:rPr>
      </w:pPr>
      <w:r>
        <w:rPr>
          <w:sz w:val="18"/>
          <w:szCs w:val="18"/>
          <w:vertAlign w:val="superscript"/>
        </w:rPr>
        <w:t>d</w:t>
      </w:r>
      <w:r>
        <w:rPr>
          <w:sz w:val="18"/>
          <w:szCs w:val="18"/>
        </w:rPr>
        <w:t xml:space="preserve"> Intent-to-treat analysis, with missing values considered as failures.</w:t>
      </w:r>
    </w:p>
    <w:p w14:paraId="75590477" w14:textId="77777777" w:rsidR="00D02BC8" w:rsidRPr="00D31EBB" w:rsidRDefault="00D02BC8" w:rsidP="008B6CCB">
      <w:pPr>
        <w:pStyle w:val="EMEABodyText"/>
        <w:keepNext/>
        <w:rPr>
          <w:sz w:val="18"/>
          <w:szCs w:val="18"/>
        </w:rPr>
      </w:pPr>
      <w:r>
        <w:rPr>
          <w:sz w:val="18"/>
          <w:szCs w:val="18"/>
          <w:vertAlign w:val="superscript"/>
        </w:rPr>
        <w:t>e</w:t>
      </w:r>
      <w:r>
        <w:rPr>
          <w:sz w:val="18"/>
          <w:szCs w:val="18"/>
        </w:rPr>
        <w:t xml:space="preserve"> Per protocol analysis: Excluding non-completers and patients with major protocol deviations.</w:t>
      </w:r>
    </w:p>
    <w:p w14:paraId="730D3101" w14:textId="77777777" w:rsidR="00D02BC8" w:rsidRPr="00D31EBB" w:rsidRDefault="00D02BC8" w:rsidP="008B6CCB">
      <w:pPr>
        <w:pStyle w:val="EMEABodyText"/>
        <w:rPr>
          <w:sz w:val="18"/>
          <w:szCs w:val="18"/>
        </w:rPr>
      </w:pPr>
      <w:r>
        <w:rPr>
          <w:sz w:val="18"/>
          <w:szCs w:val="18"/>
          <w:vertAlign w:val="superscript"/>
        </w:rPr>
        <w:t>f</w:t>
      </w:r>
      <w:r>
        <w:rPr>
          <w:sz w:val="18"/>
          <w:szCs w:val="18"/>
        </w:rPr>
        <w:t xml:space="preserve"> Number of patients evaluable.</w:t>
      </w:r>
    </w:p>
    <w:p w14:paraId="5C1DE33B" w14:textId="77777777" w:rsidR="00D02BC8" w:rsidRPr="00D31EBB" w:rsidRDefault="00D02BC8" w:rsidP="008B6CCB">
      <w:pPr>
        <w:pStyle w:val="EMEABodyText"/>
        <w:rPr>
          <w:lang w:val="en-US"/>
        </w:rPr>
      </w:pPr>
    </w:p>
    <w:p w14:paraId="01A32F9F" w14:textId="77777777" w:rsidR="00F22397" w:rsidRPr="00D31EBB" w:rsidRDefault="00F22397" w:rsidP="00F22397">
      <w:pPr>
        <w:pStyle w:val="EMEABodyText"/>
        <w:keepNext/>
        <w:rPr>
          <w:i/>
        </w:rPr>
      </w:pPr>
      <w:r>
        <w:rPr>
          <w:i/>
        </w:rPr>
        <w:t>Data on withdrawal of ritonavir from atazanavir boosted regimen (see also section 4.4)</w:t>
      </w:r>
    </w:p>
    <w:p w14:paraId="6C668A6D" w14:textId="77777777" w:rsidR="00317DB1" w:rsidRPr="00D31EBB" w:rsidRDefault="00317DB1" w:rsidP="00317DB1">
      <w:pPr>
        <w:pStyle w:val="EMEABodyText"/>
        <w:rPr>
          <w:i/>
          <w:u w:val="single"/>
        </w:rPr>
      </w:pPr>
      <w:r>
        <w:rPr>
          <w:i/>
          <w:u w:val="single"/>
        </w:rPr>
        <w:t>Study 136 (INDUMA)</w:t>
      </w:r>
    </w:p>
    <w:p w14:paraId="34D9631F" w14:textId="77777777" w:rsidR="00317DB1" w:rsidRPr="00D31EBB" w:rsidRDefault="00317DB1" w:rsidP="00317DB1">
      <w:pPr>
        <w:pStyle w:val="EMEABodyText"/>
      </w:pPr>
      <w:r>
        <w:t>In an open-label, randomised, comparative study following a 26- to 30-week induction phase with REYATAZ 300 mg + ritonavir 100 mg once daily and two NRTIs, unboosted REYATAZ 400 mg once daily and two NRTIs administered during a 48-week maintenance phase (n=87) had similar antiviral efficacy compared with REYATAZ + ritonavir and two NRTIs (n=85) in HIV infected subjects with fully suppressed HIV replication, as assessed by the proportion of subjects with HIV RNA &lt; 50 copies/ml: 78% of subjects on unboosted REYATAZ and two NRTIs compared with 75% on REYATAZ + ritonavir and two NRTIs.</w:t>
      </w:r>
    </w:p>
    <w:p w14:paraId="12BC7475" w14:textId="77777777" w:rsidR="00317DB1" w:rsidRPr="00D31EBB" w:rsidRDefault="00317DB1" w:rsidP="00317DB1">
      <w:pPr>
        <w:pStyle w:val="EMEABodyText"/>
        <w:rPr>
          <w:lang w:val="en-US"/>
        </w:rPr>
      </w:pPr>
    </w:p>
    <w:p w14:paraId="62CC57F6" w14:textId="77777777" w:rsidR="00317DB1" w:rsidRPr="00D31EBB" w:rsidRDefault="00317DB1" w:rsidP="00317DB1">
      <w:pPr>
        <w:pStyle w:val="EMEABodyText"/>
      </w:pPr>
      <w:r>
        <w:t>Eleven subjects (13%) in the unboosted REYATAZ group and 6 (7%) in the REYATAZ + ritonavir group, had virologic rebound. Four subjects in the unboosted REYATAZ group and 2 in the REYATAZ + ritonavir group had HIV RNA &gt; 500 copies/ml during the maintenance phase. No subject in either group showed emergence of protease inhibitor resistance. The M184V substitution in reverse transcriptase, which confers resistance to lamivudine and emtricitabine, was detected in 2 subjects in the unboosted REYATAZ and 1 subject in the REYATAZ + ritonavir group.</w:t>
      </w:r>
    </w:p>
    <w:p w14:paraId="54575FB1" w14:textId="77777777" w:rsidR="00317DB1" w:rsidRPr="00D31EBB" w:rsidRDefault="00317DB1" w:rsidP="00317DB1">
      <w:pPr>
        <w:pStyle w:val="EMEABodyText"/>
        <w:rPr>
          <w:lang w:val="en-US"/>
        </w:rPr>
      </w:pPr>
    </w:p>
    <w:p w14:paraId="36FEF5A6" w14:textId="77777777" w:rsidR="00317DB1" w:rsidRPr="00D31EBB" w:rsidRDefault="00317DB1" w:rsidP="00317DB1">
      <w:pPr>
        <w:pStyle w:val="EMEABodyText"/>
      </w:pPr>
      <w:r>
        <w:t>There were fewer treatment discontinuations in the unboosted REYATAZ group (1 vs. 4 subjects in the REYATAZ + ritonavir group). There was less hyperbilirubinaemia and jaundice in the unboosted REYATAZ group compared with the REYATAZ + ritonavir group (18 and 28 subjects, respectively).</w:t>
      </w:r>
    </w:p>
    <w:p w14:paraId="6E22ADCE" w14:textId="77777777" w:rsidR="00317DB1" w:rsidRPr="00D31EBB" w:rsidRDefault="00317DB1" w:rsidP="008B6CCB">
      <w:pPr>
        <w:pStyle w:val="EMEABodyText"/>
        <w:rPr>
          <w:lang w:val="en-US"/>
        </w:rPr>
      </w:pPr>
    </w:p>
    <w:p w14:paraId="4372A322" w14:textId="77777777" w:rsidR="00D02BC8" w:rsidRPr="00D31EBB" w:rsidRDefault="00D02BC8" w:rsidP="008B6CCB">
      <w:pPr>
        <w:pStyle w:val="EMEABodyText"/>
        <w:keepNext/>
        <w:rPr>
          <w:i/>
        </w:rPr>
      </w:pPr>
      <w:r>
        <w:rPr>
          <w:i/>
        </w:rPr>
        <w:t>In antiretroviral experienced adult patients</w:t>
      </w:r>
    </w:p>
    <w:p w14:paraId="1FE92D64" w14:textId="77777777" w:rsidR="00D02BC8" w:rsidRPr="00D31EBB" w:rsidRDefault="00D02BC8" w:rsidP="008B6CCB">
      <w:pPr>
        <w:pStyle w:val="EMEABodyText"/>
      </w:pPr>
      <w:r>
        <w:rPr>
          <w:i/>
          <w:u w:val="single"/>
        </w:rPr>
        <w:t>Study 045</w:t>
      </w:r>
      <w:r>
        <w:t xml:space="preserve"> is a randomised, multicenter trial comparing REYATAZ/ritonavir (300/100 mg once daily) and REYATAZ/saquinavir (400/1,200 mg once daily), to lopinavir + ritonavir (400/100 mg fixed dose combination twice daily), each in combination with tenofovir disoproxil fumarate (see sections 4.5 and 4.8) and one NRTI, in patients with virologic failure on two or more prior regimens containing at least one PI, NRTI, and NNRTI. For randomised patients, the mean time of prior antiretroviral exposure was 138 weeks for PIs, 281 weeks for NRTIs, and 85 weeks for NNRTIs. At baseline, 34% of patients were receiving a PI and 60% were receiving an NNRTI. Fifteen of 120 (13%) patients in the REYATAZ + ritonavir treatment arm and 17 of 123 (14%) patients in the lopinavir + ritonavir arm had four or more of the PI substitutions L10, M46, I54, V82, I84, and L90. Thirty-two percent of patients in the study had a viral strain with fewer than two NRTI substitutions.</w:t>
      </w:r>
    </w:p>
    <w:p w14:paraId="4F7F073B" w14:textId="77777777" w:rsidR="00D02BC8" w:rsidRPr="00D31EBB" w:rsidRDefault="00D02BC8" w:rsidP="008B6CCB">
      <w:pPr>
        <w:pStyle w:val="EMEABodyText"/>
        <w:rPr>
          <w:lang w:val="en-US"/>
        </w:rPr>
      </w:pPr>
    </w:p>
    <w:p w14:paraId="57453B39" w14:textId="77777777" w:rsidR="00D02BC8" w:rsidRPr="00D31EBB" w:rsidRDefault="00D02BC8" w:rsidP="008B6CCB">
      <w:pPr>
        <w:pStyle w:val="EMEABodyText"/>
      </w:pPr>
      <w:r>
        <w:t>The primary endpoint was the time-averaged difference in change from baseline in HIV RNA through 48 weeks (Table 6).</w:t>
      </w:r>
    </w:p>
    <w:p w14:paraId="15FDDCEA" w14:textId="77777777" w:rsidR="00D02BC8" w:rsidRPr="00D31EBB" w:rsidRDefault="00D02BC8" w:rsidP="008B6CCB">
      <w:pPr>
        <w:pStyle w:val="EMEABodyText"/>
        <w:rPr>
          <w:lang w:val="en-US"/>
        </w:rPr>
      </w:pPr>
    </w:p>
    <w:p w14:paraId="4710C35E" w14:textId="77777777" w:rsidR="00D02BC8" w:rsidRPr="00D31EBB" w:rsidRDefault="00D02BC8" w:rsidP="008B6CCB">
      <w:pPr>
        <w:pStyle w:val="EMEABodyText"/>
        <w:keepNext/>
        <w:rPr>
          <w:b/>
          <w:bCs/>
        </w:rPr>
      </w:pPr>
      <w:r>
        <w:rPr>
          <w:b/>
          <w:bCs/>
        </w:rPr>
        <w:t>Table 6:</w:t>
      </w:r>
      <w:r>
        <w:rPr>
          <w:b/>
          <w:bCs/>
        </w:rPr>
        <w:tab/>
        <w:t>Efficacy Outcomes at Week 48</w:t>
      </w:r>
      <w:r>
        <w:rPr>
          <w:b/>
          <w:bCs/>
          <w:vertAlign w:val="superscript"/>
        </w:rPr>
        <w:t>a</w:t>
      </w:r>
      <w:r>
        <w:rPr>
          <w:b/>
          <w:bCs/>
        </w:rPr>
        <w:t xml:space="preserve"> and at Week 96 (Study 045)</w:t>
      </w: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
        <w:gridCol w:w="1213"/>
        <w:gridCol w:w="1323"/>
        <w:gridCol w:w="1323"/>
        <w:gridCol w:w="1323"/>
        <w:gridCol w:w="1323"/>
        <w:gridCol w:w="1323"/>
        <w:gridCol w:w="1323"/>
      </w:tblGrid>
      <w:tr w:rsidR="00D02BC8" w:rsidRPr="004F3582" w14:paraId="0F009777" w14:textId="77777777" w:rsidTr="008B6CCB">
        <w:tc>
          <w:tcPr>
            <w:tcW w:w="1458" w:type="dxa"/>
            <w:gridSpan w:val="2"/>
            <w:tcBorders>
              <w:bottom w:val="single" w:sz="4" w:space="0" w:color="auto"/>
            </w:tcBorders>
            <w:shd w:val="clear" w:color="auto" w:fill="auto"/>
            <w:vAlign w:val="center"/>
          </w:tcPr>
          <w:p w14:paraId="6923B620" w14:textId="77777777" w:rsidR="00D02BC8" w:rsidRPr="004F3582" w:rsidRDefault="00D02BC8" w:rsidP="008B6CCB">
            <w:pPr>
              <w:pStyle w:val="EMEABodyText"/>
              <w:keepNext/>
            </w:pPr>
            <w:r>
              <w:rPr>
                <w:b/>
              </w:rPr>
              <w:t>Parameter</w:t>
            </w:r>
          </w:p>
        </w:tc>
        <w:tc>
          <w:tcPr>
            <w:tcW w:w="2646" w:type="dxa"/>
            <w:gridSpan w:val="2"/>
            <w:tcBorders>
              <w:bottom w:val="single" w:sz="4" w:space="0" w:color="auto"/>
            </w:tcBorders>
            <w:shd w:val="clear" w:color="auto" w:fill="auto"/>
            <w:vAlign w:val="center"/>
          </w:tcPr>
          <w:p w14:paraId="1A0EE6AF" w14:textId="77777777" w:rsidR="00D02BC8" w:rsidRPr="00D31EBB" w:rsidRDefault="00D02BC8" w:rsidP="008B6CCB">
            <w:pPr>
              <w:pStyle w:val="EMEABodyText"/>
              <w:keepNext/>
              <w:jc w:val="center"/>
              <w:rPr>
                <w:b/>
              </w:rPr>
            </w:pPr>
            <w:r>
              <w:rPr>
                <w:b/>
              </w:rPr>
              <w:t>ATV/RTV</w:t>
            </w:r>
            <w:r>
              <w:rPr>
                <w:b/>
                <w:vertAlign w:val="superscript"/>
              </w:rPr>
              <w:t>b</w:t>
            </w:r>
            <w:r>
              <w:rPr>
                <w:b/>
              </w:rPr>
              <w:t xml:space="preserve"> (300 mg/ 100 mg once daily)</w:t>
            </w:r>
          </w:p>
          <w:p w14:paraId="48B4811E" w14:textId="77777777" w:rsidR="00D02BC8" w:rsidRPr="004F3582" w:rsidRDefault="00D02BC8" w:rsidP="008B6CCB">
            <w:pPr>
              <w:pStyle w:val="EMEABodyText"/>
              <w:keepNext/>
              <w:jc w:val="center"/>
              <w:rPr>
                <w:b/>
                <w:u w:val="single"/>
              </w:rPr>
            </w:pPr>
            <w:r>
              <w:rPr>
                <w:b/>
              </w:rPr>
              <w:t>n=120</w:t>
            </w:r>
          </w:p>
        </w:tc>
        <w:tc>
          <w:tcPr>
            <w:tcW w:w="2646" w:type="dxa"/>
            <w:gridSpan w:val="2"/>
            <w:tcBorders>
              <w:bottom w:val="single" w:sz="4" w:space="0" w:color="auto"/>
            </w:tcBorders>
            <w:shd w:val="clear" w:color="auto" w:fill="auto"/>
            <w:vAlign w:val="center"/>
          </w:tcPr>
          <w:p w14:paraId="4FCA48EB" w14:textId="77777777" w:rsidR="00D02BC8" w:rsidRPr="00D31EBB" w:rsidRDefault="00D02BC8" w:rsidP="008B6CCB">
            <w:pPr>
              <w:pStyle w:val="EMEABodyText"/>
              <w:keepNext/>
              <w:jc w:val="center"/>
              <w:rPr>
                <w:b/>
              </w:rPr>
            </w:pPr>
            <w:r>
              <w:rPr>
                <w:b/>
              </w:rPr>
              <w:t>LPV/RTV</w:t>
            </w:r>
            <w:r>
              <w:rPr>
                <w:b/>
                <w:vertAlign w:val="superscript"/>
              </w:rPr>
              <w:t>c</w:t>
            </w:r>
            <w:r>
              <w:rPr>
                <w:b/>
              </w:rPr>
              <w:t xml:space="preserve"> (400 mg/ 100 mg twice daily)</w:t>
            </w:r>
          </w:p>
          <w:p w14:paraId="1E5C443A" w14:textId="77777777" w:rsidR="00D02BC8" w:rsidRPr="004F3582" w:rsidRDefault="00D02BC8" w:rsidP="008B6CCB">
            <w:pPr>
              <w:pStyle w:val="EMEABodyText"/>
              <w:keepNext/>
              <w:jc w:val="center"/>
              <w:rPr>
                <w:b/>
                <w:u w:val="single"/>
              </w:rPr>
            </w:pPr>
            <w:r>
              <w:rPr>
                <w:b/>
              </w:rPr>
              <w:t>n=123</w:t>
            </w:r>
          </w:p>
        </w:tc>
        <w:tc>
          <w:tcPr>
            <w:tcW w:w="2646" w:type="dxa"/>
            <w:gridSpan w:val="2"/>
            <w:tcBorders>
              <w:bottom w:val="single" w:sz="4" w:space="0" w:color="auto"/>
            </w:tcBorders>
            <w:shd w:val="clear" w:color="auto" w:fill="auto"/>
            <w:vAlign w:val="center"/>
          </w:tcPr>
          <w:p w14:paraId="54B22B47" w14:textId="77777777" w:rsidR="00D02BC8" w:rsidRPr="00D31EBB" w:rsidRDefault="00D02BC8" w:rsidP="008B6CCB">
            <w:pPr>
              <w:pStyle w:val="EMEABodyText"/>
              <w:keepNext/>
              <w:jc w:val="center"/>
              <w:rPr>
                <w:b/>
              </w:rPr>
            </w:pPr>
            <w:r>
              <w:rPr>
                <w:b/>
              </w:rPr>
              <w:t>Time-averaged difference ATV/RTV-LPV/RTV</w:t>
            </w:r>
          </w:p>
          <w:p w14:paraId="52332433" w14:textId="77777777" w:rsidR="00D02BC8" w:rsidRPr="004F3582" w:rsidRDefault="00D02BC8" w:rsidP="008B6CCB">
            <w:pPr>
              <w:pStyle w:val="EMEABodyText"/>
              <w:keepNext/>
              <w:jc w:val="center"/>
              <w:rPr>
                <w:b/>
                <w:u w:val="single"/>
              </w:rPr>
            </w:pPr>
            <w:r>
              <w:rPr>
                <w:b/>
              </w:rPr>
              <w:t>[97.5% CI</w:t>
            </w:r>
            <w:r>
              <w:rPr>
                <w:b/>
                <w:vertAlign w:val="superscript"/>
              </w:rPr>
              <w:t>d</w:t>
            </w:r>
            <w:r>
              <w:rPr>
                <w:b/>
              </w:rPr>
              <w:t>]</w:t>
            </w:r>
          </w:p>
        </w:tc>
      </w:tr>
      <w:tr w:rsidR="00D02BC8" w:rsidRPr="004F3582" w14:paraId="198D7C00" w14:textId="77777777" w:rsidTr="008B6CCB">
        <w:tc>
          <w:tcPr>
            <w:tcW w:w="1458" w:type="dxa"/>
            <w:gridSpan w:val="2"/>
            <w:tcBorders>
              <w:bottom w:val="single" w:sz="4" w:space="0" w:color="auto"/>
            </w:tcBorders>
            <w:shd w:val="clear" w:color="auto" w:fill="auto"/>
            <w:vAlign w:val="center"/>
          </w:tcPr>
          <w:p w14:paraId="24BF6907" w14:textId="77777777" w:rsidR="00D02BC8" w:rsidRPr="004F3582" w:rsidRDefault="00D02BC8" w:rsidP="008B6CCB">
            <w:pPr>
              <w:pStyle w:val="EMEABodyText"/>
              <w:keepNext/>
            </w:pPr>
          </w:p>
        </w:tc>
        <w:tc>
          <w:tcPr>
            <w:tcW w:w="1323" w:type="dxa"/>
            <w:tcBorders>
              <w:bottom w:val="single" w:sz="4" w:space="0" w:color="auto"/>
            </w:tcBorders>
            <w:shd w:val="clear" w:color="auto" w:fill="auto"/>
            <w:vAlign w:val="center"/>
          </w:tcPr>
          <w:p w14:paraId="5E2CFF3E" w14:textId="77777777" w:rsidR="00D02BC8" w:rsidRPr="004F3582" w:rsidRDefault="00D02BC8" w:rsidP="008B6CCB">
            <w:pPr>
              <w:pStyle w:val="EMEABodyText"/>
              <w:keepNext/>
              <w:jc w:val="center"/>
              <w:rPr>
                <w:b/>
              </w:rPr>
            </w:pPr>
            <w:r>
              <w:rPr>
                <w:b/>
              </w:rPr>
              <w:t>Week 48</w:t>
            </w:r>
          </w:p>
        </w:tc>
        <w:tc>
          <w:tcPr>
            <w:tcW w:w="1323" w:type="dxa"/>
            <w:tcBorders>
              <w:bottom w:val="single" w:sz="4" w:space="0" w:color="auto"/>
            </w:tcBorders>
            <w:shd w:val="clear" w:color="auto" w:fill="auto"/>
            <w:vAlign w:val="center"/>
          </w:tcPr>
          <w:p w14:paraId="7F48D538" w14:textId="77777777" w:rsidR="00D02BC8" w:rsidRPr="004F3582" w:rsidRDefault="00D02BC8" w:rsidP="008B6CCB">
            <w:pPr>
              <w:pStyle w:val="EMEABodyText"/>
              <w:keepNext/>
              <w:jc w:val="center"/>
              <w:rPr>
                <w:b/>
              </w:rPr>
            </w:pPr>
            <w:r>
              <w:rPr>
                <w:b/>
              </w:rPr>
              <w:t>Week 96</w:t>
            </w:r>
          </w:p>
        </w:tc>
        <w:tc>
          <w:tcPr>
            <w:tcW w:w="1323" w:type="dxa"/>
            <w:tcBorders>
              <w:bottom w:val="single" w:sz="4" w:space="0" w:color="auto"/>
            </w:tcBorders>
            <w:shd w:val="clear" w:color="auto" w:fill="auto"/>
            <w:vAlign w:val="center"/>
          </w:tcPr>
          <w:p w14:paraId="2828D489" w14:textId="77777777" w:rsidR="00D02BC8" w:rsidRPr="004F3582" w:rsidRDefault="00D02BC8" w:rsidP="008B6CCB">
            <w:pPr>
              <w:pStyle w:val="EMEABodyText"/>
              <w:keepNext/>
              <w:jc w:val="center"/>
              <w:rPr>
                <w:b/>
              </w:rPr>
            </w:pPr>
            <w:r>
              <w:rPr>
                <w:b/>
              </w:rPr>
              <w:t>Week 48</w:t>
            </w:r>
          </w:p>
        </w:tc>
        <w:tc>
          <w:tcPr>
            <w:tcW w:w="1323" w:type="dxa"/>
            <w:tcBorders>
              <w:bottom w:val="single" w:sz="4" w:space="0" w:color="auto"/>
            </w:tcBorders>
            <w:shd w:val="clear" w:color="auto" w:fill="auto"/>
            <w:vAlign w:val="center"/>
          </w:tcPr>
          <w:p w14:paraId="416E43BE" w14:textId="77777777" w:rsidR="00D02BC8" w:rsidRPr="004F3582" w:rsidRDefault="00D02BC8" w:rsidP="008B6CCB">
            <w:pPr>
              <w:pStyle w:val="EMEABodyText"/>
              <w:keepNext/>
              <w:jc w:val="center"/>
              <w:rPr>
                <w:b/>
              </w:rPr>
            </w:pPr>
            <w:r>
              <w:rPr>
                <w:b/>
              </w:rPr>
              <w:t>Week 96</w:t>
            </w:r>
          </w:p>
        </w:tc>
        <w:tc>
          <w:tcPr>
            <w:tcW w:w="1323" w:type="dxa"/>
            <w:tcBorders>
              <w:bottom w:val="single" w:sz="4" w:space="0" w:color="auto"/>
            </w:tcBorders>
            <w:shd w:val="clear" w:color="auto" w:fill="auto"/>
            <w:vAlign w:val="center"/>
          </w:tcPr>
          <w:p w14:paraId="3E299DCD" w14:textId="77777777" w:rsidR="00D02BC8" w:rsidRPr="004F3582" w:rsidRDefault="00D02BC8" w:rsidP="008B6CCB">
            <w:pPr>
              <w:pStyle w:val="EMEABodyText"/>
              <w:keepNext/>
              <w:jc w:val="center"/>
              <w:rPr>
                <w:b/>
              </w:rPr>
            </w:pPr>
            <w:r>
              <w:rPr>
                <w:b/>
              </w:rPr>
              <w:t>Week 48</w:t>
            </w:r>
          </w:p>
        </w:tc>
        <w:tc>
          <w:tcPr>
            <w:tcW w:w="1323" w:type="dxa"/>
            <w:tcBorders>
              <w:bottom w:val="single" w:sz="4" w:space="0" w:color="auto"/>
            </w:tcBorders>
            <w:shd w:val="clear" w:color="auto" w:fill="auto"/>
            <w:vAlign w:val="center"/>
          </w:tcPr>
          <w:p w14:paraId="5D9789C7" w14:textId="77777777" w:rsidR="00D02BC8" w:rsidRPr="004F3582" w:rsidRDefault="00D02BC8" w:rsidP="008B6CCB">
            <w:pPr>
              <w:pStyle w:val="EMEABodyText"/>
              <w:keepNext/>
              <w:jc w:val="center"/>
              <w:rPr>
                <w:b/>
              </w:rPr>
            </w:pPr>
            <w:r>
              <w:rPr>
                <w:b/>
              </w:rPr>
              <w:t>Week 96</w:t>
            </w:r>
          </w:p>
        </w:tc>
      </w:tr>
      <w:tr w:rsidR="00D02BC8" w:rsidRPr="00965E20" w14:paraId="5AA874B7" w14:textId="77777777" w:rsidTr="008B6CCB">
        <w:tc>
          <w:tcPr>
            <w:tcW w:w="9396" w:type="dxa"/>
            <w:gridSpan w:val="8"/>
            <w:tcBorders>
              <w:bottom w:val="single" w:sz="4" w:space="0" w:color="auto"/>
            </w:tcBorders>
            <w:shd w:val="clear" w:color="auto" w:fill="auto"/>
          </w:tcPr>
          <w:p w14:paraId="63DAC445" w14:textId="77777777" w:rsidR="00D02BC8" w:rsidRPr="00D31EBB" w:rsidRDefault="00D02BC8" w:rsidP="008B6CCB">
            <w:pPr>
              <w:pStyle w:val="EMEABodyText"/>
              <w:keepNext/>
              <w:rPr>
                <w:b/>
                <w:u w:val="single"/>
              </w:rPr>
            </w:pPr>
            <w:r>
              <w:rPr>
                <w:b/>
              </w:rPr>
              <w:t>HIV RNA Mean Change from Baseline, log</w:t>
            </w:r>
            <w:r>
              <w:rPr>
                <w:b/>
                <w:vertAlign w:val="subscript"/>
              </w:rPr>
              <w:t>10</w:t>
            </w:r>
            <w:r>
              <w:rPr>
                <w:b/>
              </w:rPr>
              <w:t xml:space="preserve"> copies/ml</w:t>
            </w:r>
          </w:p>
        </w:tc>
      </w:tr>
      <w:tr w:rsidR="00D02BC8" w:rsidRPr="004F3582" w14:paraId="2D186723" w14:textId="77777777" w:rsidTr="008B6CCB">
        <w:tc>
          <w:tcPr>
            <w:tcW w:w="1458" w:type="dxa"/>
            <w:gridSpan w:val="2"/>
            <w:tcBorders>
              <w:top w:val="single" w:sz="4" w:space="0" w:color="auto"/>
              <w:bottom w:val="single" w:sz="4" w:space="0" w:color="auto"/>
            </w:tcBorders>
            <w:shd w:val="clear" w:color="auto" w:fill="auto"/>
            <w:vAlign w:val="center"/>
          </w:tcPr>
          <w:p w14:paraId="0B926EAB" w14:textId="77777777" w:rsidR="00D02BC8" w:rsidRPr="004F3582" w:rsidRDefault="00D02BC8" w:rsidP="008B6CCB">
            <w:pPr>
              <w:pStyle w:val="EMEABodyText"/>
              <w:keepNext/>
            </w:pPr>
            <w:r>
              <w:t>All patients</w:t>
            </w:r>
          </w:p>
        </w:tc>
        <w:tc>
          <w:tcPr>
            <w:tcW w:w="1323" w:type="dxa"/>
            <w:tcBorders>
              <w:top w:val="single" w:sz="4" w:space="0" w:color="auto"/>
              <w:bottom w:val="single" w:sz="4" w:space="0" w:color="auto"/>
            </w:tcBorders>
            <w:shd w:val="clear" w:color="auto" w:fill="auto"/>
            <w:vAlign w:val="center"/>
          </w:tcPr>
          <w:p w14:paraId="0BAC55F7" w14:textId="77777777" w:rsidR="00D02BC8" w:rsidRPr="004F3582" w:rsidRDefault="00D02BC8" w:rsidP="008B6CCB">
            <w:pPr>
              <w:pStyle w:val="EMEABodyText"/>
              <w:keepNext/>
              <w:jc w:val="center"/>
            </w:pPr>
            <w:r>
              <w:t>-1.93</w:t>
            </w:r>
          </w:p>
          <w:p w14:paraId="6D6A8EEA" w14:textId="77777777" w:rsidR="00D02BC8" w:rsidRPr="004F3582" w:rsidRDefault="00D02BC8" w:rsidP="008B6CCB">
            <w:pPr>
              <w:pStyle w:val="EMEABodyText"/>
              <w:keepNext/>
              <w:jc w:val="center"/>
            </w:pPr>
            <w:r>
              <w:t>(n=90</w:t>
            </w:r>
            <w:r>
              <w:rPr>
                <w:vertAlign w:val="superscript"/>
              </w:rPr>
              <w:t xml:space="preserve"> e</w:t>
            </w:r>
            <w:r>
              <w:t>)</w:t>
            </w:r>
          </w:p>
        </w:tc>
        <w:tc>
          <w:tcPr>
            <w:tcW w:w="1323" w:type="dxa"/>
            <w:tcBorders>
              <w:top w:val="single" w:sz="4" w:space="0" w:color="auto"/>
              <w:bottom w:val="single" w:sz="4" w:space="0" w:color="auto"/>
            </w:tcBorders>
            <w:shd w:val="clear" w:color="auto" w:fill="auto"/>
            <w:vAlign w:val="center"/>
          </w:tcPr>
          <w:p w14:paraId="2BF98AF7" w14:textId="77777777" w:rsidR="00D02BC8" w:rsidRPr="004F3582" w:rsidRDefault="00D02BC8" w:rsidP="008B6CCB">
            <w:pPr>
              <w:pStyle w:val="EMEABodyText"/>
              <w:keepNext/>
              <w:jc w:val="center"/>
            </w:pPr>
            <w:r>
              <w:t>-2.29 (n=64)</w:t>
            </w:r>
          </w:p>
        </w:tc>
        <w:tc>
          <w:tcPr>
            <w:tcW w:w="1323" w:type="dxa"/>
            <w:tcBorders>
              <w:top w:val="single" w:sz="4" w:space="0" w:color="auto"/>
              <w:bottom w:val="single" w:sz="4" w:space="0" w:color="auto"/>
            </w:tcBorders>
            <w:shd w:val="clear" w:color="auto" w:fill="auto"/>
            <w:vAlign w:val="center"/>
          </w:tcPr>
          <w:p w14:paraId="1F54E532" w14:textId="77777777" w:rsidR="00D02BC8" w:rsidRPr="004F3582" w:rsidRDefault="00D02BC8" w:rsidP="008B6CCB">
            <w:pPr>
              <w:pStyle w:val="EMEABodyText"/>
              <w:keepNext/>
              <w:jc w:val="center"/>
            </w:pPr>
            <w:r>
              <w:t>-1.87 (n=99)</w:t>
            </w:r>
          </w:p>
        </w:tc>
        <w:tc>
          <w:tcPr>
            <w:tcW w:w="1323" w:type="dxa"/>
            <w:tcBorders>
              <w:top w:val="single" w:sz="4" w:space="0" w:color="auto"/>
              <w:bottom w:val="single" w:sz="4" w:space="0" w:color="auto"/>
            </w:tcBorders>
            <w:shd w:val="clear" w:color="auto" w:fill="auto"/>
            <w:vAlign w:val="center"/>
          </w:tcPr>
          <w:p w14:paraId="16E9833D" w14:textId="77777777" w:rsidR="00D02BC8" w:rsidRPr="004F3582" w:rsidRDefault="00D02BC8" w:rsidP="008B6CCB">
            <w:pPr>
              <w:pStyle w:val="EMEABodyText"/>
              <w:keepNext/>
              <w:jc w:val="center"/>
            </w:pPr>
            <w:r>
              <w:t>-2.08 (n=65)</w:t>
            </w:r>
          </w:p>
        </w:tc>
        <w:tc>
          <w:tcPr>
            <w:tcW w:w="1323" w:type="dxa"/>
            <w:tcBorders>
              <w:top w:val="single" w:sz="4" w:space="0" w:color="auto"/>
              <w:bottom w:val="single" w:sz="4" w:space="0" w:color="auto"/>
            </w:tcBorders>
            <w:shd w:val="clear" w:color="auto" w:fill="auto"/>
            <w:vAlign w:val="center"/>
          </w:tcPr>
          <w:p w14:paraId="175C66FF" w14:textId="77777777" w:rsidR="00D02BC8" w:rsidRPr="004F3582" w:rsidRDefault="00D02BC8" w:rsidP="008B6CCB">
            <w:pPr>
              <w:pStyle w:val="EMEABodyText"/>
              <w:keepNext/>
              <w:jc w:val="center"/>
            </w:pPr>
            <w:r>
              <w:t>0.13</w:t>
            </w:r>
          </w:p>
          <w:p w14:paraId="4EE80214" w14:textId="77777777" w:rsidR="00D02BC8" w:rsidRPr="004F3582" w:rsidRDefault="00D02BC8" w:rsidP="008B6CCB">
            <w:pPr>
              <w:pStyle w:val="EMEABodyText"/>
              <w:keepNext/>
              <w:jc w:val="center"/>
            </w:pPr>
            <w:r>
              <w:t>[-0.12, 0.39]</w:t>
            </w:r>
          </w:p>
        </w:tc>
        <w:tc>
          <w:tcPr>
            <w:tcW w:w="1323" w:type="dxa"/>
            <w:tcBorders>
              <w:top w:val="single" w:sz="4" w:space="0" w:color="auto"/>
              <w:bottom w:val="single" w:sz="4" w:space="0" w:color="auto"/>
            </w:tcBorders>
            <w:shd w:val="clear" w:color="auto" w:fill="auto"/>
            <w:vAlign w:val="center"/>
          </w:tcPr>
          <w:p w14:paraId="35A49102" w14:textId="77777777" w:rsidR="00D02BC8" w:rsidRPr="004F3582" w:rsidRDefault="00D02BC8" w:rsidP="008B6CCB">
            <w:pPr>
              <w:pStyle w:val="EMEABodyText"/>
              <w:keepNext/>
              <w:jc w:val="center"/>
            </w:pPr>
            <w:r>
              <w:t>0.14</w:t>
            </w:r>
          </w:p>
          <w:p w14:paraId="055BC81B" w14:textId="77777777" w:rsidR="00D02BC8" w:rsidRPr="004F3582" w:rsidRDefault="00D02BC8" w:rsidP="008B6CCB">
            <w:pPr>
              <w:pStyle w:val="EMEABodyText"/>
              <w:keepNext/>
              <w:jc w:val="center"/>
            </w:pPr>
            <w:r>
              <w:t>[-0.13, 0.41]</w:t>
            </w:r>
          </w:p>
        </w:tc>
      </w:tr>
      <w:tr w:rsidR="00D02BC8" w:rsidRPr="00324E2C" w14:paraId="6228B668" w14:textId="77777777" w:rsidTr="008B6CCB">
        <w:tc>
          <w:tcPr>
            <w:tcW w:w="9396" w:type="dxa"/>
            <w:gridSpan w:val="8"/>
            <w:tcBorders>
              <w:top w:val="single" w:sz="12" w:space="0" w:color="auto"/>
              <w:bottom w:val="single" w:sz="4" w:space="0" w:color="auto"/>
            </w:tcBorders>
            <w:shd w:val="clear" w:color="auto" w:fill="auto"/>
          </w:tcPr>
          <w:p w14:paraId="1C396D74" w14:textId="77777777" w:rsidR="00D02BC8" w:rsidRPr="005C4B2B" w:rsidRDefault="00D02BC8" w:rsidP="008B6CCB">
            <w:pPr>
              <w:pStyle w:val="EMEABodyText"/>
              <w:keepNext/>
            </w:pPr>
            <w:r>
              <w:rPr>
                <w:b/>
              </w:rPr>
              <w:t>HIV RNA &lt;50 copies/ml, %</w:t>
            </w:r>
            <w:r>
              <w:rPr>
                <w:b/>
                <w:vertAlign w:val="superscript"/>
              </w:rPr>
              <w:t>f</w:t>
            </w:r>
            <w:r>
              <w:rPr>
                <w:b/>
              </w:rPr>
              <w:t xml:space="preserve"> (responder/evaluable)</w:t>
            </w:r>
          </w:p>
        </w:tc>
      </w:tr>
      <w:tr w:rsidR="00D02BC8" w:rsidRPr="004F3582" w14:paraId="39A140C4" w14:textId="77777777" w:rsidTr="00E27C0E">
        <w:trPr>
          <w:trHeight w:val="157"/>
        </w:trPr>
        <w:tc>
          <w:tcPr>
            <w:tcW w:w="1458" w:type="dxa"/>
            <w:gridSpan w:val="2"/>
            <w:tcBorders>
              <w:top w:val="single" w:sz="4" w:space="0" w:color="auto"/>
            </w:tcBorders>
            <w:shd w:val="clear" w:color="auto" w:fill="auto"/>
          </w:tcPr>
          <w:p w14:paraId="4EEAA79F" w14:textId="77777777" w:rsidR="00D02BC8" w:rsidRPr="004F3582" w:rsidRDefault="00D02BC8" w:rsidP="008B6CCB">
            <w:pPr>
              <w:pStyle w:val="EMEABodyText"/>
              <w:keepNext/>
            </w:pPr>
            <w:r>
              <w:t>All patients</w:t>
            </w:r>
          </w:p>
        </w:tc>
        <w:tc>
          <w:tcPr>
            <w:tcW w:w="1323" w:type="dxa"/>
            <w:tcBorders>
              <w:top w:val="single" w:sz="4" w:space="0" w:color="auto"/>
            </w:tcBorders>
            <w:shd w:val="clear" w:color="auto" w:fill="auto"/>
            <w:vAlign w:val="center"/>
          </w:tcPr>
          <w:p w14:paraId="1B2D518F" w14:textId="77777777" w:rsidR="00D02BC8" w:rsidRPr="004F3582" w:rsidRDefault="00D02BC8" w:rsidP="008B6CCB">
            <w:pPr>
              <w:pStyle w:val="EMEABodyText"/>
              <w:keepNext/>
              <w:jc w:val="center"/>
            </w:pPr>
            <w:r>
              <w:t>36 (43/120)</w:t>
            </w:r>
          </w:p>
        </w:tc>
        <w:tc>
          <w:tcPr>
            <w:tcW w:w="1323" w:type="dxa"/>
            <w:tcBorders>
              <w:top w:val="single" w:sz="4" w:space="0" w:color="auto"/>
            </w:tcBorders>
            <w:shd w:val="clear" w:color="auto" w:fill="auto"/>
            <w:vAlign w:val="center"/>
          </w:tcPr>
          <w:p w14:paraId="349EA9C6" w14:textId="77777777" w:rsidR="00D02BC8" w:rsidRPr="004F3582" w:rsidRDefault="00D02BC8" w:rsidP="008B6CCB">
            <w:pPr>
              <w:pStyle w:val="EMEABodyText"/>
              <w:keepNext/>
              <w:jc w:val="center"/>
            </w:pPr>
            <w:r>
              <w:t>32 (38/120)</w:t>
            </w:r>
          </w:p>
        </w:tc>
        <w:tc>
          <w:tcPr>
            <w:tcW w:w="1323" w:type="dxa"/>
            <w:tcBorders>
              <w:top w:val="single" w:sz="4" w:space="0" w:color="auto"/>
            </w:tcBorders>
            <w:shd w:val="clear" w:color="auto" w:fill="auto"/>
            <w:vAlign w:val="center"/>
          </w:tcPr>
          <w:p w14:paraId="45E3EE11" w14:textId="77777777" w:rsidR="00D02BC8" w:rsidRPr="004F3582" w:rsidRDefault="00D02BC8" w:rsidP="008B6CCB">
            <w:pPr>
              <w:pStyle w:val="EMEABodyText"/>
              <w:keepNext/>
              <w:jc w:val="center"/>
            </w:pPr>
            <w:r>
              <w:t>42 (52/123)</w:t>
            </w:r>
          </w:p>
        </w:tc>
        <w:tc>
          <w:tcPr>
            <w:tcW w:w="1323" w:type="dxa"/>
            <w:tcBorders>
              <w:top w:val="single" w:sz="4" w:space="0" w:color="auto"/>
            </w:tcBorders>
            <w:shd w:val="clear" w:color="auto" w:fill="auto"/>
            <w:vAlign w:val="center"/>
          </w:tcPr>
          <w:p w14:paraId="5430D38C" w14:textId="77777777" w:rsidR="00D02BC8" w:rsidRPr="004F3582" w:rsidRDefault="00D02BC8" w:rsidP="008B6CCB">
            <w:pPr>
              <w:pStyle w:val="EMEABodyText"/>
              <w:keepNext/>
              <w:jc w:val="center"/>
            </w:pPr>
            <w:r>
              <w:t>35 (41/118)</w:t>
            </w:r>
          </w:p>
        </w:tc>
        <w:tc>
          <w:tcPr>
            <w:tcW w:w="1323" w:type="dxa"/>
            <w:tcBorders>
              <w:top w:val="single" w:sz="4" w:space="0" w:color="auto"/>
            </w:tcBorders>
            <w:shd w:val="clear" w:color="auto" w:fill="auto"/>
            <w:vAlign w:val="center"/>
          </w:tcPr>
          <w:p w14:paraId="703085BC" w14:textId="77777777" w:rsidR="00D02BC8" w:rsidRPr="004F3582" w:rsidRDefault="00D02BC8" w:rsidP="008B6CCB">
            <w:pPr>
              <w:pStyle w:val="EMEABodyText"/>
              <w:keepNext/>
              <w:jc w:val="center"/>
            </w:pPr>
            <w:r>
              <w:t>NA</w:t>
            </w:r>
          </w:p>
        </w:tc>
        <w:tc>
          <w:tcPr>
            <w:tcW w:w="1323" w:type="dxa"/>
            <w:tcBorders>
              <w:top w:val="single" w:sz="4" w:space="0" w:color="auto"/>
            </w:tcBorders>
            <w:shd w:val="clear" w:color="auto" w:fill="auto"/>
            <w:vAlign w:val="center"/>
          </w:tcPr>
          <w:p w14:paraId="1087825F" w14:textId="77777777" w:rsidR="00D02BC8" w:rsidRPr="004F3582" w:rsidRDefault="00D02BC8" w:rsidP="008B6CCB">
            <w:pPr>
              <w:pStyle w:val="EMEABodyText"/>
              <w:keepNext/>
              <w:jc w:val="center"/>
            </w:pPr>
            <w:r>
              <w:t>NA</w:t>
            </w:r>
          </w:p>
        </w:tc>
      </w:tr>
      <w:tr w:rsidR="00D02BC8" w:rsidRPr="00965E20" w14:paraId="49BF0C48" w14:textId="77777777" w:rsidTr="008B6CCB">
        <w:trPr>
          <w:trHeight w:val="112"/>
        </w:trPr>
        <w:tc>
          <w:tcPr>
            <w:tcW w:w="9396" w:type="dxa"/>
            <w:gridSpan w:val="8"/>
            <w:tcBorders>
              <w:top w:val="single" w:sz="12" w:space="0" w:color="auto"/>
              <w:bottom w:val="single" w:sz="4" w:space="0" w:color="auto"/>
            </w:tcBorders>
            <w:vAlign w:val="bottom"/>
          </w:tcPr>
          <w:p w14:paraId="7A3E7944" w14:textId="77777777" w:rsidR="00D02BC8" w:rsidRPr="00D31EBB" w:rsidRDefault="00D02BC8" w:rsidP="008B6CCB">
            <w:pPr>
              <w:pStyle w:val="EMEABodyText"/>
              <w:keepNext/>
              <w:rPr>
                <w:b/>
              </w:rPr>
            </w:pPr>
            <w:r>
              <w:rPr>
                <w:b/>
              </w:rPr>
              <w:t>HIV RNA &lt;50 copies/ml by select baseline PI substitutions,</w:t>
            </w:r>
            <w:r>
              <w:rPr>
                <w:b/>
                <w:vertAlign w:val="superscript"/>
              </w:rPr>
              <w:t>f, g</w:t>
            </w:r>
            <w:r>
              <w:rPr>
                <w:b/>
              </w:rPr>
              <w:t xml:space="preserve"> % (responder/evaluable)</w:t>
            </w:r>
          </w:p>
        </w:tc>
      </w:tr>
      <w:tr w:rsidR="00D02BC8" w:rsidRPr="004F3582" w14:paraId="16A7522B" w14:textId="77777777" w:rsidTr="008B6CCB">
        <w:tc>
          <w:tcPr>
            <w:tcW w:w="245" w:type="dxa"/>
            <w:tcBorders>
              <w:right w:val="nil"/>
            </w:tcBorders>
            <w:shd w:val="clear" w:color="auto" w:fill="auto"/>
          </w:tcPr>
          <w:p w14:paraId="4146F342" w14:textId="77777777" w:rsidR="00D02BC8" w:rsidRPr="00D31EBB" w:rsidRDefault="00D02BC8" w:rsidP="008B6CCB">
            <w:pPr>
              <w:pStyle w:val="EMEABodyText"/>
              <w:keepNext/>
              <w:rPr>
                <w:lang w:val="en-US"/>
              </w:rPr>
            </w:pPr>
          </w:p>
        </w:tc>
        <w:tc>
          <w:tcPr>
            <w:tcW w:w="1213" w:type="dxa"/>
            <w:tcBorders>
              <w:left w:val="nil"/>
            </w:tcBorders>
            <w:shd w:val="clear" w:color="auto" w:fill="auto"/>
          </w:tcPr>
          <w:p w14:paraId="59EF014B" w14:textId="77777777" w:rsidR="00D02BC8" w:rsidRPr="004F3582" w:rsidRDefault="00D02BC8" w:rsidP="008B6CCB">
            <w:pPr>
              <w:pStyle w:val="EMEABodyText"/>
              <w:keepNext/>
            </w:pPr>
            <w:r>
              <w:t>0-2</w:t>
            </w:r>
          </w:p>
        </w:tc>
        <w:tc>
          <w:tcPr>
            <w:tcW w:w="1323" w:type="dxa"/>
            <w:shd w:val="clear" w:color="auto" w:fill="auto"/>
            <w:vAlign w:val="bottom"/>
          </w:tcPr>
          <w:p w14:paraId="41117DAD" w14:textId="77777777" w:rsidR="00D02BC8" w:rsidRPr="004F3582" w:rsidRDefault="00D02BC8" w:rsidP="008B6CCB">
            <w:pPr>
              <w:pStyle w:val="EMEABodyText"/>
              <w:keepNext/>
              <w:jc w:val="center"/>
            </w:pPr>
            <w:r>
              <w:t>44 (28/63)</w:t>
            </w:r>
          </w:p>
        </w:tc>
        <w:tc>
          <w:tcPr>
            <w:tcW w:w="1323" w:type="dxa"/>
            <w:shd w:val="clear" w:color="auto" w:fill="auto"/>
            <w:vAlign w:val="bottom"/>
          </w:tcPr>
          <w:p w14:paraId="570F311C" w14:textId="77777777" w:rsidR="00D02BC8" w:rsidRPr="004F3582" w:rsidRDefault="00D02BC8" w:rsidP="008B6CCB">
            <w:pPr>
              <w:pStyle w:val="EMEABodyText"/>
              <w:keepNext/>
              <w:jc w:val="center"/>
            </w:pPr>
            <w:r>
              <w:t>41 (26/63)</w:t>
            </w:r>
          </w:p>
        </w:tc>
        <w:tc>
          <w:tcPr>
            <w:tcW w:w="1323" w:type="dxa"/>
            <w:shd w:val="clear" w:color="auto" w:fill="auto"/>
            <w:vAlign w:val="bottom"/>
          </w:tcPr>
          <w:p w14:paraId="7CDBE226" w14:textId="77777777" w:rsidR="00D02BC8" w:rsidRPr="004F3582" w:rsidRDefault="00D02BC8" w:rsidP="008B6CCB">
            <w:pPr>
              <w:pStyle w:val="EMEABodyText"/>
              <w:keepNext/>
              <w:jc w:val="center"/>
            </w:pPr>
            <w:r>
              <w:t>56 (32/57)</w:t>
            </w:r>
          </w:p>
        </w:tc>
        <w:tc>
          <w:tcPr>
            <w:tcW w:w="1323" w:type="dxa"/>
            <w:shd w:val="clear" w:color="auto" w:fill="auto"/>
            <w:vAlign w:val="bottom"/>
          </w:tcPr>
          <w:p w14:paraId="1A7FC9FD" w14:textId="77777777" w:rsidR="00D02BC8" w:rsidRPr="004F3582" w:rsidRDefault="00D02BC8" w:rsidP="008B6CCB">
            <w:pPr>
              <w:pStyle w:val="EMEABodyText"/>
              <w:keepNext/>
              <w:jc w:val="center"/>
            </w:pPr>
            <w:r>
              <w:t>48 (26/54)</w:t>
            </w:r>
          </w:p>
        </w:tc>
        <w:tc>
          <w:tcPr>
            <w:tcW w:w="1323" w:type="dxa"/>
            <w:shd w:val="clear" w:color="auto" w:fill="auto"/>
            <w:vAlign w:val="bottom"/>
          </w:tcPr>
          <w:p w14:paraId="33749DE4" w14:textId="77777777" w:rsidR="00D02BC8" w:rsidRPr="004F3582" w:rsidRDefault="00D02BC8" w:rsidP="008B6CCB">
            <w:pPr>
              <w:pStyle w:val="EMEABodyText"/>
              <w:keepNext/>
              <w:jc w:val="center"/>
            </w:pPr>
            <w:r>
              <w:t>NA</w:t>
            </w:r>
          </w:p>
        </w:tc>
        <w:tc>
          <w:tcPr>
            <w:tcW w:w="1323" w:type="dxa"/>
            <w:shd w:val="clear" w:color="auto" w:fill="auto"/>
            <w:vAlign w:val="bottom"/>
          </w:tcPr>
          <w:p w14:paraId="1BDA0966" w14:textId="77777777" w:rsidR="00D02BC8" w:rsidRPr="004F3582" w:rsidRDefault="00D02BC8" w:rsidP="008B6CCB">
            <w:pPr>
              <w:pStyle w:val="EMEABodyText"/>
              <w:keepNext/>
              <w:jc w:val="center"/>
            </w:pPr>
            <w:r>
              <w:t>NA</w:t>
            </w:r>
          </w:p>
        </w:tc>
      </w:tr>
      <w:tr w:rsidR="00D02BC8" w:rsidRPr="004F3582" w14:paraId="642B2570" w14:textId="77777777" w:rsidTr="008B6CCB">
        <w:tc>
          <w:tcPr>
            <w:tcW w:w="245" w:type="dxa"/>
            <w:tcBorders>
              <w:right w:val="nil"/>
            </w:tcBorders>
            <w:shd w:val="clear" w:color="auto" w:fill="auto"/>
          </w:tcPr>
          <w:p w14:paraId="2C07F35F" w14:textId="77777777" w:rsidR="00D02BC8" w:rsidRPr="004F3582" w:rsidRDefault="00D02BC8" w:rsidP="008B6CCB">
            <w:pPr>
              <w:pStyle w:val="EMEABodyText"/>
              <w:keepNext/>
            </w:pPr>
          </w:p>
        </w:tc>
        <w:tc>
          <w:tcPr>
            <w:tcW w:w="1213" w:type="dxa"/>
            <w:tcBorders>
              <w:left w:val="nil"/>
            </w:tcBorders>
            <w:shd w:val="clear" w:color="auto" w:fill="auto"/>
          </w:tcPr>
          <w:p w14:paraId="48103C62" w14:textId="77777777" w:rsidR="00D02BC8" w:rsidRPr="004F3582" w:rsidRDefault="00D02BC8" w:rsidP="008B6CCB">
            <w:pPr>
              <w:pStyle w:val="EMEABodyText"/>
              <w:keepNext/>
            </w:pPr>
            <w:r>
              <w:t>3</w:t>
            </w:r>
          </w:p>
        </w:tc>
        <w:tc>
          <w:tcPr>
            <w:tcW w:w="1323" w:type="dxa"/>
            <w:shd w:val="clear" w:color="auto" w:fill="auto"/>
            <w:vAlign w:val="bottom"/>
          </w:tcPr>
          <w:p w14:paraId="31E95046" w14:textId="77777777" w:rsidR="00D02BC8" w:rsidRPr="004F3582" w:rsidRDefault="00D02BC8" w:rsidP="008B6CCB">
            <w:pPr>
              <w:pStyle w:val="EMEABodyText"/>
              <w:keepNext/>
              <w:jc w:val="center"/>
            </w:pPr>
            <w:r>
              <w:t>18 (2/11)</w:t>
            </w:r>
          </w:p>
        </w:tc>
        <w:tc>
          <w:tcPr>
            <w:tcW w:w="1323" w:type="dxa"/>
            <w:shd w:val="clear" w:color="auto" w:fill="auto"/>
            <w:vAlign w:val="bottom"/>
          </w:tcPr>
          <w:p w14:paraId="5EB94AA5" w14:textId="77777777" w:rsidR="00D02BC8" w:rsidRPr="004F3582" w:rsidRDefault="00D02BC8" w:rsidP="008B6CCB">
            <w:pPr>
              <w:pStyle w:val="EMEABodyText"/>
              <w:keepNext/>
              <w:jc w:val="center"/>
            </w:pPr>
            <w:r>
              <w:t>9 (1/11)</w:t>
            </w:r>
          </w:p>
        </w:tc>
        <w:tc>
          <w:tcPr>
            <w:tcW w:w="1323" w:type="dxa"/>
            <w:shd w:val="clear" w:color="auto" w:fill="auto"/>
            <w:vAlign w:val="bottom"/>
          </w:tcPr>
          <w:p w14:paraId="05718525" w14:textId="77777777" w:rsidR="00D02BC8" w:rsidRPr="004F3582" w:rsidRDefault="00D02BC8" w:rsidP="008B6CCB">
            <w:pPr>
              <w:pStyle w:val="EMEABodyText"/>
              <w:keepNext/>
              <w:jc w:val="center"/>
            </w:pPr>
            <w:r>
              <w:t>38 (6/16)</w:t>
            </w:r>
          </w:p>
        </w:tc>
        <w:tc>
          <w:tcPr>
            <w:tcW w:w="1323" w:type="dxa"/>
            <w:shd w:val="clear" w:color="auto" w:fill="auto"/>
            <w:vAlign w:val="bottom"/>
          </w:tcPr>
          <w:p w14:paraId="6F0D90D0" w14:textId="77777777" w:rsidR="00D02BC8" w:rsidRPr="004F3582" w:rsidRDefault="00D02BC8" w:rsidP="008B6CCB">
            <w:pPr>
              <w:pStyle w:val="EMEABodyText"/>
              <w:keepNext/>
              <w:jc w:val="center"/>
            </w:pPr>
            <w:r>
              <w:t>33 (5/15)</w:t>
            </w:r>
          </w:p>
        </w:tc>
        <w:tc>
          <w:tcPr>
            <w:tcW w:w="1323" w:type="dxa"/>
            <w:shd w:val="clear" w:color="auto" w:fill="auto"/>
            <w:vAlign w:val="bottom"/>
          </w:tcPr>
          <w:p w14:paraId="76797A7D" w14:textId="77777777" w:rsidR="00D02BC8" w:rsidRPr="004F3582" w:rsidRDefault="00D02BC8" w:rsidP="008B6CCB">
            <w:pPr>
              <w:pStyle w:val="EMEABodyText"/>
              <w:keepNext/>
              <w:jc w:val="center"/>
            </w:pPr>
            <w:r>
              <w:t>NA</w:t>
            </w:r>
          </w:p>
        </w:tc>
        <w:tc>
          <w:tcPr>
            <w:tcW w:w="1323" w:type="dxa"/>
            <w:shd w:val="clear" w:color="auto" w:fill="auto"/>
            <w:vAlign w:val="bottom"/>
          </w:tcPr>
          <w:p w14:paraId="2D5D023A" w14:textId="77777777" w:rsidR="00D02BC8" w:rsidRPr="004F3582" w:rsidRDefault="00D02BC8" w:rsidP="008B6CCB">
            <w:pPr>
              <w:pStyle w:val="EMEABodyText"/>
              <w:keepNext/>
              <w:jc w:val="center"/>
            </w:pPr>
            <w:r>
              <w:t>NA</w:t>
            </w:r>
          </w:p>
        </w:tc>
      </w:tr>
      <w:tr w:rsidR="00D02BC8" w:rsidRPr="004F3582" w14:paraId="7950DAC5" w14:textId="77777777" w:rsidTr="008B6CCB">
        <w:tc>
          <w:tcPr>
            <w:tcW w:w="245" w:type="dxa"/>
            <w:tcBorders>
              <w:right w:val="nil"/>
            </w:tcBorders>
            <w:shd w:val="clear" w:color="auto" w:fill="auto"/>
          </w:tcPr>
          <w:p w14:paraId="664826A2" w14:textId="77777777" w:rsidR="00D02BC8" w:rsidRPr="004F3582" w:rsidRDefault="00D02BC8" w:rsidP="008B6CCB">
            <w:pPr>
              <w:pStyle w:val="EMEABodyText"/>
              <w:keepNext/>
            </w:pPr>
          </w:p>
        </w:tc>
        <w:tc>
          <w:tcPr>
            <w:tcW w:w="1213" w:type="dxa"/>
            <w:tcBorders>
              <w:left w:val="nil"/>
            </w:tcBorders>
            <w:shd w:val="clear" w:color="auto" w:fill="auto"/>
          </w:tcPr>
          <w:p w14:paraId="78FEF2BC" w14:textId="77777777" w:rsidR="00D02BC8" w:rsidRPr="004F3582" w:rsidRDefault="00D02BC8" w:rsidP="008B6CCB">
            <w:pPr>
              <w:pStyle w:val="EMEABodyText"/>
              <w:keepNext/>
            </w:pPr>
            <w:r>
              <w:t>≥ 4</w:t>
            </w:r>
          </w:p>
        </w:tc>
        <w:tc>
          <w:tcPr>
            <w:tcW w:w="1323" w:type="dxa"/>
            <w:shd w:val="clear" w:color="auto" w:fill="auto"/>
            <w:vAlign w:val="bottom"/>
          </w:tcPr>
          <w:p w14:paraId="67B306FD" w14:textId="77777777" w:rsidR="00D02BC8" w:rsidRPr="004F3582" w:rsidRDefault="00D02BC8" w:rsidP="008B6CCB">
            <w:pPr>
              <w:pStyle w:val="EMEABodyText"/>
              <w:keepNext/>
              <w:jc w:val="center"/>
            </w:pPr>
            <w:r>
              <w:t>27 (12/45)</w:t>
            </w:r>
          </w:p>
        </w:tc>
        <w:tc>
          <w:tcPr>
            <w:tcW w:w="1323" w:type="dxa"/>
            <w:shd w:val="clear" w:color="auto" w:fill="auto"/>
            <w:vAlign w:val="center"/>
          </w:tcPr>
          <w:p w14:paraId="5A1FF8F1" w14:textId="77777777" w:rsidR="00D02BC8" w:rsidRPr="004F3582" w:rsidRDefault="00D02BC8" w:rsidP="008B6CCB">
            <w:pPr>
              <w:pStyle w:val="EMEABodyText"/>
              <w:keepNext/>
              <w:jc w:val="center"/>
            </w:pPr>
            <w:r>
              <w:t>24 (11/45)</w:t>
            </w:r>
          </w:p>
        </w:tc>
        <w:tc>
          <w:tcPr>
            <w:tcW w:w="1323" w:type="dxa"/>
            <w:shd w:val="clear" w:color="auto" w:fill="auto"/>
            <w:vAlign w:val="bottom"/>
          </w:tcPr>
          <w:p w14:paraId="179E1802" w14:textId="77777777" w:rsidR="00D02BC8" w:rsidRPr="004F3582" w:rsidRDefault="00D02BC8" w:rsidP="008B6CCB">
            <w:pPr>
              <w:pStyle w:val="EMEABodyText"/>
              <w:keepNext/>
              <w:jc w:val="center"/>
            </w:pPr>
            <w:r>
              <w:t>28 (14/50)</w:t>
            </w:r>
          </w:p>
        </w:tc>
        <w:tc>
          <w:tcPr>
            <w:tcW w:w="1323" w:type="dxa"/>
            <w:shd w:val="clear" w:color="auto" w:fill="auto"/>
            <w:vAlign w:val="center"/>
          </w:tcPr>
          <w:p w14:paraId="270BD221" w14:textId="77777777" w:rsidR="00D02BC8" w:rsidRPr="004F3582" w:rsidRDefault="00D02BC8" w:rsidP="008B6CCB">
            <w:pPr>
              <w:pStyle w:val="EMEABodyText"/>
              <w:keepNext/>
              <w:jc w:val="center"/>
            </w:pPr>
            <w:r>
              <w:t>20 (10/49)</w:t>
            </w:r>
          </w:p>
        </w:tc>
        <w:tc>
          <w:tcPr>
            <w:tcW w:w="1323" w:type="dxa"/>
            <w:shd w:val="clear" w:color="auto" w:fill="auto"/>
            <w:vAlign w:val="center"/>
          </w:tcPr>
          <w:p w14:paraId="0B8907D2" w14:textId="77777777" w:rsidR="00D02BC8" w:rsidRPr="004F3582" w:rsidRDefault="00D02BC8" w:rsidP="008B6CCB">
            <w:pPr>
              <w:pStyle w:val="EMEABodyText"/>
              <w:keepNext/>
              <w:jc w:val="center"/>
            </w:pPr>
            <w:r>
              <w:t>NA</w:t>
            </w:r>
          </w:p>
        </w:tc>
        <w:tc>
          <w:tcPr>
            <w:tcW w:w="1323" w:type="dxa"/>
            <w:shd w:val="clear" w:color="auto" w:fill="auto"/>
            <w:vAlign w:val="bottom"/>
          </w:tcPr>
          <w:p w14:paraId="22FDAFE0" w14:textId="77777777" w:rsidR="00D02BC8" w:rsidRPr="004F3582" w:rsidRDefault="00D02BC8" w:rsidP="008B6CCB">
            <w:pPr>
              <w:pStyle w:val="EMEABodyText"/>
              <w:keepNext/>
              <w:jc w:val="center"/>
            </w:pPr>
            <w:r>
              <w:t>NA</w:t>
            </w:r>
          </w:p>
        </w:tc>
      </w:tr>
      <w:tr w:rsidR="00D02BC8" w:rsidRPr="00965E20" w14:paraId="600A1AD9" w14:textId="77777777" w:rsidTr="008B6CCB">
        <w:tc>
          <w:tcPr>
            <w:tcW w:w="9396" w:type="dxa"/>
            <w:gridSpan w:val="8"/>
            <w:tcBorders>
              <w:top w:val="single" w:sz="12" w:space="0" w:color="auto"/>
              <w:bottom w:val="single" w:sz="4" w:space="0" w:color="auto"/>
            </w:tcBorders>
          </w:tcPr>
          <w:p w14:paraId="2DE5B2D3" w14:textId="77777777" w:rsidR="00D02BC8" w:rsidRPr="00D31EBB" w:rsidRDefault="00D02BC8" w:rsidP="008B6CCB">
            <w:pPr>
              <w:pStyle w:val="EMEABodyText"/>
              <w:keepNext/>
            </w:pPr>
            <w:r>
              <w:rPr>
                <w:b/>
              </w:rPr>
              <w:t>CD4 Mean Change from Baseline, cells/mm</w:t>
            </w:r>
            <w:r>
              <w:rPr>
                <w:b/>
                <w:vertAlign w:val="superscript"/>
              </w:rPr>
              <w:t>3</w:t>
            </w:r>
          </w:p>
        </w:tc>
      </w:tr>
      <w:tr w:rsidR="00D02BC8" w:rsidRPr="004F3582" w14:paraId="3B565090" w14:textId="77777777" w:rsidTr="008B6CCB">
        <w:tc>
          <w:tcPr>
            <w:tcW w:w="1458" w:type="dxa"/>
            <w:gridSpan w:val="2"/>
            <w:tcBorders>
              <w:bottom w:val="single" w:sz="12" w:space="0" w:color="auto"/>
            </w:tcBorders>
            <w:shd w:val="clear" w:color="auto" w:fill="auto"/>
          </w:tcPr>
          <w:p w14:paraId="7EB4DAA2" w14:textId="77777777" w:rsidR="00D02BC8" w:rsidRPr="004F3582" w:rsidRDefault="00D02BC8" w:rsidP="008B6CCB">
            <w:pPr>
              <w:pStyle w:val="EMEABodyText"/>
              <w:keepNext/>
            </w:pPr>
            <w:r>
              <w:t>All patients</w:t>
            </w:r>
          </w:p>
        </w:tc>
        <w:tc>
          <w:tcPr>
            <w:tcW w:w="1323" w:type="dxa"/>
            <w:tcBorders>
              <w:bottom w:val="single" w:sz="12" w:space="0" w:color="auto"/>
            </w:tcBorders>
            <w:shd w:val="clear" w:color="auto" w:fill="auto"/>
            <w:vAlign w:val="center"/>
          </w:tcPr>
          <w:p w14:paraId="7B3476F4" w14:textId="77777777" w:rsidR="00D02BC8" w:rsidRPr="004F3582" w:rsidRDefault="00D02BC8" w:rsidP="008B6CCB">
            <w:pPr>
              <w:pStyle w:val="EMEABodyText"/>
              <w:keepNext/>
              <w:jc w:val="center"/>
            </w:pPr>
            <w:r>
              <w:t>110 (n=83)</w:t>
            </w:r>
          </w:p>
        </w:tc>
        <w:tc>
          <w:tcPr>
            <w:tcW w:w="1323" w:type="dxa"/>
            <w:tcBorders>
              <w:bottom w:val="single" w:sz="12" w:space="0" w:color="auto"/>
            </w:tcBorders>
            <w:shd w:val="clear" w:color="auto" w:fill="auto"/>
            <w:vAlign w:val="center"/>
          </w:tcPr>
          <w:p w14:paraId="26C46375" w14:textId="77777777" w:rsidR="00D02BC8" w:rsidRPr="004F3582" w:rsidRDefault="00D02BC8" w:rsidP="008B6CCB">
            <w:pPr>
              <w:pStyle w:val="EMEABodyText"/>
              <w:keepNext/>
              <w:jc w:val="center"/>
            </w:pPr>
            <w:r>
              <w:t>122 (n=60)</w:t>
            </w:r>
          </w:p>
        </w:tc>
        <w:tc>
          <w:tcPr>
            <w:tcW w:w="1323" w:type="dxa"/>
            <w:tcBorders>
              <w:bottom w:val="single" w:sz="12" w:space="0" w:color="auto"/>
            </w:tcBorders>
            <w:shd w:val="clear" w:color="auto" w:fill="auto"/>
            <w:vAlign w:val="center"/>
          </w:tcPr>
          <w:p w14:paraId="572839DF" w14:textId="77777777" w:rsidR="00D02BC8" w:rsidRPr="004F3582" w:rsidRDefault="00D02BC8" w:rsidP="008B6CCB">
            <w:pPr>
              <w:pStyle w:val="EMEABodyText"/>
              <w:keepNext/>
              <w:jc w:val="center"/>
            </w:pPr>
            <w:r>
              <w:t>121 (n=94)</w:t>
            </w:r>
          </w:p>
        </w:tc>
        <w:tc>
          <w:tcPr>
            <w:tcW w:w="1323" w:type="dxa"/>
            <w:tcBorders>
              <w:bottom w:val="single" w:sz="12" w:space="0" w:color="auto"/>
            </w:tcBorders>
            <w:shd w:val="clear" w:color="auto" w:fill="auto"/>
            <w:vAlign w:val="center"/>
          </w:tcPr>
          <w:p w14:paraId="3D410CF5" w14:textId="77777777" w:rsidR="00D02BC8" w:rsidRPr="004F3582" w:rsidRDefault="00D02BC8" w:rsidP="008B6CCB">
            <w:pPr>
              <w:pStyle w:val="EMEABodyText"/>
              <w:keepNext/>
              <w:jc w:val="center"/>
            </w:pPr>
            <w:r>
              <w:t>154 (n=60)</w:t>
            </w:r>
          </w:p>
        </w:tc>
        <w:tc>
          <w:tcPr>
            <w:tcW w:w="1323" w:type="dxa"/>
            <w:tcBorders>
              <w:bottom w:val="single" w:sz="12" w:space="0" w:color="auto"/>
            </w:tcBorders>
            <w:shd w:val="clear" w:color="auto" w:fill="auto"/>
            <w:vAlign w:val="center"/>
          </w:tcPr>
          <w:p w14:paraId="039AF0E5" w14:textId="77777777" w:rsidR="00D02BC8" w:rsidRPr="004F3582" w:rsidRDefault="00D02BC8" w:rsidP="008B6CCB">
            <w:pPr>
              <w:pStyle w:val="EMEABodyText"/>
              <w:keepNext/>
              <w:jc w:val="center"/>
            </w:pPr>
            <w:r>
              <w:t>NA</w:t>
            </w:r>
          </w:p>
        </w:tc>
        <w:tc>
          <w:tcPr>
            <w:tcW w:w="1323" w:type="dxa"/>
            <w:tcBorders>
              <w:bottom w:val="single" w:sz="12" w:space="0" w:color="auto"/>
            </w:tcBorders>
            <w:shd w:val="clear" w:color="auto" w:fill="auto"/>
            <w:vAlign w:val="center"/>
          </w:tcPr>
          <w:p w14:paraId="6A182528" w14:textId="77777777" w:rsidR="00D02BC8" w:rsidRPr="004F3582" w:rsidRDefault="00D02BC8" w:rsidP="008B6CCB">
            <w:pPr>
              <w:pStyle w:val="EMEABodyText"/>
              <w:keepNext/>
              <w:jc w:val="center"/>
            </w:pPr>
            <w:r>
              <w:t>NA</w:t>
            </w:r>
          </w:p>
        </w:tc>
      </w:tr>
    </w:tbl>
    <w:p w14:paraId="795D86C4" w14:textId="77777777" w:rsidR="00D02BC8" w:rsidRPr="00D31EBB" w:rsidRDefault="00D02BC8" w:rsidP="008B6CCB">
      <w:pPr>
        <w:pStyle w:val="EMEABodyText"/>
        <w:keepNext/>
        <w:rPr>
          <w:b/>
          <w:sz w:val="18"/>
          <w:szCs w:val="18"/>
          <w:vertAlign w:val="superscript"/>
        </w:rPr>
      </w:pPr>
      <w:r>
        <w:rPr>
          <w:sz w:val="18"/>
          <w:szCs w:val="18"/>
          <w:vertAlign w:val="superscript"/>
        </w:rPr>
        <w:t>a</w:t>
      </w:r>
      <w:r>
        <w:rPr>
          <w:sz w:val="18"/>
          <w:szCs w:val="18"/>
        </w:rPr>
        <w:t xml:space="preserve"> The mean baseline CD4 cell count was 337 cells/mm</w:t>
      </w:r>
      <w:r>
        <w:rPr>
          <w:sz w:val="18"/>
          <w:szCs w:val="18"/>
          <w:vertAlign w:val="superscript"/>
        </w:rPr>
        <w:t>3</w:t>
      </w:r>
      <w:r>
        <w:rPr>
          <w:sz w:val="18"/>
          <w:szCs w:val="18"/>
        </w:rPr>
        <w:t xml:space="preserve"> (range: 14 to 1,543 cells/mm</w:t>
      </w:r>
      <w:r>
        <w:rPr>
          <w:sz w:val="18"/>
          <w:szCs w:val="18"/>
          <w:vertAlign w:val="superscript"/>
        </w:rPr>
        <w:t>3</w:t>
      </w:r>
      <w:r>
        <w:rPr>
          <w:sz w:val="18"/>
          <w:szCs w:val="18"/>
        </w:rPr>
        <w:t>) and the mean baseline plasma HIV-1 RNA level was 4.4 log</w:t>
      </w:r>
      <w:r>
        <w:rPr>
          <w:sz w:val="18"/>
          <w:szCs w:val="18"/>
          <w:vertAlign w:val="subscript"/>
        </w:rPr>
        <w:t>10</w:t>
      </w:r>
      <w:r>
        <w:rPr>
          <w:sz w:val="18"/>
          <w:szCs w:val="18"/>
        </w:rPr>
        <w:t> copies/ml (range: 2.6 to 5.88 log</w:t>
      </w:r>
      <w:r>
        <w:rPr>
          <w:sz w:val="18"/>
          <w:szCs w:val="18"/>
          <w:vertAlign w:val="subscript"/>
        </w:rPr>
        <w:t>10</w:t>
      </w:r>
      <w:r>
        <w:rPr>
          <w:sz w:val="18"/>
          <w:szCs w:val="18"/>
        </w:rPr>
        <w:t> copies/ml).</w:t>
      </w:r>
    </w:p>
    <w:p w14:paraId="140800F8" w14:textId="77777777" w:rsidR="00D02BC8" w:rsidRPr="00D31EBB" w:rsidRDefault="00D02BC8" w:rsidP="008B6CCB">
      <w:pPr>
        <w:pStyle w:val="EMEABodyText"/>
        <w:keepNext/>
        <w:rPr>
          <w:sz w:val="18"/>
          <w:szCs w:val="18"/>
        </w:rPr>
      </w:pPr>
      <w:r>
        <w:rPr>
          <w:sz w:val="18"/>
          <w:szCs w:val="18"/>
          <w:vertAlign w:val="superscript"/>
        </w:rPr>
        <w:t>b</w:t>
      </w:r>
      <w:r>
        <w:rPr>
          <w:sz w:val="18"/>
          <w:szCs w:val="18"/>
        </w:rPr>
        <w:t xml:space="preserve"> ATV/RTV with tenofovir disoproxil fumarate/emtricitabine (fixed dose 300 mg/200 mg tablets once daily).</w:t>
      </w:r>
    </w:p>
    <w:p w14:paraId="1219F600" w14:textId="77777777" w:rsidR="00D02BC8" w:rsidRPr="00D31EBB" w:rsidRDefault="00D02BC8" w:rsidP="008B6CCB">
      <w:pPr>
        <w:pStyle w:val="EMEABodyText"/>
        <w:keepNext/>
        <w:rPr>
          <w:sz w:val="18"/>
          <w:szCs w:val="18"/>
        </w:rPr>
      </w:pPr>
      <w:r>
        <w:rPr>
          <w:sz w:val="18"/>
          <w:szCs w:val="18"/>
          <w:vertAlign w:val="superscript"/>
        </w:rPr>
        <w:t>c</w:t>
      </w:r>
      <w:r>
        <w:rPr>
          <w:sz w:val="18"/>
          <w:szCs w:val="18"/>
        </w:rPr>
        <w:t xml:space="preserve"> LPV/RTV with tenofovir disoproxil fumarate/emtricitabine (fixed dose 300 mg/200 mg tablets once daily).</w:t>
      </w:r>
    </w:p>
    <w:p w14:paraId="08FF118E" w14:textId="77777777" w:rsidR="00D02BC8" w:rsidRPr="00D31EBB" w:rsidRDefault="00D02BC8" w:rsidP="008B6CCB">
      <w:pPr>
        <w:pStyle w:val="EMEABodyText"/>
        <w:keepNext/>
        <w:rPr>
          <w:sz w:val="18"/>
          <w:szCs w:val="18"/>
        </w:rPr>
      </w:pPr>
      <w:r>
        <w:rPr>
          <w:sz w:val="18"/>
          <w:szCs w:val="18"/>
          <w:vertAlign w:val="superscript"/>
        </w:rPr>
        <w:t>d</w:t>
      </w:r>
      <w:r>
        <w:rPr>
          <w:sz w:val="18"/>
          <w:szCs w:val="18"/>
        </w:rPr>
        <w:t xml:space="preserve"> Confidence interval.</w:t>
      </w:r>
    </w:p>
    <w:p w14:paraId="3C5126DD" w14:textId="77777777" w:rsidR="00D02BC8" w:rsidRPr="00D31EBB" w:rsidRDefault="00D02BC8" w:rsidP="008B6CCB">
      <w:pPr>
        <w:pStyle w:val="EMEABodyText"/>
        <w:keepNext/>
        <w:rPr>
          <w:sz w:val="18"/>
          <w:szCs w:val="18"/>
        </w:rPr>
      </w:pPr>
      <w:r>
        <w:rPr>
          <w:sz w:val="18"/>
          <w:szCs w:val="18"/>
          <w:vertAlign w:val="superscript"/>
        </w:rPr>
        <w:t>e</w:t>
      </w:r>
      <w:r>
        <w:rPr>
          <w:sz w:val="18"/>
          <w:szCs w:val="18"/>
        </w:rPr>
        <w:t xml:space="preserve"> Number of patients evaluable.</w:t>
      </w:r>
    </w:p>
    <w:p w14:paraId="104CC18F" w14:textId="77777777" w:rsidR="00D02BC8" w:rsidRPr="00D31EBB" w:rsidRDefault="00D02BC8" w:rsidP="008B6CCB">
      <w:pPr>
        <w:pStyle w:val="EMEABodyText"/>
        <w:keepNext/>
        <w:rPr>
          <w:sz w:val="18"/>
          <w:szCs w:val="18"/>
        </w:rPr>
      </w:pPr>
      <w:r>
        <w:rPr>
          <w:sz w:val="18"/>
          <w:szCs w:val="18"/>
          <w:vertAlign w:val="superscript"/>
        </w:rPr>
        <w:t>f</w:t>
      </w:r>
      <w:r>
        <w:rPr>
          <w:sz w:val="18"/>
          <w:szCs w:val="18"/>
        </w:rPr>
        <w:t xml:space="preserve"> Intent-to-treat analysis, with missing values considered as failures. Responders on LPV/RTV who completed treatment before Week 96 are excluded from Week 96 analysis. The proportion of patients with HIV RNA &lt; 400 copies/ml were 53% and 43% for ATV/RTV and 54% and 46% for LPV/RTV at weeks 48 and 96 respectively.</w:t>
      </w:r>
    </w:p>
    <w:p w14:paraId="6BAA332F" w14:textId="77777777" w:rsidR="00D02BC8" w:rsidRPr="00D31EBB" w:rsidRDefault="00D02BC8" w:rsidP="008B6CCB">
      <w:pPr>
        <w:pStyle w:val="EMEABodyText"/>
        <w:keepNext/>
        <w:rPr>
          <w:sz w:val="18"/>
          <w:szCs w:val="18"/>
        </w:rPr>
      </w:pPr>
      <w:r>
        <w:rPr>
          <w:sz w:val="18"/>
          <w:szCs w:val="18"/>
          <w:vertAlign w:val="superscript"/>
        </w:rPr>
        <w:t>g</w:t>
      </w:r>
      <w:r>
        <w:rPr>
          <w:sz w:val="18"/>
          <w:szCs w:val="18"/>
        </w:rPr>
        <w:t xml:space="preserve"> Select substitutions include any change at positions L10, K20, L24, V32, L33, M36, M46, G48, I50, I54, L63, A71, G73, V82, I84, and L90 (0-2, 3, 4 or more) at baseline.</w:t>
      </w:r>
    </w:p>
    <w:p w14:paraId="7B7A80AA" w14:textId="77777777" w:rsidR="00D02BC8" w:rsidRPr="00D31EBB" w:rsidRDefault="00D02BC8" w:rsidP="008B6CCB">
      <w:pPr>
        <w:pStyle w:val="EMEABodyText"/>
        <w:rPr>
          <w:sz w:val="18"/>
          <w:szCs w:val="18"/>
        </w:rPr>
      </w:pPr>
      <w:r>
        <w:rPr>
          <w:sz w:val="18"/>
          <w:szCs w:val="18"/>
        </w:rPr>
        <w:t>NA = not applicable.</w:t>
      </w:r>
    </w:p>
    <w:p w14:paraId="25A6FDDC" w14:textId="77777777" w:rsidR="00D02BC8" w:rsidRPr="00D31EBB" w:rsidRDefault="00D02BC8" w:rsidP="008B6CCB">
      <w:pPr>
        <w:pStyle w:val="EMEABodyText"/>
        <w:rPr>
          <w:lang w:val="en-US"/>
        </w:rPr>
      </w:pPr>
    </w:p>
    <w:p w14:paraId="12659D64" w14:textId="77777777" w:rsidR="00D02BC8" w:rsidRPr="00D31EBB" w:rsidRDefault="00D02BC8" w:rsidP="008B6CCB">
      <w:pPr>
        <w:pStyle w:val="EMEABodyText"/>
      </w:pPr>
      <w:r>
        <w:t>Through 48 weeks of treatment, the mean changes from baseline in HIV RNA levels for REYATAZ + ritonavir and lopinavir + ritonavir were similar (non-inferior). Consistent results were obtained with the last observation carried forward method of analysis (time-averaged difference of 0.11, 97.5% confidence interval [-0.15, 0.36]). By as-treated analysis, excluding missing values, the proportions of patients with HIV RNA &lt; 400 copies/ml (&lt; 50 copies/ml) in the REYATAZ + ritonavir arm and the lopinavir + ritonavir arm were 55% (40%) and 56% (46%), respectively.</w:t>
      </w:r>
    </w:p>
    <w:p w14:paraId="5F53CF35" w14:textId="77777777" w:rsidR="00D02BC8" w:rsidRPr="00D31EBB" w:rsidRDefault="00D02BC8" w:rsidP="008B6CCB">
      <w:pPr>
        <w:pStyle w:val="EMEABodyText"/>
        <w:rPr>
          <w:lang w:val="en-US"/>
        </w:rPr>
      </w:pPr>
    </w:p>
    <w:p w14:paraId="2D4101D7" w14:textId="77777777" w:rsidR="00D02BC8" w:rsidRPr="00D31EBB" w:rsidRDefault="00D02BC8" w:rsidP="008B6CCB">
      <w:pPr>
        <w:pStyle w:val="EMEABodyText"/>
        <w:rPr>
          <w:bCs/>
          <w:iCs/>
        </w:rPr>
      </w:pPr>
      <w:r>
        <w:t>Through 96 weeks of treatment, mean HIV RNA changes from baseline for REYATAZ + ritonavir and lopinavir + ritonavir met criteria for non-inferiority based on observed cases. Consistent results were obtained with the last observation carried forward method of analysis. By as-treated analysis, excluding missing values, the proportions of patients with HIV RNA &lt;400 copies/ml (&lt;50 copies/ml) for REYATAZ + ritonavir were 84% (72%) and for lopinavir + ritonavir were 82% (72%). It is important to note that at time of the 96-week analysis, 48 % of patients overall remained on study.</w:t>
      </w:r>
    </w:p>
    <w:p w14:paraId="31F069ED" w14:textId="77777777" w:rsidR="00D02BC8" w:rsidRPr="00D31EBB" w:rsidRDefault="00D02BC8" w:rsidP="008B6CCB">
      <w:pPr>
        <w:pStyle w:val="EMEABodyText"/>
        <w:rPr>
          <w:lang w:val="en-US"/>
        </w:rPr>
      </w:pPr>
    </w:p>
    <w:p w14:paraId="6F1C7440" w14:textId="77777777" w:rsidR="00D02BC8" w:rsidRPr="00D31EBB" w:rsidRDefault="00D02BC8" w:rsidP="008B6CCB">
      <w:pPr>
        <w:pStyle w:val="EMEABodyText"/>
      </w:pPr>
      <w:r>
        <w:t>REYATAZ + saquinavir was shown to be inferior to lopinavir + ritonavir.</w:t>
      </w:r>
    </w:p>
    <w:p w14:paraId="31A49C35" w14:textId="77777777" w:rsidR="00D02BC8" w:rsidRPr="00D31EBB" w:rsidRDefault="00D02BC8" w:rsidP="008B6CCB">
      <w:pPr>
        <w:pStyle w:val="EMEABodyText"/>
        <w:rPr>
          <w:lang w:val="en-US"/>
        </w:rPr>
      </w:pPr>
    </w:p>
    <w:p w14:paraId="130978E5" w14:textId="77777777" w:rsidR="00D02BC8" w:rsidRPr="00D31EBB" w:rsidRDefault="00D02BC8" w:rsidP="008B6CCB">
      <w:pPr>
        <w:pStyle w:val="EMEABodyText"/>
        <w:rPr>
          <w:i/>
        </w:rPr>
      </w:pPr>
      <w:r>
        <w:rPr>
          <w:i/>
        </w:rPr>
        <w:t>Paediatric population</w:t>
      </w:r>
    </w:p>
    <w:p w14:paraId="6D6FA249" w14:textId="77777777" w:rsidR="00D02BC8" w:rsidRPr="00D31EBB" w:rsidRDefault="00D02BC8" w:rsidP="008B6CCB">
      <w:pPr>
        <w:pStyle w:val="EMEABodyText"/>
      </w:pPr>
      <w:r>
        <w:t>Assessment of the pharmacokinetics, safety, tolerability, and efficacy of REYATAZ is based on data from the open-label, multicenter clinical trial AI424-020 conducted in patients from 3 months to 21 years of age. Overall in this study, 182 paediatric patients (81 antiretroviral-naive and 101 antiretroviral-experienced) received once daily REYATAZ (capsule or powder formulation), with or without ritonavir, in combination with two NRTIs.</w:t>
      </w:r>
    </w:p>
    <w:p w14:paraId="6EB1B417" w14:textId="77777777" w:rsidR="00D02BC8" w:rsidRPr="00D31EBB" w:rsidRDefault="00D02BC8" w:rsidP="008B6CCB">
      <w:pPr>
        <w:pStyle w:val="EMEABodyText"/>
        <w:rPr>
          <w:lang w:val="en-US"/>
        </w:rPr>
      </w:pPr>
    </w:p>
    <w:p w14:paraId="3256D403" w14:textId="77777777" w:rsidR="00D02BC8" w:rsidRPr="00D31EBB" w:rsidRDefault="00D02BC8" w:rsidP="008B6CCB">
      <w:pPr>
        <w:pStyle w:val="EMEABodyText"/>
      </w:pPr>
      <w:r>
        <w:t>The clinical data derived from this study are inadequate to support the use of atazanavir (with or without ritonavir) in children below 6 years of age.</w:t>
      </w:r>
    </w:p>
    <w:p w14:paraId="48104218" w14:textId="77777777" w:rsidR="00D02BC8" w:rsidRPr="00D31EBB" w:rsidRDefault="00D02BC8" w:rsidP="008B6CCB">
      <w:pPr>
        <w:pStyle w:val="EMEABodyText"/>
        <w:rPr>
          <w:lang w:val="en-US"/>
        </w:rPr>
      </w:pPr>
    </w:p>
    <w:p w14:paraId="32C465BE" w14:textId="77777777" w:rsidR="00D02BC8" w:rsidRPr="00D31EBB" w:rsidRDefault="00D02BC8" w:rsidP="008B6CCB">
      <w:pPr>
        <w:pStyle w:val="EMEABodyText"/>
      </w:pPr>
      <w:r>
        <w:t>Efficacy data observed in the 41 paediatric patients aged 6 years to less than 18 years that received REYATAZ capsules with ritonavir are presented in Table 7. For treatment-naive paediatric patients, the mean baseline CD4 cell count was 344 cells/mm</w:t>
      </w:r>
      <w:r>
        <w:rPr>
          <w:vertAlign w:val="superscript"/>
        </w:rPr>
        <w:t>3</w:t>
      </w:r>
      <w:r>
        <w:t xml:space="preserve"> (range: 2 to 800 cells/ mm</w:t>
      </w:r>
      <w:r>
        <w:rPr>
          <w:vertAlign w:val="superscript"/>
        </w:rPr>
        <w:t>3</w:t>
      </w:r>
      <w:r>
        <w:t>) and mean baseline plasma HIV-1 RNA was 4.67 log</w:t>
      </w:r>
      <w:r>
        <w:rPr>
          <w:vertAlign w:val="subscript"/>
        </w:rPr>
        <w:t>10</w:t>
      </w:r>
      <w:r>
        <w:t xml:space="preserve"> copies/ml (range: 3.70 to 5.00 log</w:t>
      </w:r>
      <w:r>
        <w:rPr>
          <w:vertAlign w:val="subscript"/>
        </w:rPr>
        <w:t>10</w:t>
      </w:r>
      <w:r>
        <w:t xml:space="preserve"> copies/ml). For treatment-experienced paediatric patients, the mean baseline CD4 cell count was 522 cells/mm</w:t>
      </w:r>
      <w:r>
        <w:rPr>
          <w:vertAlign w:val="superscript"/>
        </w:rPr>
        <w:t>3</w:t>
      </w:r>
      <w:r>
        <w:t xml:space="preserve"> (range: 100 to 1157 cells/ mm</w:t>
      </w:r>
      <w:r>
        <w:rPr>
          <w:vertAlign w:val="superscript"/>
        </w:rPr>
        <w:t>3</w:t>
      </w:r>
      <w:r>
        <w:t>) and mean baseline plasma HIV-1 RNA was 4.09 log</w:t>
      </w:r>
      <w:r>
        <w:rPr>
          <w:vertAlign w:val="subscript"/>
        </w:rPr>
        <w:t>10</w:t>
      </w:r>
      <w:r>
        <w:t xml:space="preserve"> copies/ml (range: 3.28 to 5.00 log</w:t>
      </w:r>
      <w:r>
        <w:rPr>
          <w:vertAlign w:val="subscript"/>
        </w:rPr>
        <w:t>10</w:t>
      </w:r>
      <w:r>
        <w:t xml:space="preserve"> copies/ml).</w:t>
      </w:r>
    </w:p>
    <w:p w14:paraId="337FE764" w14:textId="77777777" w:rsidR="00D02BC8" w:rsidRPr="00D31EBB" w:rsidRDefault="00D02BC8" w:rsidP="008B6CCB">
      <w:pPr>
        <w:pStyle w:val="EMEABodyText"/>
        <w:rPr>
          <w:lang w:val="en-US"/>
        </w:rPr>
      </w:pPr>
    </w:p>
    <w:p w14:paraId="4CDCB81A" w14:textId="77777777" w:rsidR="00D02BC8" w:rsidRPr="00D31EBB" w:rsidRDefault="00D02BC8" w:rsidP="008B6CCB">
      <w:pPr>
        <w:pStyle w:val="EMEABodyText"/>
        <w:ind w:left="1134" w:hanging="1134"/>
        <w:rPr>
          <w:b/>
          <w:bCs/>
        </w:rPr>
      </w:pPr>
      <w:r>
        <w:rPr>
          <w:b/>
          <w:bCs/>
        </w:rPr>
        <w:t xml:space="preserve">Table 7: </w:t>
      </w:r>
      <w:r>
        <w:rPr>
          <w:b/>
          <w:bCs/>
        </w:rPr>
        <w:tab/>
        <w:t>Efficacy Outcomes (paediatric patients 6 years to less than 18 years of age) at Week 48 (Study AI424-020)</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3"/>
        <w:gridCol w:w="2313"/>
        <w:gridCol w:w="2367"/>
      </w:tblGrid>
      <w:tr w:rsidR="00D02BC8" w:rsidRPr="00965E20" w14:paraId="53208428" w14:textId="77777777" w:rsidTr="008B6CCB">
        <w:tc>
          <w:tcPr>
            <w:tcW w:w="3843" w:type="dxa"/>
            <w:tcBorders>
              <w:top w:val="single" w:sz="4" w:space="0" w:color="auto"/>
            </w:tcBorders>
            <w:vAlign w:val="center"/>
          </w:tcPr>
          <w:p w14:paraId="4A8F8FF1" w14:textId="77777777" w:rsidR="00D02BC8" w:rsidRPr="004F3582" w:rsidRDefault="00D02BC8" w:rsidP="008B6CCB">
            <w:pPr>
              <w:pStyle w:val="EMEABodyText"/>
              <w:rPr>
                <w:szCs w:val="22"/>
              </w:rPr>
            </w:pPr>
            <w:r>
              <w:rPr>
                <w:b/>
                <w:szCs w:val="22"/>
              </w:rPr>
              <w:t>Parameter</w:t>
            </w:r>
          </w:p>
        </w:tc>
        <w:tc>
          <w:tcPr>
            <w:tcW w:w="2313" w:type="dxa"/>
            <w:tcBorders>
              <w:top w:val="single" w:sz="4" w:space="0" w:color="auto"/>
            </w:tcBorders>
            <w:vAlign w:val="bottom"/>
          </w:tcPr>
          <w:p w14:paraId="0091E9DF" w14:textId="77777777" w:rsidR="00D02BC8" w:rsidRPr="00D31EBB" w:rsidRDefault="00D02BC8" w:rsidP="001B2B5C">
            <w:pPr>
              <w:pStyle w:val="EMEABodyText"/>
              <w:jc w:val="center"/>
              <w:rPr>
                <w:szCs w:val="22"/>
              </w:rPr>
            </w:pPr>
            <w:r>
              <w:rPr>
                <w:b/>
                <w:szCs w:val="22"/>
              </w:rPr>
              <w:t>Treatment-Naive</w:t>
            </w:r>
            <w:r>
              <w:rPr>
                <w:b/>
                <w:szCs w:val="22"/>
              </w:rPr>
              <w:br/>
              <w:t>REYATAZ Capsules/ritonavir (300 mg/100 mg once daily) n=16</w:t>
            </w:r>
          </w:p>
        </w:tc>
        <w:tc>
          <w:tcPr>
            <w:tcW w:w="2367" w:type="dxa"/>
            <w:tcBorders>
              <w:top w:val="single" w:sz="4" w:space="0" w:color="auto"/>
            </w:tcBorders>
            <w:vAlign w:val="bottom"/>
          </w:tcPr>
          <w:p w14:paraId="78C5B0E7" w14:textId="77777777" w:rsidR="00D02BC8" w:rsidRPr="00D31EBB" w:rsidRDefault="00D02BC8" w:rsidP="008B6CCB">
            <w:pPr>
              <w:pStyle w:val="EMEABodyText"/>
              <w:jc w:val="center"/>
              <w:rPr>
                <w:szCs w:val="22"/>
              </w:rPr>
            </w:pPr>
            <w:r>
              <w:rPr>
                <w:b/>
                <w:szCs w:val="22"/>
              </w:rPr>
              <w:t>Treatment-Experienced REYATAZ Capsules/ritonavir (300 mg/100 mg once daily) n=25</w:t>
            </w:r>
          </w:p>
        </w:tc>
      </w:tr>
      <w:tr w:rsidR="00D02BC8" w:rsidRPr="00324E2C" w14:paraId="7E97AED6" w14:textId="77777777" w:rsidTr="008B6CCB">
        <w:tc>
          <w:tcPr>
            <w:tcW w:w="8523" w:type="dxa"/>
            <w:gridSpan w:val="3"/>
            <w:tcBorders>
              <w:top w:val="single" w:sz="12" w:space="0" w:color="auto"/>
            </w:tcBorders>
          </w:tcPr>
          <w:p w14:paraId="217AC9AD" w14:textId="77777777" w:rsidR="00D02BC8" w:rsidRPr="005C4B2B" w:rsidRDefault="00D02BC8" w:rsidP="00844D32">
            <w:pPr>
              <w:pStyle w:val="EMEABodyText"/>
            </w:pPr>
            <w:r>
              <w:rPr>
                <w:b/>
                <w:szCs w:val="22"/>
              </w:rPr>
              <w:t xml:space="preserve">HIV RNA &lt;50 copies/ml, % </w:t>
            </w:r>
            <w:r>
              <w:rPr>
                <w:b/>
                <w:szCs w:val="22"/>
                <w:vertAlign w:val="superscript"/>
              </w:rPr>
              <w:t>a</w:t>
            </w:r>
          </w:p>
        </w:tc>
      </w:tr>
      <w:tr w:rsidR="00D02BC8" w:rsidRPr="004F3582" w14:paraId="5197EE36" w14:textId="77777777" w:rsidTr="008B6CCB">
        <w:tc>
          <w:tcPr>
            <w:tcW w:w="3843" w:type="dxa"/>
            <w:shd w:val="clear" w:color="auto" w:fill="auto"/>
          </w:tcPr>
          <w:p w14:paraId="1C1B4267" w14:textId="77777777" w:rsidR="00D02BC8" w:rsidRPr="004F3582" w:rsidRDefault="00D02BC8" w:rsidP="008B6CCB">
            <w:pPr>
              <w:autoSpaceDE w:val="0"/>
              <w:autoSpaceDN w:val="0"/>
              <w:adjustRightInd w:val="0"/>
              <w:rPr>
                <w:rFonts w:ascii="TimesNewRoman" w:hAnsi="TimesNewRoman" w:cs="TimesNewRoman"/>
                <w:szCs w:val="22"/>
              </w:rPr>
            </w:pPr>
            <w:r>
              <w:t>All patients</w:t>
            </w:r>
          </w:p>
        </w:tc>
        <w:tc>
          <w:tcPr>
            <w:tcW w:w="2313" w:type="dxa"/>
          </w:tcPr>
          <w:p w14:paraId="5CCF2A3B" w14:textId="77777777" w:rsidR="00D02BC8" w:rsidRPr="004F3582" w:rsidRDefault="00D02BC8" w:rsidP="008B6CCB">
            <w:pPr>
              <w:jc w:val="center"/>
              <w:rPr>
                <w:szCs w:val="22"/>
              </w:rPr>
            </w:pPr>
            <w:r>
              <w:t>81 (13/16)</w:t>
            </w:r>
          </w:p>
        </w:tc>
        <w:tc>
          <w:tcPr>
            <w:tcW w:w="2367" w:type="dxa"/>
          </w:tcPr>
          <w:p w14:paraId="1293F7D9" w14:textId="77777777" w:rsidR="00D02BC8" w:rsidRPr="004F3582" w:rsidRDefault="00D02BC8" w:rsidP="008B6CCB">
            <w:pPr>
              <w:pStyle w:val="EMEABodyText"/>
              <w:jc w:val="center"/>
              <w:rPr>
                <w:szCs w:val="22"/>
              </w:rPr>
            </w:pPr>
            <w:r>
              <w:t>24 (6/25)</w:t>
            </w:r>
          </w:p>
        </w:tc>
      </w:tr>
      <w:tr w:rsidR="00D02BC8" w:rsidRPr="00324E2C" w14:paraId="5D00C856" w14:textId="77777777" w:rsidTr="008B6CCB">
        <w:tc>
          <w:tcPr>
            <w:tcW w:w="8523" w:type="dxa"/>
            <w:gridSpan w:val="3"/>
            <w:tcBorders>
              <w:top w:val="single" w:sz="2" w:space="0" w:color="auto"/>
              <w:left w:val="single" w:sz="2" w:space="0" w:color="auto"/>
              <w:bottom w:val="single" w:sz="2" w:space="0" w:color="auto"/>
            </w:tcBorders>
            <w:shd w:val="clear" w:color="auto" w:fill="auto"/>
          </w:tcPr>
          <w:p w14:paraId="4C9A782A" w14:textId="77777777" w:rsidR="00D02BC8" w:rsidRPr="005C4B2B" w:rsidRDefault="00D02BC8" w:rsidP="00844D32">
            <w:pPr>
              <w:pStyle w:val="EMEABodyText"/>
            </w:pPr>
            <w:r>
              <w:rPr>
                <w:b/>
                <w:szCs w:val="22"/>
              </w:rPr>
              <w:t xml:space="preserve">HIV RNA &lt;400 copies/ml, % </w:t>
            </w:r>
            <w:r>
              <w:rPr>
                <w:b/>
                <w:szCs w:val="22"/>
                <w:vertAlign w:val="superscript"/>
              </w:rPr>
              <w:t>a</w:t>
            </w:r>
          </w:p>
        </w:tc>
      </w:tr>
      <w:tr w:rsidR="00D02BC8" w:rsidRPr="004F3582" w14:paraId="43E20776" w14:textId="77777777" w:rsidTr="008B6CCB">
        <w:tc>
          <w:tcPr>
            <w:tcW w:w="3843" w:type="dxa"/>
            <w:tcBorders>
              <w:top w:val="single" w:sz="2" w:space="0" w:color="auto"/>
              <w:left w:val="single" w:sz="2" w:space="0" w:color="auto"/>
              <w:bottom w:val="single" w:sz="2" w:space="0" w:color="auto"/>
            </w:tcBorders>
            <w:shd w:val="clear" w:color="auto" w:fill="auto"/>
          </w:tcPr>
          <w:p w14:paraId="0212665C" w14:textId="77777777" w:rsidR="00D02BC8" w:rsidRPr="004F3582" w:rsidRDefault="00D02BC8" w:rsidP="008B6CCB">
            <w:pPr>
              <w:pStyle w:val="EMEABodyText"/>
              <w:rPr>
                <w:szCs w:val="22"/>
              </w:rPr>
            </w:pPr>
            <w:r>
              <w:t>All patients</w:t>
            </w:r>
          </w:p>
        </w:tc>
        <w:tc>
          <w:tcPr>
            <w:tcW w:w="2313" w:type="dxa"/>
            <w:tcBorders>
              <w:bottom w:val="single" w:sz="4" w:space="0" w:color="auto"/>
            </w:tcBorders>
          </w:tcPr>
          <w:p w14:paraId="16ED861B" w14:textId="77777777" w:rsidR="00D02BC8" w:rsidRPr="004F3582" w:rsidRDefault="00D02BC8" w:rsidP="008B6CCB">
            <w:pPr>
              <w:pStyle w:val="EMEABodyText"/>
              <w:jc w:val="center"/>
              <w:rPr>
                <w:szCs w:val="22"/>
              </w:rPr>
            </w:pPr>
            <w:r>
              <w:t>88 (14/16)</w:t>
            </w:r>
          </w:p>
        </w:tc>
        <w:tc>
          <w:tcPr>
            <w:tcW w:w="2367" w:type="dxa"/>
            <w:tcBorders>
              <w:bottom w:val="single" w:sz="4" w:space="0" w:color="auto"/>
            </w:tcBorders>
          </w:tcPr>
          <w:p w14:paraId="313E7382" w14:textId="77777777" w:rsidR="00D02BC8" w:rsidRPr="004F3582" w:rsidRDefault="00D02BC8" w:rsidP="008B6CCB">
            <w:pPr>
              <w:pStyle w:val="EMEABodyText"/>
              <w:jc w:val="center"/>
              <w:rPr>
                <w:szCs w:val="22"/>
              </w:rPr>
            </w:pPr>
            <w:r>
              <w:t>32 (8/25)</w:t>
            </w:r>
          </w:p>
        </w:tc>
      </w:tr>
      <w:tr w:rsidR="00D02BC8" w:rsidRPr="00965E20" w14:paraId="6120634A" w14:textId="77777777" w:rsidTr="008B6CCB">
        <w:tc>
          <w:tcPr>
            <w:tcW w:w="8523" w:type="dxa"/>
            <w:gridSpan w:val="3"/>
            <w:tcBorders>
              <w:top w:val="single" w:sz="12" w:space="0" w:color="auto"/>
            </w:tcBorders>
          </w:tcPr>
          <w:p w14:paraId="51450D69" w14:textId="77777777" w:rsidR="00D02BC8" w:rsidRPr="00D31EBB" w:rsidRDefault="00D02BC8" w:rsidP="008B6CCB">
            <w:pPr>
              <w:pStyle w:val="EMEABodyText"/>
              <w:rPr>
                <w:szCs w:val="22"/>
              </w:rPr>
            </w:pPr>
            <w:r>
              <w:rPr>
                <w:b/>
                <w:szCs w:val="22"/>
              </w:rPr>
              <w:t>CD4 Mean Change from Baseline, cells/mm</w:t>
            </w:r>
            <w:r>
              <w:rPr>
                <w:b/>
                <w:szCs w:val="22"/>
                <w:vertAlign w:val="superscript"/>
              </w:rPr>
              <w:t>3</w:t>
            </w:r>
          </w:p>
        </w:tc>
      </w:tr>
      <w:tr w:rsidR="00D02BC8" w:rsidRPr="004F3582" w14:paraId="6D402B6D" w14:textId="77777777" w:rsidTr="008B6CCB">
        <w:tc>
          <w:tcPr>
            <w:tcW w:w="3843" w:type="dxa"/>
            <w:shd w:val="clear" w:color="auto" w:fill="auto"/>
          </w:tcPr>
          <w:p w14:paraId="328DE82C" w14:textId="77777777" w:rsidR="00D02BC8" w:rsidRPr="004F3582" w:rsidRDefault="00D02BC8" w:rsidP="008B6CCB">
            <w:pPr>
              <w:autoSpaceDE w:val="0"/>
              <w:autoSpaceDN w:val="0"/>
              <w:adjustRightInd w:val="0"/>
              <w:rPr>
                <w:rFonts w:ascii="TimesNewRoman" w:hAnsi="TimesNewRoman" w:cs="TimesNewRoman"/>
                <w:szCs w:val="22"/>
              </w:rPr>
            </w:pPr>
            <w:r>
              <w:t>All patients</w:t>
            </w:r>
          </w:p>
        </w:tc>
        <w:tc>
          <w:tcPr>
            <w:tcW w:w="2313" w:type="dxa"/>
          </w:tcPr>
          <w:p w14:paraId="0910B51B" w14:textId="77777777" w:rsidR="00D02BC8" w:rsidRPr="004F3582" w:rsidRDefault="00D02BC8" w:rsidP="008B6CCB">
            <w:pPr>
              <w:jc w:val="center"/>
              <w:rPr>
                <w:szCs w:val="22"/>
              </w:rPr>
            </w:pPr>
            <w:r>
              <w:t>293 (n=14</w:t>
            </w:r>
            <w:r>
              <w:rPr>
                <w:szCs w:val="22"/>
                <w:vertAlign w:val="superscript"/>
              </w:rPr>
              <w:t>b</w:t>
            </w:r>
            <w:r>
              <w:t>)</w:t>
            </w:r>
          </w:p>
        </w:tc>
        <w:tc>
          <w:tcPr>
            <w:tcW w:w="2367" w:type="dxa"/>
          </w:tcPr>
          <w:p w14:paraId="61008D78" w14:textId="77777777" w:rsidR="00D02BC8" w:rsidRPr="004F3582" w:rsidRDefault="00D02BC8" w:rsidP="008B6CCB">
            <w:pPr>
              <w:pStyle w:val="EMEABodyText"/>
              <w:jc w:val="center"/>
              <w:rPr>
                <w:szCs w:val="22"/>
              </w:rPr>
            </w:pPr>
            <w:r>
              <w:t>229 (n=14</w:t>
            </w:r>
            <w:r>
              <w:rPr>
                <w:szCs w:val="22"/>
                <w:vertAlign w:val="superscript"/>
              </w:rPr>
              <w:t>b</w:t>
            </w:r>
            <w:r>
              <w:t>)</w:t>
            </w:r>
          </w:p>
        </w:tc>
      </w:tr>
      <w:tr w:rsidR="00D02BC8" w:rsidRPr="00965E20" w14:paraId="0C0AE8CB" w14:textId="77777777" w:rsidTr="008B6CCB">
        <w:tc>
          <w:tcPr>
            <w:tcW w:w="8523" w:type="dxa"/>
            <w:gridSpan w:val="3"/>
            <w:shd w:val="clear" w:color="auto" w:fill="auto"/>
          </w:tcPr>
          <w:p w14:paraId="51CEF7F2" w14:textId="77777777" w:rsidR="00D02BC8" w:rsidRPr="00D31EBB" w:rsidRDefault="00D02BC8" w:rsidP="00656E99">
            <w:pPr>
              <w:pStyle w:val="EMEABodyText"/>
              <w:rPr>
                <w:szCs w:val="22"/>
              </w:rPr>
            </w:pPr>
            <w:r>
              <w:rPr>
                <w:b/>
              </w:rPr>
              <w:t>HIV RNA &lt;50 copies/ml by select baseline PI substitutions,</w:t>
            </w:r>
            <w:r>
              <w:rPr>
                <w:b/>
                <w:vertAlign w:val="superscript"/>
              </w:rPr>
              <w:t xml:space="preserve">c </w:t>
            </w:r>
            <w:r>
              <w:rPr>
                <w:b/>
              </w:rPr>
              <w:t>% (responder/evaluable</w:t>
            </w:r>
            <w:r>
              <w:rPr>
                <w:b/>
                <w:szCs w:val="22"/>
                <w:vertAlign w:val="superscript"/>
              </w:rPr>
              <w:t>d</w:t>
            </w:r>
            <w:r>
              <w:rPr>
                <w:b/>
              </w:rPr>
              <w:t>)</w:t>
            </w:r>
          </w:p>
        </w:tc>
      </w:tr>
      <w:tr w:rsidR="00D02BC8" w:rsidRPr="004F3582" w14:paraId="6D78F460" w14:textId="77777777" w:rsidTr="008B6CCB">
        <w:tc>
          <w:tcPr>
            <w:tcW w:w="3843" w:type="dxa"/>
            <w:shd w:val="clear" w:color="auto" w:fill="auto"/>
          </w:tcPr>
          <w:p w14:paraId="19915A1D" w14:textId="77777777" w:rsidR="00D02BC8" w:rsidRPr="004F3582" w:rsidRDefault="00D02BC8" w:rsidP="008B6CCB">
            <w:pPr>
              <w:autoSpaceDE w:val="0"/>
              <w:autoSpaceDN w:val="0"/>
              <w:adjustRightInd w:val="0"/>
              <w:rPr>
                <w:szCs w:val="22"/>
              </w:rPr>
            </w:pPr>
            <w:r>
              <w:t>0-2</w:t>
            </w:r>
          </w:p>
        </w:tc>
        <w:tc>
          <w:tcPr>
            <w:tcW w:w="2313" w:type="dxa"/>
          </w:tcPr>
          <w:p w14:paraId="783ABE02" w14:textId="77777777" w:rsidR="00D02BC8" w:rsidRPr="004F3582" w:rsidRDefault="00D02BC8" w:rsidP="008B6CCB">
            <w:pPr>
              <w:jc w:val="center"/>
              <w:rPr>
                <w:szCs w:val="22"/>
              </w:rPr>
            </w:pPr>
            <w:r>
              <w:t>NA</w:t>
            </w:r>
          </w:p>
        </w:tc>
        <w:tc>
          <w:tcPr>
            <w:tcW w:w="2367" w:type="dxa"/>
          </w:tcPr>
          <w:p w14:paraId="00984AC4" w14:textId="77777777" w:rsidR="00D02BC8" w:rsidRPr="004F3582" w:rsidRDefault="00D02BC8" w:rsidP="008B6CCB">
            <w:pPr>
              <w:pStyle w:val="EMEABodyText"/>
              <w:jc w:val="center"/>
              <w:rPr>
                <w:szCs w:val="22"/>
              </w:rPr>
            </w:pPr>
            <w:r>
              <w:t>27 (4/15)</w:t>
            </w:r>
          </w:p>
        </w:tc>
      </w:tr>
      <w:tr w:rsidR="00D02BC8" w:rsidRPr="004F3582" w14:paraId="231E6871" w14:textId="77777777" w:rsidTr="008B6CCB">
        <w:tc>
          <w:tcPr>
            <w:tcW w:w="3843" w:type="dxa"/>
            <w:shd w:val="clear" w:color="auto" w:fill="auto"/>
          </w:tcPr>
          <w:p w14:paraId="54440966" w14:textId="77777777" w:rsidR="00D02BC8" w:rsidRPr="004F3582" w:rsidRDefault="00D02BC8" w:rsidP="008B6CCB">
            <w:pPr>
              <w:autoSpaceDE w:val="0"/>
              <w:autoSpaceDN w:val="0"/>
              <w:adjustRightInd w:val="0"/>
              <w:rPr>
                <w:szCs w:val="22"/>
              </w:rPr>
            </w:pPr>
            <w:r>
              <w:t>3</w:t>
            </w:r>
          </w:p>
        </w:tc>
        <w:tc>
          <w:tcPr>
            <w:tcW w:w="2313" w:type="dxa"/>
          </w:tcPr>
          <w:p w14:paraId="51298377" w14:textId="77777777" w:rsidR="00D02BC8" w:rsidRPr="004F3582" w:rsidRDefault="00D02BC8" w:rsidP="008B6CCB">
            <w:pPr>
              <w:jc w:val="center"/>
              <w:rPr>
                <w:szCs w:val="22"/>
              </w:rPr>
            </w:pPr>
            <w:r>
              <w:t>NA</w:t>
            </w:r>
          </w:p>
        </w:tc>
        <w:tc>
          <w:tcPr>
            <w:tcW w:w="2367" w:type="dxa"/>
          </w:tcPr>
          <w:p w14:paraId="40A55E46" w14:textId="77777777" w:rsidR="00D02BC8" w:rsidRPr="004F3582" w:rsidRDefault="00D02BC8" w:rsidP="008B6CCB">
            <w:pPr>
              <w:pStyle w:val="EMEABodyText"/>
              <w:jc w:val="center"/>
              <w:rPr>
                <w:szCs w:val="22"/>
              </w:rPr>
            </w:pPr>
            <w:r>
              <w:t>-</w:t>
            </w:r>
          </w:p>
        </w:tc>
      </w:tr>
      <w:tr w:rsidR="00D02BC8" w:rsidRPr="004F3582" w14:paraId="2115769A" w14:textId="77777777" w:rsidTr="008B6CCB">
        <w:tc>
          <w:tcPr>
            <w:tcW w:w="3843" w:type="dxa"/>
            <w:shd w:val="clear" w:color="auto" w:fill="auto"/>
          </w:tcPr>
          <w:p w14:paraId="609975B0" w14:textId="77777777" w:rsidR="00D02BC8" w:rsidRPr="004F3582" w:rsidRDefault="00D02BC8" w:rsidP="008B6CCB">
            <w:pPr>
              <w:autoSpaceDE w:val="0"/>
              <w:autoSpaceDN w:val="0"/>
              <w:adjustRightInd w:val="0"/>
              <w:rPr>
                <w:szCs w:val="22"/>
              </w:rPr>
            </w:pPr>
            <w:r>
              <w:t>≥ 4</w:t>
            </w:r>
          </w:p>
        </w:tc>
        <w:tc>
          <w:tcPr>
            <w:tcW w:w="2313" w:type="dxa"/>
          </w:tcPr>
          <w:p w14:paraId="7A44DB71" w14:textId="77777777" w:rsidR="00D02BC8" w:rsidRPr="004F3582" w:rsidRDefault="00D02BC8" w:rsidP="008B6CCB">
            <w:pPr>
              <w:jc w:val="center"/>
              <w:rPr>
                <w:szCs w:val="22"/>
              </w:rPr>
            </w:pPr>
            <w:r>
              <w:t>NA</w:t>
            </w:r>
          </w:p>
        </w:tc>
        <w:tc>
          <w:tcPr>
            <w:tcW w:w="2367" w:type="dxa"/>
          </w:tcPr>
          <w:p w14:paraId="3EA37D94" w14:textId="77777777" w:rsidR="00D02BC8" w:rsidRPr="004F3582" w:rsidRDefault="00D02BC8" w:rsidP="008B6CCB">
            <w:pPr>
              <w:pStyle w:val="EMEABodyText"/>
              <w:jc w:val="center"/>
              <w:rPr>
                <w:szCs w:val="22"/>
              </w:rPr>
            </w:pPr>
            <w:r>
              <w:t>0 (0/3)</w:t>
            </w:r>
          </w:p>
        </w:tc>
      </w:tr>
    </w:tbl>
    <w:p w14:paraId="4F73B1A2" w14:textId="77777777" w:rsidR="00D02BC8" w:rsidRPr="00D31EBB" w:rsidRDefault="00D02BC8" w:rsidP="008B6CCB">
      <w:pPr>
        <w:pStyle w:val="EMEABodyText"/>
        <w:rPr>
          <w:sz w:val="18"/>
        </w:rPr>
      </w:pPr>
      <w:r>
        <w:rPr>
          <w:sz w:val="18"/>
          <w:vertAlign w:val="superscript"/>
        </w:rPr>
        <w:t>a</w:t>
      </w:r>
      <w:r>
        <w:rPr>
          <w:sz w:val="18"/>
        </w:rPr>
        <w:t xml:space="preserve"> Intent-to-treat analysis, with missing values considered as failures.</w:t>
      </w:r>
    </w:p>
    <w:p w14:paraId="24727CD4" w14:textId="77777777" w:rsidR="00D02BC8" w:rsidRPr="00D31EBB" w:rsidRDefault="00D02BC8" w:rsidP="008B6CCB">
      <w:pPr>
        <w:pStyle w:val="EMEABodyText"/>
        <w:rPr>
          <w:sz w:val="18"/>
        </w:rPr>
      </w:pPr>
      <w:r>
        <w:rPr>
          <w:sz w:val="18"/>
          <w:vertAlign w:val="superscript"/>
        </w:rPr>
        <w:t>b</w:t>
      </w:r>
      <w:r>
        <w:rPr>
          <w:sz w:val="18"/>
        </w:rPr>
        <w:t xml:space="preserve"> Number of patients evaluable.</w:t>
      </w:r>
    </w:p>
    <w:p w14:paraId="572B96D9" w14:textId="77777777" w:rsidR="00D02BC8" w:rsidRPr="00D31EBB" w:rsidRDefault="00D02BC8" w:rsidP="008B6CCB">
      <w:pPr>
        <w:pStyle w:val="EMEABodyText"/>
        <w:rPr>
          <w:sz w:val="18"/>
        </w:rPr>
      </w:pPr>
      <w:r>
        <w:rPr>
          <w:sz w:val="18"/>
          <w:vertAlign w:val="superscript"/>
        </w:rPr>
        <w:t xml:space="preserve">c </w:t>
      </w:r>
      <w:r>
        <w:rPr>
          <w:sz w:val="18"/>
        </w:rPr>
        <w:t>PI major L24I, D30N, V32I, L33F, M46IL, I47AV, G48V, I50LV, F53LY,I54ALMSTV, L76V, V82AFLST, I84V, N88DS, L90M; PI minor: L10CFIRV, V11I, E35G, K43T, Q58E, A71ILTV, G73ACST, T74P, N83D, L89V.</w:t>
      </w:r>
    </w:p>
    <w:p w14:paraId="3E46E7C3" w14:textId="77777777" w:rsidR="00D02BC8" w:rsidRPr="00D31EBB" w:rsidRDefault="00D02BC8" w:rsidP="008B6CCB">
      <w:pPr>
        <w:pStyle w:val="EMEABodyText"/>
        <w:rPr>
          <w:sz w:val="18"/>
        </w:rPr>
      </w:pPr>
      <w:r>
        <w:rPr>
          <w:sz w:val="18"/>
          <w:vertAlign w:val="superscript"/>
        </w:rPr>
        <w:t>d</w:t>
      </w:r>
      <w:r>
        <w:rPr>
          <w:sz w:val="18"/>
        </w:rPr>
        <w:t xml:space="preserve"> Includes patients with baseline resistance data.</w:t>
      </w:r>
    </w:p>
    <w:p w14:paraId="4135F104" w14:textId="77777777" w:rsidR="00D02BC8" w:rsidRPr="00D31EBB" w:rsidRDefault="00D02BC8" w:rsidP="008B6CCB">
      <w:pPr>
        <w:pStyle w:val="EMEABodyText"/>
        <w:rPr>
          <w:sz w:val="18"/>
        </w:rPr>
      </w:pPr>
      <w:r>
        <w:rPr>
          <w:sz w:val="18"/>
        </w:rPr>
        <w:t>NA = not applicable.</w:t>
      </w:r>
    </w:p>
    <w:p w14:paraId="4D6C03BD" w14:textId="77777777" w:rsidR="00D02BC8" w:rsidRPr="00D31EBB" w:rsidRDefault="00D02BC8" w:rsidP="008B6CCB">
      <w:pPr>
        <w:pStyle w:val="EMEABodyText"/>
        <w:rPr>
          <w:lang w:val="en-US"/>
        </w:rPr>
      </w:pPr>
    </w:p>
    <w:p w14:paraId="43D848F8" w14:textId="77777777" w:rsidR="00D02BC8" w:rsidRPr="00D31EBB" w:rsidRDefault="00D02BC8" w:rsidP="008B6CCB">
      <w:pPr>
        <w:pStyle w:val="EMEAHeading2"/>
        <w:rPr>
          <w:noProof/>
        </w:rPr>
      </w:pPr>
      <w:r>
        <w:t>5.2</w:t>
      </w:r>
      <w:r>
        <w:tab/>
        <w:t>Pharmacokinetic properties</w:t>
      </w:r>
    </w:p>
    <w:p w14:paraId="5B742DBB" w14:textId="77777777" w:rsidR="00D02BC8" w:rsidRPr="00D31EBB" w:rsidRDefault="00D02BC8" w:rsidP="008B6CCB">
      <w:pPr>
        <w:pStyle w:val="EMEAHeading2"/>
        <w:rPr>
          <w:iCs/>
          <w:noProof/>
          <w:lang w:val="en-US"/>
        </w:rPr>
      </w:pPr>
    </w:p>
    <w:p w14:paraId="130B3E65" w14:textId="77777777" w:rsidR="00D02BC8" w:rsidRPr="00D31EBB" w:rsidRDefault="00D02BC8" w:rsidP="008B6CCB">
      <w:pPr>
        <w:pStyle w:val="EMEABodyText"/>
        <w:rPr>
          <w:spacing w:val="-5"/>
        </w:rPr>
      </w:pPr>
      <w:r>
        <w:rPr>
          <w:snapToGrid w:val="0"/>
        </w:rPr>
        <w:t xml:space="preserve">The pharmacokinetics of atazanavir were evaluated in healthy adult volunteers and in HIV-infected patients; significant differences were observed between the two groups. </w:t>
      </w:r>
      <w:r>
        <w:t>The pharmacokinetics of atazanavir exhibit a non-linear disposition.</w:t>
      </w:r>
    </w:p>
    <w:p w14:paraId="31656BE7" w14:textId="77777777" w:rsidR="00D02BC8" w:rsidRPr="00D31EBB" w:rsidRDefault="00D02BC8" w:rsidP="008B6CCB">
      <w:pPr>
        <w:pStyle w:val="EMEABodyText"/>
        <w:rPr>
          <w:lang w:val="en-US"/>
        </w:rPr>
      </w:pPr>
    </w:p>
    <w:p w14:paraId="1AE95423" w14:textId="77777777" w:rsidR="00D02BC8" w:rsidRPr="00D31EBB" w:rsidRDefault="00D02BC8" w:rsidP="008B6CCB">
      <w:pPr>
        <w:pStyle w:val="EMEABodyText"/>
      </w:pPr>
      <w:r>
        <w:rPr>
          <w:i/>
        </w:rPr>
        <w:t>Absorption:</w:t>
      </w:r>
      <w:r>
        <w:t xml:space="preserve"> in HIV-infected patients (n=33, combined studies), multiple dosing of REYATAZ 300 mg once daily with ritonavir 100 mg once daily with food produced a geometric mean (CV%) for atazanavir, C</w:t>
      </w:r>
      <w:r>
        <w:rPr>
          <w:vertAlign w:val="subscript"/>
        </w:rPr>
        <w:t>max</w:t>
      </w:r>
      <w:r>
        <w:t xml:space="preserve"> of 4466 (42%) ng/ml, with time to C</w:t>
      </w:r>
      <w:r>
        <w:rPr>
          <w:vertAlign w:val="subscript"/>
        </w:rPr>
        <w:t>max</w:t>
      </w:r>
      <w:r>
        <w:t xml:space="preserve"> of approximately 2.5 hours. The geometric mean (CV%) for atazanavir C</w:t>
      </w:r>
      <w:r>
        <w:rPr>
          <w:vertAlign w:val="subscript"/>
        </w:rPr>
        <w:t>min</w:t>
      </w:r>
      <w:r>
        <w:t xml:space="preserve"> and AUC was 654 (76%) ng/ml and 44185 (51%) ng•h/ml, respectively. </w:t>
      </w:r>
    </w:p>
    <w:p w14:paraId="044D86AE" w14:textId="77777777" w:rsidR="00D02BC8" w:rsidRPr="00D31EBB" w:rsidRDefault="00D02BC8" w:rsidP="008B6CCB">
      <w:pPr>
        <w:pStyle w:val="EMEABodyText"/>
        <w:rPr>
          <w:lang w:val="en-US"/>
        </w:rPr>
      </w:pPr>
    </w:p>
    <w:p w14:paraId="2D346B06" w14:textId="77777777" w:rsidR="00D02BC8" w:rsidRPr="00D31EBB" w:rsidRDefault="00D02BC8" w:rsidP="008B6CCB">
      <w:pPr>
        <w:pStyle w:val="EMEABodyText"/>
      </w:pPr>
      <w:r>
        <w:lastRenderedPageBreak/>
        <w:t>In HIV-infected patients (n=13), multiple dosing of REYATAZ 400 mg (without ritonavir) once daily with food produced a geometric mean (CV%) for atazanavir C</w:t>
      </w:r>
      <w:r>
        <w:rPr>
          <w:vertAlign w:val="subscript"/>
        </w:rPr>
        <w:t>max</w:t>
      </w:r>
      <w:r>
        <w:t xml:space="preserve"> of 2298 (71) ng/ml, with time to C</w:t>
      </w:r>
      <w:r>
        <w:rPr>
          <w:vertAlign w:val="subscript"/>
        </w:rPr>
        <w:t>max</w:t>
      </w:r>
      <w:r>
        <w:t xml:space="preserve"> of approximately 2.0 hours. The geometric mean (CV%) for atazanavir C</w:t>
      </w:r>
      <w:r>
        <w:rPr>
          <w:vertAlign w:val="subscript"/>
        </w:rPr>
        <w:t>min</w:t>
      </w:r>
      <w:r>
        <w:t xml:space="preserve"> and AUC were 120 (109) ng/ml and 14874 (91) ng•h/ml, respectively.</w:t>
      </w:r>
    </w:p>
    <w:p w14:paraId="4EFA864B" w14:textId="77777777" w:rsidR="00D02BC8" w:rsidRPr="00D31EBB" w:rsidRDefault="00D02BC8" w:rsidP="008B6CCB">
      <w:pPr>
        <w:pStyle w:val="EMEABodyText"/>
        <w:rPr>
          <w:lang w:val="en-US"/>
        </w:rPr>
      </w:pPr>
    </w:p>
    <w:p w14:paraId="7BFEBF2A" w14:textId="77777777" w:rsidR="00D02BC8" w:rsidRPr="00D31EBB" w:rsidRDefault="00D02BC8" w:rsidP="008B6CCB">
      <w:pPr>
        <w:pStyle w:val="EMEABodyText"/>
      </w:pPr>
      <w:r>
        <w:rPr>
          <w:u w:val="single"/>
        </w:rPr>
        <w:t>Food effect:</w:t>
      </w:r>
      <w:r>
        <w:t xml:space="preserve"> co-administration of REYATAZ and ritonavir with food optimises the bioavailability of atazanavir. Co-administration of a single 300 mg dose of REYATAZ and 100 mg dose of ritonavir with a light meal resulted in a 33% increase in the AUC and a 40% increase in both the C</w:t>
      </w:r>
      <w:r>
        <w:rPr>
          <w:vertAlign w:val="subscript"/>
        </w:rPr>
        <w:t>max</w:t>
      </w:r>
      <w:r>
        <w:t xml:space="preserve"> and the 24 hour concentration of atazanavir relative to the fasting state. Co-administration with a high-fat meal did not affect the AUC of atazanavir relative to fasting conditions and the C</w:t>
      </w:r>
      <w:r>
        <w:rPr>
          <w:vertAlign w:val="subscript"/>
        </w:rPr>
        <w:t>max</w:t>
      </w:r>
      <w:r>
        <w:t xml:space="preserve"> was within 11% of fasting values. The 24 hour concentration following a high fat meal was increased by approximately 33% due to delayed absorption; the median T</w:t>
      </w:r>
      <w:r>
        <w:rPr>
          <w:vertAlign w:val="subscript"/>
        </w:rPr>
        <w:t>max</w:t>
      </w:r>
      <w:r>
        <w:t xml:space="preserve"> increased from 2.0 to 5.0 hours. Administration of REYATAZ with ritonavir with either a light or a high-fat meal decreased the coefficient of variation of AUC and C</w:t>
      </w:r>
      <w:r>
        <w:rPr>
          <w:vertAlign w:val="subscript"/>
        </w:rPr>
        <w:t>max</w:t>
      </w:r>
      <w:r>
        <w:t xml:space="preserve"> by approximately 25% compared to the fasting state. To enhance bioavailability and minimise variability, REYATAZ is to be taken with food.</w:t>
      </w:r>
    </w:p>
    <w:p w14:paraId="76F898E1" w14:textId="77777777" w:rsidR="00D02BC8" w:rsidRPr="00D31EBB" w:rsidRDefault="00D02BC8" w:rsidP="008B6CCB">
      <w:pPr>
        <w:pStyle w:val="EMEABodyText"/>
        <w:rPr>
          <w:lang w:val="en-US"/>
        </w:rPr>
      </w:pPr>
    </w:p>
    <w:p w14:paraId="3A0DDBDC" w14:textId="77777777" w:rsidR="00D02BC8" w:rsidRPr="00D31EBB" w:rsidRDefault="00D02BC8" w:rsidP="008B6CCB">
      <w:pPr>
        <w:pStyle w:val="EMEABodyText"/>
      </w:pPr>
      <w:r>
        <w:rPr>
          <w:i/>
        </w:rPr>
        <w:t>Distribution:</w:t>
      </w:r>
      <w:r>
        <w:t xml:space="preserve"> atazanavir was approximately 86% bound to human serum proteins over a concentration range of 100 to 10,000 ng/ml. Atazanavir binds to both alpha-1-acid glycoprotein (AAG) and albumin to a similar extent (89% and 86%, respectively, at 1,000 ng/ml). In a multiple-dose study in HIV-infected patients dosed with 400 mg of atazanavir once daily with a light meal for 12 weeks, atazanavir was detected in the cerebrospinal fluid and semen. </w:t>
      </w:r>
    </w:p>
    <w:p w14:paraId="40B864F5" w14:textId="77777777" w:rsidR="00D02BC8" w:rsidRPr="00D31EBB" w:rsidRDefault="00D02BC8" w:rsidP="008B6CCB">
      <w:pPr>
        <w:pStyle w:val="EMEABodyText"/>
        <w:rPr>
          <w:lang w:val="en-US"/>
        </w:rPr>
      </w:pPr>
    </w:p>
    <w:p w14:paraId="7D05E344" w14:textId="77777777" w:rsidR="00D02BC8" w:rsidRPr="00D31EBB" w:rsidRDefault="00D02BC8" w:rsidP="008B6CCB">
      <w:pPr>
        <w:pStyle w:val="EMEABodyText"/>
      </w:pPr>
      <w:r>
        <w:rPr>
          <w:i/>
        </w:rPr>
        <w:t>Metabolism:</w:t>
      </w:r>
      <w:r>
        <w:rPr>
          <w:b/>
        </w:rPr>
        <w:t xml:space="preserve"> </w:t>
      </w:r>
      <w:r>
        <w:t xml:space="preserve">studies in humans and </w:t>
      </w:r>
      <w:r>
        <w:rPr>
          <w:i/>
        </w:rPr>
        <w:t>in vitro</w:t>
      </w:r>
      <w:r>
        <w:t xml:space="preserve"> studies using human liver microsomes have demonstrated that atazanavir is principally metabolised by CYP3A4 isozyme to oxygenated metabolites.</w:t>
      </w:r>
      <w:r>
        <w:rPr>
          <w:u w:val="single"/>
        </w:rPr>
        <w:t xml:space="preserve"> </w:t>
      </w:r>
      <w:r>
        <w:t xml:space="preserve">Metabolites are then excreted in the bile as either free or glucuronidated metabolites. Additional minor metabolic pathways consist of N-dealkylation and hydrolysis. Two minor metabolites of atazanavir in plasma have been characterised. Neither metabolite demonstrated </w:t>
      </w:r>
      <w:r>
        <w:rPr>
          <w:i/>
        </w:rPr>
        <w:t>in vitro</w:t>
      </w:r>
      <w:r>
        <w:t xml:space="preserve"> antiviral activity.</w:t>
      </w:r>
    </w:p>
    <w:p w14:paraId="65ECA6DB" w14:textId="77777777" w:rsidR="00D02BC8" w:rsidRPr="00D31EBB" w:rsidRDefault="00D02BC8" w:rsidP="008B6CCB">
      <w:pPr>
        <w:pStyle w:val="EMEABodyText"/>
        <w:rPr>
          <w:lang w:val="en-US"/>
        </w:rPr>
      </w:pPr>
    </w:p>
    <w:p w14:paraId="42CA02D7" w14:textId="77777777" w:rsidR="00D02BC8" w:rsidRPr="00D31EBB" w:rsidRDefault="00D02BC8" w:rsidP="008B6CCB">
      <w:pPr>
        <w:pStyle w:val="EMEABodyText"/>
      </w:pPr>
      <w:r>
        <w:rPr>
          <w:i/>
        </w:rPr>
        <w:t>Elimination:</w:t>
      </w:r>
      <w:r>
        <w:t xml:space="preserve"> following a single 400 mg dose of </w:t>
      </w:r>
      <w:r>
        <w:rPr>
          <w:vertAlign w:val="superscript"/>
        </w:rPr>
        <w:t>14</w:t>
      </w:r>
      <w:r>
        <w:t>C-atazanavir, 79% and 13% of the total radioactivity was recovered in the faeces and urine, respectively. Unchanged drug accounted for approximately 20% and 7% of the administered dose in the faeces and urine, respectively. Mean urinary excretion of unchanged drug was 7% following 2 weeks of dosing at 800 mg once daily. In HIV-infected adult patients (n=33, combined studies) the mean half-life within a dosing interval for atazanavir was 12 hours at steady state following a dose of 300 mg daily with ritonavir 100 mg once daily with a light meal.</w:t>
      </w:r>
    </w:p>
    <w:p w14:paraId="5ADBBF6E" w14:textId="77777777" w:rsidR="00D02BC8" w:rsidRPr="00D31EBB" w:rsidRDefault="00D02BC8" w:rsidP="008B6CCB">
      <w:pPr>
        <w:pStyle w:val="EMEABodyText"/>
        <w:rPr>
          <w:lang w:val="en-US"/>
        </w:rPr>
      </w:pPr>
    </w:p>
    <w:p w14:paraId="3B4BCA2F" w14:textId="77777777" w:rsidR="00D02BC8" w:rsidRPr="00D31EBB" w:rsidRDefault="00D02BC8" w:rsidP="008B6CCB">
      <w:pPr>
        <w:pStyle w:val="EMEABodyText"/>
        <w:keepNext/>
      </w:pPr>
      <w:r>
        <w:rPr>
          <w:u w:val="single"/>
        </w:rPr>
        <w:t>Special populations</w:t>
      </w:r>
    </w:p>
    <w:p w14:paraId="65984424" w14:textId="77777777" w:rsidR="00D02BC8" w:rsidRPr="00D31EBB" w:rsidRDefault="00D02BC8" w:rsidP="008B6CCB">
      <w:pPr>
        <w:pStyle w:val="EMEABodyText"/>
        <w:rPr>
          <w:lang w:val="en-US"/>
        </w:rPr>
      </w:pPr>
    </w:p>
    <w:p w14:paraId="1D7AF578" w14:textId="77777777" w:rsidR="00D02BC8" w:rsidRPr="00D31EBB" w:rsidRDefault="00D02BC8" w:rsidP="008B6CCB">
      <w:pPr>
        <w:pStyle w:val="EMEABodyText"/>
      </w:pPr>
      <w:r>
        <w:rPr>
          <w:i/>
        </w:rPr>
        <w:t>Renal impairment</w:t>
      </w:r>
      <w:r>
        <w:t>: in healthy subjects, the renal elimination of unchanged atazanavir was approximately 7% of the administered dose. There are no pharmacokinetic data available for REYATAZ with ritonavir in patients with renal insufficiency. REYATAZ (without ritonavir) has been studied in adult patients with severe renal impairment (n=20), including those on haemodialysis, at multiple doses of 400 mg once daily. Although this study presented some limitations (i.e., unbound drug concentrations not studied), results suggested that the atazanavir pharmacokinetic parameters were decreased by 30% to 50% in patients undergoing haemodialysis compared to patients with normal renal function. The mechanism of this decrease is unknown. (See sections 4.2 and 4.4.)</w:t>
      </w:r>
    </w:p>
    <w:p w14:paraId="1127AEA6" w14:textId="77777777" w:rsidR="00D02BC8" w:rsidRPr="00D31EBB" w:rsidRDefault="00D02BC8" w:rsidP="008B6CCB">
      <w:pPr>
        <w:pStyle w:val="EMEABodyText"/>
        <w:rPr>
          <w:lang w:val="en-US"/>
        </w:rPr>
      </w:pPr>
    </w:p>
    <w:p w14:paraId="3A63D6AB" w14:textId="77777777" w:rsidR="00D02BC8" w:rsidRPr="00D31EBB" w:rsidRDefault="00D02BC8" w:rsidP="008B6CCB">
      <w:pPr>
        <w:pStyle w:val="EMEABodyText"/>
      </w:pPr>
      <w:r>
        <w:rPr>
          <w:i/>
        </w:rPr>
        <w:t>Hepatic impairment</w:t>
      </w:r>
      <w:r>
        <w:t>: atazanavir is metabolised and eliminated primarily by the liver. REYATAZ (without ritonavir) has been studied in adult subjects with moderate-to-severe hepatic impairment (14 Child-Pugh Class B and 2 Child-Pugh Class C subjects) after a single 400 mg dose. The mean AUC</w:t>
      </w:r>
      <w:r>
        <w:rPr>
          <w:vertAlign w:val="subscript"/>
        </w:rPr>
        <w:t>(0-∞)</w:t>
      </w:r>
      <w:r>
        <w:t xml:space="preserve"> was 42% greater in subjects with impaired hepatic function than in healthy subjects. The mean half-life of atazanavir in hepatically impaired subjects was 12.1 hours compared to 6.4 hours in healthy subjects. The effects of hepatic impairment on the pharmacokinetics of atazanavir after a 300 mg dose with ritonavir have not been studied. Concentrations of atazanavir with or without ritonavir are expected to be increased in patients with moderately or severely impaired hepatic function (see sections 4.2, 4.3, and 4.4).</w:t>
      </w:r>
    </w:p>
    <w:p w14:paraId="232F3916" w14:textId="77777777" w:rsidR="00D02BC8" w:rsidRPr="00D31EBB" w:rsidRDefault="00D02BC8" w:rsidP="008B6CCB">
      <w:pPr>
        <w:pStyle w:val="EMEABodyText"/>
        <w:rPr>
          <w:i/>
          <w:lang w:val="en-US"/>
        </w:rPr>
      </w:pPr>
    </w:p>
    <w:p w14:paraId="65ADC819" w14:textId="77777777" w:rsidR="00D02BC8" w:rsidRPr="00D31EBB" w:rsidRDefault="00D02BC8" w:rsidP="008B6CCB">
      <w:pPr>
        <w:pStyle w:val="EMEABodyText"/>
      </w:pPr>
      <w:r>
        <w:rPr>
          <w:i/>
        </w:rPr>
        <w:lastRenderedPageBreak/>
        <w:t>Age/Gender:</w:t>
      </w:r>
      <w:r>
        <w:t xml:space="preserve"> a study of the pharmacokinetics of atazanavir was performed in 59 healthy male and female subjects (29 young, 30 elderly). There were no clinically important pharmacokinetic differences based on age or gender.</w:t>
      </w:r>
    </w:p>
    <w:p w14:paraId="56E24F62" w14:textId="77777777" w:rsidR="00D02BC8" w:rsidRPr="00D31EBB" w:rsidRDefault="00D02BC8" w:rsidP="008B6CCB">
      <w:pPr>
        <w:pStyle w:val="EMEABodyText"/>
        <w:rPr>
          <w:lang w:val="en-US"/>
        </w:rPr>
      </w:pPr>
    </w:p>
    <w:p w14:paraId="430C3672" w14:textId="77777777" w:rsidR="00D02BC8" w:rsidRPr="00D31EBB" w:rsidRDefault="00D02BC8" w:rsidP="008B6CCB">
      <w:pPr>
        <w:pStyle w:val="EMEABodyText"/>
      </w:pPr>
      <w:r>
        <w:rPr>
          <w:i/>
        </w:rPr>
        <w:t>Race:</w:t>
      </w:r>
      <w:r>
        <w:t xml:space="preserve"> a population pharmacokinetic analysis of samples from Phase II clinical trials indicated no effect of race on the pharmacokinetics of atazanavir.</w:t>
      </w:r>
    </w:p>
    <w:p w14:paraId="46919712" w14:textId="77777777" w:rsidR="00D02BC8" w:rsidRPr="00D31EBB" w:rsidRDefault="00D02BC8" w:rsidP="008B6CCB">
      <w:pPr>
        <w:pStyle w:val="EMEABodyText"/>
        <w:rPr>
          <w:lang w:val="en-US"/>
        </w:rPr>
      </w:pPr>
    </w:p>
    <w:p w14:paraId="5A5D5758" w14:textId="77777777" w:rsidR="00D02BC8" w:rsidRPr="00D31EBB" w:rsidRDefault="00D02BC8" w:rsidP="008B6CCB">
      <w:pPr>
        <w:pStyle w:val="EMEABodyText"/>
        <w:rPr>
          <w:i/>
        </w:rPr>
      </w:pPr>
      <w:r>
        <w:rPr>
          <w:i/>
        </w:rPr>
        <w:t>Pregnancy:</w:t>
      </w:r>
    </w:p>
    <w:p w14:paraId="49ECA196" w14:textId="77777777" w:rsidR="00D02BC8" w:rsidRPr="00D31EBB" w:rsidRDefault="00D02BC8" w:rsidP="008B6CCB">
      <w:pPr>
        <w:pStyle w:val="EMEABodyText"/>
      </w:pPr>
      <w:r>
        <w:t>The pharmacokinetic data from HIV-infected pregnant women receiving REYATAZ capsules with ritonavir are presented in Table 8.</w:t>
      </w:r>
    </w:p>
    <w:p w14:paraId="15FFD06F" w14:textId="77777777" w:rsidR="00D02BC8" w:rsidRPr="00D31EBB" w:rsidRDefault="00D02BC8" w:rsidP="008B6CCB">
      <w:pPr>
        <w:pStyle w:val="EMEABodyText"/>
        <w:rPr>
          <w:lang w:val="en-US"/>
        </w:rPr>
      </w:pPr>
    </w:p>
    <w:p w14:paraId="11EBFD1B" w14:textId="77777777" w:rsidR="00D02BC8" w:rsidRPr="00D31EBB" w:rsidRDefault="00D02BC8" w:rsidP="008B6CCB">
      <w:pPr>
        <w:pStyle w:val="EMEABodyText"/>
        <w:rPr>
          <w:b/>
        </w:rPr>
      </w:pPr>
      <w:r>
        <w:rPr>
          <w:b/>
        </w:rPr>
        <w:t>Table 8:</w:t>
      </w:r>
      <w:r>
        <w:rPr>
          <w:b/>
        </w:rPr>
        <w:tab/>
        <w:t>Steady-State Pharmacokinetics of Atazanavir with ritonavir in HIV-Infected Pregnant Women in the Fed State</w:t>
      </w:r>
    </w:p>
    <w:p w14:paraId="2559B2ED" w14:textId="77777777" w:rsidR="00D02BC8" w:rsidRPr="00D31EBB" w:rsidRDefault="00D02BC8" w:rsidP="008B6CCB">
      <w:pPr>
        <w:pStyle w:val="EMEABodyText"/>
        <w:rPr>
          <w:lang w:val="en-US"/>
        </w:rPr>
      </w:pPr>
    </w:p>
    <w:tbl>
      <w:tblPr>
        <w:tblW w:w="8931" w:type="dxa"/>
        <w:tblInd w:w="108" w:type="dxa"/>
        <w:tblBorders>
          <w:insideV w:val="single" w:sz="4" w:space="0" w:color="auto"/>
        </w:tblBorders>
        <w:tblLook w:val="01E0" w:firstRow="1" w:lastRow="1" w:firstColumn="1" w:lastColumn="1" w:noHBand="0" w:noVBand="0"/>
      </w:tblPr>
      <w:tblGrid>
        <w:gridCol w:w="2880"/>
        <w:gridCol w:w="2017"/>
        <w:gridCol w:w="2017"/>
        <w:gridCol w:w="2017"/>
      </w:tblGrid>
      <w:tr w:rsidR="00D02BC8" w:rsidRPr="00965E20" w14:paraId="10E609E6" w14:textId="77777777" w:rsidTr="008B6CCB">
        <w:trPr>
          <w:cantSplit/>
          <w:trHeight w:val="415"/>
          <w:tblHeader/>
        </w:trPr>
        <w:tc>
          <w:tcPr>
            <w:tcW w:w="2880" w:type="dxa"/>
            <w:tcBorders>
              <w:top w:val="single" w:sz="4" w:space="0" w:color="auto"/>
              <w:left w:val="single" w:sz="4" w:space="0" w:color="auto"/>
              <w:bottom w:val="single" w:sz="4" w:space="0" w:color="auto"/>
              <w:right w:val="single" w:sz="4" w:space="0" w:color="auto"/>
            </w:tcBorders>
            <w:vAlign w:val="center"/>
          </w:tcPr>
          <w:p w14:paraId="7D31F7D3" w14:textId="77777777" w:rsidR="00D02BC8" w:rsidRPr="00D31EBB" w:rsidRDefault="00D02BC8" w:rsidP="008B6CCB">
            <w:pPr>
              <w:pStyle w:val="EMEABodyText"/>
              <w:keepNext/>
              <w:keepLines/>
              <w:rPr>
                <w:lang w:val="en-US"/>
              </w:rPr>
            </w:pPr>
          </w:p>
        </w:tc>
        <w:tc>
          <w:tcPr>
            <w:tcW w:w="6051" w:type="dxa"/>
            <w:gridSpan w:val="3"/>
            <w:tcBorders>
              <w:top w:val="single" w:sz="4" w:space="0" w:color="auto"/>
              <w:left w:val="single" w:sz="4" w:space="0" w:color="auto"/>
              <w:bottom w:val="single" w:sz="4" w:space="0" w:color="auto"/>
              <w:right w:val="single" w:sz="4" w:space="0" w:color="auto"/>
            </w:tcBorders>
            <w:vAlign w:val="center"/>
          </w:tcPr>
          <w:p w14:paraId="00FD4FAB" w14:textId="77777777" w:rsidR="00D02BC8" w:rsidRPr="00D31EBB" w:rsidRDefault="00D02BC8" w:rsidP="008B6CCB">
            <w:pPr>
              <w:pStyle w:val="EMEABodyText"/>
              <w:keepNext/>
              <w:keepLines/>
              <w:jc w:val="center"/>
              <w:rPr>
                <w:b/>
              </w:rPr>
            </w:pPr>
            <w:r>
              <w:rPr>
                <w:b/>
              </w:rPr>
              <w:t>atazanavir 300 mg with ritonavir 100 mg</w:t>
            </w:r>
          </w:p>
        </w:tc>
      </w:tr>
      <w:tr w:rsidR="00D02BC8" w:rsidRPr="004F3582" w14:paraId="1792DAEB" w14:textId="77777777" w:rsidTr="008B6CCB">
        <w:trPr>
          <w:cantSplit/>
          <w:trHeight w:val="555"/>
          <w:tblHeader/>
        </w:trPr>
        <w:tc>
          <w:tcPr>
            <w:tcW w:w="2880" w:type="dxa"/>
            <w:tcBorders>
              <w:top w:val="single" w:sz="4" w:space="0" w:color="auto"/>
              <w:left w:val="single" w:sz="4" w:space="0" w:color="auto"/>
              <w:bottom w:val="single" w:sz="4" w:space="0" w:color="auto"/>
              <w:right w:val="single" w:sz="4" w:space="0" w:color="auto"/>
            </w:tcBorders>
            <w:vAlign w:val="center"/>
          </w:tcPr>
          <w:p w14:paraId="64166790" w14:textId="77777777" w:rsidR="00D02BC8" w:rsidRPr="004F3582" w:rsidRDefault="00D02BC8" w:rsidP="008B6CCB">
            <w:pPr>
              <w:pStyle w:val="EMEABodyText"/>
              <w:keepNext/>
              <w:keepLines/>
              <w:rPr>
                <w:b/>
              </w:rPr>
            </w:pPr>
            <w:r>
              <w:rPr>
                <w:b/>
              </w:rPr>
              <w:t>Pharmacokinetic Parameter</w:t>
            </w:r>
          </w:p>
        </w:tc>
        <w:tc>
          <w:tcPr>
            <w:tcW w:w="2017" w:type="dxa"/>
            <w:tcBorders>
              <w:top w:val="single" w:sz="4" w:space="0" w:color="auto"/>
              <w:left w:val="single" w:sz="4" w:space="0" w:color="auto"/>
              <w:bottom w:val="single" w:sz="4" w:space="0" w:color="auto"/>
              <w:right w:val="single" w:sz="4" w:space="0" w:color="auto"/>
            </w:tcBorders>
            <w:vAlign w:val="center"/>
          </w:tcPr>
          <w:p w14:paraId="4A8FEEB1" w14:textId="77777777" w:rsidR="00D02BC8" w:rsidRPr="004F3582" w:rsidRDefault="00D02BC8" w:rsidP="008B6CCB">
            <w:pPr>
              <w:pStyle w:val="EMEABodyText"/>
              <w:keepNext/>
              <w:keepLines/>
              <w:jc w:val="center"/>
              <w:rPr>
                <w:b/>
                <w:szCs w:val="22"/>
              </w:rPr>
            </w:pPr>
            <w:r>
              <w:rPr>
                <w:b/>
                <w:szCs w:val="22"/>
              </w:rPr>
              <w:t>2nd Trimester</w:t>
            </w:r>
          </w:p>
          <w:p w14:paraId="0EC4E9B3" w14:textId="77777777" w:rsidR="00D02BC8" w:rsidRPr="004F3582" w:rsidRDefault="00D02BC8" w:rsidP="008B6CCB">
            <w:pPr>
              <w:pStyle w:val="EMEABodyText"/>
              <w:keepNext/>
              <w:keepLines/>
              <w:jc w:val="center"/>
              <w:rPr>
                <w:szCs w:val="22"/>
              </w:rPr>
            </w:pPr>
            <w:r>
              <w:t>(n=9)</w:t>
            </w:r>
          </w:p>
        </w:tc>
        <w:tc>
          <w:tcPr>
            <w:tcW w:w="2017" w:type="dxa"/>
            <w:tcBorders>
              <w:top w:val="single" w:sz="4" w:space="0" w:color="auto"/>
              <w:left w:val="single" w:sz="4" w:space="0" w:color="auto"/>
              <w:bottom w:val="single" w:sz="4" w:space="0" w:color="auto"/>
              <w:right w:val="single" w:sz="4" w:space="0" w:color="auto"/>
            </w:tcBorders>
            <w:vAlign w:val="center"/>
          </w:tcPr>
          <w:p w14:paraId="334632FF" w14:textId="77777777" w:rsidR="00D02BC8" w:rsidRPr="004F3582" w:rsidRDefault="00D02BC8" w:rsidP="008B6CCB">
            <w:pPr>
              <w:pStyle w:val="EMEABodyText"/>
              <w:keepNext/>
              <w:keepLines/>
              <w:jc w:val="center"/>
              <w:rPr>
                <w:b/>
                <w:szCs w:val="22"/>
              </w:rPr>
            </w:pPr>
            <w:r>
              <w:rPr>
                <w:b/>
                <w:szCs w:val="22"/>
              </w:rPr>
              <w:t>3rd Trimester</w:t>
            </w:r>
          </w:p>
          <w:p w14:paraId="271F389B" w14:textId="77777777" w:rsidR="00D02BC8" w:rsidRPr="004F3582" w:rsidRDefault="00D02BC8" w:rsidP="008B6CCB">
            <w:pPr>
              <w:pStyle w:val="EMEABodyText"/>
              <w:keepNext/>
              <w:keepLines/>
              <w:jc w:val="center"/>
              <w:rPr>
                <w:szCs w:val="22"/>
              </w:rPr>
            </w:pPr>
            <w:r>
              <w:t>(n=20)</w:t>
            </w:r>
          </w:p>
        </w:tc>
        <w:tc>
          <w:tcPr>
            <w:tcW w:w="2017" w:type="dxa"/>
            <w:tcBorders>
              <w:top w:val="single" w:sz="4" w:space="0" w:color="auto"/>
              <w:left w:val="single" w:sz="4" w:space="0" w:color="auto"/>
              <w:bottom w:val="single" w:sz="4" w:space="0" w:color="auto"/>
              <w:right w:val="single" w:sz="4" w:space="0" w:color="auto"/>
            </w:tcBorders>
            <w:vAlign w:val="center"/>
          </w:tcPr>
          <w:p w14:paraId="73CB4F39" w14:textId="77777777" w:rsidR="00D02BC8" w:rsidRPr="004F3582" w:rsidRDefault="00D02BC8" w:rsidP="008B6CCB">
            <w:pPr>
              <w:pStyle w:val="EMEABodyText"/>
              <w:keepNext/>
              <w:keepLines/>
              <w:jc w:val="center"/>
              <w:rPr>
                <w:b/>
                <w:szCs w:val="22"/>
              </w:rPr>
            </w:pPr>
            <w:r>
              <w:rPr>
                <w:b/>
                <w:szCs w:val="22"/>
              </w:rPr>
              <w:t>postpartum</w:t>
            </w:r>
            <w:r>
              <w:rPr>
                <w:b/>
                <w:szCs w:val="22"/>
                <w:vertAlign w:val="superscript"/>
              </w:rPr>
              <w:t>a</w:t>
            </w:r>
          </w:p>
          <w:p w14:paraId="59AB3165" w14:textId="77777777" w:rsidR="00D02BC8" w:rsidRPr="004F3582" w:rsidRDefault="00D02BC8" w:rsidP="008B6CCB">
            <w:pPr>
              <w:pStyle w:val="EMEABodyText"/>
              <w:keepNext/>
              <w:keepLines/>
              <w:jc w:val="center"/>
              <w:rPr>
                <w:szCs w:val="22"/>
              </w:rPr>
            </w:pPr>
            <w:r>
              <w:t>(n=36)</w:t>
            </w:r>
          </w:p>
        </w:tc>
      </w:tr>
      <w:tr w:rsidR="00D02BC8" w:rsidRPr="004F3582" w14:paraId="69918A88" w14:textId="77777777" w:rsidTr="008B6CCB">
        <w:trPr>
          <w:cantSplit/>
          <w:trHeight w:val="555"/>
        </w:trPr>
        <w:tc>
          <w:tcPr>
            <w:tcW w:w="2880" w:type="dxa"/>
            <w:tcBorders>
              <w:top w:val="single" w:sz="4" w:space="0" w:color="auto"/>
              <w:left w:val="single" w:sz="4" w:space="0" w:color="auto"/>
              <w:bottom w:val="single" w:sz="4" w:space="0" w:color="auto"/>
              <w:right w:val="single" w:sz="4" w:space="0" w:color="auto"/>
            </w:tcBorders>
            <w:vAlign w:val="center"/>
          </w:tcPr>
          <w:p w14:paraId="77E51A12" w14:textId="77777777" w:rsidR="00D02BC8" w:rsidRPr="00D31EBB" w:rsidRDefault="00D02BC8" w:rsidP="008B6CCB">
            <w:pPr>
              <w:pStyle w:val="EMEABodyText"/>
              <w:keepNext/>
              <w:keepLines/>
            </w:pPr>
            <w:r>
              <w:t>C</w:t>
            </w:r>
            <w:r>
              <w:rPr>
                <w:vertAlign w:val="subscript"/>
              </w:rPr>
              <w:t>max</w:t>
            </w:r>
            <w:r>
              <w:t xml:space="preserve"> ng/mL</w:t>
            </w:r>
          </w:p>
          <w:p w14:paraId="2B26274A" w14:textId="77777777" w:rsidR="00D02BC8" w:rsidRPr="00D31EBB" w:rsidRDefault="00D02BC8" w:rsidP="008B6CCB">
            <w:pPr>
              <w:pStyle w:val="EMEABodyText"/>
              <w:keepNext/>
              <w:keepLines/>
              <w:rPr>
                <w:sz w:val="20"/>
              </w:rPr>
            </w:pPr>
            <w:r>
              <w:rPr>
                <w:sz w:val="20"/>
              </w:rPr>
              <w:tab/>
              <w:t>Geometric mean (CV%)</w:t>
            </w:r>
          </w:p>
        </w:tc>
        <w:tc>
          <w:tcPr>
            <w:tcW w:w="2017" w:type="dxa"/>
            <w:tcBorders>
              <w:top w:val="single" w:sz="4" w:space="0" w:color="auto"/>
              <w:left w:val="single" w:sz="4" w:space="0" w:color="auto"/>
              <w:bottom w:val="single" w:sz="4" w:space="0" w:color="auto"/>
              <w:right w:val="single" w:sz="4" w:space="0" w:color="auto"/>
            </w:tcBorders>
            <w:vAlign w:val="center"/>
          </w:tcPr>
          <w:p w14:paraId="71BE1A5F" w14:textId="77777777" w:rsidR="00D02BC8" w:rsidRPr="00656E99" w:rsidRDefault="00D02BC8" w:rsidP="008B6CCB">
            <w:pPr>
              <w:pStyle w:val="EMEABodyText"/>
              <w:keepNext/>
              <w:keepLines/>
              <w:jc w:val="center"/>
            </w:pPr>
            <w:r>
              <w:t>3729.09</w:t>
            </w:r>
          </w:p>
          <w:p w14:paraId="25069C35" w14:textId="77777777" w:rsidR="00D02BC8" w:rsidRPr="00656E99" w:rsidRDefault="00D02BC8" w:rsidP="008B6CCB">
            <w:pPr>
              <w:pStyle w:val="EMEABodyText"/>
              <w:keepNext/>
              <w:keepLines/>
              <w:jc w:val="center"/>
            </w:pPr>
            <w:r>
              <w:t>(39)</w:t>
            </w:r>
          </w:p>
        </w:tc>
        <w:tc>
          <w:tcPr>
            <w:tcW w:w="2017" w:type="dxa"/>
            <w:tcBorders>
              <w:top w:val="single" w:sz="4" w:space="0" w:color="auto"/>
              <w:left w:val="single" w:sz="4" w:space="0" w:color="auto"/>
              <w:bottom w:val="single" w:sz="4" w:space="0" w:color="auto"/>
              <w:right w:val="single" w:sz="4" w:space="0" w:color="auto"/>
            </w:tcBorders>
            <w:vAlign w:val="center"/>
          </w:tcPr>
          <w:p w14:paraId="09A37419" w14:textId="77777777" w:rsidR="00D02BC8" w:rsidRPr="00656E99" w:rsidRDefault="00D02BC8" w:rsidP="008B6CCB">
            <w:pPr>
              <w:pStyle w:val="EMEABodyText"/>
              <w:keepNext/>
              <w:keepLines/>
              <w:jc w:val="center"/>
            </w:pPr>
            <w:r>
              <w:t>3291.46</w:t>
            </w:r>
          </w:p>
          <w:p w14:paraId="5EA9AA90" w14:textId="77777777" w:rsidR="00D02BC8" w:rsidRPr="00656E99" w:rsidRDefault="00D02BC8" w:rsidP="008B6CCB">
            <w:pPr>
              <w:pStyle w:val="EMEABodyText"/>
              <w:keepNext/>
              <w:keepLines/>
              <w:jc w:val="center"/>
            </w:pPr>
            <w:r>
              <w:t>(48)</w:t>
            </w:r>
          </w:p>
        </w:tc>
        <w:tc>
          <w:tcPr>
            <w:tcW w:w="2017" w:type="dxa"/>
            <w:tcBorders>
              <w:top w:val="single" w:sz="4" w:space="0" w:color="auto"/>
              <w:left w:val="single" w:sz="4" w:space="0" w:color="auto"/>
              <w:bottom w:val="single" w:sz="4" w:space="0" w:color="auto"/>
              <w:right w:val="single" w:sz="4" w:space="0" w:color="auto"/>
            </w:tcBorders>
            <w:vAlign w:val="center"/>
          </w:tcPr>
          <w:p w14:paraId="2E013B18" w14:textId="77777777" w:rsidR="00D02BC8" w:rsidRPr="004F3582" w:rsidRDefault="00D02BC8" w:rsidP="008B6CCB">
            <w:pPr>
              <w:pStyle w:val="EMEABodyText"/>
              <w:keepNext/>
              <w:keepLines/>
              <w:jc w:val="center"/>
            </w:pPr>
            <w:r>
              <w:t>5649.10</w:t>
            </w:r>
          </w:p>
          <w:p w14:paraId="0044C6F6" w14:textId="77777777" w:rsidR="00D02BC8" w:rsidRPr="004F3582" w:rsidRDefault="00D02BC8" w:rsidP="008B6CCB">
            <w:pPr>
              <w:pStyle w:val="EMEABodyText"/>
              <w:keepNext/>
              <w:keepLines/>
              <w:jc w:val="center"/>
            </w:pPr>
            <w:r>
              <w:t>(31)</w:t>
            </w:r>
          </w:p>
        </w:tc>
      </w:tr>
      <w:tr w:rsidR="00D02BC8" w:rsidRPr="004F3582" w14:paraId="7073CF9E" w14:textId="77777777" w:rsidTr="008B6CCB">
        <w:trPr>
          <w:cantSplit/>
          <w:trHeight w:val="555"/>
        </w:trPr>
        <w:tc>
          <w:tcPr>
            <w:tcW w:w="2880" w:type="dxa"/>
            <w:tcBorders>
              <w:top w:val="single" w:sz="4" w:space="0" w:color="auto"/>
              <w:left w:val="single" w:sz="4" w:space="0" w:color="auto"/>
              <w:bottom w:val="single" w:sz="4" w:space="0" w:color="auto"/>
              <w:right w:val="single" w:sz="4" w:space="0" w:color="auto"/>
            </w:tcBorders>
            <w:vAlign w:val="center"/>
          </w:tcPr>
          <w:p w14:paraId="0F7C61F8" w14:textId="77777777" w:rsidR="00D02BC8" w:rsidRPr="00D31EBB" w:rsidRDefault="00D02BC8" w:rsidP="008B6CCB">
            <w:pPr>
              <w:pStyle w:val="EMEABodyText"/>
              <w:keepNext/>
              <w:keepLines/>
            </w:pPr>
            <w:r>
              <w:t>AUC ng•h/mL</w:t>
            </w:r>
          </w:p>
          <w:p w14:paraId="31C731CC" w14:textId="77777777" w:rsidR="00D02BC8" w:rsidRPr="00D31EBB" w:rsidRDefault="00D02BC8" w:rsidP="008B6CCB">
            <w:pPr>
              <w:pStyle w:val="EMEABodyText"/>
              <w:keepNext/>
              <w:keepLines/>
              <w:rPr>
                <w:sz w:val="20"/>
              </w:rPr>
            </w:pPr>
            <w:r>
              <w:rPr>
                <w:sz w:val="20"/>
              </w:rPr>
              <w:tab/>
              <w:t>Geometric mean (CV%)</w:t>
            </w:r>
          </w:p>
        </w:tc>
        <w:tc>
          <w:tcPr>
            <w:tcW w:w="2017" w:type="dxa"/>
            <w:tcBorders>
              <w:top w:val="single" w:sz="4" w:space="0" w:color="auto"/>
              <w:left w:val="single" w:sz="4" w:space="0" w:color="auto"/>
              <w:bottom w:val="single" w:sz="4" w:space="0" w:color="auto"/>
              <w:right w:val="single" w:sz="4" w:space="0" w:color="auto"/>
            </w:tcBorders>
            <w:vAlign w:val="center"/>
          </w:tcPr>
          <w:p w14:paraId="41CE3C9F" w14:textId="77777777" w:rsidR="00D02BC8" w:rsidRPr="00656E99" w:rsidRDefault="00D02BC8" w:rsidP="008B6CCB">
            <w:pPr>
              <w:pStyle w:val="EMEABodyText"/>
              <w:keepNext/>
              <w:keepLines/>
              <w:jc w:val="center"/>
            </w:pPr>
            <w:r>
              <w:t>34399.1</w:t>
            </w:r>
          </w:p>
          <w:p w14:paraId="1FF86D9D" w14:textId="77777777" w:rsidR="00D02BC8" w:rsidRPr="00656E99" w:rsidRDefault="00D02BC8" w:rsidP="008B6CCB">
            <w:pPr>
              <w:pStyle w:val="EMEABodyText"/>
              <w:keepNext/>
              <w:keepLines/>
              <w:jc w:val="center"/>
            </w:pPr>
            <w:r>
              <w:t>(37)</w:t>
            </w:r>
          </w:p>
        </w:tc>
        <w:tc>
          <w:tcPr>
            <w:tcW w:w="2017" w:type="dxa"/>
            <w:tcBorders>
              <w:top w:val="single" w:sz="4" w:space="0" w:color="auto"/>
              <w:left w:val="single" w:sz="4" w:space="0" w:color="auto"/>
              <w:bottom w:val="single" w:sz="4" w:space="0" w:color="auto"/>
              <w:right w:val="single" w:sz="4" w:space="0" w:color="auto"/>
            </w:tcBorders>
            <w:vAlign w:val="center"/>
          </w:tcPr>
          <w:p w14:paraId="1891EF50" w14:textId="77777777" w:rsidR="00D02BC8" w:rsidRPr="00656E99" w:rsidRDefault="00D02BC8" w:rsidP="008B6CCB">
            <w:pPr>
              <w:pStyle w:val="EMEABodyText"/>
              <w:keepNext/>
              <w:keepLines/>
              <w:jc w:val="center"/>
            </w:pPr>
            <w:r>
              <w:t>34251.5</w:t>
            </w:r>
          </w:p>
          <w:p w14:paraId="31968A48" w14:textId="77777777" w:rsidR="00D02BC8" w:rsidRPr="00656E99" w:rsidRDefault="00D02BC8" w:rsidP="008B6CCB">
            <w:pPr>
              <w:pStyle w:val="EMEABodyText"/>
              <w:keepNext/>
              <w:keepLines/>
              <w:jc w:val="center"/>
            </w:pPr>
            <w:r>
              <w:t>(43)</w:t>
            </w:r>
          </w:p>
        </w:tc>
        <w:tc>
          <w:tcPr>
            <w:tcW w:w="2017" w:type="dxa"/>
            <w:tcBorders>
              <w:top w:val="single" w:sz="4" w:space="0" w:color="auto"/>
              <w:left w:val="single" w:sz="4" w:space="0" w:color="auto"/>
              <w:bottom w:val="single" w:sz="4" w:space="0" w:color="auto"/>
              <w:right w:val="single" w:sz="4" w:space="0" w:color="auto"/>
            </w:tcBorders>
            <w:vAlign w:val="center"/>
          </w:tcPr>
          <w:p w14:paraId="7743CB2A" w14:textId="77777777" w:rsidR="00D02BC8" w:rsidRPr="004F3582" w:rsidRDefault="00D02BC8" w:rsidP="008B6CCB">
            <w:pPr>
              <w:pStyle w:val="EMEABodyText"/>
              <w:keepNext/>
              <w:keepLines/>
              <w:jc w:val="center"/>
            </w:pPr>
            <w:r>
              <w:t>60532.7</w:t>
            </w:r>
          </w:p>
          <w:p w14:paraId="7ED5F062" w14:textId="77777777" w:rsidR="00D02BC8" w:rsidRPr="004F3582" w:rsidRDefault="00D02BC8" w:rsidP="008B6CCB">
            <w:pPr>
              <w:pStyle w:val="EMEABodyText"/>
              <w:keepNext/>
              <w:keepLines/>
              <w:jc w:val="center"/>
            </w:pPr>
            <w:r>
              <w:t>(33)</w:t>
            </w:r>
          </w:p>
        </w:tc>
      </w:tr>
      <w:tr w:rsidR="00D02BC8" w:rsidRPr="004F3582" w14:paraId="4A2D622F" w14:textId="77777777" w:rsidTr="008B6CCB">
        <w:trPr>
          <w:cantSplit/>
          <w:trHeight w:val="555"/>
        </w:trPr>
        <w:tc>
          <w:tcPr>
            <w:tcW w:w="2880" w:type="dxa"/>
            <w:tcBorders>
              <w:top w:val="single" w:sz="4" w:space="0" w:color="auto"/>
              <w:left w:val="single" w:sz="4" w:space="0" w:color="auto"/>
              <w:bottom w:val="single" w:sz="4" w:space="0" w:color="auto"/>
              <w:right w:val="single" w:sz="4" w:space="0" w:color="auto"/>
            </w:tcBorders>
            <w:vAlign w:val="center"/>
          </w:tcPr>
          <w:p w14:paraId="25F0CF85" w14:textId="77777777" w:rsidR="00D02BC8" w:rsidRPr="00D31EBB" w:rsidRDefault="00D02BC8" w:rsidP="008B6CCB">
            <w:pPr>
              <w:pStyle w:val="EMEABodyText"/>
              <w:keepNext/>
              <w:keepLines/>
            </w:pPr>
            <w:r>
              <w:t>C</w:t>
            </w:r>
            <w:r>
              <w:rPr>
                <w:vertAlign w:val="subscript"/>
              </w:rPr>
              <w:t>min</w:t>
            </w:r>
            <w:r>
              <w:t xml:space="preserve"> ng/mL</w:t>
            </w:r>
            <w:r>
              <w:rPr>
                <w:sz w:val="28"/>
                <w:vertAlign w:val="superscript"/>
              </w:rPr>
              <w:t>b</w:t>
            </w:r>
          </w:p>
          <w:p w14:paraId="2255E32E" w14:textId="77777777" w:rsidR="00D02BC8" w:rsidRPr="00D31EBB" w:rsidRDefault="00D02BC8" w:rsidP="008B6CCB">
            <w:pPr>
              <w:pStyle w:val="EMEABodyText"/>
              <w:keepNext/>
              <w:keepLines/>
              <w:rPr>
                <w:sz w:val="20"/>
              </w:rPr>
            </w:pPr>
            <w:r>
              <w:rPr>
                <w:sz w:val="20"/>
              </w:rPr>
              <w:tab/>
              <w:t>Geometric mean (CV%)</w:t>
            </w:r>
          </w:p>
        </w:tc>
        <w:tc>
          <w:tcPr>
            <w:tcW w:w="2017" w:type="dxa"/>
            <w:tcBorders>
              <w:top w:val="single" w:sz="4" w:space="0" w:color="auto"/>
              <w:left w:val="single" w:sz="4" w:space="0" w:color="auto"/>
              <w:bottom w:val="single" w:sz="4" w:space="0" w:color="auto"/>
              <w:right w:val="single" w:sz="4" w:space="0" w:color="auto"/>
            </w:tcBorders>
            <w:vAlign w:val="center"/>
          </w:tcPr>
          <w:p w14:paraId="53F92896" w14:textId="77777777" w:rsidR="00D02BC8" w:rsidRPr="00656E99" w:rsidRDefault="00D02BC8" w:rsidP="008B6CCB">
            <w:pPr>
              <w:pStyle w:val="EMEABodyText"/>
              <w:keepNext/>
              <w:keepLines/>
              <w:jc w:val="center"/>
            </w:pPr>
            <w:r>
              <w:t>663.78</w:t>
            </w:r>
          </w:p>
          <w:p w14:paraId="1896EA45" w14:textId="77777777" w:rsidR="00D02BC8" w:rsidRPr="00656E99" w:rsidRDefault="00D02BC8" w:rsidP="008B6CCB">
            <w:pPr>
              <w:pStyle w:val="EMEABodyText"/>
              <w:keepNext/>
              <w:keepLines/>
              <w:jc w:val="center"/>
            </w:pPr>
            <w:r>
              <w:t>(36)</w:t>
            </w:r>
          </w:p>
        </w:tc>
        <w:tc>
          <w:tcPr>
            <w:tcW w:w="2017" w:type="dxa"/>
            <w:tcBorders>
              <w:top w:val="single" w:sz="4" w:space="0" w:color="auto"/>
              <w:left w:val="single" w:sz="4" w:space="0" w:color="auto"/>
              <w:bottom w:val="single" w:sz="4" w:space="0" w:color="auto"/>
              <w:right w:val="single" w:sz="4" w:space="0" w:color="auto"/>
            </w:tcBorders>
            <w:vAlign w:val="center"/>
          </w:tcPr>
          <w:p w14:paraId="70A6227E" w14:textId="77777777" w:rsidR="00D02BC8" w:rsidRPr="00656E99" w:rsidRDefault="00D02BC8" w:rsidP="008B6CCB">
            <w:pPr>
              <w:pStyle w:val="EMEABodyText"/>
              <w:keepNext/>
              <w:keepLines/>
              <w:jc w:val="center"/>
            </w:pPr>
            <w:r>
              <w:t>668.48</w:t>
            </w:r>
          </w:p>
          <w:p w14:paraId="30863C47" w14:textId="77777777" w:rsidR="00D02BC8" w:rsidRPr="00656E99" w:rsidRDefault="00D02BC8" w:rsidP="008B6CCB">
            <w:pPr>
              <w:pStyle w:val="EMEABodyText"/>
              <w:keepNext/>
              <w:keepLines/>
              <w:jc w:val="center"/>
            </w:pPr>
            <w:r>
              <w:t>(50)</w:t>
            </w:r>
          </w:p>
        </w:tc>
        <w:tc>
          <w:tcPr>
            <w:tcW w:w="2017" w:type="dxa"/>
            <w:tcBorders>
              <w:top w:val="single" w:sz="4" w:space="0" w:color="auto"/>
              <w:left w:val="single" w:sz="4" w:space="0" w:color="auto"/>
              <w:bottom w:val="single" w:sz="4" w:space="0" w:color="auto"/>
              <w:right w:val="single" w:sz="4" w:space="0" w:color="auto"/>
            </w:tcBorders>
            <w:vAlign w:val="center"/>
          </w:tcPr>
          <w:p w14:paraId="28C3370D" w14:textId="77777777" w:rsidR="00D02BC8" w:rsidRPr="004F3582" w:rsidRDefault="00D02BC8" w:rsidP="008B6CCB">
            <w:pPr>
              <w:pStyle w:val="EMEABodyText"/>
              <w:keepNext/>
              <w:keepLines/>
              <w:jc w:val="center"/>
            </w:pPr>
            <w:r>
              <w:t>1420.64</w:t>
            </w:r>
          </w:p>
          <w:p w14:paraId="6423BD98" w14:textId="77777777" w:rsidR="00D02BC8" w:rsidRPr="004F3582" w:rsidRDefault="00D02BC8" w:rsidP="008B6CCB">
            <w:pPr>
              <w:pStyle w:val="EMEABodyText"/>
              <w:keepNext/>
              <w:keepLines/>
              <w:jc w:val="center"/>
            </w:pPr>
            <w:r>
              <w:t>(47)</w:t>
            </w:r>
          </w:p>
        </w:tc>
      </w:tr>
      <w:tr w:rsidR="00D02BC8" w:rsidRPr="004F3582" w14:paraId="0F454730" w14:textId="77777777" w:rsidTr="008B6CCB">
        <w:tc>
          <w:tcPr>
            <w:tcW w:w="8931" w:type="dxa"/>
            <w:gridSpan w:val="4"/>
            <w:tcBorders>
              <w:top w:val="single" w:sz="4" w:space="0" w:color="auto"/>
              <w:bottom w:val="nil"/>
            </w:tcBorders>
          </w:tcPr>
          <w:p w14:paraId="4A1C897A" w14:textId="77777777" w:rsidR="00D02BC8" w:rsidRPr="00D31EBB" w:rsidRDefault="00D02BC8" w:rsidP="008B6CCB">
            <w:pPr>
              <w:pStyle w:val="EMEABodyText"/>
              <w:rPr>
                <w:sz w:val="18"/>
              </w:rPr>
            </w:pPr>
            <w:r>
              <w:rPr>
                <w:sz w:val="18"/>
                <w:vertAlign w:val="superscript"/>
              </w:rPr>
              <w:t xml:space="preserve">a </w:t>
            </w:r>
            <w:r>
              <w:rPr>
                <w:sz w:val="18"/>
              </w:rPr>
              <w:t>Atazanavir peak concentrations and AUCs were found to be approximately 26-40% higher during the postpartum period (4-12 weeks) than those observed historically in HIV infected, non-pregnant patients. Atazanavir plasma trough concentrations were approximately 2-fold higher during the postpartum period when compared to those observed historically in HIV infected non-pregnant patients.</w:t>
            </w:r>
          </w:p>
          <w:p w14:paraId="43D2F672" w14:textId="77777777" w:rsidR="00D02BC8" w:rsidRPr="004F3582" w:rsidRDefault="00D02BC8" w:rsidP="008B6CCB">
            <w:pPr>
              <w:pStyle w:val="EMEABodyText"/>
              <w:rPr>
                <w:sz w:val="18"/>
              </w:rPr>
            </w:pPr>
            <w:r>
              <w:rPr>
                <w:sz w:val="18"/>
                <w:vertAlign w:val="superscript"/>
              </w:rPr>
              <w:t xml:space="preserve">b </w:t>
            </w:r>
            <w:r>
              <w:rPr>
                <w:sz w:val="18"/>
              </w:rPr>
              <w:t>C</w:t>
            </w:r>
            <w:r>
              <w:rPr>
                <w:sz w:val="18"/>
                <w:vertAlign w:val="subscript"/>
              </w:rPr>
              <w:t>min</w:t>
            </w:r>
            <w:r>
              <w:rPr>
                <w:sz w:val="18"/>
              </w:rPr>
              <w:t xml:space="preserve"> is concentration 24 hours post-dose.</w:t>
            </w:r>
          </w:p>
        </w:tc>
      </w:tr>
    </w:tbl>
    <w:p w14:paraId="6FC8B2C2" w14:textId="77777777" w:rsidR="00D02BC8" w:rsidRPr="004F3582" w:rsidRDefault="00D02BC8" w:rsidP="008B6CCB">
      <w:pPr>
        <w:pStyle w:val="EMEABodyText"/>
      </w:pPr>
    </w:p>
    <w:p w14:paraId="017EB0C5" w14:textId="77777777" w:rsidR="00D02BC8" w:rsidRPr="004F3582" w:rsidRDefault="00D02BC8" w:rsidP="008B6CCB">
      <w:pPr>
        <w:pStyle w:val="EMEABodyText"/>
        <w:rPr>
          <w:i/>
        </w:rPr>
      </w:pPr>
      <w:r>
        <w:rPr>
          <w:i/>
        </w:rPr>
        <w:t>Paediatric population</w:t>
      </w:r>
    </w:p>
    <w:p w14:paraId="74502571" w14:textId="77777777" w:rsidR="00D02BC8" w:rsidRPr="00D31EBB" w:rsidRDefault="00016C8D" w:rsidP="008B6CCB">
      <w:pPr>
        <w:pStyle w:val="EMEABodyText"/>
      </w:pPr>
      <w:r>
        <w:t>There is a trend toward a higher clearance in younger children when normalised for body weight. As a result, greater peak to trough ratios are observed, however at recommended doses, geometric mean atazanavir exposures (C</w:t>
      </w:r>
      <w:r>
        <w:rPr>
          <w:vertAlign w:val="subscript"/>
        </w:rPr>
        <w:t>min</w:t>
      </w:r>
      <w:r>
        <w:t>, C</w:t>
      </w:r>
      <w:r>
        <w:rPr>
          <w:vertAlign w:val="subscript"/>
        </w:rPr>
        <w:t>max</w:t>
      </w:r>
      <w:r>
        <w:t xml:space="preserve"> and AUC) in paediatric patients are expected to be similar to those observed in adults. </w:t>
      </w:r>
    </w:p>
    <w:p w14:paraId="41B962E1" w14:textId="77777777" w:rsidR="00031B5D" w:rsidRPr="00D31EBB" w:rsidRDefault="00031B5D" w:rsidP="008B6CCB">
      <w:pPr>
        <w:pStyle w:val="EMEABodyText"/>
        <w:rPr>
          <w:lang w:val="en-US"/>
        </w:rPr>
      </w:pPr>
    </w:p>
    <w:p w14:paraId="0013164D" w14:textId="77777777" w:rsidR="00D02BC8" w:rsidRPr="00D31EBB" w:rsidRDefault="00D02BC8" w:rsidP="008B6CCB">
      <w:pPr>
        <w:pStyle w:val="EMEAHeading2"/>
        <w:rPr>
          <w:noProof/>
        </w:rPr>
      </w:pPr>
      <w:r>
        <w:t>5.3</w:t>
      </w:r>
      <w:r>
        <w:tab/>
        <w:t>Preclinical safety data</w:t>
      </w:r>
    </w:p>
    <w:p w14:paraId="774B432A" w14:textId="77777777" w:rsidR="00D02BC8" w:rsidRPr="00D31EBB" w:rsidRDefault="00D02BC8" w:rsidP="008B6CCB">
      <w:pPr>
        <w:pStyle w:val="EMEAHeading2"/>
        <w:rPr>
          <w:noProof/>
          <w:lang w:val="en-US"/>
        </w:rPr>
      </w:pPr>
    </w:p>
    <w:p w14:paraId="1D5C8F22" w14:textId="77777777" w:rsidR="00D02BC8" w:rsidRPr="00D31EBB" w:rsidRDefault="00D02BC8" w:rsidP="008B6CCB">
      <w:pPr>
        <w:pStyle w:val="EMEABodyText"/>
      </w:pPr>
      <w:r>
        <w:t>In repeat-dose toxicity studies, conducted in mice, rats, and dogs, atazanavir-related findings were generally confined to the liver and included generally minimal to mild increases in serum bilirubin and liver enzymes, hepatocellular vacuolation and hypertrophy, and, in female mice only, hepatic single-cell necrosis. Systemic exposures of atazanavir in mice (males), rats, and dogs at doses associated with hepatic changes were at least equal to that observed in humans given 400 mg once daily. In female mice, atazanavir exposure at a dose that produced single-cell necrosis was 12 times the exposure in humans given 400 mg once daily. Serum cholesterol and glucose were minimally to mildly increased in rats but not in mice or dogs.</w:t>
      </w:r>
    </w:p>
    <w:p w14:paraId="02EBC99F" w14:textId="77777777" w:rsidR="00D02BC8" w:rsidRPr="00D31EBB" w:rsidRDefault="00D02BC8" w:rsidP="008B6CCB">
      <w:pPr>
        <w:pStyle w:val="EMEABodyText"/>
        <w:rPr>
          <w:lang w:val="en-US"/>
        </w:rPr>
      </w:pPr>
    </w:p>
    <w:p w14:paraId="2AA28A11" w14:textId="77777777" w:rsidR="00D02BC8" w:rsidRPr="00D31EBB" w:rsidRDefault="00D02BC8" w:rsidP="008B6CCB">
      <w:pPr>
        <w:pStyle w:val="EMEABodyText"/>
      </w:pPr>
      <w:r>
        <w:t xml:space="preserve">During </w:t>
      </w:r>
      <w:r>
        <w:rPr>
          <w:i/>
        </w:rPr>
        <w:t>in vitro</w:t>
      </w:r>
      <w:r>
        <w:t xml:space="preserve"> studies, cloned human cardiac potassium channel (hERG), was inhibited by 15% at a concentration (30 μM) of atazanavir corresponding to 30 fold the free drug concentration at C</w:t>
      </w:r>
      <w:r>
        <w:rPr>
          <w:vertAlign w:val="subscript"/>
        </w:rPr>
        <w:t>max</w:t>
      </w:r>
      <w:r>
        <w:t xml:space="preserve"> in humans. Similar concentrations of atazanavir increased by 13% the action potential duration (APD</w:t>
      </w:r>
      <w:r>
        <w:rPr>
          <w:vertAlign w:val="subscript"/>
        </w:rPr>
        <w:t>90</w:t>
      </w:r>
      <w:r>
        <w:t>) in rabbit Purkinje fibres study. Electrocardiographic changes (sinus bradycardia, prolongation of PR interval, prolongation of QT interval, and prolongation of QRS complex) were observed only in an initial 2 week oral toxicity study performed in dogs. Subsequent 9 month oral toxicity studies in dogs showed no drug-related electrocardiographic changes. The clinical relevance of these non-clinical data is unknown. Potential cardiac effects of this product in humans cannot be ruled out (see sections 4.4 and 4.8). The potential for PR prolongation should be considered in cases of overdose (see section 4.9).</w:t>
      </w:r>
    </w:p>
    <w:p w14:paraId="38977596" w14:textId="77777777" w:rsidR="00D02BC8" w:rsidRPr="00D31EBB" w:rsidRDefault="00D02BC8" w:rsidP="008B6CCB">
      <w:pPr>
        <w:pStyle w:val="EMEABodyText"/>
        <w:rPr>
          <w:lang w:val="en-US"/>
        </w:rPr>
      </w:pPr>
    </w:p>
    <w:p w14:paraId="2586C9F2" w14:textId="77777777" w:rsidR="00D02BC8" w:rsidRPr="00D31EBB" w:rsidRDefault="00D02BC8" w:rsidP="008B6CCB">
      <w:pPr>
        <w:pStyle w:val="EMEABodyText"/>
      </w:pPr>
      <w:r>
        <w:t>In a fertility and early embryonic development study in rats, atazanavir altered oestrus cycling with no effects on mating or fertility. No teratogenic effects were observed in rats or rabbits at maternally toxic doses. In pregnant rabbits, gross lesions of the stomach and intestines were observed in dead or moribund does at maternal doses 2 and 4 times the highest dose administered in the definitive embryo-development study. In the pre- and postnatal development assessment in rats, atazanavir produced a transient reduction in body weight in the offspring at a maternally toxic dose. Systemic exposure to atazanavir at doses that resulted in maternal toxicity was at least equal to or slightly greater than that observed in humans given 400 mg once daily.</w:t>
      </w:r>
    </w:p>
    <w:p w14:paraId="3EFE0335" w14:textId="77777777" w:rsidR="00D02BC8" w:rsidRPr="00D31EBB" w:rsidRDefault="00D02BC8" w:rsidP="008B6CCB">
      <w:pPr>
        <w:pStyle w:val="EMEABodyText"/>
        <w:rPr>
          <w:lang w:val="en-US"/>
        </w:rPr>
      </w:pPr>
    </w:p>
    <w:p w14:paraId="31CDEE3C" w14:textId="77777777" w:rsidR="00D02BC8" w:rsidRPr="00D31EBB" w:rsidRDefault="00D02BC8" w:rsidP="008B6CCB">
      <w:pPr>
        <w:pStyle w:val="EMEABodyText"/>
      </w:pPr>
      <w:r>
        <w:t xml:space="preserve">Atazanavir was negative in an Ames reverse-mutation assay but did induce chromosomal aberrations </w:t>
      </w:r>
      <w:r>
        <w:rPr>
          <w:i/>
        </w:rPr>
        <w:t>in vitro</w:t>
      </w:r>
      <w:r>
        <w:t xml:space="preserve"> in both the absence and presence of metabolic activation. In </w:t>
      </w:r>
      <w:r>
        <w:rPr>
          <w:i/>
        </w:rPr>
        <w:t>in vivo</w:t>
      </w:r>
      <w:r>
        <w:t xml:space="preserve"> studies in rats, atazanavir did not induce micronuclei in bone marrow, DNA damage in duodenum (comet assay), or unscheduled DNA repair in liver at plasma and tissue concentrations exceeding those that were clastogenic </w:t>
      </w:r>
      <w:r>
        <w:rPr>
          <w:i/>
        </w:rPr>
        <w:t>in vitro</w:t>
      </w:r>
      <w:r>
        <w:t>.</w:t>
      </w:r>
    </w:p>
    <w:p w14:paraId="44392F71" w14:textId="77777777" w:rsidR="00D02BC8" w:rsidRPr="00D31EBB" w:rsidRDefault="00D02BC8" w:rsidP="008B6CCB">
      <w:pPr>
        <w:pStyle w:val="EMEABodyText"/>
        <w:rPr>
          <w:lang w:val="en-US"/>
        </w:rPr>
      </w:pPr>
    </w:p>
    <w:p w14:paraId="60DDCC01" w14:textId="77777777" w:rsidR="00D02BC8" w:rsidRPr="00D31EBB" w:rsidRDefault="00D02BC8" w:rsidP="008B6CCB">
      <w:pPr>
        <w:pStyle w:val="EMEABodyText"/>
      </w:pPr>
      <w:r>
        <w:t>In long-term carcinogenicity studies of atazanavir in mice and rats, an increased incidence of benign hepatic adenomas was seen in female mice only. The increased incidence of benign hepatic adenomas in female mice was likely secondary to cytotoxic liver changes manifested by single-cell necrosis and is considered to have no relevance for humans at intended therapeutic exposures. There were no tumorigenic findings in male mice or in rats.</w:t>
      </w:r>
    </w:p>
    <w:p w14:paraId="37E826EB" w14:textId="77777777" w:rsidR="00D02BC8" w:rsidRPr="00D31EBB" w:rsidRDefault="00D02BC8" w:rsidP="008B6CCB">
      <w:pPr>
        <w:pStyle w:val="EMEABodyText"/>
        <w:jc w:val="both"/>
        <w:rPr>
          <w:lang w:val="en-US"/>
        </w:rPr>
      </w:pPr>
    </w:p>
    <w:p w14:paraId="6029D611" w14:textId="77777777" w:rsidR="00D02BC8" w:rsidRPr="00D31EBB" w:rsidRDefault="00D02BC8" w:rsidP="008B6CCB">
      <w:pPr>
        <w:pStyle w:val="EMEABodyText"/>
      </w:pPr>
      <w:r>
        <w:t xml:space="preserve">Atazanavir increased opacity of bovine corneas in an </w:t>
      </w:r>
      <w:r>
        <w:rPr>
          <w:i/>
        </w:rPr>
        <w:t>in vitro</w:t>
      </w:r>
      <w:r>
        <w:t xml:space="preserve"> ocular irritation study, indicating it may be an ocular irritant upon direct contact with the eye.</w:t>
      </w:r>
    </w:p>
    <w:p w14:paraId="40063C11" w14:textId="77777777" w:rsidR="00D02BC8" w:rsidRPr="00D31EBB" w:rsidRDefault="00D02BC8" w:rsidP="008B6CCB">
      <w:pPr>
        <w:pStyle w:val="EMEABodyText"/>
        <w:rPr>
          <w:b/>
          <w:noProof/>
          <w:lang w:val="en-US"/>
        </w:rPr>
      </w:pPr>
    </w:p>
    <w:p w14:paraId="4A3B359C" w14:textId="77777777" w:rsidR="00D02BC8" w:rsidRPr="00D31EBB" w:rsidRDefault="00D02BC8" w:rsidP="008B6CCB">
      <w:pPr>
        <w:pStyle w:val="EMEABodyText"/>
        <w:rPr>
          <w:noProof/>
          <w:lang w:val="en-US"/>
        </w:rPr>
      </w:pPr>
    </w:p>
    <w:p w14:paraId="5C848EEA" w14:textId="77777777" w:rsidR="00D02BC8" w:rsidRPr="00D31EBB" w:rsidRDefault="00D02BC8" w:rsidP="008B6CCB">
      <w:pPr>
        <w:pStyle w:val="EMEAHeading1"/>
        <w:rPr>
          <w:noProof/>
        </w:rPr>
      </w:pPr>
      <w:r>
        <w:t>6.</w:t>
      </w:r>
      <w:r>
        <w:tab/>
        <w:t>PHARMACEUTICAL PARTICULARS</w:t>
      </w:r>
    </w:p>
    <w:p w14:paraId="646BA0C4" w14:textId="77777777" w:rsidR="00D02BC8" w:rsidRPr="00D31EBB" w:rsidRDefault="00D02BC8" w:rsidP="008B6CCB">
      <w:pPr>
        <w:pStyle w:val="EMEAHeading1"/>
        <w:rPr>
          <w:noProof/>
          <w:lang w:val="en-US"/>
        </w:rPr>
      </w:pPr>
    </w:p>
    <w:p w14:paraId="10035F6A" w14:textId="77777777" w:rsidR="00D02BC8" w:rsidRPr="00D31EBB" w:rsidRDefault="00D02BC8" w:rsidP="008B6CCB">
      <w:pPr>
        <w:pStyle w:val="EMEAHeading2"/>
        <w:rPr>
          <w:noProof/>
        </w:rPr>
      </w:pPr>
      <w:r>
        <w:t>6.1</w:t>
      </w:r>
      <w:r>
        <w:tab/>
        <w:t>List of excipients</w:t>
      </w:r>
    </w:p>
    <w:p w14:paraId="6C7021AC" w14:textId="77777777" w:rsidR="00D02BC8" w:rsidRPr="00D31EBB" w:rsidRDefault="00D02BC8" w:rsidP="008B6CCB">
      <w:pPr>
        <w:pStyle w:val="EMEAHeading2"/>
        <w:rPr>
          <w:noProof/>
          <w:lang w:val="en-US"/>
        </w:rPr>
      </w:pPr>
    </w:p>
    <w:p w14:paraId="24C8BE38" w14:textId="77777777" w:rsidR="00EF4C08" w:rsidRPr="00D31EBB" w:rsidRDefault="00EF4C08" w:rsidP="00EF4C08">
      <w:pPr>
        <w:pStyle w:val="EMEABodyText"/>
        <w:rPr>
          <w:u w:val="single"/>
        </w:rPr>
      </w:pPr>
      <w:r>
        <w:rPr>
          <w:u w:val="single"/>
        </w:rPr>
        <w:t>REYATAZ 100 mg hard capsules</w:t>
      </w:r>
    </w:p>
    <w:p w14:paraId="44363233" w14:textId="77777777" w:rsidR="00ED5AED" w:rsidRPr="00D31EBB" w:rsidRDefault="00EF4C08">
      <w:pPr>
        <w:pStyle w:val="EMEABodyText"/>
        <w:keepNext/>
      </w:pPr>
      <w:r>
        <w:t>Capsule contents: crospovidone, lactose monohydrate and magnesium stearate</w:t>
      </w:r>
    </w:p>
    <w:p w14:paraId="6E30AFC8" w14:textId="77777777" w:rsidR="00EF4C08" w:rsidRPr="00D31EBB" w:rsidRDefault="00EF4C08" w:rsidP="00EF4C08">
      <w:pPr>
        <w:pStyle w:val="EMEABodyText"/>
        <w:rPr>
          <w:lang w:val="en-US"/>
        </w:rPr>
      </w:pPr>
    </w:p>
    <w:p w14:paraId="5CD48304" w14:textId="77777777" w:rsidR="00ED5AED" w:rsidRPr="00D31EBB" w:rsidRDefault="00EF4C08">
      <w:pPr>
        <w:pStyle w:val="EMEABodyText"/>
        <w:keepNext/>
      </w:pPr>
      <w:r>
        <w:t>Capsule shells: gelatine, indigocarmin (E132) and titanium dioxide (E171)</w:t>
      </w:r>
    </w:p>
    <w:p w14:paraId="5FB317ED" w14:textId="77777777" w:rsidR="00EF4C08" w:rsidRPr="00D31EBB" w:rsidRDefault="00EF4C08" w:rsidP="00EF4C08">
      <w:pPr>
        <w:pStyle w:val="EMEABodyText"/>
        <w:rPr>
          <w:lang w:val="en-US"/>
        </w:rPr>
      </w:pPr>
    </w:p>
    <w:p w14:paraId="74A9D961" w14:textId="77777777" w:rsidR="00EF4C08" w:rsidRPr="00D31EBB" w:rsidRDefault="00EF4C08" w:rsidP="00EF4C08">
      <w:pPr>
        <w:pStyle w:val="EMEABodyText"/>
      </w:pPr>
      <w:r>
        <w:t>Blue ink containing: shellac, propylene glycol, ammonium hydroxide and indigocarmin (E132)</w:t>
      </w:r>
    </w:p>
    <w:p w14:paraId="330548DD" w14:textId="77777777" w:rsidR="00EF4C08" w:rsidRPr="00D31EBB" w:rsidRDefault="00EF4C08" w:rsidP="00EF4C08">
      <w:pPr>
        <w:pStyle w:val="EMEABodyText"/>
        <w:rPr>
          <w:lang w:val="en-US"/>
        </w:rPr>
      </w:pPr>
    </w:p>
    <w:p w14:paraId="6CC90C0A" w14:textId="77777777" w:rsidR="00EF4C08" w:rsidRPr="00D31EBB" w:rsidRDefault="00EF4C08" w:rsidP="00EF4C08">
      <w:pPr>
        <w:pStyle w:val="EMEABodyText"/>
      </w:pPr>
      <w:r>
        <w:t>White ink containing: shellac, titanium dioxide (E171), ammonium hydroxide, propylene glycol and simethicone</w:t>
      </w:r>
    </w:p>
    <w:p w14:paraId="77DFDFF4" w14:textId="77777777" w:rsidR="00EF4C08" w:rsidRPr="00D31EBB" w:rsidRDefault="00EF4C08" w:rsidP="00EF4C08">
      <w:pPr>
        <w:pStyle w:val="EMEABodyText"/>
        <w:rPr>
          <w:lang w:val="en-US"/>
        </w:rPr>
      </w:pPr>
    </w:p>
    <w:p w14:paraId="629F8B73" w14:textId="77777777" w:rsidR="00EF4C08" w:rsidRPr="00D31EBB" w:rsidRDefault="00EF4C08" w:rsidP="00EF4C08">
      <w:pPr>
        <w:pStyle w:val="EMEABodyText"/>
      </w:pPr>
      <w:r>
        <w:rPr>
          <w:u w:val="single"/>
        </w:rPr>
        <w:t>REYATAZ 150 mg hard capsules</w:t>
      </w:r>
    </w:p>
    <w:p w14:paraId="1DB5A5B4" w14:textId="77777777" w:rsidR="00EF4C08" w:rsidRPr="00D31EBB" w:rsidRDefault="00EF4C08" w:rsidP="00EF4C08">
      <w:pPr>
        <w:pStyle w:val="EMEABodyText"/>
        <w:keepNext/>
      </w:pPr>
      <w:r>
        <w:t>Capsule contents: crospovidone, lactose monohydrate and magnesium stearate</w:t>
      </w:r>
    </w:p>
    <w:p w14:paraId="5CA2A595" w14:textId="77777777" w:rsidR="00EF4C08" w:rsidRPr="00D31EBB" w:rsidRDefault="00EF4C08" w:rsidP="00EF4C08">
      <w:pPr>
        <w:pStyle w:val="EMEABodyText"/>
        <w:rPr>
          <w:lang w:val="en-US"/>
        </w:rPr>
      </w:pPr>
    </w:p>
    <w:p w14:paraId="66B731FF" w14:textId="77777777" w:rsidR="00EF4C08" w:rsidRPr="00D31EBB" w:rsidRDefault="00EF4C08" w:rsidP="00EF4C08">
      <w:pPr>
        <w:pStyle w:val="EMEABodyText"/>
        <w:keepNext/>
      </w:pPr>
      <w:r>
        <w:t>Capsule shells: gelatine, indigocarmin (E132) and titanium dioxide (E171)</w:t>
      </w:r>
    </w:p>
    <w:p w14:paraId="1D0600EB" w14:textId="77777777" w:rsidR="00EF4C08" w:rsidRPr="00D31EBB" w:rsidRDefault="00EF4C08" w:rsidP="00EF4C08">
      <w:pPr>
        <w:pStyle w:val="EMEABodyText"/>
        <w:rPr>
          <w:lang w:val="en-US"/>
        </w:rPr>
      </w:pPr>
    </w:p>
    <w:p w14:paraId="0A5E05D3" w14:textId="77777777" w:rsidR="00EF4C08" w:rsidRPr="00D31EBB" w:rsidRDefault="00EF4C08" w:rsidP="00EF4C08">
      <w:pPr>
        <w:pStyle w:val="EMEABodyText"/>
      </w:pPr>
      <w:r>
        <w:t>Blue ink containing: shellac, propylene glycol, ammonium hydroxide and indigocarmin (E132)</w:t>
      </w:r>
    </w:p>
    <w:p w14:paraId="541229F2" w14:textId="77777777" w:rsidR="00EF4C08" w:rsidRPr="00D31EBB" w:rsidRDefault="00EF4C08" w:rsidP="00EF4C08">
      <w:pPr>
        <w:pStyle w:val="EMEABodyText"/>
        <w:rPr>
          <w:lang w:val="en-US"/>
        </w:rPr>
      </w:pPr>
    </w:p>
    <w:p w14:paraId="57E00EE4" w14:textId="77777777" w:rsidR="00EF4C08" w:rsidRPr="00D31EBB" w:rsidRDefault="00EF4C08" w:rsidP="00EF4C08">
      <w:pPr>
        <w:pStyle w:val="EMEABodyText"/>
      </w:pPr>
      <w:r>
        <w:t>White ink containing: shellac, titanium dioxide (E171), ammonium hydroxide, propylene glycol and simethicone</w:t>
      </w:r>
    </w:p>
    <w:p w14:paraId="49A822D6" w14:textId="77777777" w:rsidR="00EF4C08" w:rsidRPr="00D31EBB" w:rsidRDefault="00EF4C08" w:rsidP="00EF4C08">
      <w:pPr>
        <w:pStyle w:val="EMEABodyText"/>
        <w:rPr>
          <w:lang w:val="en-US"/>
        </w:rPr>
      </w:pPr>
    </w:p>
    <w:p w14:paraId="524D35B2" w14:textId="77777777" w:rsidR="00EF4C08" w:rsidRPr="00D31EBB" w:rsidRDefault="00EF4C08" w:rsidP="00EF4C08">
      <w:pPr>
        <w:pStyle w:val="EMEABodyText"/>
        <w:rPr>
          <w:u w:val="single"/>
        </w:rPr>
      </w:pPr>
      <w:r>
        <w:rPr>
          <w:u w:val="single"/>
        </w:rPr>
        <w:t>REYATAZ 200 mg hard capsules</w:t>
      </w:r>
    </w:p>
    <w:p w14:paraId="7711D237" w14:textId="77777777" w:rsidR="00EF4C08" w:rsidRPr="00D31EBB" w:rsidRDefault="00EF4C08" w:rsidP="00EF4C08">
      <w:pPr>
        <w:pStyle w:val="EMEABodyText"/>
        <w:keepNext/>
      </w:pPr>
      <w:r>
        <w:t>Capsule contents: crospovidone, lactose monohydrate and magnesium stearate</w:t>
      </w:r>
    </w:p>
    <w:p w14:paraId="01BA7F0C" w14:textId="77777777" w:rsidR="00EF4C08" w:rsidRPr="00D31EBB" w:rsidRDefault="00EF4C08" w:rsidP="00EF4C08">
      <w:pPr>
        <w:pStyle w:val="EMEABodyText"/>
        <w:rPr>
          <w:lang w:val="en-US"/>
        </w:rPr>
      </w:pPr>
    </w:p>
    <w:p w14:paraId="6AA89499" w14:textId="77777777" w:rsidR="00EF4C08" w:rsidRPr="00D31EBB" w:rsidRDefault="00EF4C08" w:rsidP="00EF4C08">
      <w:pPr>
        <w:pStyle w:val="EMEABodyText"/>
        <w:keepNext/>
      </w:pPr>
      <w:r>
        <w:t>Capsule shells: gelatine, indigocarmin (E132) and titanium dioxide (E171)</w:t>
      </w:r>
    </w:p>
    <w:p w14:paraId="605995FD" w14:textId="77777777" w:rsidR="00EF4C08" w:rsidRPr="00D31EBB" w:rsidRDefault="00EF4C08" w:rsidP="00EF4C08">
      <w:pPr>
        <w:pStyle w:val="EMEABodyText"/>
        <w:rPr>
          <w:lang w:val="en-US"/>
        </w:rPr>
      </w:pPr>
    </w:p>
    <w:p w14:paraId="67DBE4AC" w14:textId="77777777" w:rsidR="00EF4C08" w:rsidRPr="00D31EBB" w:rsidRDefault="00EF4C08" w:rsidP="00EF4C08">
      <w:pPr>
        <w:pStyle w:val="EMEABodyText"/>
      </w:pPr>
      <w:r>
        <w:t>White ink containing: shellac, titanium dioxide (E171), ammonium hydroxide, propylene glycol and simethicone</w:t>
      </w:r>
    </w:p>
    <w:p w14:paraId="79E08B8C" w14:textId="77777777" w:rsidR="00EF4C08" w:rsidRPr="00D31EBB" w:rsidRDefault="00EF4C08" w:rsidP="00EF4C08">
      <w:pPr>
        <w:pStyle w:val="EMEABodyText"/>
        <w:rPr>
          <w:u w:val="single"/>
          <w:lang w:val="en-US"/>
        </w:rPr>
      </w:pPr>
    </w:p>
    <w:p w14:paraId="36567DBC" w14:textId="77777777" w:rsidR="00EF4C08" w:rsidRPr="00D31EBB" w:rsidRDefault="00EF4C08" w:rsidP="00EF4C08">
      <w:pPr>
        <w:pStyle w:val="EMEABodyText"/>
        <w:rPr>
          <w:u w:val="single"/>
        </w:rPr>
      </w:pPr>
      <w:r>
        <w:rPr>
          <w:u w:val="single"/>
        </w:rPr>
        <w:t>REYATAZ 300 mg hard capsules</w:t>
      </w:r>
    </w:p>
    <w:p w14:paraId="2F226326" w14:textId="77777777" w:rsidR="00EF4C08" w:rsidRPr="00D31EBB" w:rsidRDefault="00EF4C08" w:rsidP="00EF4C08">
      <w:pPr>
        <w:pStyle w:val="EMEABodyText"/>
        <w:keepNext/>
      </w:pPr>
      <w:r>
        <w:t>Capsule contents: crospovidone, lactose monohydrate and magnesium stearate</w:t>
      </w:r>
    </w:p>
    <w:p w14:paraId="55427814" w14:textId="77777777" w:rsidR="00EF4C08" w:rsidRPr="00D31EBB" w:rsidRDefault="00EF4C08" w:rsidP="00EF4C08">
      <w:pPr>
        <w:pStyle w:val="EMEABodyText"/>
        <w:rPr>
          <w:lang w:val="en-US"/>
        </w:rPr>
      </w:pPr>
    </w:p>
    <w:p w14:paraId="720577D8" w14:textId="77777777" w:rsidR="00EF4C08" w:rsidRPr="00D31EBB" w:rsidRDefault="00EF4C08" w:rsidP="00EF4C08">
      <w:pPr>
        <w:pStyle w:val="EMEABodyText"/>
        <w:keepNext/>
      </w:pPr>
      <w:r>
        <w:t>Capsule shells: gelatine, red iron oxide, black iron oxide, yellow iron oxide, indigocarmin (E132) and titanium dioxide (E171)</w:t>
      </w:r>
    </w:p>
    <w:p w14:paraId="56D39ED7" w14:textId="77777777" w:rsidR="00EF4C08" w:rsidRPr="00D31EBB" w:rsidRDefault="00EF4C08" w:rsidP="00EF4C08">
      <w:pPr>
        <w:pStyle w:val="EMEABodyText"/>
        <w:rPr>
          <w:lang w:val="en-US"/>
        </w:rPr>
      </w:pPr>
    </w:p>
    <w:p w14:paraId="0F81843C" w14:textId="77777777" w:rsidR="00EF4C08" w:rsidRPr="00D31EBB" w:rsidRDefault="00EF4C08" w:rsidP="00EF4C08">
      <w:pPr>
        <w:pStyle w:val="EMEABodyText"/>
      </w:pPr>
      <w:r>
        <w:t>White ink containing: shellac, titanium dioxide (E171), ammonium hydroxide, propylene glycol and simethicone</w:t>
      </w:r>
    </w:p>
    <w:p w14:paraId="76BABB60" w14:textId="77777777" w:rsidR="00EF4C08" w:rsidRPr="00D31EBB" w:rsidRDefault="00EF4C08" w:rsidP="008B6CCB">
      <w:pPr>
        <w:pStyle w:val="EMEABodyText"/>
        <w:rPr>
          <w:lang w:val="en-US"/>
        </w:rPr>
      </w:pPr>
    </w:p>
    <w:p w14:paraId="74B339F3" w14:textId="77777777" w:rsidR="00D02BC8" w:rsidRPr="00D31EBB" w:rsidRDefault="00D02BC8" w:rsidP="008B6CCB">
      <w:pPr>
        <w:pStyle w:val="EMEAHeading2"/>
        <w:rPr>
          <w:noProof/>
        </w:rPr>
      </w:pPr>
      <w:r>
        <w:t>6.2</w:t>
      </w:r>
      <w:r>
        <w:tab/>
        <w:t>Incompatibilities</w:t>
      </w:r>
    </w:p>
    <w:p w14:paraId="1AC304A8" w14:textId="77777777" w:rsidR="00D02BC8" w:rsidRPr="00D31EBB" w:rsidRDefault="00D02BC8" w:rsidP="008B6CCB">
      <w:pPr>
        <w:pStyle w:val="EMEAHeading2"/>
        <w:rPr>
          <w:noProof/>
          <w:lang w:val="en-US"/>
        </w:rPr>
      </w:pPr>
    </w:p>
    <w:p w14:paraId="469671BB" w14:textId="77777777" w:rsidR="00D02BC8" w:rsidRPr="00D31EBB" w:rsidRDefault="00D02BC8" w:rsidP="008B6CCB">
      <w:pPr>
        <w:pStyle w:val="EMEABodyText"/>
        <w:rPr>
          <w:noProof/>
        </w:rPr>
      </w:pPr>
      <w:r>
        <w:t>Not applicable.</w:t>
      </w:r>
    </w:p>
    <w:p w14:paraId="1495DE77" w14:textId="77777777" w:rsidR="00D02BC8" w:rsidRPr="00D31EBB" w:rsidRDefault="00D02BC8" w:rsidP="008B6CCB">
      <w:pPr>
        <w:pStyle w:val="EMEABodyText"/>
        <w:rPr>
          <w:noProof/>
          <w:lang w:val="en-US"/>
        </w:rPr>
      </w:pPr>
    </w:p>
    <w:p w14:paraId="5484324D" w14:textId="77777777" w:rsidR="00D02BC8" w:rsidRPr="00D31EBB" w:rsidRDefault="00D02BC8" w:rsidP="008B6CCB">
      <w:pPr>
        <w:pStyle w:val="EMEAHeading2"/>
        <w:rPr>
          <w:noProof/>
        </w:rPr>
      </w:pPr>
      <w:r>
        <w:t>6.3</w:t>
      </w:r>
      <w:r>
        <w:tab/>
        <w:t>Shelf life</w:t>
      </w:r>
    </w:p>
    <w:p w14:paraId="6E8AA137" w14:textId="77777777" w:rsidR="00D02BC8" w:rsidRPr="00D31EBB" w:rsidRDefault="00D02BC8" w:rsidP="008B6CCB">
      <w:pPr>
        <w:pStyle w:val="EMEAHeading2"/>
        <w:rPr>
          <w:noProof/>
          <w:lang w:val="en-US"/>
        </w:rPr>
      </w:pPr>
    </w:p>
    <w:p w14:paraId="5757B4BD" w14:textId="77777777" w:rsidR="00D02BC8" w:rsidRPr="00D31EBB" w:rsidRDefault="00D02BC8" w:rsidP="008B6CCB">
      <w:pPr>
        <w:pStyle w:val="EMEABodyText"/>
        <w:rPr>
          <w:noProof/>
        </w:rPr>
      </w:pPr>
      <w:r>
        <w:t>2 years</w:t>
      </w:r>
    </w:p>
    <w:p w14:paraId="5ABD96F1" w14:textId="77777777" w:rsidR="00D02BC8" w:rsidRPr="00D31EBB" w:rsidRDefault="00D02BC8" w:rsidP="008B6CCB">
      <w:pPr>
        <w:pStyle w:val="EMEABodyText"/>
        <w:rPr>
          <w:noProof/>
          <w:lang w:val="en-US"/>
        </w:rPr>
      </w:pPr>
    </w:p>
    <w:p w14:paraId="3654850D" w14:textId="77777777" w:rsidR="00D02BC8" w:rsidRPr="00D31EBB" w:rsidRDefault="00D02BC8" w:rsidP="008B6CCB">
      <w:pPr>
        <w:pStyle w:val="EMEAHeading2"/>
        <w:rPr>
          <w:noProof/>
        </w:rPr>
      </w:pPr>
      <w:r>
        <w:t>6.4</w:t>
      </w:r>
      <w:r>
        <w:tab/>
        <w:t>Special precautions for storage</w:t>
      </w:r>
    </w:p>
    <w:p w14:paraId="638113F8" w14:textId="77777777" w:rsidR="00D02BC8" w:rsidRPr="00D31EBB" w:rsidRDefault="00D02BC8" w:rsidP="008B6CCB">
      <w:pPr>
        <w:pStyle w:val="EMEAHeading2"/>
        <w:rPr>
          <w:lang w:val="en-US"/>
        </w:rPr>
      </w:pPr>
    </w:p>
    <w:p w14:paraId="69E7FF89" w14:textId="77777777" w:rsidR="00D02BC8" w:rsidRPr="00D31EBB" w:rsidRDefault="00D02BC8" w:rsidP="008B6CCB">
      <w:pPr>
        <w:pStyle w:val="EMEABodyText"/>
      </w:pPr>
      <w:r>
        <w:t>Do not store above 25°C.</w:t>
      </w:r>
    </w:p>
    <w:p w14:paraId="044320EF" w14:textId="77777777" w:rsidR="00D02BC8" w:rsidRPr="00D31EBB" w:rsidRDefault="00D02BC8" w:rsidP="008B6CCB">
      <w:pPr>
        <w:pStyle w:val="EMEABodyText"/>
        <w:rPr>
          <w:noProof/>
          <w:lang w:val="en-US"/>
        </w:rPr>
      </w:pPr>
    </w:p>
    <w:p w14:paraId="1E533576" w14:textId="77777777" w:rsidR="00D02BC8" w:rsidRPr="00D31EBB" w:rsidRDefault="00D02BC8" w:rsidP="008B6CCB">
      <w:pPr>
        <w:pStyle w:val="EMEAHeading2"/>
        <w:rPr>
          <w:noProof/>
        </w:rPr>
      </w:pPr>
      <w:r>
        <w:t>6.5</w:t>
      </w:r>
      <w:r>
        <w:tab/>
        <w:t>Nature and contents of container</w:t>
      </w:r>
    </w:p>
    <w:p w14:paraId="7936B207" w14:textId="77777777" w:rsidR="00D02BC8" w:rsidRPr="00D31EBB" w:rsidRDefault="00D02BC8" w:rsidP="008B6CCB">
      <w:pPr>
        <w:pStyle w:val="EMEAHeading2"/>
        <w:rPr>
          <w:noProof/>
          <w:lang w:val="en-US"/>
        </w:rPr>
      </w:pPr>
    </w:p>
    <w:p w14:paraId="42589F4B" w14:textId="77777777" w:rsidR="00EF4C08" w:rsidRPr="00D31EBB" w:rsidRDefault="00EF4C08" w:rsidP="00EF4C08">
      <w:pPr>
        <w:pStyle w:val="EMEABodyText"/>
        <w:rPr>
          <w:u w:val="single"/>
        </w:rPr>
      </w:pPr>
      <w:r>
        <w:rPr>
          <w:u w:val="single"/>
        </w:rPr>
        <w:t>REYATAZ 100 mg hard capsules</w:t>
      </w:r>
    </w:p>
    <w:p w14:paraId="5CE3D7B0" w14:textId="77777777" w:rsidR="00EF4C08" w:rsidRPr="00D31EBB" w:rsidRDefault="00EF4C08" w:rsidP="00EF4C08">
      <w:pPr>
        <w:pStyle w:val="EMEABodyText"/>
      </w:pPr>
      <w:r>
        <w:t>Each carton contains one high-density polyethylene (HDPE) bottle closed with child-resistant polypropylene closure. Each bottle contains 60 hard capsules.</w:t>
      </w:r>
    </w:p>
    <w:p w14:paraId="2BD653CE" w14:textId="77777777" w:rsidR="00EF4C08" w:rsidRPr="00D31EBB" w:rsidRDefault="00EF4C08" w:rsidP="00EF4C08">
      <w:pPr>
        <w:pStyle w:val="EMEABodyText"/>
        <w:rPr>
          <w:lang w:val="en-US"/>
        </w:rPr>
      </w:pPr>
    </w:p>
    <w:p w14:paraId="5859C9A5" w14:textId="77777777" w:rsidR="00EF4C08" w:rsidRPr="00D31EBB" w:rsidRDefault="00EF4C08" w:rsidP="00EF4C08">
      <w:pPr>
        <w:pStyle w:val="EMEABodyText"/>
      </w:pPr>
      <w:r>
        <w:t>Each carton contains 60 x 1 capsules; 10 blister cards of 6 x 1 capsules each in Alu/Alu perforated unit dose blisters.</w:t>
      </w:r>
    </w:p>
    <w:p w14:paraId="0799A78C" w14:textId="77777777" w:rsidR="00EF4C08" w:rsidRPr="00D31EBB" w:rsidRDefault="00EF4C08" w:rsidP="00EF4C08">
      <w:pPr>
        <w:pStyle w:val="EMEABodyText"/>
        <w:rPr>
          <w:lang w:val="en-US"/>
        </w:rPr>
      </w:pPr>
    </w:p>
    <w:p w14:paraId="2CBD48DA" w14:textId="77777777" w:rsidR="00EF4C08" w:rsidRPr="00D31EBB" w:rsidRDefault="00EF4C08" w:rsidP="00EF4C08">
      <w:pPr>
        <w:pStyle w:val="EMEABodyText"/>
        <w:rPr>
          <w:u w:val="single"/>
        </w:rPr>
      </w:pPr>
      <w:r>
        <w:rPr>
          <w:u w:val="single"/>
        </w:rPr>
        <w:t>REYATAZ 150 mg hard capsules</w:t>
      </w:r>
    </w:p>
    <w:p w14:paraId="74A0A65D" w14:textId="77777777" w:rsidR="00EF4C08" w:rsidRPr="00D31EBB" w:rsidRDefault="00EF4C08" w:rsidP="00EF4C08">
      <w:pPr>
        <w:pStyle w:val="EMEABodyText"/>
      </w:pPr>
      <w:r>
        <w:t>Each carton contains one high-density polyethylene (HDPE) bottle closed with child-resistant polypropylene closure. Each bottle contains 60 hard capsules.</w:t>
      </w:r>
    </w:p>
    <w:p w14:paraId="521B2F73" w14:textId="77777777" w:rsidR="00EF4C08" w:rsidRPr="00D31EBB" w:rsidRDefault="00EF4C08" w:rsidP="00EF4C08">
      <w:pPr>
        <w:pStyle w:val="EMEABodyText"/>
        <w:rPr>
          <w:lang w:val="en-US"/>
        </w:rPr>
      </w:pPr>
    </w:p>
    <w:p w14:paraId="77F83DBE" w14:textId="77777777" w:rsidR="00EF4C08" w:rsidRPr="00D31EBB" w:rsidRDefault="00EF4C08" w:rsidP="00EF4C08">
      <w:pPr>
        <w:pStyle w:val="EMEABodyText"/>
      </w:pPr>
      <w:r>
        <w:t>Each carton contains 60 x 1 capsules; 10 blister cards of 6 x 1 capsules each in Alu/Alu perforated unit dose blisters.</w:t>
      </w:r>
    </w:p>
    <w:p w14:paraId="0965A29B" w14:textId="77777777" w:rsidR="00EF4C08" w:rsidRPr="00D31EBB" w:rsidRDefault="00EF4C08" w:rsidP="00EF4C08">
      <w:pPr>
        <w:pStyle w:val="EMEABodyText"/>
        <w:rPr>
          <w:lang w:val="en-US"/>
        </w:rPr>
      </w:pPr>
    </w:p>
    <w:p w14:paraId="1B1BBC19" w14:textId="77777777" w:rsidR="00EF4C08" w:rsidRPr="00D31EBB" w:rsidRDefault="00EF4C08" w:rsidP="00EF4C08">
      <w:pPr>
        <w:pStyle w:val="EMEABodyText"/>
        <w:rPr>
          <w:u w:val="single"/>
        </w:rPr>
      </w:pPr>
      <w:r>
        <w:rPr>
          <w:u w:val="single"/>
        </w:rPr>
        <w:t>REYATAZ 200 mg hard capsules</w:t>
      </w:r>
    </w:p>
    <w:p w14:paraId="120BCFDF" w14:textId="77777777" w:rsidR="00EF4C08" w:rsidRPr="00D31EBB" w:rsidRDefault="00EF4C08" w:rsidP="00EF4C08">
      <w:pPr>
        <w:pStyle w:val="EMEABodyText"/>
      </w:pPr>
      <w:r>
        <w:t>Each carton contains one high-density polyethylene (HDPE) bottle or three high-density polyethylene (HDPE) bottles closed with child-resistant polypropylene closure. Each bottle contains 60 hard capsules.</w:t>
      </w:r>
    </w:p>
    <w:p w14:paraId="6A3247BF" w14:textId="77777777" w:rsidR="00EF4C08" w:rsidRPr="00D31EBB" w:rsidRDefault="00EF4C08" w:rsidP="00EF4C08">
      <w:pPr>
        <w:pStyle w:val="EMEABodyText"/>
        <w:rPr>
          <w:lang w:val="en-US"/>
        </w:rPr>
      </w:pPr>
    </w:p>
    <w:p w14:paraId="25F74AE5" w14:textId="77777777" w:rsidR="00EF4C08" w:rsidRPr="00D31EBB" w:rsidRDefault="00EF4C08" w:rsidP="00EF4C08">
      <w:pPr>
        <w:pStyle w:val="EMEABodyText"/>
      </w:pPr>
      <w:r>
        <w:t>Each carton contains 60 x 1 capsules; 10 blister cards of 6 x 1 capsules each in Alu/Alu perforated unit dose blisters.</w:t>
      </w:r>
    </w:p>
    <w:p w14:paraId="1B010B3C" w14:textId="77777777" w:rsidR="00EF4C08" w:rsidRPr="00D31EBB" w:rsidRDefault="00EF4C08" w:rsidP="00EF4C08">
      <w:pPr>
        <w:pStyle w:val="EMEABodyText"/>
        <w:rPr>
          <w:lang w:val="en-US"/>
        </w:rPr>
      </w:pPr>
    </w:p>
    <w:p w14:paraId="1218C0AF" w14:textId="77777777" w:rsidR="00EF4C08" w:rsidRPr="00D31EBB" w:rsidRDefault="00EF4C08" w:rsidP="00EF4C08">
      <w:pPr>
        <w:pStyle w:val="EMEABodyText"/>
        <w:rPr>
          <w:u w:val="single"/>
        </w:rPr>
      </w:pPr>
      <w:r>
        <w:rPr>
          <w:u w:val="single"/>
        </w:rPr>
        <w:t>REYATAZ 300 mg hard capsules</w:t>
      </w:r>
    </w:p>
    <w:p w14:paraId="5AA4C2C7" w14:textId="77777777" w:rsidR="00EF4C08" w:rsidRPr="00D31EBB" w:rsidRDefault="00EF4C08" w:rsidP="00EF4C08">
      <w:pPr>
        <w:pStyle w:val="EMEABodyText"/>
      </w:pPr>
      <w:r>
        <w:t>Each carton contains one high-density polyethylene (HDPE) bottle or three high-density polyethylene (HDPE) bottles closed with child-resistant polypropylene closure. Each bottle contains 30 hard capsules.</w:t>
      </w:r>
    </w:p>
    <w:p w14:paraId="7DD137E3" w14:textId="77777777" w:rsidR="00EF4C08" w:rsidRPr="00D31EBB" w:rsidRDefault="00EF4C08" w:rsidP="00EF4C08">
      <w:pPr>
        <w:pStyle w:val="EMEABodyText"/>
        <w:rPr>
          <w:lang w:val="en-US"/>
        </w:rPr>
      </w:pPr>
    </w:p>
    <w:p w14:paraId="5E59F95F" w14:textId="77777777" w:rsidR="00EF4C08" w:rsidRPr="00D31EBB" w:rsidRDefault="00EF4C08" w:rsidP="00EF4C08">
      <w:pPr>
        <w:pStyle w:val="EMEABodyText"/>
      </w:pPr>
      <w:r>
        <w:t>Each carton contains 30 x 1 capsules; 5 blister cards of 6 x 1 capsules each in Alu/Alu perforated unit dose blisters.</w:t>
      </w:r>
    </w:p>
    <w:p w14:paraId="3CC09FBB" w14:textId="77777777" w:rsidR="00D02BC8" w:rsidRPr="00D31EBB" w:rsidRDefault="00D02BC8" w:rsidP="008B6CCB">
      <w:pPr>
        <w:pStyle w:val="EMEABodyText"/>
        <w:rPr>
          <w:lang w:val="en-US"/>
        </w:rPr>
      </w:pPr>
    </w:p>
    <w:p w14:paraId="44BCAA31" w14:textId="77777777" w:rsidR="00D02BC8" w:rsidRPr="00D31EBB" w:rsidRDefault="00D02BC8" w:rsidP="008B6CCB">
      <w:pPr>
        <w:pStyle w:val="EMEABodyText"/>
      </w:pPr>
      <w:r>
        <w:t>Not all pack sizes may be marketed.</w:t>
      </w:r>
    </w:p>
    <w:p w14:paraId="14D9EACD" w14:textId="77777777" w:rsidR="00D02BC8" w:rsidRPr="00D31EBB" w:rsidRDefault="00D02BC8" w:rsidP="008B6CCB">
      <w:pPr>
        <w:pStyle w:val="EMEABodyText"/>
        <w:rPr>
          <w:noProof/>
          <w:lang w:val="en-US"/>
        </w:rPr>
      </w:pPr>
    </w:p>
    <w:p w14:paraId="07117B84" w14:textId="77777777" w:rsidR="00D02BC8" w:rsidRPr="00D31EBB" w:rsidRDefault="00D02BC8" w:rsidP="008B6CCB">
      <w:pPr>
        <w:pStyle w:val="EMEAHeading2"/>
        <w:rPr>
          <w:noProof/>
        </w:rPr>
      </w:pPr>
      <w:r>
        <w:t>6.6</w:t>
      </w:r>
      <w:r>
        <w:tab/>
        <w:t>Special precautions for disposal</w:t>
      </w:r>
    </w:p>
    <w:p w14:paraId="44BC1D8B" w14:textId="77777777" w:rsidR="00D02BC8" w:rsidRPr="00D31EBB" w:rsidRDefault="00D02BC8" w:rsidP="008B6CCB">
      <w:pPr>
        <w:pStyle w:val="EMEAHeading2"/>
        <w:rPr>
          <w:noProof/>
          <w:lang w:val="en-US"/>
        </w:rPr>
      </w:pPr>
    </w:p>
    <w:p w14:paraId="7FC625E0" w14:textId="77777777" w:rsidR="00D02BC8" w:rsidRPr="00D31EBB" w:rsidRDefault="00D02BC8" w:rsidP="008B6CCB">
      <w:pPr>
        <w:pStyle w:val="EMEABodyText"/>
        <w:rPr>
          <w:noProof/>
        </w:rPr>
      </w:pPr>
      <w:r>
        <w:t>Any unused medicinal product or waste material should be disposed of in accordance with local requirements.</w:t>
      </w:r>
    </w:p>
    <w:p w14:paraId="6FA7EE0B" w14:textId="77777777" w:rsidR="00D02BC8" w:rsidRPr="00D31EBB" w:rsidRDefault="00D02BC8" w:rsidP="008B6CCB">
      <w:pPr>
        <w:pStyle w:val="EMEABodyText"/>
        <w:rPr>
          <w:noProof/>
          <w:lang w:val="en-US"/>
        </w:rPr>
      </w:pPr>
    </w:p>
    <w:p w14:paraId="18641CF3" w14:textId="77777777" w:rsidR="00D02BC8" w:rsidRPr="00D31EBB" w:rsidRDefault="00D02BC8" w:rsidP="008B6CCB">
      <w:pPr>
        <w:pStyle w:val="EMEABodyText"/>
        <w:rPr>
          <w:noProof/>
          <w:lang w:val="en-US"/>
        </w:rPr>
      </w:pPr>
    </w:p>
    <w:p w14:paraId="53B760FB" w14:textId="77777777" w:rsidR="00D02BC8" w:rsidRPr="00D31EBB" w:rsidRDefault="00D02BC8" w:rsidP="008B6CCB">
      <w:pPr>
        <w:pStyle w:val="EMEAHeading1"/>
        <w:rPr>
          <w:noProof/>
        </w:rPr>
      </w:pPr>
      <w:r>
        <w:t>7.</w:t>
      </w:r>
      <w:r>
        <w:tab/>
        <w:t>MARKETING AUTHORISATION HOLDER</w:t>
      </w:r>
    </w:p>
    <w:p w14:paraId="3D105AB2" w14:textId="77777777" w:rsidR="00D02BC8" w:rsidRPr="00D31EBB" w:rsidRDefault="00D02BC8" w:rsidP="008B6CCB">
      <w:pPr>
        <w:pStyle w:val="EMEAHeading1"/>
        <w:rPr>
          <w:noProof/>
          <w:lang w:val="en-US"/>
        </w:rPr>
      </w:pPr>
    </w:p>
    <w:p w14:paraId="41B82CCE"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53661DAF" w14:textId="77777777" w:rsidR="00965E20" w:rsidRDefault="00965E20" w:rsidP="00965E20">
      <w:pPr>
        <w:numPr>
          <w:ilvl w:val="12"/>
          <w:numId w:val="0"/>
        </w:numPr>
      </w:pPr>
      <w:r>
        <w:t xml:space="preserve">Ireland </w:t>
      </w:r>
    </w:p>
    <w:p w14:paraId="7EDC9339" w14:textId="77777777" w:rsidR="00D02BC8" w:rsidRPr="00D31EBB" w:rsidRDefault="00D02BC8" w:rsidP="00957233">
      <w:pPr>
        <w:pStyle w:val="EMEAAddress"/>
        <w:rPr>
          <w:lang w:val="en-US"/>
        </w:rPr>
      </w:pPr>
    </w:p>
    <w:p w14:paraId="6F08F8A6" w14:textId="77777777" w:rsidR="00D02BC8" w:rsidRPr="00D31EBB" w:rsidRDefault="00D02BC8" w:rsidP="008B6CCB">
      <w:pPr>
        <w:pStyle w:val="EMEABodyText"/>
        <w:rPr>
          <w:noProof/>
          <w:lang w:val="en-US"/>
        </w:rPr>
      </w:pPr>
    </w:p>
    <w:p w14:paraId="4637FDC0" w14:textId="77777777" w:rsidR="00D02BC8" w:rsidRPr="00D31EBB" w:rsidRDefault="00D02BC8" w:rsidP="008B6CCB">
      <w:pPr>
        <w:pStyle w:val="EMEAHeading1"/>
        <w:rPr>
          <w:noProof/>
        </w:rPr>
      </w:pPr>
      <w:r>
        <w:t>8.</w:t>
      </w:r>
      <w:r>
        <w:tab/>
        <w:t>MARKETING AUTHORISATION NUMBER(S)</w:t>
      </w:r>
    </w:p>
    <w:p w14:paraId="6D0E9BEB" w14:textId="77777777" w:rsidR="00D02BC8" w:rsidRPr="00D31EBB" w:rsidRDefault="00D02BC8" w:rsidP="008B6CCB">
      <w:pPr>
        <w:pStyle w:val="EMEAHeading1"/>
        <w:rPr>
          <w:noProof/>
          <w:lang w:val="en-US"/>
        </w:rPr>
      </w:pPr>
    </w:p>
    <w:p w14:paraId="64807929" w14:textId="77777777" w:rsidR="00EF4C08" w:rsidRPr="00D31EBB" w:rsidRDefault="00EF4C08" w:rsidP="00EF4C08">
      <w:pPr>
        <w:pStyle w:val="EMEABodyText"/>
        <w:rPr>
          <w:noProof/>
        </w:rPr>
      </w:pPr>
      <w:r>
        <w:t>EU/1/03/267/001-006; 008-011</w:t>
      </w:r>
    </w:p>
    <w:p w14:paraId="2FB4FE3A" w14:textId="77777777" w:rsidR="00D02BC8" w:rsidRPr="00D31EBB" w:rsidRDefault="00D02BC8" w:rsidP="008B6CCB">
      <w:pPr>
        <w:pStyle w:val="EMEABodyText"/>
        <w:rPr>
          <w:noProof/>
          <w:lang w:val="en-US"/>
        </w:rPr>
      </w:pPr>
    </w:p>
    <w:p w14:paraId="4D89B2DD" w14:textId="77777777" w:rsidR="00D02BC8" w:rsidRPr="00D31EBB" w:rsidRDefault="00D02BC8" w:rsidP="008B6CCB">
      <w:pPr>
        <w:pStyle w:val="EMEABodyText"/>
        <w:rPr>
          <w:noProof/>
          <w:lang w:val="en-US"/>
        </w:rPr>
      </w:pPr>
    </w:p>
    <w:p w14:paraId="369FA02D" w14:textId="77777777" w:rsidR="00D02BC8" w:rsidRPr="00D31EBB" w:rsidRDefault="00D02BC8" w:rsidP="008B6CCB">
      <w:pPr>
        <w:pStyle w:val="EMEAHeading1"/>
        <w:rPr>
          <w:noProof/>
        </w:rPr>
      </w:pPr>
      <w:r>
        <w:t>9.</w:t>
      </w:r>
      <w:r>
        <w:tab/>
        <w:t>DATE OF FIRST AUTHORISATION/RENEWAL OF THE AUTHORISATION</w:t>
      </w:r>
    </w:p>
    <w:p w14:paraId="24D0BAA9" w14:textId="77777777" w:rsidR="00D02BC8" w:rsidRPr="00D31EBB" w:rsidRDefault="00D02BC8" w:rsidP="008B6CCB">
      <w:pPr>
        <w:pStyle w:val="EMEAHeading1"/>
        <w:rPr>
          <w:noProof/>
          <w:lang w:val="en-US"/>
        </w:rPr>
      </w:pPr>
    </w:p>
    <w:p w14:paraId="7695B6D7" w14:textId="77777777" w:rsidR="00D02BC8" w:rsidRPr="00D31EBB" w:rsidRDefault="00D02BC8" w:rsidP="008B6CCB">
      <w:pPr>
        <w:pStyle w:val="EMEABodyText"/>
        <w:rPr>
          <w:noProof/>
        </w:rPr>
      </w:pPr>
      <w:r>
        <w:t>Date of first authorisation: 02 March 2004</w:t>
      </w:r>
      <w:r>
        <w:br/>
        <w:t>Date of latest renewal: 02 March 2009</w:t>
      </w:r>
    </w:p>
    <w:p w14:paraId="689440F3" w14:textId="77777777" w:rsidR="00D02BC8" w:rsidRPr="00D31EBB" w:rsidRDefault="00D02BC8" w:rsidP="008B6CCB">
      <w:pPr>
        <w:pStyle w:val="EMEABodyText"/>
        <w:rPr>
          <w:noProof/>
          <w:lang w:val="en-US"/>
        </w:rPr>
      </w:pPr>
    </w:p>
    <w:p w14:paraId="1A8CAB62" w14:textId="77777777" w:rsidR="00D02BC8" w:rsidRPr="00D31EBB" w:rsidRDefault="00D02BC8" w:rsidP="008B6CCB">
      <w:pPr>
        <w:pStyle w:val="EMEABodyText"/>
        <w:rPr>
          <w:noProof/>
          <w:lang w:val="en-US"/>
        </w:rPr>
      </w:pPr>
    </w:p>
    <w:p w14:paraId="219780CE" w14:textId="77777777" w:rsidR="00D02BC8" w:rsidRPr="00D31EBB" w:rsidRDefault="00D02BC8" w:rsidP="008B6CCB">
      <w:pPr>
        <w:pStyle w:val="EMEAHeading1"/>
        <w:rPr>
          <w:noProof/>
        </w:rPr>
      </w:pPr>
      <w:r>
        <w:t>10.</w:t>
      </w:r>
      <w:r>
        <w:tab/>
        <w:t>DATE OF REVISION OF THE TEXT</w:t>
      </w:r>
    </w:p>
    <w:p w14:paraId="4C352D23" w14:textId="77777777" w:rsidR="00D02BC8" w:rsidRPr="00D31EBB" w:rsidRDefault="00D02BC8" w:rsidP="008B6CCB">
      <w:pPr>
        <w:pStyle w:val="EMEAHeading1"/>
        <w:rPr>
          <w:noProof/>
          <w:lang w:val="en-US"/>
        </w:rPr>
      </w:pPr>
    </w:p>
    <w:p w14:paraId="2F116A70" w14:textId="77777777" w:rsidR="00D02BC8" w:rsidRPr="00D31EBB" w:rsidRDefault="00D02BC8" w:rsidP="008B6CCB">
      <w:pPr>
        <w:pStyle w:val="EMEABodyText"/>
        <w:rPr>
          <w:noProof/>
        </w:rPr>
      </w:pPr>
      <w:r>
        <w:t>{MM/YYYY}</w:t>
      </w:r>
    </w:p>
    <w:p w14:paraId="4A2D128B" w14:textId="77777777" w:rsidR="00D02BC8" w:rsidRPr="00D31EBB" w:rsidRDefault="00D02BC8" w:rsidP="008B6CCB">
      <w:pPr>
        <w:pStyle w:val="EMEABodyText"/>
        <w:rPr>
          <w:noProof/>
          <w:lang w:val="en-US"/>
        </w:rPr>
      </w:pPr>
    </w:p>
    <w:p w14:paraId="3E2D3FC1" w14:textId="77777777" w:rsidR="00D02BC8" w:rsidRPr="00D31EBB" w:rsidRDefault="00D02BC8" w:rsidP="008B6CCB">
      <w:pPr>
        <w:pStyle w:val="EMEABodyText"/>
        <w:rPr>
          <w:noProof/>
          <w:lang w:val="en-US"/>
        </w:rPr>
      </w:pPr>
    </w:p>
    <w:p w14:paraId="68F3A01C" w14:textId="77777777" w:rsidR="00D02BC8" w:rsidRPr="00D31EBB" w:rsidRDefault="00D02BC8" w:rsidP="008B6CCB">
      <w:pPr>
        <w:pStyle w:val="EMEABodyText"/>
        <w:rPr>
          <w:noProof/>
        </w:rPr>
      </w:pPr>
      <w:r>
        <w:t>Detailed information on this medicinal product is available on the website of the European Medicines Agency http://www.ema.europa.eu</w:t>
      </w:r>
    </w:p>
    <w:p w14:paraId="65523992" w14:textId="77777777" w:rsidR="00187713" w:rsidRPr="00D31EBB" w:rsidRDefault="00D02BC8" w:rsidP="00187713">
      <w:pPr>
        <w:pStyle w:val="EMEAHeading1"/>
        <w:rPr>
          <w:noProof/>
        </w:rPr>
      </w:pPr>
      <w:r>
        <w:br w:type="page"/>
        <w:t>1.</w:t>
      </w:r>
      <w:r>
        <w:tab/>
        <w:t>NAME OF THE MEDICINAL PRODUCT</w:t>
      </w:r>
    </w:p>
    <w:p w14:paraId="1E77895B" w14:textId="77777777" w:rsidR="00187713" w:rsidRPr="00D31EBB" w:rsidRDefault="00187713" w:rsidP="00187713">
      <w:pPr>
        <w:pStyle w:val="EMEAHeading1"/>
        <w:rPr>
          <w:noProof/>
          <w:lang w:val="en-US"/>
        </w:rPr>
      </w:pPr>
    </w:p>
    <w:p w14:paraId="6ADD3070" w14:textId="77777777" w:rsidR="00187713" w:rsidRPr="00D31EBB" w:rsidRDefault="00187713" w:rsidP="00187713">
      <w:pPr>
        <w:pStyle w:val="EMEABodyText"/>
      </w:pPr>
      <w:r>
        <w:t>REYATAZ 50 mg oral powder</w:t>
      </w:r>
    </w:p>
    <w:p w14:paraId="4298245C" w14:textId="77777777" w:rsidR="00187713" w:rsidRPr="00D31EBB" w:rsidRDefault="00187713" w:rsidP="00187713">
      <w:pPr>
        <w:pStyle w:val="EMEABodyText"/>
        <w:rPr>
          <w:bCs/>
          <w:noProof/>
          <w:lang w:val="en-US"/>
        </w:rPr>
      </w:pPr>
    </w:p>
    <w:p w14:paraId="61B7B802" w14:textId="77777777" w:rsidR="00187713" w:rsidRPr="00D31EBB" w:rsidRDefault="00187713" w:rsidP="00187713">
      <w:pPr>
        <w:pStyle w:val="EMEABodyText"/>
        <w:rPr>
          <w:bCs/>
          <w:noProof/>
          <w:lang w:val="en-US"/>
        </w:rPr>
      </w:pPr>
    </w:p>
    <w:p w14:paraId="601B15B7" w14:textId="77777777" w:rsidR="00187713" w:rsidRPr="00D31EBB" w:rsidRDefault="00187713" w:rsidP="00187713">
      <w:pPr>
        <w:pStyle w:val="EMEAHeading1"/>
        <w:rPr>
          <w:noProof/>
        </w:rPr>
      </w:pPr>
      <w:r>
        <w:t>2.</w:t>
      </w:r>
      <w:r>
        <w:tab/>
        <w:t>QUALITATIVE AND QUANTITATIVE COMPOSITION</w:t>
      </w:r>
    </w:p>
    <w:p w14:paraId="0A1D0A64" w14:textId="77777777" w:rsidR="00187713" w:rsidRPr="00D31EBB" w:rsidRDefault="00187713" w:rsidP="00187713">
      <w:pPr>
        <w:pStyle w:val="EMEAHeading1"/>
        <w:rPr>
          <w:noProof/>
          <w:lang w:val="en-US"/>
        </w:rPr>
      </w:pPr>
    </w:p>
    <w:p w14:paraId="172449F0" w14:textId="77777777" w:rsidR="00187713" w:rsidRPr="00D31EBB" w:rsidRDefault="00187713" w:rsidP="00187713">
      <w:pPr>
        <w:pStyle w:val="EMEABodyText"/>
      </w:pPr>
      <w:r>
        <w:t>Each sachet of 1.5 g oral powder contains 50 mg of atazanavir (as sulphate).</w:t>
      </w:r>
    </w:p>
    <w:p w14:paraId="66354B16" w14:textId="77777777" w:rsidR="00187713" w:rsidRPr="00D31EBB" w:rsidRDefault="00187713" w:rsidP="00187713">
      <w:pPr>
        <w:pStyle w:val="EMEABodyText"/>
        <w:rPr>
          <w:lang w:val="en-US"/>
        </w:rPr>
      </w:pPr>
    </w:p>
    <w:p w14:paraId="258E6F19" w14:textId="77777777" w:rsidR="00187713" w:rsidRPr="00D31EBB" w:rsidRDefault="00187713" w:rsidP="00187713">
      <w:pPr>
        <w:pStyle w:val="EMEABodyText"/>
      </w:pPr>
      <w:r>
        <w:t>Excipient with known effect: 63 mg of aspartame; 1305.15 mg of sucrose per sachet (1.5 g oral powder).</w:t>
      </w:r>
    </w:p>
    <w:p w14:paraId="6448DF55" w14:textId="77777777" w:rsidR="00187713" w:rsidRPr="00D31EBB" w:rsidRDefault="00187713" w:rsidP="00187713">
      <w:pPr>
        <w:pStyle w:val="EMEABodyText"/>
        <w:rPr>
          <w:lang w:val="en-US"/>
        </w:rPr>
      </w:pPr>
    </w:p>
    <w:p w14:paraId="5AACA422" w14:textId="77777777" w:rsidR="00187713" w:rsidRPr="00D31EBB" w:rsidRDefault="00187713" w:rsidP="00187713">
      <w:pPr>
        <w:pStyle w:val="EMEABodyText"/>
        <w:rPr>
          <w:noProof/>
        </w:rPr>
      </w:pPr>
      <w:r>
        <w:t>For the full list of excipients, see section 6.1.</w:t>
      </w:r>
    </w:p>
    <w:p w14:paraId="2C21878A" w14:textId="77777777" w:rsidR="00187713" w:rsidRPr="00D31EBB" w:rsidRDefault="00187713" w:rsidP="00187713">
      <w:pPr>
        <w:pStyle w:val="EMEABodyText"/>
        <w:rPr>
          <w:noProof/>
          <w:lang w:val="en-US"/>
        </w:rPr>
      </w:pPr>
    </w:p>
    <w:p w14:paraId="1D599526" w14:textId="77777777" w:rsidR="00187713" w:rsidRPr="00D31EBB" w:rsidRDefault="00187713" w:rsidP="00187713">
      <w:pPr>
        <w:pStyle w:val="EMEABodyText"/>
        <w:rPr>
          <w:noProof/>
          <w:lang w:val="en-US"/>
        </w:rPr>
      </w:pPr>
    </w:p>
    <w:p w14:paraId="10BB8862" w14:textId="77777777" w:rsidR="00187713" w:rsidRPr="00D31EBB" w:rsidRDefault="00187713" w:rsidP="00187713">
      <w:pPr>
        <w:pStyle w:val="EMEAHeading1"/>
        <w:rPr>
          <w:noProof/>
        </w:rPr>
      </w:pPr>
      <w:r>
        <w:t>3.</w:t>
      </w:r>
      <w:r>
        <w:tab/>
        <w:t>PHARMACEUTICAL form</w:t>
      </w:r>
    </w:p>
    <w:p w14:paraId="056BC636" w14:textId="77777777" w:rsidR="00187713" w:rsidRPr="00D31EBB" w:rsidRDefault="00187713" w:rsidP="00187713">
      <w:pPr>
        <w:pStyle w:val="EMEAHeading1"/>
        <w:rPr>
          <w:noProof/>
          <w:lang w:val="en-US"/>
        </w:rPr>
      </w:pPr>
    </w:p>
    <w:p w14:paraId="129FB859" w14:textId="77777777" w:rsidR="00187713" w:rsidRPr="00D31EBB" w:rsidRDefault="00187713" w:rsidP="00187713">
      <w:pPr>
        <w:pStyle w:val="EMEABodyText"/>
      </w:pPr>
      <w:r>
        <w:t>Oral powder</w:t>
      </w:r>
    </w:p>
    <w:p w14:paraId="146FE0B0" w14:textId="77777777" w:rsidR="00187713" w:rsidRPr="00D31EBB" w:rsidRDefault="00187713" w:rsidP="00187713">
      <w:pPr>
        <w:pStyle w:val="EMEABodyText"/>
      </w:pPr>
      <w:r>
        <w:t>Off white to pale yellow powder.</w:t>
      </w:r>
    </w:p>
    <w:p w14:paraId="230B75D0" w14:textId="77777777" w:rsidR="00187713" w:rsidRPr="00D31EBB" w:rsidRDefault="00187713" w:rsidP="00187713">
      <w:pPr>
        <w:pStyle w:val="EMEABodyText"/>
        <w:rPr>
          <w:noProof/>
          <w:szCs w:val="22"/>
          <w:lang w:val="en-US"/>
        </w:rPr>
      </w:pPr>
    </w:p>
    <w:p w14:paraId="09B3770B" w14:textId="77777777" w:rsidR="00187713" w:rsidRPr="00D31EBB" w:rsidRDefault="00187713" w:rsidP="00187713">
      <w:pPr>
        <w:pStyle w:val="EMEABodyText"/>
        <w:rPr>
          <w:noProof/>
          <w:lang w:val="en-US"/>
        </w:rPr>
      </w:pPr>
    </w:p>
    <w:p w14:paraId="44EAA99A" w14:textId="77777777" w:rsidR="00187713" w:rsidRPr="00D31EBB" w:rsidRDefault="00187713" w:rsidP="00187713">
      <w:pPr>
        <w:pStyle w:val="EMEAHeading1"/>
        <w:rPr>
          <w:noProof/>
        </w:rPr>
      </w:pPr>
      <w:r>
        <w:t>4.</w:t>
      </w:r>
      <w:r>
        <w:tab/>
        <w:t>Clinical particulars</w:t>
      </w:r>
    </w:p>
    <w:p w14:paraId="79795328" w14:textId="77777777" w:rsidR="00187713" w:rsidRPr="00D31EBB" w:rsidRDefault="00187713" w:rsidP="00187713">
      <w:pPr>
        <w:pStyle w:val="EMEAHeading1"/>
        <w:rPr>
          <w:noProof/>
          <w:lang w:val="en-US"/>
        </w:rPr>
      </w:pPr>
    </w:p>
    <w:p w14:paraId="3E781A0C" w14:textId="77777777" w:rsidR="00187713" w:rsidRPr="00D31EBB" w:rsidRDefault="00187713" w:rsidP="00187713">
      <w:pPr>
        <w:pStyle w:val="EMEAHeading2"/>
        <w:rPr>
          <w:noProof/>
        </w:rPr>
      </w:pPr>
      <w:r>
        <w:t>4.1</w:t>
      </w:r>
      <w:r>
        <w:tab/>
        <w:t>Therapeutic indications</w:t>
      </w:r>
    </w:p>
    <w:p w14:paraId="208C0339" w14:textId="77777777" w:rsidR="00187713" w:rsidRPr="00D31EBB" w:rsidRDefault="00187713" w:rsidP="00187713">
      <w:pPr>
        <w:pStyle w:val="EMEAHeading2"/>
        <w:rPr>
          <w:noProof/>
          <w:lang w:val="en-US"/>
        </w:rPr>
      </w:pPr>
    </w:p>
    <w:p w14:paraId="36645269" w14:textId="77777777" w:rsidR="00187713" w:rsidRPr="00D31EBB" w:rsidRDefault="00187713" w:rsidP="00187713">
      <w:pPr>
        <w:pStyle w:val="EMEABodyText"/>
        <w:rPr>
          <w:strike/>
        </w:rPr>
      </w:pPr>
      <w:r>
        <w:t>REYATAZ oral powder, co-administered with low dose ritonavir, is indicated in combination with other antiretroviral medicinal products for the treatment of HIV-1 infected paediatric patients at least 3 months of age and weighing at least 5 kg (see section 4.2).</w:t>
      </w:r>
    </w:p>
    <w:p w14:paraId="41BA6288" w14:textId="77777777" w:rsidR="00187713" w:rsidRPr="00D31EBB" w:rsidRDefault="00187713" w:rsidP="00187713">
      <w:pPr>
        <w:pStyle w:val="EMEABodyText"/>
        <w:rPr>
          <w:lang w:val="en-US"/>
        </w:rPr>
      </w:pPr>
    </w:p>
    <w:p w14:paraId="2662D3D3" w14:textId="77777777" w:rsidR="00187713" w:rsidRPr="00D31EBB" w:rsidRDefault="00187713" w:rsidP="00187713">
      <w:pPr>
        <w:pStyle w:val="EMEABodyText"/>
      </w:pPr>
      <w:r>
        <w:t>Based on available virological and clinical data from adult patients, no benefit is expected in patients with strains resistant to multiple protease inhibitors (≥ 4 PI mutations). The choice of REYATAZ in treatment experienced adult and paediatric patients should be based on individual viral resistance testing and the patient’s treatment history (see sections 4.4 and 5.1).</w:t>
      </w:r>
    </w:p>
    <w:p w14:paraId="38650604" w14:textId="77777777" w:rsidR="00187713" w:rsidRPr="00D31EBB" w:rsidRDefault="00187713" w:rsidP="00187713">
      <w:pPr>
        <w:pStyle w:val="EMEABodyText"/>
        <w:rPr>
          <w:noProof/>
          <w:lang w:val="en-US"/>
        </w:rPr>
      </w:pPr>
    </w:p>
    <w:p w14:paraId="16A4A26B" w14:textId="77777777" w:rsidR="00187713" w:rsidRPr="00D31EBB" w:rsidRDefault="00187713" w:rsidP="00187713">
      <w:pPr>
        <w:pStyle w:val="EMEAHeading2"/>
        <w:rPr>
          <w:noProof/>
        </w:rPr>
      </w:pPr>
      <w:r>
        <w:t>4.2</w:t>
      </w:r>
      <w:r>
        <w:tab/>
        <w:t>Posology and method of administration</w:t>
      </w:r>
    </w:p>
    <w:p w14:paraId="44F7A9FA" w14:textId="77777777" w:rsidR="00187713" w:rsidRPr="00D31EBB" w:rsidRDefault="00187713" w:rsidP="00187713">
      <w:pPr>
        <w:pStyle w:val="EMEAHeading2"/>
        <w:rPr>
          <w:noProof/>
          <w:lang w:val="en-US"/>
        </w:rPr>
      </w:pPr>
    </w:p>
    <w:p w14:paraId="6C40C41E" w14:textId="77777777" w:rsidR="00016C8D" w:rsidRPr="00D31EBB" w:rsidRDefault="00016C8D" w:rsidP="00187713">
      <w:pPr>
        <w:pStyle w:val="EMEABodyText"/>
      </w:pPr>
      <w:r>
        <w:t>Therapy should be initiated by a physician experienced in the management of HIV infection.</w:t>
      </w:r>
    </w:p>
    <w:p w14:paraId="0BB0AD1C" w14:textId="77777777" w:rsidR="00016C8D" w:rsidRPr="00D31EBB" w:rsidRDefault="00016C8D" w:rsidP="00187713">
      <w:pPr>
        <w:pStyle w:val="EMEABodyText"/>
        <w:rPr>
          <w:lang w:val="en-US"/>
        </w:rPr>
      </w:pPr>
    </w:p>
    <w:p w14:paraId="13EDC88B" w14:textId="77777777" w:rsidR="00187713" w:rsidRPr="00D31EBB" w:rsidRDefault="00187713" w:rsidP="00187713">
      <w:pPr>
        <w:pStyle w:val="EMEABodyText"/>
        <w:rPr>
          <w:u w:val="single"/>
        </w:rPr>
      </w:pPr>
      <w:r>
        <w:rPr>
          <w:u w:val="single"/>
        </w:rPr>
        <w:t>Posology</w:t>
      </w:r>
    </w:p>
    <w:p w14:paraId="243326E8" w14:textId="77777777" w:rsidR="00016C8D" w:rsidRPr="00D31EBB" w:rsidRDefault="00187713" w:rsidP="00187713">
      <w:pPr>
        <w:pStyle w:val="EMEABodyText"/>
      </w:pPr>
      <w:r>
        <w:rPr>
          <w:i/>
        </w:rPr>
        <w:t>Paediatric patients (at least 3 months of age and weighing at least 5 kg)</w:t>
      </w:r>
    </w:p>
    <w:p w14:paraId="596864C7" w14:textId="77777777" w:rsidR="00187713" w:rsidRPr="00D31EBB" w:rsidRDefault="00187713" w:rsidP="00187713">
      <w:pPr>
        <w:pStyle w:val="EMEABodyText"/>
      </w:pPr>
      <w:r>
        <w:t>The doses of atazanavir oral powder and ritonavir for paediatric patients are based on body weight as shown in Table 1. REYATAZ oral powder must be taken with ritonavir and has to be taken with food.</w:t>
      </w:r>
    </w:p>
    <w:p w14:paraId="14EEFF9C" w14:textId="77777777" w:rsidR="00187713" w:rsidRPr="00D31EBB" w:rsidRDefault="00187713" w:rsidP="00187713">
      <w:pPr>
        <w:pStyle w:val="EMEABodyText"/>
        <w:rPr>
          <w:lang w:val="en-US"/>
        </w:rPr>
      </w:pPr>
    </w:p>
    <w:tbl>
      <w:tblPr>
        <w:tblW w:w="0" w:type="auto"/>
        <w:tblLook w:val="01E0" w:firstRow="1" w:lastRow="1" w:firstColumn="1" w:lastColumn="1" w:noHBand="0" w:noVBand="0"/>
      </w:tblPr>
      <w:tblGrid>
        <w:gridCol w:w="3016"/>
        <w:gridCol w:w="3032"/>
        <w:gridCol w:w="3025"/>
      </w:tblGrid>
      <w:tr w:rsidR="00187713" w:rsidRPr="00965E20" w14:paraId="7805DC55" w14:textId="77777777" w:rsidTr="0000712C">
        <w:tc>
          <w:tcPr>
            <w:tcW w:w="9289" w:type="dxa"/>
            <w:gridSpan w:val="3"/>
            <w:tcBorders>
              <w:bottom w:val="single" w:sz="4" w:space="0" w:color="auto"/>
            </w:tcBorders>
          </w:tcPr>
          <w:p w14:paraId="2FD0CAEE" w14:textId="77777777" w:rsidR="00187713" w:rsidRPr="00D31EBB" w:rsidRDefault="00187713" w:rsidP="00016C8D">
            <w:pPr>
              <w:pStyle w:val="EMEABodyText"/>
            </w:pPr>
            <w:r>
              <w:rPr>
                <w:b/>
              </w:rPr>
              <w:t>Table 1: Dose of REYATAZ oral powder with ritonavir for paediatric patients</w:t>
            </w:r>
            <w:r>
              <w:rPr>
                <w:b/>
                <w:vertAlign w:val="superscript"/>
              </w:rPr>
              <w:t>a</w:t>
            </w:r>
            <w:r>
              <w:rPr>
                <w:b/>
              </w:rPr>
              <w:t xml:space="preserve"> (at least 3 months of age and weighing at least 5 kg) </w:t>
            </w:r>
          </w:p>
        </w:tc>
      </w:tr>
      <w:tr w:rsidR="00187713" w:rsidRPr="004F3582" w14:paraId="21A4D461" w14:textId="77777777" w:rsidTr="0000712C">
        <w:tc>
          <w:tcPr>
            <w:tcW w:w="3096" w:type="dxa"/>
            <w:tcBorders>
              <w:top w:val="single" w:sz="4" w:space="0" w:color="auto"/>
            </w:tcBorders>
            <w:vAlign w:val="center"/>
          </w:tcPr>
          <w:p w14:paraId="13E29AD9" w14:textId="77777777" w:rsidR="00187713" w:rsidRPr="004F3582" w:rsidRDefault="00187713" w:rsidP="00016C8D">
            <w:pPr>
              <w:pStyle w:val="EMEABodyText"/>
              <w:rPr>
                <w:b/>
              </w:rPr>
            </w:pPr>
            <w:r>
              <w:rPr>
                <w:b/>
              </w:rPr>
              <w:t>Body weight (kg)</w:t>
            </w:r>
          </w:p>
        </w:tc>
        <w:tc>
          <w:tcPr>
            <w:tcW w:w="3096" w:type="dxa"/>
            <w:tcBorders>
              <w:top w:val="single" w:sz="4" w:space="0" w:color="auto"/>
            </w:tcBorders>
            <w:vAlign w:val="center"/>
          </w:tcPr>
          <w:p w14:paraId="775B34F2" w14:textId="77777777" w:rsidR="00187713" w:rsidRPr="004F3582" w:rsidRDefault="00187713" w:rsidP="0000712C">
            <w:pPr>
              <w:pStyle w:val="EMEABodyText"/>
              <w:rPr>
                <w:b/>
              </w:rPr>
            </w:pPr>
            <w:r>
              <w:rPr>
                <w:b/>
              </w:rPr>
              <w:t xml:space="preserve">REYATAZ once daily dose </w:t>
            </w:r>
          </w:p>
        </w:tc>
        <w:tc>
          <w:tcPr>
            <w:tcW w:w="3097" w:type="dxa"/>
            <w:tcBorders>
              <w:top w:val="single" w:sz="4" w:space="0" w:color="auto"/>
            </w:tcBorders>
            <w:vAlign w:val="center"/>
          </w:tcPr>
          <w:p w14:paraId="010B1803" w14:textId="77777777" w:rsidR="00187713" w:rsidRPr="004F3582" w:rsidRDefault="00187713" w:rsidP="0000712C">
            <w:pPr>
              <w:pStyle w:val="EMEABodyText"/>
              <w:rPr>
                <w:b/>
              </w:rPr>
            </w:pPr>
            <w:r>
              <w:rPr>
                <w:b/>
              </w:rPr>
              <w:t>ritonavir once daily dose</w:t>
            </w:r>
          </w:p>
        </w:tc>
      </w:tr>
      <w:tr w:rsidR="00187713" w:rsidRPr="004F3582" w14:paraId="39E1DE0C" w14:textId="77777777" w:rsidTr="0000712C">
        <w:tc>
          <w:tcPr>
            <w:tcW w:w="3096" w:type="dxa"/>
          </w:tcPr>
          <w:p w14:paraId="4B7443F0" w14:textId="77777777" w:rsidR="00187713" w:rsidRPr="00D31EBB" w:rsidRDefault="00187713" w:rsidP="0000712C">
            <w:pPr>
              <w:pStyle w:val="EMEABodyText"/>
            </w:pPr>
            <w:r>
              <w:t>at least 5 to less than 15</w:t>
            </w:r>
          </w:p>
        </w:tc>
        <w:tc>
          <w:tcPr>
            <w:tcW w:w="3096" w:type="dxa"/>
          </w:tcPr>
          <w:p w14:paraId="465F2418" w14:textId="77777777" w:rsidR="00187713" w:rsidRPr="004F3582" w:rsidRDefault="00187713" w:rsidP="0000712C">
            <w:pPr>
              <w:pStyle w:val="EMEABodyText"/>
            </w:pPr>
            <w:r>
              <w:t>200 mg (4 sachets</w:t>
            </w:r>
            <w:r>
              <w:rPr>
                <w:vertAlign w:val="superscript"/>
              </w:rPr>
              <w:t>b</w:t>
            </w:r>
            <w:r>
              <w:t>)</w:t>
            </w:r>
          </w:p>
        </w:tc>
        <w:tc>
          <w:tcPr>
            <w:tcW w:w="3097" w:type="dxa"/>
          </w:tcPr>
          <w:p w14:paraId="4AF87D0B" w14:textId="77777777" w:rsidR="00187713" w:rsidRPr="004F3582" w:rsidRDefault="00187713" w:rsidP="0000712C">
            <w:pPr>
              <w:pStyle w:val="EMEABodyText"/>
            </w:pPr>
            <w:r>
              <w:t>80 mg</w:t>
            </w:r>
            <w:r>
              <w:rPr>
                <w:vertAlign w:val="superscript"/>
              </w:rPr>
              <w:t>c</w:t>
            </w:r>
          </w:p>
        </w:tc>
      </w:tr>
      <w:tr w:rsidR="00187713" w:rsidRPr="004F3582" w14:paraId="21B85A47" w14:textId="77777777" w:rsidTr="0000712C">
        <w:tc>
          <w:tcPr>
            <w:tcW w:w="3096" w:type="dxa"/>
          </w:tcPr>
          <w:p w14:paraId="29103E0A" w14:textId="77777777" w:rsidR="00187713" w:rsidRPr="00D31EBB" w:rsidRDefault="00187713" w:rsidP="00885B9D">
            <w:pPr>
              <w:pStyle w:val="EMEABodyText"/>
            </w:pPr>
            <w:r>
              <w:t>at least 15 to less than 35</w:t>
            </w:r>
          </w:p>
        </w:tc>
        <w:tc>
          <w:tcPr>
            <w:tcW w:w="3096" w:type="dxa"/>
          </w:tcPr>
          <w:p w14:paraId="6F28CAA4" w14:textId="77777777" w:rsidR="00187713" w:rsidRPr="004F3582" w:rsidRDefault="00187713" w:rsidP="0000712C">
            <w:pPr>
              <w:pStyle w:val="EMEABodyText"/>
            </w:pPr>
            <w:r>
              <w:t>250 mg (5 sachets</w:t>
            </w:r>
            <w:r>
              <w:rPr>
                <w:vertAlign w:val="superscript"/>
              </w:rPr>
              <w:t>b</w:t>
            </w:r>
            <w:r>
              <w:t>)</w:t>
            </w:r>
          </w:p>
        </w:tc>
        <w:tc>
          <w:tcPr>
            <w:tcW w:w="3097" w:type="dxa"/>
          </w:tcPr>
          <w:p w14:paraId="0AF2DA96" w14:textId="77777777" w:rsidR="00187713" w:rsidRPr="004F3582" w:rsidRDefault="00187713" w:rsidP="00E65D41">
            <w:pPr>
              <w:pStyle w:val="EMEABodyText"/>
            </w:pPr>
            <w:r>
              <w:t>80 mg</w:t>
            </w:r>
            <w:r>
              <w:rPr>
                <w:vertAlign w:val="superscript"/>
              </w:rPr>
              <w:t>c</w:t>
            </w:r>
          </w:p>
        </w:tc>
      </w:tr>
      <w:tr w:rsidR="00187713" w:rsidRPr="004F3582" w14:paraId="19B78020" w14:textId="77777777" w:rsidTr="0000712C">
        <w:tc>
          <w:tcPr>
            <w:tcW w:w="3096" w:type="dxa"/>
            <w:tcBorders>
              <w:bottom w:val="single" w:sz="4" w:space="0" w:color="auto"/>
            </w:tcBorders>
          </w:tcPr>
          <w:p w14:paraId="386C0898" w14:textId="77777777" w:rsidR="00187713" w:rsidRPr="004F3582" w:rsidRDefault="00187713" w:rsidP="00885B9D">
            <w:pPr>
              <w:pStyle w:val="EMEABodyText"/>
            </w:pPr>
            <w:r>
              <w:t xml:space="preserve">at least 35 </w:t>
            </w:r>
          </w:p>
        </w:tc>
        <w:tc>
          <w:tcPr>
            <w:tcW w:w="3096" w:type="dxa"/>
            <w:tcBorders>
              <w:bottom w:val="single" w:sz="4" w:space="0" w:color="auto"/>
            </w:tcBorders>
          </w:tcPr>
          <w:p w14:paraId="23928EE7" w14:textId="77777777" w:rsidR="00187713" w:rsidRPr="004F3582" w:rsidRDefault="00187713" w:rsidP="0000712C">
            <w:pPr>
              <w:pStyle w:val="EMEABodyText"/>
            </w:pPr>
            <w:r>
              <w:t>300 mg (6 sachets</w:t>
            </w:r>
            <w:r>
              <w:rPr>
                <w:vertAlign w:val="superscript"/>
              </w:rPr>
              <w:t>b</w:t>
            </w:r>
            <w:r>
              <w:t>)</w:t>
            </w:r>
          </w:p>
        </w:tc>
        <w:tc>
          <w:tcPr>
            <w:tcW w:w="3097" w:type="dxa"/>
            <w:tcBorders>
              <w:bottom w:val="single" w:sz="4" w:space="0" w:color="auto"/>
            </w:tcBorders>
          </w:tcPr>
          <w:p w14:paraId="48810C09" w14:textId="77777777" w:rsidR="00187713" w:rsidRPr="004F3582" w:rsidRDefault="00187713" w:rsidP="00AF4A72">
            <w:pPr>
              <w:pStyle w:val="EMEABodyText"/>
            </w:pPr>
            <w:r>
              <w:t>100 mg</w:t>
            </w:r>
            <w:r>
              <w:rPr>
                <w:vertAlign w:val="superscript"/>
              </w:rPr>
              <w:t>d</w:t>
            </w:r>
          </w:p>
        </w:tc>
      </w:tr>
      <w:tr w:rsidR="00187713" w:rsidRPr="00965E20" w14:paraId="6F063E97" w14:textId="77777777" w:rsidTr="0000712C">
        <w:tc>
          <w:tcPr>
            <w:tcW w:w="9289" w:type="dxa"/>
            <w:gridSpan w:val="3"/>
            <w:tcBorders>
              <w:top w:val="single" w:sz="4" w:space="0" w:color="auto"/>
            </w:tcBorders>
          </w:tcPr>
          <w:p w14:paraId="2FBB10B6" w14:textId="77777777" w:rsidR="00187713" w:rsidRPr="00D31EBB" w:rsidRDefault="00187713" w:rsidP="0000712C">
            <w:pPr>
              <w:pStyle w:val="EMEABodyText"/>
              <w:rPr>
                <w:sz w:val="18"/>
                <w:szCs w:val="22"/>
              </w:rPr>
            </w:pPr>
            <w:r>
              <w:rPr>
                <w:sz w:val="18"/>
                <w:szCs w:val="22"/>
                <w:vertAlign w:val="superscript"/>
              </w:rPr>
              <w:t>a</w:t>
            </w:r>
            <w:r>
              <w:rPr>
                <w:sz w:val="18"/>
                <w:szCs w:val="22"/>
              </w:rPr>
              <w:t xml:space="preserve"> The same recommendations regarding the timing and maximum doses of concomitant proton pump inhibitors and H</w:t>
            </w:r>
            <w:r>
              <w:rPr>
                <w:sz w:val="18"/>
                <w:szCs w:val="22"/>
                <w:vertAlign w:val="subscript"/>
              </w:rPr>
              <w:t>2</w:t>
            </w:r>
            <w:r>
              <w:rPr>
                <w:sz w:val="18"/>
                <w:szCs w:val="22"/>
              </w:rPr>
              <w:t>-receptor antagonists in adults also apply to paediatric patients (see section 4.5).</w:t>
            </w:r>
          </w:p>
          <w:p w14:paraId="367CDBBA" w14:textId="77777777" w:rsidR="00187713" w:rsidRPr="00D31EBB" w:rsidRDefault="00187713" w:rsidP="0075536C">
            <w:pPr>
              <w:pStyle w:val="EMEABodyText"/>
              <w:rPr>
                <w:sz w:val="20"/>
              </w:rPr>
            </w:pPr>
            <w:r>
              <w:rPr>
                <w:sz w:val="18"/>
                <w:szCs w:val="22"/>
                <w:vertAlign w:val="superscript"/>
              </w:rPr>
              <w:t>b</w:t>
            </w:r>
            <w:r>
              <w:rPr>
                <w:sz w:val="18"/>
                <w:szCs w:val="22"/>
              </w:rPr>
              <w:t xml:space="preserve"> Each sachet contains 50 mg of atazanavir.</w:t>
            </w:r>
            <w:r>
              <w:rPr>
                <w:sz w:val="20"/>
                <w:szCs w:val="22"/>
              </w:rPr>
              <w:t xml:space="preserve"> </w:t>
            </w:r>
          </w:p>
        </w:tc>
      </w:tr>
    </w:tbl>
    <w:p w14:paraId="5D9C26C2" w14:textId="77777777" w:rsidR="00776CDC" w:rsidRPr="00D31EBB" w:rsidRDefault="00187713" w:rsidP="00187713">
      <w:pPr>
        <w:pStyle w:val="EMEABodyText"/>
        <w:rPr>
          <w:sz w:val="18"/>
          <w:szCs w:val="22"/>
        </w:rPr>
      </w:pPr>
      <w:r>
        <w:rPr>
          <w:sz w:val="18"/>
          <w:szCs w:val="22"/>
          <w:vertAlign w:val="superscript"/>
        </w:rPr>
        <w:t>c</w:t>
      </w:r>
      <w:r>
        <w:rPr>
          <w:sz w:val="18"/>
          <w:szCs w:val="22"/>
        </w:rPr>
        <w:t xml:space="preserve"> Ritonavir oral solution.</w:t>
      </w:r>
    </w:p>
    <w:p w14:paraId="4A87BCB7" w14:textId="77777777" w:rsidR="00187713" w:rsidRPr="00D31EBB" w:rsidRDefault="00776CDC" w:rsidP="00187713">
      <w:pPr>
        <w:pStyle w:val="EMEABodyText"/>
        <w:rPr>
          <w:sz w:val="18"/>
          <w:szCs w:val="22"/>
        </w:rPr>
      </w:pPr>
      <w:r>
        <w:rPr>
          <w:sz w:val="18"/>
          <w:szCs w:val="22"/>
          <w:vertAlign w:val="superscript"/>
        </w:rPr>
        <w:t xml:space="preserve">d </w:t>
      </w:r>
      <w:r>
        <w:rPr>
          <w:sz w:val="18"/>
          <w:szCs w:val="22"/>
        </w:rPr>
        <w:t>Ritonavir oral solution or capsule/tablet.</w:t>
      </w:r>
    </w:p>
    <w:p w14:paraId="545F82F5" w14:textId="77777777" w:rsidR="00187713" w:rsidRPr="00D31EBB" w:rsidRDefault="00187713" w:rsidP="00187713">
      <w:pPr>
        <w:pStyle w:val="EMEABodyText"/>
        <w:rPr>
          <w:szCs w:val="22"/>
          <w:lang w:val="en-US"/>
        </w:rPr>
      </w:pPr>
    </w:p>
    <w:p w14:paraId="6F2FDFF8" w14:textId="77777777" w:rsidR="00187713" w:rsidRPr="00D31EBB" w:rsidRDefault="00187713" w:rsidP="00187713">
      <w:pPr>
        <w:pStyle w:val="EMEABodyText"/>
        <w:rPr>
          <w:szCs w:val="22"/>
        </w:rPr>
      </w:pPr>
      <w:r>
        <w:t>REYATAZ capsules are available for paediatric patients at least 6 years of age who weigh at least 15 kg and who are able to swallow capsules (see Summary of Product Characteristics for REYATAZ capsules). Switching from REYATAZ oral powder to REYATAZ capsules is encouraged as soon as patients are able to consistently swallow capsules.</w:t>
      </w:r>
    </w:p>
    <w:p w14:paraId="1AB02DAC" w14:textId="77777777" w:rsidR="00187713" w:rsidRPr="00D31EBB" w:rsidRDefault="00187713" w:rsidP="00187713">
      <w:pPr>
        <w:pStyle w:val="EMEABodyText"/>
        <w:rPr>
          <w:lang w:val="en-US"/>
        </w:rPr>
      </w:pPr>
    </w:p>
    <w:p w14:paraId="73D4EDA2" w14:textId="77777777" w:rsidR="00016C8D" w:rsidRPr="00D31EBB" w:rsidRDefault="00016C8D" w:rsidP="00016C8D">
      <w:pPr>
        <w:pStyle w:val="EMEABodyText"/>
        <w:rPr>
          <w:szCs w:val="22"/>
        </w:rPr>
      </w:pPr>
      <w:r>
        <w:t>When transitioning between formulations, a change in dose may be needed. Consult the dosing table for the specific formulation (see Summary of Product Characteristics for REYATAZ capsules).</w:t>
      </w:r>
    </w:p>
    <w:p w14:paraId="4AAD4B00" w14:textId="77777777" w:rsidR="00187713" w:rsidRPr="00D31EBB" w:rsidRDefault="00187713" w:rsidP="00187713">
      <w:pPr>
        <w:pStyle w:val="EMEABodyText"/>
        <w:rPr>
          <w:lang w:val="en-US"/>
        </w:rPr>
      </w:pPr>
    </w:p>
    <w:p w14:paraId="75230F3F" w14:textId="77777777" w:rsidR="00016C8D" w:rsidRPr="00D31EBB" w:rsidRDefault="00187713" w:rsidP="00187713">
      <w:pPr>
        <w:pStyle w:val="EMEABodyText"/>
        <w:rPr>
          <w:u w:val="single"/>
        </w:rPr>
      </w:pPr>
      <w:r>
        <w:rPr>
          <w:u w:val="single"/>
        </w:rPr>
        <w:t>Special populations</w:t>
      </w:r>
    </w:p>
    <w:p w14:paraId="5D0CD254" w14:textId="77777777" w:rsidR="00016C8D" w:rsidRPr="00D31EBB" w:rsidRDefault="00016C8D" w:rsidP="00187713">
      <w:pPr>
        <w:pStyle w:val="EMEABodyText"/>
      </w:pPr>
      <w:r>
        <w:rPr>
          <w:i/>
        </w:rPr>
        <w:t>Renal impairment</w:t>
      </w:r>
    </w:p>
    <w:p w14:paraId="4FEDD6D4" w14:textId="77777777" w:rsidR="00187713" w:rsidRPr="00D31EBB" w:rsidRDefault="00016C8D" w:rsidP="00187713">
      <w:pPr>
        <w:pStyle w:val="EMEABodyText"/>
      </w:pPr>
      <w:r>
        <w:t>No dosage adjustment is needed. REYATAZ with ritonavir is not recommended in patients undergoing haemodialysis (see sections 4.4 and 5.2).</w:t>
      </w:r>
    </w:p>
    <w:p w14:paraId="72575595" w14:textId="77777777" w:rsidR="00187713" w:rsidRPr="00D31EBB" w:rsidRDefault="00187713" w:rsidP="00187713">
      <w:pPr>
        <w:pStyle w:val="EMEABodyText"/>
        <w:rPr>
          <w:lang w:val="en-US"/>
        </w:rPr>
      </w:pPr>
    </w:p>
    <w:p w14:paraId="1B7B3BC7" w14:textId="77777777" w:rsidR="00016C8D" w:rsidRPr="00D31EBB" w:rsidRDefault="00016C8D" w:rsidP="00187713">
      <w:pPr>
        <w:pStyle w:val="EMEABodyText"/>
      </w:pPr>
      <w:r>
        <w:rPr>
          <w:i/>
        </w:rPr>
        <w:t>Hepatic impairment</w:t>
      </w:r>
    </w:p>
    <w:p w14:paraId="61B10480" w14:textId="77777777" w:rsidR="00187713" w:rsidRPr="00D31EBB" w:rsidRDefault="00187713" w:rsidP="00187713">
      <w:pPr>
        <w:pStyle w:val="EMEABodyText"/>
      </w:pPr>
      <w:r>
        <w:t>REYATAZ with ritonavir has not been studied in patients with hepatic impairment. REYATAZ with ritonavir should be used with caution in patients with mild hepatic impairment. REYATAZ must not be used in patients with moderate to severe hepatic impairment (see sections 4.3, 4.4, and 5.2).</w:t>
      </w:r>
    </w:p>
    <w:p w14:paraId="5F06A014" w14:textId="77777777" w:rsidR="00187713" w:rsidRPr="00D31EBB" w:rsidRDefault="00187713" w:rsidP="00187713">
      <w:pPr>
        <w:pStyle w:val="EMEABodyText"/>
        <w:rPr>
          <w:lang w:val="en-US"/>
        </w:rPr>
      </w:pPr>
    </w:p>
    <w:p w14:paraId="1C380997" w14:textId="77777777" w:rsidR="00187713" w:rsidRPr="00D31EBB" w:rsidRDefault="00187713" w:rsidP="00187713">
      <w:pPr>
        <w:pStyle w:val="EMEABodyText"/>
        <w:rPr>
          <w:i/>
        </w:rPr>
      </w:pPr>
      <w:r>
        <w:rPr>
          <w:i/>
        </w:rPr>
        <w:t>Pregnancy and Postpartum</w:t>
      </w:r>
    </w:p>
    <w:p w14:paraId="2CD4B608" w14:textId="77777777" w:rsidR="00187713" w:rsidRPr="00D31EBB" w:rsidRDefault="00187713" w:rsidP="00187713">
      <w:pPr>
        <w:pStyle w:val="EMEABodyText"/>
      </w:pPr>
      <w:r>
        <w:t>During the second and third trimesters of pregnancy:</w:t>
      </w:r>
    </w:p>
    <w:p w14:paraId="77581204" w14:textId="77777777" w:rsidR="00187713" w:rsidRPr="00D31EBB" w:rsidRDefault="00187713" w:rsidP="00187713">
      <w:pPr>
        <w:pStyle w:val="EMEABodyText"/>
      </w:pPr>
      <w:r>
        <w:t>REYATAZ 300 mg with ritonavir 100 mg may not provide sufficient exposure to atazanavir, especially when the activity of atazanavir or the whole regimen may be compromised due to drug resistance. Since there are limited data available and due to inter-patient variability during pregnancy, Therapeutic Drug Monitoring (TDM) may be considered to ensure adequate exposure.</w:t>
      </w:r>
    </w:p>
    <w:p w14:paraId="08B81DBD" w14:textId="77777777" w:rsidR="00187713" w:rsidRPr="00D31EBB" w:rsidRDefault="00187713" w:rsidP="00187713">
      <w:pPr>
        <w:pStyle w:val="EMEABodyText"/>
        <w:rPr>
          <w:lang w:val="en-US"/>
        </w:rPr>
      </w:pPr>
    </w:p>
    <w:p w14:paraId="1A599FEC" w14:textId="77777777" w:rsidR="00187713" w:rsidRPr="00D31EBB" w:rsidRDefault="00187713" w:rsidP="00187713">
      <w:pPr>
        <w:pStyle w:val="EMEABodyText"/>
      </w:pPr>
      <w:r>
        <w:t>The risk of a further decrease in atazanavir exposure is expected when atazanavir is given with medicinal products known to reduce its exposure (e.g., tenofovir disoproxil or H</w:t>
      </w:r>
      <w:r>
        <w:rPr>
          <w:vertAlign w:val="subscript"/>
        </w:rPr>
        <w:t>2</w:t>
      </w:r>
      <w:r>
        <w:t>-receptor antagonists).</w:t>
      </w:r>
    </w:p>
    <w:p w14:paraId="7B58E66A" w14:textId="77777777" w:rsidR="00187713" w:rsidRPr="00D31EBB" w:rsidRDefault="00187713" w:rsidP="00E54274">
      <w:pPr>
        <w:pStyle w:val="EMEABodyTextIndent"/>
        <w:ind w:left="426"/>
        <w:rPr>
          <w:i/>
        </w:rPr>
      </w:pPr>
      <w:r>
        <w:t>If tenofovir disoproxil or an H</w:t>
      </w:r>
      <w:r>
        <w:rPr>
          <w:vertAlign w:val="subscript"/>
        </w:rPr>
        <w:t>2</w:t>
      </w:r>
      <w:r>
        <w:t>-receptor antagonist is needed, a dose increase to REYATAZ 400 mg with ritonavir 100 mg with TDM may be considered (see sections 4.6 and 5.2).</w:t>
      </w:r>
    </w:p>
    <w:p w14:paraId="1C8C6DDE" w14:textId="77777777" w:rsidR="00187713" w:rsidRPr="00D31EBB" w:rsidRDefault="00187713" w:rsidP="00E54274">
      <w:pPr>
        <w:pStyle w:val="EMEABodyTextIndent"/>
        <w:ind w:left="426"/>
        <w:rPr>
          <w:i/>
        </w:rPr>
      </w:pPr>
      <w:r>
        <w:t>It is not recommended to use REYATAZ with ritonavir for pregnant patients who are receiving both tenofovir disoproxil and an H</w:t>
      </w:r>
      <w:r>
        <w:rPr>
          <w:vertAlign w:val="subscript"/>
        </w:rPr>
        <w:t>2</w:t>
      </w:r>
      <w:r>
        <w:t>-receptor antagonist.</w:t>
      </w:r>
    </w:p>
    <w:p w14:paraId="525F8CC7" w14:textId="77777777" w:rsidR="00187713" w:rsidRPr="00D31EBB" w:rsidRDefault="00187713" w:rsidP="00187713">
      <w:pPr>
        <w:pStyle w:val="EMEABodyText"/>
        <w:rPr>
          <w:lang w:val="en-US"/>
        </w:rPr>
      </w:pPr>
    </w:p>
    <w:p w14:paraId="36A891CC" w14:textId="77777777" w:rsidR="00187713" w:rsidRPr="00D31EBB" w:rsidRDefault="00187713" w:rsidP="00187713">
      <w:pPr>
        <w:pStyle w:val="EMEABodyText"/>
      </w:pPr>
      <w:r>
        <w:t>During postpartum:</w:t>
      </w:r>
    </w:p>
    <w:p w14:paraId="7BEE2156" w14:textId="77777777" w:rsidR="00187713" w:rsidRPr="00D31EBB" w:rsidRDefault="00187713" w:rsidP="00187713">
      <w:pPr>
        <w:pStyle w:val="EMEABodyText"/>
      </w:pPr>
      <w:r>
        <w:t>Following a possible decrease in atazanavir exposure during the second and third trimester, atazanavir exposures might increase during the first two months after delivery (see section 5.2). Therefore, postpartum patients should be closely monitored for adverse reactions.</w:t>
      </w:r>
    </w:p>
    <w:p w14:paraId="7981E576" w14:textId="77777777" w:rsidR="00187713" w:rsidRPr="00D31EBB" w:rsidRDefault="00187713" w:rsidP="00E54274">
      <w:pPr>
        <w:pStyle w:val="EMEABodyTextIndent"/>
        <w:ind w:left="426" w:hanging="426"/>
        <w:rPr>
          <w:i/>
        </w:rPr>
      </w:pPr>
      <w:r>
        <w:t>During this time, postpartum patients should follow the same dose recommendation as for non-pregnant patients, including those for co-administration of medicinal products known to affect atazanavir exposure (see section 4.5).</w:t>
      </w:r>
    </w:p>
    <w:p w14:paraId="074CDE93" w14:textId="77777777" w:rsidR="00016C8D" w:rsidRPr="00D31EBB" w:rsidRDefault="00016C8D" w:rsidP="00016C8D">
      <w:pPr>
        <w:pStyle w:val="EMEABodyText"/>
        <w:rPr>
          <w:lang w:val="en-US"/>
        </w:rPr>
      </w:pPr>
    </w:p>
    <w:p w14:paraId="2B0366E0" w14:textId="77777777" w:rsidR="00016C8D" w:rsidRPr="00D31EBB" w:rsidRDefault="00016C8D" w:rsidP="00016C8D">
      <w:pPr>
        <w:pStyle w:val="EMEABodyText"/>
        <w:rPr>
          <w:i/>
        </w:rPr>
      </w:pPr>
      <w:r>
        <w:rPr>
          <w:i/>
        </w:rPr>
        <w:t>Paediatric patients (less than 3 months of age)</w:t>
      </w:r>
    </w:p>
    <w:p w14:paraId="3C8E5F11" w14:textId="77777777" w:rsidR="00016C8D" w:rsidRPr="00D31EBB" w:rsidRDefault="00016C8D" w:rsidP="00016C8D">
      <w:pPr>
        <w:pStyle w:val="EMEABodyText"/>
      </w:pPr>
      <w:r>
        <w:t>REYATAZ has not been studied in children less than 3 months of age and is not recommended because of the potential risk of kernicterus.</w:t>
      </w:r>
    </w:p>
    <w:p w14:paraId="3CE1D1CA" w14:textId="77777777" w:rsidR="00187713" w:rsidRPr="00D31EBB" w:rsidRDefault="00187713" w:rsidP="00187713">
      <w:pPr>
        <w:pStyle w:val="EMEABodyText"/>
        <w:rPr>
          <w:u w:val="single"/>
          <w:lang w:val="en-US"/>
        </w:rPr>
      </w:pPr>
    </w:p>
    <w:p w14:paraId="3E39F837" w14:textId="77777777" w:rsidR="00016C8D" w:rsidRPr="00D31EBB" w:rsidRDefault="00187713" w:rsidP="00187713">
      <w:pPr>
        <w:pStyle w:val="EMEABodyText"/>
      </w:pPr>
      <w:r>
        <w:rPr>
          <w:u w:val="single"/>
        </w:rPr>
        <w:t>Method of administration</w:t>
      </w:r>
    </w:p>
    <w:p w14:paraId="50F43AE8" w14:textId="77777777" w:rsidR="00187713" w:rsidRPr="00D31EBB" w:rsidRDefault="00016C8D" w:rsidP="00187713">
      <w:pPr>
        <w:pStyle w:val="EMEABodyText"/>
      </w:pPr>
      <w:r>
        <w:t xml:space="preserve">For oral use. </w:t>
      </w:r>
    </w:p>
    <w:p w14:paraId="4484C9D2" w14:textId="77777777" w:rsidR="00187713" w:rsidRPr="00D31EBB" w:rsidRDefault="00187713" w:rsidP="00187713">
      <w:pPr>
        <w:pStyle w:val="EMEABodyText"/>
      </w:pPr>
      <w:r>
        <w:t>REYATAZ oral powder should be taken/given with food (e.g. applesauce or yogurt) or drinks (e.g. milk, infant formula or water) for infants who can drink from a cup. For young infants (less than 6 months) who cannot eat solid food or drink from a cup, REYATAZ oral powder should be mixed with infant formula and given using an oral syringe, which can be obtained from a pharmacist. Administration of REYATAZ and infant formula using an infant bottle is not recommended because the full dose may not be delivered.</w:t>
      </w:r>
    </w:p>
    <w:p w14:paraId="353F5A93" w14:textId="77777777" w:rsidR="00187713" w:rsidRPr="00D31EBB" w:rsidRDefault="00187713" w:rsidP="00187713">
      <w:pPr>
        <w:pStyle w:val="EMEABodyText"/>
        <w:rPr>
          <w:lang w:val="en-US"/>
        </w:rPr>
      </w:pPr>
    </w:p>
    <w:p w14:paraId="5A8298B6" w14:textId="77777777" w:rsidR="00187713" w:rsidRPr="00D31EBB" w:rsidRDefault="00187713" w:rsidP="00187713">
      <w:pPr>
        <w:pStyle w:val="EMEABodyText"/>
      </w:pPr>
      <w:r>
        <w:t>For details on preparation and administration of the REYATAZ oral powder and Instructions for Use, see section 6.6.</w:t>
      </w:r>
    </w:p>
    <w:p w14:paraId="5F2959C1" w14:textId="77777777" w:rsidR="00187713" w:rsidRPr="00D31EBB" w:rsidRDefault="00187713" w:rsidP="00187713">
      <w:pPr>
        <w:pStyle w:val="EMEABodyText"/>
        <w:rPr>
          <w:b/>
          <w:noProof/>
          <w:lang w:val="en-US"/>
        </w:rPr>
      </w:pPr>
    </w:p>
    <w:p w14:paraId="50652092" w14:textId="77777777" w:rsidR="00187713" w:rsidRPr="00D31EBB" w:rsidRDefault="00187713" w:rsidP="00187713">
      <w:pPr>
        <w:pStyle w:val="EMEAHeading2"/>
        <w:rPr>
          <w:noProof/>
        </w:rPr>
      </w:pPr>
      <w:r>
        <w:t>4.3</w:t>
      </w:r>
      <w:r>
        <w:tab/>
        <w:t>Contraindications</w:t>
      </w:r>
    </w:p>
    <w:p w14:paraId="529F6A9D" w14:textId="77777777" w:rsidR="00187713" w:rsidRPr="00D31EBB" w:rsidRDefault="00187713" w:rsidP="00187713">
      <w:pPr>
        <w:pStyle w:val="EMEAHeading2"/>
        <w:rPr>
          <w:noProof/>
          <w:lang w:val="en-US"/>
        </w:rPr>
      </w:pPr>
    </w:p>
    <w:p w14:paraId="48C9E040" w14:textId="77777777" w:rsidR="00187713" w:rsidRPr="00D31EBB" w:rsidRDefault="00187713" w:rsidP="00187713">
      <w:pPr>
        <w:pStyle w:val="EMEABodyText"/>
      </w:pPr>
      <w:r>
        <w:t>Hypersensitivity to the active substance or to any of the excipients listed in section 6.1.</w:t>
      </w:r>
    </w:p>
    <w:p w14:paraId="03ACE194" w14:textId="77777777" w:rsidR="00187713" w:rsidRPr="00D31EBB" w:rsidRDefault="00187713" w:rsidP="00187713">
      <w:pPr>
        <w:pStyle w:val="EMEABodyText"/>
        <w:rPr>
          <w:lang w:val="en-US"/>
        </w:rPr>
      </w:pPr>
    </w:p>
    <w:p w14:paraId="1A569494" w14:textId="77777777" w:rsidR="00187713" w:rsidRPr="00D31EBB" w:rsidRDefault="00187713" w:rsidP="00187713">
      <w:pPr>
        <w:pStyle w:val="EMEABodyText"/>
        <w:rPr>
          <w:i/>
        </w:rPr>
      </w:pPr>
      <w:r>
        <w:t>Patients with moderate to severe hepatic insufficiency (see sections 4.2 and 4.4).</w:t>
      </w:r>
    </w:p>
    <w:p w14:paraId="068EB2E2" w14:textId="77777777" w:rsidR="00187713" w:rsidRPr="00D31EBB" w:rsidRDefault="00187713" w:rsidP="00187713">
      <w:pPr>
        <w:pStyle w:val="EMEABodyText"/>
        <w:rPr>
          <w:lang w:val="en-US"/>
        </w:rPr>
      </w:pPr>
    </w:p>
    <w:p w14:paraId="2B7135A9" w14:textId="77777777" w:rsidR="00187713" w:rsidRPr="00D31EBB" w:rsidRDefault="00187713" w:rsidP="00187713">
      <w:pPr>
        <w:pStyle w:val="EMEABodyText"/>
      </w:pPr>
      <w:r>
        <w:t>Co-administration with simvastatin or lovastatin (see section 4.5).</w:t>
      </w:r>
    </w:p>
    <w:p w14:paraId="312458A8" w14:textId="77777777" w:rsidR="00187713" w:rsidRPr="00D31EBB" w:rsidRDefault="00187713" w:rsidP="00187713">
      <w:pPr>
        <w:pStyle w:val="EMEABodyText"/>
        <w:rPr>
          <w:lang w:val="en-US"/>
        </w:rPr>
      </w:pPr>
    </w:p>
    <w:p w14:paraId="5A69EAB7" w14:textId="77777777" w:rsidR="00187713" w:rsidRPr="00D31EBB" w:rsidRDefault="00187713" w:rsidP="00187713">
      <w:pPr>
        <w:pStyle w:val="EMEABodyText"/>
      </w:pPr>
      <w:r>
        <w:t>Combination of rifampicin with concomitant low-dose ritonavir (see section 4.5).</w:t>
      </w:r>
    </w:p>
    <w:p w14:paraId="2C5E4579" w14:textId="77777777" w:rsidR="00187713" w:rsidRPr="00D31EBB" w:rsidRDefault="00187713" w:rsidP="00187713">
      <w:pPr>
        <w:pStyle w:val="EMEABodyText"/>
        <w:rPr>
          <w:lang w:val="en-US"/>
        </w:rPr>
      </w:pPr>
    </w:p>
    <w:p w14:paraId="379C0860" w14:textId="77777777" w:rsidR="00187713" w:rsidRPr="00D31EBB" w:rsidRDefault="003228A9" w:rsidP="00187713">
      <w:pPr>
        <w:pStyle w:val="EMEABodyText"/>
      </w:pPr>
      <w:r>
        <w:t>Co-administration of the PDE5 inhibitor sildenafil when used for the treatment of pulmonary arterial hypertension (PAH) only (see section 4.5). For co-administration of sildenafil for the treatment of erectile dysfunction see sections 4.4 and 4.5.</w:t>
      </w:r>
    </w:p>
    <w:p w14:paraId="77FA2769" w14:textId="77777777" w:rsidR="00187713" w:rsidRPr="00D31EBB" w:rsidRDefault="00187713" w:rsidP="00187713">
      <w:pPr>
        <w:pStyle w:val="EMEABodyText"/>
        <w:rPr>
          <w:lang w:val="en-US"/>
        </w:rPr>
      </w:pPr>
    </w:p>
    <w:p w14:paraId="52C6CD7F" w14:textId="77777777" w:rsidR="00187713" w:rsidRPr="00D31EBB" w:rsidRDefault="003228A9" w:rsidP="00187713">
      <w:pPr>
        <w:pStyle w:val="EMEABodyText"/>
      </w:pPr>
      <w:r>
        <w:t>Co-administration with medicinal products that are substrates of the CYP3A4 isoform of cytochrome P450 and have narrow therapeutic windows (e.g., quetiapine, alfuzosin, astemizole, terfenadine, cisapride, pimozide, quinidine, lurasidone, bepridil, triazolam, midazolam administered orally (for caution on parenterally administered midazolam, see section 4.5), and ergot alkaloids, particularly, ergotamine, dihydroergotamine, ergonovine, methylergonovine) (see section 4.5).</w:t>
      </w:r>
    </w:p>
    <w:p w14:paraId="2FC65FC6" w14:textId="77777777" w:rsidR="00187713" w:rsidRPr="00D31EBB" w:rsidRDefault="00187713" w:rsidP="00187713">
      <w:pPr>
        <w:pStyle w:val="EMEABodyText"/>
        <w:rPr>
          <w:i/>
          <w:lang w:val="en-US"/>
        </w:rPr>
      </w:pPr>
    </w:p>
    <w:p w14:paraId="6854F237" w14:textId="77777777" w:rsidR="0096648A" w:rsidRPr="00D31EBB" w:rsidRDefault="0096648A" w:rsidP="0096648A">
      <w:pPr>
        <w:pStyle w:val="EMEABodyText"/>
      </w:pPr>
      <w:r>
        <w:t>Co-administration with grazoprevir-containing products, including elbasvir/grazoprevir fixed dose combination (see section 4.5).</w:t>
      </w:r>
    </w:p>
    <w:p w14:paraId="1DDD062B" w14:textId="77777777" w:rsidR="0096648A" w:rsidRPr="00D31EBB" w:rsidRDefault="0096648A" w:rsidP="00187713">
      <w:pPr>
        <w:pStyle w:val="EMEABodyText"/>
        <w:rPr>
          <w:lang w:val="en-US"/>
        </w:rPr>
      </w:pPr>
    </w:p>
    <w:p w14:paraId="43425F76" w14:textId="77777777" w:rsidR="00CF59D4" w:rsidRPr="00D31EBB" w:rsidRDefault="00CF59D4" w:rsidP="00187713">
      <w:pPr>
        <w:pStyle w:val="EMEABodyText"/>
      </w:pPr>
      <w:r>
        <w:t>Co-administration with glecaprevir/pibrentasvir fixed dose combination (see section 4.5).</w:t>
      </w:r>
    </w:p>
    <w:p w14:paraId="6455026A" w14:textId="77777777" w:rsidR="00CF59D4" w:rsidRPr="00D31EBB" w:rsidRDefault="00CF59D4" w:rsidP="00187713">
      <w:pPr>
        <w:pStyle w:val="EMEABodyText"/>
        <w:rPr>
          <w:lang w:val="en-US"/>
        </w:rPr>
      </w:pPr>
    </w:p>
    <w:p w14:paraId="2C4A8077" w14:textId="77777777" w:rsidR="00187713" w:rsidRPr="00D31EBB" w:rsidRDefault="003228A9" w:rsidP="00187713">
      <w:pPr>
        <w:pStyle w:val="EMEABodyText"/>
      </w:pPr>
      <w:r>
        <w:t>Co-administration with products containing St. John’s wort (</w:t>
      </w:r>
      <w:r>
        <w:rPr>
          <w:i/>
        </w:rPr>
        <w:t>Hypericum perforatum</w:t>
      </w:r>
      <w:r>
        <w:t>) (see section 4.5).</w:t>
      </w:r>
    </w:p>
    <w:p w14:paraId="412F148C" w14:textId="77777777" w:rsidR="00187713" w:rsidRPr="00D31EBB" w:rsidRDefault="00187713" w:rsidP="00187713">
      <w:pPr>
        <w:pStyle w:val="EMEABodyText"/>
        <w:rPr>
          <w:noProof/>
          <w:lang w:val="en-US"/>
        </w:rPr>
      </w:pPr>
    </w:p>
    <w:p w14:paraId="463404FE" w14:textId="77777777" w:rsidR="00187713" w:rsidRPr="00D31EBB" w:rsidRDefault="00187713" w:rsidP="00187713">
      <w:pPr>
        <w:pStyle w:val="EMEAHeading2"/>
        <w:rPr>
          <w:noProof/>
        </w:rPr>
      </w:pPr>
      <w:r>
        <w:t>4.4</w:t>
      </w:r>
      <w:r>
        <w:tab/>
        <w:t>Special warnings and precautions for use</w:t>
      </w:r>
    </w:p>
    <w:p w14:paraId="54B05EB6" w14:textId="77777777" w:rsidR="00187713" w:rsidRPr="00D31EBB" w:rsidRDefault="00187713" w:rsidP="00187713">
      <w:pPr>
        <w:pStyle w:val="EMEAHeading2"/>
        <w:rPr>
          <w:noProof/>
          <w:lang w:val="en-US"/>
        </w:rPr>
      </w:pPr>
    </w:p>
    <w:p w14:paraId="0D2E4F2D" w14:textId="77777777" w:rsidR="00187713" w:rsidRPr="00D31EBB" w:rsidRDefault="00187713" w:rsidP="00187713">
      <w:pPr>
        <w:pStyle w:val="EMEABodyText"/>
        <w:rPr>
          <w:szCs w:val="22"/>
        </w:rPr>
      </w:pPr>
      <w:r>
        <w:t>While effective viral suppression with antiretroviral therapy has been proven to substantially reduce the risk of sexual transmission, a residual risk cannot be excluded. Precautions to prevent transmission should be taken in accordance with national guidelines.</w:t>
      </w:r>
    </w:p>
    <w:p w14:paraId="44A029C5" w14:textId="77777777" w:rsidR="00187713" w:rsidRPr="00D31EBB" w:rsidRDefault="00187713" w:rsidP="00187713">
      <w:pPr>
        <w:pStyle w:val="EMEABodyText"/>
        <w:rPr>
          <w:lang w:val="en-US"/>
        </w:rPr>
      </w:pPr>
    </w:p>
    <w:p w14:paraId="4F6F3BCA" w14:textId="77777777" w:rsidR="00187713" w:rsidRPr="00D31EBB" w:rsidRDefault="00187713" w:rsidP="00187713">
      <w:pPr>
        <w:pStyle w:val="EMEABodyText"/>
      </w:pPr>
      <w:r>
        <w:t>Co-administration of REYATAZ with ritonavir at doses greater than 100 mg once daily has not been clinically evaluated. The use of higher ritonavir doses may alter the safety profile of atazanavir (cardiac effects, hyperbilirubinaemia) and therefore is not recommended. Only when atazanavir with ritonavir is co-administered with efavirenz, a dose increase of ritonavir to 200 mg once daily could be considered. In this instance, close clinical monitoring is warranted (see Interaction with other Medicinal Products below).</w:t>
      </w:r>
    </w:p>
    <w:p w14:paraId="79558A53" w14:textId="77777777" w:rsidR="00187713" w:rsidRPr="00D31EBB" w:rsidRDefault="00187713" w:rsidP="00187713">
      <w:pPr>
        <w:pStyle w:val="EMEABodyText"/>
        <w:rPr>
          <w:lang w:val="en-US"/>
        </w:rPr>
      </w:pPr>
    </w:p>
    <w:p w14:paraId="61A8791A" w14:textId="77777777" w:rsidR="00187713" w:rsidRPr="00D31EBB" w:rsidRDefault="00187713" w:rsidP="00187713">
      <w:pPr>
        <w:pStyle w:val="EMEABodyText"/>
        <w:keepNext/>
        <w:rPr>
          <w:u w:val="single"/>
        </w:rPr>
      </w:pPr>
      <w:r>
        <w:rPr>
          <w:u w:val="single"/>
        </w:rPr>
        <w:t>Patients with coexisting conditions</w:t>
      </w:r>
    </w:p>
    <w:p w14:paraId="173ACA77" w14:textId="77777777" w:rsidR="00187713" w:rsidRPr="00D31EBB" w:rsidRDefault="00187713" w:rsidP="00187713">
      <w:pPr>
        <w:pStyle w:val="EMEABodyText"/>
        <w:keepNext/>
        <w:rPr>
          <w:u w:val="single"/>
          <w:lang w:val="en-US"/>
        </w:rPr>
      </w:pPr>
    </w:p>
    <w:p w14:paraId="4575FFE9" w14:textId="77777777" w:rsidR="003228A9" w:rsidRPr="00D31EBB" w:rsidRDefault="00187713" w:rsidP="00187713">
      <w:pPr>
        <w:pStyle w:val="EMEABodyText"/>
        <w:rPr>
          <w:i/>
        </w:rPr>
      </w:pPr>
      <w:r>
        <w:rPr>
          <w:i/>
        </w:rPr>
        <w:t>Hepatic impairment</w:t>
      </w:r>
    </w:p>
    <w:p w14:paraId="5AE76ED3" w14:textId="77777777" w:rsidR="00187713" w:rsidRPr="00D31EBB" w:rsidRDefault="00187713" w:rsidP="00187713">
      <w:pPr>
        <w:pStyle w:val="EMEABodyText"/>
      </w:pPr>
      <w:r>
        <w:t>Atazanavir is primarily hepatically metabolised and increased plasma concentrations were observed in patients with hepatic impairment (see sections 4.2 and 4.3). The safety and efficacy of REYATAZ has not been established in patients with significant underlying liver disorders. Patients with chronic hepatitis B or C and treated with combination antiretroviral therapy are at an increased risk for severe and potentially fatal hepatic adverse reactions. In case of concomitant antiviral therapy for hepatitis B or C, please refer also to the relevant Summary of Product Characteristics for these medicinal products (see section 4.8).</w:t>
      </w:r>
    </w:p>
    <w:p w14:paraId="7B93850B" w14:textId="77777777" w:rsidR="00187713" w:rsidRPr="00D31EBB" w:rsidRDefault="00187713" w:rsidP="00187713">
      <w:pPr>
        <w:pStyle w:val="EMEABodyText"/>
        <w:rPr>
          <w:lang w:val="en-US"/>
        </w:rPr>
      </w:pPr>
    </w:p>
    <w:p w14:paraId="6563E284" w14:textId="77777777" w:rsidR="00187713" w:rsidRPr="00D31EBB" w:rsidRDefault="00187713" w:rsidP="00187713">
      <w:pPr>
        <w:pStyle w:val="EMEABodyText"/>
      </w:pPr>
      <w:r>
        <w:t>Patients with pre-existing liver dysfunction, including chronic active hepatitis, have an increased frequency of liver function abnormalities during combination antiretroviral therapy and should be monitored according to standard practice. If there is evidence of worsening liver disease in such patients, interruption or discontinuation of treatment must be considered.</w:t>
      </w:r>
    </w:p>
    <w:p w14:paraId="43F5D4F8" w14:textId="77777777" w:rsidR="00187713" w:rsidRPr="00D31EBB" w:rsidRDefault="00187713" w:rsidP="00187713">
      <w:pPr>
        <w:pStyle w:val="EMEABodyText"/>
        <w:rPr>
          <w:lang w:val="en-US"/>
        </w:rPr>
      </w:pPr>
    </w:p>
    <w:p w14:paraId="48F800F7" w14:textId="77777777" w:rsidR="003228A9" w:rsidRPr="00D31EBB" w:rsidRDefault="00187713" w:rsidP="00187713">
      <w:pPr>
        <w:pStyle w:val="EMEABodyText"/>
        <w:rPr>
          <w:i/>
        </w:rPr>
      </w:pPr>
      <w:r>
        <w:rPr>
          <w:i/>
        </w:rPr>
        <w:t xml:space="preserve">Renal impairment </w:t>
      </w:r>
    </w:p>
    <w:p w14:paraId="6D49D985" w14:textId="77777777" w:rsidR="00187713" w:rsidRPr="00D31EBB" w:rsidRDefault="00187713" w:rsidP="00187713">
      <w:pPr>
        <w:pStyle w:val="EMEABodyText"/>
      </w:pPr>
      <w:r>
        <w:t>No dosage adjustment is needed in patients with renal impairment. However, REYATAZ with ritonavir is not recommended in patients undergoing haemodialysis (see sections 4.2 and 5.2).</w:t>
      </w:r>
    </w:p>
    <w:p w14:paraId="452AC2B2" w14:textId="77777777" w:rsidR="00187713" w:rsidRPr="00D31EBB" w:rsidRDefault="00187713" w:rsidP="00187713">
      <w:pPr>
        <w:pStyle w:val="EMEABodyText"/>
        <w:rPr>
          <w:lang w:val="en-US"/>
        </w:rPr>
      </w:pPr>
    </w:p>
    <w:p w14:paraId="147BF86A" w14:textId="77777777" w:rsidR="003228A9" w:rsidRPr="00D31EBB" w:rsidRDefault="00187713" w:rsidP="00187713">
      <w:pPr>
        <w:pStyle w:val="EMEABodyText"/>
        <w:rPr>
          <w:i/>
        </w:rPr>
      </w:pPr>
      <w:r>
        <w:rPr>
          <w:i/>
        </w:rPr>
        <w:t>QT prolongation</w:t>
      </w:r>
    </w:p>
    <w:p w14:paraId="72F5B480" w14:textId="77777777" w:rsidR="00187713" w:rsidRPr="00D31EBB" w:rsidRDefault="00187713" w:rsidP="00187713">
      <w:pPr>
        <w:pStyle w:val="EMEABodyText"/>
        <w:rPr>
          <w:i/>
        </w:rPr>
      </w:pPr>
      <w:r>
        <w:t>Dose related asymptomatic prolongations in PR interval with REYATAZ have been observed in clinical studies. Caution should be used with medicinal products known to induce PR prolongations. In patients with pre-existing conduction problems (second degree or higher atrioventricular or complex bundle-branch block), REYATAZ should be used with caution and only if the benefits exceed the risk (see section 5.1). Particular caution should be used when prescribing REYATAZ in association with medicinal products which have the potential to increase the QT interval and/or in patients with pre-existing risk factors (bradycardia, long congenital QT, electrolyte imbalances (see sections 4.8 and 5.3).</w:t>
      </w:r>
    </w:p>
    <w:p w14:paraId="571A82F7" w14:textId="77777777" w:rsidR="00187713" w:rsidRPr="00D31EBB" w:rsidRDefault="00187713" w:rsidP="00187713">
      <w:pPr>
        <w:pStyle w:val="EMEABodyText"/>
        <w:rPr>
          <w:lang w:val="en-US"/>
        </w:rPr>
      </w:pPr>
    </w:p>
    <w:p w14:paraId="2F1F304C" w14:textId="77777777" w:rsidR="003228A9" w:rsidRPr="00D31EBB" w:rsidRDefault="00187713" w:rsidP="00187713">
      <w:pPr>
        <w:pStyle w:val="EMEABodyText"/>
      </w:pPr>
      <w:r>
        <w:rPr>
          <w:i/>
        </w:rPr>
        <w:t>Haemophiliac patients</w:t>
      </w:r>
    </w:p>
    <w:p w14:paraId="5A8CA308" w14:textId="77777777" w:rsidR="00187713" w:rsidRPr="00D31EBB" w:rsidRDefault="00187713" w:rsidP="00187713">
      <w:pPr>
        <w:pStyle w:val="EMEABodyText"/>
      </w:pPr>
      <w:r>
        <w:t>There have been reports of increased bleeding, including spontaneous skin haematomas and haemarthroses, in type A and B haemophiliac patients treated with protease inhibitors. In some patients additional factor VIII was given. In more than half of the reported cases, treatment with protease inhibitors was continued or reintroduced if treatment had been discontinued. A causal relationship has been suggested, although the mechanism of action has not been elucidated. Haemophiliac patients should therefore be made aware of the possibility of increased bleeding.</w:t>
      </w:r>
    </w:p>
    <w:p w14:paraId="6057586D" w14:textId="77777777" w:rsidR="004B14F8" w:rsidRPr="00D31EBB" w:rsidRDefault="004B14F8" w:rsidP="004B14F8">
      <w:pPr>
        <w:pStyle w:val="EMEABodyText"/>
        <w:rPr>
          <w:u w:val="single"/>
          <w:lang w:val="en-US"/>
        </w:rPr>
      </w:pPr>
    </w:p>
    <w:p w14:paraId="11E8245E" w14:textId="77777777" w:rsidR="004B14F8" w:rsidRPr="00D31EBB" w:rsidRDefault="004B14F8" w:rsidP="004B14F8">
      <w:pPr>
        <w:pStyle w:val="EMEABodyText"/>
        <w:keepNext/>
        <w:rPr>
          <w:u w:val="single"/>
        </w:rPr>
      </w:pPr>
      <w:r>
        <w:rPr>
          <w:u w:val="single"/>
        </w:rPr>
        <w:t>Weight and metabolic parameters</w:t>
      </w:r>
    </w:p>
    <w:p w14:paraId="11C7EAAA" w14:textId="77777777" w:rsidR="004B14F8" w:rsidRPr="00D31EBB" w:rsidRDefault="004B14F8" w:rsidP="004B14F8">
      <w:pPr>
        <w:pStyle w:val="EMEABodyText"/>
      </w:pPr>
      <w:r>
        <w:t>An increase in weight and in levels of blood lipids and glucose may occur during antiretroviral therapy. Such changes may in part be linked to the disease control and life style. For lipids, there is in some cases evidence for a treatment effect, while for weight gain there is no strong evidence relating this to any particular treatment. For monitoring of blood lipids and glucose reference is made to established HIV treatment guidelines. Lipid disorders should be managed as clinically appropriate.</w:t>
      </w:r>
    </w:p>
    <w:p w14:paraId="3D823E4B" w14:textId="77777777" w:rsidR="004B14F8" w:rsidRPr="00D31EBB" w:rsidRDefault="004B14F8" w:rsidP="004B14F8">
      <w:pPr>
        <w:pStyle w:val="EMEABodyText"/>
        <w:rPr>
          <w:lang w:val="en-US"/>
        </w:rPr>
      </w:pPr>
    </w:p>
    <w:p w14:paraId="489CA879" w14:textId="77777777" w:rsidR="004B14F8" w:rsidRPr="00D31EBB" w:rsidRDefault="004B14F8" w:rsidP="004B14F8">
      <w:pPr>
        <w:pStyle w:val="EMEABodyText"/>
        <w:rPr>
          <w:strike/>
        </w:rPr>
      </w:pPr>
      <w:r>
        <w:t xml:space="preserve">In clinical studies, REYATAZ (with or without ritonavir) has been shown to induce dyslipidaemia to a lesser extent than comparators. </w:t>
      </w:r>
    </w:p>
    <w:p w14:paraId="3CF81302" w14:textId="77777777" w:rsidR="00187713" w:rsidRPr="00D31EBB" w:rsidRDefault="00187713" w:rsidP="00187713">
      <w:pPr>
        <w:pStyle w:val="EMEABodyText"/>
        <w:rPr>
          <w:lang w:val="en-US"/>
        </w:rPr>
      </w:pPr>
    </w:p>
    <w:p w14:paraId="13FE0088" w14:textId="77777777" w:rsidR="00187713" w:rsidRPr="00D31EBB" w:rsidRDefault="00187713" w:rsidP="00187713">
      <w:pPr>
        <w:pStyle w:val="EMEABodyText"/>
        <w:keepNext/>
        <w:rPr>
          <w:u w:val="single"/>
        </w:rPr>
      </w:pPr>
      <w:r>
        <w:rPr>
          <w:u w:val="single"/>
        </w:rPr>
        <w:t>Hyperbilirubinaemia</w:t>
      </w:r>
    </w:p>
    <w:p w14:paraId="12671BDA" w14:textId="77777777" w:rsidR="00187713" w:rsidRPr="00D31EBB" w:rsidRDefault="00187713" w:rsidP="00187713">
      <w:pPr>
        <w:pStyle w:val="EMEABodyText"/>
        <w:rPr>
          <w:u w:val="single"/>
        </w:rPr>
      </w:pPr>
      <w:r>
        <w:t>Reversible elevations in indirect (unconjugated) bilirubin related to inhibition of UDP-glucuronosyl transferase (UGT) have occurred in patients receiving REYATAZ (see section 4.8). Hepatic transaminase elevations that occur with elevated bilirubin in patients receiving REYATAZ should be evaluated for alternative aetiologies. Alternative antiretroviral therapy to REYATAZ may be considered if jaundice or scleral icterus is unacceptable to a patient. Dose reduction of atazanavir is not recommended because it may result in a loss of therapeutic effect and development of resistance.</w:t>
      </w:r>
    </w:p>
    <w:p w14:paraId="18A447C0" w14:textId="77777777" w:rsidR="00187713" w:rsidRPr="00D31EBB" w:rsidRDefault="00187713" w:rsidP="00187713">
      <w:pPr>
        <w:pStyle w:val="EMEABodyText"/>
        <w:rPr>
          <w:lang w:val="en-US"/>
        </w:rPr>
      </w:pPr>
    </w:p>
    <w:p w14:paraId="71614426" w14:textId="77777777" w:rsidR="00187713" w:rsidRPr="00D31EBB" w:rsidRDefault="00187713" w:rsidP="00187713">
      <w:pPr>
        <w:pStyle w:val="EMEABodyText"/>
      </w:pPr>
      <w:r>
        <w:t>Indinavir is also associated with indirect (unconjugated) hyperbilirubinaemia due to inhibition of UGT. Combinations of REYATAZ and indinavir have not been studied and co-administration of these medicinal products is not recommended (see section 4.5).</w:t>
      </w:r>
    </w:p>
    <w:p w14:paraId="3B8056DF" w14:textId="77777777" w:rsidR="00187713" w:rsidRPr="00D31EBB" w:rsidRDefault="00187713" w:rsidP="00187713">
      <w:pPr>
        <w:pStyle w:val="EMEABodyText"/>
        <w:rPr>
          <w:lang w:val="en-US"/>
        </w:rPr>
      </w:pPr>
    </w:p>
    <w:p w14:paraId="45918699" w14:textId="77777777" w:rsidR="00187713" w:rsidRPr="00D31EBB" w:rsidRDefault="00187713" w:rsidP="00187713">
      <w:pPr>
        <w:pStyle w:val="EMEABodyText"/>
        <w:keepNext/>
        <w:rPr>
          <w:u w:val="single"/>
        </w:rPr>
      </w:pPr>
      <w:r>
        <w:rPr>
          <w:u w:val="single"/>
        </w:rPr>
        <w:t>Cholelithiasis</w:t>
      </w:r>
    </w:p>
    <w:p w14:paraId="7AE57066" w14:textId="77777777" w:rsidR="00187713" w:rsidRPr="00D31EBB" w:rsidRDefault="00187713" w:rsidP="00187713">
      <w:pPr>
        <w:pStyle w:val="EMEABodyText"/>
        <w:keepNext/>
      </w:pPr>
      <w:r>
        <w:t>Cholelithiasis has been reported in patients receiving REYATAZ (see section 4.8). Some patients required hospitalization for additional management and some had complications. If signs or symptoms of cholelithiasis occur, temporary interruption or discontinuation of treatment may be considered.</w:t>
      </w:r>
    </w:p>
    <w:p w14:paraId="4F15EA92" w14:textId="77777777" w:rsidR="00EF4F14" w:rsidRPr="00D31EBB" w:rsidRDefault="00EF4F14" w:rsidP="00EF4F14">
      <w:pPr>
        <w:pStyle w:val="EMEABodyText"/>
        <w:rPr>
          <w:u w:val="single"/>
          <w:lang w:val="en-US"/>
        </w:rPr>
      </w:pPr>
    </w:p>
    <w:p w14:paraId="16D4C413" w14:textId="77777777" w:rsidR="00EF4F14" w:rsidRPr="00D31EBB" w:rsidRDefault="00EF4F14" w:rsidP="00EF4F14">
      <w:pPr>
        <w:pStyle w:val="EMEABodyText"/>
        <w:rPr>
          <w:u w:val="single"/>
        </w:rPr>
      </w:pPr>
      <w:r>
        <w:rPr>
          <w:u w:val="single"/>
        </w:rPr>
        <w:t>Chronic kidney disease</w:t>
      </w:r>
    </w:p>
    <w:p w14:paraId="7B72C8FE" w14:textId="77777777" w:rsidR="00EF4F14" w:rsidRPr="00D31EBB" w:rsidRDefault="00EF4F14" w:rsidP="00EF4F14">
      <w:pPr>
        <w:pStyle w:val="EMEABodyText"/>
        <w:keepNext/>
      </w:pPr>
      <w:r>
        <w:t>Chronic kidney disease in HIV-infected patients treated with atazanavir, with or without ritonavir, has been reported during postmarketing surveillance. A large prospective observational study has shown an association between an increased incidence of chronic kidney disease and cumulative exposure to  atazanavir/ritonavir-containing regimen in HIV-infected patients with an initially normal eGFR. This association was observed independently of exposure to tenofovir disoproxil. Regular monitoring of the renal function of patients should be maintained throughout the treatment duration (see section 4.8).</w:t>
      </w:r>
    </w:p>
    <w:p w14:paraId="7D95AC09" w14:textId="77777777" w:rsidR="00187713" w:rsidRPr="00D31EBB" w:rsidRDefault="00187713" w:rsidP="00187713">
      <w:pPr>
        <w:pStyle w:val="EMEABodyText"/>
        <w:keepNext/>
        <w:rPr>
          <w:lang w:val="en-US"/>
        </w:rPr>
      </w:pPr>
    </w:p>
    <w:p w14:paraId="71F5C788" w14:textId="77777777" w:rsidR="00187713" w:rsidRPr="00D31EBB" w:rsidRDefault="00187713" w:rsidP="00187713">
      <w:pPr>
        <w:pStyle w:val="EMEABodyText"/>
        <w:keepNext/>
        <w:rPr>
          <w:u w:val="single"/>
        </w:rPr>
      </w:pPr>
      <w:r>
        <w:rPr>
          <w:u w:val="single"/>
        </w:rPr>
        <w:t>Nephrolithiasis</w:t>
      </w:r>
    </w:p>
    <w:p w14:paraId="7CF4ACC1" w14:textId="77777777" w:rsidR="00187713" w:rsidRPr="00D31EBB" w:rsidRDefault="00187713" w:rsidP="00187713">
      <w:pPr>
        <w:pStyle w:val="EMEABodyText"/>
      </w:pPr>
      <w:r>
        <w:t xml:space="preserve">Nephrolithiasis has been reported in patients receiving REYATAZ (see section 4.8). Some patients required hospitalization for additional management and some had complications. In some cases, nephrolithiasis has been associated with acute renal failure or renal insufficiency. If signs or symptoms of nephrolithiasis occur, temporary interruption or discontinuation of treatment may be considered. </w:t>
      </w:r>
    </w:p>
    <w:p w14:paraId="51946E29" w14:textId="77777777" w:rsidR="00187713" w:rsidRPr="00D31EBB" w:rsidRDefault="00187713" w:rsidP="00187713">
      <w:pPr>
        <w:pStyle w:val="EMEABodyText"/>
        <w:rPr>
          <w:lang w:val="en-US"/>
        </w:rPr>
      </w:pPr>
    </w:p>
    <w:p w14:paraId="4652F316" w14:textId="77777777" w:rsidR="00187713" w:rsidRPr="00D31EBB" w:rsidRDefault="00187713" w:rsidP="00187713">
      <w:pPr>
        <w:pStyle w:val="EMEABodyText"/>
        <w:keepNext/>
        <w:rPr>
          <w:u w:val="single"/>
        </w:rPr>
      </w:pPr>
      <w:r>
        <w:rPr>
          <w:u w:val="single"/>
        </w:rPr>
        <w:t>Immune reactivation syndrome</w:t>
      </w:r>
    </w:p>
    <w:p w14:paraId="774464D0" w14:textId="77777777" w:rsidR="00187713" w:rsidRPr="00D31EBB" w:rsidRDefault="00187713" w:rsidP="00187713">
      <w:pPr>
        <w:pStyle w:val="EMEABodyText"/>
      </w:pPr>
      <w:r>
        <w:t xml:space="preserve">In HIV-infected patients with severe immune deficiency at the time of institution of combination antiretroviral therapy (CART), an inflammatory reaction to asymptomatic or residual opportunistic pathogens may arise and cause serious clinical conditions, or aggravation of symptoms. Typically, such reactions have been observed within the first few weeks or months of initiation of CART. Relevant examples are cytomegalovirus retinitis, generalised and/or focal mycobacterial infections, and </w:t>
      </w:r>
      <w:r>
        <w:rPr>
          <w:i/>
        </w:rPr>
        <w:t xml:space="preserve">Pneumocystis jirovecii </w:t>
      </w:r>
      <w:r>
        <w:t>pneumonia. Any inflammatory symptoms should be evaluated and treatment instituted when necessary. Autoimmune disorders (such as Graves' disease and autoimmune hepatitis) have also been reported to occur in the setting of immune reactivation; however, the reported time to onset is more variable and these events can occurs many months after initiation of treatment.</w:t>
      </w:r>
    </w:p>
    <w:p w14:paraId="15DC66E4" w14:textId="77777777" w:rsidR="00187713" w:rsidRPr="00D31EBB" w:rsidRDefault="00187713" w:rsidP="00187713">
      <w:pPr>
        <w:pStyle w:val="EMEABodyText"/>
        <w:rPr>
          <w:lang w:val="en-US"/>
        </w:rPr>
      </w:pPr>
    </w:p>
    <w:p w14:paraId="4363FEE3" w14:textId="77777777" w:rsidR="00187713" w:rsidRPr="00D31EBB" w:rsidRDefault="00187713" w:rsidP="00187713">
      <w:pPr>
        <w:pStyle w:val="EMEAHeading2"/>
        <w:ind w:left="0" w:firstLine="0"/>
        <w:rPr>
          <w:b w:val="0"/>
          <w:u w:val="single"/>
        </w:rPr>
      </w:pPr>
      <w:r>
        <w:rPr>
          <w:b w:val="0"/>
          <w:u w:val="single"/>
        </w:rPr>
        <w:t>Osteonecrosis</w:t>
      </w:r>
    </w:p>
    <w:p w14:paraId="6E361DEF" w14:textId="77777777" w:rsidR="00187713" w:rsidRPr="00D31EBB" w:rsidRDefault="00187713" w:rsidP="00187713">
      <w:pPr>
        <w:pStyle w:val="EMEABodyText"/>
      </w:pPr>
      <w:r>
        <w:t>Although the aetiology is considered to be multifactorial (including corticosteroid use, alcohol consumption, severe immunosuppression, higher body mass index), cases of osteonecrosis have been reported particularly in patients with advanced HIV-disease and/or long-term exposure to combination antiretroviral therapy (CART). Patients should be advised to seek medical advice if they experience joint aches and pain, joint stiffness or difficulty in movement.</w:t>
      </w:r>
    </w:p>
    <w:p w14:paraId="2D274101" w14:textId="77777777" w:rsidR="00187713" w:rsidRPr="00D31EBB" w:rsidRDefault="00187713" w:rsidP="00187713">
      <w:pPr>
        <w:pStyle w:val="EMEABodyText"/>
        <w:rPr>
          <w:lang w:val="en-US"/>
        </w:rPr>
      </w:pPr>
    </w:p>
    <w:p w14:paraId="55F57B7C" w14:textId="77777777" w:rsidR="00187713" w:rsidRPr="00D31EBB" w:rsidRDefault="00187713" w:rsidP="00187713">
      <w:pPr>
        <w:pStyle w:val="EMEABodyText"/>
        <w:rPr>
          <w:u w:val="single"/>
        </w:rPr>
      </w:pPr>
      <w:r>
        <w:rPr>
          <w:u w:val="single"/>
        </w:rPr>
        <w:t>Rash and associated syndromes</w:t>
      </w:r>
    </w:p>
    <w:p w14:paraId="458F1FC2" w14:textId="77777777" w:rsidR="00187713" w:rsidRPr="00D31EBB" w:rsidRDefault="00187713" w:rsidP="00187713">
      <w:pPr>
        <w:pStyle w:val="EMEABodyText"/>
      </w:pPr>
      <w:r>
        <w:t xml:space="preserve">Rashes are usually mild -to-moderate maculopapular skin eruptions that occur within the first 3 weeks of starting therapy with REYATAZ. </w:t>
      </w:r>
    </w:p>
    <w:p w14:paraId="1EC23BE8" w14:textId="77777777" w:rsidR="00187713" w:rsidRPr="00D31EBB" w:rsidRDefault="00187713" w:rsidP="00187713">
      <w:pPr>
        <w:pStyle w:val="EMEABodyText"/>
        <w:rPr>
          <w:lang w:val="en-US"/>
        </w:rPr>
      </w:pPr>
    </w:p>
    <w:p w14:paraId="1C80F260" w14:textId="77777777" w:rsidR="00187713" w:rsidRPr="00D31EBB" w:rsidRDefault="00187713" w:rsidP="00187713">
      <w:pPr>
        <w:pStyle w:val="EMEABodyText"/>
      </w:pPr>
      <w:r>
        <w:t>Stevens-Johnson syndrome (SJS), erythema multiforme, toxic skin eruptions and drug rash with eosinophilia and systemic symptoms (DRESS) syndrome have been reported in patients receiving REYATAZ. Patients should be advised of the signs and symptoms and monitored closely for skin reactions. REYATAZ should be discontinued if severe rash develops.</w:t>
      </w:r>
    </w:p>
    <w:p w14:paraId="19DEFE1B" w14:textId="77777777" w:rsidR="00187713" w:rsidRPr="00D31EBB" w:rsidRDefault="00187713" w:rsidP="00187713">
      <w:pPr>
        <w:pStyle w:val="EMEABodyText"/>
        <w:rPr>
          <w:lang w:val="en-US"/>
        </w:rPr>
      </w:pPr>
    </w:p>
    <w:p w14:paraId="1AC71240" w14:textId="77777777" w:rsidR="00187713" w:rsidRPr="00D31EBB" w:rsidRDefault="00187713" w:rsidP="00187713">
      <w:pPr>
        <w:pStyle w:val="EMEABodyText"/>
      </w:pPr>
      <w:r>
        <w:t>The best results in managing these events come from early diagnosis and immediate interruption of any suspect medicines. If the patient has developed SJS or DRESS associated with the use of REYATAZ, REYATAZ may not be restarted.</w:t>
      </w:r>
    </w:p>
    <w:p w14:paraId="6213DCD1" w14:textId="77777777" w:rsidR="00187713" w:rsidRPr="00D31EBB" w:rsidRDefault="00187713" w:rsidP="00187713">
      <w:pPr>
        <w:pStyle w:val="EMEABodyText"/>
        <w:rPr>
          <w:lang w:val="en-US"/>
        </w:rPr>
      </w:pPr>
    </w:p>
    <w:p w14:paraId="2F0B2747" w14:textId="77777777" w:rsidR="00187713" w:rsidRPr="00D31EBB" w:rsidRDefault="00187713" w:rsidP="00187713">
      <w:pPr>
        <w:pStyle w:val="EMEABodyText"/>
        <w:keepNext/>
        <w:rPr>
          <w:u w:val="single"/>
        </w:rPr>
      </w:pPr>
      <w:r>
        <w:rPr>
          <w:u w:val="single"/>
        </w:rPr>
        <w:t>Interactions with other medicinal products</w:t>
      </w:r>
    </w:p>
    <w:p w14:paraId="59EE911A" w14:textId="77777777" w:rsidR="00187713" w:rsidRPr="00D31EBB" w:rsidRDefault="00187713" w:rsidP="00187713">
      <w:pPr>
        <w:pStyle w:val="EMEABodyText"/>
      </w:pPr>
      <w:r>
        <w:t>The combination of REYATAZ with atorvastatin is not recommended (see section 4.5).</w:t>
      </w:r>
    </w:p>
    <w:p w14:paraId="30418922" w14:textId="77777777" w:rsidR="00187713" w:rsidRPr="00D31EBB" w:rsidRDefault="00187713" w:rsidP="00187713">
      <w:pPr>
        <w:pStyle w:val="EMEABodyText"/>
        <w:rPr>
          <w:lang w:val="en-US"/>
        </w:rPr>
      </w:pPr>
    </w:p>
    <w:p w14:paraId="5D36AC66" w14:textId="77777777" w:rsidR="00187713" w:rsidRPr="00D31EBB" w:rsidRDefault="00187713" w:rsidP="00187713">
      <w:pPr>
        <w:pStyle w:val="EMEABodyText"/>
        <w:rPr>
          <w:dstrike/>
        </w:rPr>
      </w:pPr>
      <w:r>
        <w:t>Co-administration of REYATAZ with nevirapine or efavirenz is not recommended (see section 4.5).</w:t>
      </w:r>
    </w:p>
    <w:p w14:paraId="1580B719" w14:textId="77777777" w:rsidR="00187713" w:rsidRPr="00D31EBB" w:rsidRDefault="00187713" w:rsidP="00187713">
      <w:pPr>
        <w:pStyle w:val="EMEABodyText"/>
      </w:pPr>
      <w:r>
        <w:t>If the co-administration of REYATAZ with an NNRTI is required, an increase in the dose of both REYATAZ and ritonavir to 400 mg and 200 mg, respectively, in combination with efavirenz could be considered with close clinical monitoring.</w:t>
      </w:r>
    </w:p>
    <w:p w14:paraId="05FCFF18" w14:textId="77777777" w:rsidR="00187713" w:rsidRPr="00D31EBB" w:rsidRDefault="00187713" w:rsidP="00187713">
      <w:pPr>
        <w:pStyle w:val="EMEABodyText"/>
        <w:rPr>
          <w:lang w:val="en-US"/>
        </w:rPr>
      </w:pPr>
    </w:p>
    <w:p w14:paraId="55D2FA5C" w14:textId="77777777" w:rsidR="00187713" w:rsidRPr="00D31EBB" w:rsidRDefault="00187713" w:rsidP="00187713">
      <w:pPr>
        <w:pStyle w:val="EMEABodyText"/>
      </w:pPr>
      <w:r>
        <w:t>Atazanavir is metabolised principally by CYP3A4. Co-administration of REYATAZ with ritonavir and medicinal products that induce CYP3A4 is not recommended (see sections 4.3 and 4.5).</w:t>
      </w:r>
    </w:p>
    <w:p w14:paraId="19DB6F92" w14:textId="77777777" w:rsidR="00187713" w:rsidRPr="00D31EBB" w:rsidRDefault="00187713" w:rsidP="00187713">
      <w:pPr>
        <w:pStyle w:val="EMEABodyText"/>
        <w:rPr>
          <w:lang w:val="en-US"/>
        </w:rPr>
      </w:pPr>
    </w:p>
    <w:p w14:paraId="1253E6D8" w14:textId="77777777" w:rsidR="00187713" w:rsidRPr="00D31EBB" w:rsidRDefault="00187713" w:rsidP="00187713">
      <w:pPr>
        <w:pStyle w:val="EMEABodyText"/>
      </w:pPr>
      <w:r>
        <w:t>PDE5 inhibitors used for the treatment of erectile dysfunction: particular caution should be used when prescribing PDE5-inhibitors (sildenafil, tadalafil, or vardenafil) for the treatment of erectile dysfunction in patients receiving REYATAZ with concomitant low-dose ritonavir. Co-administration of REYATAZ with these medicinal products is expected to substantially increase their concentrations and may result in PDE5-associated adverse reactions such as hypotension, visual changes and priapism (see section 4.5).</w:t>
      </w:r>
    </w:p>
    <w:p w14:paraId="37CBA5CA" w14:textId="77777777" w:rsidR="00187713" w:rsidRPr="00D31EBB" w:rsidRDefault="00187713" w:rsidP="00187713">
      <w:pPr>
        <w:pStyle w:val="EMEABodyText"/>
        <w:rPr>
          <w:lang w:val="en-US"/>
        </w:rPr>
      </w:pPr>
    </w:p>
    <w:p w14:paraId="1AA40E80" w14:textId="77777777" w:rsidR="00187713" w:rsidRPr="00D31EBB" w:rsidRDefault="00187713" w:rsidP="00187713">
      <w:pPr>
        <w:pStyle w:val="EMEABodyText"/>
      </w:pPr>
      <w:r>
        <w:t>Co-administration of voriconazole and REYATAZ with ritonavir is not recommended, unless an assessment of the benefit/risk justifies the use of voriconazole.</w:t>
      </w:r>
    </w:p>
    <w:p w14:paraId="22CD0F5B" w14:textId="77777777" w:rsidR="00187713" w:rsidRPr="00D31EBB" w:rsidRDefault="00187713" w:rsidP="00187713">
      <w:pPr>
        <w:pStyle w:val="EMEABodyText"/>
        <w:rPr>
          <w:highlight w:val="yellow"/>
          <w:lang w:val="en-US"/>
        </w:rPr>
      </w:pPr>
    </w:p>
    <w:p w14:paraId="2FD2DB25" w14:textId="77777777" w:rsidR="00187713" w:rsidRPr="00D31EBB" w:rsidRDefault="00187713" w:rsidP="00187713">
      <w:pPr>
        <w:pStyle w:val="EMEABodyText"/>
      </w:pPr>
      <w:r>
        <w:t>In the majority of patients, a reduction in both voriconazole and atazanavir exposures are expected. In a small number of patients without a functional CYP2C19 allele, significantly increased voriconazole exposures are expected (see section 4.5).</w:t>
      </w:r>
    </w:p>
    <w:p w14:paraId="472DE00D" w14:textId="77777777" w:rsidR="00187713" w:rsidRPr="00D31EBB" w:rsidRDefault="00187713" w:rsidP="00187713">
      <w:pPr>
        <w:pStyle w:val="EMEABodyText"/>
        <w:rPr>
          <w:lang w:val="en-US"/>
        </w:rPr>
      </w:pPr>
    </w:p>
    <w:p w14:paraId="45F922BF" w14:textId="77777777" w:rsidR="00187713" w:rsidRPr="00D31EBB" w:rsidRDefault="00187713" w:rsidP="00187713">
      <w:pPr>
        <w:pStyle w:val="EMEABodyText"/>
      </w:pPr>
      <w:r>
        <w:t>Concomitant use of REYATAZ/ritonavir and fluticasone or other glucocorticoids that are metabolised by CYP3A4 is not recommended unless the potential benefit of treatment outweighs the risk of systemic corticosteroid effects, including Cushing's syndrome and adrenal suppression (see section 4.5).</w:t>
      </w:r>
    </w:p>
    <w:p w14:paraId="01B6D2EE" w14:textId="77777777" w:rsidR="00187713" w:rsidRPr="00D31EBB" w:rsidRDefault="00187713" w:rsidP="00187713">
      <w:pPr>
        <w:pStyle w:val="EMEABodyText"/>
        <w:rPr>
          <w:lang w:val="en-US"/>
        </w:rPr>
      </w:pPr>
    </w:p>
    <w:p w14:paraId="5DC6AA42" w14:textId="77777777" w:rsidR="00187713" w:rsidRPr="00D31EBB" w:rsidRDefault="00187713" w:rsidP="00187713">
      <w:pPr>
        <w:pStyle w:val="EMEABodyText"/>
        <w:rPr>
          <w:sz w:val="20"/>
        </w:rPr>
      </w:pPr>
      <w:r>
        <w:t>Concomitant use of salmeterol and REYATAZ/ritonavir may result in increased cardiovascular adverse events associated with salmeterol. Co-administration of salmeterol and REYATAZ is not recommended (see section 4.5).</w:t>
      </w:r>
    </w:p>
    <w:p w14:paraId="297E8FDB" w14:textId="77777777" w:rsidR="00187713" w:rsidRPr="00D31EBB" w:rsidRDefault="00187713" w:rsidP="00187713">
      <w:pPr>
        <w:pStyle w:val="EMEABodyText"/>
        <w:rPr>
          <w:lang w:val="en-US"/>
        </w:rPr>
      </w:pPr>
    </w:p>
    <w:p w14:paraId="776181EC" w14:textId="77777777" w:rsidR="00187713" w:rsidRPr="00D31EBB" w:rsidRDefault="00187713" w:rsidP="00187713">
      <w:pPr>
        <w:pStyle w:val="EMEABodyText"/>
      </w:pPr>
      <w:r>
        <w:t>The absorption of atazanavir may be reduced in situations where gastric pH is increased irrespective of cause.</w:t>
      </w:r>
    </w:p>
    <w:p w14:paraId="72C231DE" w14:textId="77777777" w:rsidR="00187713" w:rsidRPr="00D31EBB" w:rsidRDefault="00187713" w:rsidP="00187713">
      <w:pPr>
        <w:pStyle w:val="EMEABodyText"/>
        <w:rPr>
          <w:lang w:val="en-US"/>
        </w:rPr>
      </w:pPr>
    </w:p>
    <w:p w14:paraId="1F000AA9" w14:textId="77777777" w:rsidR="00187713" w:rsidRPr="00D31EBB" w:rsidRDefault="00187713" w:rsidP="00187713">
      <w:pPr>
        <w:pStyle w:val="EMEABodyText"/>
      </w:pPr>
      <w:r>
        <w:t>Co-administration of REYATAZ with proton pump inhibitors is not recommended (see section 4.5). If the combination of REYATAZ with a proton pump inhibitor is judged unavoidable, close clinical monitoring is recommended in combination with an increase in the dose of REYATAZ to 400 mg with 100 mg of ritonavir; doses of proton pump inhibitors comparable to omeprazole 20 mg should not be exceeded.</w:t>
      </w:r>
    </w:p>
    <w:p w14:paraId="5FA5B65B" w14:textId="77777777" w:rsidR="00187713" w:rsidRPr="00D31EBB" w:rsidRDefault="00187713" w:rsidP="00187713">
      <w:pPr>
        <w:pStyle w:val="EMEABodyText"/>
        <w:rPr>
          <w:lang w:val="en-US"/>
        </w:rPr>
      </w:pPr>
    </w:p>
    <w:p w14:paraId="7351AD67" w14:textId="77777777" w:rsidR="00187713" w:rsidRPr="00D31EBB" w:rsidRDefault="00187713" w:rsidP="00187713">
      <w:pPr>
        <w:pStyle w:val="EMEABodyText"/>
      </w:pPr>
      <w:r>
        <w:t>Co-administration of REYATAZ/ritonavir with other hormonal contraceptives or oral contraceptives containing progestogens other than norgestimate has not been studied, and therefore should be avoided (see section 4.5).</w:t>
      </w:r>
    </w:p>
    <w:p w14:paraId="1F763B49" w14:textId="77777777" w:rsidR="00187713" w:rsidRPr="00D31EBB" w:rsidRDefault="00187713" w:rsidP="00187713">
      <w:pPr>
        <w:pStyle w:val="EMEABodyText"/>
        <w:rPr>
          <w:lang w:val="en-US"/>
        </w:rPr>
      </w:pPr>
    </w:p>
    <w:p w14:paraId="15CD2488" w14:textId="77777777" w:rsidR="00187713" w:rsidRPr="00D31EBB" w:rsidRDefault="00187713" w:rsidP="00187713">
      <w:pPr>
        <w:pStyle w:val="EMEABodyText"/>
        <w:rPr>
          <w:u w:val="single"/>
        </w:rPr>
      </w:pPr>
      <w:r>
        <w:rPr>
          <w:u w:val="single"/>
        </w:rPr>
        <w:t>Paediatric population</w:t>
      </w:r>
    </w:p>
    <w:p w14:paraId="79FF340B" w14:textId="77777777" w:rsidR="00187713" w:rsidRPr="00D31EBB" w:rsidRDefault="00187713" w:rsidP="00187713">
      <w:pPr>
        <w:pStyle w:val="EMEABodyText"/>
        <w:rPr>
          <w:i/>
        </w:rPr>
      </w:pPr>
      <w:r>
        <w:rPr>
          <w:i/>
        </w:rPr>
        <w:t>Safety</w:t>
      </w:r>
    </w:p>
    <w:p w14:paraId="4E7C8481" w14:textId="77777777" w:rsidR="00187713" w:rsidRPr="00D31EBB" w:rsidRDefault="00187713" w:rsidP="00187713">
      <w:pPr>
        <w:pStyle w:val="EMEABodyText"/>
      </w:pPr>
      <w:r>
        <w:t>Asymptomatic PR interval prolongation was more frequent in paediatric patients than adults. Asymptomatic first- and second-degree AV block was reported in paediatric patients (see section 4.8). Caution should be used with medicinal products known to induce PR prolongations. In paediatric patients with pre-existing conduction problems (second degree or higher atrioventricular or complex bundle-branch block), REYATAZ should be used with caution and only if the benefits exceed the risk. Cardiac monitoring is recommended based on the presence of clinical findings (e.g., bradycardia).</w:t>
      </w:r>
    </w:p>
    <w:p w14:paraId="19F4221B" w14:textId="77777777" w:rsidR="00187713" w:rsidRPr="00D31EBB" w:rsidRDefault="00187713" w:rsidP="00187713">
      <w:pPr>
        <w:pStyle w:val="EMEABodyText"/>
        <w:rPr>
          <w:lang w:val="en-US"/>
        </w:rPr>
      </w:pPr>
    </w:p>
    <w:p w14:paraId="45CD2619" w14:textId="77777777" w:rsidR="00187713" w:rsidRPr="00D31EBB" w:rsidRDefault="00187713" w:rsidP="00187713">
      <w:pPr>
        <w:pStyle w:val="EMEABodyText"/>
        <w:rPr>
          <w:i/>
        </w:rPr>
      </w:pPr>
      <w:r>
        <w:rPr>
          <w:i/>
        </w:rPr>
        <w:t>Efficacy</w:t>
      </w:r>
    </w:p>
    <w:p w14:paraId="6A3B6113" w14:textId="77777777" w:rsidR="00187713" w:rsidRPr="00D31EBB" w:rsidRDefault="00187713" w:rsidP="00187713">
      <w:pPr>
        <w:pStyle w:val="EMEABodyText"/>
      </w:pPr>
      <w:r>
        <w:t xml:space="preserve">Atazanavir/ritonavir is not effective in viral strains harbouring multiple mutations of resistance. </w:t>
      </w:r>
    </w:p>
    <w:p w14:paraId="0308077F" w14:textId="77777777" w:rsidR="00187713" w:rsidRPr="00D31EBB" w:rsidRDefault="00187713" w:rsidP="00187713">
      <w:pPr>
        <w:pStyle w:val="EMEABodyText"/>
        <w:rPr>
          <w:lang w:val="en-US"/>
        </w:rPr>
      </w:pPr>
    </w:p>
    <w:p w14:paraId="661454B2" w14:textId="77777777" w:rsidR="003228A9" w:rsidRPr="00D31EBB" w:rsidRDefault="003228A9" w:rsidP="003228A9">
      <w:pPr>
        <w:pStyle w:val="EMEABodyText"/>
        <w:rPr>
          <w:noProof/>
          <w:u w:val="single"/>
        </w:rPr>
      </w:pPr>
      <w:r>
        <w:rPr>
          <w:u w:val="single"/>
        </w:rPr>
        <w:t>Excipients</w:t>
      </w:r>
    </w:p>
    <w:p w14:paraId="35022E66" w14:textId="77777777" w:rsidR="003228A9" w:rsidRPr="00D31EBB" w:rsidRDefault="003228A9" w:rsidP="003228A9">
      <w:pPr>
        <w:pStyle w:val="EMEABodyText"/>
        <w:rPr>
          <w:i/>
          <w:noProof/>
        </w:rPr>
      </w:pPr>
      <w:r>
        <w:rPr>
          <w:i/>
        </w:rPr>
        <w:t>Phenylketonuria</w:t>
      </w:r>
    </w:p>
    <w:p w14:paraId="2FBAC198" w14:textId="77777777" w:rsidR="003228A9" w:rsidRPr="00D31EBB" w:rsidRDefault="003228A9" w:rsidP="003228A9">
      <w:pPr>
        <w:pStyle w:val="EMEABodyText"/>
        <w:rPr>
          <w:noProof/>
        </w:rPr>
      </w:pPr>
      <w:r>
        <w:t>REYATAZ oral powder contains aspartame as a sweetening agent. Aspartame provides a source of phenylalanine and, therefore, may not be suitable for persons with phenylketonuria.</w:t>
      </w:r>
    </w:p>
    <w:p w14:paraId="2AA1A316" w14:textId="77777777" w:rsidR="003228A9" w:rsidRPr="00D31EBB" w:rsidRDefault="003228A9" w:rsidP="003228A9">
      <w:pPr>
        <w:pStyle w:val="EMEABodyText"/>
        <w:rPr>
          <w:noProof/>
          <w:lang w:val="en-US"/>
        </w:rPr>
      </w:pPr>
    </w:p>
    <w:p w14:paraId="15FA45AE" w14:textId="77777777" w:rsidR="003228A9" w:rsidRPr="00D31EBB" w:rsidRDefault="003228A9" w:rsidP="003228A9">
      <w:pPr>
        <w:pStyle w:val="EMEABodyText"/>
        <w:rPr>
          <w:i/>
          <w:noProof/>
        </w:rPr>
      </w:pPr>
      <w:r>
        <w:rPr>
          <w:i/>
        </w:rPr>
        <w:t>Diabetic population</w:t>
      </w:r>
    </w:p>
    <w:p w14:paraId="3D4FF103" w14:textId="77777777" w:rsidR="003228A9" w:rsidRPr="00D31EBB" w:rsidRDefault="003228A9" w:rsidP="003228A9">
      <w:pPr>
        <w:keepNext/>
        <w:rPr>
          <w:noProof/>
          <w:szCs w:val="22"/>
        </w:rPr>
      </w:pPr>
      <w:r>
        <w:rPr>
          <w:rStyle w:val="EMEABodyTextChar"/>
        </w:rPr>
        <w:t>REYATAZ oral powder contains 1305.15 mg of sucrose per sachet. For the recommended paediatric dosage, REYATAZ oral powder contains 3915.45 mg sucrose per 150 mg atazanavir, 5220.60 mg sucrose per 200 mg atazanavir, 6525.75 mg sucrose per 250 mg atazanavir, and 7830.90 mg sucrose per 300 mg atazanavir. This should be taken into account in patients with diabetes mellitus. Patients with rare hereditary problems of fructose intolerance, glucose galactose malabsorption or sucrase isomaltase insufficiency should not take this medicine.</w:t>
      </w:r>
    </w:p>
    <w:p w14:paraId="3EDDE0E6" w14:textId="77777777" w:rsidR="00187713" w:rsidRPr="00D31EBB" w:rsidRDefault="00187713" w:rsidP="00187713">
      <w:pPr>
        <w:pStyle w:val="EMEABodyText"/>
        <w:rPr>
          <w:lang w:val="en-US"/>
        </w:rPr>
      </w:pPr>
    </w:p>
    <w:p w14:paraId="6109A51B" w14:textId="77777777" w:rsidR="00187713" w:rsidRPr="00D31EBB" w:rsidRDefault="00187713" w:rsidP="00187713">
      <w:pPr>
        <w:pStyle w:val="EMEAHeading2"/>
        <w:rPr>
          <w:noProof/>
        </w:rPr>
      </w:pPr>
      <w:r>
        <w:t>4.5</w:t>
      </w:r>
      <w:r>
        <w:tab/>
        <w:t>Interaction with other medicinal products and other forms of interaction</w:t>
      </w:r>
    </w:p>
    <w:p w14:paraId="4A0FD693" w14:textId="77777777" w:rsidR="00187713" w:rsidRPr="00D31EBB" w:rsidRDefault="00187713" w:rsidP="00187713">
      <w:pPr>
        <w:pStyle w:val="EMEAHeading2"/>
        <w:rPr>
          <w:noProof/>
          <w:lang w:val="en-US"/>
        </w:rPr>
      </w:pPr>
    </w:p>
    <w:p w14:paraId="5CA7901B" w14:textId="77777777" w:rsidR="00187713" w:rsidRPr="00D31EBB" w:rsidRDefault="00187713" w:rsidP="00187713">
      <w:pPr>
        <w:pStyle w:val="EMEABodyText"/>
      </w:pPr>
      <w:r>
        <w:t>When REYATAZ and ritonavir are co-administered, the metabolic drug interaction profile for ritonavir may predominate because ritonavir is a more potent CYP3A4 inhibitor than atazanavir. The Summary of Product Characteristics for ritonavir must be consulted before initiation of therapy with REYATAZ and ritonavir.</w:t>
      </w:r>
    </w:p>
    <w:p w14:paraId="23503952" w14:textId="77777777" w:rsidR="00187713" w:rsidRPr="00D31EBB" w:rsidRDefault="00187713" w:rsidP="00187713">
      <w:pPr>
        <w:pStyle w:val="EMEABodyText"/>
        <w:rPr>
          <w:lang w:val="en-US"/>
        </w:rPr>
      </w:pPr>
    </w:p>
    <w:p w14:paraId="57B3CCA3" w14:textId="77777777" w:rsidR="00187713" w:rsidRPr="00D31EBB" w:rsidRDefault="00187713" w:rsidP="00187713">
      <w:pPr>
        <w:pStyle w:val="EMEABodyText"/>
      </w:pPr>
      <w:r>
        <w:t>Atazanavir is metabolised in the liver through CYP3A4. It inhibits CYP3A4. Therefore, REYATAZ with ritonavir is contraindicated with medicinal products that are substrates of CYP3A4 and have a narrow therapeutic index: quetiapine, lurasidone, alfuzosin, astemizole, terfenadine, cisapride, pimozide, quinidine, bepridil, triazolam, orally administered midazolam, and ergot alkaloids, particularly ergotamine and dihydroergotamine (see section 4.3). Co-administration of REYATAZ with grazoprevir-containing products, including elbasvir/grazoprevir fixed dose combination is contraindicated because of the increase in grazoprevir and elbasvir plasma concentrations and potential for the increase in risk of ALT elevations associated with increased grazoprevir concentrations (see section 4.3). Co-administration of REYATAZ with glecaprevir/pibrentasvir fixed dose combination is contraindicated because of the potential increase in the risk of ALT elevations due to a significant increase in glecapreir and pibrentasvir plasma concentrations (see section 4.3).</w:t>
      </w:r>
    </w:p>
    <w:p w14:paraId="27BE7EDB" w14:textId="77777777" w:rsidR="00187713" w:rsidRPr="00D31EBB" w:rsidRDefault="00187713" w:rsidP="00187713">
      <w:pPr>
        <w:pStyle w:val="EMEABodyText"/>
        <w:rPr>
          <w:lang w:val="en-US"/>
        </w:rPr>
      </w:pPr>
    </w:p>
    <w:p w14:paraId="521551C7" w14:textId="77777777" w:rsidR="003228A9" w:rsidRPr="00D31EBB" w:rsidRDefault="00187713" w:rsidP="00A34CCE">
      <w:pPr>
        <w:pStyle w:val="EMEAHeading2"/>
      </w:pPr>
      <w:r>
        <w:rPr>
          <w:b w:val="0"/>
          <w:i/>
        </w:rPr>
        <w:t>Other interactions</w:t>
      </w:r>
    </w:p>
    <w:p w14:paraId="16EF1E4E" w14:textId="77777777" w:rsidR="00187713" w:rsidRPr="00D31EBB" w:rsidRDefault="00187713" w:rsidP="00187713">
      <w:pPr>
        <w:pStyle w:val="EMEABodyText"/>
        <w:rPr>
          <w:noProof/>
        </w:rPr>
      </w:pPr>
      <w:r>
        <w:t>Interactions between atazanavir/ritonavir and protease inhibitors, antiretroviral agents other than protease inhibitors, and other non-antiretroviral medicinal products are listed in the table below (increase is indicated as “↑”, decrease as “↓”, no change as “↔”). If available, 90% confidence intervals (CI) are shown in parentheses. The studies presented in Table 2 were conducted in healthy subjects unless otherwise noted. Of importance, many studies were conducted with unboosted atazanavir, which is not the approved regimen of atazanavir.</w:t>
      </w:r>
    </w:p>
    <w:p w14:paraId="6E6A5619" w14:textId="77777777" w:rsidR="00187713" w:rsidRPr="00D31EBB" w:rsidRDefault="00187713" w:rsidP="00187713">
      <w:pPr>
        <w:pStyle w:val="EMEABodyText"/>
        <w:rPr>
          <w:lang w:val="en-US"/>
        </w:rPr>
      </w:pPr>
    </w:p>
    <w:p w14:paraId="0075ED07" w14:textId="77777777" w:rsidR="00187713" w:rsidRPr="00D31EBB" w:rsidRDefault="00187713" w:rsidP="00187713">
      <w:pPr>
        <w:pStyle w:val="EMEAHeading2"/>
        <w:rPr>
          <w:noProof/>
        </w:rPr>
      </w:pPr>
      <w:r>
        <w:t>Table 2: Interactions between REYATAZ and other medicinal products</w:t>
      </w:r>
    </w:p>
    <w:p w14:paraId="4712E768" w14:textId="77777777" w:rsidR="00187713" w:rsidRPr="00D31EBB" w:rsidRDefault="00187713" w:rsidP="00187713">
      <w:pPr>
        <w:pStyle w:val="EMEABodyText"/>
        <w:rPr>
          <w:szCs w:val="22"/>
          <w:lang w:val="en-US"/>
        </w:rPr>
      </w:pP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5"/>
        <w:gridCol w:w="3676"/>
        <w:gridCol w:w="3119"/>
      </w:tblGrid>
      <w:tr w:rsidR="00187713" w:rsidRPr="004F3582" w14:paraId="37DF4EE6" w14:textId="77777777" w:rsidTr="00581731">
        <w:trPr>
          <w:cantSplit/>
          <w:trHeight w:val="734"/>
        </w:trPr>
        <w:tc>
          <w:tcPr>
            <w:tcW w:w="3095" w:type="dxa"/>
          </w:tcPr>
          <w:p w14:paraId="3B444DA9" w14:textId="77777777" w:rsidR="00187713" w:rsidRPr="00D31EBB" w:rsidRDefault="00187713" w:rsidP="0000712C">
            <w:pPr>
              <w:pStyle w:val="EMEABodyText"/>
              <w:rPr>
                <w:szCs w:val="22"/>
              </w:rPr>
            </w:pPr>
            <w:r>
              <w:rPr>
                <w:b/>
                <w:bCs/>
                <w:szCs w:val="22"/>
              </w:rPr>
              <w:t>Medicinal products by therapeutic area</w:t>
            </w:r>
          </w:p>
        </w:tc>
        <w:tc>
          <w:tcPr>
            <w:tcW w:w="3676" w:type="dxa"/>
          </w:tcPr>
          <w:p w14:paraId="46641945" w14:textId="77777777" w:rsidR="00187713" w:rsidRPr="004F3582" w:rsidRDefault="00187713" w:rsidP="0000712C">
            <w:pPr>
              <w:pStyle w:val="EMEABodyText"/>
              <w:rPr>
                <w:szCs w:val="22"/>
              </w:rPr>
            </w:pPr>
            <w:r>
              <w:rPr>
                <w:b/>
                <w:bCs/>
                <w:szCs w:val="22"/>
              </w:rPr>
              <w:t>Interaction</w:t>
            </w:r>
          </w:p>
        </w:tc>
        <w:tc>
          <w:tcPr>
            <w:tcW w:w="3119" w:type="dxa"/>
          </w:tcPr>
          <w:p w14:paraId="092A53D9" w14:textId="77777777" w:rsidR="00187713" w:rsidRPr="004F3582" w:rsidRDefault="00187713" w:rsidP="0000712C">
            <w:pPr>
              <w:pStyle w:val="EMEABodyText"/>
              <w:rPr>
                <w:szCs w:val="22"/>
              </w:rPr>
            </w:pPr>
            <w:r>
              <w:rPr>
                <w:b/>
                <w:bCs/>
                <w:szCs w:val="22"/>
              </w:rPr>
              <w:t>Recommendations concerning co-administration</w:t>
            </w:r>
          </w:p>
        </w:tc>
      </w:tr>
      <w:tr w:rsidR="003D0B02" w:rsidRPr="004F3582" w14:paraId="6E481ED8" w14:textId="77777777" w:rsidTr="0051544C">
        <w:trPr>
          <w:cantSplit/>
          <w:trHeight w:val="331"/>
        </w:trPr>
        <w:tc>
          <w:tcPr>
            <w:tcW w:w="9890" w:type="dxa"/>
            <w:gridSpan w:val="3"/>
          </w:tcPr>
          <w:p w14:paraId="0CE2A7B2" w14:textId="77777777" w:rsidR="003D0B02" w:rsidRPr="004F3582" w:rsidRDefault="003D0B02" w:rsidP="0000712C">
            <w:pPr>
              <w:pStyle w:val="EMEABodyText"/>
              <w:rPr>
                <w:b/>
                <w:bCs/>
                <w:szCs w:val="22"/>
              </w:rPr>
            </w:pPr>
            <w:r>
              <w:rPr>
                <w:b/>
                <w:szCs w:val="22"/>
              </w:rPr>
              <w:t>ANTI-HCV AGENTS</w:t>
            </w:r>
          </w:p>
        </w:tc>
      </w:tr>
      <w:tr w:rsidR="003D0B02" w:rsidRPr="00965E20" w14:paraId="5B653779" w14:textId="77777777" w:rsidTr="0051544C">
        <w:trPr>
          <w:cantSplit/>
          <w:trHeight w:val="3845"/>
        </w:trPr>
        <w:tc>
          <w:tcPr>
            <w:tcW w:w="3095" w:type="dxa"/>
          </w:tcPr>
          <w:p w14:paraId="5FD433BC" w14:textId="77777777" w:rsidR="003D0B02" w:rsidRPr="00D31EBB" w:rsidRDefault="003D0B02" w:rsidP="003D0B02">
            <w:pPr>
              <w:pStyle w:val="EMEABodyText"/>
              <w:rPr>
                <w:b/>
                <w:szCs w:val="22"/>
              </w:rPr>
            </w:pPr>
            <w:r>
              <w:rPr>
                <w:b/>
                <w:szCs w:val="22"/>
              </w:rPr>
              <w:t>Grazoprevir 200 mg once daily</w:t>
            </w:r>
          </w:p>
          <w:p w14:paraId="6AD1A975" w14:textId="77777777" w:rsidR="003D0B02" w:rsidRPr="00D31EBB" w:rsidRDefault="003D0B02" w:rsidP="00F62C23">
            <w:pPr>
              <w:pStyle w:val="EMEABodyText"/>
              <w:rPr>
                <w:b/>
                <w:bCs/>
                <w:szCs w:val="22"/>
              </w:rPr>
            </w:pPr>
            <w:r>
              <w:t>(atazanavir 300 mg / ritonavir 100 mg once daily)</w:t>
            </w:r>
          </w:p>
        </w:tc>
        <w:tc>
          <w:tcPr>
            <w:tcW w:w="3676" w:type="dxa"/>
          </w:tcPr>
          <w:p w14:paraId="085ED881" w14:textId="77777777" w:rsidR="003D0B02" w:rsidRPr="00D31EBB" w:rsidRDefault="003D0B02" w:rsidP="003D0B02">
            <w:pPr>
              <w:pStyle w:val="EMEABodyText"/>
              <w:rPr>
                <w:szCs w:val="22"/>
              </w:rPr>
            </w:pPr>
            <w:r>
              <w:t>Atazanavir AUC ↑43% (↑30% ↑57%)</w:t>
            </w:r>
          </w:p>
          <w:p w14:paraId="39A48F07" w14:textId="77777777" w:rsidR="003D0B02" w:rsidRPr="00D31EBB" w:rsidRDefault="003D0B02" w:rsidP="003D0B02">
            <w:pPr>
              <w:pStyle w:val="EMEABodyText"/>
              <w:rPr>
                <w:szCs w:val="22"/>
              </w:rPr>
            </w:pPr>
            <w:r>
              <w:t>Atazanavir C</w:t>
            </w:r>
            <w:r>
              <w:rPr>
                <w:szCs w:val="22"/>
                <w:vertAlign w:val="subscript"/>
              </w:rPr>
              <w:t>max</w:t>
            </w:r>
            <w:r>
              <w:t xml:space="preserve"> ↑12% (↑1% ↑24%)</w:t>
            </w:r>
          </w:p>
          <w:p w14:paraId="790FC1ED" w14:textId="77777777" w:rsidR="003D0B02" w:rsidRPr="00D31EBB" w:rsidRDefault="003D0B02" w:rsidP="003D0B02">
            <w:pPr>
              <w:pStyle w:val="EMEABodyText"/>
              <w:rPr>
                <w:szCs w:val="22"/>
              </w:rPr>
            </w:pPr>
            <w:r>
              <w:t>Atazanavir C</w:t>
            </w:r>
            <w:r>
              <w:rPr>
                <w:szCs w:val="22"/>
                <w:vertAlign w:val="subscript"/>
              </w:rPr>
              <w:t>min</w:t>
            </w:r>
            <w:r>
              <w:t xml:space="preserve"> ↑23% (↑13% ↑134%)</w:t>
            </w:r>
          </w:p>
          <w:p w14:paraId="6C8F9EC0" w14:textId="77777777" w:rsidR="003D0B02" w:rsidRPr="002E2C1C" w:rsidRDefault="003D0B02" w:rsidP="003D0B02">
            <w:pPr>
              <w:pStyle w:val="EMEABodyText"/>
              <w:rPr>
                <w:szCs w:val="22"/>
              </w:rPr>
            </w:pPr>
          </w:p>
          <w:p w14:paraId="5CCA1D1D" w14:textId="77777777" w:rsidR="003D0B02" w:rsidRPr="00D31EBB" w:rsidRDefault="003D0B02" w:rsidP="003D0B02">
            <w:pPr>
              <w:pStyle w:val="EMEABodyText"/>
              <w:rPr>
                <w:szCs w:val="22"/>
              </w:rPr>
            </w:pPr>
            <w:r>
              <w:t>Grazoprevir AUC: ↑958% (↑678% ↑1339%)</w:t>
            </w:r>
          </w:p>
          <w:p w14:paraId="50CBDAFE" w14:textId="77777777" w:rsidR="003D0B02" w:rsidRPr="00D31EBB" w:rsidRDefault="003D0B02" w:rsidP="003D0B02">
            <w:pPr>
              <w:pStyle w:val="EMEABodyText"/>
              <w:rPr>
                <w:szCs w:val="22"/>
              </w:rPr>
            </w:pPr>
            <w:r>
              <w:t>Grazoprevir C</w:t>
            </w:r>
            <w:r>
              <w:rPr>
                <w:szCs w:val="22"/>
                <w:vertAlign w:val="subscript"/>
              </w:rPr>
              <w:t>max</w:t>
            </w:r>
            <w:r>
              <w:t>: ↑524% (↑342% ↑781%)</w:t>
            </w:r>
          </w:p>
          <w:p w14:paraId="379D2CF9" w14:textId="77777777" w:rsidR="003D0B02" w:rsidRPr="00D31EBB" w:rsidRDefault="003D0B02" w:rsidP="003D0B02">
            <w:pPr>
              <w:pStyle w:val="EMEABodyText"/>
              <w:rPr>
                <w:szCs w:val="22"/>
              </w:rPr>
            </w:pPr>
            <w:r>
              <w:t>Grazoprevir C</w:t>
            </w:r>
            <w:r>
              <w:rPr>
                <w:szCs w:val="22"/>
                <w:vertAlign w:val="subscript"/>
              </w:rPr>
              <w:t>min</w:t>
            </w:r>
            <w:r>
              <w:t>: ↑1064% (↑696% ↑1602%)</w:t>
            </w:r>
          </w:p>
          <w:p w14:paraId="23D3191C" w14:textId="77777777" w:rsidR="003D0B02" w:rsidRPr="002E2C1C" w:rsidRDefault="003D0B02" w:rsidP="003D0B02">
            <w:pPr>
              <w:pStyle w:val="EMEABodyText"/>
              <w:rPr>
                <w:szCs w:val="22"/>
              </w:rPr>
            </w:pPr>
          </w:p>
          <w:p w14:paraId="74771A0A" w14:textId="77777777" w:rsidR="003D0B02" w:rsidRPr="00D31EBB" w:rsidRDefault="003D0B02" w:rsidP="00AE260F">
            <w:pPr>
              <w:pStyle w:val="EMEABodyText"/>
              <w:rPr>
                <w:b/>
                <w:bCs/>
                <w:szCs w:val="22"/>
              </w:rPr>
            </w:pPr>
            <w:r>
              <w:t>Grazoprevir concentrations were greatly increased when co</w:t>
            </w:r>
            <w:r>
              <w:noBreakHyphen/>
              <w:t>administered with atazanavir/ritonavir.</w:t>
            </w:r>
          </w:p>
        </w:tc>
        <w:tc>
          <w:tcPr>
            <w:tcW w:w="3119" w:type="dxa"/>
            <w:vMerge w:val="restart"/>
          </w:tcPr>
          <w:p w14:paraId="182EEDCB" w14:textId="77777777" w:rsidR="003D0B02" w:rsidRPr="00D31EBB" w:rsidRDefault="003D0B02" w:rsidP="003D0B02">
            <w:pPr>
              <w:pStyle w:val="EMEABodyText"/>
              <w:rPr>
                <w:b/>
                <w:bCs/>
                <w:szCs w:val="22"/>
              </w:rPr>
            </w:pPr>
            <w:r>
              <w:t>Co-administration of REYATAZ and elbasvir/grazoprevir is contraindicated because of a significant increase in grazoprevir plasma concentrations and an associated potential increase in the risk of ALT elevations (see section 4.3).</w:t>
            </w:r>
          </w:p>
        </w:tc>
      </w:tr>
      <w:tr w:rsidR="003D0B02" w:rsidRPr="00965E20" w14:paraId="2D9FCD0C" w14:textId="77777777" w:rsidTr="0051544C">
        <w:trPr>
          <w:cantSplit/>
          <w:trHeight w:val="3110"/>
        </w:trPr>
        <w:tc>
          <w:tcPr>
            <w:tcW w:w="3095" w:type="dxa"/>
          </w:tcPr>
          <w:p w14:paraId="550DF5AC" w14:textId="77777777" w:rsidR="003D0B02" w:rsidRPr="00D31EBB" w:rsidRDefault="003D0B02" w:rsidP="003D0B02">
            <w:pPr>
              <w:pStyle w:val="EMEABodyText"/>
              <w:rPr>
                <w:b/>
                <w:szCs w:val="22"/>
              </w:rPr>
            </w:pPr>
            <w:r>
              <w:rPr>
                <w:b/>
                <w:szCs w:val="22"/>
              </w:rPr>
              <w:t>Elbasvir 50 mg once daily</w:t>
            </w:r>
          </w:p>
          <w:p w14:paraId="1396A3B9" w14:textId="77777777" w:rsidR="003D0B02" w:rsidRPr="00D31EBB" w:rsidRDefault="003D0B02" w:rsidP="003D0B02">
            <w:pPr>
              <w:pStyle w:val="EMEABodyText"/>
              <w:rPr>
                <w:szCs w:val="22"/>
              </w:rPr>
            </w:pPr>
            <w:r>
              <w:t>(atazanavir 300 mg / ritonavir 100 mg once daily)</w:t>
            </w:r>
          </w:p>
          <w:p w14:paraId="1513BAB0" w14:textId="77777777" w:rsidR="003D0B02" w:rsidRPr="00D31EBB" w:rsidRDefault="003D0B02" w:rsidP="0000712C">
            <w:pPr>
              <w:pStyle w:val="EMEABodyText"/>
              <w:rPr>
                <w:b/>
                <w:bCs/>
                <w:szCs w:val="22"/>
                <w:lang w:val="en-US"/>
              </w:rPr>
            </w:pPr>
          </w:p>
        </w:tc>
        <w:tc>
          <w:tcPr>
            <w:tcW w:w="3676" w:type="dxa"/>
          </w:tcPr>
          <w:p w14:paraId="30EDBA8B" w14:textId="77777777" w:rsidR="003D0B02" w:rsidRPr="00D31EBB" w:rsidRDefault="003D0B02" w:rsidP="003D0B02">
            <w:pPr>
              <w:pStyle w:val="EMEABodyText"/>
              <w:rPr>
                <w:szCs w:val="22"/>
              </w:rPr>
            </w:pPr>
            <w:r>
              <w:t>Atazanavir AUC ↑7% (↓2% ↑17%)</w:t>
            </w:r>
          </w:p>
          <w:p w14:paraId="2B1A40B6" w14:textId="77777777" w:rsidR="003D0B02" w:rsidRPr="00D31EBB" w:rsidRDefault="003D0B02" w:rsidP="003D0B02">
            <w:pPr>
              <w:pStyle w:val="EMEABodyText"/>
              <w:rPr>
                <w:szCs w:val="22"/>
              </w:rPr>
            </w:pPr>
            <w:r>
              <w:t>Atazanavir C</w:t>
            </w:r>
            <w:r>
              <w:rPr>
                <w:szCs w:val="22"/>
                <w:vertAlign w:val="subscript"/>
              </w:rPr>
              <w:t>max</w:t>
            </w:r>
            <w:r>
              <w:t xml:space="preserve"> ↑2% (↓4% ↑8%)</w:t>
            </w:r>
          </w:p>
          <w:p w14:paraId="29315445" w14:textId="77777777" w:rsidR="003D0B02" w:rsidRPr="00D31EBB" w:rsidRDefault="003D0B02" w:rsidP="003D0B02">
            <w:pPr>
              <w:pStyle w:val="EMEABodyText"/>
              <w:rPr>
                <w:szCs w:val="22"/>
              </w:rPr>
            </w:pPr>
            <w:r>
              <w:t>Atazanavir C</w:t>
            </w:r>
            <w:r>
              <w:rPr>
                <w:szCs w:val="22"/>
                <w:vertAlign w:val="subscript"/>
              </w:rPr>
              <w:t>min</w:t>
            </w:r>
            <w:r>
              <w:t xml:space="preserve"> ↑15% (↑2% ↑29%)</w:t>
            </w:r>
          </w:p>
          <w:p w14:paraId="647A9FD9" w14:textId="77777777" w:rsidR="003D0B02" w:rsidRPr="00D31EBB" w:rsidRDefault="003D0B02" w:rsidP="003D0B02">
            <w:pPr>
              <w:pStyle w:val="EMEABodyText"/>
              <w:rPr>
                <w:szCs w:val="22"/>
                <w:lang w:val="en-US"/>
              </w:rPr>
            </w:pPr>
          </w:p>
          <w:p w14:paraId="4F533E4B" w14:textId="77777777" w:rsidR="003D0B02" w:rsidRPr="00D31EBB" w:rsidRDefault="003D0B02" w:rsidP="003D0B02">
            <w:pPr>
              <w:pStyle w:val="EMEABodyText"/>
              <w:rPr>
                <w:szCs w:val="22"/>
              </w:rPr>
            </w:pPr>
            <w:r>
              <w:t>Elbasvir AUC: ↑376% (↑307% ↑456%)</w:t>
            </w:r>
          </w:p>
          <w:p w14:paraId="4789A3C1" w14:textId="77777777" w:rsidR="003D0B02" w:rsidRPr="00D31EBB" w:rsidRDefault="003D0B02" w:rsidP="003D0B02">
            <w:pPr>
              <w:pStyle w:val="EMEABodyText"/>
              <w:rPr>
                <w:szCs w:val="22"/>
              </w:rPr>
            </w:pPr>
            <w:r>
              <w:t>Elbasvir C</w:t>
            </w:r>
            <w:r>
              <w:rPr>
                <w:szCs w:val="22"/>
                <w:vertAlign w:val="subscript"/>
              </w:rPr>
              <w:t>max</w:t>
            </w:r>
            <w:r>
              <w:t>: ↑315% (↑246% ↑397%)</w:t>
            </w:r>
          </w:p>
          <w:p w14:paraId="065BFB28" w14:textId="77777777" w:rsidR="003D0B02" w:rsidRPr="00D31EBB" w:rsidRDefault="003D0B02" w:rsidP="003D0B02">
            <w:pPr>
              <w:pStyle w:val="EMEABodyText"/>
              <w:rPr>
                <w:szCs w:val="22"/>
              </w:rPr>
            </w:pPr>
            <w:r>
              <w:t>Elbasvir C</w:t>
            </w:r>
            <w:r>
              <w:rPr>
                <w:szCs w:val="22"/>
                <w:vertAlign w:val="subscript"/>
              </w:rPr>
              <w:t>min</w:t>
            </w:r>
            <w:r>
              <w:t>: ↑545% (↑451% ↑654%)</w:t>
            </w:r>
          </w:p>
          <w:p w14:paraId="11BEF16B" w14:textId="77777777" w:rsidR="003D0B02" w:rsidRPr="00D31EBB" w:rsidRDefault="003D0B02" w:rsidP="003D0B02">
            <w:pPr>
              <w:pStyle w:val="EMEABodyText"/>
              <w:rPr>
                <w:szCs w:val="22"/>
                <w:lang w:val="en-US"/>
              </w:rPr>
            </w:pPr>
          </w:p>
          <w:p w14:paraId="65405F13" w14:textId="77777777" w:rsidR="003D0B02" w:rsidRPr="00D31EBB" w:rsidRDefault="003D0B02" w:rsidP="00C66731">
            <w:pPr>
              <w:pStyle w:val="EMEABodyText"/>
              <w:rPr>
                <w:b/>
                <w:bCs/>
                <w:szCs w:val="22"/>
              </w:rPr>
            </w:pPr>
            <w:r>
              <w:t>Elbasvir concentrations were increased when co</w:t>
            </w:r>
            <w:r>
              <w:noBreakHyphen/>
              <w:t>administered with atazanavir/ritonavir.</w:t>
            </w:r>
          </w:p>
        </w:tc>
        <w:tc>
          <w:tcPr>
            <w:tcW w:w="3119" w:type="dxa"/>
            <w:vMerge/>
          </w:tcPr>
          <w:p w14:paraId="718C477F" w14:textId="77777777" w:rsidR="003D0B02" w:rsidRPr="00D31EBB" w:rsidRDefault="003D0B02" w:rsidP="0000712C">
            <w:pPr>
              <w:pStyle w:val="EMEABodyText"/>
              <w:rPr>
                <w:b/>
                <w:bCs/>
                <w:szCs w:val="22"/>
                <w:lang w:val="en-US"/>
              </w:rPr>
            </w:pPr>
          </w:p>
        </w:tc>
      </w:tr>
      <w:tr w:rsidR="00CF59D4" w:rsidRPr="00965E20" w14:paraId="7E7F311A" w14:textId="77777777" w:rsidTr="0051544C">
        <w:trPr>
          <w:cantSplit/>
          <w:trHeight w:val="3110"/>
        </w:trPr>
        <w:tc>
          <w:tcPr>
            <w:tcW w:w="3095" w:type="dxa"/>
          </w:tcPr>
          <w:p w14:paraId="668A0D37" w14:textId="77777777" w:rsidR="00CF59D4" w:rsidRPr="00D31EBB" w:rsidRDefault="00CF59D4" w:rsidP="00CF59D4">
            <w:pPr>
              <w:pStyle w:val="EMEABodyText"/>
              <w:rPr>
                <w:szCs w:val="22"/>
              </w:rPr>
            </w:pPr>
            <w:r>
              <w:rPr>
                <w:b/>
                <w:szCs w:val="22"/>
              </w:rPr>
              <w:t>Sofosbuvir 400 mg / velpatasvir 100 mg / voxilaprevir 100 mg single dose</w:t>
            </w:r>
            <w:r>
              <w:t>*</w:t>
            </w:r>
          </w:p>
          <w:p w14:paraId="5929D83C" w14:textId="77777777" w:rsidR="00CF59D4" w:rsidRPr="00D31EBB" w:rsidRDefault="00CF59D4" w:rsidP="00CF59D4">
            <w:pPr>
              <w:pStyle w:val="EMEABodyText"/>
              <w:rPr>
                <w:b/>
                <w:szCs w:val="22"/>
              </w:rPr>
            </w:pPr>
            <w:r>
              <w:t>(atazanavir 300 mg / ritonavir 100 mg once daily)</w:t>
            </w:r>
          </w:p>
        </w:tc>
        <w:tc>
          <w:tcPr>
            <w:tcW w:w="3676" w:type="dxa"/>
          </w:tcPr>
          <w:p w14:paraId="35596D29" w14:textId="77777777" w:rsidR="00CF59D4" w:rsidRPr="00D31EBB" w:rsidRDefault="00CF59D4" w:rsidP="00CF59D4">
            <w:pPr>
              <w:pStyle w:val="EMEABodyText"/>
              <w:rPr>
                <w:szCs w:val="22"/>
              </w:rPr>
            </w:pPr>
            <w:r>
              <w:t>Sofosbuvir AUC : ↑40% (↑25% ↑57%)</w:t>
            </w:r>
          </w:p>
          <w:p w14:paraId="42BD7EEF" w14:textId="77777777" w:rsidR="00CF59D4" w:rsidRPr="00D31EBB" w:rsidRDefault="00CF59D4" w:rsidP="00CF59D4">
            <w:pPr>
              <w:pStyle w:val="EMEABodyText"/>
              <w:rPr>
                <w:szCs w:val="22"/>
              </w:rPr>
            </w:pPr>
            <w:r>
              <w:t>Sofosbuvir C</w:t>
            </w:r>
            <w:r>
              <w:rPr>
                <w:szCs w:val="22"/>
                <w:vertAlign w:val="subscript"/>
              </w:rPr>
              <w:t>max </w:t>
            </w:r>
            <w:r>
              <w:t>:↑29% (↑9% ↑52%)</w:t>
            </w:r>
          </w:p>
          <w:p w14:paraId="7ABB63C6" w14:textId="77777777" w:rsidR="00CF59D4" w:rsidRPr="002E2C1C" w:rsidRDefault="00CF59D4" w:rsidP="00CF59D4">
            <w:pPr>
              <w:pStyle w:val="EMEABodyText"/>
              <w:rPr>
                <w:szCs w:val="22"/>
              </w:rPr>
            </w:pPr>
          </w:p>
          <w:p w14:paraId="01EF91AE" w14:textId="77777777" w:rsidR="00CF59D4" w:rsidRPr="00D31EBB" w:rsidRDefault="00CF59D4" w:rsidP="00CF59D4">
            <w:pPr>
              <w:pStyle w:val="EMEABodyText"/>
              <w:rPr>
                <w:szCs w:val="22"/>
              </w:rPr>
            </w:pPr>
            <w:r>
              <w:t>Velpatasvir AUC: ↑93% (↑58% ↑136%)</w:t>
            </w:r>
          </w:p>
          <w:p w14:paraId="5EB45F4E" w14:textId="77777777" w:rsidR="00CF59D4" w:rsidRPr="00D31EBB" w:rsidRDefault="00CF59D4" w:rsidP="00CF59D4">
            <w:pPr>
              <w:pStyle w:val="EMEABodyText"/>
              <w:rPr>
                <w:szCs w:val="22"/>
              </w:rPr>
            </w:pPr>
            <w:r>
              <w:t>Velpatasvir C</w:t>
            </w:r>
            <w:r>
              <w:rPr>
                <w:szCs w:val="22"/>
                <w:vertAlign w:val="subscript"/>
              </w:rPr>
              <w:t>max </w:t>
            </w:r>
            <w:r>
              <w:t>: ↑29% (↑7% ↑56%)</w:t>
            </w:r>
          </w:p>
          <w:p w14:paraId="48B91BCA" w14:textId="77777777" w:rsidR="00CF59D4" w:rsidRPr="002E2C1C" w:rsidRDefault="00CF59D4" w:rsidP="00CF59D4">
            <w:pPr>
              <w:pStyle w:val="EMEABodyText"/>
              <w:rPr>
                <w:szCs w:val="22"/>
              </w:rPr>
            </w:pPr>
          </w:p>
          <w:p w14:paraId="006BE6CF" w14:textId="77777777" w:rsidR="00CF59D4" w:rsidRPr="00D31EBB" w:rsidRDefault="00CF59D4" w:rsidP="00CF59D4">
            <w:pPr>
              <w:pStyle w:val="EMEABodyText"/>
              <w:rPr>
                <w:szCs w:val="22"/>
              </w:rPr>
            </w:pPr>
            <w:r>
              <w:t>Voxilaprevir AUC</w:t>
            </w:r>
            <w:r>
              <w:rPr>
                <w:szCs w:val="22"/>
                <w:vertAlign w:val="subscript"/>
              </w:rPr>
              <w:t> </w:t>
            </w:r>
            <w:r>
              <w:t>: ↑331% (↑276% ↑393%)</w:t>
            </w:r>
          </w:p>
          <w:p w14:paraId="46823F2F" w14:textId="77777777" w:rsidR="00CF59D4" w:rsidRPr="00D31EBB" w:rsidRDefault="00CF59D4" w:rsidP="00CF59D4">
            <w:pPr>
              <w:pStyle w:val="EMEABodyText"/>
              <w:rPr>
                <w:szCs w:val="22"/>
              </w:rPr>
            </w:pPr>
            <w:r>
              <w:t>Voxilaprevir C</w:t>
            </w:r>
            <w:r>
              <w:rPr>
                <w:szCs w:val="22"/>
                <w:vertAlign w:val="subscript"/>
              </w:rPr>
              <w:t>max </w:t>
            </w:r>
            <w:r>
              <w:t>: ↑342% (↑265% ↑435%)</w:t>
            </w:r>
          </w:p>
          <w:p w14:paraId="0DBEB975" w14:textId="77777777" w:rsidR="00CF59D4" w:rsidRPr="002E2C1C" w:rsidRDefault="00CF59D4" w:rsidP="00CF59D4">
            <w:pPr>
              <w:rPr>
                <w:szCs w:val="22"/>
              </w:rPr>
            </w:pPr>
          </w:p>
          <w:p w14:paraId="68DD721A" w14:textId="77777777" w:rsidR="00CF59D4" w:rsidRPr="00D31EBB" w:rsidRDefault="00CF59D4" w:rsidP="00CF59D4">
            <w:pPr>
              <w:rPr>
                <w:szCs w:val="22"/>
              </w:rPr>
            </w:pPr>
            <w:r>
              <w:t>*Lack of pharmacokinetics interaction bounds 70-143%</w:t>
            </w:r>
          </w:p>
          <w:p w14:paraId="126F3CEB" w14:textId="77777777" w:rsidR="00CF59D4" w:rsidRDefault="00CF59D4" w:rsidP="00CF59D4">
            <w:pPr>
              <w:autoSpaceDE w:val="0"/>
              <w:autoSpaceDN w:val="0"/>
              <w:adjustRightInd w:val="0"/>
              <w:rPr>
                <w:szCs w:val="22"/>
                <w:lang w:val="en-US"/>
              </w:rPr>
            </w:pPr>
          </w:p>
          <w:p w14:paraId="5080C54F" w14:textId="77777777" w:rsidR="00CF59D4" w:rsidRPr="00D31EBB" w:rsidRDefault="00CF59D4" w:rsidP="00CF59D4">
            <w:pPr>
              <w:autoSpaceDE w:val="0"/>
              <w:autoSpaceDN w:val="0"/>
              <w:adjustRightInd w:val="0"/>
              <w:rPr>
                <w:szCs w:val="22"/>
              </w:rPr>
            </w:pPr>
            <w:r>
              <w:t>Effect on atazanavir and ritonavir exposure has not been studied.</w:t>
            </w:r>
          </w:p>
          <w:p w14:paraId="771E3B8A" w14:textId="77777777" w:rsidR="00CF59D4" w:rsidRPr="00D31EBB" w:rsidRDefault="00CF59D4" w:rsidP="00CF59D4">
            <w:pPr>
              <w:autoSpaceDE w:val="0"/>
              <w:autoSpaceDN w:val="0"/>
              <w:adjustRightInd w:val="0"/>
            </w:pPr>
            <w:r>
              <w:t>Expected:</w:t>
            </w:r>
          </w:p>
          <w:p w14:paraId="5DDF2726" w14:textId="77777777" w:rsidR="00CF59D4" w:rsidRPr="00D31EBB" w:rsidRDefault="00CF59D4" w:rsidP="00CF59D4">
            <w:pPr>
              <w:autoSpaceDE w:val="0"/>
              <w:autoSpaceDN w:val="0"/>
              <w:adjustRightInd w:val="0"/>
            </w:pPr>
            <w:r>
              <w:t xml:space="preserve">↔ Atazanavir </w:t>
            </w:r>
          </w:p>
          <w:p w14:paraId="54EDCD1F" w14:textId="77777777" w:rsidR="00CF59D4" w:rsidRPr="00D31EBB" w:rsidRDefault="00CF59D4" w:rsidP="00CF59D4">
            <w:pPr>
              <w:pStyle w:val="EMEABodyText"/>
              <w:rPr>
                <w:szCs w:val="22"/>
              </w:rPr>
            </w:pPr>
            <w:r>
              <w:t xml:space="preserve">↔ Ritonavir </w:t>
            </w:r>
          </w:p>
          <w:p w14:paraId="41E302D1" w14:textId="77777777" w:rsidR="00CF59D4" w:rsidRPr="00D31EBB" w:rsidRDefault="00CF59D4" w:rsidP="00CF59D4">
            <w:pPr>
              <w:pStyle w:val="EMEABodyText"/>
              <w:rPr>
                <w:szCs w:val="22"/>
                <w:lang w:val="en-US"/>
              </w:rPr>
            </w:pPr>
          </w:p>
          <w:p w14:paraId="3CEFDCA0" w14:textId="77777777" w:rsidR="00CF59D4" w:rsidRPr="00D31EBB" w:rsidRDefault="00CF59D4" w:rsidP="00CF59D4">
            <w:pPr>
              <w:autoSpaceDE w:val="0"/>
              <w:autoSpaceDN w:val="0"/>
              <w:adjustRightInd w:val="0"/>
              <w:rPr>
                <w:szCs w:val="22"/>
              </w:rPr>
            </w:pPr>
            <w:r>
              <w:t>The mechanism of interaction between REYATAZ/ritonavir and sofosbuvir/velpatasvir/voxilaprevir is inhibition of OATP1B, Pgp, and CYP3A.</w:t>
            </w:r>
          </w:p>
        </w:tc>
        <w:tc>
          <w:tcPr>
            <w:tcW w:w="3119" w:type="dxa"/>
          </w:tcPr>
          <w:p w14:paraId="58EFB1A7" w14:textId="77777777" w:rsidR="00CF59D4" w:rsidRPr="00D31EBB" w:rsidRDefault="00CF59D4" w:rsidP="0000712C">
            <w:pPr>
              <w:pStyle w:val="EMEABodyText"/>
              <w:rPr>
                <w:b/>
                <w:bCs/>
                <w:szCs w:val="22"/>
              </w:rPr>
            </w:pPr>
            <w:r>
              <w:t>Co-administration of REYATAZ with voxilaprevir-containing products is expected to increase the concentration of voxilaprevir. Co-administration of REYATAZ with voxilaprevir-containing regimens is not recommended.</w:t>
            </w:r>
          </w:p>
        </w:tc>
      </w:tr>
      <w:tr w:rsidR="00CF59D4" w:rsidRPr="00965E20" w14:paraId="6812FE0F" w14:textId="77777777" w:rsidTr="0051544C">
        <w:trPr>
          <w:cantSplit/>
          <w:trHeight w:val="3110"/>
        </w:trPr>
        <w:tc>
          <w:tcPr>
            <w:tcW w:w="3095" w:type="dxa"/>
          </w:tcPr>
          <w:p w14:paraId="708B9FB0" w14:textId="77777777" w:rsidR="00CF59D4" w:rsidRPr="00D31EBB" w:rsidRDefault="00CF59D4" w:rsidP="00CF59D4">
            <w:pPr>
              <w:pStyle w:val="EMEABodyText"/>
              <w:rPr>
                <w:b/>
                <w:szCs w:val="22"/>
              </w:rPr>
            </w:pPr>
            <w:r>
              <w:rPr>
                <w:b/>
                <w:szCs w:val="22"/>
              </w:rPr>
              <w:t>Glecaprevir 300 mg / pibrentasvir 120 mg once daily</w:t>
            </w:r>
          </w:p>
          <w:p w14:paraId="377A1CD9" w14:textId="77777777" w:rsidR="00CF59D4" w:rsidRPr="00D31EBB" w:rsidRDefault="00CF59D4" w:rsidP="00CF59D4">
            <w:pPr>
              <w:pStyle w:val="EMEABodyText"/>
              <w:rPr>
                <w:b/>
                <w:szCs w:val="22"/>
              </w:rPr>
            </w:pPr>
            <w:r>
              <w:t>(atazanavir 300 mg / ritonavir 100 mg once daily*)</w:t>
            </w:r>
          </w:p>
        </w:tc>
        <w:tc>
          <w:tcPr>
            <w:tcW w:w="3676" w:type="dxa"/>
          </w:tcPr>
          <w:p w14:paraId="62B178B0" w14:textId="77777777" w:rsidR="00CF59D4" w:rsidRPr="00D31EBB" w:rsidRDefault="00CF59D4" w:rsidP="00CF59D4">
            <w:pPr>
              <w:pStyle w:val="EMEABodyText"/>
              <w:rPr>
                <w:szCs w:val="22"/>
              </w:rPr>
            </w:pPr>
            <w:r>
              <w:t>Glecaprevir AUC : ↑553% (↑424% ↑714%)</w:t>
            </w:r>
          </w:p>
          <w:p w14:paraId="4D6FD932" w14:textId="77777777" w:rsidR="00CF59D4" w:rsidRPr="00D31EBB" w:rsidRDefault="00CF59D4" w:rsidP="00CF59D4">
            <w:pPr>
              <w:pStyle w:val="EMEABodyText"/>
              <w:rPr>
                <w:szCs w:val="22"/>
              </w:rPr>
            </w:pPr>
            <w:r>
              <w:t>Glecaprevir C</w:t>
            </w:r>
            <w:r>
              <w:rPr>
                <w:szCs w:val="22"/>
                <w:vertAlign w:val="subscript"/>
              </w:rPr>
              <w:t>max</w:t>
            </w:r>
            <w:r>
              <w:t> : ↑306% (↑215% ↑423%)</w:t>
            </w:r>
          </w:p>
          <w:p w14:paraId="56EC2429" w14:textId="77777777" w:rsidR="00CF59D4" w:rsidRPr="00D31EBB" w:rsidRDefault="00CF59D4" w:rsidP="00CF59D4">
            <w:pPr>
              <w:pStyle w:val="EMEABodyText"/>
              <w:rPr>
                <w:szCs w:val="22"/>
              </w:rPr>
            </w:pPr>
            <w:r>
              <w:t>Glecaprevir C</w:t>
            </w:r>
            <w:r>
              <w:rPr>
                <w:szCs w:val="22"/>
                <w:vertAlign w:val="subscript"/>
              </w:rPr>
              <w:t xml:space="preserve">min </w:t>
            </w:r>
            <w:r>
              <w:t>: ↑1330% (↑885% ↑1970%)</w:t>
            </w:r>
          </w:p>
          <w:p w14:paraId="3C34204C" w14:textId="77777777" w:rsidR="00CF59D4" w:rsidRPr="002E2C1C" w:rsidRDefault="00CF59D4" w:rsidP="00CF59D4">
            <w:pPr>
              <w:pStyle w:val="EMEABodyText"/>
              <w:rPr>
                <w:szCs w:val="22"/>
              </w:rPr>
            </w:pPr>
          </w:p>
          <w:p w14:paraId="36C7D090" w14:textId="77777777" w:rsidR="00CF59D4" w:rsidRPr="00D31EBB" w:rsidRDefault="00CF59D4" w:rsidP="00CF59D4">
            <w:pPr>
              <w:pStyle w:val="EMEABodyText"/>
              <w:rPr>
                <w:szCs w:val="22"/>
              </w:rPr>
            </w:pPr>
            <w:r>
              <w:t>Pibrentasvir AUC : ↑64% (↑48% ↑82%)</w:t>
            </w:r>
          </w:p>
          <w:p w14:paraId="2A98ECB2" w14:textId="77777777" w:rsidR="00CF59D4" w:rsidRPr="00D31EBB" w:rsidRDefault="00CF59D4" w:rsidP="00CF59D4">
            <w:pPr>
              <w:pStyle w:val="EMEABodyText"/>
              <w:rPr>
                <w:szCs w:val="22"/>
              </w:rPr>
            </w:pPr>
            <w:r>
              <w:t>Pibrentasvir C</w:t>
            </w:r>
            <w:r>
              <w:rPr>
                <w:szCs w:val="22"/>
                <w:vertAlign w:val="subscript"/>
              </w:rPr>
              <w:t>max </w:t>
            </w:r>
            <w:r>
              <w:t>: ↑29% (↑15% ↑45%)</w:t>
            </w:r>
          </w:p>
          <w:p w14:paraId="47BD2DF9" w14:textId="77777777" w:rsidR="00CF59D4" w:rsidRPr="00D31EBB" w:rsidRDefault="00CF59D4" w:rsidP="00CF59D4">
            <w:pPr>
              <w:pStyle w:val="EMEABodyText"/>
              <w:rPr>
                <w:szCs w:val="22"/>
              </w:rPr>
            </w:pPr>
            <w:r>
              <w:t>Pibrentasvir C</w:t>
            </w:r>
            <w:r>
              <w:rPr>
                <w:szCs w:val="22"/>
                <w:vertAlign w:val="subscript"/>
              </w:rPr>
              <w:t>min</w:t>
            </w:r>
            <w:r>
              <w:t>: ↑129% (↑95% ↑168%)</w:t>
            </w:r>
          </w:p>
          <w:p w14:paraId="3F9983F9" w14:textId="77777777" w:rsidR="00CF59D4" w:rsidRPr="002E2C1C" w:rsidRDefault="00CF59D4" w:rsidP="00CF59D4">
            <w:pPr>
              <w:pStyle w:val="EMEABodyText"/>
              <w:rPr>
                <w:szCs w:val="22"/>
              </w:rPr>
            </w:pPr>
          </w:p>
          <w:p w14:paraId="7F68AB1D" w14:textId="77777777" w:rsidR="00CF59D4" w:rsidRPr="00D31EBB" w:rsidRDefault="00CF59D4" w:rsidP="00CF59D4">
            <w:pPr>
              <w:pStyle w:val="EMEABodyText"/>
              <w:rPr>
                <w:szCs w:val="22"/>
              </w:rPr>
            </w:pPr>
            <w:r>
              <w:t>* Effect of atazanavir and ritonavir on the first dose of glecaprevir and pibrentasvir is reported.</w:t>
            </w:r>
          </w:p>
        </w:tc>
        <w:tc>
          <w:tcPr>
            <w:tcW w:w="3119" w:type="dxa"/>
          </w:tcPr>
          <w:p w14:paraId="6D79788F" w14:textId="77777777" w:rsidR="00CF59D4" w:rsidRPr="00D31EBB" w:rsidRDefault="00CF59D4" w:rsidP="00CF59D4">
            <w:pPr>
              <w:pStyle w:val="EMEABodyText"/>
              <w:rPr>
                <w:b/>
                <w:bCs/>
                <w:szCs w:val="22"/>
              </w:rPr>
            </w:pPr>
            <w:r>
              <w:t>Co-administration of REYATAZ with glecaprevir/pibrentasvir is contraindicated because of the potential increase in the risk of ALT elevations due to a significant increase in glecaprevir and pibrentasvir plasma concentrations (see section 4.3)</w:t>
            </w:r>
          </w:p>
        </w:tc>
      </w:tr>
      <w:tr w:rsidR="00187713" w:rsidRPr="004F3582" w14:paraId="6CB6602C" w14:textId="77777777" w:rsidTr="0000712C">
        <w:trPr>
          <w:cantSplit/>
          <w:trHeight w:val="340"/>
        </w:trPr>
        <w:tc>
          <w:tcPr>
            <w:tcW w:w="9890" w:type="dxa"/>
            <w:gridSpan w:val="3"/>
          </w:tcPr>
          <w:p w14:paraId="3BA965E2" w14:textId="77777777" w:rsidR="00187713" w:rsidRPr="004F3582" w:rsidRDefault="00187713" w:rsidP="0000712C">
            <w:pPr>
              <w:pStyle w:val="EMEABodyText"/>
              <w:rPr>
                <w:szCs w:val="22"/>
              </w:rPr>
            </w:pPr>
            <w:r>
              <w:rPr>
                <w:b/>
                <w:szCs w:val="22"/>
              </w:rPr>
              <w:t>ANTI-RETROVIRALS</w:t>
            </w:r>
          </w:p>
        </w:tc>
      </w:tr>
      <w:tr w:rsidR="00187713" w:rsidRPr="004F3582" w14:paraId="772779F6" w14:textId="77777777" w:rsidTr="0000712C">
        <w:trPr>
          <w:cantSplit/>
          <w:trHeight w:val="340"/>
        </w:trPr>
        <w:tc>
          <w:tcPr>
            <w:tcW w:w="9890" w:type="dxa"/>
            <w:gridSpan w:val="3"/>
          </w:tcPr>
          <w:p w14:paraId="2B94665B" w14:textId="77777777" w:rsidR="00187713" w:rsidRPr="004F3582" w:rsidRDefault="00187713" w:rsidP="0000712C">
            <w:pPr>
              <w:pStyle w:val="EMEABodyText"/>
              <w:rPr>
                <w:szCs w:val="22"/>
              </w:rPr>
            </w:pPr>
            <w:r>
              <w:rPr>
                <w:i/>
                <w:szCs w:val="22"/>
              </w:rPr>
              <w:t>Protease inhibitors:</w:t>
            </w:r>
            <w:r>
              <w:rPr>
                <w:b/>
                <w:szCs w:val="22"/>
              </w:rPr>
              <w:t xml:space="preserve"> </w:t>
            </w:r>
            <w:r>
              <w:t>The co-administration of REYATAZ/ritonavir and other protease inhibitors has not been studied but would be expected to increase exposure to other protease inhibitors. Therefore, such co-administration is not recommended.</w:t>
            </w:r>
          </w:p>
        </w:tc>
      </w:tr>
      <w:tr w:rsidR="00187713" w:rsidRPr="00965E20" w14:paraId="144EEADB" w14:textId="77777777" w:rsidTr="0000712C">
        <w:trPr>
          <w:cantSplit/>
          <w:trHeight w:val="340"/>
        </w:trPr>
        <w:tc>
          <w:tcPr>
            <w:tcW w:w="3095" w:type="dxa"/>
          </w:tcPr>
          <w:p w14:paraId="407EC874" w14:textId="77777777" w:rsidR="00187713" w:rsidRPr="00D31EBB" w:rsidRDefault="00187713" w:rsidP="0000712C">
            <w:pPr>
              <w:pStyle w:val="EMEABodyText"/>
              <w:rPr>
                <w:b/>
                <w:szCs w:val="22"/>
              </w:rPr>
            </w:pPr>
            <w:r>
              <w:rPr>
                <w:b/>
                <w:szCs w:val="22"/>
              </w:rPr>
              <w:t>Ritonavir 100 mg once daily</w:t>
            </w:r>
          </w:p>
          <w:p w14:paraId="5ADCEE2B" w14:textId="77777777" w:rsidR="00187713" w:rsidRPr="00D31EBB" w:rsidRDefault="00187713" w:rsidP="0000712C">
            <w:pPr>
              <w:rPr>
                <w:szCs w:val="22"/>
              </w:rPr>
            </w:pPr>
            <w:r>
              <w:t>(atazanavir 300 mg once daily)</w:t>
            </w:r>
          </w:p>
          <w:p w14:paraId="68A9D444" w14:textId="77777777" w:rsidR="00187713" w:rsidRPr="00D31EBB" w:rsidRDefault="00187713" w:rsidP="0000712C">
            <w:pPr>
              <w:rPr>
                <w:szCs w:val="22"/>
                <w:lang w:val="en-US"/>
              </w:rPr>
            </w:pPr>
          </w:p>
          <w:p w14:paraId="56411D14" w14:textId="77777777" w:rsidR="00187713" w:rsidRPr="00D31EBB" w:rsidRDefault="00187713" w:rsidP="0000712C">
            <w:pPr>
              <w:rPr>
                <w:szCs w:val="22"/>
              </w:rPr>
            </w:pPr>
            <w:r>
              <w:t>Studies conducted in HIV-infected patients.</w:t>
            </w:r>
          </w:p>
          <w:p w14:paraId="1B056315" w14:textId="77777777" w:rsidR="00187713" w:rsidRPr="00D31EBB" w:rsidRDefault="00187713" w:rsidP="0000712C">
            <w:pPr>
              <w:pStyle w:val="EMEABodyText"/>
              <w:rPr>
                <w:szCs w:val="22"/>
                <w:lang w:val="en-US"/>
              </w:rPr>
            </w:pPr>
          </w:p>
        </w:tc>
        <w:tc>
          <w:tcPr>
            <w:tcW w:w="3676" w:type="dxa"/>
          </w:tcPr>
          <w:p w14:paraId="38B6D5CD" w14:textId="77777777" w:rsidR="00187713" w:rsidRPr="00D31EBB" w:rsidRDefault="00187713" w:rsidP="0000712C">
            <w:pPr>
              <w:pStyle w:val="EMEABodyText"/>
              <w:rPr>
                <w:szCs w:val="22"/>
              </w:rPr>
            </w:pPr>
            <w:r>
              <w:t>Atazanavir AUC: ↑250% (↑144% ↑403%)*</w:t>
            </w:r>
          </w:p>
          <w:p w14:paraId="5934E3A7" w14:textId="77777777" w:rsidR="00187713" w:rsidRPr="00D31EBB" w:rsidRDefault="00187713" w:rsidP="0000712C">
            <w:pPr>
              <w:pStyle w:val="EMEABodyText"/>
              <w:rPr>
                <w:szCs w:val="22"/>
              </w:rPr>
            </w:pPr>
            <w:r>
              <w:t>Atazanavir C</w:t>
            </w:r>
            <w:r>
              <w:rPr>
                <w:szCs w:val="22"/>
                <w:vertAlign w:val="subscript"/>
              </w:rPr>
              <w:t>max</w:t>
            </w:r>
            <w:r>
              <w:t>: ↑120% (↑56% ↑211%)*</w:t>
            </w:r>
          </w:p>
          <w:p w14:paraId="5D0E50C3" w14:textId="77777777" w:rsidR="00187713" w:rsidRPr="00D31EBB" w:rsidRDefault="00187713" w:rsidP="0000712C">
            <w:pPr>
              <w:pStyle w:val="EMEABodyText"/>
              <w:rPr>
                <w:szCs w:val="22"/>
              </w:rPr>
            </w:pPr>
            <w:r>
              <w:t>Atazanavir C</w:t>
            </w:r>
            <w:r>
              <w:rPr>
                <w:szCs w:val="22"/>
                <w:vertAlign w:val="subscript"/>
              </w:rPr>
              <w:t>min</w:t>
            </w:r>
            <w:r>
              <w:t>: ↑713% (↑359% ↑1339%)*</w:t>
            </w:r>
          </w:p>
          <w:p w14:paraId="093D338B" w14:textId="77777777" w:rsidR="00187713" w:rsidRPr="00D31EBB" w:rsidRDefault="00187713" w:rsidP="0000712C">
            <w:pPr>
              <w:pStyle w:val="EMEABodyText"/>
              <w:rPr>
                <w:szCs w:val="22"/>
                <w:lang w:val="en-US"/>
              </w:rPr>
            </w:pPr>
          </w:p>
          <w:p w14:paraId="0BEF01CA" w14:textId="77777777" w:rsidR="00187713" w:rsidRPr="00D31EBB" w:rsidRDefault="00187713" w:rsidP="0000712C">
            <w:pPr>
              <w:rPr>
                <w:szCs w:val="22"/>
              </w:rPr>
            </w:pPr>
            <w:r>
              <w:t>* In a combined analysis, atazanavir 300 mg and ritonavir 100 mg (n=33) was compared to atazanavir 400 mg without ritonavir (n=28).</w:t>
            </w:r>
          </w:p>
          <w:p w14:paraId="6B244EE3" w14:textId="77777777" w:rsidR="00187713" w:rsidRPr="00D31EBB" w:rsidRDefault="00187713" w:rsidP="0000712C">
            <w:pPr>
              <w:pStyle w:val="EMEABodyText"/>
              <w:rPr>
                <w:szCs w:val="22"/>
              </w:rPr>
            </w:pPr>
            <w:r>
              <w:t>The mechanism of interaction between atazanavir and ritonavir is CYP3A4 inhibition.</w:t>
            </w:r>
          </w:p>
        </w:tc>
        <w:tc>
          <w:tcPr>
            <w:tcW w:w="3119" w:type="dxa"/>
          </w:tcPr>
          <w:p w14:paraId="6AF3569E" w14:textId="77777777" w:rsidR="00187713" w:rsidRPr="00D31EBB" w:rsidRDefault="00187713" w:rsidP="0000712C">
            <w:pPr>
              <w:pStyle w:val="EMEABodyText"/>
              <w:rPr>
                <w:szCs w:val="22"/>
              </w:rPr>
            </w:pPr>
            <w:r>
              <w:t>Ritonavir 100 mg once daily is used as a booster of atazanavir pharmacokinetics.</w:t>
            </w:r>
          </w:p>
        </w:tc>
      </w:tr>
      <w:tr w:rsidR="00187713" w:rsidRPr="00965E20" w14:paraId="66D183EF" w14:textId="77777777" w:rsidTr="0000712C">
        <w:trPr>
          <w:cantSplit/>
          <w:trHeight w:val="340"/>
        </w:trPr>
        <w:tc>
          <w:tcPr>
            <w:tcW w:w="3095" w:type="dxa"/>
          </w:tcPr>
          <w:p w14:paraId="329485FD" w14:textId="77777777" w:rsidR="00187713" w:rsidRPr="004F3582" w:rsidRDefault="00187713" w:rsidP="0000712C">
            <w:pPr>
              <w:pStyle w:val="EMEABodyText"/>
              <w:rPr>
                <w:b/>
                <w:szCs w:val="22"/>
              </w:rPr>
            </w:pPr>
            <w:r>
              <w:rPr>
                <w:b/>
                <w:szCs w:val="22"/>
              </w:rPr>
              <w:t>Indinavir</w:t>
            </w:r>
          </w:p>
        </w:tc>
        <w:tc>
          <w:tcPr>
            <w:tcW w:w="3676" w:type="dxa"/>
          </w:tcPr>
          <w:p w14:paraId="06E4F7C1" w14:textId="77777777" w:rsidR="00187713" w:rsidRPr="00D31EBB" w:rsidRDefault="00187713" w:rsidP="0000712C">
            <w:pPr>
              <w:pStyle w:val="EMEABodyText"/>
              <w:rPr>
                <w:szCs w:val="22"/>
              </w:rPr>
            </w:pPr>
            <w:r>
              <w:t>Indinavir is associated with indirect unconjugated hyperbilirubinaemia due to inhibition of UGT.</w:t>
            </w:r>
          </w:p>
        </w:tc>
        <w:tc>
          <w:tcPr>
            <w:tcW w:w="3119" w:type="dxa"/>
          </w:tcPr>
          <w:p w14:paraId="19016D79" w14:textId="77777777" w:rsidR="00187713" w:rsidRPr="00D31EBB" w:rsidRDefault="00187713" w:rsidP="0000712C">
            <w:pPr>
              <w:pStyle w:val="EMEABodyText"/>
              <w:rPr>
                <w:szCs w:val="22"/>
              </w:rPr>
            </w:pPr>
            <w:r>
              <w:t>Co-administration of REYATAZ/ritonavir and indinavir is not recommended (see section 4.4).</w:t>
            </w:r>
          </w:p>
        </w:tc>
      </w:tr>
      <w:tr w:rsidR="00187713" w:rsidRPr="00965E20" w14:paraId="5F8DEBA5" w14:textId="77777777" w:rsidTr="0000712C">
        <w:trPr>
          <w:cantSplit/>
          <w:trHeight w:val="340"/>
        </w:trPr>
        <w:tc>
          <w:tcPr>
            <w:tcW w:w="9890" w:type="dxa"/>
            <w:gridSpan w:val="3"/>
          </w:tcPr>
          <w:p w14:paraId="0EBF64E2" w14:textId="77777777" w:rsidR="00187713" w:rsidRPr="00D31EBB" w:rsidRDefault="00187713" w:rsidP="0000712C">
            <w:pPr>
              <w:pStyle w:val="EMEABodyText"/>
              <w:rPr>
                <w:i/>
                <w:szCs w:val="22"/>
              </w:rPr>
            </w:pPr>
            <w:r>
              <w:rPr>
                <w:i/>
                <w:szCs w:val="22"/>
              </w:rPr>
              <w:t>Nucleoside/nucleotide reverse transcriptase inhibitors (NRTIs)</w:t>
            </w:r>
          </w:p>
        </w:tc>
      </w:tr>
      <w:tr w:rsidR="00187713" w:rsidRPr="00965E20" w14:paraId="0F455A72" w14:textId="77777777" w:rsidTr="0000712C">
        <w:trPr>
          <w:cantSplit/>
          <w:trHeight w:val="340"/>
        </w:trPr>
        <w:tc>
          <w:tcPr>
            <w:tcW w:w="3095" w:type="dxa"/>
          </w:tcPr>
          <w:p w14:paraId="629605F6" w14:textId="77777777" w:rsidR="00187713" w:rsidRPr="00D31EBB" w:rsidRDefault="00187713" w:rsidP="0000712C">
            <w:pPr>
              <w:pStyle w:val="EMEABodyText"/>
              <w:rPr>
                <w:b/>
                <w:szCs w:val="22"/>
              </w:rPr>
            </w:pPr>
            <w:r>
              <w:rPr>
                <w:b/>
                <w:szCs w:val="22"/>
              </w:rPr>
              <w:t>Lamivudine 150 mg twice daily + zidovudine 300 mg twice daily</w:t>
            </w:r>
          </w:p>
          <w:p w14:paraId="306F9339" w14:textId="77777777" w:rsidR="00187713" w:rsidRPr="004F3582" w:rsidRDefault="00187713" w:rsidP="0000712C">
            <w:pPr>
              <w:pStyle w:val="EMEABodyText"/>
              <w:rPr>
                <w:szCs w:val="22"/>
              </w:rPr>
            </w:pPr>
            <w:r>
              <w:t>(atazanavir 400 mg once daily)</w:t>
            </w:r>
          </w:p>
        </w:tc>
        <w:tc>
          <w:tcPr>
            <w:tcW w:w="3676" w:type="dxa"/>
          </w:tcPr>
          <w:p w14:paraId="436FB7EA" w14:textId="77777777" w:rsidR="00187713" w:rsidRPr="00D31EBB" w:rsidRDefault="00187713" w:rsidP="0000712C">
            <w:pPr>
              <w:pStyle w:val="EMEABodyText"/>
              <w:rPr>
                <w:szCs w:val="22"/>
              </w:rPr>
            </w:pPr>
            <w:r>
              <w:t>No significant effect on lamivudine and zidovudine concentrations was observed.</w:t>
            </w:r>
          </w:p>
        </w:tc>
        <w:tc>
          <w:tcPr>
            <w:tcW w:w="3119" w:type="dxa"/>
          </w:tcPr>
          <w:p w14:paraId="2FEF6D6A" w14:textId="77777777" w:rsidR="00187713" w:rsidRPr="00D31EBB" w:rsidRDefault="00187713" w:rsidP="003228A9">
            <w:pPr>
              <w:pStyle w:val="EMEABodyText"/>
              <w:rPr>
                <w:szCs w:val="22"/>
              </w:rPr>
            </w:pPr>
            <w:r>
              <w:t>Based on these data and because ritonavir is not expected to have a significant impact on the pharmacokinetics of NRTIs, the co-administration of REYATAZ/ritonavir with these medicinal products is not expected to significantly alter the exposure of the co-administered medicinal products.</w:t>
            </w:r>
          </w:p>
        </w:tc>
      </w:tr>
      <w:tr w:rsidR="00187713" w:rsidRPr="00965E20" w14:paraId="6FA1E051" w14:textId="77777777" w:rsidTr="0000712C">
        <w:trPr>
          <w:cantSplit/>
          <w:trHeight w:val="340"/>
        </w:trPr>
        <w:tc>
          <w:tcPr>
            <w:tcW w:w="3095" w:type="dxa"/>
          </w:tcPr>
          <w:p w14:paraId="72AB8035" w14:textId="77777777" w:rsidR="00187713" w:rsidRPr="004F3582" w:rsidRDefault="00187713" w:rsidP="0000712C">
            <w:pPr>
              <w:pStyle w:val="EMEABodyText"/>
              <w:rPr>
                <w:b/>
                <w:szCs w:val="22"/>
              </w:rPr>
            </w:pPr>
            <w:r>
              <w:rPr>
                <w:b/>
                <w:szCs w:val="22"/>
              </w:rPr>
              <w:t>Abacavir</w:t>
            </w:r>
          </w:p>
        </w:tc>
        <w:tc>
          <w:tcPr>
            <w:tcW w:w="3676" w:type="dxa"/>
          </w:tcPr>
          <w:p w14:paraId="38626552" w14:textId="77777777" w:rsidR="00187713" w:rsidRPr="00D31EBB" w:rsidRDefault="00187713" w:rsidP="0000712C">
            <w:pPr>
              <w:pStyle w:val="EMEABodyText"/>
              <w:rPr>
                <w:szCs w:val="22"/>
              </w:rPr>
            </w:pPr>
            <w:r>
              <w:t>The co-administration of REYATAZ/ ritonavir with abacavir is not expected to significantly alter the exposure of abacavir.</w:t>
            </w:r>
          </w:p>
        </w:tc>
        <w:tc>
          <w:tcPr>
            <w:tcW w:w="3119" w:type="dxa"/>
          </w:tcPr>
          <w:p w14:paraId="31D5BC34" w14:textId="77777777" w:rsidR="00187713" w:rsidRPr="00D31EBB" w:rsidRDefault="00187713" w:rsidP="0000712C">
            <w:pPr>
              <w:pStyle w:val="EMEABodyText"/>
              <w:rPr>
                <w:szCs w:val="22"/>
                <w:lang w:val="en-US"/>
              </w:rPr>
            </w:pPr>
          </w:p>
        </w:tc>
      </w:tr>
      <w:tr w:rsidR="00187713" w:rsidRPr="00965E20" w14:paraId="4FD62644" w14:textId="77777777" w:rsidTr="0000712C">
        <w:trPr>
          <w:cantSplit/>
          <w:trHeight w:val="340"/>
        </w:trPr>
        <w:tc>
          <w:tcPr>
            <w:tcW w:w="3095" w:type="dxa"/>
          </w:tcPr>
          <w:p w14:paraId="302783EE" w14:textId="77777777" w:rsidR="00187713" w:rsidRPr="00D31EBB" w:rsidRDefault="00187713" w:rsidP="0000712C">
            <w:pPr>
              <w:pStyle w:val="EMEABodyText"/>
              <w:rPr>
                <w:szCs w:val="22"/>
              </w:rPr>
            </w:pPr>
            <w:r>
              <w:rPr>
                <w:b/>
                <w:szCs w:val="22"/>
              </w:rPr>
              <w:t>Didanosine (buffered tablets) 200 mg/stavudine 40 mg, both single dose</w:t>
            </w:r>
          </w:p>
          <w:p w14:paraId="76FD08B7" w14:textId="77777777" w:rsidR="00187713" w:rsidRPr="004F3582" w:rsidRDefault="00187713" w:rsidP="0000712C">
            <w:pPr>
              <w:pStyle w:val="EMEABodyText"/>
              <w:rPr>
                <w:szCs w:val="22"/>
              </w:rPr>
            </w:pPr>
            <w:r>
              <w:t>(atazanavir 400 mg single dose)</w:t>
            </w:r>
          </w:p>
        </w:tc>
        <w:tc>
          <w:tcPr>
            <w:tcW w:w="3676" w:type="dxa"/>
          </w:tcPr>
          <w:p w14:paraId="64444AB7" w14:textId="77777777" w:rsidR="00187713" w:rsidRPr="00D31EBB" w:rsidRDefault="00187713" w:rsidP="0000712C">
            <w:pPr>
              <w:pStyle w:val="EMEABodyText"/>
              <w:rPr>
                <w:szCs w:val="22"/>
              </w:rPr>
            </w:pPr>
            <w:r>
              <w:t>Atazanavir, simultaneous administration with ddI+d4T (fasted)</w:t>
            </w:r>
          </w:p>
          <w:p w14:paraId="2AF34099" w14:textId="77777777" w:rsidR="00187713" w:rsidRPr="00D31EBB" w:rsidRDefault="00187713" w:rsidP="0000712C">
            <w:pPr>
              <w:pStyle w:val="EMEABodyText"/>
              <w:rPr>
                <w:szCs w:val="22"/>
              </w:rPr>
            </w:pPr>
            <w:r>
              <w:t>Atazanavir AUC ↓87% (↓92% ↓79%)</w:t>
            </w:r>
          </w:p>
          <w:p w14:paraId="5101F98F" w14:textId="77777777" w:rsidR="00187713" w:rsidRPr="00D31EBB" w:rsidRDefault="00187713" w:rsidP="0000712C">
            <w:pPr>
              <w:pStyle w:val="EMEABodyText"/>
              <w:rPr>
                <w:szCs w:val="22"/>
              </w:rPr>
            </w:pPr>
            <w:r>
              <w:t>Atazanavir C</w:t>
            </w:r>
            <w:r>
              <w:rPr>
                <w:szCs w:val="22"/>
                <w:vertAlign w:val="subscript"/>
              </w:rPr>
              <w:t>max</w:t>
            </w:r>
            <w:r>
              <w:t xml:space="preserve"> ↓89% (↓94% ↓82%)</w:t>
            </w:r>
          </w:p>
          <w:p w14:paraId="53CFC3D5" w14:textId="77777777" w:rsidR="00187713" w:rsidRPr="00D31EBB" w:rsidRDefault="00187713" w:rsidP="0000712C">
            <w:pPr>
              <w:pStyle w:val="EMEABodyText"/>
              <w:rPr>
                <w:szCs w:val="22"/>
              </w:rPr>
            </w:pPr>
            <w:r>
              <w:t>Atazanavir C</w:t>
            </w:r>
            <w:r>
              <w:rPr>
                <w:szCs w:val="22"/>
                <w:vertAlign w:val="subscript"/>
              </w:rPr>
              <w:t>min</w:t>
            </w:r>
            <w:r>
              <w:t xml:space="preserve"> ↓84% (↓90% ↓73%)</w:t>
            </w:r>
          </w:p>
          <w:p w14:paraId="649896E5" w14:textId="77777777" w:rsidR="00187713" w:rsidRPr="002E2C1C" w:rsidRDefault="00187713" w:rsidP="0000712C">
            <w:pPr>
              <w:pStyle w:val="EMEABodyText"/>
              <w:rPr>
                <w:szCs w:val="22"/>
              </w:rPr>
            </w:pPr>
          </w:p>
          <w:p w14:paraId="4CE1CB32" w14:textId="77777777" w:rsidR="00187713" w:rsidRPr="00D31EBB" w:rsidRDefault="00187713" w:rsidP="0000712C">
            <w:pPr>
              <w:pStyle w:val="EMEABodyText"/>
              <w:rPr>
                <w:szCs w:val="22"/>
              </w:rPr>
            </w:pPr>
            <w:r>
              <w:t>Atazanavir, dosed 1 hr after ddI+d4T (fasted)</w:t>
            </w:r>
          </w:p>
          <w:p w14:paraId="0D3D2E9C" w14:textId="77777777" w:rsidR="00187713" w:rsidRPr="00D31EBB" w:rsidRDefault="00187713" w:rsidP="0000712C">
            <w:pPr>
              <w:pStyle w:val="EMEABodyText"/>
              <w:rPr>
                <w:szCs w:val="22"/>
              </w:rPr>
            </w:pPr>
            <w:r>
              <w:t>Atazanavir AUC ↔3% (↓36% ↑67%)</w:t>
            </w:r>
          </w:p>
          <w:p w14:paraId="7F31CA4B" w14:textId="77777777" w:rsidR="00187713" w:rsidRPr="00D31EBB" w:rsidRDefault="00187713" w:rsidP="0000712C">
            <w:pPr>
              <w:pStyle w:val="EMEABodyText"/>
              <w:rPr>
                <w:szCs w:val="22"/>
              </w:rPr>
            </w:pPr>
            <w:r>
              <w:t>Atazanavir C</w:t>
            </w:r>
            <w:r>
              <w:rPr>
                <w:szCs w:val="22"/>
                <w:vertAlign w:val="subscript"/>
              </w:rPr>
              <w:t>max</w:t>
            </w:r>
            <w:r>
              <w:t xml:space="preserve"> ↑12% (↓33% ↑18%)</w:t>
            </w:r>
          </w:p>
          <w:p w14:paraId="342AA538" w14:textId="77777777" w:rsidR="00187713" w:rsidRPr="00D31EBB" w:rsidRDefault="00187713" w:rsidP="0000712C">
            <w:pPr>
              <w:pStyle w:val="EMEABodyText"/>
              <w:rPr>
                <w:szCs w:val="22"/>
              </w:rPr>
            </w:pPr>
            <w:r>
              <w:t>Atazanavir C</w:t>
            </w:r>
            <w:r>
              <w:rPr>
                <w:szCs w:val="22"/>
                <w:vertAlign w:val="subscript"/>
              </w:rPr>
              <w:t>min</w:t>
            </w:r>
            <w:r>
              <w:t xml:space="preserve"> ↔3% (↓39% ↑73%)</w:t>
            </w:r>
          </w:p>
          <w:p w14:paraId="6311267D" w14:textId="77777777" w:rsidR="00187713" w:rsidRPr="002E2C1C" w:rsidRDefault="00187713" w:rsidP="0000712C">
            <w:pPr>
              <w:pStyle w:val="EMEABodyText"/>
              <w:rPr>
                <w:szCs w:val="22"/>
              </w:rPr>
            </w:pPr>
          </w:p>
          <w:p w14:paraId="23FE7EC0" w14:textId="77777777" w:rsidR="00187713" w:rsidRPr="00D31EBB" w:rsidRDefault="00187713" w:rsidP="0000712C">
            <w:pPr>
              <w:pStyle w:val="EMEABodyText"/>
              <w:rPr>
                <w:szCs w:val="22"/>
              </w:rPr>
            </w:pPr>
            <w:r>
              <w:t>Atazanavir concentrations were greatly decreased when co-administered with didanosine (buffered tablets) and stavudine. The mechanism of interaction is a reduced solubility of atazanavir with increasing pH related to the presence of anti-acid agent in didanosine buffered tablets.</w:t>
            </w:r>
          </w:p>
          <w:p w14:paraId="75515075" w14:textId="77777777" w:rsidR="00187713" w:rsidRPr="00D31EBB" w:rsidRDefault="00187713" w:rsidP="0000712C">
            <w:pPr>
              <w:pStyle w:val="EMEABodyText"/>
              <w:rPr>
                <w:szCs w:val="22"/>
              </w:rPr>
            </w:pPr>
            <w:r>
              <w:t>No significant effect on didanosine and stavudine concentrations was observed.</w:t>
            </w:r>
          </w:p>
        </w:tc>
        <w:tc>
          <w:tcPr>
            <w:tcW w:w="3119" w:type="dxa"/>
            <w:vMerge w:val="restart"/>
          </w:tcPr>
          <w:p w14:paraId="4B8887FF" w14:textId="77777777" w:rsidR="00187713" w:rsidRPr="00D31EBB" w:rsidRDefault="00187713" w:rsidP="0000712C">
            <w:pPr>
              <w:pStyle w:val="EMEABodyText"/>
              <w:rPr>
                <w:szCs w:val="22"/>
              </w:rPr>
            </w:pPr>
            <w:r>
              <w:t>Didanosine should be taken at the fasted state 2 hours after REYATAZ/ritonavir taken with food. The co-administration of REYATAZ/ritonavir with stavudine is not expected to significantly alter the exposure of stavudine.</w:t>
            </w:r>
          </w:p>
        </w:tc>
      </w:tr>
      <w:tr w:rsidR="00187713" w:rsidRPr="00965E20" w14:paraId="2FF96B72" w14:textId="77777777" w:rsidTr="0000712C">
        <w:trPr>
          <w:cantSplit/>
          <w:trHeight w:val="340"/>
        </w:trPr>
        <w:tc>
          <w:tcPr>
            <w:tcW w:w="3095" w:type="dxa"/>
          </w:tcPr>
          <w:p w14:paraId="6586D65E" w14:textId="77777777" w:rsidR="00187713" w:rsidRPr="00D31EBB" w:rsidRDefault="00187713" w:rsidP="0000712C">
            <w:pPr>
              <w:pStyle w:val="EMEABodyText"/>
              <w:rPr>
                <w:szCs w:val="22"/>
              </w:rPr>
            </w:pPr>
            <w:r>
              <w:rPr>
                <w:b/>
                <w:szCs w:val="22"/>
              </w:rPr>
              <w:t>Didanosine (enteric coated capsules) 400 mg single dose</w:t>
            </w:r>
          </w:p>
          <w:p w14:paraId="00DAC1EC" w14:textId="77777777" w:rsidR="00187713" w:rsidRPr="00D31EBB" w:rsidRDefault="00187713" w:rsidP="0000712C">
            <w:pPr>
              <w:pStyle w:val="EMEABodyText"/>
              <w:rPr>
                <w:szCs w:val="22"/>
              </w:rPr>
            </w:pPr>
            <w:r>
              <w:t>(atazanavir 300 mg once daily with ritonavir 100 mg once daily)</w:t>
            </w:r>
          </w:p>
        </w:tc>
        <w:tc>
          <w:tcPr>
            <w:tcW w:w="3676" w:type="dxa"/>
          </w:tcPr>
          <w:p w14:paraId="634E322E" w14:textId="77777777" w:rsidR="00187713" w:rsidRPr="00D31EBB" w:rsidRDefault="00187713" w:rsidP="0000712C">
            <w:pPr>
              <w:pStyle w:val="EMEABodyText"/>
              <w:rPr>
                <w:szCs w:val="22"/>
              </w:rPr>
            </w:pPr>
            <w:r>
              <w:t>Didanosine (with food)</w:t>
            </w:r>
          </w:p>
          <w:p w14:paraId="49E7F870" w14:textId="77777777" w:rsidR="00187713" w:rsidRPr="00D31EBB" w:rsidRDefault="00187713" w:rsidP="0000712C">
            <w:pPr>
              <w:pStyle w:val="EMEABodyText"/>
              <w:rPr>
                <w:szCs w:val="22"/>
              </w:rPr>
            </w:pPr>
            <w:r>
              <w:t>Didanosine AUC ↓34% (↓41% ↓27%)</w:t>
            </w:r>
          </w:p>
          <w:p w14:paraId="6332AAF1" w14:textId="77777777" w:rsidR="00187713" w:rsidRPr="00D31EBB" w:rsidRDefault="00187713" w:rsidP="0000712C">
            <w:pPr>
              <w:pStyle w:val="EMEABodyText"/>
              <w:rPr>
                <w:szCs w:val="22"/>
              </w:rPr>
            </w:pPr>
            <w:r>
              <w:t>Didanosine C</w:t>
            </w:r>
            <w:r>
              <w:rPr>
                <w:szCs w:val="22"/>
                <w:vertAlign w:val="subscript"/>
              </w:rPr>
              <w:t>max</w:t>
            </w:r>
            <w:r>
              <w:t xml:space="preserve"> ↓38% (↓48% ↓26%)</w:t>
            </w:r>
          </w:p>
          <w:p w14:paraId="29D4B99E" w14:textId="77777777" w:rsidR="00187713" w:rsidRPr="00D31EBB" w:rsidRDefault="00187713" w:rsidP="0000712C">
            <w:pPr>
              <w:pStyle w:val="EMEABodyText"/>
              <w:rPr>
                <w:szCs w:val="22"/>
              </w:rPr>
            </w:pPr>
            <w:r>
              <w:t>Didanosine C</w:t>
            </w:r>
            <w:r>
              <w:rPr>
                <w:szCs w:val="22"/>
                <w:vertAlign w:val="subscript"/>
              </w:rPr>
              <w:t>min</w:t>
            </w:r>
            <w:r>
              <w:t xml:space="preserve"> ↑25% (↓8% ↑69%)</w:t>
            </w:r>
          </w:p>
          <w:p w14:paraId="60E1A29C" w14:textId="77777777" w:rsidR="00187713" w:rsidRPr="00D31EBB" w:rsidRDefault="00187713" w:rsidP="0000712C">
            <w:pPr>
              <w:pStyle w:val="EMEABodyText"/>
              <w:rPr>
                <w:szCs w:val="22"/>
                <w:lang w:val="en-US"/>
              </w:rPr>
            </w:pPr>
          </w:p>
          <w:p w14:paraId="4B282E10" w14:textId="77777777" w:rsidR="00187713" w:rsidRPr="00D31EBB" w:rsidRDefault="00187713" w:rsidP="0000712C">
            <w:pPr>
              <w:pStyle w:val="EMEABodyText"/>
              <w:rPr>
                <w:szCs w:val="22"/>
              </w:rPr>
            </w:pPr>
            <w:r>
              <w:t>No significant effect on atazanavir concentrations was observed when administered with enteric-coated didanosine, but administration with food decreased didanosine concentrations.</w:t>
            </w:r>
          </w:p>
        </w:tc>
        <w:tc>
          <w:tcPr>
            <w:tcW w:w="3119" w:type="dxa"/>
            <w:vMerge/>
          </w:tcPr>
          <w:p w14:paraId="5F7BEB29" w14:textId="77777777" w:rsidR="00187713" w:rsidRPr="00D31EBB" w:rsidRDefault="00187713" w:rsidP="0000712C">
            <w:pPr>
              <w:pStyle w:val="EMEABodyText"/>
              <w:rPr>
                <w:szCs w:val="22"/>
                <w:lang w:val="en-US"/>
              </w:rPr>
            </w:pPr>
          </w:p>
        </w:tc>
      </w:tr>
      <w:tr w:rsidR="00187713" w:rsidRPr="00965E20" w14:paraId="2354FE80" w14:textId="77777777" w:rsidTr="0000712C">
        <w:trPr>
          <w:cantSplit/>
          <w:trHeight w:val="340"/>
        </w:trPr>
        <w:tc>
          <w:tcPr>
            <w:tcW w:w="3095" w:type="dxa"/>
          </w:tcPr>
          <w:p w14:paraId="0E9BCF4E" w14:textId="77777777" w:rsidR="00187713" w:rsidRPr="00D31EBB" w:rsidRDefault="00187713" w:rsidP="0000712C">
            <w:pPr>
              <w:pStyle w:val="EMEABodyText"/>
              <w:rPr>
                <w:b/>
                <w:szCs w:val="22"/>
              </w:rPr>
            </w:pPr>
            <w:r>
              <w:rPr>
                <w:b/>
                <w:szCs w:val="22"/>
              </w:rPr>
              <w:t>Tenofovir disoproxil fumarate 300 mg once daily</w:t>
            </w:r>
          </w:p>
          <w:p w14:paraId="0A6CA37A" w14:textId="77777777" w:rsidR="00187713" w:rsidRPr="00D31EBB" w:rsidRDefault="00187713" w:rsidP="0000712C">
            <w:pPr>
              <w:pStyle w:val="EMEABodyText"/>
              <w:rPr>
                <w:szCs w:val="22"/>
              </w:rPr>
            </w:pPr>
            <w:r>
              <w:t>(atazanavir 300 mg once daily with ritonavir 100 mg once daily)</w:t>
            </w:r>
          </w:p>
          <w:p w14:paraId="04C84562" w14:textId="77777777" w:rsidR="00187713" w:rsidRPr="00D31EBB" w:rsidRDefault="00187713" w:rsidP="0000712C">
            <w:pPr>
              <w:pStyle w:val="EMEABodyText"/>
              <w:rPr>
                <w:szCs w:val="22"/>
                <w:lang w:val="en-US"/>
              </w:rPr>
            </w:pPr>
          </w:p>
          <w:p w14:paraId="121A6DB6" w14:textId="77777777" w:rsidR="002B73B9" w:rsidRPr="00D31EBB" w:rsidRDefault="002B73B9" w:rsidP="002B73B9">
            <w:pPr>
              <w:pStyle w:val="EMEABodyText"/>
              <w:rPr>
                <w:szCs w:val="22"/>
              </w:rPr>
            </w:pPr>
            <w:r>
              <w:t xml:space="preserve">300 mg tenofovir disoproxil fumarate is equivalent to </w:t>
            </w:r>
            <w:r>
              <w:br/>
              <w:t>245 mg tenofovir disoproxil.</w:t>
            </w:r>
          </w:p>
          <w:p w14:paraId="1AEF9FEF" w14:textId="77777777" w:rsidR="002B73B9" w:rsidRPr="00D31EBB" w:rsidRDefault="002B73B9" w:rsidP="0000712C">
            <w:pPr>
              <w:pStyle w:val="EMEABodyText"/>
              <w:rPr>
                <w:szCs w:val="22"/>
                <w:lang w:val="en-US"/>
              </w:rPr>
            </w:pPr>
          </w:p>
          <w:p w14:paraId="75D74BDE" w14:textId="77777777" w:rsidR="00187713" w:rsidRPr="00D31EBB" w:rsidRDefault="00187713" w:rsidP="0000712C">
            <w:pPr>
              <w:pStyle w:val="EMEABodyText"/>
              <w:rPr>
                <w:szCs w:val="22"/>
              </w:rPr>
            </w:pPr>
            <w:r>
              <w:t>Studies conducted in HIV-infected patients</w:t>
            </w:r>
          </w:p>
          <w:p w14:paraId="5F867EC1" w14:textId="77777777" w:rsidR="009E0F71" w:rsidRPr="00D31EBB" w:rsidRDefault="009E0F71" w:rsidP="00F62C23">
            <w:pPr>
              <w:pStyle w:val="EMEABodyText"/>
              <w:rPr>
                <w:szCs w:val="22"/>
                <w:lang w:val="en-US"/>
              </w:rPr>
            </w:pPr>
          </w:p>
        </w:tc>
        <w:tc>
          <w:tcPr>
            <w:tcW w:w="3676" w:type="dxa"/>
          </w:tcPr>
          <w:p w14:paraId="45B99CBC" w14:textId="77777777" w:rsidR="00187713" w:rsidRPr="00D31EBB" w:rsidRDefault="00187713" w:rsidP="0000712C">
            <w:pPr>
              <w:pStyle w:val="EMEABodyText"/>
              <w:rPr>
                <w:szCs w:val="22"/>
              </w:rPr>
            </w:pPr>
            <w:r>
              <w:t>Atazanavir AUC ↓22% (↓35% ↓6%) *</w:t>
            </w:r>
          </w:p>
          <w:p w14:paraId="7CBEC457" w14:textId="77777777" w:rsidR="00187713" w:rsidRPr="00D31EBB" w:rsidRDefault="00187713" w:rsidP="0000712C">
            <w:pPr>
              <w:pStyle w:val="EMEABodyText"/>
              <w:rPr>
                <w:szCs w:val="22"/>
              </w:rPr>
            </w:pPr>
            <w:r>
              <w:t>Atazanavir C</w:t>
            </w:r>
            <w:r>
              <w:rPr>
                <w:szCs w:val="22"/>
                <w:vertAlign w:val="subscript"/>
              </w:rPr>
              <w:t>max</w:t>
            </w:r>
            <w:r>
              <w:t xml:space="preserve"> ↓16% (↓30% ↔0%) *</w:t>
            </w:r>
          </w:p>
          <w:p w14:paraId="3D7F3AF6" w14:textId="77777777" w:rsidR="00187713" w:rsidRPr="00D31EBB" w:rsidRDefault="00187713" w:rsidP="0000712C">
            <w:pPr>
              <w:pStyle w:val="EMEABodyText"/>
              <w:rPr>
                <w:szCs w:val="22"/>
              </w:rPr>
            </w:pPr>
            <w:r>
              <w:t>Atazanavir C</w:t>
            </w:r>
            <w:r>
              <w:rPr>
                <w:szCs w:val="22"/>
                <w:vertAlign w:val="subscript"/>
              </w:rPr>
              <w:t>min</w:t>
            </w:r>
            <w:r>
              <w:t xml:space="preserve"> ↓23% (↓43% ↑2%) *</w:t>
            </w:r>
          </w:p>
          <w:p w14:paraId="5505C4DC" w14:textId="77777777" w:rsidR="00187713" w:rsidRPr="00D31EBB" w:rsidRDefault="00187713" w:rsidP="0000712C">
            <w:pPr>
              <w:pStyle w:val="EMEABodyText"/>
              <w:rPr>
                <w:szCs w:val="22"/>
                <w:lang w:val="en-US"/>
              </w:rPr>
            </w:pPr>
          </w:p>
          <w:p w14:paraId="595E0F6D" w14:textId="77777777" w:rsidR="00187713" w:rsidRPr="00D31EBB" w:rsidRDefault="00187713" w:rsidP="0000712C">
            <w:pPr>
              <w:pStyle w:val="EMEABodyText"/>
              <w:rPr>
                <w:szCs w:val="22"/>
              </w:rPr>
            </w:pPr>
            <w:r>
              <w:t>* In a combined analysis from several clinical studies, atazanavir/ritonavir 300/100 mg co-administered with tenofovir disoproxil fumarate 300 mg (n=39) was compared to atazanavir/ritonavir 300/100 mg (n=33).</w:t>
            </w:r>
          </w:p>
          <w:p w14:paraId="0882AAD5" w14:textId="77777777" w:rsidR="00187713" w:rsidRPr="00D31EBB" w:rsidRDefault="00187713" w:rsidP="0000712C">
            <w:pPr>
              <w:pStyle w:val="EMEABodyText"/>
              <w:rPr>
                <w:szCs w:val="22"/>
                <w:lang w:val="en-US"/>
              </w:rPr>
            </w:pPr>
          </w:p>
          <w:p w14:paraId="17E065E1" w14:textId="77777777" w:rsidR="00187713" w:rsidRPr="00D31EBB" w:rsidRDefault="00187713" w:rsidP="00F62C23">
            <w:pPr>
              <w:pStyle w:val="EMEABodyText"/>
              <w:rPr>
                <w:szCs w:val="22"/>
              </w:rPr>
            </w:pPr>
            <w:r>
              <w:t>The efficacy of REYATAZ/ritonavir in combination with tenofovir disoproxil fumarate in treatment-experienced patients has been demonstrated in clinical study 045 and in treatment naive patients in clinical study 138 (see sections 4.8 and 5.1). The mechanism of interaction between atazanavir and tenofovir disoproxil fumarate is unknown.</w:t>
            </w:r>
          </w:p>
        </w:tc>
        <w:tc>
          <w:tcPr>
            <w:tcW w:w="3119" w:type="dxa"/>
          </w:tcPr>
          <w:p w14:paraId="16B11A92" w14:textId="77777777" w:rsidR="00187713" w:rsidRPr="00D31EBB" w:rsidRDefault="00187713" w:rsidP="0000712C">
            <w:pPr>
              <w:pStyle w:val="EMEABodyText"/>
              <w:rPr>
                <w:szCs w:val="22"/>
                <w:lang w:val="en-US"/>
              </w:rPr>
            </w:pPr>
          </w:p>
        </w:tc>
      </w:tr>
      <w:tr w:rsidR="00187713" w:rsidRPr="00965E20" w14:paraId="679C0F65" w14:textId="77777777" w:rsidTr="0000712C">
        <w:trPr>
          <w:cantSplit/>
          <w:trHeight w:val="340"/>
        </w:trPr>
        <w:tc>
          <w:tcPr>
            <w:tcW w:w="3095" w:type="dxa"/>
          </w:tcPr>
          <w:p w14:paraId="0EB43577" w14:textId="77777777" w:rsidR="00187713" w:rsidRPr="00D31EBB" w:rsidRDefault="00187713" w:rsidP="0000712C">
            <w:pPr>
              <w:pStyle w:val="EMEABodyText"/>
              <w:rPr>
                <w:b/>
                <w:szCs w:val="22"/>
              </w:rPr>
            </w:pPr>
            <w:r>
              <w:rPr>
                <w:b/>
                <w:szCs w:val="22"/>
              </w:rPr>
              <w:t>Tenofovir disoproxil fumarate 300 mg once daily</w:t>
            </w:r>
          </w:p>
          <w:p w14:paraId="3273DC37" w14:textId="77777777" w:rsidR="00F62C23" w:rsidRPr="00D31EBB" w:rsidRDefault="00187713" w:rsidP="0000712C">
            <w:pPr>
              <w:pStyle w:val="EMEABodyText"/>
              <w:rPr>
                <w:szCs w:val="22"/>
              </w:rPr>
            </w:pPr>
            <w:r>
              <w:t>(atazanavir 300 mg once daily with ritonavir 100 mg once daily)</w:t>
            </w:r>
          </w:p>
          <w:p w14:paraId="21D3F67C" w14:textId="77777777" w:rsidR="002B73B9" w:rsidRPr="00D31EBB" w:rsidRDefault="002B73B9" w:rsidP="0000712C">
            <w:pPr>
              <w:pStyle w:val="EMEABodyText"/>
              <w:rPr>
                <w:szCs w:val="22"/>
                <w:lang w:val="en-US"/>
              </w:rPr>
            </w:pPr>
          </w:p>
          <w:p w14:paraId="5BA3B7FB" w14:textId="77777777" w:rsidR="002B73B9" w:rsidRPr="004F3582" w:rsidRDefault="002B73B9" w:rsidP="002B73B9">
            <w:pPr>
              <w:pStyle w:val="EMEABodyText"/>
              <w:rPr>
                <w:szCs w:val="22"/>
              </w:rPr>
            </w:pPr>
            <w:r>
              <w:t xml:space="preserve">300 mg tenofovir disoproxil fumarate is equivalent to </w:t>
            </w:r>
            <w:r>
              <w:br/>
              <w:t>245 mg tenofovir disoproxil.</w:t>
            </w:r>
          </w:p>
        </w:tc>
        <w:tc>
          <w:tcPr>
            <w:tcW w:w="3676" w:type="dxa"/>
          </w:tcPr>
          <w:p w14:paraId="32D5F638" w14:textId="77777777" w:rsidR="00187713" w:rsidRPr="00F62C23" w:rsidRDefault="00187713" w:rsidP="0000712C">
            <w:pPr>
              <w:pStyle w:val="EMEABodyText"/>
              <w:rPr>
                <w:szCs w:val="22"/>
              </w:rPr>
            </w:pPr>
            <w:r>
              <w:t>Tenofovir disoproxil fumarate AUC ↑37% (↑30% ↑45%)</w:t>
            </w:r>
          </w:p>
          <w:p w14:paraId="55539A9C" w14:textId="77777777" w:rsidR="00187713" w:rsidRPr="00F62C23" w:rsidRDefault="00187713" w:rsidP="0000712C">
            <w:pPr>
              <w:pStyle w:val="EMEABodyText"/>
              <w:rPr>
                <w:szCs w:val="22"/>
              </w:rPr>
            </w:pPr>
            <w:r>
              <w:t>Tenofovir disoproxil fumarate C</w:t>
            </w:r>
            <w:r>
              <w:rPr>
                <w:szCs w:val="22"/>
                <w:vertAlign w:val="subscript"/>
              </w:rPr>
              <w:t>max</w:t>
            </w:r>
            <w:r>
              <w:t xml:space="preserve"> ↑34% (↑20% ↑51%)</w:t>
            </w:r>
          </w:p>
          <w:p w14:paraId="035F2B77" w14:textId="77777777" w:rsidR="00187713" w:rsidRPr="004F3582" w:rsidRDefault="00187713" w:rsidP="0000712C">
            <w:pPr>
              <w:pStyle w:val="EMEABodyText"/>
              <w:rPr>
                <w:szCs w:val="22"/>
              </w:rPr>
            </w:pPr>
            <w:r>
              <w:t>Tenofovir disoproxil fumarate C</w:t>
            </w:r>
            <w:r>
              <w:rPr>
                <w:szCs w:val="22"/>
                <w:vertAlign w:val="subscript"/>
              </w:rPr>
              <w:t>min</w:t>
            </w:r>
            <w:r>
              <w:t xml:space="preserve"> ↑29% (↑21% ↑36%)</w:t>
            </w:r>
          </w:p>
          <w:p w14:paraId="75133112" w14:textId="77777777" w:rsidR="00187713" w:rsidRPr="004F3582" w:rsidRDefault="00187713" w:rsidP="0000712C">
            <w:pPr>
              <w:pStyle w:val="EMEABodyText"/>
              <w:rPr>
                <w:szCs w:val="22"/>
              </w:rPr>
            </w:pPr>
          </w:p>
        </w:tc>
        <w:tc>
          <w:tcPr>
            <w:tcW w:w="3119" w:type="dxa"/>
          </w:tcPr>
          <w:p w14:paraId="7C4E6C42" w14:textId="77777777" w:rsidR="00187713" w:rsidRPr="00D31EBB" w:rsidRDefault="00187713" w:rsidP="003228A9">
            <w:pPr>
              <w:pStyle w:val="EMEABodyText"/>
              <w:rPr>
                <w:szCs w:val="22"/>
              </w:rPr>
            </w:pPr>
            <w:r>
              <w:t>Patients should be closely monitored for tenofovir disoproxil-associated adverse reactions, including renal disorders.</w:t>
            </w:r>
          </w:p>
        </w:tc>
      </w:tr>
      <w:tr w:rsidR="00187713" w:rsidRPr="004F3582" w14:paraId="5DE3FF5A" w14:textId="77777777" w:rsidTr="0000712C">
        <w:trPr>
          <w:cantSplit/>
          <w:trHeight w:val="340"/>
        </w:trPr>
        <w:tc>
          <w:tcPr>
            <w:tcW w:w="9890" w:type="dxa"/>
            <w:gridSpan w:val="3"/>
          </w:tcPr>
          <w:p w14:paraId="6907736D" w14:textId="77777777" w:rsidR="00187713" w:rsidRPr="004F3582" w:rsidRDefault="00187713" w:rsidP="0000712C">
            <w:pPr>
              <w:pStyle w:val="EMEABodyText"/>
              <w:rPr>
                <w:i/>
                <w:szCs w:val="22"/>
              </w:rPr>
            </w:pPr>
            <w:r>
              <w:rPr>
                <w:i/>
                <w:szCs w:val="22"/>
              </w:rPr>
              <w:t>Non-nucleoside reverse transcriptase inhibitors (NNRTIs)</w:t>
            </w:r>
          </w:p>
        </w:tc>
      </w:tr>
      <w:tr w:rsidR="00187713" w:rsidRPr="00965E20" w14:paraId="3EBC2213" w14:textId="77777777" w:rsidTr="0000712C">
        <w:trPr>
          <w:cantSplit/>
          <w:trHeight w:val="340"/>
        </w:trPr>
        <w:tc>
          <w:tcPr>
            <w:tcW w:w="3095" w:type="dxa"/>
          </w:tcPr>
          <w:p w14:paraId="0EC808F9" w14:textId="77777777" w:rsidR="00187713" w:rsidRPr="00D31EBB" w:rsidRDefault="00187713" w:rsidP="0000712C">
            <w:pPr>
              <w:pStyle w:val="EMEABodyText"/>
              <w:rPr>
                <w:b/>
                <w:szCs w:val="22"/>
              </w:rPr>
            </w:pPr>
            <w:r>
              <w:rPr>
                <w:b/>
                <w:szCs w:val="22"/>
              </w:rPr>
              <w:t>Efavirenz 600 mg once daily</w:t>
            </w:r>
          </w:p>
          <w:p w14:paraId="2B0CF3CD" w14:textId="77777777" w:rsidR="00187713" w:rsidRPr="00D31EBB" w:rsidRDefault="00187713" w:rsidP="00F62C23">
            <w:pPr>
              <w:pStyle w:val="EMEABodyText"/>
              <w:rPr>
                <w:szCs w:val="22"/>
              </w:rPr>
            </w:pPr>
            <w:r>
              <w:t>(atazanavir 400 mg once daily with ritonavir 100 mg once daily)</w:t>
            </w:r>
          </w:p>
          <w:p w14:paraId="2AF1D3EB" w14:textId="77777777" w:rsidR="00187713" w:rsidRPr="00D31EBB" w:rsidRDefault="00187713" w:rsidP="0000712C">
            <w:pPr>
              <w:pStyle w:val="EMEABodyText"/>
              <w:rPr>
                <w:szCs w:val="22"/>
                <w:lang w:val="en-US"/>
              </w:rPr>
            </w:pPr>
          </w:p>
        </w:tc>
        <w:tc>
          <w:tcPr>
            <w:tcW w:w="3676" w:type="dxa"/>
          </w:tcPr>
          <w:p w14:paraId="1A5BAD0C" w14:textId="77777777" w:rsidR="00187713" w:rsidRPr="00D31EBB" w:rsidRDefault="00187713" w:rsidP="0000712C">
            <w:pPr>
              <w:pStyle w:val="EMEABodyText"/>
              <w:rPr>
                <w:szCs w:val="22"/>
              </w:rPr>
            </w:pPr>
            <w:r>
              <w:t>Atazanavir (pm): all administered with food</w:t>
            </w:r>
          </w:p>
          <w:p w14:paraId="4A0A748F" w14:textId="77777777" w:rsidR="00187713" w:rsidRPr="00D31EBB" w:rsidRDefault="00187713" w:rsidP="0000712C">
            <w:pPr>
              <w:pStyle w:val="EMEABodyText"/>
              <w:rPr>
                <w:szCs w:val="22"/>
              </w:rPr>
            </w:pPr>
            <w:r>
              <w:t>Atazanavir AUC ↔0%(↓9% ↑10%)*</w:t>
            </w:r>
          </w:p>
          <w:p w14:paraId="0E266B91" w14:textId="77777777" w:rsidR="00187713" w:rsidRPr="00D31EBB" w:rsidRDefault="00187713" w:rsidP="0000712C">
            <w:pPr>
              <w:pStyle w:val="EMEABodyText"/>
              <w:rPr>
                <w:szCs w:val="22"/>
              </w:rPr>
            </w:pPr>
            <w:r>
              <w:t>Atazanavir C</w:t>
            </w:r>
            <w:r>
              <w:rPr>
                <w:szCs w:val="22"/>
                <w:vertAlign w:val="subscript"/>
              </w:rPr>
              <w:t>max</w:t>
            </w:r>
            <w:r>
              <w:t xml:space="preserve"> ↑17%(↑8% ↑27%)*</w:t>
            </w:r>
          </w:p>
          <w:p w14:paraId="72F95671" w14:textId="77777777" w:rsidR="00187713" w:rsidRPr="00D31EBB" w:rsidRDefault="00187713" w:rsidP="0000712C">
            <w:pPr>
              <w:pStyle w:val="EMEABodyText"/>
              <w:rPr>
                <w:szCs w:val="22"/>
              </w:rPr>
            </w:pPr>
            <w:r>
              <w:t>Atazanavir C</w:t>
            </w:r>
            <w:r>
              <w:rPr>
                <w:szCs w:val="22"/>
                <w:vertAlign w:val="subscript"/>
              </w:rPr>
              <w:t>min</w:t>
            </w:r>
            <w:r>
              <w:t xml:space="preserve"> ↓42%(↓51% ↓31%)*</w:t>
            </w:r>
          </w:p>
          <w:p w14:paraId="627612CD" w14:textId="77777777" w:rsidR="00187713" w:rsidRPr="002E2C1C" w:rsidRDefault="00187713" w:rsidP="0000712C">
            <w:pPr>
              <w:pStyle w:val="EMEABodyText"/>
              <w:rPr>
                <w:szCs w:val="22"/>
              </w:rPr>
            </w:pPr>
          </w:p>
        </w:tc>
        <w:tc>
          <w:tcPr>
            <w:tcW w:w="3119" w:type="dxa"/>
            <w:vMerge w:val="restart"/>
          </w:tcPr>
          <w:p w14:paraId="66BC3616" w14:textId="77777777" w:rsidR="00187713" w:rsidRPr="00D31EBB" w:rsidRDefault="00187713" w:rsidP="0000712C">
            <w:pPr>
              <w:pStyle w:val="EMEABodyText"/>
              <w:rPr>
                <w:szCs w:val="22"/>
              </w:rPr>
            </w:pPr>
            <w:r>
              <w:t>Co-administration of efavirenz with REYATAZ/ritonavir is not recommended (see section 4.4)</w:t>
            </w:r>
          </w:p>
          <w:p w14:paraId="5D73CE3F" w14:textId="77777777" w:rsidR="00187713" w:rsidRPr="00D31EBB" w:rsidRDefault="00187713" w:rsidP="0000712C">
            <w:pPr>
              <w:pStyle w:val="EMEABodyText"/>
              <w:rPr>
                <w:szCs w:val="22"/>
                <w:lang w:val="en-US"/>
              </w:rPr>
            </w:pPr>
          </w:p>
        </w:tc>
      </w:tr>
      <w:tr w:rsidR="00187713" w:rsidRPr="00965E20" w14:paraId="194FCA25" w14:textId="77777777" w:rsidTr="0000712C">
        <w:trPr>
          <w:cantSplit/>
          <w:trHeight w:val="340"/>
        </w:trPr>
        <w:tc>
          <w:tcPr>
            <w:tcW w:w="3095" w:type="dxa"/>
          </w:tcPr>
          <w:p w14:paraId="52740EEA" w14:textId="77777777" w:rsidR="00187713" w:rsidRPr="00D31EBB" w:rsidRDefault="00187713" w:rsidP="0000712C">
            <w:pPr>
              <w:pStyle w:val="EMEABodyText"/>
              <w:rPr>
                <w:b/>
                <w:szCs w:val="22"/>
              </w:rPr>
            </w:pPr>
            <w:r>
              <w:rPr>
                <w:b/>
                <w:szCs w:val="22"/>
              </w:rPr>
              <w:t>Efavirenz 600 mg once daily</w:t>
            </w:r>
          </w:p>
          <w:p w14:paraId="496D02F2" w14:textId="77777777" w:rsidR="00187713" w:rsidRPr="00D31EBB" w:rsidRDefault="00187713" w:rsidP="0000712C">
            <w:pPr>
              <w:pStyle w:val="EMEABodyText"/>
              <w:rPr>
                <w:szCs w:val="22"/>
              </w:rPr>
            </w:pPr>
            <w:r>
              <w:t>(atazanavir 400 mg once daily with ritonavir 200 mg once daily)</w:t>
            </w:r>
          </w:p>
        </w:tc>
        <w:tc>
          <w:tcPr>
            <w:tcW w:w="3676" w:type="dxa"/>
          </w:tcPr>
          <w:p w14:paraId="7616D2E1" w14:textId="77777777" w:rsidR="00187713" w:rsidRPr="00D31EBB" w:rsidRDefault="00187713" w:rsidP="0000712C">
            <w:pPr>
              <w:pStyle w:val="EMEABodyText"/>
              <w:rPr>
                <w:szCs w:val="22"/>
              </w:rPr>
            </w:pPr>
            <w:r>
              <w:t>Atazanavir (pm): all administered with food</w:t>
            </w:r>
          </w:p>
          <w:p w14:paraId="64A50130" w14:textId="77777777" w:rsidR="00187713" w:rsidRPr="00D31EBB" w:rsidRDefault="00187713" w:rsidP="0000712C">
            <w:pPr>
              <w:pStyle w:val="EMEABodyText"/>
              <w:rPr>
                <w:szCs w:val="22"/>
              </w:rPr>
            </w:pPr>
            <w:r>
              <w:t>Atazanavir AUC ↔6% (↓10% ↑26%) */**</w:t>
            </w:r>
          </w:p>
          <w:p w14:paraId="292B8D98" w14:textId="77777777" w:rsidR="00187713" w:rsidRPr="00D31EBB" w:rsidRDefault="00187713" w:rsidP="0000712C">
            <w:pPr>
              <w:pStyle w:val="EMEABodyText"/>
              <w:rPr>
                <w:szCs w:val="22"/>
              </w:rPr>
            </w:pPr>
            <w:r>
              <w:t>Atazanavir C</w:t>
            </w:r>
            <w:r>
              <w:rPr>
                <w:szCs w:val="22"/>
                <w:vertAlign w:val="subscript"/>
              </w:rPr>
              <w:t>max</w:t>
            </w:r>
            <w:r>
              <w:t xml:space="preserve"> ↔9% (↓5% ↑26%) */**</w:t>
            </w:r>
          </w:p>
          <w:p w14:paraId="06E3BD10" w14:textId="77777777" w:rsidR="00187713" w:rsidRPr="00D31EBB" w:rsidRDefault="00187713" w:rsidP="0000712C">
            <w:pPr>
              <w:pStyle w:val="EMEABodyText"/>
              <w:rPr>
                <w:szCs w:val="22"/>
              </w:rPr>
            </w:pPr>
            <w:r>
              <w:t>Atazanavir C</w:t>
            </w:r>
            <w:r>
              <w:rPr>
                <w:szCs w:val="22"/>
                <w:vertAlign w:val="subscript"/>
              </w:rPr>
              <w:t>min</w:t>
            </w:r>
            <w:r>
              <w:t xml:space="preserve"> ↔12% (↓16% ↑49%) */**</w:t>
            </w:r>
          </w:p>
          <w:p w14:paraId="69D8D52B" w14:textId="77777777" w:rsidR="00187713" w:rsidRPr="00D31EBB" w:rsidRDefault="00187713" w:rsidP="0000712C">
            <w:pPr>
              <w:pStyle w:val="EMEABodyText"/>
              <w:rPr>
                <w:szCs w:val="22"/>
              </w:rPr>
            </w:pPr>
            <w:r>
              <w:t>* When compared to REYATAZ 300 mg/ritonavir 100 mg once daily in the evening without efavirenz. This decrease in atazanavir C</w:t>
            </w:r>
            <w:r>
              <w:rPr>
                <w:szCs w:val="22"/>
                <w:vertAlign w:val="subscript"/>
              </w:rPr>
              <w:t>min</w:t>
            </w:r>
            <w:r>
              <w:t>, might negatively impact the efficacy of atazanavir. The mechanism of efavirenz/atazanavir interaction is CYP3A4 induction.</w:t>
            </w:r>
          </w:p>
          <w:p w14:paraId="3E76C1F7" w14:textId="77777777" w:rsidR="00187713" w:rsidRPr="00D31EBB" w:rsidRDefault="00187713" w:rsidP="0000712C">
            <w:pPr>
              <w:pStyle w:val="EMEABodyText"/>
              <w:rPr>
                <w:szCs w:val="22"/>
              </w:rPr>
            </w:pPr>
            <w:r>
              <w:t>** Based on historical comparison.</w:t>
            </w:r>
          </w:p>
        </w:tc>
        <w:tc>
          <w:tcPr>
            <w:tcW w:w="3119" w:type="dxa"/>
            <w:vMerge/>
          </w:tcPr>
          <w:p w14:paraId="6CFBF76C" w14:textId="77777777" w:rsidR="00187713" w:rsidRPr="00D31EBB" w:rsidRDefault="00187713" w:rsidP="0000712C">
            <w:pPr>
              <w:pStyle w:val="EMEABodyText"/>
              <w:rPr>
                <w:szCs w:val="22"/>
                <w:lang w:val="en-US"/>
              </w:rPr>
            </w:pPr>
          </w:p>
        </w:tc>
      </w:tr>
      <w:tr w:rsidR="00187713" w:rsidRPr="00965E20" w14:paraId="27413CED" w14:textId="77777777" w:rsidTr="0000712C">
        <w:trPr>
          <w:cantSplit/>
          <w:trHeight w:val="340"/>
        </w:trPr>
        <w:tc>
          <w:tcPr>
            <w:tcW w:w="3095" w:type="dxa"/>
          </w:tcPr>
          <w:p w14:paraId="250AB41A" w14:textId="77777777" w:rsidR="00187713" w:rsidRPr="00D31EBB" w:rsidRDefault="00187713" w:rsidP="0000712C">
            <w:pPr>
              <w:pStyle w:val="EMEABodyText"/>
              <w:rPr>
                <w:b/>
                <w:szCs w:val="22"/>
              </w:rPr>
            </w:pPr>
            <w:r>
              <w:rPr>
                <w:b/>
                <w:szCs w:val="22"/>
              </w:rPr>
              <w:t>Nevirapine 200 mg twice daily</w:t>
            </w:r>
          </w:p>
          <w:p w14:paraId="26AC07F0" w14:textId="77777777" w:rsidR="00187713" w:rsidRPr="00D31EBB" w:rsidRDefault="00187713" w:rsidP="0000712C">
            <w:pPr>
              <w:pStyle w:val="EMEABodyText"/>
              <w:rPr>
                <w:szCs w:val="22"/>
              </w:rPr>
            </w:pPr>
            <w:r>
              <w:t>(atazanavir 400 mg once daily with ritonavir 100 mg once daily)</w:t>
            </w:r>
          </w:p>
          <w:p w14:paraId="30B94866" w14:textId="77777777" w:rsidR="00187713" w:rsidRPr="00D31EBB" w:rsidRDefault="00187713" w:rsidP="0000712C">
            <w:pPr>
              <w:pStyle w:val="EMEABodyText"/>
              <w:rPr>
                <w:szCs w:val="22"/>
                <w:lang w:val="en-US"/>
              </w:rPr>
            </w:pPr>
          </w:p>
          <w:p w14:paraId="4F1B2C19" w14:textId="77777777" w:rsidR="00187713" w:rsidRPr="00D31EBB" w:rsidRDefault="00187713" w:rsidP="0000712C">
            <w:pPr>
              <w:pStyle w:val="EMEABodyText"/>
              <w:rPr>
                <w:szCs w:val="22"/>
              </w:rPr>
            </w:pPr>
            <w:r>
              <w:t>Study conducted in HIV infected patients</w:t>
            </w:r>
          </w:p>
          <w:p w14:paraId="60779A04" w14:textId="77777777" w:rsidR="00187713" w:rsidRPr="00D31EBB" w:rsidRDefault="00187713" w:rsidP="0000712C">
            <w:pPr>
              <w:pStyle w:val="EMEABodyText"/>
              <w:rPr>
                <w:szCs w:val="22"/>
                <w:lang w:val="en-US"/>
              </w:rPr>
            </w:pPr>
          </w:p>
        </w:tc>
        <w:tc>
          <w:tcPr>
            <w:tcW w:w="3676" w:type="dxa"/>
          </w:tcPr>
          <w:p w14:paraId="675C6A9C" w14:textId="77777777" w:rsidR="00187713" w:rsidRPr="00D31EBB" w:rsidRDefault="00187713" w:rsidP="0000712C">
            <w:pPr>
              <w:pStyle w:val="EMEABodyText"/>
              <w:rPr>
                <w:szCs w:val="22"/>
              </w:rPr>
            </w:pPr>
            <w:r>
              <w:t>Nevirapine AUC ↑26% (↑17% ↑36%)</w:t>
            </w:r>
          </w:p>
          <w:p w14:paraId="5F72D6BC" w14:textId="77777777" w:rsidR="00187713" w:rsidRPr="00D31EBB" w:rsidRDefault="00187713" w:rsidP="0000712C">
            <w:pPr>
              <w:pStyle w:val="EMEABodyText"/>
              <w:rPr>
                <w:szCs w:val="22"/>
              </w:rPr>
            </w:pPr>
            <w:r>
              <w:t>Nevirapine C</w:t>
            </w:r>
            <w:r>
              <w:rPr>
                <w:szCs w:val="22"/>
                <w:vertAlign w:val="subscript"/>
              </w:rPr>
              <w:t>max</w:t>
            </w:r>
            <w:r>
              <w:t xml:space="preserve"> ↑21% (↑11% ↑32%)</w:t>
            </w:r>
          </w:p>
          <w:p w14:paraId="53A4D1FF" w14:textId="77777777" w:rsidR="00187713" w:rsidRPr="00D31EBB" w:rsidRDefault="00187713" w:rsidP="0000712C">
            <w:pPr>
              <w:pStyle w:val="EMEABodyText"/>
              <w:rPr>
                <w:szCs w:val="22"/>
              </w:rPr>
            </w:pPr>
            <w:r>
              <w:t>Nevirapine C</w:t>
            </w:r>
            <w:r>
              <w:rPr>
                <w:szCs w:val="22"/>
                <w:vertAlign w:val="subscript"/>
              </w:rPr>
              <w:t>min</w:t>
            </w:r>
            <w:r>
              <w:t xml:space="preserve"> ↑35% (↑25% ↑47%)</w:t>
            </w:r>
          </w:p>
          <w:p w14:paraId="75190C75" w14:textId="77777777" w:rsidR="00187713" w:rsidRPr="00D31EBB" w:rsidRDefault="00187713" w:rsidP="0000712C">
            <w:pPr>
              <w:pStyle w:val="EMEABodyText"/>
              <w:rPr>
                <w:szCs w:val="22"/>
                <w:lang w:val="en-US"/>
              </w:rPr>
            </w:pPr>
          </w:p>
          <w:p w14:paraId="5CFFE920" w14:textId="77777777" w:rsidR="00187713" w:rsidRPr="00D31EBB" w:rsidRDefault="00187713" w:rsidP="0000712C">
            <w:pPr>
              <w:pStyle w:val="EMEABodyText"/>
              <w:rPr>
                <w:szCs w:val="22"/>
              </w:rPr>
            </w:pPr>
            <w:r>
              <w:t>Atazanavir AUC ↓19% (↓35% ↑2%) *</w:t>
            </w:r>
          </w:p>
          <w:p w14:paraId="609F5DF2" w14:textId="77777777" w:rsidR="00187713" w:rsidRPr="00D31EBB" w:rsidRDefault="00187713" w:rsidP="0000712C">
            <w:pPr>
              <w:pStyle w:val="EMEABodyText"/>
              <w:rPr>
                <w:szCs w:val="22"/>
              </w:rPr>
            </w:pPr>
            <w:r>
              <w:t>Atazanavir C</w:t>
            </w:r>
            <w:r>
              <w:rPr>
                <w:szCs w:val="22"/>
                <w:vertAlign w:val="subscript"/>
              </w:rPr>
              <w:t>max</w:t>
            </w:r>
            <w:r>
              <w:t xml:space="preserve"> ↔2% (↓15% ↑24%) *</w:t>
            </w:r>
          </w:p>
          <w:p w14:paraId="5CE3E747" w14:textId="77777777" w:rsidR="00187713" w:rsidRPr="00D31EBB" w:rsidRDefault="00187713" w:rsidP="0000712C">
            <w:pPr>
              <w:pStyle w:val="EMEABodyText"/>
              <w:rPr>
                <w:szCs w:val="22"/>
              </w:rPr>
            </w:pPr>
            <w:r>
              <w:t>Atazanavir C</w:t>
            </w:r>
            <w:r>
              <w:rPr>
                <w:szCs w:val="22"/>
                <w:vertAlign w:val="subscript"/>
              </w:rPr>
              <w:t>min</w:t>
            </w:r>
            <w:r>
              <w:t xml:space="preserve"> ↓59% (↓73% ↓40%) *</w:t>
            </w:r>
          </w:p>
          <w:p w14:paraId="2E2C6AE2" w14:textId="77777777" w:rsidR="00187713" w:rsidRPr="00D31EBB" w:rsidRDefault="00187713" w:rsidP="0000712C">
            <w:pPr>
              <w:pStyle w:val="EMEABodyText"/>
              <w:rPr>
                <w:szCs w:val="22"/>
                <w:lang w:val="en-US"/>
              </w:rPr>
            </w:pPr>
          </w:p>
          <w:p w14:paraId="790D1CA4" w14:textId="77777777" w:rsidR="00187713" w:rsidRPr="004F3582" w:rsidRDefault="00187713" w:rsidP="0000712C">
            <w:pPr>
              <w:pStyle w:val="EMEABodyText"/>
              <w:rPr>
                <w:szCs w:val="22"/>
              </w:rPr>
            </w:pPr>
            <w:r>
              <w:t>* When compared to REYATAZ 300 mg and ritonavir 100 mg without nevirapine. This decrease in atazanavir C</w:t>
            </w:r>
            <w:r>
              <w:rPr>
                <w:szCs w:val="22"/>
                <w:vertAlign w:val="subscript"/>
              </w:rPr>
              <w:t>min</w:t>
            </w:r>
            <w:r>
              <w:t>, might negatively impact the efficacy of atazanavir. The mechanism of nevirapine/atazanavir interaction is CYP3A4 induction.</w:t>
            </w:r>
          </w:p>
        </w:tc>
        <w:tc>
          <w:tcPr>
            <w:tcW w:w="3119" w:type="dxa"/>
          </w:tcPr>
          <w:p w14:paraId="0710B6CB" w14:textId="77777777" w:rsidR="00187713" w:rsidRPr="00D31EBB" w:rsidRDefault="00187713" w:rsidP="0000712C">
            <w:pPr>
              <w:pStyle w:val="EMEABodyText"/>
              <w:rPr>
                <w:szCs w:val="22"/>
              </w:rPr>
            </w:pPr>
            <w:r>
              <w:t>Co-administration of nevirapine with REYATAZ/ritonavir is not recommended (see section 4.4)</w:t>
            </w:r>
          </w:p>
        </w:tc>
      </w:tr>
      <w:tr w:rsidR="00187713" w:rsidRPr="004F3582" w14:paraId="63AE0C10" w14:textId="77777777" w:rsidTr="0000712C">
        <w:trPr>
          <w:cantSplit/>
          <w:trHeight w:val="340"/>
        </w:trPr>
        <w:tc>
          <w:tcPr>
            <w:tcW w:w="9890" w:type="dxa"/>
            <w:gridSpan w:val="3"/>
          </w:tcPr>
          <w:p w14:paraId="0CCB05E6" w14:textId="77777777" w:rsidR="00187713" w:rsidRPr="004F3582" w:rsidRDefault="00187713" w:rsidP="0000712C">
            <w:pPr>
              <w:pStyle w:val="EMEABodyText"/>
              <w:rPr>
                <w:i/>
                <w:szCs w:val="22"/>
              </w:rPr>
            </w:pPr>
            <w:r>
              <w:rPr>
                <w:i/>
                <w:szCs w:val="22"/>
              </w:rPr>
              <w:t>Integrase Inhibitors</w:t>
            </w:r>
          </w:p>
        </w:tc>
      </w:tr>
      <w:tr w:rsidR="00187713" w:rsidRPr="00965E20" w14:paraId="54989822" w14:textId="77777777" w:rsidTr="0000712C">
        <w:trPr>
          <w:cantSplit/>
          <w:trHeight w:val="340"/>
        </w:trPr>
        <w:tc>
          <w:tcPr>
            <w:tcW w:w="3095" w:type="dxa"/>
          </w:tcPr>
          <w:p w14:paraId="2711B4E7" w14:textId="77777777" w:rsidR="00187713" w:rsidRPr="00D31EBB" w:rsidRDefault="00187713" w:rsidP="0000712C">
            <w:pPr>
              <w:pStyle w:val="EMEABodyText"/>
              <w:rPr>
                <w:b/>
                <w:szCs w:val="22"/>
              </w:rPr>
            </w:pPr>
            <w:r>
              <w:rPr>
                <w:b/>
                <w:szCs w:val="22"/>
              </w:rPr>
              <w:t>Raltegravir 400 mg twice daily</w:t>
            </w:r>
          </w:p>
          <w:p w14:paraId="6D55DBC1" w14:textId="77777777" w:rsidR="00187713" w:rsidRPr="00D31EBB" w:rsidRDefault="00187713" w:rsidP="0000712C">
            <w:pPr>
              <w:pStyle w:val="EMEABodyText"/>
              <w:rPr>
                <w:szCs w:val="22"/>
              </w:rPr>
            </w:pPr>
            <w:r>
              <w:t>(atazanavir/ritonavir)</w:t>
            </w:r>
          </w:p>
        </w:tc>
        <w:tc>
          <w:tcPr>
            <w:tcW w:w="3676" w:type="dxa"/>
          </w:tcPr>
          <w:p w14:paraId="11DC7327" w14:textId="77777777" w:rsidR="00187713" w:rsidRPr="00D31EBB" w:rsidRDefault="00187713" w:rsidP="0000712C">
            <w:pPr>
              <w:pStyle w:val="EMEABodyText"/>
              <w:rPr>
                <w:szCs w:val="22"/>
              </w:rPr>
            </w:pPr>
            <w:r>
              <w:t>Raltegravir AUC↑ 41%</w:t>
            </w:r>
          </w:p>
          <w:p w14:paraId="513A5258" w14:textId="77777777" w:rsidR="00187713" w:rsidRPr="00D31EBB" w:rsidRDefault="00187713" w:rsidP="0000712C">
            <w:pPr>
              <w:pStyle w:val="EMEABodyText"/>
              <w:rPr>
                <w:szCs w:val="22"/>
              </w:rPr>
            </w:pPr>
            <w:r>
              <w:t>Raltegravir C</w:t>
            </w:r>
            <w:r>
              <w:rPr>
                <w:szCs w:val="22"/>
                <w:vertAlign w:val="subscript"/>
              </w:rPr>
              <w:t>max</w:t>
            </w:r>
            <w:r>
              <w:t>↑ 24%</w:t>
            </w:r>
          </w:p>
          <w:p w14:paraId="4575D621" w14:textId="77777777" w:rsidR="00187713" w:rsidRPr="00D31EBB" w:rsidRDefault="00187713" w:rsidP="0000712C">
            <w:pPr>
              <w:pStyle w:val="EMEABodyText"/>
              <w:rPr>
                <w:szCs w:val="22"/>
              </w:rPr>
            </w:pPr>
            <w:r>
              <w:t>Raltegravir C</w:t>
            </w:r>
            <w:r>
              <w:rPr>
                <w:szCs w:val="22"/>
                <w:vertAlign w:val="subscript"/>
              </w:rPr>
              <w:t>12hr</w:t>
            </w:r>
            <w:r>
              <w:t>↑ 77%</w:t>
            </w:r>
          </w:p>
          <w:p w14:paraId="54A499DC" w14:textId="77777777" w:rsidR="00187713" w:rsidRPr="005C4B2B" w:rsidRDefault="00187713" w:rsidP="0000712C">
            <w:pPr>
              <w:pStyle w:val="EMEABodyText"/>
              <w:rPr>
                <w:szCs w:val="22"/>
                <w:lang w:val="es-ES"/>
              </w:rPr>
            </w:pPr>
          </w:p>
          <w:p w14:paraId="49AF8003" w14:textId="77777777" w:rsidR="00187713" w:rsidRPr="00D31EBB" w:rsidRDefault="00187713" w:rsidP="0000712C">
            <w:pPr>
              <w:pStyle w:val="EMEABodyText"/>
              <w:rPr>
                <w:szCs w:val="22"/>
              </w:rPr>
            </w:pPr>
            <w:r>
              <w:t>The mechanism is UGT1A1 inhibition.</w:t>
            </w:r>
          </w:p>
        </w:tc>
        <w:tc>
          <w:tcPr>
            <w:tcW w:w="3119" w:type="dxa"/>
          </w:tcPr>
          <w:p w14:paraId="6CCECCED" w14:textId="77777777" w:rsidR="00187713" w:rsidRPr="00D31EBB" w:rsidRDefault="00187713" w:rsidP="00A34CCE">
            <w:pPr>
              <w:pStyle w:val="EMEABodyText"/>
              <w:rPr>
                <w:szCs w:val="22"/>
              </w:rPr>
            </w:pPr>
            <w:r>
              <w:t>No dose adjustment required for raltegravir.</w:t>
            </w:r>
          </w:p>
        </w:tc>
      </w:tr>
      <w:tr w:rsidR="00187713" w:rsidRPr="004F3582" w14:paraId="1680EBFE" w14:textId="77777777" w:rsidTr="0000712C">
        <w:trPr>
          <w:cantSplit/>
          <w:trHeight w:val="340"/>
        </w:trPr>
        <w:tc>
          <w:tcPr>
            <w:tcW w:w="9890" w:type="dxa"/>
            <w:gridSpan w:val="3"/>
          </w:tcPr>
          <w:p w14:paraId="7D1129E3" w14:textId="77777777" w:rsidR="00187713" w:rsidRPr="004F3582" w:rsidRDefault="00187713" w:rsidP="0000712C">
            <w:pPr>
              <w:pStyle w:val="EMEABodyText"/>
              <w:rPr>
                <w:i/>
                <w:szCs w:val="22"/>
              </w:rPr>
            </w:pPr>
            <w:r>
              <w:rPr>
                <w:i/>
                <w:szCs w:val="22"/>
              </w:rPr>
              <w:t>HCV Protease Inhibitors</w:t>
            </w:r>
          </w:p>
        </w:tc>
      </w:tr>
      <w:tr w:rsidR="00187713" w:rsidRPr="00965E20" w14:paraId="3CFDE324" w14:textId="77777777" w:rsidTr="0000712C">
        <w:trPr>
          <w:cantSplit/>
          <w:trHeight w:val="340"/>
        </w:trPr>
        <w:tc>
          <w:tcPr>
            <w:tcW w:w="3095" w:type="dxa"/>
          </w:tcPr>
          <w:p w14:paraId="6AEA32EE" w14:textId="77777777" w:rsidR="00187713" w:rsidRPr="00D31EBB" w:rsidRDefault="00187713" w:rsidP="0000712C">
            <w:pPr>
              <w:pStyle w:val="EMEABodyText"/>
              <w:rPr>
                <w:b/>
                <w:szCs w:val="22"/>
              </w:rPr>
            </w:pPr>
            <w:r>
              <w:rPr>
                <w:b/>
                <w:szCs w:val="22"/>
              </w:rPr>
              <w:t>Boceprevir 800 mg three times daily</w:t>
            </w:r>
          </w:p>
          <w:p w14:paraId="35B0D57D" w14:textId="77777777" w:rsidR="00187713" w:rsidRPr="00D31EBB" w:rsidRDefault="00187713" w:rsidP="0000712C">
            <w:pPr>
              <w:pStyle w:val="EMEABodyText"/>
              <w:rPr>
                <w:szCs w:val="22"/>
              </w:rPr>
            </w:pPr>
            <w:r>
              <w:t>(atazanavir 300 mg/ritonavir 100 mg once daily)</w:t>
            </w:r>
          </w:p>
        </w:tc>
        <w:tc>
          <w:tcPr>
            <w:tcW w:w="3676" w:type="dxa"/>
          </w:tcPr>
          <w:p w14:paraId="5BFAEE28" w14:textId="77777777" w:rsidR="00187713" w:rsidRPr="00D31EBB" w:rsidRDefault="00187713" w:rsidP="0000712C">
            <w:pPr>
              <w:pStyle w:val="Default"/>
              <w:rPr>
                <w:sz w:val="22"/>
                <w:szCs w:val="22"/>
              </w:rPr>
            </w:pPr>
            <w:r>
              <w:rPr>
                <w:sz w:val="22"/>
                <w:szCs w:val="22"/>
              </w:rPr>
              <w:t>boceprevir AUC ↔5%</w:t>
            </w:r>
          </w:p>
          <w:p w14:paraId="448F54E4" w14:textId="77777777" w:rsidR="00187713" w:rsidRPr="00D31EBB" w:rsidRDefault="00187713" w:rsidP="0000712C">
            <w:pPr>
              <w:pStyle w:val="Default"/>
              <w:rPr>
                <w:sz w:val="22"/>
                <w:szCs w:val="22"/>
              </w:rPr>
            </w:pPr>
            <w:r>
              <w:rPr>
                <w:sz w:val="22"/>
                <w:szCs w:val="22"/>
              </w:rPr>
              <w:t>boceprevir C</w:t>
            </w:r>
            <w:r>
              <w:rPr>
                <w:sz w:val="22"/>
                <w:szCs w:val="22"/>
                <w:vertAlign w:val="subscript"/>
              </w:rPr>
              <w:t>max</w:t>
            </w:r>
            <w:r>
              <w:rPr>
                <w:sz w:val="22"/>
                <w:szCs w:val="22"/>
              </w:rPr>
              <w:t xml:space="preserve"> ↔7%</w:t>
            </w:r>
          </w:p>
          <w:p w14:paraId="49B878EF" w14:textId="77777777" w:rsidR="00187713" w:rsidRPr="00D31EBB" w:rsidRDefault="00187713" w:rsidP="0000712C">
            <w:pPr>
              <w:pStyle w:val="Default"/>
              <w:rPr>
                <w:sz w:val="22"/>
                <w:szCs w:val="22"/>
              </w:rPr>
            </w:pPr>
            <w:r>
              <w:rPr>
                <w:sz w:val="22"/>
                <w:szCs w:val="22"/>
              </w:rPr>
              <w:t>boceprevir C</w:t>
            </w:r>
            <w:r>
              <w:rPr>
                <w:sz w:val="22"/>
                <w:szCs w:val="22"/>
                <w:vertAlign w:val="subscript"/>
              </w:rPr>
              <w:t>min</w:t>
            </w:r>
            <w:r>
              <w:rPr>
                <w:sz w:val="22"/>
                <w:szCs w:val="22"/>
              </w:rPr>
              <w:t xml:space="preserve"> ↔18%</w:t>
            </w:r>
          </w:p>
          <w:p w14:paraId="450434F4" w14:textId="77777777" w:rsidR="00187713" w:rsidRPr="005C4B2B" w:rsidRDefault="00187713" w:rsidP="0000712C">
            <w:pPr>
              <w:pStyle w:val="Default"/>
              <w:rPr>
                <w:sz w:val="22"/>
                <w:szCs w:val="22"/>
                <w:lang w:val="es-ES"/>
              </w:rPr>
            </w:pPr>
          </w:p>
          <w:p w14:paraId="4D703D19" w14:textId="77777777" w:rsidR="00187713" w:rsidRPr="00D31EBB" w:rsidRDefault="00187713" w:rsidP="0000712C">
            <w:pPr>
              <w:pStyle w:val="Default"/>
              <w:rPr>
                <w:sz w:val="22"/>
                <w:szCs w:val="22"/>
              </w:rPr>
            </w:pPr>
            <w:r>
              <w:rPr>
                <w:sz w:val="22"/>
                <w:szCs w:val="22"/>
              </w:rPr>
              <w:t>atazanavir AUC ↓ 35%</w:t>
            </w:r>
          </w:p>
          <w:p w14:paraId="65E4B45B" w14:textId="77777777" w:rsidR="00187713" w:rsidRPr="00D31EBB" w:rsidRDefault="00187713" w:rsidP="0000712C">
            <w:pPr>
              <w:pStyle w:val="Default"/>
              <w:rPr>
                <w:sz w:val="22"/>
                <w:szCs w:val="22"/>
              </w:rPr>
            </w:pPr>
            <w:r>
              <w:rPr>
                <w:sz w:val="22"/>
                <w:szCs w:val="22"/>
              </w:rPr>
              <w:t>atazanavir C</w:t>
            </w:r>
            <w:r>
              <w:rPr>
                <w:sz w:val="22"/>
                <w:szCs w:val="22"/>
                <w:vertAlign w:val="subscript"/>
              </w:rPr>
              <w:t>max</w:t>
            </w:r>
            <w:r>
              <w:rPr>
                <w:sz w:val="22"/>
                <w:szCs w:val="22"/>
              </w:rPr>
              <w:t xml:space="preserve"> ↓ 25%</w:t>
            </w:r>
          </w:p>
          <w:p w14:paraId="11E803D1" w14:textId="77777777" w:rsidR="00187713" w:rsidRPr="00D31EBB" w:rsidRDefault="00187713" w:rsidP="0000712C">
            <w:pPr>
              <w:pStyle w:val="Default"/>
              <w:rPr>
                <w:sz w:val="22"/>
                <w:szCs w:val="22"/>
              </w:rPr>
            </w:pPr>
            <w:r>
              <w:rPr>
                <w:sz w:val="22"/>
                <w:szCs w:val="22"/>
              </w:rPr>
              <w:t>atazanavir C</w:t>
            </w:r>
            <w:r>
              <w:rPr>
                <w:sz w:val="22"/>
                <w:szCs w:val="22"/>
                <w:vertAlign w:val="subscript"/>
              </w:rPr>
              <w:t>min</w:t>
            </w:r>
            <w:r>
              <w:rPr>
                <w:sz w:val="22"/>
                <w:szCs w:val="22"/>
              </w:rPr>
              <w:t xml:space="preserve"> ↓ 49%</w:t>
            </w:r>
          </w:p>
          <w:p w14:paraId="0CE72CF7" w14:textId="77777777" w:rsidR="00187713" w:rsidRPr="005C4B2B" w:rsidRDefault="00187713" w:rsidP="0000712C">
            <w:pPr>
              <w:pStyle w:val="Default"/>
              <w:rPr>
                <w:sz w:val="22"/>
                <w:szCs w:val="22"/>
                <w:lang w:val="es-ES"/>
              </w:rPr>
            </w:pPr>
          </w:p>
          <w:p w14:paraId="1BB4B083" w14:textId="77777777" w:rsidR="00187713" w:rsidRPr="00D31EBB" w:rsidRDefault="00187713" w:rsidP="0000712C">
            <w:pPr>
              <w:pStyle w:val="Default"/>
              <w:rPr>
                <w:sz w:val="22"/>
                <w:szCs w:val="22"/>
              </w:rPr>
            </w:pPr>
            <w:r>
              <w:rPr>
                <w:sz w:val="22"/>
                <w:szCs w:val="22"/>
              </w:rPr>
              <w:t>ritonavir AUC ↓ 36%</w:t>
            </w:r>
          </w:p>
          <w:p w14:paraId="7DE44E94" w14:textId="77777777" w:rsidR="00187713" w:rsidRPr="00D31EBB" w:rsidRDefault="00187713" w:rsidP="0000712C">
            <w:pPr>
              <w:pStyle w:val="Default"/>
              <w:rPr>
                <w:sz w:val="22"/>
                <w:szCs w:val="22"/>
              </w:rPr>
            </w:pPr>
            <w:r>
              <w:rPr>
                <w:sz w:val="22"/>
                <w:szCs w:val="22"/>
              </w:rPr>
              <w:t>ritonavir C</w:t>
            </w:r>
            <w:r>
              <w:rPr>
                <w:sz w:val="22"/>
                <w:szCs w:val="22"/>
                <w:vertAlign w:val="subscript"/>
              </w:rPr>
              <w:t>max</w:t>
            </w:r>
            <w:r>
              <w:rPr>
                <w:sz w:val="22"/>
                <w:szCs w:val="22"/>
              </w:rPr>
              <w:t xml:space="preserve"> ↓ 27%</w:t>
            </w:r>
          </w:p>
          <w:p w14:paraId="3AA77E6D" w14:textId="77777777" w:rsidR="00187713" w:rsidRPr="00D31EBB" w:rsidRDefault="00187713" w:rsidP="0000712C">
            <w:pPr>
              <w:pStyle w:val="EMEABodyText"/>
              <w:rPr>
                <w:szCs w:val="22"/>
              </w:rPr>
            </w:pPr>
            <w:r>
              <w:t>ritonavir C</w:t>
            </w:r>
            <w:r>
              <w:rPr>
                <w:szCs w:val="22"/>
                <w:vertAlign w:val="subscript"/>
              </w:rPr>
              <w:t>min</w:t>
            </w:r>
            <w:r>
              <w:t xml:space="preserve"> ↓ 45%</w:t>
            </w:r>
          </w:p>
          <w:p w14:paraId="46A9DC69" w14:textId="77777777" w:rsidR="00187713" w:rsidRPr="005C4B2B" w:rsidRDefault="00187713" w:rsidP="0000712C">
            <w:pPr>
              <w:pStyle w:val="EMEABodyText"/>
              <w:rPr>
                <w:szCs w:val="22"/>
                <w:lang w:val="es-ES"/>
              </w:rPr>
            </w:pPr>
          </w:p>
        </w:tc>
        <w:tc>
          <w:tcPr>
            <w:tcW w:w="3119" w:type="dxa"/>
          </w:tcPr>
          <w:p w14:paraId="7D79868D" w14:textId="77777777" w:rsidR="00187713" w:rsidRPr="00D31EBB" w:rsidRDefault="00187713" w:rsidP="0000712C">
            <w:pPr>
              <w:pStyle w:val="Default"/>
              <w:rPr>
                <w:szCs w:val="22"/>
              </w:rPr>
            </w:pPr>
            <w:r>
              <w:rPr>
                <w:sz w:val="22"/>
                <w:szCs w:val="22"/>
              </w:rPr>
              <w:t xml:space="preserve">Co-administration of atazanavir/ritonavir with boceprevir resulted in lower exposure of atazanavir which may be associated with lower efficacy and loss of HIV control. This co-administration might be considered on a case by case basis if deemed necessary, in patients with suppressed HIV viral loads and with HIV viral strain without any suspected resistance to the HIV regimen. Increased clinical and laboratory monitoring for HIV suppression is warranted. </w:t>
            </w:r>
          </w:p>
          <w:p w14:paraId="3A2BCA55" w14:textId="77777777" w:rsidR="00187713" w:rsidRPr="00D31EBB" w:rsidRDefault="00187713" w:rsidP="0000712C">
            <w:pPr>
              <w:pStyle w:val="EMEABodyText"/>
              <w:rPr>
                <w:szCs w:val="22"/>
                <w:lang w:val="en-US"/>
              </w:rPr>
            </w:pPr>
          </w:p>
        </w:tc>
      </w:tr>
      <w:tr w:rsidR="00187713" w:rsidRPr="004F3582" w14:paraId="53ED8CD5" w14:textId="77777777" w:rsidTr="0000712C">
        <w:trPr>
          <w:cantSplit/>
          <w:trHeight w:val="340"/>
        </w:trPr>
        <w:tc>
          <w:tcPr>
            <w:tcW w:w="9890" w:type="dxa"/>
            <w:gridSpan w:val="3"/>
          </w:tcPr>
          <w:p w14:paraId="72FFA1C2" w14:textId="77777777" w:rsidR="00187713" w:rsidRPr="004F3582" w:rsidRDefault="00187713" w:rsidP="0000712C">
            <w:pPr>
              <w:pStyle w:val="EMEABodyText"/>
              <w:rPr>
                <w:szCs w:val="22"/>
              </w:rPr>
            </w:pPr>
            <w:r>
              <w:rPr>
                <w:b/>
                <w:szCs w:val="22"/>
              </w:rPr>
              <w:t>ANTIBIOTICS</w:t>
            </w:r>
          </w:p>
        </w:tc>
      </w:tr>
      <w:tr w:rsidR="00187713" w:rsidRPr="00965E20" w14:paraId="1B5F9427" w14:textId="77777777" w:rsidTr="0000712C">
        <w:trPr>
          <w:cantSplit/>
          <w:trHeight w:val="340"/>
        </w:trPr>
        <w:tc>
          <w:tcPr>
            <w:tcW w:w="3095" w:type="dxa"/>
          </w:tcPr>
          <w:p w14:paraId="5B409CDF" w14:textId="77777777" w:rsidR="00187713" w:rsidRPr="00D31EBB" w:rsidRDefault="00187713" w:rsidP="0000712C">
            <w:pPr>
              <w:pStyle w:val="EMEABodyText"/>
              <w:rPr>
                <w:b/>
                <w:szCs w:val="22"/>
              </w:rPr>
            </w:pPr>
            <w:r>
              <w:rPr>
                <w:b/>
                <w:szCs w:val="22"/>
              </w:rPr>
              <w:t>Clarithromycin 500 mg twice daily</w:t>
            </w:r>
          </w:p>
          <w:p w14:paraId="58CEFA84" w14:textId="77777777" w:rsidR="00187713" w:rsidRPr="00D31EBB" w:rsidRDefault="00187713" w:rsidP="0000712C">
            <w:pPr>
              <w:pStyle w:val="EMEABodyText"/>
              <w:rPr>
                <w:szCs w:val="22"/>
              </w:rPr>
            </w:pPr>
            <w:r>
              <w:t>(atazanavir 400 mg once daily)</w:t>
            </w:r>
          </w:p>
        </w:tc>
        <w:tc>
          <w:tcPr>
            <w:tcW w:w="3676" w:type="dxa"/>
          </w:tcPr>
          <w:p w14:paraId="176D7C30" w14:textId="77777777" w:rsidR="00187713" w:rsidRPr="00D31EBB" w:rsidRDefault="00187713" w:rsidP="0000712C">
            <w:pPr>
              <w:pStyle w:val="EMEABodyText"/>
              <w:rPr>
                <w:szCs w:val="22"/>
              </w:rPr>
            </w:pPr>
            <w:r>
              <w:t>Clarithromycin AUC ↑94% (↑75% ↑116%)</w:t>
            </w:r>
          </w:p>
          <w:p w14:paraId="5E41F5EF" w14:textId="77777777" w:rsidR="00187713" w:rsidRPr="00D31EBB" w:rsidRDefault="00187713" w:rsidP="0000712C">
            <w:pPr>
              <w:pStyle w:val="EMEABodyText"/>
              <w:rPr>
                <w:szCs w:val="22"/>
              </w:rPr>
            </w:pPr>
            <w:r>
              <w:t>Clarithromycin C</w:t>
            </w:r>
            <w:r>
              <w:rPr>
                <w:szCs w:val="22"/>
                <w:vertAlign w:val="subscript"/>
              </w:rPr>
              <w:t>max</w:t>
            </w:r>
            <w:r>
              <w:t xml:space="preserve"> ↑50% (↑32% ↑71%)</w:t>
            </w:r>
          </w:p>
          <w:p w14:paraId="2384AA04" w14:textId="77777777" w:rsidR="00187713" w:rsidRPr="00D31EBB" w:rsidRDefault="00187713" w:rsidP="0000712C">
            <w:pPr>
              <w:pStyle w:val="EMEABodyText"/>
              <w:rPr>
                <w:szCs w:val="22"/>
              </w:rPr>
            </w:pPr>
            <w:r>
              <w:t>Clarithromycin C</w:t>
            </w:r>
            <w:r>
              <w:rPr>
                <w:szCs w:val="22"/>
                <w:vertAlign w:val="subscript"/>
              </w:rPr>
              <w:t>min</w:t>
            </w:r>
            <w:r>
              <w:t xml:space="preserve"> ↑160% (↑135% ↑188%)</w:t>
            </w:r>
          </w:p>
          <w:p w14:paraId="337B2D47" w14:textId="77777777" w:rsidR="00187713" w:rsidRPr="002E2C1C" w:rsidRDefault="00187713" w:rsidP="0000712C">
            <w:pPr>
              <w:pStyle w:val="EMEABodyText"/>
              <w:rPr>
                <w:szCs w:val="22"/>
              </w:rPr>
            </w:pPr>
          </w:p>
          <w:p w14:paraId="1784BDC2" w14:textId="77777777" w:rsidR="00187713" w:rsidRPr="00D31EBB" w:rsidRDefault="00187713" w:rsidP="0000712C">
            <w:pPr>
              <w:pStyle w:val="EMEABodyText"/>
              <w:rPr>
                <w:szCs w:val="22"/>
              </w:rPr>
            </w:pPr>
            <w:r>
              <w:t>14-OH clarithromycin</w:t>
            </w:r>
          </w:p>
          <w:p w14:paraId="5A708175" w14:textId="77777777" w:rsidR="00187713" w:rsidRPr="00D31EBB" w:rsidRDefault="00187713" w:rsidP="0000712C">
            <w:pPr>
              <w:pStyle w:val="EMEABodyText"/>
              <w:rPr>
                <w:szCs w:val="22"/>
              </w:rPr>
            </w:pPr>
            <w:r>
              <w:t>14-OH clarithromycin AUC ↓70% (↓74% ↓66%)</w:t>
            </w:r>
          </w:p>
          <w:p w14:paraId="2923585F" w14:textId="77777777" w:rsidR="00187713" w:rsidRPr="00D31EBB" w:rsidRDefault="00187713" w:rsidP="0000712C">
            <w:pPr>
              <w:pStyle w:val="EMEABodyText"/>
              <w:rPr>
                <w:szCs w:val="22"/>
              </w:rPr>
            </w:pPr>
            <w:r>
              <w:t>14-OH clarithromycin C</w:t>
            </w:r>
            <w:r>
              <w:rPr>
                <w:szCs w:val="22"/>
                <w:vertAlign w:val="subscript"/>
              </w:rPr>
              <w:t>max</w:t>
            </w:r>
            <w:r>
              <w:t xml:space="preserve"> ↓72% (↓76% ↓67%)</w:t>
            </w:r>
          </w:p>
          <w:p w14:paraId="4C01F972" w14:textId="77777777" w:rsidR="00187713" w:rsidRPr="00D31EBB" w:rsidRDefault="00187713" w:rsidP="0000712C">
            <w:pPr>
              <w:pStyle w:val="EMEABodyText"/>
              <w:rPr>
                <w:szCs w:val="22"/>
              </w:rPr>
            </w:pPr>
            <w:r>
              <w:t>14-OH clarithromycin C</w:t>
            </w:r>
            <w:r>
              <w:rPr>
                <w:szCs w:val="22"/>
                <w:vertAlign w:val="subscript"/>
              </w:rPr>
              <w:t>min</w:t>
            </w:r>
            <w:r>
              <w:t xml:space="preserve"> ↓62% (↓66% ↓58%)</w:t>
            </w:r>
          </w:p>
          <w:p w14:paraId="02CB6874" w14:textId="77777777" w:rsidR="00187713" w:rsidRPr="002E2C1C" w:rsidRDefault="00187713" w:rsidP="0000712C">
            <w:pPr>
              <w:pStyle w:val="EMEABodyText"/>
              <w:rPr>
                <w:szCs w:val="22"/>
              </w:rPr>
            </w:pPr>
          </w:p>
          <w:p w14:paraId="5072DC0B" w14:textId="77777777" w:rsidR="00187713" w:rsidRPr="00D31EBB" w:rsidRDefault="00187713" w:rsidP="0000712C">
            <w:pPr>
              <w:pStyle w:val="EMEABodyText"/>
              <w:rPr>
                <w:szCs w:val="22"/>
              </w:rPr>
            </w:pPr>
            <w:r>
              <w:t>Atazanavir AUC ↑28% (↑16% ↑43%)</w:t>
            </w:r>
          </w:p>
          <w:p w14:paraId="61706AC9" w14:textId="77777777" w:rsidR="00187713" w:rsidRPr="00D31EBB" w:rsidRDefault="00187713" w:rsidP="0000712C">
            <w:pPr>
              <w:pStyle w:val="EMEABodyText"/>
              <w:rPr>
                <w:szCs w:val="22"/>
              </w:rPr>
            </w:pPr>
            <w:r>
              <w:t>Atazanavir C</w:t>
            </w:r>
            <w:r>
              <w:rPr>
                <w:szCs w:val="22"/>
                <w:vertAlign w:val="subscript"/>
              </w:rPr>
              <w:t>max</w:t>
            </w:r>
            <w:r>
              <w:t xml:space="preserve"> ↔6% (↓7% ↑20%)</w:t>
            </w:r>
          </w:p>
          <w:p w14:paraId="30BD9B3B" w14:textId="77777777" w:rsidR="00187713" w:rsidRPr="00D31EBB" w:rsidRDefault="00187713" w:rsidP="0000712C">
            <w:pPr>
              <w:pStyle w:val="EMEABodyText"/>
              <w:rPr>
                <w:szCs w:val="22"/>
              </w:rPr>
            </w:pPr>
            <w:r>
              <w:t>Atazanavir C</w:t>
            </w:r>
            <w:r>
              <w:rPr>
                <w:szCs w:val="22"/>
                <w:vertAlign w:val="subscript"/>
              </w:rPr>
              <w:t>min</w:t>
            </w:r>
            <w:r>
              <w:t xml:space="preserve"> ↑91% (↑66% ↑121%)</w:t>
            </w:r>
          </w:p>
          <w:p w14:paraId="74F8E3B9" w14:textId="77777777" w:rsidR="00187713" w:rsidRPr="002E2C1C" w:rsidRDefault="00187713" w:rsidP="0000712C">
            <w:pPr>
              <w:pStyle w:val="EMEABodyText"/>
              <w:rPr>
                <w:szCs w:val="22"/>
              </w:rPr>
            </w:pPr>
          </w:p>
          <w:p w14:paraId="0B452061" w14:textId="77777777" w:rsidR="00187713" w:rsidRPr="00D31EBB" w:rsidRDefault="00187713" w:rsidP="0000712C">
            <w:pPr>
              <w:pStyle w:val="EMEABodyText"/>
              <w:rPr>
                <w:szCs w:val="22"/>
              </w:rPr>
            </w:pPr>
            <w:r>
              <w:t>A dose reduction of clarithromycin may result in subtherapeutic concentrations of 14-OH clarithromycin. The mechanism of the clarithromycin/atazanavir interaction is CYP3A4 inhibition.</w:t>
            </w:r>
          </w:p>
          <w:p w14:paraId="75F7D990" w14:textId="77777777" w:rsidR="00187713" w:rsidRPr="00D31EBB" w:rsidRDefault="00187713" w:rsidP="0000712C">
            <w:pPr>
              <w:pStyle w:val="EMEABodyText"/>
              <w:rPr>
                <w:szCs w:val="22"/>
                <w:lang w:val="en-US"/>
              </w:rPr>
            </w:pPr>
          </w:p>
        </w:tc>
        <w:tc>
          <w:tcPr>
            <w:tcW w:w="3119" w:type="dxa"/>
          </w:tcPr>
          <w:p w14:paraId="40626F96" w14:textId="77777777" w:rsidR="00187713" w:rsidRPr="00D31EBB" w:rsidRDefault="00187713" w:rsidP="0000712C">
            <w:pPr>
              <w:pStyle w:val="EMEABodyText"/>
              <w:rPr>
                <w:szCs w:val="22"/>
              </w:rPr>
            </w:pPr>
            <w:r>
              <w:t>No recommendation regarding dose reduction can be made; therefore, caution should be exercised if REYATAZ/ritonavir is co-administered with clarithromycin.</w:t>
            </w:r>
          </w:p>
        </w:tc>
      </w:tr>
      <w:tr w:rsidR="00187713" w:rsidRPr="004F3582" w14:paraId="2D79CB9B" w14:textId="77777777" w:rsidTr="0000712C">
        <w:trPr>
          <w:cantSplit/>
          <w:trHeight w:val="340"/>
        </w:trPr>
        <w:tc>
          <w:tcPr>
            <w:tcW w:w="9890" w:type="dxa"/>
            <w:gridSpan w:val="3"/>
          </w:tcPr>
          <w:p w14:paraId="3CC35AA9" w14:textId="77777777" w:rsidR="00187713" w:rsidRPr="004F3582" w:rsidRDefault="00187713" w:rsidP="0000712C">
            <w:pPr>
              <w:pStyle w:val="EMEABodyText"/>
              <w:rPr>
                <w:szCs w:val="22"/>
              </w:rPr>
            </w:pPr>
            <w:r>
              <w:rPr>
                <w:b/>
                <w:szCs w:val="22"/>
              </w:rPr>
              <w:t>ANTIFUNGALS</w:t>
            </w:r>
          </w:p>
        </w:tc>
      </w:tr>
      <w:tr w:rsidR="00187713" w:rsidRPr="00965E20" w14:paraId="553F3610" w14:textId="77777777" w:rsidTr="0000712C">
        <w:trPr>
          <w:cantSplit/>
          <w:trHeight w:val="340"/>
        </w:trPr>
        <w:tc>
          <w:tcPr>
            <w:tcW w:w="3095" w:type="dxa"/>
          </w:tcPr>
          <w:p w14:paraId="3484B45A" w14:textId="77777777" w:rsidR="00187713" w:rsidRPr="00D31EBB" w:rsidRDefault="00187713" w:rsidP="0000712C">
            <w:pPr>
              <w:pStyle w:val="EMEABodyText"/>
              <w:rPr>
                <w:b/>
                <w:szCs w:val="22"/>
              </w:rPr>
            </w:pPr>
            <w:r>
              <w:rPr>
                <w:b/>
                <w:szCs w:val="22"/>
              </w:rPr>
              <w:t>Ketoconazole 200 mg once daily</w:t>
            </w:r>
          </w:p>
          <w:p w14:paraId="6207BFA1" w14:textId="77777777" w:rsidR="00187713" w:rsidRPr="00D31EBB" w:rsidRDefault="00187713" w:rsidP="0000712C">
            <w:pPr>
              <w:pStyle w:val="EMEABodyText"/>
              <w:rPr>
                <w:szCs w:val="22"/>
              </w:rPr>
            </w:pPr>
            <w:r>
              <w:t>(atazanavir 400 mg once daily)</w:t>
            </w:r>
          </w:p>
        </w:tc>
        <w:tc>
          <w:tcPr>
            <w:tcW w:w="3676" w:type="dxa"/>
          </w:tcPr>
          <w:p w14:paraId="5E4F62A5" w14:textId="77777777" w:rsidR="00187713" w:rsidRPr="00D31EBB" w:rsidRDefault="00187713" w:rsidP="0000712C">
            <w:pPr>
              <w:pStyle w:val="EMEABodyText"/>
              <w:rPr>
                <w:szCs w:val="22"/>
              </w:rPr>
            </w:pPr>
            <w:r>
              <w:t>No significant effect on atazanavir concentrations was observed.</w:t>
            </w:r>
          </w:p>
        </w:tc>
        <w:tc>
          <w:tcPr>
            <w:tcW w:w="3119" w:type="dxa"/>
            <w:vMerge w:val="restart"/>
          </w:tcPr>
          <w:p w14:paraId="26884802" w14:textId="77777777" w:rsidR="00187713" w:rsidRPr="00D31EBB" w:rsidRDefault="00187713" w:rsidP="0000712C">
            <w:pPr>
              <w:pStyle w:val="EMEABodyText"/>
              <w:rPr>
                <w:szCs w:val="22"/>
              </w:rPr>
            </w:pPr>
            <w:r>
              <w:t>Ketoconazole and itraconazole should be used cautiously with REYATAZ/ritonavir. High doses of ketoconazole and itraconazole (&gt;200 mg/day) are not recommended.</w:t>
            </w:r>
          </w:p>
        </w:tc>
      </w:tr>
      <w:tr w:rsidR="00187713" w:rsidRPr="00965E20" w14:paraId="6CD27027" w14:textId="77777777" w:rsidTr="0000712C">
        <w:trPr>
          <w:cantSplit/>
          <w:trHeight w:val="934"/>
        </w:trPr>
        <w:tc>
          <w:tcPr>
            <w:tcW w:w="3095" w:type="dxa"/>
          </w:tcPr>
          <w:p w14:paraId="7509ECA2" w14:textId="77777777" w:rsidR="00187713" w:rsidRPr="004F3582" w:rsidRDefault="00187713" w:rsidP="0000712C">
            <w:pPr>
              <w:pStyle w:val="EMEABodyText"/>
              <w:rPr>
                <w:b/>
                <w:szCs w:val="22"/>
              </w:rPr>
            </w:pPr>
            <w:r>
              <w:rPr>
                <w:b/>
                <w:szCs w:val="22"/>
              </w:rPr>
              <w:t>Itraconazole</w:t>
            </w:r>
          </w:p>
        </w:tc>
        <w:tc>
          <w:tcPr>
            <w:tcW w:w="3676" w:type="dxa"/>
          </w:tcPr>
          <w:p w14:paraId="18C8077A" w14:textId="77777777" w:rsidR="00187713" w:rsidRPr="00D31EBB" w:rsidRDefault="00187713" w:rsidP="0000712C">
            <w:pPr>
              <w:pStyle w:val="EMEABodyText"/>
              <w:rPr>
                <w:szCs w:val="22"/>
              </w:rPr>
            </w:pPr>
            <w:r>
              <w:t>Itraconazole, like ketoconazole, is a potent inhibitor as well as a substrate of CYP3A4.</w:t>
            </w:r>
          </w:p>
        </w:tc>
        <w:tc>
          <w:tcPr>
            <w:tcW w:w="3119" w:type="dxa"/>
            <w:vMerge/>
          </w:tcPr>
          <w:p w14:paraId="4CD39A47" w14:textId="77777777" w:rsidR="00187713" w:rsidRPr="00D31EBB" w:rsidRDefault="00187713" w:rsidP="0000712C">
            <w:pPr>
              <w:pStyle w:val="EMEABodyText"/>
              <w:rPr>
                <w:szCs w:val="22"/>
                <w:lang w:val="en-US"/>
              </w:rPr>
            </w:pPr>
          </w:p>
        </w:tc>
      </w:tr>
      <w:tr w:rsidR="00187713" w:rsidRPr="00965E20" w14:paraId="265C6A88" w14:textId="77777777" w:rsidTr="0000712C">
        <w:trPr>
          <w:cantSplit/>
          <w:trHeight w:val="1725"/>
        </w:trPr>
        <w:tc>
          <w:tcPr>
            <w:tcW w:w="3095" w:type="dxa"/>
          </w:tcPr>
          <w:p w14:paraId="60258A9E" w14:textId="77777777" w:rsidR="00187713" w:rsidRPr="00D31EBB" w:rsidRDefault="00187713" w:rsidP="0000712C">
            <w:pPr>
              <w:pStyle w:val="EMEABodyText"/>
              <w:rPr>
                <w:b/>
                <w:szCs w:val="22"/>
                <w:lang w:val="en-US"/>
              </w:rPr>
            </w:pPr>
          </w:p>
        </w:tc>
        <w:tc>
          <w:tcPr>
            <w:tcW w:w="3676" w:type="dxa"/>
          </w:tcPr>
          <w:p w14:paraId="1B43B262" w14:textId="77777777" w:rsidR="00187713" w:rsidRPr="00D31EBB" w:rsidRDefault="00187713" w:rsidP="0000712C">
            <w:pPr>
              <w:pStyle w:val="EMEABodyText"/>
              <w:rPr>
                <w:szCs w:val="22"/>
              </w:rPr>
            </w:pPr>
            <w:r>
              <w:t>Based on data obtained with other boosted PIs and ketoconazole, where ketoconazole AUC showed a 3-fold increase, REYATAZ/ritonavir is expected to increase ketoconazole or itraconazole concentrations.</w:t>
            </w:r>
          </w:p>
          <w:p w14:paraId="0F1F0B0F" w14:textId="77777777" w:rsidR="00187713" w:rsidRPr="00D31EBB" w:rsidRDefault="00187713" w:rsidP="0000712C">
            <w:pPr>
              <w:pStyle w:val="EMEABodyText"/>
              <w:rPr>
                <w:szCs w:val="22"/>
                <w:lang w:val="en-US"/>
              </w:rPr>
            </w:pPr>
          </w:p>
        </w:tc>
        <w:tc>
          <w:tcPr>
            <w:tcW w:w="3119" w:type="dxa"/>
            <w:vMerge/>
          </w:tcPr>
          <w:p w14:paraId="34F7ED6E" w14:textId="77777777" w:rsidR="00187713" w:rsidRPr="00D31EBB" w:rsidRDefault="00187713" w:rsidP="0000712C">
            <w:pPr>
              <w:pStyle w:val="EMEABodyText"/>
              <w:rPr>
                <w:szCs w:val="22"/>
                <w:lang w:val="en-US"/>
              </w:rPr>
            </w:pPr>
          </w:p>
        </w:tc>
      </w:tr>
      <w:tr w:rsidR="00187713" w:rsidRPr="00965E20" w14:paraId="46114936" w14:textId="77777777" w:rsidTr="0000712C">
        <w:trPr>
          <w:cantSplit/>
          <w:trHeight w:val="340"/>
        </w:trPr>
        <w:tc>
          <w:tcPr>
            <w:tcW w:w="3095" w:type="dxa"/>
          </w:tcPr>
          <w:p w14:paraId="426FA784" w14:textId="77777777" w:rsidR="00187713" w:rsidRPr="00D31EBB" w:rsidRDefault="00187713" w:rsidP="0000712C">
            <w:pPr>
              <w:pStyle w:val="EMEABodyText"/>
              <w:rPr>
                <w:szCs w:val="22"/>
              </w:rPr>
            </w:pPr>
            <w:r>
              <w:rPr>
                <w:b/>
                <w:szCs w:val="22"/>
              </w:rPr>
              <w:t xml:space="preserve">Voriconazole 200 mg twice daily </w:t>
            </w:r>
            <w:r>
              <w:t>(atazanavir 300 mg/ritonavir 100 mg once daily)</w:t>
            </w:r>
          </w:p>
          <w:p w14:paraId="507A5110" w14:textId="77777777" w:rsidR="00187713" w:rsidRPr="00D31EBB" w:rsidRDefault="00187713" w:rsidP="0000712C">
            <w:pPr>
              <w:pStyle w:val="EMEABodyText"/>
              <w:rPr>
                <w:szCs w:val="22"/>
                <w:lang w:val="en-US"/>
              </w:rPr>
            </w:pPr>
          </w:p>
          <w:p w14:paraId="7F84B20B" w14:textId="77777777" w:rsidR="00187713" w:rsidRPr="00D31EBB" w:rsidRDefault="00187713" w:rsidP="0000712C">
            <w:pPr>
              <w:pStyle w:val="EMEABodyText"/>
              <w:rPr>
                <w:szCs w:val="22"/>
              </w:rPr>
            </w:pPr>
            <w:r>
              <w:t>Subjects with at least one functional CYP2C19 allele.</w:t>
            </w:r>
          </w:p>
          <w:p w14:paraId="20AF4B08" w14:textId="77777777" w:rsidR="00187713" w:rsidRPr="00D31EBB" w:rsidRDefault="00187713" w:rsidP="0000712C">
            <w:pPr>
              <w:pStyle w:val="EMEABodyText"/>
              <w:rPr>
                <w:b/>
                <w:szCs w:val="22"/>
                <w:lang w:val="en-US"/>
              </w:rPr>
            </w:pPr>
          </w:p>
        </w:tc>
        <w:tc>
          <w:tcPr>
            <w:tcW w:w="3676" w:type="dxa"/>
          </w:tcPr>
          <w:p w14:paraId="7FDE2F45" w14:textId="77777777" w:rsidR="00187713" w:rsidRPr="00D31EBB" w:rsidRDefault="00187713" w:rsidP="0000712C">
            <w:pPr>
              <w:pStyle w:val="EMEABodyText"/>
              <w:rPr>
                <w:szCs w:val="22"/>
              </w:rPr>
            </w:pPr>
            <w:r>
              <w:t>Voriconazole AUC ↓33% (↓42% ↓22%)</w:t>
            </w:r>
          </w:p>
          <w:p w14:paraId="09C86135" w14:textId="77777777" w:rsidR="00187713" w:rsidRPr="00D31EBB" w:rsidRDefault="00187713" w:rsidP="0000712C">
            <w:pPr>
              <w:pStyle w:val="EMEABodyText"/>
              <w:rPr>
                <w:szCs w:val="22"/>
              </w:rPr>
            </w:pPr>
            <w:r>
              <w:t>Voriconazole C</w:t>
            </w:r>
            <w:r>
              <w:rPr>
                <w:szCs w:val="22"/>
                <w:vertAlign w:val="subscript"/>
              </w:rPr>
              <w:t>max</w:t>
            </w:r>
            <w:r>
              <w:t xml:space="preserve"> ↓10% (↓22% ↓4%)</w:t>
            </w:r>
          </w:p>
          <w:p w14:paraId="6745DA89" w14:textId="77777777" w:rsidR="00187713" w:rsidRPr="00D31EBB" w:rsidRDefault="00187713" w:rsidP="0000712C">
            <w:pPr>
              <w:pStyle w:val="EMEABodyText"/>
              <w:rPr>
                <w:szCs w:val="22"/>
              </w:rPr>
            </w:pPr>
            <w:r>
              <w:t>Voriconazole C</w:t>
            </w:r>
            <w:r>
              <w:rPr>
                <w:szCs w:val="22"/>
                <w:vertAlign w:val="subscript"/>
              </w:rPr>
              <w:t>min</w:t>
            </w:r>
            <w:r>
              <w:t xml:space="preserve"> ↓39% (↓49% ↓28%)</w:t>
            </w:r>
          </w:p>
          <w:p w14:paraId="7DDDA104" w14:textId="77777777" w:rsidR="00187713" w:rsidRPr="00D31EBB" w:rsidRDefault="00187713" w:rsidP="0000712C">
            <w:pPr>
              <w:pStyle w:val="EMEABodyText"/>
              <w:rPr>
                <w:szCs w:val="22"/>
                <w:lang w:val="en-US"/>
              </w:rPr>
            </w:pPr>
          </w:p>
          <w:p w14:paraId="3A772232" w14:textId="77777777" w:rsidR="00187713" w:rsidRPr="00D31EBB" w:rsidRDefault="00187713" w:rsidP="0000712C">
            <w:pPr>
              <w:pStyle w:val="EMEABodyText"/>
              <w:rPr>
                <w:szCs w:val="22"/>
                <w:lang w:val="en-US"/>
              </w:rPr>
            </w:pPr>
          </w:p>
          <w:p w14:paraId="0767A8DE" w14:textId="77777777" w:rsidR="00187713" w:rsidRPr="00D31EBB" w:rsidRDefault="00187713" w:rsidP="0000712C">
            <w:pPr>
              <w:pStyle w:val="EMEABodyText"/>
              <w:rPr>
                <w:szCs w:val="22"/>
              </w:rPr>
            </w:pPr>
            <w:r>
              <w:t>Atazanavir AUC ↓12% (↓18% ↓5%)</w:t>
            </w:r>
          </w:p>
          <w:p w14:paraId="2EC5F1D0" w14:textId="77777777" w:rsidR="00187713" w:rsidRPr="00D31EBB" w:rsidRDefault="00187713" w:rsidP="0000712C">
            <w:pPr>
              <w:pStyle w:val="EMEABodyText"/>
              <w:rPr>
                <w:szCs w:val="22"/>
              </w:rPr>
            </w:pPr>
            <w:r>
              <w:t>Atazanavir C</w:t>
            </w:r>
            <w:r>
              <w:rPr>
                <w:szCs w:val="22"/>
                <w:vertAlign w:val="subscript"/>
              </w:rPr>
              <w:t>max</w:t>
            </w:r>
            <w:r>
              <w:t xml:space="preserve"> ↓13% (↓20% ↓4%)</w:t>
            </w:r>
          </w:p>
          <w:p w14:paraId="7ADA95FF" w14:textId="77777777" w:rsidR="00187713" w:rsidRPr="00D31EBB" w:rsidRDefault="00187713" w:rsidP="0000712C">
            <w:pPr>
              <w:pStyle w:val="EMEABodyText"/>
              <w:rPr>
                <w:szCs w:val="22"/>
              </w:rPr>
            </w:pPr>
            <w:r>
              <w:t>Atazanavir C</w:t>
            </w:r>
            <w:r>
              <w:rPr>
                <w:szCs w:val="22"/>
                <w:vertAlign w:val="subscript"/>
              </w:rPr>
              <w:t>min</w:t>
            </w:r>
            <w:r>
              <w:t xml:space="preserve"> ↓ 20 % (↓28 % ↓10%)</w:t>
            </w:r>
          </w:p>
          <w:p w14:paraId="2EB944E2" w14:textId="77777777" w:rsidR="00187713" w:rsidRPr="00D31EBB" w:rsidRDefault="00187713" w:rsidP="0000712C">
            <w:pPr>
              <w:pStyle w:val="EMEABodyText"/>
              <w:rPr>
                <w:szCs w:val="22"/>
                <w:lang w:val="en-US"/>
              </w:rPr>
            </w:pPr>
          </w:p>
          <w:p w14:paraId="149465A6" w14:textId="77777777" w:rsidR="00187713" w:rsidRPr="00D31EBB" w:rsidRDefault="00187713" w:rsidP="0000712C">
            <w:pPr>
              <w:pStyle w:val="EMEABodyText"/>
              <w:rPr>
                <w:szCs w:val="22"/>
                <w:lang w:val="en-US"/>
              </w:rPr>
            </w:pPr>
          </w:p>
          <w:p w14:paraId="1C0C5917" w14:textId="77777777" w:rsidR="00187713" w:rsidRPr="00D31EBB" w:rsidRDefault="00187713" w:rsidP="0000712C">
            <w:pPr>
              <w:pStyle w:val="EMEABodyText"/>
              <w:rPr>
                <w:szCs w:val="22"/>
              </w:rPr>
            </w:pPr>
            <w:r>
              <w:t>Ritonavir AUC ↓12% (↓17% ↓7%)</w:t>
            </w:r>
          </w:p>
          <w:p w14:paraId="20C27B48" w14:textId="77777777" w:rsidR="00187713" w:rsidRPr="00D31EBB" w:rsidRDefault="00187713" w:rsidP="0000712C">
            <w:pPr>
              <w:pStyle w:val="EMEABodyText"/>
              <w:rPr>
                <w:szCs w:val="22"/>
              </w:rPr>
            </w:pPr>
            <w:r>
              <w:t>Ritonavir C</w:t>
            </w:r>
            <w:r>
              <w:rPr>
                <w:szCs w:val="22"/>
                <w:vertAlign w:val="subscript"/>
              </w:rPr>
              <w:t>max</w:t>
            </w:r>
            <w:r>
              <w:t xml:space="preserve"> ↓9% (↓17% ↔0%)</w:t>
            </w:r>
          </w:p>
          <w:p w14:paraId="60004E46" w14:textId="77777777" w:rsidR="00187713" w:rsidRPr="00D31EBB" w:rsidRDefault="00187713" w:rsidP="0000712C">
            <w:pPr>
              <w:pStyle w:val="EMEABodyText"/>
              <w:rPr>
                <w:szCs w:val="22"/>
              </w:rPr>
            </w:pPr>
            <w:r>
              <w:t>Ritonavir C</w:t>
            </w:r>
            <w:r>
              <w:rPr>
                <w:szCs w:val="22"/>
                <w:vertAlign w:val="subscript"/>
              </w:rPr>
              <w:t>min</w:t>
            </w:r>
            <w:r>
              <w:t xml:space="preserve"> ↓25% (↓35% ↓14%)</w:t>
            </w:r>
          </w:p>
          <w:p w14:paraId="06C7BA76" w14:textId="77777777" w:rsidR="00187713" w:rsidRPr="00D31EBB" w:rsidRDefault="00187713" w:rsidP="0000712C">
            <w:pPr>
              <w:pStyle w:val="EMEABodyText"/>
              <w:rPr>
                <w:szCs w:val="22"/>
                <w:lang w:val="en-US"/>
              </w:rPr>
            </w:pPr>
          </w:p>
          <w:p w14:paraId="3748EAFA" w14:textId="77777777" w:rsidR="00187713" w:rsidRPr="00D31EBB" w:rsidRDefault="00187713" w:rsidP="0000712C">
            <w:pPr>
              <w:pStyle w:val="EMEABodyText"/>
              <w:rPr>
                <w:szCs w:val="22"/>
              </w:rPr>
            </w:pPr>
            <w:r>
              <w:t xml:space="preserve">In the majority of patients with at least one functional CYP2C19 allele, a reduction in both voriconazole and atazanavir exposures are expected. </w:t>
            </w:r>
          </w:p>
          <w:p w14:paraId="036B55CF" w14:textId="77777777" w:rsidR="00187713" w:rsidRPr="00D31EBB" w:rsidRDefault="00187713" w:rsidP="0000712C">
            <w:pPr>
              <w:pStyle w:val="EMEABodyText"/>
              <w:rPr>
                <w:szCs w:val="22"/>
                <w:lang w:val="en-US"/>
              </w:rPr>
            </w:pPr>
          </w:p>
        </w:tc>
        <w:tc>
          <w:tcPr>
            <w:tcW w:w="3119" w:type="dxa"/>
            <w:vMerge w:val="restart"/>
          </w:tcPr>
          <w:p w14:paraId="47C7A9A2" w14:textId="77777777" w:rsidR="00187713" w:rsidRPr="00D31EBB" w:rsidRDefault="00187713" w:rsidP="0000712C">
            <w:pPr>
              <w:pStyle w:val="EMEABodyText"/>
              <w:rPr>
                <w:szCs w:val="22"/>
              </w:rPr>
            </w:pPr>
            <w:r>
              <w:t xml:space="preserve">Co-administration of voriconazole and REYATAZ/ritonavir is not recommended unless an assessment of the benefit/risk to the patient justifies the use of voriconazole (see section 4.4). </w:t>
            </w:r>
          </w:p>
          <w:p w14:paraId="51C397F9" w14:textId="77777777" w:rsidR="00187713" w:rsidRPr="00D31EBB" w:rsidRDefault="00187713" w:rsidP="0000712C">
            <w:pPr>
              <w:pStyle w:val="EMEABodyText"/>
              <w:rPr>
                <w:szCs w:val="22"/>
                <w:lang w:val="en-US"/>
              </w:rPr>
            </w:pPr>
          </w:p>
          <w:p w14:paraId="57AA096A" w14:textId="77777777" w:rsidR="00187713" w:rsidRPr="00D31EBB" w:rsidRDefault="00187713" w:rsidP="0000712C">
            <w:pPr>
              <w:pStyle w:val="EMEABodyText"/>
              <w:rPr>
                <w:szCs w:val="22"/>
              </w:rPr>
            </w:pPr>
            <w:r>
              <w:t>At the time voriconazole treatment is required, a patient's CYP2C19 genotype should be performed if feasible.</w:t>
            </w:r>
          </w:p>
          <w:p w14:paraId="31381F2B" w14:textId="77777777" w:rsidR="00187713" w:rsidRPr="00D31EBB" w:rsidRDefault="00187713" w:rsidP="0000712C">
            <w:pPr>
              <w:pStyle w:val="EMEABodyText"/>
              <w:rPr>
                <w:szCs w:val="22"/>
                <w:lang w:val="en-US"/>
              </w:rPr>
            </w:pPr>
          </w:p>
          <w:p w14:paraId="51109188" w14:textId="77777777" w:rsidR="00187713" w:rsidRPr="00D31EBB" w:rsidRDefault="00187713" w:rsidP="0000712C">
            <w:pPr>
              <w:pStyle w:val="EMEABodyText"/>
              <w:rPr>
                <w:szCs w:val="22"/>
              </w:rPr>
            </w:pPr>
            <w:r>
              <w:t>Therefore if the combination is unavoidable, the following recommendations are made according to the CYP2C19 status:</w:t>
            </w:r>
          </w:p>
          <w:p w14:paraId="03ABF13E" w14:textId="77777777" w:rsidR="00187713" w:rsidRPr="00D31EBB" w:rsidRDefault="00187713" w:rsidP="0000712C">
            <w:pPr>
              <w:pStyle w:val="EMEABodyText"/>
              <w:rPr>
                <w:szCs w:val="22"/>
                <w:lang w:val="en-US"/>
              </w:rPr>
            </w:pPr>
          </w:p>
          <w:p w14:paraId="76527B09" w14:textId="77777777" w:rsidR="00187713" w:rsidRPr="00D31EBB" w:rsidRDefault="00187713" w:rsidP="0000712C">
            <w:pPr>
              <w:pStyle w:val="EMEABodyText"/>
              <w:rPr>
                <w:szCs w:val="22"/>
              </w:rPr>
            </w:pPr>
            <w:r>
              <w:t xml:space="preserve">- in patients with at least one functional CYP2C19 allele, close clinical monitoring for a loss of both voriconazole (clinical signs) and atazanavir (virologic response) efficacy is recommended. </w:t>
            </w:r>
          </w:p>
          <w:p w14:paraId="55470C38" w14:textId="77777777" w:rsidR="00187713" w:rsidRPr="00D31EBB" w:rsidRDefault="00187713" w:rsidP="0000712C">
            <w:pPr>
              <w:pStyle w:val="EMEABodyText"/>
              <w:rPr>
                <w:szCs w:val="22"/>
                <w:lang w:val="en-US"/>
              </w:rPr>
            </w:pPr>
          </w:p>
          <w:p w14:paraId="21AC953D" w14:textId="77777777" w:rsidR="00187713" w:rsidRPr="00D31EBB" w:rsidRDefault="00187713" w:rsidP="0000712C">
            <w:pPr>
              <w:pStyle w:val="EMEABodyText"/>
              <w:rPr>
                <w:szCs w:val="22"/>
              </w:rPr>
            </w:pPr>
            <w:r>
              <w:t>- in patients without a functional CYP2C19 allele, close clinical and laboratory monitoring of voriconazole-associated adverse events is recommended</w:t>
            </w:r>
          </w:p>
          <w:p w14:paraId="74E61747" w14:textId="77777777" w:rsidR="00187713" w:rsidRPr="00D31EBB" w:rsidRDefault="00187713" w:rsidP="0000712C">
            <w:pPr>
              <w:pStyle w:val="EMEABodyText"/>
              <w:rPr>
                <w:szCs w:val="22"/>
                <w:lang w:val="en-US"/>
              </w:rPr>
            </w:pPr>
          </w:p>
          <w:p w14:paraId="3A1801FE" w14:textId="77777777" w:rsidR="00187713" w:rsidRPr="00D31EBB" w:rsidRDefault="00187713" w:rsidP="0000712C">
            <w:pPr>
              <w:pStyle w:val="EMEABodyText"/>
              <w:rPr>
                <w:szCs w:val="22"/>
              </w:rPr>
            </w:pPr>
            <w:r>
              <w:t>If genotyping is not feasible, full monitoring of safety and efficacy should be performed.</w:t>
            </w:r>
          </w:p>
        </w:tc>
      </w:tr>
      <w:tr w:rsidR="00187713" w:rsidRPr="00965E20" w14:paraId="12CD1B51" w14:textId="77777777" w:rsidTr="0000712C">
        <w:trPr>
          <w:cantSplit/>
          <w:trHeight w:val="340"/>
        </w:trPr>
        <w:tc>
          <w:tcPr>
            <w:tcW w:w="3095" w:type="dxa"/>
          </w:tcPr>
          <w:p w14:paraId="20327197" w14:textId="77777777" w:rsidR="00187713" w:rsidRPr="00D31EBB" w:rsidRDefault="00187713" w:rsidP="0000712C">
            <w:pPr>
              <w:pStyle w:val="EMEABodyText"/>
              <w:rPr>
                <w:szCs w:val="22"/>
              </w:rPr>
            </w:pPr>
            <w:r>
              <w:rPr>
                <w:b/>
                <w:szCs w:val="22"/>
              </w:rPr>
              <w:t xml:space="preserve">Voriconazole 50 mg twice daily </w:t>
            </w:r>
            <w:r>
              <w:t>(atazanavir 300 mg/ritonavir 100 mg once daily)</w:t>
            </w:r>
          </w:p>
          <w:p w14:paraId="4A3C6095" w14:textId="77777777" w:rsidR="00187713" w:rsidRPr="00D31EBB" w:rsidRDefault="00187713" w:rsidP="0000712C">
            <w:pPr>
              <w:pStyle w:val="EMEABodyText"/>
              <w:rPr>
                <w:b/>
                <w:szCs w:val="22"/>
                <w:lang w:val="en-US"/>
              </w:rPr>
            </w:pPr>
          </w:p>
          <w:p w14:paraId="09520CD9" w14:textId="77777777" w:rsidR="00187713" w:rsidRPr="00D31EBB" w:rsidRDefault="00187713" w:rsidP="0000712C">
            <w:pPr>
              <w:pStyle w:val="EMEABodyText"/>
              <w:rPr>
                <w:szCs w:val="22"/>
              </w:rPr>
            </w:pPr>
            <w:r>
              <w:t>Subjects without a functional CYP2C19 allele.</w:t>
            </w:r>
          </w:p>
          <w:p w14:paraId="2BC396B5" w14:textId="77777777" w:rsidR="00187713" w:rsidRPr="00D31EBB" w:rsidRDefault="00187713" w:rsidP="0000712C">
            <w:pPr>
              <w:pStyle w:val="EMEABodyText"/>
              <w:rPr>
                <w:b/>
                <w:szCs w:val="22"/>
                <w:lang w:val="en-US"/>
              </w:rPr>
            </w:pPr>
          </w:p>
        </w:tc>
        <w:tc>
          <w:tcPr>
            <w:tcW w:w="3676" w:type="dxa"/>
          </w:tcPr>
          <w:p w14:paraId="0979683C" w14:textId="77777777" w:rsidR="00187713" w:rsidRPr="00D31EBB" w:rsidRDefault="00187713" w:rsidP="0000712C">
            <w:pPr>
              <w:pStyle w:val="EMEABodyText"/>
              <w:rPr>
                <w:szCs w:val="22"/>
              </w:rPr>
            </w:pPr>
            <w:r>
              <w:t>Voriconazole AUC ↑561% (↑451% ↑699%)</w:t>
            </w:r>
          </w:p>
          <w:p w14:paraId="11A08E68" w14:textId="77777777" w:rsidR="00187713" w:rsidRPr="00D31EBB" w:rsidRDefault="00187713" w:rsidP="0000712C">
            <w:pPr>
              <w:pStyle w:val="EMEABodyText"/>
              <w:rPr>
                <w:szCs w:val="22"/>
              </w:rPr>
            </w:pPr>
            <w:r>
              <w:t>Voriconazole C</w:t>
            </w:r>
            <w:r>
              <w:rPr>
                <w:szCs w:val="22"/>
                <w:vertAlign w:val="subscript"/>
              </w:rPr>
              <w:t>max</w:t>
            </w:r>
            <w:r>
              <w:t xml:space="preserve"> ↑438% (↑355% ↑539%)</w:t>
            </w:r>
          </w:p>
          <w:p w14:paraId="5783DFA1" w14:textId="77777777" w:rsidR="00187713" w:rsidRPr="00D31EBB" w:rsidRDefault="00187713" w:rsidP="0000712C">
            <w:pPr>
              <w:pStyle w:val="EMEABodyText"/>
              <w:rPr>
                <w:szCs w:val="22"/>
              </w:rPr>
            </w:pPr>
            <w:r>
              <w:t>Voriconazole C</w:t>
            </w:r>
            <w:r>
              <w:rPr>
                <w:szCs w:val="22"/>
                <w:vertAlign w:val="subscript"/>
              </w:rPr>
              <w:t>min</w:t>
            </w:r>
            <w:r>
              <w:t xml:space="preserve"> ↑765% (↑571% ↑1,020%)</w:t>
            </w:r>
          </w:p>
          <w:p w14:paraId="79271800" w14:textId="77777777" w:rsidR="00187713" w:rsidRPr="00D31EBB" w:rsidRDefault="00187713" w:rsidP="0000712C">
            <w:pPr>
              <w:pStyle w:val="EMEABodyText"/>
              <w:rPr>
                <w:szCs w:val="22"/>
                <w:lang w:val="en-US"/>
              </w:rPr>
            </w:pPr>
          </w:p>
          <w:p w14:paraId="6BD0A325" w14:textId="77777777" w:rsidR="00187713" w:rsidRPr="00D31EBB" w:rsidRDefault="00187713" w:rsidP="0000712C">
            <w:pPr>
              <w:pStyle w:val="EMEABodyText"/>
              <w:rPr>
                <w:szCs w:val="22"/>
                <w:lang w:val="en-US"/>
              </w:rPr>
            </w:pPr>
          </w:p>
          <w:p w14:paraId="3E0FB90E" w14:textId="77777777" w:rsidR="00187713" w:rsidRPr="00D31EBB" w:rsidRDefault="00187713" w:rsidP="0000712C">
            <w:pPr>
              <w:pStyle w:val="EMEABodyText"/>
              <w:rPr>
                <w:szCs w:val="22"/>
              </w:rPr>
            </w:pPr>
            <w:r>
              <w:t>Atazanavir AUC ↓20% (↓35% ↓3%)</w:t>
            </w:r>
          </w:p>
          <w:p w14:paraId="7C3B163D" w14:textId="77777777" w:rsidR="00187713" w:rsidRPr="00D31EBB" w:rsidRDefault="00187713" w:rsidP="0000712C">
            <w:pPr>
              <w:pStyle w:val="EMEABodyText"/>
              <w:rPr>
                <w:szCs w:val="22"/>
              </w:rPr>
            </w:pPr>
            <w:r>
              <w:t>Atazanavir C</w:t>
            </w:r>
            <w:r>
              <w:rPr>
                <w:szCs w:val="22"/>
                <w:vertAlign w:val="subscript"/>
              </w:rPr>
              <w:t>max</w:t>
            </w:r>
            <w:r>
              <w:t xml:space="preserve"> ↓19% (↓34% ↔0.2%)</w:t>
            </w:r>
          </w:p>
          <w:p w14:paraId="01D11F4B" w14:textId="77777777" w:rsidR="00187713" w:rsidRPr="00D31EBB" w:rsidRDefault="00187713" w:rsidP="0000712C">
            <w:pPr>
              <w:pStyle w:val="EMEABodyText"/>
              <w:rPr>
                <w:szCs w:val="22"/>
              </w:rPr>
            </w:pPr>
            <w:r>
              <w:t>Atazanavir C</w:t>
            </w:r>
            <w:r>
              <w:rPr>
                <w:szCs w:val="22"/>
                <w:vertAlign w:val="subscript"/>
              </w:rPr>
              <w:t>min</w:t>
            </w:r>
            <w:r>
              <w:t xml:space="preserve"> ↓ 31 % (↓46 % ↓13%)</w:t>
            </w:r>
          </w:p>
          <w:p w14:paraId="4EAA40E9" w14:textId="77777777" w:rsidR="00187713" w:rsidRPr="00D31EBB" w:rsidRDefault="00187713" w:rsidP="0000712C">
            <w:pPr>
              <w:pStyle w:val="EMEABodyText"/>
              <w:rPr>
                <w:szCs w:val="22"/>
                <w:lang w:val="en-US"/>
              </w:rPr>
            </w:pPr>
          </w:p>
          <w:p w14:paraId="7488FB1E" w14:textId="77777777" w:rsidR="00187713" w:rsidRPr="00D31EBB" w:rsidRDefault="00187713" w:rsidP="0000712C">
            <w:pPr>
              <w:pStyle w:val="EMEABodyText"/>
              <w:rPr>
                <w:szCs w:val="22"/>
                <w:lang w:val="en-US"/>
              </w:rPr>
            </w:pPr>
          </w:p>
          <w:p w14:paraId="4616A1E3" w14:textId="77777777" w:rsidR="00187713" w:rsidRPr="00D31EBB" w:rsidRDefault="00187713" w:rsidP="0000712C">
            <w:pPr>
              <w:pStyle w:val="EMEABodyText"/>
              <w:rPr>
                <w:szCs w:val="22"/>
              </w:rPr>
            </w:pPr>
            <w:r>
              <w:t>Ritonavir AUC ↓11% (↓20% ↓1%)</w:t>
            </w:r>
          </w:p>
          <w:p w14:paraId="6D4D6232" w14:textId="77777777" w:rsidR="00187713" w:rsidRPr="00D31EBB" w:rsidRDefault="00187713" w:rsidP="0000712C">
            <w:pPr>
              <w:pStyle w:val="EMEABodyText"/>
              <w:rPr>
                <w:szCs w:val="22"/>
              </w:rPr>
            </w:pPr>
            <w:r>
              <w:t>Ritonavir C</w:t>
            </w:r>
            <w:r>
              <w:rPr>
                <w:szCs w:val="22"/>
                <w:vertAlign w:val="subscript"/>
              </w:rPr>
              <w:t>max</w:t>
            </w:r>
            <w:r>
              <w:t xml:space="preserve"> ↓11% (↓24% ↑4%)</w:t>
            </w:r>
          </w:p>
          <w:p w14:paraId="4CBD051C" w14:textId="77777777" w:rsidR="00187713" w:rsidRPr="00D31EBB" w:rsidRDefault="00187713" w:rsidP="0000712C">
            <w:pPr>
              <w:pStyle w:val="EMEABodyText"/>
              <w:rPr>
                <w:szCs w:val="22"/>
              </w:rPr>
            </w:pPr>
            <w:r>
              <w:t>Ritonavir C</w:t>
            </w:r>
            <w:r>
              <w:rPr>
                <w:szCs w:val="22"/>
                <w:vertAlign w:val="subscript"/>
              </w:rPr>
              <w:t>min</w:t>
            </w:r>
            <w:r>
              <w:t xml:space="preserve"> ↓19% (↓35% ↑1%)</w:t>
            </w:r>
          </w:p>
          <w:p w14:paraId="0A79E136" w14:textId="77777777" w:rsidR="00187713" w:rsidRPr="00D31EBB" w:rsidRDefault="00187713" w:rsidP="0000712C">
            <w:pPr>
              <w:pStyle w:val="EMEABodyText"/>
              <w:rPr>
                <w:szCs w:val="22"/>
                <w:lang w:val="en-US"/>
              </w:rPr>
            </w:pPr>
          </w:p>
          <w:p w14:paraId="00C18686" w14:textId="77777777" w:rsidR="00187713" w:rsidRPr="00D31EBB" w:rsidRDefault="00187713" w:rsidP="0000712C">
            <w:pPr>
              <w:pStyle w:val="EMEABodyText"/>
              <w:rPr>
                <w:szCs w:val="22"/>
              </w:rPr>
            </w:pPr>
            <w:r>
              <w:t xml:space="preserve">In a small number of patients without a functional CYP2C19 allele, significantly increased voriconazole exposures are expected. </w:t>
            </w:r>
          </w:p>
          <w:p w14:paraId="1B52751C" w14:textId="77777777" w:rsidR="00187713" w:rsidRPr="00D31EBB" w:rsidRDefault="00187713" w:rsidP="0000712C">
            <w:pPr>
              <w:pStyle w:val="EMEABodyText"/>
              <w:rPr>
                <w:szCs w:val="22"/>
                <w:lang w:val="en-US"/>
              </w:rPr>
            </w:pPr>
          </w:p>
        </w:tc>
        <w:tc>
          <w:tcPr>
            <w:tcW w:w="3119" w:type="dxa"/>
            <w:vMerge/>
          </w:tcPr>
          <w:p w14:paraId="45637004" w14:textId="77777777" w:rsidR="00187713" w:rsidRPr="00D31EBB" w:rsidRDefault="00187713" w:rsidP="0000712C">
            <w:pPr>
              <w:pStyle w:val="EMEABodyText"/>
              <w:rPr>
                <w:szCs w:val="22"/>
                <w:lang w:val="en-US"/>
              </w:rPr>
            </w:pPr>
          </w:p>
        </w:tc>
      </w:tr>
      <w:tr w:rsidR="00187713" w:rsidRPr="00965E20" w14:paraId="57F04B96" w14:textId="77777777" w:rsidTr="0000712C">
        <w:trPr>
          <w:cantSplit/>
          <w:trHeight w:val="340"/>
        </w:trPr>
        <w:tc>
          <w:tcPr>
            <w:tcW w:w="3095" w:type="dxa"/>
          </w:tcPr>
          <w:p w14:paraId="619DA3BA" w14:textId="77777777" w:rsidR="00187713" w:rsidRPr="00D31EBB" w:rsidRDefault="00187713" w:rsidP="0000712C">
            <w:pPr>
              <w:pStyle w:val="EMEABodyText"/>
              <w:rPr>
                <w:b/>
                <w:szCs w:val="22"/>
              </w:rPr>
            </w:pPr>
            <w:r>
              <w:rPr>
                <w:b/>
                <w:szCs w:val="22"/>
              </w:rPr>
              <w:t>Fluconazole 200 mg once daily</w:t>
            </w:r>
          </w:p>
          <w:p w14:paraId="779F0456" w14:textId="77777777" w:rsidR="00187713" w:rsidRPr="00D31EBB" w:rsidRDefault="00187713" w:rsidP="0000712C">
            <w:pPr>
              <w:pStyle w:val="EMEABodyText"/>
              <w:rPr>
                <w:szCs w:val="22"/>
              </w:rPr>
            </w:pPr>
            <w:r>
              <w:t>(atazanavir 300 mg and ritonavir 100 mg once daily)</w:t>
            </w:r>
          </w:p>
        </w:tc>
        <w:tc>
          <w:tcPr>
            <w:tcW w:w="3676" w:type="dxa"/>
          </w:tcPr>
          <w:p w14:paraId="2A765B6B" w14:textId="77777777" w:rsidR="00187713" w:rsidRPr="00D31EBB" w:rsidRDefault="00187713" w:rsidP="0000712C">
            <w:pPr>
              <w:pStyle w:val="EMEABodyText"/>
              <w:rPr>
                <w:szCs w:val="22"/>
              </w:rPr>
            </w:pPr>
            <w:r>
              <w:t>Atazanavir and fluconazole concentrations were not significantly modified when REYATAZ/ritonavir was co-administered with fluconazole.</w:t>
            </w:r>
          </w:p>
        </w:tc>
        <w:tc>
          <w:tcPr>
            <w:tcW w:w="3119" w:type="dxa"/>
          </w:tcPr>
          <w:p w14:paraId="199DDB3C" w14:textId="77777777" w:rsidR="00187713" w:rsidRPr="00D31EBB" w:rsidRDefault="00187713" w:rsidP="0000712C">
            <w:pPr>
              <w:pStyle w:val="EMEABodyText"/>
              <w:rPr>
                <w:szCs w:val="22"/>
              </w:rPr>
            </w:pPr>
            <w:r>
              <w:t>No dosage adjustments are needed for REYATAZ/ritonavir and fluconazole.</w:t>
            </w:r>
          </w:p>
        </w:tc>
      </w:tr>
      <w:tr w:rsidR="00187713" w:rsidRPr="004F3582" w14:paraId="1EAD2754" w14:textId="77777777" w:rsidTr="0000712C">
        <w:trPr>
          <w:cantSplit/>
          <w:trHeight w:val="340"/>
        </w:trPr>
        <w:tc>
          <w:tcPr>
            <w:tcW w:w="9890" w:type="dxa"/>
            <w:gridSpan w:val="3"/>
          </w:tcPr>
          <w:p w14:paraId="38909B93" w14:textId="77777777" w:rsidR="00187713" w:rsidRPr="004F3582" w:rsidRDefault="00187713" w:rsidP="0000712C">
            <w:pPr>
              <w:pStyle w:val="EMEABodyText"/>
              <w:rPr>
                <w:szCs w:val="22"/>
              </w:rPr>
            </w:pPr>
            <w:r>
              <w:rPr>
                <w:b/>
                <w:szCs w:val="22"/>
              </w:rPr>
              <w:t>ANTIMYCOBACTERIAL</w:t>
            </w:r>
          </w:p>
        </w:tc>
      </w:tr>
      <w:tr w:rsidR="00187713" w:rsidRPr="004F3582" w14:paraId="73E3CA6F" w14:textId="77777777" w:rsidTr="0000712C">
        <w:trPr>
          <w:cantSplit/>
          <w:trHeight w:val="340"/>
        </w:trPr>
        <w:tc>
          <w:tcPr>
            <w:tcW w:w="3095" w:type="dxa"/>
          </w:tcPr>
          <w:p w14:paraId="73CA7B95" w14:textId="77777777" w:rsidR="00187713" w:rsidRPr="00D31EBB" w:rsidRDefault="00187713" w:rsidP="0000712C">
            <w:pPr>
              <w:pStyle w:val="EMEABodyText"/>
              <w:rPr>
                <w:b/>
                <w:szCs w:val="22"/>
              </w:rPr>
            </w:pPr>
            <w:r>
              <w:rPr>
                <w:b/>
                <w:szCs w:val="22"/>
              </w:rPr>
              <w:t>Rifabutin 150 mg twice weekly</w:t>
            </w:r>
          </w:p>
          <w:p w14:paraId="39F3FA91" w14:textId="77777777" w:rsidR="00187713" w:rsidRPr="00D31EBB" w:rsidRDefault="00187713" w:rsidP="0000712C">
            <w:pPr>
              <w:pStyle w:val="EMEABodyText"/>
              <w:rPr>
                <w:szCs w:val="22"/>
              </w:rPr>
            </w:pPr>
            <w:r>
              <w:t>(atazanavir 300 mg and ritonavir 100 mg once daily)</w:t>
            </w:r>
          </w:p>
        </w:tc>
        <w:tc>
          <w:tcPr>
            <w:tcW w:w="3676" w:type="dxa"/>
          </w:tcPr>
          <w:p w14:paraId="5FE054D5" w14:textId="77777777" w:rsidR="00187713" w:rsidRPr="00D31EBB" w:rsidRDefault="00187713" w:rsidP="0000712C">
            <w:pPr>
              <w:pStyle w:val="EMEABodyText"/>
              <w:rPr>
                <w:szCs w:val="22"/>
              </w:rPr>
            </w:pPr>
            <w:r>
              <w:t>Rifabutin AUC ↑48% (↑19% ↑84%) **</w:t>
            </w:r>
          </w:p>
          <w:p w14:paraId="3C234625" w14:textId="77777777" w:rsidR="00187713" w:rsidRPr="00D31EBB" w:rsidRDefault="00187713" w:rsidP="0000712C">
            <w:pPr>
              <w:pStyle w:val="EMEABodyText"/>
              <w:rPr>
                <w:szCs w:val="22"/>
              </w:rPr>
            </w:pPr>
            <w:r>
              <w:t>Rifabutin C</w:t>
            </w:r>
            <w:r>
              <w:rPr>
                <w:szCs w:val="22"/>
                <w:vertAlign w:val="subscript"/>
              </w:rPr>
              <w:t>max</w:t>
            </w:r>
            <w:r>
              <w:t xml:space="preserve"> ↑149% (↑103% ↑206%) **</w:t>
            </w:r>
          </w:p>
          <w:p w14:paraId="3046E052" w14:textId="77777777" w:rsidR="00187713" w:rsidRPr="00D31EBB" w:rsidRDefault="00187713" w:rsidP="0000712C">
            <w:pPr>
              <w:pStyle w:val="EMEABodyText"/>
              <w:rPr>
                <w:szCs w:val="22"/>
              </w:rPr>
            </w:pPr>
            <w:r>
              <w:t>Rifabutin C</w:t>
            </w:r>
            <w:r>
              <w:rPr>
                <w:szCs w:val="22"/>
                <w:vertAlign w:val="subscript"/>
              </w:rPr>
              <w:t>min</w:t>
            </w:r>
            <w:r>
              <w:t xml:space="preserve"> ↑40% (↑5% ↑87%) **</w:t>
            </w:r>
          </w:p>
          <w:p w14:paraId="2A186C54" w14:textId="77777777" w:rsidR="00187713" w:rsidRPr="002E2C1C" w:rsidRDefault="00187713" w:rsidP="0000712C">
            <w:pPr>
              <w:pStyle w:val="EMEABodyText"/>
              <w:rPr>
                <w:szCs w:val="22"/>
              </w:rPr>
            </w:pPr>
          </w:p>
          <w:p w14:paraId="06009162" w14:textId="77777777" w:rsidR="00187713" w:rsidRPr="00D31EBB" w:rsidRDefault="00187713" w:rsidP="0000712C">
            <w:pPr>
              <w:pStyle w:val="EMEABodyText"/>
              <w:rPr>
                <w:szCs w:val="22"/>
              </w:rPr>
            </w:pPr>
            <w:r>
              <w:t>25-O-desacetyl-rifabutin AUC ↑990% (↑714% ↑1361%) **</w:t>
            </w:r>
          </w:p>
          <w:p w14:paraId="5ED61F49" w14:textId="77777777" w:rsidR="00187713" w:rsidRPr="00D31EBB" w:rsidRDefault="00187713" w:rsidP="0000712C">
            <w:pPr>
              <w:pStyle w:val="EMEABodyText"/>
              <w:rPr>
                <w:szCs w:val="22"/>
              </w:rPr>
            </w:pPr>
            <w:r>
              <w:t>25-O-desacetyl-rifabutin C</w:t>
            </w:r>
            <w:r>
              <w:rPr>
                <w:szCs w:val="22"/>
                <w:vertAlign w:val="subscript"/>
              </w:rPr>
              <w:t>max</w:t>
            </w:r>
            <w:r>
              <w:t xml:space="preserve"> ↑677% (↑513% ↑883%) **</w:t>
            </w:r>
          </w:p>
          <w:p w14:paraId="577B26AF" w14:textId="77777777" w:rsidR="00187713" w:rsidRPr="00D31EBB" w:rsidRDefault="00187713" w:rsidP="0000712C">
            <w:pPr>
              <w:pStyle w:val="EMEABodyText"/>
              <w:rPr>
                <w:szCs w:val="22"/>
              </w:rPr>
            </w:pPr>
            <w:r>
              <w:t>25-O-desacetyl-rifabutin C</w:t>
            </w:r>
            <w:r>
              <w:rPr>
                <w:szCs w:val="22"/>
                <w:vertAlign w:val="subscript"/>
              </w:rPr>
              <w:t>min</w:t>
            </w:r>
            <w:r>
              <w:t xml:space="preserve"> ↑1045% (↑715% ↑1510%) **</w:t>
            </w:r>
          </w:p>
          <w:p w14:paraId="2A87E862" w14:textId="77777777" w:rsidR="00187713" w:rsidRPr="00D31EBB" w:rsidRDefault="00187713" w:rsidP="0000712C">
            <w:pPr>
              <w:pStyle w:val="EMEABodyText"/>
              <w:rPr>
                <w:szCs w:val="22"/>
                <w:lang w:val="en-US"/>
              </w:rPr>
            </w:pPr>
          </w:p>
          <w:p w14:paraId="3AEAC527" w14:textId="77777777" w:rsidR="00187713" w:rsidRPr="00D31EBB" w:rsidRDefault="00187713" w:rsidP="0000712C">
            <w:pPr>
              <w:pStyle w:val="EMEABodyText"/>
              <w:rPr>
                <w:szCs w:val="22"/>
              </w:rPr>
            </w:pPr>
            <w:r>
              <w:t>** When compared to rifabutin 150 mg once daily alone. Total rifabutin and 25-O-desacetyl-rifabutin AUC ↑119% (↑78% ↑169%).</w:t>
            </w:r>
          </w:p>
          <w:p w14:paraId="5B9A42EE" w14:textId="77777777" w:rsidR="00187713" w:rsidRPr="00D31EBB" w:rsidRDefault="00187713" w:rsidP="0000712C">
            <w:pPr>
              <w:pStyle w:val="EMEABodyText"/>
              <w:rPr>
                <w:szCs w:val="22"/>
                <w:lang w:val="en-US"/>
              </w:rPr>
            </w:pPr>
          </w:p>
          <w:p w14:paraId="48069587" w14:textId="77777777" w:rsidR="00187713" w:rsidRPr="00D31EBB" w:rsidRDefault="00187713" w:rsidP="0000712C">
            <w:pPr>
              <w:pStyle w:val="EMEABodyText"/>
              <w:rPr>
                <w:szCs w:val="22"/>
              </w:rPr>
            </w:pPr>
            <w:r>
              <w:t>In previous studies, the pharmacokinetics of atazanavir was not altered by rifabutin.</w:t>
            </w:r>
          </w:p>
        </w:tc>
        <w:tc>
          <w:tcPr>
            <w:tcW w:w="3119" w:type="dxa"/>
          </w:tcPr>
          <w:p w14:paraId="3FA3398E" w14:textId="77777777" w:rsidR="00187713" w:rsidRPr="004F3582" w:rsidRDefault="00187713" w:rsidP="0000712C">
            <w:pPr>
              <w:pStyle w:val="EMEABodyText"/>
              <w:rPr>
                <w:szCs w:val="22"/>
              </w:rPr>
            </w:pPr>
            <w:r>
              <w:t>When given with REYATAZ/ritonavir, the recommended dose of rifabutin is 150 mg 3 times per week on set days (for example Monday-Wednesday-Friday). Increased monitoring for rifabutin-associated adverse reactions including neutropenia and uveitis is warranted due to an expected increase in exposure to rifabutin. Further dosage reduction of rifabutin to 150 mg twice weekly on set days is recommended for patients in whom the 150 mg dose 3 times per week is not tolerated. It should be kept in mind that the twice weekly dosage of 150 mg may not provide an optimal exposure to rifabutin thus leading to a risk of rifamycin resistance and a treatment failure. No dose adjustment is needed for REYATAZ/ritonavir.</w:t>
            </w:r>
          </w:p>
        </w:tc>
      </w:tr>
      <w:tr w:rsidR="00187713" w:rsidRPr="00965E20" w14:paraId="5CC2716D" w14:textId="77777777" w:rsidTr="0000712C">
        <w:trPr>
          <w:cantSplit/>
          <w:trHeight w:val="340"/>
        </w:trPr>
        <w:tc>
          <w:tcPr>
            <w:tcW w:w="3095" w:type="dxa"/>
          </w:tcPr>
          <w:p w14:paraId="04D9F9F7" w14:textId="77777777" w:rsidR="00187713" w:rsidRPr="004F3582" w:rsidRDefault="00187713" w:rsidP="0000712C">
            <w:pPr>
              <w:pStyle w:val="EMEABodyText"/>
              <w:rPr>
                <w:b/>
                <w:szCs w:val="22"/>
              </w:rPr>
            </w:pPr>
            <w:r>
              <w:rPr>
                <w:b/>
                <w:szCs w:val="22"/>
              </w:rPr>
              <w:t>Rifampicin</w:t>
            </w:r>
          </w:p>
        </w:tc>
        <w:tc>
          <w:tcPr>
            <w:tcW w:w="3676" w:type="dxa"/>
          </w:tcPr>
          <w:p w14:paraId="3957331A" w14:textId="77777777" w:rsidR="00187713" w:rsidRPr="00D31EBB" w:rsidRDefault="00187713" w:rsidP="0000712C">
            <w:pPr>
              <w:pStyle w:val="EMEABodyText"/>
              <w:rPr>
                <w:szCs w:val="22"/>
              </w:rPr>
            </w:pPr>
            <w:r>
              <w:t>Rifampicin is a strong CYP3A4 inducer and has been shown to cause a 72% decrease in atazanavir AUC which can result in virological failure and resistance development. During attempts to overcome the decreased exposure by increasing the dose of REYATAZ or other protease inhibitors with ritonavir, a high frequency of liver reactions was seen.</w:t>
            </w:r>
          </w:p>
        </w:tc>
        <w:tc>
          <w:tcPr>
            <w:tcW w:w="3119" w:type="dxa"/>
          </w:tcPr>
          <w:p w14:paraId="61503307" w14:textId="77777777" w:rsidR="00187713" w:rsidRPr="00D31EBB" w:rsidRDefault="00187713" w:rsidP="0000712C">
            <w:pPr>
              <w:pStyle w:val="EMEABodyText"/>
              <w:rPr>
                <w:szCs w:val="22"/>
              </w:rPr>
            </w:pPr>
            <w:r>
              <w:t>The combination of rifampicin and REYATAZ with concomitant low-dose ritonavir is contraindicated (see section 4.3).</w:t>
            </w:r>
          </w:p>
        </w:tc>
      </w:tr>
      <w:tr w:rsidR="00187713" w:rsidRPr="004F3582" w14:paraId="7E361EE9" w14:textId="77777777" w:rsidTr="0000712C">
        <w:trPr>
          <w:cantSplit/>
          <w:trHeight w:val="340"/>
        </w:trPr>
        <w:tc>
          <w:tcPr>
            <w:tcW w:w="9890" w:type="dxa"/>
            <w:gridSpan w:val="3"/>
          </w:tcPr>
          <w:p w14:paraId="2A86534B" w14:textId="77777777" w:rsidR="00187713" w:rsidRPr="004F3582" w:rsidRDefault="00187713" w:rsidP="0000712C">
            <w:pPr>
              <w:pStyle w:val="EMEABodyText"/>
              <w:rPr>
                <w:b/>
                <w:szCs w:val="22"/>
              </w:rPr>
            </w:pPr>
            <w:r>
              <w:rPr>
                <w:b/>
                <w:szCs w:val="22"/>
              </w:rPr>
              <w:t>ANTIPSYCHOTICS</w:t>
            </w:r>
          </w:p>
        </w:tc>
      </w:tr>
      <w:tr w:rsidR="00187713" w:rsidRPr="00965E20" w14:paraId="728992CE" w14:textId="77777777" w:rsidTr="0000712C">
        <w:trPr>
          <w:cantSplit/>
          <w:trHeight w:val="340"/>
        </w:trPr>
        <w:tc>
          <w:tcPr>
            <w:tcW w:w="3095" w:type="dxa"/>
          </w:tcPr>
          <w:p w14:paraId="7D4CD976" w14:textId="77777777" w:rsidR="00187713" w:rsidRPr="004F3582" w:rsidRDefault="00187713" w:rsidP="0000712C">
            <w:pPr>
              <w:pStyle w:val="EMEABodyText"/>
              <w:rPr>
                <w:b/>
                <w:szCs w:val="22"/>
              </w:rPr>
            </w:pPr>
            <w:r>
              <w:rPr>
                <w:b/>
                <w:szCs w:val="22"/>
              </w:rPr>
              <w:t>Quetiapine</w:t>
            </w:r>
          </w:p>
        </w:tc>
        <w:tc>
          <w:tcPr>
            <w:tcW w:w="3676" w:type="dxa"/>
          </w:tcPr>
          <w:p w14:paraId="083F77C9" w14:textId="77777777" w:rsidR="00187713" w:rsidRPr="00D31EBB" w:rsidRDefault="00187713" w:rsidP="0000712C">
            <w:pPr>
              <w:pStyle w:val="EMEABodyText"/>
              <w:rPr>
                <w:szCs w:val="22"/>
              </w:rPr>
            </w:pPr>
            <w:r>
              <w:t>Due to CYP3A4 inhibition by REYATAZ, concentrations of quetiapine are expected to increase.</w:t>
            </w:r>
          </w:p>
        </w:tc>
        <w:tc>
          <w:tcPr>
            <w:tcW w:w="3119" w:type="dxa"/>
          </w:tcPr>
          <w:p w14:paraId="05E30D80" w14:textId="77777777" w:rsidR="00187713" w:rsidRPr="00D31EBB" w:rsidRDefault="00187713" w:rsidP="0000712C">
            <w:pPr>
              <w:pStyle w:val="EMEABodyText"/>
              <w:rPr>
                <w:szCs w:val="22"/>
              </w:rPr>
            </w:pPr>
            <w:r>
              <w:t>Co-administration of REYATAZ/ritonavir with quetiapine is contraindicated as may increase quetiapine-related toxicity. Increased plasma concentrations of quetiapine may lead to coma (see section 4.3).</w:t>
            </w:r>
          </w:p>
        </w:tc>
      </w:tr>
      <w:tr w:rsidR="005C4B2B" w:rsidRPr="00965E20" w14:paraId="68112178" w14:textId="77777777" w:rsidTr="0000712C">
        <w:trPr>
          <w:cantSplit/>
          <w:trHeight w:val="340"/>
        </w:trPr>
        <w:tc>
          <w:tcPr>
            <w:tcW w:w="3095" w:type="dxa"/>
          </w:tcPr>
          <w:p w14:paraId="22D1E897" w14:textId="77777777" w:rsidR="005C4B2B" w:rsidRPr="004F3582" w:rsidRDefault="005C4B2B" w:rsidP="005C4B2B">
            <w:pPr>
              <w:pStyle w:val="EMEABodyText"/>
              <w:rPr>
                <w:b/>
                <w:szCs w:val="22"/>
              </w:rPr>
            </w:pPr>
            <w:r>
              <w:rPr>
                <w:b/>
                <w:bCs/>
              </w:rPr>
              <w:t>Lurasidone</w:t>
            </w:r>
          </w:p>
        </w:tc>
        <w:tc>
          <w:tcPr>
            <w:tcW w:w="3676" w:type="dxa"/>
          </w:tcPr>
          <w:p w14:paraId="69D4B727" w14:textId="77777777" w:rsidR="005C4B2B" w:rsidRPr="00D31EBB" w:rsidRDefault="002D4A1A" w:rsidP="002D4A1A">
            <w:pPr>
              <w:pStyle w:val="EMEABodyText"/>
              <w:rPr>
                <w:szCs w:val="22"/>
              </w:rPr>
            </w:pPr>
            <w:r>
              <w:t>REYATAZ is expected to increase plasma levels of lurasidone due to CYP3A4 inhibition.</w:t>
            </w:r>
          </w:p>
        </w:tc>
        <w:tc>
          <w:tcPr>
            <w:tcW w:w="3119" w:type="dxa"/>
          </w:tcPr>
          <w:p w14:paraId="20834C41" w14:textId="77777777" w:rsidR="005C4B2B" w:rsidRPr="00D31EBB" w:rsidRDefault="005C4B2B" w:rsidP="002D4A1A">
            <w:pPr>
              <w:pStyle w:val="EMEABodyText"/>
              <w:rPr>
                <w:szCs w:val="22"/>
              </w:rPr>
            </w:pPr>
            <w:r>
              <w:t>Co-administration of lurasidone with REYATAZ is contraindicated as this may incrrease lurasidone-related toxicity (see section 4.3)</w:t>
            </w:r>
          </w:p>
        </w:tc>
      </w:tr>
      <w:tr w:rsidR="00187713" w:rsidRPr="004F3582" w14:paraId="03DB5132" w14:textId="77777777" w:rsidTr="0000712C">
        <w:trPr>
          <w:cantSplit/>
          <w:trHeight w:val="340"/>
        </w:trPr>
        <w:tc>
          <w:tcPr>
            <w:tcW w:w="9890" w:type="dxa"/>
            <w:gridSpan w:val="3"/>
          </w:tcPr>
          <w:p w14:paraId="743DD9D9" w14:textId="77777777" w:rsidR="00187713" w:rsidRPr="004F3582" w:rsidRDefault="00187713" w:rsidP="0000712C">
            <w:pPr>
              <w:pStyle w:val="EMEABodyText"/>
              <w:rPr>
                <w:szCs w:val="22"/>
              </w:rPr>
            </w:pPr>
            <w:r>
              <w:rPr>
                <w:b/>
                <w:szCs w:val="22"/>
              </w:rPr>
              <w:t>ACID REDUCING AGENTS</w:t>
            </w:r>
          </w:p>
        </w:tc>
      </w:tr>
      <w:tr w:rsidR="00187713" w:rsidRPr="004F3582" w14:paraId="53CBF3B6" w14:textId="77777777" w:rsidTr="0000712C">
        <w:trPr>
          <w:cantSplit/>
          <w:trHeight w:val="340"/>
        </w:trPr>
        <w:tc>
          <w:tcPr>
            <w:tcW w:w="9890" w:type="dxa"/>
            <w:gridSpan w:val="3"/>
          </w:tcPr>
          <w:p w14:paraId="0FC6AC48" w14:textId="77777777" w:rsidR="00187713" w:rsidRPr="004F3582" w:rsidRDefault="00187713" w:rsidP="0000712C">
            <w:pPr>
              <w:pStyle w:val="EMEABodyText"/>
              <w:rPr>
                <w:i/>
                <w:szCs w:val="22"/>
              </w:rPr>
            </w:pPr>
            <w:r>
              <w:rPr>
                <w:i/>
                <w:szCs w:val="22"/>
              </w:rPr>
              <w:t>H</w:t>
            </w:r>
            <w:r>
              <w:rPr>
                <w:i/>
                <w:szCs w:val="22"/>
                <w:vertAlign w:val="subscript"/>
              </w:rPr>
              <w:t>2</w:t>
            </w:r>
            <w:r>
              <w:rPr>
                <w:i/>
                <w:szCs w:val="22"/>
              </w:rPr>
              <w:t>-Receptor antagonists</w:t>
            </w:r>
          </w:p>
        </w:tc>
      </w:tr>
      <w:tr w:rsidR="00187713" w:rsidRPr="004F3582" w14:paraId="1A6B79B6" w14:textId="77777777" w:rsidTr="0000712C">
        <w:trPr>
          <w:cantSplit/>
          <w:trHeight w:val="255"/>
        </w:trPr>
        <w:tc>
          <w:tcPr>
            <w:tcW w:w="9890" w:type="dxa"/>
            <w:gridSpan w:val="3"/>
          </w:tcPr>
          <w:p w14:paraId="525177BD" w14:textId="77777777" w:rsidR="00187713" w:rsidRPr="004F3582" w:rsidRDefault="00187713" w:rsidP="0000712C">
            <w:pPr>
              <w:pStyle w:val="EMEABodyText"/>
              <w:rPr>
                <w:szCs w:val="22"/>
              </w:rPr>
            </w:pPr>
            <w:r>
              <w:rPr>
                <w:b/>
                <w:szCs w:val="22"/>
              </w:rPr>
              <w:t>Without Tenofovir</w:t>
            </w:r>
          </w:p>
        </w:tc>
      </w:tr>
      <w:tr w:rsidR="00187713" w:rsidRPr="00965E20" w14:paraId="33126260" w14:textId="77777777" w:rsidTr="0000712C">
        <w:trPr>
          <w:cantSplit/>
          <w:trHeight w:val="255"/>
        </w:trPr>
        <w:tc>
          <w:tcPr>
            <w:tcW w:w="6771" w:type="dxa"/>
            <w:gridSpan w:val="2"/>
          </w:tcPr>
          <w:p w14:paraId="2828EBBF" w14:textId="77777777" w:rsidR="00187713" w:rsidRPr="00D31EBB" w:rsidRDefault="00187713" w:rsidP="0000712C">
            <w:pPr>
              <w:pStyle w:val="EMEABodyText"/>
              <w:rPr>
                <w:b/>
                <w:szCs w:val="22"/>
              </w:rPr>
            </w:pPr>
            <w:r>
              <w:t>In HIV-infected patients with atazanavir/ritonavir at the recommended dose 300/100 mg once daily</w:t>
            </w:r>
          </w:p>
        </w:tc>
        <w:tc>
          <w:tcPr>
            <w:tcW w:w="3119" w:type="dxa"/>
            <w:vMerge w:val="restart"/>
          </w:tcPr>
          <w:p w14:paraId="44E8D3CE" w14:textId="77777777" w:rsidR="00187713" w:rsidRPr="00D31EBB" w:rsidRDefault="00187713" w:rsidP="0000712C">
            <w:pPr>
              <w:pStyle w:val="EMEABodyText"/>
              <w:rPr>
                <w:b/>
                <w:szCs w:val="22"/>
              </w:rPr>
            </w:pPr>
            <w:r>
              <w:rPr>
                <w:b/>
                <w:szCs w:val="22"/>
              </w:rPr>
              <w:t>For patients not taking tenofovir,</w:t>
            </w:r>
            <w:r>
              <w:t xml:space="preserve"> if REYATAZ 300 mg/ritonavir 100 mg and H</w:t>
            </w:r>
            <w:r>
              <w:rPr>
                <w:szCs w:val="22"/>
                <w:vertAlign w:val="subscript"/>
              </w:rPr>
              <w:t>2</w:t>
            </w:r>
            <w:r>
              <w:t>-receptor antagonists are co-administered, a dose equivalent to famotidine 20 mg twice daily should not be exceeded. If a higher dose of an H</w:t>
            </w:r>
            <w:r>
              <w:rPr>
                <w:szCs w:val="22"/>
                <w:vertAlign w:val="subscript"/>
              </w:rPr>
              <w:t>2</w:t>
            </w:r>
            <w:r>
              <w:t>-receptor antagonist is required (eg, famotidine 40 mg twice daily or equivalent) an increase of the REYATAZ/ritonavir dose from 300/100 mg to 400/100 mg can be considered.</w:t>
            </w:r>
          </w:p>
        </w:tc>
      </w:tr>
      <w:tr w:rsidR="00187713" w:rsidRPr="004F3582" w14:paraId="7626F5B3" w14:textId="77777777" w:rsidTr="0000712C">
        <w:trPr>
          <w:cantSplit/>
          <w:trHeight w:val="340"/>
        </w:trPr>
        <w:tc>
          <w:tcPr>
            <w:tcW w:w="3095" w:type="dxa"/>
          </w:tcPr>
          <w:p w14:paraId="6354BCDD" w14:textId="77777777" w:rsidR="00187713" w:rsidRPr="004F3582" w:rsidRDefault="00187713" w:rsidP="0000712C">
            <w:pPr>
              <w:pStyle w:val="EMEABodyText"/>
              <w:rPr>
                <w:b/>
                <w:szCs w:val="22"/>
              </w:rPr>
            </w:pPr>
            <w:r>
              <w:rPr>
                <w:b/>
                <w:szCs w:val="22"/>
              </w:rPr>
              <w:t>Famotidine 20 mg twice daily</w:t>
            </w:r>
          </w:p>
        </w:tc>
        <w:tc>
          <w:tcPr>
            <w:tcW w:w="3676" w:type="dxa"/>
          </w:tcPr>
          <w:p w14:paraId="44DE48C5" w14:textId="77777777" w:rsidR="00187713" w:rsidRPr="004F3582" w:rsidRDefault="00187713" w:rsidP="0000712C">
            <w:pPr>
              <w:pStyle w:val="EMEABodyText"/>
              <w:rPr>
                <w:szCs w:val="22"/>
              </w:rPr>
            </w:pPr>
            <w:r>
              <w:t>Atazanavir AUC ↓18% (↓25% ↑1%)</w:t>
            </w:r>
          </w:p>
          <w:p w14:paraId="1E9A8948" w14:textId="77777777" w:rsidR="00187713" w:rsidRPr="004F3582" w:rsidRDefault="00187713" w:rsidP="0000712C">
            <w:pPr>
              <w:pStyle w:val="EMEABodyText"/>
              <w:rPr>
                <w:szCs w:val="22"/>
              </w:rPr>
            </w:pPr>
            <w:r>
              <w:t>Atazanavir C</w:t>
            </w:r>
            <w:r>
              <w:rPr>
                <w:szCs w:val="22"/>
                <w:vertAlign w:val="subscript"/>
              </w:rPr>
              <w:t>max</w:t>
            </w:r>
            <w:r>
              <w:t xml:space="preserve"> ↓20% (↓32% ↓7%)</w:t>
            </w:r>
          </w:p>
          <w:p w14:paraId="29914F39" w14:textId="77777777" w:rsidR="00187713" w:rsidRPr="004F3582" w:rsidRDefault="00187713" w:rsidP="0000712C">
            <w:pPr>
              <w:pStyle w:val="EMEABodyText"/>
              <w:rPr>
                <w:szCs w:val="22"/>
              </w:rPr>
            </w:pPr>
            <w:r>
              <w:t>Atazanavir C</w:t>
            </w:r>
            <w:r>
              <w:rPr>
                <w:szCs w:val="22"/>
                <w:vertAlign w:val="subscript"/>
              </w:rPr>
              <w:t>min</w:t>
            </w:r>
            <w:r>
              <w:t xml:space="preserve"> ↔1% (↓16% ↑18%)</w:t>
            </w:r>
          </w:p>
        </w:tc>
        <w:tc>
          <w:tcPr>
            <w:tcW w:w="3119" w:type="dxa"/>
            <w:vMerge/>
          </w:tcPr>
          <w:p w14:paraId="4698FCCC" w14:textId="77777777" w:rsidR="00187713" w:rsidRPr="004F3582" w:rsidRDefault="00187713" w:rsidP="0000712C">
            <w:pPr>
              <w:pStyle w:val="EMEABodyText"/>
              <w:rPr>
                <w:szCs w:val="22"/>
              </w:rPr>
            </w:pPr>
          </w:p>
        </w:tc>
      </w:tr>
      <w:tr w:rsidR="00187713" w:rsidRPr="004F3582" w14:paraId="67EA0A36" w14:textId="77777777" w:rsidTr="0000712C">
        <w:trPr>
          <w:cantSplit/>
          <w:trHeight w:val="340"/>
        </w:trPr>
        <w:tc>
          <w:tcPr>
            <w:tcW w:w="3095" w:type="dxa"/>
          </w:tcPr>
          <w:p w14:paraId="4FACBAD4" w14:textId="77777777" w:rsidR="00187713" w:rsidRPr="004F3582" w:rsidRDefault="00187713" w:rsidP="0000712C">
            <w:pPr>
              <w:pStyle w:val="EMEABodyText"/>
              <w:rPr>
                <w:b/>
                <w:szCs w:val="22"/>
              </w:rPr>
            </w:pPr>
            <w:r>
              <w:rPr>
                <w:b/>
                <w:szCs w:val="22"/>
              </w:rPr>
              <w:t>Famotidine 40 mg twice daily</w:t>
            </w:r>
          </w:p>
        </w:tc>
        <w:tc>
          <w:tcPr>
            <w:tcW w:w="3676" w:type="dxa"/>
          </w:tcPr>
          <w:p w14:paraId="308838F3" w14:textId="77777777" w:rsidR="00187713" w:rsidRPr="004F3582" w:rsidRDefault="00187713" w:rsidP="0000712C">
            <w:pPr>
              <w:pStyle w:val="EMEABodyText"/>
              <w:rPr>
                <w:szCs w:val="22"/>
              </w:rPr>
            </w:pPr>
            <w:r>
              <w:t>Atazanavir AUC ↓23% (↓32% ↓14%)</w:t>
            </w:r>
          </w:p>
          <w:p w14:paraId="74FD8543" w14:textId="77777777" w:rsidR="00187713" w:rsidRPr="004F3582" w:rsidRDefault="00187713" w:rsidP="0000712C">
            <w:pPr>
              <w:pStyle w:val="EMEABodyText"/>
              <w:rPr>
                <w:szCs w:val="22"/>
              </w:rPr>
            </w:pPr>
            <w:r>
              <w:t>Atazanavir C</w:t>
            </w:r>
            <w:r>
              <w:rPr>
                <w:szCs w:val="22"/>
                <w:vertAlign w:val="subscript"/>
              </w:rPr>
              <w:t>max</w:t>
            </w:r>
            <w:r>
              <w:t xml:space="preserve"> ↓23% (↓33% ↓12%)</w:t>
            </w:r>
          </w:p>
          <w:p w14:paraId="3CEE4404" w14:textId="77777777" w:rsidR="00187713" w:rsidRPr="004F3582" w:rsidRDefault="00187713" w:rsidP="0000712C">
            <w:pPr>
              <w:pStyle w:val="EMEABodyText"/>
              <w:rPr>
                <w:szCs w:val="22"/>
              </w:rPr>
            </w:pPr>
            <w:r>
              <w:t>Atazanavir C</w:t>
            </w:r>
            <w:r>
              <w:rPr>
                <w:szCs w:val="22"/>
                <w:vertAlign w:val="subscript"/>
              </w:rPr>
              <w:t>min</w:t>
            </w:r>
            <w:r>
              <w:t xml:space="preserve"> ↓20% (↓31% ↓8%)</w:t>
            </w:r>
          </w:p>
        </w:tc>
        <w:tc>
          <w:tcPr>
            <w:tcW w:w="3119" w:type="dxa"/>
            <w:vMerge/>
          </w:tcPr>
          <w:p w14:paraId="1BB41DDB" w14:textId="77777777" w:rsidR="00187713" w:rsidRPr="004F3582" w:rsidRDefault="00187713" w:rsidP="0000712C">
            <w:pPr>
              <w:pStyle w:val="EMEABodyText"/>
              <w:rPr>
                <w:szCs w:val="22"/>
              </w:rPr>
            </w:pPr>
          </w:p>
        </w:tc>
      </w:tr>
      <w:tr w:rsidR="00187713" w:rsidRPr="00965E20" w14:paraId="0DED8F70" w14:textId="77777777" w:rsidTr="0000712C">
        <w:trPr>
          <w:cantSplit/>
          <w:trHeight w:val="340"/>
        </w:trPr>
        <w:tc>
          <w:tcPr>
            <w:tcW w:w="6771" w:type="dxa"/>
            <w:gridSpan w:val="2"/>
          </w:tcPr>
          <w:p w14:paraId="1896A78A" w14:textId="77777777" w:rsidR="00187713" w:rsidRPr="00D31EBB" w:rsidRDefault="00187713" w:rsidP="0000712C">
            <w:pPr>
              <w:pStyle w:val="EMEABodyText"/>
              <w:rPr>
                <w:szCs w:val="22"/>
              </w:rPr>
            </w:pPr>
            <w:r>
              <w:t>In Healthy volunteers with atazanavir/ritonavir at an increased dose of 400/100 mg once daily</w:t>
            </w:r>
          </w:p>
        </w:tc>
        <w:tc>
          <w:tcPr>
            <w:tcW w:w="3119" w:type="dxa"/>
            <w:vMerge/>
          </w:tcPr>
          <w:p w14:paraId="66A61E84" w14:textId="77777777" w:rsidR="00187713" w:rsidRPr="00D31EBB" w:rsidRDefault="00187713" w:rsidP="0000712C">
            <w:pPr>
              <w:pStyle w:val="EMEABodyText"/>
              <w:rPr>
                <w:szCs w:val="22"/>
                <w:lang w:val="en-US"/>
              </w:rPr>
            </w:pPr>
          </w:p>
        </w:tc>
      </w:tr>
      <w:tr w:rsidR="00187713" w:rsidRPr="004F3582" w14:paraId="6467DAC4" w14:textId="77777777" w:rsidTr="0000712C">
        <w:trPr>
          <w:cantSplit/>
          <w:trHeight w:val="340"/>
        </w:trPr>
        <w:tc>
          <w:tcPr>
            <w:tcW w:w="3095" w:type="dxa"/>
          </w:tcPr>
          <w:p w14:paraId="6DA47B39" w14:textId="77777777" w:rsidR="00187713" w:rsidRPr="004F3582" w:rsidRDefault="00187713" w:rsidP="0000712C">
            <w:pPr>
              <w:pStyle w:val="EMEABodyText"/>
              <w:rPr>
                <w:b/>
                <w:szCs w:val="22"/>
              </w:rPr>
            </w:pPr>
            <w:r>
              <w:rPr>
                <w:b/>
                <w:szCs w:val="22"/>
              </w:rPr>
              <w:t>Famotidine 40 mg twice daily</w:t>
            </w:r>
          </w:p>
        </w:tc>
        <w:tc>
          <w:tcPr>
            <w:tcW w:w="3676" w:type="dxa"/>
          </w:tcPr>
          <w:p w14:paraId="5A183B1B" w14:textId="77777777" w:rsidR="00187713" w:rsidRPr="004F3582" w:rsidRDefault="00187713" w:rsidP="0000712C">
            <w:pPr>
              <w:pStyle w:val="EMEABodyText"/>
              <w:rPr>
                <w:szCs w:val="22"/>
              </w:rPr>
            </w:pPr>
            <w:r>
              <w:t>Atazanavir AUC ↔3% (↓14% ↑22%)</w:t>
            </w:r>
          </w:p>
          <w:p w14:paraId="6EA06F52" w14:textId="77777777" w:rsidR="00187713" w:rsidRPr="004F3582" w:rsidRDefault="00187713" w:rsidP="0000712C">
            <w:pPr>
              <w:pStyle w:val="EMEABodyText"/>
              <w:rPr>
                <w:szCs w:val="22"/>
              </w:rPr>
            </w:pPr>
            <w:r>
              <w:t>Atazanavir C</w:t>
            </w:r>
            <w:r>
              <w:rPr>
                <w:szCs w:val="22"/>
                <w:vertAlign w:val="subscript"/>
              </w:rPr>
              <w:t>max</w:t>
            </w:r>
            <w:r>
              <w:t xml:space="preserve"> ↔2% (↓13% ↑8%)</w:t>
            </w:r>
          </w:p>
          <w:p w14:paraId="1BDB87F0" w14:textId="77777777" w:rsidR="00187713" w:rsidRPr="004F3582" w:rsidRDefault="00187713" w:rsidP="0000712C">
            <w:pPr>
              <w:pStyle w:val="EMEABodyText"/>
              <w:rPr>
                <w:szCs w:val="22"/>
              </w:rPr>
            </w:pPr>
            <w:r>
              <w:t>Atazanavir C</w:t>
            </w:r>
            <w:r>
              <w:rPr>
                <w:szCs w:val="22"/>
                <w:vertAlign w:val="subscript"/>
              </w:rPr>
              <w:t>min</w:t>
            </w:r>
            <w:r>
              <w:t xml:space="preserve"> ↓14% (↓32% ↑8%)</w:t>
            </w:r>
          </w:p>
        </w:tc>
        <w:tc>
          <w:tcPr>
            <w:tcW w:w="3119" w:type="dxa"/>
            <w:vMerge/>
          </w:tcPr>
          <w:p w14:paraId="4FFAD26F" w14:textId="77777777" w:rsidR="00187713" w:rsidRPr="004F3582" w:rsidRDefault="00187713" w:rsidP="0000712C">
            <w:pPr>
              <w:pStyle w:val="EMEABodyText"/>
              <w:rPr>
                <w:szCs w:val="22"/>
              </w:rPr>
            </w:pPr>
          </w:p>
        </w:tc>
      </w:tr>
      <w:tr w:rsidR="00187713" w:rsidRPr="00965E20" w14:paraId="6995E5C8" w14:textId="77777777" w:rsidTr="0000712C">
        <w:trPr>
          <w:cantSplit/>
          <w:trHeight w:val="340"/>
        </w:trPr>
        <w:tc>
          <w:tcPr>
            <w:tcW w:w="9890" w:type="dxa"/>
            <w:gridSpan w:val="3"/>
          </w:tcPr>
          <w:p w14:paraId="7F40875D" w14:textId="77777777" w:rsidR="00187713" w:rsidRPr="00D31EBB" w:rsidRDefault="00187713" w:rsidP="002B73B9">
            <w:pPr>
              <w:pStyle w:val="EMEABodyText"/>
              <w:rPr>
                <w:szCs w:val="22"/>
              </w:rPr>
            </w:pPr>
            <w:r>
              <w:rPr>
                <w:b/>
                <w:szCs w:val="22"/>
              </w:rPr>
              <w:t>With Tenofovir disoproxil fumarate 300 mg once daily (equivalent to 245 mg tenofovir disoproxil)</w:t>
            </w:r>
          </w:p>
        </w:tc>
      </w:tr>
      <w:tr w:rsidR="00187713" w:rsidRPr="00965E20" w14:paraId="275B2129" w14:textId="77777777" w:rsidTr="0000712C">
        <w:trPr>
          <w:cantSplit/>
          <w:trHeight w:val="340"/>
        </w:trPr>
        <w:tc>
          <w:tcPr>
            <w:tcW w:w="6771" w:type="dxa"/>
            <w:gridSpan w:val="2"/>
          </w:tcPr>
          <w:p w14:paraId="369D122F" w14:textId="77777777" w:rsidR="00187713" w:rsidRPr="00D31EBB" w:rsidRDefault="00187713" w:rsidP="0000712C">
            <w:pPr>
              <w:pStyle w:val="EMEABodyText"/>
              <w:rPr>
                <w:szCs w:val="22"/>
              </w:rPr>
            </w:pPr>
            <w:r>
              <w:t>In HIV-infected patients with atazanavir/ritonavir at the recommended dose of 300/100 mg once daily</w:t>
            </w:r>
          </w:p>
        </w:tc>
        <w:tc>
          <w:tcPr>
            <w:tcW w:w="3119" w:type="dxa"/>
            <w:vMerge w:val="restart"/>
          </w:tcPr>
          <w:p w14:paraId="42CF5776" w14:textId="77777777" w:rsidR="00187713" w:rsidRPr="00D31EBB" w:rsidRDefault="00187713" w:rsidP="0000712C">
            <w:pPr>
              <w:pStyle w:val="EMEABodyText"/>
              <w:rPr>
                <w:szCs w:val="22"/>
              </w:rPr>
            </w:pPr>
            <w:r>
              <w:rPr>
                <w:b/>
                <w:szCs w:val="22"/>
              </w:rPr>
              <w:t xml:space="preserve">For patients who are taking tenofovir disoproxil fumarate, </w:t>
            </w:r>
            <w:r>
              <w:t>if REYATAZ/ritonavir with both tenofovir disoproxil and an H</w:t>
            </w:r>
            <w:r>
              <w:rPr>
                <w:szCs w:val="22"/>
                <w:vertAlign w:val="subscript"/>
              </w:rPr>
              <w:t>2</w:t>
            </w:r>
            <w:r>
              <w:t>-receptor antagonist are co-administered,a dose increase of REYATAZ to 400 mg with 100 mg of ritonavir is recommended. A dose equivalent to famotidine 40 mg twice daily should not be exceeded.</w:t>
            </w:r>
          </w:p>
        </w:tc>
      </w:tr>
      <w:tr w:rsidR="00187713" w:rsidRPr="004F3582" w14:paraId="1A7AD63D" w14:textId="77777777" w:rsidTr="0000712C">
        <w:trPr>
          <w:cantSplit/>
          <w:trHeight w:val="340"/>
        </w:trPr>
        <w:tc>
          <w:tcPr>
            <w:tcW w:w="3095" w:type="dxa"/>
          </w:tcPr>
          <w:p w14:paraId="6E13ECD2" w14:textId="77777777" w:rsidR="00187713" w:rsidRPr="004F3582" w:rsidRDefault="00187713" w:rsidP="0000712C">
            <w:pPr>
              <w:pStyle w:val="EMEABodyText"/>
              <w:rPr>
                <w:b/>
                <w:szCs w:val="22"/>
              </w:rPr>
            </w:pPr>
            <w:r>
              <w:rPr>
                <w:b/>
                <w:szCs w:val="22"/>
              </w:rPr>
              <w:t>Famotidine 20 mg twice daily</w:t>
            </w:r>
          </w:p>
        </w:tc>
        <w:tc>
          <w:tcPr>
            <w:tcW w:w="3676" w:type="dxa"/>
          </w:tcPr>
          <w:p w14:paraId="0D7126B5" w14:textId="77777777" w:rsidR="00187713" w:rsidRPr="004F3582" w:rsidRDefault="00187713" w:rsidP="0000712C">
            <w:pPr>
              <w:pStyle w:val="EMEABodyText"/>
              <w:rPr>
                <w:szCs w:val="22"/>
              </w:rPr>
            </w:pPr>
            <w:r>
              <w:t>Atazanavir AUC ↓21% (↓34% ↓4%) *</w:t>
            </w:r>
          </w:p>
          <w:p w14:paraId="48E6AF51" w14:textId="77777777" w:rsidR="00187713" w:rsidRPr="004F3582" w:rsidRDefault="00187713" w:rsidP="0000712C">
            <w:pPr>
              <w:pStyle w:val="EMEABodyText"/>
              <w:rPr>
                <w:szCs w:val="22"/>
              </w:rPr>
            </w:pPr>
            <w:r>
              <w:t>Atazanavir C</w:t>
            </w:r>
            <w:r>
              <w:rPr>
                <w:szCs w:val="22"/>
                <w:vertAlign w:val="subscript"/>
              </w:rPr>
              <w:t>max</w:t>
            </w:r>
            <w:r>
              <w:t xml:space="preserve"> ↓21% (↓36% ↓4%) *</w:t>
            </w:r>
          </w:p>
          <w:p w14:paraId="54E08DCB" w14:textId="77777777" w:rsidR="00187713" w:rsidRPr="004F3582" w:rsidRDefault="00187713" w:rsidP="0000712C">
            <w:pPr>
              <w:pStyle w:val="EMEABodyText"/>
              <w:rPr>
                <w:szCs w:val="22"/>
              </w:rPr>
            </w:pPr>
            <w:r>
              <w:t>Atazanavir C</w:t>
            </w:r>
            <w:r>
              <w:rPr>
                <w:szCs w:val="22"/>
                <w:vertAlign w:val="subscript"/>
              </w:rPr>
              <w:t>min</w:t>
            </w:r>
            <w:r>
              <w:t xml:space="preserve"> ↓19% (↓37% ↑5%) *</w:t>
            </w:r>
          </w:p>
          <w:p w14:paraId="45AC76A5" w14:textId="77777777" w:rsidR="00187713" w:rsidRPr="004F3582" w:rsidRDefault="00187713" w:rsidP="0000712C">
            <w:pPr>
              <w:pStyle w:val="EMEABodyText"/>
              <w:rPr>
                <w:szCs w:val="22"/>
              </w:rPr>
            </w:pPr>
          </w:p>
        </w:tc>
        <w:tc>
          <w:tcPr>
            <w:tcW w:w="3119" w:type="dxa"/>
            <w:vMerge/>
          </w:tcPr>
          <w:p w14:paraId="04505FE0" w14:textId="77777777" w:rsidR="00187713" w:rsidRPr="004F3582" w:rsidRDefault="00187713" w:rsidP="0000712C">
            <w:pPr>
              <w:pStyle w:val="EMEABodyText"/>
              <w:rPr>
                <w:szCs w:val="22"/>
              </w:rPr>
            </w:pPr>
          </w:p>
        </w:tc>
      </w:tr>
      <w:tr w:rsidR="00187713" w:rsidRPr="004F3582" w14:paraId="131440D8" w14:textId="77777777" w:rsidTr="0000712C">
        <w:trPr>
          <w:cantSplit/>
          <w:trHeight w:val="340"/>
        </w:trPr>
        <w:tc>
          <w:tcPr>
            <w:tcW w:w="3095" w:type="dxa"/>
          </w:tcPr>
          <w:p w14:paraId="7579AF09" w14:textId="77777777" w:rsidR="00187713" w:rsidRPr="004F3582" w:rsidRDefault="00187713" w:rsidP="0000712C">
            <w:pPr>
              <w:pStyle w:val="EMEABodyText"/>
              <w:rPr>
                <w:b/>
                <w:szCs w:val="22"/>
              </w:rPr>
            </w:pPr>
            <w:r>
              <w:rPr>
                <w:b/>
                <w:szCs w:val="22"/>
              </w:rPr>
              <w:t>Famotidine 40 mg twice daily</w:t>
            </w:r>
          </w:p>
        </w:tc>
        <w:tc>
          <w:tcPr>
            <w:tcW w:w="3676" w:type="dxa"/>
          </w:tcPr>
          <w:p w14:paraId="583CD40B" w14:textId="77777777" w:rsidR="00187713" w:rsidRPr="004F3582" w:rsidRDefault="00187713" w:rsidP="0000712C">
            <w:pPr>
              <w:pStyle w:val="EMEABodyText"/>
              <w:rPr>
                <w:szCs w:val="22"/>
              </w:rPr>
            </w:pPr>
            <w:r>
              <w:t>Atazanavir AUC ↓24% (↓36% ↓11%)*</w:t>
            </w:r>
          </w:p>
          <w:p w14:paraId="309F99DE" w14:textId="77777777" w:rsidR="00187713" w:rsidRPr="004F3582" w:rsidRDefault="00187713" w:rsidP="0000712C">
            <w:pPr>
              <w:pStyle w:val="EMEABodyText"/>
              <w:rPr>
                <w:szCs w:val="22"/>
              </w:rPr>
            </w:pPr>
            <w:r>
              <w:t>Atazanavir C</w:t>
            </w:r>
            <w:r>
              <w:rPr>
                <w:szCs w:val="22"/>
                <w:vertAlign w:val="subscript"/>
              </w:rPr>
              <w:t>max</w:t>
            </w:r>
            <w:r>
              <w:t xml:space="preserve"> ↓23% (↓36% ↓8%) *</w:t>
            </w:r>
          </w:p>
          <w:p w14:paraId="75DE9464" w14:textId="77777777" w:rsidR="00187713" w:rsidRPr="004F3582" w:rsidRDefault="00187713" w:rsidP="0000712C">
            <w:pPr>
              <w:pStyle w:val="EMEABodyText"/>
              <w:rPr>
                <w:szCs w:val="22"/>
              </w:rPr>
            </w:pPr>
            <w:r>
              <w:t>Atazanavir C</w:t>
            </w:r>
            <w:r>
              <w:rPr>
                <w:szCs w:val="22"/>
                <w:vertAlign w:val="subscript"/>
              </w:rPr>
              <w:t>min</w:t>
            </w:r>
            <w:r>
              <w:t xml:space="preserve"> ↓25% (↓47% ↑7%) *</w:t>
            </w:r>
          </w:p>
          <w:p w14:paraId="76EFA9C0" w14:textId="77777777" w:rsidR="00187713" w:rsidRPr="004F3582" w:rsidRDefault="00187713" w:rsidP="0000712C">
            <w:pPr>
              <w:pStyle w:val="EMEABodyText"/>
              <w:rPr>
                <w:szCs w:val="22"/>
              </w:rPr>
            </w:pPr>
          </w:p>
        </w:tc>
        <w:tc>
          <w:tcPr>
            <w:tcW w:w="3119" w:type="dxa"/>
            <w:vMerge/>
          </w:tcPr>
          <w:p w14:paraId="63501A77" w14:textId="77777777" w:rsidR="00187713" w:rsidRPr="004F3582" w:rsidRDefault="00187713" w:rsidP="0000712C">
            <w:pPr>
              <w:pStyle w:val="EMEABodyText"/>
              <w:rPr>
                <w:szCs w:val="22"/>
              </w:rPr>
            </w:pPr>
          </w:p>
        </w:tc>
      </w:tr>
      <w:tr w:rsidR="00187713" w:rsidRPr="00965E20" w14:paraId="7FA2C6EC" w14:textId="77777777" w:rsidTr="0000712C">
        <w:trPr>
          <w:cantSplit/>
          <w:trHeight w:val="340"/>
        </w:trPr>
        <w:tc>
          <w:tcPr>
            <w:tcW w:w="6771" w:type="dxa"/>
            <w:gridSpan w:val="2"/>
          </w:tcPr>
          <w:p w14:paraId="0B084A61" w14:textId="77777777" w:rsidR="00187713" w:rsidRPr="00D31EBB" w:rsidRDefault="00187713" w:rsidP="0000712C">
            <w:pPr>
              <w:pStyle w:val="EMEABodyText"/>
              <w:rPr>
                <w:szCs w:val="22"/>
              </w:rPr>
            </w:pPr>
            <w:r>
              <w:t>In HIV-infected patients with atazanavir/ritonavir at an increased dose of 400/100 mg once daily</w:t>
            </w:r>
          </w:p>
        </w:tc>
        <w:tc>
          <w:tcPr>
            <w:tcW w:w="3119" w:type="dxa"/>
            <w:vMerge/>
          </w:tcPr>
          <w:p w14:paraId="581A2FA6" w14:textId="77777777" w:rsidR="00187713" w:rsidRPr="00D31EBB" w:rsidRDefault="00187713" w:rsidP="0000712C">
            <w:pPr>
              <w:pStyle w:val="EMEABodyText"/>
              <w:rPr>
                <w:szCs w:val="22"/>
                <w:lang w:val="en-US"/>
              </w:rPr>
            </w:pPr>
          </w:p>
        </w:tc>
      </w:tr>
      <w:tr w:rsidR="00187713" w:rsidRPr="004F3582" w14:paraId="016A9ECF" w14:textId="77777777" w:rsidTr="0000712C">
        <w:trPr>
          <w:cantSplit/>
          <w:trHeight w:val="340"/>
        </w:trPr>
        <w:tc>
          <w:tcPr>
            <w:tcW w:w="3095" w:type="dxa"/>
          </w:tcPr>
          <w:p w14:paraId="22B640D9" w14:textId="77777777" w:rsidR="00187713" w:rsidRPr="004F3582" w:rsidRDefault="00187713" w:rsidP="0000712C">
            <w:pPr>
              <w:pStyle w:val="EMEABodyText"/>
              <w:rPr>
                <w:b/>
                <w:szCs w:val="22"/>
              </w:rPr>
            </w:pPr>
            <w:r>
              <w:rPr>
                <w:b/>
                <w:szCs w:val="22"/>
              </w:rPr>
              <w:t>Famotidine 20 mg twice daily</w:t>
            </w:r>
          </w:p>
        </w:tc>
        <w:tc>
          <w:tcPr>
            <w:tcW w:w="3676" w:type="dxa"/>
          </w:tcPr>
          <w:p w14:paraId="44E29B13" w14:textId="77777777" w:rsidR="00187713" w:rsidRPr="004F3582" w:rsidRDefault="00187713" w:rsidP="0000712C">
            <w:pPr>
              <w:pStyle w:val="EMEABodyText"/>
              <w:rPr>
                <w:szCs w:val="22"/>
              </w:rPr>
            </w:pPr>
            <w:r>
              <w:t>Atazanavir AUC ↑18% (↑6.5% ↑30%)*</w:t>
            </w:r>
          </w:p>
          <w:p w14:paraId="4464045D" w14:textId="77777777" w:rsidR="00187713" w:rsidRPr="004F3582" w:rsidRDefault="00187713" w:rsidP="0000712C">
            <w:pPr>
              <w:pStyle w:val="EMEABodyText"/>
              <w:rPr>
                <w:szCs w:val="22"/>
              </w:rPr>
            </w:pPr>
            <w:r>
              <w:t>Atazanavir C</w:t>
            </w:r>
            <w:r>
              <w:rPr>
                <w:szCs w:val="22"/>
                <w:vertAlign w:val="subscript"/>
              </w:rPr>
              <w:t>max</w:t>
            </w:r>
            <w:r>
              <w:t xml:space="preserve"> ↑18% (↑6.7% ↑31%)*</w:t>
            </w:r>
          </w:p>
          <w:p w14:paraId="4C08432B" w14:textId="77777777" w:rsidR="00187713" w:rsidRPr="004F3582" w:rsidRDefault="00187713" w:rsidP="0000712C">
            <w:pPr>
              <w:pStyle w:val="EMEABodyText"/>
              <w:rPr>
                <w:szCs w:val="22"/>
              </w:rPr>
            </w:pPr>
            <w:r>
              <w:t>Atazanavir C</w:t>
            </w:r>
            <w:r>
              <w:rPr>
                <w:szCs w:val="22"/>
                <w:vertAlign w:val="subscript"/>
              </w:rPr>
              <w:t>min</w:t>
            </w:r>
            <w:r>
              <w:t xml:space="preserve"> ↑24 % (↑10% ↑39%)*</w:t>
            </w:r>
          </w:p>
          <w:p w14:paraId="7405AB39" w14:textId="77777777" w:rsidR="00187713" w:rsidRPr="004F3582" w:rsidRDefault="00187713" w:rsidP="0000712C">
            <w:pPr>
              <w:pStyle w:val="EMEABodyText"/>
              <w:rPr>
                <w:szCs w:val="22"/>
              </w:rPr>
            </w:pPr>
          </w:p>
        </w:tc>
        <w:tc>
          <w:tcPr>
            <w:tcW w:w="3119" w:type="dxa"/>
            <w:vMerge/>
          </w:tcPr>
          <w:p w14:paraId="1886AB69" w14:textId="77777777" w:rsidR="00187713" w:rsidRPr="004F3582" w:rsidRDefault="00187713" w:rsidP="0000712C">
            <w:pPr>
              <w:pStyle w:val="EMEABodyText"/>
              <w:rPr>
                <w:szCs w:val="22"/>
              </w:rPr>
            </w:pPr>
          </w:p>
        </w:tc>
      </w:tr>
      <w:tr w:rsidR="00187713" w:rsidRPr="004F3582" w14:paraId="78CD3F08" w14:textId="77777777" w:rsidTr="0000712C">
        <w:trPr>
          <w:cantSplit/>
          <w:trHeight w:val="340"/>
        </w:trPr>
        <w:tc>
          <w:tcPr>
            <w:tcW w:w="3095" w:type="dxa"/>
          </w:tcPr>
          <w:p w14:paraId="725B1F7F" w14:textId="77777777" w:rsidR="00187713" w:rsidRPr="004F3582" w:rsidRDefault="00187713" w:rsidP="0000712C">
            <w:pPr>
              <w:pStyle w:val="EMEABodyText"/>
              <w:rPr>
                <w:b/>
                <w:szCs w:val="22"/>
              </w:rPr>
            </w:pPr>
            <w:r>
              <w:rPr>
                <w:b/>
                <w:szCs w:val="22"/>
              </w:rPr>
              <w:t>Famotidine 40 mg twice daily</w:t>
            </w:r>
          </w:p>
        </w:tc>
        <w:tc>
          <w:tcPr>
            <w:tcW w:w="3676" w:type="dxa"/>
          </w:tcPr>
          <w:p w14:paraId="2CD44319" w14:textId="77777777" w:rsidR="00187713" w:rsidRPr="004F3582" w:rsidRDefault="00187713" w:rsidP="0000712C">
            <w:pPr>
              <w:pStyle w:val="EMEABodyText"/>
              <w:rPr>
                <w:szCs w:val="22"/>
              </w:rPr>
            </w:pPr>
            <w:r>
              <w:t>Atazanavir AUC ↔2.3% (↓13% ↑10%)*</w:t>
            </w:r>
          </w:p>
          <w:p w14:paraId="661EF41D" w14:textId="77777777" w:rsidR="00187713" w:rsidRPr="004F3582" w:rsidRDefault="00187713" w:rsidP="0000712C">
            <w:pPr>
              <w:pStyle w:val="EMEABodyText"/>
              <w:rPr>
                <w:szCs w:val="22"/>
              </w:rPr>
            </w:pPr>
            <w:r>
              <w:t>Atazanavir C</w:t>
            </w:r>
            <w:r>
              <w:rPr>
                <w:szCs w:val="22"/>
                <w:vertAlign w:val="subscript"/>
              </w:rPr>
              <w:t>max</w:t>
            </w:r>
            <w:r>
              <w:t xml:space="preserve"> ↔5% (↓17% ↑8.4%)*</w:t>
            </w:r>
          </w:p>
          <w:p w14:paraId="4C87FB2A" w14:textId="77777777" w:rsidR="00187713" w:rsidRPr="004F3582" w:rsidRDefault="00187713" w:rsidP="0000712C">
            <w:pPr>
              <w:pStyle w:val="EMEABodyText"/>
              <w:rPr>
                <w:szCs w:val="22"/>
              </w:rPr>
            </w:pPr>
            <w:r>
              <w:t>Atazanavir C</w:t>
            </w:r>
            <w:r>
              <w:rPr>
                <w:szCs w:val="22"/>
                <w:vertAlign w:val="subscript"/>
              </w:rPr>
              <w:t>min</w:t>
            </w:r>
            <w:r>
              <w:t xml:space="preserve"> ↔1.3% (↓10% ↑15)*</w:t>
            </w:r>
          </w:p>
          <w:p w14:paraId="17BB530D" w14:textId="77777777" w:rsidR="00187713" w:rsidRPr="004F3582" w:rsidRDefault="00187713" w:rsidP="0000712C">
            <w:pPr>
              <w:pStyle w:val="EMEABodyText"/>
              <w:rPr>
                <w:szCs w:val="22"/>
              </w:rPr>
            </w:pPr>
          </w:p>
        </w:tc>
        <w:tc>
          <w:tcPr>
            <w:tcW w:w="3119" w:type="dxa"/>
            <w:vMerge/>
          </w:tcPr>
          <w:p w14:paraId="086DD691" w14:textId="77777777" w:rsidR="00187713" w:rsidRPr="004F3582" w:rsidRDefault="00187713" w:rsidP="0000712C">
            <w:pPr>
              <w:pStyle w:val="EMEABodyText"/>
              <w:rPr>
                <w:szCs w:val="22"/>
              </w:rPr>
            </w:pPr>
          </w:p>
        </w:tc>
      </w:tr>
      <w:tr w:rsidR="00187713" w:rsidRPr="00965E20" w14:paraId="68FFEDBB" w14:textId="77777777" w:rsidTr="0000712C">
        <w:trPr>
          <w:cantSplit/>
          <w:trHeight w:val="340"/>
        </w:trPr>
        <w:tc>
          <w:tcPr>
            <w:tcW w:w="3095" w:type="dxa"/>
          </w:tcPr>
          <w:p w14:paraId="74F8053F" w14:textId="77777777" w:rsidR="00187713" w:rsidRPr="004F3582" w:rsidRDefault="00187713" w:rsidP="0000712C">
            <w:pPr>
              <w:pStyle w:val="EMEABodyText"/>
              <w:rPr>
                <w:szCs w:val="22"/>
              </w:rPr>
            </w:pPr>
          </w:p>
        </w:tc>
        <w:tc>
          <w:tcPr>
            <w:tcW w:w="3676" w:type="dxa"/>
          </w:tcPr>
          <w:p w14:paraId="69EE3F17" w14:textId="77777777" w:rsidR="00187713" w:rsidRPr="00D31EBB" w:rsidRDefault="00187713" w:rsidP="0000712C">
            <w:pPr>
              <w:pStyle w:val="EMEABodyText"/>
              <w:rPr>
                <w:szCs w:val="22"/>
              </w:rPr>
            </w:pPr>
            <w:r>
              <w:t xml:space="preserve">* When compared to atazanavir 300 mg once daily with ritonavir 100 mg once daily and tenofovir disoproxil fumarate 300 mg all as a single dose with food. When compared to atazanavir 300 mg with ritonavir 100 mg </w:t>
            </w:r>
            <w:r>
              <w:rPr>
                <w:i/>
                <w:szCs w:val="22"/>
              </w:rPr>
              <w:t>without tenofovir</w:t>
            </w:r>
            <w:r>
              <w:t xml:space="preserve">, atazanavir concentrations are expected to be additionally decreased by about 20%. </w:t>
            </w:r>
          </w:p>
          <w:p w14:paraId="73F74346" w14:textId="77777777" w:rsidR="00187713" w:rsidRPr="00D31EBB" w:rsidRDefault="00187713" w:rsidP="0000712C">
            <w:pPr>
              <w:pStyle w:val="EMEABodyText"/>
              <w:rPr>
                <w:szCs w:val="22"/>
                <w:lang w:val="en-US"/>
              </w:rPr>
            </w:pPr>
          </w:p>
          <w:p w14:paraId="6FDCC02D" w14:textId="77777777" w:rsidR="00187713" w:rsidRPr="00D31EBB" w:rsidRDefault="00187713" w:rsidP="00FD76E4">
            <w:pPr>
              <w:pStyle w:val="EMEABodyText"/>
              <w:rPr>
                <w:szCs w:val="22"/>
              </w:rPr>
            </w:pPr>
            <w:r>
              <w:t>The mechanism of interaction is decreased solubility of atazanavir as intra-gastric pH increases with H</w:t>
            </w:r>
            <w:r>
              <w:rPr>
                <w:szCs w:val="22"/>
                <w:vertAlign w:val="subscript"/>
              </w:rPr>
              <w:t>2</w:t>
            </w:r>
            <w:r>
              <w:t>-blockers.</w:t>
            </w:r>
          </w:p>
        </w:tc>
        <w:tc>
          <w:tcPr>
            <w:tcW w:w="3119" w:type="dxa"/>
            <w:vMerge/>
          </w:tcPr>
          <w:p w14:paraId="02C55FFC" w14:textId="77777777" w:rsidR="00187713" w:rsidRPr="00D31EBB" w:rsidRDefault="00187713" w:rsidP="0000712C">
            <w:pPr>
              <w:pStyle w:val="EMEABodyText"/>
              <w:rPr>
                <w:szCs w:val="22"/>
                <w:lang w:val="en-US"/>
              </w:rPr>
            </w:pPr>
          </w:p>
        </w:tc>
      </w:tr>
      <w:tr w:rsidR="00187713" w:rsidRPr="004F3582" w14:paraId="45C48A85" w14:textId="77777777" w:rsidTr="0000712C">
        <w:trPr>
          <w:cantSplit/>
          <w:trHeight w:val="340"/>
        </w:trPr>
        <w:tc>
          <w:tcPr>
            <w:tcW w:w="9890" w:type="dxa"/>
            <w:gridSpan w:val="3"/>
          </w:tcPr>
          <w:p w14:paraId="3D501F10" w14:textId="77777777" w:rsidR="00187713" w:rsidRPr="004F3582" w:rsidRDefault="00187713" w:rsidP="0000712C">
            <w:pPr>
              <w:pStyle w:val="EMEABodyText"/>
              <w:rPr>
                <w:szCs w:val="22"/>
              </w:rPr>
            </w:pPr>
            <w:r>
              <w:rPr>
                <w:i/>
                <w:szCs w:val="22"/>
              </w:rPr>
              <w:t>Proton pump inhibitors</w:t>
            </w:r>
          </w:p>
        </w:tc>
      </w:tr>
      <w:tr w:rsidR="00187713" w:rsidRPr="00965E20" w14:paraId="0A78E7FB" w14:textId="77777777" w:rsidTr="0000712C">
        <w:trPr>
          <w:cantSplit/>
          <w:trHeight w:val="340"/>
        </w:trPr>
        <w:tc>
          <w:tcPr>
            <w:tcW w:w="3095" w:type="dxa"/>
          </w:tcPr>
          <w:p w14:paraId="2002E4C3" w14:textId="77777777" w:rsidR="00187713" w:rsidRPr="00D31EBB" w:rsidRDefault="00187713" w:rsidP="0000712C">
            <w:pPr>
              <w:pStyle w:val="EMEABodyText"/>
              <w:rPr>
                <w:szCs w:val="22"/>
              </w:rPr>
            </w:pPr>
            <w:r>
              <w:rPr>
                <w:b/>
                <w:szCs w:val="22"/>
              </w:rPr>
              <w:t>Omeprazole 40 mg once daily</w:t>
            </w:r>
          </w:p>
          <w:p w14:paraId="2A0EDB84" w14:textId="77777777" w:rsidR="00187713" w:rsidRPr="00D31EBB" w:rsidRDefault="00187713" w:rsidP="0000712C">
            <w:pPr>
              <w:pStyle w:val="EMEABodyText"/>
              <w:rPr>
                <w:szCs w:val="22"/>
              </w:rPr>
            </w:pPr>
            <w:r>
              <w:t>(atazanavir 400 mg once daily with ritonavir 100 mg once daily)</w:t>
            </w:r>
          </w:p>
          <w:p w14:paraId="17082628" w14:textId="77777777" w:rsidR="00187713" w:rsidRPr="00D31EBB" w:rsidRDefault="00187713" w:rsidP="0000712C">
            <w:pPr>
              <w:pStyle w:val="EMEABodyText"/>
              <w:rPr>
                <w:szCs w:val="22"/>
                <w:lang w:val="en-US"/>
              </w:rPr>
            </w:pPr>
          </w:p>
        </w:tc>
        <w:tc>
          <w:tcPr>
            <w:tcW w:w="3676" w:type="dxa"/>
          </w:tcPr>
          <w:p w14:paraId="2EAC7FC9" w14:textId="77777777" w:rsidR="00187713" w:rsidRPr="00D31EBB" w:rsidRDefault="00187713" w:rsidP="0000712C">
            <w:pPr>
              <w:pStyle w:val="EMEABodyText"/>
              <w:rPr>
                <w:szCs w:val="22"/>
              </w:rPr>
            </w:pPr>
            <w:r>
              <w:t>Atazanavir (am): 2 hr after omeprazole</w:t>
            </w:r>
          </w:p>
          <w:p w14:paraId="2AAEFECA" w14:textId="77777777" w:rsidR="00187713" w:rsidRPr="00D31EBB" w:rsidRDefault="00187713" w:rsidP="0000712C">
            <w:pPr>
              <w:pStyle w:val="EMEABodyText"/>
              <w:rPr>
                <w:szCs w:val="22"/>
              </w:rPr>
            </w:pPr>
            <w:r>
              <w:t>Atazanavir AUC ↓61% (↓65% ↓55%)</w:t>
            </w:r>
          </w:p>
          <w:p w14:paraId="16714AC6" w14:textId="77777777" w:rsidR="00187713" w:rsidRPr="004F3582" w:rsidRDefault="00187713" w:rsidP="0000712C">
            <w:pPr>
              <w:pStyle w:val="EMEABodyText"/>
              <w:rPr>
                <w:szCs w:val="22"/>
              </w:rPr>
            </w:pPr>
            <w:r>
              <w:t>Atazanavir C</w:t>
            </w:r>
            <w:r>
              <w:rPr>
                <w:szCs w:val="22"/>
                <w:vertAlign w:val="subscript"/>
              </w:rPr>
              <w:t>max</w:t>
            </w:r>
            <w:r>
              <w:t xml:space="preserve"> ↓66% (↓62% ↓49%)</w:t>
            </w:r>
          </w:p>
          <w:p w14:paraId="134E5B09" w14:textId="77777777" w:rsidR="00187713" w:rsidRPr="004F3582" w:rsidRDefault="00187713" w:rsidP="0000712C">
            <w:pPr>
              <w:pStyle w:val="EMEABodyText"/>
              <w:rPr>
                <w:szCs w:val="22"/>
              </w:rPr>
            </w:pPr>
            <w:r>
              <w:t>Atazanavir C</w:t>
            </w:r>
            <w:r>
              <w:rPr>
                <w:szCs w:val="22"/>
                <w:vertAlign w:val="subscript"/>
              </w:rPr>
              <w:t>min</w:t>
            </w:r>
            <w:r>
              <w:t xml:space="preserve"> ↓65% (↓71% ↓59%)</w:t>
            </w:r>
          </w:p>
          <w:p w14:paraId="40071839" w14:textId="77777777" w:rsidR="00187713" w:rsidRPr="004F3582" w:rsidRDefault="00187713" w:rsidP="0000712C">
            <w:pPr>
              <w:pStyle w:val="EMEABodyText"/>
              <w:rPr>
                <w:szCs w:val="22"/>
              </w:rPr>
            </w:pPr>
          </w:p>
        </w:tc>
        <w:tc>
          <w:tcPr>
            <w:tcW w:w="3119" w:type="dxa"/>
            <w:vMerge w:val="restart"/>
          </w:tcPr>
          <w:p w14:paraId="6B392622" w14:textId="77777777" w:rsidR="00187713" w:rsidRPr="00D31EBB" w:rsidRDefault="00187713" w:rsidP="0000712C">
            <w:pPr>
              <w:pStyle w:val="EMEABodyText"/>
              <w:rPr>
                <w:szCs w:val="22"/>
              </w:rPr>
            </w:pPr>
            <w:r>
              <w:t>Co-administration of REYATAZ/ritonavir with proton pump inhibitors is not recommended. If the combination of REYATAZ/ritonavir with a proton pump inhibitor is judged unavoidable, close clinical monitoring is recommended in combination with an increase in the dose of REYATAZ to 400 mg with 100 mg of ritonavir; doses of proton pump inhibitors comparable to omeprazole 20 mg should not be exceeded (see section 4.4).</w:t>
            </w:r>
          </w:p>
        </w:tc>
      </w:tr>
      <w:tr w:rsidR="00187713" w:rsidRPr="00965E20" w14:paraId="5BED6221" w14:textId="77777777" w:rsidTr="0000712C">
        <w:trPr>
          <w:cantSplit/>
          <w:trHeight w:val="340"/>
        </w:trPr>
        <w:tc>
          <w:tcPr>
            <w:tcW w:w="3095" w:type="dxa"/>
          </w:tcPr>
          <w:p w14:paraId="5B6844F3" w14:textId="77777777" w:rsidR="00187713" w:rsidRPr="00D31EBB" w:rsidRDefault="00187713" w:rsidP="0000712C">
            <w:pPr>
              <w:pStyle w:val="EMEABodyText"/>
              <w:rPr>
                <w:b/>
                <w:szCs w:val="22"/>
              </w:rPr>
            </w:pPr>
            <w:r>
              <w:rPr>
                <w:b/>
                <w:szCs w:val="22"/>
              </w:rPr>
              <w:t>Omeprazole 20 mg once daily</w:t>
            </w:r>
          </w:p>
          <w:p w14:paraId="4A2A0408" w14:textId="77777777" w:rsidR="00187713" w:rsidRPr="00D31EBB" w:rsidRDefault="00187713" w:rsidP="0000712C">
            <w:pPr>
              <w:pStyle w:val="EMEABodyText"/>
              <w:rPr>
                <w:szCs w:val="22"/>
              </w:rPr>
            </w:pPr>
            <w:r>
              <w:t>(atazanavir 400 mg once daily with ritonavir 100 mg once daily)</w:t>
            </w:r>
          </w:p>
          <w:p w14:paraId="48E97402" w14:textId="77777777" w:rsidR="00187713" w:rsidRPr="00D31EBB" w:rsidRDefault="00187713" w:rsidP="0000712C">
            <w:pPr>
              <w:pStyle w:val="EMEABodyText"/>
              <w:rPr>
                <w:szCs w:val="22"/>
                <w:lang w:val="en-US"/>
              </w:rPr>
            </w:pPr>
          </w:p>
        </w:tc>
        <w:tc>
          <w:tcPr>
            <w:tcW w:w="3676" w:type="dxa"/>
          </w:tcPr>
          <w:p w14:paraId="3F14470B" w14:textId="77777777" w:rsidR="00187713" w:rsidRPr="00D31EBB" w:rsidRDefault="00187713" w:rsidP="0000712C">
            <w:pPr>
              <w:rPr>
                <w:szCs w:val="22"/>
              </w:rPr>
            </w:pPr>
            <w:r>
              <w:t>Atazanavir (am): 1 hr after omeprazole</w:t>
            </w:r>
          </w:p>
          <w:p w14:paraId="07F6546E" w14:textId="77777777" w:rsidR="00187713" w:rsidRPr="00D31EBB" w:rsidRDefault="00187713" w:rsidP="0000712C">
            <w:pPr>
              <w:ind w:right="-109"/>
              <w:rPr>
                <w:szCs w:val="22"/>
              </w:rPr>
            </w:pPr>
            <w:r>
              <w:t>Atazanavir AUC ↓30% (↓43% ↓14%) *</w:t>
            </w:r>
          </w:p>
          <w:p w14:paraId="1011B4DD" w14:textId="77777777" w:rsidR="00187713" w:rsidRPr="00D31EBB" w:rsidRDefault="00187713" w:rsidP="0000712C">
            <w:pPr>
              <w:ind w:right="-109"/>
              <w:rPr>
                <w:szCs w:val="22"/>
              </w:rPr>
            </w:pPr>
            <w:r>
              <w:t>Atazanavir C</w:t>
            </w:r>
            <w:r>
              <w:rPr>
                <w:szCs w:val="22"/>
                <w:vertAlign w:val="subscript"/>
              </w:rPr>
              <w:t>max</w:t>
            </w:r>
            <w:r>
              <w:t xml:space="preserve"> ↓31% (↓42% ↓17%) *</w:t>
            </w:r>
          </w:p>
          <w:p w14:paraId="12543EE8" w14:textId="77777777" w:rsidR="00187713" w:rsidRPr="00D31EBB" w:rsidRDefault="00187713" w:rsidP="0000712C">
            <w:pPr>
              <w:ind w:right="-109"/>
              <w:rPr>
                <w:szCs w:val="22"/>
              </w:rPr>
            </w:pPr>
            <w:r>
              <w:t>Atazanavir C</w:t>
            </w:r>
            <w:r>
              <w:rPr>
                <w:szCs w:val="22"/>
                <w:vertAlign w:val="subscript"/>
              </w:rPr>
              <w:t>min</w:t>
            </w:r>
            <w:r>
              <w:t xml:space="preserve"> ↓31% (↓46% ↓12%) *</w:t>
            </w:r>
          </w:p>
          <w:p w14:paraId="44FDFBBC" w14:textId="77777777" w:rsidR="00187713" w:rsidRPr="00D31EBB" w:rsidRDefault="00187713" w:rsidP="0000712C">
            <w:pPr>
              <w:pStyle w:val="EMEABodyText"/>
              <w:rPr>
                <w:szCs w:val="22"/>
                <w:lang w:val="en-US"/>
              </w:rPr>
            </w:pPr>
          </w:p>
          <w:p w14:paraId="5EAF30A3" w14:textId="77777777" w:rsidR="00187713" w:rsidRPr="00D31EBB" w:rsidRDefault="00187713" w:rsidP="0000712C">
            <w:pPr>
              <w:pStyle w:val="EMEABodyText"/>
              <w:rPr>
                <w:szCs w:val="22"/>
              </w:rPr>
            </w:pPr>
            <w:r>
              <w:t>* When compared to atazanavir 300 mg once daily with ritonavir 100 mg once daily.</w:t>
            </w:r>
          </w:p>
          <w:p w14:paraId="01E9D926" w14:textId="77777777" w:rsidR="00187713" w:rsidRPr="00D31EBB" w:rsidRDefault="00187713" w:rsidP="0000712C">
            <w:pPr>
              <w:pStyle w:val="EMEABodyText"/>
              <w:rPr>
                <w:szCs w:val="22"/>
              </w:rPr>
            </w:pPr>
            <w:r>
              <w:t>The decrease in AUC, C</w:t>
            </w:r>
            <w:r>
              <w:rPr>
                <w:szCs w:val="22"/>
                <w:vertAlign w:val="subscript"/>
              </w:rPr>
              <w:t>max</w:t>
            </w:r>
            <w:r>
              <w:t>, and C</w:t>
            </w:r>
            <w:r>
              <w:rPr>
                <w:szCs w:val="22"/>
                <w:vertAlign w:val="subscript"/>
              </w:rPr>
              <w:t>min</w:t>
            </w:r>
            <w:r>
              <w:t xml:space="preserve"> was not mitigated when an increased dose of REYATAZ/ritonavir (400/100 mg once daily) was temporally separated from omeprazole by 12 hours. Although not studied, similar results are expected with other proton pump inhibitors. This decrease in atazanavir exposure might negatively impact the efficacy of atazanavir. The mechanism of interaction is decreased solubility of atazanavir as intra-gastric pH increases with proton pump inhibitors.</w:t>
            </w:r>
          </w:p>
          <w:p w14:paraId="033C4AEB" w14:textId="77777777" w:rsidR="00187713" w:rsidRPr="00D31EBB" w:rsidRDefault="00187713" w:rsidP="0000712C">
            <w:pPr>
              <w:pStyle w:val="EMEABodyText"/>
              <w:rPr>
                <w:szCs w:val="22"/>
                <w:lang w:val="en-US"/>
              </w:rPr>
            </w:pPr>
          </w:p>
        </w:tc>
        <w:tc>
          <w:tcPr>
            <w:tcW w:w="3119" w:type="dxa"/>
            <w:vMerge/>
          </w:tcPr>
          <w:p w14:paraId="3B12D11F" w14:textId="77777777" w:rsidR="00187713" w:rsidRPr="00D31EBB" w:rsidRDefault="00187713" w:rsidP="0000712C">
            <w:pPr>
              <w:pStyle w:val="EMEABodyText"/>
              <w:rPr>
                <w:szCs w:val="22"/>
                <w:lang w:val="en-US"/>
              </w:rPr>
            </w:pPr>
          </w:p>
        </w:tc>
      </w:tr>
      <w:tr w:rsidR="00187713" w:rsidRPr="004F3582" w14:paraId="23F9AB3D" w14:textId="77777777" w:rsidTr="0000712C">
        <w:trPr>
          <w:cantSplit/>
          <w:trHeight w:val="340"/>
        </w:trPr>
        <w:tc>
          <w:tcPr>
            <w:tcW w:w="9890" w:type="dxa"/>
            <w:gridSpan w:val="3"/>
          </w:tcPr>
          <w:p w14:paraId="3CDA7650" w14:textId="77777777" w:rsidR="00187713" w:rsidRPr="004F3582" w:rsidRDefault="00187713" w:rsidP="0000712C">
            <w:pPr>
              <w:pStyle w:val="EMEABodyText"/>
              <w:rPr>
                <w:szCs w:val="22"/>
              </w:rPr>
            </w:pPr>
            <w:r>
              <w:rPr>
                <w:i/>
                <w:szCs w:val="22"/>
              </w:rPr>
              <w:t>Antacids</w:t>
            </w:r>
          </w:p>
        </w:tc>
      </w:tr>
      <w:tr w:rsidR="00187713" w:rsidRPr="00965E20" w14:paraId="584D69B0" w14:textId="77777777" w:rsidTr="0000712C">
        <w:trPr>
          <w:cantSplit/>
          <w:trHeight w:val="340"/>
        </w:trPr>
        <w:tc>
          <w:tcPr>
            <w:tcW w:w="3095" w:type="dxa"/>
          </w:tcPr>
          <w:p w14:paraId="3C2B0446" w14:textId="77777777" w:rsidR="00187713" w:rsidRPr="00D31EBB" w:rsidRDefault="00187713" w:rsidP="0000712C">
            <w:pPr>
              <w:rPr>
                <w:b/>
                <w:szCs w:val="22"/>
              </w:rPr>
            </w:pPr>
            <w:r>
              <w:rPr>
                <w:b/>
                <w:szCs w:val="22"/>
              </w:rPr>
              <w:t>Antacids and medicinal products containing buffers</w:t>
            </w:r>
          </w:p>
        </w:tc>
        <w:tc>
          <w:tcPr>
            <w:tcW w:w="3676" w:type="dxa"/>
          </w:tcPr>
          <w:p w14:paraId="594FC559" w14:textId="77777777" w:rsidR="00187713" w:rsidRPr="00D31EBB" w:rsidRDefault="00187713" w:rsidP="0000712C">
            <w:pPr>
              <w:rPr>
                <w:szCs w:val="22"/>
              </w:rPr>
            </w:pPr>
            <w:r>
              <w:t xml:space="preserve">Reduced plasma concentrations of atazanavir may be the consequence of increased gastric pH if antacids, including buffered medicinal products, are administered with REYATAZ/ritonavir. </w:t>
            </w:r>
          </w:p>
        </w:tc>
        <w:tc>
          <w:tcPr>
            <w:tcW w:w="3119" w:type="dxa"/>
          </w:tcPr>
          <w:p w14:paraId="6452D1F4" w14:textId="77777777" w:rsidR="00187713" w:rsidRPr="00D31EBB" w:rsidRDefault="00187713" w:rsidP="0000712C">
            <w:pPr>
              <w:rPr>
                <w:spacing w:val="-5"/>
                <w:szCs w:val="22"/>
              </w:rPr>
            </w:pPr>
            <w:r>
              <w:t>REYATAZ/ritonavir should be administered 2 hours before or 1 hour after antacids or buffered medicinal products.</w:t>
            </w:r>
          </w:p>
        </w:tc>
      </w:tr>
      <w:tr w:rsidR="00187713" w:rsidRPr="004F3582" w14:paraId="1CBF8EE2" w14:textId="77777777" w:rsidTr="0000712C">
        <w:trPr>
          <w:cantSplit/>
          <w:trHeight w:val="340"/>
        </w:trPr>
        <w:tc>
          <w:tcPr>
            <w:tcW w:w="9890" w:type="dxa"/>
            <w:gridSpan w:val="3"/>
          </w:tcPr>
          <w:p w14:paraId="2CDC5BEE" w14:textId="77777777" w:rsidR="00187713" w:rsidRPr="004F3582" w:rsidRDefault="00187713" w:rsidP="0000712C">
            <w:pPr>
              <w:pStyle w:val="EMEABodyText"/>
              <w:rPr>
                <w:szCs w:val="22"/>
              </w:rPr>
            </w:pPr>
            <w:r>
              <w:rPr>
                <w:b/>
                <w:szCs w:val="22"/>
              </w:rPr>
              <w:t>ALPHA 1-ADRENORECEPTOR ANTAGONIST</w:t>
            </w:r>
          </w:p>
        </w:tc>
      </w:tr>
      <w:tr w:rsidR="00187713" w:rsidRPr="00965E20" w14:paraId="6E13A887" w14:textId="77777777" w:rsidTr="0000712C">
        <w:trPr>
          <w:cantSplit/>
          <w:trHeight w:val="340"/>
        </w:trPr>
        <w:tc>
          <w:tcPr>
            <w:tcW w:w="3095" w:type="dxa"/>
          </w:tcPr>
          <w:p w14:paraId="7BD92A45" w14:textId="77777777" w:rsidR="00187713" w:rsidRPr="004F3582" w:rsidRDefault="00187713" w:rsidP="0000712C">
            <w:pPr>
              <w:rPr>
                <w:b/>
                <w:szCs w:val="22"/>
              </w:rPr>
            </w:pPr>
            <w:r>
              <w:rPr>
                <w:b/>
                <w:szCs w:val="22"/>
              </w:rPr>
              <w:t>Alfuzosin</w:t>
            </w:r>
          </w:p>
        </w:tc>
        <w:tc>
          <w:tcPr>
            <w:tcW w:w="3676" w:type="dxa"/>
          </w:tcPr>
          <w:p w14:paraId="5537A5C8" w14:textId="77777777" w:rsidR="00187713" w:rsidRPr="00D31EBB" w:rsidRDefault="00187713" w:rsidP="0000712C">
            <w:pPr>
              <w:rPr>
                <w:szCs w:val="22"/>
              </w:rPr>
            </w:pPr>
            <w:r>
              <w:t>Potential for increased alfuzosin concentrations which can result in hypotension. The mechanism of interaction is CYP3A4 inhibition by atazanavir/ritonavir.</w:t>
            </w:r>
          </w:p>
        </w:tc>
        <w:tc>
          <w:tcPr>
            <w:tcW w:w="3119" w:type="dxa"/>
          </w:tcPr>
          <w:p w14:paraId="52DFC84A" w14:textId="77777777" w:rsidR="00187713" w:rsidRPr="00D31EBB" w:rsidRDefault="00187713" w:rsidP="0000712C">
            <w:pPr>
              <w:rPr>
                <w:spacing w:val="-5"/>
                <w:szCs w:val="22"/>
              </w:rPr>
            </w:pPr>
            <w:r>
              <w:t>Co-administration of REYATAZ/ritonavir with alfuzosin is contraindicated (see section 4.3)</w:t>
            </w:r>
          </w:p>
        </w:tc>
      </w:tr>
      <w:tr w:rsidR="00187713" w:rsidRPr="004F3582" w14:paraId="2E085222" w14:textId="77777777" w:rsidTr="0000712C">
        <w:trPr>
          <w:cantSplit/>
          <w:trHeight w:val="340"/>
        </w:trPr>
        <w:tc>
          <w:tcPr>
            <w:tcW w:w="9890" w:type="dxa"/>
            <w:gridSpan w:val="3"/>
          </w:tcPr>
          <w:p w14:paraId="03354798" w14:textId="77777777" w:rsidR="00187713" w:rsidRPr="004F3582" w:rsidRDefault="00187713" w:rsidP="0000712C">
            <w:pPr>
              <w:pStyle w:val="EMEABodyText"/>
              <w:rPr>
                <w:szCs w:val="22"/>
              </w:rPr>
            </w:pPr>
            <w:r>
              <w:rPr>
                <w:b/>
                <w:szCs w:val="22"/>
              </w:rPr>
              <w:t>ANTICOAGULANTS</w:t>
            </w:r>
          </w:p>
        </w:tc>
      </w:tr>
      <w:tr w:rsidR="00187713" w:rsidRPr="00965E20" w14:paraId="531C76B4" w14:textId="77777777" w:rsidTr="0000712C">
        <w:trPr>
          <w:cantSplit/>
          <w:trHeight w:val="340"/>
        </w:trPr>
        <w:tc>
          <w:tcPr>
            <w:tcW w:w="3095" w:type="dxa"/>
          </w:tcPr>
          <w:p w14:paraId="1043B9E0" w14:textId="77777777" w:rsidR="00187713" w:rsidRPr="004F3582" w:rsidRDefault="00187713" w:rsidP="0000712C">
            <w:pPr>
              <w:rPr>
                <w:b/>
                <w:szCs w:val="22"/>
              </w:rPr>
            </w:pPr>
            <w:r>
              <w:rPr>
                <w:b/>
                <w:szCs w:val="22"/>
              </w:rPr>
              <w:t>Warfarin</w:t>
            </w:r>
          </w:p>
        </w:tc>
        <w:tc>
          <w:tcPr>
            <w:tcW w:w="3676" w:type="dxa"/>
          </w:tcPr>
          <w:p w14:paraId="113E707D" w14:textId="77777777" w:rsidR="00187713" w:rsidRPr="00D31EBB" w:rsidRDefault="00187713" w:rsidP="0000712C">
            <w:pPr>
              <w:rPr>
                <w:szCs w:val="22"/>
              </w:rPr>
            </w:pPr>
            <w:r>
              <w:t xml:space="preserve">Co-administration with REYATAZ/ritonavir has the potential to produce a decrease or, less often, an increase in INR (International Normalised Ratio). </w:t>
            </w:r>
          </w:p>
        </w:tc>
        <w:tc>
          <w:tcPr>
            <w:tcW w:w="3119" w:type="dxa"/>
          </w:tcPr>
          <w:p w14:paraId="236E2209" w14:textId="77777777" w:rsidR="00187713" w:rsidRPr="00D31EBB" w:rsidRDefault="00187713" w:rsidP="0000712C">
            <w:pPr>
              <w:rPr>
                <w:spacing w:val="-5"/>
                <w:szCs w:val="22"/>
              </w:rPr>
            </w:pPr>
            <w:r>
              <w:t>It is recommended that the INR be monitored carefully during treatment with REYATAZ/ritonavir, especially when commencing therapy.</w:t>
            </w:r>
          </w:p>
        </w:tc>
      </w:tr>
      <w:tr w:rsidR="00187713" w:rsidRPr="004F3582" w14:paraId="3313568D" w14:textId="77777777" w:rsidTr="0000712C">
        <w:trPr>
          <w:cantSplit/>
          <w:trHeight w:val="340"/>
        </w:trPr>
        <w:tc>
          <w:tcPr>
            <w:tcW w:w="9890" w:type="dxa"/>
            <w:gridSpan w:val="3"/>
          </w:tcPr>
          <w:p w14:paraId="0602C384" w14:textId="77777777" w:rsidR="00187713" w:rsidRPr="004F3582" w:rsidRDefault="00187713" w:rsidP="0000712C">
            <w:pPr>
              <w:rPr>
                <w:b/>
                <w:szCs w:val="22"/>
              </w:rPr>
            </w:pPr>
            <w:r>
              <w:rPr>
                <w:b/>
                <w:szCs w:val="22"/>
              </w:rPr>
              <w:t>ANTIEPILEPTICS</w:t>
            </w:r>
          </w:p>
        </w:tc>
      </w:tr>
      <w:tr w:rsidR="00187713" w:rsidRPr="00965E20" w14:paraId="59846CB2" w14:textId="77777777" w:rsidTr="0000712C">
        <w:trPr>
          <w:cantSplit/>
          <w:trHeight w:val="340"/>
        </w:trPr>
        <w:tc>
          <w:tcPr>
            <w:tcW w:w="3095" w:type="dxa"/>
          </w:tcPr>
          <w:p w14:paraId="07EC3086" w14:textId="77777777" w:rsidR="00187713" w:rsidRPr="004F3582" w:rsidRDefault="00187713" w:rsidP="0000712C">
            <w:pPr>
              <w:rPr>
                <w:b/>
                <w:szCs w:val="22"/>
              </w:rPr>
            </w:pPr>
            <w:r>
              <w:rPr>
                <w:b/>
                <w:szCs w:val="22"/>
              </w:rPr>
              <w:t>Carbamazepine</w:t>
            </w:r>
          </w:p>
        </w:tc>
        <w:tc>
          <w:tcPr>
            <w:tcW w:w="3676" w:type="dxa"/>
          </w:tcPr>
          <w:p w14:paraId="0B0E3B3B" w14:textId="77777777" w:rsidR="00187713" w:rsidRPr="00D31EBB" w:rsidRDefault="00187713" w:rsidP="0000712C">
            <w:pPr>
              <w:rPr>
                <w:szCs w:val="22"/>
              </w:rPr>
            </w:pPr>
            <w:r>
              <w:t xml:space="preserve">REYATAZ/ritonavir may increase plasma levels of carbamazepine due to CYP3A4 inhibition. </w:t>
            </w:r>
          </w:p>
          <w:p w14:paraId="3C0302E7" w14:textId="77777777" w:rsidR="00187713" w:rsidRPr="00D31EBB" w:rsidRDefault="00187713" w:rsidP="0000712C">
            <w:pPr>
              <w:rPr>
                <w:szCs w:val="22"/>
              </w:rPr>
            </w:pPr>
            <w:r>
              <w:t>Due to carbamazepine inducing effect, a reduction in REYATAZ/ritonavir exposure cannot be ruled out.</w:t>
            </w:r>
          </w:p>
        </w:tc>
        <w:tc>
          <w:tcPr>
            <w:tcW w:w="3119" w:type="dxa"/>
          </w:tcPr>
          <w:p w14:paraId="5A9321CC" w14:textId="77777777" w:rsidR="00187713" w:rsidRPr="00D31EBB" w:rsidRDefault="00187713" w:rsidP="0000712C">
            <w:pPr>
              <w:rPr>
                <w:szCs w:val="22"/>
              </w:rPr>
            </w:pPr>
            <w:r>
              <w:t xml:space="preserve">Carbamazepine should be used with caution in combination with REYATAZ/ritonavir. If necessary, monitor carbamazepine serum concentrations and adjust the dose accordingly. Close monitoring of the patient's virologic response should be excercised. </w:t>
            </w:r>
          </w:p>
        </w:tc>
      </w:tr>
      <w:tr w:rsidR="00187713" w:rsidRPr="00965E20" w14:paraId="678150E9" w14:textId="77777777" w:rsidTr="0000712C">
        <w:trPr>
          <w:cantSplit/>
          <w:trHeight w:val="340"/>
        </w:trPr>
        <w:tc>
          <w:tcPr>
            <w:tcW w:w="3095" w:type="dxa"/>
          </w:tcPr>
          <w:p w14:paraId="484ABD7C" w14:textId="77777777" w:rsidR="00187713" w:rsidRPr="004F3582" w:rsidRDefault="00187713" w:rsidP="0000712C">
            <w:pPr>
              <w:rPr>
                <w:b/>
                <w:szCs w:val="22"/>
              </w:rPr>
            </w:pPr>
            <w:r>
              <w:rPr>
                <w:b/>
                <w:szCs w:val="22"/>
              </w:rPr>
              <w:t>Phenytoin, phenobarbital</w:t>
            </w:r>
          </w:p>
        </w:tc>
        <w:tc>
          <w:tcPr>
            <w:tcW w:w="3676" w:type="dxa"/>
          </w:tcPr>
          <w:p w14:paraId="76540932" w14:textId="77777777" w:rsidR="00187713" w:rsidRPr="00D31EBB" w:rsidRDefault="00187713" w:rsidP="0000712C">
            <w:pPr>
              <w:rPr>
                <w:szCs w:val="22"/>
              </w:rPr>
            </w:pPr>
            <w:r>
              <w:t>Ritonavir may decrease plasma levels of phenytoin and/or phenobarbital due to CYP2C9 and CYP2C19 induction.</w:t>
            </w:r>
          </w:p>
          <w:p w14:paraId="10F1CA7D" w14:textId="77777777" w:rsidR="00187713" w:rsidRPr="00D31EBB" w:rsidRDefault="00187713" w:rsidP="0000712C">
            <w:pPr>
              <w:rPr>
                <w:szCs w:val="22"/>
              </w:rPr>
            </w:pPr>
            <w:r>
              <w:t>Due to phenitoine/phenobarbital inducing effect, a reduction in REYATAZ/ritonavir exposure cannot be ruled out</w:t>
            </w:r>
          </w:p>
        </w:tc>
        <w:tc>
          <w:tcPr>
            <w:tcW w:w="3119" w:type="dxa"/>
          </w:tcPr>
          <w:p w14:paraId="26F1D2B0" w14:textId="77777777" w:rsidR="00187713" w:rsidRPr="00D31EBB" w:rsidRDefault="00187713" w:rsidP="0000712C">
            <w:pPr>
              <w:rPr>
                <w:szCs w:val="22"/>
              </w:rPr>
            </w:pPr>
            <w:r>
              <w:t>Phenobarbital and phenytoin should be used with caution in combination with REYATAZ/ritonavir.</w:t>
            </w:r>
          </w:p>
          <w:p w14:paraId="262C6309" w14:textId="77777777" w:rsidR="00187713" w:rsidRPr="00D31EBB" w:rsidRDefault="00187713" w:rsidP="0000712C">
            <w:pPr>
              <w:rPr>
                <w:szCs w:val="22"/>
                <w:lang w:val="en-US"/>
              </w:rPr>
            </w:pPr>
          </w:p>
          <w:p w14:paraId="0FE0137C" w14:textId="77777777" w:rsidR="00187713" w:rsidRPr="00D31EBB" w:rsidRDefault="00187713" w:rsidP="0000712C">
            <w:pPr>
              <w:rPr>
                <w:szCs w:val="22"/>
              </w:rPr>
            </w:pPr>
            <w:r>
              <w:t>When REYATAZ/ritonavir is co-administered with either phenytoin or phenobarbital, a dose adjustment of phenytoin or phenobarbital may be required.</w:t>
            </w:r>
          </w:p>
          <w:p w14:paraId="22582CE7" w14:textId="77777777" w:rsidR="00187713" w:rsidRPr="00D31EBB" w:rsidRDefault="00187713" w:rsidP="0000712C">
            <w:pPr>
              <w:rPr>
                <w:szCs w:val="22"/>
                <w:lang w:val="en-US"/>
              </w:rPr>
            </w:pPr>
          </w:p>
          <w:p w14:paraId="2BBF5DE1" w14:textId="77777777" w:rsidR="00187713" w:rsidRPr="00D31EBB" w:rsidRDefault="00187713" w:rsidP="0000712C">
            <w:pPr>
              <w:rPr>
                <w:szCs w:val="22"/>
              </w:rPr>
            </w:pPr>
            <w:r>
              <w:t xml:space="preserve">Close monitoring of patient's virologic response should be exercised. </w:t>
            </w:r>
          </w:p>
        </w:tc>
      </w:tr>
      <w:tr w:rsidR="00187713" w:rsidRPr="00965E20" w14:paraId="5C3418FC" w14:textId="77777777" w:rsidTr="0000712C">
        <w:trPr>
          <w:cantSplit/>
          <w:trHeight w:val="340"/>
        </w:trPr>
        <w:tc>
          <w:tcPr>
            <w:tcW w:w="3095" w:type="dxa"/>
          </w:tcPr>
          <w:p w14:paraId="6709E21E" w14:textId="77777777" w:rsidR="00187713" w:rsidRPr="004F3582" w:rsidRDefault="00187713" w:rsidP="0000712C">
            <w:pPr>
              <w:rPr>
                <w:b/>
                <w:szCs w:val="22"/>
              </w:rPr>
            </w:pPr>
            <w:r>
              <w:rPr>
                <w:b/>
                <w:szCs w:val="22"/>
              </w:rPr>
              <w:t>Lamotrigine</w:t>
            </w:r>
          </w:p>
        </w:tc>
        <w:tc>
          <w:tcPr>
            <w:tcW w:w="3676" w:type="dxa"/>
          </w:tcPr>
          <w:p w14:paraId="01349330" w14:textId="77777777" w:rsidR="00187713" w:rsidRPr="00D31EBB" w:rsidRDefault="00187713" w:rsidP="0000712C">
            <w:pPr>
              <w:rPr>
                <w:szCs w:val="22"/>
              </w:rPr>
            </w:pPr>
            <w:r>
              <w:t>Co-administration of lamotrigine and REYATAZ/ritonavir may decrease lamotrigine plasma concentrations due to UGT1A4 induction.</w:t>
            </w:r>
          </w:p>
        </w:tc>
        <w:tc>
          <w:tcPr>
            <w:tcW w:w="3119" w:type="dxa"/>
          </w:tcPr>
          <w:p w14:paraId="58FF3655" w14:textId="77777777" w:rsidR="00187713" w:rsidRPr="00D31EBB" w:rsidRDefault="00187713" w:rsidP="0000712C">
            <w:pPr>
              <w:rPr>
                <w:szCs w:val="22"/>
              </w:rPr>
            </w:pPr>
            <w:r>
              <w:t xml:space="preserve">Lamotrigine should be used with caution in combination with REYATAZ/ritonavir. </w:t>
            </w:r>
          </w:p>
          <w:p w14:paraId="51D446ED" w14:textId="77777777" w:rsidR="00187713" w:rsidRPr="00D31EBB" w:rsidRDefault="00187713" w:rsidP="0000712C">
            <w:pPr>
              <w:rPr>
                <w:szCs w:val="22"/>
                <w:lang w:val="en-US"/>
              </w:rPr>
            </w:pPr>
          </w:p>
          <w:p w14:paraId="57B1D48D" w14:textId="77777777" w:rsidR="00187713" w:rsidRPr="00D31EBB" w:rsidRDefault="00187713" w:rsidP="0000712C">
            <w:pPr>
              <w:rPr>
                <w:szCs w:val="22"/>
              </w:rPr>
            </w:pPr>
            <w:r>
              <w:t xml:space="preserve">If necessary, monitor lamotrigine concentrations and adjust the dose accordingly. </w:t>
            </w:r>
          </w:p>
        </w:tc>
      </w:tr>
      <w:tr w:rsidR="00187713" w:rsidRPr="004F3582" w14:paraId="4611BE9B" w14:textId="77777777" w:rsidTr="0000712C">
        <w:trPr>
          <w:cantSplit/>
          <w:trHeight w:val="340"/>
        </w:trPr>
        <w:tc>
          <w:tcPr>
            <w:tcW w:w="9890" w:type="dxa"/>
            <w:gridSpan w:val="3"/>
          </w:tcPr>
          <w:p w14:paraId="55AF6DBD" w14:textId="77777777" w:rsidR="00187713" w:rsidRPr="004F3582" w:rsidRDefault="00187713" w:rsidP="0000712C">
            <w:pPr>
              <w:pStyle w:val="EMEABodyText"/>
              <w:rPr>
                <w:szCs w:val="22"/>
              </w:rPr>
            </w:pPr>
            <w:r>
              <w:rPr>
                <w:b/>
                <w:szCs w:val="22"/>
              </w:rPr>
              <w:t>ANTINEOPLASTICS AND IMMUNOSUPRESSANTS</w:t>
            </w:r>
          </w:p>
        </w:tc>
      </w:tr>
      <w:tr w:rsidR="00187713" w:rsidRPr="004F3582" w14:paraId="31CA106F" w14:textId="77777777" w:rsidTr="0000712C">
        <w:trPr>
          <w:cantSplit/>
          <w:trHeight w:val="340"/>
        </w:trPr>
        <w:tc>
          <w:tcPr>
            <w:tcW w:w="9890" w:type="dxa"/>
            <w:gridSpan w:val="3"/>
          </w:tcPr>
          <w:p w14:paraId="31CA1D12" w14:textId="77777777" w:rsidR="00187713" w:rsidRPr="004F3582" w:rsidRDefault="00187713" w:rsidP="0000712C">
            <w:pPr>
              <w:pStyle w:val="EMEABodyText"/>
              <w:rPr>
                <w:i/>
                <w:szCs w:val="22"/>
              </w:rPr>
            </w:pPr>
            <w:r>
              <w:rPr>
                <w:i/>
                <w:szCs w:val="22"/>
              </w:rPr>
              <w:t>Antineoplastics</w:t>
            </w:r>
          </w:p>
        </w:tc>
      </w:tr>
      <w:tr w:rsidR="00187713" w:rsidRPr="00965E20" w14:paraId="54124389" w14:textId="77777777" w:rsidTr="0000712C">
        <w:trPr>
          <w:cantSplit/>
          <w:trHeight w:val="340"/>
        </w:trPr>
        <w:tc>
          <w:tcPr>
            <w:tcW w:w="3095" w:type="dxa"/>
          </w:tcPr>
          <w:p w14:paraId="2FE54472" w14:textId="77777777" w:rsidR="00187713" w:rsidRPr="004F3582" w:rsidRDefault="00187713" w:rsidP="0000712C">
            <w:pPr>
              <w:rPr>
                <w:b/>
                <w:szCs w:val="22"/>
              </w:rPr>
            </w:pPr>
            <w:r>
              <w:rPr>
                <w:b/>
                <w:szCs w:val="22"/>
              </w:rPr>
              <w:t>Irinotecan</w:t>
            </w:r>
          </w:p>
        </w:tc>
        <w:tc>
          <w:tcPr>
            <w:tcW w:w="3676" w:type="dxa"/>
          </w:tcPr>
          <w:p w14:paraId="097FA641" w14:textId="77777777" w:rsidR="00187713" w:rsidRPr="00D31EBB" w:rsidRDefault="00187713" w:rsidP="0000712C">
            <w:pPr>
              <w:rPr>
                <w:szCs w:val="22"/>
              </w:rPr>
            </w:pPr>
            <w:r>
              <w:t xml:space="preserve">Atazanavir inhibits UGT and may interfere with the metabolism of irinotecan, resulting in increased irinotecan toxicities. </w:t>
            </w:r>
          </w:p>
        </w:tc>
        <w:tc>
          <w:tcPr>
            <w:tcW w:w="3119" w:type="dxa"/>
          </w:tcPr>
          <w:p w14:paraId="0119C11E" w14:textId="77777777" w:rsidR="00187713" w:rsidRPr="00D31EBB" w:rsidRDefault="00187713" w:rsidP="0000712C">
            <w:pPr>
              <w:rPr>
                <w:spacing w:val="-5"/>
                <w:szCs w:val="22"/>
              </w:rPr>
            </w:pPr>
            <w:r>
              <w:t>If REYATAZ/ritonavir is co-administered with irinotecan, patients should be closely monitored for adverse events related to irinotecan.</w:t>
            </w:r>
          </w:p>
        </w:tc>
      </w:tr>
      <w:tr w:rsidR="00187713" w:rsidRPr="004F3582" w14:paraId="65F96FFC" w14:textId="77777777" w:rsidTr="0000712C">
        <w:trPr>
          <w:cantSplit/>
          <w:trHeight w:val="340"/>
        </w:trPr>
        <w:tc>
          <w:tcPr>
            <w:tcW w:w="9890" w:type="dxa"/>
            <w:gridSpan w:val="3"/>
          </w:tcPr>
          <w:p w14:paraId="5BB5BBFB" w14:textId="77777777" w:rsidR="00187713" w:rsidRPr="004F3582" w:rsidRDefault="00187713" w:rsidP="0000712C">
            <w:pPr>
              <w:pStyle w:val="EMEABodyText"/>
              <w:rPr>
                <w:i/>
                <w:szCs w:val="22"/>
              </w:rPr>
            </w:pPr>
            <w:r>
              <w:rPr>
                <w:i/>
                <w:szCs w:val="22"/>
              </w:rPr>
              <w:t>Immunosuppressants</w:t>
            </w:r>
          </w:p>
        </w:tc>
      </w:tr>
      <w:tr w:rsidR="00187713" w:rsidRPr="00965E20" w14:paraId="26091C8B" w14:textId="77777777" w:rsidTr="0000712C">
        <w:trPr>
          <w:cantSplit/>
          <w:trHeight w:val="340"/>
        </w:trPr>
        <w:tc>
          <w:tcPr>
            <w:tcW w:w="3095" w:type="dxa"/>
          </w:tcPr>
          <w:p w14:paraId="2D4A14A7" w14:textId="77777777" w:rsidR="00187713" w:rsidRPr="004F3582" w:rsidRDefault="00187713" w:rsidP="0000712C">
            <w:pPr>
              <w:rPr>
                <w:b/>
                <w:szCs w:val="22"/>
              </w:rPr>
            </w:pPr>
            <w:r>
              <w:rPr>
                <w:b/>
                <w:szCs w:val="22"/>
              </w:rPr>
              <w:t>Cyclosporin</w:t>
            </w:r>
          </w:p>
          <w:p w14:paraId="0E07190C" w14:textId="77777777" w:rsidR="00187713" w:rsidRPr="004F3582" w:rsidRDefault="00187713" w:rsidP="0000712C">
            <w:pPr>
              <w:rPr>
                <w:b/>
                <w:szCs w:val="22"/>
              </w:rPr>
            </w:pPr>
            <w:r>
              <w:rPr>
                <w:b/>
                <w:szCs w:val="22"/>
              </w:rPr>
              <w:t>Tacrolimus</w:t>
            </w:r>
          </w:p>
          <w:p w14:paraId="415894AF" w14:textId="77777777" w:rsidR="00187713" w:rsidRPr="004F3582" w:rsidRDefault="00187713" w:rsidP="0000712C">
            <w:pPr>
              <w:rPr>
                <w:b/>
                <w:szCs w:val="22"/>
              </w:rPr>
            </w:pPr>
            <w:r>
              <w:rPr>
                <w:b/>
                <w:szCs w:val="22"/>
              </w:rPr>
              <w:t>Sirolimus</w:t>
            </w:r>
          </w:p>
          <w:p w14:paraId="7E4CE7AB" w14:textId="77777777" w:rsidR="00187713" w:rsidRPr="004F3582" w:rsidRDefault="00187713" w:rsidP="0000712C">
            <w:pPr>
              <w:rPr>
                <w:b/>
                <w:szCs w:val="22"/>
              </w:rPr>
            </w:pPr>
          </w:p>
        </w:tc>
        <w:tc>
          <w:tcPr>
            <w:tcW w:w="3676" w:type="dxa"/>
          </w:tcPr>
          <w:p w14:paraId="6760931D" w14:textId="77777777" w:rsidR="00187713" w:rsidRPr="00D31EBB" w:rsidRDefault="00187713" w:rsidP="0000712C">
            <w:pPr>
              <w:rPr>
                <w:szCs w:val="22"/>
              </w:rPr>
            </w:pPr>
            <w:r>
              <w:t>Concentrations of these immunosuppressants may be increased when co-administered with REYATAZ/ritonavir due to CYP3A4 inhibition.</w:t>
            </w:r>
          </w:p>
        </w:tc>
        <w:tc>
          <w:tcPr>
            <w:tcW w:w="3119" w:type="dxa"/>
          </w:tcPr>
          <w:p w14:paraId="7EF8B372" w14:textId="77777777" w:rsidR="00187713" w:rsidRPr="00D31EBB" w:rsidRDefault="00187713" w:rsidP="0000712C">
            <w:pPr>
              <w:rPr>
                <w:spacing w:val="-5"/>
                <w:szCs w:val="22"/>
              </w:rPr>
            </w:pPr>
            <w:r>
              <w:t>More frequent therapeutic concentration monitoring of these medicinal products is recommended until plasma levels have been stabilised.</w:t>
            </w:r>
          </w:p>
        </w:tc>
      </w:tr>
      <w:tr w:rsidR="00187713" w:rsidRPr="004F3582" w14:paraId="6EBE00C7" w14:textId="77777777" w:rsidTr="0000712C">
        <w:trPr>
          <w:cantSplit/>
          <w:trHeight w:val="340"/>
        </w:trPr>
        <w:tc>
          <w:tcPr>
            <w:tcW w:w="9890" w:type="dxa"/>
            <w:gridSpan w:val="3"/>
          </w:tcPr>
          <w:p w14:paraId="4698CB59" w14:textId="77777777" w:rsidR="00187713" w:rsidRPr="004F3582" w:rsidRDefault="00187713" w:rsidP="0000712C">
            <w:pPr>
              <w:pStyle w:val="EMEABodyText"/>
              <w:rPr>
                <w:szCs w:val="22"/>
              </w:rPr>
            </w:pPr>
            <w:r>
              <w:rPr>
                <w:b/>
                <w:szCs w:val="22"/>
              </w:rPr>
              <w:t>CARDIOVASCULAR AGENTS</w:t>
            </w:r>
          </w:p>
        </w:tc>
      </w:tr>
      <w:tr w:rsidR="00187713" w:rsidRPr="004F3582" w14:paraId="0B0006CE" w14:textId="77777777" w:rsidTr="0000712C">
        <w:trPr>
          <w:cantSplit/>
          <w:trHeight w:val="340"/>
        </w:trPr>
        <w:tc>
          <w:tcPr>
            <w:tcW w:w="9890" w:type="dxa"/>
            <w:gridSpan w:val="3"/>
          </w:tcPr>
          <w:p w14:paraId="0A30BE45" w14:textId="77777777" w:rsidR="00187713" w:rsidRPr="004F3582" w:rsidRDefault="00187713" w:rsidP="0000712C">
            <w:pPr>
              <w:pStyle w:val="EMEABodyText"/>
              <w:rPr>
                <w:i/>
                <w:szCs w:val="22"/>
              </w:rPr>
            </w:pPr>
            <w:r>
              <w:rPr>
                <w:i/>
                <w:szCs w:val="22"/>
              </w:rPr>
              <w:t>Antiarrhythmics</w:t>
            </w:r>
          </w:p>
        </w:tc>
      </w:tr>
      <w:tr w:rsidR="00187713" w:rsidRPr="004F3582" w14:paraId="27F301BE" w14:textId="77777777" w:rsidTr="0000712C">
        <w:trPr>
          <w:cantSplit/>
          <w:trHeight w:val="340"/>
        </w:trPr>
        <w:tc>
          <w:tcPr>
            <w:tcW w:w="3095" w:type="dxa"/>
          </w:tcPr>
          <w:p w14:paraId="1B11C6FC" w14:textId="77777777" w:rsidR="00187713" w:rsidRPr="004F3582" w:rsidRDefault="00187713" w:rsidP="0000712C">
            <w:pPr>
              <w:tabs>
                <w:tab w:val="left" w:pos="0"/>
              </w:tabs>
              <w:rPr>
                <w:b/>
                <w:szCs w:val="22"/>
              </w:rPr>
            </w:pPr>
            <w:r>
              <w:rPr>
                <w:b/>
                <w:szCs w:val="22"/>
              </w:rPr>
              <w:t xml:space="preserve">Amiodarone, </w:t>
            </w:r>
          </w:p>
          <w:p w14:paraId="140B633A" w14:textId="77777777" w:rsidR="00187713" w:rsidRPr="004F3582" w:rsidRDefault="00187713" w:rsidP="0000712C">
            <w:pPr>
              <w:tabs>
                <w:tab w:val="left" w:pos="0"/>
              </w:tabs>
              <w:rPr>
                <w:b/>
                <w:szCs w:val="22"/>
              </w:rPr>
            </w:pPr>
            <w:r>
              <w:rPr>
                <w:b/>
                <w:szCs w:val="22"/>
              </w:rPr>
              <w:t xml:space="preserve">Systemic lidocaine, </w:t>
            </w:r>
          </w:p>
          <w:p w14:paraId="13EA6BF5" w14:textId="77777777" w:rsidR="00187713" w:rsidRPr="004F3582" w:rsidRDefault="00187713" w:rsidP="0000712C">
            <w:pPr>
              <w:rPr>
                <w:b/>
                <w:szCs w:val="22"/>
              </w:rPr>
            </w:pPr>
            <w:r>
              <w:rPr>
                <w:b/>
                <w:szCs w:val="22"/>
              </w:rPr>
              <w:t>Quinidine</w:t>
            </w:r>
          </w:p>
        </w:tc>
        <w:tc>
          <w:tcPr>
            <w:tcW w:w="3676" w:type="dxa"/>
          </w:tcPr>
          <w:p w14:paraId="233C5F36" w14:textId="77777777" w:rsidR="00187713" w:rsidRPr="00D31EBB" w:rsidRDefault="00187713" w:rsidP="0000712C">
            <w:pPr>
              <w:rPr>
                <w:szCs w:val="22"/>
              </w:rPr>
            </w:pPr>
            <w:r>
              <w:t>Concentrations of these antiarrhythmics may be increased when co-administered with REYATAZ/ritonavir. The mechanism of amiodarone or systemic lidocaine/atazanavir interaction is CYP3A inhibition. Quinidine has a narrow therapeutic window and is contraindicated due to potential inhibition of CYP3A by REYATAZ/ritonavir.</w:t>
            </w:r>
          </w:p>
        </w:tc>
        <w:tc>
          <w:tcPr>
            <w:tcW w:w="3119" w:type="dxa"/>
          </w:tcPr>
          <w:p w14:paraId="5E1D5FD9" w14:textId="77777777" w:rsidR="00187713" w:rsidRPr="004F3582" w:rsidRDefault="00187713" w:rsidP="0000712C">
            <w:pPr>
              <w:rPr>
                <w:spacing w:val="-5"/>
                <w:szCs w:val="22"/>
              </w:rPr>
            </w:pPr>
            <w:r>
              <w:t>Caution is warranted and therapeutic concentration monitoring is recommended when available. The concomitant use of quinidine is contraindicated (see section 4.3).</w:t>
            </w:r>
          </w:p>
        </w:tc>
      </w:tr>
      <w:tr w:rsidR="00187713" w:rsidRPr="004F3582" w14:paraId="1D30C221" w14:textId="77777777" w:rsidTr="0000712C">
        <w:trPr>
          <w:cantSplit/>
          <w:trHeight w:val="340"/>
        </w:trPr>
        <w:tc>
          <w:tcPr>
            <w:tcW w:w="9890" w:type="dxa"/>
            <w:gridSpan w:val="3"/>
          </w:tcPr>
          <w:p w14:paraId="30969DCE" w14:textId="77777777" w:rsidR="00187713" w:rsidRPr="004F3582" w:rsidRDefault="00187713" w:rsidP="0000712C">
            <w:pPr>
              <w:pStyle w:val="EMEABodyText"/>
              <w:rPr>
                <w:i/>
                <w:szCs w:val="22"/>
              </w:rPr>
            </w:pPr>
            <w:r>
              <w:rPr>
                <w:i/>
                <w:szCs w:val="22"/>
              </w:rPr>
              <w:t>Calcium channel blockers</w:t>
            </w:r>
          </w:p>
        </w:tc>
      </w:tr>
      <w:tr w:rsidR="00187713" w:rsidRPr="00965E20" w14:paraId="7EF6F404" w14:textId="77777777" w:rsidTr="0000712C">
        <w:trPr>
          <w:cantSplit/>
          <w:trHeight w:val="340"/>
        </w:trPr>
        <w:tc>
          <w:tcPr>
            <w:tcW w:w="3095" w:type="dxa"/>
          </w:tcPr>
          <w:p w14:paraId="72941ABE" w14:textId="77777777" w:rsidR="00187713" w:rsidRPr="004F3582" w:rsidRDefault="00187713" w:rsidP="0000712C">
            <w:pPr>
              <w:rPr>
                <w:b/>
                <w:szCs w:val="22"/>
              </w:rPr>
            </w:pPr>
            <w:r>
              <w:rPr>
                <w:b/>
                <w:szCs w:val="22"/>
              </w:rPr>
              <w:t>Bepridil</w:t>
            </w:r>
          </w:p>
        </w:tc>
        <w:tc>
          <w:tcPr>
            <w:tcW w:w="3676" w:type="dxa"/>
          </w:tcPr>
          <w:p w14:paraId="36D2D20D" w14:textId="77777777" w:rsidR="00187713" w:rsidRPr="00D31EBB" w:rsidRDefault="00187713" w:rsidP="0000712C">
            <w:pPr>
              <w:rPr>
                <w:szCs w:val="22"/>
              </w:rPr>
            </w:pPr>
            <w:r>
              <w:t>REYATAZ/ritonavir should not be used in combination with medicinal products that are substrates of CYP3A4 and have a narrow therapeutic index.</w:t>
            </w:r>
          </w:p>
        </w:tc>
        <w:tc>
          <w:tcPr>
            <w:tcW w:w="3119" w:type="dxa"/>
          </w:tcPr>
          <w:p w14:paraId="50D10D45" w14:textId="77777777" w:rsidR="00187713" w:rsidRPr="00D31EBB" w:rsidRDefault="00187713" w:rsidP="0000712C">
            <w:pPr>
              <w:rPr>
                <w:spacing w:val="-5"/>
                <w:szCs w:val="22"/>
              </w:rPr>
            </w:pPr>
            <w:r>
              <w:t>Co-administration with bepridil is contraindicated (see section 4.3)</w:t>
            </w:r>
          </w:p>
        </w:tc>
      </w:tr>
      <w:tr w:rsidR="00187713" w:rsidRPr="00965E20" w14:paraId="221C1BBA" w14:textId="77777777" w:rsidTr="0000712C">
        <w:trPr>
          <w:cantSplit/>
          <w:trHeight w:val="340"/>
        </w:trPr>
        <w:tc>
          <w:tcPr>
            <w:tcW w:w="3095" w:type="dxa"/>
          </w:tcPr>
          <w:p w14:paraId="62FC497E" w14:textId="77777777" w:rsidR="00187713" w:rsidRPr="00D31EBB" w:rsidRDefault="00187713" w:rsidP="0000712C">
            <w:pPr>
              <w:pStyle w:val="EMEABodyText"/>
              <w:rPr>
                <w:b/>
                <w:szCs w:val="22"/>
              </w:rPr>
            </w:pPr>
            <w:r>
              <w:rPr>
                <w:b/>
                <w:szCs w:val="22"/>
              </w:rPr>
              <w:t>Diltiazem 180 mg once daily</w:t>
            </w:r>
          </w:p>
          <w:p w14:paraId="039C5359" w14:textId="77777777" w:rsidR="00187713" w:rsidRPr="00D31EBB" w:rsidRDefault="00187713" w:rsidP="0000712C">
            <w:pPr>
              <w:pStyle w:val="EMEABodyText"/>
              <w:rPr>
                <w:szCs w:val="22"/>
              </w:rPr>
            </w:pPr>
            <w:r>
              <w:t>(atazanavir 400 mg once daily)</w:t>
            </w:r>
          </w:p>
        </w:tc>
        <w:tc>
          <w:tcPr>
            <w:tcW w:w="3676" w:type="dxa"/>
          </w:tcPr>
          <w:p w14:paraId="1F363861" w14:textId="77777777" w:rsidR="00187713" w:rsidRPr="00D31EBB" w:rsidRDefault="00187713" w:rsidP="0000712C">
            <w:pPr>
              <w:pStyle w:val="EMEABodyText"/>
              <w:rPr>
                <w:szCs w:val="22"/>
              </w:rPr>
            </w:pPr>
            <w:r>
              <w:t>Diltiazem AUC ↑125% (↑109% ↑141%)</w:t>
            </w:r>
          </w:p>
          <w:p w14:paraId="7E1D99CE" w14:textId="77777777" w:rsidR="00187713" w:rsidRPr="00D31EBB" w:rsidRDefault="00187713" w:rsidP="0000712C">
            <w:pPr>
              <w:pStyle w:val="EMEABodyText"/>
              <w:rPr>
                <w:szCs w:val="22"/>
              </w:rPr>
            </w:pPr>
            <w:r>
              <w:t>Diltiazem C</w:t>
            </w:r>
            <w:r>
              <w:rPr>
                <w:szCs w:val="22"/>
                <w:vertAlign w:val="subscript"/>
              </w:rPr>
              <w:t>max</w:t>
            </w:r>
            <w:r>
              <w:t xml:space="preserve"> ↑98% (↑78% ↑119%)</w:t>
            </w:r>
          </w:p>
          <w:p w14:paraId="50A2795C" w14:textId="77777777" w:rsidR="00187713" w:rsidRPr="00D31EBB" w:rsidRDefault="00187713" w:rsidP="0000712C">
            <w:pPr>
              <w:pStyle w:val="EMEABodyText"/>
              <w:rPr>
                <w:szCs w:val="22"/>
              </w:rPr>
            </w:pPr>
            <w:r>
              <w:t>Diltiazem C</w:t>
            </w:r>
            <w:r>
              <w:rPr>
                <w:szCs w:val="22"/>
                <w:vertAlign w:val="subscript"/>
              </w:rPr>
              <w:t>min</w:t>
            </w:r>
            <w:r>
              <w:t xml:space="preserve"> ↑142% (↑114% ↑173%)</w:t>
            </w:r>
          </w:p>
          <w:p w14:paraId="04168C47" w14:textId="77777777" w:rsidR="00187713" w:rsidRPr="002E2C1C" w:rsidRDefault="00187713" w:rsidP="0000712C">
            <w:pPr>
              <w:pStyle w:val="EMEABodyText"/>
              <w:rPr>
                <w:szCs w:val="22"/>
              </w:rPr>
            </w:pPr>
          </w:p>
          <w:p w14:paraId="701028B4" w14:textId="77777777" w:rsidR="00187713" w:rsidRPr="00D31EBB" w:rsidRDefault="00187713" w:rsidP="0000712C">
            <w:pPr>
              <w:pStyle w:val="EMEABodyText"/>
              <w:rPr>
                <w:szCs w:val="22"/>
              </w:rPr>
            </w:pPr>
            <w:r>
              <w:t>Desacetyl-diltiazem AUC ↑165% (↑145% ↑187%)</w:t>
            </w:r>
          </w:p>
          <w:p w14:paraId="36F661F9" w14:textId="77777777" w:rsidR="00187713" w:rsidRPr="00D31EBB" w:rsidRDefault="00187713" w:rsidP="0000712C">
            <w:pPr>
              <w:pStyle w:val="EMEABodyText"/>
              <w:rPr>
                <w:szCs w:val="22"/>
              </w:rPr>
            </w:pPr>
            <w:r>
              <w:t>Desacetyl-diltiazem C</w:t>
            </w:r>
            <w:r>
              <w:rPr>
                <w:szCs w:val="22"/>
                <w:vertAlign w:val="subscript"/>
              </w:rPr>
              <w:t>max</w:t>
            </w:r>
            <w:r>
              <w:t xml:space="preserve"> ↑172% (↑144% ↑203%)</w:t>
            </w:r>
          </w:p>
          <w:p w14:paraId="25196C8B" w14:textId="77777777" w:rsidR="00187713" w:rsidRPr="00D31EBB" w:rsidRDefault="00187713" w:rsidP="0000712C">
            <w:pPr>
              <w:pStyle w:val="EMEABodyText"/>
              <w:rPr>
                <w:szCs w:val="22"/>
              </w:rPr>
            </w:pPr>
            <w:r>
              <w:t>Desacetyl-diltiazem C</w:t>
            </w:r>
            <w:r>
              <w:rPr>
                <w:szCs w:val="22"/>
                <w:vertAlign w:val="subscript"/>
              </w:rPr>
              <w:t>min</w:t>
            </w:r>
            <w:r>
              <w:t xml:space="preserve"> ↑121% (↑102% ↑142%)</w:t>
            </w:r>
          </w:p>
          <w:p w14:paraId="5B65D73A" w14:textId="77777777" w:rsidR="00187713" w:rsidRPr="00D31EBB" w:rsidRDefault="00187713" w:rsidP="0000712C">
            <w:pPr>
              <w:pStyle w:val="EMEABodyText"/>
              <w:rPr>
                <w:szCs w:val="22"/>
                <w:lang w:val="en-US"/>
              </w:rPr>
            </w:pPr>
          </w:p>
          <w:p w14:paraId="6CFEB7E4" w14:textId="77777777" w:rsidR="00187713" w:rsidRPr="004F3582" w:rsidRDefault="00187713" w:rsidP="0000712C">
            <w:pPr>
              <w:pStyle w:val="EMEABodyText"/>
              <w:rPr>
                <w:szCs w:val="22"/>
              </w:rPr>
            </w:pPr>
            <w:r>
              <w:t>No significant effect on atazanavir concentrations was observed. There was an increase in the maximum PR interval compared to atazanavir alone. Co-administration of diltiazem and REYATAZ/ritonavir has not been studied. The mechanism of diltiazem/atazanavir interaction is CYP3A4 inhibition.</w:t>
            </w:r>
          </w:p>
        </w:tc>
        <w:tc>
          <w:tcPr>
            <w:tcW w:w="3119" w:type="dxa"/>
          </w:tcPr>
          <w:p w14:paraId="02E18E48" w14:textId="77777777" w:rsidR="00187713" w:rsidRPr="00D31EBB" w:rsidRDefault="00187713" w:rsidP="0000712C">
            <w:pPr>
              <w:pStyle w:val="EMEABodyText"/>
              <w:rPr>
                <w:szCs w:val="22"/>
              </w:rPr>
            </w:pPr>
            <w:r>
              <w:t>An initial dose reduction of diltiazem by 50% is recommended, with subsequent titration as needed and ECG monitoring.</w:t>
            </w:r>
          </w:p>
        </w:tc>
      </w:tr>
      <w:tr w:rsidR="00187713" w:rsidRPr="00965E20" w14:paraId="44B25C3E" w14:textId="77777777" w:rsidTr="0000712C">
        <w:trPr>
          <w:cantSplit/>
          <w:trHeight w:val="340"/>
        </w:trPr>
        <w:tc>
          <w:tcPr>
            <w:tcW w:w="3095" w:type="dxa"/>
          </w:tcPr>
          <w:p w14:paraId="2B60718F" w14:textId="77777777" w:rsidR="00187713" w:rsidRPr="004F3582" w:rsidRDefault="00187713" w:rsidP="0000712C">
            <w:pPr>
              <w:rPr>
                <w:b/>
                <w:szCs w:val="22"/>
              </w:rPr>
            </w:pPr>
            <w:r>
              <w:rPr>
                <w:b/>
                <w:szCs w:val="22"/>
              </w:rPr>
              <w:t>Verapamil</w:t>
            </w:r>
          </w:p>
        </w:tc>
        <w:tc>
          <w:tcPr>
            <w:tcW w:w="3676" w:type="dxa"/>
          </w:tcPr>
          <w:p w14:paraId="2DF15444" w14:textId="77777777" w:rsidR="00187713" w:rsidRPr="00D31EBB" w:rsidRDefault="00187713" w:rsidP="0000712C">
            <w:pPr>
              <w:rPr>
                <w:szCs w:val="22"/>
              </w:rPr>
            </w:pPr>
            <w:r>
              <w:t>Serum concentrations of verapamil may be increased by REYATAZ/ritonavir due to CYP3A4 inhibition.</w:t>
            </w:r>
          </w:p>
        </w:tc>
        <w:tc>
          <w:tcPr>
            <w:tcW w:w="3119" w:type="dxa"/>
          </w:tcPr>
          <w:p w14:paraId="1E3A7BF6" w14:textId="77777777" w:rsidR="00187713" w:rsidRPr="00D31EBB" w:rsidRDefault="00187713" w:rsidP="0000712C">
            <w:pPr>
              <w:rPr>
                <w:spacing w:val="-5"/>
                <w:szCs w:val="22"/>
              </w:rPr>
            </w:pPr>
            <w:r>
              <w:t>Caution should be exercised when verapamil is co-administered with REYATAZ/ritonavir.</w:t>
            </w:r>
          </w:p>
        </w:tc>
      </w:tr>
      <w:tr w:rsidR="00187713" w:rsidRPr="004F3582" w14:paraId="7B51EA07" w14:textId="77777777" w:rsidTr="0000712C">
        <w:trPr>
          <w:cantSplit/>
          <w:trHeight w:val="340"/>
        </w:trPr>
        <w:tc>
          <w:tcPr>
            <w:tcW w:w="9890" w:type="dxa"/>
            <w:gridSpan w:val="3"/>
          </w:tcPr>
          <w:p w14:paraId="09898221" w14:textId="77777777" w:rsidR="00187713" w:rsidRPr="004F3582" w:rsidRDefault="00187713" w:rsidP="0000712C">
            <w:pPr>
              <w:pStyle w:val="EMEABodyText"/>
              <w:rPr>
                <w:szCs w:val="22"/>
              </w:rPr>
            </w:pPr>
            <w:r>
              <w:rPr>
                <w:b/>
                <w:szCs w:val="22"/>
              </w:rPr>
              <w:t>CORTICOSTEROIDS</w:t>
            </w:r>
          </w:p>
        </w:tc>
      </w:tr>
      <w:tr w:rsidR="00187713" w:rsidRPr="00965E20" w14:paraId="25C4642F" w14:textId="77777777" w:rsidTr="0000712C">
        <w:trPr>
          <w:cantSplit/>
          <w:trHeight w:val="340"/>
        </w:trPr>
        <w:tc>
          <w:tcPr>
            <w:tcW w:w="3095" w:type="dxa"/>
          </w:tcPr>
          <w:p w14:paraId="108BF7AC" w14:textId="77777777" w:rsidR="00187713" w:rsidRPr="00D31EBB" w:rsidRDefault="00187713" w:rsidP="0000712C">
            <w:pPr>
              <w:pStyle w:val="EMEABodyText"/>
              <w:rPr>
                <w:b/>
                <w:szCs w:val="22"/>
              </w:rPr>
            </w:pPr>
            <w:r>
              <w:rPr>
                <w:b/>
                <w:szCs w:val="22"/>
              </w:rPr>
              <w:t>Fluticasone propionate intranasal 50 µg 4 times daily for 7 days</w:t>
            </w:r>
          </w:p>
          <w:p w14:paraId="64A92EF7" w14:textId="77777777" w:rsidR="00187713" w:rsidRPr="00D31EBB" w:rsidRDefault="00187713" w:rsidP="0000712C">
            <w:pPr>
              <w:pStyle w:val="EMEABodyText"/>
              <w:rPr>
                <w:szCs w:val="22"/>
              </w:rPr>
            </w:pPr>
            <w:r>
              <w:t>(ritonavir 100 mg capsules twice daily)</w:t>
            </w:r>
          </w:p>
        </w:tc>
        <w:tc>
          <w:tcPr>
            <w:tcW w:w="3676" w:type="dxa"/>
          </w:tcPr>
          <w:p w14:paraId="497B9D63" w14:textId="77777777" w:rsidR="00187713" w:rsidRPr="004F3582" w:rsidRDefault="00187713" w:rsidP="0000712C">
            <w:pPr>
              <w:pStyle w:val="EMEABodyText"/>
              <w:rPr>
                <w:szCs w:val="22"/>
              </w:rPr>
            </w:pPr>
            <w:r>
              <w:t>The fluticasone propionate plasma levels increased significantly, whereas the intrinsic cortisol levels decreased by approximately 86% (90% confidence interval 82%-89%). Greater effects may be expected when fluticasone propionate is inhaled. Systemic corticosteroid effects including Cushing’s syndrome and adrenal suppression have been reported in patients receiving ritonavir and inhaled or intranasally administered fluticasone propionate; this could also occur with other corticosteroids metabolised via the P450 3A pathway, e.g., budesonide. The effects of high fluticasone systemic exposure on ritonavir plasma levels are yet unknown. The mechanism of interaction is CYP3A4 inhibition.</w:t>
            </w:r>
          </w:p>
        </w:tc>
        <w:tc>
          <w:tcPr>
            <w:tcW w:w="3119" w:type="dxa"/>
          </w:tcPr>
          <w:p w14:paraId="2651A8C5" w14:textId="77777777" w:rsidR="00187713" w:rsidRPr="00D31EBB" w:rsidRDefault="00187713" w:rsidP="0000712C">
            <w:pPr>
              <w:pStyle w:val="EMEABodyText"/>
              <w:rPr>
                <w:szCs w:val="22"/>
              </w:rPr>
            </w:pPr>
            <w:r>
              <w:t>Co-administration of REYATAZ/ritonavir and these glucocorticoids is not recommended unless the potential benefit of treatment outweighs the risk of systemic corticosteroid effects (see section 4.4). A dose reduction of the glucocorticoid should be considered with close monitoring of local and systemic effects or a switch to a glucocorticoid, which is not a substrate for CYP3A4 (e.g., beclomethasone). Moreover, in case of withdrawal of glucocorticoids, progressive dose reduction may have to be performed over a longer period.</w:t>
            </w:r>
          </w:p>
        </w:tc>
      </w:tr>
      <w:tr w:rsidR="00187713" w:rsidRPr="004F3582" w14:paraId="2625BC3C" w14:textId="77777777" w:rsidTr="0000712C">
        <w:trPr>
          <w:cantSplit/>
          <w:trHeight w:val="340"/>
        </w:trPr>
        <w:tc>
          <w:tcPr>
            <w:tcW w:w="9890" w:type="dxa"/>
            <w:gridSpan w:val="3"/>
          </w:tcPr>
          <w:p w14:paraId="7A443803" w14:textId="77777777" w:rsidR="00187713" w:rsidRPr="004F3582" w:rsidRDefault="00187713" w:rsidP="0000712C">
            <w:pPr>
              <w:pStyle w:val="EMEABodyText"/>
              <w:rPr>
                <w:szCs w:val="22"/>
              </w:rPr>
            </w:pPr>
            <w:r>
              <w:rPr>
                <w:b/>
                <w:iCs/>
                <w:szCs w:val="22"/>
              </w:rPr>
              <w:t>ERECTILE DYSFUNCTION</w:t>
            </w:r>
          </w:p>
        </w:tc>
      </w:tr>
      <w:tr w:rsidR="00187713" w:rsidRPr="004F3582" w14:paraId="3F49257B" w14:textId="77777777" w:rsidTr="0000712C">
        <w:trPr>
          <w:cantSplit/>
          <w:trHeight w:val="340"/>
        </w:trPr>
        <w:tc>
          <w:tcPr>
            <w:tcW w:w="9890" w:type="dxa"/>
            <w:gridSpan w:val="3"/>
          </w:tcPr>
          <w:p w14:paraId="10B30811" w14:textId="77777777" w:rsidR="00187713" w:rsidRPr="004F3582" w:rsidRDefault="00187713" w:rsidP="0000712C">
            <w:pPr>
              <w:pStyle w:val="EMEABodyText"/>
              <w:rPr>
                <w:szCs w:val="22"/>
              </w:rPr>
            </w:pPr>
            <w:r>
              <w:rPr>
                <w:i/>
                <w:szCs w:val="22"/>
              </w:rPr>
              <w:t>PDE5 Inhibitors</w:t>
            </w:r>
          </w:p>
        </w:tc>
      </w:tr>
      <w:tr w:rsidR="00187713" w:rsidRPr="00965E20" w14:paraId="5420BA53" w14:textId="77777777" w:rsidTr="0000712C">
        <w:trPr>
          <w:cantSplit/>
          <w:trHeight w:val="340"/>
        </w:trPr>
        <w:tc>
          <w:tcPr>
            <w:tcW w:w="3095" w:type="dxa"/>
          </w:tcPr>
          <w:p w14:paraId="742FA716" w14:textId="77777777" w:rsidR="00187713" w:rsidRPr="004F3582" w:rsidRDefault="00187713" w:rsidP="0000712C">
            <w:pPr>
              <w:rPr>
                <w:b/>
                <w:szCs w:val="22"/>
              </w:rPr>
            </w:pPr>
            <w:r>
              <w:rPr>
                <w:b/>
                <w:szCs w:val="22"/>
              </w:rPr>
              <w:t>Sildenafil, tadalafil, vardenafil</w:t>
            </w:r>
          </w:p>
        </w:tc>
        <w:tc>
          <w:tcPr>
            <w:tcW w:w="3676" w:type="dxa"/>
          </w:tcPr>
          <w:p w14:paraId="6329FB2A" w14:textId="77777777" w:rsidR="00187713" w:rsidRPr="004F3582" w:rsidRDefault="00187713" w:rsidP="0000712C">
            <w:pPr>
              <w:rPr>
                <w:szCs w:val="22"/>
              </w:rPr>
            </w:pPr>
            <w:r>
              <w:t>Sildenafil, tadalafil, and vardenafil are metabolised by CYP3A4. Co-administration with REYATAZ/ritonavir may result in increased concentrations of the PDE5 inhibitor and an increase in PDE5-associated adverse events, including hypotension, visual changes, and priapism. The mechanism of this interaction is CYP3A4 inhibition.</w:t>
            </w:r>
          </w:p>
        </w:tc>
        <w:tc>
          <w:tcPr>
            <w:tcW w:w="3119" w:type="dxa"/>
          </w:tcPr>
          <w:p w14:paraId="5C9563FB" w14:textId="77777777" w:rsidR="00187713" w:rsidRPr="00D31EBB" w:rsidRDefault="00187713" w:rsidP="0000712C">
            <w:pPr>
              <w:rPr>
                <w:szCs w:val="22"/>
              </w:rPr>
            </w:pPr>
            <w:r>
              <w:t>Patients should be warned about these possible side effects when using PDE5 inhibitors for erectile dysfunction with REYATAZ/ritonavir (see section 4.4).</w:t>
            </w:r>
          </w:p>
          <w:p w14:paraId="6A297956" w14:textId="77777777" w:rsidR="00187713" w:rsidRPr="00D31EBB" w:rsidRDefault="00187713" w:rsidP="0000712C">
            <w:pPr>
              <w:rPr>
                <w:spacing w:val="-5"/>
                <w:szCs w:val="22"/>
              </w:rPr>
            </w:pPr>
            <w:r>
              <w:t>Also see PULMONARY ATERIAL HYPERTENSION in this table for further information regarding co-administration of REYATAZ/ritonavir with sildenafil.</w:t>
            </w:r>
          </w:p>
        </w:tc>
      </w:tr>
      <w:tr w:rsidR="00187713" w:rsidRPr="004F3582" w14:paraId="2FE66056" w14:textId="77777777" w:rsidTr="0000712C">
        <w:trPr>
          <w:cantSplit/>
          <w:trHeight w:val="340"/>
        </w:trPr>
        <w:tc>
          <w:tcPr>
            <w:tcW w:w="9890" w:type="dxa"/>
            <w:gridSpan w:val="3"/>
          </w:tcPr>
          <w:p w14:paraId="0698D314" w14:textId="77777777" w:rsidR="00187713" w:rsidRPr="004F3582" w:rsidRDefault="00187713" w:rsidP="0000712C">
            <w:pPr>
              <w:pStyle w:val="EMEABodyText"/>
              <w:rPr>
                <w:szCs w:val="22"/>
              </w:rPr>
            </w:pPr>
            <w:r>
              <w:rPr>
                <w:b/>
                <w:szCs w:val="22"/>
              </w:rPr>
              <w:t>HERBAL PRODUCTS</w:t>
            </w:r>
          </w:p>
        </w:tc>
      </w:tr>
      <w:tr w:rsidR="00187713" w:rsidRPr="00965E20" w14:paraId="17890D4A" w14:textId="77777777" w:rsidTr="0000712C">
        <w:trPr>
          <w:cantSplit/>
          <w:trHeight w:val="340"/>
        </w:trPr>
        <w:tc>
          <w:tcPr>
            <w:tcW w:w="3095" w:type="dxa"/>
          </w:tcPr>
          <w:p w14:paraId="340A9451" w14:textId="77777777" w:rsidR="00187713" w:rsidRPr="00D31EBB" w:rsidRDefault="00187713" w:rsidP="0000712C">
            <w:pPr>
              <w:rPr>
                <w:b/>
                <w:szCs w:val="22"/>
              </w:rPr>
            </w:pPr>
            <w:r>
              <w:rPr>
                <w:b/>
                <w:szCs w:val="22"/>
              </w:rPr>
              <w:t>St. John’s wort (Hypericum perforatum)</w:t>
            </w:r>
          </w:p>
        </w:tc>
        <w:tc>
          <w:tcPr>
            <w:tcW w:w="3676" w:type="dxa"/>
          </w:tcPr>
          <w:p w14:paraId="14E8AF6F" w14:textId="77777777" w:rsidR="00187713" w:rsidRPr="00D31EBB" w:rsidRDefault="00187713" w:rsidP="0000712C">
            <w:pPr>
              <w:rPr>
                <w:szCs w:val="22"/>
              </w:rPr>
            </w:pPr>
            <w:r>
              <w:t>Concomitant use of St. John's wort with REYATAZ/ritonavir may be expected to result in significant reduction in plasma levels of atazanavir. This effect may be due to an induction of CYP3A4. There is a risk of loss of therapeutic effect and development of resistance (see section 4.3).</w:t>
            </w:r>
          </w:p>
        </w:tc>
        <w:tc>
          <w:tcPr>
            <w:tcW w:w="3119" w:type="dxa"/>
          </w:tcPr>
          <w:p w14:paraId="3D9EFE28" w14:textId="77777777" w:rsidR="00187713" w:rsidRPr="00D31EBB" w:rsidRDefault="00187713" w:rsidP="0000712C">
            <w:pPr>
              <w:rPr>
                <w:szCs w:val="22"/>
              </w:rPr>
            </w:pPr>
            <w:r>
              <w:t>Co-administration of REYATAZ/ritonavir with products containing St. John's wort is contraindicated.</w:t>
            </w:r>
          </w:p>
        </w:tc>
      </w:tr>
      <w:tr w:rsidR="00187713" w:rsidRPr="004F3582" w14:paraId="59143964" w14:textId="77777777" w:rsidTr="0000712C">
        <w:trPr>
          <w:cantSplit/>
          <w:trHeight w:val="340"/>
        </w:trPr>
        <w:tc>
          <w:tcPr>
            <w:tcW w:w="9890" w:type="dxa"/>
            <w:gridSpan w:val="3"/>
          </w:tcPr>
          <w:p w14:paraId="7FCF91AB" w14:textId="77777777" w:rsidR="00187713" w:rsidRPr="004F3582" w:rsidRDefault="00187713" w:rsidP="0000712C">
            <w:pPr>
              <w:pStyle w:val="EMEABodyText"/>
              <w:rPr>
                <w:szCs w:val="22"/>
              </w:rPr>
            </w:pPr>
            <w:r>
              <w:rPr>
                <w:b/>
                <w:szCs w:val="22"/>
              </w:rPr>
              <w:t>HORMONAL CONTRACEPTIVES</w:t>
            </w:r>
          </w:p>
        </w:tc>
      </w:tr>
      <w:tr w:rsidR="00187713" w:rsidRPr="004F3582" w14:paraId="185F6E13" w14:textId="77777777" w:rsidTr="0000712C">
        <w:trPr>
          <w:cantSplit/>
          <w:trHeight w:val="340"/>
        </w:trPr>
        <w:tc>
          <w:tcPr>
            <w:tcW w:w="3095" w:type="dxa"/>
          </w:tcPr>
          <w:p w14:paraId="77EA9D4C" w14:textId="77777777" w:rsidR="00187713" w:rsidRPr="00D31EBB" w:rsidRDefault="00187713" w:rsidP="0000712C">
            <w:pPr>
              <w:pStyle w:val="EMEABodyText"/>
              <w:rPr>
                <w:b/>
                <w:iCs/>
                <w:szCs w:val="22"/>
              </w:rPr>
            </w:pPr>
            <w:r>
              <w:rPr>
                <w:b/>
                <w:iCs/>
                <w:szCs w:val="22"/>
              </w:rPr>
              <w:t>Ethinyloestradiol 25 μg + norgestimate</w:t>
            </w:r>
          </w:p>
          <w:p w14:paraId="7EA162FE" w14:textId="77777777" w:rsidR="00187713" w:rsidRPr="00D31EBB" w:rsidRDefault="00187713" w:rsidP="0000712C">
            <w:pPr>
              <w:pStyle w:val="EMEABodyText"/>
              <w:rPr>
                <w:szCs w:val="22"/>
              </w:rPr>
            </w:pPr>
            <w:r>
              <w:t>(atazanavir 300 mg once daily with ritonavir 100 mg once daily)</w:t>
            </w:r>
          </w:p>
        </w:tc>
        <w:tc>
          <w:tcPr>
            <w:tcW w:w="3676" w:type="dxa"/>
          </w:tcPr>
          <w:p w14:paraId="105FAA2E" w14:textId="77777777" w:rsidR="00187713" w:rsidRPr="00D31EBB" w:rsidRDefault="00187713" w:rsidP="0000712C">
            <w:pPr>
              <w:pStyle w:val="EMEABodyText"/>
              <w:rPr>
                <w:szCs w:val="22"/>
              </w:rPr>
            </w:pPr>
            <w:r>
              <w:t>Ethinyloestradiol AUC ↓19% (↓25% ↓13%)</w:t>
            </w:r>
          </w:p>
          <w:p w14:paraId="41105C96" w14:textId="77777777" w:rsidR="00187713" w:rsidRPr="00D31EBB" w:rsidRDefault="00187713" w:rsidP="0000712C">
            <w:pPr>
              <w:pStyle w:val="EMEABodyText"/>
              <w:rPr>
                <w:szCs w:val="22"/>
              </w:rPr>
            </w:pPr>
            <w:r>
              <w:t>Ethinyloestradiol C</w:t>
            </w:r>
            <w:r>
              <w:rPr>
                <w:szCs w:val="22"/>
                <w:vertAlign w:val="subscript"/>
              </w:rPr>
              <w:t>max</w:t>
            </w:r>
            <w:r>
              <w:t xml:space="preserve"> ↓16% (↓26% ↓5%)</w:t>
            </w:r>
          </w:p>
          <w:p w14:paraId="2BBCB0F9" w14:textId="77777777" w:rsidR="00187713" w:rsidRPr="00D31EBB" w:rsidRDefault="00187713" w:rsidP="0000712C">
            <w:pPr>
              <w:pStyle w:val="EMEABodyText"/>
              <w:rPr>
                <w:szCs w:val="22"/>
              </w:rPr>
            </w:pPr>
            <w:r>
              <w:t>Ethinyloestradiol C</w:t>
            </w:r>
            <w:r>
              <w:rPr>
                <w:szCs w:val="22"/>
                <w:vertAlign w:val="subscript"/>
              </w:rPr>
              <w:t>min</w:t>
            </w:r>
            <w:r>
              <w:t xml:space="preserve"> ↓37% (↓45% ↓29%)</w:t>
            </w:r>
          </w:p>
          <w:p w14:paraId="00DE0911" w14:textId="77777777" w:rsidR="00187713" w:rsidRPr="002E2C1C" w:rsidRDefault="00187713" w:rsidP="0000712C">
            <w:pPr>
              <w:pStyle w:val="EMEABodyText"/>
              <w:rPr>
                <w:szCs w:val="22"/>
              </w:rPr>
            </w:pPr>
          </w:p>
          <w:p w14:paraId="610E8506" w14:textId="77777777" w:rsidR="00187713" w:rsidRPr="00D31EBB" w:rsidRDefault="00187713" w:rsidP="0000712C">
            <w:pPr>
              <w:pStyle w:val="EMEABodyText"/>
              <w:rPr>
                <w:szCs w:val="22"/>
              </w:rPr>
            </w:pPr>
            <w:r>
              <w:t>Norgestimate AUC ↑85% (↑67% ↑105%)</w:t>
            </w:r>
          </w:p>
          <w:p w14:paraId="05122BB3" w14:textId="77777777" w:rsidR="00187713" w:rsidRPr="00D31EBB" w:rsidRDefault="00187713" w:rsidP="0000712C">
            <w:pPr>
              <w:pStyle w:val="EMEABodyText"/>
              <w:rPr>
                <w:szCs w:val="22"/>
              </w:rPr>
            </w:pPr>
            <w:r>
              <w:t>Norgestimate C</w:t>
            </w:r>
            <w:r>
              <w:rPr>
                <w:szCs w:val="22"/>
                <w:vertAlign w:val="subscript"/>
              </w:rPr>
              <w:t>max</w:t>
            </w:r>
            <w:r>
              <w:t xml:space="preserve"> ↑68% (↑51% ↑88%)</w:t>
            </w:r>
          </w:p>
          <w:p w14:paraId="25231BEA" w14:textId="77777777" w:rsidR="00187713" w:rsidRPr="00D31EBB" w:rsidRDefault="00187713" w:rsidP="0000712C">
            <w:pPr>
              <w:pStyle w:val="EMEABodyText"/>
              <w:rPr>
                <w:szCs w:val="22"/>
              </w:rPr>
            </w:pPr>
            <w:r>
              <w:t>Norgestimate C</w:t>
            </w:r>
            <w:r>
              <w:rPr>
                <w:szCs w:val="22"/>
                <w:vertAlign w:val="subscript"/>
              </w:rPr>
              <w:t>min</w:t>
            </w:r>
            <w:r>
              <w:t xml:space="preserve"> ↑102% (↑77% ↑131%)</w:t>
            </w:r>
          </w:p>
          <w:p w14:paraId="4EF2A817" w14:textId="77777777" w:rsidR="00187713" w:rsidRPr="00D31EBB" w:rsidRDefault="00187713" w:rsidP="0000712C">
            <w:pPr>
              <w:pStyle w:val="EMEABodyText"/>
              <w:rPr>
                <w:szCs w:val="22"/>
                <w:lang w:val="en-US"/>
              </w:rPr>
            </w:pPr>
          </w:p>
          <w:p w14:paraId="4E274A27" w14:textId="77777777" w:rsidR="00187713" w:rsidRPr="00D31EBB" w:rsidRDefault="00187713" w:rsidP="0000712C">
            <w:pPr>
              <w:pStyle w:val="EMEABodyText"/>
              <w:rPr>
                <w:szCs w:val="22"/>
              </w:rPr>
            </w:pPr>
            <w:r>
              <w:t xml:space="preserve">While the concentration of ethinyloestradiol was increased with atazanavir given alone, due to both UGT and CYP3A4 inhibition by atazanavir, the net effect of atazanavir/ritonavir is a decrease in ethinyloestradiol levels because of the inducing effect of ritonavir. </w:t>
            </w:r>
          </w:p>
          <w:p w14:paraId="5454A52A" w14:textId="77777777" w:rsidR="00187713" w:rsidRPr="00D31EBB" w:rsidRDefault="00187713" w:rsidP="0000712C">
            <w:pPr>
              <w:pStyle w:val="EMEABodyText"/>
              <w:rPr>
                <w:szCs w:val="22"/>
                <w:lang w:val="en-US"/>
              </w:rPr>
            </w:pPr>
          </w:p>
          <w:p w14:paraId="4E5124C8" w14:textId="77777777" w:rsidR="00187713" w:rsidRPr="00D31EBB" w:rsidRDefault="00187713" w:rsidP="0000712C">
            <w:pPr>
              <w:pStyle w:val="EMEABodyText"/>
              <w:rPr>
                <w:szCs w:val="22"/>
              </w:rPr>
            </w:pPr>
            <w:r>
              <w:t>The increase in progestin exposure may lead to related side-effects (e.g. insulin resistance, dyslipidemia, acne and spotting), thus possibly affecting the compliance.</w:t>
            </w:r>
          </w:p>
        </w:tc>
        <w:tc>
          <w:tcPr>
            <w:tcW w:w="3119" w:type="dxa"/>
          </w:tcPr>
          <w:p w14:paraId="19FCF569" w14:textId="77777777" w:rsidR="00187713" w:rsidRPr="004F3582" w:rsidRDefault="00187713" w:rsidP="0000712C">
            <w:pPr>
              <w:pStyle w:val="EMEABodyText"/>
              <w:rPr>
                <w:szCs w:val="22"/>
              </w:rPr>
            </w:pPr>
            <w:r>
              <w:t>If an oral contraceptive is administered with REYATAZ/ritonavir, it is recommended that the oral contraceptive contain at least 30 μg of ethinyloestradiol and that the patient be reminded of strict compliance with this contraceptive dosing regimen. Co-administration of REYATAZ/ritonavir with other hormonal contraceptives or oral contraceptives containing progestogens other than norgestimate has not been studied, and therefore should be avoided. An alternate reliable method of contraception is recommended.</w:t>
            </w:r>
          </w:p>
        </w:tc>
      </w:tr>
      <w:tr w:rsidR="00187713" w:rsidRPr="004F3582" w14:paraId="6B304C6E" w14:textId="77777777" w:rsidTr="0000712C">
        <w:trPr>
          <w:cantSplit/>
          <w:trHeight w:val="340"/>
        </w:trPr>
        <w:tc>
          <w:tcPr>
            <w:tcW w:w="9890" w:type="dxa"/>
            <w:gridSpan w:val="3"/>
          </w:tcPr>
          <w:p w14:paraId="200E99D5" w14:textId="77777777" w:rsidR="00187713" w:rsidRPr="004F3582" w:rsidRDefault="00187713" w:rsidP="0000712C">
            <w:pPr>
              <w:pStyle w:val="EMEABodyText"/>
              <w:rPr>
                <w:szCs w:val="22"/>
              </w:rPr>
            </w:pPr>
            <w:r>
              <w:rPr>
                <w:b/>
                <w:szCs w:val="22"/>
              </w:rPr>
              <w:t>LIPID LOWERING AGENTS</w:t>
            </w:r>
          </w:p>
        </w:tc>
      </w:tr>
      <w:tr w:rsidR="00187713" w:rsidRPr="004F3582" w14:paraId="56929F1C" w14:textId="77777777" w:rsidTr="0000712C">
        <w:trPr>
          <w:cantSplit/>
          <w:trHeight w:val="340"/>
        </w:trPr>
        <w:tc>
          <w:tcPr>
            <w:tcW w:w="9890" w:type="dxa"/>
            <w:gridSpan w:val="3"/>
          </w:tcPr>
          <w:p w14:paraId="36F0FFD0" w14:textId="77777777" w:rsidR="00187713" w:rsidRPr="004F3582" w:rsidRDefault="00187713" w:rsidP="0000712C">
            <w:pPr>
              <w:pStyle w:val="EMEABodyText"/>
              <w:rPr>
                <w:i/>
                <w:szCs w:val="22"/>
              </w:rPr>
            </w:pPr>
            <w:r>
              <w:rPr>
                <w:i/>
                <w:szCs w:val="22"/>
              </w:rPr>
              <w:t>HMG-CoA reductase inhibitors</w:t>
            </w:r>
          </w:p>
        </w:tc>
      </w:tr>
      <w:tr w:rsidR="00187713" w:rsidRPr="00965E20" w14:paraId="424717F6" w14:textId="77777777" w:rsidTr="0000712C">
        <w:trPr>
          <w:cantSplit/>
          <w:trHeight w:val="340"/>
        </w:trPr>
        <w:tc>
          <w:tcPr>
            <w:tcW w:w="3095" w:type="dxa"/>
          </w:tcPr>
          <w:p w14:paraId="51EED920" w14:textId="77777777" w:rsidR="00187713" w:rsidRPr="004F3582" w:rsidRDefault="00187713" w:rsidP="0000712C">
            <w:pPr>
              <w:rPr>
                <w:b/>
                <w:szCs w:val="22"/>
              </w:rPr>
            </w:pPr>
            <w:r>
              <w:rPr>
                <w:b/>
                <w:szCs w:val="22"/>
              </w:rPr>
              <w:t>Simvastatin</w:t>
            </w:r>
          </w:p>
          <w:p w14:paraId="530C864D" w14:textId="77777777" w:rsidR="00187713" w:rsidRPr="004F3582" w:rsidRDefault="00187713" w:rsidP="0000712C">
            <w:pPr>
              <w:rPr>
                <w:szCs w:val="22"/>
              </w:rPr>
            </w:pPr>
            <w:r>
              <w:rPr>
                <w:b/>
                <w:szCs w:val="22"/>
              </w:rPr>
              <w:t>Lovastatin</w:t>
            </w:r>
          </w:p>
        </w:tc>
        <w:tc>
          <w:tcPr>
            <w:tcW w:w="3676" w:type="dxa"/>
          </w:tcPr>
          <w:p w14:paraId="22892479" w14:textId="77777777" w:rsidR="00187713" w:rsidRPr="00D31EBB" w:rsidRDefault="00187713" w:rsidP="0000712C">
            <w:pPr>
              <w:rPr>
                <w:szCs w:val="22"/>
              </w:rPr>
            </w:pPr>
            <w:r>
              <w:t xml:space="preserve">Simvastatin and lovastatin are highly dependent on CYP3A4 for their metabolism and co-administration with REYATAZ/ritonavir may result in increased concentrations. </w:t>
            </w:r>
          </w:p>
        </w:tc>
        <w:tc>
          <w:tcPr>
            <w:tcW w:w="3119" w:type="dxa"/>
          </w:tcPr>
          <w:p w14:paraId="0248EA09" w14:textId="77777777" w:rsidR="00187713" w:rsidRPr="00D31EBB" w:rsidRDefault="00187713" w:rsidP="0000712C">
            <w:pPr>
              <w:rPr>
                <w:szCs w:val="22"/>
              </w:rPr>
            </w:pPr>
            <w:r>
              <w:t>Co-administration of simvastatin or lovastatin with REYATAZ is contraindicated due to an increased risk of myopathy including rhabdomyolysis (see section 4.3).</w:t>
            </w:r>
          </w:p>
        </w:tc>
      </w:tr>
      <w:tr w:rsidR="00187713" w:rsidRPr="00965E20" w14:paraId="605EA873" w14:textId="77777777" w:rsidTr="0000712C">
        <w:trPr>
          <w:cantSplit/>
          <w:trHeight w:val="340"/>
        </w:trPr>
        <w:tc>
          <w:tcPr>
            <w:tcW w:w="3095" w:type="dxa"/>
          </w:tcPr>
          <w:p w14:paraId="3C6F1728" w14:textId="77777777" w:rsidR="00187713" w:rsidRPr="004F3582" w:rsidRDefault="00187713" w:rsidP="0000712C">
            <w:pPr>
              <w:rPr>
                <w:b/>
                <w:szCs w:val="22"/>
              </w:rPr>
            </w:pPr>
            <w:r>
              <w:rPr>
                <w:b/>
                <w:szCs w:val="22"/>
              </w:rPr>
              <w:t>Atorvastatin</w:t>
            </w:r>
          </w:p>
        </w:tc>
        <w:tc>
          <w:tcPr>
            <w:tcW w:w="3676" w:type="dxa"/>
          </w:tcPr>
          <w:p w14:paraId="0CD81B66" w14:textId="77777777" w:rsidR="00187713" w:rsidRPr="00D31EBB" w:rsidRDefault="00187713" w:rsidP="0000712C">
            <w:pPr>
              <w:rPr>
                <w:szCs w:val="22"/>
              </w:rPr>
            </w:pPr>
            <w:r>
              <w:t xml:space="preserve">The risk of myopathy including rhabdomyolysis may also be increased with atorvastatin, which is also metabolised by CYP3A4. </w:t>
            </w:r>
          </w:p>
        </w:tc>
        <w:tc>
          <w:tcPr>
            <w:tcW w:w="3119" w:type="dxa"/>
          </w:tcPr>
          <w:p w14:paraId="599FBE91" w14:textId="77777777" w:rsidR="00187713" w:rsidRPr="00D31EBB" w:rsidRDefault="00187713" w:rsidP="0000712C">
            <w:pPr>
              <w:rPr>
                <w:szCs w:val="22"/>
              </w:rPr>
            </w:pPr>
            <w:r>
              <w:t>Co-administration of atorvastatin with REYATAZ is not recommended. If the use of atorvastatin is considered strictly necessary, the lowest possible dose of atorvastatin should be administered with careful safety monitoring (see section 4.4).</w:t>
            </w:r>
          </w:p>
        </w:tc>
      </w:tr>
      <w:tr w:rsidR="00187713" w:rsidRPr="004F3582" w14:paraId="326E8DCF" w14:textId="77777777" w:rsidTr="0000712C">
        <w:trPr>
          <w:cantSplit/>
          <w:trHeight w:val="340"/>
        </w:trPr>
        <w:tc>
          <w:tcPr>
            <w:tcW w:w="3095" w:type="dxa"/>
          </w:tcPr>
          <w:p w14:paraId="2A713392" w14:textId="77777777" w:rsidR="00187713" w:rsidRPr="004F3582" w:rsidRDefault="00187713" w:rsidP="0000712C">
            <w:pPr>
              <w:rPr>
                <w:b/>
                <w:szCs w:val="22"/>
              </w:rPr>
            </w:pPr>
            <w:r>
              <w:rPr>
                <w:b/>
                <w:szCs w:val="22"/>
              </w:rPr>
              <w:t>Pravastatin</w:t>
            </w:r>
          </w:p>
          <w:p w14:paraId="53D4422D" w14:textId="77777777" w:rsidR="00187713" w:rsidRPr="004F3582" w:rsidRDefault="00187713" w:rsidP="0000712C">
            <w:pPr>
              <w:rPr>
                <w:b/>
                <w:szCs w:val="22"/>
              </w:rPr>
            </w:pPr>
            <w:r>
              <w:rPr>
                <w:b/>
                <w:szCs w:val="22"/>
              </w:rPr>
              <w:t>Fluvastatin</w:t>
            </w:r>
          </w:p>
        </w:tc>
        <w:tc>
          <w:tcPr>
            <w:tcW w:w="3676" w:type="dxa"/>
          </w:tcPr>
          <w:p w14:paraId="10FBA5E5" w14:textId="77777777" w:rsidR="00187713" w:rsidRPr="00D31EBB" w:rsidRDefault="00187713" w:rsidP="0000712C">
            <w:pPr>
              <w:rPr>
                <w:szCs w:val="22"/>
              </w:rPr>
            </w:pPr>
            <w:r>
              <w:t>Although not studied, there is a potential for an increase in pravastatin or fluvastatin exposure when co-administered with protease inhibitors.</w:t>
            </w:r>
            <w:r>
              <w:rPr>
                <w:color w:val="0000FF"/>
                <w:szCs w:val="22"/>
              </w:rPr>
              <w:t xml:space="preserve"> </w:t>
            </w:r>
            <w:r>
              <w:t>Pravastatin is not metabolised by CYP3A4. Fluvastatin is partially metabolised by CYP2C9.</w:t>
            </w:r>
          </w:p>
        </w:tc>
        <w:tc>
          <w:tcPr>
            <w:tcW w:w="3119" w:type="dxa"/>
          </w:tcPr>
          <w:p w14:paraId="21180B19" w14:textId="77777777" w:rsidR="00187713" w:rsidRPr="004F3582" w:rsidRDefault="00187713" w:rsidP="0000712C">
            <w:pPr>
              <w:rPr>
                <w:szCs w:val="22"/>
              </w:rPr>
            </w:pPr>
            <w:r>
              <w:t>Caution should be exercised.</w:t>
            </w:r>
          </w:p>
        </w:tc>
      </w:tr>
      <w:tr w:rsidR="00187713" w:rsidRPr="004F3582" w14:paraId="62C539EE" w14:textId="77777777" w:rsidTr="0000712C">
        <w:trPr>
          <w:cantSplit/>
          <w:trHeight w:val="340"/>
        </w:trPr>
        <w:tc>
          <w:tcPr>
            <w:tcW w:w="9890" w:type="dxa"/>
            <w:gridSpan w:val="3"/>
          </w:tcPr>
          <w:p w14:paraId="5642FBDD" w14:textId="77777777" w:rsidR="00187713" w:rsidRPr="004F3582" w:rsidRDefault="00187713" w:rsidP="0000712C">
            <w:pPr>
              <w:pStyle w:val="EMEABodyText"/>
              <w:rPr>
                <w:szCs w:val="22"/>
              </w:rPr>
            </w:pPr>
            <w:r>
              <w:rPr>
                <w:b/>
                <w:szCs w:val="22"/>
              </w:rPr>
              <w:t>INHALED BETA AGONISTS</w:t>
            </w:r>
          </w:p>
        </w:tc>
      </w:tr>
      <w:tr w:rsidR="00187713" w:rsidRPr="00965E20" w14:paraId="01D64125" w14:textId="77777777" w:rsidTr="0000712C">
        <w:trPr>
          <w:cantSplit/>
          <w:trHeight w:val="340"/>
        </w:trPr>
        <w:tc>
          <w:tcPr>
            <w:tcW w:w="3095" w:type="dxa"/>
          </w:tcPr>
          <w:p w14:paraId="434C47D6" w14:textId="77777777" w:rsidR="00187713" w:rsidRPr="004F3582" w:rsidRDefault="00187713" w:rsidP="0000712C">
            <w:pPr>
              <w:rPr>
                <w:b/>
                <w:szCs w:val="22"/>
              </w:rPr>
            </w:pPr>
            <w:r>
              <w:rPr>
                <w:b/>
                <w:szCs w:val="22"/>
              </w:rPr>
              <w:t>Salmeterol</w:t>
            </w:r>
          </w:p>
        </w:tc>
        <w:tc>
          <w:tcPr>
            <w:tcW w:w="3676" w:type="dxa"/>
          </w:tcPr>
          <w:p w14:paraId="606CB78E" w14:textId="77777777" w:rsidR="00187713" w:rsidRPr="00D31EBB" w:rsidRDefault="00187713" w:rsidP="0000712C">
            <w:pPr>
              <w:rPr>
                <w:szCs w:val="22"/>
              </w:rPr>
            </w:pPr>
            <w:r>
              <w:t>Co-administration with REYATAZ/ritonavir may result in increased concentrations of salmeterol and an increase in salmeterol-associated adverse events.</w:t>
            </w:r>
          </w:p>
          <w:p w14:paraId="45CAA21F" w14:textId="77777777" w:rsidR="00187713" w:rsidRPr="00D31EBB" w:rsidRDefault="00187713" w:rsidP="0000712C">
            <w:pPr>
              <w:rPr>
                <w:szCs w:val="22"/>
                <w:lang w:val="en-US"/>
              </w:rPr>
            </w:pPr>
          </w:p>
          <w:p w14:paraId="09BA4972" w14:textId="77777777" w:rsidR="00187713" w:rsidRPr="00D31EBB" w:rsidRDefault="00187713" w:rsidP="0000712C">
            <w:pPr>
              <w:rPr>
                <w:szCs w:val="22"/>
              </w:rPr>
            </w:pPr>
            <w:r>
              <w:t>The mechanism of interaction is CYP3A4 inhibition by atazanavir/ritonavir.</w:t>
            </w:r>
          </w:p>
        </w:tc>
        <w:tc>
          <w:tcPr>
            <w:tcW w:w="3119" w:type="dxa"/>
          </w:tcPr>
          <w:p w14:paraId="4AA04725" w14:textId="77777777" w:rsidR="00187713" w:rsidRPr="00D31EBB" w:rsidRDefault="00187713" w:rsidP="0000712C">
            <w:pPr>
              <w:rPr>
                <w:spacing w:val="-5"/>
                <w:szCs w:val="22"/>
              </w:rPr>
            </w:pPr>
            <w:r>
              <w:t>Co-administration of salmeterol with REYATAZ/ritonavir is not recommended (see section 4.4).</w:t>
            </w:r>
          </w:p>
        </w:tc>
      </w:tr>
      <w:tr w:rsidR="00187713" w:rsidRPr="004F3582" w14:paraId="4240AECF" w14:textId="77777777" w:rsidTr="0000712C">
        <w:trPr>
          <w:cantSplit/>
          <w:trHeight w:val="340"/>
        </w:trPr>
        <w:tc>
          <w:tcPr>
            <w:tcW w:w="9890" w:type="dxa"/>
            <w:gridSpan w:val="3"/>
          </w:tcPr>
          <w:p w14:paraId="138DCEBC" w14:textId="77777777" w:rsidR="00187713" w:rsidRPr="004F3582" w:rsidRDefault="00187713" w:rsidP="0000712C">
            <w:pPr>
              <w:pStyle w:val="EMEABodyText"/>
              <w:rPr>
                <w:szCs w:val="22"/>
              </w:rPr>
            </w:pPr>
            <w:r>
              <w:rPr>
                <w:b/>
                <w:szCs w:val="22"/>
              </w:rPr>
              <w:t>OPIOIDS</w:t>
            </w:r>
          </w:p>
        </w:tc>
      </w:tr>
      <w:tr w:rsidR="00187713" w:rsidRPr="004F3582" w14:paraId="37B09C24" w14:textId="77777777" w:rsidTr="0000712C">
        <w:trPr>
          <w:cantSplit/>
          <w:trHeight w:val="340"/>
        </w:trPr>
        <w:tc>
          <w:tcPr>
            <w:tcW w:w="3095" w:type="dxa"/>
          </w:tcPr>
          <w:p w14:paraId="467F01A2" w14:textId="77777777" w:rsidR="00187713" w:rsidRPr="00D31EBB" w:rsidRDefault="00187713" w:rsidP="0000712C">
            <w:pPr>
              <w:pStyle w:val="EMEABodyText"/>
              <w:rPr>
                <w:b/>
                <w:szCs w:val="22"/>
              </w:rPr>
            </w:pPr>
            <w:r>
              <w:rPr>
                <w:b/>
                <w:szCs w:val="22"/>
              </w:rPr>
              <w:t>Buprenorphine, once daily, stable maintenance dose</w:t>
            </w:r>
          </w:p>
          <w:p w14:paraId="116E73CE" w14:textId="77777777" w:rsidR="00187713" w:rsidRPr="00D31EBB" w:rsidRDefault="00187713" w:rsidP="0000712C">
            <w:pPr>
              <w:pStyle w:val="EMEABodyText"/>
              <w:rPr>
                <w:szCs w:val="22"/>
              </w:rPr>
            </w:pPr>
            <w:r>
              <w:t>(atazanavir 300 mg once daily with ritonavir 100 mg once daily)</w:t>
            </w:r>
          </w:p>
        </w:tc>
        <w:tc>
          <w:tcPr>
            <w:tcW w:w="3676" w:type="dxa"/>
          </w:tcPr>
          <w:p w14:paraId="555D520B" w14:textId="77777777" w:rsidR="00187713" w:rsidRPr="0096648A" w:rsidRDefault="00187713" w:rsidP="0000712C">
            <w:pPr>
              <w:pStyle w:val="EMEABodyText"/>
              <w:rPr>
                <w:szCs w:val="22"/>
              </w:rPr>
            </w:pPr>
            <w:r>
              <w:t>Buprenorphine AUC ↑67%</w:t>
            </w:r>
          </w:p>
          <w:p w14:paraId="78215047" w14:textId="77777777" w:rsidR="00187713" w:rsidRPr="0096648A" w:rsidRDefault="00187713" w:rsidP="0000712C">
            <w:pPr>
              <w:pStyle w:val="EMEABodyText"/>
              <w:rPr>
                <w:szCs w:val="22"/>
              </w:rPr>
            </w:pPr>
            <w:r>
              <w:t>Buprenorphine C</w:t>
            </w:r>
            <w:r>
              <w:rPr>
                <w:szCs w:val="22"/>
                <w:vertAlign w:val="subscript"/>
              </w:rPr>
              <w:t>max</w:t>
            </w:r>
            <w:r>
              <w:t xml:space="preserve"> ↑37% </w:t>
            </w:r>
          </w:p>
          <w:p w14:paraId="31119D4B" w14:textId="77777777" w:rsidR="00187713" w:rsidRPr="0096648A" w:rsidRDefault="00187713" w:rsidP="0000712C">
            <w:pPr>
              <w:pStyle w:val="EMEABodyText"/>
              <w:rPr>
                <w:szCs w:val="22"/>
              </w:rPr>
            </w:pPr>
            <w:r>
              <w:t>Buprenorphine C</w:t>
            </w:r>
            <w:r>
              <w:rPr>
                <w:szCs w:val="22"/>
                <w:vertAlign w:val="subscript"/>
              </w:rPr>
              <w:t>min</w:t>
            </w:r>
            <w:r>
              <w:t xml:space="preserve"> ↑69%</w:t>
            </w:r>
          </w:p>
          <w:p w14:paraId="0BCC167F" w14:textId="77777777" w:rsidR="00187713" w:rsidRPr="0096648A" w:rsidRDefault="00187713" w:rsidP="0000712C">
            <w:pPr>
              <w:pStyle w:val="EMEABodyText"/>
              <w:rPr>
                <w:szCs w:val="22"/>
              </w:rPr>
            </w:pPr>
          </w:p>
          <w:p w14:paraId="2F87CE38" w14:textId="77777777" w:rsidR="00187713" w:rsidRPr="0096648A" w:rsidRDefault="00187713" w:rsidP="0000712C">
            <w:pPr>
              <w:pStyle w:val="EMEABodyText"/>
              <w:rPr>
                <w:szCs w:val="22"/>
              </w:rPr>
            </w:pPr>
            <w:r>
              <w:t>Norbuprenorphine AUC ↑105%</w:t>
            </w:r>
          </w:p>
          <w:p w14:paraId="07FF0A25" w14:textId="77777777" w:rsidR="00187713" w:rsidRPr="0096648A" w:rsidRDefault="00187713" w:rsidP="0000712C">
            <w:pPr>
              <w:pStyle w:val="EMEABodyText"/>
              <w:rPr>
                <w:szCs w:val="22"/>
              </w:rPr>
            </w:pPr>
            <w:r>
              <w:t>Norbuprenorphine C</w:t>
            </w:r>
            <w:r>
              <w:rPr>
                <w:szCs w:val="22"/>
                <w:vertAlign w:val="subscript"/>
              </w:rPr>
              <w:t>max</w:t>
            </w:r>
            <w:r>
              <w:t xml:space="preserve"> ↑61%</w:t>
            </w:r>
          </w:p>
          <w:p w14:paraId="5E34F213" w14:textId="77777777" w:rsidR="00187713" w:rsidRPr="0096648A" w:rsidRDefault="00187713" w:rsidP="0000712C">
            <w:pPr>
              <w:pStyle w:val="EMEABodyText"/>
              <w:rPr>
                <w:szCs w:val="22"/>
              </w:rPr>
            </w:pPr>
            <w:r>
              <w:t>Norbuprenorphine C</w:t>
            </w:r>
            <w:r>
              <w:rPr>
                <w:szCs w:val="22"/>
                <w:vertAlign w:val="subscript"/>
              </w:rPr>
              <w:t>min</w:t>
            </w:r>
            <w:r>
              <w:t xml:space="preserve"> ↑101%</w:t>
            </w:r>
          </w:p>
          <w:p w14:paraId="3037AB6E" w14:textId="77777777" w:rsidR="00187713" w:rsidRPr="0096648A" w:rsidRDefault="00187713" w:rsidP="0000712C">
            <w:pPr>
              <w:pStyle w:val="EMEABodyText"/>
              <w:rPr>
                <w:szCs w:val="22"/>
              </w:rPr>
            </w:pPr>
          </w:p>
          <w:p w14:paraId="62B85D58" w14:textId="77777777" w:rsidR="00187713" w:rsidRPr="00D31EBB" w:rsidRDefault="00187713" w:rsidP="0000712C">
            <w:pPr>
              <w:pStyle w:val="EMEABodyText"/>
              <w:rPr>
                <w:szCs w:val="22"/>
              </w:rPr>
            </w:pPr>
            <w:r>
              <w:t>The mechanism of interaction is CYP3A4 and UGT1A1 inhibition.</w:t>
            </w:r>
          </w:p>
          <w:p w14:paraId="55E1F69F" w14:textId="77777777" w:rsidR="00187713" w:rsidRPr="00D31EBB" w:rsidRDefault="00187713" w:rsidP="0000712C">
            <w:pPr>
              <w:pStyle w:val="EMEABodyText"/>
              <w:rPr>
                <w:szCs w:val="22"/>
              </w:rPr>
            </w:pPr>
            <w:r>
              <w:t>Concentrations of atazanavir were not significantly affected.</w:t>
            </w:r>
          </w:p>
        </w:tc>
        <w:tc>
          <w:tcPr>
            <w:tcW w:w="3119" w:type="dxa"/>
          </w:tcPr>
          <w:p w14:paraId="58BF230D" w14:textId="77777777" w:rsidR="00187713" w:rsidRPr="004F3582" w:rsidRDefault="00187713" w:rsidP="0000712C">
            <w:pPr>
              <w:pStyle w:val="EMEABodyText"/>
              <w:rPr>
                <w:szCs w:val="22"/>
              </w:rPr>
            </w:pPr>
            <w:r>
              <w:t>Co-administration warrants</w:t>
            </w:r>
            <w:r>
              <w:br/>
              <w:t>clinical monitoring for sedation and cognitive effects. A dose reduction of buprenorphine may be considered.</w:t>
            </w:r>
          </w:p>
        </w:tc>
      </w:tr>
      <w:tr w:rsidR="00187713" w:rsidRPr="00965E20" w14:paraId="4B493AA1" w14:textId="77777777" w:rsidTr="0000712C">
        <w:trPr>
          <w:cantSplit/>
          <w:trHeight w:val="340"/>
        </w:trPr>
        <w:tc>
          <w:tcPr>
            <w:tcW w:w="3095" w:type="dxa"/>
          </w:tcPr>
          <w:p w14:paraId="0D62D292" w14:textId="77777777" w:rsidR="00187713" w:rsidRPr="00D31EBB" w:rsidRDefault="00187713" w:rsidP="0000712C">
            <w:pPr>
              <w:pStyle w:val="EMEABodyText"/>
              <w:rPr>
                <w:b/>
                <w:szCs w:val="22"/>
              </w:rPr>
            </w:pPr>
            <w:r>
              <w:rPr>
                <w:b/>
                <w:szCs w:val="22"/>
              </w:rPr>
              <w:t>Methadone, stable maintenance dose</w:t>
            </w:r>
          </w:p>
          <w:p w14:paraId="2334D513" w14:textId="77777777" w:rsidR="00187713" w:rsidRPr="00D31EBB" w:rsidRDefault="00187713" w:rsidP="0000712C">
            <w:pPr>
              <w:pStyle w:val="EMEABodyText"/>
              <w:rPr>
                <w:szCs w:val="22"/>
              </w:rPr>
            </w:pPr>
            <w:r>
              <w:t>(atazanavir 400 mg once daily)</w:t>
            </w:r>
          </w:p>
        </w:tc>
        <w:tc>
          <w:tcPr>
            <w:tcW w:w="3676" w:type="dxa"/>
          </w:tcPr>
          <w:p w14:paraId="3CDF0FEC" w14:textId="77777777" w:rsidR="00187713" w:rsidRPr="00D31EBB" w:rsidRDefault="00187713" w:rsidP="0000712C">
            <w:pPr>
              <w:pStyle w:val="EMEABodyText"/>
              <w:rPr>
                <w:szCs w:val="22"/>
              </w:rPr>
            </w:pPr>
            <w:r>
              <w:t>No significant effect on methadone concentrations was observed. Given that low dose ritonavir (100 mg twice daily) has been shown to have no significant effect on methadone concentrations, no interaction is expected if methadone is co-administered with REYATAZ and ritonavir, based on these data.</w:t>
            </w:r>
          </w:p>
        </w:tc>
        <w:tc>
          <w:tcPr>
            <w:tcW w:w="3119" w:type="dxa"/>
          </w:tcPr>
          <w:p w14:paraId="5472984A" w14:textId="77777777" w:rsidR="00187713" w:rsidRPr="00D31EBB" w:rsidRDefault="00187713" w:rsidP="0000712C">
            <w:pPr>
              <w:pStyle w:val="EMEABodyText"/>
              <w:rPr>
                <w:szCs w:val="22"/>
              </w:rPr>
            </w:pPr>
            <w:r>
              <w:t>No dosage adjustment is necessary if methadone is co-administered with REYATAZ and ritonavir.</w:t>
            </w:r>
          </w:p>
        </w:tc>
      </w:tr>
      <w:tr w:rsidR="00187713" w:rsidRPr="004F3582" w14:paraId="6819F6FE" w14:textId="77777777" w:rsidTr="0000712C">
        <w:trPr>
          <w:cantSplit/>
          <w:trHeight w:val="340"/>
        </w:trPr>
        <w:tc>
          <w:tcPr>
            <w:tcW w:w="9890" w:type="dxa"/>
            <w:gridSpan w:val="3"/>
          </w:tcPr>
          <w:p w14:paraId="535B13F8" w14:textId="77777777" w:rsidR="00187713" w:rsidRPr="004F3582" w:rsidRDefault="00187713" w:rsidP="0000712C">
            <w:pPr>
              <w:pStyle w:val="EMEABodyText"/>
              <w:rPr>
                <w:szCs w:val="22"/>
              </w:rPr>
            </w:pPr>
            <w:r>
              <w:rPr>
                <w:b/>
                <w:szCs w:val="22"/>
              </w:rPr>
              <w:t>PULMONARY ARTERIAL HYPERTENSION</w:t>
            </w:r>
          </w:p>
        </w:tc>
      </w:tr>
      <w:tr w:rsidR="00187713" w:rsidRPr="004F3582" w14:paraId="023A0DED" w14:textId="77777777" w:rsidTr="0000712C">
        <w:trPr>
          <w:cantSplit/>
          <w:trHeight w:val="340"/>
        </w:trPr>
        <w:tc>
          <w:tcPr>
            <w:tcW w:w="9890" w:type="dxa"/>
            <w:gridSpan w:val="3"/>
          </w:tcPr>
          <w:p w14:paraId="47256FAD" w14:textId="77777777" w:rsidR="00187713" w:rsidRPr="004F3582" w:rsidRDefault="00187713" w:rsidP="0000712C">
            <w:pPr>
              <w:pStyle w:val="EMEABodyText"/>
              <w:rPr>
                <w:szCs w:val="22"/>
              </w:rPr>
            </w:pPr>
            <w:r>
              <w:rPr>
                <w:i/>
                <w:iCs/>
                <w:szCs w:val="22"/>
              </w:rPr>
              <w:t>PDE5 Inhibitors</w:t>
            </w:r>
          </w:p>
        </w:tc>
      </w:tr>
      <w:tr w:rsidR="00187713" w:rsidRPr="00965E20" w14:paraId="1D6EB99C" w14:textId="77777777" w:rsidTr="0000712C">
        <w:trPr>
          <w:cantSplit/>
          <w:trHeight w:val="340"/>
        </w:trPr>
        <w:tc>
          <w:tcPr>
            <w:tcW w:w="3095" w:type="dxa"/>
          </w:tcPr>
          <w:p w14:paraId="0834FAEB" w14:textId="77777777" w:rsidR="00187713" w:rsidRPr="004F3582" w:rsidRDefault="00187713" w:rsidP="0000712C">
            <w:pPr>
              <w:rPr>
                <w:b/>
                <w:szCs w:val="22"/>
              </w:rPr>
            </w:pPr>
            <w:r>
              <w:rPr>
                <w:b/>
                <w:szCs w:val="22"/>
              </w:rPr>
              <w:t>Sildenafil</w:t>
            </w:r>
          </w:p>
        </w:tc>
        <w:tc>
          <w:tcPr>
            <w:tcW w:w="3676" w:type="dxa"/>
          </w:tcPr>
          <w:p w14:paraId="738AB73A" w14:textId="77777777" w:rsidR="00187713" w:rsidRPr="00D31EBB" w:rsidRDefault="00187713" w:rsidP="0000712C">
            <w:pPr>
              <w:rPr>
                <w:szCs w:val="22"/>
              </w:rPr>
            </w:pPr>
            <w:r>
              <w:t xml:space="preserve">Co-administration with REYATAZ/ritonavir may result in increased concentrations of the PDE5 inhibitor and an increase in PDE5-inhibitor-associated adverse events. </w:t>
            </w:r>
          </w:p>
          <w:p w14:paraId="2BA42333" w14:textId="77777777" w:rsidR="00187713" w:rsidRPr="00D31EBB" w:rsidRDefault="00187713" w:rsidP="0000712C">
            <w:pPr>
              <w:rPr>
                <w:szCs w:val="22"/>
                <w:lang w:val="en-US"/>
              </w:rPr>
            </w:pPr>
          </w:p>
          <w:p w14:paraId="52E71EE3" w14:textId="77777777" w:rsidR="00187713" w:rsidRPr="00D31EBB" w:rsidRDefault="00187713" w:rsidP="0000712C">
            <w:pPr>
              <w:rPr>
                <w:szCs w:val="22"/>
              </w:rPr>
            </w:pPr>
            <w:r>
              <w:t>The mechanism of interaction is CYP3A4 inhibition by atazanavir/ritonavir.</w:t>
            </w:r>
          </w:p>
          <w:p w14:paraId="0798CF9F" w14:textId="77777777" w:rsidR="00187713" w:rsidRPr="00D31EBB" w:rsidRDefault="00187713" w:rsidP="0000712C">
            <w:pPr>
              <w:rPr>
                <w:szCs w:val="22"/>
                <w:lang w:val="en-US"/>
              </w:rPr>
            </w:pPr>
          </w:p>
        </w:tc>
        <w:tc>
          <w:tcPr>
            <w:tcW w:w="3119" w:type="dxa"/>
          </w:tcPr>
          <w:p w14:paraId="0C61C27C" w14:textId="77777777" w:rsidR="00187713" w:rsidRPr="00D31EBB" w:rsidRDefault="00187713" w:rsidP="0000712C">
            <w:pPr>
              <w:rPr>
                <w:spacing w:val="-5"/>
                <w:szCs w:val="22"/>
              </w:rPr>
            </w:pPr>
            <w:r>
              <w:t>A safe and effective dose in combination with REYATAZ/ritonavir has not been established for sildenafil when used to treat pulmonary arterial hypertension. Sildenafil, when used for the treatment of pulmonary arterial hypertension, is contraindicated (see section 4.3).</w:t>
            </w:r>
          </w:p>
        </w:tc>
      </w:tr>
      <w:tr w:rsidR="00187713" w:rsidRPr="004F3582" w14:paraId="34A6FD19" w14:textId="77777777" w:rsidTr="0000712C">
        <w:trPr>
          <w:cantSplit/>
          <w:trHeight w:val="340"/>
        </w:trPr>
        <w:tc>
          <w:tcPr>
            <w:tcW w:w="9890" w:type="dxa"/>
            <w:gridSpan w:val="3"/>
          </w:tcPr>
          <w:p w14:paraId="3BD34FBE" w14:textId="77777777" w:rsidR="00187713" w:rsidRPr="004F3582" w:rsidRDefault="00187713" w:rsidP="0000712C">
            <w:pPr>
              <w:pStyle w:val="EMEABodyText"/>
              <w:rPr>
                <w:szCs w:val="22"/>
              </w:rPr>
            </w:pPr>
            <w:r>
              <w:rPr>
                <w:b/>
                <w:szCs w:val="22"/>
              </w:rPr>
              <w:t>SEDATIVES</w:t>
            </w:r>
          </w:p>
        </w:tc>
      </w:tr>
      <w:tr w:rsidR="00187713" w:rsidRPr="004F3582" w14:paraId="4700EB30" w14:textId="77777777" w:rsidTr="0000712C">
        <w:trPr>
          <w:cantSplit/>
          <w:trHeight w:val="340"/>
        </w:trPr>
        <w:tc>
          <w:tcPr>
            <w:tcW w:w="9890" w:type="dxa"/>
            <w:gridSpan w:val="3"/>
          </w:tcPr>
          <w:p w14:paraId="05487018" w14:textId="77777777" w:rsidR="00187713" w:rsidRPr="004F3582" w:rsidRDefault="00187713" w:rsidP="0000712C">
            <w:pPr>
              <w:pStyle w:val="EMEABodyText"/>
              <w:rPr>
                <w:i/>
                <w:szCs w:val="22"/>
              </w:rPr>
            </w:pPr>
            <w:r>
              <w:rPr>
                <w:i/>
                <w:iCs/>
                <w:szCs w:val="22"/>
              </w:rPr>
              <w:t>Benzodiazepines</w:t>
            </w:r>
          </w:p>
        </w:tc>
      </w:tr>
      <w:tr w:rsidR="00187713" w:rsidRPr="00965E20" w14:paraId="3BC8D388" w14:textId="77777777" w:rsidTr="0000712C">
        <w:trPr>
          <w:cantSplit/>
          <w:trHeight w:val="340"/>
        </w:trPr>
        <w:tc>
          <w:tcPr>
            <w:tcW w:w="3095" w:type="dxa"/>
          </w:tcPr>
          <w:p w14:paraId="094B5932" w14:textId="77777777" w:rsidR="00187713" w:rsidRPr="004F3582" w:rsidRDefault="00187713" w:rsidP="0000712C">
            <w:pPr>
              <w:pStyle w:val="EMEABodyText"/>
              <w:rPr>
                <w:b/>
                <w:iCs/>
                <w:szCs w:val="22"/>
              </w:rPr>
            </w:pPr>
            <w:r>
              <w:rPr>
                <w:b/>
                <w:iCs/>
                <w:szCs w:val="22"/>
              </w:rPr>
              <w:t>Midazolam</w:t>
            </w:r>
          </w:p>
          <w:p w14:paraId="2AA994F4" w14:textId="77777777" w:rsidR="00187713" w:rsidRPr="004F3582" w:rsidRDefault="00187713" w:rsidP="0000712C">
            <w:pPr>
              <w:pStyle w:val="EMEABodyText"/>
              <w:rPr>
                <w:b/>
                <w:szCs w:val="22"/>
              </w:rPr>
            </w:pPr>
            <w:r>
              <w:rPr>
                <w:b/>
                <w:iCs/>
                <w:szCs w:val="22"/>
              </w:rPr>
              <w:t>Triazolam</w:t>
            </w:r>
          </w:p>
        </w:tc>
        <w:tc>
          <w:tcPr>
            <w:tcW w:w="3676" w:type="dxa"/>
          </w:tcPr>
          <w:p w14:paraId="46C41A8C" w14:textId="77777777" w:rsidR="00187713" w:rsidRPr="00D31EBB" w:rsidRDefault="00187713" w:rsidP="00C51E90">
            <w:pPr>
              <w:pStyle w:val="EMEABodyText"/>
              <w:rPr>
                <w:szCs w:val="22"/>
              </w:rPr>
            </w:pPr>
            <w:r>
              <w:t>Midazolam and triazolam are extensively metabolised by CYP3A4. Co-administration with REYATAZ/ritonavir may cause a large increase in the concentration of these benzodiazepines. No drug interaction study has been performed for the co-administration of REYATAZ/ritonavir with benzodiazepines. Based on data for other CYP3A4 inhibitors, plasma concentrations of midazolam are expected to be significantly higher when midazolam is given orally. Data from concomitant use of parenteral midazolam with other protease inhibitors suggest a possible 3-4 fold increase in midazolam plasma levels.</w:t>
            </w:r>
          </w:p>
        </w:tc>
        <w:tc>
          <w:tcPr>
            <w:tcW w:w="3119" w:type="dxa"/>
          </w:tcPr>
          <w:p w14:paraId="6C3B58C1" w14:textId="77777777" w:rsidR="00187713" w:rsidRPr="00D31EBB" w:rsidRDefault="00187713" w:rsidP="0000712C">
            <w:pPr>
              <w:pStyle w:val="EMEABodyText"/>
              <w:rPr>
                <w:szCs w:val="22"/>
              </w:rPr>
            </w:pPr>
            <w:r>
              <w:t>REYATAZ/ritonavir should not be co-administered with triazolam or orally administered midazolam (see section 4.3), whereas caution should be used with co-administration of REYATAZ/ritonavir and parenteral midazolam. If REYATAZ is co-administered with parenteral midazolam, it should be done in an intensive care unit (ICU) or similar setting which ensures close clinical monitoring and appropriate medical management in case of respiratory depression and/or prolonged sedation. Dosage adjustment for midazolam should be considered, especially if more than a single dose of midazolam is administered.</w:t>
            </w:r>
          </w:p>
        </w:tc>
      </w:tr>
    </w:tbl>
    <w:p w14:paraId="2267E625" w14:textId="77777777" w:rsidR="00187713" w:rsidRPr="00D31EBB" w:rsidRDefault="00187713" w:rsidP="00187713">
      <w:pPr>
        <w:pStyle w:val="EMEABodyText"/>
        <w:rPr>
          <w:szCs w:val="22"/>
          <w:lang w:val="en-US"/>
        </w:rPr>
      </w:pPr>
    </w:p>
    <w:p w14:paraId="06F4D5D6" w14:textId="77777777" w:rsidR="00187713" w:rsidRPr="00D31EBB" w:rsidRDefault="00187713" w:rsidP="00187713">
      <w:pPr>
        <w:pStyle w:val="EMEABodyText"/>
        <w:rPr>
          <w:i/>
        </w:rPr>
      </w:pPr>
      <w:r>
        <w:rPr>
          <w:i/>
        </w:rPr>
        <w:t>Paediatric population</w:t>
      </w:r>
    </w:p>
    <w:p w14:paraId="79BC35A6" w14:textId="77777777" w:rsidR="00187713" w:rsidRPr="00D31EBB" w:rsidRDefault="00187713" w:rsidP="00187713">
      <w:pPr>
        <w:pStyle w:val="EMEABodyText"/>
      </w:pPr>
      <w:r>
        <w:t>Interaction studies have only been performed in adults.</w:t>
      </w:r>
    </w:p>
    <w:p w14:paraId="44632960" w14:textId="77777777" w:rsidR="00187713" w:rsidRPr="00D31EBB" w:rsidRDefault="00187713" w:rsidP="00187713">
      <w:pPr>
        <w:pStyle w:val="EMEABodyText"/>
        <w:rPr>
          <w:lang w:val="en-US"/>
        </w:rPr>
      </w:pPr>
    </w:p>
    <w:p w14:paraId="2B371C52" w14:textId="77777777" w:rsidR="00187713" w:rsidRPr="00D31EBB" w:rsidRDefault="00187713" w:rsidP="00187713">
      <w:pPr>
        <w:pStyle w:val="EMEAHeading2"/>
        <w:rPr>
          <w:noProof/>
        </w:rPr>
      </w:pPr>
      <w:r>
        <w:t>4.6</w:t>
      </w:r>
      <w:r>
        <w:tab/>
        <w:t>Fertility, pregnancy and lactation</w:t>
      </w:r>
    </w:p>
    <w:p w14:paraId="7C464476" w14:textId="77777777" w:rsidR="00187713" w:rsidRPr="00D31EBB" w:rsidRDefault="00187713" w:rsidP="00187713">
      <w:pPr>
        <w:pStyle w:val="EMEAHeading2"/>
        <w:rPr>
          <w:noProof/>
          <w:lang w:val="en-US"/>
        </w:rPr>
      </w:pPr>
    </w:p>
    <w:p w14:paraId="2EBD586E" w14:textId="77777777" w:rsidR="003228A9" w:rsidRPr="00D31EBB" w:rsidRDefault="00187713" w:rsidP="00187713">
      <w:pPr>
        <w:pStyle w:val="EMEABodyText"/>
        <w:rPr>
          <w:u w:val="single"/>
        </w:rPr>
      </w:pPr>
      <w:r>
        <w:rPr>
          <w:u w:val="single"/>
        </w:rPr>
        <w:t>Pregnancy</w:t>
      </w:r>
    </w:p>
    <w:p w14:paraId="30F64DA7" w14:textId="77777777" w:rsidR="00187713" w:rsidRPr="00D31EBB" w:rsidRDefault="00187713" w:rsidP="00187713">
      <w:pPr>
        <w:pStyle w:val="EMEABodyText"/>
      </w:pPr>
      <w:r>
        <w:t>A moderate amount of data in pregnant women (between 300-1000 pregnancy outcomes) indicate no malformative toxicity of atazanavir. Animal studies do not indicate reproductive toxicity (see section 5.3). The use of REYATAZ may be considered during pregnancy only if the potential benefit justifies the potential risk.</w:t>
      </w:r>
    </w:p>
    <w:p w14:paraId="740DC366" w14:textId="77777777" w:rsidR="00187713" w:rsidRPr="00D31EBB" w:rsidRDefault="00187713" w:rsidP="00187713">
      <w:pPr>
        <w:pStyle w:val="EMEABodyText"/>
        <w:rPr>
          <w:noProof/>
          <w:lang w:val="en-US"/>
        </w:rPr>
      </w:pPr>
    </w:p>
    <w:p w14:paraId="4F0E280D" w14:textId="77777777" w:rsidR="00187713" w:rsidRPr="00D31EBB" w:rsidRDefault="00187713" w:rsidP="00187713">
      <w:pPr>
        <w:pStyle w:val="EMEABodyText"/>
        <w:rPr>
          <w:noProof/>
        </w:rPr>
      </w:pPr>
      <w:r>
        <w:t>In clinical trial AI424-182 REYATAZ/ritonavir (300/100 mg or 400/100 mg) in combination with zidovudine/lamivudine was administered to 41 pregnant women during the second or third trimester. Six of 20 (30%) women on REYATAZ/ritonavir 300/100 mg and 13 of 21 (62%) women on REYATAZ/ritonavir 400/100 mg experienced grades 3 to 4 hyperbilirubinaemia. There were no cases of lactic acidosis observed in the clinical trial AI424-182.</w:t>
      </w:r>
    </w:p>
    <w:p w14:paraId="6D234845" w14:textId="77777777" w:rsidR="00187713" w:rsidRPr="00D31EBB" w:rsidRDefault="00187713" w:rsidP="00187713">
      <w:pPr>
        <w:pStyle w:val="EMEABodyText"/>
        <w:rPr>
          <w:noProof/>
          <w:lang w:val="en-US"/>
        </w:rPr>
      </w:pPr>
    </w:p>
    <w:p w14:paraId="7D987F31" w14:textId="77777777" w:rsidR="00187713" w:rsidRPr="00D31EBB" w:rsidRDefault="00187713" w:rsidP="00187713">
      <w:pPr>
        <w:pStyle w:val="EMEABodyText"/>
        <w:rPr>
          <w:noProof/>
        </w:rPr>
      </w:pPr>
      <w:r>
        <w:t>The study assessed 40 infants who received antiretroviral prophylactic treatment (which did not include REYATAZ) and were negative for HIV-1 DNA at the time of delivery and/or during the first 6 months postpartum. Three of 20 infants (15%) born to women treated with REYATAZ/ritonavir 300/100 mg and four of 20 infants (20%) born to women treated with REYATAZ/ritonavir 400/100 mg experienced grade 3-4 bilirubin. There was no evidence of pathologic jaundice and six of 40 infants in this study received phototherapy for a maximum of 4 days. There were no reported cases of kernicterus in neonates.</w:t>
      </w:r>
    </w:p>
    <w:p w14:paraId="5E546C04" w14:textId="77777777" w:rsidR="00187713" w:rsidRPr="00D31EBB" w:rsidRDefault="00187713" w:rsidP="00187713">
      <w:pPr>
        <w:pStyle w:val="EMEABodyText"/>
        <w:rPr>
          <w:noProof/>
          <w:lang w:val="en-US"/>
        </w:rPr>
      </w:pPr>
    </w:p>
    <w:p w14:paraId="67C0C0F9" w14:textId="77777777" w:rsidR="00187713" w:rsidRPr="00D31EBB" w:rsidRDefault="00187713" w:rsidP="00187713">
      <w:pPr>
        <w:pStyle w:val="EMEABodyText"/>
        <w:rPr>
          <w:noProof/>
        </w:rPr>
      </w:pPr>
      <w:r>
        <w:t>For dosing recommendations see section 4.2 and for pharmacokinetic data see section 5.2.</w:t>
      </w:r>
    </w:p>
    <w:p w14:paraId="68B80365" w14:textId="77777777" w:rsidR="00187713" w:rsidRPr="00D31EBB" w:rsidRDefault="00187713" w:rsidP="00187713">
      <w:pPr>
        <w:pStyle w:val="EMEABodyText"/>
        <w:rPr>
          <w:noProof/>
          <w:lang w:val="en-US"/>
        </w:rPr>
      </w:pPr>
    </w:p>
    <w:p w14:paraId="76672BF4" w14:textId="77777777" w:rsidR="00187713" w:rsidRPr="00D31EBB" w:rsidRDefault="00187713" w:rsidP="00187713">
      <w:pPr>
        <w:pStyle w:val="EMEABodyText"/>
      </w:pPr>
      <w:r>
        <w:t>It is not known whether REYATAZ administered to the mother during pregnancy will exacerbate physiological hyperbilirubinaemia and lead to kernicterus in neonates and infants. In the prepartum period, additional monitoring should be considered.</w:t>
      </w:r>
    </w:p>
    <w:p w14:paraId="6F0E2FEA" w14:textId="77777777" w:rsidR="00187713" w:rsidRPr="00D31EBB" w:rsidRDefault="00187713" w:rsidP="00187713">
      <w:pPr>
        <w:pStyle w:val="EMEABodyText"/>
        <w:rPr>
          <w:u w:val="single"/>
          <w:lang w:val="en-US"/>
        </w:rPr>
      </w:pPr>
    </w:p>
    <w:p w14:paraId="0E512304" w14:textId="77777777" w:rsidR="003228A9" w:rsidRPr="00D31EBB" w:rsidRDefault="00187713" w:rsidP="00187713">
      <w:pPr>
        <w:pStyle w:val="EMEABodyText"/>
        <w:rPr>
          <w:u w:val="single"/>
        </w:rPr>
      </w:pPr>
      <w:r>
        <w:rPr>
          <w:u w:val="single"/>
        </w:rPr>
        <w:t>Breast-feeding</w:t>
      </w:r>
    </w:p>
    <w:p w14:paraId="59B8FF6F" w14:textId="77777777" w:rsidR="00187713" w:rsidRPr="00D31EBB" w:rsidRDefault="00C23538" w:rsidP="00187713">
      <w:pPr>
        <w:pStyle w:val="EMEABodyText"/>
      </w:pPr>
      <w:r>
        <w:t>Atazanavir has been detected in human milk. As a general rule, it is recommended that HIV infected women not breast-feed their infants in order to avoid transmission of HIV.</w:t>
      </w:r>
    </w:p>
    <w:p w14:paraId="292C1AE5" w14:textId="77777777" w:rsidR="00187713" w:rsidRPr="00D31EBB" w:rsidRDefault="00187713" w:rsidP="00187713">
      <w:pPr>
        <w:pStyle w:val="EMEABodyText"/>
        <w:rPr>
          <w:lang w:val="en-US"/>
        </w:rPr>
      </w:pPr>
    </w:p>
    <w:p w14:paraId="1C10874E" w14:textId="77777777" w:rsidR="003228A9" w:rsidRPr="00D31EBB" w:rsidRDefault="00187713" w:rsidP="00187713">
      <w:pPr>
        <w:pStyle w:val="EMEABodyText"/>
        <w:rPr>
          <w:u w:val="single"/>
        </w:rPr>
      </w:pPr>
      <w:r>
        <w:rPr>
          <w:u w:val="single"/>
        </w:rPr>
        <w:t>Fertility</w:t>
      </w:r>
    </w:p>
    <w:p w14:paraId="41237315" w14:textId="77777777" w:rsidR="00187713" w:rsidRPr="00D31EBB" w:rsidRDefault="00187713" w:rsidP="00187713">
      <w:pPr>
        <w:pStyle w:val="EMEABodyText"/>
      </w:pPr>
      <w:r>
        <w:t>In a non-clinical fertility and early embryonic development study in rats, atazanavir altered oestrus cycling with no effects on mating or fertility (see section 5.3).</w:t>
      </w:r>
    </w:p>
    <w:p w14:paraId="0802CBDE" w14:textId="77777777" w:rsidR="00187713" w:rsidRPr="00D31EBB" w:rsidRDefault="00187713" w:rsidP="00187713">
      <w:pPr>
        <w:pStyle w:val="EMEABodyText"/>
        <w:rPr>
          <w:noProof/>
          <w:lang w:val="en-US"/>
        </w:rPr>
      </w:pPr>
    </w:p>
    <w:p w14:paraId="6E53B1F4" w14:textId="77777777" w:rsidR="00187713" w:rsidRPr="00D31EBB" w:rsidRDefault="00187713" w:rsidP="00187713">
      <w:pPr>
        <w:pStyle w:val="EMEAHeading2"/>
        <w:rPr>
          <w:noProof/>
        </w:rPr>
      </w:pPr>
      <w:r>
        <w:t>4.7</w:t>
      </w:r>
      <w:r>
        <w:tab/>
        <w:t>Effects on ability to drive and use machines</w:t>
      </w:r>
    </w:p>
    <w:p w14:paraId="1BDEC139" w14:textId="77777777" w:rsidR="00187713" w:rsidRPr="00D31EBB" w:rsidRDefault="00187713" w:rsidP="00187713">
      <w:pPr>
        <w:pStyle w:val="EMEAHeading2"/>
        <w:rPr>
          <w:noProof/>
          <w:lang w:val="en-US"/>
        </w:rPr>
      </w:pPr>
    </w:p>
    <w:p w14:paraId="4BA76A9E" w14:textId="77777777" w:rsidR="00187713" w:rsidRPr="00D31EBB" w:rsidRDefault="00187713" w:rsidP="00187713">
      <w:pPr>
        <w:pStyle w:val="EMEABodyText"/>
        <w:rPr>
          <w:noProof/>
          <w:szCs w:val="22"/>
        </w:rPr>
      </w:pPr>
      <w:r>
        <w:t>Patients should be informed that dizziness has been reported during treatment with regimens containing REYATAZ (see section 4.8).</w:t>
      </w:r>
    </w:p>
    <w:p w14:paraId="70B2111A" w14:textId="77777777" w:rsidR="00187713" w:rsidRPr="00D31EBB" w:rsidRDefault="00187713" w:rsidP="00187713">
      <w:pPr>
        <w:pStyle w:val="EMEABodyText"/>
        <w:rPr>
          <w:noProof/>
          <w:lang w:val="en-US"/>
        </w:rPr>
      </w:pPr>
    </w:p>
    <w:p w14:paraId="7A470D40" w14:textId="77777777" w:rsidR="00187713" w:rsidRPr="00D31EBB" w:rsidRDefault="00187713" w:rsidP="00187713">
      <w:pPr>
        <w:pStyle w:val="EMEAHeading2"/>
        <w:rPr>
          <w:noProof/>
        </w:rPr>
      </w:pPr>
      <w:r>
        <w:t>4.8</w:t>
      </w:r>
      <w:r>
        <w:tab/>
        <w:t>Undesirable effects</w:t>
      </w:r>
    </w:p>
    <w:p w14:paraId="12D4455E" w14:textId="77777777" w:rsidR="00187713" w:rsidRPr="00D31EBB" w:rsidRDefault="00187713" w:rsidP="00187713">
      <w:pPr>
        <w:pStyle w:val="EMEABodyText"/>
        <w:rPr>
          <w:lang w:val="en-US"/>
        </w:rPr>
      </w:pPr>
    </w:p>
    <w:p w14:paraId="7475D706" w14:textId="77777777" w:rsidR="003228A9" w:rsidRPr="00D31EBB" w:rsidRDefault="00187713" w:rsidP="00187713">
      <w:pPr>
        <w:pStyle w:val="EMEABodyText"/>
        <w:rPr>
          <w:b/>
        </w:rPr>
      </w:pPr>
      <w:r>
        <w:rPr>
          <w:u w:val="single"/>
        </w:rPr>
        <w:t>Summary of the safety profile</w:t>
      </w:r>
    </w:p>
    <w:p w14:paraId="67C70401" w14:textId="77777777" w:rsidR="00187713" w:rsidRPr="00D31EBB" w:rsidRDefault="00187713" w:rsidP="00187713">
      <w:pPr>
        <w:pStyle w:val="EMEABodyText"/>
      </w:pPr>
      <w:r>
        <w:t>REYATAZ has been evaluated for safety in combination therapy with other antiretroviral medicinal products in controlled clinical trials in 1,806 adult patients receiving REYATAZ 400 mg once daily (1,151 patients, 52 weeks median duration and 152 weeks maximum duration) or REYATAZ 300 mg with ritonavir 100 mg once daily (655 patients, 96 weeks median duration and 108 weeks maximum duration).</w:t>
      </w:r>
    </w:p>
    <w:p w14:paraId="58F179E5" w14:textId="77777777" w:rsidR="00187713" w:rsidRPr="00D31EBB" w:rsidRDefault="00187713" w:rsidP="00187713">
      <w:pPr>
        <w:pStyle w:val="EMEABodyText"/>
        <w:rPr>
          <w:lang w:val="en-US"/>
        </w:rPr>
      </w:pPr>
    </w:p>
    <w:p w14:paraId="42DE36BC" w14:textId="77777777" w:rsidR="00187713" w:rsidRPr="00D31EBB" w:rsidRDefault="00187713" w:rsidP="00187713">
      <w:pPr>
        <w:pStyle w:val="EMEABodyText"/>
        <w:rPr>
          <w:sz w:val="20"/>
        </w:rPr>
      </w:pPr>
      <w:r>
        <w:t>Adverse reactions were consistent between patients who received REYATAZ 400 mg once daily and patients who received REYATAZ 300 mg with ritonavir 100 mg once daily, except that jaundice and elevated total bilirubin levels were reported more frequently with REYATAZ plus ritonavir.</w:t>
      </w:r>
    </w:p>
    <w:p w14:paraId="61E69D64" w14:textId="77777777" w:rsidR="00187713" w:rsidRPr="00D31EBB" w:rsidRDefault="00187713" w:rsidP="00187713">
      <w:pPr>
        <w:pStyle w:val="EMEABodyText"/>
        <w:rPr>
          <w:lang w:val="en-US"/>
        </w:rPr>
      </w:pPr>
    </w:p>
    <w:p w14:paraId="6730F006" w14:textId="77777777" w:rsidR="00187713" w:rsidRPr="00D31EBB" w:rsidRDefault="00187713" w:rsidP="00187713">
      <w:pPr>
        <w:pStyle w:val="EMEABodyText"/>
      </w:pPr>
      <w:r>
        <w:t>Among patients who received REYATAZ 400 mg once daily or REYATAZ 300 mg with ritonavir 100 mg once daily, the only adverse reactions of any severity reported very commonly with at least a possible relationship to regimens containing REYATAZ and one or more NRTIs were nausea (20%), diarrhoea (10%), and jaundice (13%). Among patients receiving REYATAZ 300 mg with ritonavir 100 mg, the frequency of jaundice was 19%. In the majority of cases, jaundice was reported within a few days to a few months after the initiation of treatment (see section 4.4).</w:t>
      </w:r>
    </w:p>
    <w:p w14:paraId="5B750931" w14:textId="77777777" w:rsidR="00EF4F14" w:rsidRPr="00D31EBB" w:rsidRDefault="00EF4F14" w:rsidP="00EF4F14">
      <w:pPr>
        <w:pStyle w:val="EMEABodyText"/>
        <w:rPr>
          <w:highlight w:val="yellow"/>
          <w:lang w:val="en-US"/>
        </w:rPr>
      </w:pPr>
    </w:p>
    <w:p w14:paraId="33EE9609" w14:textId="77777777" w:rsidR="00EF4F14" w:rsidRPr="00D31EBB" w:rsidRDefault="00EF4F14" w:rsidP="00EF4F14">
      <w:pPr>
        <w:pStyle w:val="EMEABodyText"/>
      </w:pPr>
      <w:r>
        <w:t xml:space="preserve">Chronic kidney disease in HIV-infected patients treated with atazanavir, with or without ritonavir, has been reported during postmarketing surveillance.  A large prospective observational study has shown an association between an increased incidence of chronic kidney disease and cumulative exposure to atazanavir/ritonavir-containing regimen in HIV-infected patients with an initially normal eGFR. This association was observed independently of exposure to tenofovir disoproxil. Regular monitoring of the renal function of patients should be maintained throughout the treatment duration (see section 4.4). </w:t>
      </w:r>
    </w:p>
    <w:p w14:paraId="62FEAD10" w14:textId="77777777" w:rsidR="00187713" w:rsidRPr="00D31EBB" w:rsidRDefault="00187713" w:rsidP="00187713">
      <w:pPr>
        <w:pStyle w:val="EMEABodyText"/>
        <w:rPr>
          <w:strike/>
          <w:lang w:val="en-US"/>
        </w:rPr>
      </w:pPr>
    </w:p>
    <w:p w14:paraId="5F4217D3" w14:textId="77777777" w:rsidR="003228A9" w:rsidRPr="00D31EBB" w:rsidRDefault="00187713" w:rsidP="00187713">
      <w:pPr>
        <w:pStyle w:val="EMEABodyText"/>
        <w:keepNext/>
        <w:rPr>
          <w:b/>
        </w:rPr>
      </w:pPr>
      <w:r>
        <w:rPr>
          <w:u w:val="single"/>
        </w:rPr>
        <w:t>Tabulated list of adverse reactions</w:t>
      </w:r>
    </w:p>
    <w:p w14:paraId="0598F1C4" w14:textId="77777777" w:rsidR="00187713" w:rsidRPr="00D31EBB" w:rsidRDefault="00187713" w:rsidP="00187713">
      <w:pPr>
        <w:pStyle w:val="EMEABodyText"/>
        <w:rPr>
          <w:noProof/>
        </w:rPr>
      </w:pPr>
      <w:r>
        <w:t>Assessment of adverse reactions for REYATAZ is based on safety data from clinical studies and post-marketing experience. Frequency is defined using the following convention: very common (≥ 1/10), common (≥ 1/100 to &lt; 1/10), uncommon (≥ 1/1,000 to &lt; 1/100), rare (≥ 1/10,000 to &lt; 1/1,000), very rare (&lt; 1/10,000). Within each frequency grouping, undesirable effects are presented in order of decreasing seriousness.</w:t>
      </w:r>
    </w:p>
    <w:p w14:paraId="577FA632" w14:textId="77777777" w:rsidR="00187713" w:rsidRPr="00D31EBB" w:rsidRDefault="00187713" w:rsidP="00187713">
      <w:pPr>
        <w:pStyle w:val="EMEABodyText"/>
        <w:keepNext/>
        <w:rPr>
          <w:lang w:val="en-US"/>
        </w:rPr>
      </w:pPr>
    </w:p>
    <w:tbl>
      <w:tblPr>
        <w:tblW w:w="8647" w:type="dxa"/>
        <w:tblInd w:w="675" w:type="dxa"/>
        <w:tblLayout w:type="fixed"/>
        <w:tblLook w:val="0000" w:firstRow="0" w:lastRow="0" w:firstColumn="0" w:lastColumn="0" w:noHBand="0" w:noVBand="0"/>
      </w:tblPr>
      <w:tblGrid>
        <w:gridCol w:w="3303"/>
        <w:gridCol w:w="5344"/>
      </w:tblGrid>
      <w:tr w:rsidR="00187713" w:rsidRPr="004F3582" w14:paraId="462DDEDB" w14:textId="77777777" w:rsidTr="0000712C">
        <w:tc>
          <w:tcPr>
            <w:tcW w:w="3303" w:type="dxa"/>
          </w:tcPr>
          <w:p w14:paraId="5717BCA1" w14:textId="77777777" w:rsidR="00187713" w:rsidRPr="004F3582" w:rsidRDefault="00187713" w:rsidP="0000712C">
            <w:pPr>
              <w:pStyle w:val="EMEABodyText"/>
              <w:tabs>
                <w:tab w:val="left" w:pos="3960"/>
              </w:tabs>
              <w:rPr>
                <w:i/>
              </w:rPr>
            </w:pPr>
            <w:r>
              <w:rPr>
                <w:i/>
              </w:rPr>
              <w:t>Immune system disorders:</w:t>
            </w:r>
          </w:p>
        </w:tc>
        <w:tc>
          <w:tcPr>
            <w:tcW w:w="5344" w:type="dxa"/>
          </w:tcPr>
          <w:p w14:paraId="44AC5EFB" w14:textId="77777777" w:rsidR="00187713" w:rsidRPr="004F3582" w:rsidRDefault="00187713" w:rsidP="0000712C">
            <w:pPr>
              <w:pStyle w:val="EMEABodyText"/>
              <w:tabs>
                <w:tab w:val="left" w:pos="3960"/>
              </w:tabs>
            </w:pPr>
            <w:r>
              <w:t>uncommon: hypersensitivity</w:t>
            </w:r>
          </w:p>
          <w:p w14:paraId="23C48BA4" w14:textId="77777777" w:rsidR="00187713" w:rsidRPr="004F3582" w:rsidRDefault="00187713" w:rsidP="0000712C">
            <w:pPr>
              <w:pStyle w:val="EMEABodyText"/>
              <w:tabs>
                <w:tab w:val="left" w:pos="3960"/>
              </w:tabs>
            </w:pPr>
          </w:p>
        </w:tc>
      </w:tr>
      <w:tr w:rsidR="00187713" w:rsidRPr="00965E20" w14:paraId="01191945" w14:textId="77777777" w:rsidTr="0000712C">
        <w:tc>
          <w:tcPr>
            <w:tcW w:w="3303" w:type="dxa"/>
          </w:tcPr>
          <w:p w14:paraId="68CB4DF3" w14:textId="77777777" w:rsidR="00187713" w:rsidRPr="004F3582" w:rsidRDefault="00187713" w:rsidP="0000712C">
            <w:pPr>
              <w:pStyle w:val="EMEABodyText"/>
              <w:tabs>
                <w:tab w:val="left" w:pos="3960"/>
              </w:tabs>
              <w:rPr>
                <w:i/>
              </w:rPr>
            </w:pPr>
            <w:r>
              <w:rPr>
                <w:i/>
              </w:rPr>
              <w:t>Metabolism and nutrition disorders:</w:t>
            </w:r>
          </w:p>
        </w:tc>
        <w:tc>
          <w:tcPr>
            <w:tcW w:w="5344" w:type="dxa"/>
          </w:tcPr>
          <w:p w14:paraId="5A7A4DAD" w14:textId="77777777" w:rsidR="00187713" w:rsidRPr="00D31EBB" w:rsidRDefault="00187713" w:rsidP="0000712C">
            <w:pPr>
              <w:pStyle w:val="EMEABodyText"/>
            </w:pPr>
            <w:r>
              <w:t>uncommon: weight decreased, weight gain, anorexia, appetite increased</w:t>
            </w:r>
          </w:p>
          <w:p w14:paraId="2102BCFE" w14:textId="77777777" w:rsidR="00187713" w:rsidRPr="00D31EBB" w:rsidRDefault="00187713" w:rsidP="0000712C">
            <w:pPr>
              <w:pStyle w:val="EMEABodyText"/>
              <w:rPr>
                <w:lang w:val="en-US"/>
              </w:rPr>
            </w:pPr>
          </w:p>
        </w:tc>
      </w:tr>
      <w:tr w:rsidR="00187713" w:rsidRPr="00965E20" w14:paraId="10710426" w14:textId="77777777" w:rsidTr="0000712C">
        <w:tc>
          <w:tcPr>
            <w:tcW w:w="3303" w:type="dxa"/>
          </w:tcPr>
          <w:p w14:paraId="3AEB1A00" w14:textId="77777777" w:rsidR="00187713" w:rsidRPr="004F3582" w:rsidRDefault="00187713" w:rsidP="0000712C">
            <w:pPr>
              <w:pStyle w:val="EMEABodyText"/>
              <w:rPr>
                <w:i/>
              </w:rPr>
            </w:pPr>
            <w:r>
              <w:rPr>
                <w:i/>
              </w:rPr>
              <w:t>Psychiatric disorders:</w:t>
            </w:r>
          </w:p>
          <w:p w14:paraId="685132BD" w14:textId="77777777" w:rsidR="00187713" w:rsidRPr="004F3582" w:rsidRDefault="00187713" w:rsidP="0000712C">
            <w:pPr>
              <w:pStyle w:val="EMEABodyText"/>
              <w:tabs>
                <w:tab w:val="left" w:pos="3960"/>
              </w:tabs>
              <w:rPr>
                <w:i/>
              </w:rPr>
            </w:pPr>
          </w:p>
        </w:tc>
        <w:tc>
          <w:tcPr>
            <w:tcW w:w="5344" w:type="dxa"/>
          </w:tcPr>
          <w:p w14:paraId="0E145F92" w14:textId="77777777" w:rsidR="00187713" w:rsidRPr="00D31EBB" w:rsidRDefault="00187713" w:rsidP="0000712C">
            <w:pPr>
              <w:pStyle w:val="EMEABodyText"/>
              <w:tabs>
                <w:tab w:val="left" w:pos="3960"/>
              </w:tabs>
            </w:pPr>
            <w:r>
              <w:t>uncommon: depression, disorientation, anxiety, insomnia, sleep disorder, abnormal dream</w:t>
            </w:r>
          </w:p>
          <w:p w14:paraId="3EA30E86" w14:textId="77777777" w:rsidR="00187713" w:rsidRPr="00D31EBB" w:rsidRDefault="00187713" w:rsidP="0000712C">
            <w:pPr>
              <w:pStyle w:val="EMEABodyText"/>
              <w:tabs>
                <w:tab w:val="left" w:pos="3960"/>
              </w:tabs>
              <w:rPr>
                <w:lang w:val="en-US"/>
              </w:rPr>
            </w:pPr>
          </w:p>
        </w:tc>
      </w:tr>
      <w:tr w:rsidR="00187713" w:rsidRPr="004F3582" w14:paraId="02B8617A" w14:textId="77777777" w:rsidTr="0000712C">
        <w:tc>
          <w:tcPr>
            <w:tcW w:w="3303" w:type="dxa"/>
          </w:tcPr>
          <w:p w14:paraId="5AB8D4A2" w14:textId="77777777" w:rsidR="00187713" w:rsidRPr="004F3582" w:rsidRDefault="00187713" w:rsidP="0000712C">
            <w:pPr>
              <w:pStyle w:val="EMEABodyText"/>
              <w:tabs>
                <w:tab w:val="left" w:pos="3960"/>
              </w:tabs>
              <w:rPr>
                <w:i/>
              </w:rPr>
            </w:pPr>
            <w:r>
              <w:rPr>
                <w:i/>
              </w:rPr>
              <w:t>Nervous system disorders:</w:t>
            </w:r>
          </w:p>
        </w:tc>
        <w:tc>
          <w:tcPr>
            <w:tcW w:w="5344" w:type="dxa"/>
          </w:tcPr>
          <w:p w14:paraId="7FC238D8" w14:textId="77777777" w:rsidR="00187713" w:rsidRPr="004F3582" w:rsidRDefault="00187713" w:rsidP="0000712C">
            <w:pPr>
              <w:pStyle w:val="EMEABodyText"/>
              <w:tabs>
                <w:tab w:val="left" w:pos="3960"/>
              </w:tabs>
            </w:pPr>
            <w:r>
              <w:t>common: headache;</w:t>
            </w:r>
          </w:p>
          <w:p w14:paraId="590BA92F" w14:textId="77777777" w:rsidR="00187713" w:rsidRPr="004F3582" w:rsidRDefault="00187713" w:rsidP="0000712C">
            <w:pPr>
              <w:pStyle w:val="EMEABodyText"/>
              <w:tabs>
                <w:tab w:val="left" w:pos="3960"/>
              </w:tabs>
            </w:pPr>
            <w:r>
              <w:t>uncommon: peripheral neuropathy, syncope, amnesia, dizziness, somnolence, dysgeusia</w:t>
            </w:r>
          </w:p>
          <w:p w14:paraId="2F664D83" w14:textId="77777777" w:rsidR="00187713" w:rsidRPr="004F3582" w:rsidRDefault="00187713" w:rsidP="0000712C">
            <w:pPr>
              <w:pStyle w:val="EMEABodyText"/>
              <w:tabs>
                <w:tab w:val="left" w:pos="3960"/>
              </w:tabs>
              <w:rPr>
                <w:i/>
              </w:rPr>
            </w:pPr>
          </w:p>
        </w:tc>
      </w:tr>
      <w:tr w:rsidR="00187713" w:rsidRPr="004F3582" w14:paraId="1B041E51" w14:textId="77777777" w:rsidTr="0000712C">
        <w:tc>
          <w:tcPr>
            <w:tcW w:w="3303" w:type="dxa"/>
          </w:tcPr>
          <w:p w14:paraId="76803259" w14:textId="77777777" w:rsidR="00187713" w:rsidRPr="004F3582" w:rsidRDefault="00187713" w:rsidP="0000712C">
            <w:pPr>
              <w:pStyle w:val="EMEABodyText"/>
              <w:tabs>
                <w:tab w:val="left" w:pos="3960"/>
              </w:tabs>
              <w:rPr>
                <w:i/>
              </w:rPr>
            </w:pPr>
            <w:r>
              <w:rPr>
                <w:i/>
              </w:rPr>
              <w:t>Eye disorders:</w:t>
            </w:r>
          </w:p>
        </w:tc>
        <w:tc>
          <w:tcPr>
            <w:tcW w:w="5344" w:type="dxa"/>
          </w:tcPr>
          <w:p w14:paraId="2F1886E8" w14:textId="77777777" w:rsidR="00187713" w:rsidRPr="004F3582" w:rsidRDefault="00187713" w:rsidP="0000712C">
            <w:pPr>
              <w:pStyle w:val="EMEABodyText"/>
              <w:tabs>
                <w:tab w:val="left" w:pos="3960"/>
              </w:tabs>
            </w:pPr>
            <w:r>
              <w:t>common: ocular icterus</w:t>
            </w:r>
          </w:p>
          <w:p w14:paraId="5AFC4586" w14:textId="77777777" w:rsidR="00187713" w:rsidRPr="004F3582" w:rsidRDefault="00187713" w:rsidP="0000712C">
            <w:pPr>
              <w:pStyle w:val="EMEABodyText"/>
              <w:tabs>
                <w:tab w:val="left" w:pos="3960"/>
              </w:tabs>
              <w:rPr>
                <w:i/>
              </w:rPr>
            </w:pPr>
          </w:p>
        </w:tc>
      </w:tr>
      <w:tr w:rsidR="00187713" w:rsidRPr="00324E2C" w14:paraId="7D4899AD" w14:textId="77777777" w:rsidTr="0000712C">
        <w:tc>
          <w:tcPr>
            <w:tcW w:w="3303" w:type="dxa"/>
          </w:tcPr>
          <w:p w14:paraId="080BCDD7" w14:textId="77777777" w:rsidR="00187713" w:rsidRPr="004F3582" w:rsidRDefault="00187713" w:rsidP="0000712C">
            <w:pPr>
              <w:pStyle w:val="EMEABodyText"/>
              <w:tabs>
                <w:tab w:val="left" w:pos="3960"/>
              </w:tabs>
              <w:rPr>
                <w:i/>
              </w:rPr>
            </w:pPr>
            <w:r>
              <w:rPr>
                <w:i/>
              </w:rPr>
              <w:t>Cardiac disorders:</w:t>
            </w:r>
          </w:p>
        </w:tc>
        <w:tc>
          <w:tcPr>
            <w:tcW w:w="5344" w:type="dxa"/>
          </w:tcPr>
          <w:p w14:paraId="47E45E5D" w14:textId="77777777" w:rsidR="00187713" w:rsidRPr="00C23538" w:rsidRDefault="00187713" w:rsidP="0000712C">
            <w:pPr>
              <w:pStyle w:val="EMEABodyText"/>
              <w:keepNext/>
              <w:tabs>
                <w:tab w:val="left" w:pos="3960"/>
              </w:tabs>
            </w:pPr>
            <w:r>
              <w:t>uncommon: torsades de pointes</w:t>
            </w:r>
            <w:r>
              <w:rPr>
                <w:vertAlign w:val="superscript"/>
              </w:rPr>
              <w:t>a</w:t>
            </w:r>
          </w:p>
          <w:p w14:paraId="1F04E48A" w14:textId="77777777" w:rsidR="00187713" w:rsidRPr="00C23538" w:rsidRDefault="00187713" w:rsidP="0000712C">
            <w:pPr>
              <w:pStyle w:val="EMEABodyText"/>
              <w:keepNext/>
              <w:tabs>
                <w:tab w:val="left" w:pos="3960"/>
              </w:tabs>
            </w:pPr>
            <w:r>
              <w:t>rare: QTc prolongation</w:t>
            </w:r>
            <w:r>
              <w:rPr>
                <w:vertAlign w:val="superscript"/>
              </w:rPr>
              <w:t>a</w:t>
            </w:r>
            <w:r>
              <w:t>, oedema, palpitation</w:t>
            </w:r>
          </w:p>
          <w:p w14:paraId="19C031F1" w14:textId="77777777" w:rsidR="00187713" w:rsidRPr="00C23538" w:rsidRDefault="00187713" w:rsidP="0000712C">
            <w:pPr>
              <w:pStyle w:val="EMEABodyText"/>
              <w:keepNext/>
              <w:tabs>
                <w:tab w:val="left" w:pos="3960"/>
              </w:tabs>
            </w:pPr>
          </w:p>
        </w:tc>
      </w:tr>
      <w:tr w:rsidR="00187713" w:rsidRPr="004F3582" w14:paraId="763A3CE9" w14:textId="77777777" w:rsidTr="0000712C">
        <w:tc>
          <w:tcPr>
            <w:tcW w:w="3303" w:type="dxa"/>
          </w:tcPr>
          <w:p w14:paraId="653C8BB7" w14:textId="77777777" w:rsidR="00187713" w:rsidRPr="004F3582" w:rsidRDefault="00187713" w:rsidP="0000712C">
            <w:pPr>
              <w:pStyle w:val="EMEABodyText"/>
              <w:tabs>
                <w:tab w:val="left" w:pos="3960"/>
              </w:tabs>
              <w:rPr>
                <w:i/>
              </w:rPr>
            </w:pPr>
            <w:r>
              <w:rPr>
                <w:i/>
              </w:rPr>
              <w:t>Vascular disorders:</w:t>
            </w:r>
          </w:p>
          <w:p w14:paraId="5EC8CDB6" w14:textId="77777777" w:rsidR="00187713" w:rsidRPr="004F3582" w:rsidRDefault="00187713" w:rsidP="0000712C">
            <w:pPr>
              <w:pStyle w:val="EMEABodyText"/>
              <w:tabs>
                <w:tab w:val="left" w:pos="3960"/>
              </w:tabs>
              <w:rPr>
                <w:i/>
              </w:rPr>
            </w:pPr>
          </w:p>
        </w:tc>
        <w:tc>
          <w:tcPr>
            <w:tcW w:w="5344" w:type="dxa"/>
          </w:tcPr>
          <w:p w14:paraId="58889DFA" w14:textId="77777777" w:rsidR="00187713" w:rsidRPr="004F3582" w:rsidRDefault="00187713" w:rsidP="0000712C">
            <w:pPr>
              <w:pStyle w:val="EMEABodyText"/>
            </w:pPr>
            <w:r>
              <w:t>uncommon: hypertension</w:t>
            </w:r>
          </w:p>
          <w:p w14:paraId="0C215804" w14:textId="77777777" w:rsidR="00187713" w:rsidRPr="004F3582" w:rsidRDefault="00187713" w:rsidP="0000712C">
            <w:pPr>
              <w:pStyle w:val="EMEABodyText"/>
              <w:tabs>
                <w:tab w:val="left" w:pos="3960"/>
              </w:tabs>
            </w:pPr>
          </w:p>
        </w:tc>
      </w:tr>
      <w:tr w:rsidR="00187713" w:rsidRPr="004F3582" w14:paraId="256EBC6A" w14:textId="77777777" w:rsidTr="0000712C">
        <w:tc>
          <w:tcPr>
            <w:tcW w:w="3303" w:type="dxa"/>
          </w:tcPr>
          <w:p w14:paraId="333F9DF9" w14:textId="77777777" w:rsidR="00187713" w:rsidRPr="00D31EBB" w:rsidRDefault="00187713" w:rsidP="0000712C">
            <w:pPr>
              <w:pStyle w:val="EMEABodyText"/>
              <w:tabs>
                <w:tab w:val="left" w:pos="3960"/>
              </w:tabs>
              <w:rPr>
                <w:i/>
              </w:rPr>
            </w:pPr>
            <w:r>
              <w:rPr>
                <w:i/>
              </w:rPr>
              <w:t>Respiratory, thoracic and mediastinal disorders:</w:t>
            </w:r>
          </w:p>
          <w:p w14:paraId="2A9C1F84" w14:textId="77777777" w:rsidR="00187713" w:rsidRPr="00D31EBB" w:rsidRDefault="00187713" w:rsidP="0000712C">
            <w:pPr>
              <w:pStyle w:val="EMEABodyText"/>
              <w:tabs>
                <w:tab w:val="left" w:pos="3960"/>
              </w:tabs>
              <w:rPr>
                <w:i/>
                <w:lang w:val="en-US"/>
              </w:rPr>
            </w:pPr>
          </w:p>
        </w:tc>
        <w:tc>
          <w:tcPr>
            <w:tcW w:w="5344" w:type="dxa"/>
          </w:tcPr>
          <w:p w14:paraId="4271DE6C" w14:textId="77777777" w:rsidR="00187713" w:rsidRPr="004F3582" w:rsidRDefault="00187713" w:rsidP="0000712C">
            <w:pPr>
              <w:pStyle w:val="EMEABodyText"/>
              <w:tabs>
                <w:tab w:val="left" w:pos="3960"/>
              </w:tabs>
            </w:pPr>
            <w:r>
              <w:t>uncommon: dyspnoea</w:t>
            </w:r>
          </w:p>
        </w:tc>
      </w:tr>
      <w:tr w:rsidR="00187713" w:rsidRPr="00965E20" w14:paraId="766A82F0" w14:textId="77777777" w:rsidTr="0000712C">
        <w:tc>
          <w:tcPr>
            <w:tcW w:w="3303" w:type="dxa"/>
          </w:tcPr>
          <w:p w14:paraId="243EE68E" w14:textId="77777777" w:rsidR="00187713" w:rsidRPr="004F3582" w:rsidRDefault="00187713" w:rsidP="0000712C">
            <w:pPr>
              <w:pStyle w:val="EMEABodyText"/>
              <w:tabs>
                <w:tab w:val="left" w:pos="3960"/>
              </w:tabs>
              <w:rPr>
                <w:i/>
              </w:rPr>
            </w:pPr>
            <w:r>
              <w:rPr>
                <w:i/>
              </w:rPr>
              <w:t>Gastrointestinal disorders:</w:t>
            </w:r>
          </w:p>
        </w:tc>
        <w:tc>
          <w:tcPr>
            <w:tcW w:w="5344" w:type="dxa"/>
          </w:tcPr>
          <w:p w14:paraId="1C1FAA55" w14:textId="77777777" w:rsidR="00187713" w:rsidRPr="00D31EBB" w:rsidRDefault="00187713" w:rsidP="0000712C">
            <w:pPr>
              <w:pStyle w:val="EMEABodyText"/>
              <w:tabs>
                <w:tab w:val="left" w:pos="3960"/>
              </w:tabs>
            </w:pPr>
            <w:r>
              <w:t>common: vomiting, diarrhoea, abdominal pain, nausea, dyspepsia;</w:t>
            </w:r>
          </w:p>
          <w:p w14:paraId="05D64311" w14:textId="77777777" w:rsidR="00187713" w:rsidRPr="00D31EBB" w:rsidRDefault="00187713" w:rsidP="0000712C">
            <w:pPr>
              <w:pStyle w:val="EMEABodyText"/>
            </w:pPr>
            <w:r>
              <w:t>uncommon: pancreatitis, gastritis, abdominal distension, stomatitis aphthous, flatulence, dry mouth</w:t>
            </w:r>
          </w:p>
          <w:p w14:paraId="07D7A1E5" w14:textId="77777777" w:rsidR="00187713" w:rsidRPr="00D31EBB" w:rsidRDefault="00187713" w:rsidP="0000712C">
            <w:pPr>
              <w:pStyle w:val="EMEABodyText"/>
              <w:tabs>
                <w:tab w:val="left" w:pos="3960"/>
              </w:tabs>
              <w:rPr>
                <w:i/>
                <w:lang w:val="en-US"/>
              </w:rPr>
            </w:pPr>
          </w:p>
        </w:tc>
      </w:tr>
      <w:tr w:rsidR="00187713" w:rsidRPr="004F3582" w14:paraId="1DBF4BE3" w14:textId="77777777" w:rsidTr="0000712C">
        <w:tc>
          <w:tcPr>
            <w:tcW w:w="3303" w:type="dxa"/>
          </w:tcPr>
          <w:p w14:paraId="6F2E2C98" w14:textId="77777777" w:rsidR="00187713" w:rsidRPr="004F3582" w:rsidDel="00F47AF7" w:rsidRDefault="00187713" w:rsidP="0000712C">
            <w:pPr>
              <w:pStyle w:val="EMEABodyText"/>
              <w:tabs>
                <w:tab w:val="left" w:pos="3960"/>
              </w:tabs>
              <w:rPr>
                <w:i/>
              </w:rPr>
            </w:pPr>
            <w:r>
              <w:rPr>
                <w:i/>
              </w:rPr>
              <w:t>Hepatobiliary disorders:</w:t>
            </w:r>
          </w:p>
        </w:tc>
        <w:tc>
          <w:tcPr>
            <w:tcW w:w="5344" w:type="dxa"/>
          </w:tcPr>
          <w:p w14:paraId="5971A35A" w14:textId="77777777" w:rsidR="00187713" w:rsidRPr="00D31EBB" w:rsidRDefault="00187713" w:rsidP="0000712C">
            <w:pPr>
              <w:pStyle w:val="EMEABodyText"/>
              <w:tabs>
                <w:tab w:val="left" w:pos="3960"/>
              </w:tabs>
            </w:pPr>
            <w:r>
              <w:t>common: jaundice;</w:t>
            </w:r>
          </w:p>
          <w:p w14:paraId="77948F54" w14:textId="77777777" w:rsidR="00187713" w:rsidRPr="00D31EBB" w:rsidRDefault="00187713" w:rsidP="0000712C">
            <w:pPr>
              <w:pStyle w:val="EMEABodyText"/>
              <w:tabs>
                <w:tab w:val="left" w:pos="3960"/>
              </w:tabs>
            </w:pPr>
            <w:r>
              <w:t>uncommon: hepatitis, cholelithiasis</w:t>
            </w:r>
            <w:r>
              <w:rPr>
                <w:vertAlign w:val="superscript"/>
              </w:rPr>
              <w:t>a</w:t>
            </w:r>
            <w:r>
              <w:t>, cholestasis</w:t>
            </w:r>
            <w:r>
              <w:rPr>
                <w:vertAlign w:val="superscript"/>
              </w:rPr>
              <w:t>a</w:t>
            </w:r>
            <w:r>
              <w:t>;</w:t>
            </w:r>
          </w:p>
          <w:p w14:paraId="194B8F57" w14:textId="77777777" w:rsidR="00187713" w:rsidRPr="004F3582" w:rsidRDefault="00187713" w:rsidP="0000712C">
            <w:pPr>
              <w:pStyle w:val="EMEABodyText"/>
              <w:tabs>
                <w:tab w:val="left" w:pos="3960"/>
              </w:tabs>
            </w:pPr>
            <w:r>
              <w:t>rare: hepatosplenomegaly, cholecystitis</w:t>
            </w:r>
            <w:r>
              <w:rPr>
                <w:vertAlign w:val="superscript"/>
              </w:rPr>
              <w:t>a</w:t>
            </w:r>
          </w:p>
          <w:p w14:paraId="02C6BFF8" w14:textId="77777777" w:rsidR="00187713" w:rsidRPr="004F3582" w:rsidDel="00F47AF7" w:rsidRDefault="00187713" w:rsidP="0000712C">
            <w:pPr>
              <w:pStyle w:val="EMEABodyText"/>
              <w:tabs>
                <w:tab w:val="left" w:pos="3960"/>
              </w:tabs>
            </w:pPr>
          </w:p>
        </w:tc>
      </w:tr>
      <w:tr w:rsidR="00187713" w:rsidRPr="004F3582" w14:paraId="1A076388" w14:textId="77777777" w:rsidTr="0000712C">
        <w:tc>
          <w:tcPr>
            <w:tcW w:w="3303" w:type="dxa"/>
          </w:tcPr>
          <w:p w14:paraId="4ECEFF2F" w14:textId="77777777" w:rsidR="00187713" w:rsidRPr="00D31EBB" w:rsidRDefault="00187713" w:rsidP="0000712C">
            <w:pPr>
              <w:pStyle w:val="EMEABodyText"/>
              <w:tabs>
                <w:tab w:val="left" w:pos="3960"/>
              </w:tabs>
              <w:rPr>
                <w:i/>
              </w:rPr>
            </w:pPr>
            <w:r>
              <w:rPr>
                <w:i/>
              </w:rPr>
              <w:t>Skin and subcutaneous tissue disorders:</w:t>
            </w:r>
          </w:p>
          <w:p w14:paraId="762095FF" w14:textId="77777777" w:rsidR="00187713" w:rsidRPr="00D31EBB" w:rsidRDefault="00187713" w:rsidP="0000712C">
            <w:pPr>
              <w:pStyle w:val="EMEABodyText"/>
              <w:tabs>
                <w:tab w:val="left" w:pos="3960"/>
              </w:tabs>
              <w:rPr>
                <w:i/>
                <w:lang w:val="en-US"/>
              </w:rPr>
            </w:pPr>
          </w:p>
        </w:tc>
        <w:tc>
          <w:tcPr>
            <w:tcW w:w="5344" w:type="dxa"/>
          </w:tcPr>
          <w:p w14:paraId="5B27555D" w14:textId="77777777" w:rsidR="00187713" w:rsidRPr="00D31EBB" w:rsidRDefault="00187713" w:rsidP="0000712C">
            <w:pPr>
              <w:pStyle w:val="EMEABodyText"/>
              <w:tabs>
                <w:tab w:val="left" w:pos="3960"/>
              </w:tabs>
            </w:pPr>
            <w:r>
              <w:t>common: rash;</w:t>
            </w:r>
          </w:p>
          <w:p w14:paraId="0F02C933" w14:textId="77777777" w:rsidR="00187713" w:rsidRPr="00D31EBB" w:rsidRDefault="00187713" w:rsidP="0000712C">
            <w:pPr>
              <w:pStyle w:val="EMEABodyText"/>
            </w:pPr>
            <w:r>
              <w:t>uncommon: erythemia multiforme</w:t>
            </w:r>
            <w:r>
              <w:rPr>
                <w:vertAlign w:val="superscript"/>
              </w:rPr>
              <w:t>a,b</w:t>
            </w:r>
            <w:r>
              <w:t>, toxic skin eruptions</w:t>
            </w:r>
            <w:r>
              <w:rPr>
                <w:vertAlign w:val="superscript"/>
              </w:rPr>
              <w:t>a,b</w:t>
            </w:r>
            <w:r>
              <w:t>, drug rash with eosinophilia and systemic symptoms (DRESS) syndrome</w:t>
            </w:r>
            <w:r>
              <w:rPr>
                <w:vertAlign w:val="superscript"/>
              </w:rPr>
              <w:t>a,b</w:t>
            </w:r>
            <w:r>
              <w:t>, angioedema</w:t>
            </w:r>
            <w:r>
              <w:rPr>
                <w:vertAlign w:val="superscript"/>
              </w:rPr>
              <w:t>a</w:t>
            </w:r>
            <w:r>
              <w:t xml:space="preserve">, urticaria, alopecia, pruritus; </w:t>
            </w:r>
          </w:p>
          <w:p w14:paraId="78ED5907" w14:textId="77777777" w:rsidR="00187713" w:rsidRPr="004F3582" w:rsidRDefault="00187713" w:rsidP="0000712C">
            <w:pPr>
              <w:pStyle w:val="EMEABodyText"/>
              <w:tabs>
                <w:tab w:val="left" w:pos="3960"/>
              </w:tabs>
            </w:pPr>
            <w:r>
              <w:t>rare: Stevens-Johnson syndrome</w:t>
            </w:r>
            <w:r>
              <w:rPr>
                <w:vertAlign w:val="superscript"/>
              </w:rPr>
              <w:t>a,b</w:t>
            </w:r>
            <w:r>
              <w:t>, vesiculobullous rash, eczema, vasodilatation</w:t>
            </w:r>
          </w:p>
          <w:p w14:paraId="447D67E4" w14:textId="77777777" w:rsidR="00187713" w:rsidRPr="004F3582" w:rsidRDefault="00187713" w:rsidP="0000712C">
            <w:pPr>
              <w:pStyle w:val="EMEABodyText"/>
              <w:tabs>
                <w:tab w:val="left" w:pos="3960"/>
              </w:tabs>
              <w:rPr>
                <w:i/>
              </w:rPr>
            </w:pPr>
          </w:p>
        </w:tc>
      </w:tr>
      <w:tr w:rsidR="00187713" w:rsidRPr="004F3582" w14:paraId="6CC39378" w14:textId="77777777" w:rsidTr="0000712C">
        <w:tc>
          <w:tcPr>
            <w:tcW w:w="3303" w:type="dxa"/>
          </w:tcPr>
          <w:p w14:paraId="288219BF" w14:textId="77777777" w:rsidR="00187713" w:rsidRPr="00D31EBB" w:rsidRDefault="00187713" w:rsidP="0000712C">
            <w:pPr>
              <w:pStyle w:val="EMEABodyText"/>
              <w:tabs>
                <w:tab w:val="left" w:pos="3960"/>
              </w:tabs>
              <w:rPr>
                <w:i/>
              </w:rPr>
            </w:pPr>
            <w:r>
              <w:rPr>
                <w:i/>
              </w:rPr>
              <w:t>Musculoskeletal and connective tissue disorders:</w:t>
            </w:r>
          </w:p>
        </w:tc>
        <w:tc>
          <w:tcPr>
            <w:tcW w:w="5344" w:type="dxa"/>
          </w:tcPr>
          <w:p w14:paraId="222276DA" w14:textId="77777777" w:rsidR="00187713" w:rsidRPr="00D31EBB" w:rsidRDefault="00187713" w:rsidP="0000712C">
            <w:pPr>
              <w:pStyle w:val="EMEABodyText"/>
            </w:pPr>
            <w:r>
              <w:t xml:space="preserve">uncommon: muscle atrophy, arthralgia, myalgia; </w:t>
            </w:r>
          </w:p>
          <w:p w14:paraId="1F364118" w14:textId="77777777" w:rsidR="00187713" w:rsidRPr="004F3582" w:rsidRDefault="00187713" w:rsidP="0000712C">
            <w:pPr>
              <w:pStyle w:val="EMEABodyText"/>
              <w:tabs>
                <w:tab w:val="left" w:pos="3960"/>
              </w:tabs>
            </w:pPr>
            <w:r>
              <w:t>rare: myopathy</w:t>
            </w:r>
          </w:p>
          <w:p w14:paraId="7F6BFC86" w14:textId="77777777" w:rsidR="00187713" w:rsidRPr="004F3582" w:rsidRDefault="00187713" w:rsidP="0000712C">
            <w:pPr>
              <w:pStyle w:val="EMEABodyText"/>
              <w:tabs>
                <w:tab w:val="left" w:pos="3960"/>
              </w:tabs>
            </w:pPr>
          </w:p>
        </w:tc>
      </w:tr>
      <w:tr w:rsidR="00187713" w:rsidRPr="004F3582" w14:paraId="580571AE" w14:textId="77777777" w:rsidTr="0000712C">
        <w:tc>
          <w:tcPr>
            <w:tcW w:w="3303" w:type="dxa"/>
          </w:tcPr>
          <w:p w14:paraId="25FD46ED" w14:textId="77777777" w:rsidR="00187713" w:rsidRPr="004F3582" w:rsidRDefault="00187713" w:rsidP="0000712C">
            <w:pPr>
              <w:pStyle w:val="EMEABodyText"/>
              <w:tabs>
                <w:tab w:val="left" w:pos="3960"/>
              </w:tabs>
              <w:rPr>
                <w:i/>
              </w:rPr>
            </w:pPr>
            <w:r>
              <w:rPr>
                <w:i/>
              </w:rPr>
              <w:t>Renal and urinary disorders:</w:t>
            </w:r>
          </w:p>
        </w:tc>
        <w:tc>
          <w:tcPr>
            <w:tcW w:w="5344" w:type="dxa"/>
          </w:tcPr>
          <w:p w14:paraId="0096ADF8" w14:textId="77777777" w:rsidR="00187713" w:rsidRPr="00D31EBB" w:rsidRDefault="00187713" w:rsidP="0000712C">
            <w:pPr>
              <w:pStyle w:val="EMEABodyText"/>
            </w:pPr>
            <w:r>
              <w:t>uncommon: nephrolithiasis</w:t>
            </w:r>
            <w:r>
              <w:rPr>
                <w:vertAlign w:val="superscript"/>
              </w:rPr>
              <w:t>a</w:t>
            </w:r>
            <w:r>
              <w:t>, haematuria, proteinuria, pollakiuria, interstitial nephritis, chronic kidney disease</w:t>
            </w:r>
            <w:r>
              <w:rPr>
                <w:rStyle w:val="EMEASuperscript"/>
              </w:rPr>
              <w:t>a</w:t>
            </w:r>
            <w:r>
              <w:t>;</w:t>
            </w:r>
          </w:p>
          <w:p w14:paraId="2F9CBB97" w14:textId="77777777" w:rsidR="00187713" w:rsidRPr="004F3582" w:rsidRDefault="00187713" w:rsidP="0000712C">
            <w:pPr>
              <w:pStyle w:val="EMEABodyText"/>
              <w:tabs>
                <w:tab w:val="left" w:pos="3960"/>
              </w:tabs>
            </w:pPr>
            <w:r>
              <w:t>rare: kidney pain</w:t>
            </w:r>
          </w:p>
          <w:p w14:paraId="2AD5680D" w14:textId="77777777" w:rsidR="00187713" w:rsidRPr="004F3582" w:rsidRDefault="00187713" w:rsidP="0000712C">
            <w:pPr>
              <w:pStyle w:val="EMEABodyText"/>
              <w:tabs>
                <w:tab w:val="left" w:pos="3960"/>
              </w:tabs>
            </w:pPr>
          </w:p>
        </w:tc>
      </w:tr>
      <w:tr w:rsidR="00187713" w:rsidRPr="004F3582" w14:paraId="1933BD79" w14:textId="77777777" w:rsidTr="0000712C">
        <w:tc>
          <w:tcPr>
            <w:tcW w:w="3303" w:type="dxa"/>
          </w:tcPr>
          <w:p w14:paraId="63E7162F" w14:textId="77777777" w:rsidR="00187713" w:rsidRPr="00D31EBB" w:rsidRDefault="00187713" w:rsidP="0000712C">
            <w:pPr>
              <w:pStyle w:val="EMEABodyText"/>
              <w:tabs>
                <w:tab w:val="left" w:pos="3960"/>
              </w:tabs>
              <w:rPr>
                <w:i/>
              </w:rPr>
            </w:pPr>
            <w:r>
              <w:rPr>
                <w:i/>
              </w:rPr>
              <w:t>Reproductive system and breast disorders:</w:t>
            </w:r>
          </w:p>
          <w:p w14:paraId="334AF5DF" w14:textId="77777777" w:rsidR="00187713" w:rsidRPr="00D31EBB" w:rsidDel="00F47AF7" w:rsidRDefault="00187713" w:rsidP="0000712C">
            <w:pPr>
              <w:pStyle w:val="EMEABodyText"/>
              <w:tabs>
                <w:tab w:val="left" w:pos="3960"/>
              </w:tabs>
              <w:rPr>
                <w:i/>
                <w:lang w:val="en-US"/>
              </w:rPr>
            </w:pPr>
          </w:p>
        </w:tc>
        <w:tc>
          <w:tcPr>
            <w:tcW w:w="5344" w:type="dxa"/>
          </w:tcPr>
          <w:p w14:paraId="5DC73BF5" w14:textId="77777777" w:rsidR="00187713" w:rsidRPr="004F3582" w:rsidRDefault="00187713" w:rsidP="0000712C">
            <w:pPr>
              <w:pStyle w:val="EMEABodyText"/>
              <w:tabs>
                <w:tab w:val="left" w:pos="3960"/>
              </w:tabs>
            </w:pPr>
            <w:r>
              <w:t>uncommon: gynaecomastia</w:t>
            </w:r>
          </w:p>
          <w:p w14:paraId="3F541EF0" w14:textId="77777777" w:rsidR="00187713" w:rsidRPr="004F3582" w:rsidDel="00F47AF7" w:rsidRDefault="00187713" w:rsidP="0000712C">
            <w:pPr>
              <w:pStyle w:val="EMEABodyText"/>
            </w:pPr>
          </w:p>
        </w:tc>
      </w:tr>
      <w:tr w:rsidR="00187713" w:rsidRPr="004F3582" w14:paraId="2D7D756B" w14:textId="77777777" w:rsidTr="0000712C">
        <w:tc>
          <w:tcPr>
            <w:tcW w:w="3303" w:type="dxa"/>
          </w:tcPr>
          <w:p w14:paraId="70F88E17" w14:textId="77777777" w:rsidR="00187713" w:rsidRPr="00D31EBB" w:rsidRDefault="00187713" w:rsidP="0000712C">
            <w:pPr>
              <w:pStyle w:val="EMEABodyText"/>
              <w:tabs>
                <w:tab w:val="left" w:pos="3960"/>
              </w:tabs>
              <w:rPr>
                <w:i/>
              </w:rPr>
            </w:pPr>
            <w:r>
              <w:rPr>
                <w:i/>
              </w:rPr>
              <w:t>General disorders and administration site conditions:</w:t>
            </w:r>
          </w:p>
        </w:tc>
        <w:tc>
          <w:tcPr>
            <w:tcW w:w="5344" w:type="dxa"/>
          </w:tcPr>
          <w:p w14:paraId="0A6FFEF8" w14:textId="77777777" w:rsidR="00187713" w:rsidRPr="00C23538" w:rsidRDefault="00187713" w:rsidP="0000712C">
            <w:pPr>
              <w:pStyle w:val="EMEABodyText"/>
              <w:tabs>
                <w:tab w:val="left" w:pos="3960"/>
              </w:tabs>
            </w:pPr>
            <w:r>
              <w:t>common: fatigue;</w:t>
            </w:r>
          </w:p>
          <w:p w14:paraId="05953841" w14:textId="77777777" w:rsidR="00187713" w:rsidRPr="00C23538" w:rsidRDefault="00187713" w:rsidP="0000712C">
            <w:pPr>
              <w:pStyle w:val="EMEABodyText"/>
              <w:tabs>
                <w:tab w:val="left" w:pos="3960"/>
              </w:tabs>
            </w:pPr>
            <w:r>
              <w:t>uncommon: chest pain, malaise, pyrexia, asthenia;</w:t>
            </w:r>
          </w:p>
          <w:p w14:paraId="489BC604" w14:textId="77777777" w:rsidR="00187713" w:rsidRPr="004F3582" w:rsidRDefault="00187713" w:rsidP="0000712C">
            <w:pPr>
              <w:pStyle w:val="EMEABodyText"/>
              <w:tabs>
                <w:tab w:val="left" w:pos="3960"/>
              </w:tabs>
            </w:pPr>
            <w:r>
              <w:t>rare: gait disturbance</w:t>
            </w:r>
          </w:p>
          <w:p w14:paraId="1B086E55" w14:textId="77777777" w:rsidR="00187713" w:rsidRPr="004F3582" w:rsidRDefault="00187713" w:rsidP="0000712C">
            <w:pPr>
              <w:pStyle w:val="EMEABodyText"/>
              <w:tabs>
                <w:tab w:val="left" w:pos="3960"/>
              </w:tabs>
              <w:rPr>
                <w:i/>
              </w:rPr>
            </w:pPr>
          </w:p>
        </w:tc>
      </w:tr>
    </w:tbl>
    <w:p w14:paraId="410E48BC" w14:textId="77777777" w:rsidR="00187713" w:rsidRPr="00D31EBB" w:rsidRDefault="00187713" w:rsidP="00187713">
      <w:pPr>
        <w:pStyle w:val="EMEABodyText"/>
        <w:rPr>
          <w:sz w:val="18"/>
        </w:rPr>
      </w:pPr>
      <w:r>
        <w:rPr>
          <w:sz w:val="18"/>
          <w:vertAlign w:val="superscript"/>
        </w:rPr>
        <w:t>a</w:t>
      </w:r>
      <w:r>
        <w:rPr>
          <w:sz w:val="18"/>
        </w:rPr>
        <w:t xml:space="preserve"> These adverse reactions were identified through post-marketing surveillance, however, the frequencies were estimated from a statistical calculation based on the total number of patients exposed to REYATAZ in randomised controlled and other available clinical trials (n = 2321).</w:t>
      </w:r>
    </w:p>
    <w:p w14:paraId="5C093D58" w14:textId="77777777" w:rsidR="00187713" w:rsidRPr="00D31EBB" w:rsidRDefault="00187713" w:rsidP="00187713">
      <w:pPr>
        <w:pStyle w:val="EMEABodyText"/>
        <w:rPr>
          <w:rFonts w:ascii="TimesNewRomanPSMT" w:hAnsi="TimesNewRomanPSMT" w:cs="TimesNewRomanPSMT"/>
          <w:sz w:val="18"/>
        </w:rPr>
      </w:pPr>
      <w:r>
        <w:rPr>
          <w:sz w:val="18"/>
          <w:vertAlign w:val="superscript"/>
        </w:rPr>
        <w:t>b</w:t>
      </w:r>
      <w:r>
        <w:rPr>
          <w:sz w:val="18"/>
        </w:rPr>
        <w:t xml:space="preserve"> See description of selected adverse reactions for more details.</w:t>
      </w:r>
    </w:p>
    <w:p w14:paraId="69834C22" w14:textId="77777777" w:rsidR="00187713" w:rsidRPr="00D31EBB" w:rsidRDefault="00187713" w:rsidP="00187713">
      <w:pPr>
        <w:pStyle w:val="EMEABodyText"/>
        <w:rPr>
          <w:lang w:val="en-US"/>
        </w:rPr>
      </w:pPr>
    </w:p>
    <w:p w14:paraId="6D0C9528" w14:textId="77777777" w:rsidR="003228A9" w:rsidRPr="00D31EBB" w:rsidRDefault="00187713" w:rsidP="00187713">
      <w:pPr>
        <w:pStyle w:val="EMEABodyText"/>
        <w:rPr>
          <w:b/>
        </w:rPr>
      </w:pPr>
      <w:r>
        <w:rPr>
          <w:u w:val="single"/>
        </w:rPr>
        <w:t>Description of selected adverse reactions</w:t>
      </w:r>
    </w:p>
    <w:p w14:paraId="16C31373" w14:textId="77777777" w:rsidR="00187713" w:rsidRPr="00D31EBB" w:rsidRDefault="00187713" w:rsidP="00187713">
      <w:pPr>
        <w:pStyle w:val="EMEABodyText"/>
      </w:pPr>
      <w:r>
        <w:t>In HIV-infected patients with severe immune deficiency at the time of initiation of combination antiretroviral therapy (CART), an inflammatory reaction to asymptomatic or residual opportunistic infections may arise. Autoimmune disorders (such as Graves' disease and autoimmune hepatitis) have also been reported; however, the reported time to onset is more variable and these events can occur many months after initiation of treatment (see section 4.4).</w:t>
      </w:r>
    </w:p>
    <w:p w14:paraId="54CDD641" w14:textId="77777777" w:rsidR="00187713" w:rsidRPr="00D31EBB" w:rsidRDefault="00187713" w:rsidP="00187713">
      <w:pPr>
        <w:pStyle w:val="EMEABodyText"/>
        <w:rPr>
          <w:i/>
          <w:u w:val="single"/>
          <w:lang w:val="en-US"/>
        </w:rPr>
      </w:pPr>
    </w:p>
    <w:p w14:paraId="77A14D48" w14:textId="77777777" w:rsidR="00187713" w:rsidRPr="00D31EBB" w:rsidRDefault="00187713" w:rsidP="00187713">
      <w:pPr>
        <w:pStyle w:val="EMEABodyText"/>
      </w:pPr>
      <w:r>
        <w:t>Cases of osteonecrosis have been reported, particularly in patients with generally acknowledged risk factors, advanced HIV disease or long-term exposure to combination antiretroviral therapy (CART). The frequency of this is unknown (see section 4.4).</w:t>
      </w:r>
    </w:p>
    <w:p w14:paraId="021EC2EA" w14:textId="77777777" w:rsidR="004B14F8" w:rsidRPr="00D31EBB" w:rsidRDefault="004B14F8" w:rsidP="00187713">
      <w:pPr>
        <w:pStyle w:val="EMEABodyText"/>
        <w:rPr>
          <w:lang w:val="en-US"/>
        </w:rPr>
      </w:pPr>
    </w:p>
    <w:p w14:paraId="712832F1" w14:textId="77777777" w:rsidR="004B14F8" w:rsidRPr="00D31EBB" w:rsidRDefault="004B14F8" w:rsidP="004B14F8">
      <w:pPr>
        <w:pStyle w:val="EMEABodyText"/>
      </w:pPr>
      <w:r>
        <w:t>Metabolic parameters</w:t>
      </w:r>
    </w:p>
    <w:p w14:paraId="2E3740A3" w14:textId="77777777" w:rsidR="004B14F8" w:rsidRPr="00D31EBB" w:rsidRDefault="004B14F8" w:rsidP="004B14F8">
      <w:pPr>
        <w:pStyle w:val="EMEABodyText"/>
      </w:pPr>
      <w:r>
        <w:t>Weight and levels of blood lipids and glucose may increase during antiretroviral therapy (see section 4.4).</w:t>
      </w:r>
    </w:p>
    <w:p w14:paraId="18B78C27" w14:textId="77777777" w:rsidR="00187713" w:rsidRPr="00D31EBB" w:rsidRDefault="00187713" w:rsidP="00187713">
      <w:pPr>
        <w:pStyle w:val="EMEABodyText"/>
        <w:rPr>
          <w:i/>
          <w:u w:val="single"/>
          <w:lang w:val="en-US"/>
        </w:rPr>
      </w:pPr>
    </w:p>
    <w:p w14:paraId="54886CF6" w14:textId="77777777" w:rsidR="00187713" w:rsidRPr="00D31EBB" w:rsidRDefault="00187713" w:rsidP="00187713">
      <w:pPr>
        <w:pStyle w:val="EMEABodyText"/>
      </w:pPr>
      <w:r>
        <w:t>Rash and associated syndromes</w:t>
      </w:r>
    </w:p>
    <w:p w14:paraId="10C90D6F" w14:textId="77777777" w:rsidR="00187713" w:rsidRPr="00D31EBB" w:rsidRDefault="00187713" w:rsidP="00187713">
      <w:pPr>
        <w:pStyle w:val="EMEABodyText"/>
      </w:pPr>
      <w:r>
        <w:t xml:space="preserve">Rashes are usually mild-to-moderate maculopapular skin eruptions that occur within the first 3 weeks of starting therapy with REYATAZ. </w:t>
      </w:r>
    </w:p>
    <w:p w14:paraId="0C151CAA" w14:textId="77777777" w:rsidR="00187713" w:rsidRPr="00D31EBB" w:rsidRDefault="00187713" w:rsidP="00187713">
      <w:pPr>
        <w:pStyle w:val="EMEABodyText"/>
        <w:rPr>
          <w:lang w:val="en-US"/>
        </w:rPr>
      </w:pPr>
    </w:p>
    <w:p w14:paraId="20F96839" w14:textId="77777777" w:rsidR="00187713" w:rsidRPr="00D31EBB" w:rsidRDefault="00187713" w:rsidP="00187713">
      <w:pPr>
        <w:pStyle w:val="EMEABodyText"/>
      </w:pPr>
      <w:r>
        <w:t>Stevens-Johnson syndrome (SJS), erythema multiforme, toxic skin eruptions and drug rash with eosinophilia and systemic symptoms (DRESS) syndrome have been reported with the use of REYATAZ (see section 4.4).</w:t>
      </w:r>
    </w:p>
    <w:p w14:paraId="1B200A9B" w14:textId="77777777" w:rsidR="00187713" w:rsidRPr="00D31EBB" w:rsidRDefault="00187713" w:rsidP="00187713">
      <w:pPr>
        <w:pStyle w:val="EMEABodyText"/>
        <w:rPr>
          <w:lang w:val="en-US"/>
        </w:rPr>
      </w:pPr>
    </w:p>
    <w:p w14:paraId="3743A31E" w14:textId="77777777" w:rsidR="003228A9" w:rsidRPr="00D31EBB" w:rsidRDefault="00187713" w:rsidP="00187713">
      <w:pPr>
        <w:pStyle w:val="EMEABodyText"/>
        <w:keepNext/>
        <w:rPr>
          <w:i/>
          <w:u w:val="single"/>
        </w:rPr>
      </w:pPr>
      <w:r>
        <w:rPr>
          <w:i/>
        </w:rPr>
        <w:t>Laboratory abnormalities</w:t>
      </w:r>
    </w:p>
    <w:p w14:paraId="38D58253" w14:textId="77777777" w:rsidR="00187713" w:rsidRPr="00D31EBB" w:rsidRDefault="00187713" w:rsidP="00187713">
      <w:pPr>
        <w:pStyle w:val="EMEABodyText"/>
      </w:pPr>
      <w:r>
        <w:t>The most frequently reported laboratory abnormality in patients receiving regimens containing REYATAZ and one or more NRTIs was elevated total bilirubin reported predominantly as elevated indirect [unconjugated] bilirubin (87% Grade 1, 2, 3, or 4). Grade 3 or 4 elevation of total bilirubin was noted in 37% (6% Grade 4). Among experienced patients treated with REYATAZ 300 mg once daily with 100 mg ritonavir once daily for a median duration of 95 weeks, 53% had Grade 3-4 total bilirubin elevations. Among naive patients treated with REYATAZ 300 mg once daily with 100 mg ritonavir once daily for a median duration of 96 weeks, 48% had Grade 3-4 total bilirubin elevations (see section 4.4).</w:t>
      </w:r>
    </w:p>
    <w:p w14:paraId="71F58E7B" w14:textId="77777777" w:rsidR="00187713" w:rsidRPr="00D31EBB" w:rsidRDefault="00187713" w:rsidP="00187713">
      <w:pPr>
        <w:pStyle w:val="EMEABodyText"/>
        <w:rPr>
          <w:lang w:val="en-US"/>
        </w:rPr>
      </w:pPr>
    </w:p>
    <w:p w14:paraId="7467E6D6" w14:textId="77777777" w:rsidR="00187713" w:rsidRPr="00D31EBB" w:rsidRDefault="00187713" w:rsidP="00187713">
      <w:pPr>
        <w:pStyle w:val="EMEABodyText"/>
      </w:pPr>
      <w:r>
        <w:t>Other marked clinical laboratory abnormalities (Grade 3 or 4) reported in ≥ 2% of patients receiving regimens containing REYATAZ and one or more NRTIs included: elevated creatine kinase (7%), elevated alanine aminotransferase/serum glutamic-pyruvic transaminase (ALT/SGPT) (5%), low neutrophils (5%), elevated aspartate aminotransferase/serum glutamic-oxaloacetic transaminase (AST/SGOT) (3%), and elevated lipase (3%).</w:t>
      </w:r>
    </w:p>
    <w:p w14:paraId="510F9E25" w14:textId="77777777" w:rsidR="00187713" w:rsidRPr="00D31EBB" w:rsidRDefault="00187713" w:rsidP="00187713">
      <w:pPr>
        <w:pStyle w:val="EMEABodyText"/>
        <w:rPr>
          <w:lang w:val="en-US"/>
        </w:rPr>
      </w:pPr>
    </w:p>
    <w:p w14:paraId="5F32DBC3" w14:textId="77777777" w:rsidR="00187713" w:rsidRPr="00D31EBB" w:rsidRDefault="00187713" w:rsidP="00187713">
      <w:pPr>
        <w:pStyle w:val="EMEABodyText"/>
      </w:pPr>
      <w:r>
        <w:t>Two percent of patients treated with REYATAZ experienced concurrent Grade 3-4 ALT/AST and Grade 3-4 total bilirubin elevations.</w:t>
      </w:r>
    </w:p>
    <w:p w14:paraId="3D25BE60" w14:textId="77777777" w:rsidR="00187713" w:rsidRPr="00D31EBB" w:rsidRDefault="00187713" w:rsidP="00187713">
      <w:pPr>
        <w:pStyle w:val="EMEABodyText"/>
        <w:rPr>
          <w:lang w:val="en-US"/>
        </w:rPr>
      </w:pPr>
    </w:p>
    <w:p w14:paraId="6C055059" w14:textId="77777777" w:rsidR="003228A9" w:rsidRPr="00D31EBB" w:rsidRDefault="00187713" w:rsidP="00187713">
      <w:pPr>
        <w:pStyle w:val="EMEABodyText"/>
        <w:rPr>
          <w:b/>
          <w:i/>
          <w:szCs w:val="22"/>
        </w:rPr>
      </w:pPr>
      <w:r>
        <w:rPr>
          <w:szCs w:val="22"/>
          <w:u w:val="single"/>
        </w:rPr>
        <w:t>Paediatric population</w:t>
      </w:r>
    </w:p>
    <w:p w14:paraId="22E8609E" w14:textId="77777777" w:rsidR="00187713" w:rsidRPr="00D31EBB" w:rsidRDefault="00187713" w:rsidP="00187713">
      <w:pPr>
        <w:pStyle w:val="EMEABodyText"/>
        <w:rPr>
          <w:szCs w:val="22"/>
        </w:rPr>
      </w:pPr>
      <w:r>
        <w:t>In a clinical study AI424-020, paediatric patients 3 months to less than 18 years of age who received either the oral powder or capsule formulation had a mean duration of treatment with REYATAZ of 115 weeks. The safety profile in this study was overall comparable to that seen in adults. Both asymptomatic first-degree (23%) and second-degree (1%) atrioventricular block were reported in paediatric patients. The most frequently reported laboratory abnormalities in paediatric patients receiving REYATAZ was elevation of total bilirubin (≥ 2.6 times ULN, Grade 3-4) which occurred in 45% of patients.</w:t>
      </w:r>
    </w:p>
    <w:p w14:paraId="47CF51A8" w14:textId="77777777" w:rsidR="00187713" w:rsidRPr="00D31EBB" w:rsidRDefault="00187713" w:rsidP="00187713">
      <w:pPr>
        <w:pStyle w:val="EMEABodyText"/>
        <w:rPr>
          <w:szCs w:val="22"/>
          <w:lang w:val="en-US"/>
        </w:rPr>
      </w:pPr>
    </w:p>
    <w:p w14:paraId="777C8613" w14:textId="77777777" w:rsidR="00187713" w:rsidRPr="00D31EBB" w:rsidRDefault="00187713" w:rsidP="00187713">
      <w:pPr>
        <w:pStyle w:val="EMEABodyText"/>
        <w:rPr>
          <w:szCs w:val="22"/>
        </w:rPr>
      </w:pPr>
      <w:r>
        <w:t>In clinical studies AI424-397 and AI424-451, paediatric patients 3 months to less than 11 years of age had a mean duration of treatment with REYATAZ oral powder of 80 weeks. No deaths were reported. The safety profile in these studies was overall comparable to that seen in previous paediatric and adult studies. The most frequently reported laboratory abnormalities in paediatric patients receiving REYATAZ oral powder was elevation of total bilirubin (≥ 2.6 times ULN, Grade 3-4; 16%) and increased amylase (Grade 3-4; 33%), generally of non-pancreatic origin. Elevation in ALT levels were more frequently reported in paediatric patients in these studies than in adults.</w:t>
      </w:r>
    </w:p>
    <w:p w14:paraId="7F308441" w14:textId="77777777" w:rsidR="00187713" w:rsidRPr="00D31EBB" w:rsidRDefault="00187713" w:rsidP="00187713">
      <w:pPr>
        <w:pStyle w:val="EMEABodyText"/>
        <w:rPr>
          <w:szCs w:val="22"/>
          <w:lang w:val="en-US"/>
        </w:rPr>
      </w:pPr>
    </w:p>
    <w:p w14:paraId="034EAD79" w14:textId="77777777" w:rsidR="003228A9" w:rsidRPr="00D31EBB" w:rsidRDefault="00187713" w:rsidP="00187713">
      <w:pPr>
        <w:pStyle w:val="EMEABodyText"/>
        <w:rPr>
          <w:b/>
          <w:i/>
          <w:szCs w:val="22"/>
        </w:rPr>
      </w:pPr>
      <w:r>
        <w:rPr>
          <w:szCs w:val="22"/>
          <w:u w:val="single"/>
        </w:rPr>
        <w:t>Other special populations</w:t>
      </w:r>
    </w:p>
    <w:p w14:paraId="7C61B82C" w14:textId="77777777" w:rsidR="003228A9" w:rsidRPr="00D31EBB" w:rsidRDefault="00187713" w:rsidP="00187713">
      <w:pPr>
        <w:pStyle w:val="EMEABodyText"/>
        <w:keepNext/>
        <w:rPr>
          <w:i/>
        </w:rPr>
      </w:pPr>
      <w:r>
        <w:rPr>
          <w:i/>
        </w:rPr>
        <w:t>Patients co-infected with hepatitis B and/or hepatitis C virus</w:t>
      </w:r>
    </w:p>
    <w:p w14:paraId="4BE35930" w14:textId="77777777" w:rsidR="00187713" w:rsidRPr="00D31EBB" w:rsidRDefault="00187713" w:rsidP="00187713">
      <w:pPr>
        <w:pStyle w:val="EMEABodyText"/>
      </w:pPr>
      <w:r>
        <w:t>Among 1,151 patients receiving atazanavir 400 mg once daily, 177 patients were co-infected with chronic hepatitis B or C, and among 655 patients receiving atazanavir 300 mg once daily with ritonavir 100 mg once daily, 97 patients were co-infected with chronic hepatitis B or C. Co-infected patients were more likely to have baseline hepatic transaminase elevations than those without chronic viral hepatitis. No differences in frequency of bilirubin elevations were observed between these patients and those without viral hepatitis. The frequency of treatment emergent hepatitis or transaminase elevations in co-infected patients was comparable between REYATAZ and comparator regimens (see section 4.4).</w:t>
      </w:r>
    </w:p>
    <w:p w14:paraId="6BE151E3" w14:textId="77777777" w:rsidR="00187713" w:rsidRPr="00D31EBB" w:rsidRDefault="00187713" w:rsidP="00187713">
      <w:pPr>
        <w:pStyle w:val="EMEABodyText"/>
        <w:rPr>
          <w:lang w:val="en-US"/>
        </w:rPr>
      </w:pPr>
    </w:p>
    <w:p w14:paraId="3E0F6E4C" w14:textId="77777777" w:rsidR="00187713" w:rsidRPr="00D31EBB" w:rsidRDefault="00187713" w:rsidP="00187713">
      <w:pPr>
        <w:pStyle w:val="EMEABodyText"/>
        <w:rPr>
          <w:u w:val="single"/>
        </w:rPr>
      </w:pPr>
      <w:r>
        <w:rPr>
          <w:u w:val="single"/>
        </w:rPr>
        <w:t>Reporting of suspected adverse reactions</w:t>
      </w:r>
    </w:p>
    <w:p w14:paraId="710724C3" w14:textId="77777777" w:rsidR="00187713" w:rsidRPr="00D31EBB" w:rsidRDefault="00187713" w:rsidP="00187713">
      <w:pPr>
        <w:pStyle w:val="EMEABodyText"/>
      </w:pPr>
      <w: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Pr>
          <w:highlight w:val="lightGray"/>
        </w:rPr>
        <w:t xml:space="preserve">the national reporting system listed in </w:t>
      </w:r>
      <w:hyperlink r:id="rId9" w:history="1">
        <w:r>
          <w:rPr>
            <w:rStyle w:val="Hyperlink"/>
            <w:szCs w:val="22"/>
            <w:highlight w:val="lightGray"/>
          </w:rPr>
          <w:t>Appendix V</w:t>
        </w:r>
      </w:hyperlink>
      <w:r>
        <w:rPr>
          <w:highlight w:val="lightGray"/>
        </w:rPr>
        <w:t>.</w:t>
      </w:r>
    </w:p>
    <w:p w14:paraId="3A1A2DCC" w14:textId="77777777" w:rsidR="00187713" w:rsidRPr="00D31EBB" w:rsidRDefault="00187713" w:rsidP="00187713">
      <w:pPr>
        <w:pStyle w:val="EMEABodyText"/>
        <w:rPr>
          <w:lang w:val="en-US"/>
        </w:rPr>
      </w:pPr>
    </w:p>
    <w:p w14:paraId="195BC6C0" w14:textId="77777777" w:rsidR="00187713" w:rsidRPr="00D31EBB" w:rsidRDefault="00187713" w:rsidP="00187713">
      <w:pPr>
        <w:pStyle w:val="EMEAHeading2"/>
        <w:rPr>
          <w:noProof/>
        </w:rPr>
      </w:pPr>
      <w:r>
        <w:t>4.9</w:t>
      </w:r>
      <w:r>
        <w:tab/>
        <w:t>Overdose</w:t>
      </w:r>
    </w:p>
    <w:p w14:paraId="70E46CD8" w14:textId="77777777" w:rsidR="00187713" w:rsidRPr="00D31EBB" w:rsidRDefault="00187713" w:rsidP="00187713">
      <w:pPr>
        <w:pStyle w:val="EMEAHeading2"/>
        <w:rPr>
          <w:noProof/>
          <w:lang w:val="en-US"/>
        </w:rPr>
      </w:pPr>
    </w:p>
    <w:p w14:paraId="0630840C" w14:textId="77777777" w:rsidR="00187713" w:rsidRPr="00D31EBB" w:rsidRDefault="00187713" w:rsidP="00187713">
      <w:pPr>
        <w:pStyle w:val="EMEABodyText"/>
      </w:pPr>
      <w:r>
        <w:t>Human experience of acute overdose with REYATAZ is limited. Single doses up to 1,200 mg have been taken by healthy volunteers without symptomatic untoward effects. At high doses that lead to high drug exposures, jaundice due to indirect (unconjugated) hyperbilirubinaemia (without associated liver function test changes) or PR interval prolongations may be observed (see sections 4.4 and 4.8).</w:t>
      </w:r>
    </w:p>
    <w:p w14:paraId="0E46714A" w14:textId="77777777" w:rsidR="00187713" w:rsidRPr="00D31EBB" w:rsidRDefault="00187713" w:rsidP="00187713">
      <w:pPr>
        <w:pStyle w:val="EMEABodyText"/>
        <w:rPr>
          <w:lang w:val="en-US"/>
        </w:rPr>
      </w:pPr>
    </w:p>
    <w:p w14:paraId="3F74EED0" w14:textId="77777777" w:rsidR="00187713" w:rsidRPr="00D31EBB" w:rsidRDefault="00187713" w:rsidP="00187713">
      <w:pPr>
        <w:pStyle w:val="EMEABodyText"/>
      </w:pPr>
      <w:r>
        <w:t>Treatment of overdose with REYATAZ should consist of general supportive measures, including monitoring of vital signs and electrocardiogram (ECG), and observations of the patient's clinical status. If indicated, elimination of unabsorbed atazanavir should be achieved by emesis or gastric lavage. Administration of activated charcoal may also be used to aid removal of unabsorbed drug. There is no specific antidote for overdose with REYATAZ. Since atazanavir is extensively metabolised by the liver and is highly protein bound, dialysis is unlikely to be beneficial in significant removal of this medicinal product.</w:t>
      </w:r>
    </w:p>
    <w:p w14:paraId="03FA6D9E" w14:textId="77777777" w:rsidR="00187713" w:rsidRPr="00D31EBB" w:rsidRDefault="00187713" w:rsidP="00187713">
      <w:pPr>
        <w:pStyle w:val="EMEABodyText"/>
        <w:rPr>
          <w:noProof/>
          <w:lang w:val="en-US"/>
        </w:rPr>
      </w:pPr>
    </w:p>
    <w:p w14:paraId="394C07E3" w14:textId="77777777" w:rsidR="00187713" w:rsidRPr="00D31EBB" w:rsidRDefault="00187713" w:rsidP="00187713">
      <w:pPr>
        <w:pStyle w:val="EMEABodyText"/>
        <w:rPr>
          <w:noProof/>
          <w:lang w:val="en-US"/>
        </w:rPr>
      </w:pPr>
    </w:p>
    <w:p w14:paraId="34D75FDD" w14:textId="77777777" w:rsidR="00187713" w:rsidRPr="00D31EBB" w:rsidRDefault="00187713" w:rsidP="00187713">
      <w:pPr>
        <w:pStyle w:val="EMEAHeading1"/>
        <w:rPr>
          <w:noProof/>
        </w:rPr>
      </w:pPr>
      <w:r>
        <w:t>5.</w:t>
      </w:r>
      <w:r>
        <w:tab/>
        <w:t>PHARMACOLOGICAL PROPERTIES</w:t>
      </w:r>
    </w:p>
    <w:p w14:paraId="4585774E" w14:textId="77777777" w:rsidR="00187713" w:rsidRPr="00D31EBB" w:rsidRDefault="00187713" w:rsidP="00187713">
      <w:pPr>
        <w:pStyle w:val="EMEAHeading1"/>
        <w:rPr>
          <w:noProof/>
          <w:lang w:val="en-US"/>
        </w:rPr>
      </w:pPr>
    </w:p>
    <w:p w14:paraId="2C3EB2E5" w14:textId="77777777" w:rsidR="00187713" w:rsidRPr="00D31EBB" w:rsidRDefault="00187713" w:rsidP="00187713">
      <w:pPr>
        <w:pStyle w:val="EMEAHeading2"/>
        <w:rPr>
          <w:noProof/>
        </w:rPr>
      </w:pPr>
      <w:r>
        <w:t>5.1</w:t>
      </w:r>
      <w:r>
        <w:tab/>
        <w:t>Pharmacodynamic properties</w:t>
      </w:r>
    </w:p>
    <w:p w14:paraId="7C61C092" w14:textId="77777777" w:rsidR="00187713" w:rsidRPr="00D31EBB" w:rsidRDefault="00187713" w:rsidP="00187713">
      <w:pPr>
        <w:pStyle w:val="EMEAHeading2"/>
        <w:rPr>
          <w:noProof/>
          <w:lang w:val="en-US"/>
        </w:rPr>
      </w:pPr>
    </w:p>
    <w:p w14:paraId="4D25A8E2" w14:textId="77777777" w:rsidR="00187713" w:rsidRPr="00D31EBB" w:rsidRDefault="00187713" w:rsidP="00187713">
      <w:pPr>
        <w:pStyle w:val="EMEABodyText"/>
      </w:pPr>
      <w:r>
        <w:t>Pharmacotherapeutic group: antivirals for systemic use, protease inhibitors, ATC code: J05AE08</w:t>
      </w:r>
    </w:p>
    <w:p w14:paraId="38CCCC14" w14:textId="77777777" w:rsidR="00187713" w:rsidRPr="00D31EBB" w:rsidRDefault="00187713" w:rsidP="00187713">
      <w:pPr>
        <w:pStyle w:val="EMEABodyText"/>
        <w:rPr>
          <w:lang w:val="en-US"/>
        </w:rPr>
      </w:pPr>
    </w:p>
    <w:p w14:paraId="23BDFD46" w14:textId="77777777" w:rsidR="003228A9" w:rsidRPr="00D31EBB" w:rsidRDefault="00187713" w:rsidP="00187713">
      <w:pPr>
        <w:pStyle w:val="EMEABodyText"/>
      </w:pPr>
      <w:r>
        <w:rPr>
          <w:i/>
        </w:rPr>
        <w:t>Mechanism of action</w:t>
      </w:r>
    </w:p>
    <w:p w14:paraId="4AAA3062" w14:textId="77777777" w:rsidR="00187713" w:rsidRPr="00D31EBB" w:rsidRDefault="003228A9" w:rsidP="00187713">
      <w:pPr>
        <w:pStyle w:val="EMEABodyText"/>
      </w:pPr>
      <w:r>
        <w:t>Atazanavir is an azapeptide HIV-1 protease inhibitor (PI). The compound selectively inhibits the virus-specific processing of viral Gag-Pol proteins in HIV-1 infected cells, thus preventing formation of mature virions and infection of other cells.</w:t>
      </w:r>
    </w:p>
    <w:p w14:paraId="7E0F0427" w14:textId="77777777" w:rsidR="00187713" w:rsidRPr="00D31EBB" w:rsidRDefault="00187713" w:rsidP="00187713">
      <w:pPr>
        <w:pStyle w:val="EMEABodyText"/>
        <w:rPr>
          <w:lang w:val="en-US"/>
        </w:rPr>
      </w:pPr>
    </w:p>
    <w:p w14:paraId="211F433B" w14:textId="77777777" w:rsidR="00187713" w:rsidRPr="00D31EBB" w:rsidRDefault="00187713" w:rsidP="00187713">
      <w:pPr>
        <w:pStyle w:val="EMEABodyText"/>
      </w:pPr>
      <w:r>
        <w:rPr>
          <w:i/>
        </w:rPr>
        <w:t>Antiviral activity in vitro:</w:t>
      </w:r>
      <w:r>
        <w:t xml:space="preserve"> atazanavir exhibits anti-HIV-1 (including all clades tested) and anti-HIV-2 activity in cell culture.</w:t>
      </w:r>
    </w:p>
    <w:p w14:paraId="4762FA09" w14:textId="77777777" w:rsidR="00187713" w:rsidRPr="00D31EBB" w:rsidRDefault="00187713" w:rsidP="00187713">
      <w:pPr>
        <w:pStyle w:val="EMEABodyText"/>
        <w:rPr>
          <w:lang w:val="en-US"/>
        </w:rPr>
      </w:pPr>
    </w:p>
    <w:p w14:paraId="3B1F0FAD" w14:textId="77777777" w:rsidR="00187713" w:rsidRPr="00D31EBB" w:rsidRDefault="00187713" w:rsidP="00187713">
      <w:pPr>
        <w:pStyle w:val="EMEABodyText"/>
        <w:keepNext/>
      </w:pPr>
      <w:r>
        <w:rPr>
          <w:b/>
        </w:rPr>
        <w:t>Resistance</w:t>
      </w:r>
    </w:p>
    <w:p w14:paraId="31A9229C" w14:textId="77777777" w:rsidR="00187713" w:rsidRPr="00D31EBB" w:rsidRDefault="00187713" w:rsidP="00187713">
      <w:pPr>
        <w:pStyle w:val="EMEABodyText"/>
        <w:keepNext/>
      </w:pPr>
      <w:r>
        <w:rPr>
          <w:i/>
        </w:rPr>
        <w:t>Antiretroviral treatment naive adult patients</w:t>
      </w:r>
    </w:p>
    <w:p w14:paraId="40A18E71" w14:textId="77777777" w:rsidR="00187713" w:rsidRPr="00D31EBB" w:rsidRDefault="00187713" w:rsidP="00187713">
      <w:pPr>
        <w:pStyle w:val="EMEABodyText"/>
      </w:pPr>
      <w:r>
        <w:t>In clinical trials of antiretroviral treatment naive patients treated with unboosted atazanavir, the I50L substitution, sometimes in combination with an A71V change, is the signature resistance substitution for atazanavir. Resistance levels to atazanavir ranged from 3.5- to 29-fold without evidence of phenotypic cross resistance to other PIs. In clinical trials of antiretroviral treatment naive patients treated with boosted atazanavir, the I50L substitution did not emerge in any patient without baseline PI substitutions. The N88S substitution has been rarely observed in patients with virologic failure on atazanavir (with or without ritonavir). While it may contribute to decreased susceptibility to atazanavir when it occurs with other protease substitutions, in clinical studies N88S by itself does not always lead to phenotypic resistance to atazanavir or have a consistent impact on clinical efficacy.</w:t>
      </w:r>
    </w:p>
    <w:p w14:paraId="10E261BE" w14:textId="77777777" w:rsidR="00187713" w:rsidRPr="00D31EBB" w:rsidRDefault="00187713" w:rsidP="00187713">
      <w:pPr>
        <w:pStyle w:val="EMEABodyText"/>
        <w:rPr>
          <w:lang w:val="en-US"/>
        </w:rPr>
      </w:pPr>
    </w:p>
    <w:tbl>
      <w:tblPr>
        <w:tblW w:w="0" w:type="auto"/>
        <w:tblLook w:val="01E0" w:firstRow="1" w:lastRow="1" w:firstColumn="1" w:lastColumn="1" w:noHBand="0" w:noVBand="0"/>
      </w:tblPr>
      <w:tblGrid>
        <w:gridCol w:w="1741"/>
        <w:gridCol w:w="7332"/>
      </w:tblGrid>
      <w:tr w:rsidR="00187713" w:rsidRPr="00965E20" w14:paraId="562F19BC" w14:textId="77777777" w:rsidTr="0000712C">
        <w:tc>
          <w:tcPr>
            <w:tcW w:w="9289" w:type="dxa"/>
            <w:gridSpan w:val="2"/>
            <w:tcBorders>
              <w:bottom w:val="single" w:sz="4" w:space="0" w:color="auto"/>
            </w:tcBorders>
          </w:tcPr>
          <w:p w14:paraId="57CC5D96" w14:textId="77777777" w:rsidR="00187713" w:rsidRPr="00D31EBB" w:rsidRDefault="00187713" w:rsidP="0000712C">
            <w:pPr>
              <w:pStyle w:val="EMEABodyText"/>
              <w:rPr>
                <w:b/>
              </w:rPr>
            </w:pPr>
            <w:r>
              <w:rPr>
                <w:b/>
              </w:rPr>
              <w:t>Table 3. De novo substitutions in treatment naive patients failing therapy with atazanavir + ritonavir (Study 138, 96 weeks)</w:t>
            </w:r>
          </w:p>
        </w:tc>
      </w:tr>
      <w:tr w:rsidR="00187713" w:rsidRPr="00993FF0" w14:paraId="5EC32C87" w14:textId="77777777" w:rsidTr="0000712C">
        <w:tc>
          <w:tcPr>
            <w:tcW w:w="1758" w:type="dxa"/>
            <w:tcBorders>
              <w:top w:val="single" w:sz="4" w:space="0" w:color="auto"/>
              <w:bottom w:val="single" w:sz="4" w:space="0" w:color="auto"/>
            </w:tcBorders>
          </w:tcPr>
          <w:p w14:paraId="67FB1DC2" w14:textId="77777777" w:rsidR="00187713" w:rsidRPr="004F3582" w:rsidRDefault="00187713" w:rsidP="0000712C">
            <w:pPr>
              <w:pStyle w:val="EMEABodyText"/>
              <w:rPr>
                <w:b/>
              </w:rPr>
            </w:pPr>
            <w:r>
              <w:rPr>
                <w:b/>
              </w:rPr>
              <w:t>Frequency</w:t>
            </w:r>
          </w:p>
        </w:tc>
        <w:tc>
          <w:tcPr>
            <w:tcW w:w="7531" w:type="dxa"/>
            <w:tcBorders>
              <w:top w:val="single" w:sz="4" w:space="0" w:color="auto"/>
              <w:bottom w:val="single" w:sz="4" w:space="0" w:color="auto"/>
            </w:tcBorders>
          </w:tcPr>
          <w:p w14:paraId="27B17ADD" w14:textId="77777777" w:rsidR="00187713" w:rsidRPr="00C23538" w:rsidRDefault="00187713" w:rsidP="0000712C">
            <w:pPr>
              <w:pStyle w:val="EMEABodyText"/>
              <w:jc w:val="center"/>
              <w:rPr>
                <w:b/>
              </w:rPr>
            </w:pPr>
            <w:r>
              <w:rPr>
                <w:b/>
              </w:rPr>
              <w:t>de novo PI substitution (n=26)</w:t>
            </w:r>
            <w:r>
              <w:rPr>
                <w:b/>
                <w:vertAlign w:val="superscript"/>
              </w:rPr>
              <w:t>a</w:t>
            </w:r>
          </w:p>
        </w:tc>
      </w:tr>
      <w:tr w:rsidR="00187713" w:rsidRPr="004F3582" w14:paraId="4386EE22" w14:textId="77777777" w:rsidTr="0000712C">
        <w:tc>
          <w:tcPr>
            <w:tcW w:w="1758" w:type="dxa"/>
            <w:tcBorders>
              <w:top w:val="single" w:sz="4" w:space="0" w:color="auto"/>
            </w:tcBorders>
          </w:tcPr>
          <w:p w14:paraId="00901262" w14:textId="77777777" w:rsidR="00187713" w:rsidRPr="004F3582" w:rsidRDefault="00187713" w:rsidP="0000712C">
            <w:pPr>
              <w:pStyle w:val="EMEABodyText"/>
            </w:pPr>
            <w:r>
              <w:t>&gt;20%</w:t>
            </w:r>
          </w:p>
        </w:tc>
        <w:tc>
          <w:tcPr>
            <w:tcW w:w="7531" w:type="dxa"/>
            <w:tcBorders>
              <w:top w:val="single" w:sz="4" w:space="0" w:color="auto"/>
            </w:tcBorders>
          </w:tcPr>
          <w:p w14:paraId="321DFD30" w14:textId="77777777" w:rsidR="00187713" w:rsidRPr="004F3582" w:rsidRDefault="00187713" w:rsidP="0000712C">
            <w:pPr>
              <w:pStyle w:val="EMEABodyText"/>
              <w:jc w:val="center"/>
            </w:pPr>
            <w:r>
              <w:t>none</w:t>
            </w:r>
          </w:p>
        </w:tc>
      </w:tr>
      <w:tr w:rsidR="00187713" w:rsidRPr="004F3582" w14:paraId="51F1D6A4" w14:textId="77777777" w:rsidTr="0000712C">
        <w:tc>
          <w:tcPr>
            <w:tcW w:w="1758" w:type="dxa"/>
            <w:tcBorders>
              <w:bottom w:val="single" w:sz="4" w:space="0" w:color="auto"/>
            </w:tcBorders>
          </w:tcPr>
          <w:p w14:paraId="2A6A6F93" w14:textId="77777777" w:rsidR="00187713" w:rsidRPr="004F3582" w:rsidRDefault="00187713" w:rsidP="0000712C">
            <w:pPr>
              <w:pStyle w:val="EMEABodyText"/>
            </w:pPr>
            <w:r>
              <w:t>10-20%</w:t>
            </w:r>
          </w:p>
        </w:tc>
        <w:tc>
          <w:tcPr>
            <w:tcW w:w="7531" w:type="dxa"/>
            <w:tcBorders>
              <w:bottom w:val="single" w:sz="4" w:space="0" w:color="auto"/>
            </w:tcBorders>
          </w:tcPr>
          <w:p w14:paraId="504714B2" w14:textId="77777777" w:rsidR="00187713" w:rsidRPr="004F3582" w:rsidRDefault="00187713" w:rsidP="0000712C">
            <w:pPr>
              <w:pStyle w:val="EMEABodyText"/>
              <w:jc w:val="center"/>
            </w:pPr>
            <w:r>
              <w:t>none</w:t>
            </w:r>
          </w:p>
        </w:tc>
      </w:tr>
      <w:tr w:rsidR="00187713" w:rsidRPr="00965E20" w14:paraId="12FBCB73" w14:textId="77777777" w:rsidTr="0000712C">
        <w:tc>
          <w:tcPr>
            <w:tcW w:w="9289" w:type="dxa"/>
            <w:gridSpan w:val="2"/>
            <w:tcBorders>
              <w:top w:val="single" w:sz="4" w:space="0" w:color="auto"/>
            </w:tcBorders>
          </w:tcPr>
          <w:p w14:paraId="45C43396" w14:textId="77777777" w:rsidR="00187713" w:rsidRPr="00D31EBB" w:rsidRDefault="00187713" w:rsidP="0000712C">
            <w:pPr>
              <w:pStyle w:val="EMEABodyText"/>
              <w:rPr>
                <w:sz w:val="18"/>
                <w:szCs w:val="18"/>
              </w:rPr>
            </w:pPr>
            <w:r>
              <w:rPr>
                <w:sz w:val="18"/>
                <w:szCs w:val="18"/>
                <w:vertAlign w:val="superscript"/>
              </w:rPr>
              <w:t>a</w:t>
            </w:r>
            <w:r>
              <w:rPr>
                <w:sz w:val="18"/>
                <w:szCs w:val="18"/>
              </w:rPr>
              <w:t xml:space="preserve"> Number of patients with paired genotypes classified as virological failures (HIV RNA ≥ 400 copies/ml).</w:t>
            </w:r>
          </w:p>
        </w:tc>
      </w:tr>
    </w:tbl>
    <w:p w14:paraId="60B8B8F7" w14:textId="77777777" w:rsidR="00187713" w:rsidRPr="00D31EBB" w:rsidRDefault="00187713" w:rsidP="00187713">
      <w:pPr>
        <w:pStyle w:val="EMEABodyText"/>
        <w:rPr>
          <w:lang w:val="en-US"/>
        </w:rPr>
      </w:pPr>
    </w:p>
    <w:p w14:paraId="299CD2CB" w14:textId="77777777" w:rsidR="00187713" w:rsidRPr="00D31EBB" w:rsidRDefault="00187713" w:rsidP="00187713">
      <w:pPr>
        <w:pStyle w:val="EMEABodyText"/>
      </w:pPr>
      <w:r>
        <w:t>The M184I/V substitution emerged in 5/26 REYATAZ/ritonavir and 7/26 lopinavir/ritonavir virologic failure patients, respectively.</w:t>
      </w:r>
    </w:p>
    <w:p w14:paraId="004F8147" w14:textId="77777777" w:rsidR="00187713" w:rsidRPr="00D31EBB" w:rsidRDefault="00187713" w:rsidP="00187713">
      <w:pPr>
        <w:pStyle w:val="EMEABodyText"/>
        <w:rPr>
          <w:i/>
          <w:lang w:val="en-US"/>
        </w:rPr>
      </w:pPr>
    </w:p>
    <w:p w14:paraId="051F37DF" w14:textId="77777777" w:rsidR="00187713" w:rsidRPr="00D31EBB" w:rsidRDefault="00187713" w:rsidP="00187713">
      <w:pPr>
        <w:pStyle w:val="EMEABodyText"/>
        <w:keepNext/>
        <w:rPr>
          <w:i/>
        </w:rPr>
      </w:pPr>
      <w:r>
        <w:rPr>
          <w:i/>
        </w:rPr>
        <w:t>Antiretroviral treatment experienced adult patients</w:t>
      </w:r>
    </w:p>
    <w:p w14:paraId="19AF0689" w14:textId="77777777" w:rsidR="00187713" w:rsidRPr="00D31EBB" w:rsidRDefault="00187713" w:rsidP="00187713">
      <w:pPr>
        <w:pStyle w:val="EMEABodyText"/>
      </w:pPr>
      <w:r>
        <w:t>In antiretroviral treatment experienced patients from Studies 009, 043, and 045, 100 isolates from patients designated as virological failures on therapy that included either atazanavir, atazanavir + ritonavir, or atazanavir + saquinavir were determined to have developed resistance to atazanavir. Of the 60 isolates from patients treated with either atazanavir or atazanavir + ritonavir, 18 (30%) displayed the I50L phenotype previously described in naive patients.</w:t>
      </w:r>
    </w:p>
    <w:p w14:paraId="6A9A712C" w14:textId="77777777" w:rsidR="00187713" w:rsidRPr="00D31EBB" w:rsidRDefault="00187713" w:rsidP="00187713">
      <w:pPr>
        <w:pStyle w:val="EMEABodyText"/>
        <w:rPr>
          <w:lang w:val="en-US"/>
        </w:rPr>
      </w:pPr>
    </w:p>
    <w:tbl>
      <w:tblPr>
        <w:tblW w:w="0" w:type="auto"/>
        <w:tblLook w:val="01E0" w:firstRow="1" w:lastRow="1" w:firstColumn="1" w:lastColumn="1" w:noHBand="0" w:noVBand="0"/>
      </w:tblPr>
      <w:tblGrid>
        <w:gridCol w:w="1741"/>
        <w:gridCol w:w="7332"/>
      </w:tblGrid>
      <w:tr w:rsidR="00187713" w:rsidRPr="00965E20" w14:paraId="5E4028F0" w14:textId="77777777" w:rsidTr="0000712C">
        <w:tc>
          <w:tcPr>
            <w:tcW w:w="9289" w:type="dxa"/>
            <w:gridSpan w:val="2"/>
            <w:tcBorders>
              <w:bottom w:val="single" w:sz="4" w:space="0" w:color="auto"/>
            </w:tcBorders>
          </w:tcPr>
          <w:p w14:paraId="41F48FDF" w14:textId="77777777" w:rsidR="00187713" w:rsidRPr="00D31EBB" w:rsidRDefault="00187713" w:rsidP="0000712C">
            <w:pPr>
              <w:pStyle w:val="EMEABodyText"/>
              <w:rPr>
                <w:b/>
              </w:rPr>
            </w:pPr>
            <w:r>
              <w:rPr>
                <w:b/>
              </w:rPr>
              <w:t>Table 4. De novo substitutions in treatment experienced patients failing therapy with atazanavir + ritonavir (Study 045, 48 weeks)</w:t>
            </w:r>
          </w:p>
        </w:tc>
      </w:tr>
      <w:tr w:rsidR="00187713" w:rsidRPr="00993FF0" w14:paraId="096C4A83" w14:textId="77777777" w:rsidTr="0000712C">
        <w:tc>
          <w:tcPr>
            <w:tcW w:w="1758" w:type="dxa"/>
            <w:tcBorders>
              <w:top w:val="single" w:sz="4" w:space="0" w:color="auto"/>
              <w:bottom w:val="single" w:sz="4" w:space="0" w:color="auto"/>
            </w:tcBorders>
          </w:tcPr>
          <w:p w14:paraId="5E6F719A" w14:textId="77777777" w:rsidR="00187713" w:rsidRPr="004F3582" w:rsidRDefault="00187713" w:rsidP="0000712C">
            <w:pPr>
              <w:pStyle w:val="EMEABodyText"/>
              <w:rPr>
                <w:b/>
              </w:rPr>
            </w:pPr>
            <w:r>
              <w:rPr>
                <w:b/>
              </w:rPr>
              <w:t>Frequency</w:t>
            </w:r>
          </w:p>
        </w:tc>
        <w:tc>
          <w:tcPr>
            <w:tcW w:w="7531" w:type="dxa"/>
            <w:tcBorders>
              <w:top w:val="single" w:sz="4" w:space="0" w:color="auto"/>
              <w:bottom w:val="single" w:sz="4" w:space="0" w:color="auto"/>
            </w:tcBorders>
          </w:tcPr>
          <w:p w14:paraId="746608CB" w14:textId="77777777" w:rsidR="00187713" w:rsidRPr="00C23538" w:rsidRDefault="00187713" w:rsidP="0000712C">
            <w:pPr>
              <w:pStyle w:val="EMEABodyText"/>
              <w:jc w:val="center"/>
              <w:rPr>
                <w:b/>
              </w:rPr>
            </w:pPr>
            <w:r>
              <w:rPr>
                <w:b/>
              </w:rPr>
              <w:t>de novo PI substitution (n=35)</w:t>
            </w:r>
            <w:r>
              <w:rPr>
                <w:b/>
                <w:vertAlign w:val="superscript"/>
              </w:rPr>
              <w:t>a,b</w:t>
            </w:r>
          </w:p>
        </w:tc>
      </w:tr>
      <w:tr w:rsidR="00187713" w:rsidRPr="004F3582" w14:paraId="0AE0A7B1" w14:textId="77777777" w:rsidTr="0000712C">
        <w:tc>
          <w:tcPr>
            <w:tcW w:w="1758" w:type="dxa"/>
            <w:tcBorders>
              <w:top w:val="single" w:sz="4" w:space="0" w:color="auto"/>
            </w:tcBorders>
          </w:tcPr>
          <w:p w14:paraId="1A733352" w14:textId="77777777" w:rsidR="00187713" w:rsidRPr="004F3582" w:rsidRDefault="00187713" w:rsidP="0000712C">
            <w:pPr>
              <w:pStyle w:val="EMEABodyText"/>
            </w:pPr>
            <w:r>
              <w:t>&gt;20%</w:t>
            </w:r>
          </w:p>
        </w:tc>
        <w:tc>
          <w:tcPr>
            <w:tcW w:w="7531" w:type="dxa"/>
            <w:tcBorders>
              <w:top w:val="single" w:sz="4" w:space="0" w:color="auto"/>
            </w:tcBorders>
          </w:tcPr>
          <w:p w14:paraId="50849F50" w14:textId="77777777" w:rsidR="00187713" w:rsidRPr="004F3582" w:rsidRDefault="00187713" w:rsidP="0000712C">
            <w:pPr>
              <w:pStyle w:val="EMEABodyText"/>
              <w:jc w:val="center"/>
            </w:pPr>
            <w:r>
              <w:t>M36, M46, I54, A71, V82</w:t>
            </w:r>
          </w:p>
        </w:tc>
      </w:tr>
      <w:tr w:rsidR="00187713" w:rsidRPr="00965E20" w14:paraId="110B5A6D" w14:textId="77777777" w:rsidTr="0000712C">
        <w:tc>
          <w:tcPr>
            <w:tcW w:w="1758" w:type="dxa"/>
            <w:tcBorders>
              <w:bottom w:val="single" w:sz="4" w:space="0" w:color="auto"/>
            </w:tcBorders>
          </w:tcPr>
          <w:p w14:paraId="678DECCB" w14:textId="77777777" w:rsidR="00187713" w:rsidRPr="004F3582" w:rsidRDefault="00187713" w:rsidP="0000712C">
            <w:pPr>
              <w:pStyle w:val="EMEABodyText"/>
            </w:pPr>
            <w:r>
              <w:t>10-20%</w:t>
            </w:r>
          </w:p>
        </w:tc>
        <w:tc>
          <w:tcPr>
            <w:tcW w:w="7531" w:type="dxa"/>
            <w:tcBorders>
              <w:bottom w:val="single" w:sz="4" w:space="0" w:color="auto"/>
            </w:tcBorders>
          </w:tcPr>
          <w:p w14:paraId="4AC20A20" w14:textId="77777777" w:rsidR="00187713" w:rsidRPr="00D31EBB" w:rsidRDefault="00187713" w:rsidP="0000712C">
            <w:pPr>
              <w:pStyle w:val="EMEABodyText"/>
              <w:jc w:val="center"/>
            </w:pPr>
            <w:r>
              <w:t>L10, I15, K20, V32, E35, S37, F53, I62, G73, I84, L90</w:t>
            </w:r>
          </w:p>
        </w:tc>
      </w:tr>
      <w:tr w:rsidR="00187713" w:rsidRPr="00965E20" w14:paraId="38BADC60" w14:textId="77777777" w:rsidTr="0000712C">
        <w:tc>
          <w:tcPr>
            <w:tcW w:w="9287" w:type="dxa"/>
            <w:gridSpan w:val="2"/>
            <w:tcBorders>
              <w:top w:val="single" w:sz="4" w:space="0" w:color="auto"/>
            </w:tcBorders>
          </w:tcPr>
          <w:p w14:paraId="7B98B12E" w14:textId="77777777" w:rsidR="00187713" w:rsidRPr="00D31EBB" w:rsidRDefault="00187713" w:rsidP="0000712C">
            <w:pPr>
              <w:pStyle w:val="EMEABodyText"/>
              <w:rPr>
                <w:sz w:val="18"/>
                <w:szCs w:val="18"/>
              </w:rPr>
            </w:pPr>
            <w:r>
              <w:rPr>
                <w:sz w:val="18"/>
                <w:szCs w:val="18"/>
                <w:vertAlign w:val="superscript"/>
              </w:rPr>
              <w:t>a</w:t>
            </w:r>
            <w:r>
              <w:rPr>
                <w:sz w:val="18"/>
                <w:szCs w:val="18"/>
              </w:rPr>
              <w:t xml:space="preserve"> Number of patients with paired genotypes classified as virological failures (HIV RNA ≥ 400 copies/ml).</w:t>
            </w:r>
          </w:p>
          <w:p w14:paraId="2BD22AA6" w14:textId="77777777" w:rsidR="00187713" w:rsidRPr="00D31EBB" w:rsidRDefault="00187713" w:rsidP="0000712C">
            <w:pPr>
              <w:pStyle w:val="EMEABodyText"/>
              <w:rPr>
                <w:sz w:val="18"/>
                <w:szCs w:val="18"/>
              </w:rPr>
            </w:pPr>
            <w:r>
              <w:rPr>
                <w:sz w:val="18"/>
                <w:szCs w:val="18"/>
                <w:vertAlign w:val="superscript"/>
              </w:rPr>
              <w:t>b</w:t>
            </w:r>
            <w:r>
              <w:rPr>
                <w:sz w:val="18"/>
                <w:szCs w:val="18"/>
              </w:rPr>
              <w:t xml:space="preserve"> Ten patients had baseline phenotypic resistance to atazanavir + ritonavir (fold change [FC]&gt;5.2). FC susceptibility in cell culture relative to the wild-type reference was assayed using PhenoSense</w:t>
            </w:r>
            <w:r>
              <w:rPr>
                <w:sz w:val="18"/>
                <w:szCs w:val="18"/>
                <w:vertAlign w:val="superscript"/>
              </w:rPr>
              <w:t>TM</w:t>
            </w:r>
            <w:r>
              <w:rPr>
                <w:sz w:val="18"/>
                <w:szCs w:val="18"/>
              </w:rPr>
              <w:t xml:space="preserve"> (Monogram Biosciences, South San Francisco, California, USA)</w:t>
            </w:r>
          </w:p>
        </w:tc>
      </w:tr>
    </w:tbl>
    <w:p w14:paraId="73A51FF2" w14:textId="77777777" w:rsidR="00187713" w:rsidRPr="00D31EBB" w:rsidRDefault="00187713" w:rsidP="00187713">
      <w:pPr>
        <w:pStyle w:val="EMEABodyText"/>
        <w:rPr>
          <w:lang w:val="en-US"/>
        </w:rPr>
      </w:pPr>
    </w:p>
    <w:p w14:paraId="20C77549" w14:textId="77777777" w:rsidR="00187713" w:rsidRPr="00D31EBB" w:rsidRDefault="00187713" w:rsidP="00187713">
      <w:pPr>
        <w:pStyle w:val="EMEABodyText"/>
      </w:pPr>
      <w:r>
        <w:t>None of the de novo substitutions (see Table 4) are specific to atazanavir and may reflect re-emergence of archived resistance on atazanavir + ritonavir in Study 045 treatment-experienced population.</w:t>
      </w:r>
    </w:p>
    <w:p w14:paraId="1EEB3A6D" w14:textId="77777777" w:rsidR="00187713" w:rsidRPr="00D31EBB" w:rsidRDefault="00187713" w:rsidP="00187713">
      <w:pPr>
        <w:pStyle w:val="EMEABodyText"/>
        <w:rPr>
          <w:lang w:val="en-US"/>
        </w:rPr>
      </w:pPr>
    </w:p>
    <w:p w14:paraId="412D3752" w14:textId="77777777" w:rsidR="00187713" w:rsidRPr="00D31EBB" w:rsidRDefault="00187713" w:rsidP="00187713">
      <w:pPr>
        <w:pStyle w:val="EMEABodyText"/>
      </w:pPr>
      <w:r>
        <w:t>The resistance in antiretroviral treatment experienced patients mainly occurs by accumulation of the major and minor resistance substitutions described previously to be involved in protease inhibitor resistance.</w:t>
      </w:r>
    </w:p>
    <w:p w14:paraId="7EB028D1" w14:textId="77777777" w:rsidR="00187713" w:rsidRPr="00D31EBB" w:rsidRDefault="00187713" w:rsidP="00187713">
      <w:pPr>
        <w:pStyle w:val="EMEABodyText"/>
        <w:rPr>
          <w:lang w:val="en-US"/>
        </w:rPr>
      </w:pPr>
    </w:p>
    <w:p w14:paraId="471AC692" w14:textId="77777777" w:rsidR="00187713" w:rsidRPr="00D31EBB" w:rsidRDefault="00187713" w:rsidP="00187713">
      <w:pPr>
        <w:pStyle w:val="EMEABodyText"/>
      </w:pPr>
      <w:r>
        <w:rPr>
          <w:b/>
        </w:rPr>
        <w:t>Clinical results</w:t>
      </w:r>
    </w:p>
    <w:p w14:paraId="6940B790" w14:textId="77777777" w:rsidR="00187713" w:rsidRPr="00D31EBB" w:rsidRDefault="00187713" w:rsidP="00187713">
      <w:pPr>
        <w:pStyle w:val="EMEABodyText"/>
        <w:rPr>
          <w:i/>
          <w:szCs w:val="22"/>
        </w:rPr>
      </w:pPr>
      <w:r>
        <w:rPr>
          <w:i/>
          <w:szCs w:val="22"/>
        </w:rPr>
        <w:t>In antiretroviral naive adult patients</w:t>
      </w:r>
    </w:p>
    <w:p w14:paraId="72CEF80F" w14:textId="77777777" w:rsidR="00187713" w:rsidRPr="00D31EBB" w:rsidRDefault="00187713" w:rsidP="00187713">
      <w:pPr>
        <w:pStyle w:val="EMEABodyText"/>
      </w:pPr>
      <w:r>
        <w:rPr>
          <w:i/>
          <w:u w:val="single"/>
        </w:rPr>
        <w:t>Study 138</w:t>
      </w:r>
      <w:r>
        <w:t xml:space="preserve"> is an international randomised, open-label, multicenter, prospective trial of 883 antiretroviral treatment naive patients comparing REYATAZ/ritonavir (300 mg/100 mg once daily) to lopinavir/ritonavir (400 mg/100 mg twice daily), each in combination with fixed dose tenofovir disoproxil fumarate/emtricitabine (300 mg/200 mg tablets once daily). The REYATAZ/ritonavir arm showed similar (non-inferior) antiviral efficacy compared to the lopinavir/ritonavir arm, as assessed by the proportion of patients with HIV RNA &lt; 50 copies/ml at week 48 (Table 5).</w:t>
      </w:r>
    </w:p>
    <w:p w14:paraId="090F551C" w14:textId="77777777" w:rsidR="00187713" w:rsidRPr="00D31EBB" w:rsidRDefault="00187713" w:rsidP="00187713">
      <w:pPr>
        <w:pStyle w:val="EMEABodyText"/>
        <w:rPr>
          <w:lang w:val="en-US"/>
        </w:rPr>
      </w:pPr>
    </w:p>
    <w:p w14:paraId="2C40B7D0" w14:textId="77777777" w:rsidR="00187713" w:rsidRPr="00D31EBB" w:rsidRDefault="00187713" w:rsidP="00187713">
      <w:pPr>
        <w:pStyle w:val="EMEABodyText"/>
      </w:pPr>
      <w:r>
        <w:t>Analyses of data through 96 weeks of treatment demonstrated durability of antiviral activity (Table 5).</w:t>
      </w:r>
    </w:p>
    <w:p w14:paraId="49D87995" w14:textId="77777777" w:rsidR="00187713" w:rsidRPr="00D31EBB" w:rsidRDefault="00187713" w:rsidP="00187713">
      <w:pPr>
        <w:pStyle w:val="EMEABodyText"/>
        <w:rPr>
          <w:lang w:val="en-US"/>
        </w:rPr>
      </w:pPr>
    </w:p>
    <w:p w14:paraId="10BD2CDD" w14:textId="77777777" w:rsidR="00187713" w:rsidRPr="00D31EBB" w:rsidRDefault="00187713" w:rsidP="00187713">
      <w:pPr>
        <w:pStyle w:val="EMEABodyText"/>
      </w:pPr>
      <w:r>
        <w:t>The mean baseline CD4 cell count was 214 cells/mm</w:t>
      </w:r>
      <w:r>
        <w:rPr>
          <w:vertAlign w:val="superscript"/>
        </w:rPr>
        <w:t>3</w:t>
      </w:r>
      <w:r>
        <w:t xml:space="preserve"> (range: 2 to 810 cells/mm</w:t>
      </w:r>
      <w:r>
        <w:rPr>
          <w:vertAlign w:val="superscript"/>
        </w:rPr>
        <w:t>3</w:t>
      </w:r>
      <w:r>
        <w:t>) and mean baseline plasma HIV-1 RNA was 4.94 log</w:t>
      </w:r>
      <w:r>
        <w:rPr>
          <w:vertAlign w:val="subscript"/>
        </w:rPr>
        <w:t>10</w:t>
      </w:r>
      <w:r>
        <w:t> copies/ml (range: 2.6 to 5.88 log</w:t>
      </w:r>
      <w:r>
        <w:rPr>
          <w:vertAlign w:val="subscript"/>
        </w:rPr>
        <w:t>10</w:t>
      </w:r>
      <w:r>
        <w:t> copies/ml). The REYATAZ/ritonavir arm has similar (non-inferior) antiviral efficacy compared to the lopinavir/ritonavir arm, as assessed by the proportion of patients with HIV RNA &lt; 50 copies/ml at week 48: 78% of patients on REYATAZ/ritonavir compared to 76% on lopinavir/ritonavir (difference estimate of ATV/RTV-LPV/RTV: 1.7% [95% CI, -3.8%, 7.1%] according to the Confirmed Virologic Response (CVR) Non-Completer = Failure (NC = F) definition of response.</w:t>
      </w:r>
    </w:p>
    <w:p w14:paraId="446EC4B2" w14:textId="77777777" w:rsidR="00187713" w:rsidRPr="00D31EBB" w:rsidRDefault="00187713" w:rsidP="00187713">
      <w:pPr>
        <w:pStyle w:val="EMEABodyText"/>
        <w:rPr>
          <w:lang w:val="en-US"/>
        </w:rPr>
      </w:pPr>
    </w:p>
    <w:p w14:paraId="687CB328" w14:textId="77777777" w:rsidR="00187713" w:rsidRPr="00D31EBB" w:rsidRDefault="00187713" w:rsidP="00187713">
      <w:pPr>
        <w:pStyle w:val="EMEABodyText"/>
      </w:pPr>
      <w:r>
        <w:t>In a per protocol analysis which excluded non-completers (i.e. patients who discontinued before the week 48 HIV RNA assessment) and patients with major protocol deviations, the proportion of patients with HIV RNA &lt; 50 copies/ml at week 48 was 86% (338/392) for REYATAZ/ritonavir and 89% (332/372) for lopinavir/ritonavir (difference estimate of ATV/RTV-LPV/RTV: -3% [95% CI, -7.6%, 1.5%].</w:t>
      </w:r>
    </w:p>
    <w:p w14:paraId="12F20536" w14:textId="77777777" w:rsidR="00187713" w:rsidRPr="00D31EBB" w:rsidRDefault="00187713" w:rsidP="00187713">
      <w:pPr>
        <w:pStyle w:val="EMEABodyText"/>
        <w:rPr>
          <w:lang w:val="en-US"/>
        </w:rPr>
      </w:pPr>
    </w:p>
    <w:p w14:paraId="69BEAFDF" w14:textId="77777777" w:rsidR="00187713" w:rsidRPr="00D31EBB" w:rsidRDefault="00187713" w:rsidP="00187713">
      <w:pPr>
        <w:pStyle w:val="EMEABodyText"/>
        <w:keepNext/>
        <w:rPr>
          <w:b/>
        </w:rPr>
      </w:pPr>
      <w:r>
        <w:rPr>
          <w:b/>
        </w:rPr>
        <w:t>Table 5:</w:t>
      </w:r>
      <w:r>
        <w:rPr>
          <w:b/>
        </w:rPr>
        <w:tab/>
        <w:t>Efficacy Outcomes in Study 138</w:t>
      </w:r>
      <w:r>
        <w:rPr>
          <w:b/>
          <w:vertAlign w:val="superscript"/>
        </w:rPr>
        <w:t xml:space="preserve"> a</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710"/>
        <w:gridCol w:w="1710"/>
        <w:gridCol w:w="1710"/>
        <w:gridCol w:w="1710"/>
      </w:tblGrid>
      <w:tr w:rsidR="00187713" w:rsidRPr="004F3582" w14:paraId="0424CF3E" w14:textId="77777777" w:rsidTr="0000712C">
        <w:tc>
          <w:tcPr>
            <w:tcW w:w="2448" w:type="dxa"/>
            <w:vAlign w:val="bottom"/>
          </w:tcPr>
          <w:p w14:paraId="536DF43F" w14:textId="77777777" w:rsidR="00187713" w:rsidRPr="004F3582" w:rsidRDefault="00187713" w:rsidP="0000712C">
            <w:pPr>
              <w:pStyle w:val="EMEABodyText"/>
              <w:keepNext/>
            </w:pPr>
            <w:r>
              <w:rPr>
                <w:b/>
              </w:rPr>
              <w:t>Parameter</w:t>
            </w:r>
          </w:p>
        </w:tc>
        <w:tc>
          <w:tcPr>
            <w:tcW w:w="3420" w:type="dxa"/>
            <w:gridSpan w:val="2"/>
          </w:tcPr>
          <w:p w14:paraId="3C4006DA" w14:textId="77777777" w:rsidR="00187713" w:rsidRPr="00D31EBB" w:rsidRDefault="00187713" w:rsidP="0000712C">
            <w:pPr>
              <w:pStyle w:val="EMEABodyText"/>
              <w:keepNext/>
              <w:jc w:val="center"/>
              <w:rPr>
                <w:b/>
              </w:rPr>
            </w:pPr>
            <w:r>
              <w:rPr>
                <w:b/>
              </w:rPr>
              <w:t>REYATAZ/ritonavir</w:t>
            </w:r>
            <w:r>
              <w:rPr>
                <w:b/>
                <w:vertAlign w:val="superscript"/>
              </w:rPr>
              <w:t>b</w:t>
            </w:r>
            <w:r>
              <w:rPr>
                <w:b/>
              </w:rPr>
              <w:t xml:space="preserve"> (300 mg/100 mg once daily)</w:t>
            </w:r>
          </w:p>
          <w:p w14:paraId="7F53BD98" w14:textId="77777777" w:rsidR="00187713" w:rsidRPr="004F3582" w:rsidRDefault="00187713" w:rsidP="0000712C">
            <w:pPr>
              <w:pStyle w:val="EMEABodyText"/>
              <w:keepNext/>
              <w:jc w:val="center"/>
            </w:pPr>
            <w:r>
              <w:rPr>
                <w:b/>
              </w:rPr>
              <w:t>n=440</w:t>
            </w:r>
          </w:p>
        </w:tc>
        <w:tc>
          <w:tcPr>
            <w:tcW w:w="3420" w:type="dxa"/>
            <w:gridSpan w:val="2"/>
          </w:tcPr>
          <w:p w14:paraId="4A9D7FB5" w14:textId="77777777" w:rsidR="00187713" w:rsidRPr="00D31EBB" w:rsidRDefault="00187713" w:rsidP="0000712C">
            <w:pPr>
              <w:pStyle w:val="EMEABodyText"/>
              <w:keepNext/>
              <w:jc w:val="center"/>
              <w:rPr>
                <w:b/>
              </w:rPr>
            </w:pPr>
            <w:r>
              <w:rPr>
                <w:b/>
              </w:rPr>
              <w:t>Lopinavir/ritonavir</w:t>
            </w:r>
            <w:r>
              <w:rPr>
                <w:b/>
                <w:vertAlign w:val="superscript"/>
              </w:rPr>
              <w:t>c</w:t>
            </w:r>
            <w:r>
              <w:rPr>
                <w:b/>
              </w:rPr>
              <w:t xml:space="preserve"> (400 mg/100 mg twice daily)</w:t>
            </w:r>
          </w:p>
          <w:p w14:paraId="1739169A" w14:textId="77777777" w:rsidR="00187713" w:rsidRPr="004F3582" w:rsidRDefault="00187713" w:rsidP="0000712C">
            <w:pPr>
              <w:pStyle w:val="EMEABodyText"/>
              <w:keepNext/>
              <w:jc w:val="center"/>
            </w:pPr>
            <w:r>
              <w:rPr>
                <w:b/>
              </w:rPr>
              <w:t>n=443</w:t>
            </w:r>
          </w:p>
        </w:tc>
      </w:tr>
      <w:tr w:rsidR="00187713" w:rsidRPr="004F3582" w14:paraId="108C6408" w14:textId="77777777" w:rsidTr="0000712C">
        <w:tc>
          <w:tcPr>
            <w:tcW w:w="2448" w:type="dxa"/>
            <w:vAlign w:val="bottom"/>
          </w:tcPr>
          <w:p w14:paraId="132F20F8" w14:textId="77777777" w:rsidR="00187713" w:rsidRPr="004F3582" w:rsidRDefault="00187713" w:rsidP="0000712C">
            <w:pPr>
              <w:pStyle w:val="EMEABodyText"/>
              <w:keepNext/>
            </w:pPr>
          </w:p>
        </w:tc>
        <w:tc>
          <w:tcPr>
            <w:tcW w:w="1710" w:type="dxa"/>
          </w:tcPr>
          <w:p w14:paraId="12107A5A" w14:textId="77777777" w:rsidR="00187713" w:rsidRPr="004F3582" w:rsidRDefault="00187713" w:rsidP="0000712C">
            <w:pPr>
              <w:pStyle w:val="EMEABodyText"/>
              <w:keepNext/>
              <w:jc w:val="center"/>
            </w:pPr>
            <w:r>
              <w:rPr>
                <w:b/>
              </w:rPr>
              <w:t>Week 48</w:t>
            </w:r>
          </w:p>
        </w:tc>
        <w:tc>
          <w:tcPr>
            <w:tcW w:w="1710" w:type="dxa"/>
          </w:tcPr>
          <w:p w14:paraId="1D328146" w14:textId="77777777" w:rsidR="00187713" w:rsidRPr="004F3582" w:rsidRDefault="00187713" w:rsidP="0000712C">
            <w:pPr>
              <w:pStyle w:val="EMEABodyText"/>
              <w:keepNext/>
              <w:jc w:val="center"/>
            </w:pPr>
            <w:r>
              <w:rPr>
                <w:b/>
              </w:rPr>
              <w:t>Week 96</w:t>
            </w:r>
          </w:p>
        </w:tc>
        <w:tc>
          <w:tcPr>
            <w:tcW w:w="1710" w:type="dxa"/>
          </w:tcPr>
          <w:p w14:paraId="35962536" w14:textId="77777777" w:rsidR="00187713" w:rsidRPr="004F3582" w:rsidRDefault="00187713" w:rsidP="0000712C">
            <w:pPr>
              <w:pStyle w:val="EMEABodyText"/>
              <w:keepNext/>
              <w:jc w:val="center"/>
            </w:pPr>
            <w:r>
              <w:rPr>
                <w:b/>
              </w:rPr>
              <w:t>Week 48</w:t>
            </w:r>
          </w:p>
        </w:tc>
        <w:tc>
          <w:tcPr>
            <w:tcW w:w="1710" w:type="dxa"/>
          </w:tcPr>
          <w:p w14:paraId="5C1E46BB" w14:textId="77777777" w:rsidR="00187713" w:rsidRPr="004F3582" w:rsidRDefault="00187713" w:rsidP="0000712C">
            <w:pPr>
              <w:pStyle w:val="EMEABodyText"/>
              <w:keepNext/>
              <w:jc w:val="center"/>
            </w:pPr>
            <w:r>
              <w:rPr>
                <w:b/>
              </w:rPr>
              <w:t>Week 96</w:t>
            </w:r>
          </w:p>
        </w:tc>
      </w:tr>
      <w:tr w:rsidR="00187713" w:rsidRPr="004F3582" w14:paraId="3DD3A4DD" w14:textId="77777777" w:rsidTr="0000712C">
        <w:tc>
          <w:tcPr>
            <w:tcW w:w="9288" w:type="dxa"/>
            <w:gridSpan w:val="5"/>
            <w:vAlign w:val="bottom"/>
          </w:tcPr>
          <w:p w14:paraId="74E63030" w14:textId="77777777" w:rsidR="00187713" w:rsidRPr="004F3582" w:rsidRDefault="00187713" w:rsidP="0000712C">
            <w:pPr>
              <w:pStyle w:val="EMEABodyText"/>
              <w:keepNext/>
            </w:pPr>
            <w:r>
              <w:rPr>
                <w:b/>
              </w:rPr>
              <w:t>HIV RNA &lt;50 copies/ml, %</w:t>
            </w:r>
          </w:p>
        </w:tc>
      </w:tr>
      <w:tr w:rsidR="00187713" w:rsidRPr="004F3582" w14:paraId="052EE804" w14:textId="77777777" w:rsidTr="0000712C">
        <w:tc>
          <w:tcPr>
            <w:tcW w:w="2448" w:type="dxa"/>
            <w:vAlign w:val="bottom"/>
          </w:tcPr>
          <w:p w14:paraId="7B687CD6" w14:textId="77777777" w:rsidR="00187713" w:rsidRPr="004F3582" w:rsidRDefault="00187713" w:rsidP="0000712C">
            <w:pPr>
              <w:pStyle w:val="EMEABodyText"/>
              <w:keepNext/>
            </w:pPr>
            <w:r>
              <w:t>All patients</w:t>
            </w:r>
            <w:r>
              <w:rPr>
                <w:vertAlign w:val="superscript"/>
              </w:rPr>
              <w:t>d</w:t>
            </w:r>
          </w:p>
        </w:tc>
        <w:tc>
          <w:tcPr>
            <w:tcW w:w="1710" w:type="dxa"/>
          </w:tcPr>
          <w:p w14:paraId="728A13AD" w14:textId="77777777" w:rsidR="00187713" w:rsidRPr="004F3582" w:rsidRDefault="00187713" w:rsidP="0000712C">
            <w:pPr>
              <w:pStyle w:val="EMEABodyText"/>
              <w:keepNext/>
              <w:jc w:val="center"/>
            </w:pPr>
            <w:r>
              <w:t>78</w:t>
            </w:r>
          </w:p>
        </w:tc>
        <w:tc>
          <w:tcPr>
            <w:tcW w:w="1710" w:type="dxa"/>
          </w:tcPr>
          <w:p w14:paraId="3621D074" w14:textId="77777777" w:rsidR="00187713" w:rsidRPr="004F3582" w:rsidRDefault="00187713" w:rsidP="0000712C">
            <w:pPr>
              <w:pStyle w:val="EMEABodyText"/>
              <w:keepNext/>
              <w:jc w:val="center"/>
            </w:pPr>
            <w:r>
              <w:t>74</w:t>
            </w:r>
          </w:p>
        </w:tc>
        <w:tc>
          <w:tcPr>
            <w:tcW w:w="1710" w:type="dxa"/>
          </w:tcPr>
          <w:p w14:paraId="4A46CEAD" w14:textId="77777777" w:rsidR="00187713" w:rsidRPr="004F3582" w:rsidRDefault="00187713" w:rsidP="0000712C">
            <w:pPr>
              <w:pStyle w:val="EMEABodyText"/>
              <w:keepNext/>
              <w:jc w:val="center"/>
            </w:pPr>
            <w:r>
              <w:t>76</w:t>
            </w:r>
          </w:p>
        </w:tc>
        <w:tc>
          <w:tcPr>
            <w:tcW w:w="1710" w:type="dxa"/>
          </w:tcPr>
          <w:p w14:paraId="1973A934" w14:textId="77777777" w:rsidR="00187713" w:rsidRPr="004F3582" w:rsidRDefault="00187713" w:rsidP="0000712C">
            <w:pPr>
              <w:pStyle w:val="EMEABodyText"/>
              <w:keepNext/>
              <w:jc w:val="center"/>
            </w:pPr>
            <w:r>
              <w:t>68</w:t>
            </w:r>
          </w:p>
        </w:tc>
      </w:tr>
      <w:tr w:rsidR="00187713" w:rsidRPr="004F3582" w14:paraId="77AC191D" w14:textId="77777777" w:rsidTr="0000712C">
        <w:tc>
          <w:tcPr>
            <w:tcW w:w="2448" w:type="dxa"/>
          </w:tcPr>
          <w:p w14:paraId="738796CD" w14:textId="77777777" w:rsidR="00187713" w:rsidRPr="004F3582" w:rsidRDefault="00187713" w:rsidP="0000712C">
            <w:pPr>
              <w:pStyle w:val="EMEABodyText"/>
              <w:keepNext/>
            </w:pPr>
            <w:r>
              <w:t xml:space="preserve">Difference estimate </w:t>
            </w:r>
          </w:p>
          <w:p w14:paraId="33B11CE7" w14:textId="77777777" w:rsidR="00187713" w:rsidRPr="004F3582" w:rsidRDefault="00187713" w:rsidP="0000712C">
            <w:pPr>
              <w:pStyle w:val="EMEABodyText"/>
              <w:keepNext/>
            </w:pPr>
            <w:r>
              <w:t xml:space="preserve">    [95% CI]</w:t>
            </w:r>
            <w:r>
              <w:rPr>
                <w:vertAlign w:val="superscript"/>
              </w:rPr>
              <w:t>d</w:t>
            </w:r>
          </w:p>
        </w:tc>
        <w:tc>
          <w:tcPr>
            <w:tcW w:w="6840" w:type="dxa"/>
            <w:gridSpan w:val="4"/>
          </w:tcPr>
          <w:p w14:paraId="2CAE8916" w14:textId="77777777" w:rsidR="00187713" w:rsidRPr="004F3582" w:rsidRDefault="00187713" w:rsidP="0000712C">
            <w:pPr>
              <w:pStyle w:val="EMEABodyText"/>
              <w:keepNext/>
              <w:jc w:val="center"/>
            </w:pPr>
            <w:r>
              <w:t>Week 48: 1.7% [-3.8%, 7.1%]</w:t>
            </w:r>
          </w:p>
          <w:p w14:paraId="3ECDC930" w14:textId="77777777" w:rsidR="00187713" w:rsidRPr="004F3582" w:rsidRDefault="00187713" w:rsidP="0000712C">
            <w:pPr>
              <w:pStyle w:val="EMEABodyText"/>
              <w:keepNext/>
              <w:jc w:val="center"/>
            </w:pPr>
            <w:r>
              <w:t>Week 96: 6.1% [0.3%, 12.0%]</w:t>
            </w:r>
          </w:p>
        </w:tc>
      </w:tr>
      <w:tr w:rsidR="00187713" w:rsidRPr="004F3582" w14:paraId="340F1DC7" w14:textId="77777777" w:rsidTr="0000712C">
        <w:tc>
          <w:tcPr>
            <w:tcW w:w="2448" w:type="dxa"/>
          </w:tcPr>
          <w:p w14:paraId="204C7635" w14:textId="77777777" w:rsidR="00187713" w:rsidRPr="004F3582" w:rsidRDefault="00187713" w:rsidP="0000712C">
            <w:pPr>
              <w:pStyle w:val="EMEABodyText"/>
              <w:keepNext/>
            </w:pPr>
            <w:r>
              <w:t>Per protocol analysis</w:t>
            </w:r>
            <w:r>
              <w:rPr>
                <w:vertAlign w:val="superscript"/>
              </w:rPr>
              <w:t>e</w:t>
            </w:r>
          </w:p>
        </w:tc>
        <w:tc>
          <w:tcPr>
            <w:tcW w:w="1710" w:type="dxa"/>
          </w:tcPr>
          <w:p w14:paraId="305F8EB8" w14:textId="77777777" w:rsidR="00187713" w:rsidRPr="004F3582" w:rsidRDefault="00187713" w:rsidP="0000712C">
            <w:pPr>
              <w:pStyle w:val="EMEABodyText"/>
              <w:keepNext/>
              <w:jc w:val="center"/>
            </w:pPr>
            <w:r>
              <w:t>86</w:t>
            </w:r>
          </w:p>
          <w:p w14:paraId="5CF2FCE9" w14:textId="77777777" w:rsidR="00187713" w:rsidRPr="004F3582" w:rsidRDefault="00187713" w:rsidP="0000712C">
            <w:pPr>
              <w:pStyle w:val="EMEABodyText"/>
              <w:keepNext/>
              <w:jc w:val="center"/>
            </w:pPr>
            <w:r>
              <w:t>(n=392</w:t>
            </w:r>
            <w:r>
              <w:rPr>
                <w:vertAlign w:val="superscript"/>
              </w:rPr>
              <w:t>f</w:t>
            </w:r>
            <w:r>
              <w:t>)</w:t>
            </w:r>
          </w:p>
        </w:tc>
        <w:tc>
          <w:tcPr>
            <w:tcW w:w="1710" w:type="dxa"/>
          </w:tcPr>
          <w:p w14:paraId="70DD6F34" w14:textId="77777777" w:rsidR="00187713" w:rsidRPr="004F3582" w:rsidRDefault="00187713" w:rsidP="0000712C">
            <w:pPr>
              <w:pStyle w:val="EMEABodyText"/>
              <w:keepNext/>
              <w:jc w:val="center"/>
            </w:pPr>
            <w:r>
              <w:t>91</w:t>
            </w:r>
          </w:p>
          <w:p w14:paraId="7A0001B1" w14:textId="77777777" w:rsidR="00187713" w:rsidRPr="004F3582" w:rsidRDefault="00187713" w:rsidP="0000712C">
            <w:pPr>
              <w:pStyle w:val="EMEABodyText"/>
              <w:keepNext/>
              <w:jc w:val="center"/>
            </w:pPr>
            <w:r>
              <w:t>(n=352)</w:t>
            </w:r>
          </w:p>
        </w:tc>
        <w:tc>
          <w:tcPr>
            <w:tcW w:w="1710" w:type="dxa"/>
          </w:tcPr>
          <w:p w14:paraId="6D4DE167" w14:textId="77777777" w:rsidR="00187713" w:rsidRPr="004F3582" w:rsidRDefault="00187713" w:rsidP="0000712C">
            <w:pPr>
              <w:pStyle w:val="EMEABodyText"/>
              <w:keepNext/>
              <w:jc w:val="center"/>
            </w:pPr>
            <w:r>
              <w:t>89</w:t>
            </w:r>
          </w:p>
          <w:p w14:paraId="5FCD213B" w14:textId="77777777" w:rsidR="00187713" w:rsidRPr="004F3582" w:rsidRDefault="00187713" w:rsidP="0000712C">
            <w:pPr>
              <w:pStyle w:val="EMEABodyText"/>
              <w:keepNext/>
              <w:jc w:val="center"/>
            </w:pPr>
            <w:r>
              <w:t>(n=372)</w:t>
            </w:r>
          </w:p>
        </w:tc>
        <w:tc>
          <w:tcPr>
            <w:tcW w:w="1710" w:type="dxa"/>
          </w:tcPr>
          <w:p w14:paraId="5B80B52A" w14:textId="77777777" w:rsidR="00187713" w:rsidRPr="004F3582" w:rsidRDefault="00187713" w:rsidP="0000712C">
            <w:pPr>
              <w:pStyle w:val="EMEABodyText"/>
              <w:keepNext/>
              <w:jc w:val="center"/>
            </w:pPr>
            <w:r>
              <w:t>89</w:t>
            </w:r>
          </w:p>
          <w:p w14:paraId="73B2F933" w14:textId="77777777" w:rsidR="00187713" w:rsidRPr="004F3582" w:rsidRDefault="00187713" w:rsidP="0000712C">
            <w:pPr>
              <w:pStyle w:val="EMEABodyText"/>
              <w:keepNext/>
              <w:jc w:val="center"/>
            </w:pPr>
            <w:r>
              <w:t>(n=331)</w:t>
            </w:r>
          </w:p>
        </w:tc>
      </w:tr>
      <w:tr w:rsidR="00187713" w:rsidRPr="004F3582" w14:paraId="6A8BEF50" w14:textId="77777777" w:rsidTr="0000712C">
        <w:tc>
          <w:tcPr>
            <w:tcW w:w="2448" w:type="dxa"/>
          </w:tcPr>
          <w:p w14:paraId="42F625B2" w14:textId="77777777" w:rsidR="00187713" w:rsidRPr="004F3582" w:rsidRDefault="00187713" w:rsidP="0000712C">
            <w:pPr>
              <w:pStyle w:val="EMEABodyText"/>
              <w:keepNext/>
            </w:pPr>
            <w:r>
              <w:t>Difference estimate</w:t>
            </w:r>
            <w:r>
              <w:rPr>
                <w:vertAlign w:val="superscript"/>
              </w:rPr>
              <w:t>e</w:t>
            </w:r>
            <w:r>
              <w:t xml:space="preserve"> </w:t>
            </w:r>
          </w:p>
          <w:p w14:paraId="781105A9" w14:textId="77777777" w:rsidR="00187713" w:rsidRPr="004F3582" w:rsidRDefault="00187713" w:rsidP="0000712C">
            <w:pPr>
              <w:pStyle w:val="EMEABodyText"/>
              <w:keepNext/>
            </w:pPr>
            <w:r>
              <w:t xml:space="preserve">     [95% CI]</w:t>
            </w:r>
          </w:p>
        </w:tc>
        <w:tc>
          <w:tcPr>
            <w:tcW w:w="6840" w:type="dxa"/>
            <w:gridSpan w:val="4"/>
          </w:tcPr>
          <w:p w14:paraId="40132918" w14:textId="77777777" w:rsidR="00187713" w:rsidRPr="004F3582" w:rsidRDefault="00187713" w:rsidP="0000712C">
            <w:pPr>
              <w:pStyle w:val="EMEABodyText"/>
              <w:keepNext/>
              <w:jc w:val="center"/>
            </w:pPr>
            <w:r>
              <w:t>Week 48: -3% [-7.6%, 1.5%]</w:t>
            </w:r>
          </w:p>
          <w:p w14:paraId="3A1C4B92" w14:textId="77777777" w:rsidR="00187713" w:rsidRPr="004F3582" w:rsidRDefault="00187713" w:rsidP="0000712C">
            <w:pPr>
              <w:pStyle w:val="EMEABodyText"/>
              <w:keepNext/>
              <w:jc w:val="center"/>
            </w:pPr>
            <w:r>
              <w:t>Week 96: 2.2% [-2.3%, 6.7%]</w:t>
            </w:r>
          </w:p>
        </w:tc>
      </w:tr>
      <w:tr w:rsidR="00187713" w:rsidRPr="00965E20" w14:paraId="6C4D88F3" w14:textId="77777777" w:rsidTr="0000712C">
        <w:tc>
          <w:tcPr>
            <w:tcW w:w="9288" w:type="dxa"/>
            <w:gridSpan w:val="5"/>
          </w:tcPr>
          <w:p w14:paraId="1568B0A6" w14:textId="77777777" w:rsidR="00187713" w:rsidRPr="00D31EBB" w:rsidRDefault="00187713" w:rsidP="0000712C">
            <w:pPr>
              <w:pStyle w:val="EMEABodyText"/>
              <w:keepNext/>
            </w:pPr>
            <w:r>
              <w:t>HIV RNA &lt;50 copies/ml, % by Baseline Characteristic</w:t>
            </w:r>
            <w:r>
              <w:rPr>
                <w:vertAlign w:val="superscript"/>
              </w:rPr>
              <w:t>d</w:t>
            </w:r>
          </w:p>
        </w:tc>
      </w:tr>
      <w:tr w:rsidR="00187713" w:rsidRPr="004F3582" w14:paraId="47E45902" w14:textId="77777777" w:rsidTr="0000712C">
        <w:tc>
          <w:tcPr>
            <w:tcW w:w="2448" w:type="dxa"/>
          </w:tcPr>
          <w:p w14:paraId="758BB867" w14:textId="77777777" w:rsidR="00187713" w:rsidRPr="004F3582" w:rsidRDefault="00187713" w:rsidP="0000712C">
            <w:pPr>
              <w:pStyle w:val="EMEABodyText"/>
              <w:keepNext/>
            </w:pPr>
            <w:r>
              <w:t xml:space="preserve">HIV RNA </w:t>
            </w:r>
            <w:r>
              <w:br/>
              <w:t xml:space="preserve">    &lt;100,000 copies/ml</w:t>
            </w:r>
          </w:p>
        </w:tc>
        <w:tc>
          <w:tcPr>
            <w:tcW w:w="1710" w:type="dxa"/>
            <w:vAlign w:val="bottom"/>
          </w:tcPr>
          <w:p w14:paraId="0C2E3770" w14:textId="77777777" w:rsidR="00187713" w:rsidRPr="004F3582" w:rsidRDefault="00187713" w:rsidP="0000712C">
            <w:pPr>
              <w:pStyle w:val="EMEABodyText"/>
              <w:keepNext/>
              <w:jc w:val="center"/>
            </w:pPr>
            <w:r>
              <w:t>82 (n=217)</w:t>
            </w:r>
          </w:p>
        </w:tc>
        <w:tc>
          <w:tcPr>
            <w:tcW w:w="1710" w:type="dxa"/>
            <w:vAlign w:val="bottom"/>
          </w:tcPr>
          <w:p w14:paraId="64118C71" w14:textId="77777777" w:rsidR="00187713" w:rsidRPr="004F3582" w:rsidRDefault="00187713" w:rsidP="0000712C">
            <w:pPr>
              <w:pStyle w:val="EMEABodyText"/>
              <w:keepNext/>
              <w:jc w:val="center"/>
            </w:pPr>
            <w:r>
              <w:t>75 (n=217)</w:t>
            </w:r>
          </w:p>
        </w:tc>
        <w:tc>
          <w:tcPr>
            <w:tcW w:w="1710" w:type="dxa"/>
            <w:vAlign w:val="bottom"/>
          </w:tcPr>
          <w:p w14:paraId="1045B334" w14:textId="77777777" w:rsidR="00187713" w:rsidRPr="004F3582" w:rsidRDefault="00187713" w:rsidP="0000712C">
            <w:pPr>
              <w:pStyle w:val="EMEABodyText"/>
              <w:keepNext/>
              <w:jc w:val="center"/>
            </w:pPr>
            <w:r>
              <w:t>81 (n=218)</w:t>
            </w:r>
          </w:p>
        </w:tc>
        <w:tc>
          <w:tcPr>
            <w:tcW w:w="1710" w:type="dxa"/>
            <w:vAlign w:val="bottom"/>
          </w:tcPr>
          <w:p w14:paraId="5CF897CC" w14:textId="77777777" w:rsidR="00187713" w:rsidRPr="004F3582" w:rsidRDefault="00187713" w:rsidP="0000712C">
            <w:pPr>
              <w:pStyle w:val="EMEABodyText"/>
              <w:keepNext/>
              <w:jc w:val="center"/>
            </w:pPr>
            <w:r>
              <w:t>70 (n=218)</w:t>
            </w:r>
          </w:p>
        </w:tc>
      </w:tr>
      <w:tr w:rsidR="00187713" w:rsidRPr="004F3582" w14:paraId="098B4B34" w14:textId="77777777" w:rsidTr="0000712C">
        <w:tc>
          <w:tcPr>
            <w:tcW w:w="2448" w:type="dxa"/>
          </w:tcPr>
          <w:p w14:paraId="1E376AC9" w14:textId="77777777" w:rsidR="00187713" w:rsidRPr="004F3582" w:rsidRDefault="00187713" w:rsidP="0000712C">
            <w:pPr>
              <w:pStyle w:val="EMEABodyText"/>
              <w:keepNext/>
            </w:pPr>
            <w:r>
              <w:t xml:space="preserve">    ≥100,000 copies/ml</w:t>
            </w:r>
          </w:p>
        </w:tc>
        <w:tc>
          <w:tcPr>
            <w:tcW w:w="1710" w:type="dxa"/>
          </w:tcPr>
          <w:p w14:paraId="4F085851" w14:textId="77777777" w:rsidR="00187713" w:rsidRPr="004F3582" w:rsidRDefault="00187713" w:rsidP="00656E99">
            <w:pPr>
              <w:pStyle w:val="EMEABodyText"/>
              <w:keepNext/>
              <w:jc w:val="center"/>
            </w:pPr>
            <w:r>
              <w:t>74 (n=223)</w:t>
            </w:r>
          </w:p>
        </w:tc>
        <w:tc>
          <w:tcPr>
            <w:tcW w:w="1710" w:type="dxa"/>
          </w:tcPr>
          <w:p w14:paraId="0E30F737" w14:textId="77777777" w:rsidR="00187713" w:rsidRPr="004F3582" w:rsidRDefault="00187713" w:rsidP="0000712C">
            <w:pPr>
              <w:pStyle w:val="EMEABodyText"/>
              <w:keepNext/>
              <w:jc w:val="center"/>
            </w:pPr>
            <w:r>
              <w:t>74 (n=223)</w:t>
            </w:r>
          </w:p>
        </w:tc>
        <w:tc>
          <w:tcPr>
            <w:tcW w:w="1710" w:type="dxa"/>
          </w:tcPr>
          <w:p w14:paraId="0788C004" w14:textId="77777777" w:rsidR="00187713" w:rsidRPr="004F3582" w:rsidRDefault="00187713" w:rsidP="0000712C">
            <w:pPr>
              <w:pStyle w:val="EMEABodyText"/>
              <w:keepNext/>
              <w:jc w:val="center"/>
            </w:pPr>
            <w:r>
              <w:t>72 (n=225)</w:t>
            </w:r>
          </w:p>
        </w:tc>
        <w:tc>
          <w:tcPr>
            <w:tcW w:w="1710" w:type="dxa"/>
          </w:tcPr>
          <w:p w14:paraId="243B146C" w14:textId="77777777" w:rsidR="00187713" w:rsidRPr="004F3582" w:rsidRDefault="00187713" w:rsidP="0000712C">
            <w:pPr>
              <w:pStyle w:val="EMEABodyText"/>
              <w:keepNext/>
              <w:jc w:val="center"/>
            </w:pPr>
            <w:r>
              <w:t>66 (n=225)</w:t>
            </w:r>
          </w:p>
        </w:tc>
      </w:tr>
      <w:tr w:rsidR="00187713" w:rsidRPr="004F3582" w14:paraId="72EAFAFA" w14:textId="77777777" w:rsidTr="0000712C">
        <w:tc>
          <w:tcPr>
            <w:tcW w:w="2448" w:type="dxa"/>
          </w:tcPr>
          <w:p w14:paraId="3FD0C6CF" w14:textId="77777777" w:rsidR="00187713" w:rsidRPr="004F3582" w:rsidRDefault="00187713" w:rsidP="0000712C">
            <w:pPr>
              <w:pStyle w:val="EMEABodyText"/>
              <w:keepNext/>
            </w:pPr>
            <w:r>
              <w:t>CD4 count</w:t>
            </w:r>
            <w:r>
              <w:br/>
              <w:t xml:space="preserve">    &lt;50 cells/mm</w:t>
            </w:r>
            <w:r>
              <w:rPr>
                <w:vertAlign w:val="superscript"/>
              </w:rPr>
              <w:t>3</w:t>
            </w:r>
          </w:p>
        </w:tc>
        <w:tc>
          <w:tcPr>
            <w:tcW w:w="1710" w:type="dxa"/>
          </w:tcPr>
          <w:p w14:paraId="4767C086" w14:textId="77777777" w:rsidR="00187713" w:rsidRPr="004F3582" w:rsidRDefault="00187713" w:rsidP="0000712C">
            <w:pPr>
              <w:pStyle w:val="EMEABodyText"/>
              <w:keepNext/>
              <w:jc w:val="center"/>
            </w:pPr>
            <w:r>
              <w:t>78 (n=58)</w:t>
            </w:r>
          </w:p>
        </w:tc>
        <w:tc>
          <w:tcPr>
            <w:tcW w:w="1710" w:type="dxa"/>
          </w:tcPr>
          <w:p w14:paraId="7251BFE6" w14:textId="77777777" w:rsidR="00187713" w:rsidRPr="004F3582" w:rsidRDefault="00187713" w:rsidP="0000712C">
            <w:pPr>
              <w:pStyle w:val="EMEABodyText"/>
              <w:keepNext/>
              <w:jc w:val="center"/>
            </w:pPr>
            <w:r>
              <w:t>78 (n=58)</w:t>
            </w:r>
          </w:p>
        </w:tc>
        <w:tc>
          <w:tcPr>
            <w:tcW w:w="1710" w:type="dxa"/>
          </w:tcPr>
          <w:p w14:paraId="453BD7FC" w14:textId="77777777" w:rsidR="00187713" w:rsidRPr="004F3582" w:rsidRDefault="00187713" w:rsidP="0000712C">
            <w:pPr>
              <w:pStyle w:val="EMEABodyText"/>
              <w:keepNext/>
              <w:jc w:val="center"/>
            </w:pPr>
            <w:r>
              <w:t>63 (n=48)</w:t>
            </w:r>
          </w:p>
        </w:tc>
        <w:tc>
          <w:tcPr>
            <w:tcW w:w="1710" w:type="dxa"/>
          </w:tcPr>
          <w:p w14:paraId="23D9BB16" w14:textId="77777777" w:rsidR="00187713" w:rsidRPr="004F3582" w:rsidRDefault="00187713" w:rsidP="0000712C">
            <w:pPr>
              <w:pStyle w:val="EMEABodyText"/>
              <w:keepNext/>
              <w:jc w:val="center"/>
            </w:pPr>
            <w:r>
              <w:t>58 (n=48)</w:t>
            </w:r>
          </w:p>
        </w:tc>
      </w:tr>
      <w:tr w:rsidR="00187713" w:rsidRPr="004F3582" w14:paraId="1C0AE300" w14:textId="77777777" w:rsidTr="0000712C">
        <w:tc>
          <w:tcPr>
            <w:tcW w:w="2448" w:type="dxa"/>
          </w:tcPr>
          <w:p w14:paraId="3BAB4DAB" w14:textId="77777777" w:rsidR="00187713" w:rsidRPr="004F3582" w:rsidRDefault="00187713" w:rsidP="0000712C">
            <w:pPr>
              <w:pStyle w:val="EMEABodyText"/>
              <w:keepNext/>
            </w:pPr>
            <w:r>
              <w:t xml:space="preserve">    50 to &lt;100 cells/mm</w:t>
            </w:r>
            <w:r>
              <w:rPr>
                <w:vertAlign w:val="superscript"/>
              </w:rPr>
              <w:t>3</w:t>
            </w:r>
          </w:p>
        </w:tc>
        <w:tc>
          <w:tcPr>
            <w:tcW w:w="1710" w:type="dxa"/>
          </w:tcPr>
          <w:p w14:paraId="35CF74E9" w14:textId="77777777" w:rsidR="00187713" w:rsidRPr="004F3582" w:rsidRDefault="00187713" w:rsidP="0000712C">
            <w:pPr>
              <w:pStyle w:val="EMEABodyText"/>
              <w:keepNext/>
              <w:jc w:val="center"/>
            </w:pPr>
            <w:r>
              <w:t>76 (n=45)</w:t>
            </w:r>
          </w:p>
        </w:tc>
        <w:tc>
          <w:tcPr>
            <w:tcW w:w="1710" w:type="dxa"/>
          </w:tcPr>
          <w:p w14:paraId="72C4D5AC" w14:textId="77777777" w:rsidR="00187713" w:rsidRPr="004F3582" w:rsidRDefault="00187713" w:rsidP="0000712C">
            <w:pPr>
              <w:pStyle w:val="EMEABodyText"/>
              <w:keepNext/>
              <w:jc w:val="center"/>
            </w:pPr>
            <w:r>
              <w:t>71 (n=45)</w:t>
            </w:r>
          </w:p>
        </w:tc>
        <w:tc>
          <w:tcPr>
            <w:tcW w:w="1710" w:type="dxa"/>
          </w:tcPr>
          <w:p w14:paraId="04462F2F" w14:textId="77777777" w:rsidR="00187713" w:rsidRPr="004F3582" w:rsidRDefault="00187713" w:rsidP="0000712C">
            <w:pPr>
              <w:pStyle w:val="EMEABodyText"/>
              <w:keepNext/>
              <w:jc w:val="center"/>
            </w:pPr>
            <w:r>
              <w:t>69 (n=29)</w:t>
            </w:r>
          </w:p>
        </w:tc>
        <w:tc>
          <w:tcPr>
            <w:tcW w:w="1710" w:type="dxa"/>
          </w:tcPr>
          <w:p w14:paraId="138CCFC1" w14:textId="77777777" w:rsidR="00187713" w:rsidRPr="004F3582" w:rsidRDefault="00187713" w:rsidP="0000712C">
            <w:pPr>
              <w:pStyle w:val="EMEABodyText"/>
              <w:keepNext/>
              <w:jc w:val="center"/>
            </w:pPr>
            <w:r>
              <w:t>69 (n=29)</w:t>
            </w:r>
          </w:p>
        </w:tc>
      </w:tr>
      <w:tr w:rsidR="00187713" w:rsidRPr="004F3582" w14:paraId="3B2FAAD2" w14:textId="77777777" w:rsidTr="0000712C">
        <w:tc>
          <w:tcPr>
            <w:tcW w:w="2448" w:type="dxa"/>
          </w:tcPr>
          <w:p w14:paraId="68B34034" w14:textId="77777777" w:rsidR="00187713" w:rsidRPr="004F3582" w:rsidRDefault="00187713" w:rsidP="0000712C">
            <w:pPr>
              <w:pStyle w:val="EMEABodyText"/>
              <w:keepNext/>
            </w:pPr>
            <w:r>
              <w:t xml:space="preserve">    100 to &lt;200 cells/mm</w:t>
            </w:r>
            <w:r>
              <w:rPr>
                <w:vertAlign w:val="superscript"/>
              </w:rPr>
              <w:t>3</w:t>
            </w:r>
          </w:p>
        </w:tc>
        <w:tc>
          <w:tcPr>
            <w:tcW w:w="1710" w:type="dxa"/>
          </w:tcPr>
          <w:p w14:paraId="3FB2F67D" w14:textId="77777777" w:rsidR="00187713" w:rsidRPr="004F3582" w:rsidRDefault="00187713" w:rsidP="0000712C">
            <w:pPr>
              <w:pStyle w:val="EMEABodyText"/>
              <w:keepNext/>
              <w:jc w:val="center"/>
            </w:pPr>
            <w:r>
              <w:t>75 (n=106)</w:t>
            </w:r>
          </w:p>
        </w:tc>
        <w:tc>
          <w:tcPr>
            <w:tcW w:w="1710" w:type="dxa"/>
          </w:tcPr>
          <w:p w14:paraId="4FA6ECF4" w14:textId="77777777" w:rsidR="00187713" w:rsidRPr="004F3582" w:rsidRDefault="00187713" w:rsidP="0000712C">
            <w:pPr>
              <w:pStyle w:val="EMEABodyText"/>
              <w:keepNext/>
              <w:jc w:val="center"/>
            </w:pPr>
            <w:r>
              <w:t>71 (n=106)</w:t>
            </w:r>
          </w:p>
        </w:tc>
        <w:tc>
          <w:tcPr>
            <w:tcW w:w="1710" w:type="dxa"/>
          </w:tcPr>
          <w:p w14:paraId="51DD3AC9" w14:textId="77777777" w:rsidR="00187713" w:rsidRPr="004F3582" w:rsidRDefault="00187713" w:rsidP="0000712C">
            <w:pPr>
              <w:pStyle w:val="EMEABodyText"/>
              <w:keepNext/>
              <w:jc w:val="center"/>
            </w:pPr>
            <w:r>
              <w:t>78 (n=134)</w:t>
            </w:r>
          </w:p>
        </w:tc>
        <w:tc>
          <w:tcPr>
            <w:tcW w:w="1710" w:type="dxa"/>
          </w:tcPr>
          <w:p w14:paraId="2F250B4F" w14:textId="77777777" w:rsidR="00187713" w:rsidRPr="004F3582" w:rsidRDefault="00187713" w:rsidP="0000712C">
            <w:pPr>
              <w:pStyle w:val="EMEABodyText"/>
              <w:keepNext/>
              <w:jc w:val="center"/>
            </w:pPr>
            <w:r>
              <w:t>70 (n=134)</w:t>
            </w:r>
          </w:p>
        </w:tc>
      </w:tr>
      <w:tr w:rsidR="00187713" w:rsidRPr="004F3582" w14:paraId="12B202FF" w14:textId="77777777" w:rsidTr="0000712C">
        <w:tc>
          <w:tcPr>
            <w:tcW w:w="2448" w:type="dxa"/>
          </w:tcPr>
          <w:p w14:paraId="2EB8FAF4" w14:textId="77777777" w:rsidR="00187713" w:rsidRPr="004F3582" w:rsidRDefault="00187713" w:rsidP="0000712C">
            <w:pPr>
              <w:pStyle w:val="EMEABodyText"/>
              <w:keepNext/>
            </w:pPr>
            <w:r>
              <w:t xml:space="preserve">   ≥ 200 cells/mm</w:t>
            </w:r>
            <w:r>
              <w:rPr>
                <w:vertAlign w:val="superscript"/>
              </w:rPr>
              <w:t>3</w:t>
            </w:r>
          </w:p>
        </w:tc>
        <w:tc>
          <w:tcPr>
            <w:tcW w:w="1710" w:type="dxa"/>
          </w:tcPr>
          <w:p w14:paraId="0980331E" w14:textId="77777777" w:rsidR="00187713" w:rsidRPr="004F3582" w:rsidRDefault="00187713" w:rsidP="0000712C">
            <w:pPr>
              <w:pStyle w:val="EMEABodyText"/>
              <w:keepNext/>
              <w:jc w:val="center"/>
            </w:pPr>
            <w:r>
              <w:t>80 (n=222)</w:t>
            </w:r>
          </w:p>
        </w:tc>
        <w:tc>
          <w:tcPr>
            <w:tcW w:w="1710" w:type="dxa"/>
          </w:tcPr>
          <w:p w14:paraId="1635BC86" w14:textId="77777777" w:rsidR="00187713" w:rsidRPr="004F3582" w:rsidRDefault="00187713" w:rsidP="0000712C">
            <w:pPr>
              <w:pStyle w:val="EMEABodyText"/>
              <w:keepNext/>
              <w:jc w:val="center"/>
            </w:pPr>
            <w:r>
              <w:t>76 (n=222)</w:t>
            </w:r>
          </w:p>
        </w:tc>
        <w:tc>
          <w:tcPr>
            <w:tcW w:w="1710" w:type="dxa"/>
          </w:tcPr>
          <w:p w14:paraId="268E241E" w14:textId="77777777" w:rsidR="00187713" w:rsidRPr="004F3582" w:rsidRDefault="00187713" w:rsidP="0000712C">
            <w:pPr>
              <w:pStyle w:val="EMEABodyText"/>
              <w:keepNext/>
              <w:jc w:val="center"/>
            </w:pPr>
            <w:r>
              <w:t>80 (n=228)</w:t>
            </w:r>
          </w:p>
        </w:tc>
        <w:tc>
          <w:tcPr>
            <w:tcW w:w="1710" w:type="dxa"/>
          </w:tcPr>
          <w:p w14:paraId="360C58A8" w14:textId="77777777" w:rsidR="00187713" w:rsidRPr="004F3582" w:rsidRDefault="00187713" w:rsidP="0000712C">
            <w:pPr>
              <w:pStyle w:val="EMEABodyText"/>
              <w:keepNext/>
              <w:jc w:val="center"/>
            </w:pPr>
            <w:r>
              <w:t>69 (n=228)</w:t>
            </w:r>
          </w:p>
        </w:tc>
      </w:tr>
      <w:tr w:rsidR="00187713" w:rsidRPr="00965E20" w14:paraId="21420CF4" w14:textId="77777777" w:rsidTr="0000712C">
        <w:tc>
          <w:tcPr>
            <w:tcW w:w="9288" w:type="dxa"/>
            <w:gridSpan w:val="5"/>
          </w:tcPr>
          <w:p w14:paraId="52299B92" w14:textId="77777777" w:rsidR="00187713" w:rsidRPr="00D31EBB" w:rsidRDefault="00187713" w:rsidP="0000712C">
            <w:pPr>
              <w:pStyle w:val="EMEABodyText"/>
              <w:keepNext/>
            </w:pPr>
            <w:r>
              <w:rPr>
                <w:b/>
              </w:rPr>
              <w:t>HIV RNA Mean Change from Baseline, log</w:t>
            </w:r>
            <w:r>
              <w:rPr>
                <w:b/>
                <w:vertAlign w:val="subscript"/>
              </w:rPr>
              <w:t>10</w:t>
            </w:r>
            <w:r>
              <w:rPr>
                <w:b/>
              </w:rPr>
              <w:t xml:space="preserve"> copies/ml</w:t>
            </w:r>
          </w:p>
        </w:tc>
      </w:tr>
      <w:tr w:rsidR="00187713" w:rsidRPr="004F3582" w14:paraId="3E1D35F5" w14:textId="77777777" w:rsidTr="0000712C">
        <w:tc>
          <w:tcPr>
            <w:tcW w:w="2448" w:type="dxa"/>
          </w:tcPr>
          <w:p w14:paraId="7DF7A91B" w14:textId="77777777" w:rsidR="00187713" w:rsidRPr="004F3582" w:rsidRDefault="00187713" w:rsidP="0000712C">
            <w:pPr>
              <w:pStyle w:val="EMEABodyText"/>
              <w:keepNext/>
            </w:pPr>
            <w:r>
              <w:t xml:space="preserve">   All patients</w:t>
            </w:r>
          </w:p>
        </w:tc>
        <w:tc>
          <w:tcPr>
            <w:tcW w:w="1710" w:type="dxa"/>
          </w:tcPr>
          <w:p w14:paraId="211F610E" w14:textId="77777777" w:rsidR="00187713" w:rsidRPr="004F3582" w:rsidRDefault="00187713" w:rsidP="0000712C">
            <w:pPr>
              <w:pStyle w:val="EMEABodyText"/>
              <w:keepNext/>
              <w:jc w:val="center"/>
            </w:pPr>
            <w:r>
              <w:t>-3.09 (n=397)</w:t>
            </w:r>
          </w:p>
        </w:tc>
        <w:tc>
          <w:tcPr>
            <w:tcW w:w="1710" w:type="dxa"/>
          </w:tcPr>
          <w:p w14:paraId="4BDB0D75" w14:textId="77777777" w:rsidR="00187713" w:rsidRPr="004F3582" w:rsidRDefault="00187713" w:rsidP="0000712C">
            <w:pPr>
              <w:pStyle w:val="EMEABodyText"/>
              <w:keepNext/>
              <w:jc w:val="center"/>
            </w:pPr>
            <w:r>
              <w:t>-3.21 (n=360)</w:t>
            </w:r>
          </w:p>
        </w:tc>
        <w:tc>
          <w:tcPr>
            <w:tcW w:w="1710" w:type="dxa"/>
          </w:tcPr>
          <w:p w14:paraId="2DA02443" w14:textId="77777777" w:rsidR="00187713" w:rsidRPr="004F3582" w:rsidRDefault="00187713" w:rsidP="0000712C">
            <w:pPr>
              <w:pStyle w:val="EMEABodyText"/>
              <w:keepNext/>
              <w:jc w:val="center"/>
            </w:pPr>
            <w:r>
              <w:t>-3.13 (n=379)</w:t>
            </w:r>
          </w:p>
        </w:tc>
        <w:tc>
          <w:tcPr>
            <w:tcW w:w="1710" w:type="dxa"/>
          </w:tcPr>
          <w:p w14:paraId="739BE13F" w14:textId="77777777" w:rsidR="00187713" w:rsidRPr="004F3582" w:rsidRDefault="00187713" w:rsidP="0000712C">
            <w:pPr>
              <w:pStyle w:val="EMEABodyText"/>
              <w:keepNext/>
              <w:jc w:val="center"/>
            </w:pPr>
            <w:r>
              <w:t>-3.19 (n=340)</w:t>
            </w:r>
          </w:p>
        </w:tc>
      </w:tr>
      <w:tr w:rsidR="00187713" w:rsidRPr="00965E20" w14:paraId="36CF2674" w14:textId="77777777" w:rsidTr="0000712C">
        <w:tc>
          <w:tcPr>
            <w:tcW w:w="9288" w:type="dxa"/>
            <w:gridSpan w:val="5"/>
          </w:tcPr>
          <w:p w14:paraId="01ABCC74" w14:textId="77777777" w:rsidR="00187713" w:rsidRPr="00D31EBB" w:rsidRDefault="00187713" w:rsidP="0000712C">
            <w:pPr>
              <w:pStyle w:val="EMEABodyText"/>
              <w:keepNext/>
            </w:pPr>
            <w:r>
              <w:rPr>
                <w:b/>
              </w:rPr>
              <w:t>CD4 Mean Change from Baseline, cells/mm</w:t>
            </w:r>
            <w:r>
              <w:rPr>
                <w:b/>
                <w:vertAlign w:val="superscript"/>
              </w:rPr>
              <w:t>3</w:t>
            </w:r>
            <w:r>
              <w:rPr>
                <w:b/>
              </w:rPr>
              <w:t xml:space="preserve"> </w:t>
            </w:r>
          </w:p>
        </w:tc>
      </w:tr>
      <w:tr w:rsidR="00187713" w:rsidRPr="004F3582" w14:paraId="5D43AFF1" w14:textId="77777777" w:rsidTr="0000712C">
        <w:tc>
          <w:tcPr>
            <w:tcW w:w="2448" w:type="dxa"/>
          </w:tcPr>
          <w:p w14:paraId="4402FF58" w14:textId="77777777" w:rsidR="00187713" w:rsidRPr="004F3582" w:rsidRDefault="00187713" w:rsidP="0000712C">
            <w:pPr>
              <w:pStyle w:val="EMEABodyText"/>
              <w:keepNext/>
            </w:pPr>
            <w:r>
              <w:t xml:space="preserve">   All patients</w:t>
            </w:r>
          </w:p>
        </w:tc>
        <w:tc>
          <w:tcPr>
            <w:tcW w:w="1710" w:type="dxa"/>
          </w:tcPr>
          <w:p w14:paraId="420A9D39" w14:textId="77777777" w:rsidR="00187713" w:rsidRPr="004F3582" w:rsidRDefault="00187713" w:rsidP="0000712C">
            <w:pPr>
              <w:pStyle w:val="EMEABodyText"/>
              <w:keepNext/>
              <w:jc w:val="center"/>
            </w:pPr>
            <w:r>
              <w:t>203 (n=370)</w:t>
            </w:r>
          </w:p>
        </w:tc>
        <w:tc>
          <w:tcPr>
            <w:tcW w:w="1710" w:type="dxa"/>
          </w:tcPr>
          <w:p w14:paraId="2C3E6DC6" w14:textId="77777777" w:rsidR="00187713" w:rsidRPr="004F3582" w:rsidRDefault="00187713" w:rsidP="0000712C">
            <w:pPr>
              <w:pStyle w:val="EMEABodyText"/>
              <w:keepNext/>
              <w:jc w:val="center"/>
            </w:pPr>
            <w:r>
              <w:t>268 (n=336)</w:t>
            </w:r>
          </w:p>
        </w:tc>
        <w:tc>
          <w:tcPr>
            <w:tcW w:w="1710" w:type="dxa"/>
          </w:tcPr>
          <w:p w14:paraId="72060524" w14:textId="77777777" w:rsidR="00187713" w:rsidRPr="004F3582" w:rsidRDefault="00187713" w:rsidP="0000712C">
            <w:pPr>
              <w:pStyle w:val="EMEABodyText"/>
              <w:keepNext/>
              <w:jc w:val="center"/>
            </w:pPr>
            <w:r>
              <w:t>219 (n=363)</w:t>
            </w:r>
          </w:p>
        </w:tc>
        <w:tc>
          <w:tcPr>
            <w:tcW w:w="1710" w:type="dxa"/>
          </w:tcPr>
          <w:p w14:paraId="6C002977" w14:textId="77777777" w:rsidR="00187713" w:rsidRPr="004F3582" w:rsidRDefault="00187713" w:rsidP="0000712C">
            <w:pPr>
              <w:pStyle w:val="EMEABodyText"/>
              <w:keepNext/>
              <w:jc w:val="center"/>
            </w:pPr>
            <w:r>
              <w:t>290 (n=317)</w:t>
            </w:r>
          </w:p>
        </w:tc>
      </w:tr>
      <w:tr w:rsidR="00187713" w:rsidRPr="00965E20" w14:paraId="05F7D835" w14:textId="77777777" w:rsidTr="0000712C">
        <w:tc>
          <w:tcPr>
            <w:tcW w:w="9288" w:type="dxa"/>
            <w:gridSpan w:val="5"/>
          </w:tcPr>
          <w:p w14:paraId="08C1982E" w14:textId="77777777" w:rsidR="00187713" w:rsidRPr="00D31EBB" w:rsidRDefault="00187713" w:rsidP="0000712C">
            <w:pPr>
              <w:pStyle w:val="EMEABodyText"/>
              <w:keepNext/>
            </w:pPr>
            <w:r>
              <w:t>CD4 Mean Change from Baseline, cells/mm</w:t>
            </w:r>
            <w:r>
              <w:rPr>
                <w:vertAlign w:val="superscript"/>
              </w:rPr>
              <w:t>3</w:t>
            </w:r>
            <w:r>
              <w:t xml:space="preserve"> by Baseline Characteristic</w:t>
            </w:r>
          </w:p>
        </w:tc>
      </w:tr>
      <w:tr w:rsidR="00187713" w:rsidRPr="004F3582" w14:paraId="74C9AD75" w14:textId="77777777" w:rsidTr="0000712C">
        <w:tc>
          <w:tcPr>
            <w:tcW w:w="2448" w:type="dxa"/>
          </w:tcPr>
          <w:p w14:paraId="102E2546" w14:textId="77777777" w:rsidR="00187713" w:rsidRPr="004F3582" w:rsidRDefault="00187713" w:rsidP="0000712C">
            <w:pPr>
              <w:pStyle w:val="EMEABodyText"/>
              <w:keepNext/>
            </w:pPr>
            <w:r>
              <w:t xml:space="preserve">HIV RNA </w:t>
            </w:r>
            <w:r>
              <w:br/>
              <w:t xml:space="preserve">   &lt;100,000 copies/ml</w:t>
            </w:r>
          </w:p>
        </w:tc>
        <w:tc>
          <w:tcPr>
            <w:tcW w:w="1710" w:type="dxa"/>
          </w:tcPr>
          <w:p w14:paraId="5558B4DC" w14:textId="77777777" w:rsidR="00187713" w:rsidRPr="004F3582" w:rsidRDefault="00187713" w:rsidP="0000712C">
            <w:pPr>
              <w:pStyle w:val="EMEABodyText"/>
              <w:keepNext/>
              <w:jc w:val="center"/>
            </w:pPr>
            <w:r>
              <w:t>179 (n=183)</w:t>
            </w:r>
          </w:p>
        </w:tc>
        <w:tc>
          <w:tcPr>
            <w:tcW w:w="1710" w:type="dxa"/>
          </w:tcPr>
          <w:p w14:paraId="471F523C" w14:textId="77777777" w:rsidR="00187713" w:rsidRPr="004F3582" w:rsidRDefault="00187713" w:rsidP="0000712C">
            <w:pPr>
              <w:pStyle w:val="EMEABodyText"/>
              <w:keepNext/>
              <w:jc w:val="center"/>
            </w:pPr>
            <w:r>
              <w:t>243 (n=163)</w:t>
            </w:r>
          </w:p>
        </w:tc>
        <w:tc>
          <w:tcPr>
            <w:tcW w:w="1710" w:type="dxa"/>
          </w:tcPr>
          <w:p w14:paraId="17A29A5F" w14:textId="77777777" w:rsidR="00187713" w:rsidRPr="004F3582" w:rsidRDefault="00187713" w:rsidP="0000712C">
            <w:pPr>
              <w:pStyle w:val="EMEABodyText"/>
              <w:keepNext/>
              <w:jc w:val="center"/>
            </w:pPr>
            <w:r>
              <w:t>194 (n=183)</w:t>
            </w:r>
          </w:p>
        </w:tc>
        <w:tc>
          <w:tcPr>
            <w:tcW w:w="1710" w:type="dxa"/>
          </w:tcPr>
          <w:p w14:paraId="5408E86E" w14:textId="77777777" w:rsidR="00187713" w:rsidRPr="004F3582" w:rsidRDefault="00187713" w:rsidP="0000712C">
            <w:pPr>
              <w:pStyle w:val="EMEABodyText"/>
              <w:keepNext/>
              <w:jc w:val="center"/>
            </w:pPr>
            <w:r>
              <w:t>267 (n=152)</w:t>
            </w:r>
          </w:p>
        </w:tc>
      </w:tr>
      <w:tr w:rsidR="00187713" w:rsidRPr="004F3582" w14:paraId="411EC8DC" w14:textId="77777777" w:rsidTr="0000712C">
        <w:tc>
          <w:tcPr>
            <w:tcW w:w="2448" w:type="dxa"/>
          </w:tcPr>
          <w:p w14:paraId="7810581D" w14:textId="77777777" w:rsidR="00187713" w:rsidRPr="004F3582" w:rsidRDefault="00187713" w:rsidP="0000712C">
            <w:pPr>
              <w:pStyle w:val="EMEABodyText"/>
              <w:keepNext/>
            </w:pPr>
            <w:r>
              <w:t xml:space="preserve">   ≥100,000 copies/ml</w:t>
            </w:r>
          </w:p>
        </w:tc>
        <w:tc>
          <w:tcPr>
            <w:tcW w:w="1710" w:type="dxa"/>
          </w:tcPr>
          <w:p w14:paraId="26113F0E" w14:textId="77777777" w:rsidR="00187713" w:rsidRPr="004F3582" w:rsidRDefault="00187713" w:rsidP="0000712C">
            <w:pPr>
              <w:pStyle w:val="EMEABodyText"/>
              <w:keepNext/>
              <w:jc w:val="center"/>
            </w:pPr>
            <w:r>
              <w:t>227 (n=187)</w:t>
            </w:r>
          </w:p>
        </w:tc>
        <w:tc>
          <w:tcPr>
            <w:tcW w:w="1710" w:type="dxa"/>
            <w:vAlign w:val="bottom"/>
          </w:tcPr>
          <w:p w14:paraId="7EACD2ED" w14:textId="77777777" w:rsidR="00187713" w:rsidRPr="004F3582" w:rsidRDefault="00187713" w:rsidP="0000712C">
            <w:pPr>
              <w:pStyle w:val="EMEABodyText"/>
              <w:keepNext/>
              <w:jc w:val="center"/>
            </w:pPr>
            <w:r>
              <w:t>291 (n=173)</w:t>
            </w:r>
          </w:p>
        </w:tc>
        <w:tc>
          <w:tcPr>
            <w:tcW w:w="1710" w:type="dxa"/>
            <w:vAlign w:val="bottom"/>
          </w:tcPr>
          <w:p w14:paraId="4724BBF1" w14:textId="77777777" w:rsidR="00187713" w:rsidRPr="004F3582" w:rsidRDefault="00187713" w:rsidP="0000712C">
            <w:pPr>
              <w:pStyle w:val="EMEABodyText"/>
              <w:keepNext/>
              <w:jc w:val="center"/>
            </w:pPr>
            <w:r>
              <w:t>245 (n=180)</w:t>
            </w:r>
          </w:p>
        </w:tc>
        <w:tc>
          <w:tcPr>
            <w:tcW w:w="1710" w:type="dxa"/>
            <w:vAlign w:val="bottom"/>
          </w:tcPr>
          <w:p w14:paraId="674AF17A" w14:textId="77777777" w:rsidR="00187713" w:rsidRPr="004F3582" w:rsidRDefault="00187713" w:rsidP="0000712C">
            <w:pPr>
              <w:pStyle w:val="EMEABodyText"/>
              <w:keepNext/>
              <w:jc w:val="center"/>
            </w:pPr>
            <w:r>
              <w:t>310 (n=165)</w:t>
            </w:r>
          </w:p>
        </w:tc>
      </w:tr>
    </w:tbl>
    <w:p w14:paraId="550C7D35" w14:textId="77777777" w:rsidR="00187713" w:rsidRPr="00D31EBB" w:rsidRDefault="00187713" w:rsidP="00187713">
      <w:pPr>
        <w:pStyle w:val="EMEABodyText"/>
        <w:keepNext/>
        <w:rPr>
          <w:sz w:val="18"/>
          <w:szCs w:val="18"/>
        </w:rPr>
      </w:pPr>
      <w:r>
        <w:rPr>
          <w:sz w:val="18"/>
          <w:szCs w:val="18"/>
          <w:vertAlign w:val="superscript"/>
        </w:rPr>
        <w:t>a</w:t>
      </w:r>
      <w:r>
        <w:rPr>
          <w:sz w:val="18"/>
          <w:szCs w:val="18"/>
        </w:rPr>
        <w:t xml:space="preserve"> Mean baseline CD4 cell count was 214 cells/mm</w:t>
      </w:r>
      <w:r>
        <w:rPr>
          <w:sz w:val="18"/>
          <w:szCs w:val="18"/>
          <w:vertAlign w:val="superscript"/>
        </w:rPr>
        <w:t>3</w:t>
      </w:r>
      <w:r>
        <w:rPr>
          <w:sz w:val="18"/>
          <w:szCs w:val="18"/>
        </w:rPr>
        <w:t xml:space="preserve"> (range 2 to 810 cells/mm</w:t>
      </w:r>
      <w:r>
        <w:rPr>
          <w:sz w:val="18"/>
          <w:szCs w:val="18"/>
          <w:vertAlign w:val="superscript"/>
        </w:rPr>
        <w:t>3</w:t>
      </w:r>
      <w:r>
        <w:rPr>
          <w:sz w:val="18"/>
          <w:szCs w:val="18"/>
        </w:rPr>
        <w:t>) and mean baseline plasma HIV-1 RNA was 4.94 log</w:t>
      </w:r>
      <w:r>
        <w:rPr>
          <w:sz w:val="18"/>
          <w:szCs w:val="18"/>
          <w:vertAlign w:val="subscript"/>
        </w:rPr>
        <w:t>10</w:t>
      </w:r>
      <w:r>
        <w:rPr>
          <w:sz w:val="18"/>
          <w:szCs w:val="18"/>
        </w:rPr>
        <w:t> copies/ml (range 2.6 to 5.88 log</w:t>
      </w:r>
      <w:r>
        <w:rPr>
          <w:sz w:val="18"/>
          <w:szCs w:val="18"/>
          <w:vertAlign w:val="subscript"/>
        </w:rPr>
        <w:t>10</w:t>
      </w:r>
      <w:r>
        <w:rPr>
          <w:sz w:val="18"/>
          <w:szCs w:val="18"/>
        </w:rPr>
        <w:t> copies/ml)</w:t>
      </w:r>
    </w:p>
    <w:p w14:paraId="5B2C3990" w14:textId="77777777" w:rsidR="00187713" w:rsidRPr="00D31EBB" w:rsidRDefault="00187713" w:rsidP="00187713">
      <w:pPr>
        <w:pStyle w:val="EMEABodyText"/>
        <w:keepNext/>
        <w:rPr>
          <w:sz w:val="18"/>
          <w:szCs w:val="18"/>
        </w:rPr>
      </w:pPr>
      <w:r>
        <w:rPr>
          <w:sz w:val="18"/>
          <w:szCs w:val="18"/>
          <w:vertAlign w:val="superscript"/>
        </w:rPr>
        <w:t>b</w:t>
      </w:r>
      <w:r>
        <w:rPr>
          <w:sz w:val="18"/>
          <w:szCs w:val="18"/>
        </w:rPr>
        <w:t xml:space="preserve"> REYATAZ/RTV with tenofovir disoproxil fumarate/emtricitabine (fixed dose 300 mg/200 mg tablets once daily).</w:t>
      </w:r>
    </w:p>
    <w:p w14:paraId="4AA924F3" w14:textId="77777777" w:rsidR="00187713" w:rsidRPr="00D31EBB" w:rsidRDefault="00187713" w:rsidP="00187713">
      <w:pPr>
        <w:pStyle w:val="EMEABodyText"/>
        <w:keepNext/>
        <w:rPr>
          <w:sz w:val="18"/>
          <w:szCs w:val="18"/>
        </w:rPr>
      </w:pPr>
      <w:r>
        <w:rPr>
          <w:sz w:val="18"/>
          <w:szCs w:val="18"/>
          <w:vertAlign w:val="superscript"/>
        </w:rPr>
        <w:t>c</w:t>
      </w:r>
      <w:r>
        <w:rPr>
          <w:sz w:val="18"/>
          <w:szCs w:val="18"/>
        </w:rPr>
        <w:t xml:space="preserve"> Lopinavir/RTV with tenofovir disoproxil fumarate/emtricitabine (fixed dose 300 mg/200 mg tablets once daily).</w:t>
      </w:r>
    </w:p>
    <w:p w14:paraId="55FB5DBC" w14:textId="77777777" w:rsidR="00187713" w:rsidRPr="00D31EBB" w:rsidRDefault="00187713" w:rsidP="00187713">
      <w:pPr>
        <w:pStyle w:val="EMEABodyText"/>
        <w:keepNext/>
        <w:rPr>
          <w:sz w:val="18"/>
          <w:szCs w:val="18"/>
        </w:rPr>
      </w:pPr>
      <w:r>
        <w:rPr>
          <w:sz w:val="18"/>
          <w:szCs w:val="18"/>
          <w:vertAlign w:val="superscript"/>
        </w:rPr>
        <w:t>d</w:t>
      </w:r>
      <w:r>
        <w:rPr>
          <w:sz w:val="18"/>
          <w:szCs w:val="18"/>
        </w:rPr>
        <w:t xml:space="preserve"> Intent-to-treat analysis, with missing values considered as failures.</w:t>
      </w:r>
    </w:p>
    <w:p w14:paraId="2747DEDF" w14:textId="77777777" w:rsidR="00187713" w:rsidRPr="00D31EBB" w:rsidRDefault="00187713" w:rsidP="00187713">
      <w:pPr>
        <w:pStyle w:val="EMEABodyText"/>
        <w:keepNext/>
        <w:rPr>
          <w:sz w:val="18"/>
          <w:szCs w:val="18"/>
        </w:rPr>
      </w:pPr>
      <w:r>
        <w:rPr>
          <w:sz w:val="18"/>
          <w:szCs w:val="18"/>
          <w:vertAlign w:val="superscript"/>
        </w:rPr>
        <w:t>e</w:t>
      </w:r>
      <w:r>
        <w:rPr>
          <w:sz w:val="18"/>
          <w:szCs w:val="18"/>
        </w:rPr>
        <w:t xml:space="preserve"> Per protocol analysis: Excluding non-completers and patients with major protocol deviations.</w:t>
      </w:r>
    </w:p>
    <w:p w14:paraId="0B3DE83B" w14:textId="77777777" w:rsidR="00187713" w:rsidRPr="00D31EBB" w:rsidRDefault="00187713" w:rsidP="00187713">
      <w:pPr>
        <w:pStyle w:val="EMEABodyText"/>
        <w:rPr>
          <w:sz w:val="18"/>
          <w:szCs w:val="18"/>
        </w:rPr>
      </w:pPr>
      <w:r>
        <w:rPr>
          <w:sz w:val="18"/>
          <w:szCs w:val="18"/>
          <w:vertAlign w:val="superscript"/>
        </w:rPr>
        <w:t>f</w:t>
      </w:r>
      <w:r>
        <w:rPr>
          <w:sz w:val="18"/>
          <w:szCs w:val="18"/>
        </w:rPr>
        <w:t xml:space="preserve"> Number of patients evaluable.</w:t>
      </w:r>
    </w:p>
    <w:p w14:paraId="6102E364" w14:textId="77777777" w:rsidR="00187713" w:rsidRPr="00D31EBB" w:rsidRDefault="00187713" w:rsidP="00187713">
      <w:pPr>
        <w:pStyle w:val="EMEABodyText"/>
        <w:rPr>
          <w:lang w:val="en-US"/>
        </w:rPr>
      </w:pPr>
    </w:p>
    <w:p w14:paraId="46DA69DD" w14:textId="77777777" w:rsidR="00187713" w:rsidRPr="00D31EBB" w:rsidRDefault="00187713" w:rsidP="00187713">
      <w:pPr>
        <w:pStyle w:val="EMEABodyText"/>
        <w:keepNext/>
        <w:rPr>
          <w:i/>
        </w:rPr>
      </w:pPr>
      <w:r>
        <w:rPr>
          <w:i/>
        </w:rPr>
        <w:t>In antiretroviral experienced adult patients</w:t>
      </w:r>
    </w:p>
    <w:p w14:paraId="441C2AC3" w14:textId="77777777" w:rsidR="00187713" w:rsidRPr="00D31EBB" w:rsidRDefault="00187713" w:rsidP="00187713">
      <w:pPr>
        <w:pStyle w:val="EMEABodyText"/>
      </w:pPr>
      <w:r>
        <w:rPr>
          <w:i/>
          <w:u w:val="single"/>
        </w:rPr>
        <w:t>Study 045</w:t>
      </w:r>
      <w:r>
        <w:t xml:space="preserve"> is a randomised, multicenter trial comparing REYATAZ/ritonavir (300/100 mg once daily) and REYATAZ/saquinavir (400/1,200 mg once daily), to lopinavir + ritonavir (400/100 mg fixed dose combination twice daily), each in combination with tenofovi disoproxil fumarate (see sections 4.5 and 4.8) and one NRTI, in patients with virologic failure on two or more prior regimens containing at least one PI, NRTI, and NNRTI. For randomised patients, the mean time of prior antiretroviral exposure was 138 weeks for PIs, 281 weeks for NRTIs, and 85 weeks for NNRTIs. At baseline, 34% of patients were receiving a PI and 60% were receiving an NNRTI. Fifteen of 120 (13%) patients in the REYATAZ + ritonavir treatment arm and 17 of 123 (14%) patients in the lopinavir + ritonavir arm had four or more of the PI substitutions L10, M46, I54, V82, I84, and L90. Thirty-two percent of patients in the study had a viral strain with fewer than two NRTI substitutions.</w:t>
      </w:r>
    </w:p>
    <w:p w14:paraId="07A14EC3" w14:textId="77777777" w:rsidR="00187713" w:rsidRPr="00D31EBB" w:rsidRDefault="00187713" w:rsidP="00187713">
      <w:pPr>
        <w:pStyle w:val="EMEABodyText"/>
        <w:rPr>
          <w:lang w:val="en-US"/>
        </w:rPr>
      </w:pPr>
    </w:p>
    <w:p w14:paraId="52575319" w14:textId="77777777" w:rsidR="00187713" w:rsidRPr="00D31EBB" w:rsidRDefault="00187713" w:rsidP="00187713">
      <w:pPr>
        <w:pStyle w:val="EMEABodyText"/>
      </w:pPr>
      <w:r>
        <w:t>The primary endpoint was the time-averaged difference in change from baseline in HIV RNA through 48 weeks (Table 6).</w:t>
      </w:r>
    </w:p>
    <w:p w14:paraId="7B1BD220" w14:textId="77777777" w:rsidR="00187713" w:rsidRPr="00D31EBB" w:rsidRDefault="00187713" w:rsidP="00187713">
      <w:pPr>
        <w:pStyle w:val="EMEABodyText"/>
        <w:rPr>
          <w:lang w:val="en-US"/>
        </w:rPr>
      </w:pPr>
    </w:p>
    <w:p w14:paraId="755912FA" w14:textId="77777777" w:rsidR="00187713" w:rsidRPr="00D31EBB" w:rsidRDefault="00187713" w:rsidP="00187713">
      <w:pPr>
        <w:pStyle w:val="EMEABodyText"/>
        <w:keepNext/>
        <w:rPr>
          <w:b/>
          <w:bCs/>
        </w:rPr>
      </w:pPr>
      <w:r>
        <w:rPr>
          <w:b/>
          <w:bCs/>
        </w:rPr>
        <w:t>Table 6:</w:t>
      </w:r>
      <w:r>
        <w:rPr>
          <w:b/>
          <w:bCs/>
        </w:rPr>
        <w:tab/>
        <w:t>Efficacy Outcomes at Week 48</w:t>
      </w:r>
      <w:r>
        <w:rPr>
          <w:b/>
          <w:bCs/>
          <w:vertAlign w:val="superscript"/>
        </w:rPr>
        <w:t>a</w:t>
      </w:r>
      <w:r>
        <w:rPr>
          <w:b/>
          <w:bCs/>
        </w:rPr>
        <w:t xml:space="preserve"> and at Week 96 (Study 045)</w:t>
      </w: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
        <w:gridCol w:w="1213"/>
        <w:gridCol w:w="1323"/>
        <w:gridCol w:w="1323"/>
        <w:gridCol w:w="1323"/>
        <w:gridCol w:w="1323"/>
        <w:gridCol w:w="1323"/>
        <w:gridCol w:w="1323"/>
      </w:tblGrid>
      <w:tr w:rsidR="00187713" w:rsidRPr="004F3582" w14:paraId="18F0F26C" w14:textId="77777777" w:rsidTr="0000712C">
        <w:tc>
          <w:tcPr>
            <w:tcW w:w="1458" w:type="dxa"/>
            <w:gridSpan w:val="2"/>
            <w:tcBorders>
              <w:bottom w:val="single" w:sz="4" w:space="0" w:color="auto"/>
            </w:tcBorders>
            <w:shd w:val="clear" w:color="auto" w:fill="auto"/>
            <w:vAlign w:val="center"/>
          </w:tcPr>
          <w:p w14:paraId="7539FCAD" w14:textId="77777777" w:rsidR="00187713" w:rsidRPr="004F3582" w:rsidRDefault="00187713" w:rsidP="0000712C">
            <w:pPr>
              <w:pStyle w:val="EMEABodyText"/>
              <w:keepNext/>
            </w:pPr>
            <w:r>
              <w:rPr>
                <w:b/>
              </w:rPr>
              <w:t>Parameter</w:t>
            </w:r>
          </w:p>
        </w:tc>
        <w:tc>
          <w:tcPr>
            <w:tcW w:w="2646" w:type="dxa"/>
            <w:gridSpan w:val="2"/>
            <w:tcBorders>
              <w:bottom w:val="single" w:sz="4" w:space="0" w:color="auto"/>
            </w:tcBorders>
            <w:shd w:val="clear" w:color="auto" w:fill="auto"/>
            <w:vAlign w:val="center"/>
          </w:tcPr>
          <w:p w14:paraId="4C9F5C6D" w14:textId="77777777" w:rsidR="00187713" w:rsidRPr="00D31EBB" w:rsidRDefault="00187713" w:rsidP="0000712C">
            <w:pPr>
              <w:pStyle w:val="EMEABodyText"/>
              <w:keepNext/>
              <w:jc w:val="center"/>
              <w:rPr>
                <w:b/>
              </w:rPr>
            </w:pPr>
            <w:r>
              <w:rPr>
                <w:b/>
              </w:rPr>
              <w:t>ATV/RTV</w:t>
            </w:r>
            <w:r>
              <w:rPr>
                <w:b/>
                <w:vertAlign w:val="superscript"/>
              </w:rPr>
              <w:t>b</w:t>
            </w:r>
            <w:r>
              <w:rPr>
                <w:b/>
              </w:rPr>
              <w:t xml:space="preserve"> (300 mg/ 100 mg once daily)</w:t>
            </w:r>
          </w:p>
          <w:p w14:paraId="18A9AAE0" w14:textId="77777777" w:rsidR="00187713" w:rsidRPr="004F3582" w:rsidRDefault="00187713" w:rsidP="0000712C">
            <w:pPr>
              <w:pStyle w:val="EMEABodyText"/>
              <w:keepNext/>
              <w:jc w:val="center"/>
              <w:rPr>
                <w:b/>
                <w:u w:val="single"/>
              </w:rPr>
            </w:pPr>
            <w:r>
              <w:rPr>
                <w:b/>
              </w:rPr>
              <w:t>n=120</w:t>
            </w:r>
          </w:p>
        </w:tc>
        <w:tc>
          <w:tcPr>
            <w:tcW w:w="2646" w:type="dxa"/>
            <w:gridSpan w:val="2"/>
            <w:tcBorders>
              <w:bottom w:val="single" w:sz="4" w:space="0" w:color="auto"/>
            </w:tcBorders>
            <w:shd w:val="clear" w:color="auto" w:fill="auto"/>
            <w:vAlign w:val="center"/>
          </w:tcPr>
          <w:p w14:paraId="400D0EB8" w14:textId="77777777" w:rsidR="00187713" w:rsidRPr="00D31EBB" w:rsidRDefault="00187713" w:rsidP="0000712C">
            <w:pPr>
              <w:pStyle w:val="EMEABodyText"/>
              <w:keepNext/>
              <w:jc w:val="center"/>
              <w:rPr>
                <w:b/>
              </w:rPr>
            </w:pPr>
            <w:r>
              <w:rPr>
                <w:b/>
              </w:rPr>
              <w:t>LPV/RTV</w:t>
            </w:r>
            <w:r>
              <w:rPr>
                <w:b/>
                <w:vertAlign w:val="superscript"/>
              </w:rPr>
              <w:t>c</w:t>
            </w:r>
            <w:r>
              <w:rPr>
                <w:b/>
              </w:rPr>
              <w:t xml:space="preserve"> (400 mg/ 100 mg twice daily)</w:t>
            </w:r>
          </w:p>
          <w:p w14:paraId="4FFA7D4A" w14:textId="77777777" w:rsidR="00187713" w:rsidRPr="004F3582" w:rsidRDefault="00187713" w:rsidP="0000712C">
            <w:pPr>
              <w:pStyle w:val="EMEABodyText"/>
              <w:keepNext/>
              <w:jc w:val="center"/>
              <w:rPr>
                <w:b/>
                <w:u w:val="single"/>
              </w:rPr>
            </w:pPr>
            <w:r>
              <w:rPr>
                <w:b/>
              </w:rPr>
              <w:t>n=123</w:t>
            </w:r>
          </w:p>
        </w:tc>
        <w:tc>
          <w:tcPr>
            <w:tcW w:w="2646" w:type="dxa"/>
            <w:gridSpan w:val="2"/>
            <w:tcBorders>
              <w:bottom w:val="single" w:sz="4" w:space="0" w:color="auto"/>
            </w:tcBorders>
            <w:shd w:val="clear" w:color="auto" w:fill="auto"/>
            <w:vAlign w:val="center"/>
          </w:tcPr>
          <w:p w14:paraId="57A54E8E" w14:textId="77777777" w:rsidR="00187713" w:rsidRPr="00D31EBB" w:rsidRDefault="00187713" w:rsidP="0000712C">
            <w:pPr>
              <w:pStyle w:val="EMEABodyText"/>
              <w:keepNext/>
              <w:jc w:val="center"/>
              <w:rPr>
                <w:b/>
              </w:rPr>
            </w:pPr>
            <w:r>
              <w:rPr>
                <w:b/>
              </w:rPr>
              <w:t>Time-averaged difference ATV/RTV-LPV/RTV</w:t>
            </w:r>
          </w:p>
          <w:p w14:paraId="7BC39325" w14:textId="77777777" w:rsidR="00187713" w:rsidRPr="004F3582" w:rsidRDefault="00187713" w:rsidP="0000712C">
            <w:pPr>
              <w:pStyle w:val="EMEABodyText"/>
              <w:keepNext/>
              <w:jc w:val="center"/>
              <w:rPr>
                <w:b/>
                <w:u w:val="single"/>
              </w:rPr>
            </w:pPr>
            <w:r>
              <w:rPr>
                <w:b/>
              </w:rPr>
              <w:t>[97.5% CI</w:t>
            </w:r>
            <w:r>
              <w:rPr>
                <w:b/>
                <w:vertAlign w:val="superscript"/>
              </w:rPr>
              <w:t>d</w:t>
            </w:r>
            <w:r>
              <w:rPr>
                <w:b/>
              </w:rPr>
              <w:t>]</w:t>
            </w:r>
          </w:p>
        </w:tc>
      </w:tr>
      <w:tr w:rsidR="00187713" w:rsidRPr="004F3582" w14:paraId="76A7D481" w14:textId="77777777" w:rsidTr="0000712C">
        <w:tc>
          <w:tcPr>
            <w:tcW w:w="1458" w:type="dxa"/>
            <w:gridSpan w:val="2"/>
            <w:tcBorders>
              <w:bottom w:val="single" w:sz="4" w:space="0" w:color="auto"/>
            </w:tcBorders>
            <w:shd w:val="clear" w:color="auto" w:fill="auto"/>
            <w:vAlign w:val="center"/>
          </w:tcPr>
          <w:p w14:paraId="6E90D600" w14:textId="77777777" w:rsidR="00187713" w:rsidRPr="004F3582" w:rsidRDefault="00187713" w:rsidP="0000712C">
            <w:pPr>
              <w:pStyle w:val="EMEABodyText"/>
              <w:keepNext/>
            </w:pPr>
          </w:p>
        </w:tc>
        <w:tc>
          <w:tcPr>
            <w:tcW w:w="1323" w:type="dxa"/>
            <w:tcBorders>
              <w:bottom w:val="single" w:sz="4" w:space="0" w:color="auto"/>
            </w:tcBorders>
            <w:shd w:val="clear" w:color="auto" w:fill="auto"/>
            <w:vAlign w:val="center"/>
          </w:tcPr>
          <w:p w14:paraId="456EA3C1" w14:textId="77777777" w:rsidR="00187713" w:rsidRPr="004F3582" w:rsidRDefault="00187713" w:rsidP="0000712C">
            <w:pPr>
              <w:pStyle w:val="EMEABodyText"/>
              <w:keepNext/>
              <w:jc w:val="center"/>
              <w:rPr>
                <w:b/>
              </w:rPr>
            </w:pPr>
            <w:r>
              <w:rPr>
                <w:b/>
              </w:rPr>
              <w:t>Week 48</w:t>
            </w:r>
          </w:p>
        </w:tc>
        <w:tc>
          <w:tcPr>
            <w:tcW w:w="1323" w:type="dxa"/>
            <w:tcBorders>
              <w:bottom w:val="single" w:sz="4" w:space="0" w:color="auto"/>
            </w:tcBorders>
            <w:shd w:val="clear" w:color="auto" w:fill="auto"/>
            <w:vAlign w:val="center"/>
          </w:tcPr>
          <w:p w14:paraId="408CF05D" w14:textId="77777777" w:rsidR="00187713" w:rsidRPr="004F3582" w:rsidRDefault="00187713" w:rsidP="0000712C">
            <w:pPr>
              <w:pStyle w:val="EMEABodyText"/>
              <w:keepNext/>
              <w:jc w:val="center"/>
              <w:rPr>
                <w:b/>
              </w:rPr>
            </w:pPr>
            <w:r>
              <w:rPr>
                <w:b/>
              </w:rPr>
              <w:t>Week 96</w:t>
            </w:r>
          </w:p>
        </w:tc>
        <w:tc>
          <w:tcPr>
            <w:tcW w:w="1323" w:type="dxa"/>
            <w:tcBorders>
              <w:bottom w:val="single" w:sz="4" w:space="0" w:color="auto"/>
            </w:tcBorders>
            <w:shd w:val="clear" w:color="auto" w:fill="auto"/>
            <w:vAlign w:val="center"/>
          </w:tcPr>
          <w:p w14:paraId="79EE0409" w14:textId="77777777" w:rsidR="00187713" w:rsidRPr="004F3582" w:rsidRDefault="00187713" w:rsidP="0000712C">
            <w:pPr>
              <w:pStyle w:val="EMEABodyText"/>
              <w:keepNext/>
              <w:jc w:val="center"/>
              <w:rPr>
                <w:b/>
              </w:rPr>
            </w:pPr>
            <w:r>
              <w:rPr>
                <w:b/>
              </w:rPr>
              <w:t>Week 48</w:t>
            </w:r>
          </w:p>
        </w:tc>
        <w:tc>
          <w:tcPr>
            <w:tcW w:w="1323" w:type="dxa"/>
            <w:tcBorders>
              <w:bottom w:val="single" w:sz="4" w:space="0" w:color="auto"/>
            </w:tcBorders>
            <w:shd w:val="clear" w:color="auto" w:fill="auto"/>
            <w:vAlign w:val="center"/>
          </w:tcPr>
          <w:p w14:paraId="3B1DCED2" w14:textId="77777777" w:rsidR="00187713" w:rsidRPr="004F3582" w:rsidRDefault="00187713" w:rsidP="0000712C">
            <w:pPr>
              <w:pStyle w:val="EMEABodyText"/>
              <w:keepNext/>
              <w:jc w:val="center"/>
              <w:rPr>
                <w:b/>
              </w:rPr>
            </w:pPr>
            <w:r>
              <w:rPr>
                <w:b/>
              </w:rPr>
              <w:t>Week 96</w:t>
            </w:r>
          </w:p>
        </w:tc>
        <w:tc>
          <w:tcPr>
            <w:tcW w:w="1323" w:type="dxa"/>
            <w:tcBorders>
              <w:bottom w:val="single" w:sz="4" w:space="0" w:color="auto"/>
            </w:tcBorders>
            <w:shd w:val="clear" w:color="auto" w:fill="auto"/>
            <w:vAlign w:val="center"/>
          </w:tcPr>
          <w:p w14:paraId="01942A61" w14:textId="77777777" w:rsidR="00187713" w:rsidRPr="004F3582" w:rsidRDefault="00187713" w:rsidP="0000712C">
            <w:pPr>
              <w:pStyle w:val="EMEABodyText"/>
              <w:keepNext/>
              <w:jc w:val="center"/>
              <w:rPr>
                <w:b/>
              </w:rPr>
            </w:pPr>
            <w:r>
              <w:rPr>
                <w:b/>
              </w:rPr>
              <w:t>Week 48</w:t>
            </w:r>
          </w:p>
        </w:tc>
        <w:tc>
          <w:tcPr>
            <w:tcW w:w="1323" w:type="dxa"/>
            <w:tcBorders>
              <w:bottom w:val="single" w:sz="4" w:space="0" w:color="auto"/>
            </w:tcBorders>
            <w:shd w:val="clear" w:color="auto" w:fill="auto"/>
            <w:vAlign w:val="center"/>
          </w:tcPr>
          <w:p w14:paraId="2C2A87C8" w14:textId="77777777" w:rsidR="00187713" w:rsidRPr="004F3582" w:rsidRDefault="00187713" w:rsidP="0000712C">
            <w:pPr>
              <w:pStyle w:val="EMEABodyText"/>
              <w:keepNext/>
              <w:jc w:val="center"/>
              <w:rPr>
                <w:b/>
              </w:rPr>
            </w:pPr>
            <w:r>
              <w:rPr>
                <w:b/>
              </w:rPr>
              <w:t>Week 96</w:t>
            </w:r>
          </w:p>
        </w:tc>
      </w:tr>
      <w:tr w:rsidR="00187713" w:rsidRPr="00965E20" w14:paraId="7BA0D1E4" w14:textId="77777777" w:rsidTr="0000712C">
        <w:tc>
          <w:tcPr>
            <w:tcW w:w="9396" w:type="dxa"/>
            <w:gridSpan w:val="8"/>
            <w:tcBorders>
              <w:bottom w:val="single" w:sz="4" w:space="0" w:color="auto"/>
            </w:tcBorders>
            <w:shd w:val="clear" w:color="auto" w:fill="auto"/>
          </w:tcPr>
          <w:p w14:paraId="1F903DD5" w14:textId="77777777" w:rsidR="00187713" w:rsidRPr="00D31EBB" w:rsidRDefault="00187713" w:rsidP="0000712C">
            <w:pPr>
              <w:pStyle w:val="EMEABodyText"/>
              <w:keepNext/>
              <w:rPr>
                <w:b/>
                <w:u w:val="single"/>
              </w:rPr>
            </w:pPr>
            <w:r>
              <w:rPr>
                <w:b/>
              </w:rPr>
              <w:t>HIV RNA Mean Change from Baseline, log</w:t>
            </w:r>
            <w:r>
              <w:rPr>
                <w:b/>
                <w:vertAlign w:val="subscript"/>
              </w:rPr>
              <w:t>10</w:t>
            </w:r>
            <w:r>
              <w:rPr>
                <w:b/>
              </w:rPr>
              <w:t xml:space="preserve"> copies/ml</w:t>
            </w:r>
          </w:p>
        </w:tc>
      </w:tr>
      <w:tr w:rsidR="00187713" w:rsidRPr="004F3582" w14:paraId="144F5785" w14:textId="77777777" w:rsidTr="0000712C">
        <w:tc>
          <w:tcPr>
            <w:tcW w:w="1458" w:type="dxa"/>
            <w:gridSpan w:val="2"/>
            <w:tcBorders>
              <w:top w:val="single" w:sz="4" w:space="0" w:color="auto"/>
              <w:bottom w:val="single" w:sz="4" w:space="0" w:color="auto"/>
            </w:tcBorders>
            <w:shd w:val="clear" w:color="auto" w:fill="auto"/>
            <w:vAlign w:val="center"/>
          </w:tcPr>
          <w:p w14:paraId="63A11CE6" w14:textId="77777777" w:rsidR="00187713" w:rsidRPr="004F3582" w:rsidRDefault="00187713" w:rsidP="0000712C">
            <w:pPr>
              <w:pStyle w:val="EMEABodyText"/>
              <w:keepNext/>
            </w:pPr>
            <w:r>
              <w:t>All patients</w:t>
            </w:r>
          </w:p>
        </w:tc>
        <w:tc>
          <w:tcPr>
            <w:tcW w:w="1323" w:type="dxa"/>
            <w:tcBorders>
              <w:top w:val="single" w:sz="4" w:space="0" w:color="auto"/>
              <w:bottom w:val="single" w:sz="4" w:space="0" w:color="auto"/>
            </w:tcBorders>
            <w:shd w:val="clear" w:color="auto" w:fill="auto"/>
            <w:vAlign w:val="center"/>
          </w:tcPr>
          <w:p w14:paraId="36DE942C" w14:textId="77777777" w:rsidR="00187713" w:rsidRPr="004F3582" w:rsidRDefault="00187713" w:rsidP="0000712C">
            <w:pPr>
              <w:pStyle w:val="EMEABodyText"/>
              <w:keepNext/>
              <w:jc w:val="center"/>
            </w:pPr>
            <w:r>
              <w:t>-1.93</w:t>
            </w:r>
          </w:p>
          <w:p w14:paraId="13E7360D" w14:textId="77777777" w:rsidR="00187713" w:rsidRPr="004F3582" w:rsidRDefault="00187713" w:rsidP="0000712C">
            <w:pPr>
              <w:pStyle w:val="EMEABodyText"/>
              <w:keepNext/>
              <w:jc w:val="center"/>
            </w:pPr>
            <w:r>
              <w:t>(n=90</w:t>
            </w:r>
            <w:r>
              <w:rPr>
                <w:vertAlign w:val="superscript"/>
              </w:rPr>
              <w:t xml:space="preserve"> e</w:t>
            </w:r>
            <w:r>
              <w:t>)</w:t>
            </w:r>
          </w:p>
        </w:tc>
        <w:tc>
          <w:tcPr>
            <w:tcW w:w="1323" w:type="dxa"/>
            <w:tcBorders>
              <w:top w:val="single" w:sz="4" w:space="0" w:color="auto"/>
              <w:bottom w:val="single" w:sz="4" w:space="0" w:color="auto"/>
            </w:tcBorders>
            <w:shd w:val="clear" w:color="auto" w:fill="auto"/>
            <w:vAlign w:val="center"/>
          </w:tcPr>
          <w:p w14:paraId="281150F0" w14:textId="77777777" w:rsidR="00187713" w:rsidRPr="004F3582" w:rsidRDefault="00187713" w:rsidP="0000712C">
            <w:pPr>
              <w:pStyle w:val="EMEABodyText"/>
              <w:keepNext/>
              <w:jc w:val="center"/>
            </w:pPr>
            <w:r>
              <w:t>-2.29 (n=64)</w:t>
            </w:r>
          </w:p>
        </w:tc>
        <w:tc>
          <w:tcPr>
            <w:tcW w:w="1323" w:type="dxa"/>
            <w:tcBorders>
              <w:top w:val="single" w:sz="4" w:space="0" w:color="auto"/>
              <w:bottom w:val="single" w:sz="4" w:space="0" w:color="auto"/>
            </w:tcBorders>
            <w:shd w:val="clear" w:color="auto" w:fill="auto"/>
            <w:vAlign w:val="center"/>
          </w:tcPr>
          <w:p w14:paraId="3B5AD437" w14:textId="77777777" w:rsidR="00187713" w:rsidRPr="004F3582" w:rsidRDefault="00187713" w:rsidP="0000712C">
            <w:pPr>
              <w:pStyle w:val="EMEABodyText"/>
              <w:keepNext/>
              <w:jc w:val="center"/>
            </w:pPr>
            <w:r>
              <w:t>-1.87 (n=99)</w:t>
            </w:r>
          </w:p>
        </w:tc>
        <w:tc>
          <w:tcPr>
            <w:tcW w:w="1323" w:type="dxa"/>
            <w:tcBorders>
              <w:top w:val="single" w:sz="4" w:space="0" w:color="auto"/>
              <w:bottom w:val="single" w:sz="4" w:space="0" w:color="auto"/>
            </w:tcBorders>
            <w:shd w:val="clear" w:color="auto" w:fill="auto"/>
            <w:vAlign w:val="center"/>
          </w:tcPr>
          <w:p w14:paraId="268C1155" w14:textId="77777777" w:rsidR="00187713" w:rsidRPr="004F3582" w:rsidRDefault="00187713" w:rsidP="0000712C">
            <w:pPr>
              <w:pStyle w:val="EMEABodyText"/>
              <w:keepNext/>
              <w:jc w:val="center"/>
            </w:pPr>
            <w:r>
              <w:t>-2.08 (n=65)</w:t>
            </w:r>
          </w:p>
        </w:tc>
        <w:tc>
          <w:tcPr>
            <w:tcW w:w="1323" w:type="dxa"/>
            <w:tcBorders>
              <w:top w:val="single" w:sz="4" w:space="0" w:color="auto"/>
              <w:bottom w:val="single" w:sz="4" w:space="0" w:color="auto"/>
            </w:tcBorders>
            <w:shd w:val="clear" w:color="auto" w:fill="auto"/>
            <w:vAlign w:val="center"/>
          </w:tcPr>
          <w:p w14:paraId="6681AB11" w14:textId="77777777" w:rsidR="00187713" w:rsidRPr="004F3582" w:rsidRDefault="00187713" w:rsidP="0000712C">
            <w:pPr>
              <w:pStyle w:val="EMEABodyText"/>
              <w:keepNext/>
              <w:jc w:val="center"/>
            </w:pPr>
            <w:r>
              <w:t>0.13</w:t>
            </w:r>
          </w:p>
          <w:p w14:paraId="178C8611" w14:textId="77777777" w:rsidR="00187713" w:rsidRPr="004F3582" w:rsidRDefault="00187713" w:rsidP="0000712C">
            <w:pPr>
              <w:pStyle w:val="EMEABodyText"/>
              <w:keepNext/>
              <w:jc w:val="center"/>
            </w:pPr>
            <w:r>
              <w:t>[-0.12, 0.39]</w:t>
            </w:r>
          </w:p>
        </w:tc>
        <w:tc>
          <w:tcPr>
            <w:tcW w:w="1323" w:type="dxa"/>
            <w:tcBorders>
              <w:top w:val="single" w:sz="4" w:space="0" w:color="auto"/>
              <w:bottom w:val="single" w:sz="4" w:space="0" w:color="auto"/>
            </w:tcBorders>
            <w:shd w:val="clear" w:color="auto" w:fill="auto"/>
            <w:vAlign w:val="center"/>
          </w:tcPr>
          <w:p w14:paraId="04FFFA51" w14:textId="77777777" w:rsidR="00187713" w:rsidRPr="004F3582" w:rsidRDefault="00187713" w:rsidP="0000712C">
            <w:pPr>
              <w:pStyle w:val="EMEABodyText"/>
              <w:keepNext/>
              <w:jc w:val="center"/>
            </w:pPr>
            <w:r>
              <w:t>0.14</w:t>
            </w:r>
          </w:p>
          <w:p w14:paraId="6B32BB7B" w14:textId="77777777" w:rsidR="00187713" w:rsidRPr="004F3582" w:rsidRDefault="00187713" w:rsidP="0000712C">
            <w:pPr>
              <w:pStyle w:val="EMEABodyText"/>
              <w:keepNext/>
              <w:jc w:val="center"/>
            </w:pPr>
            <w:r>
              <w:t>[-0.13, 0.41]</w:t>
            </w:r>
          </w:p>
        </w:tc>
      </w:tr>
      <w:tr w:rsidR="00187713" w:rsidRPr="00324E2C" w14:paraId="3E777224" w14:textId="77777777" w:rsidTr="0000712C">
        <w:tc>
          <w:tcPr>
            <w:tcW w:w="9396" w:type="dxa"/>
            <w:gridSpan w:val="8"/>
            <w:tcBorders>
              <w:top w:val="single" w:sz="12" w:space="0" w:color="auto"/>
              <w:bottom w:val="single" w:sz="4" w:space="0" w:color="auto"/>
            </w:tcBorders>
            <w:shd w:val="clear" w:color="auto" w:fill="auto"/>
          </w:tcPr>
          <w:p w14:paraId="42DD4A48" w14:textId="77777777" w:rsidR="00187713" w:rsidRPr="0096648A" w:rsidRDefault="00187713" w:rsidP="0000712C">
            <w:pPr>
              <w:pStyle w:val="EMEABodyText"/>
              <w:keepNext/>
            </w:pPr>
            <w:r>
              <w:rPr>
                <w:b/>
              </w:rPr>
              <w:t>HIV RNA &lt;50 copies/ml, %</w:t>
            </w:r>
            <w:r>
              <w:rPr>
                <w:b/>
                <w:vertAlign w:val="superscript"/>
              </w:rPr>
              <w:t xml:space="preserve">f </w:t>
            </w:r>
            <w:r>
              <w:rPr>
                <w:b/>
              </w:rPr>
              <w:t>(responder/evaluable)</w:t>
            </w:r>
          </w:p>
        </w:tc>
      </w:tr>
      <w:tr w:rsidR="00187713" w:rsidRPr="004F3582" w14:paraId="58D5A109" w14:textId="77777777" w:rsidTr="0000712C">
        <w:tc>
          <w:tcPr>
            <w:tcW w:w="1458" w:type="dxa"/>
            <w:gridSpan w:val="2"/>
            <w:tcBorders>
              <w:top w:val="single" w:sz="4" w:space="0" w:color="auto"/>
            </w:tcBorders>
            <w:shd w:val="clear" w:color="auto" w:fill="auto"/>
          </w:tcPr>
          <w:p w14:paraId="07629B95" w14:textId="77777777" w:rsidR="00187713" w:rsidRPr="004F3582" w:rsidRDefault="00187713" w:rsidP="0000712C">
            <w:pPr>
              <w:pStyle w:val="EMEABodyText"/>
              <w:keepNext/>
            </w:pPr>
            <w:r>
              <w:t>All patients</w:t>
            </w:r>
          </w:p>
        </w:tc>
        <w:tc>
          <w:tcPr>
            <w:tcW w:w="1323" w:type="dxa"/>
            <w:tcBorders>
              <w:top w:val="single" w:sz="4" w:space="0" w:color="auto"/>
            </w:tcBorders>
            <w:shd w:val="clear" w:color="auto" w:fill="auto"/>
            <w:vAlign w:val="center"/>
          </w:tcPr>
          <w:p w14:paraId="6CF7680F" w14:textId="77777777" w:rsidR="00187713" w:rsidRPr="004F3582" w:rsidRDefault="00187713" w:rsidP="0000712C">
            <w:pPr>
              <w:pStyle w:val="EMEABodyText"/>
              <w:keepNext/>
              <w:jc w:val="center"/>
            </w:pPr>
            <w:r>
              <w:t>36 (43/120)</w:t>
            </w:r>
          </w:p>
        </w:tc>
        <w:tc>
          <w:tcPr>
            <w:tcW w:w="1323" w:type="dxa"/>
            <w:tcBorders>
              <w:top w:val="single" w:sz="4" w:space="0" w:color="auto"/>
            </w:tcBorders>
            <w:shd w:val="clear" w:color="auto" w:fill="auto"/>
            <w:vAlign w:val="center"/>
          </w:tcPr>
          <w:p w14:paraId="6A600BD8" w14:textId="77777777" w:rsidR="00187713" w:rsidRPr="004F3582" w:rsidRDefault="00187713" w:rsidP="0000712C">
            <w:pPr>
              <w:pStyle w:val="EMEABodyText"/>
              <w:keepNext/>
              <w:jc w:val="center"/>
            </w:pPr>
            <w:r>
              <w:t>32 (38/120)</w:t>
            </w:r>
          </w:p>
        </w:tc>
        <w:tc>
          <w:tcPr>
            <w:tcW w:w="1323" w:type="dxa"/>
            <w:tcBorders>
              <w:top w:val="single" w:sz="4" w:space="0" w:color="auto"/>
            </w:tcBorders>
            <w:shd w:val="clear" w:color="auto" w:fill="auto"/>
            <w:vAlign w:val="center"/>
          </w:tcPr>
          <w:p w14:paraId="01B35C2D" w14:textId="77777777" w:rsidR="00187713" w:rsidRPr="004F3582" w:rsidRDefault="00187713" w:rsidP="0000712C">
            <w:pPr>
              <w:pStyle w:val="EMEABodyText"/>
              <w:keepNext/>
              <w:jc w:val="center"/>
            </w:pPr>
            <w:r>
              <w:t>42 (52/123)</w:t>
            </w:r>
          </w:p>
        </w:tc>
        <w:tc>
          <w:tcPr>
            <w:tcW w:w="1323" w:type="dxa"/>
            <w:tcBorders>
              <w:top w:val="single" w:sz="4" w:space="0" w:color="auto"/>
            </w:tcBorders>
            <w:shd w:val="clear" w:color="auto" w:fill="auto"/>
            <w:vAlign w:val="center"/>
          </w:tcPr>
          <w:p w14:paraId="58E3E3BE" w14:textId="77777777" w:rsidR="00187713" w:rsidRPr="004F3582" w:rsidRDefault="00187713" w:rsidP="0000712C">
            <w:pPr>
              <w:pStyle w:val="EMEABodyText"/>
              <w:keepNext/>
              <w:jc w:val="center"/>
            </w:pPr>
            <w:r>
              <w:t>35 (41/118)</w:t>
            </w:r>
          </w:p>
        </w:tc>
        <w:tc>
          <w:tcPr>
            <w:tcW w:w="1323" w:type="dxa"/>
            <w:tcBorders>
              <w:top w:val="single" w:sz="4" w:space="0" w:color="auto"/>
            </w:tcBorders>
            <w:shd w:val="clear" w:color="auto" w:fill="auto"/>
            <w:vAlign w:val="center"/>
          </w:tcPr>
          <w:p w14:paraId="39A4CF1C" w14:textId="77777777" w:rsidR="00187713" w:rsidRPr="004F3582" w:rsidRDefault="00187713" w:rsidP="0000712C">
            <w:pPr>
              <w:pStyle w:val="EMEABodyText"/>
              <w:keepNext/>
              <w:jc w:val="center"/>
            </w:pPr>
            <w:r>
              <w:t>NA</w:t>
            </w:r>
          </w:p>
        </w:tc>
        <w:tc>
          <w:tcPr>
            <w:tcW w:w="1323" w:type="dxa"/>
            <w:tcBorders>
              <w:top w:val="single" w:sz="4" w:space="0" w:color="auto"/>
            </w:tcBorders>
            <w:shd w:val="clear" w:color="auto" w:fill="auto"/>
            <w:vAlign w:val="center"/>
          </w:tcPr>
          <w:p w14:paraId="02AA42E9" w14:textId="77777777" w:rsidR="00187713" w:rsidRPr="004F3582" w:rsidRDefault="00187713" w:rsidP="0000712C">
            <w:pPr>
              <w:pStyle w:val="EMEABodyText"/>
              <w:keepNext/>
              <w:jc w:val="center"/>
            </w:pPr>
            <w:r>
              <w:t>NA</w:t>
            </w:r>
          </w:p>
        </w:tc>
      </w:tr>
      <w:tr w:rsidR="00187713" w:rsidRPr="00965E20" w14:paraId="23B43035" w14:textId="77777777" w:rsidTr="0000712C">
        <w:trPr>
          <w:trHeight w:val="112"/>
        </w:trPr>
        <w:tc>
          <w:tcPr>
            <w:tcW w:w="9396" w:type="dxa"/>
            <w:gridSpan w:val="8"/>
            <w:tcBorders>
              <w:top w:val="single" w:sz="12" w:space="0" w:color="auto"/>
              <w:bottom w:val="single" w:sz="4" w:space="0" w:color="auto"/>
            </w:tcBorders>
            <w:vAlign w:val="bottom"/>
          </w:tcPr>
          <w:p w14:paraId="168FBF8D" w14:textId="77777777" w:rsidR="00187713" w:rsidRPr="00D31EBB" w:rsidRDefault="00187713" w:rsidP="0000712C">
            <w:pPr>
              <w:pStyle w:val="EMEABodyText"/>
              <w:keepNext/>
              <w:rPr>
                <w:b/>
              </w:rPr>
            </w:pPr>
            <w:r>
              <w:rPr>
                <w:b/>
              </w:rPr>
              <w:t>HIV RNA &lt;50 copies/ml by select baseline PI substitutions,</w:t>
            </w:r>
            <w:r>
              <w:rPr>
                <w:b/>
                <w:vertAlign w:val="superscript"/>
              </w:rPr>
              <w:t>f, g</w:t>
            </w:r>
            <w:r>
              <w:rPr>
                <w:b/>
              </w:rPr>
              <w:t xml:space="preserve"> % (responder/evaluable)</w:t>
            </w:r>
          </w:p>
        </w:tc>
      </w:tr>
      <w:tr w:rsidR="00187713" w:rsidRPr="004F3582" w14:paraId="2244EF8A" w14:textId="77777777" w:rsidTr="0000712C">
        <w:tc>
          <w:tcPr>
            <w:tcW w:w="245" w:type="dxa"/>
            <w:tcBorders>
              <w:right w:val="nil"/>
            </w:tcBorders>
            <w:shd w:val="clear" w:color="auto" w:fill="auto"/>
          </w:tcPr>
          <w:p w14:paraId="52AA2CA2" w14:textId="77777777" w:rsidR="00187713" w:rsidRPr="00D31EBB" w:rsidRDefault="00187713" w:rsidP="0000712C">
            <w:pPr>
              <w:pStyle w:val="EMEABodyText"/>
              <w:keepNext/>
              <w:rPr>
                <w:lang w:val="en-US"/>
              </w:rPr>
            </w:pPr>
          </w:p>
        </w:tc>
        <w:tc>
          <w:tcPr>
            <w:tcW w:w="1213" w:type="dxa"/>
            <w:tcBorders>
              <w:left w:val="nil"/>
            </w:tcBorders>
            <w:shd w:val="clear" w:color="auto" w:fill="auto"/>
          </w:tcPr>
          <w:p w14:paraId="657F1259" w14:textId="77777777" w:rsidR="00187713" w:rsidRPr="004F3582" w:rsidRDefault="00187713" w:rsidP="0000712C">
            <w:pPr>
              <w:pStyle w:val="EMEABodyText"/>
              <w:keepNext/>
            </w:pPr>
            <w:r>
              <w:t>0-2</w:t>
            </w:r>
          </w:p>
        </w:tc>
        <w:tc>
          <w:tcPr>
            <w:tcW w:w="1323" w:type="dxa"/>
            <w:shd w:val="clear" w:color="auto" w:fill="auto"/>
            <w:vAlign w:val="bottom"/>
          </w:tcPr>
          <w:p w14:paraId="56EFD5D2" w14:textId="77777777" w:rsidR="00187713" w:rsidRPr="004F3582" w:rsidRDefault="00187713" w:rsidP="0000712C">
            <w:pPr>
              <w:pStyle w:val="EMEABodyText"/>
              <w:keepNext/>
              <w:jc w:val="center"/>
            </w:pPr>
            <w:r>
              <w:t>44 (28/63)</w:t>
            </w:r>
          </w:p>
        </w:tc>
        <w:tc>
          <w:tcPr>
            <w:tcW w:w="1323" w:type="dxa"/>
            <w:shd w:val="clear" w:color="auto" w:fill="auto"/>
            <w:vAlign w:val="bottom"/>
          </w:tcPr>
          <w:p w14:paraId="49EAABEF" w14:textId="77777777" w:rsidR="00187713" w:rsidRPr="004F3582" w:rsidRDefault="00187713" w:rsidP="0000712C">
            <w:pPr>
              <w:pStyle w:val="EMEABodyText"/>
              <w:keepNext/>
              <w:jc w:val="center"/>
            </w:pPr>
            <w:r>
              <w:t>41 (26/63)</w:t>
            </w:r>
          </w:p>
        </w:tc>
        <w:tc>
          <w:tcPr>
            <w:tcW w:w="1323" w:type="dxa"/>
            <w:shd w:val="clear" w:color="auto" w:fill="auto"/>
            <w:vAlign w:val="bottom"/>
          </w:tcPr>
          <w:p w14:paraId="4AD2D713" w14:textId="77777777" w:rsidR="00187713" w:rsidRPr="004F3582" w:rsidRDefault="00187713" w:rsidP="0000712C">
            <w:pPr>
              <w:pStyle w:val="EMEABodyText"/>
              <w:keepNext/>
              <w:jc w:val="center"/>
            </w:pPr>
            <w:r>
              <w:t>56 (32/57)</w:t>
            </w:r>
          </w:p>
        </w:tc>
        <w:tc>
          <w:tcPr>
            <w:tcW w:w="1323" w:type="dxa"/>
            <w:shd w:val="clear" w:color="auto" w:fill="auto"/>
            <w:vAlign w:val="bottom"/>
          </w:tcPr>
          <w:p w14:paraId="1591D949" w14:textId="77777777" w:rsidR="00187713" w:rsidRPr="004F3582" w:rsidRDefault="00187713" w:rsidP="0000712C">
            <w:pPr>
              <w:pStyle w:val="EMEABodyText"/>
              <w:keepNext/>
              <w:jc w:val="center"/>
            </w:pPr>
            <w:r>
              <w:t>48 (26/54)</w:t>
            </w:r>
          </w:p>
        </w:tc>
        <w:tc>
          <w:tcPr>
            <w:tcW w:w="1323" w:type="dxa"/>
            <w:shd w:val="clear" w:color="auto" w:fill="auto"/>
            <w:vAlign w:val="bottom"/>
          </w:tcPr>
          <w:p w14:paraId="17496FC8" w14:textId="77777777" w:rsidR="00187713" w:rsidRPr="004F3582" w:rsidRDefault="00187713" w:rsidP="0000712C">
            <w:pPr>
              <w:pStyle w:val="EMEABodyText"/>
              <w:keepNext/>
              <w:jc w:val="center"/>
            </w:pPr>
            <w:r>
              <w:t>NA</w:t>
            </w:r>
          </w:p>
        </w:tc>
        <w:tc>
          <w:tcPr>
            <w:tcW w:w="1323" w:type="dxa"/>
            <w:shd w:val="clear" w:color="auto" w:fill="auto"/>
            <w:vAlign w:val="bottom"/>
          </w:tcPr>
          <w:p w14:paraId="77521036" w14:textId="77777777" w:rsidR="00187713" w:rsidRPr="004F3582" w:rsidRDefault="00187713" w:rsidP="0000712C">
            <w:pPr>
              <w:pStyle w:val="EMEABodyText"/>
              <w:keepNext/>
              <w:jc w:val="center"/>
            </w:pPr>
            <w:r>
              <w:t>NA</w:t>
            </w:r>
          </w:p>
        </w:tc>
      </w:tr>
      <w:tr w:rsidR="00187713" w:rsidRPr="004F3582" w14:paraId="071746C8" w14:textId="77777777" w:rsidTr="0000712C">
        <w:tc>
          <w:tcPr>
            <w:tcW w:w="245" w:type="dxa"/>
            <w:tcBorders>
              <w:right w:val="nil"/>
            </w:tcBorders>
            <w:shd w:val="clear" w:color="auto" w:fill="auto"/>
          </w:tcPr>
          <w:p w14:paraId="49A647CA" w14:textId="77777777" w:rsidR="00187713" w:rsidRPr="004F3582" w:rsidRDefault="00187713" w:rsidP="0000712C">
            <w:pPr>
              <w:pStyle w:val="EMEABodyText"/>
              <w:keepNext/>
            </w:pPr>
          </w:p>
        </w:tc>
        <w:tc>
          <w:tcPr>
            <w:tcW w:w="1213" w:type="dxa"/>
            <w:tcBorders>
              <w:left w:val="nil"/>
            </w:tcBorders>
            <w:shd w:val="clear" w:color="auto" w:fill="auto"/>
          </w:tcPr>
          <w:p w14:paraId="0B1CF53D" w14:textId="77777777" w:rsidR="00187713" w:rsidRPr="004F3582" w:rsidRDefault="00187713" w:rsidP="0000712C">
            <w:pPr>
              <w:pStyle w:val="EMEABodyText"/>
              <w:keepNext/>
            </w:pPr>
            <w:r>
              <w:t>3</w:t>
            </w:r>
          </w:p>
        </w:tc>
        <w:tc>
          <w:tcPr>
            <w:tcW w:w="1323" w:type="dxa"/>
            <w:shd w:val="clear" w:color="auto" w:fill="auto"/>
            <w:vAlign w:val="bottom"/>
          </w:tcPr>
          <w:p w14:paraId="70F8EB5E" w14:textId="77777777" w:rsidR="00187713" w:rsidRPr="004F3582" w:rsidRDefault="00187713" w:rsidP="0000712C">
            <w:pPr>
              <w:pStyle w:val="EMEABodyText"/>
              <w:keepNext/>
              <w:jc w:val="center"/>
            </w:pPr>
            <w:r>
              <w:t>18 (2/11)</w:t>
            </w:r>
          </w:p>
        </w:tc>
        <w:tc>
          <w:tcPr>
            <w:tcW w:w="1323" w:type="dxa"/>
            <w:shd w:val="clear" w:color="auto" w:fill="auto"/>
            <w:vAlign w:val="bottom"/>
          </w:tcPr>
          <w:p w14:paraId="186A568F" w14:textId="77777777" w:rsidR="00187713" w:rsidRPr="004F3582" w:rsidRDefault="00187713" w:rsidP="0000712C">
            <w:pPr>
              <w:pStyle w:val="EMEABodyText"/>
              <w:keepNext/>
              <w:jc w:val="center"/>
            </w:pPr>
            <w:r>
              <w:t>9 (1/11)</w:t>
            </w:r>
          </w:p>
        </w:tc>
        <w:tc>
          <w:tcPr>
            <w:tcW w:w="1323" w:type="dxa"/>
            <w:shd w:val="clear" w:color="auto" w:fill="auto"/>
            <w:vAlign w:val="bottom"/>
          </w:tcPr>
          <w:p w14:paraId="42876485" w14:textId="77777777" w:rsidR="00187713" w:rsidRPr="004F3582" w:rsidRDefault="00187713" w:rsidP="0000712C">
            <w:pPr>
              <w:pStyle w:val="EMEABodyText"/>
              <w:keepNext/>
              <w:jc w:val="center"/>
            </w:pPr>
            <w:r>
              <w:t>38 (6/16)</w:t>
            </w:r>
          </w:p>
        </w:tc>
        <w:tc>
          <w:tcPr>
            <w:tcW w:w="1323" w:type="dxa"/>
            <w:shd w:val="clear" w:color="auto" w:fill="auto"/>
            <w:vAlign w:val="bottom"/>
          </w:tcPr>
          <w:p w14:paraId="5F282179" w14:textId="77777777" w:rsidR="00187713" w:rsidRPr="004F3582" w:rsidRDefault="00187713" w:rsidP="0000712C">
            <w:pPr>
              <w:pStyle w:val="EMEABodyText"/>
              <w:keepNext/>
              <w:jc w:val="center"/>
            </w:pPr>
            <w:r>
              <w:t>33 (5/15)</w:t>
            </w:r>
          </w:p>
        </w:tc>
        <w:tc>
          <w:tcPr>
            <w:tcW w:w="1323" w:type="dxa"/>
            <w:shd w:val="clear" w:color="auto" w:fill="auto"/>
            <w:vAlign w:val="bottom"/>
          </w:tcPr>
          <w:p w14:paraId="21991306" w14:textId="77777777" w:rsidR="00187713" w:rsidRPr="004F3582" w:rsidRDefault="00187713" w:rsidP="0000712C">
            <w:pPr>
              <w:pStyle w:val="EMEABodyText"/>
              <w:keepNext/>
              <w:jc w:val="center"/>
            </w:pPr>
            <w:r>
              <w:t>NA</w:t>
            </w:r>
          </w:p>
        </w:tc>
        <w:tc>
          <w:tcPr>
            <w:tcW w:w="1323" w:type="dxa"/>
            <w:shd w:val="clear" w:color="auto" w:fill="auto"/>
            <w:vAlign w:val="bottom"/>
          </w:tcPr>
          <w:p w14:paraId="087B8E85" w14:textId="77777777" w:rsidR="00187713" w:rsidRPr="004F3582" w:rsidRDefault="00187713" w:rsidP="0000712C">
            <w:pPr>
              <w:pStyle w:val="EMEABodyText"/>
              <w:keepNext/>
              <w:jc w:val="center"/>
            </w:pPr>
            <w:r>
              <w:t>NA</w:t>
            </w:r>
          </w:p>
        </w:tc>
      </w:tr>
      <w:tr w:rsidR="00187713" w:rsidRPr="004F3582" w14:paraId="65B8522D" w14:textId="77777777" w:rsidTr="0000712C">
        <w:tc>
          <w:tcPr>
            <w:tcW w:w="245" w:type="dxa"/>
            <w:tcBorders>
              <w:right w:val="nil"/>
            </w:tcBorders>
            <w:shd w:val="clear" w:color="auto" w:fill="auto"/>
          </w:tcPr>
          <w:p w14:paraId="23031E8E" w14:textId="77777777" w:rsidR="00187713" w:rsidRPr="004F3582" w:rsidRDefault="00187713" w:rsidP="0000712C">
            <w:pPr>
              <w:pStyle w:val="EMEABodyText"/>
              <w:keepNext/>
            </w:pPr>
          </w:p>
        </w:tc>
        <w:tc>
          <w:tcPr>
            <w:tcW w:w="1213" w:type="dxa"/>
            <w:tcBorders>
              <w:left w:val="nil"/>
            </w:tcBorders>
            <w:shd w:val="clear" w:color="auto" w:fill="auto"/>
          </w:tcPr>
          <w:p w14:paraId="49B7F465" w14:textId="77777777" w:rsidR="00187713" w:rsidRPr="004F3582" w:rsidRDefault="00187713" w:rsidP="0000712C">
            <w:pPr>
              <w:pStyle w:val="EMEABodyText"/>
              <w:keepNext/>
            </w:pPr>
            <w:r>
              <w:t>≥ 4</w:t>
            </w:r>
          </w:p>
        </w:tc>
        <w:tc>
          <w:tcPr>
            <w:tcW w:w="1323" w:type="dxa"/>
            <w:shd w:val="clear" w:color="auto" w:fill="auto"/>
            <w:vAlign w:val="bottom"/>
          </w:tcPr>
          <w:p w14:paraId="3127931F" w14:textId="77777777" w:rsidR="00187713" w:rsidRPr="004F3582" w:rsidRDefault="00187713" w:rsidP="0000712C">
            <w:pPr>
              <w:pStyle w:val="EMEABodyText"/>
              <w:keepNext/>
              <w:jc w:val="center"/>
            </w:pPr>
            <w:r>
              <w:t>27 (12/45)</w:t>
            </w:r>
          </w:p>
        </w:tc>
        <w:tc>
          <w:tcPr>
            <w:tcW w:w="1323" w:type="dxa"/>
            <w:shd w:val="clear" w:color="auto" w:fill="auto"/>
            <w:vAlign w:val="center"/>
          </w:tcPr>
          <w:p w14:paraId="5643CA3A" w14:textId="77777777" w:rsidR="00187713" w:rsidRPr="004F3582" w:rsidRDefault="00187713" w:rsidP="0000712C">
            <w:pPr>
              <w:pStyle w:val="EMEABodyText"/>
              <w:keepNext/>
              <w:jc w:val="center"/>
            </w:pPr>
            <w:r>
              <w:t>24 (11/45)</w:t>
            </w:r>
          </w:p>
        </w:tc>
        <w:tc>
          <w:tcPr>
            <w:tcW w:w="1323" w:type="dxa"/>
            <w:shd w:val="clear" w:color="auto" w:fill="auto"/>
            <w:vAlign w:val="bottom"/>
          </w:tcPr>
          <w:p w14:paraId="01B1F53B" w14:textId="77777777" w:rsidR="00187713" w:rsidRPr="004F3582" w:rsidRDefault="00187713" w:rsidP="0000712C">
            <w:pPr>
              <w:pStyle w:val="EMEABodyText"/>
              <w:keepNext/>
              <w:jc w:val="center"/>
            </w:pPr>
            <w:r>
              <w:t>28 (14/50)</w:t>
            </w:r>
          </w:p>
        </w:tc>
        <w:tc>
          <w:tcPr>
            <w:tcW w:w="1323" w:type="dxa"/>
            <w:shd w:val="clear" w:color="auto" w:fill="auto"/>
            <w:vAlign w:val="center"/>
          </w:tcPr>
          <w:p w14:paraId="231989F7" w14:textId="77777777" w:rsidR="00187713" w:rsidRPr="004F3582" w:rsidRDefault="00187713" w:rsidP="0000712C">
            <w:pPr>
              <w:pStyle w:val="EMEABodyText"/>
              <w:keepNext/>
              <w:jc w:val="center"/>
            </w:pPr>
            <w:r>
              <w:t>20 (10/49)</w:t>
            </w:r>
          </w:p>
        </w:tc>
        <w:tc>
          <w:tcPr>
            <w:tcW w:w="1323" w:type="dxa"/>
            <w:shd w:val="clear" w:color="auto" w:fill="auto"/>
            <w:vAlign w:val="center"/>
          </w:tcPr>
          <w:p w14:paraId="25CE7EAF" w14:textId="77777777" w:rsidR="00187713" w:rsidRPr="004F3582" w:rsidRDefault="00187713" w:rsidP="0000712C">
            <w:pPr>
              <w:pStyle w:val="EMEABodyText"/>
              <w:keepNext/>
              <w:jc w:val="center"/>
            </w:pPr>
            <w:r>
              <w:t>NA</w:t>
            </w:r>
          </w:p>
        </w:tc>
        <w:tc>
          <w:tcPr>
            <w:tcW w:w="1323" w:type="dxa"/>
            <w:shd w:val="clear" w:color="auto" w:fill="auto"/>
            <w:vAlign w:val="bottom"/>
          </w:tcPr>
          <w:p w14:paraId="7DDEC1A8" w14:textId="77777777" w:rsidR="00187713" w:rsidRPr="004F3582" w:rsidRDefault="00187713" w:rsidP="0000712C">
            <w:pPr>
              <w:pStyle w:val="EMEABodyText"/>
              <w:keepNext/>
              <w:jc w:val="center"/>
            </w:pPr>
            <w:r>
              <w:t>NA</w:t>
            </w:r>
          </w:p>
        </w:tc>
      </w:tr>
      <w:tr w:rsidR="00187713" w:rsidRPr="00965E20" w14:paraId="7A43DA43" w14:textId="77777777" w:rsidTr="0000712C">
        <w:tc>
          <w:tcPr>
            <w:tcW w:w="9396" w:type="dxa"/>
            <w:gridSpan w:val="8"/>
            <w:tcBorders>
              <w:top w:val="single" w:sz="12" w:space="0" w:color="auto"/>
              <w:bottom w:val="single" w:sz="4" w:space="0" w:color="auto"/>
            </w:tcBorders>
          </w:tcPr>
          <w:p w14:paraId="6B3563D5" w14:textId="77777777" w:rsidR="00187713" w:rsidRPr="00D31EBB" w:rsidRDefault="00187713" w:rsidP="0000712C">
            <w:pPr>
              <w:pStyle w:val="EMEABodyText"/>
              <w:keepNext/>
            </w:pPr>
            <w:r>
              <w:rPr>
                <w:b/>
              </w:rPr>
              <w:t>CD4 Mean Change from Baseline, cells/mm</w:t>
            </w:r>
            <w:r>
              <w:rPr>
                <w:b/>
                <w:vertAlign w:val="superscript"/>
              </w:rPr>
              <w:t>3</w:t>
            </w:r>
          </w:p>
        </w:tc>
      </w:tr>
      <w:tr w:rsidR="00187713" w:rsidRPr="004F3582" w14:paraId="558418BA" w14:textId="77777777" w:rsidTr="0000712C">
        <w:tc>
          <w:tcPr>
            <w:tcW w:w="1458" w:type="dxa"/>
            <w:gridSpan w:val="2"/>
            <w:tcBorders>
              <w:bottom w:val="single" w:sz="12" w:space="0" w:color="auto"/>
            </w:tcBorders>
            <w:shd w:val="clear" w:color="auto" w:fill="auto"/>
          </w:tcPr>
          <w:p w14:paraId="18192E29" w14:textId="77777777" w:rsidR="00187713" w:rsidRPr="004F3582" w:rsidRDefault="00187713" w:rsidP="0000712C">
            <w:pPr>
              <w:pStyle w:val="EMEABodyText"/>
              <w:keepNext/>
            </w:pPr>
            <w:r>
              <w:t>All patients</w:t>
            </w:r>
          </w:p>
        </w:tc>
        <w:tc>
          <w:tcPr>
            <w:tcW w:w="1323" w:type="dxa"/>
            <w:tcBorders>
              <w:bottom w:val="single" w:sz="12" w:space="0" w:color="auto"/>
            </w:tcBorders>
            <w:shd w:val="clear" w:color="auto" w:fill="auto"/>
            <w:vAlign w:val="center"/>
          </w:tcPr>
          <w:p w14:paraId="190C8B13" w14:textId="77777777" w:rsidR="00187713" w:rsidRPr="004F3582" w:rsidRDefault="00187713" w:rsidP="0000712C">
            <w:pPr>
              <w:pStyle w:val="EMEABodyText"/>
              <w:keepNext/>
              <w:jc w:val="center"/>
            </w:pPr>
            <w:r>
              <w:t>110 (n=83)</w:t>
            </w:r>
          </w:p>
        </w:tc>
        <w:tc>
          <w:tcPr>
            <w:tcW w:w="1323" w:type="dxa"/>
            <w:tcBorders>
              <w:bottom w:val="single" w:sz="12" w:space="0" w:color="auto"/>
            </w:tcBorders>
            <w:shd w:val="clear" w:color="auto" w:fill="auto"/>
            <w:vAlign w:val="center"/>
          </w:tcPr>
          <w:p w14:paraId="114029E1" w14:textId="77777777" w:rsidR="00187713" w:rsidRPr="004F3582" w:rsidRDefault="00187713" w:rsidP="0000712C">
            <w:pPr>
              <w:pStyle w:val="EMEABodyText"/>
              <w:keepNext/>
              <w:jc w:val="center"/>
            </w:pPr>
            <w:r>
              <w:t>122 (n=60)</w:t>
            </w:r>
          </w:p>
        </w:tc>
        <w:tc>
          <w:tcPr>
            <w:tcW w:w="1323" w:type="dxa"/>
            <w:tcBorders>
              <w:bottom w:val="single" w:sz="12" w:space="0" w:color="auto"/>
            </w:tcBorders>
            <w:shd w:val="clear" w:color="auto" w:fill="auto"/>
            <w:vAlign w:val="center"/>
          </w:tcPr>
          <w:p w14:paraId="65934546" w14:textId="77777777" w:rsidR="00187713" w:rsidRPr="004F3582" w:rsidRDefault="00187713" w:rsidP="0000712C">
            <w:pPr>
              <w:pStyle w:val="EMEABodyText"/>
              <w:keepNext/>
              <w:jc w:val="center"/>
            </w:pPr>
            <w:r>
              <w:t>121 (n=94)</w:t>
            </w:r>
          </w:p>
        </w:tc>
        <w:tc>
          <w:tcPr>
            <w:tcW w:w="1323" w:type="dxa"/>
            <w:tcBorders>
              <w:bottom w:val="single" w:sz="12" w:space="0" w:color="auto"/>
            </w:tcBorders>
            <w:shd w:val="clear" w:color="auto" w:fill="auto"/>
            <w:vAlign w:val="center"/>
          </w:tcPr>
          <w:p w14:paraId="5DD57288" w14:textId="77777777" w:rsidR="00187713" w:rsidRPr="004F3582" w:rsidRDefault="00187713" w:rsidP="0000712C">
            <w:pPr>
              <w:pStyle w:val="EMEABodyText"/>
              <w:keepNext/>
              <w:jc w:val="center"/>
            </w:pPr>
            <w:r>
              <w:t>154 (n=60)</w:t>
            </w:r>
          </w:p>
        </w:tc>
        <w:tc>
          <w:tcPr>
            <w:tcW w:w="1323" w:type="dxa"/>
            <w:tcBorders>
              <w:bottom w:val="single" w:sz="12" w:space="0" w:color="auto"/>
            </w:tcBorders>
            <w:shd w:val="clear" w:color="auto" w:fill="auto"/>
            <w:vAlign w:val="center"/>
          </w:tcPr>
          <w:p w14:paraId="6097BF05" w14:textId="77777777" w:rsidR="00187713" w:rsidRPr="004F3582" w:rsidRDefault="00187713" w:rsidP="0000712C">
            <w:pPr>
              <w:pStyle w:val="EMEABodyText"/>
              <w:keepNext/>
              <w:jc w:val="center"/>
            </w:pPr>
            <w:r>
              <w:t>NA</w:t>
            </w:r>
          </w:p>
        </w:tc>
        <w:tc>
          <w:tcPr>
            <w:tcW w:w="1323" w:type="dxa"/>
            <w:tcBorders>
              <w:bottom w:val="single" w:sz="12" w:space="0" w:color="auto"/>
            </w:tcBorders>
            <w:shd w:val="clear" w:color="auto" w:fill="auto"/>
            <w:vAlign w:val="center"/>
          </w:tcPr>
          <w:p w14:paraId="38880712" w14:textId="77777777" w:rsidR="00187713" w:rsidRPr="004F3582" w:rsidRDefault="00187713" w:rsidP="0000712C">
            <w:pPr>
              <w:pStyle w:val="EMEABodyText"/>
              <w:keepNext/>
              <w:jc w:val="center"/>
            </w:pPr>
            <w:r>
              <w:t>NA</w:t>
            </w:r>
          </w:p>
        </w:tc>
      </w:tr>
    </w:tbl>
    <w:p w14:paraId="47B57395" w14:textId="77777777" w:rsidR="00187713" w:rsidRPr="00D31EBB" w:rsidRDefault="00187713" w:rsidP="00187713">
      <w:pPr>
        <w:pStyle w:val="EMEABodyText"/>
        <w:keepNext/>
        <w:rPr>
          <w:b/>
          <w:sz w:val="18"/>
          <w:szCs w:val="18"/>
          <w:vertAlign w:val="superscript"/>
        </w:rPr>
      </w:pPr>
      <w:r>
        <w:rPr>
          <w:sz w:val="18"/>
          <w:szCs w:val="18"/>
          <w:vertAlign w:val="superscript"/>
        </w:rPr>
        <w:t>a</w:t>
      </w:r>
      <w:r>
        <w:rPr>
          <w:sz w:val="18"/>
          <w:szCs w:val="18"/>
        </w:rPr>
        <w:t xml:space="preserve"> The mean baseline CD4 cell count was 337 cells/mm</w:t>
      </w:r>
      <w:r>
        <w:rPr>
          <w:sz w:val="18"/>
          <w:szCs w:val="18"/>
          <w:vertAlign w:val="superscript"/>
        </w:rPr>
        <w:t>3</w:t>
      </w:r>
      <w:r>
        <w:rPr>
          <w:sz w:val="18"/>
          <w:szCs w:val="18"/>
        </w:rPr>
        <w:t xml:space="preserve"> (range: 14 to 1,543 cells/mm</w:t>
      </w:r>
      <w:r>
        <w:rPr>
          <w:sz w:val="18"/>
          <w:szCs w:val="18"/>
          <w:vertAlign w:val="superscript"/>
        </w:rPr>
        <w:t>3</w:t>
      </w:r>
      <w:r>
        <w:rPr>
          <w:sz w:val="18"/>
          <w:szCs w:val="18"/>
        </w:rPr>
        <w:t>) and the mean baseline plasma HIV-1 RNA level was 4.4 log</w:t>
      </w:r>
      <w:r>
        <w:rPr>
          <w:sz w:val="18"/>
          <w:szCs w:val="18"/>
          <w:vertAlign w:val="subscript"/>
        </w:rPr>
        <w:t>10</w:t>
      </w:r>
      <w:r>
        <w:rPr>
          <w:sz w:val="18"/>
          <w:szCs w:val="18"/>
        </w:rPr>
        <w:t> copies/ml (range: 2.6 to 5.88 log</w:t>
      </w:r>
      <w:r>
        <w:rPr>
          <w:sz w:val="18"/>
          <w:szCs w:val="18"/>
          <w:vertAlign w:val="subscript"/>
        </w:rPr>
        <w:t>10</w:t>
      </w:r>
      <w:r>
        <w:rPr>
          <w:sz w:val="18"/>
          <w:szCs w:val="18"/>
        </w:rPr>
        <w:t> copies/ml).</w:t>
      </w:r>
    </w:p>
    <w:p w14:paraId="171FF712" w14:textId="77777777" w:rsidR="00187713" w:rsidRPr="00D31EBB" w:rsidRDefault="00187713" w:rsidP="00187713">
      <w:pPr>
        <w:pStyle w:val="EMEABodyText"/>
        <w:keepNext/>
        <w:rPr>
          <w:sz w:val="18"/>
          <w:szCs w:val="18"/>
        </w:rPr>
      </w:pPr>
      <w:r>
        <w:rPr>
          <w:sz w:val="18"/>
          <w:szCs w:val="18"/>
          <w:vertAlign w:val="superscript"/>
        </w:rPr>
        <w:t>b</w:t>
      </w:r>
      <w:r>
        <w:rPr>
          <w:sz w:val="18"/>
          <w:szCs w:val="18"/>
        </w:rPr>
        <w:t xml:space="preserve"> ATV/RTV with tenofovir disoproxil fumarate/emtricitabine (fixed dose 300 mg/200 mg tablets once daily).</w:t>
      </w:r>
    </w:p>
    <w:p w14:paraId="40561C25" w14:textId="77777777" w:rsidR="00187713" w:rsidRPr="00D31EBB" w:rsidRDefault="00187713" w:rsidP="00187713">
      <w:pPr>
        <w:pStyle w:val="EMEABodyText"/>
        <w:keepNext/>
        <w:rPr>
          <w:sz w:val="18"/>
          <w:szCs w:val="18"/>
        </w:rPr>
      </w:pPr>
      <w:r>
        <w:rPr>
          <w:sz w:val="18"/>
          <w:szCs w:val="18"/>
          <w:vertAlign w:val="superscript"/>
        </w:rPr>
        <w:t>c</w:t>
      </w:r>
      <w:r>
        <w:rPr>
          <w:sz w:val="18"/>
          <w:szCs w:val="18"/>
        </w:rPr>
        <w:t xml:space="preserve"> LPV/RTV with tenofovir disoproxil fumarate/emtricitabine (fixed dose 300 mg/200 mg tablets once daily).</w:t>
      </w:r>
    </w:p>
    <w:p w14:paraId="42829088" w14:textId="77777777" w:rsidR="00187713" w:rsidRPr="00D31EBB" w:rsidRDefault="00187713" w:rsidP="00187713">
      <w:pPr>
        <w:pStyle w:val="EMEABodyText"/>
        <w:keepNext/>
        <w:rPr>
          <w:sz w:val="18"/>
          <w:szCs w:val="18"/>
        </w:rPr>
      </w:pPr>
      <w:r>
        <w:rPr>
          <w:sz w:val="18"/>
          <w:szCs w:val="18"/>
          <w:vertAlign w:val="superscript"/>
        </w:rPr>
        <w:t>d</w:t>
      </w:r>
      <w:r>
        <w:rPr>
          <w:sz w:val="18"/>
          <w:szCs w:val="18"/>
        </w:rPr>
        <w:t xml:space="preserve"> Confidence interval.</w:t>
      </w:r>
    </w:p>
    <w:p w14:paraId="25EF8A20" w14:textId="77777777" w:rsidR="00187713" w:rsidRPr="00D31EBB" w:rsidRDefault="00187713" w:rsidP="00187713">
      <w:pPr>
        <w:pStyle w:val="EMEABodyText"/>
        <w:keepNext/>
        <w:rPr>
          <w:sz w:val="18"/>
          <w:szCs w:val="18"/>
        </w:rPr>
      </w:pPr>
      <w:r>
        <w:rPr>
          <w:sz w:val="18"/>
          <w:szCs w:val="18"/>
          <w:vertAlign w:val="superscript"/>
        </w:rPr>
        <w:t>e</w:t>
      </w:r>
      <w:r>
        <w:rPr>
          <w:sz w:val="18"/>
          <w:szCs w:val="18"/>
        </w:rPr>
        <w:t xml:space="preserve"> Number of patients evaluable.</w:t>
      </w:r>
    </w:p>
    <w:p w14:paraId="7192A37F" w14:textId="77777777" w:rsidR="00187713" w:rsidRPr="00D31EBB" w:rsidRDefault="00187713" w:rsidP="00187713">
      <w:pPr>
        <w:pStyle w:val="EMEABodyText"/>
        <w:keepNext/>
        <w:rPr>
          <w:sz w:val="18"/>
          <w:szCs w:val="18"/>
        </w:rPr>
      </w:pPr>
      <w:r>
        <w:rPr>
          <w:sz w:val="18"/>
          <w:szCs w:val="18"/>
          <w:vertAlign w:val="superscript"/>
        </w:rPr>
        <w:t>f</w:t>
      </w:r>
      <w:r>
        <w:rPr>
          <w:sz w:val="18"/>
          <w:szCs w:val="18"/>
        </w:rPr>
        <w:t xml:space="preserve"> Intent-to-treat analysis, with missing values considered as failures. Responders on LPV/RTV who completed treatment before Week 96 are excluded from Week 96 analysis. The proportion of patients with HIV RNA &lt; 400 copies/ml were 53% and 43% for ATV/RTV and 54% and 46% for LPV/RTV at weeks 48 and 96 respectively.</w:t>
      </w:r>
    </w:p>
    <w:p w14:paraId="21972FFB" w14:textId="77777777" w:rsidR="00187713" w:rsidRPr="00D31EBB" w:rsidRDefault="00187713" w:rsidP="00187713">
      <w:pPr>
        <w:pStyle w:val="EMEABodyText"/>
        <w:keepNext/>
        <w:rPr>
          <w:sz w:val="18"/>
          <w:szCs w:val="18"/>
        </w:rPr>
      </w:pPr>
      <w:r>
        <w:rPr>
          <w:sz w:val="18"/>
          <w:szCs w:val="18"/>
          <w:vertAlign w:val="superscript"/>
        </w:rPr>
        <w:t>g</w:t>
      </w:r>
      <w:r>
        <w:rPr>
          <w:sz w:val="18"/>
          <w:szCs w:val="18"/>
        </w:rPr>
        <w:t xml:space="preserve"> Select substitutions include any change at positions L10, K20, L24, V32, L33, M36, M46, G48, I50, I54, L63, A71, G73, V82, I84, and L90 (0-2, 3, 4 or more) at baseline.</w:t>
      </w:r>
    </w:p>
    <w:p w14:paraId="401878F0" w14:textId="77777777" w:rsidR="00187713" w:rsidRPr="00D31EBB" w:rsidRDefault="00187713" w:rsidP="00187713">
      <w:pPr>
        <w:pStyle w:val="EMEABodyText"/>
        <w:rPr>
          <w:sz w:val="18"/>
          <w:szCs w:val="18"/>
        </w:rPr>
      </w:pPr>
      <w:r>
        <w:rPr>
          <w:sz w:val="18"/>
          <w:szCs w:val="18"/>
        </w:rPr>
        <w:t>NA = not applicable.</w:t>
      </w:r>
    </w:p>
    <w:p w14:paraId="05E47757" w14:textId="77777777" w:rsidR="00187713" w:rsidRPr="00D31EBB" w:rsidRDefault="00187713" w:rsidP="00187713">
      <w:pPr>
        <w:pStyle w:val="EMEABodyText"/>
        <w:rPr>
          <w:lang w:val="en-US"/>
        </w:rPr>
      </w:pPr>
    </w:p>
    <w:p w14:paraId="28C30A84" w14:textId="77777777" w:rsidR="00187713" w:rsidRPr="00D31EBB" w:rsidRDefault="00187713" w:rsidP="00187713">
      <w:pPr>
        <w:pStyle w:val="EMEABodyText"/>
      </w:pPr>
      <w:r>
        <w:t>Through 48 weeks of treatment, the mean changes from baseline in HIV RNA levels for REYATAZ + ritonavir and lopinavir + ritonavir were similar (non-inferior). Consistent results were obtained with the last observation carried forward method of analysis (time-averaged difference of 0.11, 97.5% confidence interval [-0.15, 0.36]). By as-treated analysis, excluding missing values, the proportions of patients with HIV RNA &lt; 400 copies/ml (&lt; 50 copies/ml) in the REYATAZ + ritonavir arm and the lopinavir + ritonavir arm were 55% (40%) and 56% (46%), respectively.</w:t>
      </w:r>
    </w:p>
    <w:p w14:paraId="5D772F7C" w14:textId="77777777" w:rsidR="00187713" w:rsidRPr="00D31EBB" w:rsidRDefault="00187713" w:rsidP="00187713">
      <w:pPr>
        <w:pStyle w:val="EMEABodyText"/>
        <w:rPr>
          <w:lang w:val="en-US"/>
        </w:rPr>
      </w:pPr>
    </w:p>
    <w:p w14:paraId="40659777" w14:textId="77777777" w:rsidR="00187713" w:rsidRPr="00D31EBB" w:rsidRDefault="00187713" w:rsidP="00187713">
      <w:pPr>
        <w:pStyle w:val="EMEABodyText"/>
        <w:rPr>
          <w:bCs/>
          <w:iCs/>
        </w:rPr>
      </w:pPr>
      <w:r>
        <w:t>Through 96 weeks of treatment, mean HIV RNA changes from baseline for REYATAZ + ritonavir and lopinavir + ritonavir met criteria for non-inferiority based on observed cases. Consistent results were obtained with the last observation carried forward method of analysis. By as-treated analysis, excluding missing values, the proportions of patients with HIV RNA &lt;400 copies/ml (&lt;50 copies/ml) for REYATAZ + ritonavir were 84% (72%) and for lopinavir + ritonavir were 82% (72%). It is important to note that at time of the 96-week analysis, 48 % of patients overall remained on study.</w:t>
      </w:r>
    </w:p>
    <w:p w14:paraId="14708DE5" w14:textId="77777777" w:rsidR="00187713" w:rsidRPr="00D31EBB" w:rsidRDefault="00187713" w:rsidP="00187713">
      <w:pPr>
        <w:pStyle w:val="EMEABodyText"/>
        <w:rPr>
          <w:lang w:val="en-US"/>
        </w:rPr>
      </w:pPr>
    </w:p>
    <w:p w14:paraId="3D003F9E" w14:textId="77777777" w:rsidR="00187713" w:rsidRPr="00D31EBB" w:rsidRDefault="00187713" w:rsidP="00187713">
      <w:pPr>
        <w:pStyle w:val="EMEABodyText"/>
      </w:pPr>
      <w:r>
        <w:t>REYATAZ + saquinavir was shown to be inferior to lopinavir + ritonavir.</w:t>
      </w:r>
    </w:p>
    <w:p w14:paraId="4D95576E" w14:textId="77777777" w:rsidR="00187713" w:rsidRPr="00D31EBB" w:rsidRDefault="00187713" w:rsidP="00187713">
      <w:pPr>
        <w:pStyle w:val="EMEABodyText"/>
        <w:rPr>
          <w:lang w:val="en-US"/>
        </w:rPr>
      </w:pPr>
    </w:p>
    <w:p w14:paraId="7547F84A" w14:textId="77777777" w:rsidR="00187713" w:rsidRPr="00D31EBB" w:rsidRDefault="00187713" w:rsidP="00187713">
      <w:pPr>
        <w:pStyle w:val="EMEABodyText"/>
        <w:rPr>
          <w:i/>
          <w:u w:val="single"/>
        </w:rPr>
      </w:pPr>
      <w:r>
        <w:rPr>
          <w:i/>
          <w:u w:val="single"/>
        </w:rPr>
        <w:t>Paediatric population</w:t>
      </w:r>
    </w:p>
    <w:p w14:paraId="650D2D36" w14:textId="77777777" w:rsidR="00187713" w:rsidRPr="00D31EBB" w:rsidRDefault="00187713" w:rsidP="00187713">
      <w:pPr>
        <w:pStyle w:val="EMEABodyText"/>
        <w:rPr>
          <w:i/>
        </w:rPr>
      </w:pPr>
      <w:r>
        <w:rPr>
          <w:i/>
        </w:rPr>
        <w:t>Paediatric trials with REYATAZ capsules</w:t>
      </w:r>
    </w:p>
    <w:p w14:paraId="458C540C" w14:textId="77777777" w:rsidR="00187713" w:rsidRPr="00D31EBB" w:rsidRDefault="00187713" w:rsidP="00187713">
      <w:pPr>
        <w:pStyle w:val="EMEABodyText"/>
      </w:pPr>
      <w:r>
        <w:t>Assessment of the pharmacokinetics, safety, tolerability, and efficacy of REYATAZ is based on data from the open-label, multicenter clinical trial AI424-020 conducted in patients from 3 months to 21 years of age. Overall in this study, 182 paediatric patients (81 antiretroviral-naive and 101 antiretroviral-experienced) received once daily REYATAZ (capsule or powder formulation), with or without ritonavir, in combination with two NRTIs.</w:t>
      </w:r>
    </w:p>
    <w:p w14:paraId="33812BA0" w14:textId="77777777" w:rsidR="00187713" w:rsidRPr="00D31EBB" w:rsidRDefault="00187713" w:rsidP="00187713">
      <w:pPr>
        <w:pStyle w:val="EMEABodyText"/>
        <w:rPr>
          <w:lang w:val="en-US"/>
        </w:rPr>
      </w:pPr>
    </w:p>
    <w:p w14:paraId="7D7355BD" w14:textId="77777777" w:rsidR="00187713" w:rsidRPr="00D31EBB" w:rsidRDefault="00187713" w:rsidP="00187713">
      <w:pPr>
        <w:pStyle w:val="EMEABodyText"/>
      </w:pPr>
      <w:r>
        <w:t>The clinical data derived from this study are inadequate to support the use of atazanavir capsules (with or without ritonavir) in children below 6 years of age.</w:t>
      </w:r>
    </w:p>
    <w:p w14:paraId="4CAD31D7" w14:textId="77777777" w:rsidR="00187713" w:rsidRPr="00D31EBB" w:rsidRDefault="00187713" w:rsidP="00187713">
      <w:pPr>
        <w:pStyle w:val="EMEABodyText"/>
        <w:rPr>
          <w:lang w:val="en-US"/>
        </w:rPr>
      </w:pPr>
    </w:p>
    <w:p w14:paraId="2B5DDA73" w14:textId="77777777" w:rsidR="00187713" w:rsidRPr="00D31EBB" w:rsidRDefault="00187713" w:rsidP="00187713">
      <w:pPr>
        <w:pStyle w:val="EMEABodyText"/>
      </w:pPr>
      <w:r>
        <w:t>Efficacy data observed in the 41 paediatric patients aged 6 years to less than 18 years that received REYATAZ capsules with ritonavir are presented in Table 7. For treatment-naive paediatric patients, the mean baseline CD4 cell count was 344 cells/mm</w:t>
      </w:r>
      <w:r>
        <w:rPr>
          <w:vertAlign w:val="superscript"/>
        </w:rPr>
        <w:t>3</w:t>
      </w:r>
      <w:r>
        <w:t xml:space="preserve"> (range: 2 to 800 cells/ mm</w:t>
      </w:r>
      <w:r>
        <w:rPr>
          <w:vertAlign w:val="superscript"/>
        </w:rPr>
        <w:t>3</w:t>
      </w:r>
      <w:r>
        <w:t>) and mean baseline plasma HIV-1 RNA was 4.67 log</w:t>
      </w:r>
      <w:r>
        <w:rPr>
          <w:vertAlign w:val="subscript"/>
        </w:rPr>
        <w:t>10</w:t>
      </w:r>
      <w:r>
        <w:t> copies/ml (range: 3.70 to 5.00 log</w:t>
      </w:r>
      <w:r>
        <w:rPr>
          <w:vertAlign w:val="subscript"/>
        </w:rPr>
        <w:t>10</w:t>
      </w:r>
      <w:r>
        <w:t> copies/ml). For treatment-experienced paediatric patients, the mean baseline CD4 cell count was 522 cells/mm</w:t>
      </w:r>
      <w:r>
        <w:rPr>
          <w:vertAlign w:val="superscript"/>
        </w:rPr>
        <w:t>3</w:t>
      </w:r>
      <w:r>
        <w:t xml:space="preserve"> (range: 100 to 1157 cells/ mm</w:t>
      </w:r>
      <w:r>
        <w:rPr>
          <w:vertAlign w:val="superscript"/>
        </w:rPr>
        <w:t>3</w:t>
      </w:r>
      <w:r>
        <w:t>) and mean baseline plasma HIV-1 RNA was 4.09 log</w:t>
      </w:r>
      <w:r>
        <w:rPr>
          <w:vertAlign w:val="subscript"/>
        </w:rPr>
        <w:t>10</w:t>
      </w:r>
      <w:r>
        <w:t> copies/ml (range: 3.28 to 5.00 log</w:t>
      </w:r>
      <w:r>
        <w:rPr>
          <w:vertAlign w:val="subscript"/>
        </w:rPr>
        <w:t>10</w:t>
      </w:r>
      <w:r>
        <w:t> copies/ml).</w:t>
      </w:r>
    </w:p>
    <w:p w14:paraId="4A924358" w14:textId="77777777" w:rsidR="00187713" w:rsidRPr="00D31EBB" w:rsidRDefault="00187713" w:rsidP="00187713">
      <w:pPr>
        <w:pStyle w:val="EMEABodyText"/>
        <w:rPr>
          <w:lang w:val="en-US"/>
        </w:rPr>
      </w:pPr>
    </w:p>
    <w:p w14:paraId="682E7171" w14:textId="77777777" w:rsidR="00187713" w:rsidRPr="00D31EBB" w:rsidRDefault="00187713" w:rsidP="00187713">
      <w:pPr>
        <w:pStyle w:val="EMEABodyText"/>
        <w:ind w:left="1134" w:hanging="1134"/>
        <w:rPr>
          <w:b/>
          <w:bCs/>
        </w:rPr>
      </w:pPr>
      <w:r>
        <w:rPr>
          <w:b/>
          <w:bCs/>
        </w:rPr>
        <w:t xml:space="preserve">Table 7: </w:t>
      </w:r>
      <w:r>
        <w:rPr>
          <w:b/>
          <w:bCs/>
        </w:rPr>
        <w:tab/>
        <w:t>Efficacy Outcomes (paediatric patients 6 years to less than 18 years of age) at Week 48 (Study AI424-020)</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3"/>
        <w:gridCol w:w="2313"/>
        <w:gridCol w:w="2367"/>
      </w:tblGrid>
      <w:tr w:rsidR="00187713" w:rsidRPr="00965E20" w14:paraId="7FFF649B" w14:textId="77777777" w:rsidTr="0000712C">
        <w:tc>
          <w:tcPr>
            <w:tcW w:w="3843" w:type="dxa"/>
            <w:tcBorders>
              <w:top w:val="single" w:sz="4" w:space="0" w:color="auto"/>
            </w:tcBorders>
            <w:vAlign w:val="center"/>
          </w:tcPr>
          <w:p w14:paraId="58C2DA29" w14:textId="77777777" w:rsidR="00187713" w:rsidRPr="004F3582" w:rsidRDefault="00187713" w:rsidP="0000712C">
            <w:pPr>
              <w:pStyle w:val="EMEABodyText"/>
              <w:rPr>
                <w:szCs w:val="22"/>
              </w:rPr>
            </w:pPr>
            <w:r>
              <w:rPr>
                <w:b/>
                <w:szCs w:val="22"/>
              </w:rPr>
              <w:t>Parameter</w:t>
            </w:r>
          </w:p>
        </w:tc>
        <w:tc>
          <w:tcPr>
            <w:tcW w:w="2313" w:type="dxa"/>
            <w:tcBorders>
              <w:top w:val="single" w:sz="4" w:space="0" w:color="auto"/>
            </w:tcBorders>
            <w:vAlign w:val="bottom"/>
          </w:tcPr>
          <w:p w14:paraId="46383621" w14:textId="77777777" w:rsidR="00187713" w:rsidRPr="00D31EBB" w:rsidRDefault="00187713" w:rsidP="001B2B5C">
            <w:pPr>
              <w:pStyle w:val="EMEABodyText"/>
              <w:jc w:val="center"/>
              <w:rPr>
                <w:szCs w:val="22"/>
              </w:rPr>
            </w:pPr>
            <w:r>
              <w:rPr>
                <w:b/>
                <w:szCs w:val="22"/>
              </w:rPr>
              <w:t>Treatment-Naive</w:t>
            </w:r>
            <w:r>
              <w:rPr>
                <w:b/>
                <w:szCs w:val="22"/>
              </w:rPr>
              <w:br/>
              <w:t>REYATAZ Capsules/ritonavir (300 mg/100 mg once daily) n=16</w:t>
            </w:r>
          </w:p>
        </w:tc>
        <w:tc>
          <w:tcPr>
            <w:tcW w:w="2367" w:type="dxa"/>
            <w:tcBorders>
              <w:top w:val="single" w:sz="4" w:space="0" w:color="auto"/>
            </w:tcBorders>
            <w:vAlign w:val="bottom"/>
          </w:tcPr>
          <w:p w14:paraId="758164A8" w14:textId="77777777" w:rsidR="00187713" w:rsidRPr="00D31EBB" w:rsidRDefault="00187713" w:rsidP="0000712C">
            <w:pPr>
              <w:pStyle w:val="EMEABodyText"/>
              <w:jc w:val="center"/>
              <w:rPr>
                <w:szCs w:val="22"/>
              </w:rPr>
            </w:pPr>
            <w:r>
              <w:rPr>
                <w:b/>
                <w:szCs w:val="22"/>
              </w:rPr>
              <w:t>Treatment-Experienced REYATAZ Capsules/ritonavir (300 mg/100 mg once daily) n=25</w:t>
            </w:r>
          </w:p>
        </w:tc>
      </w:tr>
      <w:tr w:rsidR="00187713" w:rsidRPr="00324E2C" w14:paraId="028F2EB3" w14:textId="77777777" w:rsidTr="0000712C">
        <w:tc>
          <w:tcPr>
            <w:tcW w:w="8523" w:type="dxa"/>
            <w:gridSpan w:val="3"/>
            <w:tcBorders>
              <w:top w:val="single" w:sz="12" w:space="0" w:color="auto"/>
            </w:tcBorders>
          </w:tcPr>
          <w:p w14:paraId="03C39DF3" w14:textId="77777777" w:rsidR="00187713" w:rsidRPr="0096648A" w:rsidRDefault="00187713" w:rsidP="009E2ACD">
            <w:pPr>
              <w:pStyle w:val="EMEABodyText"/>
            </w:pPr>
            <w:r>
              <w:rPr>
                <w:b/>
                <w:szCs w:val="22"/>
              </w:rPr>
              <w:t xml:space="preserve">HIV RNA &lt;50 copies/ml, % </w:t>
            </w:r>
            <w:r>
              <w:rPr>
                <w:b/>
                <w:szCs w:val="22"/>
                <w:vertAlign w:val="superscript"/>
              </w:rPr>
              <w:t>a</w:t>
            </w:r>
          </w:p>
        </w:tc>
      </w:tr>
      <w:tr w:rsidR="00187713" w:rsidRPr="004F3582" w14:paraId="62763EAC" w14:textId="77777777" w:rsidTr="0000712C">
        <w:tc>
          <w:tcPr>
            <w:tcW w:w="3843" w:type="dxa"/>
            <w:shd w:val="clear" w:color="auto" w:fill="auto"/>
          </w:tcPr>
          <w:p w14:paraId="49FF3E14" w14:textId="77777777" w:rsidR="00187713" w:rsidRPr="004F3582" w:rsidRDefault="00187713" w:rsidP="0000712C">
            <w:pPr>
              <w:autoSpaceDE w:val="0"/>
              <w:autoSpaceDN w:val="0"/>
              <w:adjustRightInd w:val="0"/>
              <w:rPr>
                <w:rFonts w:ascii="TimesNewRoman" w:hAnsi="TimesNewRoman" w:cs="TimesNewRoman"/>
                <w:szCs w:val="22"/>
              </w:rPr>
            </w:pPr>
            <w:r>
              <w:t>All patients</w:t>
            </w:r>
          </w:p>
        </w:tc>
        <w:tc>
          <w:tcPr>
            <w:tcW w:w="2313" w:type="dxa"/>
          </w:tcPr>
          <w:p w14:paraId="5FFD4FD2" w14:textId="77777777" w:rsidR="00187713" w:rsidRPr="004F3582" w:rsidRDefault="00187713" w:rsidP="0000712C">
            <w:pPr>
              <w:jc w:val="center"/>
              <w:rPr>
                <w:szCs w:val="22"/>
              </w:rPr>
            </w:pPr>
            <w:r>
              <w:t>81 (13/16)</w:t>
            </w:r>
          </w:p>
        </w:tc>
        <w:tc>
          <w:tcPr>
            <w:tcW w:w="2367" w:type="dxa"/>
          </w:tcPr>
          <w:p w14:paraId="13EC11DE" w14:textId="77777777" w:rsidR="00187713" w:rsidRPr="004F3582" w:rsidRDefault="00187713" w:rsidP="0000712C">
            <w:pPr>
              <w:pStyle w:val="EMEABodyText"/>
              <w:jc w:val="center"/>
              <w:rPr>
                <w:szCs w:val="22"/>
              </w:rPr>
            </w:pPr>
            <w:r>
              <w:t>24 (6/25)</w:t>
            </w:r>
          </w:p>
        </w:tc>
      </w:tr>
      <w:tr w:rsidR="00187713" w:rsidRPr="00324E2C" w14:paraId="14AB5FB8" w14:textId="77777777" w:rsidTr="0000712C">
        <w:tc>
          <w:tcPr>
            <w:tcW w:w="8523" w:type="dxa"/>
            <w:gridSpan w:val="3"/>
            <w:tcBorders>
              <w:top w:val="single" w:sz="2" w:space="0" w:color="auto"/>
              <w:left w:val="single" w:sz="2" w:space="0" w:color="auto"/>
              <w:bottom w:val="single" w:sz="2" w:space="0" w:color="auto"/>
            </w:tcBorders>
            <w:shd w:val="clear" w:color="auto" w:fill="auto"/>
          </w:tcPr>
          <w:p w14:paraId="6D4F4232" w14:textId="77777777" w:rsidR="00187713" w:rsidRPr="0096648A" w:rsidRDefault="00187713" w:rsidP="009E2ACD">
            <w:pPr>
              <w:pStyle w:val="EMEABodyText"/>
            </w:pPr>
            <w:r>
              <w:rPr>
                <w:b/>
                <w:szCs w:val="22"/>
              </w:rPr>
              <w:t xml:space="preserve">HIV RNA &lt;400 copies/ml, % </w:t>
            </w:r>
            <w:r>
              <w:rPr>
                <w:b/>
                <w:szCs w:val="22"/>
                <w:vertAlign w:val="superscript"/>
              </w:rPr>
              <w:t>a</w:t>
            </w:r>
          </w:p>
        </w:tc>
      </w:tr>
      <w:tr w:rsidR="00187713" w:rsidRPr="004F3582" w14:paraId="0A633D73" w14:textId="77777777" w:rsidTr="0000712C">
        <w:tc>
          <w:tcPr>
            <w:tcW w:w="3843" w:type="dxa"/>
            <w:tcBorders>
              <w:top w:val="single" w:sz="2" w:space="0" w:color="auto"/>
              <w:left w:val="single" w:sz="2" w:space="0" w:color="auto"/>
              <w:bottom w:val="single" w:sz="2" w:space="0" w:color="auto"/>
            </w:tcBorders>
            <w:shd w:val="clear" w:color="auto" w:fill="auto"/>
          </w:tcPr>
          <w:p w14:paraId="0D83CA86" w14:textId="77777777" w:rsidR="00187713" w:rsidRPr="004F3582" w:rsidRDefault="00187713" w:rsidP="0000712C">
            <w:pPr>
              <w:pStyle w:val="EMEABodyText"/>
              <w:rPr>
                <w:szCs w:val="22"/>
              </w:rPr>
            </w:pPr>
            <w:r>
              <w:t>All patients</w:t>
            </w:r>
          </w:p>
        </w:tc>
        <w:tc>
          <w:tcPr>
            <w:tcW w:w="2313" w:type="dxa"/>
            <w:tcBorders>
              <w:bottom w:val="single" w:sz="4" w:space="0" w:color="auto"/>
            </w:tcBorders>
          </w:tcPr>
          <w:p w14:paraId="13FD1E65" w14:textId="77777777" w:rsidR="00187713" w:rsidRPr="004F3582" w:rsidRDefault="00187713" w:rsidP="0000712C">
            <w:pPr>
              <w:pStyle w:val="EMEABodyText"/>
              <w:jc w:val="center"/>
              <w:rPr>
                <w:szCs w:val="22"/>
              </w:rPr>
            </w:pPr>
            <w:r>
              <w:t>88 (14/16)</w:t>
            </w:r>
          </w:p>
        </w:tc>
        <w:tc>
          <w:tcPr>
            <w:tcW w:w="2367" w:type="dxa"/>
            <w:tcBorders>
              <w:bottom w:val="single" w:sz="4" w:space="0" w:color="auto"/>
            </w:tcBorders>
          </w:tcPr>
          <w:p w14:paraId="7083C681" w14:textId="77777777" w:rsidR="00187713" w:rsidRPr="004F3582" w:rsidRDefault="00187713" w:rsidP="0000712C">
            <w:pPr>
              <w:pStyle w:val="EMEABodyText"/>
              <w:jc w:val="center"/>
              <w:rPr>
                <w:szCs w:val="22"/>
              </w:rPr>
            </w:pPr>
            <w:r>
              <w:t>32 (8/25)</w:t>
            </w:r>
          </w:p>
        </w:tc>
      </w:tr>
      <w:tr w:rsidR="00187713" w:rsidRPr="00965E20" w14:paraId="5655BC6C" w14:textId="77777777" w:rsidTr="0000712C">
        <w:tc>
          <w:tcPr>
            <w:tcW w:w="8523" w:type="dxa"/>
            <w:gridSpan w:val="3"/>
            <w:tcBorders>
              <w:top w:val="single" w:sz="12" w:space="0" w:color="auto"/>
            </w:tcBorders>
          </w:tcPr>
          <w:p w14:paraId="1C391E8D" w14:textId="77777777" w:rsidR="00187713" w:rsidRPr="00D31EBB" w:rsidRDefault="00187713" w:rsidP="0000712C">
            <w:pPr>
              <w:pStyle w:val="EMEABodyText"/>
              <w:rPr>
                <w:szCs w:val="22"/>
              </w:rPr>
            </w:pPr>
            <w:r>
              <w:rPr>
                <w:b/>
                <w:szCs w:val="22"/>
              </w:rPr>
              <w:t>CD4 Mean Change from Baseline, cells/mm</w:t>
            </w:r>
            <w:r>
              <w:rPr>
                <w:b/>
                <w:szCs w:val="22"/>
                <w:vertAlign w:val="superscript"/>
              </w:rPr>
              <w:t>3</w:t>
            </w:r>
          </w:p>
        </w:tc>
      </w:tr>
      <w:tr w:rsidR="00187713" w:rsidRPr="004F3582" w14:paraId="2AC31953" w14:textId="77777777" w:rsidTr="0000712C">
        <w:tc>
          <w:tcPr>
            <w:tcW w:w="3843" w:type="dxa"/>
            <w:shd w:val="clear" w:color="auto" w:fill="auto"/>
          </w:tcPr>
          <w:p w14:paraId="322A53BA" w14:textId="77777777" w:rsidR="00187713" w:rsidRPr="004F3582" w:rsidRDefault="00187713" w:rsidP="0000712C">
            <w:pPr>
              <w:autoSpaceDE w:val="0"/>
              <w:autoSpaceDN w:val="0"/>
              <w:adjustRightInd w:val="0"/>
              <w:rPr>
                <w:rFonts w:ascii="TimesNewRoman" w:hAnsi="TimesNewRoman" w:cs="TimesNewRoman"/>
                <w:szCs w:val="22"/>
              </w:rPr>
            </w:pPr>
            <w:r>
              <w:t>All patients</w:t>
            </w:r>
          </w:p>
        </w:tc>
        <w:tc>
          <w:tcPr>
            <w:tcW w:w="2313" w:type="dxa"/>
          </w:tcPr>
          <w:p w14:paraId="1CDACDE8" w14:textId="77777777" w:rsidR="00187713" w:rsidRPr="004F3582" w:rsidRDefault="00187713" w:rsidP="0000712C">
            <w:pPr>
              <w:jc w:val="center"/>
              <w:rPr>
                <w:szCs w:val="22"/>
              </w:rPr>
            </w:pPr>
            <w:r>
              <w:t>293 (n=14</w:t>
            </w:r>
            <w:r>
              <w:rPr>
                <w:szCs w:val="22"/>
                <w:vertAlign w:val="superscript"/>
              </w:rPr>
              <w:t>b</w:t>
            </w:r>
            <w:r>
              <w:t>)</w:t>
            </w:r>
          </w:p>
        </w:tc>
        <w:tc>
          <w:tcPr>
            <w:tcW w:w="2367" w:type="dxa"/>
          </w:tcPr>
          <w:p w14:paraId="1119EDC3" w14:textId="77777777" w:rsidR="00187713" w:rsidRPr="004F3582" w:rsidRDefault="00187713" w:rsidP="0000712C">
            <w:pPr>
              <w:pStyle w:val="EMEABodyText"/>
              <w:jc w:val="center"/>
              <w:rPr>
                <w:szCs w:val="22"/>
              </w:rPr>
            </w:pPr>
            <w:r>
              <w:t>229 (n=14</w:t>
            </w:r>
            <w:r>
              <w:rPr>
                <w:szCs w:val="22"/>
                <w:vertAlign w:val="superscript"/>
              </w:rPr>
              <w:t>b</w:t>
            </w:r>
            <w:r>
              <w:t>)</w:t>
            </w:r>
          </w:p>
        </w:tc>
      </w:tr>
      <w:tr w:rsidR="00187713" w:rsidRPr="00965E20" w14:paraId="73BFF747" w14:textId="77777777" w:rsidTr="0000712C">
        <w:tc>
          <w:tcPr>
            <w:tcW w:w="8523" w:type="dxa"/>
            <w:gridSpan w:val="3"/>
            <w:shd w:val="clear" w:color="auto" w:fill="auto"/>
          </w:tcPr>
          <w:p w14:paraId="19AF4392" w14:textId="77777777" w:rsidR="00187713" w:rsidRPr="00D31EBB" w:rsidRDefault="00187713" w:rsidP="00656E99">
            <w:pPr>
              <w:pStyle w:val="EMEABodyText"/>
              <w:rPr>
                <w:szCs w:val="22"/>
              </w:rPr>
            </w:pPr>
            <w:r>
              <w:rPr>
                <w:b/>
              </w:rPr>
              <w:t>HIV RNA &lt;50 copies/ml by select baseline PI substitutions,</w:t>
            </w:r>
            <w:r>
              <w:rPr>
                <w:b/>
                <w:vertAlign w:val="superscript"/>
              </w:rPr>
              <w:t xml:space="preserve">c </w:t>
            </w:r>
            <w:r>
              <w:rPr>
                <w:b/>
              </w:rPr>
              <w:t>% (responder/evaluable</w:t>
            </w:r>
            <w:r>
              <w:rPr>
                <w:b/>
                <w:szCs w:val="22"/>
                <w:vertAlign w:val="superscript"/>
              </w:rPr>
              <w:t>d</w:t>
            </w:r>
            <w:r>
              <w:rPr>
                <w:b/>
              </w:rPr>
              <w:t>)</w:t>
            </w:r>
          </w:p>
        </w:tc>
      </w:tr>
      <w:tr w:rsidR="00187713" w:rsidRPr="004F3582" w14:paraId="69303049" w14:textId="77777777" w:rsidTr="0000712C">
        <w:tc>
          <w:tcPr>
            <w:tcW w:w="3843" w:type="dxa"/>
            <w:shd w:val="clear" w:color="auto" w:fill="auto"/>
          </w:tcPr>
          <w:p w14:paraId="267E4453" w14:textId="77777777" w:rsidR="00187713" w:rsidRPr="004F3582" w:rsidRDefault="00187713" w:rsidP="0000712C">
            <w:pPr>
              <w:autoSpaceDE w:val="0"/>
              <w:autoSpaceDN w:val="0"/>
              <w:adjustRightInd w:val="0"/>
              <w:rPr>
                <w:szCs w:val="22"/>
              </w:rPr>
            </w:pPr>
            <w:r>
              <w:t>0-2</w:t>
            </w:r>
          </w:p>
        </w:tc>
        <w:tc>
          <w:tcPr>
            <w:tcW w:w="2313" w:type="dxa"/>
          </w:tcPr>
          <w:p w14:paraId="550FDC6C" w14:textId="77777777" w:rsidR="00187713" w:rsidRPr="004F3582" w:rsidRDefault="00187713" w:rsidP="0000712C">
            <w:pPr>
              <w:jc w:val="center"/>
              <w:rPr>
                <w:szCs w:val="22"/>
              </w:rPr>
            </w:pPr>
            <w:r>
              <w:t>NA</w:t>
            </w:r>
          </w:p>
        </w:tc>
        <w:tc>
          <w:tcPr>
            <w:tcW w:w="2367" w:type="dxa"/>
          </w:tcPr>
          <w:p w14:paraId="5C8804E2" w14:textId="77777777" w:rsidR="00187713" w:rsidRPr="004F3582" w:rsidRDefault="00187713" w:rsidP="0000712C">
            <w:pPr>
              <w:pStyle w:val="EMEABodyText"/>
              <w:jc w:val="center"/>
              <w:rPr>
                <w:szCs w:val="22"/>
              </w:rPr>
            </w:pPr>
            <w:r>
              <w:t>27 (4/15)</w:t>
            </w:r>
          </w:p>
        </w:tc>
      </w:tr>
      <w:tr w:rsidR="00187713" w:rsidRPr="004F3582" w14:paraId="7169D0CC" w14:textId="77777777" w:rsidTr="0000712C">
        <w:tc>
          <w:tcPr>
            <w:tcW w:w="3843" w:type="dxa"/>
            <w:shd w:val="clear" w:color="auto" w:fill="auto"/>
          </w:tcPr>
          <w:p w14:paraId="78B946B8" w14:textId="77777777" w:rsidR="00187713" w:rsidRPr="004F3582" w:rsidRDefault="00187713" w:rsidP="0000712C">
            <w:pPr>
              <w:autoSpaceDE w:val="0"/>
              <w:autoSpaceDN w:val="0"/>
              <w:adjustRightInd w:val="0"/>
              <w:rPr>
                <w:szCs w:val="22"/>
              </w:rPr>
            </w:pPr>
            <w:r>
              <w:t>3</w:t>
            </w:r>
          </w:p>
        </w:tc>
        <w:tc>
          <w:tcPr>
            <w:tcW w:w="2313" w:type="dxa"/>
          </w:tcPr>
          <w:p w14:paraId="76DAF7C0" w14:textId="77777777" w:rsidR="00187713" w:rsidRPr="004F3582" w:rsidRDefault="00187713" w:rsidP="0000712C">
            <w:pPr>
              <w:jc w:val="center"/>
              <w:rPr>
                <w:szCs w:val="22"/>
              </w:rPr>
            </w:pPr>
            <w:r>
              <w:t>NA</w:t>
            </w:r>
          </w:p>
        </w:tc>
        <w:tc>
          <w:tcPr>
            <w:tcW w:w="2367" w:type="dxa"/>
          </w:tcPr>
          <w:p w14:paraId="495F8B24" w14:textId="77777777" w:rsidR="00187713" w:rsidRPr="004F3582" w:rsidRDefault="00187713" w:rsidP="0000712C">
            <w:pPr>
              <w:pStyle w:val="EMEABodyText"/>
              <w:jc w:val="center"/>
              <w:rPr>
                <w:szCs w:val="22"/>
              </w:rPr>
            </w:pPr>
            <w:r>
              <w:t>-</w:t>
            </w:r>
          </w:p>
        </w:tc>
      </w:tr>
      <w:tr w:rsidR="00187713" w:rsidRPr="004F3582" w14:paraId="60D2BD52" w14:textId="77777777" w:rsidTr="0000712C">
        <w:tc>
          <w:tcPr>
            <w:tcW w:w="3843" w:type="dxa"/>
            <w:shd w:val="clear" w:color="auto" w:fill="auto"/>
          </w:tcPr>
          <w:p w14:paraId="037C1175" w14:textId="77777777" w:rsidR="00187713" w:rsidRPr="004F3582" w:rsidRDefault="00187713" w:rsidP="0000712C">
            <w:pPr>
              <w:autoSpaceDE w:val="0"/>
              <w:autoSpaceDN w:val="0"/>
              <w:adjustRightInd w:val="0"/>
              <w:rPr>
                <w:szCs w:val="22"/>
              </w:rPr>
            </w:pPr>
            <w:r>
              <w:t>≥ 4</w:t>
            </w:r>
          </w:p>
        </w:tc>
        <w:tc>
          <w:tcPr>
            <w:tcW w:w="2313" w:type="dxa"/>
          </w:tcPr>
          <w:p w14:paraId="49B665FB" w14:textId="77777777" w:rsidR="00187713" w:rsidRPr="004F3582" w:rsidRDefault="00187713" w:rsidP="0000712C">
            <w:pPr>
              <w:jc w:val="center"/>
              <w:rPr>
                <w:szCs w:val="22"/>
              </w:rPr>
            </w:pPr>
            <w:r>
              <w:t>NA</w:t>
            </w:r>
          </w:p>
        </w:tc>
        <w:tc>
          <w:tcPr>
            <w:tcW w:w="2367" w:type="dxa"/>
          </w:tcPr>
          <w:p w14:paraId="75733C07" w14:textId="77777777" w:rsidR="00187713" w:rsidRPr="004F3582" w:rsidRDefault="00187713" w:rsidP="0000712C">
            <w:pPr>
              <w:pStyle w:val="EMEABodyText"/>
              <w:jc w:val="center"/>
              <w:rPr>
                <w:szCs w:val="22"/>
              </w:rPr>
            </w:pPr>
            <w:r>
              <w:t>0 (0/3)</w:t>
            </w:r>
          </w:p>
        </w:tc>
      </w:tr>
    </w:tbl>
    <w:p w14:paraId="0FB5D878" w14:textId="77777777" w:rsidR="00187713" w:rsidRPr="00D31EBB" w:rsidRDefault="00187713" w:rsidP="00187713">
      <w:pPr>
        <w:pStyle w:val="EMEABodyText"/>
        <w:rPr>
          <w:sz w:val="18"/>
        </w:rPr>
      </w:pPr>
      <w:r>
        <w:rPr>
          <w:sz w:val="18"/>
          <w:vertAlign w:val="superscript"/>
        </w:rPr>
        <w:t>a</w:t>
      </w:r>
      <w:r>
        <w:rPr>
          <w:sz w:val="18"/>
        </w:rPr>
        <w:t xml:space="preserve"> Intent-to-treat analysis, with missing values considered as failures.</w:t>
      </w:r>
    </w:p>
    <w:p w14:paraId="4E3E39BA" w14:textId="77777777" w:rsidR="00187713" w:rsidRPr="00D31EBB" w:rsidRDefault="00187713" w:rsidP="00187713">
      <w:pPr>
        <w:pStyle w:val="EMEABodyText"/>
        <w:rPr>
          <w:sz w:val="18"/>
        </w:rPr>
      </w:pPr>
      <w:r>
        <w:rPr>
          <w:sz w:val="18"/>
          <w:vertAlign w:val="superscript"/>
        </w:rPr>
        <w:t>b</w:t>
      </w:r>
      <w:r>
        <w:rPr>
          <w:sz w:val="18"/>
        </w:rPr>
        <w:t xml:space="preserve"> Number of patients evaluable.</w:t>
      </w:r>
    </w:p>
    <w:p w14:paraId="44396F02" w14:textId="77777777" w:rsidR="00187713" w:rsidRPr="00D31EBB" w:rsidRDefault="00187713" w:rsidP="00187713">
      <w:pPr>
        <w:pStyle w:val="EMEABodyText"/>
        <w:rPr>
          <w:sz w:val="18"/>
        </w:rPr>
      </w:pPr>
      <w:r>
        <w:rPr>
          <w:sz w:val="18"/>
          <w:vertAlign w:val="superscript"/>
        </w:rPr>
        <w:t xml:space="preserve">c </w:t>
      </w:r>
      <w:r>
        <w:rPr>
          <w:sz w:val="18"/>
        </w:rPr>
        <w:t>PI major L24I, D30N, V32I, L33F, M46IL, I47AV, G48V, I50LV, F53LY, I54ALMSTV, L76V, V82AFLST, I84V, N88DS, L90M; PI minor: L10CFIRV, V11I, E35G, K43T, Q58E, A71ILTV, G73ACST, T74P, N83D, L89V.</w:t>
      </w:r>
    </w:p>
    <w:p w14:paraId="6A6482C8" w14:textId="77777777" w:rsidR="00187713" w:rsidRPr="00D31EBB" w:rsidRDefault="00187713" w:rsidP="00187713">
      <w:pPr>
        <w:pStyle w:val="EMEABodyText"/>
        <w:rPr>
          <w:sz w:val="18"/>
        </w:rPr>
      </w:pPr>
      <w:r>
        <w:rPr>
          <w:sz w:val="18"/>
          <w:vertAlign w:val="superscript"/>
        </w:rPr>
        <w:t>d</w:t>
      </w:r>
      <w:r>
        <w:rPr>
          <w:sz w:val="18"/>
        </w:rPr>
        <w:t xml:space="preserve"> Includes patients with baseline resistance data.</w:t>
      </w:r>
    </w:p>
    <w:p w14:paraId="2CFA1171" w14:textId="77777777" w:rsidR="00187713" w:rsidRPr="00D31EBB" w:rsidRDefault="00187713" w:rsidP="00187713">
      <w:pPr>
        <w:pStyle w:val="EMEABodyText"/>
        <w:rPr>
          <w:sz w:val="18"/>
        </w:rPr>
      </w:pPr>
      <w:r>
        <w:rPr>
          <w:sz w:val="18"/>
        </w:rPr>
        <w:t>NA = not applicable.</w:t>
      </w:r>
    </w:p>
    <w:p w14:paraId="107BED47" w14:textId="77777777" w:rsidR="00187713" w:rsidRPr="00D31EBB" w:rsidRDefault="00187713" w:rsidP="00187713">
      <w:pPr>
        <w:pStyle w:val="EMEABodyText"/>
        <w:rPr>
          <w:lang w:val="en-US"/>
        </w:rPr>
      </w:pPr>
    </w:p>
    <w:p w14:paraId="7D4A6C5E" w14:textId="77777777" w:rsidR="00187713" w:rsidRPr="00D31EBB" w:rsidRDefault="00187713" w:rsidP="00187713">
      <w:pPr>
        <w:pStyle w:val="EMEABodyText"/>
        <w:rPr>
          <w:i/>
        </w:rPr>
      </w:pPr>
      <w:r>
        <w:rPr>
          <w:i/>
        </w:rPr>
        <w:t>Paediatric trials with REYATAZ oral powder</w:t>
      </w:r>
    </w:p>
    <w:p w14:paraId="2B2C5F77" w14:textId="77777777" w:rsidR="00187713" w:rsidRPr="00D31EBB" w:rsidRDefault="00187713" w:rsidP="00187713">
      <w:pPr>
        <w:pStyle w:val="BMSBodyText"/>
        <w:spacing w:before="0" w:after="0" w:line="240" w:lineRule="auto"/>
        <w:jc w:val="left"/>
        <w:rPr>
          <w:color w:val="auto"/>
          <w:sz w:val="22"/>
        </w:rPr>
      </w:pPr>
      <w:r>
        <w:rPr>
          <w:color w:val="auto"/>
          <w:sz w:val="22"/>
        </w:rPr>
        <w:t>Assessment of the pharmacokinetics, safety, tolerability, and virologic response of REYATAZ oral powder was based on data from two open-label, multicenter clinical trials.</w:t>
      </w:r>
    </w:p>
    <w:p w14:paraId="605721E2" w14:textId="77777777" w:rsidR="00187713" w:rsidRPr="00D31EBB" w:rsidRDefault="00187713" w:rsidP="00F62C23">
      <w:pPr>
        <w:pStyle w:val="EMEABodyTextIndent"/>
        <w:ind w:left="426"/>
        <w:rPr>
          <w:i/>
        </w:rPr>
      </w:pPr>
      <w:r>
        <w:t>AI424-397 (PRINCE I): In paediatric patients from 3 months to less than 6 years of age</w:t>
      </w:r>
    </w:p>
    <w:p w14:paraId="09BBCA26" w14:textId="77777777" w:rsidR="00187713" w:rsidRPr="00D31EBB" w:rsidRDefault="00187713" w:rsidP="00F62C23">
      <w:pPr>
        <w:pStyle w:val="EMEABodyTextIndent"/>
        <w:ind w:left="426"/>
        <w:rPr>
          <w:i/>
        </w:rPr>
      </w:pPr>
      <w:r>
        <w:t>AI424-451 (PRINCE II): In paediatric patients from 3 months to less than 11 years of age</w:t>
      </w:r>
    </w:p>
    <w:p w14:paraId="0446CEA1" w14:textId="77777777" w:rsidR="00187713" w:rsidRPr="00D31EBB" w:rsidRDefault="00187713" w:rsidP="00187713">
      <w:pPr>
        <w:pStyle w:val="BMSBodyText"/>
        <w:spacing w:before="0" w:after="0" w:line="240" w:lineRule="auto"/>
        <w:jc w:val="left"/>
        <w:rPr>
          <w:color w:val="auto"/>
          <w:sz w:val="22"/>
        </w:rPr>
      </w:pPr>
      <w:r>
        <w:rPr>
          <w:color w:val="auto"/>
          <w:sz w:val="22"/>
        </w:rPr>
        <w:t>In these studies, 155 patients (59 antiretroviral-naive and 96 antiretroviral-experienced) received once daily REYATAZ oral powder and ritonavir, in combination with two NRTIs.</w:t>
      </w:r>
    </w:p>
    <w:p w14:paraId="2B719A28" w14:textId="77777777" w:rsidR="00187713" w:rsidRPr="004F3582" w:rsidRDefault="00187713" w:rsidP="00187713">
      <w:pPr>
        <w:pStyle w:val="BMSBodyText"/>
        <w:spacing w:before="0" w:after="0" w:line="240" w:lineRule="auto"/>
        <w:rPr>
          <w:color w:val="auto"/>
          <w:sz w:val="22"/>
          <w:lang w:val="en-GB"/>
        </w:rPr>
      </w:pPr>
    </w:p>
    <w:p w14:paraId="4033B5B1" w14:textId="77777777" w:rsidR="00187713" w:rsidRPr="00D31EBB" w:rsidRDefault="00187713" w:rsidP="00187713">
      <w:pPr>
        <w:pStyle w:val="BMSBodyText"/>
        <w:spacing w:before="0" w:after="0" w:line="240" w:lineRule="auto"/>
        <w:jc w:val="left"/>
        <w:rPr>
          <w:sz w:val="22"/>
          <w:szCs w:val="24"/>
        </w:rPr>
      </w:pPr>
      <w:r>
        <w:rPr>
          <w:color w:val="auto"/>
          <w:sz w:val="22"/>
          <w:szCs w:val="24"/>
        </w:rPr>
        <w:t>For inclusion in both trials, treatment-naive patients had to have genotypic sensitivity to REYATAZ and two NRTIs, and treatment-experienced patients had to have documented genotypic and phenotypic sensitivity at screening to REYATAZ and at least 2 NRTIs.</w:t>
      </w:r>
      <w:r>
        <w:rPr>
          <w:sz w:val="22"/>
          <w:szCs w:val="24"/>
        </w:rPr>
        <w:t xml:space="preserve"> Patients exposed only to antiretrovirals </w:t>
      </w:r>
      <w:r>
        <w:rPr>
          <w:i/>
          <w:sz w:val="22"/>
          <w:szCs w:val="24"/>
        </w:rPr>
        <w:t>in utero</w:t>
      </w:r>
      <w:r>
        <w:rPr>
          <w:sz w:val="22"/>
          <w:szCs w:val="24"/>
        </w:rPr>
        <w:t xml:space="preserve"> or intrapartum were considered treatment-naive. Patients who received REYATAZ or REYATAZ/ritonavir at any time prior to study enrollment or who had a history of treatment failure on two or more protease inhibitors, protease inhibitor resistance or evidence of pre-existing cardiac abnormalities were excluded from the trials. Protease inhibitor resistance was defined as genotypic resistance to atazanavir or either component of the local NRTI backbone based on the criteria of 1) any major mutations: I50L, I84V, N88S and 2) ≥ 2 of the following minor or cross resistant mutations: M46I/L, G48V, I54L/V/M/T/A, V82A/T/FI, L90M, V32I.</w:t>
      </w:r>
    </w:p>
    <w:p w14:paraId="1ACE13E1" w14:textId="77777777" w:rsidR="00187713" w:rsidRPr="004F3582" w:rsidRDefault="00187713" w:rsidP="00187713">
      <w:pPr>
        <w:pStyle w:val="BMSBodyText"/>
        <w:spacing w:before="0" w:after="0" w:line="240" w:lineRule="auto"/>
        <w:jc w:val="left"/>
        <w:rPr>
          <w:sz w:val="22"/>
          <w:szCs w:val="24"/>
          <w:lang w:val="en-GB"/>
        </w:rPr>
      </w:pPr>
    </w:p>
    <w:p w14:paraId="6EDD6AA3" w14:textId="77777777" w:rsidR="00187713" w:rsidRPr="00D31EBB" w:rsidRDefault="00187713" w:rsidP="00187713">
      <w:pPr>
        <w:pStyle w:val="BMSBodyText"/>
        <w:spacing w:before="0" w:after="0" w:line="240" w:lineRule="auto"/>
        <w:jc w:val="left"/>
        <w:rPr>
          <w:sz w:val="22"/>
        </w:rPr>
      </w:pPr>
      <w:r>
        <w:rPr>
          <w:sz w:val="22"/>
        </w:rPr>
        <w:t>At Week 48 there were 134 paediatric patients aged 3 months to less than 11 years that received REYATAZ oral powder with ritonavir that were evaluated for efficacy. These data are presented in Table 8. For treatment-naive paediatric patients, the mean baseline CD4 cell count was 930 cells/mm</w:t>
      </w:r>
      <w:r>
        <w:rPr>
          <w:sz w:val="22"/>
          <w:vertAlign w:val="superscript"/>
        </w:rPr>
        <w:t>3</w:t>
      </w:r>
      <w:r>
        <w:rPr>
          <w:sz w:val="22"/>
        </w:rPr>
        <w:t xml:space="preserve"> (range: 46 to 2291 cells/mm</w:t>
      </w:r>
      <w:r>
        <w:rPr>
          <w:sz w:val="22"/>
          <w:vertAlign w:val="superscript"/>
        </w:rPr>
        <w:t>3</w:t>
      </w:r>
      <w:r>
        <w:rPr>
          <w:sz w:val="22"/>
        </w:rPr>
        <w:t>) and mean baseline plasma HIV-1 RNA was 4.81 log</w:t>
      </w:r>
      <w:r>
        <w:rPr>
          <w:sz w:val="22"/>
          <w:vertAlign w:val="subscript"/>
        </w:rPr>
        <w:t>10</w:t>
      </w:r>
      <w:r>
        <w:rPr>
          <w:sz w:val="22"/>
        </w:rPr>
        <w:t> copies/ml (range: 3.4 to 5.9 log</w:t>
      </w:r>
      <w:r>
        <w:rPr>
          <w:sz w:val="22"/>
          <w:vertAlign w:val="subscript"/>
        </w:rPr>
        <w:t>10</w:t>
      </w:r>
      <w:r>
        <w:rPr>
          <w:sz w:val="22"/>
        </w:rPr>
        <w:t> copies/ml). For treatment-experienced paediatric patients, the mean baseline CD4 cell count was 1441 cells/mm</w:t>
      </w:r>
      <w:r>
        <w:rPr>
          <w:sz w:val="22"/>
          <w:vertAlign w:val="superscript"/>
        </w:rPr>
        <w:t>3</w:t>
      </w:r>
      <w:r>
        <w:rPr>
          <w:sz w:val="22"/>
        </w:rPr>
        <w:t xml:space="preserve"> (range: 84 to 5703 cells/mm</w:t>
      </w:r>
      <w:r>
        <w:rPr>
          <w:sz w:val="22"/>
          <w:vertAlign w:val="superscript"/>
        </w:rPr>
        <w:t>3</w:t>
      </w:r>
      <w:r>
        <w:rPr>
          <w:sz w:val="22"/>
        </w:rPr>
        <w:t>) and mean baseline plasma HIV-1 RNA was 4.67 log</w:t>
      </w:r>
      <w:r>
        <w:rPr>
          <w:sz w:val="22"/>
          <w:vertAlign w:val="subscript"/>
        </w:rPr>
        <w:t>10</w:t>
      </w:r>
      <w:r>
        <w:rPr>
          <w:sz w:val="22"/>
        </w:rPr>
        <w:t> copies/ml (range: 2.0 to 5.9 log</w:t>
      </w:r>
      <w:r>
        <w:rPr>
          <w:sz w:val="22"/>
          <w:vertAlign w:val="subscript"/>
        </w:rPr>
        <w:t>10</w:t>
      </w:r>
      <w:r>
        <w:rPr>
          <w:sz w:val="22"/>
        </w:rPr>
        <w:t> copies/ml).</w:t>
      </w:r>
    </w:p>
    <w:p w14:paraId="3F50EF7E" w14:textId="77777777" w:rsidR="00187713" w:rsidRPr="004F3582" w:rsidRDefault="00187713" w:rsidP="00187713">
      <w:pPr>
        <w:pStyle w:val="BMSBodyText"/>
        <w:spacing w:before="0" w:after="0" w:line="240" w:lineRule="auto"/>
        <w:jc w:val="left"/>
        <w:rPr>
          <w:szCs w:val="24"/>
          <w:lang w:val="en-GB"/>
        </w:rPr>
      </w:pPr>
    </w:p>
    <w:p w14:paraId="1F008D6A" w14:textId="77777777" w:rsidR="00187713" w:rsidRPr="00D31EBB" w:rsidRDefault="00187713" w:rsidP="001A00CC">
      <w:pPr>
        <w:pStyle w:val="EMEABodyText"/>
        <w:keepNext/>
        <w:spacing w:after="60"/>
        <w:rPr>
          <w:b/>
        </w:rPr>
      </w:pPr>
      <w:r>
        <w:rPr>
          <w:b/>
        </w:rPr>
        <w:t>Table 8: Efficacy Outcomes for oral powder (paediatric patients at least 3 months of age and weighing at least 5 kg) at Week 48 (Studies AI424-397 and AI424-451)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2790"/>
        <w:gridCol w:w="2970"/>
      </w:tblGrid>
      <w:tr w:rsidR="00187713" w:rsidRPr="00965E20" w14:paraId="193F51D8" w14:textId="77777777" w:rsidTr="0000712C">
        <w:trPr>
          <w:trHeight w:val="779"/>
        </w:trPr>
        <w:tc>
          <w:tcPr>
            <w:tcW w:w="3708" w:type="dxa"/>
            <w:tcBorders>
              <w:top w:val="single" w:sz="4" w:space="0" w:color="auto"/>
              <w:left w:val="single" w:sz="4" w:space="0" w:color="auto"/>
              <w:bottom w:val="single" w:sz="12" w:space="0" w:color="auto"/>
              <w:right w:val="single" w:sz="4" w:space="0" w:color="auto"/>
            </w:tcBorders>
            <w:vAlign w:val="center"/>
          </w:tcPr>
          <w:p w14:paraId="733DF0C6" w14:textId="77777777" w:rsidR="00187713" w:rsidRPr="004F3582" w:rsidRDefault="00187713" w:rsidP="001A00CC">
            <w:pPr>
              <w:keepNext/>
              <w:autoSpaceDE w:val="0"/>
              <w:autoSpaceDN w:val="0"/>
              <w:adjustRightInd w:val="0"/>
              <w:rPr>
                <w:rFonts w:eastAsia="SimSun"/>
                <w:color w:val="000000"/>
                <w:szCs w:val="22"/>
              </w:rPr>
            </w:pPr>
            <w:r>
              <w:rPr>
                <w:b/>
                <w:bCs/>
                <w:color w:val="000000"/>
                <w:szCs w:val="22"/>
              </w:rPr>
              <w:t xml:space="preserve">Parameter </w:t>
            </w:r>
          </w:p>
        </w:tc>
        <w:tc>
          <w:tcPr>
            <w:tcW w:w="2790" w:type="dxa"/>
            <w:tcBorders>
              <w:top w:val="single" w:sz="4" w:space="0" w:color="auto"/>
              <w:left w:val="single" w:sz="4" w:space="0" w:color="auto"/>
              <w:bottom w:val="single" w:sz="12" w:space="0" w:color="auto"/>
              <w:right w:val="single" w:sz="4" w:space="0" w:color="auto"/>
            </w:tcBorders>
            <w:vAlign w:val="center"/>
          </w:tcPr>
          <w:p w14:paraId="2A4AD0E5" w14:textId="77777777" w:rsidR="00187713" w:rsidRPr="00D31EBB" w:rsidRDefault="00187713" w:rsidP="001B2B5C">
            <w:pPr>
              <w:keepNext/>
              <w:autoSpaceDE w:val="0"/>
              <w:autoSpaceDN w:val="0"/>
              <w:adjustRightInd w:val="0"/>
              <w:jc w:val="center"/>
              <w:rPr>
                <w:rFonts w:eastAsia="SimSun"/>
                <w:szCs w:val="22"/>
              </w:rPr>
            </w:pPr>
            <w:r>
              <w:rPr>
                <w:b/>
                <w:bCs/>
                <w:szCs w:val="22"/>
              </w:rPr>
              <w:t>Treatment-Naive</w:t>
            </w:r>
            <w:r>
              <w:rPr>
                <w:b/>
                <w:bCs/>
                <w:szCs w:val="22"/>
              </w:rPr>
              <w:br/>
              <w:t>REYATAZ Powder/ritonavir n=52</w:t>
            </w:r>
          </w:p>
        </w:tc>
        <w:tc>
          <w:tcPr>
            <w:tcW w:w="2970" w:type="dxa"/>
            <w:tcBorders>
              <w:top w:val="single" w:sz="4" w:space="0" w:color="auto"/>
              <w:left w:val="single" w:sz="4" w:space="0" w:color="auto"/>
              <w:bottom w:val="single" w:sz="12" w:space="0" w:color="auto"/>
              <w:right w:val="single" w:sz="4" w:space="0" w:color="auto"/>
            </w:tcBorders>
            <w:vAlign w:val="center"/>
          </w:tcPr>
          <w:p w14:paraId="133CA980" w14:textId="77777777" w:rsidR="00187713" w:rsidRPr="00D31EBB" w:rsidRDefault="00187713" w:rsidP="001A00CC">
            <w:pPr>
              <w:keepNext/>
              <w:autoSpaceDE w:val="0"/>
              <w:autoSpaceDN w:val="0"/>
              <w:adjustRightInd w:val="0"/>
              <w:jc w:val="center"/>
              <w:rPr>
                <w:rFonts w:eastAsia="SimSun"/>
                <w:color w:val="000000"/>
                <w:szCs w:val="22"/>
              </w:rPr>
            </w:pPr>
            <w:r>
              <w:rPr>
                <w:b/>
                <w:bCs/>
                <w:color w:val="000000"/>
                <w:szCs w:val="22"/>
              </w:rPr>
              <w:t>Treatment-Experienced REYATAZ Powder/ritonavir n=82</w:t>
            </w:r>
          </w:p>
        </w:tc>
      </w:tr>
      <w:tr w:rsidR="00187713" w:rsidRPr="00324E2C" w14:paraId="2C51D350" w14:textId="77777777" w:rsidTr="0000712C">
        <w:trPr>
          <w:trHeight w:val="155"/>
        </w:trPr>
        <w:tc>
          <w:tcPr>
            <w:tcW w:w="9468" w:type="dxa"/>
            <w:gridSpan w:val="3"/>
            <w:tcBorders>
              <w:top w:val="single" w:sz="12" w:space="0" w:color="auto"/>
            </w:tcBorders>
          </w:tcPr>
          <w:p w14:paraId="2D3383BE" w14:textId="77777777" w:rsidR="00187713" w:rsidRPr="0096648A" w:rsidRDefault="00187713" w:rsidP="0000712C">
            <w:pPr>
              <w:autoSpaceDE w:val="0"/>
              <w:autoSpaceDN w:val="0"/>
              <w:adjustRightInd w:val="0"/>
              <w:rPr>
                <w:rFonts w:eastAsia="SimSun"/>
                <w:color w:val="000000"/>
                <w:sz w:val="14"/>
                <w:szCs w:val="14"/>
              </w:rPr>
            </w:pPr>
            <w:r>
              <w:rPr>
                <w:b/>
                <w:bCs/>
                <w:color w:val="000000"/>
                <w:szCs w:val="22"/>
              </w:rPr>
              <w:t>HIV RNA &lt;50 copies/ml, %</w:t>
            </w:r>
            <w:r>
              <w:rPr>
                <w:b/>
                <w:bCs/>
                <w:color w:val="000000"/>
                <w:szCs w:val="22"/>
                <w:vertAlign w:val="superscript"/>
              </w:rPr>
              <w:t>a</w:t>
            </w:r>
            <w:r>
              <w:rPr>
                <w:b/>
                <w:bCs/>
                <w:color w:val="000000"/>
                <w:sz w:val="14"/>
                <w:szCs w:val="14"/>
              </w:rPr>
              <w:t xml:space="preserve"> </w:t>
            </w:r>
          </w:p>
        </w:tc>
      </w:tr>
      <w:tr w:rsidR="00187713" w:rsidRPr="004F3582" w14:paraId="33243F8C" w14:textId="77777777" w:rsidTr="0000712C">
        <w:trPr>
          <w:trHeight w:val="145"/>
        </w:trPr>
        <w:tc>
          <w:tcPr>
            <w:tcW w:w="3708" w:type="dxa"/>
          </w:tcPr>
          <w:p w14:paraId="5A245BE2" w14:textId="77777777" w:rsidR="00187713" w:rsidRPr="00D31EBB" w:rsidRDefault="00495B99" w:rsidP="00495B99">
            <w:pPr>
              <w:autoSpaceDE w:val="0"/>
              <w:autoSpaceDN w:val="0"/>
              <w:adjustRightInd w:val="0"/>
              <w:rPr>
                <w:rFonts w:eastAsia="SimSun"/>
                <w:color w:val="000000"/>
                <w:szCs w:val="22"/>
              </w:rPr>
            </w:pPr>
            <w:r>
              <w:rPr>
                <w:color w:val="000000"/>
                <w:szCs w:val="22"/>
              </w:rPr>
              <w:t xml:space="preserve">at least 5 to &lt; 10 kg (REYATAZ 150 and 200 mg) </w:t>
            </w:r>
          </w:p>
          <w:p w14:paraId="3FE5D34E" w14:textId="77777777" w:rsidR="00495B99" w:rsidRPr="00D31EBB" w:rsidRDefault="00495B99" w:rsidP="00495B99">
            <w:pPr>
              <w:autoSpaceDE w:val="0"/>
              <w:autoSpaceDN w:val="0"/>
              <w:adjustRightInd w:val="0"/>
              <w:rPr>
                <w:rFonts w:eastAsia="SimSun"/>
                <w:color w:val="000000"/>
                <w:szCs w:val="22"/>
              </w:rPr>
            </w:pPr>
            <w:r>
              <w:rPr>
                <w:color w:val="000000"/>
                <w:szCs w:val="22"/>
              </w:rPr>
              <w:t>at least 10 to &lt; 15 kg</w:t>
            </w:r>
          </w:p>
          <w:p w14:paraId="6EE827E2" w14:textId="77777777" w:rsidR="00495B99" w:rsidRPr="00D31EBB" w:rsidRDefault="00495B99" w:rsidP="00495B99">
            <w:pPr>
              <w:autoSpaceDE w:val="0"/>
              <w:autoSpaceDN w:val="0"/>
              <w:adjustRightInd w:val="0"/>
              <w:rPr>
                <w:rFonts w:eastAsia="SimSun"/>
                <w:color w:val="000000"/>
                <w:szCs w:val="22"/>
              </w:rPr>
            </w:pPr>
            <w:r>
              <w:rPr>
                <w:color w:val="000000"/>
                <w:szCs w:val="22"/>
              </w:rPr>
              <w:t>at least 15 to &lt; 25 kg</w:t>
            </w:r>
          </w:p>
          <w:p w14:paraId="5B4EED0E" w14:textId="77777777" w:rsidR="00495B99" w:rsidRPr="004F3582" w:rsidRDefault="00495B99" w:rsidP="00495B99">
            <w:pPr>
              <w:autoSpaceDE w:val="0"/>
              <w:autoSpaceDN w:val="0"/>
              <w:adjustRightInd w:val="0"/>
              <w:rPr>
                <w:rFonts w:eastAsia="SimSun"/>
                <w:color w:val="000000"/>
                <w:szCs w:val="22"/>
              </w:rPr>
            </w:pPr>
            <w:r>
              <w:rPr>
                <w:color w:val="000000"/>
                <w:szCs w:val="22"/>
              </w:rPr>
              <w:t>at least 25 to &lt; 35 kg</w:t>
            </w:r>
          </w:p>
        </w:tc>
        <w:tc>
          <w:tcPr>
            <w:tcW w:w="2790" w:type="dxa"/>
          </w:tcPr>
          <w:p w14:paraId="7DE917E9" w14:textId="77777777" w:rsidR="00187713" w:rsidRPr="004F3582" w:rsidRDefault="00495B99" w:rsidP="0000712C">
            <w:pPr>
              <w:autoSpaceDE w:val="0"/>
              <w:autoSpaceDN w:val="0"/>
              <w:adjustRightInd w:val="0"/>
              <w:jc w:val="center"/>
              <w:rPr>
                <w:rFonts w:eastAsia="SimSun"/>
                <w:color w:val="000000"/>
                <w:szCs w:val="22"/>
              </w:rPr>
            </w:pPr>
            <w:r>
              <w:rPr>
                <w:color w:val="000000"/>
                <w:szCs w:val="22"/>
              </w:rPr>
              <w:t>33 (4/12)</w:t>
            </w:r>
          </w:p>
          <w:p w14:paraId="72474013" w14:textId="77777777" w:rsidR="00495B99" w:rsidRPr="004F3582" w:rsidRDefault="00495B99" w:rsidP="0000712C">
            <w:pPr>
              <w:autoSpaceDE w:val="0"/>
              <w:autoSpaceDN w:val="0"/>
              <w:adjustRightInd w:val="0"/>
              <w:jc w:val="center"/>
              <w:rPr>
                <w:rFonts w:eastAsia="SimSun"/>
                <w:color w:val="000000"/>
                <w:szCs w:val="22"/>
              </w:rPr>
            </w:pPr>
          </w:p>
          <w:p w14:paraId="3272119D"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59 (13/22)</w:t>
            </w:r>
          </w:p>
          <w:p w14:paraId="5D1A7F7D"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61 (11/18)</w:t>
            </w:r>
          </w:p>
          <w:p w14:paraId="5C99B4E0"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w:t>
            </w:r>
          </w:p>
        </w:tc>
        <w:tc>
          <w:tcPr>
            <w:tcW w:w="2970" w:type="dxa"/>
          </w:tcPr>
          <w:p w14:paraId="0FBCE6BF" w14:textId="77777777" w:rsidR="00187713" w:rsidRPr="004F3582" w:rsidRDefault="00495B99" w:rsidP="0000712C">
            <w:pPr>
              <w:autoSpaceDE w:val="0"/>
              <w:autoSpaceDN w:val="0"/>
              <w:adjustRightInd w:val="0"/>
              <w:jc w:val="center"/>
              <w:rPr>
                <w:rFonts w:eastAsia="SimSun"/>
                <w:color w:val="000000"/>
                <w:szCs w:val="22"/>
              </w:rPr>
            </w:pPr>
            <w:r>
              <w:rPr>
                <w:color w:val="000000"/>
                <w:szCs w:val="22"/>
              </w:rPr>
              <w:t>52 (17/33)</w:t>
            </w:r>
          </w:p>
          <w:p w14:paraId="5CECDA0B" w14:textId="77777777" w:rsidR="00495B99" w:rsidRPr="004F3582" w:rsidRDefault="00495B99" w:rsidP="0000712C">
            <w:pPr>
              <w:autoSpaceDE w:val="0"/>
              <w:autoSpaceDN w:val="0"/>
              <w:adjustRightInd w:val="0"/>
              <w:jc w:val="center"/>
              <w:rPr>
                <w:rFonts w:eastAsia="SimSun"/>
                <w:color w:val="000000"/>
                <w:szCs w:val="22"/>
              </w:rPr>
            </w:pPr>
          </w:p>
          <w:p w14:paraId="0575BBBB"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35 (6/17)</w:t>
            </w:r>
          </w:p>
          <w:p w14:paraId="10AF9F59"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57 (17/30)</w:t>
            </w:r>
          </w:p>
          <w:p w14:paraId="3C80C577"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50.0 (1/2)</w:t>
            </w:r>
          </w:p>
        </w:tc>
      </w:tr>
      <w:tr w:rsidR="00187713" w:rsidRPr="00324E2C" w14:paraId="64193FC5" w14:textId="77777777" w:rsidTr="0000712C">
        <w:trPr>
          <w:trHeight w:val="155"/>
        </w:trPr>
        <w:tc>
          <w:tcPr>
            <w:tcW w:w="9468" w:type="dxa"/>
            <w:gridSpan w:val="3"/>
          </w:tcPr>
          <w:p w14:paraId="10A6A51F" w14:textId="77777777" w:rsidR="00187713" w:rsidRPr="0096648A" w:rsidRDefault="00187713" w:rsidP="0000712C">
            <w:pPr>
              <w:autoSpaceDE w:val="0"/>
              <w:autoSpaceDN w:val="0"/>
              <w:adjustRightInd w:val="0"/>
              <w:rPr>
                <w:rFonts w:eastAsia="SimSun"/>
                <w:color w:val="000000"/>
                <w:sz w:val="14"/>
                <w:szCs w:val="14"/>
              </w:rPr>
            </w:pPr>
            <w:r>
              <w:rPr>
                <w:b/>
                <w:bCs/>
                <w:color w:val="000000"/>
                <w:szCs w:val="22"/>
              </w:rPr>
              <w:t>HIV RNA &lt;400 copies/ml, %</w:t>
            </w:r>
            <w:r>
              <w:rPr>
                <w:b/>
                <w:bCs/>
                <w:color w:val="000000"/>
                <w:szCs w:val="22"/>
                <w:vertAlign w:val="superscript"/>
              </w:rPr>
              <w:t>a</w:t>
            </w:r>
            <w:r>
              <w:rPr>
                <w:b/>
                <w:bCs/>
                <w:color w:val="000000"/>
                <w:sz w:val="14"/>
                <w:szCs w:val="14"/>
              </w:rPr>
              <w:t xml:space="preserve"> </w:t>
            </w:r>
          </w:p>
        </w:tc>
      </w:tr>
      <w:tr w:rsidR="00187713" w:rsidRPr="004F3582" w14:paraId="6DB51CB4" w14:textId="77777777" w:rsidTr="0000712C">
        <w:trPr>
          <w:trHeight w:val="145"/>
        </w:trPr>
        <w:tc>
          <w:tcPr>
            <w:tcW w:w="3708" w:type="dxa"/>
            <w:tcBorders>
              <w:bottom w:val="single" w:sz="12" w:space="0" w:color="auto"/>
            </w:tcBorders>
          </w:tcPr>
          <w:p w14:paraId="37B05A88" w14:textId="77777777" w:rsidR="00495B99" w:rsidRPr="00D31EBB" w:rsidRDefault="00495B99" w:rsidP="00495B99">
            <w:pPr>
              <w:autoSpaceDE w:val="0"/>
              <w:autoSpaceDN w:val="0"/>
              <w:adjustRightInd w:val="0"/>
              <w:rPr>
                <w:rFonts w:eastAsia="SimSun"/>
                <w:color w:val="000000"/>
                <w:szCs w:val="22"/>
              </w:rPr>
            </w:pPr>
            <w:r>
              <w:rPr>
                <w:color w:val="000000"/>
                <w:szCs w:val="22"/>
              </w:rPr>
              <w:t xml:space="preserve">at least 5 to &lt; 10 kg (REYATAZ 150 and 200 mg) </w:t>
            </w:r>
          </w:p>
          <w:p w14:paraId="038DF7D0" w14:textId="77777777" w:rsidR="00495B99" w:rsidRPr="00D31EBB" w:rsidRDefault="00495B99" w:rsidP="00495B99">
            <w:pPr>
              <w:autoSpaceDE w:val="0"/>
              <w:autoSpaceDN w:val="0"/>
              <w:adjustRightInd w:val="0"/>
              <w:rPr>
                <w:rFonts w:eastAsia="SimSun"/>
                <w:color w:val="000000"/>
                <w:szCs w:val="22"/>
              </w:rPr>
            </w:pPr>
            <w:r>
              <w:rPr>
                <w:color w:val="000000"/>
                <w:szCs w:val="22"/>
              </w:rPr>
              <w:t>at least 10 to &lt; 15 kg</w:t>
            </w:r>
          </w:p>
          <w:p w14:paraId="7868A952" w14:textId="77777777" w:rsidR="00495B99" w:rsidRPr="00D31EBB" w:rsidRDefault="00495B99" w:rsidP="00495B99">
            <w:pPr>
              <w:autoSpaceDE w:val="0"/>
              <w:autoSpaceDN w:val="0"/>
              <w:adjustRightInd w:val="0"/>
              <w:rPr>
                <w:rFonts w:eastAsia="SimSun"/>
                <w:color w:val="000000"/>
                <w:szCs w:val="22"/>
              </w:rPr>
            </w:pPr>
            <w:r>
              <w:rPr>
                <w:color w:val="000000"/>
                <w:szCs w:val="22"/>
              </w:rPr>
              <w:t>at least 15 to &lt; 25 kg</w:t>
            </w:r>
          </w:p>
          <w:p w14:paraId="6234A8EC" w14:textId="77777777" w:rsidR="00187713" w:rsidRPr="004F3582" w:rsidRDefault="00495B99" w:rsidP="00495B99">
            <w:pPr>
              <w:autoSpaceDE w:val="0"/>
              <w:autoSpaceDN w:val="0"/>
              <w:adjustRightInd w:val="0"/>
              <w:rPr>
                <w:rFonts w:eastAsia="SimSun"/>
                <w:color w:val="000000"/>
                <w:szCs w:val="22"/>
              </w:rPr>
            </w:pPr>
            <w:r>
              <w:rPr>
                <w:color w:val="000000"/>
                <w:szCs w:val="22"/>
              </w:rPr>
              <w:t>at least 25 to &lt; 35 kg</w:t>
            </w:r>
          </w:p>
        </w:tc>
        <w:tc>
          <w:tcPr>
            <w:tcW w:w="2790" w:type="dxa"/>
            <w:tcBorders>
              <w:bottom w:val="single" w:sz="12" w:space="0" w:color="auto"/>
            </w:tcBorders>
          </w:tcPr>
          <w:p w14:paraId="19414293" w14:textId="77777777" w:rsidR="00187713" w:rsidRPr="004F3582" w:rsidRDefault="00495B99" w:rsidP="0000712C">
            <w:pPr>
              <w:autoSpaceDE w:val="0"/>
              <w:autoSpaceDN w:val="0"/>
              <w:adjustRightInd w:val="0"/>
              <w:jc w:val="center"/>
              <w:rPr>
                <w:rFonts w:eastAsia="SimSun"/>
                <w:color w:val="000000"/>
                <w:szCs w:val="22"/>
              </w:rPr>
            </w:pPr>
            <w:r>
              <w:rPr>
                <w:color w:val="000000"/>
                <w:szCs w:val="22"/>
              </w:rPr>
              <w:t>75 (9/12)</w:t>
            </w:r>
          </w:p>
          <w:p w14:paraId="77A3B6E6" w14:textId="77777777" w:rsidR="00495B99" w:rsidRPr="004F3582" w:rsidRDefault="00495B99" w:rsidP="0000712C">
            <w:pPr>
              <w:autoSpaceDE w:val="0"/>
              <w:autoSpaceDN w:val="0"/>
              <w:adjustRightInd w:val="0"/>
              <w:jc w:val="center"/>
              <w:rPr>
                <w:rFonts w:eastAsia="SimSun"/>
                <w:color w:val="000000"/>
                <w:szCs w:val="22"/>
              </w:rPr>
            </w:pPr>
          </w:p>
          <w:p w14:paraId="5EAC89EB"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82 (18/22)</w:t>
            </w:r>
          </w:p>
          <w:p w14:paraId="1C33D9A9"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78 (14/18)</w:t>
            </w:r>
          </w:p>
          <w:p w14:paraId="0C31E158"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w:t>
            </w:r>
          </w:p>
        </w:tc>
        <w:tc>
          <w:tcPr>
            <w:tcW w:w="2970" w:type="dxa"/>
            <w:tcBorders>
              <w:bottom w:val="single" w:sz="12" w:space="0" w:color="auto"/>
            </w:tcBorders>
          </w:tcPr>
          <w:p w14:paraId="709EA23D" w14:textId="77777777" w:rsidR="00187713" w:rsidRPr="004F3582" w:rsidRDefault="00495B99" w:rsidP="0000712C">
            <w:pPr>
              <w:autoSpaceDE w:val="0"/>
              <w:autoSpaceDN w:val="0"/>
              <w:adjustRightInd w:val="0"/>
              <w:jc w:val="center"/>
              <w:rPr>
                <w:rFonts w:eastAsia="SimSun"/>
                <w:color w:val="000000"/>
                <w:szCs w:val="22"/>
              </w:rPr>
            </w:pPr>
            <w:r>
              <w:rPr>
                <w:color w:val="000000"/>
                <w:szCs w:val="22"/>
              </w:rPr>
              <w:t>61 (20/33)</w:t>
            </w:r>
          </w:p>
          <w:p w14:paraId="10C303FC" w14:textId="77777777" w:rsidR="00495B99" w:rsidRPr="004F3582" w:rsidRDefault="00495B99" w:rsidP="0000712C">
            <w:pPr>
              <w:autoSpaceDE w:val="0"/>
              <w:autoSpaceDN w:val="0"/>
              <w:adjustRightInd w:val="0"/>
              <w:jc w:val="center"/>
              <w:rPr>
                <w:rFonts w:eastAsia="SimSun"/>
                <w:color w:val="000000"/>
                <w:szCs w:val="22"/>
              </w:rPr>
            </w:pPr>
          </w:p>
          <w:p w14:paraId="247C9DE9"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59 (10/17)</w:t>
            </w:r>
          </w:p>
          <w:p w14:paraId="5BC2B26F"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67 (20/30)</w:t>
            </w:r>
          </w:p>
          <w:p w14:paraId="57442E67" w14:textId="77777777" w:rsidR="00495B99" w:rsidRPr="004F3582" w:rsidRDefault="00495B99" w:rsidP="0000712C">
            <w:pPr>
              <w:autoSpaceDE w:val="0"/>
              <w:autoSpaceDN w:val="0"/>
              <w:adjustRightInd w:val="0"/>
              <w:jc w:val="center"/>
              <w:rPr>
                <w:rFonts w:eastAsia="SimSun"/>
                <w:color w:val="000000"/>
                <w:szCs w:val="22"/>
              </w:rPr>
            </w:pPr>
            <w:r>
              <w:rPr>
                <w:color w:val="000000"/>
                <w:szCs w:val="22"/>
              </w:rPr>
              <w:t>50.0 (1/2)</w:t>
            </w:r>
          </w:p>
        </w:tc>
      </w:tr>
      <w:tr w:rsidR="00187713" w:rsidRPr="00965E20" w14:paraId="1FBB40CD" w14:textId="77777777" w:rsidTr="0000712C">
        <w:trPr>
          <w:trHeight w:val="155"/>
        </w:trPr>
        <w:tc>
          <w:tcPr>
            <w:tcW w:w="9468" w:type="dxa"/>
            <w:gridSpan w:val="3"/>
            <w:tcBorders>
              <w:top w:val="single" w:sz="12" w:space="0" w:color="auto"/>
            </w:tcBorders>
          </w:tcPr>
          <w:p w14:paraId="581B05D2" w14:textId="77777777" w:rsidR="00187713" w:rsidRPr="00D31EBB" w:rsidRDefault="00187713" w:rsidP="0000712C">
            <w:pPr>
              <w:autoSpaceDE w:val="0"/>
              <w:autoSpaceDN w:val="0"/>
              <w:adjustRightInd w:val="0"/>
              <w:rPr>
                <w:rFonts w:eastAsia="SimSun"/>
                <w:color w:val="000000"/>
                <w:sz w:val="14"/>
                <w:szCs w:val="14"/>
              </w:rPr>
            </w:pPr>
            <w:r>
              <w:rPr>
                <w:b/>
                <w:bCs/>
                <w:color w:val="000000"/>
                <w:szCs w:val="22"/>
              </w:rPr>
              <w:t>CD4 Mean Change from Baseline, cells/mm</w:t>
            </w:r>
            <w:r>
              <w:rPr>
                <w:b/>
                <w:bCs/>
                <w:color w:val="000000"/>
                <w:szCs w:val="22"/>
                <w:vertAlign w:val="superscript"/>
              </w:rPr>
              <w:t>3</w:t>
            </w:r>
            <w:r>
              <w:rPr>
                <w:b/>
                <w:bCs/>
                <w:color w:val="000000"/>
                <w:sz w:val="14"/>
                <w:szCs w:val="14"/>
              </w:rPr>
              <w:t xml:space="preserve"> </w:t>
            </w:r>
          </w:p>
        </w:tc>
      </w:tr>
      <w:tr w:rsidR="00187713" w:rsidRPr="004F3582" w14:paraId="25372932" w14:textId="77777777" w:rsidTr="0000712C">
        <w:trPr>
          <w:trHeight w:val="154"/>
        </w:trPr>
        <w:tc>
          <w:tcPr>
            <w:tcW w:w="3708" w:type="dxa"/>
            <w:tcBorders>
              <w:bottom w:val="single" w:sz="12" w:space="0" w:color="auto"/>
            </w:tcBorders>
          </w:tcPr>
          <w:p w14:paraId="6DB1C772" w14:textId="77777777" w:rsidR="00495B99" w:rsidRPr="00D31EBB" w:rsidRDefault="00495B99" w:rsidP="00495B99">
            <w:pPr>
              <w:autoSpaceDE w:val="0"/>
              <w:autoSpaceDN w:val="0"/>
              <w:adjustRightInd w:val="0"/>
              <w:rPr>
                <w:rFonts w:eastAsia="SimSun"/>
                <w:color w:val="000000"/>
                <w:szCs w:val="22"/>
              </w:rPr>
            </w:pPr>
            <w:r>
              <w:rPr>
                <w:color w:val="000000"/>
                <w:szCs w:val="22"/>
              </w:rPr>
              <w:t xml:space="preserve">at least 5 to &lt; 10 kg (REYATAZ 150 and 200 mg) </w:t>
            </w:r>
          </w:p>
          <w:p w14:paraId="583D4B7C" w14:textId="77777777" w:rsidR="00495B99" w:rsidRPr="00D31EBB" w:rsidRDefault="00495B99" w:rsidP="00495B99">
            <w:pPr>
              <w:autoSpaceDE w:val="0"/>
              <w:autoSpaceDN w:val="0"/>
              <w:adjustRightInd w:val="0"/>
              <w:rPr>
                <w:rFonts w:eastAsia="SimSun"/>
                <w:color w:val="000000"/>
                <w:szCs w:val="22"/>
              </w:rPr>
            </w:pPr>
            <w:r>
              <w:rPr>
                <w:color w:val="000000"/>
                <w:szCs w:val="22"/>
              </w:rPr>
              <w:t>at least 10 to &lt; 15 kg</w:t>
            </w:r>
          </w:p>
          <w:p w14:paraId="4285C39E" w14:textId="77777777" w:rsidR="00495B99" w:rsidRPr="00D31EBB" w:rsidRDefault="00495B99" w:rsidP="00495B99">
            <w:pPr>
              <w:autoSpaceDE w:val="0"/>
              <w:autoSpaceDN w:val="0"/>
              <w:adjustRightInd w:val="0"/>
              <w:rPr>
                <w:rFonts w:eastAsia="SimSun"/>
                <w:color w:val="000000"/>
                <w:szCs w:val="22"/>
              </w:rPr>
            </w:pPr>
            <w:r>
              <w:rPr>
                <w:color w:val="000000"/>
                <w:szCs w:val="22"/>
              </w:rPr>
              <w:t>at least 15 to &lt; 25 kg</w:t>
            </w:r>
          </w:p>
          <w:p w14:paraId="20AE49A2" w14:textId="77777777" w:rsidR="00187713" w:rsidRPr="004F3582" w:rsidRDefault="00495B99" w:rsidP="00495B99">
            <w:pPr>
              <w:autoSpaceDE w:val="0"/>
              <w:autoSpaceDN w:val="0"/>
              <w:adjustRightInd w:val="0"/>
              <w:rPr>
                <w:rFonts w:eastAsia="SimSun"/>
                <w:color w:val="000000"/>
                <w:szCs w:val="22"/>
              </w:rPr>
            </w:pPr>
            <w:r>
              <w:rPr>
                <w:color w:val="000000"/>
                <w:szCs w:val="22"/>
              </w:rPr>
              <w:t>at least 25 to &lt; 35 kg</w:t>
            </w:r>
          </w:p>
        </w:tc>
        <w:tc>
          <w:tcPr>
            <w:tcW w:w="2790" w:type="dxa"/>
            <w:tcBorders>
              <w:bottom w:val="single" w:sz="12" w:space="0" w:color="auto"/>
            </w:tcBorders>
          </w:tcPr>
          <w:p w14:paraId="594B9F65" w14:textId="77777777" w:rsidR="00187713" w:rsidRPr="004F3582" w:rsidRDefault="00495B99" w:rsidP="003228A9">
            <w:pPr>
              <w:autoSpaceDE w:val="0"/>
              <w:autoSpaceDN w:val="0"/>
              <w:adjustRightInd w:val="0"/>
              <w:jc w:val="center"/>
              <w:rPr>
                <w:rFonts w:eastAsia="SimSun"/>
                <w:color w:val="000000"/>
                <w:szCs w:val="22"/>
              </w:rPr>
            </w:pPr>
            <w:r>
              <w:rPr>
                <w:color w:val="000000"/>
                <w:szCs w:val="22"/>
              </w:rPr>
              <w:t>293 (n=7)</w:t>
            </w:r>
          </w:p>
          <w:p w14:paraId="452ED3D6" w14:textId="77777777" w:rsidR="00495B99" w:rsidRPr="004F3582" w:rsidRDefault="00495B99" w:rsidP="003228A9">
            <w:pPr>
              <w:autoSpaceDE w:val="0"/>
              <w:autoSpaceDN w:val="0"/>
              <w:adjustRightInd w:val="0"/>
              <w:jc w:val="center"/>
              <w:rPr>
                <w:rFonts w:eastAsia="SimSun"/>
                <w:color w:val="000000"/>
                <w:szCs w:val="22"/>
              </w:rPr>
            </w:pPr>
          </w:p>
          <w:p w14:paraId="30819308" w14:textId="77777777" w:rsidR="00495B99" w:rsidRPr="004F3582" w:rsidRDefault="00495B99" w:rsidP="003228A9">
            <w:pPr>
              <w:autoSpaceDE w:val="0"/>
              <w:autoSpaceDN w:val="0"/>
              <w:adjustRightInd w:val="0"/>
              <w:jc w:val="center"/>
              <w:rPr>
                <w:rFonts w:eastAsia="SimSun"/>
                <w:color w:val="000000"/>
                <w:szCs w:val="22"/>
              </w:rPr>
            </w:pPr>
            <w:r>
              <w:rPr>
                <w:color w:val="000000"/>
                <w:szCs w:val="22"/>
              </w:rPr>
              <w:t>293 (n=11)</w:t>
            </w:r>
          </w:p>
          <w:p w14:paraId="75F26F06" w14:textId="77777777" w:rsidR="00495B99" w:rsidRPr="004F3582" w:rsidRDefault="00495B99" w:rsidP="003228A9">
            <w:pPr>
              <w:autoSpaceDE w:val="0"/>
              <w:autoSpaceDN w:val="0"/>
              <w:adjustRightInd w:val="0"/>
              <w:jc w:val="center"/>
              <w:rPr>
                <w:rFonts w:eastAsia="SimSun"/>
                <w:color w:val="000000"/>
                <w:szCs w:val="22"/>
              </w:rPr>
            </w:pPr>
            <w:r>
              <w:rPr>
                <w:color w:val="000000"/>
                <w:szCs w:val="22"/>
              </w:rPr>
              <w:t>305 (n=9)</w:t>
            </w:r>
          </w:p>
          <w:p w14:paraId="709A2034" w14:textId="77777777" w:rsidR="00495B99" w:rsidRPr="004F3582" w:rsidRDefault="00495B99" w:rsidP="003228A9">
            <w:pPr>
              <w:autoSpaceDE w:val="0"/>
              <w:autoSpaceDN w:val="0"/>
              <w:adjustRightInd w:val="0"/>
              <w:jc w:val="center"/>
              <w:rPr>
                <w:rFonts w:eastAsia="SimSun"/>
                <w:color w:val="000000"/>
                <w:szCs w:val="22"/>
              </w:rPr>
            </w:pPr>
            <w:r>
              <w:rPr>
                <w:color w:val="000000"/>
                <w:szCs w:val="22"/>
              </w:rPr>
              <w:t>-</w:t>
            </w:r>
          </w:p>
        </w:tc>
        <w:tc>
          <w:tcPr>
            <w:tcW w:w="2970" w:type="dxa"/>
            <w:tcBorders>
              <w:bottom w:val="single" w:sz="12" w:space="0" w:color="auto"/>
            </w:tcBorders>
          </w:tcPr>
          <w:p w14:paraId="63D261CD" w14:textId="77777777" w:rsidR="00187713" w:rsidRPr="004F3582" w:rsidRDefault="00B5335E" w:rsidP="003228A9">
            <w:pPr>
              <w:autoSpaceDE w:val="0"/>
              <w:autoSpaceDN w:val="0"/>
              <w:adjustRightInd w:val="0"/>
              <w:jc w:val="center"/>
              <w:rPr>
                <w:rFonts w:eastAsia="SimSun"/>
                <w:color w:val="000000"/>
                <w:szCs w:val="22"/>
              </w:rPr>
            </w:pPr>
            <w:r>
              <w:rPr>
                <w:color w:val="000000"/>
                <w:szCs w:val="22"/>
              </w:rPr>
              <w:t>63 (n=16)</w:t>
            </w:r>
          </w:p>
          <w:p w14:paraId="18FED981" w14:textId="77777777" w:rsidR="00B5335E" w:rsidRPr="004F3582" w:rsidRDefault="00B5335E" w:rsidP="003228A9">
            <w:pPr>
              <w:autoSpaceDE w:val="0"/>
              <w:autoSpaceDN w:val="0"/>
              <w:adjustRightInd w:val="0"/>
              <w:jc w:val="center"/>
              <w:rPr>
                <w:rFonts w:eastAsia="SimSun"/>
                <w:color w:val="000000"/>
                <w:szCs w:val="22"/>
              </w:rPr>
            </w:pPr>
          </w:p>
          <w:p w14:paraId="03EAF026" w14:textId="77777777" w:rsidR="00B5335E" w:rsidRPr="004F3582" w:rsidRDefault="00B5335E" w:rsidP="003228A9">
            <w:pPr>
              <w:autoSpaceDE w:val="0"/>
              <w:autoSpaceDN w:val="0"/>
              <w:adjustRightInd w:val="0"/>
              <w:jc w:val="center"/>
              <w:rPr>
                <w:rFonts w:eastAsia="SimSun"/>
                <w:color w:val="000000"/>
                <w:szCs w:val="22"/>
              </w:rPr>
            </w:pPr>
            <w:r>
              <w:rPr>
                <w:color w:val="000000"/>
                <w:szCs w:val="22"/>
              </w:rPr>
              <w:t>307 (n=8)</w:t>
            </w:r>
          </w:p>
          <w:p w14:paraId="670BA3D1" w14:textId="77777777" w:rsidR="00B5335E" w:rsidRPr="004F3582" w:rsidRDefault="00B5335E" w:rsidP="003228A9">
            <w:pPr>
              <w:autoSpaceDE w:val="0"/>
              <w:autoSpaceDN w:val="0"/>
              <w:adjustRightInd w:val="0"/>
              <w:jc w:val="center"/>
              <w:rPr>
                <w:rFonts w:eastAsia="SimSun"/>
                <w:color w:val="000000"/>
                <w:szCs w:val="22"/>
              </w:rPr>
            </w:pPr>
            <w:r>
              <w:rPr>
                <w:color w:val="000000"/>
                <w:szCs w:val="22"/>
              </w:rPr>
              <w:t>374 (n=12)</w:t>
            </w:r>
          </w:p>
          <w:p w14:paraId="449863BD" w14:textId="77777777" w:rsidR="00B5335E" w:rsidRPr="004F3582" w:rsidRDefault="00B5335E" w:rsidP="003228A9">
            <w:pPr>
              <w:autoSpaceDE w:val="0"/>
              <w:autoSpaceDN w:val="0"/>
              <w:adjustRightInd w:val="0"/>
              <w:jc w:val="center"/>
              <w:rPr>
                <w:rFonts w:eastAsia="SimSun"/>
                <w:color w:val="000000"/>
                <w:szCs w:val="22"/>
              </w:rPr>
            </w:pPr>
            <w:r>
              <w:rPr>
                <w:color w:val="000000"/>
                <w:szCs w:val="22"/>
              </w:rPr>
              <w:t>213 (n=1)</w:t>
            </w:r>
          </w:p>
        </w:tc>
      </w:tr>
    </w:tbl>
    <w:p w14:paraId="50342D58" w14:textId="77777777" w:rsidR="00187713" w:rsidRPr="00D31EBB" w:rsidRDefault="00187713" w:rsidP="00187713">
      <w:pPr>
        <w:pStyle w:val="EMEABodyText"/>
        <w:rPr>
          <w:rFonts w:eastAsia="SimSun"/>
          <w:sz w:val="18"/>
        </w:rPr>
      </w:pPr>
      <w:r>
        <w:rPr>
          <w:sz w:val="18"/>
          <w:vertAlign w:val="superscript"/>
        </w:rPr>
        <w:t>a</w:t>
      </w:r>
      <w:r>
        <w:rPr>
          <w:sz w:val="18"/>
        </w:rPr>
        <w:t xml:space="preserve"> Intent-to-treat analysis, with missing values considered as failures.</w:t>
      </w:r>
    </w:p>
    <w:p w14:paraId="7CBC5C10" w14:textId="77777777" w:rsidR="00187713" w:rsidRPr="00D31EBB" w:rsidRDefault="00187713" w:rsidP="00187713">
      <w:pPr>
        <w:pStyle w:val="EMEABodyText"/>
        <w:rPr>
          <w:lang w:val="en-US"/>
        </w:rPr>
      </w:pPr>
    </w:p>
    <w:p w14:paraId="6124BC82" w14:textId="77777777" w:rsidR="00187713" w:rsidRPr="00D31EBB" w:rsidRDefault="00187713" w:rsidP="00187713">
      <w:pPr>
        <w:pStyle w:val="EMEAHeading2"/>
        <w:rPr>
          <w:noProof/>
        </w:rPr>
      </w:pPr>
      <w:r>
        <w:t>5.2</w:t>
      </w:r>
      <w:r>
        <w:tab/>
        <w:t>Pharmacokinetic properties</w:t>
      </w:r>
    </w:p>
    <w:p w14:paraId="5960BA3E" w14:textId="77777777" w:rsidR="00187713" w:rsidRPr="00D31EBB" w:rsidRDefault="00187713" w:rsidP="00187713">
      <w:pPr>
        <w:pStyle w:val="EMEAHeading2"/>
        <w:rPr>
          <w:iCs/>
          <w:noProof/>
          <w:lang w:val="en-US"/>
        </w:rPr>
      </w:pPr>
    </w:p>
    <w:p w14:paraId="6ED5AF64" w14:textId="77777777" w:rsidR="00187713" w:rsidRPr="00D31EBB" w:rsidRDefault="00187713" w:rsidP="00187713">
      <w:pPr>
        <w:pStyle w:val="EMEABodyText"/>
      </w:pPr>
      <w:r>
        <w:rPr>
          <w:i/>
        </w:rPr>
        <w:t>Absorption:</w:t>
      </w:r>
      <w:r>
        <w:t xml:space="preserve"> in HIV-infected patients (n=33, combined studies), multiple dosing of REYATAZ 300 mg once daily with ritonavir 100 mg once daily with food produced a geometric mean (CV%) for atazanavir, C</w:t>
      </w:r>
      <w:r>
        <w:rPr>
          <w:vertAlign w:val="subscript"/>
        </w:rPr>
        <w:t>max</w:t>
      </w:r>
      <w:r>
        <w:t xml:space="preserve"> of 4466 (42%) ng/ml, with time to C</w:t>
      </w:r>
      <w:r>
        <w:rPr>
          <w:vertAlign w:val="subscript"/>
        </w:rPr>
        <w:t>max</w:t>
      </w:r>
      <w:r>
        <w:t xml:space="preserve"> of approximately 2.5 hours. The geometric mean (CV%) for atazanavir C</w:t>
      </w:r>
      <w:r>
        <w:rPr>
          <w:vertAlign w:val="subscript"/>
        </w:rPr>
        <w:t>min</w:t>
      </w:r>
      <w:r>
        <w:t xml:space="preserve"> and AUC was 654 (76%) ng/ml and 44185 (51%) ng•h/ml, respectively. </w:t>
      </w:r>
    </w:p>
    <w:p w14:paraId="16B68B7D" w14:textId="77777777" w:rsidR="00187713" w:rsidRPr="00D31EBB" w:rsidRDefault="00187713" w:rsidP="00187713">
      <w:pPr>
        <w:pStyle w:val="EMEABodyText"/>
        <w:rPr>
          <w:lang w:val="en-US"/>
        </w:rPr>
      </w:pPr>
    </w:p>
    <w:p w14:paraId="7411ED22" w14:textId="77777777" w:rsidR="00187713" w:rsidRPr="00D31EBB" w:rsidRDefault="00187713" w:rsidP="00187713">
      <w:pPr>
        <w:pStyle w:val="EMEABodyText"/>
      </w:pPr>
      <w:r>
        <w:rPr>
          <w:u w:val="single"/>
        </w:rPr>
        <w:t>Food effect:</w:t>
      </w:r>
      <w:r>
        <w:t xml:space="preserve"> co-administration of REYATAZ and ritonavir with food optimises the bioavailability of atazanavir. Co-administration of a single 300 mg dose of REYATAZ and 100 mg dose of ritonavir with a light meal resulted in a 33% increase in the AUC and a 40% increase in both the C</w:t>
      </w:r>
      <w:r>
        <w:rPr>
          <w:vertAlign w:val="subscript"/>
        </w:rPr>
        <w:t>max</w:t>
      </w:r>
      <w:r>
        <w:t xml:space="preserve"> and the 24 hour concentration of atazanavir relative to the fasting state. Co-administration with a high-fat meal did not affect the AUC of atazanavir relative to fasting conditions and the C</w:t>
      </w:r>
      <w:r>
        <w:rPr>
          <w:vertAlign w:val="subscript"/>
        </w:rPr>
        <w:t>max</w:t>
      </w:r>
      <w:r>
        <w:t xml:space="preserve"> was within 11% of fasting values. The 24 hour concentration following a high fat meal was increased by approximately 33% due to delayed absorption; the median T</w:t>
      </w:r>
      <w:r>
        <w:rPr>
          <w:vertAlign w:val="subscript"/>
        </w:rPr>
        <w:t>max</w:t>
      </w:r>
      <w:r>
        <w:t xml:space="preserve"> increased from 2.0 to 5.0 hours. Administration of REYATAZ with ritonavir with either a light or a high-fat meal decreased the coefficient of variation of AUC and C</w:t>
      </w:r>
      <w:r>
        <w:rPr>
          <w:vertAlign w:val="subscript"/>
        </w:rPr>
        <w:t>max</w:t>
      </w:r>
      <w:r>
        <w:t xml:space="preserve"> by approximately 25% compared to the fasting state. To enhance bioavailability and minimise variability, REYATAZ is to be taken with food.</w:t>
      </w:r>
    </w:p>
    <w:p w14:paraId="6EC3306D" w14:textId="77777777" w:rsidR="00187713" w:rsidRPr="00D31EBB" w:rsidRDefault="00187713" w:rsidP="00187713">
      <w:pPr>
        <w:pStyle w:val="EMEABodyText"/>
        <w:rPr>
          <w:lang w:val="en-US"/>
        </w:rPr>
      </w:pPr>
    </w:p>
    <w:p w14:paraId="5125C832" w14:textId="77777777" w:rsidR="00187713" w:rsidRPr="00D31EBB" w:rsidRDefault="00187713" w:rsidP="00187713">
      <w:pPr>
        <w:pStyle w:val="EMEABodyText"/>
      </w:pPr>
      <w:r>
        <w:rPr>
          <w:i/>
        </w:rPr>
        <w:t>Distribution:</w:t>
      </w:r>
      <w:r>
        <w:t xml:space="preserve"> atazanavir was approximately 86% bound to human serum proteins over a concentration range of 100 to 10,000 ng/ml. Atazanavir binds to both alpha-1-acid glycoprotein (AAG) and albumin to a similar extent (89% and 86%, respectively, at 1,000 ng/ml). In a multiple-dose study in HIV-infected patients dosed with 400 mg of atazanavir once daily with a light meal for 12 weeks, atazanavir was detected in the cerebrospinal fluid and semen. </w:t>
      </w:r>
    </w:p>
    <w:p w14:paraId="317E1715" w14:textId="77777777" w:rsidR="00187713" w:rsidRPr="00D31EBB" w:rsidRDefault="00187713" w:rsidP="00187713">
      <w:pPr>
        <w:pStyle w:val="EMEABodyText"/>
        <w:rPr>
          <w:lang w:val="en-US"/>
        </w:rPr>
      </w:pPr>
    </w:p>
    <w:p w14:paraId="4D485034" w14:textId="77777777" w:rsidR="00187713" w:rsidRPr="00D31EBB" w:rsidRDefault="00187713" w:rsidP="00187713">
      <w:pPr>
        <w:pStyle w:val="EMEABodyText"/>
      </w:pPr>
      <w:r>
        <w:rPr>
          <w:i/>
        </w:rPr>
        <w:t>Metabolism:</w:t>
      </w:r>
      <w:r>
        <w:rPr>
          <w:b/>
        </w:rPr>
        <w:t xml:space="preserve"> </w:t>
      </w:r>
      <w:r>
        <w:t xml:space="preserve">studies in humans and </w:t>
      </w:r>
      <w:r>
        <w:rPr>
          <w:i/>
        </w:rPr>
        <w:t>in vitro</w:t>
      </w:r>
      <w:r>
        <w:t xml:space="preserve"> studies using human liver microsomes have demonstrated that atazanavir is principally metabolised by CYP3A4 isozyme to oxygenated metabolites.</w:t>
      </w:r>
      <w:r>
        <w:rPr>
          <w:u w:val="single"/>
        </w:rPr>
        <w:t xml:space="preserve"> </w:t>
      </w:r>
      <w:r>
        <w:t xml:space="preserve">Metabolites are then excreted in the bile as either free or glucuronidated metabolites. Additional minor metabolic pathways consist of N-dealkylation and hydrolysis. Two minor metabolites of atazanavir in plasma have been characterised. Neither metabolite demonstrated </w:t>
      </w:r>
      <w:r>
        <w:rPr>
          <w:i/>
        </w:rPr>
        <w:t>in vitro</w:t>
      </w:r>
      <w:r>
        <w:t xml:space="preserve"> antiviral activity.</w:t>
      </w:r>
    </w:p>
    <w:p w14:paraId="6A39B0FB" w14:textId="77777777" w:rsidR="00187713" w:rsidRPr="00D31EBB" w:rsidRDefault="00187713" w:rsidP="00187713">
      <w:pPr>
        <w:pStyle w:val="EMEABodyText"/>
        <w:rPr>
          <w:lang w:val="en-US"/>
        </w:rPr>
      </w:pPr>
    </w:p>
    <w:p w14:paraId="42478212" w14:textId="77777777" w:rsidR="00187713" w:rsidRPr="00D31EBB" w:rsidRDefault="00187713" w:rsidP="00187713">
      <w:pPr>
        <w:pStyle w:val="EMEABodyText"/>
      </w:pPr>
      <w:r>
        <w:rPr>
          <w:i/>
        </w:rPr>
        <w:t>Elimination:</w:t>
      </w:r>
      <w:r>
        <w:t xml:space="preserve"> following a single 400 mg dose of </w:t>
      </w:r>
      <w:r>
        <w:rPr>
          <w:vertAlign w:val="superscript"/>
        </w:rPr>
        <w:t>14</w:t>
      </w:r>
      <w:r>
        <w:t>C-atazanavir, 79% and 13% of the total radioactivity was recovered in the faeces and urine, respectively. Unchanged drug accounted for approximately 20% and 7% of the administered dose in the faeces and urine, respectively. Mean urinary excretion of unchanged drug was 7% following 2 weeks of dosing at 800 mg once daily. In HIV-infected adult patients (n=33, combined studies) the mean half-life within a dosing interval for atazanavir was 12 hours at steady state following a dose of 300 mg daily with ritonavir 100 mg once daily with a light meal.</w:t>
      </w:r>
    </w:p>
    <w:p w14:paraId="4C55D42A" w14:textId="77777777" w:rsidR="00656E99" w:rsidRPr="00D31EBB" w:rsidRDefault="00656E99" w:rsidP="00187713">
      <w:pPr>
        <w:pStyle w:val="EMEABodyText"/>
        <w:rPr>
          <w:lang w:val="en-US"/>
        </w:rPr>
      </w:pPr>
    </w:p>
    <w:p w14:paraId="13B9311E" w14:textId="77777777" w:rsidR="00187713" w:rsidRPr="00D31EBB" w:rsidRDefault="00187713" w:rsidP="00187713">
      <w:pPr>
        <w:pStyle w:val="EMEABodyText"/>
      </w:pPr>
      <w:r>
        <w:rPr>
          <w:i/>
        </w:rPr>
        <w:t>Linearity/non-linearity:</w:t>
      </w:r>
      <w:r>
        <w:t xml:space="preserve"> the pharmacokinetics of atazanavir were evaluated in healthy adult volunteers and in HIV infected patients; significant differences were observed between the two groups. The pharmacokinetics of atazanavir exhibit a non-linear disposition.</w:t>
      </w:r>
    </w:p>
    <w:p w14:paraId="429E07EB" w14:textId="77777777" w:rsidR="00187713" w:rsidRPr="00D31EBB" w:rsidRDefault="00187713" w:rsidP="00187713">
      <w:pPr>
        <w:pStyle w:val="EMEABodyText"/>
        <w:rPr>
          <w:lang w:val="en-US"/>
        </w:rPr>
      </w:pPr>
    </w:p>
    <w:p w14:paraId="43A288CE" w14:textId="77777777" w:rsidR="00187713" w:rsidRPr="00D31EBB" w:rsidRDefault="00187713" w:rsidP="00187713">
      <w:pPr>
        <w:pStyle w:val="EMEABodyText"/>
        <w:keepNext/>
      </w:pPr>
      <w:r>
        <w:rPr>
          <w:u w:val="single"/>
        </w:rPr>
        <w:t>Special populations</w:t>
      </w:r>
    </w:p>
    <w:p w14:paraId="4D6716C9" w14:textId="77777777" w:rsidR="00187713" w:rsidRPr="00D31EBB" w:rsidRDefault="00187713" w:rsidP="00187713">
      <w:pPr>
        <w:pStyle w:val="EMEABodyText"/>
        <w:rPr>
          <w:lang w:val="en-US"/>
        </w:rPr>
      </w:pPr>
    </w:p>
    <w:p w14:paraId="06E1EF98" w14:textId="77777777" w:rsidR="00187713" w:rsidRPr="00D31EBB" w:rsidRDefault="00187713" w:rsidP="00187713">
      <w:pPr>
        <w:pStyle w:val="EMEABodyText"/>
      </w:pPr>
      <w:r>
        <w:rPr>
          <w:i/>
        </w:rPr>
        <w:t>Renal impairment</w:t>
      </w:r>
      <w:r>
        <w:t>: in healthy subjects, the renal elimination of unchanged atazanavir was approximately 7% of the administered dose. There are no pharmacokinetic data available for REYATAZ with ritonavir in patients with renal insufficiency. REYATAZ (without ritonavir) has been studied in adult patients with severe renal impairment (n=20), including those on haemodialysis, at multiple doses of 400 mg once daily. Although this study presented some limitations (i.e., unbound drug concentrations not studied), results suggested that the atazanavir pharmacokinetic parameters were decreased by 30% to 50% in patients undergoing haemodialysis compared to patients with normal renal function. The mechanism of this decrease is unknown (see sections 4.2 and 4.4.).</w:t>
      </w:r>
    </w:p>
    <w:p w14:paraId="24B15424" w14:textId="77777777" w:rsidR="00187713" w:rsidRPr="00D31EBB" w:rsidRDefault="00187713" w:rsidP="00187713">
      <w:pPr>
        <w:pStyle w:val="EMEABodyText"/>
        <w:rPr>
          <w:lang w:val="en-US"/>
        </w:rPr>
      </w:pPr>
    </w:p>
    <w:p w14:paraId="41F5AC37" w14:textId="77777777" w:rsidR="00187713" w:rsidRPr="00D31EBB" w:rsidRDefault="00187713" w:rsidP="00187713">
      <w:pPr>
        <w:pStyle w:val="EMEABodyText"/>
      </w:pPr>
      <w:r>
        <w:rPr>
          <w:i/>
        </w:rPr>
        <w:t>Hepatic impairment</w:t>
      </w:r>
      <w:r>
        <w:t>: atazanavir is metabolised and eliminated primarily by the liver. The effects of hepatic impairment on the pharmacokinetics of atazanavir after a 300 mg dose with ritonavir have not been studied. Concentrations of atazanavir with or without ritonavir are expected to be increased in patients with moderately or severely impaired hepatic function (see sections 4.2, 4.3, and 4.4).</w:t>
      </w:r>
    </w:p>
    <w:p w14:paraId="08DC8A3B" w14:textId="77777777" w:rsidR="00187713" w:rsidRPr="00D31EBB" w:rsidRDefault="00187713" w:rsidP="00187713">
      <w:pPr>
        <w:pStyle w:val="EMEABodyText"/>
        <w:rPr>
          <w:i/>
          <w:lang w:val="en-US"/>
        </w:rPr>
      </w:pPr>
    </w:p>
    <w:p w14:paraId="0FAFC185" w14:textId="77777777" w:rsidR="00187713" w:rsidRPr="00D31EBB" w:rsidRDefault="00187713" w:rsidP="00187713">
      <w:pPr>
        <w:pStyle w:val="EMEABodyText"/>
      </w:pPr>
      <w:r>
        <w:rPr>
          <w:i/>
        </w:rPr>
        <w:t>Age/Gender:</w:t>
      </w:r>
      <w:r>
        <w:t xml:space="preserve"> a study of the pharmacokinetics of atazanavir was performed in 59 healthy male and female subjects (29 young, 30 elderly). There were no clinically important pharmacokinetic differences based on age or gender.</w:t>
      </w:r>
    </w:p>
    <w:p w14:paraId="649FB4C0" w14:textId="77777777" w:rsidR="00187713" w:rsidRPr="00D31EBB" w:rsidRDefault="00187713" w:rsidP="00187713">
      <w:pPr>
        <w:pStyle w:val="EMEABodyText"/>
        <w:rPr>
          <w:lang w:val="en-US"/>
        </w:rPr>
      </w:pPr>
    </w:p>
    <w:p w14:paraId="5DE614BF" w14:textId="77777777" w:rsidR="00187713" w:rsidRPr="00D31EBB" w:rsidRDefault="00187713" w:rsidP="00187713">
      <w:pPr>
        <w:pStyle w:val="EMEABodyText"/>
      </w:pPr>
      <w:r>
        <w:rPr>
          <w:i/>
        </w:rPr>
        <w:t>Race:</w:t>
      </w:r>
      <w:r>
        <w:t xml:space="preserve"> a population pharmacokinetic analysis of samples from Phase II clinical trials indicated no effect of race on the pharmacokinetics of atazanavir.</w:t>
      </w:r>
    </w:p>
    <w:p w14:paraId="5EB6CBE9" w14:textId="77777777" w:rsidR="00187713" w:rsidRPr="00D31EBB" w:rsidRDefault="00187713" w:rsidP="00187713">
      <w:pPr>
        <w:pStyle w:val="EMEABodyText"/>
        <w:rPr>
          <w:lang w:val="en-US"/>
        </w:rPr>
      </w:pPr>
    </w:p>
    <w:p w14:paraId="25B99265" w14:textId="77777777" w:rsidR="00187713" w:rsidRPr="00D31EBB" w:rsidRDefault="00187713" w:rsidP="00187713">
      <w:pPr>
        <w:pStyle w:val="EMEABodyText"/>
        <w:rPr>
          <w:i/>
        </w:rPr>
      </w:pPr>
      <w:r>
        <w:rPr>
          <w:i/>
        </w:rPr>
        <w:t>Pregnancy:</w:t>
      </w:r>
    </w:p>
    <w:p w14:paraId="5B3203FB" w14:textId="77777777" w:rsidR="00187713" w:rsidRPr="00D31EBB" w:rsidRDefault="00187713" w:rsidP="00187713">
      <w:pPr>
        <w:pStyle w:val="EMEABodyText"/>
      </w:pPr>
      <w:r>
        <w:t>The pharmacokinetic data from HIV-infected pregnant women receiving REYATAZ capsules with ritonavir are presented in Table 9.</w:t>
      </w:r>
    </w:p>
    <w:p w14:paraId="28CFA57A" w14:textId="77777777" w:rsidR="00187713" w:rsidRPr="00D31EBB" w:rsidRDefault="00187713" w:rsidP="00187713">
      <w:pPr>
        <w:pStyle w:val="EMEABodyText"/>
        <w:rPr>
          <w:lang w:val="en-US"/>
        </w:rPr>
      </w:pPr>
    </w:p>
    <w:p w14:paraId="410C055F" w14:textId="77777777" w:rsidR="00187713" w:rsidRPr="00D31EBB" w:rsidRDefault="00187713" w:rsidP="00AE21FD">
      <w:pPr>
        <w:pStyle w:val="EMEABodyText"/>
        <w:keepNext/>
        <w:keepLines/>
        <w:rPr>
          <w:b/>
        </w:rPr>
      </w:pPr>
      <w:r>
        <w:rPr>
          <w:b/>
        </w:rPr>
        <w:t>Table 9:</w:t>
      </w:r>
      <w:r>
        <w:rPr>
          <w:b/>
        </w:rPr>
        <w:tab/>
        <w:t>Steady-State Pharmacokinetics of Atazanavir with ritonavir in HIV-Infected Pregnant Women in the Fed State</w:t>
      </w:r>
    </w:p>
    <w:p w14:paraId="0536F55E" w14:textId="77777777" w:rsidR="00187713" w:rsidRPr="00D31EBB" w:rsidRDefault="00187713" w:rsidP="00AE21FD">
      <w:pPr>
        <w:pStyle w:val="EMEABodyText"/>
        <w:keepNext/>
        <w:keepLines/>
        <w:rPr>
          <w:lang w:val="en-US"/>
        </w:rPr>
      </w:pPr>
    </w:p>
    <w:tbl>
      <w:tblPr>
        <w:tblW w:w="8931" w:type="dxa"/>
        <w:tblInd w:w="108" w:type="dxa"/>
        <w:tblBorders>
          <w:insideV w:val="single" w:sz="4" w:space="0" w:color="auto"/>
        </w:tblBorders>
        <w:tblLook w:val="01E0" w:firstRow="1" w:lastRow="1" w:firstColumn="1" w:lastColumn="1" w:noHBand="0" w:noVBand="0"/>
      </w:tblPr>
      <w:tblGrid>
        <w:gridCol w:w="2880"/>
        <w:gridCol w:w="2017"/>
        <w:gridCol w:w="2017"/>
        <w:gridCol w:w="2017"/>
      </w:tblGrid>
      <w:tr w:rsidR="00187713" w:rsidRPr="00965E20" w14:paraId="24EAA647" w14:textId="77777777" w:rsidTr="00AE21FD">
        <w:trPr>
          <w:cantSplit/>
          <w:trHeight w:val="415"/>
        </w:trPr>
        <w:tc>
          <w:tcPr>
            <w:tcW w:w="2880" w:type="dxa"/>
            <w:tcBorders>
              <w:top w:val="single" w:sz="4" w:space="0" w:color="auto"/>
              <w:left w:val="single" w:sz="4" w:space="0" w:color="auto"/>
              <w:bottom w:val="single" w:sz="4" w:space="0" w:color="auto"/>
              <w:right w:val="single" w:sz="4" w:space="0" w:color="auto"/>
            </w:tcBorders>
            <w:vAlign w:val="center"/>
          </w:tcPr>
          <w:p w14:paraId="286FC12F" w14:textId="77777777" w:rsidR="00187713" w:rsidRPr="00D31EBB" w:rsidRDefault="00187713" w:rsidP="00AE21FD">
            <w:pPr>
              <w:pStyle w:val="EMEABodyText"/>
              <w:keepNext/>
              <w:keepLines/>
              <w:rPr>
                <w:lang w:val="en-US"/>
              </w:rPr>
            </w:pPr>
          </w:p>
        </w:tc>
        <w:tc>
          <w:tcPr>
            <w:tcW w:w="6051" w:type="dxa"/>
            <w:gridSpan w:val="3"/>
            <w:tcBorders>
              <w:top w:val="single" w:sz="4" w:space="0" w:color="auto"/>
              <w:left w:val="single" w:sz="4" w:space="0" w:color="auto"/>
              <w:bottom w:val="single" w:sz="4" w:space="0" w:color="auto"/>
              <w:right w:val="single" w:sz="4" w:space="0" w:color="auto"/>
            </w:tcBorders>
            <w:vAlign w:val="center"/>
          </w:tcPr>
          <w:p w14:paraId="6252FE17" w14:textId="77777777" w:rsidR="00187713" w:rsidRPr="00D31EBB" w:rsidRDefault="00187713" w:rsidP="00AE21FD">
            <w:pPr>
              <w:pStyle w:val="EMEABodyText"/>
              <w:keepNext/>
              <w:keepLines/>
              <w:jc w:val="center"/>
              <w:rPr>
                <w:b/>
              </w:rPr>
            </w:pPr>
            <w:r>
              <w:rPr>
                <w:b/>
              </w:rPr>
              <w:t>atazanavir 300 mg with ritonavir 100 mg</w:t>
            </w:r>
          </w:p>
        </w:tc>
      </w:tr>
      <w:tr w:rsidR="00187713" w:rsidRPr="004F3582" w14:paraId="738D77B0" w14:textId="77777777" w:rsidTr="00AE21FD">
        <w:trPr>
          <w:cantSplit/>
          <w:trHeight w:val="555"/>
        </w:trPr>
        <w:tc>
          <w:tcPr>
            <w:tcW w:w="2880" w:type="dxa"/>
            <w:tcBorders>
              <w:top w:val="single" w:sz="4" w:space="0" w:color="auto"/>
              <w:left w:val="single" w:sz="4" w:space="0" w:color="auto"/>
              <w:bottom w:val="single" w:sz="4" w:space="0" w:color="auto"/>
              <w:right w:val="single" w:sz="4" w:space="0" w:color="auto"/>
            </w:tcBorders>
            <w:vAlign w:val="center"/>
          </w:tcPr>
          <w:p w14:paraId="58F9B72D" w14:textId="77777777" w:rsidR="00187713" w:rsidRPr="004F3582" w:rsidRDefault="00187713" w:rsidP="00AE21FD">
            <w:pPr>
              <w:pStyle w:val="EMEABodyText"/>
              <w:keepNext/>
              <w:keepLines/>
              <w:rPr>
                <w:b/>
              </w:rPr>
            </w:pPr>
            <w:r>
              <w:rPr>
                <w:b/>
              </w:rPr>
              <w:t>Pharmacokinetic Parameter</w:t>
            </w:r>
          </w:p>
        </w:tc>
        <w:tc>
          <w:tcPr>
            <w:tcW w:w="2017" w:type="dxa"/>
            <w:tcBorders>
              <w:top w:val="single" w:sz="4" w:space="0" w:color="auto"/>
              <w:left w:val="single" w:sz="4" w:space="0" w:color="auto"/>
              <w:bottom w:val="single" w:sz="4" w:space="0" w:color="auto"/>
              <w:right w:val="single" w:sz="4" w:space="0" w:color="auto"/>
            </w:tcBorders>
            <w:vAlign w:val="center"/>
          </w:tcPr>
          <w:p w14:paraId="7EF51AD3" w14:textId="77777777" w:rsidR="00187713" w:rsidRPr="004F3582" w:rsidRDefault="00187713" w:rsidP="00AE21FD">
            <w:pPr>
              <w:pStyle w:val="EMEABodyText"/>
              <w:keepNext/>
              <w:keepLines/>
              <w:jc w:val="center"/>
              <w:rPr>
                <w:b/>
                <w:szCs w:val="22"/>
              </w:rPr>
            </w:pPr>
            <w:r>
              <w:rPr>
                <w:b/>
                <w:szCs w:val="22"/>
              </w:rPr>
              <w:t>2nd Trimester</w:t>
            </w:r>
          </w:p>
          <w:p w14:paraId="1C131CEC" w14:textId="77777777" w:rsidR="00187713" w:rsidRPr="004F3582" w:rsidRDefault="00187713" w:rsidP="00AE21FD">
            <w:pPr>
              <w:pStyle w:val="EMEABodyText"/>
              <w:keepNext/>
              <w:keepLines/>
              <w:jc w:val="center"/>
              <w:rPr>
                <w:szCs w:val="22"/>
              </w:rPr>
            </w:pPr>
            <w:r>
              <w:t>(n=9)</w:t>
            </w:r>
          </w:p>
        </w:tc>
        <w:tc>
          <w:tcPr>
            <w:tcW w:w="2017" w:type="dxa"/>
            <w:tcBorders>
              <w:top w:val="single" w:sz="4" w:space="0" w:color="auto"/>
              <w:left w:val="single" w:sz="4" w:space="0" w:color="auto"/>
              <w:bottom w:val="single" w:sz="4" w:space="0" w:color="auto"/>
              <w:right w:val="single" w:sz="4" w:space="0" w:color="auto"/>
            </w:tcBorders>
            <w:vAlign w:val="center"/>
          </w:tcPr>
          <w:p w14:paraId="24493E69" w14:textId="77777777" w:rsidR="00187713" w:rsidRPr="004F3582" w:rsidRDefault="00187713" w:rsidP="00AE21FD">
            <w:pPr>
              <w:pStyle w:val="EMEABodyText"/>
              <w:keepNext/>
              <w:keepLines/>
              <w:jc w:val="center"/>
              <w:rPr>
                <w:b/>
                <w:szCs w:val="22"/>
              </w:rPr>
            </w:pPr>
            <w:r>
              <w:rPr>
                <w:b/>
                <w:szCs w:val="22"/>
              </w:rPr>
              <w:t>3rd Trimester</w:t>
            </w:r>
          </w:p>
          <w:p w14:paraId="28EC1039" w14:textId="77777777" w:rsidR="00187713" w:rsidRPr="004F3582" w:rsidRDefault="00187713" w:rsidP="00AE21FD">
            <w:pPr>
              <w:pStyle w:val="EMEABodyText"/>
              <w:keepNext/>
              <w:keepLines/>
              <w:jc w:val="center"/>
              <w:rPr>
                <w:szCs w:val="22"/>
              </w:rPr>
            </w:pPr>
            <w:r>
              <w:t>(n=20)</w:t>
            </w:r>
          </w:p>
        </w:tc>
        <w:tc>
          <w:tcPr>
            <w:tcW w:w="2017" w:type="dxa"/>
            <w:tcBorders>
              <w:top w:val="single" w:sz="4" w:space="0" w:color="auto"/>
              <w:left w:val="single" w:sz="4" w:space="0" w:color="auto"/>
              <w:bottom w:val="single" w:sz="4" w:space="0" w:color="auto"/>
              <w:right w:val="single" w:sz="4" w:space="0" w:color="auto"/>
            </w:tcBorders>
            <w:vAlign w:val="center"/>
          </w:tcPr>
          <w:p w14:paraId="03371887" w14:textId="77777777" w:rsidR="00187713" w:rsidRPr="004F3582" w:rsidRDefault="00187713" w:rsidP="00AE21FD">
            <w:pPr>
              <w:pStyle w:val="EMEABodyText"/>
              <w:keepNext/>
              <w:keepLines/>
              <w:jc w:val="center"/>
              <w:rPr>
                <w:b/>
                <w:szCs w:val="22"/>
              </w:rPr>
            </w:pPr>
            <w:r>
              <w:rPr>
                <w:b/>
                <w:szCs w:val="22"/>
              </w:rPr>
              <w:t>postpartum</w:t>
            </w:r>
            <w:r>
              <w:rPr>
                <w:b/>
                <w:szCs w:val="22"/>
                <w:vertAlign w:val="superscript"/>
              </w:rPr>
              <w:t>a</w:t>
            </w:r>
          </w:p>
          <w:p w14:paraId="73B4A0E5" w14:textId="77777777" w:rsidR="00187713" w:rsidRPr="004F3582" w:rsidRDefault="00187713" w:rsidP="00AE21FD">
            <w:pPr>
              <w:pStyle w:val="EMEABodyText"/>
              <w:keepNext/>
              <w:keepLines/>
              <w:jc w:val="center"/>
              <w:rPr>
                <w:szCs w:val="22"/>
              </w:rPr>
            </w:pPr>
            <w:r>
              <w:t>(n=36)</w:t>
            </w:r>
          </w:p>
        </w:tc>
      </w:tr>
      <w:tr w:rsidR="00187713" w:rsidRPr="004F3582" w14:paraId="44301AC9" w14:textId="77777777" w:rsidTr="0000712C">
        <w:trPr>
          <w:cantSplit/>
          <w:trHeight w:val="555"/>
        </w:trPr>
        <w:tc>
          <w:tcPr>
            <w:tcW w:w="2880" w:type="dxa"/>
            <w:tcBorders>
              <w:top w:val="single" w:sz="4" w:space="0" w:color="auto"/>
              <w:left w:val="single" w:sz="4" w:space="0" w:color="auto"/>
              <w:bottom w:val="single" w:sz="4" w:space="0" w:color="auto"/>
              <w:right w:val="single" w:sz="4" w:space="0" w:color="auto"/>
            </w:tcBorders>
            <w:vAlign w:val="center"/>
          </w:tcPr>
          <w:p w14:paraId="15358D81" w14:textId="77777777" w:rsidR="00187713" w:rsidRPr="00D31EBB" w:rsidRDefault="00187713" w:rsidP="00AE21FD">
            <w:pPr>
              <w:pStyle w:val="EMEABodyText"/>
              <w:keepNext/>
              <w:keepLines/>
            </w:pPr>
            <w:r>
              <w:t>C</w:t>
            </w:r>
            <w:r>
              <w:rPr>
                <w:vertAlign w:val="subscript"/>
              </w:rPr>
              <w:t>max</w:t>
            </w:r>
            <w:r>
              <w:t xml:space="preserve"> ng/mL</w:t>
            </w:r>
          </w:p>
          <w:p w14:paraId="42825D5D" w14:textId="77777777" w:rsidR="00187713" w:rsidRPr="00D31EBB" w:rsidRDefault="00187713" w:rsidP="00AE21FD">
            <w:pPr>
              <w:pStyle w:val="EMEABodyText"/>
              <w:keepNext/>
              <w:keepLines/>
              <w:rPr>
                <w:sz w:val="20"/>
              </w:rPr>
            </w:pPr>
            <w:r>
              <w:rPr>
                <w:sz w:val="20"/>
              </w:rPr>
              <w:tab/>
              <w:t>Geometric mean (CV%)</w:t>
            </w:r>
          </w:p>
        </w:tc>
        <w:tc>
          <w:tcPr>
            <w:tcW w:w="2017" w:type="dxa"/>
            <w:tcBorders>
              <w:top w:val="single" w:sz="4" w:space="0" w:color="auto"/>
              <w:left w:val="single" w:sz="4" w:space="0" w:color="auto"/>
              <w:bottom w:val="single" w:sz="4" w:space="0" w:color="auto"/>
              <w:right w:val="single" w:sz="4" w:space="0" w:color="auto"/>
            </w:tcBorders>
            <w:vAlign w:val="center"/>
          </w:tcPr>
          <w:p w14:paraId="1E4487E9" w14:textId="77777777" w:rsidR="00187713" w:rsidRPr="00656E99" w:rsidRDefault="00187713" w:rsidP="00AE21FD">
            <w:pPr>
              <w:pStyle w:val="EMEABodyText"/>
              <w:keepNext/>
              <w:keepLines/>
              <w:jc w:val="center"/>
            </w:pPr>
            <w:r>
              <w:t>3729.09</w:t>
            </w:r>
          </w:p>
          <w:p w14:paraId="461EC84A" w14:textId="77777777" w:rsidR="00187713" w:rsidRPr="00656E99" w:rsidRDefault="00187713" w:rsidP="00AE21FD">
            <w:pPr>
              <w:pStyle w:val="EMEABodyText"/>
              <w:keepNext/>
              <w:keepLines/>
              <w:jc w:val="center"/>
            </w:pPr>
            <w:r>
              <w:t>(39)</w:t>
            </w:r>
          </w:p>
        </w:tc>
        <w:tc>
          <w:tcPr>
            <w:tcW w:w="2017" w:type="dxa"/>
            <w:tcBorders>
              <w:top w:val="single" w:sz="4" w:space="0" w:color="auto"/>
              <w:left w:val="single" w:sz="4" w:space="0" w:color="auto"/>
              <w:bottom w:val="single" w:sz="4" w:space="0" w:color="auto"/>
              <w:right w:val="single" w:sz="4" w:space="0" w:color="auto"/>
            </w:tcBorders>
            <w:vAlign w:val="center"/>
          </w:tcPr>
          <w:p w14:paraId="25F6A623" w14:textId="77777777" w:rsidR="00187713" w:rsidRPr="00656E99" w:rsidRDefault="00187713" w:rsidP="00AE21FD">
            <w:pPr>
              <w:pStyle w:val="EMEABodyText"/>
              <w:keepNext/>
              <w:keepLines/>
              <w:jc w:val="center"/>
            </w:pPr>
            <w:r>
              <w:t>3291.46</w:t>
            </w:r>
          </w:p>
          <w:p w14:paraId="02504BBC" w14:textId="77777777" w:rsidR="00187713" w:rsidRPr="00656E99" w:rsidRDefault="00187713" w:rsidP="00AE21FD">
            <w:pPr>
              <w:pStyle w:val="EMEABodyText"/>
              <w:keepNext/>
              <w:keepLines/>
              <w:jc w:val="center"/>
            </w:pPr>
            <w:r>
              <w:t>(48)</w:t>
            </w:r>
          </w:p>
        </w:tc>
        <w:tc>
          <w:tcPr>
            <w:tcW w:w="2017" w:type="dxa"/>
            <w:tcBorders>
              <w:top w:val="single" w:sz="4" w:space="0" w:color="auto"/>
              <w:left w:val="single" w:sz="4" w:space="0" w:color="auto"/>
              <w:bottom w:val="single" w:sz="4" w:space="0" w:color="auto"/>
              <w:right w:val="single" w:sz="4" w:space="0" w:color="auto"/>
            </w:tcBorders>
            <w:vAlign w:val="center"/>
          </w:tcPr>
          <w:p w14:paraId="5D76158E" w14:textId="77777777" w:rsidR="00187713" w:rsidRPr="004F3582" w:rsidRDefault="00187713" w:rsidP="00AE21FD">
            <w:pPr>
              <w:pStyle w:val="EMEABodyText"/>
              <w:keepNext/>
              <w:keepLines/>
              <w:jc w:val="center"/>
            </w:pPr>
            <w:r>
              <w:t>5649.10</w:t>
            </w:r>
          </w:p>
          <w:p w14:paraId="1625D384" w14:textId="77777777" w:rsidR="00187713" w:rsidRPr="004F3582" w:rsidRDefault="00187713" w:rsidP="00AE21FD">
            <w:pPr>
              <w:pStyle w:val="EMEABodyText"/>
              <w:keepNext/>
              <w:keepLines/>
              <w:jc w:val="center"/>
            </w:pPr>
            <w:r>
              <w:t>(31)</w:t>
            </w:r>
          </w:p>
        </w:tc>
      </w:tr>
      <w:tr w:rsidR="00187713" w:rsidRPr="004F3582" w14:paraId="165AB323" w14:textId="77777777" w:rsidTr="00AE21FD">
        <w:trPr>
          <w:cantSplit/>
          <w:trHeight w:val="555"/>
        </w:trPr>
        <w:tc>
          <w:tcPr>
            <w:tcW w:w="2880" w:type="dxa"/>
            <w:tcBorders>
              <w:top w:val="single" w:sz="4" w:space="0" w:color="auto"/>
              <w:left w:val="single" w:sz="4" w:space="0" w:color="auto"/>
              <w:bottom w:val="single" w:sz="4" w:space="0" w:color="auto"/>
              <w:right w:val="single" w:sz="4" w:space="0" w:color="auto"/>
            </w:tcBorders>
            <w:vAlign w:val="center"/>
          </w:tcPr>
          <w:p w14:paraId="048074D4" w14:textId="77777777" w:rsidR="00187713" w:rsidRPr="00D31EBB" w:rsidRDefault="00187713" w:rsidP="00AE21FD">
            <w:pPr>
              <w:pStyle w:val="EMEABodyText"/>
              <w:keepNext/>
              <w:keepLines/>
            </w:pPr>
            <w:r>
              <w:t>AUC ng•h/mL</w:t>
            </w:r>
          </w:p>
          <w:p w14:paraId="4F0E9A65" w14:textId="77777777" w:rsidR="00187713" w:rsidRPr="00D31EBB" w:rsidRDefault="00187713" w:rsidP="00AE21FD">
            <w:pPr>
              <w:pStyle w:val="EMEABodyText"/>
              <w:keepNext/>
              <w:keepLines/>
              <w:rPr>
                <w:sz w:val="20"/>
              </w:rPr>
            </w:pPr>
            <w:r>
              <w:rPr>
                <w:sz w:val="20"/>
              </w:rPr>
              <w:tab/>
              <w:t>Geometric mean (CV%)</w:t>
            </w:r>
          </w:p>
        </w:tc>
        <w:tc>
          <w:tcPr>
            <w:tcW w:w="2017" w:type="dxa"/>
            <w:tcBorders>
              <w:top w:val="single" w:sz="4" w:space="0" w:color="auto"/>
              <w:left w:val="single" w:sz="4" w:space="0" w:color="auto"/>
              <w:bottom w:val="single" w:sz="4" w:space="0" w:color="auto"/>
              <w:right w:val="single" w:sz="4" w:space="0" w:color="auto"/>
            </w:tcBorders>
            <w:vAlign w:val="center"/>
          </w:tcPr>
          <w:p w14:paraId="7E45E310" w14:textId="77777777" w:rsidR="00187713" w:rsidRPr="00656E99" w:rsidRDefault="00187713" w:rsidP="00AE21FD">
            <w:pPr>
              <w:pStyle w:val="EMEABodyText"/>
              <w:keepNext/>
              <w:keepLines/>
              <w:jc w:val="center"/>
            </w:pPr>
            <w:r>
              <w:t>34399.1</w:t>
            </w:r>
          </w:p>
          <w:p w14:paraId="5A24DCDD" w14:textId="77777777" w:rsidR="00187713" w:rsidRPr="00656E99" w:rsidRDefault="00187713" w:rsidP="00AE21FD">
            <w:pPr>
              <w:pStyle w:val="EMEABodyText"/>
              <w:keepNext/>
              <w:keepLines/>
              <w:jc w:val="center"/>
            </w:pPr>
            <w:r>
              <w:t>(37)</w:t>
            </w:r>
          </w:p>
        </w:tc>
        <w:tc>
          <w:tcPr>
            <w:tcW w:w="2017" w:type="dxa"/>
            <w:tcBorders>
              <w:top w:val="single" w:sz="4" w:space="0" w:color="auto"/>
              <w:left w:val="single" w:sz="4" w:space="0" w:color="auto"/>
              <w:bottom w:val="single" w:sz="4" w:space="0" w:color="auto"/>
              <w:right w:val="single" w:sz="4" w:space="0" w:color="auto"/>
            </w:tcBorders>
            <w:vAlign w:val="center"/>
          </w:tcPr>
          <w:p w14:paraId="5339F475" w14:textId="77777777" w:rsidR="00187713" w:rsidRPr="00656E99" w:rsidRDefault="00187713" w:rsidP="00AE21FD">
            <w:pPr>
              <w:pStyle w:val="EMEABodyText"/>
              <w:keepNext/>
              <w:keepLines/>
              <w:jc w:val="center"/>
            </w:pPr>
            <w:r>
              <w:t>34251.5</w:t>
            </w:r>
          </w:p>
          <w:p w14:paraId="7164151A" w14:textId="77777777" w:rsidR="00187713" w:rsidRPr="00656E99" w:rsidRDefault="00187713" w:rsidP="00AE21FD">
            <w:pPr>
              <w:pStyle w:val="EMEABodyText"/>
              <w:keepNext/>
              <w:keepLines/>
              <w:jc w:val="center"/>
            </w:pPr>
            <w:r>
              <w:t>(43)</w:t>
            </w:r>
          </w:p>
        </w:tc>
        <w:tc>
          <w:tcPr>
            <w:tcW w:w="2017" w:type="dxa"/>
            <w:tcBorders>
              <w:top w:val="single" w:sz="4" w:space="0" w:color="auto"/>
              <w:left w:val="single" w:sz="4" w:space="0" w:color="auto"/>
              <w:bottom w:val="single" w:sz="4" w:space="0" w:color="auto"/>
              <w:right w:val="single" w:sz="4" w:space="0" w:color="auto"/>
            </w:tcBorders>
            <w:vAlign w:val="center"/>
          </w:tcPr>
          <w:p w14:paraId="278A762A" w14:textId="77777777" w:rsidR="00187713" w:rsidRPr="004F3582" w:rsidRDefault="00187713" w:rsidP="00AE21FD">
            <w:pPr>
              <w:pStyle w:val="EMEABodyText"/>
              <w:keepNext/>
              <w:keepLines/>
              <w:jc w:val="center"/>
            </w:pPr>
            <w:r>
              <w:t>60532.7</w:t>
            </w:r>
          </w:p>
          <w:p w14:paraId="05E3FC82" w14:textId="77777777" w:rsidR="00187713" w:rsidRPr="004F3582" w:rsidRDefault="00187713" w:rsidP="00AE21FD">
            <w:pPr>
              <w:pStyle w:val="EMEABodyText"/>
              <w:keepNext/>
              <w:keepLines/>
              <w:jc w:val="center"/>
            </w:pPr>
            <w:r>
              <w:t>(33)</w:t>
            </w:r>
          </w:p>
        </w:tc>
      </w:tr>
      <w:tr w:rsidR="00187713" w:rsidRPr="004F3582" w14:paraId="724D926B" w14:textId="77777777" w:rsidTr="00AE21FD">
        <w:trPr>
          <w:cantSplit/>
          <w:trHeight w:val="555"/>
        </w:trPr>
        <w:tc>
          <w:tcPr>
            <w:tcW w:w="2880" w:type="dxa"/>
            <w:tcBorders>
              <w:top w:val="single" w:sz="4" w:space="0" w:color="auto"/>
              <w:left w:val="single" w:sz="4" w:space="0" w:color="auto"/>
              <w:bottom w:val="single" w:sz="4" w:space="0" w:color="auto"/>
              <w:right w:val="single" w:sz="4" w:space="0" w:color="auto"/>
            </w:tcBorders>
            <w:vAlign w:val="center"/>
          </w:tcPr>
          <w:p w14:paraId="30970A20" w14:textId="77777777" w:rsidR="00187713" w:rsidRPr="00D31EBB" w:rsidRDefault="00187713" w:rsidP="00AE21FD">
            <w:pPr>
              <w:pStyle w:val="EMEABodyText"/>
              <w:keepNext/>
              <w:keepLines/>
            </w:pPr>
            <w:r>
              <w:t>C</w:t>
            </w:r>
            <w:r>
              <w:rPr>
                <w:vertAlign w:val="subscript"/>
              </w:rPr>
              <w:t>min</w:t>
            </w:r>
            <w:r>
              <w:t xml:space="preserve"> ng/mL</w:t>
            </w:r>
            <w:r>
              <w:rPr>
                <w:sz w:val="28"/>
                <w:vertAlign w:val="superscript"/>
              </w:rPr>
              <w:t>b</w:t>
            </w:r>
          </w:p>
          <w:p w14:paraId="2D6C413F" w14:textId="77777777" w:rsidR="00187713" w:rsidRPr="00D31EBB" w:rsidRDefault="00187713" w:rsidP="00AE21FD">
            <w:pPr>
              <w:pStyle w:val="EMEABodyText"/>
              <w:keepNext/>
              <w:keepLines/>
              <w:rPr>
                <w:sz w:val="20"/>
              </w:rPr>
            </w:pPr>
            <w:r>
              <w:rPr>
                <w:sz w:val="20"/>
              </w:rPr>
              <w:tab/>
              <w:t>Geometric mean (CV%)</w:t>
            </w:r>
          </w:p>
        </w:tc>
        <w:tc>
          <w:tcPr>
            <w:tcW w:w="2017" w:type="dxa"/>
            <w:tcBorders>
              <w:top w:val="single" w:sz="4" w:space="0" w:color="auto"/>
              <w:left w:val="single" w:sz="4" w:space="0" w:color="auto"/>
              <w:bottom w:val="single" w:sz="4" w:space="0" w:color="auto"/>
              <w:right w:val="single" w:sz="4" w:space="0" w:color="auto"/>
            </w:tcBorders>
            <w:vAlign w:val="center"/>
          </w:tcPr>
          <w:p w14:paraId="2D0FDCA3" w14:textId="77777777" w:rsidR="00187713" w:rsidRPr="00656E99" w:rsidRDefault="00187713" w:rsidP="00AE21FD">
            <w:pPr>
              <w:pStyle w:val="EMEABodyText"/>
              <w:keepNext/>
              <w:keepLines/>
              <w:jc w:val="center"/>
            </w:pPr>
            <w:r>
              <w:t>663.78</w:t>
            </w:r>
          </w:p>
          <w:p w14:paraId="54902F62" w14:textId="77777777" w:rsidR="00187713" w:rsidRPr="00656E99" w:rsidRDefault="00187713" w:rsidP="00AE21FD">
            <w:pPr>
              <w:pStyle w:val="EMEABodyText"/>
              <w:keepNext/>
              <w:keepLines/>
              <w:jc w:val="center"/>
            </w:pPr>
            <w:r>
              <w:t>(36)</w:t>
            </w:r>
          </w:p>
        </w:tc>
        <w:tc>
          <w:tcPr>
            <w:tcW w:w="2017" w:type="dxa"/>
            <w:tcBorders>
              <w:top w:val="single" w:sz="4" w:space="0" w:color="auto"/>
              <w:left w:val="single" w:sz="4" w:space="0" w:color="auto"/>
              <w:bottom w:val="single" w:sz="4" w:space="0" w:color="auto"/>
              <w:right w:val="single" w:sz="4" w:space="0" w:color="auto"/>
            </w:tcBorders>
            <w:vAlign w:val="center"/>
          </w:tcPr>
          <w:p w14:paraId="3A769818" w14:textId="77777777" w:rsidR="00187713" w:rsidRPr="00656E99" w:rsidRDefault="00187713" w:rsidP="00AE21FD">
            <w:pPr>
              <w:pStyle w:val="EMEABodyText"/>
              <w:keepNext/>
              <w:keepLines/>
              <w:jc w:val="center"/>
            </w:pPr>
            <w:r>
              <w:t>668.48</w:t>
            </w:r>
          </w:p>
          <w:p w14:paraId="72B5B439" w14:textId="77777777" w:rsidR="00187713" w:rsidRPr="00656E99" w:rsidRDefault="00187713" w:rsidP="00AE21FD">
            <w:pPr>
              <w:pStyle w:val="EMEABodyText"/>
              <w:keepNext/>
              <w:keepLines/>
              <w:jc w:val="center"/>
            </w:pPr>
            <w:r>
              <w:t>(50)</w:t>
            </w:r>
          </w:p>
        </w:tc>
        <w:tc>
          <w:tcPr>
            <w:tcW w:w="2017" w:type="dxa"/>
            <w:tcBorders>
              <w:top w:val="single" w:sz="4" w:space="0" w:color="auto"/>
              <w:left w:val="single" w:sz="4" w:space="0" w:color="auto"/>
              <w:bottom w:val="single" w:sz="4" w:space="0" w:color="auto"/>
              <w:right w:val="single" w:sz="4" w:space="0" w:color="auto"/>
            </w:tcBorders>
            <w:vAlign w:val="center"/>
          </w:tcPr>
          <w:p w14:paraId="3FCFD0F0" w14:textId="77777777" w:rsidR="00187713" w:rsidRPr="004F3582" w:rsidRDefault="00187713" w:rsidP="00AE21FD">
            <w:pPr>
              <w:pStyle w:val="EMEABodyText"/>
              <w:keepNext/>
              <w:keepLines/>
              <w:jc w:val="center"/>
            </w:pPr>
            <w:r>
              <w:t>1420.64</w:t>
            </w:r>
          </w:p>
          <w:p w14:paraId="228F6620" w14:textId="77777777" w:rsidR="00187713" w:rsidRPr="004F3582" w:rsidRDefault="00187713" w:rsidP="00AE21FD">
            <w:pPr>
              <w:pStyle w:val="EMEABodyText"/>
              <w:keepNext/>
              <w:keepLines/>
              <w:jc w:val="center"/>
            </w:pPr>
            <w:r>
              <w:t>(47)</w:t>
            </w:r>
          </w:p>
        </w:tc>
      </w:tr>
      <w:tr w:rsidR="00187713" w:rsidRPr="004F3582" w14:paraId="16886B61" w14:textId="77777777" w:rsidTr="00AE21FD">
        <w:tc>
          <w:tcPr>
            <w:tcW w:w="8931" w:type="dxa"/>
            <w:gridSpan w:val="4"/>
            <w:tcBorders>
              <w:top w:val="single" w:sz="4" w:space="0" w:color="auto"/>
              <w:bottom w:val="nil"/>
            </w:tcBorders>
          </w:tcPr>
          <w:p w14:paraId="24F706F0" w14:textId="77777777" w:rsidR="00187713" w:rsidRPr="00D31EBB" w:rsidRDefault="00187713" w:rsidP="00AE21FD">
            <w:pPr>
              <w:pStyle w:val="EMEABodyText"/>
              <w:keepNext/>
              <w:keepLines/>
              <w:rPr>
                <w:sz w:val="18"/>
              </w:rPr>
            </w:pPr>
            <w:r>
              <w:rPr>
                <w:sz w:val="18"/>
                <w:vertAlign w:val="superscript"/>
              </w:rPr>
              <w:t xml:space="preserve">a </w:t>
            </w:r>
            <w:r>
              <w:rPr>
                <w:sz w:val="18"/>
              </w:rPr>
              <w:t>Atazanavir peak concentrations and AUCs were found to be approximately 26-40% higher during the postpartum period (4-12 weeks) than those observed historically in HIV infected, non-pregnant patients. Atazanavir plasma trough concentrations were approximately 2-fold higher during the postpartum period when compared to those observed historically in HIV infected non-pregnant patients.</w:t>
            </w:r>
          </w:p>
          <w:p w14:paraId="33D1E69A" w14:textId="77777777" w:rsidR="00187713" w:rsidRPr="004F3582" w:rsidRDefault="00187713" w:rsidP="00AE21FD">
            <w:pPr>
              <w:pStyle w:val="EMEABodyText"/>
              <w:keepNext/>
              <w:keepLines/>
              <w:rPr>
                <w:sz w:val="20"/>
              </w:rPr>
            </w:pPr>
            <w:r>
              <w:rPr>
                <w:sz w:val="18"/>
                <w:vertAlign w:val="superscript"/>
              </w:rPr>
              <w:t xml:space="preserve">b </w:t>
            </w:r>
            <w:r>
              <w:rPr>
                <w:sz w:val="18"/>
              </w:rPr>
              <w:t>C</w:t>
            </w:r>
            <w:r>
              <w:rPr>
                <w:sz w:val="18"/>
                <w:vertAlign w:val="subscript"/>
              </w:rPr>
              <w:t>min</w:t>
            </w:r>
            <w:r>
              <w:rPr>
                <w:sz w:val="18"/>
              </w:rPr>
              <w:t xml:space="preserve"> is concentration 24 hours post-dose.</w:t>
            </w:r>
          </w:p>
        </w:tc>
      </w:tr>
    </w:tbl>
    <w:p w14:paraId="0A8C1C04" w14:textId="77777777" w:rsidR="00187713" w:rsidRPr="004F3582" w:rsidRDefault="00187713" w:rsidP="00187713">
      <w:pPr>
        <w:pStyle w:val="EMEABodyText"/>
      </w:pPr>
    </w:p>
    <w:p w14:paraId="3C1B8CA3" w14:textId="77777777" w:rsidR="00187713" w:rsidRPr="004F3582" w:rsidRDefault="00187713" w:rsidP="00187713">
      <w:pPr>
        <w:pStyle w:val="EMEABodyText"/>
        <w:rPr>
          <w:i/>
        </w:rPr>
      </w:pPr>
      <w:r>
        <w:rPr>
          <w:i/>
        </w:rPr>
        <w:t>Paediatric population</w:t>
      </w:r>
    </w:p>
    <w:p w14:paraId="07EF1220" w14:textId="77777777" w:rsidR="003228A9" w:rsidRPr="00D31EBB" w:rsidRDefault="003228A9" w:rsidP="003228A9">
      <w:r>
        <w:t>There is a trend toward a higher clearance in younger children when normalised for body weight. As a result, greater peak to trough ratios are observed; however at recommended doses, geometric mean atazanavir exposures (C</w:t>
      </w:r>
      <w:r>
        <w:rPr>
          <w:vertAlign w:val="subscript"/>
        </w:rPr>
        <w:t>min</w:t>
      </w:r>
      <w:r>
        <w:t>, C</w:t>
      </w:r>
      <w:r>
        <w:rPr>
          <w:vertAlign w:val="subscript"/>
        </w:rPr>
        <w:t>max</w:t>
      </w:r>
      <w:r>
        <w:t xml:space="preserve"> and AUC) in paediatric patients are expected to be similar to those observed in adults.</w:t>
      </w:r>
    </w:p>
    <w:p w14:paraId="7996FEFB" w14:textId="77777777" w:rsidR="00187713" w:rsidRPr="00D31EBB" w:rsidRDefault="00187713" w:rsidP="00187713">
      <w:pPr>
        <w:pStyle w:val="EMEABodyText"/>
        <w:rPr>
          <w:lang w:val="en-US"/>
        </w:rPr>
      </w:pPr>
    </w:p>
    <w:p w14:paraId="30C0ED94" w14:textId="77777777" w:rsidR="00187713" w:rsidRPr="00D31EBB" w:rsidRDefault="00187713" w:rsidP="00187713">
      <w:pPr>
        <w:pStyle w:val="EMEAHeading2"/>
        <w:rPr>
          <w:noProof/>
        </w:rPr>
      </w:pPr>
      <w:r>
        <w:t>5.3</w:t>
      </w:r>
      <w:r>
        <w:tab/>
        <w:t>Preclinical safety data</w:t>
      </w:r>
    </w:p>
    <w:p w14:paraId="74670D1F" w14:textId="77777777" w:rsidR="00187713" w:rsidRPr="00D31EBB" w:rsidRDefault="00187713" w:rsidP="00187713">
      <w:pPr>
        <w:pStyle w:val="EMEAHeading2"/>
        <w:rPr>
          <w:noProof/>
          <w:lang w:val="en-US"/>
        </w:rPr>
      </w:pPr>
    </w:p>
    <w:p w14:paraId="306F4D9B" w14:textId="77777777" w:rsidR="00187713" w:rsidRPr="00D31EBB" w:rsidRDefault="00187713" w:rsidP="00187713">
      <w:pPr>
        <w:pStyle w:val="EMEABodyText"/>
      </w:pPr>
      <w:r>
        <w:t>In repeat-dose toxicity studies, conducted in mice, rats, and dogs, atazanavir-related findings were generally confined to the liver and included generally minimal to mild increases in serum bilirubin and liver enzymes, hepatocellular vacuolation and hypertrophy, and, in female mice only, hepatic single-cell necrosis. Systemic exposures of atazanavir in mice (males), rats, and dogs at doses associated with hepatic changes were at least equal to that observed in humans given 400 mg once daily. In female mice, atazanavir exposure at a dose that produced single-cell necrosis was 12 times the exposure in humans given 400 mg once daily. Serum cholesterol and glucose were minimally to mildly increased in rats but not in mice or dogs.</w:t>
      </w:r>
    </w:p>
    <w:p w14:paraId="39010A27" w14:textId="77777777" w:rsidR="00187713" w:rsidRPr="00D31EBB" w:rsidRDefault="00187713" w:rsidP="00187713">
      <w:pPr>
        <w:pStyle w:val="EMEABodyText"/>
        <w:rPr>
          <w:lang w:val="en-US"/>
        </w:rPr>
      </w:pPr>
    </w:p>
    <w:p w14:paraId="77EF41A5" w14:textId="77777777" w:rsidR="00187713" w:rsidRPr="00D31EBB" w:rsidRDefault="00187713" w:rsidP="00187713">
      <w:pPr>
        <w:pStyle w:val="EMEABodyText"/>
      </w:pPr>
      <w:r>
        <w:t xml:space="preserve">During </w:t>
      </w:r>
      <w:r>
        <w:rPr>
          <w:i/>
        </w:rPr>
        <w:t>in vitro</w:t>
      </w:r>
      <w:r>
        <w:t xml:space="preserve"> studies, cloned human cardiac potassium channel (hERG), was inhibited by 15% at a concentration (30 μM) of atazanavir corresponding to 30 fold the free drug concentration at C</w:t>
      </w:r>
      <w:r>
        <w:rPr>
          <w:vertAlign w:val="subscript"/>
        </w:rPr>
        <w:t>max</w:t>
      </w:r>
      <w:r>
        <w:t xml:space="preserve"> in humans. Similar concentrations of atazanavir increased by 13% the action potential duration (APD</w:t>
      </w:r>
      <w:r>
        <w:rPr>
          <w:vertAlign w:val="subscript"/>
        </w:rPr>
        <w:t>90</w:t>
      </w:r>
      <w:r>
        <w:t>) in rabbit Purkinje fibres study. Electrocardiographic changes (sinus bradycardia, prolongation of PR interval, prolongation of QT interval, and prolongation of QRS complex) were observed only in an initial 2 week oral toxicity study performed in dogs. Subsequent 9 month oral toxicity studies in dogs showed no drug-related electrocardiographic changes. The clinical relevance of these non-clinical data is unknown. Potential cardiac effects of this product in humans cannot be ruled out (see sections 4.4 and 4.8). The potential for PR prolongation should be considered in cases of overdose (see section 4.9).</w:t>
      </w:r>
    </w:p>
    <w:p w14:paraId="30B66216" w14:textId="77777777" w:rsidR="00187713" w:rsidRPr="00D31EBB" w:rsidRDefault="00187713" w:rsidP="00187713">
      <w:pPr>
        <w:pStyle w:val="EMEABodyText"/>
        <w:rPr>
          <w:lang w:val="en-US"/>
        </w:rPr>
      </w:pPr>
    </w:p>
    <w:p w14:paraId="5FDDA54E" w14:textId="77777777" w:rsidR="00187713" w:rsidRPr="00D31EBB" w:rsidRDefault="00187713" w:rsidP="00187713">
      <w:pPr>
        <w:pStyle w:val="EMEABodyText"/>
      </w:pPr>
      <w:r>
        <w:t>In a fertility and early embryonic development study in rats, atazanavir altered oestrus cycling with no effects on mating or fertility. No teratogenic effects were observed in rats or rabbits at maternally toxic doses. In pregnant rabbits, gross lesions of the stomach and intestines were observed in dead or moribund does at maternal doses 2 and 4 times the highest dose administered in the definitive embryo-development study. In the pre- and postnatal development assessment in rats, atazanavir produced a transient reduction in body weight in the offspring at a maternally toxic dose. Systemic exposure to atazanavir at doses that resulted in maternal toxicity was at least equal to or slightly greater than that observed in humans given 400 mg once daily.</w:t>
      </w:r>
    </w:p>
    <w:p w14:paraId="551B8DD5" w14:textId="77777777" w:rsidR="00187713" w:rsidRPr="00D31EBB" w:rsidRDefault="00187713" w:rsidP="00187713">
      <w:pPr>
        <w:pStyle w:val="EMEABodyText"/>
        <w:rPr>
          <w:lang w:val="en-US"/>
        </w:rPr>
      </w:pPr>
    </w:p>
    <w:p w14:paraId="1D1CFED2" w14:textId="77777777" w:rsidR="00187713" w:rsidRPr="00D31EBB" w:rsidRDefault="00187713" w:rsidP="00187713">
      <w:pPr>
        <w:pStyle w:val="EMEABodyText"/>
      </w:pPr>
      <w:r>
        <w:t xml:space="preserve">Atazanavir was negative in an Ames reverse-mutation assay but did induce chromosomal aberrations </w:t>
      </w:r>
      <w:r>
        <w:rPr>
          <w:i/>
        </w:rPr>
        <w:t>in vitro</w:t>
      </w:r>
      <w:r>
        <w:t xml:space="preserve"> in both the absence and presence of metabolic activation. In </w:t>
      </w:r>
      <w:r>
        <w:rPr>
          <w:i/>
        </w:rPr>
        <w:t>in vivo</w:t>
      </w:r>
      <w:r>
        <w:t xml:space="preserve"> studies in rats, atazanavir did not induce micronuclei in bone marrow, DNA damage in duodenum (comet assay), or unscheduled DNA repair in liver at plasma and tissue concentrations exceeding those that were clastogenic </w:t>
      </w:r>
      <w:r>
        <w:rPr>
          <w:i/>
        </w:rPr>
        <w:t>in vitro</w:t>
      </w:r>
      <w:r>
        <w:t>.</w:t>
      </w:r>
    </w:p>
    <w:p w14:paraId="7C687AFA" w14:textId="77777777" w:rsidR="00187713" w:rsidRPr="00D31EBB" w:rsidRDefault="00187713" w:rsidP="00187713">
      <w:pPr>
        <w:pStyle w:val="EMEABodyText"/>
        <w:rPr>
          <w:lang w:val="en-US"/>
        </w:rPr>
      </w:pPr>
    </w:p>
    <w:p w14:paraId="4F42CDF8" w14:textId="77777777" w:rsidR="00187713" w:rsidRPr="00D31EBB" w:rsidRDefault="00187713" w:rsidP="00187713">
      <w:pPr>
        <w:pStyle w:val="EMEABodyText"/>
      </w:pPr>
      <w:r>
        <w:t>In long-term carcinogenicity studies of atazanavir in mice and rats, an increased incidence of benign hepatic adenomas was seen in female mice only. The increased incidence of benign hepatic adenomas in female mice was likely secondary to cytotoxic liver changes manifested by single-cell necrosis and is considered to have no relevance for humans at intended therapeutic exposures. There were no tumorigenic findings in male mice or in rats.</w:t>
      </w:r>
    </w:p>
    <w:p w14:paraId="50E47464" w14:textId="77777777" w:rsidR="00187713" w:rsidRPr="00D31EBB" w:rsidRDefault="00187713" w:rsidP="00187713">
      <w:pPr>
        <w:pStyle w:val="EMEABodyText"/>
        <w:jc w:val="both"/>
        <w:rPr>
          <w:lang w:val="en-US"/>
        </w:rPr>
      </w:pPr>
    </w:p>
    <w:p w14:paraId="6751FD3D" w14:textId="77777777" w:rsidR="00187713" w:rsidRPr="00D31EBB" w:rsidRDefault="00187713" w:rsidP="00187713">
      <w:pPr>
        <w:pStyle w:val="EMEABodyText"/>
      </w:pPr>
      <w:r>
        <w:t xml:space="preserve">Atazanavir increased opacity of bovine corneas in an </w:t>
      </w:r>
      <w:r>
        <w:rPr>
          <w:i/>
        </w:rPr>
        <w:t>in vitro</w:t>
      </w:r>
      <w:r>
        <w:t xml:space="preserve"> ocular irritation study, indicating it may be an ocular irritant upon direct contact with the eye.</w:t>
      </w:r>
    </w:p>
    <w:p w14:paraId="4F6CEFFD" w14:textId="77777777" w:rsidR="00187713" w:rsidRPr="00D31EBB" w:rsidRDefault="00187713" w:rsidP="00187713">
      <w:pPr>
        <w:pStyle w:val="EMEABodyText"/>
        <w:rPr>
          <w:b/>
          <w:noProof/>
          <w:lang w:val="en-US"/>
        </w:rPr>
      </w:pPr>
    </w:p>
    <w:p w14:paraId="213FAD28" w14:textId="77777777" w:rsidR="00187713" w:rsidRPr="00D31EBB" w:rsidRDefault="00187713" w:rsidP="00187713">
      <w:pPr>
        <w:pStyle w:val="EMEABodyText"/>
        <w:rPr>
          <w:noProof/>
          <w:lang w:val="en-US"/>
        </w:rPr>
      </w:pPr>
    </w:p>
    <w:p w14:paraId="22E28EC1" w14:textId="77777777" w:rsidR="00187713" w:rsidRPr="00D31EBB" w:rsidRDefault="00187713" w:rsidP="00187713">
      <w:pPr>
        <w:pStyle w:val="EMEAHeading1"/>
        <w:rPr>
          <w:noProof/>
        </w:rPr>
      </w:pPr>
      <w:r>
        <w:t>6.</w:t>
      </w:r>
      <w:r>
        <w:tab/>
        <w:t>PHARMACEUTICAL PARTICULARS</w:t>
      </w:r>
    </w:p>
    <w:p w14:paraId="688B56EE" w14:textId="77777777" w:rsidR="00187713" w:rsidRPr="00D31EBB" w:rsidRDefault="00187713" w:rsidP="00187713">
      <w:pPr>
        <w:pStyle w:val="EMEAHeading1"/>
        <w:rPr>
          <w:noProof/>
          <w:lang w:val="en-US"/>
        </w:rPr>
      </w:pPr>
    </w:p>
    <w:p w14:paraId="4492D9FA" w14:textId="77777777" w:rsidR="00187713" w:rsidRPr="00D31EBB" w:rsidRDefault="00187713" w:rsidP="00187713">
      <w:pPr>
        <w:pStyle w:val="EMEAHeading2"/>
        <w:rPr>
          <w:noProof/>
        </w:rPr>
      </w:pPr>
      <w:r>
        <w:t>6.1</w:t>
      </w:r>
      <w:r>
        <w:tab/>
        <w:t>List of excipients</w:t>
      </w:r>
    </w:p>
    <w:p w14:paraId="50C12CC7" w14:textId="77777777" w:rsidR="00187713" w:rsidRPr="00D31EBB" w:rsidRDefault="00187713" w:rsidP="00187713">
      <w:pPr>
        <w:pStyle w:val="EMEAHeading2"/>
        <w:rPr>
          <w:noProof/>
          <w:lang w:val="en-US"/>
        </w:rPr>
      </w:pPr>
    </w:p>
    <w:p w14:paraId="1DDFA9C8" w14:textId="77777777" w:rsidR="00187713" w:rsidRPr="00D31EBB" w:rsidRDefault="00187713" w:rsidP="00187713">
      <w:pPr>
        <w:pStyle w:val="EMEABodyText"/>
        <w:rPr>
          <w:noProof/>
        </w:rPr>
      </w:pPr>
      <w:r>
        <w:t>Aspartame (E951)</w:t>
      </w:r>
    </w:p>
    <w:p w14:paraId="28812F2E" w14:textId="77777777" w:rsidR="00187713" w:rsidRPr="00D31EBB" w:rsidRDefault="00187713" w:rsidP="00187713">
      <w:pPr>
        <w:pStyle w:val="EMEABodyText"/>
        <w:rPr>
          <w:noProof/>
        </w:rPr>
      </w:pPr>
      <w:r>
        <w:t>Sucrose</w:t>
      </w:r>
    </w:p>
    <w:p w14:paraId="7EFBC329" w14:textId="77777777" w:rsidR="00187713" w:rsidRPr="00D31EBB" w:rsidRDefault="00187713" w:rsidP="00187713">
      <w:pPr>
        <w:pStyle w:val="EMEABodyText"/>
        <w:rPr>
          <w:noProof/>
        </w:rPr>
      </w:pPr>
      <w:r>
        <w:t>Orange vanilla flavour</w:t>
      </w:r>
    </w:p>
    <w:p w14:paraId="1B7AF8BA" w14:textId="77777777" w:rsidR="00187713" w:rsidRPr="00D31EBB" w:rsidRDefault="00187713" w:rsidP="00187713">
      <w:pPr>
        <w:pStyle w:val="EMEABodyText"/>
        <w:rPr>
          <w:lang w:val="en-US"/>
        </w:rPr>
      </w:pPr>
    </w:p>
    <w:p w14:paraId="57A4C2B9" w14:textId="77777777" w:rsidR="00187713" w:rsidRPr="00D31EBB" w:rsidRDefault="00187713" w:rsidP="00187713">
      <w:pPr>
        <w:pStyle w:val="EMEAHeading2"/>
        <w:rPr>
          <w:noProof/>
        </w:rPr>
      </w:pPr>
      <w:r>
        <w:t>6.2</w:t>
      </w:r>
      <w:r>
        <w:tab/>
        <w:t>Incompatibilities</w:t>
      </w:r>
    </w:p>
    <w:p w14:paraId="66CF142A" w14:textId="77777777" w:rsidR="00187713" w:rsidRPr="00D31EBB" w:rsidRDefault="00187713" w:rsidP="00187713">
      <w:pPr>
        <w:pStyle w:val="EMEAHeading2"/>
        <w:rPr>
          <w:noProof/>
          <w:lang w:val="en-US"/>
        </w:rPr>
      </w:pPr>
    </w:p>
    <w:p w14:paraId="31456ABF" w14:textId="77777777" w:rsidR="00187713" w:rsidRPr="00D31EBB" w:rsidRDefault="00187713" w:rsidP="00187713">
      <w:pPr>
        <w:pStyle w:val="EMEABodyText"/>
        <w:rPr>
          <w:noProof/>
        </w:rPr>
      </w:pPr>
      <w:r>
        <w:t>Not applicable.</w:t>
      </w:r>
    </w:p>
    <w:p w14:paraId="4F1CF2E8" w14:textId="77777777" w:rsidR="00187713" w:rsidRPr="00D31EBB" w:rsidRDefault="00187713" w:rsidP="00187713">
      <w:pPr>
        <w:pStyle w:val="EMEABodyText"/>
        <w:rPr>
          <w:noProof/>
          <w:lang w:val="en-US"/>
        </w:rPr>
      </w:pPr>
    </w:p>
    <w:p w14:paraId="249FA019" w14:textId="77777777" w:rsidR="00187713" w:rsidRPr="00D31EBB" w:rsidRDefault="00187713" w:rsidP="00187713">
      <w:pPr>
        <w:pStyle w:val="EMEAHeading2"/>
        <w:rPr>
          <w:noProof/>
        </w:rPr>
      </w:pPr>
      <w:r>
        <w:t>6.3</w:t>
      </w:r>
      <w:r>
        <w:tab/>
        <w:t>Shelf life</w:t>
      </w:r>
    </w:p>
    <w:p w14:paraId="1ACDB58D" w14:textId="77777777" w:rsidR="00187713" w:rsidRPr="00D31EBB" w:rsidRDefault="00187713" w:rsidP="00187713">
      <w:pPr>
        <w:pStyle w:val="EMEAHeading2"/>
        <w:rPr>
          <w:noProof/>
          <w:lang w:val="en-US"/>
        </w:rPr>
      </w:pPr>
    </w:p>
    <w:p w14:paraId="60BAAD39" w14:textId="77777777" w:rsidR="00187713" w:rsidRPr="00D31EBB" w:rsidRDefault="00187713" w:rsidP="00187713">
      <w:pPr>
        <w:pStyle w:val="EMEABodyText"/>
        <w:rPr>
          <w:noProof/>
        </w:rPr>
      </w:pPr>
      <w:r>
        <w:t>3 years</w:t>
      </w:r>
    </w:p>
    <w:p w14:paraId="74945D17" w14:textId="77777777" w:rsidR="00187713" w:rsidRPr="00D31EBB" w:rsidRDefault="00187713" w:rsidP="00187713">
      <w:pPr>
        <w:pStyle w:val="EMEABodyText"/>
        <w:rPr>
          <w:noProof/>
          <w:lang w:val="en-US"/>
        </w:rPr>
      </w:pPr>
    </w:p>
    <w:p w14:paraId="7AC41F15" w14:textId="77777777" w:rsidR="00187713" w:rsidRPr="00D31EBB" w:rsidRDefault="003228A9" w:rsidP="00187713">
      <w:pPr>
        <w:pStyle w:val="EMEABodyText"/>
        <w:rPr>
          <w:noProof/>
        </w:rPr>
      </w:pPr>
      <w:r>
        <w:t>After mixing with food or beverage, mixture may be stored for up to 1 hour at temperatures not above 30°C.</w:t>
      </w:r>
    </w:p>
    <w:p w14:paraId="50E95FD7" w14:textId="77777777" w:rsidR="00187713" w:rsidRPr="00D31EBB" w:rsidRDefault="00187713" w:rsidP="00187713">
      <w:pPr>
        <w:pStyle w:val="EMEABodyText"/>
        <w:rPr>
          <w:b/>
          <w:noProof/>
          <w:lang w:val="en-US"/>
        </w:rPr>
      </w:pPr>
    </w:p>
    <w:p w14:paraId="240E94A6" w14:textId="77777777" w:rsidR="00187713" w:rsidRPr="00D31EBB" w:rsidRDefault="00187713" w:rsidP="00187713">
      <w:pPr>
        <w:pStyle w:val="EMEAHeading2"/>
        <w:rPr>
          <w:noProof/>
        </w:rPr>
      </w:pPr>
      <w:r>
        <w:t>6.4</w:t>
      </w:r>
      <w:r>
        <w:tab/>
        <w:t>Special precautions for storage</w:t>
      </w:r>
    </w:p>
    <w:p w14:paraId="5E695A1A" w14:textId="77777777" w:rsidR="00187713" w:rsidRPr="00D31EBB" w:rsidRDefault="00187713" w:rsidP="00187713">
      <w:pPr>
        <w:pStyle w:val="EMEAHeading2"/>
        <w:rPr>
          <w:lang w:val="en-US"/>
        </w:rPr>
      </w:pPr>
    </w:p>
    <w:p w14:paraId="0AB28153" w14:textId="77777777" w:rsidR="00187713" w:rsidRPr="00D31EBB" w:rsidRDefault="00187713" w:rsidP="00187713">
      <w:pPr>
        <w:pStyle w:val="EMEABodyText"/>
      </w:pPr>
      <w:r>
        <w:t xml:space="preserve">This medicinal product does not require any special storage conditions. </w:t>
      </w:r>
    </w:p>
    <w:p w14:paraId="7D17F383" w14:textId="77777777" w:rsidR="00187713" w:rsidRPr="00D31EBB" w:rsidRDefault="00187713" w:rsidP="00187713">
      <w:pPr>
        <w:pStyle w:val="EMEABodyText"/>
        <w:rPr>
          <w:lang w:val="en-US"/>
        </w:rPr>
      </w:pPr>
    </w:p>
    <w:p w14:paraId="1AE5E8CB" w14:textId="77777777" w:rsidR="00187713" w:rsidRPr="00D31EBB" w:rsidRDefault="00187713" w:rsidP="00187713">
      <w:pPr>
        <w:pStyle w:val="EMEABodyText"/>
      </w:pPr>
      <w:r>
        <w:t xml:space="preserve">REYATAZ oral powder should be stored in the original sachet and should not be opened until ready to use. </w:t>
      </w:r>
    </w:p>
    <w:p w14:paraId="0120857F" w14:textId="77777777" w:rsidR="00187713" w:rsidRPr="00D31EBB" w:rsidRDefault="00187713" w:rsidP="00187713">
      <w:pPr>
        <w:pStyle w:val="EMEABodyText"/>
        <w:rPr>
          <w:lang w:val="en-US"/>
        </w:rPr>
      </w:pPr>
    </w:p>
    <w:p w14:paraId="57AE1321" w14:textId="77777777" w:rsidR="00187713" w:rsidRPr="00D31EBB" w:rsidRDefault="00187713" w:rsidP="00187713">
      <w:pPr>
        <w:pStyle w:val="EMEABodyText"/>
      </w:pPr>
      <w:r>
        <w:t>For storage conditions after mixing of the medicinal product, see section 6.3.</w:t>
      </w:r>
    </w:p>
    <w:p w14:paraId="4C20C975" w14:textId="77777777" w:rsidR="00187713" w:rsidRPr="00D31EBB" w:rsidRDefault="00187713" w:rsidP="00187713">
      <w:pPr>
        <w:pStyle w:val="EMEABodyText"/>
        <w:rPr>
          <w:noProof/>
          <w:lang w:val="en-US"/>
        </w:rPr>
      </w:pPr>
    </w:p>
    <w:p w14:paraId="20DD6519" w14:textId="77777777" w:rsidR="00187713" w:rsidRPr="00D31EBB" w:rsidRDefault="00187713" w:rsidP="00187713">
      <w:pPr>
        <w:pStyle w:val="EMEAHeading2"/>
        <w:rPr>
          <w:noProof/>
        </w:rPr>
      </w:pPr>
      <w:r>
        <w:t>6.5</w:t>
      </w:r>
      <w:r>
        <w:tab/>
        <w:t>Nature and contents of container</w:t>
      </w:r>
    </w:p>
    <w:p w14:paraId="687C3085" w14:textId="77777777" w:rsidR="00187713" w:rsidRPr="00D31EBB" w:rsidRDefault="00187713" w:rsidP="00187713">
      <w:pPr>
        <w:pStyle w:val="EMEAHeading2"/>
        <w:rPr>
          <w:noProof/>
          <w:lang w:val="en-US"/>
        </w:rPr>
      </w:pPr>
    </w:p>
    <w:p w14:paraId="7F5E403F" w14:textId="77777777" w:rsidR="00187713" w:rsidRPr="00D31EBB" w:rsidRDefault="00187713" w:rsidP="00187713">
      <w:pPr>
        <w:pStyle w:val="EMEABodyText"/>
        <w:rPr>
          <w:noProof/>
          <w:szCs w:val="22"/>
        </w:rPr>
      </w:pPr>
      <w:r>
        <w:t xml:space="preserve">Polyester film/Aluminum/Polyethylene sealant film sachet. </w:t>
      </w:r>
    </w:p>
    <w:p w14:paraId="5DD39A3C" w14:textId="77777777" w:rsidR="00187713" w:rsidRPr="00D31EBB" w:rsidRDefault="00187713" w:rsidP="00187713">
      <w:pPr>
        <w:pStyle w:val="EMEABodyText"/>
        <w:rPr>
          <w:noProof/>
          <w:szCs w:val="22"/>
          <w:lang w:val="en-US"/>
        </w:rPr>
      </w:pPr>
    </w:p>
    <w:p w14:paraId="19D0D8A0" w14:textId="77777777" w:rsidR="00187713" w:rsidRPr="00D31EBB" w:rsidRDefault="00187713" w:rsidP="00187713">
      <w:pPr>
        <w:pStyle w:val="EMEABodyText"/>
        <w:rPr>
          <w:noProof/>
          <w:szCs w:val="22"/>
        </w:rPr>
      </w:pPr>
      <w:r>
        <w:t>Each carton contains 30 sachets.</w:t>
      </w:r>
    </w:p>
    <w:p w14:paraId="7C132A05" w14:textId="77777777" w:rsidR="00187713" w:rsidRPr="00D31EBB" w:rsidRDefault="00187713" w:rsidP="00187713">
      <w:pPr>
        <w:pStyle w:val="EMEABodyText"/>
        <w:rPr>
          <w:noProof/>
          <w:szCs w:val="22"/>
          <w:lang w:val="en-US"/>
        </w:rPr>
      </w:pPr>
    </w:p>
    <w:p w14:paraId="063FEEFE" w14:textId="77777777" w:rsidR="00187713" w:rsidRPr="00D31EBB" w:rsidRDefault="00187713" w:rsidP="00187713">
      <w:pPr>
        <w:pStyle w:val="EMEAHeading2"/>
        <w:rPr>
          <w:noProof/>
        </w:rPr>
      </w:pPr>
      <w:r>
        <w:t>6.6</w:t>
      </w:r>
      <w:r>
        <w:tab/>
        <w:t>Special precautions for disposal and other handling</w:t>
      </w:r>
    </w:p>
    <w:p w14:paraId="5DC02C69" w14:textId="77777777" w:rsidR="00187713" w:rsidRPr="00D31EBB" w:rsidRDefault="00187713" w:rsidP="00187713">
      <w:pPr>
        <w:pStyle w:val="EMEAHeading2"/>
        <w:rPr>
          <w:noProof/>
          <w:lang w:val="en-US"/>
        </w:rPr>
      </w:pPr>
    </w:p>
    <w:p w14:paraId="3074A371" w14:textId="77777777" w:rsidR="00187713" w:rsidRPr="00D31EBB" w:rsidRDefault="00187713" w:rsidP="00187713">
      <w:pPr>
        <w:pStyle w:val="EMEABodyText"/>
        <w:rPr>
          <w:i/>
          <w:noProof/>
        </w:rPr>
      </w:pPr>
      <w:r>
        <w:rPr>
          <w:i/>
        </w:rPr>
        <w:t>Instructions for use:</w:t>
      </w:r>
    </w:p>
    <w:p w14:paraId="05AF0417" w14:textId="77777777" w:rsidR="00187713" w:rsidRPr="00D31EBB" w:rsidRDefault="003228A9" w:rsidP="003228A9">
      <w:pPr>
        <w:pStyle w:val="EMEABodyText"/>
        <w:spacing w:line="260" w:lineRule="exact"/>
        <w:rPr>
          <w:noProof/>
        </w:rPr>
      </w:pPr>
      <w:r>
        <w:t>The dose and the number of REYATAZ oral powder sachets needed is determined based on weight (see section 4.2.).</w:t>
      </w:r>
    </w:p>
    <w:p w14:paraId="263C9842" w14:textId="77777777" w:rsidR="00187713" w:rsidRPr="00D31EBB" w:rsidRDefault="007D392F" w:rsidP="001A1969">
      <w:pPr>
        <w:pStyle w:val="EMEABodyText"/>
        <w:tabs>
          <w:tab w:val="left" w:pos="567"/>
        </w:tabs>
        <w:spacing w:line="260" w:lineRule="exact"/>
        <w:ind w:left="567" w:hanging="283"/>
        <w:rPr>
          <w:i/>
          <w:noProof/>
        </w:rPr>
      </w:pPr>
      <w:r>
        <w:t>1.</w:t>
      </w:r>
      <w:r>
        <w:tab/>
        <w:t>Prior to mixing, the sachet is tapped to settle the powder. A clean pair of scissors is used to cut each sachet along the dotted line.</w:t>
      </w:r>
    </w:p>
    <w:p w14:paraId="7DA9F4C3" w14:textId="77777777" w:rsidR="003228A9" w:rsidRPr="00D31EBB" w:rsidRDefault="007D392F" w:rsidP="001A1969">
      <w:pPr>
        <w:pStyle w:val="EMEABodyText"/>
        <w:tabs>
          <w:tab w:val="left" w:pos="567"/>
        </w:tabs>
        <w:spacing w:after="60" w:line="260" w:lineRule="exact"/>
        <w:ind w:left="567" w:hanging="283"/>
        <w:rPr>
          <w:i/>
          <w:noProof/>
        </w:rPr>
      </w:pPr>
      <w:r>
        <w:t>2.</w:t>
      </w:r>
      <w:r>
        <w:tab/>
        <w:t>The appropriate option listed below is chosen for mixing and administration with liquid infant formula, beverage or food. Larger volumes or quantities of liquid infant formula, beverage or food may be used for dosing. It should be ensured that the patient eats or drinks all the infant formula, beverage or food that contains the powder.</w:t>
      </w:r>
    </w:p>
    <w:p w14:paraId="7C1FE668" w14:textId="77777777" w:rsidR="003228A9" w:rsidRPr="00D31EBB" w:rsidRDefault="003228A9" w:rsidP="003228A9">
      <w:pPr>
        <w:pStyle w:val="EMEABodyText"/>
        <w:tabs>
          <w:tab w:val="left" w:pos="567"/>
        </w:tabs>
        <w:spacing w:line="260" w:lineRule="exact"/>
        <w:ind w:left="540"/>
        <w:rPr>
          <w:noProof/>
        </w:rPr>
      </w:pPr>
      <w:r>
        <w:t>A: To mix the recommended number of REYATAZ oral powder sachets with liquid infant formula in a small medicine cup or small container and to administer with an oral syringe, which can be obtained from a pharmacist:</w:t>
      </w:r>
    </w:p>
    <w:p w14:paraId="6ED71080" w14:textId="77777777" w:rsidR="003228A9" w:rsidRPr="00D31EBB" w:rsidRDefault="003228A9" w:rsidP="00DB1FED">
      <w:pPr>
        <w:pStyle w:val="EMEABodyText"/>
        <w:numPr>
          <w:ilvl w:val="0"/>
          <w:numId w:val="7"/>
        </w:numPr>
        <w:tabs>
          <w:tab w:val="left" w:pos="720"/>
        </w:tabs>
        <w:spacing w:line="260" w:lineRule="exact"/>
        <w:rPr>
          <w:i/>
          <w:noProof/>
        </w:rPr>
      </w:pPr>
      <w:r>
        <w:t>A spoon is used to mix the content of the appropriate number of sachets (4 or 5 sachets depending on infant weight) with 10 ml of prepared liquid infant formula in the medicine cup or small container. The full amount of the mixture is drawn up into an oral syringe and administered into either right or left inner cheek of the infant. Another 10 ml of formula is poured into the medicine cup or small container to rinse off remaining REYATAZ oral powder in the cup or container. The residual mixture is drawn up into the syringe and administered into either the right or left inner cheek of the infant.</w:t>
      </w:r>
    </w:p>
    <w:p w14:paraId="4BA0EDEB" w14:textId="77777777" w:rsidR="003228A9" w:rsidRPr="00D31EBB" w:rsidRDefault="003228A9" w:rsidP="001A1969">
      <w:pPr>
        <w:pStyle w:val="EMEABodyText"/>
        <w:tabs>
          <w:tab w:val="left" w:pos="567"/>
        </w:tabs>
        <w:spacing w:line="260" w:lineRule="exact"/>
        <w:ind w:left="540"/>
        <w:rPr>
          <w:noProof/>
        </w:rPr>
      </w:pPr>
      <w:r>
        <w:t xml:space="preserve">B: To mix the recommended number of REYATAZ oral powder sachets with a beverage such as milk or water in a small drinking cup: </w:t>
      </w:r>
    </w:p>
    <w:p w14:paraId="77D42E1A" w14:textId="77777777" w:rsidR="003228A9" w:rsidRPr="004F3582" w:rsidRDefault="003228A9" w:rsidP="00DB1FED">
      <w:pPr>
        <w:pStyle w:val="EMEABodyTextIndent"/>
        <w:numPr>
          <w:ilvl w:val="0"/>
          <w:numId w:val="8"/>
        </w:numPr>
        <w:rPr>
          <w:i/>
          <w:noProof/>
        </w:rPr>
      </w:pPr>
      <w:r>
        <w:t xml:space="preserve">A spoon is used to mix the content of the sachets with 30 ml of the beverage. The child is to drink the mixture. An additional 15 ml of beverage is added to the drinking cup for thorough rinsing of the cup and contents are mixed. The child is to drink the entire residual mixture. </w:t>
      </w:r>
    </w:p>
    <w:p w14:paraId="21F9A491" w14:textId="77777777" w:rsidR="003228A9" w:rsidRPr="00D31EBB" w:rsidRDefault="003228A9" w:rsidP="00DB1FED">
      <w:pPr>
        <w:pStyle w:val="EMEABodyText"/>
        <w:numPr>
          <w:ilvl w:val="0"/>
          <w:numId w:val="8"/>
        </w:numPr>
        <w:spacing w:line="260" w:lineRule="exact"/>
        <w:rPr>
          <w:i/>
          <w:noProof/>
        </w:rPr>
      </w:pPr>
      <w:r>
        <w:t>If water is used, food should also be taken at the same time.</w:t>
      </w:r>
    </w:p>
    <w:p w14:paraId="012B11BE" w14:textId="77777777" w:rsidR="003228A9" w:rsidRPr="00D31EBB" w:rsidRDefault="003228A9" w:rsidP="003228A9">
      <w:pPr>
        <w:pStyle w:val="EMEABodyText"/>
        <w:tabs>
          <w:tab w:val="left" w:pos="567"/>
        </w:tabs>
        <w:spacing w:line="260" w:lineRule="exact"/>
        <w:ind w:left="540"/>
        <w:rPr>
          <w:noProof/>
        </w:rPr>
      </w:pPr>
      <w:r>
        <w:t>C: To mix the recommended number of REYATAZ oral powder sachets with food such as applesauce or yogurt in a small container:</w:t>
      </w:r>
    </w:p>
    <w:p w14:paraId="6C5448F0" w14:textId="77777777" w:rsidR="003228A9" w:rsidRPr="00D31EBB" w:rsidRDefault="003228A9" w:rsidP="00DB1FED">
      <w:pPr>
        <w:pStyle w:val="EMEABodyText"/>
        <w:numPr>
          <w:ilvl w:val="0"/>
          <w:numId w:val="9"/>
        </w:numPr>
        <w:spacing w:after="60" w:line="260" w:lineRule="exact"/>
        <w:rPr>
          <w:i/>
          <w:noProof/>
        </w:rPr>
      </w:pPr>
      <w:r>
        <w:t>One tablespoon of food is used to mix the content of the sachets. The mixture is fed to the infant or young child. An additional tablespoon of food is added to the small container for thorough delivery of the powder from the container and contents are mixed.The entire residual mixture is fed to the child.</w:t>
      </w:r>
    </w:p>
    <w:p w14:paraId="787F11C0" w14:textId="77777777" w:rsidR="003228A9" w:rsidRPr="00D31EBB" w:rsidRDefault="007D392F" w:rsidP="001A1969">
      <w:pPr>
        <w:pStyle w:val="EMEABodyText"/>
        <w:tabs>
          <w:tab w:val="left" w:pos="567"/>
        </w:tabs>
        <w:spacing w:line="260" w:lineRule="exact"/>
        <w:ind w:left="567" w:hanging="283"/>
        <w:rPr>
          <w:i/>
          <w:noProof/>
        </w:rPr>
      </w:pPr>
      <w:r>
        <w:t>3.</w:t>
      </w:r>
      <w:r>
        <w:tab/>
        <w:t>The entire dosage of REYATAZ oral powder (mixed in the liquid infant formula, beverage or food) is administered within one hour of preparation (the mixture can be left at room stored at temperatures not above 30°C during this period).</w:t>
      </w:r>
    </w:p>
    <w:p w14:paraId="3DD8F427" w14:textId="77777777" w:rsidR="003228A9" w:rsidRPr="00D31EBB" w:rsidRDefault="007D392F" w:rsidP="001A1969">
      <w:pPr>
        <w:pStyle w:val="EMEABodyText"/>
        <w:tabs>
          <w:tab w:val="left" w:pos="567"/>
        </w:tabs>
        <w:spacing w:line="260" w:lineRule="exact"/>
        <w:ind w:left="567" w:hanging="283"/>
        <w:rPr>
          <w:i/>
          <w:noProof/>
        </w:rPr>
      </w:pPr>
      <w:r>
        <w:t>4.</w:t>
      </w:r>
      <w:r>
        <w:tab/>
        <w:t>Additional infant formula, beverage or food may be given after consumption of the entire mixture.</w:t>
      </w:r>
    </w:p>
    <w:p w14:paraId="471B4A51" w14:textId="77777777" w:rsidR="00187713" w:rsidRPr="00D31EBB" w:rsidRDefault="007D392F" w:rsidP="001A1969">
      <w:pPr>
        <w:pStyle w:val="EMEABodyText"/>
        <w:tabs>
          <w:tab w:val="left" w:pos="567"/>
        </w:tabs>
        <w:spacing w:line="260" w:lineRule="exact"/>
        <w:ind w:left="567" w:hanging="283"/>
        <w:rPr>
          <w:i/>
          <w:noProof/>
        </w:rPr>
      </w:pPr>
      <w:r>
        <w:t>5.</w:t>
      </w:r>
      <w:r>
        <w:tab/>
        <w:t>Ritonavir is administered immediately following REYATAZ powder administration.</w:t>
      </w:r>
    </w:p>
    <w:p w14:paraId="7CFEF092" w14:textId="77777777" w:rsidR="00187713" w:rsidRPr="00D31EBB" w:rsidRDefault="00187713" w:rsidP="00187713">
      <w:pPr>
        <w:pStyle w:val="EMEABodyText"/>
        <w:rPr>
          <w:lang w:val="en-US"/>
        </w:rPr>
      </w:pPr>
    </w:p>
    <w:p w14:paraId="5B600780" w14:textId="77777777" w:rsidR="00187713" w:rsidRPr="00D31EBB" w:rsidRDefault="00187713" w:rsidP="00187713">
      <w:pPr>
        <w:pStyle w:val="EMEABodyText"/>
        <w:rPr>
          <w:noProof/>
        </w:rPr>
      </w:pPr>
      <w:r>
        <w:t>For further details on the preparation and administration of the REYATAZ oral powder, see the Patient Information Leaflet, Instructions for Use section</w:t>
      </w:r>
    </w:p>
    <w:p w14:paraId="0E0C9A16" w14:textId="77777777" w:rsidR="00187713" w:rsidRPr="00D31EBB" w:rsidRDefault="00187713" w:rsidP="00187713">
      <w:pPr>
        <w:pStyle w:val="EMEABodyText"/>
        <w:rPr>
          <w:noProof/>
          <w:lang w:val="en-US"/>
        </w:rPr>
      </w:pPr>
    </w:p>
    <w:p w14:paraId="147FF6A4" w14:textId="77777777" w:rsidR="00187713" w:rsidRPr="00D31EBB" w:rsidRDefault="00187713" w:rsidP="00187713">
      <w:pPr>
        <w:pStyle w:val="EMEABodyText"/>
      </w:pPr>
      <w:r>
        <w:t xml:space="preserve">Any unused medicinal product or waste material should be disposed of in accordance with local requirements. </w:t>
      </w:r>
    </w:p>
    <w:p w14:paraId="0C25B158" w14:textId="77777777" w:rsidR="00187713" w:rsidRPr="00D31EBB" w:rsidRDefault="00187713" w:rsidP="00187713">
      <w:pPr>
        <w:pStyle w:val="EMEABodyText"/>
        <w:rPr>
          <w:noProof/>
          <w:lang w:val="en-US"/>
        </w:rPr>
      </w:pPr>
    </w:p>
    <w:p w14:paraId="1D11468D" w14:textId="77777777" w:rsidR="00187713" w:rsidRPr="00D31EBB" w:rsidRDefault="00187713" w:rsidP="00187713">
      <w:pPr>
        <w:pStyle w:val="EMEABodyText"/>
        <w:rPr>
          <w:noProof/>
          <w:lang w:val="en-US"/>
        </w:rPr>
      </w:pPr>
    </w:p>
    <w:p w14:paraId="3ACC50EF" w14:textId="77777777" w:rsidR="00187713" w:rsidRPr="00D31EBB" w:rsidRDefault="00187713" w:rsidP="00187713">
      <w:pPr>
        <w:pStyle w:val="EMEAHeading1"/>
        <w:rPr>
          <w:noProof/>
        </w:rPr>
      </w:pPr>
      <w:r>
        <w:t>7.</w:t>
      </w:r>
      <w:r>
        <w:tab/>
        <w:t>MARKETING AUTHORISATION HOLDER</w:t>
      </w:r>
    </w:p>
    <w:p w14:paraId="4B49C620" w14:textId="77777777" w:rsidR="00187713" w:rsidRPr="00D31EBB" w:rsidRDefault="00187713" w:rsidP="00187713">
      <w:pPr>
        <w:pStyle w:val="EMEAHeading1"/>
        <w:rPr>
          <w:noProof/>
          <w:lang w:val="en-US"/>
        </w:rPr>
      </w:pPr>
    </w:p>
    <w:p w14:paraId="0408DDD0"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633214A1" w14:textId="77777777" w:rsidR="00965E20" w:rsidRDefault="00965E20" w:rsidP="00965E20">
      <w:pPr>
        <w:numPr>
          <w:ilvl w:val="12"/>
          <w:numId w:val="0"/>
        </w:numPr>
      </w:pPr>
      <w:r>
        <w:t xml:space="preserve">Ireland </w:t>
      </w:r>
    </w:p>
    <w:p w14:paraId="6072E79F" w14:textId="77777777" w:rsidR="00187713" w:rsidRPr="00D31EBB" w:rsidRDefault="00187713" w:rsidP="00957233">
      <w:pPr>
        <w:pStyle w:val="EMEAAddress"/>
        <w:rPr>
          <w:lang w:val="en-US"/>
        </w:rPr>
      </w:pPr>
    </w:p>
    <w:p w14:paraId="332C9FF2" w14:textId="77777777" w:rsidR="00187713" w:rsidRPr="00D31EBB" w:rsidRDefault="00187713" w:rsidP="00187713">
      <w:pPr>
        <w:pStyle w:val="EMEABodyText"/>
        <w:rPr>
          <w:noProof/>
          <w:lang w:val="en-US"/>
        </w:rPr>
      </w:pPr>
    </w:p>
    <w:p w14:paraId="5200D0F1" w14:textId="77777777" w:rsidR="00187713" w:rsidRPr="00D31EBB" w:rsidRDefault="00187713" w:rsidP="00187713">
      <w:pPr>
        <w:pStyle w:val="EMEAHeading1"/>
        <w:rPr>
          <w:noProof/>
        </w:rPr>
      </w:pPr>
      <w:r>
        <w:t>8.</w:t>
      </w:r>
      <w:r>
        <w:tab/>
        <w:t>MARKETING AUTHORISATION NUMBER(S)</w:t>
      </w:r>
    </w:p>
    <w:p w14:paraId="045C9914" w14:textId="77777777" w:rsidR="00187713" w:rsidRPr="00D31EBB" w:rsidRDefault="00187713" w:rsidP="00187713">
      <w:pPr>
        <w:pStyle w:val="EMEAHeading1"/>
        <w:rPr>
          <w:noProof/>
          <w:lang w:val="en-US"/>
        </w:rPr>
      </w:pPr>
    </w:p>
    <w:p w14:paraId="6F693A7A" w14:textId="77777777" w:rsidR="00187713" w:rsidRPr="00D31EBB" w:rsidRDefault="00187713" w:rsidP="00187713">
      <w:pPr>
        <w:pStyle w:val="EMEABodyText"/>
        <w:rPr>
          <w:noProof/>
        </w:rPr>
      </w:pPr>
      <w:r>
        <w:t>EU/1/03/267/012</w:t>
      </w:r>
    </w:p>
    <w:p w14:paraId="32F54C96" w14:textId="77777777" w:rsidR="00187713" w:rsidRPr="00D31EBB" w:rsidRDefault="00187713" w:rsidP="00187713">
      <w:pPr>
        <w:pStyle w:val="EMEABodyText"/>
        <w:rPr>
          <w:noProof/>
          <w:lang w:val="en-US"/>
        </w:rPr>
      </w:pPr>
    </w:p>
    <w:p w14:paraId="0787F07C" w14:textId="77777777" w:rsidR="00187713" w:rsidRPr="00D31EBB" w:rsidRDefault="00187713" w:rsidP="00187713">
      <w:pPr>
        <w:pStyle w:val="EMEABodyText"/>
        <w:rPr>
          <w:noProof/>
          <w:lang w:val="en-US"/>
        </w:rPr>
      </w:pPr>
    </w:p>
    <w:p w14:paraId="05217E4C" w14:textId="77777777" w:rsidR="00187713" w:rsidRPr="00D31EBB" w:rsidRDefault="00187713" w:rsidP="00187713">
      <w:pPr>
        <w:pStyle w:val="EMEAHeading1"/>
        <w:rPr>
          <w:noProof/>
        </w:rPr>
      </w:pPr>
      <w:r>
        <w:t>9.</w:t>
      </w:r>
      <w:r>
        <w:tab/>
        <w:t>DATE OF FIRST AUTHORISATION/RENEWAL OF THE AUTHORISATION</w:t>
      </w:r>
    </w:p>
    <w:p w14:paraId="70F6D464" w14:textId="77777777" w:rsidR="00187713" w:rsidRPr="00D31EBB" w:rsidRDefault="00187713" w:rsidP="00187713">
      <w:pPr>
        <w:pStyle w:val="EMEAHeading1"/>
        <w:rPr>
          <w:noProof/>
          <w:lang w:val="en-US"/>
        </w:rPr>
      </w:pPr>
    </w:p>
    <w:p w14:paraId="483EF5AA" w14:textId="77777777" w:rsidR="00187713" w:rsidRPr="00D31EBB" w:rsidRDefault="00187713" w:rsidP="00187713">
      <w:pPr>
        <w:pStyle w:val="EMEABodyText"/>
        <w:rPr>
          <w:noProof/>
        </w:rPr>
      </w:pPr>
      <w:r>
        <w:t>Date of first authorisation: 02 March 2004</w:t>
      </w:r>
      <w:r>
        <w:br/>
        <w:t>Date of latest renewal: 02 March 2009</w:t>
      </w:r>
    </w:p>
    <w:p w14:paraId="326365FB" w14:textId="77777777" w:rsidR="00187713" w:rsidRPr="00D31EBB" w:rsidRDefault="00187713" w:rsidP="00187713">
      <w:pPr>
        <w:pStyle w:val="EMEABodyText"/>
        <w:rPr>
          <w:noProof/>
          <w:lang w:val="en-US"/>
        </w:rPr>
      </w:pPr>
    </w:p>
    <w:p w14:paraId="2A4C2540" w14:textId="77777777" w:rsidR="00187713" w:rsidRPr="00D31EBB" w:rsidRDefault="00187713" w:rsidP="00187713">
      <w:pPr>
        <w:pStyle w:val="EMEABodyText"/>
        <w:rPr>
          <w:noProof/>
          <w:lang w:val="en-US"/>
        </w:rPr>
      </w:pPr>
    </w:p>
    <w:p w14:paraId="463DE4A3" w14:textId="77777777" w:rsidR="00187713" w:rsidRPr="00D31EBB" w:rsidRDefault="00187713" w:rsidP="00187713">
      <w:pPr>
        <w:pStyle w:val="EMEAHeading1"/>
        <w:rPr>
          <w:noProof/>
        </w:rPr>
      </w:pPr>
      <w:r>
        <w:t>10.</w:t>
      </w:r>
      <w:r>
        <w:tab/>
        <w:t>DATE OF REVISION OF THE TEXT</w:t>
      </w:r>
    </w:p>
    <w:p w14:paraId="4F7919A1" w14:textId="77777777" w:rsidR="00187713" w:rsidRPr="00D31EBB" w:rsidRDefault="00187713" w:rsidP="00187713">
      <w:pPr>
        <w:pStyle w:val="EMEAHeading1"/>
        <w:rPr>
          <w:noProof/>
          <w:lang w:val="en-US"/>
        </w:rPr>
      </w:pPr>
    </w:p>
    <w:p w14:paraId="73D91C36" w14:textId="77777777" w:rsidR="00187713" w:rsidRPr="00D31EBB" w:rsidRDefault="00187713" w:rsidP="00187713">
      <w:pPr>
        <w:pStyle w:val="EMEABodyText"/>
        <w:rPr>
          <w:noProof/>
        </w:rPr>
      </w:pPr>
      <w:r>
        <w:t>{MM/YYYY}</w:t>
      </w:r>
    </w:p>
    <w:p w14:paraId="6B1C44F1" w14:textId="77777777" w:rsidR="00187713" w:rsidRPr="00D31EBB" w:rsidRDefault="00187713" w:rsidP="00187713">
      <w:pPr>
        <w:pStyle w:val="EMEABodyText"/>
        <w:rPr>
          <w:noProof/>
          <w:lang w:val="en-US"/>
        </w:rPr>
      </w:pPr>
    </w:p>
    <w:p w14:paraId="368DBF2C" w14:textId="77777777" w:rsidR="00187713" w:rsidRPr="00D31EBB" w:rsidRDefault="00187713" w:rsidP="00187713">
      <w:pPr>
        <w:pStyle w:val="EMEABodyText"/>
        <w:rPr>
          <w:noProof/>
          <w:lang w:val="en-US"/>
        </w:rPr>
      </w:pPr>
    </w:p>
    <w:p w14:paraId="76EBCAEE" w14:textId="77777777" w:rsidR="00187713" w:rsidRPr="00D31EBB" w:rsidRDefault="00187713" w:rsidP="00187713">
      <w:pPr>
        <w:pStyle w:val="EMEABodyText"/>
        <w:rPr>
          <w:noProof/>
        </w:rPr>
      </w:pPr>
      <w:r>
        <w:t>Detailed information on this medicinal product is available on the website of the European Medicines Agency http://www.ema.europa.eu</w:t>
      </w:r>
    </w:p>
    <w:p w14:paraId="4ED50565" w14:textId="77777777" w:rsidR="00D02BC8" w:rsidRPr="00D31EBB" w:rsidRDefault="00187713" w:rsidP="00187713">
      <w:pPr>
        <w:pStyle w:val="EMEABodyText"/>
      </w:pPr>
      <w:r>
        <w:br w:type="page"/>
      </w:r>
    </w:p>
    <w:p w14:paraId="5D3CD41F" w14:textId="77777777" w:rsidR="00D02BC8" w:rsidRPr="00D31EBB" w:rsidRDefault="00D02BC8" w:rsidP="008B6CCB">
      <w:pPr>
        <w:pStyle w:val="EMEABodyText"/>
        <w:rPr>
          <w:lang w:val="en-US"/>
        </w:rPr>
      </w:pPr>
    </w:p>
    <w:p w14:paraId="01A2A0B4" w14:textId="77777777" w:rsidR="00D02BC8" w:rsidRPr="00D31EBB" w:rsidRDefault="00D02BC8" w:rsidP="008B6CCB">
      <w:pPr>
        <w:pStyle w:val="EMEABodyText"/>
        <w:rPr>
          <w:lang w:val="en-US"/>
        </w:rPr>
      </w:pPr>
    </w:p>
    <w:p w14:paraId="56FBBB08" w14:textId="77777777" w:rsidR="00D02BC8" w:rsidRPr="00D31EBB" w:rsidRDefault="00D02BC8" w:rsidP="008B6CCB">
      <w:pPr>
        <w:pStyle w:val="EMEABodyText"/>
        <w:rPr>
          <w:lang w:val="en-US"/>
        </w:rPr>
      </w:pPr>
    </w:p>
    <w:p w14:paraId="1243111B" w14:textId="77777777" w:rsidR="00D02BC8" w:rsidRPr="00D31EBB" w:rsidRDefault="00D02BC8" w:rsidP="008B6CCB">
      <w:pPr>
        <w:pStyle w:val="EMEABodyText"/>
        <w:rPr>
          <w:lang w:val="en-US"/>
        </w:rPr>
      </w:pPr>
    </w:p>
    <w:p w14:paraId="31F3E6AA" w14:textId="77777777" w:rsidR="00D02BC8" w:rsidRPr="00D31EBB" w:rsidRDefault="00D02BC8" w:rsidP="008B6CCB">
      <w:pPr>
        <w:pStyle w:val="EMEABodyText"/>
        <w:rPr>
          <w:lang w:val="en-US"/>
        </w:rPr>
      </w:pPr>
    </w:p>
    <w:p w14:paraId="74E4E7E3" w14:textId="77777777" w:rsidR="00D02BC8" w:rsidRPr="00D31EBB" w:rsidRDefault="00D02BC8" w:rsidP="008B6CCB">
      <w:pPr>
        <w:pStyle w:val="EMEABodyText"/>
        <w:rPr>
          <w:lang w:val="en-US"/>
        </w:rPr>
      </w:pPr>
    </w:p>
    <w:p w14:paraId="0CA0F165" w14:textId="77777777" w:rsidR="00D02BC8" w:rsidRPr="00D31EBB" w:rsidRDefault="00D02BC8" w:rsidP="008B6CCB">
      <w:pPr>
        <w:pStyle w:val="EMEABodyText"/>
        <w:rPr>
          <w:lang w:val="en-US"/>
        </w:rPr>
      </w:pPr>
    </w:p>
    <w:p w14:paraId="155961F9" w14:textId="77777777" w:rsidR="00D02BC8" w:rsidRPr="00D31EBB" w:rsidRDefault="00D02BC8" w:rsidP="008B6CCB">
      <w:pPr>
        <w:pStyle w:val="EMEABodyText"/>
        <w:rPr>
          <w:lang w:val="en-US"/>
        </w:rPr>
      </w:pPr>
    </w:p>
    <w:p w14:paraId="21103C5D" w14:textId="77777777" w:rsidR="00D02BC8" w:rsidRPr="00D31EBB" w:rsidRDefault="00D02BC8" w:rsidP="008B6CCB">
      <w:pPr>
        <w:pStyle w:val="EMEABodyText"/>
        <w:rPr>
          <w:lang w:val="en-US"/>
        </w:rPr>
      </w:pPr>
    </w:p>
    <w:p w14:paraId="06E88A64" w14:textId="77777777" w:rsidR="00D02BC8" w:rsidRPr="00D31EBB" w:rsidRDefault="00D02BC8" w:rsidP="008B6CCB">
      <w:pPr>
        <w:pStyle w:val="EMEABodyText"/>
        <w:rPr>
          <w:lang w:val="en-US"/>
        </w:rPr>
      </w:pPr>
    </w:p>
    <w:p w14:paraId="2211C033" w14:textId="77777777" w:rsidR="00D02BC8" w:rsidRPr="00D31EBB" w:rsidRDefault="00D02BC8" w:rsidP="008B6CCB">
      <w:pPr>
        <w:pStyle w:val="EMEABodyText"/>
        <w:rPr>
          <w:lang w:val="en-US"/>
        </w:rPr>
      </w:pPr>
    </w:p>
    <w:p w14:paraId="1E071BE7" w14:textId="77777777" w:rsidR="00D02BC8" w:rsidRPr="00D31EBB" w:rsidRDefault="00D02BC8" w:rsidP="008B6CCB">
      <w:pPr>
        <w:pStyle w:val="EMEABodyText"/>
        <w:rPr>
          <w:lang w:val="en-US"/>
        </w:rPr>
      </w:pPr>
    </w:p>
    <w:p w14:paraId="11C62950" w14:textId="77777777" w:rsidR="00D02BC8" w:rsidRPr="00D31EBB" w:rsidRDefault="00D02BC8" w:rsidP="008B6CCB">
      <w:pPr>
        <w:pStyle w:val="EMEABodyText"/>
        <w:rPr>
          <w:lang w:val="en-US"/>
        </w:rPr>
      </w:pPr>
    </w:p>
    <w:p w14:paraId="7A2BA4F8" w14:textId="77777777" w:rsidR="00D02BC8" w:rsidRPr="00D31EBB" w:rsidRDefault="00D02BC8" w:rsidP="008B6CCB">
      <w:pPr>
        <w:pStyle w:val="EMEABodyText"/>
        <w:rPr>
          <w:lang w:val="en-US"/>
        </w:rPr>
      </w:pPr>
    </w:p>
    <w:p w14:paraId="7764C629" w14:textId="77777777" w:rsidR="00D02BC8" w:rsidRPr="00D31EBB" w:rsidRDefault="00D02BC8" w:rsidP="008B6CCB">
      <w:pPr>
        <w:pStyle w:val="EMEABodyText"/>
        <w:rPr>
          <w:lang w:val="en-US"/>
        </w:rPr>
      </w:pPr>
    </w:p>
    <w:p w14:paraId="70130DB3" w14:textId="77777777" w:rsidR="00D02BC8" w:rsidRPr="00D31EBB" w:rsidRDefault="00D02BC8" w:rsidP="008B6CCB">
      <w:pPr>
        <w:pStyle w:val="EMEABodyText"/>
        <w:rPr>
          <w:lang w:val="en-US"/>
        </w:rPr>
      </w:pPr>
    </w:p>
    <w:p w14:paraId="26018124" w14:textId="77777777" w:rsidR="00D02BC8" w:rsidRPr="00D31EBB" w:rsidRDefault="00D02BC8" w:rsidP="008B6CCB">
      <w:pPr>
        <w:pStyle w:val="EMEABodyText"/>
        <w:rPr>
          <w:lang w:val="en-US"/>
        </w:rPr>
      </w:pPr>
    </w:p>
    <w:p w14:paraId="22C41853" w14:textId="77777777" w:rsidR="00D02BC8" w:rsidRPr="00D31EBB" w:rsidRDefault="00D02BC8" w:rsidP="008B6CCB">
      <w:pPr>
        <w:pStyle w:val="EMEABodyText"/>
        <w:rPr>
          <w:lang w:val="en-US"/>
        </w:rPr>
      </w:pPr>
    </w:p>
    <w:p w14:paraId="57E5DE40" w14:textId="77777777" w:rsidR="00D02BC8" w:rsidRPr="00D31EBB" w:rsidRDefault="00D02BC8" w:rsidP="008B6CCB">
      <w:pPr>
        <w:pStyle w:val="EMEABodyText"/>
        <w:rPr>
          <w:lang w:val="en-US"/>
        </w:rPr>
      </w:pPr>
    </w:p>
    <w:p w14:paraId="288C1CA3" w14:textId="77777777" w:rsidR="00D02BC8" w:rsidRPr="00D31EBB" w:rsidRDefault="00D02BC8" w:rsidP="008B6CCB">
      <w:pPr>
        <w:pStyle w:val="EMEABodyText"/>
        <w:rPr>
          <w:lang w:val="en-US"/>
        </w:rPr>
      </w:pPr>
    </w:p>
    <w:p w14:paraId="22335576" w14:textId="77777777" w:rsidR="00D02BC8" w:rsidRPr="00D31EBB" w:rsidRDefault="00D02BC8" w:rsidP="008B6CCB">
      <w:pPr>
        <w:pStyle w:val="EMEABodyText"/>
        <w:rPr>
          <w:lang w:val="en-US"/>
        </w:rPr>
      </w:pPr>
    </w:p>
    <w:p w14:paraId="266244D8" w14:textId="77777777" w:rsidR="00D02BC8" w:rsidRPr="00D31EBB" w:rsidRDefault="00D02BC8" w:rsidP="008B6CCB">
      <w:pPr>
        <w:pStyle w:val="EMEABodyText"/>
        <w:rPr>
          <w:lang w:val="en-US"/>
        </w:rPr>
      </w:pPr>
    </w:p>
    <w:p w14:paraId="22F7D60E" w14:textId="77777777" w:rsidR="00D02BC8" w:rsidRPr="00D31EBB" w:rsidRDefault="00D02BC8" w:rsidP="008B6CCB">
      <w:pPr>
        <w:pStyle w:val="EMEATitle"/>
      </w:pPr>
      <w:r>
        <w:t>ANNEX II</w:t>
      </w:r>
    </w:p>
    <w:p w14:paraId="18DBAAC9" w14:textId="77777777" w:rsidR="00D02BC8" w:rsidRPr="00D31EBB" w:rsidRDefault="00D02BC8" w:rsidP="008B6CCB">
      <w:pPr>
        <w:pStyle w:val="EMEABodyText"/>
        <w:rPr>
          <w:lang w:val="en-US"/>
        </w:rPr>
      </w:pPr>
    </w:p>
    <w:p w14:paraId="3E339060" w14:textId="77777777" w:rsidR="00D02BC8" w:rsidRPr="00D31EBB" w:rsidRDefault="00D02BC8" w:rsidP="008B6CCB">
      <w:pPr>
        <w:pStyle w:val="EMEAHeading1"/>
        <w:ind w:left="1710" w:hanging="540"/>
      </w:pPr>
      <w:r>
        <w:t>a.</w:t>
      </w:r>
      <w:r>
        <w:tab/>
        <w:t>MANUFACTURER RESPONSIBLE FOR BATCH RELEASE</w:t>
      </w:r>
    </w:p>
    <w:p w14:paraId="5B3684EC" w14:textId="77777777" w:rsidR="00D02BC8" w:rsidRPr="00D31EBB" w:rsidRDefault="00D02BC8" w:rsidP="008B6CCB">
      <w:pPr>
        <w:pStyle w:val="EMEABodyText"/>
        <w:rPr>
          <w:lang w:val="en-US"/>
        </w:rPr>
      </w:pPr>
    </w:p>
    <w:p w14:paraId="5596279A" w14:textId="77777777" w:rsidR="00D02BC8" w:rsidRPr="00D31EBB" w:rsidRDefault="00D02BC8" w:rsidP="008B6CCB">
      <w:pPr>
        <w:pStyle w:val="EMEAHeading1"/>
        <w:ind w:left="1710" w:hanging="540"/>
      </w:pPr>
      <w:r>
        <w:t>B.</w:t>
      </w:r>
      <w:r>
        <w:tab/>
        <w:t>CONDITIONS OR RESTRICTIONS REGARDING SUPPLY AND USE</w:t>
      </w:r>
    </w:p>
    <w:p w14:paraId="7C7A1EED" w14:textId="77777777" w:rsidR="00D02BC8" w:rsidRPr="00D31EBB" w:rsidRDefault="00D02BC8" w:rsidP="008B6CCB">
      <w:pPr>
        <w:pStyle w:val="EMEABodyText"/>
        <w:rPr>
          <w:lang w:val="en-US"/>
        </w:rPr>
      </w:pPr>
    </w:p>
    <w:p w14:paraId="74015E15" w14:textId="77777777" w:rsidR="00D02BC8" w:rsidRPr="00D31EBB" w:rsidRDefault="00D02BC8" w:rsidP="008B6CCB">
      <w:pPr>
        <w:pStyle w:val="EMEAHeading1"/>
        <w:ind w:left="1710" w:hanging="540"/>
        <w:rPr>
          <w:noProof/>
        </w:rPr>
      </w:pPr>
      <w:r>
        <w:t>C.</w:t>
      </w:r>
      <w:r>
        <w:tab/>
        <w:t>OTHER CONDITIONS AND REQUIREMENTS OF THE MARKETING AUTHORISATION</w:t>
      </w:r>
    </w:p>
    <w:p w14:paraId="738352B9" w14:textId="77777777" w:rsidR="00D02BC8" w:rsidRPr="00D31EBB" w:rsidRDefault="00D02BC8" w:rsidP="008B6CCB">
      <w:pPr>
        <w:pStyle w:val="EMEABodyText"/>
        <w:rPr>
          <w:lang w:val="en-US"/>
        </w:rPr>
      </w:pPr>
    </w:p>
    <w:p w14:paraId="1009703B" w14:textId="77777777" w:rsidR="00D02BC8" w:rsidRPr="00D31EBB" w:rsidRDefault="00D02BC8" w:rsidP="008B6CCB">
      <w:pPr>
        <w:pStyle w:val="EMEAHeading1"/>
        <w:ind w:left="1710"/>
      </w:pPr>
      <w:r>
        <w:t>D.</w:t>
      </w:r>
      <w:r>
        <w:tab/>
        <w:t>CONDITIONS OR RESTRICTIONS WITH REGARD TO THE SAFE AND EFFECTIVE USE OF THE MEDICINAL PRODUCT</w:t>
      </w:r>
    </w:p>
    <w:p w14:paraId="552345FF" w14:textId="77777777" w:rsidR="00D02BC8" w:rsidRPr="00D31EBB" w:rsidRDefault="00D02BC8" w:rsidP="008B6CCB">
      <w:pPr>
        <w:pStyle w:val="EMEABodyText"/>
        <w:rPr>
          <w:lang w:val="en-US"/>
        </w:rPr>
      </w:pPr>
    </w:p>
    <w:p w14:paraId="45413B2D" w14:textId="77777777" w:rsidR="00D02BC8" w:rsidRPr="00D31EBB" w:rsidRDefault="00D02BC8" w:rsidP="008B6CCB">
      <w:pPr>
        <w:pStyle w:val="EMEAHeading1"/>
        <w:rPr>
          <w:noProof/>
        </w:rPr>
      </w:pPr>
      <w:r>
        <w:br w:type="page"/>
        <w:t>A.</w:t>
      </w:r>
      <w:r>
        <w:tab/>
        <w:t>MANUFACTURER RESPONSIBLE FOR BATCH RELEASE</w:t>
      </w:r>
    </w:p>
    <w:p w14:paraId="72880AA1" w14:textId="77777777" w:rsidR="00D02BC8" w:rsidRPr="00D31EBB" w:rsidRDefault="00D02BC8" w:rsidP="008B6CCB">
      <w:pPr>
        <w:pStyle w:val="EMEAHeading1"/>
        <w:rPr>
          <w:noProof/>
          <w:lang w:val="en-US"/>
        </w:rPr>
      </w:pPr>
    </w:p>
    <w:p w14:paraId="680CC829" w14:textId="77777777" w:rsidR="00D02BC8" w:rsidRPr="00D31EBB" w:rsidRDefault="00D02BC8" w:rsidP="008B6CCB">
      <w:pPr>
        <w:pStyle w:val="EMEABodyText"/>
        <w:rPr>
          <w:noProof/>
          <w:u w:val="single"/>
        </w:rPr>
      </w:pPr>
      <w:r>
        <w:rPr>
          <w:u w:val="single"/>
        </w:rPr>
        <w:t>Name and address of the manufacturers responsible for batch release</w:t>
      </w:r>
    </w:p>
    <w:p w14:paraId="4D67A888" w14:textId="77777777" w:rsidR="00D02BC8" w:rsidRPr="00D31EBB" w:rsidRDefault="00D02BC8" w:rsidP="008B6CCB">
      <w:pPr>
        <w:pStyle w:val="EMEABodyText"/>
        <w:rPr>
          <w:noProof/>
          <w:lang w:val="en-US"/>
        </w:rPr>
      </w:pPr>
    </w:p>
    <w:p w14:paraId="23D50FA1" w14:textId="3AB818BA" w:rsidR="002E2C1C" w:rsidRDefault="002E2C1C" w:rsidP="008B6CCB">
      <w:pPr>
        <w:pStyle w:val="EMEABodyText"/>
      </w:pPr>
      <w:r>
        <w:t>CATALENT ANAGNI S.R.L.</w:t>
      </w:r>
    </w:p>
    <w:p w14:paraId="30DD3EEB" w14:textId="44F1DB04" w:rsidR="002E2C1C" w:rsidRDefault="002E2C1C" w:rsidP="008B6CCB">
      <w:pPr>
        <w:pStyle w:val="EMEABodyText"/>
      </w:pPr>
      <w:r>
        <w:t xml:space="preserve">Loc. </w:t>
      </w:r>
      <w:r w:rsidR="00D02BC8">
        <w:t>Fontana del Ceraso</w:t>
      </w:r>
      <w:r>
        <w:rPr>
          <w:lang w:val="en-GB"/>
        </w:rPr>
        <w:t xml:space="preserve"> snc</w:t>
      </w:r>
    </w:p>
    <w:p w14:paraId="461D80D8" w14:textId="77777777" w:rsidR="002E2C1C" w:rsidRPr="001B3771" w:rsidRDefault="002E2C1C" w:rsidP="002E2C1C">
      <w:pPr>
        <w:rPr>
          <w:szCs w:val="22"/>
        </w:rPr>
      </w:pPr>
      <w:r>
        <w:t>Strada Provinciale 12 Casilina, 41</w:t>
      </w:r>
    </w:p>
    <w:p w14:paraId="4301DD95" w14:textId="0D6BF51C" w:rsidR="002E2C1C" w:rsidRDefault="00D02BC8" w:rsidP="008B6CCB">
      <w:pPr>
        <w:pStyle w:val="EMEABodyText"/>
      </w:pPr>
      <w:r>
        <w:t>03012 Anagni (FR)</w:t>
      </w:r>
    </w:p>
    <w:p w14:paraId="1CB948DE" w14:textId="01A6DFAF" w:rsidR="00D02BC8" w:rsidRPr="00D31EBB" w:rsidRDefault="00D02BC8" w:rsidP="008B6CCB">
      <w:pPr>
        <w:pStyle w:val="EMEABodyText"/>
      </w:pPr>
      <w:r>
        <w:t>Italy</w:t>
      </w:r>
    </w:p>
    <w:p w14:paraId="0B2D2FDD" w14:textId="69882D82" w:rsidR="00D02BC8" w:rsidRDefault="00D02BC8" w:rsidP="008B6CCB">
      <w:pPr>
        <w:pStyle w:val="EMEABodyText"/>
        <w:rPr>
          <w:noProof/>
          <w:lang w:val="es-ES"/>
        </w:rPr>
      </w:pPr>
    </w:p>
    <w:p w14:paraId="1DFE8E36" w14:textId="77777777" w:rsidR="002E2C1C" w:rsidRPr="002E2C1C" w:rsidRDefault="002E2C1C" w:rsidP="002E2C1C">
      <w:pPr>
        <w:pStyle w:val="EMEABodyText"/>
      </w:pPr>
      <w:r w:rsidRPr="002E2C1C">
        <w:t>Swords Laboratories T/A Bristol-Myers Squibb Pharmaceutical Operations, External Manufacturing</w:t>
      </w:r>
    </w:p>
    <w:p w14:paraId="3FC3D5D9" w14:textId="77777777" w:rsidR="002E2C1C" w:rsidRPr="002E2C1C" w:rsidRDefault="002E2C1C" w:rsidP="002E2C1C">
      <w:pPr>
        <w:pStyle w:val="EMEABodyText"/>
      </w:pPr>
      <w:r w:rsidRPr="002E2C1C">
        <w:t>Plaza 254</w:t>
      </w:r>
    </w:p>
    <w:p w14:paraId="1AB128D8" w14:textId="77777777" w:rsidR="002E2C1C" w:rsidRPr="002E2C1C" w:rsidRDefault="002E2C1C" w:rsidP="002E2C1C">
      <w:pPr>
        <w:pStyle w:val="EMEABodyText"/>
      </w:pPr>
      <w:r w:rsidRPr="002E2C1C">
        <w:t>Blanchardstown Corporate Park 2</w:t>
      </w:r>
    </w:p>
    <w:p w14:paraId="3C1695B3" w14:textId="5F88B5BE" w:rsidR="002E2C1C" w:rsidRDefault="002E2C1C" w:rsidP="002E2C1C">
      <w:pPr>
        <w:pStyle w:val="EMEABodyText"/>
      </w:pPr>
      <w:r w:rsidRPr="002E2C1C">
        <w:t>Dublin 15, D15 T867</w:t>
      </w:r>
    </w:p>
    <w:p w14:paraId="4979C566" w14:textId="77777777" w:rsidR="002E2C1C" w:rsidRPr="002E2C1C" w:rsidRDefault="002E2C1C" w:rsidP="002E2C1C">
      <w:pPr>
        <w:pStyle w:val="EMEABodyText"/>
      </w:pPr>
      <w:r w:rsidRPr="002E2C1C">
        <w:t>Ireland</w:t>
      </w:r>
    </w:p>
    <w:p w14:paraId="33A4C0F6" w14:textId="77777777" w:rsidR="002E2C1C" w:rsidRPr="0096648A" w:rsidRDefault="002E2C1C" w:rsidP="008B6CCB">
      <w:pPr>
        <w:pStyle w:val="EMEABodyText"/>
        <w:rPr>
          <w:noProof/>
          <w:lang w:val="es-ES"/>
        </w:rPr>
      </w:pPr>
    </w:p>
    <w:p w14:paraId="6B26D06C" w14:textId="77777777" w:rsidR="00E41E66" w:rsidRDefault="00187713" w:rsidP="00187713">
      <w:pPr>
        <w:pStyle w:val="EMEABodyText"/>
      </w:pPr>
      <w:r>
        <w:t>Swords Laboratories T/A Lawrence Laboratories</w:t>
      </w:r>
    </w:p>
    <w:p w14:paraId="1E9CBBBE" w14:textId="716FD4FC" w:rsidR="00E41E66" w:rsidRDefault="00187713" w:rsidP="00187713">
      <w:pPr>
        <w:pStyle w:val="EMEABodyText"/>
      </w:pPr>
      <w:r>
        <w:t>Unit 12</w:t>
      </w:r>
      <w:r w:rsidR="00E41E66">
        <w:rPr>
          <w:lang w:val="en-GB"/>
        </w:rPr>
        <w:t xml:space="preserve"> &amp; 15</w:t>
      </w:r>
      <w:r>
        <w:t>, Distribution Centre</w:t>
      </w:r>
    </w:p>
    <w:p w14:paraId="0B3AA8A9" w14:textId="6A4AC98C" w:rsidR="00E41E66" w:rsidRDefault="00187713" w:rsidP="00187713">
      <w:pPr>
        <w:pStyle w:val="EMEABodyText"/>
      </w:pPr>
      <w:r>
        <w:t xml:space="preserve">Shannon Industrial Estate </w:t>
      </w:r>
    </w:p>
    <w:p w14:paraId="6A932891" w14:textId="77777777" w:rsidR="00E41E66" w:rsidRDefault="00187713" w:rsidP="00187713">
      <w:pPr>
        <w:pStyle w:val="EMEABodyText"/>
        <w:rPr>
          <w:lang w:val="en-GB"/>
        </w:rPr>
      </w:pPr>
      <w:r>
        <w:t xml:space="preserve">Shannon, Co. Clare, </w:t>
      </w:r>
      <w:r w:rsidR="00E41E66">
        <w:rPr>
          <w:lang w:val="en-GB"/>
        </w:rPr>
        <w:t>V14 DD39</w:t>
      </w:r>
    </w:p>
    <w:p w14:paraId="5F91E223" w14:textId="7E6B045C" w:rsidR="00187713" w:rsidRPr="00D31EBB" w:rsidRDefault="00187713" w:rsidP="00187713">
      <w:pPr>
        <w:pStyle w:val="EMEABodyText"/>
      </w:pPr>
      <w:r>
        <w:t>Ireland</w:t>
      </w:r>
    </w:p>
    <w:p w14:paraId="7A9D4309" w14:textId="77777777" w:rsidR="003228A9" w:rsidRPr="00D31EBB" w:rsidRDefault="003228A9" w:rsidP="00187713">
      <w:pPr>
        <w:pStyle w:val="EMEABodyText"/>
        <w:rPr>
          <w:lang w:val="en-US"/>
        </w:rPr>
      </w:pPr>
    </w:p>
    <w:p w14:paraId="7E21A6CD" w14:textId="77777777" w:rsidR="003228A9" w:rsidRPr="00D31EBB" w:rsidRDefault="003228A9" w:rsidP="003228A9">
      <w:pPr>
        <w:pStyle w:val="EMEABodyText"/>
      </w:pPr>
      <w:r>
        <w:t>The printed package leaflet of the medicinal product must state the name and address of the manufacturer responsible for the release of the concerned batch.</w:t>
      </w:r>
    </w:p>
    <w:p w14:paraId="6C091476" w14:textId="77777777" w:rsidR="00187713" w:rsidRPr="00D31EBB" w:rsidRDefault="00187713" w:rsidP="008B6CCB">
      <w:pPr>
        <w:pStyle w:val="EMEABodyText"/>
        <w:rPr>
          <w:noProof/>
          <w:lang w:val="en-US"/>
        </w:rPr>
      </w:pPr>
    </w:p>
    <w:p w14:paraId="3362D4CD" w14:textId="77777777" w:rsidR="00D02BC8" w:rsidRPr="00D31EBB" w:rsidRDefault="00D02BC8" w:rsidP="008B6CCB">
      <w:pPr>
        <w:pStyle w:val="EMEABodyText"/>
        <w:rPr>
          <w:noProof/>
          <w:lang w:val="en-US"/>
        </w:rPr>
      </w:pPr>
    </w:p>
    <w:p w14:paraId="718A7F88" w14:textId="77777777" w:rsidR="00D02BC8" w:rsidRPr="00D31EBB" w:rsidRDefault="00D02BC8" w:rsidP="008B6CCB">
      <w:pPr>
        <w:pStyle w:val="EMEAHeading1"/>
        <w:rPr>
          <w:noProof/>
        </w:rPr>
      </w:pPr>
      <w:r>
        <w:t>B.</w:t>
      </w:r>
      <w:r>
        <w:tab/>
        <w:t>CONDITIONS OR RESTRICTIONS REGARDING SUPPLY AND USE</w:t>
      </w:r>
    </w:p>
    <w:p w14:paraId="694B740C" w14:textId="77777777" w:rsidR="00D02BC8" w:rsidRPr="00D31EBB" w:rsidRDefault="00D02BC8" w:rsidP="008B6CCB">
      <w:pPr>
        <w:pStyle w:val="EMEAHeading1"/>
        <w:rPr>
          <w:noProof/>
          <w:lang w:val="en-US"/>
        </w:rPr>
      </w:pPr>
    </w:p>
    <w:p w14:paraId="0EAFE314" w14:textId="77777777" w:rsidR="00D02BC8" w:rsidRPr="00D31EBB" w:rsidRDefault="00D02BC8" w:rsidP="008B6CCB">
      <w:pPr>
        <w:pStyle w:val="EMEABodyText"/>
        <w:rPr>
          <w:noProof/>
        </w:rPr>
      </w:pPr>
      <w:r>
        <w:t>Medicinal product subject to restricted medical prescription (see Annex I: Summary of Product Characteristics, section 4.2).</w:t>
      </w:r>
    </w:p>
    <w:p w14:paraId="0CA72D44" w14:textId="77777777" w:rsidR="00D02BC8" w:rsidRPr="00D31EBB" w:rsidRDefault="00D02BC8" w:rsidP="008B6CCB">
      <w:pPr>
        <w:pStyle w:val="EMEABodyText"/>
        <w:rPr>
          <w:noProof/>
          <w:lang w:val="en-US"/>
        </w:rPr>
      </w:pPr>
    </w:p>
    <w:p w14:paraId="0480499F" w14:textId="77777777" w:rsidR="00656E99" w:rsidRPr="00D31EBB" w:rsidRDefault="00656E99" w:rsidP="008B6CCB">
      <w:pPr>
        <w:pStyle w:val="EMEABodyText"/>
        <w:rPr>
          <w:noProof/>
          <w:lang w:val="en-US"/>
        </w:rPr>
      </w:pPr>
    </w:p>
    <w:p w14:paraId="489509EA" w14:textId="77777777" w:rsidR="00D02BC8" w:rsidRPr="00D31EBB" w:rsidRDefault="00D02BC8" w:rsidP="008B6CCB">
      <w:pPr>
        <w:pStyle w:val="EMEAHeading1"/>
        <w:ind w:left="540" w:hanging="540"/>
        <w:rPr>
          <w:noProof/>
        </w:rPr>
      </w:pPr>
      <w:r>
        <w:t>C.</w:t>
      </w:r>
      <w:r>
        <w:tab/>
        <w:t>OTHER CONDITIONS AND REQUIREMENTS OF THE MARKETING AUTHORISATION</w:t>
      </w:r>
    </w:p>
    <w:p w14:paraId="18AA35D8" w14:textId="77777777" w:rsidR="00D02BC8" w:rsidRPr="00D31EBB" w:rsidRDefault="00D02BC8" w:rsidP="008B6CCB">
      <w:pPr>
        <w:pStyle w:val="EMEABodyText"/>
        <w:rPr>
          <w:noProof/>
          <w:lang w:val="en-US"/>
        </w:rPr>
      </w:pPr>
    </w:p>
    <w:p w14:paraId="54E05F28" w14:textId="77777777" w:rsidR="00D02BC8" w:rsidRPr="004F3582" w:rsidRDefault="00D02BC8" w:rsidP="00D02BC8">
      <w:pPr>
        <w:pStyle w:val="EMEABodyTextIndent"/>
        <w:tabs>
          <w:tab w:val="num" w:pos="360"/>
        </w:tabs>
        <w:rPr>
          <w:b/>
        </w:rPr>
      </w:pPr>
      <w:r>
        <w:rPr>
          <w:b/>
        </w:rPr>
        <w:t>Periodic Safety Update Reports</w:t>
      </w:r>
    </w:p>
    <w:p w14:paraId="3EAF6A82" w14:textId="77777777" w:rsidR="00D02BC8" w:rsidRPr="004F3582" w:rsidRDefault="00D02BC8" w:rsidP="008B6CCB">
      <w:pPr>
        <w:pStyle w:val="EMEABodyText"/>
        <w:rPr>
          <w:lang w:eastAsia="nl-NL"/>
        </w:rPr>
      </w:pPr>
    </w:p>
    <w:p w14:paraId="6A95C30F" w14:textId="77777777" w:rsidR="00D02BC8" w:rsidRPr="00D31EBB" w:rsidRDefault="00D02BC8" w:rsidP="008B6CCB">
      <w:pPr>
        <w:pStyle w:val="EMEABodyText"/>
        <w:jc w:val="both"/>
        <w:rPr>
          <w:iCs/>
          <w:szCs w:val="22"/>
        </w:rPr>
      </w:pPr>
      <w:r>
        <w:t>The requirements for submission of periodic safety update reports for this medicinal product are set out in the list of Union reference dates (EURD list) provided for under Article 107c(7) of Directive 2001/83/EC and any subsequent updates published on the European medicines web-portal.</w:t>
      </w:r>
    </w:p>
    <w:p w14:paraId="0E68FB62" w14:textId="77777777" w:rsidR="00D02BC8" w:rsidRPr="00D31EBB" w:rsidRDefault="00D02BC8" w:rsidP="008B6CCB">
      <w:pPr>
        <w:pStyle w:val="EMEABodyText"/>
        <w:jc w:val="both"/>
        <w:rPr>
          <w:sz w:val="24"/>
          <w:szCs w:val="24"/>
          <w:lang w:val="en-US" w:eastAsia="nl-NL"/>
        </w:rPr>
      </w:pPr>
    </w:p>
    <w:p w14:paraId="6C808569" w14:textId="77777777" w:rsidR="00D02BC8" w:rsidRPr="00D31EBB" w:rsidRDefault="00D02BC8" w:rsidP="008B6CCB">
      <w:pPr>
        <w:pStyle w:val="EMEABodyText"/>
        <w:rPr>
          <w:noProof/>
          <w:lang w:val="en-US"/>
        </w:rPr>
      </w:pPr>
    </w:p>
    <w:p w14:paraId="198B10CC" w14:textId="77777777" w:rsidR="00D02BC8" w:rsidRPr="00D31EBB" w:rsidRDefault="00D02BC8" w:rsidP="008B6CCB">
      <w:pPr>
        <w:pStyle w:val="EMEAHeading1"/>
        <w:rPr>
          <w:noProof/>
        </w:rPr>
      </w:pPr>
      <w:r>
        <w:t>D.</w:t>
      </w:r>
      <w:r>
        <w:tab/>
        <w:t>CONDITIONS OR RESTRICTIONS WITH REGARD TO THE SAFE AND EFFECTIVE USE OF THE MEDICINAL PRODUCT</w:t>
      </w:r>
    </w:p>
    <w:p w14:paraId="07101B22" w14:textId="77777777" w:rsidR="00D02BC8" w:rsidRPr="00D31EBB" w:rsidRDefault="00D02BC8" w:rsidP="008B6CCB">
      <w:pPr>
        <w:pStyle w:val="EMEABodyText"/>
        <w:rPr>
          <w:noProof/>
          <w:lang w:val="en-US"/>
        </w:rPr>
      </w:pPr>
    </w:p>
    <w:p w14:paraId="0FEDA399" w14:textId="77777777" w:rsidR="00D02BC8" w:rsidRPr="004F3582" w:rsidRDefault="00D02BC8" w:rsidP="00D02BC8">
      <w:pPr>
        <w:pStyle w:val="EMEABodyTextIndent"/>
        <w:tabs>
          <w:tab w:val="num" w:pos="360"/>
        </w:tabs>
        <w:rPr>
          <w:b/>
        </w:rPr>
      </w:pPr>
      <w:r>
        <w:rPr>
          <w:b/>
        </w:rPr>
        <w:t>Risk Management plan (RMP)</w:t>
      </w:r>
    </w:p>
    <w:p w14:paraId="2AA9D98F" w14:textId="77777777" w:rsidR="00D02BC8" w:rsidRPr="004F3582" w:rsidRDefault="00D02BC8" w:rsidP="008B6CCB">
      <w:pPr>
        <w:pStyle w:val="EMEABodyText"/>
        <w:rPr>
          <w:lang w:eastAsia="nl-NL"/>
        </w:rPr>
      </w:pPr>
    </w:p>
    <w:p w14:paraId="510C0689" w14:textId="77777777" w:rsidR="00D02BC8" w:rsidRPr="00D31EBB" w:rsidRDefault="00D02BC8" w:rsidP="008B6CCB">
      <w:pPr>
        <w:pStyle w:val="EMEABodyText"/>
        <w:jc w:val="both"/>
      </w:pPr>
      <w:r>
        <w:t>The MAH shall perform the required pharmacovigilance activities and interventions detailed in the agreed RMP presented in Module 1.8.2 of the Marketing Authorisation and any agreed subsequent updates of the RMP.</w:t>
      </w:r>
    </w:p>
    <w:p w14:paraId="55638977" w14:textId="77777777" w:rsidR="00D02BC8" w:rsidRPr="00D31EBB" w:rsidRDefault="00D02BC8" w:rsidP="008B6CCB">
      <w:pPr>
        <w:pStyle w:val="EMEABodyText"/>
        <w:jc w:val="both"/>
        <w:rPr>
          <w:lang w:val="en-US" w:eastAsia="nl-NL"/>
        </w:rPr>
      </w:pPr>
    </w:p>
    <w:p w14:paraId="669D6FF2" w14:textId="77777777" w:rsidR="00D02BC8" w:rsidRPr="00D31EBB" w:rsidRDefault="00D02BC8" w:rsidP="008B6CCB">
      <w:pPr>
        <w:pStyle w:val="EMEABodyText"/>
        <w:jc w:val="both"/>
      </w:pPr>
      <w:r>
        <w:t>An updated RMP should be submitted:</w:t>
      </w:r>
    </w:p>
    <w:p w14:paraId="40DC8F53" w14:textId="77777777" w:rsidR="00D02BC8" w:rsidRPr="00D31EBB" w:rsidRDefault="00D02BC8" w:rsidP="001A1969">
      <w:pPr>
        <w:pStyle w:val="EMEABodyTextIndent"/>
        <w:tabs>
          <w:tab w:val="num" w:pos="709"/>
        </w:tabs>
        <w:ind w:left="720"/>
        <w:jc w:val="both"/>
      </w:pPr>
      <w:r>
        <w:t>At the request of the European Medicines Agency;</w:t>
      </w:r>
    </w:p>
    <w:p w14:paraId="68733905" w14:textId="77777777" w:rsidR="00D02BC8" w:rsidRPr="00D31EBB" w:rsidRDefault="00D02BC8" w:rsidP="001A1969">
      <w:pPr>
        <w:pStyle w:val="EMEABodyTextIndent"/>
        <w:tabs>
          <w:tab w:val="num" w:pos="709"/>
        </w:tabs>
        <w:ind w:left="720"/>
        <w:jc w:val="both"/>
      </w:pPr>
      <w: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66A141D0" w14:textId="77777777" w:rsidR="000669FC" w:rsidRPr="00D31EBB" w:rsidRDefault="000669FC">
      <w:pPr>
        <w:pStyle w:val="EMEABodyText"/>
      </w:pPr>
      <w:r>
        <w:br w:type="page"/>
      </w:r>
    </w:p>
    <w:p w14:paraId="5366B582" w14:textId="77777777" w:rsidR="000669FC" w:rsidRPr="00D31EBB" w:rsidRDefault="000669FC">
      <w:pPr>
        <w:pStyle w:val="EMEABodyText"/>
        <w:rPr>
          <w:lang w:val="en-US"/>
        </w:rPr>
      </w:pPr>
    </w:p>
    <w:p w14:paraId="264E1A1D" w14:textId="77777777" w:rsidR="000669FC" w:rsidRPr="00D31EBB" w:rsidRDefault="000669FC">
      <w:pPr>
        <w:pStyle w:val="EMEABodyText"/>
        <w:rPr>
          <w:lang w:val="en-US"/>
        </w:rPr>
      </w:pPr>
    </w:p>
    <w:p w14:paraId="1D4C94DE" w14:textId="77777777" w:rsidR="000669FC" w:rsidRPr="00D31EBB" w:rsidRDefault="000669FC">
      <w:pPr>
        <w:pStyle w:val="EMEABodyText"/>
        <w:rPr>
          <w:lang w:val="en-US"/>
        </w:rPr>
      </w:pPr>
    </w:p>
    <w:p w14:paraId="1DF7C352" w14:textId="77777777" w:rsidR="000669FC" w:rsidRPr="00D31EBB" w:rsidRDefault="000669FC">
      <w:pPr>
        <w:pStyle w:val="EMEABodyText"/>
        <w:rPr>
          <w:lang w:val="en-US"/>
        </w:rPr>
      </w:pPr>
    </w:p>
    <w:p w14:paraId="450CDCE2" w14:textId="77777777" w:rsidR="000669FC" w:rsidRPr="00D31EBB" w:rsidRDefault="000669FC">
      <w:pPr>
        <w:pStyle w:val="EMEABodyText"/>
        <w:rPr>
          <w:lang w:val="en-US"/>
        </w:rPr>
      </w:pPr>
    </w:p>
    <w:p w14:paraId="19829781" w14:textId="77777777" w:rsidR="000669FC" w:rsidRPr="00D31EBB" w:rsidRDefault="000669FC">
      <w:pPr>
        <w:pStyle w:val="EMEABodyText"/>
        <w:rPr>
          <w:lang w:val="en-US"/>
        </w:rPr>
      </w:pPr>
    </w:p>
    <w:p w14:paraId="41FAFBB1" w14:textId="77777777" w:rsidR="000669FC" w:rsidRPr="00D31EBB" w:rsidRDefault="000669FC">
      <w:pPr>
        <w:pStyle w:val="EMEABodyText"/>
        <w:rPr>
          <w:lang w:val="en-US"/>
        </w:rPr>
      </w:pPr>
    </w:p>
    <w:p w14:paraId="5496883F" w14:textId="77777777" w:rsidR="000669FC" w:rsidRPr="00D31EBB" w:rsidRDefault="000669FC">
      <w:pPr>
        <w:pStyle w:val="EMEABodyText"/>
        <w:rPr>
          <w:lang w:val="en-US"/>
        </w:rPr>
      </w:pPr>
    </w:p>
    <w:p w14:paraId="2DF5B5A6" w14:textId="77777777" w:rsidR="000669FC" w:rsidRPr="00D31EBB" w:rsidRDefault="000669FC">
      <w:pPr>
        <w:pStyle w:val="EMEABodyText"/>
        <w:rPr>
          <w:lang w:val="en-US"/>
        </w:rPr>
      </w:pPr>
    </w:p>
    <w:p w14:paraId="46467633" w14:textId="77777777" w:rsidR="000669FC" w:rsidRPr="00D31EBB" w:rsidRDefault="000669FC">
      <w:pPr>
        <w:pStyle w:val="EMEABodyText"/>
        <w:rPr>
          <w:lang w:val="en-US"/>
        </w:rPr>
      </w:pPr>
    </w:p>
    <w:p w14:paraId="183154A7" w14:textId="77777777" w:rsidR="000669FC" w:rsidRPr="00D31EBB" w:rsidRDefault="000669FC">
      <w:pPr>
        <w:pStyle w:val="EMEABodyText"/>
        <w:rPr>
          <w:lang w:val="en-US"/>
        </w:rPr>
      </w:pPr>
    </w:p>
    <w:p w14:paraId="37894124" w14:textId="77777777" w:rsidR="000669FC" w:rsidRPr="00D31EBB" w:rsidRDefault="000669FC">
      <w:pPr>
        <w:pStyle w:val="EMEABodyText"/>
        <w:rPr>
          <w:lang w:val="en-US"/>
        </w:rPr>
      </w:pPr>
    </w:p>
    <w:p w14:paraId="2794DDF1" w14:textId="77777777" w:rsidR="000669FC" w:rsidRPr="00D31EBB" w:rsidRDefault="000669FC">
      <w:pPr>
        <w:pStyle w:val="EMEABodyText"/>
        <w:rPr>
          <w:lang w:val="en-US"/>
        </w:rPr>
      </w:pPr>
    </w:p>
    <w:p w14:paraId="1513348E" w14:textId="77777777" w:rsidR="000669FC" w:rsidRPr="00D31EBB" w:rsidRDefault="000669FC">
      <w:pPr>
        <w:pStyle w:val="EMEABodyText"/>
        <w:rPr>
          <w:lang w:val="en-US"/>
        </w:rPr>
      </w:pPr>
    </w:p>
    <w:p w14:paraId="1CD3E270" w14:textId="77777777" w:rsidR="000669FC" w:rsidRPr="00D31EBB" w:rsidRDefault="000669FC">
      <w:pPr>
        <w:pStyle w:val="EMEABodyText"/>
        <w:rPr>
          <w:lang w:val="en-US"/>
        </w:rPr>
      </w:pPr>
    </w:p>
    <w:p w14:paraId="07A294AB" w14:textId="77777777" w:rsidR="000669FC" w:rsidRPr="00D31EBB" w:rsidRDefault="000669FC">
      <w:pPr>
        <w:pStyle w:val="EMEABodyText"/>
        <w:rPr>
          <w:lang w:val="en-US"/>
        </w:rPr>
      </w:pPr>
    </w:p>
    <w:p w14:paraId="032E1D85" w14:textId="77777777" w:rsidR="000669FC" w:rsidRPr="00D31EBB" w:rsidRDefault="000669FC">
      <w:pPr>
        <w:pStyle w:val="EMEABodyText"/>
        <w:rPr>
          <w:lang w:val="en-US"/>
        </w:rPr>
      </w:pPr>
    </w:p>
    <w:p w14:paraId="1B2F300A" w14:textId="77777777" w:rsidR="000669FC" w:rsidRPr="00D31EBB" w:rsidRDefault="000669FC">
      <w:pPr>
        <w:pStyle w:val="EMEABodyText"/>
        <w:rPr>
          <w:lang w:val="en-US"/>
        </w:rPr>
      </w:pPr>
    </w:p>
    <w:p w14:paraId="7C52B65D" w14:textId="77777777" w:rsidR="000669FC" w:rsidRPr="00D31EBB" w:rsidRDefault="000669FC">
      <w:pPr>
        <w:pStyle w:val="EMEABodyText"/>
        <w:rPr>
          <w:lang w:val="en-US"/>
        </w:rPr>
      </w:pPr>
    </w:p>
    <w:p w14:paraId="0C2B109D" w14:textId="77777777" w:rsidR="000669FC" w:rsidRPr="00D31EBB" w:rsidRDefault="000669FC">
      <w:pPr>
        <w:pStyle w:val="EMEABodyText"/>
        <w:rPr>
          <w:lang w:val="en-US"/>
        </w:rPr>
      </w:pPr>
    </w:p>
    <w:p w14:paraId="6B291034" w14:textId="77777777" w:rsidR="000669FC" w:rsidRPr="00D31EBB" w:rsidRDefault="000669FC">
      <w:pPr>
        <w:pStyle w:val="EMEABodyText"/>
        <w:rPr>
          <w:lang w:val="en-US"/>
        </w:rPr>
      </w:pPr>
    </w:p>
    <w:p w14:paraId="215F8B6F" w14:textId="77777777" w:rsidR="000669FC" w:rsidRPr="00D31EBB" w:rsidRDefault="000669FC">
      <w:pPr>
        <w:pStyle w:val="EMEABodyText"/>
        <w:rPr>
          <w:lang w:val="en-US"/>
        </w:rPr>
      </w:pPr>
    </w:p>
    <w:p w14:paraId="6974F491" w14:textId="77777777" w:rsidR="000669FC" w:rsidRPr="00D31EBB" w:rsidRDefault="000669FC">
      <w:pPr>
        <w:pStyle w:val="EMEATitle"/>
      </w:pPr>
      <w:r>
        <w:t>ANNEX III</w:t>
      </w:r>
    </w:p>
    <w:p w14:paraId="46D7574F" w14:textId="77777777" w:rsidR="000669FC" w:rsidRPr="00D31EBB" w:rsidRDefault="000669FC">
      <w:pPr>
        <w:pStyle w:val="EMEABodyText"/>
        <w:rPr>
          <w:lang w:val="en-US"/>
        </w:rPr>
      </w:pPr>
    </w:p>
    <w:p w14:paraId="4E3D5C79" w14:textId="77777777" w:rsidR="000669FC" w:rsidRPr="00D31EBB" w:rsidRDefault="000669FC" w:rsidP="00CE3246">
      <w:pPr>
        <w:pStyle w:val="EMEATitle"/>
      </w:pPr>
      <w:r>
        <w:t>LABELLING AND PACKAGE LEAFLET</w:t>
      </w:r>
    </w:p>
    <w:p w14:paraId="23116194" w14:textId="77777777" w:rsidR="000669FC" w:rsidRPr="00D31EBB" w:rsidRDefault="000669FC">
      <w:pPr>
        <w:pStyle w:val="EMEABodyText"/>
      </w:pPr>
      <w:r>
        <w:br w:type="page"/>
      </w:r>
    </w:p>
    <w:p w14:paraId="6CD93983" w14:textId="77777777" w:rsidR="000669FC" w:rsidRPr="00D31EBB" w:rsidRDefault="000669FC">
      <w:pPr>
        <w:pStyle w:val="EMEABodyText"/>
        <w:rPr>
          <w:lang w:val="en-US"/>
        </w:rPr>
      </w:pPr>
    </w:p>
    <w:p w14:paraId="6480531E" w14:textId="77777777" w:rsidR="000669FC" w:rsidRPr="00D31EBB" w:rsidRDefault="000669FC">
      <w:pPr>
        <w:pStyle w:val="EMEABodyText"/>
        <w:rPr>
          <w:lang w:val="en-US"/>
        </w:rPr>
      </w:pPr>
    </w:p>
    <w:p w14:paraId="2A01A1E8" w14:textId="77777777" w:rsidR="000669FC" w:rsidRPr="00D31EBB" w:rsidRDefault="000669FC">
      <w:pPr>
        <w:pStyle w:val="EMEABodyText"/>
        <w:rPr>
          <w:lang w:val="en-US"/>
        </w:rPr>
      </w:pPr>
    </w:p>
    <w:p w14:paraId="1BAD0C5D" w14:textId="77777777" w:rsidR="000669FC" w:rsidRPr="00D31EBB" w:rsidRDefault="000669FC">
      <w:pPr>
        <w:pStyle w:val="EMEABodyText"/>
        <w:rPr>
          <w:lang w:val="en-US"/>
        </w:rPr>
      </w:pPr>
    </w:p>
    <w:p w14:paraId="58BFFF69" w14:textId="77777777" w:rsidR="000669FC" w:rsidRPr="00D31EBB" w:rsidRDefault="000669FC">
      <w:pPr>
        <w:pStyle w:val="EMEABodyText"/>
        <w:rPr>
          <w:lang w:val="en-US"/>
        </w:rPr>
      </w:pPr>
    </w:p>
    <w:p w14:paraId="58B63EC0" w14:textId="77777777" w:rsidR="000669FC" w:rsidRPr="00D31EBB" w:rsidRDefault="000669FC">
      <w:pPr>
        <w:pStyle w:val="EMEABodyText"/>
        <w:rPr>
          <w:lang w:val="en-US"/>
        </w:rPr>
      </w:pPr>
    </w:p>
    <w:p w14:paraId="62924342" w14:textId="77777777" w:rsidR="000669FC" w:rsidRPr="00D31EBB" w:rsidRDefault="000669FC">
      <w:pPr>
        <w:pStyle w:val="EMEABodyText"/>
        <w:rPr>
          <w:lang w:val="en-US"/>
        </w:rPr>
      </w:pPr>
    </w:p>
    <w:p w14:paraId="202B3051" w14:textId="77777777" w:rsidR="000669FC" w:rsidRPr="00D31EBB" w:rsidRDefault="000669FC">
      <w:pPr>
        <w:pStyle w:val="EMEABodyText"/>
        <w:rPr>
          <w:lang w:val="en-US"/>
        </w:rPr>
      </w:pPr>
    </w:p>
    <w:p w14:paraId="33E95823" w14:textId="77777777" w:rsidR="000669FC" w:rsidRPr="00D31EBB" w:rsidRDefault="000669FC">
      <w:pPr>
        <w:pStyle w:val="EMEABodyText"/>
        <w:rPr>
          <w:lang w:val="en-US"/>
        </w:rPr>
      </w:pPr>
    </w:p>
    <w:p w14:paraId="19E6FFD9" w14:textId="77777777" w:rsidR="000669FC" w:rsidRPr="00D31EBB" w:rsidRDefault="000669FC">
      <w:pPr>
        <w:pStyle w:val="EMEABodyText"/>
        <w:rPr>
          <w:lang w:val="en-US"/>
        </w:rPr>
      </w:pPr>
    </w:p>
    <w:p w14:paraId="4DF1E619" w14:textId="77777777" w:rsidR="000669FC" w:rsidRPr="00D31EBB" w:rsidRDefault="000669FC">
      <w:pPr>
        <w:pStyle w:val="EMEABodyText"/>
        <w:rPr>
          <w:lang w:val="en-US"/>
        </w:rPr>
      </w:pPr>
    </w:p>
    <w:p w14:paraId="541524BF" w14:textId="77777777" w:rsidR="000669FC" w:rsidRPr="00D31EBB" w:rsidRDefault="000669FC">
      <w:pPr>
        <w:pStyle w:val="EMEABodyText"/>
        <w:rPr>
          <w:lang w:val="en-US"/>
        </w:rPr>
      </w:pPr>
    </w:p>
    <w:p w14:paraId="4A2FA128" w14:textId="77777777" w:rsidR="000669FC" w:rsidRPr="00D31EBB" w:rsidRDefault="000669FC">
      <w:pPr>
        <w:pStyle w:val="EMEABodyText"/>
        <w:rPr>
          <w:lang w:val="en-US"/>
        </w:rPr>
      </w:pPr>
    </w:p>
    <w:p w14:paraId="20465958" w14:textId="77777777" w:rsidR="000669FC" w:rsidRPr="00D31EBB" w:rsidRDefault="000669FC">
      <w:pPr>
        <w:pStyle w:val="EMEABodyText"/>
        <w:rPr>
          <w:lang w:val="en-US"/>
        </w:rPr>
      </w:pPr>
    </w:p>
    <w:p w14:paraId="45DE4854" w14:textId="77777777" w:rsidR="000669FC" w:rsidRPr="00D31EBB" w:rsidRDefault="000669FC">
      <w:pPr>
        <w:pStyle w:val="EMEABodyText"/>
        <w:rPr>
          <w:lang w:val="en-US"/>
        </w:rPr>
      </w:pPr>
    </w:p>
    <w:p w14:paraId="7B89A3AA" w14:textId="77777777" w:rsidR="000669FC" w:rsidRPr="00D31EBB" w:rsidRDefault="000669FC">
      <w:pPr>
        <w:pStyle w:val="EMEABodyText"/>
        <w:rPr>
          <w:lang w:val="en-US"/>
        </w:rPr>
      </w:pPr>
    </w:p>
    <w:p w14:paraId="6A58B933" w14:textId="77777777" w:rsidR="000669FC" w:rsidRPr="00D31EBB" w:rsidRDefault="000669FC">
      <w:pPr>
        <w:pStyle w:val="EMEABodyText"/>
        <w:rPr>
          <w:lang w:val="en-US"/>
        </w:rPr>
      </w:pPr>
    </w:p>
    <w:p w14:paraId="68C5D0E3" w14:textId="77777777" w:rsidR="000669FC" w:rsidRPr="00D31EBB" w:rsidRDefault="000669FC">
      <w:pPr>
        <w:pStyle w:val="EMEABodyText"/>
        <w:rPr>
          <w:lang w:val="en-US"/>
        </w:rPr>
      </w:pPr>
    </w:p>
    <w:p w14:paraId="07EB7BDF" w14:textId="77777777" w:rsidR="000669FC" w:rsidRPr="00D31EBB" w:rsidRDefault="000669FC">
      <w:pPr>
        <w:pStyle w:val="EMEABodyText"/>
        <w:rPr>
          <w:lang w:val="en-US"/>
        </w:rPr>
      </w:pPr>
    </w:p>
    <w:p w14:paraId="6FFBC099" w14:textId="77777777" w:rsidR="000669FC" w:rsidRPr="00D31EBB" w:rsidRDefault="000669FC">
      <w:pPr>
        <w:pStyle w:val="EMEABodyText"/>
        <w:rPr>
          <w:lang w:val="en-US"/>
        </w:rPr>
      </w:pPr>
    </w:p>
    <w:p w14:paraId="28189C54" w14:textId="77777777" w:rsidR="000669FC" w:rsidRPr="00D31EBB" w:rsidRDefault="000669FC">
      <w:pPr>
        <w:pStyle w:val="EMEABodyText"/>
        <w:rPr>
          <w:lang w:val="en-US"/>
        </w:rPr>
      </w:pPr>
    </w:p>
    <w:p w14:paraId="533207F9" w14:textId="77777777" w:rsidR="000669FC" w:rsidRPr="00D31EBB" w:rsidRDefault="000669FC">
      <w:pPr>
        <w:pStyle w:val="EMEABodyText"/>
        <w:rPr>
          <w:lang w:val="en-US"/>
        </w:rPr>
      </w:pPr>
    </w:p>
    <w:p w14:paraId="4168C3E8" w14:textId="77777777" w:rsidR="000669FC" w:rsidRPr="00D31EBB" w:rsidRDefault="000669FC">
      <w:pPr>
        <w:pStyle w:val="EMEATitle"/>
      </w:pPr>
      <w:r>
        <w:t>A. LABELLING</w:t>
      </w:r>
    </w:p>
    <w:p w14:paraId="6B307D0F" w14:textId="77777777" w:rsidR="00D02BC8" w:rsidRPr="00D31EBB" w:rsidRDefault="00443442" w:rsidP="008B6CCB">
      <w:pPr>
        <w:pStyle w:val="EMEATitlePAC"/>
      </w:pPr>
      <w:r>
        <w:br w:type="page"/>
        <w:t>PARTICULARS TO APPEAR ON THE OUTER PACKAGING AND THE IMMEDIATE PACKAGING</w:t>
      </w:r>
    </w:p>
    <w:p w14:paraId="3E3AAA3A" w14:textId="77777777" w:rsidR="00D02BC8" w:rsidRPr="00D31EBB" w:rsidRDefault="00D02BC8" w:rsidP="008B6CCB">
      <w:pPr>
        <w:pStyle w:val="EMEATitlePAC"/>
        <w:rPr>
          <w:lang w:val="en-US"/>
        </w:rPr>
      </w:pPr>
    </w:p>
    <w:p w14:paraId="6BA13D9F" w14:textId="77777777" w:rsidR="00D02BC8" w:rsidRPr="00D31EBB" w:rsidRDefault="00D02BC8" w:rsidP="008B6CCB">
      <w:pPr>
        <w:pStyle w:val="EMEATitlePAC"/>
      </w:pPr>
      <w:r>
        <w:rPr>
          <w:smallCaps/>
        </w:rPr>
        <w:t>OUTER CARTON TEXT (BOTTLE AND BLISTER PRESENTATIONS) AND BOTTLE LABEL TEXT</w:t>
      </w:r>
    </w:p>
    <w:p w14:paraId="23C5F2B3" w14:textId="77777777" w:rsidR="00D02BC8" w:rsidRPr="00D31EBB" w:rsidRDefault="00D02BC8" w:rsidP="008B6CCB">
      <w:pPr>
        <w:pStyle w:val="EMEABodyText"/>
        <w:rPr>
          <w:noProof/>
          <w:lang w:val="en-US"/>
        </w:rPr>
      </w:pPr>
    </w:p>
    <w:p w14:paraId="7BFC9344" w14:textId="77777777" w:rsidR="00D02BC8" w:rsidRPr="00D31EBB" w:rsidRDefault="00D02BC8" w:rsidP="008B6CCB">
      <w:pPr>
        <w:pStyle w:val="EMEABodyText"/>
        <w:rPr>
          <w:noProof/>
          <w:lang w:val="en-US"/>
        </w:rPr>
      </w:pPr>
    </w:p>
    <w:p w14:paraId="23AA9A88" w14:textId="77777777" w:rsidR="00D02BC8" w:rsidRPr="00D31EBB" w:rsidRDefault="00D02BC8" w:rsidP="008B6CCB">
      <w:pPr>
        <w:pStyle w:val="EMEATitlePAC"/>
        <w:rPr>
          <w:noProof/>
        </w:rPr>
      </w:pPr>
      <w:r>
        <w:t>1.</w:t>
      </w:r>
      <w:r>
        <w:tab/>
        <w:t>NAME OF THE MEDICINAL PRODUCT</w:t>
      </w:r>
    </w:p>
    <w:p w14:paraId="62F70C93" w14:textId="77777777" w:rsidR="00D02BC8" w:rsidRPr="00D31EBB" w:rsidRDefault="00D02BC8" w:rsidP="008B6CCB">
      <w:pPr>
        <w:pStyle w:val="EMEABodyText"/>
        <w:rPr>
          <w:noProof/>
          <w:lang w:val="en-US"/>
        </w:rPr>
      </w:pPr>
    </w:p>
    <w:p w14:paraId="3AAA53F2" w14:textId="77777777" w:rsidR="00D02BC8" w:rsidRPr="00D31EBB" w:rsidRDefault="00D02BC8" w:rsidP="008B6CCB">
      <w:pPr>
        <w:pStyle w:val="EMEABodyText"/>
      </w:pPr>
      <w:r>
        <w:t>REYATAZ 100 mg hard capsules</w:t>
      </w:r>
    </w:p>
    <w:p w14:paraId="33633E03" w14:textId="77777777" w:rsidR="00D02BC8" w:rsidRPr="00D31EBB" w:rsidRDefault="00D02BC8" w:rsidP="008B6CCB">
      <w:pPr>
        <w:pStyle w:val="EMEABodyText"/>
        <w:rPr>
          <w:noProof/>
        </w:rPr>
      </w:pPr>
      <w:r>
        <w:t>atazanavir</w:t>
      </w:r>
    </w:p>
    <w:p w14:paraId="014EBD6E" w14:textId="77777777" w:rsidR="00D02BC8" w:rsidRPr="00D31EBB" w:rsidRDefault="00D02BC8" w:rsidP="008B6CCB">
      <w:pPr>
        <w:pStyle w:val="EMEABodyText"/>
        <w:rPr>
          <w:noProof/>
          <w:lang w:val="en-US"/>
        </w:rPr>
      </w:pPr>
    </w:p>
    <w:p w14:paraId="44C5CB40" w14:textId="77777777" w:rsidR="00D02BC8" w:rsidRPr="00D31EBB" w:rsidRDefault="00D02BC8" w:rsidP="008B6CCB">
      <w:pPr>
        <w:pStyle w:val="EMEABodyText"/>
        <w:rPr>
          <w:noProof/>
          <w:lang w:val="en-US"/>
        </w:rPr>
      </w:pPr>
    </w:p>
    <w:p w14:paraId="7313291E" w14:textId="77777777" w:rsidR="00D02BC8" w:rsidRPr="00D31EBB" w:rsidRDefault="00D02BC8" w:rsidP="008B6CCB">
      <w:pPr>
        <w:pStyle w:val="EMEATitlePAC"/>
        <w:rPr>
          <w:noProof/>
        </w:rPr>
      </w:pPr>
      <w:r>
        <w:t>2.</w:t>
      </w:r>
      <w:r>
        <w:tab/>
        <w:t>STATEMENT OF ACTIVE SUBSTANCE(S)</w:t>
      </w:r>
    </w:p>
    <w:p w14:paraId="411D6B85" w14:textId="77777777" w:rsidR="00D02BC8" w:rsidRPr="00D31EBB" w:rsidRDefault="00D02BC8" w:rsidP="008B6CCB">
      <w:pPr>
        <w:pStyle w:val="EMEABodyText"/>
        <w:rPr>
          <w:noProof/>
          <w:lang w:val="en-US"/>
        </w:rPr>
      </w:pPr>
    </w:p>
    <w:p w14:paraId="20B29E77" w14:textId="77777777" w:rsidR="00D02BC8" w:rsidRPr="00D31EBB" w:rsidRDefault="00D02BC8" w:rsidP="008B6CCB">
      <w:pPr>
        <w:pStyle w:val="EMEABodyText"/>
      </w:pPr>
      <w:r>
        <w:t>Each capsule contains 100 mg of atazanavir (as sulphate).</w:t>
      </w:r>
    </w:p>
    <w:p w14:paraId="7F760A34" w14:textId="77777777" w:rsidR="00D02BC8" w:rsidRPr="00D31EBB" w:rsidRDefault="00D02BC8" w:rsidP="008B6CCB">
      <w:pPr>
        <w:pStyle w:val="EMEABodyText"/>
        <w:rPr>
          <w:noProof/>
          <w:lang w:val="en-US"/>
        </w:rPr>
      </w:pPr>
    </w:p>
    <w:p w14:paraId="6E7257F6" w14:textId="77777777" w:rsidR="00D02BC8" w:rsidRPr="00D31EBB" w:rsidRDefault="00D02BC8" w:rsidP="008B6CCB">
      <w:pPr>
        <w:pStyle w:val="EMEABodyText"/>
        <w:rPr>
          <w:noProof/>
          <w:lang w:val="en-US"/>
        </w:rPr>
      </w:pPr>
    </w:p>
    <w:p w14:paraId="33A567F0" w14:textId="77777777" w:rsidR="00D02BC8" w:rsidRPr="00D31EBB" w:rsidRDefault="00D02BC8" w:rsidP="008B6CCB">
      <w:pPr>
        <w:pStyle w:val="EMEATitlePAC"/>
        <w:rPr>
          <w:noProof/>
        </w:rPr>
      </w:pPr>
      <w:r>
        <w:t>3.</w:t>
      </w:r>
      <w:r>
        <w:tab/>
        <w:t>LIST OF EXCIPIENTS</w:t>
      </w:r>
    </w:p>
    <w:p w14:paraId="6B91277E" w14:textId="77777777" w:rsidR="00D02BC8" w:rsidRPr="00D31EBB" w:rsidRDefault="00D02BC8" w:rsidP="008B6CCB">
      <w:pPr>
        <w:pStyle w:val="EMEABodyText"/>
        <w:rPr>
          <w:noProof/>
          <w:lang w:val="en-US"/>
        </w:rPr>
      </w:pPr>
    </w:p>
    <w:p w14:paraId="3AA50DA7" w14:textId="77777777" w:rsidR="00D02BC8" w:rsidRPr="00D31EBB" w:rsidRDefault="00D02BC8" w:rsidP="008B6CCB">
      <w:pPr>
        <w:pStyle w:val="EMEABodyText"/>
      </w:pPr>
      <w:r>
        <w:t>Excipients: contains lactose (see leaflet for further information).</w:t>
      </w:r>
    </w:p>
    <w:p w14:paraId="69098353" w14:textId="77777777" w:rsidR="00D02BC8" w:rsidRPr="00D31EBB" w:rsidRDefault="00D02BC8" w:rsidP="008B6CCB">
      <w:pPr>
        <w:pStyle w:val="EMEABodyText"/>
        <w:rPr>
          <w:noProof/>
          <w:lang w:val="en-US"/>
        </w:rPr>
      </w:pPr>
    </w:p>
    <w:p w14:paraId="2D00082E" w14:textId="77777777" w:rsidR="00D02BC8" w:rsidRPr="00D31EBB" w:rsidRDefault="00D02BC8" w:rsidP="008B6CCB">
      <w:pPr>
        <w:pStyle w:val="EMEABodyText"/>
        <w:rPr>
          <w:noProof/>
          <w:lang w:val="en-US"/>
        </w:rPr>
      </w:pPr>
    </w:p>
    <w:p w14:paraId="75469E4E" w14:textId="77777777" w:rsidR="00D02BC8" w:rsidRPr="00D31EBB" w:rsidRDefault="00D02BC8" w:rsidP="008B6CCB">
      <w:pPr>
        <w:pStyle w:val="EMEATitlePAC"/>
        <w:rPr>
          <w:noProof/>
        </w:rPr>
      </w:pPr>
      <w:r>
        <w:t>4.</w:t>
      </w:r>
      <w:r>
        <w:tab/>
        <w:t>PHARMACEUTICAL FORM AND CONTENTS</w:t>
      </w:r>
    </w:p>
    <w:p w14:paraId="31340F1F" w14:textId="77777777" w:rsidR="00D02BC8" w:rsidRPr="00D31EBB" w:rsidRDefault="00D02BC8" w:rsidP="008B6CCB">
      <w:pPr>
        <w:pStyle w:val="EMEABodyText"/>
        <w:rPr>
          <w:noProof/>
          <w:lang w:val="en-US"/>
        </w:rPr>
      </w:pPr>
    </w:p>
    <w:p w14:paraId="3534EA9C" w14:textId="77777777" w:rsidR="00D02BC8" w:rsidRPr="00D31EBB" w:rsidRDefault="00D02BC8" w:rsidP="008B6CCB">
      <w:pPr>
        <w:pStyle w:val="EMEABodyText"/>
      </w:pPr>
      <w:r>
        <w:rPr>
          <w:highlight w:val="lightGray"/>
        </w:rPr>
        <w:t>Carton and label bottle pack (1 bottle):</w:t>
      </w:r>
      <w:r>
        <w:t xml:space="preserve"> 60 hard capsules</w:t>
      </w:r>
    </w:p>
    <w:p w14:paraId="4A192E0D" w14:textId="77777777" w:rsidR="00D02BC8" w:rsidRPr="00D31EBB" w:rsidRDefault="00D02BC8" w:rsidP="008B6CCB">
      <w:pPr>
        <w:pStyle w:val="EMEABodyText"/>
        <w:rPr>
          <w:lang w:val="en-US"/>
        </w:rPr>
      </w:pPr>
    </w:p>
    <w:p w14:paraId="43087839" w14:textId="77777777" w:rsidR="00D02BC8" w:rsidRPr="00D31EBB" w:rsidRDefault="00D02BC8" w:rsidP="008B6CCB">
      <w:pPr>
        <w:pStyle w:val="EMEABodyText"/>
      </w:pPr>
      <w:r>
        <w:rPr>
          <w:highlight w:val="lightGray"/>
        </w:rPr>
        <w:t>Blister pack:</w:t>
      </w:r>
      <w:r>
        <w:t xml:space="preserve"> 60 hard capsules</w:t>
      </w:r>
    </w:p>
    <w:p w14:paraId="36F8F1D5" w14:textId="77777777" w:rsidR="00D02BC8" w:rsidRPr="00D31EBB" w:rsidRDefault="00D02BC8" w:rsidP="008B6CCB">
      <w:pPr>
        <w:pStyle w:val="EMEABodyText"/>
        <w:rPr>
          <w:noProof/>
          <w:lang w:val="en-US"/>
        </w:rPr>
      </w:pPr>
    </w:p>
    <w:p w14:paraId="07624B07" w14:textId="77777777" w:rsidR="00D02BC8" w:rsidRPr="00D31EBB" w:rsidRDefault="00D02BC8" w:rsidP="008B6CCB">
      <w:pPr>
        <w:pStyle w:val="EMEABodyText"/>
        <w:rPr>
          <w:noProof/>
          <w:lang w:val="en-US"/>
        </w:rPr>
      </w:pPr>
    </w:p>
    <w:p w14:paraId="60E50C6E" w14:textId="77777777" w:rsidR="00D02BC8" w:rsidRPr="00D31EBB" w:rsidRDefault="00D02BC8" w:rsidP="008B6CCB">
      <w:pPr>
        <w:pStyle w:val="EMEATitlePAC"/>
        <w:rPr>
          <w:noProof/>
        </w:rPr>
      </w:pPr>
      <w:r>
        <w:t>5.</w:t>
      </w:r>
      <w:r>
        <w:tab/>
        <w:t>METHOD AND ROUTE(S) OF ADMINISTRATION</w:t>
      </w:r>
    </w:p>
    <w:p w14:paraId="4E1ABD57" w14:textId="77777777" w:rsidR="00D02BC8" w:rsidRPr="00D31EBB" w:rsidRDefault="00D02BC8" w:rsidP="008B6CCB">
      <w:pPr>
        <w:pStyle w:val="EMEABodyText"/>
        <w:rPr>
          <w:noProof/>
          <w:lang w:val="en-US"/>
        </w:rPr>
      </w:pPr>
    </w:p>
    <w:p w14:paraId="72DE833A" w14:textId="77777777" w:rsidR="00D02BC8" w:rsidRPr="00D31EBB" w:rsidRDefault="00D02BC8" w:rsidP="008B6CCB">
      <w:pPr>
        <w:pStyle w:val="EMEABodyText"/>
      </w:pPr>
      <w:r>
        <w:t>Oral use.</w:t>
      </w:r>
    </w:p>
    <w:p w14:paraId="5D5D32FE" w14:textId="77777777" w:rsidR="00D02BC8" w:rsidRPr="00D31EBB" w:rsidRDefault="00D02BC8" w:rsidP="008B6CCB">
      <w:pPr>
        <w:pStyle w:val="EMEABodyText"/>
      </w:pPr>
      <w:r>
        <w:t>Capsules should be swallowed whole. Read the package leaflet before use.</w:t>
      </w:r>
    </w:p>
    <w:p w14:paraId="5B7A1BE7" w14:textId="77777777" w:rsidR="00D02BC8" w:rsidRPr="00D31EBB" w:rsidRDefault="00D02BC8" w:rsidP="008B6CCB">
      <w:pPr>
        <w:pStyle w:val="EMEABodyText"/>
        <w:rPr>
          <w:noProof/>
          <w:lang w:val="en-US"/>
        </w:rPr>
      </w:pPr>
    </w:p>
    <w:p w14:paraId="768D60C1" w14:textId="77777777" w:rsidR="00D02BC8" w:rsidRPr="00D31EBB" w:rsidRDefault="00D02BC8" w:rsidP="008B6CCB">
      <w:pPr>
        <w:pStyle w:val="EMEABodyText"/>
        <w:rPr>
          <w:noProof/>
          <w:lang w:val="en-US"/>
        </w:rPr>
      </w:pPr>
    </w:p>
    <w:p w14:paraId="28C5C546" w14:textId="77777777" w:rsidR="00D02BC8" w:rsidRPr="00D31EBB" w:rsidRDefault="00D02BC8" w:rsidP="008B6CCB">
      <w:pPr>
        <w:pStyle w:val="EMEATitlePAC"/>
        <w:rPr>
          <w:noProof/>
        </w:rPr>
      </w:pPr>
      <w:r>
        <w:t>6.</w:t>
      </w:r>
      <w:r>
        <w:tab/>
        <w:t>SPECIAL WARNING THAT THE MEDICINAL PRODUCT MUST BE STORED OUT OF THE SIGHT AND REACH OF CHILDREN</w:t>
      </w:r>
    </w:p>
    <w:p w14:paraId="462DDD54" w14:textId="77777777" w:rsidR="00D02BC8" w:rsidRPr="00D31EBB" w:rsidRDefault="00D02BC8" w:rsidP="008B6CCB">
      <w:pPr>
        <w:pStyle w:val="EMEABodyText"/>
        <w:rPr>
          <w:noProof/>
          <w:lang w:val="en-US"/>
        </w:rPr>
      </w:pPr>
    </w:p>
    <w:p w14:paraId="6890C39E" w14:textId="77777777" w:rsidR="00D02BC8" w:rsidRPr="00D31EBB" w:rsidRDefault="00D02BC8" w:rsidP="008B6CCB">
      <w:pPr>
        <w:pStyle w:val="EMEABodyText"/>
        <w:rPr>
          <w:noProof/>
        </w:rPr>
      </w:pPr>
      <w:r>
        <w:t>Keep out of the sight and reach of children.</w:t>
      </w:r>
    </w:p>
    <w:p w14:paraId="14AD7804" w14:textId="77777777" w:rsidR="00D02BC8" w:rsidRPr="00D31EBB" w:rsidRDefault="00D02BC8" w:rsidP="008B6CCB">
      <w:pPr>
        <w:pStyle w:val="EMEABodyText"/>
        <w:rPr>
          <w:noProof/>
          <w:lang w:val="en-US"/>
        </w:rPr>
      </w:pPr>
    </w:p>
    <w:p w14:paraId="5DE1EF58" w14:textId="77777777" w:rsidR="00D02BC8" w:rsidRPr="00D31EBB" w:rsidRDefault="00D02BC8" w:rsidP="008B6CCB">
      <w:pPr>
        <w:pStyle w:val="EMEABodyText"/>
        <w:rPr>
          <w:noProof/>
          <w:lang w:val="en-US"/>
        </w:rPr>
      </w:pPr>
    </w:p>
    <w:p w14:paraId="3FA7DE28" w14:textId="77777777" w:rsidR="00D02BC8" w:rsidRPr="00D31EBB" w:rsidRDefault="00D02BC8" w:rsidP="008B6CCB">
      <w:pPr>
        <w:pStyle w:val="EMEATitlePAC"/>
        <w:rPr>
          <w:noProof/>
        </w:rPr>
      </w:pPr>
      <w:r>
        <w:t>7.</w:t>
      </w:r>
      <w:r>
        <w:tab/>
        <w:t>OTHER SPECIAL WARNING(S), IF NECESSARY</w:t>
      </w:r>
    </w:p>
    <w:p w14:paraId="2602808C" w14:textId="77777777" w:rsidR="00D02BC8" w:rsidRPr="00D31EBB" w:rsidRDefault="00D02BC8" w:rsidP="008B6CCB">
      <w:pPr>
        <w:pStyle w:val="EMEABodyText"/>
        <w:rPr>
          <w:noProof/>
          <w:lang w:val="en-US"/>
        </w:rPr>
      </w:pPr>
    </w:p>
    <w:p w14:paraId="490A306F" w14:textId="77777777" w:rsidR="00D02BC8" w:rsidRPr="00D31EBB" w:rsidRDefault="00D02BC8" w:rsidP="008B6CCB">
      <w:pPr>
        <w:pStyle w:val="EMEABodyText"/>
        <w:rPr>
          <w:noProof/>
          <w:lang w:val="en-US"/>
        </w:rPr>
      </w:pPr>
    </w:p>
    <w:p w14:paraId="26F0E74B" w14:textId="77777777" w:rsidR="00D02BC8" w:rsidRPr="00D31EBB" w:rsidRDefault="00D02BC8" w:rsidP="008B6CCB">
      <w:pPr>
        <w:pStyle w:val="EMEATitlePAC"/>
        <w:rPr>
          <w:noProof/>
        </w:rPr>
      </w:pPr>
      <w:r>
        <w:t>8.</w:t>
      </w:r>
      <w:r>
        <w:tab/>
        <w:t>EXPIRY DATE</w:t>
      </w:r>
    </w:p>
    <w:p w14:paraId="02E60157" w14:textId="77777777" w:rsidR="00D02BC8" w:rsidRPr="00D31EBB" w:rsidRDefault="00D02BC8" w:rsidP="008B6CCB">
      <w:pPr>
        <w:pStyle w:val="EMEABodyText"/>
        <w:rPr>
          <w:i/>
          <w:noProof/>
          <w:lang w:val="en-US"/>
        </w:rPr>
      </w:pPr>
    </w:p>
    <w:p w14:paraId="4CCE18F5" w14:textId="77777777" w:rsidR="00D02BC8" w:rsidRPr="00D31EBB" w:rsidRDefault="00D02BC8" w:rsidP="008B6CCB">
      <w:pPr>
        <w:pStyle w:val="EMEABodyText"/>
      </w:pPr>
      <w:r>
        <w:t>EXP {MM/YYYY}</w:t>
      </w:r>
    </w:p>
    <w:p w14:paraId="19A04B3F" w14:textId="77777777" w:rsidR="00D02BC8" w:rsidRPr="00D31EBB" w:rsidRDefault="00D02BC8" w:rsidP="008B6CCB">
      <w:pPr>
        <w:pStyle w:val="EMEABodyText"/>
        <w:rPr>
          <w:noProof/>
          <w:lang w:val="en-US"/>
        </w:rPr>
      </w:pPr>
    </w:p>
    <w:p w14:paraId="35736B02" w14:textId="77777777" w:rsidR="00D02BC8" w:rsidRPr="00D31EBB" w:rsidRDefault="00D02BC8" w:rsidP="008B6CCB">
      <w:pPr>
        <w:pStyle w:val="EMEABodyText"/>
        <w:rPr>
          <w:noProof/>
          <w:lang w:val="en-US"/>
        </w:rPr>
      </w:pPr>
    </w:p>
    <w:p w14:paraId="27DCEB44" w14:textId="77777777" w:rsidR="00D02BC8" w:rsidRPr="00D31EBB" w:rsidRDefault="00D02BC8" w:rsidP="008B6CCB">
      <w:pPr>
        <w:pStyle w:val="EMEATitlePAC"/>
        <w:rPr>
          <w:noProof/>
        </w:rPr>
      </w:pPr>
      <w:r>
        <w:t>9.</w:t>
      </w:r>
      <w:r>
        <w:tab/>
        <w:t>SPECIAL STORAGE CONDITIONS</w:t>
      </w:r>
    </w:p>
    <w:p w14:paraId="613A6ABD" w14:textId="77777777" w:rsidR="00D02BC8" w:rsidRPr="00D31EBB" w:rsidRDefault="00D02BC8" w:rsidP="008B6CCB">
      <w:pPr>
        <w:pStyle w:val="EMEABodyText"/>
        <w:rPr>
          <w:noProof/>
          <w:lang w:val="en-US"/>
        </w:rPr>
      </w:pPr>
    </w:p>
    <w:p w14:paraId="191DC91A" w14:textId="77777777" w:rsidR="00D02BC8" w:rsidRPr="00D31EBB" w:rsidRDefault="00D02BC8" w:rsidP="008B6CCB">
      <w:pPr>
        <w:pStyle w:val="EMEABodyText"/>
        <w:rPr>
          <w:highlight w:val="lightGray"/>
        </w:rPr>
      </w:pPr>
      <w:r>
        <w:rPr>
          <w:highlight w:val="lightGray"/>
        </w:rPr>
        <w:t>Bottle pack:</w:t>
      </w:r>
    </w:p>
    <w:p w14:paraId="26B8A843" w14:textId="77777777" w:rsidR="00D02BC8" w:rsidRPr="00D31EBB" w:rsidRDefault="00D02BC8" w:rsidP="008B6CCB">
      <w:pPr>
        <w:pStyle w:val="EMEABodyText"/>
      </w:pPr>
      <w:r>
        <w:t>Do not store above 25°C.</w:t>
      </w:r>
    </w:p>
    <w:p w14:paraId="151BE690" w14:textId="77777777" w:rsidR="00D02BC8" w:rsidRPr="00D31EBB" w:rsidRDefault="00D02BC8" w:rsidP="008B6CCB">
      <w:pPr>
        <w:pStyle w:val="EMEABodyText"/>
        <w:rPr>
          <w:lang w:val="en-US"/>
        </w:rPr>
      </w:pPr>
    </w:p>
    <w:p w14:paraId="6A68DC14" w14:textId="77777777" w:rsidR="00D02BC8" w:rsidRPr="00D31EBB" w:rsidRDefault="00D02BC8" w:rsidP="008B6CCB">
      <w:pPr>
        <w:pStyle w:val="EMEABodyText"/>
        <w:rPr>
          <w:highlight w:val="lightGray"/>
        </w:rPr>
      </w:pPr>
      <w:r>
        <w:rPr>
          <w:highlight w:val="lightGray"/>
        </w:rPr>
        <w:t>Blister pack:</w:t>
      </w:r>
    </w:p>
    <w:p w14:paraId="53CFED31" w14:textId="77777777" w:rsidR="00D02BC8" w:rsidRPr="00D31EBB" w:rsidRDefault="00D02BC8" w:rsidP="008B6CCB">
      <w:pPr>
        <w:pStyle w:val="EMEABodyText"/>
      </w:pPr>
      <w:r>
        <w:t>Do not store above 25°C.</w:t>
      </w:r>
    </w:p>
    <w:p w14:paraId="6ACB494A" w14:textId="77777777" w:rsidR="00D02BC8" w:rsidRPr="00D31EBB" w:rsidRDefault="00D02BC8" w:rsidP="008B6CCB">
      <w:pPr>
        <w:pStyle w:val="EMEABodyText"/>
        <w:rPr>
          <w:noProof/>
        </w:rPr>
      </w:pPr>
      <w:r>
        <w:t>Store in the original package</w:t>
      </w:r>
    </w:p>
    <w:p w14:paraId="13C78995" w14:textId="77777777" w:rsidR="00D02BC8" w:rsidRPr="00D31EBB" w:rsidRDefault="00D02BC8" w:rsidP="008B6CCB">
      <w:pPr>
        <w:pStyle w:val="EMEABodyText"/>
        <w:rPr>
          <w:noProof/>
          <w:lang w:val="en-US"/>
        </w:rPr>
      </w:pPr>
    </w:p>
    <w:p w14:paraId="68F5C99B" w14:textId="77777777" w:rsidR="00D02BC8" w:rsidRPr="00D31EBB" w:rsidRDefault="00D02BC8" w:rsidP="008B6CCB">
      <w:pPr>
        <w:pStyle w:val="EMEABodyText"/>
        <w:rPr>
          <w:noProof/>
          <w:lang w:val="en-US"/>
        </w:rPr>
      </w:pPr>
    </w:p>
    <w:p w14:paraId="38442D27" w14:textId="77777777" w:rsidR="00D02BC8" w:rsidRPr="00D31EBB" w:rsidRDefault="00D02BC8" w:rsidP="008B6CCB">
      <w:pPr>
        <w:pStyle w:val="EMEATitlePAC"/>
        <w:rPr>
          <w:noProof/>
        </w:rPr>
      </w:pPr>
      <w:r>
        <w:t>10.</w:t>
      </w:r>
      <w:r>
        <w:tab/>
        <w:t>SPECIAL PRECAUTIONS FOR DISPOSAL OF UNUSED MEDICINAL PRODUCTS OR WASTE MATERIALS DERIVED FROM SUCH MEDICINAL PRODUCTS, IF APPROPRIATE</w:t>
      </w:r>
    </w:p>
    <w:p w14:paraId="2A8515F3" w14:textId="77777777" w:rsidR="00D02BC8" w:rsidRPr="00D31EBB" w:rsidRDefault="00D02BC8" w:rsidP="008B6CCB">
      <w:pPr>
        <w:pStyle w:val="EMEABodyText"/>
        <w:rPr>
          <w:noProof/>
          <w:lang w:val="en-US"/>
        </w:rPr>
      </w:pPr>
    </w:p>
    <w:p w14:paraId="4EA7CA84" w14:textId="77777777" w:rsidR="00D02BC8" w:rsidRPr="00D31EBB" w:rsidRDefault="00D02BC8" w:rsidP="008B6CCB">
      <w:pPr>
        <w:pStyle w:val="EMEABodyText"/>
        <w:rPr>
          <w:noProof/>
          <w:lang w:val="en-US"/>
        </w:rPr>
      </w:pPr>
    </w:p>
    <w:p w14:paraId="16110F7C" w14:textId="77777777" w:rsidR="00D02BC8" w:rsidRPr="00D31EBB" w:rsidRDefault="00D02BC8" w:rsidP="008B6CCB">
      <w:pPr>
        <w:pStyle w:val="EMEATitlePAC"/>
        <w:rPr>
          <w:noProof/>
        </w:rPr>
      </w:pPr>
      <w:r>
        <w:t>11.</w:t>
      </w:r>
      <w:r>
        <w:tab/>
        <w:t>NAME AND ADDRESS OF THE MARKETING AUTHORISATION HOLDER</w:t>
      </w:r>
    </w:p>
    <w:p w14:paraId="278BC03F" w14:textId="77777777" w:rsidR="00D02BC8" w:rsidRPr="00D31EBB" w:rsidRDefault="00D02BC8" w:rsidP="008B6CCB">
      <w:pPr>
        <w:pStyle w:val="EMEABodyText"/>
        <w:rPr>
          <w:noProof/>
          <w:lang w:val="en-US"/>
        </w:rPr>
      </w:pPr>
    </w:p>
    <w:p w14:paraId="4E7F7F8B"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0C4CC739" w14:textId="77777777" w:rsidR="00965E20" w:rsidRDefault="00965E20" w:rsidP="00965E20">
      <w:pPr>
        <w:numPr>
          <w:ilvl w:val="12"/>
          <w:numId w:val="0"/>
        </w:numPr>
      </w:pPr>
      <w:r>
        <w:t xml:space="preserve">Ireland </w:t>
      </w:r>
    </w:p>
    <w:p w14:paraId="364AC633" w14:textId="77777777" w:rsidR="00D02BC8" w:rsidRPr="00D31EBB" w:rsidRDefault="00D02BC8" w:rsidP="00AA7900">
      <w:pPr>
        <w:numPr>
          <w:ilvl w:val="12"/>
          <w:numId w:val="0"/>
        </w:numPr>
        <w:rPr>
          <w:lang w:val="en-US"/>
        </w:rPr>
      </w:pPr>
    </w:p>
    <w:p w14:paraId="6DA251FD" w14:textId="63EF0EB1" w:rsidR="00D02BC8" w:rsidRPr="00D31EBB" w:rsidRDefault="00D02BC8" w:rsidP="008B6CCB">
      <w:pPr>
        <w:pStyle w:val="EMEABodyText"/>
        <w:rPr>
          <w:noProof/>
          <w:lang w:val="en-US"/>
        </w:rPr>
      </w:pPr>
    </w:p>
    <w:p w14:paraId="07305159" w14:textId="77777777" w:rsidR="00D02BC8" w:rsidRPr="00D31EBB" w:rsidRDefault="00D02BC8" w:rsidP="008B6CCB">
      <w:pPr>
        <w:pStyle w:val="EMEATitlePAC"/>
        <w:rPr>
          <w:noProof/>
        </w:rPr>
      </w:pPr>
      <w:r>
        <w:t>12.</w:t>
      </w:r>
      <w:r>
        <w:tab/>
        <w:t xml:space="preserve">MARKETING AUTHORISATION NUMBER(S) </w:t>
      </w:r>
    </w:p>
    <w:p w14:paraId="63AD6F50" w14:textId="77777777" w:rsidR="00D02BC8" w:rsidRPr="00D31EBB" w:rsidRDefault="00D02BC8" w:rsidP="008B6CCB">
      <w:pPr>
        <w:pStyle w:val="EMEABodyText"/>
        <w:rPr>
          <w:noProof/>
          <w:lang w:val="en-US"/>
        </w:rPr>
      </w:pPr>
    </w:p>
    <w:p w14:paraId="0F9441CF" w14:textId="77777777" w:rsidR="00D02BC8" w:rsidRPr="00D31EBB" w:rsidRDefault="00D02BC8" w:rsidP="008B6CCB">
      <w:pPr>
        <w:pStyle w:val="EMEABodyText"/>
        <w:rPr>
          <w:highlight w:val="lightGray"/>
        </w:rPr>
      </w:pPr>
      <w:r>
        <w:rPr>
          <w:highlight w:val="lightGray"/>
        </w:rPr>
        <w:t xml:space="preserve">Bottle pack </w:t>
      </w:r>
    </w:p>
    <w:p w14:paraId="45AD4B56" w14:textId="77777777" w:rsidR="00D02BC8" w:rsidRPr="00D31EBB" w:rsidRDefault="00D02BC8" w:rsidP="008B6CCB">
      <w:pPr>
        <w:pStyle w:val="EMEABodyText"/>
      </w:pPr>
      <w:r>
        <w:rPr>
          <w:highlight w:val="lightGray"/>
        </w:rPr>
        <w:t>60 hard capsules:</w:t>
      </w:r>
      <w:r>
        <w:t xml:space="preserve"> EU/1/03/267/001</w:t>
      </w:r>
    </w:p>
    <w:p w14:paraId="242FF15E" w14:textId="77777777" w:rsidR="00D02BC8" w:rsidRPr="00D31EBB" w:rsidRDefault="00D02BC8" w:rsidP="008B6CCB">
      <w:pPr>
        <w:pStyle w:val="EMEABodyText"/>
        <w:rPr>
          <w:lang w:val="en-US"/>
        </w:rPr>
      </w:pPr>
    </w:p>
    <w:p w14:paraId="5E4B75CB" w14:textId="77777777" w:rsidR="00D02BC8" w:rsidRPr="00D31EBB" w:rsidRDefault="00D02BC8" w:rsidP="008B6CCB">
      <w:pPr>
        <w:pStyle w:val="EMEABodyText"/>
        <w:rPr>
          <w:highlight w:val="lightGray"/>
        </w:rPr>
      </w:pPr>
      <w:r>
        <w:rPr>
          <w:highlight w:val="lightGray"/>
        </w:rPr>
        <w:t>Blister pack :</w:t>
      </w:r>
    </w:p>
    <w:p w14:paraId="0FF2D400" w14:textId="77777777" w:rsidR="00D02BC8" w:rsidRPr="00D31EBB" w:rsidRDefault="00D02BC8" w:rsidP="008B6CCB">
      <w:pPr>
        <w:pStyle w:val="EMEABodyText"/>
      </w:pPr>
      <w:r>
        <w:rPr>
          <w:highlight w:val="lightGray"/>
        </w:rPr>
        <w:t>60 hard capsules:</w:t>
      </w:r>
      <w:r>
        <w:t xml:space="preserve"> EU/1/03/267/002</w:t>
      </w:r>
      <w:r>
        <w:br/>
      </w:r>
    </w:p>
    <w:p w14:paraId="71BBC303" w14:textId="77777777" w:rsidR="00D02BC8" w:rsidRPr="00D31EBB" w:rsidRDefault="00D02BC8" w:rsidP="008B6CCB">
      <w:pPr>
        <w:pStyle w:val="EMEABodyText"/>
        <w:rPr>
          <w:lang w:val="en-US"/>
        </w:rPr>
      </w:pPr>
    </w:p>
    <w:p w14:paraId="4B354113" w14:textId="77777777" w:rsidR="00D02BC8" w:rsidRPr="00D31EBB" w:rsidRDefault="00D02BC8" w:rsidP="008B6CCB">
      <w:pPr>
        <w:pStyle w:val="EMEATitlePAC"/>
        <w:rPr>
          <w:noProof/>
        </w:rPr>
      </w:pPr>
      <w:r>
        <w:t>13.</w:t>
      </w:r>
      <w:r>
        <w:tab/>
        <w:t>BATCH NUMBER</w:t>
      </w:r>
    </w:p>
    <w:p w14:paraId="550E60D3" w14:textId="77777777" w:rsidR="00D02BC8" w:rsidRPr="00D31EBB" w:rsidRDefault="00D02BC8" w:rsidP="008B6CCB">
      <w:pPr>
        <w:pStyle w:val="EMEABodyText"/>
        <w:rPr>
          <w:noProof/>
          <w:lang w:val="en-US"/>
        </w:rPr>
      </w:pPr>
    </w:p>
    <w:p w14:paraId="23A56036" w14:textId="77777777" w:rsidR="00D02BC8" w:rsidRPr="00D31EBB" w:rsidRDefault="00D02BC8" w:rsidP="008B6CCB">
      <w:pPr>
        <w:pStyle w:val="EMEABodyText"/>
      </w:pPr>
      <w:r>
        <w:t>Lot</w:t>
      </w:r>
    </w:p>
    <w:p w14:paraId="1A68BE21" w14:textId="77777777" w:rsidR="00D02BC8" w:rsidRPr="00D31EBB" w:rsidRDefault="00D02BC8" w:rsidP="008B6CCB">
      <w:pPr>
        <w:pStyle w:val="EMEABodyText"/>
        <w:rPr>
          <w:noProof/>
          <w:lang w:val="en-US"/>
        </w:rPr>
      </w:pPr>
    </w:p>
    <w:p w14:paraId="3F52A88B" w14:textId="77777777" w:rsidR="00D02BC8" w:rsidRPr="00D31EBB" w:rsidRDefault="00D02BC8" w:rsidP="008B6CCB">
      <w:pPr>
        <w:pStyle w:val="EMEABodyText"/>
        <w:rPr>
          <w:noProof/>
          <w:lang w:val="en-US"/>
        </w:rPr>
      </w:pPr>
    </w:p>
    <w:p w14:paraId="6118AAF2" w14:textId="77777777" w:rsidR="00D02BC8" w:rsidRPr="00D31EBB" w:rsidRDefault="00D02BC8" w:rsidP="008B6CCB">
      <w:pPr>
        <w:pStyle w:val="EMEATitlePAC"/>
        <w:rPr>
          <w:noProof/>
        </w:rPr>
      </w:pPr>
      <w:r>
        <w:t>14.</w:t>
      </w:r>
      <w:r>
        <w:tab/>
        <w:t>GENERAL CLASSIFICATION FOR SUPPLY</w:t>
      </w:r>
    </w:p>
    <w:p w14:paraId="0A62E693" w14:textId="77777777" w:rsidR="00D02BC8" w:rsidRPr="00D31EBB" w:rsidRDefault="00D02BC8" w:rsidP="008B6CCB">
      <w:pPr>
        <w:pStyle w:val="EMEABodyText"/>
        <w:rPr>
          <w:noProof/>
          <w:lang w:val="en-US"/>
        </w:rPr>
      </w:pPr>
    </w:p>
    <w:p w14:paraId="0F345505" w14:textId="77777777" w:rsidR="00D02BC8" w:rsidRPr="00D31EBB" w:rsidRDefault="00D02BC8" w:rsidP="008B6CCB">
      <w:pPr>
        <w:pStyle w:val="EMEABodyText"/>
      </w:pPr>
      <w:r>
        <w:t>Medicinal product subject to medical prescription.</w:t>
      </w:r>
    </w:p>
    <w:p w14:paraId="65AE5C75" w14:textId="77777777" w:rsidR="00D02BC8" w:rsidRPr="00D31EBB" w:rsidRDefault="00D02BC8" w:rsidP="008B6CCB">
      <w:pPr>
        <w:pStyle w:val="EMEABodyText"/>
        <w:rPr>
          <w:noProof/>
          <w:lang w:val="en-US"/>
        </w:rPr>
      </w:pPr>
    </w:p>
    <w:p w14:paraId="6D1DE4D2" w14:textId="77777777" w:rsidR="00D02BC8" w:rsidRPr="00D31EBB" w:rsidRDefault="00D02BC8" w:rsidP="008B6CCB">
      <w:pPr>
        <w:pStyle w:val="EMEABodyText"/>
        <w:rPr>
          <w:noProof/>
          <w:lang w:val="en-US"/>
        </w:rPr>
      </w:pPr>
    </w:p>
    <w:p w14:paraId="2EE030D8" w14:textId="77777777" w:rsidR="00D02BC8" w:rsidRPr="00D31EBB" w:rsidRDefault="00D02BC8" w:rsidP="008B6CCB">
      <w:pPr>
        <w:pStyle w:val="EMEATitlePAC"/>
        <w:rPr>
          <w:noProof/>
        </w:rPr>
      </w:pPr>
      <w:r>
        <w:t>15.</w:t>
      </w:r>
      <w:r>
        <w:tab/>
        <w:t>INSTRUCTIONS ON USE</w:t>
      </w:r>
    </w:p>
    <w:p w14:paraId="69BE9F50" w14:textId="77777777" w:rsidR="00D02BC8" w:rsidRPr="00D31EBB" w:rsidRDefault="00D02BC8" w:rsidP="008B6CCB">
      <w:pPr>
        <w:pStyle w:val="EMEABodyText"/>
        <w:rPr>
          <w:noProof/>
          <w:lang w:val="en-US"/>
        </w:rPr>
      </w:pPr>
    </w:p>
    <w:p w14:paraId="50F2BFE4" w14:textId="77777777" w:rsidR="00D02BC8" w:rsidRPr="00D31EBB" w:rsidRDefault="00D02BC8" w:rsidP="008B6CCB">
      <w:pPr>
        <w:pStyle w:val="EMEABodyText"/>
        <w:rPr>
          <w:noProof/>
          <w:lang w:val="en-US"/>
        </w:rPr>
      </w:pPr>
    </w:p>
    <w:p w14:paraId="0BB86306" w14:textId="77777777" w:rsidR="00D02BC8" w:rsidRPr="00D31EBB" w:rsidRDefault="00D02BC8" w:rsidP="008B6CCB">
      <w:pPr>
        <w:pStyle w:val="EMEATitlePAC"/>
        <w:rPr>
          <w:noProof/>
        </w:rPr>
      </w:pPr>
      <w:r>
        <w:t>16.</w:t>
      </w:r>
      <w:r>
        <w:tab/>
        <w:t>INFORMATION IN BRAILLE</w:t>
      </w:r>
    </w:p>
    <w:p w14:paraId="3BBBA4D0" w14:textId="77777777" w:rsidR="00D02BC8" w:rsidRPr="00D31EBB" w:rsidRDefault="00D02BC8" w:rsidP="008B6CCB">
      <w:pPr>
        <w:pStyle w:val="EMEABodyText"/>
        <w:rPr>
          <w:noProof/>
          <w:lang w:val="en-US"/>
        </w:rPr>
      </w:pPr>
    </w:p>
    <w:p w14:paraId="28AE8BEB" w14:textId="77777777" w:rsidR="00D02BC8" w:rsidRPr="00D31EBB" w:rsidRDefault="00D02BC8" w:rsidP="008B6CCB">
      <w:pPr>
        <w:pStyle w:val="EMEABodyText"/>
      </w:pPr>
      <w:r>
        <w:rPr>
          <w:highlight w:val="lightGray"/>
        </w:rPr>
        <w:t>Outer carton:</w:t>
      </w:r>
      <w:r>
        <w:t xml:space="preserve"> REYATAZ 100 mg</w:t>
      </w:r>
    </w:p>
    <w:p w14:paraId="4B3A6D5E" w14:textId="77777777" w:rsidR="00B5335E" w:rsidRPr="00D31EBB" w:rsidRDefault="00B5335E" w:rsidP="00B5335E">
      <w:pPr>
        <w:pStyle w:val="EMEABodyText"/>
        <w:rPr>
          <w:lang w:val="en-US"/>
        </w:rPr>
      </w:pPr>
    </w:p>
    <w:p w14:paraId="1B82956E" w14:textId="77777777" w:rsidR="00B5335E" w:rsidRPr="00D31EBB" w:rsidRDefault="00B5335E" w:rsidP="00B5335E">
      <w:pPr>
        <w:rPr>
          <w:noProof/>
          <w:szCs w:val="22"/>
          <w:shd w:val="clear" w:color="auto" w:fill="CCCCCC"/>
          <w:lang w:val="en-US"/>
        </w:rPr>
      </w:pPr>
    </w:p>
    <w:p w14:paraId="7BAB4E1C"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17.</w:t>
      </w:r>
      <w:r>
        <w:rPr>
          <w:b/>
        </w:rPr>
        <w:tab/>
        <w:t>UNIQUE IDENTIFIER – 2D BARCODE</w:t>
      </w:r>
    </w:p>
    <w:p w14:paraId="75E08E5E" w14:textId="77777777" w:rsidR="00B5335E" w:rsidRPr="00D31EBB" w:rsidRDefault="00B5335E" w:rsidP="00B5335E">
      <w:pPr>
        <w:rPr>
          <w:noProof/>
          <w:lang w:val="en-US"/>
        </w:rPr>
      </w:pPr>
    </w:p>
    <w:p w14:paraId="42C29247" w14:textId="77777777" w:rsidR="00B5335E" w:rsidRPr="00D31EBB" w:rsidRDefault="00B5335E" w:rsidP="00B5335E">
      <w:pPr>
        <w:rPr>
          <w:noProof/>
          <w:szCs w:val="22"/>
          <w:shd w:val="clear" w:color="auto" w:fill="CCCCCC"/>
        </w:rPr>
      </w:pPr>
      <w:r>
        <w:rPr>
          <w:highlight w:val="lightGray"/>
        </w:rPr>
        <w:t>2D barcode carrying the unique identifier included.</w:t>
      </w:r>
    </w:p>
    <w:p w14:paraId="3D727773" w14:textId="77777777" w:rsidR="00B5335E" w:rsidRPr="00D31EBB" w:rsidRDefault="00B5335E" w:rsidP="00B5335E">
      <w:pPr>
        <w:rPr>
          <w:noProof/>
          <w:lang w:val="en-US"/>
        </w:rPr>
      </w:pPr>
    </w:p>
    <w:p w14:paraId="6B5D3F75" w14:textId="77777777" w:rsidR="00B5335E" w:rsidRPr="00D31EBB" w:rsidRDefault="00B5335E" w:rsidP="00B5335E">
      <w:pPr>
        <w:rPr>
          <w:noProof/>
          <w:lang w:val="en-US"/>
        </w:rPr>
      </w:pPr>
    </w:p>
    <w:p w14:paraId="73584CAF"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18.</w:t>
      </w:r>
      <w:r>
        <w:rPr>
          <w:b/>
        </w:rPr>
        <w:tab/>
        <w:t>UNIQUE IDENTIFIER - HUMAN READABLE DATA</w:t>
      </w:r>
    </w:p>
    <w:p w14:paraId="1D82C60B" w14:textId="77777777" w:rsidR="00B5335E" w:rsidRPr="00D31EBB" w:rsidRDefault="00B5335E" w:rsidP="00B5335E">
      <w:pPr>
        <w:rPr>
          <w:noProof/>
          <w:lang w:val="en-US"/>
        </w:rPr>
      </w:pPr>
    </w:p>
    <w:p w14:paraId="3CF46033" w14:textId="77777777" w:rsidR="00B5335E" w:rsidRPr="00D31EBB" w:rsidRDefault="00B5335E" w:rsidP="00B5335E">
      <w:pPr>
        <w:rPr>
          <w:szCs w:val="22"/>
        </w:rPr>
      </w:pPr>
      <w:r>
        <w:t xml:space="preserve">PC: </w:t>
      </w:r>
    </w:p>
    <w:p w14:paraId="061B53F5" w14:textId="77777777" w:rsidR="00B5335E" w:rsidRPr="00D31EBB" w:rsidRDefault="00B5335E" w:rsidP="00B5335E">
      <w:pPr>
        <w:rPr>
          <w:szCs w:val="22"/>
        </w:rPr>
      </w:pPr>
      <w:r>
        <w:t xml:space="preserve">SN: </w:t>
      </w:r>
    </w:p>
    <w:p w14:paraId="61707FCB" w14:textId="77777777" w:rsidR="00B5335E" w:rsidRPr="00D31EBB" w:rsidRDefault="00B5335E" w:rsidP="00B5335E">
      <w:pPr>
        <w:rPr>
          <w:noProof/>
          <w:vanish/>
          <w:szCs w:val="22"/>
        </w:rPr>
      </w:pPr>
      <w:r>
        <w:t xml:space="preserve">&lt;NN&gt;: </w:t>
      </w:r>
    </w:p>
    <w:p w14:paraId="33E38BE1" w14:textId="77777777" w:rsidR="00B5335E" w:rsidRPr="00D31EBB" w:rsidRDefault="00B5335E" w:rsidP="008B6CCB">
      <w:pPr>
        <w:pStyle w:val="EMEABodyText"/>
        <w:rPr>
          <w:lang w:val="en-US"/>
        </w:rPr>
      </w:pPr>
    </w:p>
    <w:p w14:paraId="3B79F741" w14:textId="77777777" w:rsidR="00D02BC8" w:rsidRPr="00D31EBB" w:rsidRDefault="00D02BC8" w:rsidP="008B6CCB">
      <w:pPr>
        <w:pStyle w:val="EMEATitlePAC"/>
        <w:rPr>
          <w:noProof/>
        </w:rPr>
      </w:pPr>
      <w:r>
        <w:br w:type="page"/>
        <w:t>MINIMUM PARTICULARS TO APPEAR ON BLISTERS OR STRIPS</w:t>
      </w:r>
    </w:p>
    <w:p w14:paraId="510F3B26" w14:textId="77777777" w:rsidR="00D02BC8" w:rsidRPr="00D31EBB" w:rsidRDefault="00D02BC8" w:rsidP="008B6CCB">
      <w:pPr>
        <w:pStyle w:val="EMEABodyText"/>
        <w:rPr>
          <w:noProof/>
          <w:lang w:val="en-US"/>
        </w:rPr>
      </w:pPr>
    </w:p>
    <w:p w14:paraId="505D0608" w14:textId="77777777" w:rsidR="00D02BC8" w:rsidRPr="00D31EBB" w:rsidRDefault="00D02BC8" w:rsidP="008B6CCB">
      <w:pPr>
        <w:pStyle w:val="EMEABodyText"/>
        <w:rPr>
          <w:noProof/>
          <w:lang w:val="en-US"/>
        </w:rPr>
      </w:pPr>
    </w:p>
    <w:p w14:paraId="1BBD49F5" w14:textId="77777777" w:rsidR="00D02BC8" w:rsidRPr="00D31EBB" w:rsidRDefault="00D02BC8" w:rsidP="008B6CCB">
      <w:pPr>
        <w:pStyle w:val="EMEATitlePAC"/>
        <w:rPr>
          <w:noProof/>
        </w:rPr>
      </w:pPr>
      <w:r>
        <w:t>1.</w:t>
      </w:r>
      <w:r>
        <w:tab/>
        <w:t>NAME OF THE MEDICINAL PRODUCT</w:t>
      </w:r>
    </w:p>
    <w:p w14:paraId="47CB08CE" w14:textId="77777777" w:rsidR="00D02BC8" w:rsidRPr="00D31EBB" w:rsidRDefault="00D02BC8" w:rsidP="008B6CCB">
      <w:pPr>
        <w:pStyle w:val="EMEABodyText"/>
        <w:rPr>
          <w:noProof/>
          <w:lang w:val="en-US"/>
        </w:rPr>
      </w:pPr>
    </w:p>
    <w:p w14:paraId="531DA7A4" w14:textId="77777777" w:rsidR="00D02BC8" w:rsidRPr="00D31EBB" w:rsidRDefault="00D02BC8" w:rsidP="008B6CCB">
      <w:pPr>
        <w:pStyle w:val="EMEABodyText"/>
      </w:pPr>
      <w:r>
        <w:t>REYATAZ 100 mg hard capsules</w:t>
      </w:r>
    </w:p>
    <w:p w14:paraId="33B5327E" w14:textId="77777777" w:rsidR="00D02BC8" w:rsidRPr="00D31EBB" w:rsidRDefault="00D02BC8" w:rsidP="008B6CCB">
      <w:pPr>
        <w:pStyle w:val="EMEABodyText"/>
      </w:pPr>
      <w:r>
        <w:t>atazanavir</w:t>
      </w:r>
    </w:p>
    <w:p w14:paraId="495EE58A" w14:textId="77777777" w:rsidR="00D02BC8" w:rsidRPr="00D31EBB" w:rsidRDefault="00D02BC8" w:rsidP="008B6CCB">
      <w:pPr>
        <w:pStyle w:val="EMEABodyText"/>
        <w:rPr>
          <w:b/>
          <w:noProof/>
          <w:lang w:val="en-US"/>
        </w:rPr>
      </w:pPr>
    </w:p>
    <w:p w14:paraId="5898A9D6" w14:textId="77777777" w:rsidR="00D02BC8" w:rsidRPr="00D31EBB" w:rsidRDefault="00D02BC8" w:rsidP="008B6CCB">
      <w:pPr>
        <w:pStyle w:val="EMEABodyText"/>
        <w:rPr>
          <w:b/>
          <w:noProof/>
          <w:lang w:val="en-US"/>
        </w:rPr>
      </w:pPr>
    </w:p>
    <w:p w14:paraId="73B85440" w14:textId="77777777" w:rsidR="00D02BC8" w:rsidRPr="00D31EBB" w:rsidRDefault="00D02BC8" w:rsidP="008B6CCB">
      <w:pPr>
        <w:pStyle w:val="EMEATitlePAC"/>
        <w:rPr>
          <w:noProof/>
        </w:rPr>
      </w:pPr>
      <w:r>
        <w:t>2.</w:t>
      </w:r>
      <w:r>
        <w:tab/>
        <w:t>NAME OF THE MARKETING AUTHORISATION HOLDER</w:t>
      </w:r>
    </w:p>
    <w:p w14:paraId="01850F78" w14:textId="77777777" w:rsidR="00D02BC8" w:rsidRPr="00D31EBB" w:rsidRDefault="00D02BC8" w:rsidP="008B6CCB">
      <w:pPr>
        <w:pStyle w:val="EMEABodyText"/>
        <w:rPr>
          <w:noProof/>
          <w:lang w:val="en-US"/>
        </w:rPr>
      </w:pPr>
    </w:p>
    <w:p w14:paraId="68AF1794" w14:textId="77777777" w:rsidR="00D02BC8" w:rsidRPr="00D31EBB" w:rsidRDefault="00D02BC8" w:rsidP="008B6CCB">
      <w:pPr>
        <w:pStyle w:val="EMEABodyText"/>
      </w:pPr>
      <w:r>
        <w:t>BRISTOL-MYERS SQUIBB PHARMA EEIG</w:t>
      </w:r>
      <w:r>
        <w:br/>
      </w:r>
    </w:p>
    <w:p w14:paraId="20287052" w14:textId="77777777" w:rsidR="00D02BC8" w:rsidRPr="00D31EBB" w:rsidRDefault="00D02BC8" w:rsidP="008B6CCB">
      <w:pPr>
        <w:pStyle w:val="EMEABodyText"/>
        <w:rPr>
          <w:noProof/>
          <w:lang w:val="en-US"/>
        </w:rPr>
      </w:pPr>
    </w:p>
    <w:p w14:paraId="4A69B9C7" w14:textId="77777777" w:rsidR="00D02BC8" w:rsidRPr="00D31EBB" w:rsidRDefault="00D02BC8" w:rsidP="008B6CCB">
      <w:pPr>
        <w:pStyle w:val="EMEATitlePAC"/>
        <w:rPr>
          <w:noProof/>
        </w:rPr>
      </w:pPr>
      <w:r>
        <w:t>3.</w:t>
      </w:r>
      <w:r>
        <w:tab/>
        <w:t>EXPIRY DATE</w:t>
      </w:r>
    </w:p>
    <w:p w14:paraId="5508E5C7" w14:textId="77777777" w:rsidR="00D02BC8" w:rsidRPr="00D31EBB" w:rsidRDefault="00D02BC8" w:rsidP="008B6CCB">
      <w:pPr>
        <w:pStyle w:val="EMEABodyText"/>
        <w:rPr>
          <w:noProof/>
          <w:lang w:val="en-US"/>
        </w:rPr>
      </w:pPr>
    </w:p>
    <w:p w14:paraId="5163DF01" w14:textId="77777777" w:rsidR="00D02BC8" w:rsidRPr="00D31EBB" w:rsidRDefault="00D02BC8" w:rsidP="008B6CCB">
      <w:pPr>
        <w:pStyle w:val="EMEABodyText"/>
      </w:pPr>
      <w:r>
        <w:t>EXP {MM/YYYY}</w:t>
      </w:r>
    </w:p>
    <w:p w14:paraId="7F6F0FC9" w14:textId="77777777" w:rsidR="00D02BC8" w:rsidRPr="00D31EBB" w:rsidRDefault="00D02BC8" w:rsidP="008B6CCB">
      <w:pPr>
        <w:pStyle w:val="EMEABodyText"/>
        <w:rPr>
          <w:noProof/>
          <w:lang w:val="en-US"/>
        </w:rPr>
      </w:pPr>
    </w:p>
    <w:p w14:paraId="62BD9DD5" w14:textId="77777777" w:rsidR="00D02BC8" w:rsidRPr="00D31EBB" w:rsidRDefault="00D02BC8" w:rsidP="008B6CCB">
      <w:pPr>
        <w:pStyle w:val="EMEABodyText"/>
        <w:rPr>
          <w:noProof/>
          <w:lang w:val="en-US"/>
        </w:rPr>
      </w:pPr>
    </w:p>
    <w:p w14:paraId="1F5CF27C" w14:textId="77777777" w:rsidR="00D02BC8" w:rsidRPr="00D31EBB" w:rsidRDefault="00D02BC8" w:rsidP="008B6CCB">
      <w:pPr>
        <w:pStyle w:val="EMEATitlePAC"/>
        <w:rPr>
          <w:noProof/>
        </w:rPr>
      </w:pPr>
      <w:r>
        <w:t>4.</w:t>
      </w:r>
      <w:r>
        <w:tab/>
        <w:t>BATCH NUMBER</w:t>
      </w:r>
    </w:p>
    <w:p w14:paraId="4BCF4D6C" w14:textId="77777777" w:rsidR="00D02BC8" w:rsidRPr="00D31EBB" w:rsidRDefault="00D02BC8" w:rsidP="008B6CCB">
      <w:pPr>
        <w:pStyle w:val="EMEABodyText"/>
        <w:rPr>
          <w:noProof/>
          <w:lang w:val="en-US"/>
        </w:rPr>
      </w:pPr>
    </w:p>
    <w:p w14:paraId="6ADA01EC" w14:textId="77777777" w:rsidR="00D02BC8" w:rsidRPr="00D31EBB" w:rsidRDefault="00D02BC8" w:rsidP="008B6CCB">
      <w:pPr>
        <w:pStyle w:val="EMEABodyText"/>
      </w:pPr>
      <w:r>
        <w:t>Lot</w:t>
      </w:r>
    </w:p>
    <w:p w14:paraId="4888A4D5" w14:textId="77777777" w:rsidR="00D02BC8" w:rsidRPr="00D31EBB" w:rsidRDefault="00D02BC8" w:rsidP="008B6CCB">
      <w:pPr>
        <w:pStyle w:val="EMEABodyText"/>
        <w:rPr>
          <w:noProof/>
          <w:lang w:val="en-US"/>
        </w:rPr>
      </w:pPr>
    </w:p>
    <w:p w14:paraId="3D286103" w14:textId="77777777" w:rsidR="00D02BC8" w:rsidRPr="00D31EBB" w:rsidRDefault="00D02BC8" w:rsidP="008B6CCB">
      <w:pPr>
        <w:pStyle w:val="EMEABodyText"/>
        <w:rPr>
          <w:noProof/>
          <w:lang w:val="en-US"/>
        </w:rPr>
      </w:pPr>
    </w:p>
    <w:p w14:paraId="511E7D91" w14:textId="77777777" w:rsidR="00D02BC8" w:rsidRPr="00D31EBB" w:rsidRDefault="00D02BC8" w:rsidP="008B6CCB">
      <w:pPr>
        <w:pStyle w:val="EMEATitlePAC"/>
        <w:rPr>
          <w:noProof/>
        </w:rPr>
      </w:pPr>
      <w:r>
        <w:t>5.</w:t>
      </w:r>
      <w:r>
        <w:tab/>
        <w:t>OTHER</w:t>
      </w:r>
    </w:p>
    <w:p w14:paraId="19C3F679" w14:textId="77777777" w:rsidR="00D02BC8" w:rsidRPr="00D31EBB" w:rsidRDefault="00D02BC8" w:rsidP="008B6CCB">
      <w:pPr>
        <w:pStyle w:val="EMEABodyText"/>
        <w:rPr>
          <w:noProof/>
          <w:lang w:val="en-US"/>
        </w:rPr>
      </w:pPr>
    </w:p>
    <w:p w14:paraId="0DD34EC9" w14:textId="77777777" w:rsidR="00D02BC8" w:rsidRPr="00D31EBB" w:rsidRDefault="00D02BC8" w:rsidP="008B6CCB">
      <w:pPr>
        <w:pStyle w:val="EMEABodyText"/>
        <w:rPr>
          <w:iCs/>
          <w:noProof/>
          <w:lang w:val="en-US"/>
        </w:rPr>
      </w:pPr>
    </w:p>
    <w:p w14:paraId="7E822BCA" w14:textId="77777777" w:rsidR="00D02BC8" w:rsidRPr="00D31EBB" w:rsidRDefault="00D02BC8" w:rsidP="008B6CCB">
      <w:pPr>
        <w:pStyle w:val="EMEATitlePAC"/>
      </w:pPr>
      <w:r>
        <w:br w:type="page"/>
        <w:t>PARTICULARS TO APPEAR ON THE OUTER PACKAGING AND THE IMMEDIATE PACKAGING</w:t>
      </w:r>
    </w:p>
    <w:p w14:paraId="62D6DC1E" w14:textId="77777777" w:rsidR="00D02BC8" w:rsidRPr="00D31EBB" w:rsidRDefault="00D02BC8" w:rsidP="008B6CCB">
      <w:pPr>
        <w:pStyle w:val="EMEATitlePAC"/>
        <w:rPr>
          <w:lang w:val="en-US"/>
        </w:rPr>
      </w:pPr>
    </w:p>
    <w:p w14:paraId="67C74EED" w14:textId="77777777" w:rsidR="00D02BC8" w:rsidRPr="00D31EBB" w:rsidRDefault="00D02BC8" w:rsidP="008B6CCB">
      <w:pPr>
        <w:pStyle w:val="EMEATitlePAC"/>
      </w:pPr>
      <w:r>
        <w:rPr>
          <w:smallCaps/>
        </w:rPr>
        <w:t>OUTER CARTON TEXT (BOTTLE AND BLISTER PRESENTATIONS) AND BOTTLE LABEL TEXT</w:t>
      </w:r>
    </w:p>
    <w:p w14:paraId="642BC6BE" w14:textId="77777777" w:rsidR="00D02BC8" w:rsidRPr="00D31EBB" w:rsidRDefault="00D02BC8" w:rsidP="008B6CCB">
      <w:pPr>
        <w:pStyle w:val="EMEABodyText"/>
        <w:rPr>
          <w:noProof/>
          <w:lang w:val="en-US"/>
        </w:rPr>
      </w:pPr>
    </w:p>
    <w:p w14:paraId="7E744F65" w14:textId="77777777" w:rsidR="00D02BC8" w:rsidRPr="00D31EBB" w:rsidRDefault="00D02BC8" w:rsidP="008B6CCB">
      <w:pPr>
        <w:pStyle w:val="EMEABodyText"/>
        <w:rPr>
          <w:noProof/>
          <w:lang w:val="en-US"/>
        </w:rPr>
      </w:pPr>
    </w:p>
    <w:p w14:paraId="4F16D6DE" w14:textId="77777777" w:rsidR="00D02BC8" w:rsidRPr="00D31EBB" w:rsidRDefault="00D02BC8" w:rsidP="008B6CCB">
      <w:pPr>
        <w:pStyle w:val="EMEATitlePAC"/>
        <w:rPr>
          <w:noProof/>
        </w:rPr>
      </w:pPr>
      <w:r>
        <w:t>1.</w:t>
      </w:r>
      <w:r>
        <w:tab/>
        <w:t>NAME OF THE MEDICINAL PRODUCT</w:t>
      </w:r>
    </w:p>
    <w:p w14:paraId="3A3DE22F" w14:textId="77777777" w:rsidR="00D02BC8" w:rsidRPr="00D31EBB" w:rsidRDefault="00D02BC8" w:rsidP="008B6CCB">
      <w:pPr>
        <w:pStyle w:val="EMEABodyText"/>
        <w:rPr>
          <w:noProof/>
          <w:lang w:val="en-US"/>
        </w:rPr>
      </w:pPr>
    </w:p>
    <w:p w14:paraId="731AEF40" w14:textId="77777777" w:rsidR="00D02BC8" w:rsidRPr="00D31EBB" w:rsidRDefault="00D02BC8" w:rsidP="008B6CCB">
      <w:pPr>
        <w:pStyle w:val="EMEABodyText"/>
      </w:pPr>
      <w:r>
        <w:t>REYATAZ 150 mg hard capsules</w:t>
      </w:r>
    </w:p>
    <w:p w14:paraId="6B5963B5" w14:textId="77777777" w:rsidR="00D02BC8" w:rsidRPr="00D31EBB" w:rsidRDefault="00D02BC8" w:rsidP="008B6CCB">
      <w:pPr>
        <w:pStyle w:val="EMEABodyText"/>
        <w:rPr>
          <w:noProof/>
        </w:rPr>
      </w:pPr>
      <w:r>
        <w:t>atazanavir</w:t>
      </w:r>
    </w:p>
    <w:p w14:paraId="5F530186" w14:textId="77777777" w:rsidR="00D02BC8" w:rsidRPr="00D31EBB" w:rsidRDefault="00D02BC8" w:rsidP="008B6CCB">
      <w:pPr>
        <w:pStyle w:val="EMEABodyText"/>
        <w:rPr>
          <w:noProof/>
          <w:lang w:val="en-US"/>
        </w:rPr>
      </w:pPr>
    </w:p>
    <w:p w14:paraId="0E6E6BBE" w14:textId="77777777" w:rsidR="00D02BC8" w:rsidRPr="00D31EBB" w:rsidRDefault="00D02BC8" w:rsidP="008B6CCB">
      <w:pPr>
        <w:pStyle w:val="EMEABodyText"/>
        <w:rPr>
          <w:noProof/>
          <w:lang w:val="en-US"/>
        </w:rPr>
      </w:pPr>
    </w:p>
    <w:p w14:paraId="3D280761" w14:textId="77777777" w:rsidR="00D02BC8" w:rsidRPr="00D31EBB" w:rsidRDefault="00D02BC8" w:rsidP="008B6CCB">
      <w:pPr>
        <w:pStyle w:val="EMEATitlePAC"/>
        <w:rPr>
          <w:noProof/>
        </w:rPr>
      </w:pPr>
      <w:r>
        <w:t>2.</w:t>
      </w:r>
      <w:r>
        <w:tab/>
        <w:t>STATEMENT OF ACTIVE SUBSTANCE(S)</w:t>
      </w:r>
    </w:p>
    <w:p w14:paraId="43AFE649" w14:textId="77777777" w:rsidR="00D02BC8" w:rsidRPr="00D31EBB" w:rsidRDefault="00D02BC8" w:rsidP="008B6CCB">
      <w:pPr>
        <w:pStyle w:val="EMEABodyText"/>
        <w:rPr>
          <w:noProof/>
          <w:lang w:val="en-US"/>
        </w:rPr>
      </w:pPr>
    </w:p>
    <w:p w14:paraId="4E225463" w14:textId="77777777" w:rsidR="00D02BC8" w:rsidRPr="00D31EBB" w:rsidRDefault="00D02BC8" w:rsidP="008B6CCB">
      <w:pPr>
        <w:pStyle w:val="EMEABodyText"/>
      </w:pPr>
      <w:r>
        <w:t>Each capsule contains 150 mg of atazanavir (as sulphate).</w:t>
      </w:r>
    </w:p>
    <w:p w14:paraId="160C39F3" w14:textId="77777777" w:rsidR="00D02BC8" w:rsidRPr="00D31EBB" w:rsidRDefault="00D02BC8" w:rsidP="008B6CCB">
      <w:pPr>
        <w:pStyle w:val="EMEABodyText"/>
        <w:rPr>
          <w:noProof/>
          <w:lang w:val="en-US"/>
        </w:rPr>
      </w:pPr>
    </w:p>
    <w:p w14:paraId="6E17ECE7" w14:textId="77777777" w:rsidR="00D02BC8" w:rsidRPr="00D31EBB" w:rsidRDefault="00D02BC8" w:rsidP="008B6CCB">
      <w:pPr>
        <w:pStyle w:val="EMEABodyText"/>
        <w:rPr>
          <w:noProof/>
          <w:lang w:val="en-US"/>
        </w:rPr>
      </w:pPr>
    </w:p>
    <w:p w14:paraId="26E83AA7" w14:textId="77777777" w:rsidR="00D02BC8" w:rsidRPr="00D31EBB" w:rsidRDefault="00D02BC8" w:rsidP="008B6CCB">
      <w:pPr>
        <w:pStyle w:val="EMEATitlePAC"/>
        <w:rPr>
          <w:noProof/>
        </w:rPr>
      </w:pPr>
      <w:r>
        <w:t>3.</w:t>
      </w:r>
      <w:r>
        <w:tab/>
        <w:t>LIST OF EXCIPIENTS</w:t>
      </w:r>
    </w:p>
    <w:p w14:paraId="361EDF54" w14:textId="77777777" w:rsidR="00D02BC8" w:rsidRPr="00D31EBB" w:rsidRDefault="00D02BC8" w:rsidP="008B6CCB">
      <w:pPr>
        <w:pStyle w:val="EMEABodyText"/>
        <w:rPr>
          <w:noProof/>
          <w:lang w:val="en-US"/>
        </w:rPr>
      </w:pPr>
    </w:p>
    <w:p w14:paraId="596A5801" w14:textId="77777777" w:rsidR="00D02BC8" w:rsidRPr="00D31EBB" w:rsidRDefault="00D02BC8" w:rsidP="008B6CCB">
      <w:pPr>
        <w:pStyle w:val="EMEABodyText"/>
      </w:pPr>
      <w:r>
        <w:t>Excipients: contains lactose (see leaflet for further information).</w:t>
      </w:r>
    </w:p>
    <w:p w14:paraId="5FBF0AEF" w14:textId="77777777" w:rsidR="00D02BC8" w:rsidRPr="00D31EBB" w:rsidRDefault="00D02BC8" w:rsidP="008B6CCB">
      <w:pPr>
        <w:pStyle w:val="EMEABodyText"/>
        <w:rPr>
          <w:noProof/>
          <w:lang w:val="en-US"/>
        </w:rPr>
      </w:pPr>
    </w:p>
    <w:p w14:paraId="3F13543B" w14:textId="77777777" w:rsidR="00D02BC8" w:rsidRPr="00D31EBB" w:rsidRDefault="00D02BC8" w:rsidP="008B6CCB">
      <w:pPr>
        <w:pStyle w:val="EMEABodyText"/>
        <w:rPr>
          <w:noProof/>
          <w:lang w:val="en-US"/>
        </w:rPr>
      </w:pPr>
    </w:p>
    <w:p w14:paraId="63933A5E" w14:textId="77777777" w:rsidR="00D02BC8" w:rsidRPr="00D31EBB" w:rsidRDefault="00D02BC8" w:rsidP="008B6CCB">
      <w:pPr>
        <w:pStyle w:val="EMEATitlePAC"/>
        <w:rPr>
          <w:noProof/>
        </w:rPr>
      </w:pPr>
      <w:r>
        <w:t>4.</w:t>
      </w:r>
      <w:r>
        <w:tab/>
        <w:t>PHARMACEUTICAL FORM AND CONTENTS</w:t>
      </w:r>
    </w:p>
    <w:p w14:paraId="2233074F" w14:textId="77777777" w:rsidR="00D02BC8" w:rsidRPr="00D31EBB" w:rsidRDefault="00D02BC8" w:rsidP="008B6CCB">
      <w:pPr>
        <w:pStyle w:val="EMEABodyText"/>
        <w:rPr>
          <w:noProof/>
          <w:lang w:val="en-US"/>
        </w:rPr>
      </w:pPr>
    </w:p>
    <w:p w14:paraId="1AAC2F67" w14:textId="77777777" w:rsidR="00D02BC8" w:rsidRPr="00D31EBB" w:rsidRDefault="00D02BC8" w:rsidP="008B6CCB">
      <w:pPr>
        <w:pStyle w:val="EMEABodyText"/>
      </w:pPr>
      <w:r>
        <w:rPr>
          <w:highlight w:val="lightGray"/>
        </w:rPr>
        <w:t>Carton and label bottle pack (1 bottle):</w:t>
      </w:r>
      <w:r>
        <w:t xml:space="preserve"> 60 hard capsules</w:t>
      </w:r>
    </w:p>
    <w:p w14:paraId="5AA343C1" w14:textId="77777777" w:rsidR="00D02BC8" w:rsidRPr="00D31EBB" w:rsidRDefault="00D02BC8" w:rsidP="008B6CCB">
      <w:pPr>
        <w:pStyle w:val="EMEABodyText"/>
        <w:rPr>
          <w:lang w:val="en-US"/>
        </w:rPr>
      </w:pPr>
    </w:p>
    <w:p w14:paraId="446B2BF0" w14:textId="77777777" w:rsidR="00D02BC8" w:rsidRPr="00D31EBB" w:rsidRDefault="00D02BC8" w:rsidP="008B6CCB">
      <w:pPr>
        <w:pStyle w:val="EMEABodyText"/>
      </w:pPr>
      <w:r>
        <w:rPr>
          <w:highlight w:val="lightGray"/>
        </w:rPr>
        <w:t>Blister pack:</w:t>
      </w:r>
      <w:r>
        <w:t xml:space="preserve"> 60 hard capsules</w:t>
      </w:r>
    </w:p>
    <w:p w14:paraId="5E817472" w14:textId="77777777" w:rsidR="00D02BC8" w:rsidRPr="00D31EBB" w:rsidRDefault="00D02BC8" w:rsidP="008B6CCB">
      <w:pPr>
        <w:pStyle w:val="EMEABodyText"/>
        <w:rPr>
          <w:noProof/>
          <w:lang w:val="en-US"/>
        </w:rPr>
      </w:pPr>
    </w:p>
    <w:p w14:paraId="275D2696" w14:textId="77777777" w:rsidR="00D02BC8" w:rsidRPr="00D31EBB" w:rsidRDefault="00D02BC8" w:rsidP="008B6CCB">
      <w:pPr>
        <w:pStyle w:val="EMEABodyText"/>
        <w:rPr>
          <w:noProof/>
          <w:lang w:val="en-US"/>
        </w:rPr>
      </w:pPr>
    </w:p>
    <w:p w14:paraId="3B9E14EB" w14:textId="77777777" w:rsidR="00D02BC8" w:rsidRPr="00D31EBB" w:rsidRDefault="00D02BC8" w:rsidP="008B6CCB">
      <w:pPr>
        <w:pStyle w:val="EMEATitlePAC"/>
        <w:rPr>
          <w:noProof/>
        </w:rPr>
      </w:pPr>
      <w:r>
        <w:t>5.</w:t>
      </w:r>
      <w:r>
        <w:tab/>
        <w:t>METHOD AND ROUTE(S) OF ADMINISTRATION</w:t>
      </w:r>
    </w:p>
    <w:p w14:paraId="3A955FB3" w14:textId="77777777" w:rsidR="00D02BC8" w:rsidRPr="00D31EBB" w:rsidRDefault="00D02BC8" w:rsidP="008B6CCB">
      <w:pPr>
        <w:pStyle w:val="EMEABodyText"/>
        <w:rPr>
          <w:noProof/>
          <w:lang w:val="en-US"/>
        </w:rPr>
      </w:pPr>
    </w:p>
    <w:p w14:paraId="0F853830" w14:textId="77777777" w:rsidR="00D02BC8" w:rsidRPr="00D31EBB" w:rsidRDefault="00D02BC8" w:rsidP="008B6CCB">
      <w:pPr>
        <w:pStyle w:val="EMEABodyText"/>
      </w:pPr>
      <w:r>
        <w:t>Oral use.</w:t>
      </w:r>
    </w:p>
    <w:p w14:paraId="04C93AF8" w14:textId="77777777" w:rsidR="00D02BC8" w:rsidRPr="00D31EBB" w:rsidRDefault="00D02BC8" w:rsidP="008B6CCB">
      <w:pPr>
        <w:pStyle w:val="EMEABodyText"/>
      </w:pPr>
      <w:r>
        <w:t>Capsules should be swallowed whole. Read the package leaflet before use.</w:t>
      </w:r>
    </w:p>
    <w:p w14:paraId="36E7F20B" w14:textId="77777777" w:rsidR="00D02BC8" w:rsidRPr="00D31EBB" w:rsidRDefault="00D02BC8" w:rsidP="008B6CCB">
      <w:pPr>
        <w:pStyle w:val="EMEABodyText"/>
        <w:rPr>
          <w:noProof/>
          <w:lang w:val="en-US"/>
        </w:rPr>
      </w:pPr>
    </w:p>
    <w:p w14:paraId="7B3D6171" w14:textId="77777777" w:rsidR="00D02BC8" w:rsidRPr="00D31EBB" w:rsidRDefault="00D02BC8" w:rsidP="008B6CCB">
      <w:pPr>
        <w:pStyle w:val="EMEABodyText"/>
        <w:rPr>
          <w:noProof/>
          <w:lang w:val="en-US"/>
        </w:rPr>
      </w:pPr>
    </w:p>
    <w:p w14:paraId="7CD016E5" w14:textId="77777777" w:rsidR="00D02BC8" w:rsidRPr="00D31EBB" w:rsidRDefault="00D02BC8" w:rsidP="008B6CCB">
      <w:pPr>
        <w:pStyle w:val="EMEATitlePAC"/>
        <w:rPr>
          <w:noProof/>
        </w:rPr>
      </w:pPr>
      <w:r>
        <w:t>6.</w:t>
      </w:r>
      <w:r>
        <w:tab/>
        <w:t>SPECIAL WARNING THAT THE MEDICINAL PRODUCT MUST BE STORED OUT OF THE SIGHT AND REACH OF CHILDREN</w:t>
      </w:r>
    </w:p>
    <w:p w14:paraId="560B504B" w14:textId="77777777" w:rsidR="00D02BC8" w:rsidRPr="00D31EBB" w:rsidRDefault="00D02BC8" w:rsidP="008B6CCB">
      <w:pPr>
        <w:pStyle w:val="EMEABodyText"/>
        <w:rPr>
          <w:noProof/>
          <w:lang w:val="en-US"/>
        </w:rPr>
      </w:pPr>
    </w:p>
    <w:p w14:paraId="0B1425E4" w14:textId="77777777" w:rsidR="00D02BC8" w:rsidRPr="00D31EBB" w:rsidRDefault="00D02BC8" w:rsidP="008B6CCB">
      <w:pPr>
        <w:pStyle w:val="EMEABodyText"/>
        <w:rPr>
          <w:noProof/>
        </w:rPr>
      </w:pPr>
      <w:r>
        <w:t>Keep out of the sight and reach of children.</w:t>
      </w:r>
    </w:p>
    <w:p w14:paraId="1EFE4ABC" w14:textId="77777777" w:rsidR="00D02BC8" w:rsidRPr="00D31EBB" w:rsidRDefault="00D02BC8" w:rsidP="008B6CCB">
      <w:pPr>
        <w:pStyle w:val="EMEABodyText"/>
        <w:rPr>
          <w:noProof/>
          <w:lang w:val="en-US"/>
        </w:rPr>
      </w:pPr>
    </w:p>
    <w:p w14:paraId="1C85DCE6" w14:textId="77777777" w:rsidR="00D02BC8" w:rsidRPr="00D31EBB" w:rsidRDefault="00D02BC8" w:rsidP="008B6CCB">
      <w:pPr>
        <w:pStyle w:val="EMEABodyText"/>
        <w:rPr>
          <w:noProof/>
          <w:lang w:val="en-US"/>
        </w:rPr>
      </w:pPr>
    </w:p>
    <w:p w14:paraId="56782BC9" w14:textId="77777777" w:rsidR="00D02BC8" w:rsidRPr="00D31EBB" w:rsidRDefault="00D02BC8" w:rsidP="008B6CCB">
      <w:pPr>
        <w:pStyle w:val="EMEATitlePAC"/>
        <w:rPr>
          <w:noProof/>
        </w:rPr>
      </w:pPr>
      <w:r>
        <w:t>7.</w:t>
      </w:r>
      <w:r>
        <w:tab/>
        <w:t>OTHER SPECIAL WARNING(S), IF NECESSARY</w:t>
      </w:r>
    </w:p>
    <w:p w14:paraId="5B349BC1" w14:textId="77777777" w:rsidR="00D02BC8" w:rsidRPr="00D31EBB" w:rsidRDefault="00D02BC8" w:rsidP="008B6CCB">
      <w:pPr>
        <w:pStyle w:val="EMEABodyText"/>
        <w:rPr>
          <w:noProof/>
          <w:lang w:val="en-US"/>
        </w:rPr>
      </w:pPr>
    </w:p>
    <w:p w14:paraId="0C481DDF" w14:textId="77777777" w:rsidR="00D02BC8" w:rsidRPr="00D31EBB" w:rsidRDefault="00D02BC8" w:rsidP="008B6CCB">
      <w:pPr>
        <w:pStyle w:val="EMEABodyText"/>
        <w:rPr>
          <w:noProof/>
          <w:lang w:val="en-US"/>
        </w:rPr>
      </w:pPr>
    </w:p>
    <w:p w14:paraId="45AEB6EC" w14:textId="77777777" w:rsidR="00D02BC8" w:rsidRPr="00D31EBB" w:rsidRDefault="00D02BC8" w:rsidP="008B6CCB">
      <w:pPr>
        <w:pStyle w:val="EMEATitlePAC"/>
        <w:rPr>
          <w:noProof/>
        </w:rPr>
      </w:pPr>
      <w:r>
        <w:t>8.</w:t>
      </w:r>
      <w:r>
        <w:tab/>
        <w:t>EXPIRY DATE</w:t>
      </w:r>
    </w:p>
    <w:p w14:paraId="5AAC5D71" w14:textId="77777777" w:rsidR="00D02BC8" w:rsidRPr="00D31EBB" w:rsidRDefault="00D02BC8" w:rsidP="008B6CCB">
      <w:pPr>
        <w:pStyle w:val="EMEABodyText"/>
        <w:rPr>
          <w:i/>
          <w:noProof/>
          <w:lang w:val="en-US"/>
        </w:rPr>
      </w:pPr>
    </w:p>
    <w:p w14:paraId="21898C7F" w14:textId="77777777" w:rsidR="00D02BC8" w:rsidRPr="00D31EBB" w:rsidRDefault="00D02BC8" w:rsidP="008B6CCB">
      <w:pPr>
        <w:pStyle w:val="EMEABodyText"/>
      </w:pPr>
      <w:r>
        <w:t>EXP {MM/YYYY}</w:t>
      </w:r>
    </w:p>
    <w:p w14:paraId="34DFB2D0" w14:textId="77777777" w:rsidR="00D02BC8" w:rsidRPr="00D31EBB" w:rsidRDefault="00D02BC8" w:rsidP="008B6CCB">
      <w:pPr>
        <w:pStyle w:val="EMEABodyText"/>
        <w:rPr>
          <w:noProof/>
          <w:lang w:val="en-US"/>
        </w:rPr>
      </w:pPr>
    </w:p>
    <w:p w14:paraId="04DBA4C4" w14:textId="77777777" w:rsidR="00D02BC8" w:rsidRPr="00D31EBB" w:rsidRDefault="00D02BC8" w:rsidP="008B6CCB">
      <w:pPr>
        <w:pStyle w:val="EMEABodyText"/>
        <w:rPr>
          <w:noProof/>
          <w:lang w:val="en-US"/>
        </w:rPr>
      </w:pPr>
    </w:p>
    <w:p w14:paraId="794CA673" w14:textId="77777777" w:rsidR="00D02BC8" w:rsidRPr="00D31EBB" w:rsidRDefault="00D02BC8" w:rsidP="008B6CCB">
      <w:pPr>
        <w:pStyle w:val="EMEATitlePAC"/>
        <w:rPr>
          <w:noProof/>
        </w:rPr>
      </w:pPr>
      <w:r>
        <w:t>9.</w:t>
      </w:r>
      <w:r>
        <w:tab/>
        <w:t>SPECIAL STORAGE CONDITIONS</w:t>
      </w:r>
    </w:p>
    <w:p w14:paraId="0C9A9346" w14:textId="77777777" w:rsidR="00D02BC8" w:rsidRPr="00D31EBB" w:rsidRDefault="00D02BC8" w:rsidP="008B6CCB">
      <w:pPr>
        <w:pStyle w:val="EMEABodyText"/>
        <w:rPr>
          <w:noProof/>
          <w:lang w:val="en-US"/>
        </w:rPr>
      </w:pPr>
    </w:p>
    <w:p w14:paraId="2110A3E5" w14:textId="77777777" w:rsidR="00D02BC8" w:rsidRPr="00D31EBB" w:rsidRDefault="00D02BC8" w:rsidP="008B6CCB">
      <w:pPr>
        <w:pStyle w:val="EMEABodyText"/>
        <w:rPr>
          <w:highlight w:val="lightGray"/>
        </w:rPr>
      </w:pPr>
      <w:r>
        <w:rPr>
          <w:highlight w:val="lightGray"/>
        </w:rPr>
        <w:t>Bottle pack:</w:t>
      </w:r>
    </w:p>
    <w:p w14:paraId="166C5C44" w14:textId="77777777" w:rsidR="00D02BC8" w:rsidRPr="00D31EBB" w:rsidRDefault="00D02BC8" w:rsidP="008B6CCB">
      <w:pPr>
        <w:pStyle w:val="EMEABodyText"/>
      </w:pPr>
      <w:r>
        <w:t>Do not store above 25°C.</w:t>
      </w:r>
    </w:p>
    <w:p w14:paraId="561C4889" w14:textId="77777777" w:rsidR="00D02BC8" w:rsidRPr="00D31EBB" w:rsidRDefault="00D02BC8" w:rsidP="008B6CCB">
      <w:pPr>
        <w:pStyle w:val="EMEABodyText"/>
        <w:rPr>
          <w:lang w:val="en-US"/>
        </w:rPr>
      </w:pPr>
    </w:p>
    <w:p w14:paraId="16179394" w14:textId="77777777" w:rsidR="00D02BC8" w:rsidRPr="00D31EBB" w:rsidRDefault="00D02BC8" w:rsidP="008B6CCB">
      <w:pPr>
        <w:pStyle w:val="EMEABodyText"/>
        <w:rPr>
          <w:highlight w:val="lightGray"/>
        </w:rPr>
      </w:pPr>
      <w:r>
        <w:rPr>
          <w:highlight w:val="lightGray"/>
        </w:rPr>
        <w:t>Blister pack:</w:t>
      </w:r>
    </w:p>
    <w:p w14:paraId="21854625" w14:textId="77777777" w:rsidR="00D02BC8" w:rsidRPr="00D31EBB" w:rsidRDefault="00D02BC8" w:rsidP="008B6CCB">
      <w:pPr>
        <w:pStyle w:val="EMEABodyText"/>
      </w:pPr>
      <w:r>
        <w:t>Do not store above 25°C.</w:t>
      </w:r>
    </w:p>
    <w:p w14:paraId="10E0C7D2" w14:textId="77777777" w:rsidR="00D02BC8" w:rsidRPr="00D31EBB" w:rsidRDefault="00D02BC8" w:rsidP="008B6CCB">
      <w:pPr>
        <w:pStyle w:val="EMEABodyText"/>
        <w:rPr>
          <w:noProof/>
        </w:rPr>
      </w:pPr>
      <w:r>
        <w:t>Store in the original package</w:t>
      </w:r>
    </w:p>
    <w:p w14:paraId="1A5E769E" w14:textId="77777777" w:rsidR="00D02BC8" w:rsidRPr="00D31EBB" w:rsidRDefault="00D02BC8" w:rsidP="008B6CCB">
      <w:pPr>
        <w:pStyle w:val="EMEABodyText"/>
        <w:rPr>
          <w:noProof/>
          <w:lang w:val="en-US"/>
        </w:rPr>
      </w:pPr>
    </w:p>
    <w:p w14:paraId="34F94F22" w14:textId="77777777" w:rsidR="00D02BC8" w:rsidRPr="00D31EBB" w:rsidRDefault="00D02BC8" w:rsidP="008B6CCB">
      <w:pPr>
        <w:pStyle w:val="EMEABodyText"/>
        <w:rPr>
          <w:noProof/>
          <w:lang w:val="en-US"/>
        </w:rPr>
      </w:pPr>
    </w:p>
    <w:p w14:paraId="5B5DACFB" w14:textId="77777777" w:rsidR="00D02BC8" w:rsidRPr="00D31EBB" w:rsidRDefault="00D02BC8" w:rsidP="008B6CCB">
      <w:pPr>
        <w:pStyle w:val="EMEATitlePAC"/>
        <w:rPr>
          <w:noProof/>
        </w:rPr>
      </w:pPr>
      <w:r>
        <w:t>10.</w:t>
      </w:r>
      <w:r>
        <w:tab/>
        <w:t>SPECIAL PRECAUTIONS FOR DISPOSAL OF UNUSED MEDICINAL PRODUCTS OR WASTE MATERIALS DERIVED FROM SUCH MEDICINAL PRODUCTS, IF APPROPRIATE</w:t>
      </w:r>
    </w:p>
    <w:p w14:paraId="33C20D06" w14:textId="77777777" w:rsidR="00D02BC8" w:rsidRPr="00D31EBB" w:rsidRDefault="00D02BC8" w:rsidP="008B6CCB">
      <w:pPr>
        <w:pStyle w:val="EMEABodyText"/>
        <w:rPr>
          <w:noProof/>
          <w:lang w:val="en-US"/>
        </w:rPr>
      </w:pPr>
    </w:p>
    <w:p w14:paraId="367A71FA" w14:textId="77777777" w:rsidR="00D02BC8" w:rsidRPr="00D31EBB" w:rsidRDefault="00D02BC8" w:rsidP="008B6CCB">
      <w:pPr>
        <w:pStyle w:val="EMEABodyText"/>
        <w:rPr>
          <w:noProof/>
          <w:lang w:val="en-US"/>
        </w:rPr>
      </w:pPr>
    </w:p>
    <w:p w14:paraId="127352A6" w14:textId="77777777" w:rsidR="00D02BC8" w:rsidRPr="00D31EBB" w:rsidRDefault="00D02BC8" w:rsidP="008B6CCB">
      <w:pPr>
        <w:pStyle w:val="EMEATitlePAC"/>
        <w:rPr>
          <w:noProof/>
        </w:rPr>
      </w:pPr>
      <w:r>
        <w:t>11.</w:t>
      </w:r>
      <w:r>
        <w:tab/>
        <w:t>NAME AND ADDRESS OF THE MARKETING AUTHORISATION HOLDER</w:t>
      </w:r>
    </w:p>
    <w:p w14:paraId="6D366113" w14:textId="77777777" w:rsidR="00D02BC8" w:rsidRPr="00D31EBB" w:rsidRDefault="00D02BC8" w:rsidP="008B6CCB">
      <w:pPr>
        <w:pStyle w:val="EMEABodyText"/>
        <w:rPr>
          <w:noProof/>
          <w:lang w:val="en-US"/>
        </w:rPr>
      </w:pPr>
    </w:p>
    <w:p w14:paraId="4FEC1C12"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2FFDC75D" w14:textId="77777777" w:rsidR="00965E20" w:rsidRDefault="00965E20" w:rsidP="00965E20">
      <w:pPr>
        <w:numPr>
          <w:ilvl w:val="12"/>
          <w:numId w:val="0"/>
        </w:numPr>
      </w:pPr>
      <w:r>
        <w:t xml:space="preserve">Ireland </w:t>
      </w:r>
    </w:p>
    <w:p w14:paraId="0D130A3F" w14:textId="77777777" w:rsidR="00D02BC8" w:rsidRPr="00D31EBB" w:rsidRDefault="00D02BC8" w:rsidP="00957233">
      <w:pPr>
        <w:pStyle w:val="EMEAAddress"/>
        <w:rPr>
          <w:lang w:val="en-US"/>
        </w:rPr>
      </w:pPr>
    </w:p>
    <w:p w14:paraId="2E7CD92C" w14:textId="77777777" w:rsidR="00D02BC8" w:rsidRPr="00D31EBB" w:rsidRDefault="00D02BC8" w:rsidP="008B6CCB">
      <w:pPr>
        <w:pStyle w:val="EMEABodyText"/>
        <w:rPr>
          <w:noProof/>
          <w:lang w:val="en-US"/>
        </w:rPr>
      </w:pPr>
    </w:p>
    <w:p w14:paraId="06A42F00" w14:textId="77777777" w:rsidR="00D02BC8" w:rsidRPr="00D31EBB" w:rsidRDefault="00D02BC8" w:rsidP="008B6CCB">
      <w:pPr>
        <w:pStyle w:val="EMEATitlePAC"/>
        <w:rPr>
          <w:noProof/>
        </w:rPr>
      </w:pPr>
      <w:r>
        <w:t>12.</w:t>
      </w:r>
      <w:r>
        <w:tab/>
        <w:t xml:space="preserve">MARKETING AUTHORISATION NUMBER(S) </w:t>
      </w:r>
    </w:p>
    <w:p w14:paraId="63ABC773" w14:textId="77777777" w:rsidR="00D02BC8" w:rsidRPr="00D31EBB" w:rsidRDefault="00D02BC8" w:rsidP="008B6CCB">
      <w:pPr>
        <w:pStyle w:val="EMEABodyText"/>
        <w:rPr>
          <w:noProof/>
          <w:lang w:val="en-US"/>
        </w:rPr>
      </w:pPr>
    </w:p>
    <w:p w14:paraId="500F664F" w14:textId="77777777" w:rsidR="00D02BC8" w:rsidRPr="00D31EBB" w:rsidRDefault="00D02BC8" w:rsidP="008B6CCB">
      <w:pPr>
        <w:pStyle w:val="EMEABodyText"/>
        <w:rPr>
          <w:highlight w:val="lightGray"/>
        </w:rPr>
      </w:pPr>
      <w:r>
        <w:rPr>
          <w:highlight w:val="lightGray"/>
        </w:rPr>
        <w:t xml:space="preserve">Bottle pack </w:t>
      </w:r>
    </w:p>
    <w:p w14:paraId="79D4D53D" w14:textId="77777777" w:rsidR="00D02BC8" w:rsidRPr="00D31EBB" w:rsidRDefault="00D02BC8" w:rsidP="008B6CCB">
      <w:pPr>
        <w:pStyle w:val="EMEABodyText"/>
      </w:pPr>
      <w:r>
        <w:rPr>
          <w:highlight w:val="lightGray"/>
        </w:rPr>
        <w:t>60 hard capsules:</w:t>
      </w:r>
      <w:r>
        <w:t xml:space="preserve"> EU/1/03/267/003</w:t>
      </w:r>
    </w:p>
    <w:p w14:paraId="75057E9E" w14:textId="77777777" w:rsidR="00D02BC8" w:rsidRPr="00D31EBB" w:rsidRDefault="00D02BC8" w:rsidP="008B6CCB">
      <w:pPr>
        <w:pStyle w:val="EMEABodyText"/>
        <w:rPr>
          <w:lang w:val="en-US"/>
        </w:rPr>
      </w:pPr>
    </w:p>
    <w:p w14:paraId="6ED75E2B" w14:textId="77777777" w:rsidR="00D02BC8" w:rsidRPr="00D31EBB" w:rsidRDefault="00D02BC8" w:rsidP="008B6CCB">
      <w:pPr>
        <w:pStyle w:val="EMEABodyText"/>
        <w:rPr>
          <w:highlight w:val="lightGray"/>
        </w:rPr>
      </w:pPr>
      <w:r>
        <w:rPr>
          <w:highlight w:val="lightGray"/>
        </w:rPr>
        <w:t>Blister pack :</w:t>
      </w:r>
    </w:p>
    <w:p w14:paraId="574491AE" w14:textId="77777777" w:rsidR="00D02BC8" w:rsidRPr="00D31EBB" w:rsidRDefault="00D02BC8" w:rsidP="008B6CCB">
      <w:pPr>
        <w:pStyle w:val="EMEABodyText"/>
      </w:pPr>
      <w:r>
        <w:rPr>
          <w:highlight w:val="lightGray"/>
        </w:rPr>
        <w:t>60 hard capsules:</w:t>
      </w:r>
      <w:r>
        <w:t xml:space="preserve"> EU/1/03/267/004</w:t>
      </w:r>
      <w:r>
        <w:br/>
      </w:r>
    </w:p>
    <w:p w14:paraId="7C959600" w14:textId="77777777" w:rsidR="00D02BC8" w:rsidRPr="00D31EBB" w:rsidRDefault="00D02BC8" w:rsidP="008B6CCB">
      <w:pPr>
        <w:pStyle w:val="EMEABodyText"/>
        <w:rPr>
          <w:lang w:val="en-US"/>
        </w:rPr>
      </w:pPr>
    </w:p>
    <w:p w14:paraId="11A87D62" w14:textId="77777777" w:rsidR="00D02BC8" w:rsidRPr="00D31EBB" w:rsidRDefault="00D02BC8" w:rsidP="008B6CCB">
      <w:pPr>
        <w:pStyle w:val="EMEATitlePAC"/>
        <w:rPr>
          <w:noProof/>
        </w:rPr>
      </w:pPr>
      <w:r>
        <w:t>13.</w:t>
      </w:r>
      <w:r>
        <w:tab/>
        <w:t>BATCH NUMBER</w:t>
      </w:r>
    </w:p>
    <w:p w14:paraId="07DEC3FD" w14:textId="77777777" w:rsidR="00D02BC8" w:rsidRPr="00D31EBB" w:rsidRDefault="00D02BC8" w:rsidP="008B6CCB">
      <w:pPr>
        <w:pStyle w:val="EMEABodyText"/>
        <w:rPr>
          <w:noProof/>
          <w:lang w:val="en-US"/>
        </w:rPr>
      </w:pPr>
    </w:p>
    <w:p w14:paraId="08117AE9" w14:textId="77777777" w:rsidR="00D02BC8" w:rsidRPr="00D31EBB" w:rsidRDefault="00D02BC8" w:rsidP="008B6CCB">
      <w:pPr>
        <w:pStyle w:val="EMEABodyText"/>
      </w:pPr>
      <w:r>
        <w:t>Lot</w:t>
      </w:r>
    </w:p>
    <w:p w14:paraId="21A4E063" w14:textId="77777777" w:rsidR="00D02BC8" w:rsidRPr="00D31EBB" w:rsidRDefault="00D02BC8" w:rsidP="008B6CCB">
      <w:pPr>
        <w:pStyle w:val="EMEABodyText"/>
        <w:rPr>
          <w:noProof/>
          <w:lang w:val="en-US"/>
        </w:rPr>
      </w:pPr>
    </w:p>
    <w:p w14:paraId="4D410217" w14:textId="77777777" w:rsidR="00D02BC8" w:rsidRPr="00D31EBB" w:rsidRDefault="00D02BC8" w:rsidP="008B6CCB">
      <w:pPr>
        <w:pStyle w:val="EMEABodyText"/>
        <w:rPr>
          <w:noProof/>
          <w:lang w:val="en-US"/>
        </w:rPr>
      </w:pPr>
    </w:p>
    <w:p w14:paraId="51FA1B2C" w14:textId="77777777" w:rsidR="00D02BC8" w:rsidRPr="00D31EBB" w:rsidRDefault="00D02BC8" w:rsidP="008B6CCB">
      <w:pPr>
        <w:pStyle w:val="EMEATitlePAC"/>
        <w:rPr>
          <w:noProof/>
        </w:rPr>
      </w:pPr>
      <w:r>
        <w:t>14.</w:t>
      </w:r>
      <w:r>
        <w:tab/>
        <w:t>GENERAL CLASSIFICATION FOR SUPPLY</w:t>
      </w:r>
    </w:p>
    <w:p w14:paraId="02F159A1" w14:textId="77777777" w:rsidR="00D02BC8" w:rsidRPr="00D31EBB" w:rsidRDefault="00D02BC8" w:rsidP="008B6CCB">
      <w:pPr>
        <w:pStyle w:val="EMEABodyText"/>
        <w:rPr>
          <w:noProof/>
          <w:lang w:val="en-US"/>
        </w:rPr>
      </w:pPr>
    </w:p>
    <w:p w14:paraId="00082586" w14:textId="77777777" w:rsidR="00D02BC8" w:rsidRPr="00D31EBB" w:rsidRDefault="00D02BC8" w:rsidP="008B6CCB">
      <w:pPr>
        <w:pStyle w:val="EMEABodyText"/>
      </w:pPr>
      <w:r>
        <w:t>Medicinal product subject to medical prescription.</w:t>
      </w:r>
    </w:p>
    <w:p w14:paraId="5394235A" w14:textId="77777777" w:rsidR="00D02BC8" w:rsidRPr="00D31EBB" w:rsidRDefault="00D02BC8" w:rsidP="008B6CCB">
      <w:pPr>
        <w:pStyle w:val="EMEABodyText"/>
        <w:rPr>
          <w:noProof/>
          <w:lang w:val="en-US"/>
        </w:rPr>
      </w:pPr>
    </w:p>
    <w:p w14:paraId="751D21D5" w14:textId="77777777" w:rsidR="00D02BC8" w:rsidRPr="00D31EBB" w:rsidRDefault="00D02BC8" w:rsidP="008B6CCB">
      <w:pPr>
        <w:pStyle w:val="EMEABodyText"/>
        <w:rPr>
          <w:noProof/>
          <w:lang w:val="en-US"/>
        </w:rPr>
      </w:pPr>
    </w:p>
    <w:p w14:paraId="79A7D818" w14:textId="77777777" w:rsidR="00D02BC8" w:rsidRPr="00D31EBB" w:rsidRDefault="00D02BC8" w:rsidP="008B6CCB">
      <w:pPr>
        <w:pStyle w:val="EMEATitlePAC"/>
        <w:rPr>
          <w:noProof/>
        </w:rPr>
      </w:pPr>
      <w:r>
        <w:t>15.</w:t>
      </w:r>
      <w:r>
        <w:tab/>
        <w:t>INSTRUCTIONS ON USE</w:t>
      </w:r>
    </w:p>
    <w:p w14:paraId="371A0A54" w14:textId="77777777" w:rsidR="00D02BC8" w:rsidRPr="00D31EBB" w:rsidRDefault="00D02BC8" w:rsidP="008B6CCB">
      <w:pPr>
        <w:pStyle w:val="EMEABodyText"/>
        <w:rPr>
          <w:noProof/>
          <w:lang w:val="en-US"/>
        </w:rPr>
      </w:pPr>
    </w:p>
    <w:p w14:paraId="7D0B0ADC" w14:textId="77777777" w:rsidR="00D02BC8" w:rsidRPr="00D31EBB" w:rsidRDefault="00D02BC8" w:rsidP="008B6CCB">
      <w:pPr>
        <w:pStyle w:val="EMEABodyText"/>
        <w:rPr>
          <w:noProof/>
          <w:lang w:val="en-US"/>
        </w:rPr>
      </w:pPr>
    </w:p>
    <w:p w14:paraId="2BAC8BAA" w14:textId="77777777" w:rsidR="00D02BC8" w:rsidRPr="00D31EBB" w:rsidRDefault="00D02BC8" w:rsidP="008B6CCB">
      <w:pPr>
        <w:pStyle w:val="EMEATitlePAC"/>
        <w:rPr>
          <w:noProof/>
        </w:rPr>
      </w:pPr>
      <w:r>
        <w:t>16.</w:t>
      </w:r>
      <w:r>
        <w:tab/>
        <w:t>INFORMATION IN BRAILLE</w:t>
      </w:r>
    </w:p>
    <w:p w14:paraId="1576C869" w14:textId="77777777" w:rsidR="00D02BC8" w:rsidRPr="00D31EBB" w:rsidRDefault="00D02BC8" w:rsidP="008B6CCB">
      <w:pPr>
        <w:pStyle w:val="EMEABodyText"/>
        <w:rPr>
          <w:noProof/>
          <w:lang w:val="en-US"/>
        </w:rPr>
      </w:pPr>
    </w:p>
    <w:p w14:paraId="08F31AD9" w14:textId="77777777" w:rsidR="00D02BC8" w:rsidRPr="00D31EBB" w:rsidRDefault="00D02BC8" w:rsidP="008B6CCB">
      <w:pPr>
        <w:pStyle w:val="EMEABodyText"/>
      </w:pPr>
      <w:r>
        <w:rPr>
          <w:highlight w:val="lightGray"/>
        </w:rPr>
        <w:t>Outer carton:</w:t>
      </w:r>
      <w:r>
        <w:t xml:space="preserve"> REYATAZ 150 mg</w:t>
      </w:r>
    </w:p>
    <w:p w14:paraId="71599ADF" w14:textId="77777777" w:rsidR="00B5335E" w:rsidRPr="00D31EBB" w:rsidRDefault="00B5335E" w:rsidP="00B5335E">
      <w:pPr>
        <w:pStyle w:val="EMEABodyText"/>
        <w:rPr>
          <w:lang w:val="en-US"/>
        </w:rPr>
      </w:pPr>
    </w:p>
    <w:p w14:paraId="15974504" w14:textId="77777777" w:rsidR="00B5335E" w:rsidRPr="00D31EBB" w:rsidRDefault="00B5335E" w:rsidP="00B5335E">
      <w:pPr>
        <w:rPr>
          <w:noProof/>
          <w:szCs w:val="22"/>
          <w:shd w:val="clear" w:color="auto" w:fill="CCCCCC"/>
          <w:lang w:val="en-US"/>
        </w:rPr>
      </w:pPr>
    </w:p>
    <w:p w14:paraId="673F626C"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17.</w:t>
      </w:r>
      <w:r>
        <w:rPr>
          <w:b/>
        </w:rPr>
        <w:tab/>
        <w:t>UNIQUE IDENTIFIER – 2D BARCODE</w:t>
      </w:r>
    </w:p>
    <w:p w14:paraId="05AFBD61" w14:textId="77777777" w:rsidR="00B5335E" w:rsidRPr="00D31EBB" w:rsidRDefault="00B5335E" w:rsidP="00B5335E">
      <w:pPr>
        <w:rPr>
          <w:noProof/>
          <w:lang w:val="en-US"/>
        </w:rPr>
      </w:pPr>
    </w:p>
    <w:p w14:paraId="4200D42E" w14:textId="77777777" w:rsidR="00B5335E" w:rsidRPr="00D31EBB" w:rsidRDefault="00B5335E" w:rsidP="00B5335E">
      <w:pPr>
        <w:rPr>
          <w:noProof/>
          <w:szCs w:val="22"/>
          <w:shd w:val="clear" w:color="auto" w:fill="CCCCCC"/>
        </w:rPr>
      </w:pPr>
      <w:r>
        <w:rPr>
          <w:highlight w:val="lightGray"/>
        </w:rPr>
        <w:t>2D barcode carrying the unique identifier included.</w:t>
      </w:r>
    </w:p>
    <w:p w14:paraId="34D8CD6A" w14:textId="77777777" w:rsidR="00B5335E" w:rsidRPr="00D31EBB" w:rsidRDefault="00B5335E" w:rsidP="00B5335E">
      <w:pPr>
        <w:rPr>
          <w:noProof/>
          <w:lang w:val="en-US"/>
        </w:rPr>
      </w:pPr>
    </w:p>
    <w:p w14:paraId="7C4D3A24" w14:textId="77777777" w:rsidR="00B5335E" w:rsidRPr="00D31EBB" w:rsidRDefault="00B5335E" w:rsidP="00B5335E">
      <w:pPr>
        <w:rPr>
          <w:noProof/>
          <w:lang w:val="en-US"/>
        </w:rPr>
      </w:pPr>
    </w:p>
    <w:p w14:paraId="39BC60BA"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18.</w:t>
      </w:r>
      <w:r>
        <w:rPr>
          <w:b/>
        </w:rPr>
        <w:tab/>
        <w:t>UNIQUE IDENTIFIER - HUMAN READABLE DATA</w:t>
      </w:r>
    </w:p>
    <w:p w14:paraId="0AD79DE9" w14:textId="77777777" w:rsidR="00B5335E" w:rsidRPr="00D31EBB" w:rsidRDefault="00B5335E" w:rsidP="00B5335E">
      <w:pPr>
        <w:rPr>
          <w:noProof/>
          <w:lang w:val="en-US"/>
        </w:rPr>
      </w:pPr>
    </w:p>
    <w:p w14:paraId="0CD19B0F" w14:textId="77777777" w:rsidR="00B5335E" w:rsidRPr="00D31EBB" w:rsidRDefault="00B5335E" w:rsidP="00B5335E">
      <w:pPr>
        <w:rPr>
          <w:color w:val="008000"/>
          <w:szCs w:val="22"/>
        </w:rPr>
      </w:pPr>
      <w:r>
        <w:t xml:space="preserve">PC: </w:t>
      </w:r>
    </w:p>
    <w:p w14:paraId="603656C1" w14:textId="77777777" w:rsidR="00B5335E" w:rsidRPr="00D31EBB" w:rsidRDefault="00B5335E" w:rsidP="00B5335E">
      <w:pPr>
        <w:rPr>
          <w:szCs w:val="22"/>
        </w:rPr>
      </w:pPr>
      <w:r>
        <w:t xml:space="preserve">SN: </w:t>
      </w:r>
    </w:p>
    <w:p w14:paraId="1FAB0ED2" w14:textId="77777777" w:rsidR="00B5335E" w:rsidRPr="00D31EBB" w:rsidRDefault="00B5335E" w:rsidP="00B5335E">
      <w:pPr>
        <w:rPr>
          <w:noProof/>
          <w:vanish/>
          <w:szCs w:val="22"/>
        </w:rPr>
      </w:pPr>
      <w:r>
        <w:t xml:space="preserve">&lt;NN&gt;: </w:t>
      </w:r>
    </w:p>
    <w:p w14:paraId="00644690" w14:textId="77777777" w:rsidR="00B5335E" w:rsidRPr="00D31EBB" w:rsidRDefault="00B5335E" w:rsidP="008B6CCB">
      <w:pPr>
        <w:pStyle w:val="EMEABodyText"/>
        <w:rPr>
          <w:lang w:val="en-US"/>
        </w:rPr>
      </w:pPr>
    </w:p>
    <w:p w14:paraId="21F3C59A" w14:textId="77777777" w:rsidR="00B5335E" w:rsidRPr="00D31EBB" w:rsidRDefault="00B5335E" w:rsidP="008B6CCB">
      <w:pPr>
        <w:pStyle w:val="EMEABodyText"/>
        <w:rPr>
          <w:lang w:val="en-US"/>
        </w:rPr>
      </w:pPr>
    </w:p>
    <w:p w14:paraId="1FF05CC5" w14:textId="77777777" w:rsidR="00D02BC8" w:rsidRPr="00D31EBB" w:rsidRDefault="00D02BC8" w:rsidP="008B6CCB">
      <w:pPr>
        <w:pStyle w:val="EMEATitlePAC"/>
        <w:rPr>
          <w:noProof/>
        </w:rPr>
      </w:pPr>
      <w:r>
        <w:br w:type="page"/>
        <w:t>MINIMUM PARTICULARS TO APPEAR ON BLISTERS OR STRIPS</w:t>
      </w:r>
    </w:p>
    <w:p w14:paraId="6323BFCA" w14:textId="77777777" w:rsidR="00D02BC8" w:rsidRPr="00D31EBB" w:rsidRDefault="00D02BC8" w:rsidP="008B6CCB">
      <w:pPr>
        <w:pStyle w:val="EMEABodyText"/>
        <w:rPr>
          <w:noProof/>
          <w:lang w:val="en-US"/>
        </w:rPr>
      </w:pPr>
    </w:p>
    <w:p w14:paraId="6D819A7F" w14:textId="77777777" w:rsidR="00D02BC8" w:rsidRPr="00D31EBB" w:rsidRDefault="00D02BC8" w:rsidP="008B6CCB">
      <w:pPr>
        <w:pStyle w:val="EMEABodyText"/>
        <w:rPr>
          <w:noProof/>
          <w:lang w:val="en-US"/>
        </w:rPr>
      </w:pPr>
    </w:p>
    <w:p w14:paraId="2010EC7B" w14:textId="77777777" w:rsidR="00D02BC8" w:rsidRPr="00D31EBB" w:rsidRDefault="00D02BC8" w:rsidP="008B6CCB">
      <w:pPr>
        <w:pStyle w:val="EMEATitlePAC"/>
        <w:rPr>
          <w:noProof/>
        </w:rPr>
      </w:pPr>
      <w:r>
        <w:t>1.</w:t>
      </w:r>
      <w:r>
        <w:tab/>
        <w:t>NAME OF THE MEDICINAL PRODUCT</w:t>
      </w:r>
    </w:p>
    <w:p w14:paraId="444CE55A" w14:textId="77777777" w:rsidR="00D02BC8" w:rsidRPr="00D31EBB" w:rsidRDefault="00D02BC8" w:rsidP="008B6CCB">
      <w:pPr>
        <w:pStyle w:val="EMEABodyText"/>
        <w:rPr>
          <w:noProof/>
          <w:lang w:val="en-US"/>
        </w:rPr>
      </w:pPr>
    </w:p>
    <w:p w14:paraId="55079026" w14:textId="77777777" w:rsidR="00D02BC8" w:rsidRPr="00D31EBB" w:rsidRDefault="00D02BC8" w:rsidP="008B6CCB">
      <w:pPr>
        <w:pStyle w:val="EMEABodyText"/>
      </w:pPr>
      <w:r>
        <w:t>REYATAZ 150 mg hard capsules</w:t>
      </w:r>
    </w:p>
    <w:p w14:paraId="1E31F592" w14:textId="77777777" w:rsidR="00D02BC8" w:rsidRPr="00D31EBB" w:rsidRDefault="00D02BC8" w:rsidP="008B6CCB">
      <w:pPr>
        <w:pStyle w:val="EMEABodyText"/>
      </w:pPr>
      <w:r>
        <w:t>atazanavir</w:t>
      </w:r>
    </w:p>
    <w:p w14:paraId="7DA6ADDD" w14:textId="77777777" w:rsidR="00D02BC8" w:rsidRPr="00D31EBB" w:rsidRDefault="00D02BC8" w:rsidP="008B6CCB">
      <w:pPr>
        <w:pStyle w:val="EMEABodyText"/>
        <w:rPr>
          <w:b/>
          <w:noProof/>
          <w:lang w:val="en-US"/>
        </w:rPr>
      </w:pPr>
    </w:p>
    <w:p w14:paraId="7E68F097" w14:textId="77777777" w:rsidR="00D02BC8" w:rsidRPr="00D31EBB" w:rsidRDefault="00D02BC8" w:rsidP="008B6CCB">
      <w:pPr>
        <w:pStyle w:val="EMEABodyText"/>
        <w:rPr>
          <w:b/>
          <w:noProof/>
          <w:lang w:val="en-US"/>
        </w:rPr>
      </w:pPr>
    </w:p>
    <w:p w14:paraId="1AE2D40F" w14:textId="77777777" w:rsidR="00D02BC8" w:rsidRPr="00D31EBB" w:rsidRDefault="00D02BC8" w:rsidP="008B6CCB">
      <w:pPr>
        <w:pStyle w:val="EMEATitlePAC"/>
        <w:rPr>
          <w:noProof/>
        </w:rPr>
      </w:pPr>
      <w:r>
        <w:t>2.</w:t>
      </w:r>
      <w:r>
        <w:tab/>
        <w:t>NAME OF THE MARKETING AUTHORISATION HOLDER</w:t>
      </w:r>
    </w:p>
    <w:p w14:paraId="0AEDF907" w14:textId="77777777" w:rsidR="00D02BC8" w:rsidRPr="00D31EBB" w:rsidRDefault="00D02BC8" w:rsidP="008B6CCB">
      <w:pPr>
        <w:pStyle w:val="EMEABodyText"/>
        <w:rPr>
          <w:noProof/>
          <w:lang w:val="en-US"/>
        </w:rPr>
      </w:pPr>
    </w:p>
    <w:p w14:paraId="66773025" w14:textId="77777777" w:rsidR="00D02BC8" w:rsidRPr="00D31EBB" w:rsidRDefault="00D02BC8" w:rsidP="008B6CCB">
      <w:pPr>
        <w:pStyle w:val="EMEABodyText"/>
      </w:pPr>
      <w:r>
        <w:t>BRISTOL-MYERS SQUIBB PHARMA EEIG</w:t>
      </w:r>
      <w:r>
        <w:br/>
      </w:r>
    </w:p>
    <w:p w14:paraId="057EFAE6" w14:textId="77777777" w:rsidR="00D02BC8" w:rsidRPr="00D31EBB" w:rsidRDefault="00D02BC8" w:rsidP="008B6CCB">
      <w:pPr>
        <w:pStyle w:val="EMEABodyText"/>
        <w:rPr>
          <w:noProof/>
          <w:lang w:val="en-US"/>
        </w:rPr>
      </w:pPr>
    </w:p>
    <w:p w14:paraId="736BFBE7" w14:textId="77777777" w:rsidR="00D02BC8" w:rsidRPr="00D31EBB" w:rsidRDefault="00D02BC8" w:rsidP="008B6CCB">
      <w:pPr>
        <w:pStyle w:val="EMEATitlePAC"/>
        <w:rPr>
          <w:noProof/>
        </w:rPr>
      </w:pPr>
      <w:r>
        <w:t>3.</w:t>
      </w:r>
      <w:r>
        <w:tab/>
        <w:t>EXPIRY DATE</w:t>
      </w:r>
    </w:p>
    <w:p w14:paraId="10ABCF85" w14:textId="77777777" w:rsidR="00D02BC8" w:rsidRPr="00D31EBB" w:rsidRDefault="00D02BC8" w:rsidP="008B6CCB">
      <w:pPr>
        <w:pStyle w:val="EMEABodyText"/>
        <w:rPr>
          <w:noProof/>
          <w:lang w:val="en-US"/>
        </w:rPr>
      </w:pPr>
    </w:p>
    <w:p w14:paraId="2A44EBDF" w14:textId="77777777" w:rsidR="00D02BC8" w:rsidRPr="00D31EBB" w:rsidRDefault="00D02BC8" w:rsidP="008B6CCB">
      <w:pPr>
        <w:pStyle w:val="EMEABodyText"/>
      </w:pPr>
      <w:r>
        <w:t>EXP {MM/YYYY}</w:t>
      </w:r>
    </w:p>
    <w:p w14:paraId="31199996" w14:textId="77777777" w:rsidR="00D02BC8" w:rsidRPr="00D31EBB" w:rsidRDefault="00D02BC8" w:rsidP="008B6CCB">
      <w:pPr>
        <w:pStyle w:val="EMEABodyText"/>
        <w:rPr>
          <w:noProof/>
          <w:lang w:val="en-US"/>
        </w:rPr>
      </w:pPr>
    </w:p>
    <w:p w14:paraId="3E25E596" w14:textId="77777777" w:rsidR="00D02BC8" w:rsidRPr="00D31EBB" w:rsidRDefault="00D02BC8" w:rsidP="008B6CCB">
      <w:pPr>
        <w:pStyle w:val="EMEABodyText"/>
        <w:rPr>
          <w:noProof/>
          <w:lang w:val="en-US"/>
        </w:rPr>
      </w:pPr>
    </w:p>
    <w:p w14:paraId="4EE57A04" w14:textId="77777777" w:rsidR="00D02BC8" w:rsidRPr="00D31EBB" w:rsidRDefault="00D02BC8" w:rsidP="008B6CCB">
      <w:pPr>
        <w:pStyle w:val="EMEATitlePAC"/>
        <w:rPr>
          <w:noProof/>
        </w:rPr>
      </w:pPr>
      <w:r>
        <w:t>4.</w:t>
      </w:r>
      <w:r>
        <w:tab/>
        <w:t>BATCH NUMBER</w:t>
      </w:r>
    </w:p>
    <w:p w14:paraId="5486D314" w14:textId="77777777" w:rsidR="00D02BC8" w:rsidRPr="00D31EBB" w:rsidRDefault="00D02BC8" w:rsidP="008B6CCB">
      <w:pPr>
        <w:pStyle w:val="EMEABodyText"/>
        <w:rPr>
          <w:noProof/>
          <w:lang w:val="en-US"/>
        </w:rPr>
      </w:pPr>
    </w:p>
    <w:p w14:paraId="535C881F" w14:textId="77777777" w:rsidR="00D02BC8" w:rsidRPr="00D31EBB" w:rsidRDefault="00D02BC8" w:rsidP="008B6CCB">
      <w:pPr>
        <w:pStyle w:val="EMEABodyText"/>
      </w:pPr>
      <w:r>
        <w:t>Lot</w:t>
      </w:r>
    </w:p>
    <w:p w14:paraId="1FDEEFA5" w14:textId="77777777" w:rsidR="00D02BC8" w:rsidRPr="00D31EBB" w:rsidRDefault="00D02BC8" w:rsidP="008B6CCB">
      <w:pPr>
        <w:pStyle w:val="EMEABodyText"/>
        <w:rPr>
          <w:noProof/>
          <w:lang w:val="en-US"/>
        </w:rPr>
      </w:pPr>
    </w:p>
    <w:p w14:paraId="469C5360" w14:textId="77777777" w:rsidR="00D02BC8" w:rsidRPr="00D31EBB" w:rsidRDefault="00D02BC8" w:rsidP="008B6CCB">
      <w:pPr>
        <w:pStyle w:val="EMEABodyText"/>
        <w:rPr>
          <w:noProof/>
          <w:lang w:val="en-US"/>
        </w:rPr>
      </w:pPr>
    </w:p>
    <w:p w14:paraId="763759D2" w14:textId="77777777" w:rsidR="00D02BC8" w:rsidRPr="00D31EBB" w:rsidRDefault="00D02BC8" w:rsidP="008B6CCB">
      <w:pPr>
        <w:pStyle w:val="EMEATitlePAC"/>
        <w:rPr>
          <w:noProof/>
        </w:rPr>
      </w:pPr>
      <w:r>
        <w:t>5.</w:t>
      </w:r>
      <w:r>
        <w:tab/>
        <w:t>OTHER</w:t>
      </w:r>
    </w:p>
    <w:p w14:paraId="447DC639" w14:textId="77777777" w:rsidR="00D02BC8" w:rsidRPr="00D31EBB" w:rsidRDefault="00D02BC8" w:rsidP="008B6CCB">
      <w:pPr>
        <w:pStyle w:val="EMEABodyText"/>
        <w:rPr>
          <w:noProof/>
          <w:lang w:val="en-US"/>
        </w:rPr>
      </w:pPr>
    </w:p>
    <w:p w14:paraId="282A5924" w14:textId="77777777" w:rsidR="00D02BC8" w:rsidRPr="00D31EBB" w:rsidRDefault="00D02BC8" w:rsidP="008B6CCB">
      <w:pPr>
        <w:pStyle w:val="EMEABodyText"/>
        <w:rPr>
          <w:iCs/>
          <w:noProof/>
          <w:lang w:val="en-US"/>
        </w:rPr>
      </w:pPr>
    </w:p>
    <w:p w14:paraId="7BAA8B26" w14:textId="77777777" w:rsidR="00D02BC8" w:rsidRPr="00D31EBB" w:rsidRDefault="00D02BC8" w:rsidP="008B6CCB">
      <w:pPr>
        <w:pStyle w:val="EMEATitlePAC"/>
      </w:pPr>
      <w:r>
        <w:br w:type="page"/>
        <w:t>PARTICULARS TO APPEAR ON THE OUTER PACKAGING AND THE IMMEDIATE PACKAGING</w:t>
      </w:r>
    </w:p>
    <w:p w14:paraId="58A91F2C" w14:textId="77777777" w:rsidR="00D02BC8" w:rsidRPr="00D31EBB" w:rsidRDefault="00D02BC8" w:rsidP="008B6CCB">
      <w:pPr>
        <w:pStyle w:val="EMEATitlePAC"/>
        <w:rPr>
          <w:lang w:val="en-US"/>
        </w:rPr>
      </w:pPr>
    </w:p>
    <w:p w14:paraId="6B1DCA40" w14:textId="77777777" w:rsidR="00D02BC8" w:rsidRPr="00D31EBB" w:rsidRDefault="00D02BC8" w:rsidP="008B6CCB">
      <w:pPr>
        <w:pStyle w:val="EMEATitlePAC"/>
      </w:pPr>
      <w:r>
        <w:rPr>
          <w:smallCaps/>
        </w:rPr>
        <w:t>OUTER CARTON TEXT (BOTTLE AND BLISTER PRESENTATIONS) AND BOTTLE LABEL TEXT</w:t>
      </w:r>
    </w:p>
    <w:p w14:paraId="70E4EF56" w14:textId="77777777" w:rsidR="00D02BC8" w:rsidRPr="00D31EBB" w:rsidRDefault="00D02BC8" w:rsidP="008B6CCB">
      <w:pPr>
        <w:pStyle w:val="EMEABodyText"/>
        <w:rPr>
          <w:noProof/>
          <w:lang w:val="en-US"/>
        </w:rPr>
      </w:pPr>
    </w:p>
    <w:p w14:paraId="19BE9A46" w14:textId="77777777" w:rsidR="00D02BC8" w:rsidRPr="00D31EBB" w:rsidRDefault="00D02BC8" w:rsidP="008B6CCB">
      <w:pPr>
        <w:pStyle w:val="EMEABodyText"/>
        <w:rPr>
          <w:noProof/>
          <w:lang w:val="en-US"/>
        </w:rPr>
      </w:pPr>
    </w:p>
    <w:p w14:paraId="403135CA" w14:textId="77777777" w:rsidR="00D02BC8" w:rsidRPr="00D31EBB" w:rsidRDefault="00D02BC8" w:rsidP="008B6CCB">
      <w:pPr>
        <w:pStyle w:val="EMEATitlePAC"/>
        <w:rPr>
          <w:noProof/>
        </w:rPr>
      </w:pPr>
      <w:r>
        <w:t>1.</w:t>
      </w:r>
      <w:r>
        <w:tab/>
        <w:t>NAME OF THE MEDICINAL PRODUCT</w:t>
      </w:r>
    </w:p>
    <w:p w14:paraId="3AE94F5D" w14:textId="77777777" w:rsidR="00D02BC8" w:rsidRPr="00D31EBB" w:rsidRDefault="00D02BC8" w:rsidP="008B6CCB">
      <w:pPr>
        <w:pStyle w:val="EMEABodyText"/>
        <w:rPr>
          <w:noProof/>
          <w:lang w:val="en-US"/>
        </w:rPr>
      </w:pPr>
    </w:p>
    <w:p w14:paraId="2396797B" w14:textId="77777777" w:rsidR="00D02BC8" w:rsidRPr="00D31EBB" w:rsidRDefault="00D02BC8" w:rsidP="008B6CCB">
      <w:pPr>
        <w:pStyle w:val="EMEABodyText"/>
      </w:pPr>
      <w:r>
        <w:t>REYATAZ 200 mg hard capsules</w:t>
      </w:r>
    </w:p>
    <w:p w14:paraId="5EBF1D3A" w14:textId="77777777" w:rsidR="00D02BC8" w:rsidRPr="00D31EBB" w:rsidRDefault="00D02BC8" w:rsidP="008B6CCB">
      <w:pPr>
        <w:pStyle w:val="EMEABodyText"/>
        <w:rPr>
          <w:noProof/>
        </w:rPr>
      </w:pPr>
      <w:r>
        <w:t>atazanavir</w:t>
      </w:r>
    </w:p>
    <w:p w14:paraId="64D12717" w14:textId="77777777" w:rsidR="00D02BC8" w:rsidRPr="00D31EBB" w:rsidRDefault="00D02BC8" w:rsidP="008B6CCB">
      <w:pPr>
        <w:pStyle w:val="EMEABodyText"/>
        <w:rPr>
          <w:noProof/>
          <w:lang w:val="en-US"/>
        </w:rPr>
      </w:pPr>
    </w:p>
    <w:p w14:paraId="46D58235" w14:textId="77777777" w:rsidR="00D02BC8" w:rsidRPr="00D31EBB" w:rsidRDefault="00D02BC8" w:rsidP="008B6CCB">
      <w:pPr>
        <w:pStyle w:val="EMEABodyText"/>
        <w:rPr>
          <w:noProof/>
          <w:lang w:val="en-US"/>
        </w:rPr>
      </w:pPr>
    </w:p>
    <w:p w14:paraId="07F117D4" w14:textId="77777777" w:rsidR="00D02BC8" w:rsidRPr="00D31EBB" w:rsidRDefault="00D02BC8" w:rsidP="008B6CCB">
      <w:pPr>
        <w:pStyle w:val="EMEATitlePAC"/>
        <w:rPr>
          <w:noProof/>
        </w:rPr>
      </w:pPr>
      <w:r>
        <w:t>2.</w:t>
      </w:r>
      <w:r>
        <w:tab/>
        <w:t>STATEMENT OF ACTIVE SUBSTANCE(S)</w:t>
      </w:r>
    </w:p>
    <w:p w14:paraId="472BDB0F" w14:textId="77777777" w:rsidR="00D02BC8" w:rsidRPr="00D31EBB" w:rsidRDefault="00D02BC8" w:rsidP="008B6CCB">
      <w:pPr>
        <w:pStyle w:val="EMEABodyText"/>
        <w:rPr>
          <w:noProof/>
          <w:lang w:val="en-US"/>
        </w:rPr>
      </w:pPr>
    </w:p>
    <w:p w14:paraId="787FAD61" w14:textId="77777777" w:rsidR="00D02BC8" w:rsidRPr="00D31EBB" w:rsidRDefault="00D02BC8" w:rsidP="008B6CCB">
      <w:pPr>
        <w:pStyle w:val="EMEABodyText"/>
      </w:pPr>
      <w:r>
        <w:t>Each capsule contains 200 mg of atazanavir (as sulphate).</w:t>
      </w:r>
    </w:p>
    <w:p w14:paraId="552B67C2" w14:textId="77777777" w:rsidR="00D02BC8" w:rsidRPr="00D31EBB" w:rsidRDefault="00D02BC8" w:rsidP="008B6CCB">
      <w:pPr>
        <w:pStyle w:val="EMEABodyText"/>
        <w:rPr>
          <w:noProof/>
          <w:lang w:val="en-US"/>
        </w:rPr>
      </w:pPr>
    </w:p>
    <w:p w14:paraId="7D3871B0" w14:textId="77777777" w:rsidR="00D02BC8" w:rsidRPr="00D31EBB" w:rsidRDefault="00D02BC8" w:rsidP="008B6CCB">
      <w:pPr>
        <w:pStyle w:val="EMEABodyText"/>
        <w:rPr>
          <w:noProof/>
          <w:lang w:val="en-US"/>
        </w:rPr>
      </w:pPr>
    </w:p>
    <w:p w14:paraId="796E6292" w14:textId="77777777" w:rsidR="00D02BC8" w:rsidRPr="00D31EBB" w:rsidRDefault="00D02BC8" w:rsidP="008B6CCB">
      <w:pPr>
        <w:pStyle w:val="EMEATitlePAC"/>
        <w:rPr>
          <w:noProof/>
        </w:rPr>
      </w:pPr>
      <w:r>
        <w:t>3.</w:t>
      </w:r>
      <w:r>
        <w:tab/>
        <w:t>LIST OF EXCIPIENTS</w:t>
      </w:r>
    </w:p>
    <w:p w14:paraId="1AC88223" w14:textId="77777777" w:rsidR="00D02BC8" w:rsidRPr="00D31EBB" w:rsidRDefault="00D02BC8" w:rsidP="008B6CCB">
      <w:pPr>
        <w:pStyle w:val="EMEABodyText"/>
        <w:rPr>
          <w:noProof/>
          <w:lang w:val="en-US"/>
        </w:rPr>
      </w:pPr>
    </w:p>
    <w:p w14:paraId="19353F60" w14:textId="77777777" w:rsidR="00D02BC8" w:rsidRPr="00D31EBB" w:rsidRDefault="00D02BC8" w:rsidP="008B6CCB">
      <w:pPr>
        <w:pStyle w:val="EMEABodyText"/>
      </w:pPr>
      <w:r>
        <w:t>Excipients: contains lactose (see leaflet for further information).</w:t>
      </w:r>
    </w:p>
    <w:p w14:paraId="2ACD045E" w14:textId="77777777" w:rsidR="00D02BC8" w:rsidRPr="00D31EBB" w:rsidRDefault="00D02BC8" w:rsidP="008B6CCB">
      <w:pPr>
        <w:pStyle w:val="EMEABodyText"/>
        <w:rPr>
          <w:noProof/>
          <w:lang w:val="en-US"/>
        </w:rPr>
      </w:pPr>
    </w:p>
    <w:p w14:paraId="162D505C" w14:textId="77777777" w:rsidR="00D02BC8" w:rsidRPr="00D31EBB" w:rsidRDefault="00D02BC8" w:rsidP="008B6CCB">
      <w:pPr>
        <w:pStyle w:val="EMEABodyText"/>
        <w:rPr>
          <w:noProof/>
          <w:lang w:val="en-US"/>
        </w:rPr>
      </w:pPr>
    </w:p>
    <w:p w14:paraId="63709477" w14:textId="77777777" w:rsidR="00D02BC8" w:rsidRPr="00D31EBB" w:rsidRDefault="00D02BC8" w:rsidP="008B6CCB">
      <w:pPr>
        <w:pStyle w:val="EMEATitlePAC"/>
        <w:rPr>
          <w:noProof/>
        </w:rPr>
      </w:pPr>
      <w:r>
        <w:t>4.</w:t>
      </w:r>
      <w:r>
        <w:tab/>
        <w:t>PHARMACEUTICAL FORM AND CONTENTS</w:t>
      </w:r>
    </w:p>
    <w:p w14:paraId="70FC7829" w14:textId="77777777" w:rsidR="00D02BC8" w:rsidRPr="00D31EBB" w:rsidRDefault="00D02BC8" w:rsidP="008B6CCB">
      <w:pPr>
        <w:pStyle w:val="EMEABodyText"/>
        <w:rPr>
          <w:noProof/>
          <w:lang w:val="en-US"/>
        </w:rPr>
      </w:pPr>
    </w:p>
    <w:p w14:paraId="209AC26B" w14:textId="77777777" w:rsidR="00325328" w:rsidRPr="00D31EBB" w:rsidRDefault="00325328" w:rsidP="00325328">
      <w:pPr>
        <w:pStyle w:val="EMEABodyText"/>
      </w:pPr>
      <w:r>
        <w:rPr>
          <w:highlight w:val="lightGray"/>
        </w:rPr>
        <w:t>Carton Bottle pack (1 bottle):</w:t>
      </w:r>
      <w:r>
        <w:t xml:space="preserve"> 60 hard capsules</w:t>
      </w:r>
    </w:p>
    <w:p w14:paraId="6C2150B8" w14:textId="77777777" w:rsidR="00325328" w:rsidRPr="00D31EBB" w:rsidRDefault="00325328" w:rsidP="00325328">
      <w:pPr>
        <w:pStyle w:val="EMEABodyText"/>
      </w:pPr>
      <w:r>
        <w:rPr>
          <w:highlight w:val="lightGray"/>
        </w:rPr>
        <w:t>Carton Bottle pack: (3 bottles):</w:t>
      </w:r>
      <w:r>
        <w:t xml:space="preserve"> 3 x 60 hard capsules (3 bottles of 60 hard capsules)</w:t>
      </w:r>
    </w:p>
    <w:p w14:paraId="5522987B" w14:textId="77777777" w:rsidR="00325328" w:rsidRPr="00D31EBB" w:rsidRDefault="00325328" w:rsidP="00325328">
      <w:pPr>
        <w:pStyle w:val="EMEABodyText"/>
      </w:pPr>
      <w:r>
        <w:rPr>
          <w:highlight w:val="lightGray"/>
        </w:rPr>
        <w:t>Label Bottle pack:</w:t>
      </w:r>
      <w:r>
        <w:t xml:space="preserve"> 60 hard capsules</w:t>
      </w:r>
    </w:p>
    <w:p w14:paraId="2B40876B" w14:textId="77777777" w:rsidR="00D02BC8" w:rsidRPr="00D31EBB" w:rsidRDefault="00D02BC8" w:rsidP="008B6CCB">
      <w:pPr>
        <w:pStyle w:val="EMEABodyText"/>
        <w:rPr>
          <w:lang w:val="en-US"/>
        </w:rPr>
      </w:pPr>
    </w:p>
    <w:p w14:paraId="6597DA74" w14:textId="77777777" w:rsidR="00D02BC8" w:rsidRPr="00D31EBB" w:rsidRDefault="00D02BC8" w:rsidP="008B6CCB">
      <w:pPr>
        <w:pStyle w:val="EMEABodyText"/>
      </w:pPr>
      <w:r>
        <w:rPr>
          <w:highlight w:val="lightGray"/>
        </w:rPr>
        <w:t>Blister pack:</w:t>
      </w:r>
      <w:r>
        <w:t xml:space="preserve"> 60 hard capsules</w:t>
      </w:r>
    </w:p>
    <w:p w14:paraId="0DA47207" w14:textId="77777777" w:rsidR="00D02BC8" w:rsidRPr="00D31EBB" w:rsidRDefault="00D02BC8" w:rsidP="008B6CCB">
      <w:pPr>
        <w:pStyle w:val="EMEABodyText"/>
        <w:rPr>
          <w:noProof/>
          <w:lang w:val="en-US"/>
        </w:rPr>
      </w:pPr>
    </w:p>
    <w:p w14:paraId="78B740DE" w14:textId="77777777" w:rsidR="00D02BC8" w:rsidRPr="00D31EBB" w:rsidRDefault="00D02BC8" w:rsidP="008B6CCB">
      <w:pPr>
        <w:pStyle w:val="EMEABodyText"/>
        <w:rPr>
          <w:noProof/>
          <w:lang w:val="en-US"/>
        </w:rPr>
      </w:pPr>
    </w:p>
    <w:p w14:paraId="29408C0C" w14:textId="77777777" w:rsidR="00D02BC8" w:rsidRPr="00D31EBB" w:rsidRDefault="00D02BC8" w:rsidP="008B6CCB">
      <w:pPr>
        <w:pStyle w:val="EMEATitlePAC"/>
        <w:rPr>
          <w:noProof/>
        </w:rPr>
      </w:pPr>
      <w:r>
        <w:t>5.</w:t>
      </w:r>
      <w:r>
        <w:tab/>
        <w:t>METHOD AND ROUTE(S) OF ADMINISTRATION</w:t>
      </w:r>
    </w:p>
    <w:p w14:paraId="2C496487" w14:textId="77777777" w:rsidR="00D02BC8" w:rsidRPr="00D31EBB" w:rsidRDefault="00D02BC8" w:rsidP="008B6CCB">
      <w:pPr>
        <w:pStyle w:val="EMEABodyText"/>
        <w:rPr>
          <w:noProof/>
          <w:lang w:val="en-US"/>
        </w:rPr>
      </w:pPr>
    </w:p>
    <w:p w14:paraId="16A2636A" w14:textId="77777777" w:rsidR="00D02BC8" w:rsidRPr="00D31EBB" w:rsidRDefault="00D02BC8" w:rsidP="008B6CCB">
      <w:pPr>
        <w:pStyle w:val="EMEABodyText"/>
      </w:pPr>
      <w:r>
        <w:t>Oral use.</w:t>
      </w:r>
    </w:p>
    <w:p w14:paraId="6ECCA136" w14:textId="77777777" w:rsidR="00D02BC8" w:rsidRPr="00D31EBB" w:rsidRDefault="00D02BC8" w:rsidP="008B6CCB">
      <w:pPr>
        <w:pStyle w:val="EMEABodyText"/>
      </w:pPr>
      <w:r>
        <w:t>Capsules should be swallowed whole. Read the package leaflet before use.</w:t>
      </w:r>
    </w:p>
    <w:p w14:paraId="3B518E4D" w14:textId="77777777" w:rsidR="00D02BC8" w:rsidRPr="00D31EBB" w:rsidRDefault="00D02BC8" w:rsidP="008B6CCB">
      <w:pPr>
        <w:pStyle w:val="EMEABodyText"/>
        <w:rPr>
          <w:noProof/>
          <w:lang w:val="en-US"/>
        </w:rPr>
      </w:pPr>
    </w:p>
    <w:p w14:paraId="42CCF936" w14:textId="77777777" w:rsidR="00D02BC8" w:rsidRPr="00D31EBB" w:rsidRDefault="00D02BC8" w:rsidP="008B6CCB">
      <w:pPr>
        <w:pStyle w:val="EMEABodyText"/>
        <w:rPr>
          <w:noProof/>
          <w:lang w:val="en-US"/>
        </w:rPr>
      </w:pPr>
    </w:p>
    <w:p w14:paraId="4C817345" w14:textId="77777777" w:rsidR="00D02BC8" w:rsidRPr="00D31EBB" w:rsidRDefault="00D02BC8" w:rsidP="008B6CCB">
      <w:pPr>
        <w:pStyle w:val="EMEATitlePAC"/>
        <w:rPr>
          <w:noProof/>
        </w:rPr>
      </w:pPr>
      <w:r>
        <w:t>6.</w:t>
      </w:r>
      <w:r>
        <w:tab/>
        <w:t>SPECIAL WARNING THAT THE MEDICINAL PRODUCT MUST BE STORED OUT OF THE SIGHT AND REACH OF CHILDREN</w:t>
      </w:r>
    </w:p>
    <w:p w14:paraId="1D2FF210" w14:textId="77777777" w:rsidR="00D02BC8" w:rsidRPr="00D31EBB" w:rsidRDefault="00D02BC8" w:rsidP="008B6CCB">
      <w:pPr>
        <w:pStyle w:val="EMEABodyText"/>
        <w:rPr>
          <w:noProof/>
          <w:lang w:val="en-US"/>
        </w:rPr>
      </w:pPr>
    </w:p>
    <w:p w14:paraId="53661B0A" w14:textId="77777777" w:rsidR="00D02BC8" w:rsidRPr="00D31EBB" w:rsidRDefault="00D02BC8" w:rsidP="008B6CCB">
      <w:pPr>
        <w:pStyle w:val="EMEABodyText"/>
        <w:rPr>
          <w:noProof/>
        </w:rPr>
      </w:pPr>
      <w:r>
        <w:t>Keep out of the sight and reach of children.</w:t>
      </w:r>
    </w:p>
    <w:p w14:paraId="0F283690" w14:textId="77777777" w:rsidR="00D02BC8" w:rsidRPr="00D31EBB" w:rsidRDefault="00D02BC8" w:rsidP="008B6CCB">
      <w:pPr>
        <w:pStyle w:val="EMEABodyText"/>
        <w:rPr>
          <w:noProof/>
          <w:lang w:val="en-US"/>
        </w:rPr>
      </w:pPr>
    </w:p>
    <w:p w14:paraId="14C1E352" w14:textId="77777777" w:rsidR="00D02BC8" w:rsidRPr="00D31EBB" w:rsidRDefault="00D02BC8" w:rsidP="008B6CCB">
      <w:pPr>
        <w:pStyle w:val="EMEABodyText"/>
        <w:rPr>
          <w:noProof/>
          <w:lang w:val="en-US"/>
        </w:rPr>
      </w:pPr>
    </w:p>
    <w:p w14:paraId="6D3A6C52" w14:textId="77777777" w:rsidR="00D02BC8" w:rsidRPr="00D31EBB" w:rsidRDefault="00D02BC8" w:rsidP="008B6CCB">
      <w:pPr>
        <w:pStyle w:val="EMEATitlePAC"/>
        <w:rPr>
          <w:noProof/>
        </w:rPr>
      </w:pPr>
      <w:r>
        <w:t>7.</w:t>
      </w:r>
      <w:r>
        <w:tab/>
        <w:t>OTHER SPECIAL WARNING(S), IF NECESSARY</w:t>
      </w:r>
    </w:p>
    <w:p w14:paraId="755A7415" w14:textId="77777777" w:rsidR="00D02BC8" w:rsidRPr="00D31EBB" w:rsidRDefault="00D02BC8" w:rsidP="008B6CCB">
      <w:pPr>
        <w:pStyle w:val="EMEABodyText"/>
        <w:rPr>
          <w:noProof/>
          <w:lang w:val="en-US"/>
        </w:rPr>
      </w:pPr>
    </w:p>
    <w:p w14:paraId="2A2431DB" w14:textId="77777777" w:rsidR="00D02BC8" w:rsidRPr="00D31EBB" w:rsidRDefault="00D02BC8" w:rsidP="008B6CCB">
      <w:pPr>
        <w:pStyle w:val="EMEABodyText"/>
        <w:rPr>
          <w:noProof/>
          <w:lang w:val="en-US"/>
        </w:rPr>
      </w:pPr>
    </w:p>
    <w:p w14:paraId="49996B82" w14:textId="77777777" w:rsidR="00D02BC8" w:rsidRPr="00D31EBB" w:rsidRDefault="00D02BC8" w:rsidP="008B6CCB">
      <w:pPr>
        <w:pStyle w:val="EMEATitlePAC"/>
        <w:rPr>
          <w:noProof/>
        </w:rPr>
      </w:pPr>
      <w:r>
        <w:t>8.</w:t>
      </w:r>
      <w:r>
        <w:tab/>
        <w:t>EXPIRY DATE</w:t>
      </w:r>
    </w:p>
    <w:p w14:paraId="1DBE48F9" w14:textId="77777777" w:rsidR="00D02BC8" w:rsidRPr="00D31EBB" w:rsidRDefault="00D02BC8" w:rsidP="008B6CCB">
      <w:pPr>
        <w:pStyle w:val="EMEABodyText"/>
        <w:rPr>
          <w:i/>
          <w:noProof/>
          <w:lang w:val="en-US"/>
        </w:rPr>
      </w:pPr>
    </w:p>
    <w:p w14:paraId="28023DC4" w14:textId="77777777" w:rsidR="00D02BC8" w:rsidRPr="00D31EBB" w:rsidRDefault="00D02BC8" w:rsidP="008B6CCB">
      <w:pPr>
        <w:pStyle w:val="EMEABodyText"/>
      </w:pPr>
      <w:r>
        <w:t>EXP {MM/YYYY}</w:t>
      </w:r>
    </w:p>
    <w:p w14:paraId="790862B7" w14:textId="77777777" w:rsidR="00D02BC8" w:rsidRPr="00D31EBB" w:rsidRDefault="00D02BC8" w:rsidP="008B6CCB">
      <w:pPr>
        <w:pStyle w:val="EMEABodyText"/>
        <w:rPr>
          <w:noProof/>
          <w:lang w:val="en-US"/>
        </w:rPr>
      </w:pPr>
    </w:p>
    <w:p w14:paraId="51BFF081" w14:textId="77777777" w:rsidR="00D02BC8" w:rsidRPr="00D31EBB" w:rsidRDefault="00D02BC8" w:rsidP="008B6CCB">
      <w:pPr>
        <w:pStyle w:val="EMEABodyText"/>
        <w:rPr>
          <w:noProof/>
          <w:lang w:val="en-US"/>
        </w:rPr>
      </w:pPr>
    </w:p>
    <w:p w14:paraId="4B7A5F9A" w14:textId="77777777" w:rsidR="00D02BC8" w:rsidRPr="00D31EBB" w:rsidRDefault="00D02BC8" w:rsidP="008B6CCB">
      <w:pPr>
        <w:pStyle w:val="EMEATitlePAC"/>
        <w:rPr>
          <w:noProof/>
        </w:rPr>
      </w:pPr>
      <w:r>
        <w:t>9.</w:t>
      </w:r>
      <w:r>
        <w:tab/>
        <w:t>SPECIAL STORAGE CONDITIONS</w:t>
      </w:r>
    </w:p>
    <w:p w14:paraId="30B26F83" w14:textId="77777777" w:rsidR="00D02BC8" w:rsidRPr="00D31EBB" w:rsidRDefault="00D02BC8" w:rsidP="008B6CCB">
      <w:pPr>
        <w:pStyle w:val="EMEABodyText"/>
        <w:rPr>
          <w:noProof/>
          <w:lang w:val="en-US"/>
        </w:rPr>
      </w:pPr>
    </w:p>
    <w:p w14:paraId="486CC2E4" w14:textId="77777777" w:rsidR="00D02BC8" w:rsidRPr="00D31EBB" w:rsidRDefault="00D02BC8" w:rsidP="008B6CCB">
      <w:pPr>
        <w:pStyle w:val="EMEABodyText"/>
        <w:rPr>
          <w:highlight w:val="lightGray"/>
        </w:rPr>
      </w:pPr>
      <w:r>
        <w:rPr>
          <w:highlight w:val="lightGray"/>
        </w:rPr>
        <w:t>Bottle pack:</w:t>
      </w:r>
    </w:p>
    <w:p w14:paraId="0F7D778D" w14:textId="77777777" w:rsidR="00D02BC8" w:rsidRPr="00D31EBB" w:rsidRDefault="00D02BC8" w:rsidP="008B6CCB">
      <w:pPr>
        <w:pStyle w:val="EMEABodyText"/>
      </w:pPr>
      <w:r>
        <w:t>Do not store above 25°C.</w:t>
      </w:r>
    </w:p>
    <w:p w14:paraId="5B602414" w14:textId="77777777" w:rsidR="00D02BC8" w:rsidRPr="00D31EBB" w:rsidRDefault="00D02BC8" w:rsidP="008B6CCB">
      <w:pPr>
        <w:pStyle w:val="EMEABodyText"/>
        <w:rPr>
          <w:lang w:val="en-US"/>
        </w:rPr>
      </w:pPr>
    </w:p>
    <w:p w14:paraId="1254F487" w14:textId="77777777" w:rsidR="00D02BC8" w:rsidRPr="00D31EBB" w:rsidRDefault="00D02BC8" w:rsidP="008B6CCB">
      <w:pPr>
        <w:pStyle w:val="EMEABodyText"/>
        <w:rPr>
          <w:highlight w:val="lightGray"/>
        </w:rPr>
      </w:pPr>
      <w:r>
        <w:rPr>
          <w:highlight w:val="lightGray"/>
        </w:rPr>
        <w:t>Blister pack:</w:t>
      </w:r>
    </w:p>
    <w:p w14:paraId="603589AD" w14:textId="77777777" w:rsidR="00D02BC8" w:rsidRPr="00D31EBB" w:rsidRDefault="00D02BC8" w:rsidP="008B6CCB">
      <w:pPr>
        <w:pStyle w:val="EMEABodyText"/>
      </w:pPr>
      <w:r>
        <w:t>Do not store above 25°C.</w:t>
      </w:r>
    </w:p>
    <w:p w14:paraId="00EF9941" w14:textId="77777777" w:rsidR="00D02BC8" w:rsidRPr="00D31EBB" w:rsidRDefault="00D02BC8" w:rsidP="008B6CCB">
      <w:pPr>
        <w:pStyle w:val="EMEABodyText"/>
        <w:rPr>
          <w:noProof/>
        </w:rPr>
      </w:pPr>
      <w:r>
        <w:t>Store in the original package</w:t>
      </w:r>
    </w:p>
    <w:p w14:paraId="02D6F935" w14:textId="77777777" w:rsidR="00D02BC8" w:rsidRPr="00D31EBB" w:rsidRDefault="00D02BC8" w:rsidP="008B6CCB">
      <w:pPr>
        <w:pStyle w:val="EMEABodyText"/>
        <w:rPr>
          <w:noProof/>
          <w:lang w:val="en-US"/>
        </w:rPr>
      </w:pPr>
    </w:p>
    <w:p w14:paraId="0C230847" w14:textId="77777777" w:rsidR="00D02BC8" w:rsidRPr="00D31EBB" w:rsidRDefault="00D02BC8" w:rsidP="008B6CCB">
      <w:pPr>
        <w:pStyle w:val="EMEABodyText"/>
        <w:rPr>
          <w:noProof/>
          <w:lang w:val="en-US"/>
        </w:rPr>
      </w:pPr>
    </w:p>
    <w:p w14:paraId="3701363D" w14:textId="77777777" w:rsidR="00D02BC8" w:rsidRPr="00D31EBB" w:rsidRDefault="00D02BC8" w:rsidP="008B6CCB">
      <w:pPr>
        <w:pStyle w:val="EMEATitlePAC"/>
        <w:rPr>
          <w:noProof/>
        </w:rPr>
      </w:pPr>
      <w:r>
        <w:t>10.</w:t>
      </w:r>
      <w:r>
        <w:tab/>
        <w:t>SPECIAL PRECAUTIONS FOR DISPOSAL OF UNUSED MEDICINAL PRODUCTS OR WASTE MATERIALS DERIVED FROM SUCH MEDICINAL PRODUCTS, IF APPROPRIATE</w:t>
      </w:r>
    </w:p>
    <w:p w14:paraId="448A9454" w14:textId="77777777" w:rsidR="00D02BC8" w:rsidRPr="00D31EBB" w:rsidRDefault="00D02BC8" w:rsidP="008B6CCB">
      <w:pPr>
        <w:pStyle w:val="EMEABodyText"/>
        <w:rPr>
          <w:noProof/>
          <w:lang w:val="en-US"/>
        </w:rPr>
      </w:pPr>
    </w:p>
    <w:p w14:paraId="136936E8" w14:textId="77777777" w:rsidR="00D02BC8" w:rsidRPr="00D31EBB" w:rsidRDefault="00D02BC8" w:rsidP="008B6CCB">
      <w:pPr>
        <w:pStyle w:val="EMEABodyText"/>
        <w:rPr>
          <w:noProof/>
          <w:lang w:val="en-US"/>
        </w:rPr>
      </w:pPr>
    </w:p>
    <w:p w14:paraId="466C1455" w14:textId="77777777" w:rsidR="00D02BC8" w:rsidRPr="00D31EBB" w:rsidRDefault="00D02BC8" w:rsidP="008B6CCB">
      <w:pPr>
        <w:pStyle w:val="EMEATitlePAC"/>
        <w:rPr>
          <w:noProof/>
        </w:rPr>
      </w:pPr>
      <w:r>
        <w:t>11.</w:t>
      </w:r>
      <w:r>
        <w:tab/>
        <w:t>NAME AND ADDRESS OF THE MARKETING AUTHORISATION HOLDER</w:t>
      </w:r>
    </w:p>
    <w:p w14:paraId="3B54E79B" w14:textId="77777777" w:rsidR="00D02BC8" w:rsidRPr="00D31EBB" w:rsidRDefault="00D02BC8" w:rsidP="008B6CCB">
      <w:pPr>
        <w:pStyle w:val="EMEABodyText"/>
        <w:rPr>
          <w:noProof/>
          <w:lang w:val="en-US"/>
        </w:rPr>
      </w:pPr>
    </w:p>
    <w:p w14:paraId="47E77D33"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16BAE259" w14:textId="77777777" w:rsidR="00965E20" w:rsidRDefault="00965E20" w:rsidP="00965E20">
      <w:pPr>
        <w:numPr>
          <w:ilvl w:val="12"/>
          <w:numId w:val="0"/>
        </w:numPr>
      </w:pPr>
      <w:r>
        <w:t xml:space="preserve">Ireland </w:t>
      </w:r>
    </w:p>
    <w:p w14:paraId="6F854489" w14:textId="77777777" w:rsidR="00D02BC8" w:rsidRPr="00D31EBB" w:rsidRDefault="00D02BC8" w:rsidP="00191AFE">
      <w:pPr>
        <w:pStyle w:val="EMEAAddress"/>
        <w:rPr>
          <w:lang w:val="en-US"/>
        </w:rPr>
      </w:pPr>
    </w:p>
    <w:p w14:paraId="66A32411" w14:textId="77777777" w:rsidR="00D02BC8" w:rsidRPr="00D31EBB" w:rsidRDefault="00D02BC8" w:rsidP="008B6CCB">
      <w:pPr>
        <w:pStyle w:val="EMEABodyText"/>
        <w:rPr>
          <w:noProof/>
          <w:lang w:val="en-US"/>
        </w:rPr>
      </w:pPr>
    </w:p>
    <w:p w14:paraId="1BAB9A63" w14:textId="77777777" w:rsidR="00D02BC8" w:rsidRPr="00D31EBB" w:rsidRDefault="00D02BC8" w:rsidP="008B6CCB">
      <w:pPr>
        <w:pStyle w:val="EMEATitlePAC"/>
        <w:rPr>
          <w:noProof/>
        </w:rPr>
      </w:pPr>
      <w:r>
        <w:t>12.</w:t>
      </w:r>
      <w:r>
        <w:tab/>
        <w:t xml:space="preserve">MARKETING AUTHORISATION NUMBER(S) </w:t>
      </w:r>
    </w:p>
    <w:p w14:paraId="214E8542" w14:textId="77777777" w:rsidR="00D02BC8" w:rsidRPr="00D31EBB" w:rsidRDefault="00D02BC8" w:rsidP="008B6CCB">
      <w:pPr>
        <w:pStyle w:val="EMEABodyText"/>
        <w:rPr>
          <w:noProof/>
          <w:lang w:val="en-US"/>
        </w:rPr>
      </w:pPr>
    </w:p>
    <w:p w14:paraId="5C5AFEC8" w14:textId="77777777" w:rsidR="00D02BC8" w:rsidRPr="00D31EBB" w:rsidRDefault="00D02BC8" w:rsidP="008B6CCB">
      <w:pPr>
        <w:pStyle w:val="EMEABodyText"/>
        <w:rPr>
          <w:highlight w:val="lightGray"/>
        </w:rPr>
      </w:pPr>
      <w:r>
        <w:rPr>
          <w:highlight w:val="lightGray"/>
        </w:rPr>
        <w:t xml:space="preserve">Bottle pack </w:t>
      </w:r>
    </w:p>
    <w:p w14:paraId="29ED1546" w14:textId="77777777" w:rsidR="00D02BC8" w:rsidRPr="00965E20" w:rsidRDefault="00D02BC8" w:rsidP="008B6CCB">
      <w:pPr>
        <w:pStyle w:val="EMEABodyText"/>
      </w:pPr>
      <w:r>
        <w:rPr>
          <w:highlight w:val="lightGray"/>
        </w:rPr>
        <w:t>60 hard capsules:</w:t>
      </w:r>
      <w:r>
        <w:t xml:space="preserve"> EU/1/03/267/005</w:t>
      </w:r>
    </w:p>
    <w:p w14:paraId="0755F760" w14:textId="77777777" w:rsidR="00325328" w:rsidRPr="00965E20" w:rsidRDefault="00325328" w:rsidP="00325328">
      <w:pPr>
        <w:pStyle w:val="EMEABodyText"/>
      </w:pPr>
      <w:r>
        <w:rPr>
          <w:highlight w:val="lightGray"/>
        </w:rPr>
        <w:t>3 x 60 hard capsules:</w:t>
      </w:r>
      <w:r>
        <w:t xml:space="preserve"> EU/1/03/267/011</w:t>
      </w:r>
    </w:p>
    <w:p w14:paraId="07FFC24B" w14:textId="77777777" w:rsidR="00D02BC8" w:rsidRPr="00965E20" w:rsidRDefault="00D02BC8" w:rsidP="008B6CCB">
      <w:pPr>
        <w:pStyle w:val="EMEABodyText"/>
        <w:rPr>
          <w:lang w:val="en-US"/>
        </w:rPr>
      </w:pPr>
    </w:p>
    <w:p w14:paraId="79CD755C" w14:textId="77777777" w:rsidR="00D02BC8" w:rsidRPr="00D31EBB" w:rsidRDefault="00D02BC8" w:rsidP="008B6CCB">
      <w:pPr>
        <w:pStyle w:val="EMEABodyText"/>
        <w:rPr>
          <w:highlight w:val="lightGray"/>
        </w:rPr>
      </w:pPr>
      <w:r>
        <w:rPr>
          <w:highlight w:val="lightGray"/>
        </w:rPr>
        <w:t>Blister pack :</w:t>
      </w:r>
    </w:p>
    <w:p w14:paraId="5A1C3A83" w14:textId="77777777" w:rsidR="00D02BC8" w:rsidRPr="00D31EBB" w:rsidRDefault="00D02BC8" w:rsidP="008B6CCB">
      <w:pPr>
        <w:pStyle w:val="EMEABodyText"/>
      </w:pPr>
      <w:r>
        <w:rPr>
          <w:highlight w:val="lightGray"/>
        </w:rPr>
        <w:t>60 hard capsules:</w:t>
      </w:r>
      <w:r>
        <w:t xml:space="preserve"> EU/1/03/267/006</w:t>
      </w:r>
      <w:r>
        <w:br/>
      </w:r>
    </w:p>
    <w:p w14:paraId="07FDA99B" w14:textId="77777777" w:rsidR="00D02BC8" w:rsidRPr="00D31EBB" w:rsidRDefault="00D02BC8" w:rsidP="008B6CCB">
      <w:pPr>
        <w:pStyle w:val="EMEABodyText"/>
        <w:rPr>
          <w:lang w:val="en-US"/>
        </w:rPr>
      </w:pPr>
    </w:p>
    <w:p w14:paraId="29605602" w14:textId="77777777" w:rsidR="00D02BC8" w:rsidRPr="00D31EBB" w:rsidRDefault="00D02BC8" w:rsidP="008B6CCB">
      <w:pPr>
        <w:pStyle w:val="EMEATitlePAC"/>
        <w:rPr>
          <w:noProof/>
        </w:rPr>
      </w:pPr>
      <w:r>
        <w:t>13.</w:t>
      </w:r>
      <w:r>
        <w:tab/>
        <w:t>BATCH NUMBER</w:t>
      </w:r>
    </w:p>
    <w:p w14:paraId="6FD05521" w14:textId="77777777" w:rsidR="00D02BC8" w:rsidRPr="00D31EBB" w:rsidRDefault="00D02BC8" w:rsidP="008B6CCB">
      <w:pPr>
        <w:pStyle w:val="EMEABodyText"/>
        <w:rPr>
          <w:noProof/>
          <w:lang w:val="en-US"/>
        </w:rPr>
      </w:pPr>
    </w:p>
    <w:p w14:paraId="265EBAFE" w14:textId="77777777" w:rsidR="00D02BC8" w:rsidRPr="00D31EBB" w:rsidRDefault="00D02BC8" w:rsidP="008B6CCB">
      <w:pPr>
        <w:pStyle w:val="EMEABodyText"/>
      </w:pPr>
      <w:r>
        <w:t>Lot</w:t>
      </w:r>
    </w:p>
    <w:p w14:paraId="1B385A3F" w14:textId="77777777" w:rsidR="00D02BC8" w:rsidRPr="00D31EBB" w:rsidRDefault="00D02BC8" w:rsidP="008B6CCB">
      <w:pPr>
        <w:pStyle w:val="EMEABodyText"/>
        <w:rPr>
          <w:noProof/>
          <w:lang w:val="en-US"/>
        </w:rPr>
      </w:pPr>
    </w:p>
    <w:p w14:paraId="5BEAF0A9" w14:textId="77777777" w:rsidR="00D02BC8" w:rsidRPr="00D31EBB" w:rsidRDefault="00D02BC8" w:rsidP="008B6CCB">
      <w:pPr>
        <w:pStyle w:val="EMEABodyText"/>
        <w:rPr>
          <w:noProof/>
          <w:lang w:val="en-US"/>
        </w:rPr>
      </w:pPr>
    </w:p>
    <w:p w14:paraId="5F1F7210" w14:textId="77777777" w:rsidR="00D02BC8" w:rsidRPr="00D31EBB" w:rsidRDefault="00D02BC8" w:rsidP="008B6CCB">
      <w:pPr>
        <w:pStyle w:val="EMEATitlePAC"/>
        <w:rPr>
          <w:noProof/>
        </w:rPr>
      </w:pPr>
      <w:r>
        <w:t>14.</w:t>
      </w:r>
      <w:r>
        <w:tab/>
        <w:t>GENERAL CLASSIFICATION FOR SUPPLY</w:t>
      </w:r>
    </w:p>
    <w:p w14:paraId="5467B484" w14:textId="77777777" w:rsidR="00D02BC8" w:rsidRPr="00D31EBB" w:rsidRDefault="00D02BC8" w:rsidP="008B6CCB">
      <w:pPr>
        <w:pStyle w:val="EMEABodyText"/>
        <w:rPr>
          <w:noProof/>
          <w:lang w:val="en-US"/>
        </w:rPr>
      </w:pPr>
    </w:p>
    <w:p w14:paraId="29850A97" w14:textId="77777777" w:rsidR="00D02BC8" w:rsidRPr="00D31EBB" w:rsidRDefault="00D02BC8" w:rsidP="008B6CCB">
      <w:pPr>
        <w:pStyle w:val="EMEABodyText"/>
      </w:pPr>
      <w:r>
        <w:t>Medicinal product subject to medical prescription.</w:t>
      </w:r>
    </w:p>
    <w:p w14:paraId="6FF40623" w14:textId="77777777" w:rsidR="00D02BC8" w:rsidRPr="00D31EBB" w:rsidRDefault="00D02BC8" w:rsidP="008B6CCB">
      <w:pPr>
        <w:pStyle w:val="EMEABodyText"/>
        <w:rPr>
          <w:noProof/>
          <w:lang w:val="en-US"/>
        </w:rPr>
      </w:pPr>
    </w:p>
    <w:p w14:paraId="7F9C7142" w14:textId="77777777" w:rsidR="00D02BC8" w:rsidRPr="00D31EBB" w:rsidRDefault="00D02BC8" w:rsidP="008B6CCB">
      <w:pPr>
        <w:pStyle w:val="EMEABodyText"/>
        <w:rPr>
          <w:noProof/>
          <w:lang w:val="en-US"/>
        </w:rPr>
      </w:pPr>
    </w:p>
    <w:p w14:paraId="2FB1FD9E" w14:textId="77777777" w:rsidR="00D02BC8" w:rsidRPr="00D31EBB" w:rsidRDefault="00D02BC8" w:rsidP="008B6CCB">
      <w:pPr>
        <w:pStyle w:val="EMEATitlePAC"/>
        <w:rPr>
          <w:noProof/>
        </w:rPr>
      </w:pPr>
      <w:r>
        <w:t>15.</w:t>
      </w:r>
      <w:r>
        <w:tab/>
        <w:t>INSTRUCTIONS ON USE</w:t>
      </w:r>
    </w:p>
    <w:p w14:paraId="5A5B6DFD" w14:textId="77777777" w:rsidR="00D02BC8" w:rsidRPr="00D31EBB" w:rsidRDefault="00D02BC8" w:rsidP="008B6CCB">
      <w:pPr>
        <w:pStyle w:val="EMEABodyText"/>
        <w:rPr>
          <w:noProof/>
          <w:lang w:val="en-US"/>
        </w:rPr>
      </w:pPr>
    </w:p>
    <w:p w14:paraId="009769B7" w14:textId="77777777" w:rsidR="00D02BC8" w:rsidRPr="00D31EBB" w:rsidRDefault="00D02BC8" w:rsidP="008B6CCB">
      <w:pPr>
        <w:pStyle w:val="EMEABodyText"/>
        <w:rPr>
          <w:noProof/>
          <w:lang w:val="en-US"/>
        </w:rPr>
      </w:pPr>
    </w:p>
    <w:p w14:paraId="4BBF4D0C" w14:textId="77777777" w:rsidR="00D02BC8" w:rsidRPr="00D31EBB" w:rsidRDefault="00D02BC8" w:rsidP="008B6CCB">
      <w:pPr>
        <w:pStyle w:val="EMEATitlePAC"/>
        <w:rPr>
          <w:noProof/>
        </w:rPr>
      </w:pPr>
      <w:r>
        <w:t>16.</w:t>
      </w:r>
      <w:r>
        <w:tab/>
        <w:t>INFORMATION IN BRAILLE</w:t>
      </w:r>
    </w:p>
    <w:p w14:paraId="04FBAEB7" w14:textId="77777777" w:rsidR="00D02BC8" w:rsidRPr="00D31EBB" w:rsidRDefault="00D02BC8" w:rsidP="008B6CCB">
      <w:pPr>
        <w:pStyle w:val="EMEABodyText"/>
        <w:rPr>
          <w:noProof/>
          <w:lang w:val="en-US"/>
        </w:rPr>
      </w:pPr>
    </w:p>
    <w:p w14:paraId="466A49E5" w14:textId="77777777" w:rsidR="00D02BC8" w:rsidRPr="00D31EBB" w:rsidRDefault="00D02BC8" w:rsidP="008B6CCB">
      <w:pPr>
        <w:pStyle w:val="EMEABodyText"/>
      </w:pPr>
      <w:r>
        <w:rPr>
          <w:highlight w:val="lightGray"/>
        </w:rPr>
        <w:t>Outer carton:</w:t>
      </w:r>
      <w:r>
        <w:t xml:space="preserve"> REYATAZ 200 mg</w:t>
      </w:r>
    </w:p>
    <w:p w14:paraId="76A19E7F" w14:textId="77777777" w:rsidR="00B5335E" w:rsidRPr="00D31EBB" w:rsidRDefault="00B5335E" w:rsidP="00B5335E">
      <w:pPr>
        <w:pStyle w:val="EMEABodyText"/>
        <w:rPr>
          <w:lang w:val="en-US"/>
        </w:rPr>
      </w:pPr>
    </w:p>
    <w:p w14:paraId="314A52D7" w14:textId="77777777" w:rsidR="00B5335E" w:rsidRPr="00D31EBB" w:rsidRDefault="00B5335E" w:rsidP="00B5335E">
      <w:pPr>
        <w:rPr>
          <w:noProof/>
          <w:szCs w:val="22"/>
          <w:shd w:val="clear" w:color="auto" w:fill="CCCCCC"/>
          <w:lang w:val="en-US"/>
        </w:rPr>
      </w:pPr>
    </w:p>
    <w:p w14:paraId="0B58E0BE"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17.</w:t>
      </w:r>
      <w:r>
        <w:rPr>
          <w:b/>
        </w:rPr>
        <w:tab/>
        <w:t>UNIQUE IDENTIFIER – 2D BARCODE</w:t>
      </w:r>
    </w:p>
    <w:p w14:paraId="6BB29C4F" w14:textId="77777777" w:rsidR="00B5335E" w:rsidRPr="00D31EBB" w:rsidRDefault="00B5335E" w:rsidP="00B5335E">
      <w:pPr>
        <w:rPr>
          <w:noProof/>
          <w:lang w:val="en-US"/>
        </w:rPr>
      </w:pPr>
    </w:p>
    <w:p w14:paraId="3E2360E2" w14:textId="77777777" w:rsidR="00B5335E" w:rsidRPr="00D31EBB" w:rsidRDefault="00B5335E" w:rsidP="00B5335E">
      <w:pPr>
        <w:rPr>
          <w:noProof/>
          <w:szCs w:val="22"/>
          <w:shd w:val="clear" w:color="auto" w:fill="CCCCCC"/>
        </w:rPr>
      </w:pPr>
      <w:r>
        <w:rPr>
          <w:highlight w:val="lightGray"/>
        </w:rPr>
        <w:t>2D barcode carrying the unique identifier included.</w:t>
      </w:r>
    </w:p>
    <w:p w14:paraId="6E48A460" w14:textId="77777777" w:rsidR="00B5335E" w:rsidRPr="00D31EBB" w:rsidRDefault="00B5335E" w:rsidP="00B5335E">
      <w:pPr>
        <w:rPr>
          <w:noProof/>
          <w:lang w:val="en-US"/>
        </w:rPr>
      </w:pPr>
    </w:p>
    <w:p w14:paraId="73D6F4C0" w14:textId="77777777" w:rsidR="00B5335E" w:rsidRPr="00D31EBB" w:rsidRDefault="00B5335E" w:rsidP="00B5335E">
      <w:pPr>
        <w:rPr>
          <w:noProof/>
          <w:lang w:val="en-US"/>
        </w:rPr>
      </w:pPr>
    </w:p>
    <w:p w14:paraId="18786FF3"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18.</w:t>
      </w:r>
      <w:r>
        <w:rPr>
          <w:b/>
        </w:rPr>
        <w:tab/>
        <w:t>UNIQUE IDENTIFIER - HUMAN READABLE DATA</w:t>
      </w:r>
    </w:p>
    <w:p w14:paraId="5F6B7D0A" w14:textId="77777777" w:rsidR="00B5335E" w:rsidRPr="00D31EBB" w:rsidRDefault="00B5335E" w:rsidP="00B5335E">
      <w:pPr>
        <w:rPr>
          <w:noProof/>
          <w:lang w:val="en-US"/>
        </w:rPr>
      </w:pPr>
    </w:p>
    <w:p w14:paraId="39A8D894" w14:textId="77777777" w:rsidR="00B5335E" w:rsidRPr="00D31EBB" w:rsidRDefault="00B5335E" w:rsidP="00B5335E">
      <w:pPr>
        <w:rPr>
          <w:color w:val="008000"/>
          <w:szCs w:val="22"/>
        </w:rPr>
      </w:pPr>
      <w:r>
        <w:t xml:space="preserve">PC: </w:t>
      </w:r>
    </w:p>
    <w:p w14:paraId="1D89677B" w14:textId="77777777" w:rsidR="00B5335E" w:rsidRPr="00D31EBB" w:rsidRDefault="00B5335E" w:rsidP="00B5335E">
      <w:pPr>
        <w:rPr>
          <w:szCs w:val="22"/>
        </w:rPr>
      </w:pPr>
      <w:r>
        <w:t xml:space="preserve">SN: </w:t>
      </w:r>
    </w:p>
    <w:p w14:paraId="3B5398A0" w14:textId="77777777" w:rsidR="00B5335E" w:rsidRPr="00D31EBB" w:rsidRDefault="00B5335E" w:rsidP="00B5335E">
      <w:pPr>
        <w:rPr>
          <w:noProof/>
          <w:vanish/>
          <w:szCs w:val="22"/>
        </w:rPr>
      </w:pPr>
      <w:r>
        <w:t xml:space="preserve">&lt;NN&gt;: </w:t>
      </w:r>
    </w:p>
    <w:p w14:paraId="1112FBC8" w14:textId="77777777" w:rsidR="00B5335E" w:rsidRPr="00D31EBB" w:rsidRDefault="00B5335E" w:rsidP="008B6CCB">
      <w:pPr>
        <w:pStyle w:val="EMEABodyText"/>
        <w:rPr>
          <w:lang w:val="en-US"/>
        </w:rPr>
      </w:pPr>
    </w:p>
    <w:p w14:paraId="2051F057" w14:textId="77777777" w:rsidR="00B5335E" w:rsidRPr="00D31EBB" w:rsidRDefault="00B5335E" w:rsidP="008B6CCB">
      <w:pPr>
        <w:pStyle w:val="EMEABodyText"/>
        <w:rPr>
          <w:lang w:val="en-US"/>
        </w:rPr>
      </w:pPr>
    </w:p>
    <w:p w14:paraId="027DF46E" w14:textId="77777777" w:rsidR="00D02BC8" w:rsidRPr="00D31EBB" w:rsidRDefault="00D02BC8" w:rsidP="008B6CCB">
      <w:pPr>
        <w:pStyle w:val="EMEATitlePAC"/>
        <w:rPr>
          <w:noProof/>
        </w:rPr>
      </w:pPr>
      <w:r>
        <w:br w:type="page"/>
        <w:t>MINIMUM PARTICULARS TO APPEAR ON BLISTERS OR STRIPS</w:t>
      </w:r>
    </w:p>
    <w:p w14:paraId="3516C3A1" w14:textId="77777777" w:rsidR="00D02BC8" w:rsidRPr="00D31EBB" w:rsidRDefault="00D02BC8" w:rsidP="008B6CCB">
      <w:pPr>
        <w:pStyle w:val="EMEABodyText"/>
        <w:rPr>
          <w:noProof/>
          <w:lang w:val="en-US"/>
        </w:rPr>
      </w:pPr>
    </w:p>
    <w:p w14:paraId="455BBCA6" w14:textId="77777777" w:rsidR="00D02BC8" w:rsidRPr="00D31EBB" w:rsidRDefault="00D02BC8" w:rsidP="008B6CCB">
      <w:pPr>
        <w:pStyle w:val="EMEABodyText"/>
        <w:rPr>
          <w:noProof/>
          <w:lang w:val="en-US"/>
        </w:rPr>
      </w:pPr>
    </w:p>
    <w:p w14:paraId="6B610FE2" w14:textId="77777777" w:rsidR="00D02BC8" w:rsidRPr="00D31EBB" w:rsidRDefault="00D02BC8" w:rsidP="008B6CCB">
      <w:pPr>
        <w:pStyle w:val="EMEATitlePAC"/>
        <w:rPr>
          <w:noProof/>
        </w:rPr>
      </w:pPr>
      <w:r>
        <w:t>1.</w:t>
      </w:r>
      <w:r>
        <w:tab/>
        <w:t>NAME OF THE MEDICINAL PRODUCT</w:t>
      </w:r>
    </w:p>
    <w:p w14:paraId="05AB3A4E" w14:textId="77777777" w:rsidR="00D02BC8" w:rsidRPr="00D31EBB" w:rsidRDefault="00D02BC8" w:rsidP="008B6CCB">
      <w:pPr>
        <w:pStyle w:val="EMEABodyText"/>
        <w:rPr>
          <w:noProof/>
          <w:lang w:val="en-US"/>
        </w:rPr>
      </w:pPr>
    </w:p>
    <w:p w14:paraId="14E876B7" w14:textId="77777777" w:rsidR="00D02BC8" w:rsidRPr="00D31EBB" w:rsidRDefault="00D02BC8" w:rsidP="008B6CCB">
      <w:pPr>
        <w:pStyle w:val="EMEABodyText"/>
      </w:pPr>
      <w:r>
        <w:t>REYATAZ 200 mg hard capsules</w:t>
      </w:r>
    </w:p>
    <w:p w14:paraId="351EFCAF" w14:textId="77777777" w:rsidR="00D02BC8" w:rsidRPr="00D31EBB" w:rsidRDefault="00D02BC8" w:rsidP="008B6CCB">
      <w:pPr>
        <w:pStyle w:val="EMEABodyText"/>
      </w:pPr>
      <w:r>
        <w:t>atazanavir</w:t>
      </w:r>
    </w:p>
    <w:p w14:paraId="00D093E1" w14:textId="77777777" w:rsidR="00D02BC8" w:rsidRPr="00D31EBB" w:rsidRDefault="00D02BC8" w:rsidP="008B6CCB">
      <w:pPr>
        <w:pStyle w:val="EMEABodyText"/>
        <w:rPr>
          <w:b/>
          <w:noProof/>
          <w:lang w:val="en-US"/>
        </w:rPr>
      </w:pPr>
    </w:p>
    <w:p w14:paraId="5CC5CB18" w14:textId="77777777" w:rsidR="00D02BC8" w:rsidRPr="00D31EBB" w:rsidRDefault="00D02BC8" w:rsidP="008B6CCB">
      <w:pPr>
        <w:pStyle w:val="EMEABodyText"/>
        <w:rPr>
          <w:b/>
          <w:noProof/>
          <w:lang w:val="en-US"/>
        </w:rPr>
      </w:pPr>
    </w:p>
    <w:p w14:paraId="2B0D45F1" w14:textId="77777777" w:rsidR="00D02BC8" w:rsidRPr="00D31EBB" w:rsidRDefault="00D02BC8" w:rsidP="008B6CCB">
      <w:pPr>
        <w:pStyle w:val="EMEATitlePAC"/>
        <w:rPr>
          <w:noProof/>
        </w:rPr>
      </w:pPr>
      <w:r>
        <w:t>2.</w:t>
      </w:r>
      <w:r>
        <w:tab/>
        <w:t>NAME OF THE MARKETING AUTHORISATION HOLDER</w:t>
      </w:r>
    </w:p>
    <w:p w14:paraId="3740F4E9" w14:textId="77777777" w:rsidR="00D02BC8" w:rsidRPr="00D31EBB" w:rsidRDefault="00D02BC8" w:rsidP="008B6CCB">
      <w:pPr>
        <w:pStyle w:val="EMEABodyText"/>
        <w:rPr>
          <w:noProof/>
          <w:lang w:val="en-US"/>
        </w:rPr>
      </w:pPr>
    </w:p>
    <w:p w14:paraId="520057A0" w14:textId="77777777" w:rsidR="00D02BC8" w:rsidRPr="00D31EBB" w:rsidRDefault="00D02BC8" w:rsidP="008B6CCB">
      <w:pPr>
        <w:pStyle w:val="EMEABodyText"/>
      </w:pPr>
      <w:r>
        <w:t>BRISTOL-MYERS SQUIBB PHARMA EEIG</w:t>
      </w:r>
      <w:r>
        <w:br/>
      </w:r>
    </w:p>
    <w:p w14:paraId="722E6BD0" w14:textId="77777777" w:rsidR="00D02BC8" w:rsidRPr="00D31EBB" w:rsidRDefault="00D02BC8" w:rsidP="008B6CCB">
      <w:pPr>
        <w:pStyle w:val="EMEABodyText"/>
        <w:rPr>
          <w:noProof/>
          <w:lang w:val="en-US"/>
        </w:rPr>
      </w:pPr>
    </w:p>
    <w:p w14:paraId="79EB10D5" w14:textId="77777777" w:rsidR="00D02BC8" w:rsidRPr="00D31EBB" w:rsidRDefault="00D02BC8" w:rsidP="008B6CCB">
      <w:pPr>
        <w:pStyle w:val="EMEATitlePAC"/>
        <w:rPr>
          <w:noProof/>
        </w:rPr>
      </w:pPr>
      <w:r>
        <w:t>3.</w:t>
      </w:r>
      <w:r>
        <w:tab/>
        <w:t>EXPIRY DATE</w:t>
      </w:r>
    </w:p>
    <w:p w14:paraId="49F1A866" w14:textId="77777777" w:rsidR="00D02BC8" w:rsidRPr="00D31EBB" w:rsidRDefault="00D02BC8" w:rsidP="008B6CCB">
      <w:pPr>
        <w:pStyle w:val="EMEABodyText"/>
        <w:rPr>
          <w:noProof/>
          <w:lang w:val="en-US"/>
        </w:rPr>
      </w:pPr>
    </w:p>
    <w:p w14:paraId="56D635FB" w14:textId="77777777" w:rsidR="00D02BC8" w:rsidRPr="00D31EBB" w:rsidRDefault="00D02BC8" w:rsidP="008B6CCB">
      <w:pPr>
        <w:pStyle w:val="EMEABodyText"/>
      </w:pPr>
      <w:r>
        <w:t>EXP {MM/YYYY}</w:t>
      </w:r>
    </w:p>
    <w:p w14:paraId="72E1D1B8" w14:textId="77777777" w:rsidR="00D02BC8" w:rsidRPr="00D31EBB" w:rsidRDefault="00D02BC8" w:rsidP="008B6CCB">
      <w:pPr>
        <w:pStyle w:val="EMEABodyText"/>
        <w:rPr>
          <w:noProof/>
          <w:lang w:val="en-US"/>
        </w:rPr>
      </w:pPr>
    </w:p>
    <w:p w14:paraId="5C37837E" w14:textId="77777777" w:rsidR="00D02BC8" w:rsidRPr="00D31EBB" w:rsidRDefault="00D02BC8" w:rsidP="008B6CCB">
      <w:pPr>
        <w:pStyle w:val="EMEABodyText"/>
        <w:rPr>
          <w:noProof/>
          <w:lang w:val="en-US"/>
        </w:rPr>
      </w:pPr>
    </w:p>
    <w:p w14:paraId="58BC5828" w14:textId="77777777" w:rsidR="00D02BC8" w:rsidRPr="00D31EBB" w:rsidRDefault="00D02BC8" w:rsidP="008B6CCB">
      <w:pPr>
        <w:pStyle w:val="EMEATitlePAC"/>
        <w:rPr>
          <w:noProof/>
        </w:rPr>
      </w:pPr>
      <w:r>
        <w:t>4.</w:t>
      </w:r>
      <w:r>
        <w:tab/>
        <w:t>BATCH NUMBER</w:t>
      </w:r>
    </w:p>
    <w:p w14:paraId="4C8ED923" w14:textId="77777777" w:rsidR="00D02BC8" w:rsidRPr="00D31EBB" w:rsidRDefault="00D02BC8" w:rsidP="008B6CCB">
      <w:pPr>
        <w:pStyle w:val="EMEABodyText"/>
        <w:rPr>
          <w:noProof/>
          <w:lang w:val="en-US"/>
        </w:rPr>
      </w:pPr>
    </w:p>
    <w:p w14:paraId="1F2CEF0E" w14:textId="77777777" w:rsidR="00D02BC8" w:rsidRPr="00D31EBB" w:rsidRDefault="00D02BC8" w:rsidP="008B6CCB">
      <w:pPr>
        <w:pStyle w:val="EMEABodyText"/>
      </w:pPr>
      <w:r>
        <w:t>Lot</w:t>
      </w:r>
    </w:p>
    <w:p w14:paraId="19DBAFAD" w14:textId="77777777" w:rsidR="00D02BC8" w:rsidRPr="00D31EBB" w:rsidRDefault="00D02BC8" w:rsidP="008B6CCB">
      <w:pPr>
        <w:pStyle w:val="EMEABodyText"/>
        <w:rPr>
          <w:noProof/>
          <w:lang w:val="en-US"/>
        </w:rPr>
      </w:pPr>
    </w:p>
    <w:p w14:paraId="1BEF2D2F" w14:textId="77777777" w:rsidR="00D02BC8" w:rsidRPr="00D31EBB" w:rsidRDefault="00D02BC8" w:rsidP="008B6CCB">
      <w:pPr>
        <w:pStyle w:val="EMEABodyText"/>
        <w:rPr>
          <w:noProof/>
          <w:lang w:val="en-US"/>
        </w:rPr>
      </w:pPr>
    </w:p>
    <w:p w14:paraId="41A5136E" w14:textId="77777777" w:rsidR="00D02BC8" w:rsidRPr="00D31EBB" w:rsidRDefault="00D02BC8" w:rsidP="008B6CCB">
      <w:pPr>
        <w:pStyle w:val="EMEATitlePAC"/>
        <w:rPr>
          <w:noProof/>
        </w:rPr>
      </w:pPr>
      <w:r>
        <w:t>5.</w:t>
      </w:r>
      <w:r>
        <w:tab/>
        <w:t>OTHER</w:t>
      </w:r>
    </w:p>
    <w:p w14:paraId="74E73501" w14:textId="77777777" w:rsidR="00D02BC8" w:rsidRPr="00D31EBB" w:rsidRDefault="00D02BC8" w:rsidP="008B6CCB">
      <w:pPr>
        <w:pStyle w:val="EMEABodyText"/>
        <w:rPr>
          <w:noProof/>
          <w:lang w:val="en-US"/>
        </w:rPr>
      </w:pPr>
    </w:p>
    <w:p w14:paraId="64E96398" w14:textId="77777777" w:rsidR="00D02BC8" w:rsidRPr="00D31EBB" w:rsidRDefault="00D02BC8" w:rsidP="008B6CCB">
      <w:pPr>
        <w:pStyle w:val="EMEABodyText"/>
        <w:rPr>
          <w:iCs/>
          <w:noProof/>
          <w:lang w:val="en-US"/>
        </w:rPr>
      </w:pPr>
    </w:p>
    <w:p w14:paraId="689E9E59" w14:textId="77777777" w:rsidR="00D02BC8" w:rsidRPr="00D31EBB" w:rsidRDefault="00D02BC8" w:rsidP="008B6CCB">
      <w:pPr>
        <w:pStyle w:val="EMEATitlePAC"/>
      </w:pPr>
      <w:r>
        <w:br w:type="page"/>
        <w:t>PARTICULARS TO APPEAR ON THE OUTER PACKAGING AND THE IMMEDIATE PACKAGING</w:t>
      </w:r>
    </w:p>
    <w:p w14:paraId="282DBE42" w14:textId="77777777" w:rsidR="00D02BC8" w:rsidRPr="00D31EBB" w:rsidRDefault="00D02BC8" w:rsidP="008B6CCB">
      <w:pPr>
        <w:pStyle w:val="EMEATitlePAC"/>
        <w:rPr>
          <w:lang w:val="en-US"/>
        </w:rPr>
      </w:pPr>
    </w:p>
    <w:p w14:paraId="7DE8C277" w14:textId="77777777" w:rsidR="00D02BC8" w:rsidRPr="00D31EBB" w:rsidRDefault="00D02BC8" w:rsidP="008B6CCB">
      <w:pPr>
        <w:pStyle w:val="EMEATitlePAC"/>
      </w:pPr>
      <w:r>
        <w:rPr>
          <w:smallCaps/>
        </w:rPr>
        <w:t>OUTER CARTON TEXT (BOTTLE AND BLISTER PRESENTATIONS) AND BOTTLE LABEL TEXT</w:t>
      </w:r>
    </w:p>
    <w:p w14:paraId="65793CEC" w14:textId="77777777" w:rsidR="00D02BC8" w:rsidRPr="00D31EBB" w:rsidRDefault="00D02BC8" w:rsidP="008B6CCB">
      <w:pPr>
        <w:pStyle w:val="EMEABodyText"/>
        <w:rPr>
          <w:noProof/>
          <w:lang w:val="en-US"/>
        </w:rPr>
      </w:pPr>
    </w:p>
    <w:p w14:paraId="772326F0" w14:textId="77777777" w:rsidR="00D02BC8" w:rsidRPr="00D31EBB" w:rsidRDefault="00D02BC8" w:rsidP="008B6CCB">
      <w:pPr>
        <w:pStyle w:val="EMEABodyText"/>
        <w:rPr>
          <w:noProof/>
          <w:lang w:val="en-US"/>
        </w:rPr>
      </w:pPr>
    </w:p>
    <w:p w14:paraId="1A99B309" w14:textId="77777777" w:rsidR="00D02BC8" w:rsidRPr="00D31EBB" w:rsidRDefault="00D02BC8" w:rsidP="008B6CCB">
      <w:pPr>
        <w:pStyle w:val="EMEATitlePAC"/>
        <w:rPr>
          <w:noProof/>
        </w:rPr>
      </w:pPr>
      <w:r>
        <w:t>1.</w:t>
      </w:r>
      <w:r>
        <w:tab/>
        <w:t>NAME OF THE MEDICINAL PRODUCT</w:t>
      </w:r>
    </w:p>
    <w:p w14:paraId="15761ED6" w14:textId="77777777" w:rsidR="00D02BC8" w:rsidRPr="00D31EBB" w:rsidRDefault="00D02BC8" w:rsidP="008B6CCB">
      <w:pPr>
        <w:pStyle w:val="EMEABodyText"/>
        <w:rPr>
          <w:noProof/>
          <w:lang w:val="en-US"/>
        </w:rPr>
      </w:pPr>
    </w:p>
    <w:p w14:paraId="6F89C4EA" w14:textId="77777777" w:rsidR="00D02BC8" w:rsidRPr="00D31EBB" w:rsidRDefault="00D02BC8" w:rsidP="008B6CCB">
      <w:pPr>
        <w:pStyle w:val="EMEABodyText"/>
      </w:pPr>
      <w:r>
        <w:t>REYATAZ 300 mg hard capsules</w:t>
      </w:r>
    </w:p>
    <w:p w14:paraId="135448A9" w14:textId="77777777" w:rsidR="00D02BC8" w:rsidRPr="00D31EBB" w:rsidRDefault="00D02BC8" w:rsidP="008B6CCB">
      <w:pPr>
        <w:pStyle w:val="EMEABodyText"/>
        <w:rPr>
          <w:noProof/>
        </w:rPr>
      </w:pPr>
      <w:r>
        <w:t>atazanavir</w:t>
      </w:r>
    </w:p>
    <w:p w14:paraId="2374346B" w14:textId="77777777" w:rsidR="00D02BC8" w:rsidRPr="00D31EBB" w:rsidRDefault="00D02BC8" w:rsidP="008B6CCB">
      <w:pPr>
        <w:pStyle w:val="EMEABodyText"/>
        <w:rPr>
          <w:noProof/>
          <w:lang w:val="en-US"/>
        </w:rPr>
      </w:pPr>
    </w:p>
    <w:p w14:paraId="3C0BA91D" w14:textId="77777777" w:rsidR="00D02BC8" w:rsidRPr="00D31EBB" w:rsidRDefault="00D02BC8" w:rsidP="008B6CCB">
      <w:pPr>
        <w:pStyle w:val="EMEABodyText"/>
        <w:rPr>
          <w:noProof/>
          <w:lang w:val="en-US"/>
        </w:rPr>
      </w:pPr>
    </w:p>
    <w:p w14:paraId="266398E0" w14:textId="77777777" w:rsidR="00D02BC8" w:rsidRPr="00D31EBB" w:rsidRDefault="00D02BC8" w:rsidP="008B6CCB">
      <w:pPr>
        <w:pStyle w:val="EMEATitlePAC"/>
        <w:rPr>
          <w:noProof/>
        </w:rPr>
      </w:pPr>
      <w:r>
        <w:t>2.</w:t>
      </w:r>
      <w:r>
        <w:tab/>
        <w:t>STATEMENT OF ACTIVE SUBSTANCE(S)</w:t>
      </w:r>
    </w:p>
    <w:p w14:paraId="55EC8CF6" w14:textId="77777777" w:rsidR="00D02BC8" w:rsidRPr="00D31EBB" w:rsidRDefault="00D02BC8" w:rsidP="008B6CCB">
      <w:pPr>
        <w:pStyle w:val="EMEABodyText"/>
        <w:rPr>
          <w:noProof/>
          <w:lang w:val="en-US"/>
        </w:rPr>
      </w:pPr>
    </w:p>
    <w:p w14:paraId="6EE88D0F" w14:textId="77777777" w:rsidR="00D02BC8" w:rsidRPr="00D31EBB" w:rsidRDefault="00D02BC8" w:rsidP="008B6CCB">
      <w:pPr>
        <w:pStyle w:val="EMEABodyText"/>
      </w:pPr>
      <w:r>
        <w:t>Each capsule contains 300 mg of atazanavir (as sulphate).</w:t>
      </w:r>
    </w:p>
    <w:p w14:paraId="6A787487" w14:textId="77777777" w:rsidR="00D02BC8" w:rsidRPr="00D31EBB" w:rsidRDefault="00D02BC8" w:rsidP="008B6CCB">
      <w:pPr>
        <w:pStyle w:val="EMEABodyText"/>
        <w:rPr>
          <w:noProof/>
          <w:lang w:val="en-US"/>
        </w:rPr>
      </w:pPr>
    </w:p>
    <w:p w14:paraId="2A1B5774" w14:textId="77777777" w:rsidR="00D02BC8" w:rsidRPr="00D31EBB" w:rsidRDefault="00D02BC8" w:rsidP="008B6CCB">
      <w:pPr>
        <w:pStyle w:val="EMEABodyText"/>
        <w:rPr>
          <w:noProof/>
          <w:lang w:val="en-US"/>
        </w:rPr>
      </w:pPr>
    </w:p>
    <w:p w14:paraId="75F6D301" w14:textId="77777777" w:rsidR="00D02BC8" w:rsidRPr="00D31EBB" w:rsidRDefault="00D02BC8" w:rsidP="008B6CCB">
      <w:pPr>
        <w:pStyle w:val="EMEATitlePAC"/>
        <w:rPr>
          <w:noProof/>
        </w:rPr>
      </w:pPr>
      <w:r>
        <w:t>3.</w:t>
      </w:r>
      <w:r>
        <w:tab/>
        <w:t>LIST OF EXCIPIENTS</w:t>
      </w:r>
    </w:p>
    <w:p w14:paraId="1909D3B6" w14:textId="77777777" w:rsidR="00D02BC8" w:rsidRPr="00D31EBB" w:rsidRDefault="00D02BC8" w:rsidP="008B6CCB">
      <w:pPr>
        <w:pStyle w:val="EMEABodyText"/>
        <w:rPr>
          <w:noProof/>
          <w:lang w:val="en-US"/>
        </w:rPr>
      </w:pPr>
    </w:p>
    <w:p w14:paraId="290BBAD2" w14:textId="77777777" w:rsidR="00D02BC8" w:rsidRPr="00D31EBB" w:rsidRDefault="00D02BC8" w:rsidP="008B6CCB">
      <w:pPr>
        <w:pStyle w:val="EMEABodyText"/>
      </w:pPr>
      <w:r>
        <w:t>Excipients: contains lactose (see leaflet for further information).</w:t>
      </w:r>
    </w:p>
    <w:p w14:paraId="420ACBA0" w14:textId="77777777" w:rsidR="00D02BC8" w:rsidRPr="00D31EBB" w:rsidRDefault="00D02BC8" w:rsidP="008B6CCB">
      <w:pPr>
        <w:pStyle w:val="EMEABodyText"/>
        <w:rPr>
          <w:noProof/>
          <w:lang w:val="en-US"/>
        </w:rPr>
      </w:pPr>
    </w:p>
    <w:p w14:paraId="3332A1F3" w14:textId="77777777" w:rsidR="00D02BC8" w:rsidRPr="00D31EBB" w:rsidRDefault="00D02BC8" w:rsidP="008B6CCB">
      <w:pPr>
        <w:pStyle w:val="EMEABodyText"/>
        <w:rPr>
          <w:noProof/>
          <w:lang w:val="en-US"/>
        </w:rPr>
      </w:pPr>
    </w:p>
    <w:p w14:paraId="387BC58A" w14:textId="77777777" w:rsidR="00D02BC8" w:rsidRPr="00D31EBB" w:rsidRDefault="00D02BC8" w:rsidP="008B6CCB">
      <w:pPr>
        <w:pStyle w:val="EMEATitlePAC"/>
        <w:rPr>
          <w:noProof/>
        </w:rPr>
      </w:pPr>
      <w:r>
        <w:t>4.</w:t>
      </w:r>
      <w:r>
        <w:tab/>
        <w:t>PHARMACEUTICAL FORM AND CONTENTS</w:t>
      </w:r>
    </w:p>
    <w:p w14:paraId="7F5605F0" w14:textId="77777777" w:rsidR="00D02BC8" w:rsidRPr="00D31EBB" w:rsidRDefault="00D02BC8" w:rsidP="008B6CCB">
      <w:pPr>
        <w:pStyle w:val="EMEABodyText"/>
        <w:rPr>
          <w:noProof/>
          <w:lang w:val="en-US"/>
        </w:rPr>
      </w:pPr>
    </w:p>
    <w:p w14:paraId="222EBAFB" w14:textId="77777777" w:rsidR="00D02BC8" w:rsidRPr="00D31EBB" w:rsidRDefault="00D02BC8" w:rsidP="008B6CCB">
      <w:pPr>
        <w:pStyle w:val="EMEABodyText"/>
      </w:pPr>
      <w:r>
        <w:rPr>
          <w:highlight w:val="lightGray"/>
        </w:rPr>
        <w:t>Carton Bottle pack (1 bottle):</w:t>
      </w:r>
      <w:r>
        <w:t xml:space="preserve"> 30 hard capsules</w:t>
      </w:r>
    </w:p>
    <w:p w14:paraId="75C7ED25" w14:textId="77777777" w:rsidR="00D02BC8" w:rsidRPr="00D31EBB" w:rsidRDefault="00D02BC8" w:rsidP="008B6CCB">
      <w:pPr>
        <w:pStyle w:val="EMEABodyText"/>
      </w:pPr>
      <w:r>
        <w:rPr>
          <w:highlight w:val="lightGray"/>
        </w:rPr>
        <w:t xml:space="preserve">Carton Bottle pack: (3 bottles): </w:t>
      </w:r>
      <w:r>
        <w:t>3 x 30 hard capsules (3 bottles of 30 hard capsules)</w:t>
      </w:r>
      <w:r>
        <w:br/>
      </w:r>
      <w:r>
        <w:rPr>
          <w:highlight w:val="lightGray"/>
        </w:rPr>
        <w:t xml:space="preserve">Label Bottle pack: </w:t>
      </w:r>
      <w:r>
        <w:t xml:space="preserve">30 hard capsules </w:t>
      </w:r>
      <w:r>
        <w:br/>
      </w:r>
    </w:p>
    <w:p w14:paraId="11E1ACF7" w14:textId="77777777" w:rsidR="00D02BC8" w:rsidRPr="00D31EBB" w:rsidRDefault="00D02BC8" w:rsidP="008B6CCB">
      <w:pPr>
        <w:pStyle w:val="EMEABodyText"/>
      </w:pPr>
      <w:r>
        <w:rPr>
          <w:highlight w:val="lightGray"/>
        </w:rPr>
        <w:t>Blister pack:</w:t>
      </w:r>
      <w:r>
        <w:t xml:space="preserve"> 30 hard capsules</w:t>
      </w:r>
    </w:p>
    <w:p w14:paraId="19B53169" w14:textId="77777777" w:rsidR="00D02BC8" w:rsidRPr="00D31EBB" w:rsidRDefault="00D02BC8" w:rsidP="008B6CCB">
      <w:pPr>
        <w:pStyle w:val="EMEABodyText"/>
        <w:rPr>
          <w:noProof/>
          <w:lang w:val="en-US"/>
        </w:rPr>
      </w:pPr>
    </w:p>
    <w:p w14:paraId="57354D07" w14:textId="77777777" w:rsidR="00D02BC8" w:rsidRPr="00D31EBB" w:rsidRDefault="00D02BC8" w:rsidP="008B6CCB">
      <w:pPr>
        <w:pStyle w:val="EMEABodyText"/>
        <w:rPr>
          <w:noProof/>
          <w:lang w:val="en-US"/>
        </w:rPr>
      </w:pPr>
    </w:p>
    <w:p w14:paraId="32D8F51D" w14:textId="77777777" w:rsidR="00D02BC8" w:rsidRPr="00D31EBB" w:rsidRDefault="00D02BC8" w:rsidP="008B6CCB">
      <w:pPr>
        <w:pStyle w:val="EMEATitlePAC"/>
        <w:rPr>
          <w:noProof/>
        </w:rPr>
      </w:pPr>
      <w:r>
        <w:t>5.</w:t>
      </w:r>
      <w:r>
        <w:tab/>
        <w:t>METHOD AND ROUTE(S) OF ADMINISTRATION</w:t>
      </w:r>
    </w:p>
    <w:p w14:paraId="48401EC5" w14:textId="77777777" w:rsidR="00D02BC8" w:rsidRPr="00D31EBB" w:rsidRDefault="00D02BC8" w:rsidP="008B6CCB">
      <w:pPr>
        <w:pStyle w:val="EMEABodyText"/>
        <w:rPr>
          <w:noProof/>
          <w:lang w:val="en-US"/>
        </w:rPr>
      </w:pPr>
    </w:p>
    <w:p w14:paraId="5EE93F1C" w14:textId="77777777" w:rsidR="00D02BC8" w:rsidRPr="00D31EBB" w:rsidRDefault="00D02BC8" w:rsidP="008B6CCB">
      <w:pPr>
        <w:pStyle w:val="EMEABodyText"/>
      </w:pPr>
      <w:r>
        <w:t>Oral use.</w:t>
      </w:r>
    </w:p>
    <w:p w14:paraId="35270351" w14:textId="77777777" w:rsidR="00D02BC8" w:rsidRPr="00D31EBB" w:rsidRDefault="00D02BC8" w:rsidP="008B6CCB">
      <w:pPr>
        <w:pStyle w:val="EMEABodyText"/>
      </w:pPr>
      <w:r>
        <w:t>Capsules should be swallowed whole. Read the package leaflet before use.</w:t>
      </w:r>
    </w:p>
    <w:p w14:paraId="34B714B7" w14:textId="77777777" w:rsidR="00D02BC8" w:rsidRPr="00D31EBB" w:rsidRDefault="00D02BC8" w:rsidP="008B6CCB">
      <w:pPr>
        <w:pStyle w:val="EMEABodyText"/>
        <w:rPr>
          <w:noProof/>
          <w:lang w:val="en-US"/>
        </w:rPr>
      </w:pPr>
    </w:p>
    <w:p w14:paraId="6EA28599" w14:textId="77777777" w:rsidR="00D02BC8" w:rsidRPr="00D31EBB" w:rsidRDefault="00D02BC8" w:rsidP="008B6CCB">
      <w:pPr>
        <w:pStyle w:val="EMEABodyText"/>
        <w:rPr>
          <w:noProof/>
          <w:lang w:val="en-US"/>
        </w:rPr>
      </w:pPr>
    </w:p>
    <w:p w14:paraId="6BEC259B" w14:textId="77777777" w:rsidR="00D02BC8" w:rsidRPr="00D31EBB" w:rsidRDefault="00D02BC8" w:rsidP="008B6CCB">
      <w:pPr>
        <w:pStyle w:val="EMEATitlePAC"/>
        <w:rPr>
          <w:noProof/>
        </w:rPr>
      </w:pPr>
      <w:r>
        <w:t>6.</w:t>
      </w:r>
      <w:r>
        <w:tab/>
        <w:t>SPECIAL WARNING THAT THE MEDICINAL PRODUCT MUST BE STORED OUT OF THE SIGHT AND REACH OF CHILDREN</w:t>
      </w:r>
    </w:p>
    <w:p w14:paraId="5D6BA238" w14:textId="77777777" w:rsidR="00D02BC8" w:rsidRPr="00D31EBB" w:rsidRDefault="00D02BC8" w:rsidP="008B6CCB">
      <w:pPr>
        <w:pStyle w:val="EMEABodyText"/>
        <w:rPr>
          <w:noProof/>
          <w:lang w:val="en-US"/>
        </w:rPr>
      </w:pPr>
    </w:p>
    <w:p w14:paraId="053B2260" w14:textId="77777777" w:rsidR="00D02BC8" w:rsidRPr="00D31EBB" w:rsidRDefault="00D02BC8" w:rsidP="008B6CCB">
      <w:pPr>
        <w:pStyle w:val="EMEABodyText"/>
        <w:rPr>
          <w:noProof/>
        </w:rPr>
      </w:pPr>
      <w:r>
        <w:t>Keep out of the sight and reach of children.</w:t>
      </w:r>
    </w:p>
    <w:p w14:paraId="48A28328" w14:textId="77777777" w:rsidR="00D02BC8" w:rsidRPr="00D31EBB" w:rsidRDefault="00D02BC8" w:rsidP="008B6CCB">
      <w:pPr>
        <w:pStyle w:val="EMEABodyText"/>
        <w:rPr>
          <w:noProof/>
          <w:lang w:val="en-US"/>
        </w:rPr>
      </w:pPr>
    </w:p>
    <w:p w14:paraId="1D8E7DE9" w14:textId="77777777" w:rsidR="00D02BC8" w:rsidRPr="00D31EBB" w:rsidRDefault="00D02BC8" w:rsidP="008B6CCB">
      <w:pPr>
        <w:pStyle w:val="EMEABodyText"/>
        <w:rPr>
          <w:noProof/>
          <w:lang w:val="en-US"/>
        </w:rPr>
      </w:pPr>
    </w:p>
    <w:p w14:paraId="7E810817" w14:textId="77777777" w:rsidR="00D02BC8" w:rsidRPr="00D31EBB" w:rsidRDefault="00D02BC8" w:rsidP="008B6CCB">
      <w:pPr>
        <w:pStyle w:val="EMEATitlePAC"/>
        <w:rPr>
          <w:noProof/>
        </w:rPr>
      </w:pPr>
      <w:r>
        <w:t>7.</w:t>
      </w:r>
      <w:r>
        <w:tab/>
        <w:t>OTHER SPECIAL WARNING(S), IF NECESSARY</w:t>
      </w:r>
    </w:p>
    <w:p w14:paraId="37206041" w14:textId="77777777" w:rsidR="00D02BC8" w:rsidRPr="00D31EBB" w:rsidRDefault="00D02BC8" w:rsidP="008B6CCB">
      <w:pPr>
        <w:pStyle w:val="EMEABodyText"/>
        <w:rPr>
          <w:noProof/>
          <w:lang w:val="en-US"/>
        </w:rPr>
      </w:pPr>
    </w:p>
    <w:p w14:paraId="701967DD" w14:textId="77777777" w:rsidR="00D02BC8" w:rsidRPr="00D31EBB" w:rsidRDefault="00D02BC8" w:rsidP="008B6CCB">
      <w:pPr>
        <w:pStyle w:val="EMEABodyText"/>
        <w:rPr>
          <w:noProof/>
          <w:lang w:val="en-US"/>
        </w:rPr>
      </w:pPr>
    </w:p>
    <w:p w14:paraId="19B289B7" w14:textId="77777777" w:rsidR="00D02BC8" w:rsidRPr="00D31EBB" w:rsidRDefault="00D02BC8" w:rsidP="008B6CCB">
      <w:pPr>
        <w:pStyle w:val="EMEATitlePAC"/>
        <w:rPr>
          <w:noProof/>
        </w:rPr>
      </w:pPr>
      <w:r>
        <w:t>8.</w:t>
      </w:r>
      <w:r>
        <w:tab/>
        <w:t>EXPIRY DATE</w:t>
      </w:r>
    </w:p>
    <w:p w14:paraId="7159F1D7" w14:textId="77777777" w:rsidR="00D02BC8" w:rsidRPr="00D31EBB" w:rsidRDefault="00D02BC8" w:rsidP="008B6CCB">
      <w:pPr>
        <w:pStyle w:val="EMEABodyText"/>
        <w:rPr>
          <w:i/>
          <w:noProof/>
          <w:lang w:val="en-US"/>
        </w:rPr>
      </w:pPr>
    </w:p>
    <w:p w14:paraId="229FC66F" w14:textId="77777777" w:rsidR="00D02BC8" w:rsidRPr="00D31EBB" w:rsidRDefault="00D02BC8" w:rsidP="008B6CCB">
      <w:pPr>
        <w:pStyle w:val="EMEABodyText"/>
      </w:pPr>
      <w:r>
        <w:t>EXP {MM/YYYY}</w:t>
      </w:r>
    </w:p>
    <w:p w14:paraId="668C5794" w14:textId="77777777" w:rsidR="00D02BC8" w:rsidRPr="00D31EBB" w:rsidRDefault="00D02BC8" w:rsidP="008B6CCB">
      <w:pPr>
        <w:pStyle w:val="EMEABodyText"/>
        <w:rPr>
          <w:noProof/>
          <w:lang w:val="en-US"/>
        </w:rPr>
      </w:pPr>
    </w:p>
    <w:p w14:paraId="3108BF01" w14:textId="77777777" w:rsidR="00D02BC8" w:rsidRPr="00D31EBB" w:rsidRDefault="00D02BC8" w:rsidP="008B6CCB">
      <w:pPr>
        <w:pStyle w:val="EMEABodyText"/>
        <w:rPr>
          <w:noProof/>
          <w:lang w:val="en-US"/>
        </w:rPr>
      </w:pPr>
    </w:p>
    <w:p w14:paraId="379454F7" w14:textId="77777777" w:rsidR="00D02BC8" w:rsidRPr="00D31EBB" w:rsidRDefault="00D02BC8" w:rsidP="008B6CCB">
      <w:pPr>
        <w:pStyle w:val="EMEATitlePAC"/>
        <w:rPr>
          <w:noProof/>
        </w:rPr>
      </w:pPr>
      <w:r>
        <w:t>9.</w:t>
      </w:r>
      <w:r>
        <w:tab/>
        <w:t>SPECIAL STORAGE CONDITIONS</w:t>
      </w:r>
    </w:p>
    <w:p w14:paraId="508C6C22" w14:textId="77777777" w:rsidR="00D02BC8" w:rsidRPr="00D31EBB" w:rsidRDefault="00D02BC8" w:rsidP="008B6CCB">
      <w:pPr>
        <w:pStyle w:val="EMEABodyText"/>
        <w:rPr>
          <w:noProof/>
          <w:lang w:val="en-US"/>
        </w:rPr>
      </w:pPr>
    </w:p>
    <w:p w14:paraId="361D3D7A" w14:textId="77777777" w:rsidR="00D02BC8" w:rsidRPr="00D31EBB" w:rsidRDefault="00D02BC8" w:rsidP="008B6CCB">
      <w:pPr>
        <w:pStyle w:val="EMEABodyText"/>
        <w:rPr>
          <w:highlight w:val="lightGray"/>
        </w:rPr>
      </w:pPr>
      <w:r>
        <w:rPr>
          <w:highlight w:val="lightGray"/>
        </w:rPr>
        <w:t>Bottle pack:</w:t>
      </w:r>
    </w:p>
    <w:p w14:paraId="1ACC4518" w14:textId="77777777" w:rsidR="00D02BC8" w:rsidRPr="00D31EBB" w:rsidRDefault="00D02BC8" w:rsidP="008B6CCB">
      <w:pPr>
        <w:pStyle w:val="EMEABodyText"/>
      </w:pPr>
      <w:r>
        <w:t>Do not store above 25°C.</w:t>
      </w:r>
    </w:p>
    <w:p w14:paraId="2983600B" w14:textId="77777777" w:rsidR="00D02BC8" w:rsidRPr="00D31EBB" w:rsidRDefault="00D02BC8" w:rsidP="008B6CCB">
      <w:pPr>
        <w:pStyle w:val="EMEABodyText"/>
        <w:rPr>
          <w:lang w:val="en-US"/>
        </w:rPr>
      </w:pPr>
    </w:p>
    <w:p w14:paraId="300853EC" w14:textId="77777777" w:rsidR="00D02BC8" w:rsidRPr="00D31EBB" w:rsidRDefault="00D02BC8" w:rsidP="008B6CCB">
      <w:pPr>
        <w:pStyle w:val="EMEABodyText"/>
        <w:rPr>
          <w:highlight w:val="lightGray"/>
        </w:rPr>
      </w:pPr>
      <w:r>
        <w:rPr>
          <w:highlight w:val="lightGray"/>
        </w:rPr>
        <w:t>Blister pack:</w:t>
      </w:r>
    </w:p>
    <w:p w14:paraId="4A885AFA" w14:textId="77777777" w:rsidR="00D02BC8" w:rsidRPr="00D31EBB" w:rsidRDefault="00D02BC8" w:rsidP="008B6CCB">
      <w:pPr>
        <w:pStyle w:val="EMEABodyText"/>
      </w:pPr>
      <w:r>
        <w:t>Do not store above 25°C.</w:t>
      </w:r>
    </w:p>
    <w:p w14:paraId="6C170548" w14:textId="77777777" w:rsidR="00D02BC8" w:rsidRPr="00D31EBB" w:rsidRDefault="00D02BC8" w:rsidP="008B6CCB">
      <w:pPr>
        <w:pStyle w:val="EMEABodyText"/>
        <w:rPr>
          <w:noProof/>
        </w:rPr>
      </w:pPr>
      <w:r>
        <w:t>Store in the original package</w:t>
      </w:r>
    </w:p>
    <w:p w14:paraId="4A327A8A" w14:textId="77777777" w:rsidR="00D02BC8" w:rsidRPr="00D31EBB" w:rsidRDefault="00D02BC8" w:rsidP="008B6CCB">
      <w:pPr>
        <w:pStyle w:val="EMEABodyText"/>
        <w:rPr>
          <w:noProof/>
          <w:lang w:val="en-US"/>
        </w:rPr>
      </w:pPr>
    </w:p>
    <w:p w14:paraId="0D93E2D1" w14:textId="77777777" w:rsidR="00D02BC8" w:rsidRPr="00D31EBB" w:rsidRDefault="00D02BC8" w:rsidP="008B6CCB">
      <w:pPr>
        <w:pStyle w:val="EMEABodyText"/>
        <w:rPr>
          <w:noProof/>
          <w:lang w:val="en-US"/>
        </w:rPr>
      </w:pPr>
    </w:p>
    <w:p w14:paraId="7D7127DD" w14:textId="77777777" w:rsidR="00D02BC8" w:rsidRPr="00D31EBB" w:rsidRDefault="00D02BC8" w:rsidP="008B6CCB">
      <w:pPr>
        <w:pStyle w:val="EMEATitlePAC"/>
        <w:rPr>
          <w:noProof/>
        </w:rPr>
      </w:pPr>
      <w:r>
        <w:t>10.</w:t>
      </w:r>
      <w:r>
        <w:tab/>
        <w:t>SPECIAL PRECAUTIONS FOR DISPOSAL OF UNUSED MEDICINAL PRODUCTS OR WASTE MATERIALS DERIVED FROM SUCH MEDICINAL PRODUCTS, IF APPROPRIATE</w:t>
      </w:r>
    </w:p>
    <w:p w14:paraId="79135579" w14:textId="77777777" w:rsidR="00D02BC8" w:rsidRPr="00D31EBB" w:rsidRDefault="00D02BC8" w:rsidP="008B6CCB">
      <w:pPr>
        <w:pStyle w:val="EMEABodyText"/>
        <w:rPr>
          <w:noProof/>
          <w:lang w:val="en-US"/>
        </w:rPr>
      </w:pPr>
    </w:p>
    <w:p w14:paraId="75C2FD76" w14:textId="77777777" w:rsidR="00D02BC8" w:rsidRPr="00D31EBB" w:rsidRDefault="00D02BC8" w:rsidP="008B6CCB">
      <w:pPr>
        <w:pStyle w:val="EMEABodyText"/>
        <w:rPr>
          <w:noProof/>
          <w:lang w:val="en-US"/>
        </w:rPr>
      </w:pPr>
    </w:p>
    <w:p w14:paraId="54829778" w14:textId="77777777" w:rsidR="00D02BC8" w:rsidRPr="00D31EBB" w:rsidRDefault="00D02BC8" w:rsidP="008B6CCB">
      <w:pPr>
        <w:pStyle w:val="EMEATitlePAC"/>
        <w:rPr>
          <w:noProof/>
        </w:rPr>
      </w:pPr>
      <w:r>
        <w:t>11.</w:t>
      </w:r>
      <w:r>
        <w:tab/>
        <w:t>NAME AND ADDRESS OF THE MARKETING AUTHORISATION HOLDER</w:t>
      </w:r>
    </w:p>
    <w:p w14:paraId="30F9BD52" w14:textId="77777777" w:rsidR="00D02BC8" w:rsidRPr="00D31EBB" w:rsidRDefault="00D02BC8" w:rsidP="008B6CCB">
      <w:pPr>
        <w:pStyle w:val="EMEABodyText"/>
        <w:rPr>
          <w:noProof/>
          <w:lang w:val="en-US"/>
        </w:rPr>
      </w:pPr>
    </w:p>
    <w:p w14:paraId="6D020635"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01B520F5" w14:textId="77777777" w:rsidR="00965E20" w:rsidRDefault="00965E20" w:rsidP="00965E20">
      <w:pPr>
        <w:numPr>
          <w:ilvl w:val="12"/>
          <w:numId w:val="0"/>
        </w:numPr>
      </w:pPr>
      <w:r>
        <w:t xml:space="preserve">Ireland </w:t>
      </w:r>
    </w:p>
    <w:p w14:paraId="06422C39" w14:textId="77777777" w:rsidR="00D02BC8" w:rsidRPr="00D31EBB" w:rsidRDefault="00D02BC8" w:rsidP="00AA7900">
      <w:pPr>
        <w:numPr>
          <w:ilvl w:val="12"/>
          <w:numId w:val="0"/>
        </w:numPr>
        <w:rPr>
          <w:lang w:val="en-US"/>
        </w:rPr>
      </w:pPr>
    </w:p>
    <w:p w14:paraId="33A748B8" w14:textId="454D072B" w:rsidR="00D02BC8" w:rsidRPr="00D31EBB" w:rsidRDefault="00D02BC8" w:rsidP="008B6CCB">
      <w:pPr>
        <w:pStyle w:val="EMEABodyText"/>
        <w:rPr>
          <w:noProof/>
          <w:lang w:val="en-US"/>
        </w:rPr>
      </w:pPr>
    </w:p>
    <w:p w14:paraId="339D95A8" w14:textId="77777777" w:rsidR="00D02BC8" w:rsidRPr="00D31EBB" w:rsidRDefault="00D02BC8" w:rsidP="008B6CCB">
      <w:pPr>
        <w:pStyle w:val="EMEATitlePAC"/>
        <w:rPr>
          <w:noProof/>
        </w:rPr>
      </w:pPr>
      <w:r>
        <w:t>12.</w:t>
      </w:r>
      <w:r>
        <w:tab/>
        <w:t xml:space="preserve">MARKETING AUTHORISATION NUMBER(S) </w:t>
      </w:r>
    </w:p>
    <w:p w14:paraId="3F832D91" w14:textId="77777777" w:rsidR="00D02BC8" w:rsidRPr="00D31EBB" w:rsidRDefault="00D02BC8" w:rsidP="008B6CCB">
      <w:pPr>
        <w:pStyle w:val="EMEABodyText"/>
        <w:rPr>
          <w:noProof/>
          <w:lang w:val="en-US"/>
        </w:rPr>
      </w:pPr>
    </w:p>
    <w:p w14:paraId="2677DDDB" w14:textId="77777777" w:rsidR="00D02BC8" w:rsidRPr="00D31EBB" w:rsidRDefault="00D02BC8" w:rsidP="008B6CCB">
      <w:pPr>
        <w:pStyle w:val="EMEABodyText"/>
        <w:rPr>
          <w:highlight w:val="lightGray"/>
        </w:rPr>
      </w:pPr>
      <w:r>
        <w:rPr>
          <w:highlight w:val="lightGray"/>
        </w:rPr>
        <w:t xml:space="preserve">Bottle pack </w:t>
      </w:r>
    </w:p>
    <w:p w14:paraId="5F86EDA7" w14:textId="77777777" w:rsidR="00D02BC8" w:rsidRPr="00965E20" w:rsidRDefault="00D02BC8" w:rsidP="008B6CCB">
      <w:pPr>
        <w:pStyle w:val="EMEABodyText"/>
      </w:pPr>
      <w:r>
        <w:rPr>
          <w:highlight w:val="lightGray"/>
        </w:rPr>
        <w:t>30 hard capsules:</w:t>
      </w:r>
      <w:r>
        <w:t xml:space="preserve"> EU/1/03/267/008</w:t>
      </w:r>
    </w:p>
    <w:p w14:paraId="56580A5D" w14:textId="77777777" w:rsidR="00D02BC8" w:rsidRPr="00965E20" w:rsidRDefault="00D02BC8" w:rsidP="008B6CCB">
      <w:pPr>
        <w:pStyle w:val="EMEABodyText"/>
      </w:pPr>
      <w:r>
        <w:rPr>
          <w:highlight w:val="lightGray"/>
        </w:rPr>
        <w:t>3 x 30 hard capsules:</w:t>
      </w:r>
      <w:r>
        <w:t xml:space="preserve"> EU/1/03/267/010</w:t>
      </w:r>
      <w:r>
        <w:br/>
      </w:r>
    </w:p>
    <w:p w14:paraId="0A9284CE" w14:textId="77777777" w:rsidR="00D02BC8" w:rsidRPr="00D31EBB" w:rsidRDefault="00D02BC8" w:rsidP="008B6CCB">
      <w:pPr>
        <w:pStyle w:val="EMEABodyText"/>
        <w:rPr>
          <w:highlight w:val="lightGray"/>
        </w:rPr>
      </w:pPr>
      <w:r>
        <w:rPr>
          <w:highlight w:val="lightGray"/>
        </w:rPr>
        <w:t>Blister pack :</w:t>
      </w:r>
    </w:p>
    <w:p w14:paraId="31FD7F58" w14:textId="77777777" w:rsidR="00D02BC8" w:rsidRPr="00D31EBB" w:rsidRDefault="00D02BC8" w:rsidP="008B6CCB">
      <w:pPr>
        <w:pStyle w:val="EMEABodyText"/>
      </w:pPr>
      <w:r>
        <w:rPr>
          <w:highlight w:val="lightGray"/>
        </w:rPr>
        <w:t>30 hard capsules:</w:t>
      </w:r>
      <w:r>
        <w:t xml:space="preserve"> EU/1/03/267/009</w:t>
      </w:r>
      <w:r>
        <w:br/>
      </w:r>
    </w:p>
    <w:p w14:paraId="650B28C2" w14:textId="77777777" w:rsidR="00D02BC8" w:rsidRPr="00D31EBB" w:rsidRDefault="00D02BC8" w:rsidP="008B6CCB">
      <w:pPr>
        <w:pStyle w:val="EMEABodyText"/>
        <w:rPr>
          <w:lang w:val="en-US"/>
        </w:rPr>
      </w:pPr>
    </w:p>
    <w:p w14:paraId="782799DA" w14:textId="77777777" w:rsidR="00D02BC8" w:rsidRPr="00D31EBB" w:rsidRDefault="00D02BC8" w:rsidP="008B6CCB">
      <w:pPr>
        <w:pStyle w:val="EMEATitlePAC"/>
        <w:rPr>
          <w:noProof/>
        </w:rPr>
      </w:pPr>
      <w:r>
        <w:t>13.</w:t>
      </w:r>
      <w:r>
        <w:tab/>
        <w:t>BATCH NUMBER</w:t>
      </w:r>
    </w:p>
    <w:p w14:paraId="2246384F" w14:textId="77777777" w:rsidR="00D02BC8" w:rsidRPr="00D31EBB" w:rsidRDefault="00D02BC8" w:rsidP="008B6CCB">
      <w:pPr>
        <w:pStyle w:val="EMEABodyText"/>
        <w:rPr>
          <w:noProof/>
          <w:lang w:val="en-US"/>
        </w:rPr>
      </w:pPr>
    </w:p>
    <w:p w14:paraId="7AEAE8C4" w14:textId="77777777" w:rsidR="00D02BC8" w:rsidRPr="00D31EBB" w:rsidRDefault="00D02BC8" w:rsidP="008B6CCB">
      <w:pPr>
        <w:pStyle w:val="EMEABodyText"/>
      </w:pPr>
      <w:r>
        <w:t>Lot</w:t>
      </w:r>
    </w:p>
    <w:p w14:paraId="20F09EA4" w14:textId="77777777" w:rsidR="00D02BC8" w:rsidRPr="00D31EBB" w:rsidRDefault="00D02BC8" w:rsidP="008B6CCB">
      <w:pPr>
        <w:pStyle w:val="EMEABodyText"/>
        <w:rPr>
          <w:noProof/>
          <w:lang w:val="en-US"/>
        </w:rPr>
      </w:pPr>
    </w:p>
    <w:p w14:paraId="4A02C1BC" w14:textId="77777777" w:rsidR="00D02BC8" w:rsidRPr="00D31EBB" w:rsidRDefault="00D02BC8" w:rsidP="008B6CCB">
      <w:pPr>
        <w:pStyle w:val="EMEABodyText"/>
        <w:rPr>
          <w:noProof/>
          <w:lang w:val="en-US"/>
        </w:rPr>
      </w:pPr>
    </w:p>
    <w:p w14:paraId="66CF2010" w14:textId="77777777" w:rsidR="00D02BC8" w:rsidRPr="00D31EBB" w:rsidRDefault="00D02BC8" w:rsidP="008B6CCB">
      <w:pPr>
        <w:pStyle w:val="EMEATitlePAC"/>
        <w:rPr>
          <w:noProof/>
        </w:rPr>
      </w:pPr>
      <w:r>
        <w:t>14.</w:t>
      </w:r>
      <w:r>
        <w:tab/>
        <w:t>GENERAL CLASSIFICATION FOR SUPPLY</w:t>
      </w:r>
    </w:p>
    <w:p w14:paraId="330DECB1" w14:textId="77777777" w:rsidR="00D02BC8" w:rsidRPr="00D31EBB" w:rsidRDefault="00D02BC8" w:rsidP="008B6CCB">
      <w:pPr>
        <w:pStyle w:val="EMEABodyText"/>
        <w:rPr>
          <w:noProof/>
          <w:lang w:val="en-US"/>
        </w:rPr>
      </w:pPr>
    </w:p>
    <w:p w14:paraId="383E04D7" w14:textId="77777777" w:rsidR="00D02BC8" w:rsidRPr="00D31EBB" w:rsidRDefault="00D02BC8" w:rsidP="008B6CCB">
      <w:pPr>
        <w:pStyle w:val="EMEABodyText"/>
      </w:pPr>
      <w:r>
        <w:t>Medicinal product subject to medical prescription.</w:t>
      </w:r>
    </w:p>
    <w:p w14:paraId="3E4C6AF9" w14:textId="77777777" w:rsidR="00D02BC8" w:rsidRPr="00D31EBB" w:rsidRDefault="00D02BC8" w:rsidP="008B6CCB">
      <w:pPr>
        <w:pStyle w:val="EMEABodyText"/>
        <w:rPr>
          <w:noProof/>
          <w:lang w:val="en-US"/>
        </w:rPr>
      </w:pPr>
    </w:p>
    <w:p w14:paraId="14B09525" w14:textId="77777777" w:rsidR="00D02BC8" w:rsidRPr="00D31EBB" w:rsidRDefault="00D02BC8" w:rsidP="008B6CCB">
      <w:pPr>
        <w:pStyle w:val="EMEABodyText"/>
        <w:rPr>
          <w:noProof/>
          <w:lang w:val="en-US"/>
        </w:rPr>
      </w:pPr>
    </w:p>
    <w:p w14:paraId="5556793E" w14:textId="77777777" w:rsidR="00D02BC8" w:rsidRPr="00D31EBB" w:rsidRDefault="00D02BC8" w:rsidP="008B6CCB">
      <w:pPr>
        <w:pStyle w:val="EMEATitlePAC"/>
        <w:rPr>
          <w:noProof/>
        </w:rPr>
      </w:pPr>
      <w:r>
        <w:t>15.</w:t>
      </w:r>
      <w:r>
        <w:tab/>
        <w:t>INSTRUCTIONS ON USE</w:t>
      </w:r>
    </w:p>
    <w:p w14:paraId="71762054" w14:textId="77777777" w:rsidR="00D02BC8" w:rsidRPr="00D31EBB" w:rsidRDefault="00D02BC8" w:rsidP="008B6CCB">
      <w:pPr>
        <w:pStyle w:val="EMEABodyText"/>
        <w:rPr>
          <w:noProof/>
          <w:lang w:val="en-US"/>
        </w:rPr>
      </w:pPr>
    </w:p>
    <w:p w14:paraId="5BC32A6E" w14:textId="77777777" w:rsidR="00D02BC8" w:rsidRPr="00D31EBB" w:rsidRDefault="00D02BC8" w:rsidP="008B6CCB">
      <w:pPr>
        <w:pStyle w:val="EMEABodyText"/>
        <w:rPr>
          <w:noProof/>
          <w:lang w:val="en-US"/>
        </w:rPr>
      </w:pPr>
    </w:p>
    <w:p w14:paraId="693F97CC" w14:textId="77777777" w:rsidR="00D02BC8" w:rsidRPr="00D31EBB" w:rsidRDefault="00D02BC8" w:rsidP="008B6CCB">
      <w:pPr>
        <w:pStyle w:val="EMEATitlePAC"/>
        <w:rPr>
          <w:noProof/>
        </w:rPr>
      </w:pPr>
      <w:r>
        <w:t>16.</w:t>
      </w:r>
      <w:r>
        <w:tab/>
        <w:t>INFORMATION IN BRAILLE</w:t>
      </w:r>
    </w:p>
    <w:p w14:paraId="47AF6525" w14:textId="77777777" w:rsidR="00D02BC8" w:rsidRPr="00D31EBB" w:rsidRDefault="00D02BC8" w:rsidP="008B6CCB">
      <w:pPr>
        <w:pStyle w:val="EMEABodyText"/>
        <w:rPr>
          <w:noProof/>
          <w:lang w:val="en-US"/>
        </w:rPr>
      </w:pPr>
    </w:p>
    <w:p w14:paraId="2EC815D5" w14:textId="77777777" w:rsidR="00D02BC8" w:rsidRPr="00D31EBB" w:rsidRDefault="00D02BC8" w:rsidP="008B6CCB">
      <w:pPr>
        <w:pStyle w:val="EMEABodyText"/>
      </w:pPr>
      <w:r>
        <w:rPr>
          <w:highlight w:val="lightGray"/>
        </w:rPr>
        <w:t>Outer carton:</w:t>
      </w:r>
      <w:r>
        <w:t xml:space="preserve"> REYATAZ 300 mg</w:t>
      </w:r>
    </w:p>
    <w:p w14:paraId="4CFA5A9B" w14:textId="77777777" w:rsidR="00B5335E" w:rsidRPr="00D31EBB" w:rsidRDefault="00B5335E" w:rsidP="00B5335E">
      <w:pPr>
        <w:pStyle w:val="EMEABodyText"/>
        <w:rPr>
          <w:lang w:val="en-US"/>
        </w:rPr>
      </w:pPr>
    </w:p>
    <w:p w14:paraId="3B72B810" w14:textId="77777777" w:rsidR="00B5335E" w:rsidRPr="00D31EBB" w:rsidRDefault="00B5335E" w:rsidP="00B5335E">
      <w:pPr>
        <w:rPr>
          <w:noProof/>
          <w:szCs w:val="22"/>
          <w:shd w:val="clear" w:color="auto" w:fill="CCCCCC"/>
          <w:lang w:val="en-US"/>
        </w:rPr>
      </w:pPr>
    </w:p>
    <w:p w14:paraId="3B0C09CA"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17.</w:t>
      </w:r>
      <w:r>
        <w:rPr>
          <w:b/>
        </w:rPr>
        <w:tab/>
        <w:t>UNIQUE IDENTIFIER – 2D BARCODE</w:t>
      </w:r>
    </w:p>
    <w:p w14:paraId="57E06B44" w14:textId="77777777" w:rsidR="00B5335E" w:rsidRPr="00D31EBB" w:rsidRDefault="00B5335E" w:rsidP="00B5335E">
      <w:pPr>
        <w:rPr>
          <w:noProof/>
          <w:lang w:val="en-US"/>
        </w:rPr>
      </w:pPr>
    </w:p>
    <w:p w14:paraId="577FE439" w14:textId="77777777" w:rsidR="00B5335E" w:rsidRPr="00D31EBB" w:rsidRDefault="00B5335E" w:rsidP="00B5335E">
      <w:pPr>
        <w:rPr>
          <w:noProof/>
          <w:szCs w:val="22"/>
          <w:shd w:val="clear" w:color="auto" w:fill="CCCCCC"/>
        </w:rPr>
      </w:pPr>
      <w:r>
        <w:rPr>
          <w:highlight w:val="lightGray"/>
        </w:rPr>
        <w:t>2D barcode carrying the unique identifier included.</w:t>
      </w:r>
    </w:p>
    <w:p w14:paraId="60633459" w14:textId="77777777" w:rsidR="00B5335E" w:rsidRPr="00D31EBB" w:rsidRDefault="00B5335E" w:rsidP="00B5335E">
      <w:pPr>
        <w:rPr>
          <w:noProof/>
          <w:lang w:val="en-US"/>
        </w:rPr>
      </w:pPr>
    </w:p>
    <w:p w14:paraId="58DC2BC6" w14:textId="77777777" w:rsidR="00B5335E" w:rsidRPr="00D31EBB" w:rsidRDefault="00B5335E" w:rsidP="00B5335E">
      <w:pPr>
        <w:rPr>
          <w:noProof/>
          <w:lang w:val="en-US"/>
        </w:rPr>
      </w:pPr>
    </w:p>
    <w:p w14:paraId="118824EC"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18.</w:t>
      </w:r>
      <w:r>
        <w:rPr>
          <w:b/>
        </w:rPr>
        <w:tab/>
        <w:t>UNIQUE IDENTIFIER - HUMAN READABLE DATA</w:t>
      </w:r>
    </w:p>
    <w:p w14:paraId="2EFD2AFB" w14:textId="77777777" w:rsidR="00B5335E" w:rsidRPr="00D31EBB" w:rsidRDefault="00B5335E" w:rsidP="00B5335E">
      <w:pPr>
        <w:rPr>
          <w:noProof/>
          <w:lang w:val="en-US"/>
        </w:rPr>
      </w:pPr>
    </w:p>
    <w:p w14:paraId="4166B055" w14:textId="77777777" w:rsidR="00B5335E" w:rsidRPr="00D31EBB" w:rsidRDefault="00B5335E" w:rsidP="00B5335E">
      <w:pPr>
        <w:rPr>
          <w:color w:val="008000"/>
          <w:szCs w:val="22"/>
        </w:rPr>
      </w:pPr>
      <w:r>
        <w:t xml:space="preserve">PC: </w:t>
      </w:r>
    </w:p>
    <w:p w14:paraId="1B877BDB" w14:textId="77777777" w:rsidR="00B5335E" w:rsidRPr="00D31EBB" w:rsidRDefault="00B5335E" w:rsidP="00B5335E">
      <w:pPr>
        <w:rPr>
          <w:szCs w:val="22"/>
        </w:rPr>
      </w:pPr>
      <w:r>
        <w:t xml:space="preserve">SN: </w:t>
      </w:r>
    </w:p>
    <w:p w14:paraId="37A74545" w14:textId="77777777" w:rsidR="00B5335E" w:rsidRPr="00D31EBB" w:rsidRDefault="00B5335E" w:rsidP="00B5335E">
      <w:pPr>
        <w:rPr>
          <w:noProof/>
          <w:vanish/>
          <w:szCs w:val="22"/>
        </w:rPr>
      </w:pPr>
      <w:r>
        <w:t xml:space="preserve">&lt;NN&gt;: </w:t>
      </w:r>
    </w:p>
    <w:p w14:paraId="27193133" w14:textId="77777777" w:rsidR="00B5335E" w:rsidRPr="00D31EBB" w:rsidRDefault="00B5335E" w:rsidP="008B6CCB">
      <w:pPr>
        <w:pStyle w:val="EMEABodyText"/>
        <w:rPr>
          <w:lang w:val="en-US"/>
        </w:rPr>
      </w:pPr>
    </w:p>
    <w:p w14:paraId="0C812FCC" w14:textId="77777777" w:rsidR="00B5335E" w:rsidRPr="00D31EBB" w:rsidRDefault="00B5335E" w:rsidP="008B6CCB">
      <w:pPr>
        <w:pStyle w:val="EMEABodyText"/>
        <w:rPr>
          <w:lang w:val="en-US"/>
        </w:rPr>
      </w:pPr>
    </w:p>
    <w:p w14:paraId="53135669" w14:textId="77777777" w:rsidR="00D02BC8" w:rsidRPr="00D31EBB" w:rsidRDefault="00D02BC8" w:rsidP="008B6CCB">
      <w:pPr>
        <w:pStyle w:val="EMEATitlePAC"/>
        <w:rPr>
          <w:noProof/>
        </w:rPr>
      </w:pPr>
      <w:r>
        <w:br w:type="page"/>
        <w:t>MINIMUM PARTICULARS TO APPEAR ON BLISTERS OR STRIPS</w:t>
      </w:r>
    </w:p>
    <w:p w14:paraId="27E6E7EB" w14:textId="77777777" w:rsidR="00D02BC8" w:rsidRPr="00D31EBB" w:rsidRDefault="00D02BC8" w:rsidP="008B6CCB">
      <w:pPr>
        <w:pStyle w:val="EMEABodyText"/>
        <w:rPr>
          <w:noProof/>
          <w:lang w:val="en-US"/>
        </w:rPr>
      </w:pPr>
    </w:p>
    <w:p w14:paraId="605BD9D1" w14:textId="77777777" w:rsidR="00D02BC8" w:rsidRPr="00D31EBB" w:rsidRDefault="00D02BC8" w:rsidP="008B6CCB">
      <w:pPr>
        <w:pStyle w:val="EMEABodyText"/>
        <w:rPr>
          <w:noProof/>
          <w:lang w:val="en-US"/>
        </w:rPr>
      </w:pPr>
    </w:p>
    <w:p w14:paraId="3EC010A6" w14:textId="77777777" w:rsidR="00D02BC8" w:rsidRPr="00D31EBB" w:rsidRDefault="00D02BC8" w:rsidP="008B6CCB">
      <w:pPr>
        <w:pStyle w:val="EMEATitlePAC"/>
        <w:rPr>
          <w:noProof/>
        </w:rPr>
      </w:pPr>
      <w:r>
        <w:t>1.</w:t>
      </w:r>
      <w:r>
        <w:tab/>
        <w:t>NAME OF THE MEDICINAL PRODUCT</w:t>
      </w:r>
    </w:p>
    <w:p w14:paraId="694B9575" w14:textId="77777777" w:rsidR="00D02BC8" w:rsidRPr="00D31EBB" w:rsidRDefault="00D02BC8" w:rsidP="008B6CCB">
      <w:pPr>
        <w:pStyle w:val="EMEABodyText"/>
        <w:rPr>
          <w:noProof/>
          <w:lang w:val="en-US"/>
        </w:rPr>
      </w:pPr>
    </w:p>
    <w:p w14:paraId="13B18B97" w14:textId="77777777" w:rsidR="00D02BC8" w:rsidRPr="00D31EBB" w:rsidRDefault="00D02BC8" w:rsidP="008B6CCB">
      <w:pPr>
        <w:pStyle w:val="EMEABodyText"/>
      </w:pPr>
      <w:r>
        <w:t>REYATAZ 300 mg hard capsules</w:t>
      </w:r>
    </w:p>
    <w:p w14:paraId="1D44CA6B" w14:textId="77777777" w:rsidR="00D02BC8" w:rsidRPr="00D31EBB" w:rsidRDefault="00D02BC8" w:rsidP="008B6CCB">
      <w:pPr>
        <w:pStyle w:val="EMEABodyText"/>
      </w:pPr>
      <w:r>
        <w:t>atazanavir</w:t>
      </w:r>
    </w:p>
    <w:p w14:paraId="731624F0" w14:textId="77777777" w:rsidR="00D02BC8" w:rsidRPr="00D31EBB" w:rsidRDefault="00D02BC8" w:rsidP="008B6CCB">
      <w:pPr>
        <w:pStyle w:val="EMEABodyText"/>
        <w:rPr>
          <w:b/>
          <w:noProof/>
          <w:lang w:val="en-US"/>
        </w:rPr>
      </w:pPr>
    </w:p>
    <w:p w14:paraId="339402A0" w14:textId="77777777" w:rsidR="00D02BC8" w:rsidRPr="00D31EBB" w:rsidRDefault="00D02BC8" w:rsidP="008B6CCB">
      <w:pPr>
        <w:pStyle w:val="EMEABodyText"/>
        <w:rPr>
          <w:b/>
          <w:noProof/>
          <w:lang w:val="en-US"/>
        </w:rPr>
      </w:pPr>
    </w:p>
    <w:p w14:paraId="50357C48" w14:textId="77777777" w:rsidR="00D02BC8" w:rsidRPr="00D31EBB" w:rsidRDefault="00D02BC8" w:rsidP="008B6CCB">
      <w:pPr>
        <w:pStyle w:val="EMEATitlePAC"/>
        <w:rPr>
          <w:noProof/>
        </w:rPr>
      </w:pPr>
      <w:r>
        <w:t>2.</w:t>
      </w:r>
      <w:r>
        <w:tab/>
        <w:t>NAME OF THE MARKETING AUTHORISATION HOLDER</w:t>
      </w:r>
    </w:p>
    <w:p w14:paraId="2EEDACED" w14:textId="77777777" w:rsidR="00D02BC8" w:rsidRPr="00D31EBB" w:rsidRDefault="00D02BC8" w:rsidP="008B6CCB">
      <w:pPr>
        <w:pStyle w:val="EMEABodyText"/>
        <w:rPr>
          <w:noProof/>
          <w:lang w:val="en-US"/>
        </w:rPr>
      </w:pPr>
    </w:p>
    <w:p w14:paraId="6F0FC09C" w14:textId="77777777" w:rsidR="00D02BC8" w:rsidRPr="00D31EBB" w:rsidRDefault="00D02BC8" w:rsidP="008B6CCB">
      <w:pPr>
        <w:pStyle w:val="EMEABodyText"/>
      </w:pPr>
      <w:r>
        <w:t>BRISTOL-MYERS SQUIBB PHARMA EEIG</w:t>
      </w:r>
      <w:r>
        <w:br/>
      </w:r>
    </w:p>
    <w:p w14:paraId="4A5D0992" w14:textId="77777777" w:rsidR="00D02BC8" w:rsidRPr="00D31EBB" w:rsidRDefault="00D02BC8" w:rsidP="008B6CCB">
      <w:pPr>
        <w:pStyle w:val="EMEABodyText"/>
        <w:rPr>
          <w:noProof/>
          <w:lang w:val="en-US"/>
        </w:rPr>
      </w:pPr>
    </w:p>
    <w:p w14:paraId="6E450B44" w14:textId="77777777" w:rsidR="00D02BC8" w:rsidRPr="00D31EBB" w:rsidRDefault="00D02BC8" w:rsidP="008B6CCB">
      <w:pPr>
        <w:pStyle w:val="EMEATitlePAC"/>
        <w:rPr>
          <w:noProof/>
        </w:rPr>
      </w:pPr>
      <w:r>
        <w:t>3.</w:t>
      </w:r>
      <w:r>
        <w:tab/>
        <w:t>EXPIRY DATE</w:t>
      </w:r>
    </w:p>
    <w:p w14:paraId="69CE18C0" w14:textId="77777777" w:rsidR="00D02BC8" w:rsidRPr="00D31EBB" w:rsidRDefault="00D02BC8" w:rsidP="008B6CCB">
      <w:pPr>
        <w:pStyle w:val="EMEABodyText"/>
        <w:rPr>
          <w:noProof/>
          <w:lang w:val="en-US"/>
        </w:rPr>
      </w:pPr>
    </w:p>
    <w:p w14:paraId="22987111" w14:textId="77777777" w:rsidR="00D02BC8" w:rsidRPr="00D31EBB" w:rsidRDefault="00D02BC8" w:rsidP="008B6CCB">
      <w:pPr>
        <w:pStyle w:val="EMEABodyText"/>
      </w:pPr>
      <w:r>
        <w:t>EXP {MM/YYYY}</w:t>
      </w:r>
    </w:p>
    <w:p w14:paraId="4D36618E" w14:textId="77777777" w:rsidR="00D02BC8" w:rsidRPr="00D31EBB" w:rsidRDefault="00D02BC8" w:rsidP="008B6CCB">
      <w:pPr>
        <w:pStyle w:val="EMEABodyText"/>
        <w:rPr>
          <w:noProof/>
          <w:lang w:val="en-US"/>
        </w:rPr>
      </w:pPr>
    </w:p>
    <w:p w14:paraId="3A497042" w14:textId="77777777" w:rsidR="00D02BC8" w:rsidRPr="00D31EBB" w:rsidRDefault="00D02BC8" w:rsidP="008B6CCB">
      <w:pPr>
        <w:pStyle w:val="EMEABodyText"/>
        <w:rPr>
          <w:noProof/>
          <w:lang w:val="en-US"/>
        </w:rPr>
      </w:pPr>
    </w:p>
    <w:p w14:paraId="2E646E7E" w14:textId="77777777" w:rsidR="00D02BC8" w:rsidRPr="00D31EBB" w:rsidRDefault="00D02BC8" w:rsidP="008B6CCB">
      <w:pPr>
        <w:pStyle w:val="EMEATitlePAC"/>
        <w:rPr>
          <w:noProof/>
        </w:rPr>
      </w:pPr>
      <w:r>
        <w:t>4.</w:t>
      </w:r>
      <w:r>
        <w:tab/>
        <w:t>BATCH NUMBER</w:t>
      </w:r>
    </w:p>
    <w:p w14:paraId="5DEF9B6F" w14:textId="77777777" w:rsidR="00D02BC8" w:rsidRPr="00D31EBB" w:rsidRDefault="00D02BC8" w:rsidP="008B6CCB">
      <w:pPr>
        <w:pStyle w:val="EMEABodyText"/>
        <w:rPr>
          <w:noProof/>
          <w:lang w:val="en-US"/>
        </w:rPr>
      </w:pPr>
    </w:p>
    <w:p w14:paraId="4C2ACBFD" w14:textId="77777777" w:rsidR="00D02BC8" w:rsidRPr="00D31EBB" w:rsidRDefault="00D02BC8" w:rsidP="008B6CCB">
      <w:pPr>
        <w:pStyle w:val="EMEABodyText"/>
      </w:pPr>
      <w:r>
        <w:t>Lot</w:t>
      </w:r>
    </w:p>
    <w:p w14:paraId="20E07A82" w14:textId="77777777" w:rsidR="00D02BC8" w:rsidRPr="00D31EBB" w:rsidRDefault="00D02BC8" w:rsidP="008B6CCB">
      <w:pPr>
        <w:pStyle w:val="EMEABodyText"/>
        <w:rPr>
          <w:noProof/>
          <w:lang w:val="en-US"/>
        </w:rPr>
      </w:pPr>
    </w:p>
    <w:p w14:paraId="5EC89FA5" w14:textId="77777777" w:rsidR="00D02BC8" w:rsidRPr="00D31EBB" w:rsidRDefault="00D02BC8" w:rsidP="008B6CCB">
      <w:pPr>
        <w:pStyle w:val="EMEABodyText"/>
        <w:rPr>
          <w:noProof/>
          <w:lang w:val="en-US"/>
        </w:rPr>
      </w:pPr>
    </w:p>
    <w:p w14:paraId="51A175A6" w14:textId="77777777" w:rsidR="00D02BC8" w:rsidRPr="00D31EBB" w:rsidRDefault="00D02BC8" w:rsidP="008B6CCB">
      <w:pPr>
        <w:pStyle w:val="EMEATitlePAC"/>
        <w:rPr>
          <w:noProof/>
        </w:rPr>
      </w:pPr>
      <w:r>
        <w:t>5.</w:t>
      </w:r>
      <w:r>
        <w:tab/>
        <w:t>OTHER</w:t>
      </w:r>
    </w:p>
    <w:p w14:paraId="3A2B530C" w14:textId="77777777" w:rsidR="00D02BC8" w:rsidRPr="00D31EBB" w:rsidRDefault="00D02BC8" w:rsidP="008B6CCB">
      <w:pPr>
        <w:pStyle w:val="EMEABodyText"/>
        <w:rPr>
          <w:noProof/>
          <w:lang w:val="en-US"/>
        </w:rPr>
      </w:pPr>
    </w:p>
    <w:p w14:paraId="2B1DC2DC" w14:textId="77777777" w:rsidR="00D02BC8" w:rsidRPr="00D31EBB" w:rsidRDefault="00D02BC8" w:rsidP="008B6CCB">
      <w:pPr>
        <w:pStyle w:val="EMEABodyText"/>
        <w:rPr>
          <w:iCs/>
          <w:noProof/>
          <w:lang w:val="en-US"/>
        </w:rPr>
      </w:pPr>
    </w:p>
    <w:p w14:paraId="2FC9410C" w14:textId="77777777" w:rsidR="000669FC" w:rsidRPr="00D31EBB" w:rsidRDefault="000669FC">
      <w:pPr>
        <w:pStyle w:val="EMEABodyText"/>
        <w:rPr>
          <w:lang w:val="en-US"/>
        </w:rPr>
      </w:pPr>
    </w:p>
    <w:p w14:paraId="56D13C01" w14:textId="77777777" w:rsidR="00187713" w:rsidRPr="00D31EBB" w:rsidRDefault="00187713" w:rsidP="00187713">
      <w:pPr>
        <w:pStyle w:val="EMEATitlePAC"/>
      </w:pPr>
      <w:r>
        <w:br w:type="page"/>
        <w:t xml:space="preserve">PARTICULARS TO APPEAR ON THE OUTER PACKAGING </w:t>
      </w:r>
      <w:r>
        <w:br/>
      </w:r>
    </w:p>
    <w:p w14:paraId="33F7D99E" w14:textId="77777777" w:rsidR="00187713" w:rsidRPr="00D31EBB" w:rsidRDefault="00187713" w:rsidP="00187713">
      <w:pPr>
        <w:pStyle w:val="EMEATitlePAC"/>
      </w:pPr>
      <w:r>
        <w:rPr>
          <w:smallCaps/>
        </w:rPr>
        <w:t xml:space="preserve">OUTER CARTON TEXT </w:t>
      </w:r>
    </w:p>
    <w:p w14:paraId="4664416A" w14:textId="77777777" w:rsidR="00187713" w:rsidRPr="00D31EBB" w:rsidRDefault="00187713" w:rsidP="00187713">
      <w:pPr>
        <w:pStyle w:val="EMEABodyText"/>
        <w:rPr>
          <w:noProof/>
          <w:lang w:val="en-US"/>
        </w:rPr>
      </w:pPr>
    </w:p>
    <w:p w14:paraId="0F2E5022" w14:textId="77777777" w:rsidR="00187713" w:rsidRPr="00D31EBB" w:rsidRDefault="00187713" w:rsidP="00187713">
      <w:pPr>
        <w:pStyle w:val="EMEABodyText"/>
        <w:rPr>
          <w:noProof/>
          <w:lang w:val="en-US"/>
        </w:rPr>
      </w:pPr>
    </w:p>
    <w:p w14:paraId="7EC4ECE8" w14:textId="77777777" w:rsidR="00187713" w:rsidRPr="00D31EBB" w:rsidRDefault="00187713" w:rsidP="00187713">
      <w:pPr>
        <w:pStyle w:val="EMEATitlePAC"/>
        <w:rPr>
          <w:noProof/>
        </w:rPr>
      </w:pPr>
      <w:r>
        <w:t>1.</w:t>
      </w:r>
      <w:r>
        <w:tab/>
        <w:t>NAME OF THE MEDICINAL PRODUCT</w:t>
      </w:r>
    </w:p>
    <w:p w14:paraId="63C18833" w14:textId="77777777" w:rsidR="00187713" w:rsidRPr="00D31EBB" w:rsidRDefault="00187713" w:rsidP="00187713">
      <w:pPr>
        <w:pStyle w:val="EMEABodyText"/>
        <w:rPr>
          <w:noProof/>
          <w:lang w:val="en-US"/>
        </w:rPr>
      </w:pPr>
    </w:p>
    <w:p w14:paraId="1292F98D" w14:textId="77777777" w:rsidR="00187713" w:rsidRPr="00D31EBB" w:rsidRDefault="00187713" w:rsidP="00187713">
      <w:pPr>
        <w:pStyle w:val="EMEABodyText"/>
      </w:pPr>
      <w:r>
        <w:t>REYATAZ 50 mg oral powder</w:t>
      </w:r>
    </w:p>
    <w:p w14:paraId="2B7C54B7" w14:textId="77777777" w:rsidR="00187713" w:rsidRPr="00D31EBB" w:rsidRDefault="00187713" w:rsidP="00187713">
      <w:pPr>
        <w:pStyle w:val="EMEABodyText"/>
        <w:rPr>
          <w:noProof/>
        </w:rPr>
      </w:pPr>
      <w:r>
        <w:t>atazanavir</w:t>
      </w:r>
    </w:p>
    <w:p w14:paraId="5BCAB6B0" w14:textId="77777777" w:rsidR="00187713" w:rsidRPr="00D31EBB" w:rsidRDefault="00187713" w:rsidP="00187713">
      <w:pPr>
        <w:pStyle w:val="EMEABodyText"/>
        <w:rPr>
          <w:noProof/>
          <w:lang w:val="en-US"/>
        </w:rPr>
      </w:pPr>
    </w:p>
    <w:p w14:paraId="0ACF5F59" w14:textId="77777777" w:rsidR="00187713" w:rsidRPr="00D31EBB" w:rsidRDefault="00187713" w:rsidP="00187713">
      <w:pPr>
        <w:pStyle w:val="EMEABodyText"/>
        <w:rPr>
          <w:noProof/>
          <w:lang w:val="en-US"/>
        </w:rPr>
      </w:pPr>
    </w:p>
    <w:p w14:paraId="508991E7" w14:textId="77777777" w:rsidR="00187713" w:rsidRPr="00D31EBB" w:rsidRDefault="00187713" w:rsidP="00187713">
      <w:pPr>
        <w:pStyle w:val="EMEATitlePAC"/>
        <w:rPr>
          <w:noProof/>
        </w:rPr>
      </w:pPr>
      <w:r>
        <w:t>2.</w:t>
      </w:r>
      <w:r>
        <w:tab/>
        <w:t>STATEMENT OF ACTIVE SUBSTANCE(S)</w:t>
      </w:r>
    </w:p>
    <w:p w14:paraId="48AF2A14" w14:textId="77777777" w:rsidR="00187713" w:rsidRPr="00D31EBB" w:rsidRDefault="00187713" w:rsidP="00187713">
      <w:pPr>
        <w:pStyle w:val="EMEABodyText"/>
        <w:rPr>
          <w:noProof/>
          <w:lang w:val="en-US"/>
        </w:rPr>
      </w:pPr>
    </w:p>
    <w:p w14:paraId="02EE0EF8" w14:textId="77777777" w:rsidR="00187713" w:rsidRPr="00D31EBB" w:rsidRDefault="00187713" w:rsidP="00187713">
      <w:pPr>
        <w:pStyle w:val="EMEABodyText"/>
      </w:pPr>
      <w:r>
        <w:t>Each sachet contains 50 mg of atazanavir (as sulphate).</w:t>
      </w:r>
    </w:p>
    <w:p w14:paraId="01C1016F" w14:textId="77777777" w:rsidR="00187713" w:rsidRPr="00D31EBB" w:rsidRDefault="00187713" w:rsidP="00187713">
      <w:pPr>
        <w:pStyle w:val="EMEABodyText"/>
        <w:rPr>
          <w:noProof/>
          <w:lang w:val="en-US"/>
        </w:rPr>
      </w:pPr>
    </w:p>
    <w:p w14:paraId="6460C1C9" w14:textId="77777777" w:rsidR="00187713" w:rsidRPr="00D31EBB" w:rsidRDefault="00187713" w:rsidP="00187713">
      <w:pPr>
        <w:pStyle w:val="EMEABodyText"/>
        <w:rPr>
          <w:noProof/>
          <w:lang w:val="en-US"/>
        </w:rPr>
      </w:pPr>
    </w:p>
    <w:p w14:paraId="6EF73146" w14:textId="77777777" w:rsidR="00187713" w:rsidRPr="00D31EBB" w:rsidRDefault="00187713" w:rsidP="00187713">
      <w:pPr>
        <w:pStyle w:val="EMEATitlePAC"/>
        <w:rPr>
          <w:noProof/>
        </w:rPr>
      </w:pPr>
      <w:r>
        <w:t>3.</w:t>
      </w:r>
      <w:r>
        <w:tab/>
        <w:t>LIST OF EXCIPIENTS</w:t>
      </w:r>
    </w:p>
    <w:p w14:paraId="1C2A4D42" w14:textId="77777777" w:rsidR="00187713" w:rsidRPr="00D31EBB" w:rsidRDefault="00187713" w:rsidP="00187713">
      <w:pPr>
        <w:pStyle w:val="EMEABodyText"/>
        <w:rPr>
          <w:noProof/>
          <w:lang w:val="en-US"/>
        </w:rPr>
      </w:pPr>
    </w:p>
    <w:p w14:paraId="1DE29626" w14:textId="77777777" w:rsidR="00187713" w:rsidRPr="00D31EBB" w:rsidRDefault="00187713" w:rsidP="00187713">
      <w:pPr>
        <w:pStyle w:val="EMEABodyText"/>
        <w:rPr>
          <w:noProof/>
          <w:szCs w:val="22"/>
        </w:rPr>
      </w:pPr>
      <w:r>
        <w:t>Contains aspartame and sucrose. See leaflet for further information</w:t>
      </w:r>
    </w:p>
    <w:p w14:paraId="18A6F9FD" w14:textId="77777777" w:rsidR="00187713" w:rsidRPr="00D31EBB" w:rsidRDefault="00187713" w:rsidP="00187713">
      <w:pPr>
        <w:pStyle w:val="EMEABodyText"/>
        <w:rPr>
          <w:noProof/>
          <w:lang w:val="en-US"/>
        </w:rPr>
      </w:pPr>
    </w:p>
    <w:p w14:paraId="58D10BA4" w14:textId="77777777" w:rsidR="00187713" w:rsidRPr="00D31EBB" w:rsidRDefault="00187713" w:rsidP="00187713">
      <w:pPr>
        <w:pStyle w:val="EMEABodyText"/>
        <w:rPr>
          <w:noProof/>
          <w:lang w:val="en-US"/>
        </w:rPr>
      </w:pPr>
    </w:p>
    <w:p w14:paraId="66B87D46" w14:textId="77777777" w:rsidR="00187713" w:rsidRPr="00D31EBB" w:rsidRDefault="00187713" w:rsidP="00187713">
      <w:pPr>
        <w:pStyle w:val="EMEATitlePAC"/>
        <w:rPr>
          <w:noProof/>
        </w:rPr>
      </w:pPr>
      <w:r>
        <w:t>4.</w:t>
      </w:r>
      <w:r>
        <w:tab/>
        <w:t>PHARMACEUTICAL FORM AND CONTENTS</w:t>
      </w:r>
    </w:p>
    <w:p w14:paraId="4EAAD972" w14:textId="77777777" w:rsidR="00187713" w:rsidRPr="00D31EBB" w:rsidRDefault="00187713" w:rsidP="00187713">
      <w:pPr>
        <w:pStyle w:val="EMEABodyText"/>
        <w:rPr>
          <w:noProof/>
          <w:lang w:val="en-US"/>
        </w:rPr>
      </w:pPr>
    </w:p>
    <w:p w14:paraId="0B64BD4A" w14:textId="77777777" w:rsidR="003228A9" w:rsidRPr="00D31EBB" w:rsidRDefault="003228A9" w:rsidP="00187713">
      <w:pPr>
        <w:pStyle w:val="EMEABodyText"/>
      </w:pPr>
      <w:r>
        <w:rPr>
          <w:highlight w:val="lightGray"/>
        </w:rPr>
        <w:t>Oral Powder</w:t>
      </w:r>
    </w:p>
    <w:p w14:paraId="32BE6F50" w14:textId="77777777" w:rsidR="00187713" w:rsidRPr="00D31EBB" w:rsidRDefault="00187713" w:rsidP="00187713">
      <w:pPr>
        <w:pStyle w:val="EMEABodyText"/>
      </w:pPr>
      <w:r>
        <w:t>30 sachets</w:t>
      </w:r>
    </w:p>
    <w:p w14:paraId="4EC12914" w14:textId="77777777" w:rsidR="00187713" w:rsidRPr="00D31EBB" w:rsidRDefault="00187713" w:rsidP="00187713">
      <w:pPr>
        <w:pStyle w:val="EMEABodyText"/>
        <w:rPr>
          <w:noProof/>
          <w:lang w:val="en-US"/>
        </w:rPr>
      </w:pPr>
    </w:p>
    <w:p w14:paraId="6351B603" w14:textId="77777777" w:rsidR="00187713" w:rsidRPr="00D31EBB" w:rsidRDefault="00187713" w:rsidP="00187713">
      <w:pPr>
        <w:pStyle w:val="EMEABodyText"/>
        <w:rPr>
          <w:noProof/>
          <w:lang w:val="en-US"/>
        </w:rPr>
      </w:pPr>
    </w:p>
    <w:p w14:paraId="50C07172" w14:textId="77777777" w:rsidR="00187713" w:rsidRPr="00D31EBB" w:rsidRDefault="00187713" w:rsidP="00187713">
      <w:pPr>
        <w:pStyle w:val="EMEATitlePAC"/>
        <w:rPr>
          <w:noProof/>
        </w:rPr>
      </w:pPr>
      <w:r>
        <w:t>5.</w:t>
      </w:r>
      <w:r>
        <w:tab/>
        <w:t>METHOD AND ROUTE(S) OF ADMINISTRATION</w:t>
      </w:r>
    </w:p>
    <w:p w14:paraId="01CD12E3" w14:textId="77777777" w:rsidR="00187713" w:rsidRPr="00D31EBB" w:rsidRDefault="00187713" w:rsidP="00187713">
      <w:pPr>
        <w:pStyle w:val="EMEABodyText"/>
        <w:rPr>
          <w:noProof/>
          <w:lang w:val="en-US"/>
        </w:rPr>
      </w:pPr>
    </w:p>
    <w:p w14:paraId="335A343B" w14:textId="77777777" w:rsidR="003228A9" w:rsidRPr="00D31EBB" w:rsidRDefault="003228A9" w:rsidP="003228A9">
      <w:pPr>
        <w:pStyle w:val="EMEABodyText"/>
      </w:pPr>
      <w:r>
        <w:t>Read the package leaflet before use.</w:t>
      </w:r>
    </w:p>
    <w:p w14:paraId="269283E5" w14:textId="77777777" w:rsidR="00187713" w:rsidRPr="00D31EBB" w:rsidRDefault="00187713" w:rsidP="00187713">
      <w:pPr>
        <w:pStyle w:val="EMEABodyText"/>
      </w:pPr>
      <w:r>
        <w:t>Oral use.</w:t>
      </w:r>
    </w:p>
    <w:p w14:paraId="5DDAA51B" w14:textId="77777777" w:rsidR="00187713" w:rsidRPr="00D31EBB" w:rsidRDefault="00187713" w:rsidP="00187713">
      <w:pPr>
        <w:pStyle w:val="EMEABodyText"/>
        <w:rPr>
          <w:noProof/>
          <w:lang w:val="en-US"/>
        </w:rPr>
      </w:pPr>
    </w:p>
    <w:p w14:paraId="27FCF080" w14:textId="77777777" w:rsidR="00187713" w:rsidRPr="00D31EBB" w:rsidRDefault="00187713" w:rsidP="00187713">
      <w:pPr>
        <w:pStyle w:val="EMEABodyText"/>
        <w:rPr>
          <w:noProof/>
          <w:lang w:val="en-US"/>
        </w:rPr>
      </w:pPr>
    </w:p>
    <w:p w14:paraId="2DA3235C" w14:textId="77777777" w:rsidR="00187713" w:rsidRPr="00D31EBB" w:rsidRDefault="00187713" w:rsidP="00187713">
      <w:pPr>
        <w:pStyle w:val="EMEATitlePAC"/>
        <w:rPr>
          <w:noProof/>
        </w:rPr>
      </w:pPr>
      <w:r>
        <w:t>6.</w:t>
      </w:r>
      <w:r>
        <w:tab/>
        <w:t>SPECIAL WARNING THAT THE MEDICINAL PRODUCT MUST BE STORED OUT OF THE SIGHT AND REACH OF CHILDREN</w:t>
      </w:r>
    </w:p>
    <w:p w14:paraId="6690577D" w14:textId="77777777" w:rsidR="00187713" w:rsidRPr="00D31EBB" w:rsidRDefault="00187713" w:rsidP="00187713">
      <w:pPr>
        <w:pStyle w:val="EMEABodyText"/>
        <w:rPr>
          <w:noProof/>
          <w:lang w:val="en-US"/>
        </w:rPr>
      </w:pPr>
    </w:p>
    <w:p w14:paraId="4A7932CC" w14:textId="77777777" w:rsidR="00187713" w:rsidRPr="00D31EBB" w:rsidRDefault="00187713" w:rsidP="00187713">
      <w:pPr>
        <w:pStyle w:val="EMEABodyText"/>
        <w:rPr>
          <w:noProof/>
        </w:rPr>
      </w:pPr>
      <w:r>
        <w:t>Keep out of the sight and reach of children.</w:t>
      </w:r>
    </w:p>
    <w:p w14:paraId="269E9487" w14:textId="77777777" w:rsidR="00187713" w:rsidRPr="00D31EBB" w:rsidRDefault="00187713" w:rsidP="00187713">
      <w:pPr>
        <w:pStyle w:val="EMEABodyText"/>
        <w:rPr>
          <w:noProof/>
          <w:lang w:val="en-US"/>
        </w:rPr>
      </w:pPr>
    </w:p>
    <w:p w14:paraId="2CB4BF68" w14:textId="77777777" w:rsidR="00187713" w:rsidRPr="00D31EBB" w:rsidRDefault="00187713" w:rsidP="00187713">
      <w:pPr>
        <w:pStyle w:val="EMEABodyText"/>
        <w:rPr>
          <w:noProof/>
          <w:lang w:val="en-US"/>
        </w:rPr>
      </w:pPr>
    </w:p>
    <w:p w14:paraId="2D1FD3BF" w14:textId="77777777" w:rsidR="00187713" w:rsidRPr="00D31EBB" w:rsidRDefault="00187713" w:rsidP="00187713">
      <w:pPr>
        <w:pStyle w:val="EMEATitlePAC"/>
        <w:rPr>
          <w:noProof/>
        </w:rPr>
      </w:pPr>
      <w:r>
        <w:t>7.</w:t>
      </w:r>
      <w:r>
        <w:tab/>
        <w:t>OTHER SPECIAL WARNING(S), IF NECESSARY</w:t>
      </w:r>
    </w:p>
    <w:p w14:paraId="390B0D7F" w14:textId="77777777" w:rsidR="00187713" w:rsidRPr="00D31EBB" w:rsidRDefault="00187713" w:rsidP="00187713">
      <w:pPr>
        <w:pStyle w:val="EMEABodyText"/>
        <w:rPr>
          <w:noProof/>
          <w:lang w:val="en-US"/>
        </w:rPr>
      </w:pPr>
    </w:p>
    <w:p w14:paraId="78118312" w14:textId="77777777" w:rsidR="00187713" w:rsidRPr="00D31EBB" w:rsidRDefault="00187713" w:rsidP="00187713">
      <w:pPr>
        <w:pStyle w:val="EMEABodyText"/>
        <w:rPr>
          <w:noProof/>
          <w:lang w:val="en-US"/>
        </w:rPr>
      </w:pPr>
    </w:p>
    <w:p w14:paraId="52DE43BF" w14:textId="77777777" w:rsidR="00187713" w:rsidRPr="00D31EBB" w:rsidRDefault="00187713" w:rsidP="00187713">
      <w:pPr>
        <w:pStyle w:val="EMEATitlePAC"/>
        <w:rPr>
          <w:noProof/>
        </w:rPr>
      </w:pPr>
      <w:r>
        <w:t>8.</w:t>
      </w:r>
      <w:r>
        <w:tab/>
        <w:t>EXPIRY DATE</w:t>
      </w:r>
    </w:p>
    <w:p w14:paraId="33D9DA1E" w14:textId="77777777" w:rsidR="00187713" w:rsidRPr="00D31EBB" w:rsidRDefault="00187713" w:rsidP="00187713">
      <w:pPr>
        <w:pStyle w:val="EMEABodyText"/>
        <w:rPr>
          <w:i/>
          <w:noProof/>
          <w:lang w:val="en-US"/>
        </w:rPr>
      </w:pPr>
    </w:p>
    <w:p w14:paraId="479181AC" w14:textId="77777777" w:rsidR="00187713" w:rsidRPr="00D31EBB" w:rsidRDefault="00187713" w:rsidP="00187713">
      <w:pPr>
        <w:pStyle w:val="EMEABodyText"/>
      </w:pPr>
      <w:r>
        <w:t>EXP {MM/YYYY}</w:t>
      </w:r>
    </w:p>
    <w:p w14:paraId="342875FB" w14:textId="77777777" w:rsidR="00187713" w:rsidRPr="00D31EBB" w:rsidRDefault="00187713" w:rsidP="00187713">
      <w:pPr>
        <w:pStyle w:val="EMEABodyText"/>
        <w:rPr>
          <w:noProof/>
          <w:lang w:val="en-US"/>
        </w:rPr>
      </w:pPr>
    </w:p>
    <w:p w14:paraId="0F42F780" w14:textId="77777777" w:rsidR="00187713" w:rsidRPr="00D31EBB" w:rsidRDefault="00187713" w:rsidP="00187713">
      <w:pPr>
        <w:pStyle w:val="EMEABodyText"/>
        <w:rPr>
          <w:noProof/>
          <w:lang w:val="en-US"/>
        </w:rPr>
      </w:pPr>
    </w:p>
    <w:p w14:paraId="171DB0C2" w14:textId="77777777" w:rsidR="00187713" w:rsidRPr="00D31EBB" w:rsidRDefault="00187713" w:rsidP="00187713">
      <w:pPr>
        <w:pStyle w:val="EMEATitlePAC"/>
        <w:rPr>
          <w:noProof/>
        </w:rPr>
      </w:pPr>
      <w:r>
        <w:t>9.</w:t>
      </w:r>
      <w:r>
        <w:tab/>
        <w:t>SPECIAL STORAGE CONDITIONS</w:t>
      </w:r>
    </w:p>
    <w:p w14:paraId="6912D259" w14:textId="77777777" w:rsidR="00187713" w:rsidRPr="00D31EBB" w:rsidRDefault="00187713" w:rsidP="00187713">
      <w:pPr>
        <w:pStyle w:val="EMEABodyText"/>
        <w:rPr>
          <w:noProof/>
          <w:lang w:val="en-US"/>
        </w:rPr>
      </w:pPr>
    </w:p>
    <w:p w14:paraId="121C924D" w14:textId="77777777" w:rsidR="00187713" w:rsidRPr="00D31EBB" w:rsidRDefault="00187713" w:rsidP="00187713">
      <w:pPr>
        <w:pStyle w:val="EMEABodyText"/>
        <w:rPr>
          <w:noProof/>
        </w:rPr>
      </w:pPr>
      <w:r>
        <w:t xml:space="preserve">Does not require any special storage conditions. </w:t>
      </w:r>
    </w:p>
    <w:p w14:paraId="6D255203" w14:textId="77777777" w:rsidR="00187713" w:rsidRPr="00D31EBB" w:rsidRDefault="00187713" w:rsidP="00187713">
      <w:pPr>
        <w:pStyle w:val="EMEABodyText"/>
        <w:rPr>
          <w:noProof/>
          <w:lang w:val="en-US"/>
        </w:rPr>
      </w:pPr>
    </w:p>
    <w:p w14:paraId="4BC82637" w14:textId="77777777" w:rsidR="00187713" w:rsidRPr="00D31EBB" w:rsidRDefault="00187713" w:rsidP="00187713">
      <w:pPr>
        <w:pStyle w:val="EMEATitlePAC"/>
        <w:rPr>
          <w:noProof/>
        </w:rPr>
      </w:pPr>
      <w:r>
        <w:t>10.</w:t>
      </w:r>
      <w:r>
        <w:tab/>
        <w:t>SPECIAL PRECAUTIONS FOR DISPOSAL OF UNUSED MEDICINAL PRODUCTS OR WASTE MATERIALS DERIVED FROM SUCH MEDICINAL PRODUCTS, IF APPROPRIATE</w:t>
      </w:r>
    </w:p>
    <w:p w14:paraId="586EDFD3" w14:textId="77777777" w:rsidR="00187713" w:rsidRPr="00D31EBB" w:rsidRDefault="00187713" w:rsidP="00187713">
      <w:pPr>
        <w:pStyle w:val="EMEABodyText"/>
        <w:rPr>
          <w:noProof/>
          <w:lang w:val="en-US"/>
        </w:rPr>
      </w:pPr>
    </w:p>
    <w:p w14:paraId="308D854F" w14:textId="77777777" w:rsidR="00187713" w:rsidRPr="00D31EBB" w:rsidRDefault="00187713" w:rsidP="00187713">
      <w:pPr>
        <w:pStyle w:val="EMEABodyText"/>
        <w:rPr>
          <w:noProof/>
          <w:lang w:val="en-US"/>
        </w:rPr>
      </w:pPr>
    </w:p>
    <w:p w14:paraId="403FF181" w14:textId="77777777" w:rsidR="00187713" w:rsidRPr="00D31EBB" w:rsidRDefault="00187713" w:rsidP="00187713">
      <w:pPr>
        <w:pStyle w:val="EMEATitlePAC"/>
        <w:rPr>
          <w:noProof/>
        </w:rPr>
      </w:pPr>
      <w:r>
        <w:t>11.</w:t>
      </w:r>
      <w:r>
        <w:tab/>
        <w:t>NAME AND ADDRESS OF THE MARKETING AUTHORISATION HOLDER</w:t>
      </w:r>
    </w:p>
    <w:p w14:paraId="7020B87A" w14:textId="77777777" w:rsidR="00187713" w:rsidRPr="00D31EBB" w:rsidRDefault="00187713" w:rsidP="00187713">
      <w:pPr>
        <w:pStyle w:val="EMEABodyText"/>
        <w:rPr>
          <w:noProof/>
          <w:lang w:val="en-US"/>
        </w:rPr>
      </w:pPr>
    </w:p>
    <w:p w14:paraId="414D0046"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42105B9D" w14:textId="77777777" w:rsidR="00965E20" w:rsidRDefault="00965E20" w:rsidP="00965E20">
      <w:pPr>
        <w:numPr>
          <w:ilvl w:val="12"/>
          <w:numId w:val="0"/>
        </w:numPr>
      </w:pPr>
      <w:r>
        <w:t xml:space="preserve">Ireland </w:t>
      </w:r>
    </w:p>
    <w:p w14:paraId="139407FB" w14:textId="77777777" w:rsidR="00187713" w:rsidRPr="00D31EBB" w:rsidRDefault="00187713" w:rsidP="00191AFE">
      <w:pPr>
        <w:pStyle w:val="EMEAAddress"/>
        <w:rPr>
          <w:lang w:val="en-US"/>
        </w:rPr>
      </w:pPr>
    </w:p>
    <w:p w14:paraId="3102ED45" w14:textId="77777777" w:rsidR="00187713" w:rsidRPr="00D31EBB" w:rsidRDefault="00187713" w:rsidP="00187713">
      <w:pPr>
        <w:pStyle w:val="EMEABodyText"/>
        <w:rPr>
          <w:noProof/>
          <w:lang w:val="en-US"/>
        </w:rPr>
      </w:pPr>
    </w:p>
    <w:p w14:paraId="585535AC" w14:textId="77777777" w:rsidR="00187713" w:rsidRPr="00D31EBB" w:rsidRDefault="00187713" w:rsidP="00187713">
      <w:pPr>
        <w:pStyle w:val="EMEATitlePAC"/>
        <w:rPr>
          <w:noProof/>
        </w:rPr>
      </w:pPr>
      <w:r>
        <w:t>12.</w:t>
      </w:r>
      <w:r>
        <w:tab/>
        <w:t xml:space="preserve">MARKETING AUTHORISATION NUMBER(S) </w:t>
      </w:r>
    </w:p>
    <w:p w14:paraId="57F8FDDF" w14:textId="77777777" w:rsidR="00187713" w:rsidRPr="00D31EBB" w:rsidRDefault="00187713" w:rsidP="00187713">
      <w:pPr>
        <w:pStyle w:val="EMEABodyText"/>
        <w:rPr>
          <w:noProof/>
          <w:lang w:val="en-US"/>
        </w:rPr>
      </w:pPr>
    </w:p>
    <w:p w14:paraId="06302D8E" w14:textId="77777777" w:rsidR="00187713" w:rsidRPr="00D31EBB" w:rsidRDefault="00187713" w:rsidP="00187713">
      <w:pPr>
        <w:pStyle w:val="EMEABodyText"/>
      </w:pPr>
      <w:r>
        <w:t>EU/1/03/267/012</w:t>
      </w:r>
    </w:p>
    <w:p w14:paraId="01505663" w14:textId="77777777" w:rsidR="00187713" w:rsidRPr="00D31EBB" w:rsidRDefault="00187713" w:rsidP="00187713">
      <w:pPr>
        <w:pStyle w:val="EMEABodyText"/>
        <w:rPr>
          <w:lang w:val="en-US"/>
        </w:rPr>
      </w:pPr>
    </w:p>
    <w:p w14:paraId="020ED77B" w14:textId="77777777" w:rsidR="00187713" w:rsidRPr="00D31EBB" w:rsidRDefault="00187713" w:rsidP="00187713">
      <w:pPr>
        <w:pStyle w:val="EMEABodyText"/>
        <w:rPr>
          <w:lang w:val="en-US"/>
        </w:rPr>
      </w:pPr>
    </w:p>
    <w:p w14:paraId="0E6D300D" w14:textId="77777777" w:rsidR="00187713" w:rsidRPr="00D31EBB" w:rsidRDefault="00187713" w:rsidP="00187713">
      <w:pPr>
        <w:pStyle w:val="EMEATitlePAC"/>
        <w:rPr>
          <w:noProof/>
        </w:rPr>
      </w:pPr>
      <w:r>
        <w:t>13.</w:t>
      </w:r>
      <w:r>
        <w:tab/>
        <w:t>BATCH NUMBER</w:t>
      </w:r>
    </w:p>
    <w:p w14:paraId="0DD921B3" w14:textId="77777777" w:rsidR="00187713" w:rsidRPr="00D31EBB" w:rsidRDefault="00187713" w:rsidP="00187713">
      <w:pPr>
        <w:pStyle w:val="EMEABodyText"/>
        <w:rPr>
          <w:noProof/>
          <w:lang w:val="en-US"/>
        </w:rPr>
      </w:pPr>
    </w:p>
    <w:p w14:paraId="5DEE9958" w14:textId="77777777" w:rsidR="00187713" w:rsidRPr="00D31EBB" w:rsidRDefault="00187713" w:rsidP="00187713">
      <w:pPr>
        <w:pStyle w:val="EMEABodyText"/>
      </w:pPr>
      <w:r>
        <w:t>Lot</w:t>
      </w:r>
    </w:p>
    <w:p w14:paraId="257DA7D7" w14:textId="77777777" w:rsidR="00187713" w:rsidRPr="00D31EBB" w:rsidRDefault="00187713" w:rsidP="00187713">
      <w:pPr>
        <w:pStyle w:val="EMEABodyText"/>
        <w:rPr>
          <w:noProof/>
          <w:lang w:val="en-US"/>
        </w:rPr>
      </w:pPr>
    </w:p>
    <w:p w14:paraId="609C9D40" w14:textId="77777777" w:rsidR="00187713" w:rsidRPr="00D31EBB" w:rsidRDefault="00187713" w:rsidP="00187713">
      <w:pPr>
        <w:pStyle w:val="EMEABodyText"/>
        <w:rPr>
          <w:noProof/>
          <w:lang w:val="en-US"/>
        </w:rPr>
      </w:pPr>
    </w:p>
    <w:p w14:paraId="7349784A" w14:textId="77777777" w:rsidR="00187713" w:rsidRPr="00D31EBB" w:rsidRDefault="00187713" w:rsidP="00187713">
      <w:pPr>
        <w:pStyle w:val="EMEATitlePAC"/>
        <w:rPr>
          <w:noProof/>
        </w:rPr>
      </w:pPr>
      <w:r>
        <w:t>14.</w:t>
      </w:r>
      <w:r>
        <w:tab/>
        <w:t>GENERAL CLASSIFICATION FOR SUPPLY</w:t>
      </w:r>
    </w:p>
    <w:p w14:paraId="64989921" w14:textId="77777777" w:rsidR="00187713" w:rsidRPr="00D31EBB" w:rsidRDefault="00187713" w:rsidP="00187713">
      <w:pPr>
        <w:pStyle w:val="EMEABodyText"/>
        <w:rPr>
          <w:noProof/>
          <w:lang w:val="en-US"/>
        </w:rPr>
      </w:pPr>
    </w:p>
    <w:p w14:paraId="4D3776B5" w14:textId="77777777" w:rsidR="00187713" w:rsidRPr="00D31EBB" w:rsidRDefault="00187713" w:rsidP="00187713">
      <w:pPr>
        <w:pStyle w:val="EMEABodyText"/>
      </w:pPr>
      <w:r>
        <w:t>Medicinal product subject to medical prescription.</w:t>
      </w:r>
    </w:p>
    <w:p w14:paraId="63D1D0EC" w14:textId="77777777" w:rsidR="00187713" w:rsidRPr="00D31EBB" w:rsidRDefault="00187713" w:rsidP="00187713">
      <w:pPr>
        <w:pStyle w:val="EMEABodyText"/>
        <w:rPr>
          <w:noProof/>
          <w:lang w:val="en-US"/>
        </w:rPr>
      </w:pPr>
    </w:p>
    <w:p w14:paraId="0348DF68" w14:textId="77777777" w:rsidR="00187713" w:rsidRPr="00D31EBB" w:rsidRDefault="00187713" w:rsidP="00187713">
      <w:pPr>
        <w:pStyle w:val="EMEABodyText"/>
        <w:rPr>
          <w:noProof/>
          <w:lang w:val="en-US"/>
        </w:rPr>
      </w:pPr>
    </w:p>
    <w:p w14:paraId="1DAF3AF3" w14:textId="77777777" w:rsidR="00187713" w:rsidRPr="00D31EBB" w:rsidRDefault="00187713" w:rsidP="00187713">
      <w:pPr>
        <w:pStyle w:val="EMEATitlePAC"/>
        <w:rPr>
          <w:noProof/>
        </w:rPr>
      </w:pPr>
      <w:r>
        <w:t>15.</w:t>
      </w:r>
      <w:r>
        <w:tab/>
        <w:t>INSTRUCTIONS ON USE</w:t>
      </w:r>
    </w:p>
    <w:p w14:paraId="66754F86" w14:textId="77777777" w:rsidR="00187713" w:rsidRPr="00D31EBB" w:rsidRDefault="00187713" w:rsidP="00187713">
      <w:pPr>
        <w:pStyle w:val="EMEABodyText"/>
        <w:rPr>
          <w:noProof/>
          <w:lang w:val="en-US"/>
        </w:rPr>
      </w:pPr>
    </w:p>
    <w:p w14:paraId="3D78B0F4" w14:textId="77777777" w:rsidR="00187713" w:rsidRPr="00D31EBB" w:rsidRDefault="00187713" w:rsidP="00187713">
      <w:pPr>
        <w:pStyle w:val="EMEABodyText"/>
        <w:rPr>
          <w:noProof/>
          <w:lang w:val="en-US"/>
        </w:rPr>
      </w:pPr>
    </w:p>
    <w:p w14:paraId="5A296259" w14:textId="77777777" w:rsidR="00187713" w:rsidRPr="00D31EBB" w:rsidRDefault="00187713" w:rsidP="00187713">
      <w:pPr>
        <w:pStyle w:val="EMEATitlePAC"/>
        <w:rPr>
          <w:noProof/>
        </w:rPr>
      </w:pPr>
      <w:r>
        <w:t>16.</w:t>
      </w:r>
      <w:r>
        <w:tab/>
        <w:t>INFORMATION IN BRAILLE</w:t>
      </w:r>
    </w:p>
    <w:p w14:paraId="00AEC4C8" w14:textId="77777777" w:rsidR="00187713" w:rsidRPr="00D31EBB" w:rsidRDefault="00187713" w:rsidP="00187713">
      <w:pPr>
        <w:pStyle w:val="EMEABodyText"/>
        <w:rPr>
          <w:noProof/>
          <w:lang w:val="en-US"/>
        </w:rPr>
      </w:pPr>
    </w:p>
    <w:p w14:paraId="4BBFD4F8" w14:textId="77777777" w:rsidR="00187713" w:rsidRPr="00D31EBB" w:rsidRDefault="00187713" w:rsidP="00187713">
      <w:pPr>
        <w:pStyle w:val="EMEABodyText"/>
      </w:pPr>
      <w:r>
        <w:rPr>
          <w:highlight w:val="lightGray"/>
        </w:rPr>
        <w:t>Outer carton:</w:t>
      </w:r>
      <w:r>
        <w:t xml:space="preserve"> REYATAZ 50 mg</w:t>
      </w:r>
    </w:p>
    <w:p w14:paraId="1959FD4C" w14:textId="77777777" w:rsidR="00B5335E" w:rsidRPr="00D31EBB" w:rsidRDefault="00B5335E" w:rsidP="00B5335E">
      <w:pPr>
        <w:pStyle w:val="EMEABodyText"/>
        <w:rPr>
          <w:lang w:val="en-US"/>
        </w:rPr>
      </w:pPr>
    </w:p>
    <w:p w14:paraId="2C570B53" w14:textId="77777777" w:rsidR="00B5335E" w:rsidRPr="00D31EBB" w:rsidRDefault="00B5335E" w:rsidP="00B5335E">
      <w:pPr>
        <w:rPr>
          <w:noProof/>
          <w:szCs w:val="22"/>
          <w:shd w:val="clear" w:color="auto" w:fill="CCCCCC"/>
          <w:lang w:val="en-US"/>
        </w:rPr>
      </w:pPr>
    </w:p>
    <w:p w14:paraId="225A4A44"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17.</w:t>
      </w:r>
      <w:r>
        <w:rPr>
          <w:b/>
        </w:rPr>
        <w:tab/>
        <w:t>UNIQUE IDENTIFIER – 2D BARCODE</w:t>
      </w:r>
    </w:p>
    <w:p w14:paraId="7CDFE7BE" w14:textId="77777777" w:rsidR="00B5335E" w:rsidRPr="00D31EBB" w:rsidRDefault="00B5335E" w:rsidP="00B5335E">
      <w:pPr>
        <w:rPr>
          <w:noProof/>
          <w:lang w:val="en-US"/>
        </w:rPr>
      </w:pPr>
    </w:p>
    <w:p w14:paraId="34CA6A72" w14:textId="77777777" w:rsidR="00B5335E" w:rsidRPr="00D31EBB" w:rsidRDefault="00B5335E" w:rsidP="00B5335E">
      <w:pPr>
        <w:rPr>
          <w:noProof/>
          <w:szCs w:val="22"/>
          <w:shd w:val="clear" w:color="auto" w:fill="CCCCCC"/>
        </w:rPr>
      </w:pPr>
      <w:r>
        <w:rPr>
          <w:highlight w:val="lightGray"/>
        </w:rPr>
        <w:t>2D barcode carrying the unique identifier included.</w:t>
      </w:r>
    </w:p>
    <w:p w14:paraId="54626C28" w14:textId="77777777" w:rsidR="00B5335E" w:rsidRPr="00D31EBB" w:rsidRDefault="00B5335E" w:rsidP="00B5335E">
      <w:pPr>
        <w:rPr>
          <w:noProof/>
          <w:lang w:val="en-US"/>
        </w:rPr>
      </w:pPr>
    </w:p>
    <w:p w14:paraId="5EDC2514" w14:textId="77777777" w:rsidR="00B5335E" w:rsidRPr="00D31EBB" w:rsidRDefault="00B5335E" w:rsidP="00B5335E">
      <w:pPr>
        <w:rPr>
          <w:noProof/>
          <w:lang w:val="en-US"/>
        </w:rPr>
      </w:pPr>
    </w:p>
    <w:p w14:paraId="3E875558" w14:textId="77777777" w:rsidR="00B5335E" w:rsidRPr="00D31EBB" w:rsidRDefault="00B5335E" w:rsidP="00B5335E">
      <w:pPr>
        <w:pBdr>
          <w:top w:val="single" w:sz="4" w:space="1" w:color="auto"/>
          <w:left w:val="single" w:sz="4" w:space="4" w:color="auto"/>
          <w:bottom w:val="single" w:sz="4" w:space="0" w:color="auto"/>
          <w:right w:val="single" w:sz="4" w:space="4" w:color="auto"/>
        </w:pBdr>
        <w:rPr>
          <w:i/>
          <w:noProof/>
        </w:rPr>
      </w:pPr>
      <w:r>
        <w:rPr>
          <w:b/>
        </w:rPr>
        <w:t>18.</w:t>
      </w:r>
      <w:r>
        <w:rPr>
          <w:b/>
        </w:rPr>
        <w:tab/>
        <w:t>UNIQUE IDENTIFIER - HUMAN READABLE DATA</w:t>
      </w:r>
    </w:p>
    <w:p w14:paraId="68E1EC14" w14:textId="77777777" w:rsidR="00B5335E" w:rsidRPr="00D31EBB" w:rsidRDefault="00B5335E" w:rsidP="00B5335E">
      <w:pPr>
        <w:rPr>
          <w:noProof/>
          <w:lang w:val="en-US"/>
        </w:rPr>
      </w:pPr>
    </w:p>
    <w:p w14:paraId="3E2AB6AC" w14:textId="77777777" w:rsidR="00B5335E" w:rsidRPr="00D31EBB" w:rsidRDefault="00B5335E" w:rsidP="00B5335E">
      <w:pPr>
        <w:rPr>
          <w:color w:val="008000"/>
          <w:szCs w:val="22"/>
        </w:rPr>
      </w:pPr>
      <w:r>
        <w:t xml:space="preserve">PC: </w:t>
      </w:r>
    </w:p>
    <w:p w14:paraId="07AEC48C" w14:textId="77777777" w:rsidR="00B5335E" w:rsidRPr="00D31EBB" w:rsidRDefault="00B5335E" w:rsidP="00B5335E">
      <w:pPr>
        <w:rPr>
          <w:szCs w:val="22"/>
        </w:rPr>
      </w:pPr>
      <w:r>
        <w:t xml:space="preserve">SN: </w:t>
      </w:r>
    </w:p>
    <w:p w14:paraId="56B6DD17" w14:textId="77777777" w:rsidR="00B5335E" w:rsidRPr="00D31EBB" w:rsidRDefault="00B5335E" w:rsidP="00B5335E">
      <w:pPr>
        <w:rPr>
          <w:noProof/>
          <w:vanish/>
          <w:szCs w:val="22"/>
        </w:rPr>
      </w:pPr>
      <w:r>
        <w:t xml:space="preserve">&lt;NN&gt;: </w:t>
      </w:r>
    </w:p>
    <w:p w14:paraId="404C97F8" w14:textId="77777777" w:rsidR="00B5335E" w:rsidRPr="00D31EBB" w:rsidRDefault="00B5335E" w:rsidP="00187713">
      <w:pPr>
        <w:pStyle w:val="EMEABodyText"/>
        <w:rPr>
          <w:lang w:val="en-US"/>
        </w:rPr>
      </w:pPr>
    </w:p>
    <w:p w14:paraId="556ECC0D" w14:textId="77777777" w:rsidR="00187713" w:rsidRPr="00D31EBB" w:rsidRDefault="00187713" w:rsidP="00187713">
      <w:pPr>
        <w:pBdr>
          <w:top w:val="single" w:sz="4" w:space="1" w:color="auto"/>
          <w:left w:val="single" w:sz="4" w:space="4" w:color="auto"/>
          <w:bottom w:val="single" w:sz="4" w:space="1" w:color="auto"/>
          <w:right w:val="single" w:sz="4" w:space="4" w:color="auto"/>
        </w:pBdr>
        <w:rPr>
          <w:b/>
          <w:noProof/>
          <w:szCs w:val="22"/>
        </w:rPr>
      </w:pPr>
      <w:r>
        <w:br w:type="page"/>
      </w:r>
      <w:r>
        <w:rPr>
          <w:b/>
          <w:szCs w:val="22"/>
        </w:rPr>
        <w:t>MINIMUM PARTICULARS TO APPEAR ON SMALL IMMEDIATE PACKAGING UNITS</w:t>
      </w:r>
    </w:p>
    <w:p w14:paraId="1696E917" w14:textId="77777777" w:rsidR="00187713" w:rsidRPr="00D31EBB" w:rsidRDefault="00187713" w:rsidP="00187713">
      <w:pPr>
        <w:pBdr>
          <w:top w:val="single" w:sz="4" w:space="1" w:color="auto"/>
          <w:left w:val="single" w:sz="4" w:space="4" w:color="auto"/>
          <w:bottom w:val="single" w:sz="4" w:space="1" w:color="auto"/>
          <w:right w:val="single" w:sz="4" w:space="4" w:color="auto"/>
        </w:pBdr>
        <w:rPr>
          <w:b/>
          <w:noProof/>
          <w:szCs w:val="22"/>
          <w:lang w:val="en-US"/>
        </w:rPr>
      </w:pPr>
    </w:p>
    <w:p w14:paraId="3678CD14" w14:textId="77777777" w:rsidR="00187713" w:rsidRPr="00D31EBB" w:rsidRDefault="00187713" w:rsidP="00187713">
      <w:pPr>
        <w:pBdr>
          <w:top w:val="single" w:sz="4" w:space="1" w:color="auto"/>
          <w:left w:val="single" w:sz="4" w:space="4" w:color="auto"/>
          <w:bottom w:val="single" w:sz="4" w:space="1" w:color="auto"/>
          <w:right w:val="single" w:sz="4" w:space="4" w:color="auto"/>
        </w:pBdr>
        <w:rPr>
          <w:noProof/>
        </w:rPr>
      </w:pPr>
      <w:r>
        <w:rPr>
          <w:b/>
          <w:szCs w:val="22"/>
        </w:rPr>
        <w:t>REYATAZ 50 mg ORAL POWDER - FOIL SACHET</w:t>
      </w:r>
    </w:p>
    <w:p w14:paraId="53605B2C" w14:textId="77777777" w:rsidR="00187713" w:rsidRPr="00D31EBB" w:rsidRDefault="00187713" w:rsidP="00187713">
      <w:pPr>
        <w:pStyle w:val="EMEABodyText"/>
        <w:rPr>
          <w:noProof/>
          <w:lang w:val="en-US"/>
        </w:rPr>
      </w:pPr>
    </w:p>
    <w:p w14:paraId="329677D5" w14:textId="77777777" w:rsidR="00187713" w:rsidRPr="00D31EBB" w:rsidRDefault="00187713" w:rsidP="00187713">
      <w:pPr>
        <w:pStyle w:val="EMEATitlePAC"/>
        <w:rPr>
          <w:noProof/>
        </w:rPr>
      </w:pPr>
      <w:r>
        <w:t>1.</w:t>
      </w:r>
      <w:r>
        <w:tab/>
        <w:t>NAME OF THE MEDICINAL PRODUCT AND ROUTE(S) OF ADMINISTRATION</w:t>
      </w:r>
    </w:p>
    <w:p w14:paraId="517FFFD8" w14:textId="77777777" w:rsidR="00187713" w:rsidRPr="00D31EBB" w:rsidRDefault="00187713" w:rsidP="00187713">
      <w:pPr>
        <w:pStyle w:val="EMEABodyText"/>
        <w:rPr>
          <w:noProof/>
          <w:lang w:val="en-US"/>
        </w:rPr>
      </w:pPr>
    </w:p>
    <w:p w14:paraId="3686D6AA" w14:textId="77777777" w:rsidR="00187713" w:rsidRPr="00D31EBB" w:rsidRDefault="00187713" w:rsidP="00187713">
      <w:pPr>
        <w:pStyle w:val="EMEABodyText"/>
      </w:pPr>
      <w:r>
        <w:t>REYATAZ 50 mg oral powder</w:t>
      </w:r>
    </w:p>
    <w:p w14:paraId="6DE5FF63" w14:textId="77777777" w:rsidR="00187713" w:rsidRPr="00D31EBB" w:rsidRDefault="00187713" w:rsidP="00187713">
      <w:pPr>
        <w:pStyle w:val="EMEABodyText"/>
      </w:pPr>
      <w:r>
        <w:t>Atazanavir</w:t>
      </w:r>
    </w:p>
    <w:p w14:paraId="2B836BAE" w14:textId="77777777" w:rsidR="00187713" w:rsidRPr="00D31EBB" w:rsidRDefault="00187713" w:rsidP="00187713">
      <w:pPr>
        <w:pStyle w:val="EMEABodyText"/>
      </w:pPr>
      <w:r>
        <w:t>Oral use</w:t>
      </w:r>
    </w:p>
    <w:p w14:paraId="6BC6CFA5" w14:textId="77777777" w:rsidR="00187713" w:rsidRPr="00D31EBB" w:rsidRDefault="00187713" w:rsidP="00187713">
      <w:pPr>
        <w:pStyle w:val="EMEABodyText"/>
        <w:rPr>
          <w:b/>
          <w:noProof/>
          <w:lang w:val="en-US"/>
        </w:rPr>
      </w:pPr>
    </w:p>
    <w:p w14:paraId="4518DA30" w14:textId="77777777" w:rsidR="00187713" w:rsidRPr="00D31EBB" w:rsidRDefault="00187713" w:rsidP="00187713">
      <w:pPr>
        <w:pStyle w:val="EMEABodyText"/>
        <w:rPr>
          <w:b/>
          <w:noProof/>
          <w:lang w:val="en-US"/>
        </w:rPr>
      </w:pPr>
    </w:p>
    <w:p w14:paraId="657736FB" w14:textId="77777777" w:rsidR="00187713" w:rsidRPr="00D31EBB" w:rsidRDefault="00187713" w:rsidP="00187713">
      <w:pPr>
        <w:pStyle w:val="EMEATitlePAC"/>
        <w:rPr>
          <w:noProof/>
        </w:rPr>
      </w:pPr>
      <w:r>
        <w:t>2.</w:t>
      </w:r>
      <w:r>
        <w:tab/>
        <w:t>METHOD OF ADMINISTRATION</w:t>
      </w:r>
    </w:p>
    <w:p w14:paraId="29852954" w14:textId="77777777" w:rsidR="00187713" w:rsidRPr="00D31EBB" w:rsidRDefault="00187713" w:rsidP="00187713">
      <w:pPr>
        <w:pStyle w:val="EMEABodyText"/>
        <w:rPr>
          <w:noProof/>
          <w:lang w:val="en-US"/>
        </w:rPr>
      </w:pPr>
    </w:p>
    <w:p w14:paraId="748F55CD" w14:textId="77777777" w:rsidR="00187713" w:rsidRPr="00D31EBB" w:rsidRDefault="00187713" w:rsidP="00187713">
      <w:pPr>
        <w:rPr>
          <w:noProof/>
          <w:szCs w:val="22"/>
        </w:rPr>
      </w:pPr>
      <w:r>
        <w:t>Read the package leaflet before use.</w:t>
      </w:r>
    </w:p>
    <w:p w14:paraId="39DB94F5" w14:textId="77777777" w:rsidR="00187713" w:rsidRPr="00D31EBB" w:rsidRDefault="00187713" w:rsidP="00187713">
      <w:pPr>
        <w:pStyle w:val="EMEABodyText"/>
        <w:rPr>
          <w:noProof/>
          <w:lang w:val="en-US"/>
        </w:rPr>
      </w:pPr>
    </w:p>
    <w:p w14:paraId="37EE3BAB" w14:textId="77777777" w:rsidR="00187713" w:rsidRPr="00D31EBB" w:rsidRDefault="00187713" w:rsidP="00187713">
      <w:pPr>
        <w:pStyle w:val="EMEATitlePAC"/>
        <w:rPr>
          <w:noProof/>
        </w:rPr>
      </w:pPr>
      <w:r>
        <w:t>3.</w:t>
      </w:r>
      <w:r>
        <w:tab/>
        <w:t>EXPIRY DATE</w:t>
      </w:r>
    </w:p>
    <w:p w14:paraId="4973DF98" w14:textId="77777777" w:rsidR="00187713" w:rsidRPr="00D31EBB" w:rsidRDefault="00187713" w:rsidP="00187713">
      <w:pPr>
        <w:pStyle w:val="EMEABodyText"/>
        <w:rPr>
          <w:noProof/>
          <w:lang w:val="en-US"/>
        </w:rPr>
      </w:pPr>
    </w:p>
    <w:p w14:paraId="7D55A734" w14:textId="77777777" w:rsidR="00187713" w:rsidRPr="00D31EBB" w:rsidRDefault="00187713" w:rsidP="00187713">
      <w:pPr>
        <w:pStyle w:val="EMEABodyText"/>
      </w:pPr>
      <w:r>
        <w:t>EXP {MM/YYYY}</w:t>
      </w:r>
    </w:p>
    <w:p w14:paraId="59FC5FB0" w14:textId="77777777" w:rsidR="00187713" w:rsidRPr="00D31EBB" w:rsidRDefault="00187713" w:rsidP="00187713">
      <w:pPr>
        <w:pStyle w:val="EMEABodyText"/>
        <w:rPr>
          <w:noProof/>
          <w:lang w:val="en-US"/>
        </w:rPr>
      </w:pPr>
    </w:p>
    <w:p w14:paraId="41EFCF0F" w14:textId="77777777" w:rsidR="00187713" w:rsidRPr="00D31EBB" w:rsidRDefault="00187713" w:rsidP="00187713">
      <w:pPr>
        <w:pStyle w:val="EMEABodyText"/>
        <w:rPr>
          <w:noProof/>
          <w:lang w:val="en-US"/>
        </w:rPr>
      </w:pPr>
    </w:p>
    <w:p w14:paraId="27E75069" w14:textId="77777777" w:rsidR="00187713" w:rsidRPr="00D31EBB" w:rsidRDefault="00187713" w:rsidP="00187713">
      <w:pPr>
        <w:pStyle w:val="EMEATitlePAC"/>
        <w:rPr>
          <w:noProof/>
        </w:rPr>
      </w:pPr>
      <w:r>
        <w:t>4.</w:t>
      </w:r>
      <w:r>
        <w:tab/>
        <w:t>BATCH NUMBER</w:t>
      </w:r>
    </w:p>
    <w:p w14:paraId="70049D70" w14:textId="77777777" w:rsidR="00187713" w:rsidRPr="00D31EBB" w:rsidRDefault="00187713" w:rsidP="00187713">
      <w:pPr>
        <w:pStyle w:val="EMEABodyText"/>
        <w:rPr>
          <w:noProof/>
          <w:lang w:val="en-US"/>
        </w:rPr>
      </w:pPr>
    </w:p>
    <w:p w14:paraId="7C18D4F5" w14:textId="77777777" w:rsidR="00187713" w:rsidRPr="00D31EBB" w:rsidRDefault="00187713" w:rsidP="00187713">
      <w:pPr>
        <w:pStyle w:val="EMEABodyText"/>
      </w:pPr>
      <w:r>
        <w:t>Lot</w:t>
      </w:r>
    </w:p>
    <w:p w14:paraId="5FAEC432" w14:textId="77777777" w:rsidR="00187713" w:rsidRPr="00D31EBB" w:rsidRDefault="00187713" w:rsidP="00187713">
      <w:pPr>
        <w:pStyle w:val="EMEABodyText"/>
        <w:rPr>
          <w:noProof/>
          <w:lang w:val="en-US"/>
        </w:rPr>
      </w:pPr>
    </w:p>
    <w:p w14:paraId="4EA9A27B" w14:textId="77777777" w:rsidR="00187713" w:rsidRPr="00D31EBB" w:rsidRDefault="00187713" w:rsidP="00187713">
      <w:pPr>
        <w:pStyle w:val="EMEABodyText"/>
        <w:rPr>
          <w:noProof/>
          <w:lang w:val="en-US"/>
        </w:rPr>
      </w:pPr>
    </w:p>
    <w:p w14:paraId="5CCB2D3C" w14:textId="77777777" w:rsidR="00187713" w:rsidRPr="00D31EBB" w:rsidRDefault="00187713" w:rsidP="00187713">
      <w:pPr>
        <w:pStyle w:val="EMEATitlePAC"/>
        <w:rPr>
          <w:noProof/>
        </w:rPr>
      </w:pPr>
      <w:r>
        <w:t>5.</w:t>
      </w:r>
      <w:r>
        <w:tab/>
        <w:t>CONTENTS BY WEIGHT, BY VOLUME OR BY UNIT</w:t>
      </w:r>
    </w:p>
    <w:p w14:paraId="79934DDB" w14:textId="77777777" w:rsidR="00187713" w:rsidRPr="00D31EBB" w:rsidRDefault="00187713" w:rsidP="00187713">
      <w:pPr>
        <w:pStyle w:val="EMEABodyText"/>
        <w:rPr>
          <w:lang w:val="en-US"/>
        </w:rPr>
      </w:pPr>
    </w:p>
    <w:p w14:paraId="231EBC74" w14:textId="77777777" w:rsidR="00187713" w:rsidRPr="00D31EBB" w:rsidRDefault="00187713" w:rsidP="00187713">
      <w:pPr>
        <w:pStyle w:val="EMEABodyText"/>
        <w:rPr>
          <w:noProof/>
        </w:rPr>
      </w:pPr>
      <w:r>
        <w:t xml:space="preserve">50 mg </w:t>
      </w:r>
    </w:p>
    <w:p w14:paraId="6D306536" w14:textId="77777777" w:rsidR="00187713" w:rsidRPr="00D31EBB" w:rsidRDefault="00187713" w:rsidP="00187713">
      <w:pPr>
        <w:pStyle w:val="EMEABodyText"/>
        <w:rPr>
          <w:noProof/>
          <w:lang w:val="en-US"/>
        </w:rPr>
      </w:pPr>
    </w:p>
    <w:p w14:paraId="74A7B5DC" w14:textId="77777777" w:rsidR="00187713" w:rsidRPr="00D31EBB" w:rsidRDefault="00187713" w:rsidP="00187713">
      <w:pPr>
        <w:pStyle w:val="EMEATitlePAC"/>
        <w:rPr>
          <w:noProof/>
        </w:rPr>
      </w:pPr>
      <w:r>
        <w:t>6.</w:t>
      </w:r>
      <w:r>
        <w:tab/>
        <w:t>OTHER</w:t>
      </w:r>
    </w:p>
    <w:p w14:paraId="60F8B2D4" w14:textId="77777777" w:rsidR="00187713" w:rsidRPr="00D31EBB" w:rsidRDefault="00187713" w:rsidP="00187713">
      <w:pPr>
        <w:pStyle w:val="EMEABodyText"/>
        <w:rPr>
          <w:noProof/>
          <w:lang w:val="en-US"/>
        </w:rPr>
      </w:pPr>
    </w:p>
    <w:p w14:paraId="3FF15D3C" w14:textId="77777777" w:rsidR="00187713" w:rsidRPr="00D31EBB" w:rsidRDefault="00187713" w:rsidP="00187713">
      <w:pPr>
        <w:pStyle w:val="EMEABodyText"/>
        <w:rPr>
          <w:iCs/>
          <w:noProof/>
          <w:lang w:val="en-US"/>
        </w:rPr>
      </w:pPr>
    </w:p>
    <w:p w14:paraId="2992A80E" w14:textId="77777777" w:rsidR="00187713" w:rsidRPr="00D31EBB" w:rsidRDefault="00187713" w:rsidP="00187713">
      <w:pPr>
        <w:pStyle w:val="EMEABodyText"/>
        <w:rPr>
          <w:iCs/>
          <w:noProof/>
          <w:lang w:val="en-US"/>
        </w:rPr>
      </w:pPr>
    </w:p>
    <w:p w14:paraId="7A45F215" w14:textId="77777777" w:rsidR="00187713" w:rsidRPr="00D31EBB" w:rsidRDefault="00187713" w:rsidP="00187713">
      <w:pPr>
        <w:pStyle w:val="EMEABodyText"/>
        <w:rPr>
          <w:lang w:val="en-US"/>
        </w:rPr>
      </w:pPr>
    </w:p>
    <w:p w14:paraId="6864F707" w14:textId="77777777" w:rsidR="00187713" w:rsidRPr="00D31EBB" w:rsidRDefault="00187713" w:rsidP="00187713">
      <w:pPr>
        <w:pStyle w:val="EMEABodyText"/>
      </w:pPr>
      <w:r>
        <w:br w:type="page"/>
      </w:r>
    </w:p>
    <w:p w14:paraId="0465BADD" w14:textId="77777777" w:rsidR="000669FC" w:rsidRPr="00D31EBB" w:rsidRDefault="000669FC">
      <w:pPr>
        <w:pStyle w:val="EMEABodyText"/>
        <w:rPr>
          <w:lang w:val="en-US"/>
        </w:rPr>
      </w:pPr>
    </w:p>
    <w:p w14:paraId="4DBE524D" w14:textId="77777777" w:rsidR="000669FC" w:rsidRPr="00D31EBB" w:rsidRDefault="000669FC">
      <w:pPr>
        <w:pStyle w:val="EMEABodyText"/>
        <w:rPr>
          <w:lang w:val="en-US"/>
        </w:rPr>
      </w:pPr>
    </w:p>
    <w:p w14:paraId="19683FA6" w14:textId="77777777" w:rsidR="000669FC" w:rsidRPr="00D31EBB" w:rsidRDefault="000669FC">
      <w:pPr>
        <w:pStyle w:val="EMEABodyText"/>
        <w:rPr>
          <w:lang w:val="en-US"/>
        </w:rPr>
      </w:pPr>
    </w:p>
    <w:p w14:paraId="4F5E7774" w14:textId="77777777" w:rsidR="000669FC" w:rsidRPr="00D31EBB" w:rsidRDefault="000669FC">
      <w:pPr>
        <w:pStyle w:val="EMEABodyText"/>
        <w:rPr>
          <w:lang w:val="en-US"/>
        </w:rPr>
      </w:pPr>
    </w:p>
    <w:p w14:paraId="76198729" w14:textId="77777777" w:rsidR="000669FC" w:rsidRPr="00D31EBB" w:rsidRDefault="000669FC">
      <w:pPr>
        <w:pStyle w:val="EMEABodyText"/>
        <w:rPr>
          <w:lang w:val="en-US"/>
        </w:rPr>
      </w:pPr>
    </w:p>
    <w:p w14:paraId="4C6330EC" w14:textId="77777777" w:rsidR="000669FC" w:rsidRPr="00D31EBB" w:rsidRDefault="000669FC">
      <w:pPr>
        <w:pStyle w:val="EMEABodyText"/>
        <w:rPr>
          <w:lang w:val="en-US"/>
        </w:rPr>
      </w:pPr>
    </w:p>
    <w:p w14:paraId="14589F7C" w14:textId="77777777" w:rsidR="000669FC" w:rsidRPr="00D31EBB" w:rsidRDefault="000669FC">
      <w:pPr>
        <w:pStyle w:val="EMEABodyText"/>
        <w:rPr>
          <w:lang w:val="en-US"/>
        </w:rPr>
      </w:pPr>
    </w:p>
    <w:p w14:paraId="26EB120B" w14:textId="77777777" w:rsidR="000669FC" w:rsidRPr="00D31EBB" w:rsidRDefault="000669FC">
      <w:pPr>
        <w:pStyle w:val="EMEABodyText"/>
        <w:rPr>
          <w:lang w:val="en-US"/>
        </w:rPr>
      </w:pPr>
    </w:p>
    <w:p w14:paraId="231FFA1A" w14:textId="77777777" w:rsidR="000669FC" w:rsidRPr="00D31EBB" w:rsidRDefault="000669FC">
      <w:pPr>
        <w:pStyle w:val="EMEABodyText"/>
        <w:rPr>
          <w:lang w:val="en-US"/>
        </w:rPr>
      </w:pPr>
    </w:p>
    <w:p w14:paraId="1CCA8393" w14:textId="77777777" w:rsidR="000669FC" w:rsidRPr="00D31EBB" w:rsidRDefault="000669FC">
      <w:pPr>
        <w:pStyle w:val="EMEABodyText"/>
        <w:rPr>
          <w:lang w:val="en-US"/>
        </w:rPr>
      </w:pPr>
    </w:p>
    <w:p w14:paraId="202666DC" w14:textId="77777777" w:rsidR="000669FC" w:rsidRPr="00D31EBB" w:rsidRDefault="000669FC">
      <w:pPr>
        <w:pStyle w:val="EMEABodyText"/>
        <w:rPr>
          <w:lang w:val="en-US"/>
        </w:rPr>
      </w:pPr>
    </w:p>
    <w:p w14:paraId="7C44D232" w14:textId="77777777" w:rsidR="000669FC" w:rsidRPr="00D31EBB" w:rsidRDefault="000669FC">
      <w:pPr>
        <w:pStyle w:val="EMEABodyText"/>
        <w:rPr>
          <w:lang w:val="en-US"/>
        </w:rPr>
      </w:pPr>
    </w:p>
    <w:p w14:paraId="7740C4EB" w14:textId="77777777" w:rsidR="000669FC" w:rsidRPr="00D31EBB" w:rsidRDefault="000669FC">
      <w:pPr>
        <w:pStyle w:val="EMEABodyText"/>
        <w:rPr>
          <w:lang w:val="en-US"/>
        </w:rPr>
      </w:pPr>
    </w:p>
    <w:p w14:paraId="0ACF55D9" w14:textId="77777777" w:rsidR="000669FC" w:rsidRPr="00D31EBB" w:rsidRDefault="000669FC">
      <w:pPr>
        <w:pStyle w:val="EMEABodyText"/>
        <w:rPr>
          <w:lang w:val="en-US"/>
        </w:rPr>
      </w:pPr>
    </w:p>
    <w:p w14:paraId="4F1D1DA7" w14:textId="77777777" w:rsidR="000669FC" w:rsidRPr="00D31EBB" w:rsidRDefault="000669FC">
      <w:pPr>
        <w:pStyle w:val="EMEABodyText"/>
        <w:rPr>
          <w:lang w:val="en-US"/>
        </w:rPr>
      </w:pPr>
    </w:p>
    <w:p w14:paraId="2B0775DF" w14:textId="77777777" w:rsidR="000669FC" w:rsidRPr="00D31EBB" w:rsidRDefault="000669FC">
      <w:pPr>
        <w:pStyle w:val="EMEABodyText"/>
        <w:rPr>
          <w:lang w:val="en-US"/>
        </w:rPr>
      </w:pPr>
    </w:p>
    <w:p w14:paraId="5841BC8F" w14:textId="77777777" w:rsidR="000669FC" w:rsidRPr="00D31EBB" w:rsidRDefault="000669FC">
      <w:pPr>
        <w:pStyle w:val="EMEABodyText"/>
        <w:rPr>
          <w:lang w:val="en-US"/>
        </w:rPr>
      </w:pPr>
    </w:p>
    <w:p w14:paraId="6CEB9DE7" w14:textId="77777777" w:rsidR="000669FC" w:rsidRPr="00D31EBB" w:rsidRDefault="000669FC">
      <w:pPr>
        <w:pStyle w:val="EMEABodyText"/>
        <w:rPr>
          <w:lang w:val="en-US"/>
        </w:rPr>
      </w:pPr>
    </w:p>
    <w:p w14:paraId="26158C99" w14:textId="77777777" w:rsidR="000669FC" w:rsidRPr="00D31EBB" w:rsidRDefault="000669FC">
      <w:pPr>
        <w:pStyle w:val="EMEABodyText"/>
        <w:rPr>
          <w:lang w:val="en-US"/>
        </w:rPr>
      </w:pPr>
    </w:p>
    <w:p w14:paraId="23BF8FCB" w14:textId="77777777" w:rsidR="000669FC" w:rsidRPr="00D31EBB" w:rsidRDefault="000669FC">
      <w:pPr>
        <w:pStyle w:val="EMEABodyText"/>
        <w:rPr>
          <w:lang w:val="en-US"/>
        </w:rPr>
      </w:pPr>
    </w:p>
    <w:p w14:paraId="06FC19CB" w14:textId="77777777" w:rsidR="000669FC" w:rsidRPr="00D31EBB" w:rsidRDefault="000669FC">
      <w:pPr>
        <w:pStyle w:val="EMEABodyText"/>
        <w:rPr>
          <w:lang w:val="en-US"/>
        </w:rPr>
      </w:pPr>
    </w:p>
    <w:p w14:paraId="10763952" w14:textId="77777777" w:rsidR="000669FC" w:rsidRPr="00D31EBB" w:rsidRDefault="000669FC">
      <w:pPr>
        <w:pStyle w:val="EMEABodyText"/>
        <w:rPr>
          <w:lang w:val="en-US"/>
        </w:rPr>
      </w:pPr>
    </w:p>
    <w:p w14:paraId="2281B796" w14:textId="77777777" w:rsidR="000669FC" w:rsidRPr="00D31EBB" w:rsidRDefault="000669FC">
      <w:pPr>
        <w:pStyle w:val="EMEABodyText"/>
        <w:rPr>
          <w:lang w:val="en-US"/>
        </w:rPr>
      </w:pPr>
    </w:p>
    <w:p w14:paraId="656CC331" w14:textId="77777777" w:rsidR="000669FC" w:rsidRPr="00D31EBB" w:rsidRDefault="000669FC">
      <w:pPr>
        <w:pStyle w:val="EMEATitle"/>
      </w:pPr>
      <w:r>
        <w:t>B. PACKAGE LEAFLET</w:t>
      </w:r>
    </w:p>
    <w:p w14:paraId="18891681" w14:textId="77777777" w:rsidR="00D02BC8" w:rsidRPr="00D31EBB" w:rsidRDefault="00443442" w:rsidP="008B6CCB">
      <w:pPr>
        <w:pStyle w:val="EMEATitle"/>
        <w:rPr>
          <w:noProof/>
        </w:rPr>
      </w:pPr>
      <w:r>
        <w:br w:type="page"/>
        <w:t>Package leaflet: Information for the user</w:t>
      </w:r>
    </w:p>
    <w:p w14:paraId="5E311553" w14:textId="77777777" w:rsidR="00D02BC8" w:rsidRPr="00D31EBB" w:rsidRDefault="00D02BC8" w:rsidP="008B6CCB">
      <w:pPr>
        <w:pStyle w:val="EMEATitle"/>
        <w:rPr>
          <w:noProof/>
          <w:lang w:val="en-US"/>
        </w:rPr>
      </w:pPr>
    </w:p>
    <w:p w14:paraId="1C0BEF6A" w14:textId="77777777" w:rsidR="00D02BC8" w:rsidRPr="00D31EBB" w:rsidRDefault="00D02BC8" w:rsidP="008B6CCB">
      <w:pPr>
        <w:pStyle w:val="EMEABodyText"/>
        <w:jc w:val="center"/>
        <w:rPr>
          <w:b/>
        </w:rPr>
      </w:pPr>
      <w:r>
        <w:rPr>
          <w:b/>
        </w:rPr>
        <w:t>REYATAZ 100 mg hard capsules</w:t>
      </w:r>
    </w:p>
    <w:p w14:paraId="10EC7C51" w14:textId="77777777" w:rsidR="00D02BC8" w:rsidRPr="00D31EBB" w:rsidRDefault="00D02BC8" w:rsidP="008B6CCB">
      <w:pPr>
        <w:pStyle w:val="EMEABodyText"/>
        <w:jc w:val="center"/>
      </w:pPr>
      <w:r>
        <w:t>atazanavir</w:t>
      </w:r>
    </w:p>
    <w:p w14:paraId="5B69FBDA" w14:textId="77777777" w:rsidR="00D02BC8" w:rsidRPr="00D31EBB" w:rsidRDefault="00D02BC8" w:rsidP="008B6CCB">
      <w:pPr>
        <w:pStyle w:val="EMEABodyText"/>
        <w:jc w:val="center"/>
        <w:rPr>
          <w:b/>
          <w:noProof/>
          <w:lang w:val="en-US"/>
        </w:rPr>
      </w:pPr>
    </w:p>
    <w:p w14:paraId="0BEFBE87" w14:textId="77777777" w:rsidR="00D02BC8" w:rsidRPr="00D31EBB" w:rsidRDefault="00D02BC8" w:rsidP="008B6CCB">
      <w:pPr>
        <w:pStyle w:val="EMEABodyText"/>
        <w:rPr>
          <w:b/>
          <w:noProof/>
        </w:rPr>
      </w:pPr>
      <w:r>
        <w:rPr>
          <w:b/>
        </w:rPr>
        <w:t>Read all of this leaflet carefully before you start taking this medicine because it contains important information for you.</w:t>
      </w:r>
    </w:p>
    <w:p w14:paraId="076CFCD7" w14:textId="77777777" w:rsidR="00D02BC8" w:rsidRPr="00D31EBB" w:rsidRDefault="00D02BC8" w:rsidP="008C48D0">
      <w:pPr>
        <w:pStyle w:val="EMEABodyTextIndent"/>
        <w:ind w:left="567" w:hanging="567"/>
      </w:pPr>
      <w:r>
        <w:t>Keep this leaflet. You may need to read it again.</w:t>
      </w:r>
    </w:p>
    <w:p w14:paraId="7B2C75A1" w14:textId="77777777" w:rsidR="00D02BC8" w:rsidRPr="00D31EBB" w:rsidRDefault="00D02BC8" w:rsidP="008C48D0">
      <w:pPr>
        <w:pStyle w:val="EMEABodyTextIndent"/>
        <w:ind w:left="567" w:hanging="567"/>
      </w:pPr>
      <w:r>
        <w:t>If you have any further questions, ask your doctor or pharmacist.</w:t>
      </w:r>
    </w:p>
    <w:p w14:paraId="73A9A429" w14:textId="77777777" w:rsidR="00D02BC8" w:rsidRPr="00D31EBB" w:rsidRDefault="00D02BC8" w:rsidP="008C48D0">
      <w:pPr>
        <w:pStyle w:val="EMEABodyTextIndent"/>
        <w:ind w:left="567" w:hanging="567"/>
      </w:pPr>
      <w:r>
        <w:t>This medicine has been prescribed for you only. Do not pass it on to others.</w:t>
      </w:r>
      <w:r>
        <w:br/>
        <w:t>It may harm them, even if their signs of illness are the same as yours.</w:t>
      </w:r>
    </w:p>
    <w:p w14:paraId="4E0BB0B4" w14:textId="77777777" w:rsidR="00D02BC8" w:rsidRPr="004F3582" w:rsidRDefault="00D02BC8" w:rsidP="008C48D0">
      <w:pPr>
        <w:pStyle w:val="EMEABodyTextIndent"/>
        <w:ind w:left="567" w:hanging="567"/>
        <w:rPr>
          <w:noProof/>
        </w:rPr>
      </w:pPr>
      <w:r>
        <w:t>If you get any side effects talk to your doctor, or pharmacist. This includes any possible side effects not listed in this leaflet. See section 4.</w:t>
      </w:r>
    </w:p>
    <w:p w14:paraId="3186D451" w14:textId="77777777" w:rsidR="00D02BC8" w:rsidRPr="004F3582" w:rsidRDefault="00D02BC8" w:rsidP="008B6CCB">
      <w:pPr>
        <w:pStyle w:val="EMEABodyText"/>
        <w:rPr>
          <w:b/>
          <w:noProof/>
        </w:rPr>
      </w:pPr>
    </w:p>
    <w:p w14:paraId="1C8BE29F" w14:textId="77777777" w:rsidR="00D02BC8" w:rsidRPr="004F3582" w:rsidRDefault="00D02BC8" w:rsidP="008B6CCB">
      <w:pPr>
        <w:pStyle w:val="EMEABodyText"/>
      </w:pPr>
      <w:r>
        <w:rPr>
          <w:b/>
        </w:rPr>
        <w:t>What is in this leaflet</w:t>
      </w:r>
    </w:p>
    <w:p w14:paraId="3D81B445" w14:textId="77777777" w:rsidR="00D02BC8" w:rsidRPr="004F3582" w:rsidRDefault="00D02BC8" w:rsidP="008B6CCB">
      <w:pPr>
        <w:pStyle w:val="EMEABodyText"/>
      </w:pPr>
    </w:p>
    <w:p w14:paraId="33ED91FC" w14:textId="77777777" w:rsidR="00D02BC8" w:rsidRPr="00D31EBB" w:rsidRDefault="00D02BC8" w:rsidP="008B6CCB">
      <w:pPr>
        <w:pStyle w:val="EMEABodyText"/>
      </w:pPr>
      <w:r>
        <w:t>1.</w:t>
      </w:r>
      <w:r>
        <w:tab/>
        <w:t>What REYATAZ is and what it is used for</w:t>
      </w:r>
    </w:p>
    <w:p w14:paraId="3C063EFF" w14:textId="77777777" w:rsidR="00D02BC8" w:rsidRPr="00D31EBB" w:rsidRDefault="00D02BC8" w:rsidP="008B6CCB">
      <w:pPr>
        <w:pStyle w:val="EMEABodyText"/>
      </w:pPr>
      <w:r>
        <w:t>2.</w:t>
      </w:r>
      <w:r>
        <w:tab/>
        <w:t>What you need to know before you take REYATAZ</w:t>
      </w:r>
    </w:p>
    <w:p w14:paraId="56AB9D4B" w14:textId="77777777" w:rsidR="00D02BC8" w:rsidRPr="00D31EBB" w:rsidRDefault="00D02BC8" w:rsidP="008B6CCB">
      <w:pPr>
        <w:pStyle w:val="EMEABodyText"/>
      </w:pPr>
      <w:r>
        <w:t>3.</w:t>
      </w:r>
      <w:r>
        <w:tab/>
        <w:t>How to take REYATAZ</w:t>
      </w:r>
    </w:p>
    <w:p w14:paraId="10BE2C3A" w14:textId="77777777" w:rsidR="00D02BC8" w:rsidRPr="00D31EBB" w:rsidRDefault="00D02BC8" w:rsidP="008B6CCB">
      <w:pPr>
        <w:pStyle w:val="EMEABodyText"/>
      </w:pPr>
      <w:r>
        <w:t>4.</w:t>
      </w:r>
      <w:r>
        <w:tab/>
        <w:t xml:space="preserve">Possible side effects </w:t>
      </w:r>
    </w:p>
    <w:p w14:paraId="6AB368B6" w14:textId="77777777" w:rsidR="00D02BC8" w:rsidRPr="00D31EBB" w:rsidRDefault="00D02BC8" w:rsidP="008B6CCB">
      <w:pPr>
        <w:pStyle w:val="EMEABodyText"/>
      </w:pPr>
      <w:r>
        <w:t>5.</w:t>
      </w:r>
      <w:r>
        <w:tab/>
        <w:t>How to store REYATAZ</w:t>
      </w:r>
    </w:p>
    <w:p w14:paraId="7FC4FE6E" w14:textId="77777777" w:rsidR="00D02BC8" w:rsidRPr="00D31EBB" w:rsidRDefault="00D02BC8" w:rsidP="008B6CCB">
      <w:pPr>
        <w:pStyle w:val="EMEABodyText"/>
      </w:pPr>
      <w:r>
        <w:t>6.</w:t>
      </w:r>
      <w:r>
        <w:tab/>
        <w:t>Contents of the pack and other information</w:t>
      </w:r>
    </w:p>
    <w:p w14:paraId="4361CCE1" w14:textId="77777777" w:rsidR="00D02BC8" w:rsidRPr="00D31EBB" w:rsidRDefault="00D02BC8" w:rsidP="008B6CCB">
      <w:pPr>
        <w:pStyle w:val="EMEABodyText"/>
        <w:rPr>
          <w:b/>
          <w:noProof/>
          <w:lang w:val="en-US"/>
        </w:rPr>
      </w:pPr>
    </w:p>
    <w:p w14:paraId="19FDA497" w14:textId="77777777" w:rsidR="00D02BC8" w:rsidRPr="00D31EBB" w:rsidRDefault="00D02BC8" w:rsidP="008B6CCB">
      <w:pPr>
        <w:pStyle w:val="EMEABodyText"/>
        <w:rPr>
          <w:noProof/>
          <w:lang w:val="en-US"/>
        </w:rPr>
      </w:pPr>
    </w:p>
    <w:p w14:paraId="329FE7F5" w14:textId="77777777" w:rsidR="00D02BC8" w:rsidRPr="00D31EBB" w:rsidRDefault="00D961CF" w:rsidP="00D961CF">
      <w:pPr>
        <w:pStyle w:val="EMEAHeading1"/>
      </w:pPr>
      <w:r>
        <w:rPr>
          <w:caps w:val="0"/>
        </w:rPr>
        <w:t>1.</w:t>
      </w:r>
      <w:r>
        <w:rPr>
          <w:caps w:val="0"/>
        </w:rPr>
        <w:tab/>
        <w:t>What REYATAZ is and What it is used for</w:t>
      </w:r>
    </w:p>
    <w:p w14:paraId="3B927733" w14:textId="77777777" w:rsidR="00D02BC8" w:rsidRPr="00D31EBB" w:rsidRDefault="00D02BC8" w:rsidP="00D961CF">
      <w:pPr>
        <w:pStyle w:val="EMEABodyText"/>
        <w:rPr>
          <w:noProof/>
          <w:lang w:val="en-US"/>
        </w:rPr>
      </w:pPr>
    </w:p>
    <w:p w14:paraId="7CF3A728" w14:textId="77777777" w:rsidR="00D02BC8" w:rsidRPr="00D31EBB" w:rsidRDefault="00D02BC8" w:rsidP="008B6CCB">
      <w:pPr>
        <w:pStyle w:val="EMEABodyText"/>
      </w:pPr>
      <w:r>
        <w:rPr>
          <w:b/>
        </w:rPr>
        <w:t xml:space="preserve">REYATAZ is an antiviral (or antiretroviral) medicine. </w:t>
      </w:r>
      <w:r>
        <w:t xml:space="preserve">It is one of a group called </w:t>
      </w:r>
      <w:r>
        <w:rPr>
          <w:i/>
        </w:rPr>
        <w:t>protease inhibitors</w:t>
      </w:r>
      <w:r>
        <w:t>. These medicines control Human Immunodeficiency Virus (HIV) infection by stopping a protein that the HIV needs for its multiplication. They work by reducing the amount of HIV in your body and this in turn, strengthens your immune system. In this way REYATAZ reduces the risk of developing illnesses linked to HIV infection.</w:t>
      </w:r>
    </w:p>
    <w:p w14:paraId="2A609C40" w14:textId="77777777" w:rsidR="00D02BC8" w:rsidRPr="00D31EBB" w:rsidRDefault="00D02BC8" w:rsidP="008B6CCB">
      <w:pPr>
        <w:pStyle w:val="EMEABodyText"/>
        <w:rPr>
          <w:lang w:val="en-US"/>
        </w:rPr>
      </w:pPr>
    </w:p>
    <w:p w14:paraId="5756FA52" w14:textId="77777777" w:rsidR="00D02BC8" w:rsidRPr="00D31EBB" w:rsidRDefault="00D02BC8" w:rsidP="008B6CCB">
      <w:pPr>
        <w:pStyle w:val="EMEABodyText"/>
      </w:pPr>
      <w:r>
        <w:t>REYATAZ capsules may be used by adults and children 6 years of age and older. Your doctor has prescribed REYATAZ for you because you are infected by the HIV that causes Acquired Immunodeficiency Syndrome (AIDS). It is normally used in combination with other anti-HIV medicines. Your doctor will discuss with you which combination of these medicines with REYATAZ is best for you.</w:t>
      </w:r>
    </w:p>
    <w:p w14:paraId="3ECE0909" w14:textId="77777777" w:rsidR="00D02BC8" w:rsidRPr="00D31EBB" w:rsidRDefault="00D02BC8" w:rsidP="008B6CCB">
      <w:pPr>
        <w:pStyle w:val="EMEABodyText"/>
        <w:rPr>
          <w:lang w:val="en-US"/>
        </w:rPr>
      </w:pPr>
    </w:p>
    <w:p w14:paraId="013D71AB" w14:textId="77777777" w:rsidR="00D02BC8" w:rsidRPr="00D31EBB" w:rsidRDefault="00D02BC8" w:rsidP="008B6CCB">
      <w:pPr>
        <w:pStyle w:val="EMEABodyText"/>
        <w:rPr>
          <w:noProof/>
          <w:lang w:val="en-US"/>
        </w:rPr>
      </w:pPr>
    </w:p>
    <w:p w14:paraId="2D3E66F8" w14:textId="77777777" w:rsidR="00D02BC8" w:rsidRPr="00D31EBB" w:rsidRDefault="00D961CF" w:rsidP="00F62C71">
      <w:pPr>
        <w:pStyle w:val="EMEAHeading1"/>
        <w:rPr>
          <w:bCs/>
          <w:caps w:val="0"/>
        </w:rPr>
      </w:pPr>
      <w:r>
        <w:rPr>
          <w:bCs/>
          <w:caps w:val="0"/>
        </w:rPr>
        <w:t>2.</w:t>
      </w:r>
      <w:r>
        <w:rPr>
          <w:bCs/>
          <w:caps w:val="0"/>
        </w:rPr>
        <w:tab/>
        <w:t>What you need to know before you take REYATAZ</w:t>
      </w:r>
    </w:p>
    <w:p w14:paraId="4E00F443" w14:textId="77777777" w:rsidR="00D02BC8" w:rsidRPr="00D31EBB" w:rsidRDefault="00D02BC8" w:rsidP="00D961CF">
      <w:pPr>
        <w:pStyle w:val="EMEABodyText"/>
        <w:rPr>
          <w:noProof/>
          <w:lang w:val="en-US"/>
        </w:rPr>
      </w:pPr>
    </w:p>
    <w:p w14:paraId="15A78E37" w14:textId="77777777" w:rsidR="00D02BC8" w:rsidRPr="004F3582" w:rsidRDefault="00D02BC8" w:rsidP="008B6CCB">
      <w:pPr>
        <w:pStyle w:val="EMEAHeading2"/>
      </w:pPr>
      <w:r>
        <w:t>Do not take REYATAZ</w:t>
      </w:r>
    </w:p>
    <w:p w14:paraId="580783EF" w14:textId="77777777" w:rsidR="00D02BC8" w:rsidRPr="00D31EBB" w:rsidRDefault="00D02BC8" w:rsidP="00F62C71">
      <w:pPr>
        <w:pStyle w:val="EMEABodyTextIndent"/>
        <w:ind w:left="567" w:hanging="567"/>
      </w:pPr>
      <w:r>
        <w:rPr>
          <w:b/>
        </w:rPr>
        <w:t xml:space="preserve">if you are allergic </w:t>
      </w:r>
      <w:r>
        <w:t>to atazanavir or any of the other ingredients of this medicine (listed in section 6)</w:t>
      </w:r>
    </w:p>
    <w:p w14:paraId="335D4B41" w14:textId="77777777" w:rsidR="00D02BC8" w:rsidRPr="00D31EBB" w:rsidRDefault="00D02BC8" w:rsidP="003942A6">
      <w:pPr>
        <w:pStyle w:val="EMEABodyTextIndent"/>
        <w:ind w:left="567" w:hanging="567"/>
      </w:pPr>
      <w:r>
        <w:rPr>
          <w:b/>
        </w:rPr>
        <w:t xml:space="preserve">if you have moderate to severe liver problems. </w:t>
      </w:r>
      <w:r>
        <w:t>Your doctor will evaluate how severe your liver disease is before deciding whether you can take REYATAZ</w:t>
      </w:r>
    </w:p>
    <w:p w14:paraId="1D1CD7E1" w14:textId="77777777" w:rsidR="00D02BC8" w:rsidRPr="00D31EBB" w:rsidRDefault="00D02BC8" w:rsidP="00F62C71">
      <w:pPr>
        <w:pStyle w:val="EMEABodyTextIndent"/>
        <w:ind w:left="567" w:hanging="567"/>
        <w:rPr>
          <w:i/>
        </w:rPr>
      </w:pPr>
      <w:r>
        <w:rPr>
          <w:b/>
        </w:rPr>
        <w:t>if you are taking any of these medicines:</w:t>
      </w:r>
      <w:r>
        <w:t xml:space="preserve"> see also </w:t>
      </w:r>
      <w:r>
        <w:rPr>
          <w:i/>
        </w:rPr>
        <w:t>Other medicines and REYATAZ</w:t>
      </w:r>
    </w:p>
    <w:p w14:paraId="76928F5A" w14:textId="77777777" w:rsidR="00D02BC8" w:rsidRPr="00D31EBB" w:rsidRDefault="00D02BC8" w:rsidP="00DB1FED">
      <w:pPr>
        <w:pStyle w:val="EMEABodyTextIndent"/>
        <w:numPr>
          <w:ilvl w:val="1"/>
          <w:numId w:val="10"/>
        </w:numPr>
        <w:ind w:left="1134" w:hanging="567"/>
      </w:pPr>
      <w:r>
        <w:t>rifampicin (an antibiotic used to treat tuberculosis)</w:t>
      </w:r>
      <w:r>
        <w:rPr>
          <w:color w:val="008000"/>
        </w:rPr>
        <w:t xml:space="preserve"> </w:t>
      </w:r>
    </w:p>
    <w:p w14:paraId="6F926DDF" w14:textId="77777777" w:rsidR="00D02BC8" w:rsidRPr="00D31EBB" w:rsidRDefault="00D02BC8" w:rsidP="00DB1FED">
      <w:pPr>
        <w:pStyle w:val="EMEABodyTextIndent"/>
        <w:numPr>
          <w:ilvl w:val="1"/>
          <w:numId w:val="10"/>
        </w:numPr>
        <w:ind w:left="1134" w:hanging="567"/>
      </w:pPr>
      <w:r>
        <w:t>astemizole or terfenadine (commonly used to treat allergy symptoms, these medicines may be available without prescription); cisapride (used to treat gastric reflux, sometimes called heartburn); pimozide (used to treat schizophrenia); quinidine or bepridil (used to correct heart rhythm); ergotamine, dihydroergotamine, ergonovine, methylergonovine (used to treat headaches); and alfuzosin (used to treat enlarged prostatic gland)</w:t>
      </w:r>
    </w:p>
    <w:p w14:paraId="5F8DFFB7" w14:textId="77777777" w:rsidR="00D02BC8" w:rsidRPr="00D31EBB" w:rsidRDefault="00D02BC8" w:rsidP="00F62C71">
      <w:pPr>
        <w:pStyle w:val="EMEABodyTextIndent"/>
        <w:ind w:left="1134" w:hanging="567"/>
      </w:pPr>
      <w:r>
        <w:t>quetiapine (used to treat schizophrenia, bipolar disorder and major depressive disorder); lurasidone (used to treat schizophrenia)</w:t>
      </w:r>
    </w:p>
    <w:p w14:paraId="65980B7C" w14:textId="77777777" w:rsidR="00D02BC8" w:rsidRPr="00D31EBB" w:rsidRDefault="00D02BC8" w:rsidP="00DB1FED">
      <w:pPr>
        <w:pStyle w:val="EMEABodyTextIndent"/>
        <w:numPr>
          <w:ilvl w:val="1"/>
          <w:numId w:val="10"/>
        </w:numPr>
        <w:ind w:left="1134" w:hanging="567"/>
      </w:pPr>
      <w:r>
        <w:t>medicines containing St. John’s wort</w:t>
      </w:r>
      <w:r>
        <w:rPr>
          <w:i/>
        </w:rPr>
        <w:t xml:space="preserve"> (Hypericum perforatum</w:t>
      </w:r>
      <w:r>
        <w:t>, a herbal preparation)</w:t>
      </w:r>
    </w:p>
    <w:p w14:paraId="14FD857E" w14:textId="77777777" w:rsidR="00D02BC8" w:rsidRPr="00D31EBB" w:rsidRDefault="00D02BC8" w:rsidP="00DB1FED">
      <w:pPr>
        <w:pStyle w:val="EMEABodyTextIndent"/>
        <w:numPr>
          <w:ilvl w:val="1"/>
          <w:numId w:val="10"/>
        </w:numPr>
        <w:ind w:left="1134" w:hanging="567"/>
      </w:pPr>
      <w:r>
        <w:t>triazolam and oral (taken by mouth) midazolam (used to help you sleep and/or to relieve anxiety)</w:t>
      </w:r>
    </w:p>
    <w:p w14:paraId="5CF6E666" w14:textId="77777777" w:rsidR="00D02BC8" w:rsidRPr="00D31EBB" w:rsidRDefault="00D02BC8" w:rsidP="003942A6">
      <w:pPr>
        <w:pStyle w:val="EMEABodyTextIndent"/>
        <w:ind w:left="1105" w:hanging="538"/>
      </w:pPr>
      <w:r>
        <w:t>simvastatin and lovastatin (used to lower blood cholesterol).</w:t>
      </w:r>
    </w:p>
    <w:p w14:paraId="06F1B6AB" w14:textId="77777777" w:rsidR="003D0B02" w:rsidRPr="00D31EBB" w:rsidRDefault="003D0B02" w:rsidP="00DB1FED">
      <w:pPr>
        <w:pStyle w:val="EMEABodyTextIndent"/>
        <w:numPr>
          <w:ilvl w:val="1"/>
          <w:numId w:val="10"/>
        </w:numPr>
        <w:ind w:left="1134" w:hanging="567"/>
      </w:pPr>
      <w:r>
        <w:t>grazoprevir-containing products, including elbasvir/grazoprevir fixed dose combination, and glecaprevir/pibrentasvir fixed dose combination (used to treat chronic hepatitis  C infection)</w:t>
      </w:r>
    </w:p>
    <w:p w14:paraId="01F968E9" w14:textId="77777777" w:rsidR="00D02BC8" w:rsidRPr="00D31EBB" w:rsidRDefault="00D02BC8" w:rsidP="008B6CCB">
      <w:pPr>
        <w:pStyle w:val="EMEABodyText"/>
        <w:rPr>
          <w:lang w:val="en-US"/>
        </w:rPr>
      </w:pPr>
    </w:p>
    <w:p w14:paraId="583A5B41" w14:textId="77777777" w:rsidR="00D02BC8" w:rsidRPr="00D31EBB" w:rsidRDefault="00D02BC8" w:rsidP="008B6CCB">
      <w:pPr>
        <w:pStyle w:val="EMEABodyText"/>
      </w:pPr>
      <w:r>
        <w:t>Do not take sildenafil with REYATAZ when sildenafil is used for the treatment of pulmonary arterial hypertension. Sildenafil is also used for the treatment of erectile dysfunction. Tell your doctor if you are using sildenafil for the treatment of erectile dysfunction.</w:t>
      </w:r>
    </w:p>
    <w:p w14:paraId="51CBB7B0" w14:textId="77777777" w:rsidR="00D02BC8" w:rsidRPr="00D31EBB" w:rsidRDefault="00D02BC8" w:rsidP="008B6CCB">
      <w:pPr>
        <w:pStyle w:val="EMEABodyText"/>
        <w:rPr>
          <w:lang w:val="en-US"/>
        </w:rPr>
      </w:pPr>
    </w:p>
    <w:p w14:paraId="0F52BB13" w14:textId="77777777" w:rsidR="00D02BC8" w:rsidRPr="00D31EBB" w:rsidRDefault="00D02BC8" w:rsidP="008B6CCB">
      <w:pPr>
        <w:pStyle w:val="EMEABodyText"/>
      </w:pPr>
      <w:r>
        <w:t>Tell your doctor at once if any of these apply to you.</w:t>
      </w:r>
    </w:p>
    <w:p w14:paraId="73DF7D19" w14:textId="77777777" w:rsidR="00D02BC8" w:rsidRPr="00D31EBB" w:rsidRDefault="00D02BC8" w:rsidP="008B6CCB">
      <w:pPr>
        <w:pStyle w:val="EMEABodyText"/>
        <w:rPr>
          <w:b/>
          <w:noProof/>
          <w:lang w:val="en-US"/>
        </w:rPr>
      </w:pPr>
    </w:p>
    <w:p w14:paraId="5FCF26EF" w14:textId="77777777" w:rsidR="00D02BC8" w:rsidRPr="00D31EBB" w:rsidRDefault="00D02BC8" w:rsidP="008B6CCB">
      <w:pPr>
        <w:pStyle w:val="EMEAHeading2"/>
      </w:pPr>
      <w:r>
        <w:t>Warnings and precautions</w:t>
      </w:r>
    </w:p>
    <w:p w14:paraId="29158C99" w14:textId="77777777" w:rsidR="003228A9" w:rsidRPr="00D31EBB" w:rsidRDefault="003228A9" w:rsidP="003228A9">
      <w:pPr>
        <w:pStyle w:val="EMEABodyText"/>
        <w:rPr>
          <w:b/>
          <w:lang w:val="en-US"/>
        </w:rPr>
      </w:pPr>
    </w:p>
    <w:p w14:paraId="3ABF8108" w14:textId="77777777" w:rsidR="003228A9" w:rsidRPr="00D31EBB" w:rsidRDefault="003228A9" w:rsidP="003228A9">
      <w:pPr>
        <w:pStyle w:val="EMEABodyText"/>
      </w:pPr>
      <w:r>
        <w:rPr>
          <w:b/>
        </w:rPr>
        <w:t xml:space="preserve">REYATAZ is not a cure for HIV infection. </w:t>
      </w:r>
      <w:r>
        <w:t>You may continue to develop infections or other illnesses linked to HIV infection. You can still pass on HIV when taking this medicine, although the risk is lowered by effective antiretroviral therapy. Discuss with your doctor the precautions needed to avoid infecting other people.</w:t>
      </w:r>
    </w:p>
    <w:p w14:paraId="5FC5D344" w14:textId="77777777" w:rsidR="003228A9" w:rsidRPr="00D31EBB" w:rsidRDefault="003228A9" w:rsidP="008B6CCB">
      <w:pPr>
        <w:pStyle w:val="EMEABodyText"/>
        <w:rPr>
          <w:lang w:val="en-US"/>
        </w:rPr>
      </w:pPr>
    </w:p>
    <w:p w14:paraId="4346BCDB" w14:textId="77777777" w:rsidR="00D02BC8" w:rsidRPr="00D31EBB" w:rsidRDefault="00D02BC8" w:rsidP="008B6CCB">
      <w:pPr>
        <w:pStyle w:val="EMEABodyText"/>
      </w:pPr>
      <w:r>
        <w:t>Some people will need special care before or while taking REYATAZ. Talk to your doctor or pharmacist before taking REYATAZ and make sure your doctor knows:</w:t>
      </w:r>
    </w:p>
    <w:p w14:paraId="0BC7FFA5" w14:textId="77777777" w:rsidR="00D02BC8" w:rsidRPr="00D31EBB" w:rsidRDefault="00D02BC8" w:rsidP="00211509">
      <w:pPr>
        <w:pStyle w:val="EMEABodyTextIndent"/>
        <w:ind w:left="567" w:hanging="567"/>
      </w:pPr>
      <w:r>
        <w:t>if you have hepatitis B or C</w:t>
      </w:r>
    </w:p>
    <w:p w14:paraId="12A70781" w14:textId="77777777" w:rsidR="003228A9" w:rsidRPr="00D31EBB" w:rsidRDefault="003228A9" w:rsidP="003C008D">
      <w:pPr>
        <w:pStyle w:val="EMEABodyTextIndent"/>
        <w:ind w:left="567" w:hanging="567"/>
      </w:pPr>
      <w:r>
        <w:t>if you develop signs or symptoms of gall stones (pain at the right side of your stomach)</w:t>
      </w:r>
    </w:p>
    <w:p w14:paraId="2CD799EF" w14:textId="77777777" w:rsidR="00D02BC8" w:rsidRPr="00D31EBB" w:rsidRDefault="00D02BC8" w:rsidP="00211509">
      <w:pPr>
        <w:pStyle w:val="EMEABodyTextIndent"/>
        <w:ind w:left="567" w:hanging="567"/>
      </w:pPr>
      <w:r>
        <w:t>if you have type A or B haemophilia</w:t>
      </w:r>
    </w:p>
    <w:p w14:paraId="663936E5" w14:textId="77777777" w:rsidR="00D02BC8" w:rsidRPr="004F3582" w:rsidRDefault="00D02BC8" w:rsidP="00211509">
      <w:pPr>
        <w:pStyle w:val="EMEABodyTextIndent"/>
        <w:ind w:left="567" w:hanging="567"/>
      </w:pPr>
      <w:r>
        <w:t>if you require haemodialysis</w:t>
      </w:r>
    </w:p>
    <w:p w14:paraId="3BFBDD90" w14:textId="77777777" w:rsidR="00D02BC8" w:rsidRPr="004F3582" w:rsidRDefault="00D02BC8" w:rsidP="00680F60">
      <w:pPr>
        <w:pStyle w:val="EMEABodyTextIndent"/>
        <w:numPr>
          <w:ilvl w:val="0"/>
          <w:numId w:val="0"/>
        </w:numPr>
        <w:tabs>
          <w:tab w:val="left" w:pos="562"/>
        </w:tabs>
        <w:ind w:left="360" w:hanging="360"/>
      </w:pPr>
    </w:p>
    <w:p w14:paraId="486FA625" w14:textId="77777777" w:rsidR="00EF4F14" w:rsidRPr="00D31EBB" w:rsidRDefault="00EF4F14" w:rsidP="00EF4F14">
      <w:pPr>
        <w:pStyle w:val="EMEABodyText"/>
      </w:pPr>
      <w:r>
        <w:t>REYATAZ may affect how well your kidneys work.</w:t>
      </w:r>
    </w:p>
    <w:p w14:paraId="7E45A231" w14:textId="77777777" w:rsidR="00EF4F14" w:rsidRPr="00D31EBB" w:rsidRDefault="00EF4F14" w:rsidP="008B6CCB">
      <w:pPr>
        <w:pStyle w:val="EMEABodyText"/>
        <w:rPr>
          <w:lang w:val="en-US"/>
        </w:rPr>
      </w:pPr>
    </w:p>
    <w:p w14:paraId="506C4050" w14:textId="77777777" w:rsidR="00D02BC8" w:rsidRPr="00D31EBB" w:rsidRDefault="00D02BC8" w:rsidP="008B6CCB">
      <w:pPr>
        <w:pStyle w:val="EMEABodyText"/>
      </w:pPr>
      <w:r>
        <w:t>Kidney stones have been reported in patients taking REYATAZ. If you develop signs or symptoms of kidney stones (pain in your side, blood in your urine, pain when you urinate), please inform your doctor immediately.</w:t>
      </w:r>
    </w:p>
    <w:p w14:paraId="63EC297B" w14:textId="77777777" w:rsidR="00D02BC8" w:rsidRPr="00D31EBB" w:rsidRDefault="00D02BC8" w:rsidP="008B6CCB">
      <w:pPr>
        <w:pStyle w:val="EMEABodyText"/>
        <w:rPr>
          <w:lang w:val="en-US"/>
        </w:rPr>
      </w:pPr>
    </w:p>
    <w:p w14:paraId="76004D84" w14:textId="77777777" w:rsidR="00D02BC8" w:rsidRPr="00D31EBB" w:rsidRDefault="00D02BC8" w:rsidP="008B6CCB">
      <w:pPr>
        <w:pStyle w:val="EMEABodyText"/>
      </w:pPr>
      <w:r>
        <w:t>In some patients with advanced HIV infection (AIDS) and a history of opportunistic infection, signs and symptoms of inflammation from previous infections may occur soon after anti-HIV treatment is started. It is believed that these symptoms are due to an improvement in the body’s immune response, enabling the body to fight infections that may have been present with no obvious symptoms. If you notice any symptoms of infection, please inform your doctor immediately. 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hands and feet and moving up towards the trunk of the body, palpitations, tremor or hyperactivity, please inform your doctor immediately to seek necessary treatment.</w:t>
      </w:r>
    </w:p>
    <w:p w14:paraId="04AAA822" w14:textId="77777777" w:rsidR="00D02BC8" w:rsidRPr="00D31EBB" w:rsidRDefault="00D02BC8" w:rsidP="008B6CCB">
      <w:pPr>
        <w:pStyle w:val="EMEABodyText"/>
        <w:rPr>
          <w:noProof/>
          <w:lang w:val="en-US"/>
        </w:rPr>
      </w:pPr>
    </w:p>
    <w:p w14:paraId="2200D87A" w14:textId="77777777" w:rsidR="00D02BC8" w:rsidRPr="00D31EBB" w:rsidRDefault="00D02BC8" w:rsidP="008B6CCB">
      <w:pPr>
        <w:pStyle w:val="EMEABodyText"/>
      </w:pPr>
      <w:r>
        <w:t>Some patients taking combination antiretroviral therapy may develop a bone disease called osteonecrosis (death of bone tissue caused by loss of blood supply to the bone). The length of combination antiretroviral therapy, corticosteroid use, alcohol consumption, severe immunosuppression, higher body mass index, among others, may be some of the many risk factors for developing this disease. Signs of osteonecrosis are joint stiffness, aches and pains (especially of the hip, knee and shoulder) and difficulty in movement. If you notice any of these symptoms please inform your doctor.</w:t>
      </w:r>
    </w:p>
    <w:p w14:paraId="157D75AC" w14:textId="77777777" w:rsidR="002A25E4" w:rsidRPr="00D31EBB" w:rsidRDefault="002A25E4" w:rsidP="008B6CCB">
      <w:pPr>
        <w:pStyle w:val="EMEABodyText"/>
        <w:rPr>
          <w:lang w:val="en-US"/>
        </w:rPr>
      </w:pPr>
    </w:p>
    <w:p w14:paraId="0918078D" w14:textId="77777777" w:rsidR="00D02BC8" w:rsidRPr="00D31EBB" w:rsidRDefault="00D02BC8" w:rsidP="008B6CCB">
      <w:pPr>
        <w:pStyle w:val="EMEABodyText"/>
      </w:pPr>
      <w:r>
        <w:t>Hyperbilirubinaemia (an increase in the level of bilirubin in the blood) has occurred in patients receiving REYATAZ. The signs may be a mild yellowing of the skin or eyes. If you notice any of these symptoms please inform your doctor.</w:t>
      </w:r>
    </w:p>
    <w:p w14:paraId="79E66B4F" w14:textId="77777777" w:rsidR="00D02BC8" w:rsidRPr="00D31EBB" w:rsidRDefault="00D02BC8" w:rsidP="008B6CCB">
      <w:pPr>
        <w:pStyle w:val="EMEABodyText"/>
        <w:rPr>
          <w:lang w:val="en-US"/>
        </w:rPr>
      </w:pPr>
    </w:p>
    <w:p w14:paraId="17AFB3A8" w14:textId="77777777" w:rsidR="00D02BC8" w:rsidRPr="00D31EBB" w:rsidRDefault="00D02BC8" w:rsidP="008B6CCB">
      <w:pPr>
        <w:pStyle w:val="EMEABodyText"/>
        <w:rPr>
          <w:noProof/>
        </w:rPr>
      </w:pPr>
      <w:r>
        <w:t>Serious skin rash, including Stevens-Johnson syndrome, has been reported in patients taking REYATAZ. If you develop a rash inform your doctor immediately.</w:t>
      </w:r>
    </w:p>
    <w:p w14:paraId="4A8BF48B" w14:textId="77777777" w:rsidR="00D02BC8" w:rsidRPr="00D31EBB" w:rsidRDefault="00D02BC8" w:rsidP="008B6CCB">
      <w:pPr>
        <w:pStyle w:val="EMEABodyText"/>
        <w:rPr>
          <w:noProof/>
          <w:lang w:val="en-US"/>
        </w:rPr>
      </w:pPr>
    </w:p>
    <w:p w14:paraId="76316165" w14:textId="77777777" w:rsidR="00B46494" w:rsidRPr="00D31EBB" w:rsidRDefault="00D02BC8">
      <w:pPr>
        <w:pStyle w:val="EMEABodyText"/>
      </w:pPr>
      <w:r>
        <w:t>If you notice a change in the way your heart beats (heart rhythm changes), please inform your doctor. Children receiving REYATAZ may require their heart to be monitored. Your child's doctor will decide this.</w:t>
      </w:r>
    </w:p>
    <w:p w14:paraId="5F7244EB" w14:textId="77777777" w:rsidR="00D02BC8" w:rsidRPr="00D31EBB" w:rsidRDefault="00D02BC8" w:rsidP="008B6CCB">
      <w:pPr>
        <w:pStyle w:val="EMEABodyText"/>
        <w:rPr>
          <w:noProof/>
          <w:lang w:val="en-US"/>
        </w:rPr>
      </w:pPr>
    </w:p>
    <w:p w14:paraId="3DCAD47F" w14:textId="77777777" w:rsidR="00D02BC8" w:rsidRPr="00D31EBB" w:rsidRDefault="00D02BC8" w:rsidP="008B6CCB">
      <w:pPr>
        <w:pStyle w:val="EMEABodyText"/>
        <w:rPr>
          <w:b/>
          <w:noProof/>
        </w:rPr>
      </w:pPr>
      <w:r>
        <w:rPr>
          <w:b/>
        </w:rPr>
        <w:t xml:space="preserve">Children </w:t>
      </w:r>
    </w:p>
    <w:p w14:paraId="2946DFE9" w14:textId="77777777" w:rsidR="003228A9" w:rsidRPr="00D31EBB" w:rsidRDefault="003228A9" w:rsidP="003228A9">
      <w:pPr>
        <w:pStyle w:val="EMEABodyText"/>
        <w:rPr>
          <w:dstrike/>
          <w:noProof/>
        </w:rPr>
      </w:pPr>
      <w:r>
        <w:rPr>
          <w:b/>
        </w:rPr>
        <w:t>Do not give this medicine to children</w:t>
      </w:r>
      <w:r>
        <w:t xml:space="preserve"> younger than 3 months of age and weighing less than 5 kg. The use of REYATAZ in children less than 3 months of age and weighing less than 5 kg has not been studied due to the risk of serious complications.</w:t>
      </w:r>
    </w:p>
    <w:p w14:paraId="1F08A3F8" w14:textId="77777777" w:rsidR="00D02BC8" w:rsidRPr="00D31EBB" w:rsidRDefault="00D02BC8" w:rsidP="008B6CCB">
      <w:pPr>
        <w:pStyle w:val="EMEABodyText"/>
        <w:rPr>
          <w:b/>
          <w:noProof/>
          <w:lang w:val="en-US"/>
        </w:rPr>
      </w:pPr>
    </w:p>
    <w:p w14:paraId="29872F05" w14:textId="77777777" w:rsidR="00D02BC8" w:rsidRPr="00D31EBB" w:rsidRDefault="00D02BC8" w:rsidP="008B6CCB">
      <w:pPr>
        <w:pStyle w:val="EMEAHeading2"/>
        <w:rPr>
          <w:noProof/>
        </w:rPr>
      </w:pPr>
      <w:r>
        <w:t>Other medicines and REYATAZ</w:t>
      </w:r>
    </w:p>
    <w:p w14:paraId="4223A90F" w14:textId="77777777" w:rsidR="00D02BC8" w:rsidRPr="00D31EBB" w:rsidRDefault="00D02BC8" w:rsidP="008B6CCB">
      <w:pPr>
        <w:pStyle w:val="EMEABodyText"/>
      </w:pPr>
      <w:r>
        <w:rPr>
          <w:b/>
        </w:rPr>
        <w:t>You must not take REYATAZ with certain medicines.</w:t>
      </w:r>
      <w:r>
        <w:t xml:space="preserve"> These are listed under Do not take REYATAZ, at the start of Section 2. </w:t>
      </w:r>
    </w:p>
    <w:p w14:paraId="6D1980E9" w14:textId="77777777" w:rsidR="00D02BC8" w:rsidRPr="00D31EBB" w:rsidRDefault="00D02BC8" w:rsidP="008B6CCB">
      <w:pPr>
        <w:pStyle w:val="EMEABodyText"/>
        <w:rPr>
          <w:lang w:val="en-US"/>
        </w:rPr>
      </w:pPr>
    </w:p>
    <w:p w14:paraId="06734A08" w14:textId="77777777" w:rsidR="00D02BC8" w:rsidRPr="004F3582" w:rsidRDefault="00D02BC8" w:rsidP="008B6CCB">
      <w:pPr>
        <w:pStyle w:val="EMEABodyText"/>
      </w:pPr>
      <w:r>
        <w:t>There are other medicines that may not mix with REYATAZ. Tell your doctor if you are taking, have recently taken, or might take any other medicines. It is especially important to mention these:</w:t>
      </w:r>
    </w:p>
    <w:p w14:paraId="0FEBD13A" w14:textId="77777777" w:rsidR="00D02BC8" w:rsidRPr="00D31EBB" w:rsidRDefault="00D02BC8" w:rsidP="00863155">
      <w:pPr>
        <w:pStyle w:val="EMEABodyTextIndent"/>
        <w:rPr>
          <w:i/>
        </w:rPr>
      </w:pPr>
      <w:r>
        <w:t>other medicines to treat HIV infection (e.g. indinavir, nevirapine and efavirenz)</w:t>
      </w:r>
    </w:p>
    <w:p w14:paraId="64C65A03" w14:textId="77777777" w:rsidR="00D02BC8" w:rsidRPr="00D31EBB" w:rsidRDefault="00D02BC8" w:rsidP="00826E45">
      <w:pPr>
        <w:pStyle w:val="EMEABodyTextIndent"/>
        <w:ind w:left="426" w:hanging="426"/>
      </w:pPr>
      <w:r>
        <w:t>boceprevir and sofosbuvir/velpatasvir/voxilaprevir (used to treat hepatitis C)</w:t>
      </w:r>
    </w:p>
    <w:p w14:paraId="28780AEB" w14:textId="77777777" w:rsidR="00D02BC8" w:rsidRPr="00D31EBB" w:rsidRDefault="00D02BC8" w:rsidP="00826E45">
      <w:pPr>
        <w:pStyle w:val="EMEABodyTextIndent"/>
        <w:ind w:left="426" w:hanging="426"/>
      </w:pPr>
      <w:r>
        <w:t xml:space="preserve">sildenafil, vardenafil, or tadalafil (used by men to treat impotence (erectile dysfunction)) </w:t>
      </w:r>
    </w:p>
    <w:p w14:paraId="2047AD71" w14:textId="77777777" w:rsidR="00D02BC8" w:rsidRPr="00D31EBB" w:rsidRDefault="00D02BC8" w:rsidP="00826E45">
      <w:pPr>
        <w:pStyle w:val="EMEABodyTextIndent"/>
        <w:ind w:left="426" w:hanging="426"/>
      </w:pPr>
      <w:r>
        <w:t>if you are taking an oral contraceptive (</w:t>
      </w:r>
      <w:r>
        <w:rPr>
          <w:b/>
        </w:rPr>
        <w:t>"the Pill"</w:t>
      </w:r>
      <w:r>
        <w:t>) with REYATAZ to prevent pregnancy, be sure to take it exactly as instructed by your doctor and not miss any doses</w:t>
      </w:r>
    </w:p>
    <w:p w14:paraId="78D59A3E" w14:textId="77777777" w:rsidR="00D02BC8" w:rsidRPr="00D31EBB" w:rsidRDefault="00D02BC8" w:rsidP="00826E45">
      <w:pPr>
        <w:pStyle w:val="EMEABodyTextIndent"/>
        <w:ind w:left="426" w:hanging="426"/>
      </w:pPr>
      <w:r>
        <w:t>any medicines used to treat diseases related to the acid in the stomach (e.g. antacids to be taken 1 hour before taking REYATAZ or 2 hours after taking REYATAZ, H</w:t>
      </w:r>
      <w:r>
        <w:rPr>
          <w:vertAlign w:val="subscript"/>
        </w:rPr>
        <w:t>2</w:t>
      </w:r>
      <w:r>
        <w:t>-blockers like famotidine and proton pump inhibitors like omeprazole)</w:t>
      </w:r>
    </w:p>
    <w:p w14:paraId="358B46B1" w14:textId="77777777" w:rsidR="003228A9" w:rsidRPr="00D31EBB" w:rsidRDefault="00D02BC8" w:rsidP="00826E45">
      <w:pPr>
        <w:pStyle w:val="EMEABodyTextIndent"/>
        <w:ind w:left="426" w:hanging="426"/>
        <w:rPr>
          <w:i/>
        </w:rPr>
      </w:pPr>
      <w:r>
        <w:t>medicines to lower blood pressure, to slow heart rate, or to correct heart rhythm (amiodarone, diltiazem, systemic lidocaine, verapamil)</w:t>
      </w:r>
    </w:p>
    <w:p w14:paraId="3B23CC0B" w14:textId="77777777" w:rsidR="00D02BC8" w:rsidRPr="00D31EBB" w:rsidRDefault="00D02BC8" w:rsidP="00826E45">
      <w:pPr>
        <w:pStyle w:val="EMEABodyTextIndent"/>
        <w:ind w:left="426" w:hanging="426"/>
      </w:pPr>
      <w:r>
        <w:t>atorvastatin, pravastatin, and fluvastatin (used to lower blood cholesterol)</w:t>
      </w:r>
    </w:p>
    <w:p w14:paraId="6757905E" w14:textId="77777777" w:rsidR="00D02BC8" w:rsidRPr="00D31EBB" w:rsidRDefault="00D02BC8" w:rsidP="00826E45">
      <w:pPr>
        <w:pStyle w:val="EMEABodyTextIndent"/>
        <w:ind w:left="426" w:hanging="426"/>
      </w:pPr>
      <w:r>
        <w:t>salmeterol (used to treat asthma)</w:t>
      </w:r>
    </w:p>
    <w:p w14:paraId="254A6634" w14:textId="77777777" w:rsidR="00D02BC8" w:rsidRPr="00D31EBB" w:rsidRDefault="00D02BC8" w:rsidP="00826E45">
      <w:pPr>
        <w:pStyle w:val="EMEABodyTextIndent"/>
        <w:ind w:left="426" w:hanging="426"/>
      </w:pPr>
      <w:r>
        <w:t>cyclosporin, tacrolimus, and sirolimus (medicines to decrease the effects of body's immune system)</w:t>
      </w:r>
    </w:p>
    <w:p w14:paraId="323F9CA1" w14:textId="77777777" w:rsidR="00D02BC8" w:rsidRPr="004F3582" w:rsidRDefault="00D02BC8" w:rsidP="00826E45">
      <w:pPr>
        <w:pStyle w:val="EMEABodyTextIndent"/>
        <w:ind w:left="426" w:hanging="426"/>
      </w:pPr>
      <w:r>
        <w:t>certain antibiotics (rifabutin, clarithromycin)</w:t>
      </w:r>
    </w:p>
    <w:p w14:paraId="4D6887C2" w14:textId="77777777" w:rsidR="00D02BC8" w:rsidRPr="004F3582" w:rsidRDefault="00D02BC8" w:rsidP="00826E45">
      <w:pPr>
        <w:pStyle w:val="EMEABodyTextIndent"/>
        <w:ind w:left="426" w:hanging="426"/>
      </w:pPr>
      <w:r>
        <w:t>ketoconazole, itraconazole, and voriconazole (antifungals)</w:t>
      </w:r>
    </w:p>
    <w:p w14:paraId="3E2CEAF4" w14:textId="77777777" w:rsidR="00D02BC8" w:rsidRPr="00D31EBB" w:rsidRDefault="00D02BC8" w:rsidP="00826E45">
      <w:pPr>
        <w:pStyle w:val="EMEABodyTextIndent"/>
        <w:ind w:left="426" w:hanging="426"/>
      </w:pPr>
      <w:r>
        <w:t>warfarin (anticoagulant, used to reduce the blood clots)</w:t>
      </w:r>
    </w:p>
    <w:p w14:paraId="5C3E656F" w14:textId="77777777" w:rsidR="00D02BC8" w:rsidRPr="004F3582" w:rsidRDefault="00D02BC8" w:rsidP="00826E45">
      <w:pPr>
        <w:pStyle w:val="EMEABodyTextIndent"/>
        <w:ind w:left="426" w:hanging="426"/>
      </w:pPr>
      <w:r>
        <w:t>carbamazepine, phenytoin, phenobarbital, lamotrigine (antiepileptics)</w:t>
      </w:r>
    </w:p>
    <w:p w14:paraId="60C64883" w14:textId="77777777" w:rsidR="00D02BC8" w:rsidRPr="00D31EBB" w:rsidRDefault="00D02BC8" w:rsidP="00826E45">
      <w:pPr>
        <w:pStyle w:val="EMEABodyTextIndent"/>
        <w:ind w:left="426" w:hanging="426"/>
      </w:pPr>
      <w:r>
        <w:t>irinotecan (used to treat cancer)</w:t>
      </w:r>
    </w:p>
    <w:p w14:paraId="31D8A6BA" w14:textId="77777777" w:rsidR="00D02BC8" w:rsidRPr="00D31EBB" w:rsidRDefault="00D02BC8" w:rsidP="00826E45">
      <w:pPr>
        <w:pStyle w:val="EMEABodyTextIndent"/>
        <w:ind w:left="426" w:hanging="426"/>
      </w:pPr>
      <w:r>
        <w:t>sedative agents (e.g. midazolam administered by injection)</w:t>
      </w:r>
    </w:p>
    <w:p w14:paraId="5F80FEF1" w14:textId="77777777" w:rsidR="00D02BC8" w:rsidRPr="00D31EBB" w:rsidRDefault="00D02BC8" w:rsidP="00826E45">
      <w:pPr>
        <w:pStyle w:val="EMEABodyTextIndent"/>
        <w:ind w:left="426" w:hanging="426"/>
      </w:pPr>
      <w:r>
        <w:t>buprenorphine (used to treat opioid addiction and pain).</w:t>
      </w:r>
    </w:p>
    <w:p w14:paraId="72C1476D" w14:textId="77777777" w:rsidR="00D02BC8" w:rsidRPr="00D31EBB" w:rsidRDefault="00D02BC8" w:rsidP="008B6CCB">
      <w:pPr>
        <w:pStyle w:val="EMEABodyText"/>
        <w:rPr>
          <w:lang w:val="en-US"/>
        </w:rPr>
      </w:pPr>
    </w:p>
    <w:p w14:paraId="7BDE25AB" w14:textId="77777777" w:rsidR="00D02BC8" w:rsidRPr="00D31EBB" w:rsidRDefault="00D02BC8" w:rsidP="008B6CCB">
      <w:pPr>
        <w:pStyle w:val="EMEABodyText"/>
      </w:pPr>
      <w:r>
        <w:t>Some medicines may interact with ritonavir, a medicine that is taken with REYATAZ. It is important to tell your doctor if you are taking fluticasone or budesonide (given by nose or inhaled to treat allergic symptoms or asthma).</w:t>
      </w:r>
    </w:p>
    <w:p w14:paraId="145801BE" w14:textId="77777777" w:rsidR="00D02BC8" w:rsidRPr="00D31EBB" w:rsidRDefault="00D02BC8" w:rsidP="008B6CCB">
      <w:pPr>
        <w:pStyle w:val="EMEABodyText"/>
        <w:rPr>
          <w:b/>
          <w:noProof/>
          <w:lang w:val="en-US"/>
        </w:rPr>
      </w:pPr>
    </w:p>
    <w:p w14:paraId="0F4789CD" w14:textId="77777777" w:rsidR="00D02BC8" w:rsidRPr="00D31EBB" w:rsidRDefault="00D02BC8" w:rsidP="008B6CCB">
      <w:pPr>
        <w:pStyle w:val="EMEAHeading2"/>
      </w:pPr>
      <w:r>
        <w:t>REYATAZ with food and drink</w:t>
      </w:r>
    </w:p>
    <w:p w14:paraId="467E44A8" w14:textId="77777777" w:rsidR="00D02BC8" w:rsidRPr="00D31EBB" w:rsidRDefault="00D02BC8" w:rsidP="008B6CCB">
      <w:pPr>
        <w:pStyle w:val="EMEABodyText"/>
      </w:pPr>
      <w:r>
        <w:t>It is important that you take REYATAZ with food (a meal or a substantial snack) as this helps the body absorb the medicine.</w:t>
      </w:r>
    </w:p>
    <w:p w14:paraId="751CA9EF" w14:textId="77777777" w:rsidR="00D02BC8" w:rsidRPr="00D31EBB" w:rsidRDefault="00D02BC8" w:rsidP="008B6CCB">
      <w:pPr>
        <w:pStyle w:val="EMEABodyText"/>
        <w:rPr>
          <w:b/>
          <w:lang w:val="en-US"/>
        </w:rPr>
      </w:pPr>
    </w:p>
    <w:p w14:paraId="67B02BE9" w14:textId="77777777" w:rsidR="00D02BC8" w:rsidRPr="00D31EBB" w:rsidRDefault="00D02BC8" w:rsidP="008B6CCB">
      <w:pPr>
        <w:pStyle w:val="EMEAHeading2"/>
      </w:pPr>
      <w:r>
        <w:t>Pregnancy and breast-feeding</w:t>
      </w:r>
    </w:p>
    <w:p w14:paraId="6C916DAC" w14:textId="77777777" w:rsidR="00D02BC8" w:rsidRPr="00D31EBB" w:rsidRDefault="003228A9" w:rsidP="008B6CCB">
      <w:pPr>
        <w:pStyle w:val="EMEABodyText"/>
      </w:pPr>
      <w:r>
        <w:t>If you are pregnant or breast-feeding, think that you may be pregnant or are planning to have a baby, ask your doctor for advice before taking this medicine. Atazanavir, the active substance of REYATAZ, is excreted in human milk. Patients should not breast-feed while taking REYATAZ. It is recommended that women infected with HIV do not breast-feed because the virus might be transmitted through the breast milk.</w:t>
      </w:r>
    </w:p>
    <w:p w14:paraId="22294C22" w14:textId="77777777" w:rsidR="00D02BC8" w:rsidRPr="00D31EBB" w:rsidRDefault="00D02BC8" w:rsidP="008B6CCB">
      <w:pPr>
        <w:pStyle w:val="EMEABodyText"/>
        <w:rPr>
          <w:b/>
          <w:lang w:val="en-US"/>
        </w:rPr>
      </w:pPr>
    </w:p>
    <w:p w14:paraId="255A7684" w14:textId="77777777" w:rsidR="00D02BC8" w:rsidRPr="00D31EBB" w:rsidRDefault="00D02BC8" w:rsidP="008B6CCB">
      <w:pPr>
        <w:pStyle w:val="EMEAHeading2"/>
      </w:pPr>
      <w:r>
        <w:t>Driving and using machines</w:t>
      </w:r>
    </w:p>
    <w:p w14:paraId="1A816858" w14:textId="77777777" w:rsidR="00D02BC8" w:rsidRPr="00D31EBB" w:rsidRDefault="00D02BC8" w:rsidP="008B6CCB">
      <w:pPr>
        <w:pStyle w:val="EMEABodyText"/>
      </w:pPr>
      <w:r>
        <w:t>If you feel dizzy or lightheaded, do not drive or use machines and contact your doctor immediately.</w:t>
      </w:r>
    </w:p>
    <w:p w14:paraId="718CA8E5" w14:textId="77777777" w:rsidR="00D02BC8" w:rsidRPr="00D31EBB" w:rsidRDefault="00D02BC8" w:rsidP="008B6CCB">
      <w:pPr>
        <w:pStyle w:val="EMEABodyText"/>
        <w:rPr>
          <w:b/>
          <w:noProof/>
          <w:lang w:val="en-US"/>
        </w:rPr>
      </w:pPr>
    </w:p>
    <w:p w14:paraId="3C384A7C" w14:textId="77777777" w:rsidR="00D02BC8" w:rsidRPr="00D31EBB" w:rsidRDefault="00D02BC8" w:rsidP="008B6CCB">
      <w:pPr>
        <w:pStyle w:val="EMEAHeading2"/>
      </w:pPr>
      <w:r>
        <w:t>REYATAZ contains lactose.</w:t>
      </w:r>
    </w:p>
    <w:p w14:paraId="568E4319" w14:textId="77777777" w:rsidR="00D02BC8" w:rsidRPr="00D31EBB" w:rsidRDefault="00D02BC8" w:rsidP="008B6CCB">
      <w:pPr>
        <w:pStyle w:val="EMEABodyText"/>
        <w:rPr>
          <w:noProof/>
        </w:rPr>
      </w:pPr>
      <w:r>
        <w:t>If you have been told by your doctor that you have an intolerance to some sugars (e.g. lactose), contact your doctor before taking this medicinal product.</w:t>
      </w:r>
    </w:p>
    <w:p w14:paraId="2AB0FDEF" w14:textId="77777777" w:rsidR="00D02BC8" w:rsidRPr="00D31EBB" w:rsidRDefault="00D02BC8" w:rsidP="008B6CCB">
      <w:pPr>
        <w:pStyle w:val="EMEABodyText"/>
        <w:rPr>
          <w:b/>
          <w:noProof/>
          <w:lang w:val="en-US"/>
        </w:rPr>
      </w:pPr>
    </w:p>
    <w:p w14:paraId="630A8A38" w14:textId="77777777" w:rsidR="00D02BC8" w:rsidRPr="00D31EBB" w:rsidRDefault="00D02BC8" w:rsidP="008B6CCB">
      <w:pPr>
        <w:pStyle w:val="EMEABodyText"/>
        <w:rPr>
          <w:b/>
          <w:noProof/>
          <w:lang w:val="en-US"/>
        </w:rPr>
      </w:pPr>
    </w:p>
    <w:p w14:paraId="266582BA" w14:textId="77777777" w:rsidR="00D02BC8" w:rsidRPr="00D31EBB" w:rsidRDefault="00D02BC8" w:rsidP="008B6CCB">
      <w:pPr>
        <w:pStyle w:val="EMEAHeading1"/>
      </w:pPr>
      <w:r>
        <w:t>3.</w:t>
      </w:r>
      <w:r>
        <w:tab/>
      </w:r>
      <w:r>
        <w:rPr>
          <w:caps w:val="0"/>
        </w:rPr>
        <w:t>How to take REYATAZ</w:t>
      </w:r>
    </w:p>
    <w:p w14:paraId="1F54E121" w14:textId="77777777" w:rsidR="00D02BC8" w:rsidRPr="00D31EBB" w:rsidRDefault="00D02BC8" w:rsidP="00D961CF">
      <w:pPr>
        <w:pStyle w:val="EMEABodyText"/>
        <w:rPr>
          <w:noProof/>
          <w:lang w:val="en-US"/>
        </w:rPr>
      </w:pPr>
    </w:p>
    <w:p w14:paraId="164D7460" w14:textId="77777777" w:rsidR="00D02BC8" w:rsidRPr="00D31EBB" w:rsidRDefault="00D02BC8" w:rsidP="008B6CCB">
      <w:pPr>
        <w:pStyle w:val="EMEABodyText"/>
      </w:pPr>
      <w:r>
        <w:t xml:space="preserve">Always take this medicine exactly as your doctor has told you. Check with your doctor if you are not sure. This way, you can be sure your medicine is fully effective and you reduce the risk of the virus developing resistance to the treatment. </w:t>
      </w:r>
    </w:p>
    <w:p w14:paraId="347641FF" w14:textId="77777777" w:rsidR="00D02BC8" w:rsidRPr="00D31EBB" w:rsidRDefault="00D02BC8" w:rsidP="008B6CCB">
      <w:pPr>
        <w:pStyle w:val="EMEABodyText"/>
        <w:rPr>
          <w:noProof/>
          <w:lang w:val="en-US"/>
        </w:rPr>
      </w:pPr>
    </w:p>
    <w:p w14:paraId="37CE932D" w14:textId="77777777" w:rsidR="00D02BC8" w:rsidRPr="00D31EBB" w:rsidRDefault="00D02BC8" w:rsidP="008B6CCB">
      <w:pPr>
        <w:pStyle w:val="EMEABodyText"/>
      </w:pPr>
      <w:r>
        <w:rPr>
          <w:b/>
        </w:rPr>
        <w:t xml:space="preserve">The recommended adult dose of REYATAZ capsules is 300 mg once daily with 100 mg ritonavir once daily and with food, </w:t>
      </w:r>
      <w:r>
        <w:t>in combination with other anti-HIV medicines. Your doctor may adjust the dose of REYATAZ according to your anti-HIV therapy.</w:t>
      </w:r>
    </w:p>
    <w:p w14:paraId="0AF10064" w14:textId="77777777" w:rsidR="00D02BC8" w:rsidRPr="00D31EBB" w:rsidRDefault="00D02BC8" w:rsidP="008B6CCB">
      <w:pPr>
        <w:pStyle w:val="EMEABodyText"/>
        <w:rPr>
          <w:b/>
          <w:lang w:val="en-US"/>
        </w:rPr>
      </w:pPr>
    </w:p>
    <w:p w14:paraId="5AA8A40A" w14:textId="77777777" w:rsidR="00D02BC8" w:rsidRPr="00D31EBB" w:rsidRDefault="00D02BC8" w:rsidP="008B6CCB">
      <w:pPr>
        <w:pStyle w:val="EMEABodyText"/>
        <w:spacing w:after="60"/>
      </w:pPr>
      <w:r>
        <w:rPr>
          <w:b/>
        </w:rPr>
        <w:t xml:space="preserve">For children (6 to less than 18 years of age), your child's doctor will decide the right dose based on your child's weight. </w:t>
      </w:r>
      <w:r>
        <w:t>The dose of REYATAZ capsules for children is calculated by body weight and is taken once daily with food and 100 mg ritonavir as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3"/>
        <w:gridCol w:w="3028"/>
        <w:gridCol w:w="3022"/>
      </w:tblGrid>
      <w:tr w:rsidR="00D02BC8" w:rsidRPr="00965E20" w14:paraId="10F6F229" w14:textId="77777777" w:rsidTr="008B6CCB">
        <w:tc>
          <w:tcPr>
            <w:tcW w:w="3096" w:type="dxa"/>
          </w:tcPr>
          <w:p w14:paraId="12A9F7D1" w14:textId="77777777" w:rsidR="00D02BC8" w:rsidRPr="004F3582" w:rsidRDefault="00D02BC8" w:rsidP="008B6CCB">
            <w:pPr>
              <w:pStyle w:val="EMEABodyText"/>
              <w:jc w:val="center"/>
              <w:rPr>
                <w:b/>
              </w:rPr>
            </w:pPr>
            <w:r>
              <w:rPr>
                <w:b/>
              </w:rPr>
              <w:t>Body Weight</w:t>
            </w:r>
          </w:p>
          <w:p w14:paraId="1D94BAC9" w14:textId="77777777" w:rsidR="00D02BC8" w:rsidRPr="004F3582" w:rsidRDefault="00D02BC8" w:rsidP="008B6CCB">
            <w:pPr>
              <w:pStyle w:val="EMEABodyText"/>
              <w:jc w:val="center"/>
              <w:rPr>
                <w:b/>
              </w:rPr>
            </w:pPr>
            <w:r>
              <w:rPr>
                <w:b/>
              </w:rPr>
              <w:t>(kg)</w:t>
            </w:r>
          </w:p>
        </w:tc>
        <w:tc>
          <w:tcPr>
            <w:tcW w:w="3096" w:type="dxa"/>
          </w:tcPr>
          <w:p w14:paraId="6DCE6AC9" w14:textId="77777777" w:rsidR="00D02BC8" w:rsidRPr="00D31EBB" w:rsidRDefault="00D02BC8" w:rsidP="008B6CCB">
            <w:pPr>
              <w:pStyle w:val="EMEABodyText"/>
              <w:jc w:val="center"/>
              <w:rPr>
                <w:b/>
              </w:rPr>
            </w:pPr>
            <w:r>
              <w:rPr>
                <w:b/>
              </w:rPr>
              <w:t>REYATAZ Dose once daily</w:t>
            </w:r>
          </w:p>
          <w:p w14:paraId="22E3A2F3" w14:textId="77777777" w:rsidR="00D02BC8" w:rsidRPr="00D31EBB" w:rsidRDefault="00D02BC8" w:rsidP="008B6CCB">
            <w:pPr>
              <w:pStyle w:val="EMEABodyText"/>
              <w:jc w:val="center"/>
              <w:rPr>
                <w:b/>
              </w:rPr>
            </w:pPr>
            <w:r>
              <w:rPr>
                <w:b/>
              </w:rPr>
              <w:t>(mg)</w:t>
            </w:r>
          </w:p>
        </w:tc>
        <w:tc>
          <w:tcPr>
            <w:tcW w:w="3097" w:type="dxa"/>
          </w:tcPr>
          <w:p w14:paraId="11EEF68F" w14:textId="77777777" w:rsidR="00D02BC8" w:rsidRPr="00D31EBB" w:rsidRDefault="00D02BC8" w:rsidP="008B6CCB">
            <w:pPr>
              <w:pStyle w:val="EMEABodyText"/>
              <w:jc w:val="center"/>
              <w:rPr>
                <w:b/>
              </w:rPr>
            </w:pPr>
            <w:r>
              <w:rPr>
                <w:b/>
              </w:rPr>
              <w:t>Ritonavir Dose* once daily</w:t>
            </w:r>
          </w:p>
          <w:p w14:paraId="17757ADB" w14:textId="77777777" w:rsidR="00D02BC8" w:rsidRPr="00D31EBB" w:rsidRDefault="00D02BC8" w:rsidP="008B6CCB">
            <w:pPr>
              <w:pStyle w:val="EMEABodyText"/>
              <w:jc w:val="center"/>
              <w:rPr>
                <w:b/>
              </w:rPr>
            </w:pPr>
            <w:r>
              <w:rPr>
                <w:b/>
              </w:rPr>
              <w:t>(mg)</w:t>
            </w:r>
          </w:p>
        </w:tc>
      </w:tr>
      <w:tr w:rsidR="00D02BC8" w:rsidRPr="004F3582" w14:paraId="6771E791" w14:textId="77777777" w:rsidTr="008B6CCB">
        <w:tc>
          <w:tcPr>
            <w:tcW w:w="3096" w:type="dxa"/>
          </w:tcPr>
          <w:p w14:paraId="6CB4D71F" w14:textId="77777777" w:rsidR="00D02BC8" w:rsidRPr="004F3582" w:rsidRDefault="00D02BC8" w:rsidP="00885B9D">
            <w:pPr>
              <w:pStyle w:val="EMEABodyText"/>
              <w:jc w:val="center"/>
            </w:pPr>
            <w:r>
              <w:t>15 to less than 35</w:t>
            </w:r>
          </w:p>
        </w:tc>
        <w:tc>
          <w:tcPr>
            <w:tcW w:w="3096" w:type="dxa"/>
          </w:tcPr>
          <w:p w14:paraId="70ADC45C" w14:textId="77777777" w:rsidR="00D02BC8" w:rsidRPr="004F3582" w:rsidRDefault="003228A9" w:rsidP="008B6CCB">
            <w:pPr>
              <w:pStyle w:val="EMEABodyText"/>
              <w:jc w:val="center"/>
            </w:pPr>
            <w:r>
              <w:t>200</w:t>
            </w:r>
          </w:p>
        </w:tc>
        <w:tc>
          <w:tcPr>
            <w:tcW w:w="3097" w:type="dxa"/>
          </w:tcPr>
          <w:p w14:paraId="5552E040" w14:textId="77777777" w:rsidR="00D02BC8" w:rsidRPr="004F3582" w:rsidRDefault="00D02BC8" w:rsidP="008B6CCB">
            <w:pPr>
              <w:pStyle w:val="EMEABodyText"/>
              <w:jc w:val="center"/>
            </w:pPr>
            <w:r>
              <w:t>100</w:t>
            </w:r>
          </w:p>
        </w:tc>
      </w:tr>
      <w:tr w:rsidR="00D02BC8" w:rsidRPr="004F3582" w14:paraId="7A3CA62C" w14:textId="77777777" w:rsidTr="008B6CCB">
        <w:tc>
          <w:tcPr>
            <w:tcW w:w="3096" w:type="dxa"/>
          </w:tcPr>
          <w:p w14:paraId="17CD8A3B" w14:textId="77777777" w:rsidR="00D02BC8" w:rsidRPr="004F3582" w:rsidRDefault="00D02BC8" w:rsidP="00885B9D">
            <w:pPr>
              <w:pStyle w:val="EMEABodyText"/>
              <w:jc w:val="center"/>
            </w:pPr>
            <w:r>
              <w:t>at least 35</w:t>
            </w:r>
          </w:p>
        </w:tc>
        <w:tc>
          <w:tcPr>
            <w:tcW w:w="3096" w:type="dxa"/>
          </w:tcPr>
          <w:p w14:paraId="433CCA22" w14:textId="77777777" w:rsidR="00D02BC8" w:rsidRPr="004F3582" w:rsidRDefault="00D02BC8" w:rsidP="008B6CCB">
            <w:pPr>
              <w:pStyle w:val="EMEABodyText"/>
              <w:jc w:val="center"/>
            </w:pPr>
            <w:r>
              <w:t>300</w:t>
            </w:r>
          </w:p>
        </w:tc>
        <w:tc>
          <w:tcPr>
            <w:tcW w:w="3097" w:type="dxa"/>
          </w:tcPr>
          <w:p w14:paraId="0E2345E2" w14:textId="77777777" w:rsidR="00D02BC8" w:rsidRPr="004F3582" w:rsidRDefault="00D02BC8" w:rsidP="008B6CCB">
            <w:pPr>
              <w:pStyle w:val="EMEABodyText"/>
              <w:jc w:val="center"/>
            </w:pPr>
            <w:r>
              <w:t>100</w:t>
            </w:r>
          </w:p>
        </w:tc>
      </w:tr>
      <w:tr w:rsidR="00D02BC8" w:rsidRPr="00965E20" w14:paraId="711751FA" w14:textId="77777777" w:rsidTr="008B6CCB">
        <w:tc>
          <w:tcPr>
            <w:tcW w:w="9289" w:type="dxa"/>
            <w:gridSpan w:val="3"/>
          </w:tcPr>
          <w:p w14:paraId="03BFD33C" w14:textId="77777777" w:rsidR="00D02BC8" w:rsidRPr="00D31EBB" w:rsidRDefault="00D02BC8" w:rsidP="008B6CCB">
            <w:pPr>
              <w:pStyle w:val="EMEABodyText"/>
              <w:keepNext/>
              <w:rPr>
                <w:sz w:val="18"/>
              </w:rPr>
            </w:pPr>
            <w:r>
              <w:rPr>
                <w:sz w:val="18"/>
              </w:rPr>
              <w:t>*Ritonavir capsules, tablets or oral solution may be used.</w:t>
            </w:r>
          </w:p>
        </w:tc>
      </w:tr>
    </w:tbl>
    <w:p w14:paraId="26B0D1F7" w14:textId="77777777" w:rsidR="00D02BC8" w:rsidRPr="00D31EBB" w:rsidRDefault="00D02BC8" w:rsidP="008B6CCB">
      <w:pPr>
        <w:pStyle w:val="EMEABodyText"/>
        <w:rPr>
          <w:lang w:val="en-US"/>
        </w:rPr>
      </w:pPr>
    </w:p>
    <w:p w14:paraId="6873CB2B" w14:textId="77777777" w:rsidR="003228A9" w:rsidRPr="00D31EBB" w:rsidRDefault="003D1EBD" w:rsidP="003228A9">
      <w:pPr>
        <w:pStyle w:val="EMEABodyText"/>
        <w:rPr>
          <w:bCs/>
          <w:iCs/>
        </w:rPr>
      </w:pPr>
      <w:r>
        <w:t>REYATAZ is also available as an oral powder for use in children at least 3 months old and weighing at least 5 kg. Switching to REYATAZ capsules from REYATAZ oral powder is encouraged as soon as patients are able to consistently swallow capsules.</w:t>
      </w:r>
    </w:p>
    <w:p w14:paraId="3D4613AD" w14:textId="77777777" w:rsidR="003228A9" w:rsidRPr="00D31EBB" w:rsidRDefault="003228A9" w:rsidP="003228A9">
      <w:pPr>
        <w:pStyle w:val="EMEABodyText"/>
        <w:rPr>
          <w:bCs/>
          <w:iCs/>
          <w:lang w:val="en-US"/>
        </w:rPr>
      </w:pPr>
    </w:p>
    <w:p w14:paraId="446DB2A2" w14:textId="77777777" w:rsidR="003228A9" w:rsidRPr="00D31EBB" w:rsidRDefault="003228A9" w:rsidP="003228A9">
      <w:pPr>
        <w:pStyle w:val="EMEABodyText"/>
        <w:rPr>
          <w:bCs/>
          <w:iCs/>
        </w:rPr>
      </w:pPr>
      <w:r>
        <w:t>A change in dose may occur when switching between oral powder and capsules. Your doctor will decide the right dose based on your child’s weight.</w:t>
      </w:r>
    </w:p>
    <w:p w14:paraId="3F6AC213" w14:textId="77777777" w:rsidR="003D1EBD" w:rsidRPr="00D31EBB" w:rsidRDefault="003D1EBD" w:rsidP="008B6CCB">
      <w:pPr>
        <w:pStyle w:val="EMEABodyText"/>
        <w:rPr>
          <w:bCs/>
          <w:iCs/>
          <w:lang w:val="en-US"/>
        </w:rPr>
      </w:pPr>
    </w:p>
    <w:p w14:paraId="7DA428D7" w14:textId="77777777" w:rsidR="00D02BC8" w:rsidRPr="00D31EBB" w:rsidRDefault="00D02BC8" w:rsidP="008B6CCB">
      <w:pPr>
        <w:pStyle w:val="EMEABodyText"/>
        <w:rPr>
          <w:bCs/>
          <w:iCs/>
        </w:rPr>
      </w:pPr>
      <w:r>
        <w:t>There are no dosing recommendations for REYATAZ in paediatric patients less than 3 months of age.</w:t>
      </w:r>
    </w:p>
    <w:p w14:paraId="1DBFCD6C" w14:textId="77777777" w:rsidR="00D02BC8" w:rsidRPr="00D31EBB" w:rsidRDefault="00D02BC8" w:rsidP="008B6CCB">
      <w:pPr>
        <w:pStyle w:val="EMEABodyText"/>
        <w:rPr>
          <w:lang w:val="en-US"/>
        </w:rPr>
      </w:pPr>
    </w:p>
    <w:p w14:paraId="623871E3" w14:textId="77777777" w:rsidR="00D02BC8" w:rsidRPr="00D31EBB" w:rsidRDefault="00D02BC8" w:rsidP="008B6CCB">
      <w:pPr>
        <w:pStyle w:val="EMEABodyText"/>
        <w:rPr>
          <w:b/>
        </w:rPr>
      </w:pPr>
      <w:r>
        <w:rPr>
          <w:b/>
        </w:rPr>
        <w:t xml:space="preserve">Take REYATAZ capsules with food </w:t>
      </w:r>
      <w:r>
        <w:t xml:space="preserve">(a meal or a substantial snack). Swallow the capsules whole. </w:t>
      </w:r>
      <w:r>
        <w:rPr>
          <w:b/>
        </w:rPr>
        <w:t>Do not open the capsules.</w:t>
      </w:r>
    </w:p>
    <w:p w14:paraId="2A760083" w14:textId="77777777" w:rsidR="00D02BC8" w:rsidRPr="00D31EBB" w:rsidRDefault="00D02BC8" w:rsidP="008B6CCB">
      <w:pPr>
        <w:pStyle w:val="EMEABodyText"/>
        <w:rPr>
          <w:b/>
          <w:lang w:val="en-US"/>
        </w:rPr>
      </w:pPr>
    </w:p>
    <w:p w14:paraId="0BFE5C69" w14:textId="77777777" w:rsidR="00D02BC8" w:rsidRPr="00D31EBB" w:rsidRDefault="00D02BC8" w:rsidP="008B6CCB">
      <w:pPr>
        <w:pStyle w:val="EMEAHeading2"/>
      </w:pPr>
      <w:r>
        <w:t>If you take more REYATAZ than you should</w:t>
      </w:r>
    </w:p>
    <w:p w14:paraId="382BF22D" w14:textId="77777777" w:rsidR="003228A9" w:rsidRPr="00D31EBB" w:rsidRDefault="003228A9" w:rsidP="003228A9">
      <w:pPr>
        <w:pStyle w:val="EMEABodyText"/>
      </w:pPr>
      <w:r>
        <w:t>Yellowing of the skin and/or eyes (jaundice) and irregular heart beat (QTc prolongation) may occur if you or your child take too much REYATAZ.</w:t>
      </w:r>
    </w:p>
    <w:p w14:paraId="08F66D83" w14:textId="77777777" w:rsidR="00D02BC8" w:rsidRPr="00D31EBB" w:rsidRDefault="00D02BC8" w:rsidP="008B6CCB">
      <w:pPr>
        <w:pStyle w:val="EMEABodyText"/>
      </w:pPr>
      <w:r>
        <w:t>If you accidentally take more REYATAZ capsules than your doctor recommended, contact your HIV doctor at once or contact the nearest hospital for advice.</w:t>
      </w:r>
    </w:p>
    <w:p w14:paraId="70D3E0CD" w14:textId="77777777" w:rsidR="00D02BC8" w:rsidRPr="00D31EBB" w:rsidRDefault="00D02BC8" w:rsidP="008B6CCB">
      <w:pPr>
        <w:pStyle w:val="EMEABodyText"/>
        <w:rPr>
          <w:b/>
          <w:lang w:val="en-US"/>
        </w:rPr>
      </w:pPr>
    </w:p>
    <w:p w14:paraId="0B640ABE" w14:textId="77777777" w:rsidR="00D02BC8" w:rsidRPr="00D31EBB" w:rsidRDefault="00D02BC8" w:rsidP="008B6CCB">
      <w:pPr>
        <w:pStyle w:val="EMEAHeading2"/>
      </w:pPr>
      <w:r>
        <w:t>If you forget to take REYATAZ</w:t>
      </w:r>
    </w:p>
    <w:p w14:paraId="17FCCEA7" w14:textId="77777777" w:rsidR="00D02BC8" w:rsidRPr="00D31EBB" w:rsidRDefault="00D02BC8" w:rsidP="008B6CCB">
      <w:pPr>
        <w:pStyle w:val="EMEABodyText"/>
        <w:rPr>
          <w:b/>
        </w:rPr>
      </w:pPr>
      <w:r>
        <w:t xml:space="preserve">If you miss a dose, take the missed dose as soon as possible with food and then take your next scheduled dose at its regular time. If it is almost time for your next dose, do not take the missed dose. Wait and take the next dose at its regular time. </w:t>
      </w:r>
      <w:r>
        <w:rPr>
          <w:b/>
        </w:rPr>
        <w:t>Do not take a double dose to make up for a forgotten dose.</w:t>
      </w:r>
    </w:p>
    <w:p w14:paraId="589095E9" w14:textId="77777777" w:rsidR="00D02BC8" w:rsidRPr="00D31EBB" w:rsidRDefault="00D02BC8" w:rsidP="008B6CCB">
      <w:pPr>
        <w:pStyle w:val="EMEABodyText"/>
        <w:rPr>
          <w:noProof/>
          <w:lang w:val="en-US"/>
        </w:rPr>
      </w:pPr>
    </w:p>
    <w:p w14:paraId="3DD40328" w14:textId="77777777" w:rsidR="00D02BC8" w:rsidRPr="00D31EBB" w:rsidRDefault="00D02BC8" w:rsidP="008B6CCB">
      <w:pPr>
        <w:pStyle w:val="EMEAHeading2"/>
      </w:pPr>
      <w:r>
        <w:t>If you stop taking REYATAZ</w:t>
      </w:r>
    </w:p>
    <w:p w14:paraId="0989E482" w14:textId="77777777" w:rsidR="00D02BC8" w:rsidRPr="00D31EBB" w:rsidRDefault="00D02BC8" w:rsidP="008B6CCB">
      <w:pPr>
        <w:pStyle w:val="EMEABodyText"/>
      </w:pPr>
      <w:r>
        <w:t>Do not stop taking REYATAZ before talking to your doctor.</w:t>
      </w:r>
    </w:p>
    <w:p w14:paraId="0A1013F0" w14:textId="77777777" w:rsidR="00D02BC8" w:rsidRPr="00D31EBB" w:rsidRDefault="00D02BC8" w:rsidP="008B6CCB">
      <w:pPr>
        <w:pStyle w:val="EMEABodyText"/>
        <w:rPr>
          <w:b/>
          <w:lang w:val="en-US"/>
        </w:rPr>
      </w:pPr>
    </w:p>
    <w:p w14:paraId="25D9A752" w14:textId="77777777" w:rsidR="00D02BC8" w:rsidRPr="00D31EBB" w:rsidRDefault="00D02BC8" w:rsidP="008B6CCB">
      <w:pPr>
        <w:pStyle w:val="EMEABodyText"/>
        <w:rPr>
          <w:noProof/>
        </w:rPr>
      </w:pPr>
      <w:r>
        <w:t>If you have any further questions on the use of this medicine, ask your doctor.</w:t>
      </w:r>
    </w:p>
    <w:p w14:paraId="29F4B30E" w14:textId="77777777" w:rsidR="00D02BC8" w:rsidRPr="00D31EBB" w:rsidRDefault="00D02BC8" w:rsidP="008B6CCB">
      <w:pPr>
        <w:pStyle w:val="EMEABodyText"/>
        <w:rPr>
          <w:b/>
          <w:noProof/>
          <w:lang w:val="en-US"/>
        </w:rPr>
      </w:pPr>
    </w:p>
    <w:p w14:paraId="2B85F7C1" w14:textId="77777777" w:rsidR="00D02BC8" w:rsidRPr="00D31EBB" w:rsidRDefault="00D02BC8" w:rsidP="008B6CCB">
      <w:pPr>
        <w:pStyle w:val="EMEABodyText"/>
        <w:rPr>
          <w:b/>
          <w:noProof/>
          <w:lang w:val="en-US"/>
        </w:rPr>
      </w:pPr>
    </w:p>
    <w:p w14:paraId="4D7E6E85" w14:textId="77777777" w:rsidR="00D02BC8" w:rsidRPr="00D31EBB" w:rsidRDefault="00D02BC8" w:rsidP="00D961CF">
      <w:pPr>
        <w:pStyle w:val="EMEAHeading1"/>
        <w:rPr>
          <w:noProof/>
        </w:rPr>
      </w:pPr>
      <w:r>
        <w:t>4.</w:t>
      </w:r>
      <w:r>
        <w:tab/>
      </w:r>
      <w:r>
        <w:rPr>
          <w:caps w:val="0"/>
        </w:rPr>
        <w:t>Possible side effects</w:t>
      </w:r>
    </w:p>
    <w:p w14:paraId="0662C221" w14:textId="77777777" w:rsidR="00D02BC8" w:rsidRPr="00D31EBB" w:rsidRDefault="00D02BC8" w:rsidP="00D961CF">
      <w:pPr>
        <w:pStyle w:val="EMEABodyText"/>
        <w:rPr>
          <w:noProof/>
          <w:lang w:val="en-US"/>
        </w:rPr>
      </w:pPr>
    </w:p>
    <w:p w14:paraId="15BE2F5A" w14:textId="77777777" w:rsidR="00D02BC8" w:rsidRPr="00D31EBB" w:rsidRDefault="00D02BC8" w:rsidP="008B6CCB">
      <w:pPr>
        <w:pStyle w:val="EMEABodyText"/>
      </w:pPr>
      <w:r>
        <w:t>Like all medicines, this medicine can cause side effects, although not everybody gets them. When treating HIV infection, it is not always easy to identify what side effects are caused by REYATAZ, by the other medicines you are taking, or by the HIV infection itself. Tell your doctor if you notice anything unusual about your health.</w:t>
      </w:r>
    </w:p>
    <w:p w14:paraId="3C2B4E7C" w14:textId="77777777" w:rsidR="00680F60" w:rsidRPr="00D31EBB" w:rsidRDefault="00680F60" w:rsidP="00680F60">
      <w:pPr>
        <w:pStyle w:val="EMEABodyText"/>
        <w:rPr>
          <w:lang w:val="en-US"/>
        </w:rPr>
      </w:pPr>
    </w:p>
    <w:p w14:paraId="646ECD20" w14:textId="77777777" w:rsidR="00680F60" w:rsidRPr="00D31EBB" w:rsidRDefault="00680F60" w:rsidP="00680F60">
      <w:pPr>
        <w:pStyle w:val="EMEABodyText"/>
      </w:pPr>
      <w: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09C03BEA" w14:textId="77777777" w:rsidR="003F4A9E" w:rsidRPr="00D31EBB" w:rsidRDefault="003F4A9E" w:rsidP="008B6CCB">
      <w:pPr>
        <w:pStyle w:val="EMEABodyText"/>
        <w:rPr>
          <w:lang w:val="en-US"/>
        </w:rPr>
      </w:pPr>
    </w:p>
    <w:p w14:paraId="2EC73A14" w14:textId="77777777" w:rsidR="003F4A9E" w:rsidRPr="00D31EBB" w:rsidRDefault="003F4A9E" w:rsidP="003F4A9E">
      <w:pPr>
        <w:pStyle w:val="EMEABodyText"/>
      </w:pPr>
      <w:r>
        <w:t>Tell your doctor immediately if you develop any of the following serious side effects:</w:t>
      </w:r>
    </w:p>
    <w:p w14:paraId="2C0BE257" w14:textId="77777777" w:rsidR="003F4A9E" w:rsidRPr="00D31EBB" w:rsidRDefault="003F4A9E" w:rsidP="003F4A9E">
      <w:pPr>
        <w:pStyle w:val="EMEABodyText"/>
        <w:rPr>
          <w:lang w:val="en-US"/>
        </w:rPr>
      </w:pPr>
    </w:p>
    <w:p w14:paraId="5EF6EB9C" w14:textId="77777777" w:rsidR="003F4A9E" w:rsidRPr="00D31EBB" w:rsidRDefault="003F4A9E" w:rsidP="00826E45">
      <w:pPr>
        <w:pStyle w:val="EMEABodyTextIndent"/>
        <w:ind w:left="426" w:hanging="426"/>
        <w:rPr>
          <w:i/>
        </w:rPr>
      </w:pPr>
      <w:r>
        <w:t xml:space="preserve">Skin rash, itching that may occasionally be severe has been reported. The rash usually disappears within 2 weeks without any change to your REYATAZ treatment. Severe rash may be developed in association with other symptoms which could be serious. Stop taking REYATAZ and talk to your doctor immediately if you develop a severe rash or a rash with flu-like illness symptoms, blisters, fever, mouth sores, muscle or joint pain, swelling in the face, inflammation of the eye which causes redness (conjunctivitis), painful, warm, or red lumps (nodules). </w:t>
      </w:r>
    </w:p>
    <w:p w14:paraId="41B9AEDE" w14:textId="77777777" w:rsidR="003F4A9E" w:rsidRPr="00D31EBB" w:rsidRDefault="003F4A9E" w:rsidP="00826E45">
      <w:pPr>
        <w:pStyle w:val="EMEABodyTextIndent"/>
        <w:ind w:left="426" w:hanging="426"/>
        <w:rPr>
          <w:i/>
        </w:rPr>
      </w:pPr>
      <w:r>
        <w:t>Yellowing of your skin or the white part of your eyes caused by high levels of bilirubin in your blood has been commonly reported. This side effect is usually not dangerous in adults and infants older than 3 months of age; but it might be a symptom of a serious problem. If your skin or the white part of your eyes turns yellow, talk to your doctor immediately.</w:t>
      </w:r>
    </w:p>
    <w:p w14:paraId="0B764368" w14:textId="77777777" w:rsidR="003F4A9E" w:rsidRPr="004F3582" w:rsidRDefault="003F4A9E" w:rsidP="00826E45">
      <w:pPr>
        <w:pStyle w:val="EMEABodyTextIndent"/>
        <w:ind w:left="426" w:hanging="426"/>
        <w:rPr>
          <w:i/>
        </w:rPr>
      </w:pPr>
      <w:r>
        <w:t xml:space="preserve">Changes in the way your heart beats (heart rhythm change) may occasionally happen. Talk to your doctor immediately if you get dizzy, lightheaded or if you suddenly faint. These could be symptoms of a serious heart problem. </w:t>
      </w:r>
    </w:p>
    <w:p w14:paraId="5304AE91" w14:textId="77777777" w:rsidR="003F4A9E" w:rsidRPr="00D31EBB" w:rsidRDefault="003F4A9E" w:rsidP="00826E45">
      <w:pPr>
        <w:pStyle w:val="EMEABodyTextIndent"/>
        <w:ind w:left="426" w:hanging="426"/>
        <w:rPr>
          <w:i/>
        </w:rPr>
      </w:pPr>
      <w:r>
        <w:t>Liver problems may uncommonly happen. Your doctor should do blood tests prior you start REYATAZ and during treatment. If you have liver problems, including hepatitis B or C infection, you may experience a worsening of your liver problems. Talk to your doctor immediately if you get dark (tea-colored) urine, itching, yellowing of your skin or the white part of your eyes, pain around the stomach, pale colored stools or nausea.</w:t>
      </w:r>
    </w:p>
    <w:p w14:paraId="75A9DCF2" w14:textId="77777777" w:rsidR="003F4A9E" w:rsidRPr="00D31EBB" w:rsidRDefault="003F4A9E" w:rsidP="00826E45">
      <w:pPr>
        <w:pStyle w:val="EMEABodyTextIndent"/>
        <w:ind w:left="426" w:hanging="426"/>
      </w:pPr>
      <w:r>
        <w:t>Gallbladder problems uncommonly happen in people taking REYATAZ. Symptoms of gallbladder problems may include pain in the right or middle upper stomach area, nausea, vomiting, fever or yellowing your skin or the white part of your eyes.</w:t>
      </w:r>
    </w:p>
    <w:p w14:paraId="108E1BD0" w14:textId="77777777" w:rsidR="00826E45" w:rsidRPr="00D31EBB" w:rsidRDefault="00826E45" w:rsidP="00826E45">
      <w:pPr>
        <w:pStyle w:val="EMEABodyTextIndent"/>
        <w:ind w:left="426" w:hanging="426"/>
      </w:pPr>
      <w:r>
        <w:t>REYATAZ may affect how well your kidneys work.</w:t>
      </w:r>
    </w:p>
    <w:p w14:paraId="36CDC39E" w14:textId="77777777" w:rsidR="003F4A9E" w:rsidRPr="00D31EBB" w:rsidRDefault="003F4A9E" w:rsidP="00826E45">
      <w:pPr>
        <w:pStyle w:val="EMEABodyTextIndent"/>
        <w:ind w:left="426" w:hanging="426"/>
        <w:rPr>
          <w:i/>
        </w:rPr>
      </w:pPr>
      <w:r>
        <w:t>Kidney stones uncommonly happen in people taking REYATAZ. Talk to your doctor immediately if you get symptoms of kidney stones which may include, pain in your low back or low stomach-area, blood in your urine or pain when you urinate.</w:t>
      </w:r>
    </w:p>
    <w:p w14:paraId="0ED66210" w14:textId="77777777" w:rsidR="00D02BC8" w:rsidRPr="00D31EBB" w:rsidRDefault="00D02BC8" w:rsidP="008B6CCB">
      <w:pPr>
        <w:pStyle w:val="EMEABodyText"/>
        <w:rPr>
          <w:lang w:val="en-US"/>
        </w:rPr>
      </w:pPr>
    </w:p>
    <w:p w14:paraId="517CB53C" w14:textId="77777777" w:rsidR="00D02BC8" w:rsidRPr="00D31EBB" w:rsidRDefault="003F4A9E" w:rsidP="008B6CCB">
      <w:pPr>
        <w:pStyle w:val="EMEABodyText"/>
      </w:pPr>
      <w:r>
        <w:t>Other side effects reported for patients treated with REYATAZ are the following:</w:t>
      </w:r>
    </w:p>
    <w:p w14:paraId="3841AC31" w14:textId="77777777" w:rsidR="00D02BC8" w:rsidRPr="00D31EBB" w:rsidRDefault="00D02BC8" w:rsidP="008B6CCB">
      <w:pPr>
        <w:pStyle w:val="EMEABodyText"/>
      </w:pPr>
      <w:r>
        <w:t xml:space="preserve">Common (may affect up to 1 in 10 people): </w:t>
      </w:r>
    </w:p>
    <w:p w14:paraId="4A77B522" w14:textId="77777777" w:rsidR="00D02BC8" w:rsidRPr="004F3582" w:rsidRDefault="00D02BC8" w:rsidP="00826E45">
      <w:pPr>
        <w:pStyle w:val="EMEABodyTextIndent"/>
        <w:ind w:left="426"/>
      </w:pPr>
      <w:r>
        <w:t>headache</w:t>
      </w:r>
    </w:p>
    <w:p w14:paraId="6D6CB151" w14:textId="77777777" w:rsidR="00D02BC8" w:rsidRPr="00D31EBB" w:rsidRDefault="00D02BC8" w:rsidP="00826E45">
      <w:pPr>
        <w:pStyle w:val="EMEABodyTextIndent"/>
        <w:ind w:left="426"/>
      </w:pPr>
      <w:r>
        <w:t>vomiting, diarrhoea, abdominal pain (stomach pain of discomfort), nausea, dyspepsia (indigestion)</w:t>
      </w:r>
    </w:p>
    <w:p w14:paraId="7DDB53B4" w14:textId="77777777" w:rsidR="00D02BC8" w:rsidRPr="004F3582" w:rsidRDefault="00D02BC8" w:rsidP="00826E45">
      <w:pPr>
        <w:pStyle w:val="EMEABodyTextIndent"/>
        <w:ind w:left="426"/>
      </w:pPr>
      <w:r>
        <w:t>fatigue (extreme tiredness)</w:t>
      </w:r>
    </w:p>
    <w:p w14:paraId="62271427" w14:textId="77777777" w:rsidR="00D02BC8" w:rsidRPr="00D31EBB" w:rsidRDefault="00D02BC8" w:rsidP="008B6CCB">
      <w:pPr>
        <w:pStyle w:val="EMEABodyText"/>
      </w:pPr>
      <w:r>
        <w:t xml:space="preserve">Uncommon (may affect up to 1 in 100 people): </w:t>
      </w:r>
    </w:p>
    <w:p w14:paraId="103D0E70" w14:textId="77777777" w:rsidR="00D02BC8" w:rsidRPr="00D31EBB" w:rsidRDefault="00D02BC8" w:rsidP="00826E45">
      <w:pPr>
        <w:pStyle w:val="EMEABodyTextIndent"/>
        <w:ind w:left="426" w:hanging="426"/>
      </w:pPr>
      <w:r>
        <w:t>peripheral neuropathy (numbness, weakness, tingling or pain in the arms and legs)</w:t>
      </w:r>
    </w:p>
    <w:p w14:paraId="115F923E" w14:textId="77777777" w:rsidR="00D02BC8" w:rsidRPr="004F3582" w:rsidRDefault="00D02BC8" w:rsidP="00826E45">
      <w:pPr>
        <w:pStyle w:val="EMEABodyTextIndent"/>
        <w:ind w:left="426" w:hanging="426"/>
      </w:pPr>
      <w:r>
        <w:t>hypersensitivity (allergic reaction)</w:t>
      </w:r>
    </w:p>
    <w:p w14:paraId="1A7A06CE" w14:textId="77777777" w:rsidR="00D02BC8" w:rsidRPr="00D31EBB" w:rsidRDefault="00D02BC8" w:rsidP="00826E45">
      <w:pPr>
        <w:pStyle w:val="EMEABodyTextIndent"/>
        <w:ind w:left="426" w:hanging="426"/>
      </w:pPr>
      <w:r>
        <w:t>asthenia (unusual tiredness or weakness)</w:t>
      </w:r>
    </w:p>
    <w:p w14:paraId="5663BBBD" w14:textId="77777777" w:rsidR="00D02BC8" w:rsidRPr="00D31EBB" w:rsidRDefault="00D02BC8" w:rsidP="00826E45">
      <w:pPr>
        <w:pStyle w:val="EMEABodyTextIndent"/>
        <w:ind w:left="426" w:hanging="426"/>
      </w:pPr>
      <w:r>
        <w:t>weight decreased, weight gain, anorexia (loss of appetite), appetite increased</w:t>
      </w:r>
    </w:p>
    <w:p w14:paraId="4B26369F" w14:textId="77777777" w:rsidR="00D02BC8" w:rsidRPr="004F3582" w:rsidRDefault="00D02BC8" w:rsidP="00826E45">
      <w:pPr>
        <w:pStyle w:val="EMEABodyTextIndent"/>
        <w:ind w:left="426" w:hanging="426"/>
      </w:pPr>
      <w:r>
        <w:t>depression, anxiety, sleep disorder</w:t>
      </w:r>
    </w:p>
    <w:p w14:paraId="140A605C" w14:textId="77777777" w:rsidR="00D02BC8" w:rsidRPr="00D31EBB" w:rsidRDefault="00D02BC8" w:rsidP="00826E45">
      <w:pPr>
        <w:pStyle w:val="EMEABodyTextIndent"/>
        <w:ind w:left="426" w:hanging="426"/>
      </w:pPr>
      <w:r>
        <w:t>disorientation, amnesia (loss of memory), dizziness, somnolence (sleepiness), abnormal dream</w:t>
      </w:r>
    </w:p>
    <w:p w14:paraId="6D1F60CB" w14:textId="77777777" w:rsidR="00D02BC8" w:rsidRPr="00D31EBB" w:rsidRDefault="00D02BC8" w:rsidP="00826E45">
      <w:pPr>
        <w:pStyle w:val="EMEABodyTextIndent"/>
        <w:ind w:left="426" w:hanging="426"/>
      </w:pPr>
      <w:r>
        <w:t>syncope (fainting), hypertension (high blood pressure)</w:t>
      </w:r>
    </w:p>
    <w:p w14:paraId="67D12E80" w14:textId="77777777" w:rsidR="00D02BC8" w:rsidRPr="004F3582" w:rsidRDefault="00D02BC8" w:rsidP="00826E45">
      <w:pPr>
        <w:pStyle w:val="EMEABodyTextIndent"/>
        <w:ind w:left="426" w:hanging="426"/>
      </w:pPr>
      <w:r>
        <w:t>dyspnoea (shortness of breath)</w:t>
      </w:r>
    </w:p>
    <w:p w14:paraId="5EF1CDEC" w14:textId="77777777" w:rsidR="00D02BC8" w:rsidRPr="00D31EBB" w:rsidRDefault="00D02BC8" w:rsidP="00826E45">
      <w:pPr>
        <w:pStyle w:val="EMEABodyTextIndent"/>
        <w:ind w:left="426" w:hanging="426"/>
      </w:pPr>
      <w:r>
        <w:t>pancreatitis (inflammation of the pancreas), gastritis (inflammation of the stomach), stomatitis aphthous (mouth ulcers and cold sores), dysgeusia (impairment of the sense of taste), flatulence (wind), dry mouth, abdominal distension</w:t>
      </w:r>
    </w:p>
    <w:p w14:paraId="7D75C660" w14:textId="77777777" w:rsidR="00D02BC8" w:rsidRPr="00D31EBB" w:rsidRDefault="00D02BC8" w:rsidP="00826E45">
      <w:pPr>
        <w:pStyle w:val="EMEABodyTextIndent"/>
        <w:ind w:left="426" w:hanging="426"/>
      </w:pPr>
      <w:r>
        <w:t>angioedema (severe swelling of the skin and other tissues most often the lips or the eyes)</w:t>
      </w:r>
    </w:p>
    <w:p w14:paraId="2A484371" w14:textId="77777777" w:rsidR="00D02BC8" w:rsidRPr="00D31EBB" w:rsidRDefault="00D02BC8" w:rsidP="00826E45">
      <w:pPr>
        <w:pStyle w:val="EMEABodyTextIndent"/>
        <w:ind w:left="426" w:hanging="426"/>
      </w:pPr>
      <w:r>
        <w:t>alopecia (unusual hair loss or thinning), pruritus (itching)</w:t>
      </w:r>
    </w:p>
    <w:p w14:paraId="3150158D" w14:textId="77777777" w:rsidR="00D02BC8" w:rsidRPr="00D31EBB" w:rsidRDefault="00D02BC8" w:rsidP="00826E45">
      <w:pPr>
        <w:pStyle w:val="EMEABodyTextIndent"/>
        <w:ind w:left="426" w:hanging="426"/>
      </w:pPr>
      <w:r>
        <w:t>muscle atrophy (muscle shrinkage), arthralgia (joint pain), myalgia (aching muscles)</w:t>
      </w:r>
    </w:p>
    <w:p w14:paraId="68579158" w14:textId="77777777" w:rsidR="00D02BC8" w:rsidRPr="00D31EBB" w:rsidRDefault="00D02BC8" w:rsidP="00826E45">
      <w:pPr>
        <w:pStyle w:val="EMEABodyTextIndent"/>
        <w:ind w:left="426" w:hanging="426"/>
      </w:pPr>
      <w:r>
        <w:t>interstitial nephritis (kidney inflammation), haematuria (blood in the urine), proteinuria (excess protein in the urine), pollakiuria (increased frequency of urination)</w:t>
      </w:r>
    </w:p>
    <w:p w14:paraId="026FD5FB" w14:textId="77777777" w:rsidR="00D02BC8" w:rsidRPr="00D31EBB" w:rsidRDefault="00D02BC8" w:rsidP="00826E45">
      <w:pPr>
        <w:pStyle w:val="EMEABodyTextIndent"/>
        <w:ind w:left="426" w:hanging="426"/>
      </w:pPr>
      <w:r>
        <w:t>gynaecomastia (breast enlargement in men)</w:t>
      </w:r>
    </w:p>
    <w:p w14:paraId="1770BF13" w14:textId="77777777" w:rsidR="00D02BC8" w:rsidRPr="00D31EBB" w:rsidRDefault="00D02BC8" w:rsidP="00826E45">
      <w:pPr>
        <w:pStyle w:val="EMEABodyTextIndent"/>
        <w:ind w:left="426" w:hanging="426"/>
      </w:pPr>
      <w:r>
        <w:t>chest pain, malaise (generally feeling unwell), fever</w:t>
      </w:r>
    </w:p>
    <w:p w14:paraId="5B5EFAEB" w14:textId="77777777" w:rsidR="00D02BC8" w:rsidRPr="004F3582" w:rsidRDefault="00D02BC8" w:rsidP="00826E45">
      <w:pPr>
        <w:pStyle w:val="EMEABodyTextIndent"/>
        <w:ind w:left="426" w:hanging="426"/>
      </w:pPr>
      <w:r>
        <w:t>insomnia (difficulty sleeping)</w:t>
      </w:r>
    </w:p>
    <w:p w14:paraId="65CCF0FF" w14:textId="77777777" w:rsidR="00D02BC8" w:rsidRPr="00D31EBB" w:rsidRDefault="00D02BC8" w:rsidP="008B6CCB">
      <w:pPr>
        <w:pStyle w:val="EMEABodyText"/>
      </w:pPr>
      <w:r>
        <w:t xml:space="preserve">Rare (may affect up to 1 in 1,000 people): </w:t>
      </w:r>
    </w:p>
    <w:p w14:paraId="0246487F" w14:textId="77777777" w:rsidR="00D02BC8" w:rsidRPr="00D31EBB" w:rsidRDefault="00D02BC8" w:rsidP="00826E45">
      <w:pPr>
        <w:pStyle w:val="EMEABodyTextIndent"/>
        <w:ind w:left="426" w:hanging="426"/>
      </w:pPr>
      <w:r>
        <w:t>gait disturbance (abnormal manner of walking)</w:t>
      </w:r>
    </w:p>
    <w:p w14:paraId="5D57EC27" w14:textId="77777777" w:rsidR="00D02BC8" w:rsidRPr="004F3582" w:rsidRDefault="00D02BC8" w:rsidP="00826E45">
      <w:pPr>
        <w:pStyle w:val="EMEABodyTextIndent"/>
        <w:ind w:left="426" w:hanging="426"/>
      </w:pPr>
      <w:r>
        <w:t>oedema (swelling)</w:t>
      </w:r>
    </w:p>
    <w:p w14:paraId="110B80F8" w14:textId="77777777" w:rsidR="00D02BC8" w:rsidRPr="00D31EBB" w:rsidRDefault="00D02BC8" w:rsidP="00826E45">
      <w:pPr>
        <w:pStyle w:val="EMEABodyTextIndent"/>
        <w:ind w:left="426" w:hanging="426"/>
      </w:pPr>
      <w:r>
        <w:t>hepatosplenomegaly (enlargement of the liver and spleen)</w:t>
      </w:r>
    </w:p>
    <w:p w14:paraId="015F6AB0" w14:textId="77777777" w:rsidR="00D02BC8" w:rsidRPr="00D31EBB" w:rsidRDefault="00D02BC8" w:rsidP="00826E45">
      <w:pPr>
        <w:pStyle w:val="EMEABodyTextIndent"/>
        <w:ind w:left="426" w:hanging="426"/>
      </w:pPr>
      <w:r>
        <w:t>myopathy (aching muscles, muscle tenderness of weakness, not caused by exercise)</w:t>
      </w:r>
    </w:p>
    <w:p w14:paraId="448C8514" w14:textId="77777777" w:rsidR="00D02BC8" w:rsidRPr="004F3582" w:rsidRDefault="00D02BC8" w:rsidP="00826E45">
      <w:pPr>
        <w:pStyle w:val="EMEABodyTextIndent"/>
        <w:ind w:left="426" w:hanging="426"/>
      </w:pPr>
      <w:r>
        <w:t>kidney pain</w:t>
      </w:r>
    </w:p>
    <w:p w14:paraId="5DDA315F" w14:textId="77777777" w:rsidR="00D02BC8" w:rsidRPr="004F3582" w:rsidRDefault="00D02BC8" w:rsidP="008B6CCB">
      <w:pPr>
        <w:pStyle w:val="EMEABodyText"/>
      </w:pPr>
    </w:p>
    <w:p w14:paraId="16A4FE67" w14:textId="77777777" w:rsidR="00D02BC8" w:rsidRPr="004F3582" w:rsidRDefault="00D02BC8" w:rsidP="008B6CCB">
      <w:pPr>
        <w:pStyle w:val="EMEABodyText"/>
        <w:rPr>
          <w:b/>
        </w:rPr>
      </w:pPr>
      <w:r>
        <w:rPr>
          <w:b/>
        </w:rPr>
        <w:t>Reporting of side effects</w:t>
      </w:r>
    </w:p>
    <w:p w14:paraId="52C076AE" w14:textId="77777777" w:rsidR="00D02BC8" w:rsidRPr="00D31EBB" w:rsidRDefault="00D02BC8" w:rsidP="00656E99">
      <w:pPr>
        <w:pStyle w:val="BodytextAgency"/>
        <w:spacing w:after="0" w:line="240" w:lineRule="auto"/>
      </w:pPr>
      <w:r>
        <w:t>If you get any side effects, talk to your doctor or nurse.</w:t>
      </w:r>
      <w:r>
        <w:rPr>
          <w:color w:val="FF0000"/>
          <w:szCs w:val="22"/>
        </w:rPr>
        <w:t xml:space="preserve"> </w:t>
      </w:r>
      <w:r>
        <w:t xml:space="preserve">This includes any possible side effects not listed in this leaflet. You can also report side effects directly via </w:t>
      </w:r>
      <w:r>
        <w:rPr>
          <w:szCs w:val="22"/>
          <w:highlight w:val="lightGray"/>
        </w:rPr>
        <w:t xml:space="preserve">the national reporting system listed in </w:t>
      </w:r>
      <w:hyperlink r:id="rId10" w:history="1">
        <w:r>
          <w:rPr>
            <w:rStyle w:val="Hyperlink"/>
            <w:szCs w:val="22"/>
            <w:highlight w:val="lightGray"/>
          </w:rPr>
          <w:t>Appendix V</w:t>
        </w:r>
      </w:hyperlink>
      <w:r>
        <w:t>. By reporting side effects you can help provide more information on the safety of this medicine.</w:t>
      </w:r>
    </w:p>
    <w:p w14:paraId="3C95D311" w14:textId="77777777" w:rsidR="00D02BC8" w:rsidRPr="00D31EBB" w:rsidRDefault="00D02BC8" w:rsidP="008B6CCB">
      <w:pPr>
        <w:pStyle w:val="EMEABodyText"/>
        <w:rPr>
          <w:lang w:val="en-US"/>
        </w:rPr>
      </w:pPr>
    </w:p>
    <w:p w14:paraId="5ACF158E" w14:textId="77777777" w:rsidR="00D02BC8" w:rsidRPr="00D31EBB" w:rsidRDefault="00D02BC8" w:rsidP="008B6CCB">
      <w:pPr>
        <w:pStyle w:val="EMEABodyText"/>
        <w:rPr>
          <w:noProof/>
          <w:lang w:val="en-US"/>
        </w:rPr>
      </w:pPr>
    </w:p>
    <w:p w14:paraId="557AD561" w14:textId="77777777" w:rsidR="00D02BC8" w:rsidRPr="00D31EBB" w:rsidRDefault="00D02BC8" w:rsidP="003C008D">
      <w:pPr>
        <w:pStyle w:val="EMEAHeading1"/>
        <w:rPr>
          <w:bCs/>
          <w:caps w:val="0"/>
        </w:rPr>
      </w:pPr>
      <w:r>
        <w:rPr>
          <w:bCs/>
          <w:caps w:val="0"/>
        </w:rPr>
        <w:t>5.</w:t>
      </w:r>
      <w:r>
        <w:rPr>
          <w:bCs/>
          <w:caps w:val="0"/>
        </w:rPr>
        <w:tab/>
        <w:t>How to store REYATAZ</w:t>
      </w:r>
    </w:p>
    <w:p w14:paraId="6458E08C" w14:textId="77777777" w:rsidR="00D02BC8" w:rsidRPr="00D31EBB" w:rsidRDefault="00D02BC8" w:rsidP="00D961CF">
      <w:pPr>
        <w:pStyle w:val="EMEABodyText"/>
        <w:rPr>
          <w:noProof/>
          <w:lang w:val="en-US"/>
        </w:rPr>
      </w:pPr>
    </w:p>
    <w:p w14:paraId="40AB53CB" w14:textId="77777777" w:rsidR="00D02BC8" w:rsidRPr="00D31EBB" w:rsidRDefault="00D02BC8" w:rsidP="008B6CCB">
      <w:pPr>
        <w:pStyle w:val="EMEABodyText"/>
      </w:pPr>
      <w:r>
        <w:t>Keep this medicine out of the sight and reach of children.</w:t>
      </w:r>
    </w:p>
    <w:p w14:paraId="07BA7308" w14:textId="77777777" w:rsidR="00D02BC8" w:rsidRPr="00D31EBB" w:rsidRDefault="00D02BC8" w:rsidP="008B6CCB">
      <w:pPr>
        <w:pStyle w:val="EMEABodyText"/>
        <w:rPr>
          <w:lang w:val="en-US"/>
        </w:rPr>
      </w:pPr>
    </w:p>
    <w:p w14:paraId="16DBBD0B" w14:textId="77777777" w:rsidR="00D02BC8" w:rsidRPr="00D31EBB" w:rsidRDefault="00D02BC8" w:rsidP="008B6CCB">
      <w:pPr>
        <w:pStyle w:val="EMEABodyText"/>
      </w:pPr>
      <w:r>
        <w:t>Do not use this medicine after the expiry date which is stated on the label, carton or blister. The expiry date refers to the last day of that month.</w:t>
      </w:r>
    </w:p>
    <w:p w14:paraId="06F01F40" w14:textId="77777777" w:rsidR="00D02BC8" w:rsidRPr="00D31EBB" w:rsidRDefault="00D02BC8" w:rsidP="008B6CCB">
      <w:pPr>
        <w:pStyle w:val="EMEABodyText"/>
      </w:pPr>
      <w:r>
        <w:t>Do not store above 25°C.</w:t>
      </w:r>
    </w:p>
    <w:p w14:paraId="44EB7BF8" w14:textId="77777777" w:rsidR="00D02BC8" w:rsidRPr="00D31EBB" w:rsidRDefault="00D02BC8" w:rsidP="008B6CCB">
      <w:pPr>
        <w:pStyle w:val="EMEABodyText"/>
        <w:rPr>
          <w:noProof/>
          <w:lang w:val="en-US"/>
        </w:rPr>
      </w:pPr>
    </w:p>
    <w:p w14:paraId="18FFA8E5" w14:textId="77777777" w:rsidR="00D02BC8" w:rsidRPr="00D31EBB" w:rsidRDefault="00D02BC8" w:rsidP="008B6CCB">
      <w:pPr>
        <w:pStyle w:val="EMEABodyText"/>
        <w:rPr>
          <w:noProof/>
        </w:rPr>
      </w:pPr>
      <w:r>
        <w:t>Do not throw away any medicines via wastewater or household waste. Ask your pharmacist how to throw away medicines you no longer use. These measures will help protect the environment.</w:t>
      </w:r>
    </w:p>
    <w:p w14:paraId="22FF1DD4" w14:textId="77777777" w:rsidR="00D02BC8" w:rsidRPr="00D31EBB" w:rsidRDefault="00D02BC8" w:rsidP="008B6CCB">
      <w:pPr>
        <w:pStyle w:val="EMEABodyText"/>
        <w:rPr>
          <w:b/>
          <w:noProof/>
          <w:lang w:val="en-US"/>
        </w:rPr>
      </w:pPr>
    </w:p>
    <w:p w14:paraId="3028102E" w14:textId="77777777" w:rsidR="00D02BC8" w:rsidRPr="00D31EBB" w:rsidRDefault="00D02BC8" w:rsidP="008B6CCB">
      <w:pPr>
        <w:pStyle w:val="EMEABodyText"/>
        <w:rPr>
          <w:b/>
          <w:noProof/>
          <w:lang w:val="en-US"/>
        </w:rPr>
      </w:pPr>
    </w:p>
    <w:p w14:paraId="0C01771A" w14:textId="77777777" w:rsidR="00D02BC8" w:rsidRPr="00D31EBB" w:rsidRDefault="00D02BC8" w:rsidP="00D961CF">
      <w:pPr>
        <w:pStyle w:val="EMEAHeading1"/>
        <w:rPr>
          <w:noProof/>
        </w:rPr>
      </w:pPr>
      <w:r>
        <w:t>6.</w:t>
      </w:r>
      <w:r>
        <w:tab/>
      </w:r>
      <w:r>
        <w:rPr>
          <w:caps w:val="0"/>
        </w:rPr>
        <w:t>Contents of the pack and other information</w:t>
      </w:r>
    </w:p>
    <w:p w14:paraId="2F42D160" w14:textId="77777777" w:rsidR="00D02BC8" w:rsidRPr="00D31EBB" w:rsidRDefault="00D02BC8" w:rsidP="00D961CF">
      <w:pPr>
        <w:pStyle w:val="EMEABodyText"/>
        <w:rPr>
          <w:lang w:val="en-US"/>
        </w:rPr>
      </w:pPr>
    </w:p>
    <w:p w14:paraId="31671ACE" w14:textId="77777777" w:rsidR="00D02BC8" w:rsidRPr="004F3582" w:rsidRDefault="00D02BC8" w:rsidP="008B6CCB">
      <w:pPr>
        <w:pStyle w:val="EMEAHeading2"/>
        <w:rPr>
          <w:noProof/>
        </w:rPr>
      </w:pPr>
      <w:r>
        <w:t>What REYATAZ contains</w:t>
      </w:r>
    </w:p>
    <w:p w14:paraId="5B7C1CE3" w14:textId="77777777" w:rsidR="00D02BC8" w:rsidRPr="004F3582" w:rsidRDefault="00D02BC8" w:rsidP="008B6CCB">
      <w:pPr>
        <w:pStyle w:val="EMEABodyText"/>
        <w:rPr>
          <w:noProof/>
        </w:rPr>
      </w:pPr>
    </w:p>
    <w:p w14:paraId="436D1851" w14:textId="77777777" w:rsidR="00D02BC8" w:rsidRPr="00D31EBB" w:rsidRDefault="00D02BC8" w:rsidP="00211509">
      <w:pPr>
        <w:pStyle w:val="EMEABodyText"/>
        <w:numPr>
          <w:ilvl w:val="0"/>
          <w:numId w:val="2"/>
        </w:numPr>
      </w:pPr>
      <w:r>
        <w:t xml:space="preserve">The active substance is atazanavir. Each capsule contains 100 mg of atazanavir (as sulphate). </w:t>
      </w:r>
    </w:p>
    <w:p w14:paraId="4B4AABD3" w14:textId="77777777" w:rsidR="00D02BC8" w:rsidRPr="00D31EBB" w:rsidRDefault="00D02BC8" w:rsidP="00211509">
      <w:pPr>
        <w:pStyle w:val="EMEABodyText"/>
        <w:numPr>
          <w:ilvl w:val="0"/>
          <w:numId w:val="2"/>
        </w:numPr>
      </w:pPr>
      <w:r>
        <w:t>The other ingredients are crospovidone, lactose monohydrate, and magnesium stearate. The capsule shell and printing ink contain gelatine, shellac, ammonium hydroxide, simethicone, propylene glycol, indigocarmin (E132) and titanium dioxide (E171).</w:t>
      </w:r>
    </w:p>
    <w:p w14:paraId="0AAE93AC" w14:textId="77777777" w:rsidR="00D02BC8" w:rsidRPr="00D31EBB" w:rsidRDefault="00D02BC8" w:rsidP="008B6CCB">
      <w:pPr>
        <w:pStyle w:val="EMEABodyText"/>
        <w:rPr>
          <w:b/>
          <w:noProof/>
          <w:lang w:val="en-US"/>
        </w:rPr>
      </w:pPr>
    </w:p>
    <w:p w14:paraId="6663F50A" w14:textId="77777777" w:rsidR="00D02BC8" w:rsidRPr="00D31EBB" w:rsidRDefault="00D02BC8" w:rsidP="008B6CCB">
      <w:pPr>
        <w:pStyle w:val="EMEAHeading2"/>
        <w:rPr>
          <w:noProof/>
        </w:rPr>
      </w:pPr>
      <w:r>
        <w:t>What REYATAZ looks like and contents of the pack</w:t>
      </w:r>
    </w:p>
    <w:p w14:paraId="23BC6C62" w14:textId="77777777" w:rsidR="00D02BC8" w:rsidRPr="00D31EBB" w:rsidRDefault="00D02BC8" w:rsidP="008B6CCB">
      <w:pPr>
        <w:pStyle w:val="EMEABodyText"/>
        <w:rPr>
          <w:b/>
          <w:noProof/>
          <w:lang w:val="en-US"/>
        </w:rPr>
      </w:pPr>
    </w:p>
    <w:p w14:paraId="0E96A6B9" w14:textId="77777777" w:rsidR="00D02BC8" w:rsidRPr="00D31EBB" w:rsidRDefault="00D02BC8" w:rsidP="008B6CCB">
      <w:pPr>
        <w:pStyle w:val="EMEABodyText"/>
      </w:pPr>
      <w:r>
        <w:t xml:space="preserve">Each capsule of REYATAZ 100 mg contains 100 mg atazanavir. </w:t>
      </w:r>
    </w:p>
    <w:p w14:paraId="4486C6BF" w14:textId="77777777" w:rsidR="00D02BC8" w:rsidRPr="00D31EBB" w:rsidRDefault="00D02BC8" w:rsidP="008B6CCB">
      <w:pPr>
        <w:pStyle w:val="EMEABodyText"/>
      </w:pPr>
      <w:r>
        <w:t>Opaque blue and white capsule printed with white and blue inks, with "BMS 100 mg" on one half and with "3623" on the other half.</w:t>
      </w:r>
    </w:p>
    <w:p w14:paraId="0183686E" w14:textId="77777777" w:rsidR="00D02BC8" w:rsidRPr="00D31EBB" w:rsidRDefault="00D02BC8" w:rsidP="008B6CCB">
      <w:pPr>
        <w:pStyle w:val="EMEABodyText"/>
        <w:rPr>
          <w:lang w:val="en-US"/>
        </w:rPr>
      </w:pPr>
    </w:p>
    <w:p w14:paraId="2949EBAD" w14:textId="77777777" w:rsidR="00D02BC8" w:rsidRPr="00D31EBB" w:rsidRDefault="00D02BC8" w:rsidP="008B6CCB">
      <w:pPr>
        <w:pStyle w:val="EMEABodyText"/>
      </w:pPr>
      <w:r>
        <w:t xml:space="preserve">REYATAZ 100 mg hard capsules are supplied in bottles of 60 capsules. </w:t>
      </w:r>
    </w:p>
    <w:p w14:paraId="13E309AB" w14:textId="77777777" w:rsidR="00D02BC8" w:rsidRPr="00D31EBB" w:rsidRDefault="00D02BC8" w:rsidP="008B6CCB">
      <w:pPr>
        <w:pStyle w:val="EMEABodyText"/>
        <w:rPr>
          <w:lang w:val="en-US"/>
        </w:rPr>
      </w:pPr>
    </w:p>
    <w:p w14:paraId="07F69E7C" w14:textId="77777777" w:rsidR="00D02BC8" w:rsidRPr="00D31EBB" w:rsidRDefault="00D02BC8" w:rsidP="008B6CCB">
      <w:pPr>
        <w:pStyle w:val="EMEABodyText"/>
      </w:pPr>
      <w:r>
        <w:t>REYATAZ 100 mg hard capsules are also supplied in blister strips in packs of 60 capsules.</w:t>
      </w:r>
    </w:p>
    <w:p w14:paraId="1B2A9D1B" w14:textId="77777777" w:rsidR="00D02BC8" w:rsidRPr="00D31EBB" w:rsidRDefault="00D02BC8" w:rsidP="008B6CCB">
      <w:pPr>
        <w:pStyle w:val="EMEABodyText"/>
        <w:rPr>
          <w:lang w:val="en-US"/>
        </w:rPr>
      </w:pPr>
    </w:p>
    <w:p w14:paraId="4CD9CA6B" w14:textId="77777777" w:rsidR="00D02BC8" w:rsidRPr="00D31EBB" w:rsidRDefault="00D02BC8" w:rsidP="008B6CCB">
      <w:pPr>
        <w:pStyle w:val="EMEABodyText"/>
      </w:pPr>
      <w:r>
        <w:t xml:space="preserve">Not all pack sizes may be marketed in all countries. </w:t>
      </w:r>
    </w:p>
    <w:p w14:paraId="5A375681" w14:textId="77777777" w:rsidR="00D02BC8" w:rsidRPr="00D31EBB" w:rsidRDefault="00D02BC8" w:rsidP="008B6CCB">
      <w:pPr>
        <w:pStyle w:val="EMEABodyText"/>
        <w:rPr>
          <w:noProof/>
          <w:lang w:val="en-US"/>
        </w:rPr>
      </w:pPr>
    </w:p>
    <w:p w14:paraId="17FE7D1D" w14:textId="77777777" w:rsidR="00D02BC8" w:rsidRPr="00D31EBB" w:rsidRDefault="003228A9" w:rsidP="008C48D0">
      <w:pPr>
        <w:pStyle w:val="EMEAHeading2"/>
        <w:rPr>
          <w:noProof/>
        </w:rPr>
      </w:pPr>
      <w:r>
        <w:t>Marketing Authorisation Holder</w:t>
      </w:r>
    </w:p>
    <w:p w14:paraId="19128ABE" w14:textId="77777777" w:rsidR="00D02BC8" w:rsidRPr="00D31EBB" w:rsidRDefault="00D02BC8" w:rsidP="008C48D0">
      <w:pPr>
        <w:pStyle w:val="EMEABodyText"/>
        <w:keepNext/>
        <w:rPr>
          <w:lang w:val="en-US"/>
        </w:rPr>
      </w:pPr>
    </w:p>
    <w:p w14:paraId="72095257"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6AA8D108" w14:textId="77777777" w:rsidR="00965E20" w:rsidRDefault="00965E20" w:rsidP="00965E20">
      <w:pPr>
        <w:numPr>
          <w:ilvl w:val="12"/>
          <w:numId w:val="0"/>
        </w:numPr>
      </w:pPr>
      <w:r>
        <w:t xml:space="preserve">Ireland </w:t>
      </w:r>
    </w:p>
    <w:p w14:paraId="6DB69785" w14:textId="77777777" w:rsidR="00D02BC8" w:rsidRPr="00D31EBB" w:rsidRDefault="00D02BC8" w:rsidP="00191AFE">
      <w:pPr>
        <w:pStyle w:val="EMEAAddress"/>
        <w:keepNext/>
        <w:rPr>
          <w:b/>
          <w:lang w:val="en-US"/>
        </w:rPr>
      </w:pPr>
    </w:p>
    <w:p w14:paraId="10DFB78A" w14:textId="77777777" w:rsidR="00D02BC8" w:rsidRPr="00D31EBB" w:rsidRDefault="003228A9" w:rsidP="008B6CCB">
      <w:pPr>
        <w:pStyle w:val="EMEAHeading2"/>
      </w:pPr>
      <w:r>
        <w:t>Manufacturer</w:t>
      </w:r>
    </w:p>
    <w:p w14:paraId="7190E419" w14:textId="77777777" w:rsidR="00D02BC8" w:rsidRPr="00D31EBB" w:rsidRDefault="00D02BC8" w:rsidP="008B6CCB">
      <w:pPr>
        <w:pStyle w:val="EMEABodyText"/>
        <w:rPr>
          <w:lang w:val="en-US"/>
        </w:rPr>
      </w:pPr>
    </w:p>
    <w:p w14:paraId="02A2DE09" w14:textId="77777777" w:rsidR="00B65509" w:rsidRPr="00B65509" w:rsidRDefault="00B65509" w:rsidP="00B65509">
      <w:pPr>
        <w:pStyle w:val="EMEABodyText"/>
        <w:rPr>
          <w:lang w:val="fr-BE"/>
        </w:rPr>
      </w:pPr>
      <w:r w:rsidRPr="00B65509">
        <w:rPr>
          <w:lang w:val="fr-BE"/>
        </w:rPr>
        <w:t>CATALENT ANAGNI S.R.L.</w:t>
      </w:r>
    </w:p>
    <w:p w14:paraId="6BCEFEA5" w14:textId="1EE0EFDF" w:rsidR="00B65509" w:rsidRDefault="00B65509" w:rsidP="00B65509">
      <w:pPr>
        <w:pStyle w:val="EMEABodyText"/>
        <w:rPr>
          <w:lang w:val="en-GB"/>
        </w:rPr>
      </w:pPr>
      <w:r>
        <w:rPr>
          <w:lang w:val="en-GB"/>
        </w:rPr>
        <w:t>Loc.</w:t>
      </w:r>
      <w:r w:rsidRPr="00B65509">
        <w:rPr>
          <w:lang w:val="en-GB"/>
        </w:rPr>
        <w:t xml:space="preserve"> </w:t>
      </w:r>
      <w:r w:rsidR="00D02BC8" w:rsidRPr="00B65509">
        <w:rPr>
          <w:lang w:val="en-GB"/>
        </w:rPr>
        <w:t>Fontana del Ceraso</w:t>
      </w:r>
      <w:r>
        <w:rPr>
          <w:lang w:val="en-GB"/>
        </w:rPr>
        <w:t xml:space="preserve"> snc</w:t>
      </w:r>
    </w:p>
    <w:p w14:paraId="261720A7" w14:textId="3E7D666B" w:rsidR="00B65509" w:rsidRPr="00B65509" w:rsidRDefault="00B65509" w:rsidP="00B65509">
      <w:pPr>
        <w:pStyle w:val="EMEABodyText"/>
        <w:rPr>
          <w:lang w:val="en-GB"/>
        </w:rPr>
      </w:pPr>
      <w:r w:rsidRPr="00B65509">
        <w:rPr>
          <w:lang w:val="en-GB"/>
        </w:rPr>
        <w:t>Strada Provinciale 12 Casilina, 41</w:t>
      </w:r>
    </w:p>
    <w:p w14:paraId="1F9764E9" w14:textId="75165013" w:rsidR="00B65509" w:rsidRDefault="00D02BC8" w:rsidP="00B65509">
      <w:pPr>
        <w:pStyle w:val="EMEABodyText"/>
        <w:rPr>
          <w:lang w:val="en-GB"/>
        </w:rPr>
      </w:pPr>
      <w:r w:rsidRPr="00B65509">
        <w:rPr>
          <w:lang w:val="en-GB"/>
        </w:rPr>
        <w:t>03012 Anagni (FR)</w:t>
      </w:r>
    </w:p>
    <w:p w14:paraId="740AEDD3" w14:textId="442ED57B" w:rsidR="00B65509" w:rsidRPr="00B65509" w:rsidRDefault="00B65509" w:rsidP="00B65509">
      <w:pPr>
        <w:pStyle w:val="EMEABodyText"/>
        <w:rPr>
          <w:lang w:val="en-GB"/>
        </w:rPr>
      </w:pPr>
      <w:r w:rsidRPr="00B65509">
        <w:rPr>
          <w:lang w:val="en-GB"/>
        </w:rPr>
        <w:t>Italy</w:t>
      </w:r>
    </w:p>
    <w:p w14:paraId="2B564C93" w14:textId="6EDB05BD" w:rsidR="00D02BC8" w:rsidRDefault="00D02BC8" w:rsidP="008B6CCB">
      <w:pPr>
        <w:pStyle w:val="EMEABodyText"/>
        <w:rPr>
          <w:noProof/>
          <w:lang w:val="es-ES"/>
        </w:rPr>
      </w:pPr>
    </w:p>
    <w:p w14:paraId="01B4FD94" w14:textId="77777777" w:rsidR="00B65509" w:rsidRPr="00A77657" w:rsidRDefault="00B65509" w:rsidP="00B65509">
      <w:pPr>
        <w:pStyle w:val="EMEABodyText"/>
        <w:rPr>
          <w:highlight w:val="lightGray"/>
          <w:lang w:val="en-GB"/>
        </w:rPr>
      </w:pPr>
      <w:r w:rsidRPr="00A77657">
        <w:rPr>
          <w:highlight w:val="lightGray"/>
          <w:lang w:val="en-GB"/>
        </w:rPr>
        <w:t>Swords Laboratories T/A Bristol-Myers Squibb Pharmaceutical Operations, External Manufacturing</w:t>
      </w:r>
    </w:p>
    <w:p w14:paraId="1770D63C" w14:textId="77777777" w:rsidR="00B65509" w:rsidRPr="00A77657" w:rsidRDefault="00B65509" w:rsidP="00B65509">
      <w:pPr>
        <w:pStyle w:val="EMEABodyText"/>
        <w:rPr>
          <w:highlight w:val="lightGray"/>
          <w:lang w:val="en-GB"/>
        </w:rPr>
      </w:pPr>
      <w:r w:rsidRPr="00A77657">
        <w:rPr>
          <w:highlight w:val="lightGray"/>
          <w:lang w:val="en-GB"/>
        </w:rPr>
        <w:t>Plaza 254</w:t>
      </w:r>
    </w:p>
    <w:p w14:paraId="5ED76981" w14:textId="77777777" w:rsidR="00B65509" w:rsidRPr="00A77657" w:rsidRDefault="00B65509" w:rsidP="00B65509">
      <w:pPr>
        <w:pStyle w:val="EMEABodyText"/>
        <w:rPr>
          <w:highlight w:val="lightGray"/>
          <w:lang w:val="en-GB"/>
        </w:rPr>
      </w:pPr>
      <w:r w:rsidRPr="00A77657">
        <w:rPr>
          <w:highlight w:val="lightGray"/>
          <w:lang w:val="en-GB"/>
        </w:rPr>
        <w:t>Blanchardstown Corporate Park 2</w:t>
      </w:r>
    </w:p>
    <w:p w14:paraId="08F76311" w14:textId="77777777" w:rsidR="00B65509" w:rsidRPr="00A77657" w:rsidRDefault="00B65509" w:rsidP="00B65509">
      <w:pPr>
        <w:pStyle w:val="EMEABodyText"/>
        <w:rPr>
          <w:highlight w:val="lightGray"/>
          <w:lang w:val="en-GB"/>
        </w:rPr>
      </w:pPr>
      <w:r w:rsidRPr="00A77657">
        <w:rPr>
          <w:highlight w:val="lightGray"/>
          <w:lang w:val="en-GB"/>
        </w:rPr>
        <w:t>Dublin 15, D15 T867</w:t>
      </w:r>
    </w:p>
    <w:p w14:paraId="15A0378E" w14:textId="77777777" w:rsidR="00B65509" w:rsidRPr="00B65509" w:rsidRDefault="00B65509" w:rsidP="00B65509">
      <w:pPr>
        <w:pStyle w:val="EMEABodyText"/>
        <w:rPr>
          <w:lang w:val="en-GB"/>
        </w:rPr>
      </w:pPr>
      <w:r w:rsidRPr="00A77657">
        <w:rPr>
          <w:highlight w:val="lightGray"/>
          <w:lang w:val="en-GB"/>
        </w:rPr>
        <w:t>Ireland</w:t>
      </w:r>
    </w:p>
    <w:p w14:paraId="63780BA9" w14:textId="7CB054AD" w:rsidR="00B65509" w:rsidRDefault="00B65509" w:rsidP="008B6CCB">
      <w:pPr>
        <w:pStyle w:val="EMEABodyText"/>
        <w:rPr>
          <w:noProof/>
          <w:lang w:val="es-ES"/>
        </w:rPr>
      </w:pPr>
    </w:p>
    <w:p w14:paraId="13AD61B1" w14:textId="77777777" w:rsidR="00B65509" w:rsidRPr="00324E2C" w:rsidRDefault="00B65509" w:rsidP="008B6CCB">
      <w:pPr>
        <w:pStyle w:val="EMEABodyText"/>
        <w:rPr>
          <w:noProof/>
          <w:lang w:val="es-ES"/>
        </w:rPr>
      </w:pPr>
    </w:p>
    <w:p w14:paraId="28C47EAB" w14:textId="77777777" w:rsidR="00D02BC8" w:rsidRPr="00D31EBB" w:rsidRDefault="00D02BC8" w:rsidP="008B6CCB">
      <w:pPr>
        <w:pStyle w:val="EMEABodyText"/>
      </w:pPr>
      <w:r>
        <w:t>For any further information about this medicine, please contact the local representative of the Marketing Authorisation Holder:</w:t>
      </w:r>
    </w:p>
    <w:p w14:paraId="153C22BE" w14:textId="77777777" w:rsidR="00D02BC8" w:rsidRPr="00D31EBB" w:rsidRDefault="00D02BC8" w:rsidP="008B6CCB">
      <w:pPr>
        <w:pStyle w:val="EMEABodyText"/>
        <w:rPr>
          <w:noProof/>
          <w:lang w:val="en-US"/>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D02BC8" w:rsidRPr="004F3582" w14:paraId="2FC1DE20" w14:textId="77777777">
        <w:trPr>
          <w:cantSplit/>
          <w:trHeight w:val="904"/>
        </w:trPr>
        <w:tc>
          <w:tcPr>
            <w:tcW w:w="4536" w:type="dxa"/>
          </w:tcPr>
          <w:p w14:paraId="3F0D847A" w14:textId="77777777" w:rsidR="00D02BC8" w:rsidRPr="004F3582" w:rsidRDefault="00D02BC8" w:rsidP="008B6CCB">
            <w:pPr>
              <w:pStyle w:val="EMEATableLeft"/>
              <w:keepNext w:val="0"/>
              <w:keepLines w:val="0"/>
              <w:widowControl w:val="0"/>
              <w:rPr>
                <w:b/>
                <w:bCs/>
              </w:rPr>
            </w:pPr>
            <w:r>
              <w:rPr>
                <w:b/>
                <w:bCs/>
              </w:rPr>
              <w:t>Belgique/België/Belgien</w:t>
            </w:r>
          </w:p>
          <w:p w14:paraId="04A011AB" w14:textId="77777777" w:rsidR="00D02BC8" w:rsidRPr="004F3582" w:rsidRDefault="00D02BC8" w:rsidP="008B6CCB">
            <w:pPr>
              <w:rPr>
                <w:bCs/>
                <w:szCs w:val="22"/>
              </w:rPr>
            </w:pPr>
            <w:r>
              <w:t>N.V. Bristol-Myers Squibb Belgium S.A.</w:t>
            </w:r>
          </w:p>
          <w:p w14:paraId="0BD27C54" w14:textId="77777777" w:rsidR="00D02BC8" w:rsidRPr="004F3582" w:rsidRDefault="00D02BC8" w:rsidP="008B6CCB">
            <w:pPr>
              <w:pStyle w:val="EMEATableLeft"/>
              <w:keepNext w:val="0"/>
              <w:keepLines w:val="0"/>
              <w:widowControl w:val="0"/>
            </w:pPr>
            <w:r>
              <w:t>Tél/Tel: + 32 2 352 76 11</w:t>
            </w:r>
          </w:p>
          <w:p w14:paraId="24F866A1" w14:textId="77777777" w:rsidR="00D02BC8" w:rsidRPr="004F3582" w:rsidRDefault="00D02BC8" w:rsidP="008B6CCB">
            <w:pPr>
              <w:pStyle w:val="EMEATableLeft"/>
              <w:keepNext w:val="0"/>
              <w:keepLines w:val="0"/>
              <w:widowControl w:val="0"/>
            </w:pPr>
          </w:p>
        </w:tc>
        <w:tc>
          <w:tcPr>
            <w:tcW w:w="4536" w:type="dxa"/>
          </w:tcPr>
          <w:p w14:paraId="6885E63C" w14:textId="77777777" w:rsidR="00D02BC8" w:rsidRPr="00D31EBB" w:rsidRDefault="00D02BC8" w:rsidP="008B6CCB">
            <w:pPr>
              <w:pStyle w:val="EMEATableLeft"/>
              <w:keepNext w:val="0"/>
              <w:keepLines w:val="0"/>
              <w:widowControl w:val="0"/>
            </w:pPr>
            <w:r>
              <w:rPr>
                <w:b/>
                <w:bCs/>
              </w:rPr>
              <w:t>Lietuva</w:t>
            </w:r>
          </w:p>
          <w:p w14:paraId="73DE6B07" w14:textId="77777777" w:rsidR="00D02BC8" w:rsidRPr="00D31EBB" w:rsidRDefault="00D02BC8" w:rsidP="008B6CCB">
            <w:pPr>
              <w:pStyle w:val="EMEABodyText"/>
              <w:widowControl w:val="0"/>
            </w:pPr>
            <w:r>
              <w:t>Bristol-Myers Squibb Kft.</w:t>
            </w:r>
          </w:p>
          <w:p w14:paraId="36BCE693" w14:textId="77777777" w:rsidR="00D02BC8" w:rsidRPr="004F3582" w:rsidRDefault="00B10B04" w:rsidP="008B6CCB">
            <w:pPr>
              <w:pStyle w:val="EMEATableLeft"/>
              <w:keepNext w:val="0"/>
              <w:keepLines w:val="0"/>
              <w:widowControl w:val="0"/>
            </w:pPr>
            <w:r>
              <w:t>Tel: + 370 52 369140</w:t>
            </w:r>
          </w:p>
          <w:p w14:paraId="07E67923" w14:textId="77777777" w:rsidR="00D02BC8" w:rsidRPr="004F3582" w:rsidRDefault="00D02BC8" w:rsidP="008B6CCB">
            <w:pPr>
              <w:pStyle w:val="EMEATableLeft"/>
              <w:keepNext w:val="0"/>
              <w:keepLines w:val="0"/>
              <w:widowControl w:val="0"/>
            </w:pPr>
          </w:p>
        </w:tc>
      </w:tr>
      <w:tr w:rsidR="00D02BC8" w:rsidRPr="004F3582" w14:paraId="6B08AA13" w14:textId="77777777">
        <w:trPr>
          <w:cantSplit/>
          <w:trHeight w:val="892"/>
        </w:trPr>
        <w:tc>
          <w:tcPr>
            <w:tcW w:w="4536" w:type="dxa"/>
          </w:tcPr>
          <w:p w14:paraId="3B73441F" w14:textId="77777777" w:rsidR="00D02BC8" w:rsidRPr="00D31EBB" w:rsidRDefault="00D02BC8" w:rsidP="008B6CCB">
            <w:pPr>
              <w:autoSpaceDE w:val="0"/>
              <w:autoSpaceDN w:val="0"/>
              <w:adjustRightInd w:val="0"/>
              <w:rPr>
                <w:b/>
                <w:bCs/>
                <w:szCs w:val="22"/>
              </w:rPr>
            </w:pPr>
            <w:r>
              <w:rPr>
                <w:b/>
                <w:bCs/>
                <w:szCs w:val="22"/>
              </w:rPr>
              <w:t>България</w:t>
            </w:r>
          </w:p>
          <w:p w14:paraId="50093293" w14:textId="77777777" w:rsidR="00D02BC8" w:rsidRPr="00D31EBB" w:rsidRDefault="00D02BC8" w:rsidP="008B6CCB">
            <w:pPr>
              <w:pStyle w:val="EMEABodyText"/>
              <w:widowControl w:val="0"/>
            </w:pPr>
            <w:r>
              <w:t>Bristol-Myers Squibb Kft.</w:t>
            </w:r>
          </w:p>
          <w:p w14:paraId="0BE61F07" w14:textId="77777777" w:rsidR="00D02BC8" w:rsidRPr="004F3582" w:rsidRDefault="00D02BC8" w:rsidP="008B6CCB">
            <w:pPr>
              <w:pStyle w:val="EMEATableLeft"/>
              <w:keepNext w:val="0"/>
              <w:keepLines w:val="0"/>
              <w:widowControl w:val="0"/>
            </w:pPr>
            <w:r>
              <w:t>Teл.: + 359 800 12 400</w:t>
            </w:r>
          </w:p>
          <w:p w14:paraId="1640F90E" w14:textId="77777777" w:rsidR="00D02BC8" w:rsidRPr="004F3582" w:rsidRDefault="00D02BC8" w:rsidP="008B6CCB">
            <w:pPr>
              <w:autoSpaceDE w:val="0"/>
              <w:autoSpaceDN w:val="0"/>
              <w:adjustRightInd w:val="0"/>
              <w:rPr>
                <w:rFonts w:ascii="TimesNewRoman" w:hAnsi="TimesNewRoman"/>
                <w:szCs w:val="22"/>
              </w:rPr>
            </w:pPr>
          </w:p>
        </w:tc>
        <w:tc>
          <w:tcPr>
            <w:tcW w:w="4536" w:type="dxa"/>
          </w:tcPr>
          <w:p w14:paraId="559F59B0" w14:textId="77777777" w:rsidR="00D02BC8" w:rsidRPr="004F3582" w:rsidRDefault="00D02BC8" w:rsidP="008B6CCB">
            <w:pPr>
              <w:pStyle w:val="EMEATableLeft"/>
              <w:keepNext w:val="0"/>
              <w:keepLines w:val="0"/>
              <w:widowControl w:val="0"/>
            </w:pPr>
            <w:r>
              <w:rPr>
                <w:b/>
                <w:bCs/>
              </w:rPr>
              <w:t>Luxembourg/Luxemburg</w:t>
            </w:r>
          </w:p>
          <w:p w14:paraId="5D409957" w14:textId="77777777" w:rsidR="00D02BC8" w:rsidRPr="004F3582" w:rsidRDefault="00D02BC8" w:rsidP="008B6CCB">
            <w:pPr>
              <w:rPr>
                <w:bCs/>
                <w:szCs w:val="22"/>
              </w:rPr>
            </w:pPr>
            <w:r>
              <w:t>N.V. Bristol-Myers Squibb Belgium S.A.</w:t>
            </w:r>
          </w:p>
          <w:p w14:paraId="124787BC" w14:textId="77777777" w:rsidR="00D02BC8" w:rsidRPr="004F3582" w:rsidRDefault="00D02BC8" w:rsidP="008B6CCB">
            <w:pPr>
              <w:pStyle w:val="EMEATableLeft"/>
              <w:keepNext w:val="0"/>
              <w:keepLines w:val="0"/>
              <w:widowControl w:val="0"/>
            </w:pPr>
            <w:r>
              <w:t>Tél/Tel: + 32 2 352 76 11</w:t>
            </w:r>
          </w:p>
          <w:p w14:paraId="5D2EE4B4" w14:textId="77777777" w:rsidR="00D02BC8" w:rsidRPr="004F3582" w:rsidRDefault="00D02BC8" w:rsidP="008B6CCB">
            <w:pPr>
              <w:pStyle w:val="EMEATableLeft"/>
              <w:keepNext w:val="0"/>
              <w:keepLines w:val="0"/>
              <w:widowControl w:val="0"/>
            </w:pPr>
          </w:p>
        </w:tc>
      </w:tr>
      <w:tr w:rsidR="00D02BC8" w:rsidRPr="004F3582" w14:paraId="260C5E8E" w14:textId="77777777">
        <w:trPr>
          <w:cantSplit/>
          <w:trHeight w:val="904"/>
        </w:trPr>
        <w:tc>
          <w:tcPr>
            <w:tcW w:w="4536" w:type="dxa"/>
          </w:tcPr>
          <w:p w14:paraId="46718F31" w14:textId="77777777" w:rsidR="00D02BC8" w:rsidRPr="00D31EBB" w:rsidRDefault="00D02BC8" w:rsidP="008B6CCB">
            <w:pPr>
              <w:pStyle w:val="EMEATableLeft"/>
              <w:keepNext w:val="0"/>
              <w:keepLines w:val="0"/>
              <w:widowControl w:val="0"/>
              <w:rPr>
                <w:b/>
                <w:bCs/>
              </w:rPr>
            </w:pPr>
            <w:r>
              <w:rPr>
                <w:b/>
                <w:bCs/>
              </w:rPr>
              <w:t>Česká republika</w:t>
            </w:r>
          </w:p>
          <w:p w14:paraId="0D8F210C" w14:textId="77777777" w:rsidR="00D02BC8" w:rsidRPr="00D31EBB" w:rsidRDefault="00D02BC8" w:rsidP="008B6CCB">
            <w:pPr>
              <w:pStyle w:val="EMEABodyText"/>
              <w:widowControl w:val="0"/>
            </w:pPr>
            <w:r>
              <w:t>Bristol-Myers Squibb spol. s r.o.</w:t>
            </w:r>
          </w:p>
          <w:p w14:paraId="46F37F75" w14:textId="77777777" w:rsidR="00D02BC8" w:rsidRPr="004F3582" w:rsidRDefault="00D02BC8" w:rsidP="008B6CCB">
            <w:pPr>
              <w:pStyle w:val="EMEATableLeft"/>
              <w:keepNext w:val="0"/>
              <w:keepLines w:val="0"/>
              <w:widowControl w:val="0"/>
            </w:pPr>
            <w:r>
              <w:t>Tel: + 420 221 016 111</w:t>
            </w:r>
          </w:p>
          <w:p w14:paraId="066D8AE4" w14:textId="77777777" w:rsidR="00D02BC8" w:rsidRPr="004F3582" w:rsidRDefault="00D02BC8" w:rsidP="008B6CCB">
            <w:pPr>
              <w:pStyle w:val="EMEATableLeft"/>
              <w:keepNext w:val="0"/>
              <w:keepLines w:val="0"/>
              <w:widowControl w:val="0"/>
            </w:pPr>
          </w:p>
        </w:tc>
        <w:tc>
          <w:tcPr>
            <w:tcW w:w="4536" w:type="dxa"/>
          </w:tcPr>
          <w:p w14:paraId="33760912" w14:textId="77777777" w:rsidR="00D02BC8" w:rsidRPr="00D31EBB" w:rsidRDefault="00D02BC8" w:rsidP="008B6CCB">
            <w:pPr>
              <w:pStyle w:val="EMEATableLeft"/>
              <w:keepNext w:val="0"/>
              <w:keepLines w:val="0"/>
              <w:widowControl w:val="0"/>
              <w:rPr>
                <w:b/>
                <w:bCs/>
              </w:rPr>
            </w:pPr>
            <w:r>
              <w:rPr>
                <w:b/>
                <w:bCs/>
              </w:rPr>
              <w:t>Magyarország</w:t>
            </w:r>
          </w:p>
          <w:p w14:paraId="5246D2E0" w14:textId="77777777" w:rsidR="00D02BC8" w:rsidRPr="00D31EBB" w:rsidRDefault="00D02BC8" w:rsidP="008B6CCB">
            <w:pPr>
              <w:pStyle w:val="EMEABodyText"/>
              <w:widowControl w:val="0"/>
            </w:pPr>
            <w:r>
              <w:t>Bristol-Myers Squibb Kft.</w:t>
            </w:r>
          </w:p>
          <w:p w14:paraId="0214C554" w14:textId="77777777" w:rsidR="00D02BC8" w:rsidRPr="004F3582" w:rsidRDefault="00D02BC8" w:rsidP="008B6CCB">
            <w:pPr>
              <w:pStyle w:val="EMEATableLeft"/>
              <w:keepNext w:val="0"/>
              <w:keepLines w:val="0"/>
              <w:widowControl w:val="0"/>
            </w:pPr>
            <w:r>
              <w:t>Tel.: + 36 1 9206 550</w:t>
            </w:r>
          </w:p>
          <w:p w14:paraId="71E2D4D8" w14:textId="77777777" w:rsidR="00D02BC8" w:rsidRPr="004F3582" w:rsidRDefault="00D02BC8" w:rsidP="008B6CCB">
            <w:pPr>
              <w:pStyle w:val="EMEATableLeft"/>
              <w:keepNext w:val="0"/>
              <w:keepLines w:val="0"/>
              <w:widowControl w:val="0"/>
            </w:pPr>
          </w:p>
        </w:tc>
      </w:tr>
      <w:tr w:rsidR="00D02BC8" w:rsidRPr="004F3582" w14:paraId="01212AAE" w14:textId="77777777">
        <w:trPr>
          <w:cantSplit/>
          <w:trHeight w:val="904"/>
        </w:trPr>
        <w:tc>
          <w:tcPr>
            <w:tcW w:w="4536" w:type="dxa"/>
          </w:tcPr>
          <w:p w14:paraId="43943059" w14:textId="77777777" w:rsidR="00D02BC8" w:rsidRPr="00D31EBB" w:rsidRDefault="00D02BC8" w:rsidP="008B6CCB">
            <w:pPr>
              <w:pStyle w:val="EMEATableLeft"/>
              <w:keepNext w:val="0"/>
              <w:keepLines w:val="0"/>
              <w:widowControl w:val="0"/>
              <w:rPr>
                <w:b/>
                <w:bCs/>
              </w:rPr>
            </w:pPr>
            <w:r>
              <w:rPr>
                <w:b/>
                <w:bCs/>
              </w:rPr>
              <w:t>Danmark</w:t>
            </w:r>
          </w:p>
          <w:p w14:paraId="270F9A1B" w14:textId="77777777" w:rsidR="00D02BC8" w:rsidRPr="00D31EBB" w:rsidRDefault="00D02BC8" w:rsidP="008B6CCB">
            <w:pPr>
              <w:pStyle w:val="EMEABodyText"/>
              <w:widowControl w:val="0"/>
            </w:pPr>
            <w:r>
              <w:t>Bristol-Myers Squibb</w:t>
            </w:r>
          </w:p>
          <w:p w14:paraId="1C97B422" w14:textId="77777777" w:rsidR="00D02BC8" w:rsidRPr="00D31EBB" w:rsidRDefault="00D02BC8" w:rsidP="008B6CCB">
            <w:pPr>
              <w:pStyle w:val="EMEATableLeft"/>
              <w:keepNext w:val="0"/>
              <w:keepLines w:val="0"/>
              <w:widowControl w:val="0"/>
            </w:pPr>
            <w:r>
              <w:t>Tlf: + 45 45 93 05 06</w:t>
            </w:r>
          </w:p>
          <w:p w14:paraId="02E64A48" w14:textId="77777777" w:rsidR="00D02BC8" w:rsidRPr="00D31EBB" w:rsidRDefault="00D02BC8" w:rsidP="008B6CCB">
            <w:pPr>
              <w:pStyle w:val="EMEATableLeft"/>
              <w:keepNext w:val="0"/>
              <w:keepLines w:val="0"/>
              <w:widowControl w:val="0"/>
              <w:rPr>
                <w:lang w:val="en-US"/>
              </w:rPr>
            </w:pPr>
          </w:p>
        </w:tc>
        <w:tc>
          <w:tcPr>
            <w:tcW w:w="4536" w:type="dxa"/>
          </w:tcPr>
          <w:p w14:paraId="57BC5C09" w14:textId="77777777" w:rsidR="00D02BC8" w:rsidRPr="00D31EBB" w:rsidRDefault="00D02BC8" w:rsidP="008B6CCB">
            <w:pPr>
              <w:pStyle w:val="EMEATableLeft"/>
              <w:keepNext w:val="0"/>
              <w:keepLines w:val="0"/>
              <w:widowControl w:val="0"/>
              <w:rPr>
                <w:b/>
                <w:bCs/>
              </w:rPr>
            </w:pPr>
            <w:r>
              <w:rPr>
                <w:b/>
                <w:bCs/>
              </w:rPr>
              <w:t>Malta</w:t>
            </w:r>
          </w:p>
          <w:p w14:paraId="7023A1BB" w14:textId="77777777" w:rsidR="00D02BC8" w:rsidRPr="00D31EBB" w:rsidRDefault="00944494" w:rsidP="008B6CCB">
            <w:pPr>
              <w:pStyle w:val="EMEABodyText"/>
              <w:widowControl w:val="0"/>
              <w:rPr>
                <w:smallCaps/>
              </w:rPr>
            </w:pPr>
            <w:r>
              <w:rPr>
                <w:smallCaps/>
              </w:rPr>
              <w:t>Bristol-Myers Squibb S.r.l.</w:t>
            </w:r>
          </w:p>
          <w:p w14:paraId="22007953" w14:textId="77777777" w:rsidR="00D02BC8" w:rsidRPr="004F3582" w:rsidRDefault="00D02BC8" w:rsidP="008B6CCB">
            <w:pPr>
              <w:pStyle w:val="EMEATableLeft"/>
              <w:keepNext w:val="0"/>
              <w:keepLines w:val="0"/>
              <w:widowControl w:val="0"/>
            </w:pPr>
            <w:r>
              <w:t>Tel: + 39 06 50 39 61</w:t>
            </w:r>
          </w:p>
          <w:p w14:paraId="073B1855" w14:textId="77777777" w:rsidR="00D02BC8" w:rsidRPr="004F3582" w:rsidRDefault="00D02BC8" w:rsidP="008B6CCB">
            <w:pPr>
              <w:pStyle w:val="EMEATableLeft"/>
              <w:keepNext w:val="0"/>
              <w:keepLines w:val="0"/>
              <w:widowControl w:val="0"/>
            </w:pPr>
          </w:p>
        </w:tc>
      </w:tr>
      <w:tr w:rsidR="00D02BC8" w:rsidRPr="004F3582" w14:paraId="58EDAE8A" w14:textId="77777777">
        <w:trPr>
          <w:cantSplit/>
          <w:trHeight w:val="892"/>
        </w:trPr>
        <w:tc>
          <w:tcPr>
            <w:tcW w:w="4536" w:type="dxa"/>
          </w:tcPr>
          <w:p w14:paraId="706F18B8" w14:textId="77777777" w:rsidR="00D02BC8" w:rsidRPr="00D31EBB" w:rsidRDefault="00D02BC8" w:rsidP="008B6CCB">
            <w:pPr>
              <w:pStyle w:val="EMEATableLeft"/>
              <w:keepNext w:val="0"/>
              <w:keepLines w:val="0"/>
              <w:widowControl w:val="0"/>
            </w:pPr>
            <w:r>
              <w:rPr>
                <w:b/>
                <w:bCs/>
              </w:rPr>
              <w:t>Deutschland</w:t>
            </w:r>
          </w:p>
          <w:p w14:paraId="71143DEF" w14:textId="77777777" w:rsidR="00D02BC8" w:rsidRPr="004F3582" w:rsidRDefault="00D02BC8" w:rsidP="008B6CCB">
            <w:pPr>
              <w:pStyle w:val="EMEABodyText"/>
              <w:widowControl w:val="0"/>
            </w:pPr>
            <w:r>
              <w:t>Bristol-Myers Squibb GmbH &amp; Co. KGaA</w:t>
            </w:r>
          </w:p>
          <w:p w14:paraId="3098DF34" w14:textId="77777777" w:rsidR="00D02BC8" w:rsidRPr="004F3582" w:rsidRDefault="00D02BC8" w:rsidP="008B6CCB">
            <w:pPr>
              <w:pStyle w:val="EMEATableLeft"/>
              <w:keepNext w:val="0"/>
              <w:keepLines w:val="0"/>
              <w:widowControl w:val="0"/>
            </w:pPr>
            <w:r>
              <w:t>Tel: + 49 89 121 42-0</w:t>
            </w:r>
          </w:p>
          <w:p w14:paraId="73B79E96" w14:textId="77777777" w:rsidR="00D02BC8" w:rsidRPr="004F3582" w:rsidRDefault="00D02BC8" w:rsidP="008B6CCB">
            <w:pPr>
              <w:pStyle w:val="EMEATableLeft"/>
              <w:keepNext w:val="0"/>
              <w:keepLines w:val="0"/>
              <w:widowControl w:val="0"/>
            </w:pPr>
          </w:p>
        </w:tc>
        <w:tc>
          <w:tcPr>
            <w:tcW w:w="4536" w:type="dxa"/>
          </w:tcPr>
          <w:p w14:paraId="664BD262" w14:textId="77777777" w:rsidR="00D02BC8" w:rsidRPr="00D31EBB" w:rsidRDefault="00D02BC8" w:rsidP="008B6CCB">
            <w:pPr>
              <w:pStyle w:val="EMEATableLeft"/>
              <w:keepNext w:val="0"/>
              <w:keepLines w:val="0"/>
              <w:widowControl w:val="0"/>
            </w:pPr>
            <w:r>
              <w:rPr>
                <w:b/>
                <w:bCs/>
              </w:rPr>
              <w:t>Nederland</w:t>
            </w:r>
          </w:p>
          <w:p w14:paraId="05D2D70B" w14:textId="77777777" w:rsidR="00D02BC8" w:rsidRPr="00D31EBB" w:rsidRDefault="00D02BC8" w:rsidP="008B6CCB">
            <w:pPr>
              <w:pStyle w:val="EMEABodyText"/>
              <w:widowControl w:val="0"/>
            </w:pPr>
            <w:r>
              <w:t>Bristol-Myers Squibb B.V.</w:t>
            </w:r>
          </w:p>
          <w:p w14:paraId="04906185" w14:textId="77777777" w:rsidR="00D02BC8" w:rsidRPr="004F3582" w:rsidRDefault="00D02BC8" w:rsidP="008B6CCB">
            <w:pPr>
              <w:pStyle w:val="EMEATableLeft"/>
              <w:keepNext w:val="0"/>
              <w:keepLines w:val="0"/>
              <w:widowControl w:val="0"/>
            </w:pPr>
            <w:r>
              <w:t>Tel: + 31 (0)30 300 2222</w:t>
            </w:r>
          </w:p>
          <w:p w14:paraId="31F9D859" w14:textId="77777777" w:rsidR="00D02BC8" w:rsidRPr="004F3582" w:rsidRDefault="00D02BC8" w:rsidP="008B6CCB"/>
        </w:tc>
      </w:tr>
      <w:tr w:rsidR="00D02BC8" w:rsidRPr="004F3582" w14:paraId="3966A4D2" w14:textId="77777777">
        <w:trPr>
          <w:cantSplit/>
          <w:trHeight w:val="880"/>
        </w:trPr>
        <w:tc>
          <w:tcPr>
            <w:tcW w:w="4536" w:type="dxa"/>
          </w:tcPr>
          <w:p w14:paraId="314DC6AA" w14:textId="77777777" w:rsidR="00D02BC8" w:rsidRPr="00D31EBB" w:rsidRDefault="00D02BC8" w:rsidP="008B6CCB">
            <w:pPr>
              <w:pStyle w:val="EMEATableLeft"/>
              <w:keepNext w:val="0"/>
              <w:keepLines w:val="0"/>
              <w:widowControl w:val="0"/>
            </w:pPr>
            <w:r>
              <w:rPr>
                <w:b/>
                <w:bCs/>
              </w:rPr>
              <w:t>Eesti</w:t>
            </w:r>
          </w:p>
          <w:p w14:paraId="0FCB3C21" w14:textId="77777777" w:rsidR="00D02BC8" w:rsidRPr="00D31EBB" w:rsidRDefault="00D02BC8" w:rsidP="008B6CCB">
            <w:pPr>
              <w:pStyle w:val="EMEABodyText"/>
              <w:widowControl w:val="0"/>
            </w:pPr>
            <w:r>
              <w:t>Bristol-Myers Squibb Kft.</w:t>
            </w:r>
          </w:p>
          <w:p w14:paraId="02CE85B3" w14:textId="77777777" w:rsidR="00D02BC8" w:rsidRPr="004F3582" w:rsidRDefault="00D02BC8" w:rsidP="008B6CCB">
            <w:pPr>
              <w:pStyle w:val="EMEATableLeft"/>
              <w:keepNext w:val="0"/>
              <w:keepLines w:val="0"/>
              <w:widowControl w:val="0"/>
            </w:pPr>
            <w:r>
              <w:t>Tel: + 372 640 1030</w:t>
            </w:r>
          </w:p>
          <w:p w14:paraId="47EBD0FC" w14:textId="77777777" w:rsidR="00D02BC8" w:rsidRPr="004F3582" w:rsidRDefault="00D02BC8" w:rsidP="008B6CCB">
            <w:pPr>
              <w:pStyle w:val="EMEATableLeft"/>
              <w:keepNext w:val="0"/>
              <w:keepLines w:val="0"/>
              <w:widowControl w:val="0"/>
            </w:pPr>
          </w:p>
        </w:tc>
        <w:tc>
          <w:tcPr>
            <w:tcW w:w="4536" w:type="dxa"/>
          </w:tcPr>
          <w:p w14:paraId="3CBD2CCA" w14:textId="77777777" w:rsidR="00D02BC8" w:rsidRPr="00D31EBB" w:rsidRDefault="00D02BC8" w:rsidP="008B6CCB">
            <w:pPr>
              <w:pStyle w:val="EMEATableLeft"/>
              <w:keepNext w:val="0"/>
              <w:keepLines w:val="0"/>
              <w:widowControl w:val="0"/>
              <w:rPr>
                <w:b/>
                <w:bCs/>
              </w:rPr>
            </w:pPr>
            <w:r>
              <w:rPr>
                <w:b/>
                <w:bCs/>
              </w:rPr>
              <w:t>Norge</w:t>
            </w:r>
          </w:p>
          <w:p w14:paraId="406C18AD" w14:textId="77777777" w:rsidR="00D02BC8" w:rsidRPr="00D31EBB" w:rsidRDefault="00D02BC8" w:rsidP="008B6CCB">
            <w:pPr>
              <w:pStyle w:val="EMEABodyText"/>
              <w:widowControl w:val="0"/>
            </w:pPr>
            <w:r>
              <w:t>Bristol-Myers Squibb Norway Ltd</w:t>
            </w:r>
          </w:p>
          <w:p w14:paraId="0DFB6FC8" w14:textId="77777777" w:rsidR="00D02BC8" w:rsidRPr="004F3582" w:rsidRDefault="00D02BC8" w:rsidP="008B6CCB">
            <w:pPr>
              <w:pStyle w:val="EMEATableLeft"/>
              <w:keepNext w:val="0"/>
              <w:keepLines w:val="0"/>
              <w:widowControl w:val="0"/>
            </w:pPr>
            <w:r>
              <w:t>Tlf: + 47 67 55 53 50</w:t>
            </w:r>
          </w:p>
          <w:p w14:paraId="01FBF159" w14:textId="77777777" w:rsidR="00D02BC8" w:rsidRPr="004F3582" w:rsidRDefault="00D02BC8" w:rsidP="008B6CCB">
            <w:pPr>
              <w:pStyle w:val="EMEATableLeft"/>
              <w:keepNext w:val="0"/>
              <w:keepLines w:val="0"/>
              <w:widowControl w:val="0"/>
            </w:pPr>
          </w:p>
        </w:tc>
      </w:tr>
      <w:tr w:rsidR="00D02BC8" w:rsidRPr="00965E20" w14:paraId="3FB1987A" w14:textId="77777777">
        <w:trPr>
          <w:cantSplit/>
          <w:trHeight w:val="952"/>
        </w:trPr>
        <w:tc>
          <w:tcPr>
            <w:tcW w:w="4536" w:type="dxa"/>
          </w:tcPr>
          <w:p w14:paraId="31CDDCB1" w14:textId="77777777" w:rsidR="00D02BC8" w:rsidRPr="00D31EBB" w:rsidRDefault="00D02BC8" w:rsidP="008B6CCB">
            <w:pPr>
              <w:pStyle w:val="EMEATableLeft"/>
              <w:keepNext w:val="0"/>
              <w:keepLines w:val="0"/>
              <w:widowControl w:val="0"/>
            </w:pPr>
            <w:r>
              <w:rPr>
                <w:b/>
                <w:bCs/>
              </w:rPr>
              <w:t>Ελλάδα</w:t>
            </w:r>
          </w:p>
          <w:p w14:paraId="419838F5" w14:textId="77777777" w:rsidR="00D02BC8" w:rsidRPr="00D31EBB" w:rsidRDefault="00D02BC8" w:rsidP="008B6CCB">
            <w:pPr>
              <w:pStyle w:val="EMEABodyText"/>
              <w:widowControl w:val="0"/>
            </w:pPr>
            <w:r>
              <w:rPr>
                <w:smallCaps/>
              </w:rPr>
              <w:t>Bristol-Myers Squibb A.E.</w:t>
            </w:r>
          </w:p>
          <w:p w14:paraId="07CDF3DC" w14:textId="77777777" w:rsidR="00D02BC8" w:rsidRPr="004F3582" w:rsidRDefault="00D02BC8" w:rsidP="008B6CCB">
            <w:pPr>
              <w:pStyle w:val="EMEATableLeft"/>
              <w:keepNext w:val="0"/>
              <w:keepLines w:val="0"/>
              <w:widowControl w:val="0"/>
            </w:pPr>
            <w:r>
              <w:t>Τηλ: + 30 210 6074300</w:t>
            </w:r>
          </w:p>
          <w:p w14:paraId="03110522" w14:textId="77777777" w:rsidR="00D02BC8" w:rsidRPr="004F3582" w:rsidRDefault="00D02BC8" w:rsidP="008B6CCB">
            <w:pPr>
              <w:pStyle w:val="EMEATableLeft"/>
              <w:keepNext w:val="0"/>
              <w:keepLines w:val="0"/>
              <w:widowControl w:val="0"/>
            </w:pPr>
          </w:p>
        </w:tc>
        <w:tc>
          <w:tcPr>
            <w:tcW w:w="4536" w:type="dxa"/>
          </w:tcPr>
          <w:p w14:paraId="3EFEA465" w14:textId="77777777" w:rsidR="00D02BC8" w:rsidRPr="00D31EBB" w:rsidRDefault="00D02BC8" w:rsidP="008B6CCB">
            <w:pPr>
              <w:pStyle w:val="EMEATableLeft"/>
              <w:keepNext w:val="0"/>
              <w:keepLines w:val="0"/>
              <w:widowControl w:val="0"/>
            </w:pPr>
            <w:r>
              <w:rPr>
                <w:b/>
                <w:bCs/>
              </w:rPr>
              <w:t>Österreich</w:t>
            </w:r>
          </w:p>
          <w:p w14:paraId="49F595A1" w14:textId="77777777" w:rsidR="00D02BC8" w:rsidRPr="00D31EBB" w:rsidRDefault="00D02BC8" w:rsidP="008B6CCB">
            <w:pPr>
              <w:pStyle w:val="EMEABodyText"/>
              <w:widowControl w:val="0"/>
            </w:pPr>
            <w:r>
              <w:t>Bristol-Myers Squibb GesmbH</w:t>
            </w:r>
          </w:p>
          <w:p w14:paraId="6D7A1149" w14:textId="77777777" w:rsidR="00D02BC8" w:rsidRPr="00D31EBB" w:rsidRDefault="00D02BC8" w:rsidP="008B6CCB">
            <w:pPr>
              <w:pStyle w:val="EMEATableLeft"/>
              <w:keepNext w:val="0"/>
              <w:keepLines w:val="0"/>
              <w:widowControl w:val="0"/>
            </w:pPr>
            <w:r>
              <w:t>Tel: + 43 1 60 14 30</w:t>
            </w:r>
          </w:p>
          <w:p w14:paraId="7EF60883" w14:textId="77777777" w:rsidR="00D02BC8" w:rsidRPr="00D31EBB" w:rsidRDefault="00D02BC8" w:rsidP="008B6CCB">
            <w:pPr>
              <w:pStyle w:val="EMEATableLeft"/>
              <w:keepNext w:val="0"/>
              <w:keepLines w:val="0"/>
              <w:widowControl w:val="0"/>
              <w:rPr>
                <w:lang w:val="en-US"/>
              </w:rPr>
            </w:pPr>
          </w:p>
        </w:tc>
      </w:tr>
      <w:tr w:rsidR="00D02BC8" w:rsidRPr="004F3582" w14:paraId="353DAEC7" w14:textId="77777777">
        <w:trPr>
          <w:cantSplit/>
          <w:trHeight w:val="1111"/>
        </w:trPr>
        <w:tc>
          <w:tcPr>
            <w:tcW w:w="4536" w:type="dxa"/>
          </w:tcPr>
          <w:p w14:paraId="1B336926" w14:textId="77777777" w:rsidR="00D02BC8" w:rsidRPr="00D31EBB" w:rsidRDefault="00D02BC8" w:rsidP="008B6CCB">
            <w:pPr>
              <w:pStyle w:val="EMEATableLeft"/>
              <w:keepNext w:val="0"/>
              <w:keepLines w:val="0"/>
              <w:widowControl w:val="0"/>
            </w:pPr>
            <w:r>
              <w:rPr>
                <w:b/>
                <w:bCs/>
              </w:rPr>
              <w:t>España</w:t>
            </w:r>
          </w:p>
          <w:p w14:paraId="1E558EB4" w14:textId="77777777" w:rsidR="00D02BC8" w:rsidRPr="00D31EBB" w:rsidRDefault="00D02BC8" w:rsidP="008B6CCB">
            <w:pPr>
              <w:pStyle w:val="EMEABodyText"/>
              <w:widowControl w:val="0"/>
              <w:rPr>
                <w:smallCaps/>
              </w:rPr>
            </w:pPr>
            <w:r>
              <w:rPr>
                <w:smallCaps/>
              </w:rPr>
              <w:t>Bristol-Myers Squibb, S.A.</w:t>
            </w:r>
          </w:p>
          <w:p w14:paraId="53505632" w14:textId="77777777" w:rsidR="00D02BC8" w:rsidRPr="004F3582" w:rsidRDefault="00D02BC8" w:rsidP="008B6CCB">
            <w:pPr>
              <w:pStyle w:val="EMEATableLeft"/>
              <w:keepNext w:val="0"/>
              <w:keepLines w:val="0"/>
              <w:widowControl w:val="0"/>
            </w:pPr>
            <w:r>
              <w:t>Tel: + 34 91 456 53 00</w:t>
            </w:r>
          </w:p>
          <w:p w14:paraId="4C07AEF4" w14:textId="77777777" w:rsidR="00D02BC8" w:rsidRPr="004F3582" w:rsidRDefault="00D02BC8" w:rsidP="008B6CCB">
            <w:pPr>
              <w:pStyle w:val="EMEATableLeft"/>
              <w:keepNext w:val="0"/>
              <w:keepLines w:val="0"/>
              <w:widowControl w:val="0"/>
            </w:pPr>
          </w:p>
        </w:tc>
        <w:tc>
          <w:tcPr>
            <w:tcW w:w="4536" w:type="dxa"/>
          </w:tcPr>
          <w:p w14:paraId="5DCFAAF8" w14:textId="77777777" w:rsidR="00D02BC8" w:rsidRPr="00D31EBB" w:rsidRDefault="00D02BC8" w:rsidP="008B6CCB">
            <w:pPr>
              <w:pStyle w:val="EMEATableLeft"/>
              <w:keepNext w:val="0"/>
              <w:keepLines w:val="0"/>
              <w:widowControl w:val="0"/>
            </w:pPr>
            <w:r>
              <w:rPr>
                <w:b/>
                <w:bCs/>
              </w:rPr>
              <w:t>Polska</w:t>
            </w:r>
          </w:p>
          <w:p w14:paraId="02DECE41" w14:textId="77777777" w:rsidR="00D02BC8" w:rsidRPr="004F3582" w:rsidRDefault="00D02BC8" w:rsidP="008B6CCB">
            <w:pPr>
              <w:pStyle w:val="EMEABodyText"/>
              <w:widowControl w:val="0"/>
            </w:pPr>
            <w:r>
              <w:rPr>
                <w:smallCaps/>
              </w:rPr>
              <w:t>Bristol-Myers Squibb Polska Sp. z o.o.</w:t>
            </w:r>
          </w:p>
          <w:p w14:paraId="389B4524" w14:textId="77777777" w:rsidR="00D02BC8" w:rsidRPr="004F3582" w:rsidRDefault="00D02BC8" w:rsidP="008B6CCB">
            <w:pPr>
              <w:pStyle w:val="EMEATableLeft"/>
              <w:keepNext w:val="0"/>
              <w:keepLines w:val="0"/>
              <w:widowControl w:val="0"/>
            </w:pPr>
            <w:r>
              <w:t>Tel.: + 48 22 5796666</w:t>
            </w:r>
          </w:p>
          <w:p w14:paraId="37B85265" w14:textId="77777777" w:rsidR="00D02BC8" w:rsidRPr="004F3582" w:rsidRDefault="00D02BC8" w:rsidP="008B6CCB">
            <w:pPr>
              <w:pStyle w:val="EMEATableLeft"/>
              <w:keepNext w:val="0"/>
              <w:keepLines w:val="0"/>
              <w:widowControl w:val="0"/>
            </w:pPr>
          </w:p>
        </w:tc>
      </w:tr>
      <w:tr w:rsidR="00D02BC8" w:rsidRPr="004F3582" w14:paraId="723B1548" w14:textId="77777777">
        <w:trPr>
          <w:cantSplit/>
          <w:trHeight w:val="892"/>
        </w:trPr>
        <w:tc>
          <w:tcPr>
            <w:tcW w:w="4536" w:type="dxa"/>
          </w:tcPr>
          <w:p w14:paraId="1A66EA14" w14:textId="77777777" w:rsidR="00D02BC8" w:rsidRPr="004F3582" w:rsidRDefault="00D02BC8" w:rsidP="008B6CCB">
            <w:pPr>
              <w:pStyle w:val="EMEATableLeft"/>
              <w:keepNext w:val="0"/>
              <w:keepLines w:val="0"/>
              <w:widowControl w:val="0"/>
            </w:pPr>
            <w:r>
              <w:rPr>
                <w:b/>
                <w:bCs/>
              </w:rPr>
              <w:t>France</w:t>
            </w:r>
          </w:p>
          <w:p w14:paraId="792EB650" w14:textId="77777777" w:rsidR="00D02BC8" w:rsidRPr="004F3582" w:rsidRDefault="00D02BC8" w:rsidP="008B6CCB">
            <w:r>
              <w:t>Bristol-Myers Squibb SARL</w:t>
            </w:r>
          </w:p>
          <w:p w14:paraId="10150BFC" w14:textId="77777777" w:rsidR="00D02BC8" w:rsidRPr="004F3582" w:rsidRDefault="00D02BC8" w:rsidP="008B6CCB">
            <w:pPr>
              <w:pStyle w:val="EMEATableLeft"/>
              <w:keepNext w:val="0"/>
              <w:keepLines w:val="0"/>
              <w:widowControl w:val="0"/>
            </w:pPr>
            <w:r>
              <w:t>Tél: + 33 (0) 1 58 83 84 96</w:t>
            </w:r>
          </w:p>
          <w:p w14:paraId="12796BD6" w14:textId="77777777" w:rsidR="00D02BC8" w:rsidRPr="004F3582" w:rsidRDefault="00D02BC8" w:rsidP="008B6CCB">
            <w:pPr>
              <w:pStyle w:val="EMEABodyText"/>
              <w:widowControl w:val="0"/>
              <w:rPr>
                <w:smallCaps/>
              </w:rPr>
            </w:pPr>
          </w:p>
        </w:tc>
        <w:tc>
          <w:tcPr>
            <w:tcW w:w="4536" w:type="dxa"/>
          </w:tcPr>
          <w:p w14:paraId="572AA770" w14:textId="77777777" w:rsidR="00D02BC8" w:rsidRPr="0096648A" w:rsidRDefault="00D02BC8" w:rsidP="008B6CCB">
            <w:pPr>
              <w:pStyle w:val="EMEATableLeft"/>
              <w:keepNext w:val="0"/>
              <w:keepLines w:val="0"/>
              <w:widowControl w:val="0"/>
            </w:pPr>
            <w:r>
              <w:rPr>
                <w:b/>
                <w:bCs/>
              </w:rPr>
              <w:t>Portugal</w:t>
            </w:r>
          </w:p>
          <w:p w14:paraId="1A666475" w14:textId="77777777" w:rsidR="00D02BC8" w:rsidRPr="0096648A" w:rsidRDefault="00D02BC8" w:rsidP="008B6CCB">
            <w:pPr>
              <w:pStyle w:val="EMEABodyText"/>
              <w:widowControl w:val="0"/>
            </w:pPr>
            <w:r>
              <w:t>Bristol-Myers Squibb Farmacêutica Portuguesa, S.A.</w:t>
            </w:r>
          </w:p>
          <w:p w14:paraId="65289E24" w14:textId="77777777" w:rsidR="00D02BC8" w:rsidRPr="004F3582" w:rsidRDefault="00D02BC8" w:rsidP="008B6CCB">
            <w:pPr>
              <w:pStyle w:val="EMEATableLeft"/>
              <w:keepNext w:val="0"/>
              <w:keepLines w:val="0"/>
              <w:widowControl w:val="0"/>
            </w:pPr>
            <w:r>
              <w:t>Tel: + 351 21 440 70 00</w:t>
            </w:r>
          </w:p>
          <w:p w14:paraId="6247A969" w14:textId="77777777" w:rsidR="00D02BC8" w:rsidRPr="004F3582" w:rsidRDefault="00D02BC8" w:rsidP="008B6CCB">
            <w:pPr>
              <w:pStyle w:val="EMEATableLeft"/>
              <w:keepNext w:val="0"/>
              <w:keepLines w:val="0"/>
              <w:widowControl w:val="0"/>
            </w:pPr>
          </w:p>
        </w:tc>
      </w:tr>
      <w:tr w:rsidR="00D02BC8" w:rsidRPr="004F3582" w14:paraId="11318998" w14:textId="77777777">
        <w:trPr>
          <w:cantSplit/>
          <w:trHeight w:val="892"/>
        </w:trPr>
        <w:tc>
          <w:tcPr>
            <w:tcW w:w="4536" w:type="dxa"/>
          </w:tcPr>
          <w:p w14:paraId="5FAC59D3" w14:textId="77777777" w:rsidR="00D02BC8" w:rsidRPr="00D31EBB" w:rsidRDefault="00D02BC8" w:rsidP="008B6CCB">
            <w:pPr>
              <w:pStyle w:val="EMEATableLeft"/>
              <w:keepNext w:val="0"/>
              <w:keepLines w:val="0"/>
              <w:widowControl w:val="0"/>
              <w:rPr>
                <w:smallCaps/>
              </w:rPr>
            </w:pPr>
            <w:r>
              <w:rPr>
                <w:b/>
                <w:bCs/>
              </w:rPr>
              <w:t>Hrvatska</w:t>
            </w:r>
          </w:p>
          <w:p w14:paraId="71FED86E" w14:textId="77777777" w:rsidR="00D02BC8" w:rsidRPr="00D31EBB" w:rsidRDefault="00D02BC8" w:rsidP="008B6CCB">
            <w:pPr>
              <w:pStyle w:val="EMEABodyText"/>
              <w:widowControl w:val="0"/>
            </w:pPr>
            <w:r>
              <w:t>Bristol-Myers Squibb spol. s r.o.</w:t>
            </w:r>
          </w:p>
          <w:p w14:paraId="58C1D990" w14:textId="77777777" w:rsidR="00D02BC8" w:rsidRPr="004F3582" w:rsidRDefault="00D02BC8" w:rsidP="008B6CCB">
            <w:pPr>
              <w:pStyle w:val="EMEABodyText"/>
              <w:widowControl w:val="0"/>
              <w:rPr>
                <w:smallCaps/>
              </w:rPr>
            </w:pPr>
            <w:r>
              <w:rPr>
                <w:smallCaps/>
              </w:rPr>
              <w:t>Tel: + 385 1 2078 508</w:t>
            </w:r>
          </w:p>
          <w:p w14:paraId="1FC44ED8" w14:textId="77777777" w:rsidR="00D02BC8" w:rsidRPr="004F3582" w:rsidRDefault="00D02BC8" w:rsidP="008B6CCB">
            <w:pPr>
              <w:pStyle w:val="EMEATableLeft"/>
              <w:keepNext w:val="0"/>
              <w:keepLines w:val="0"/>
              <w:widowControl w:val="0"/>
              <w:rPr>
                <w:b/>
                <w:bCs/>
              </w:rPr>
            </w:pPr>
          </w:p>
        </w:tc>
        <w:tc>
          <w:tcPr>
            <w:tcW w:w="4536" w:type="dxa"/>
          </w:tcPr>
          <w:p w14:paraId="49116CAA" w14:textId="77777777" w:rsidR="00D02BC8" w:rsidRPr="00D31EBB" w:rsidRDefault="00D02BC8" w:rsidP="008B6CCB">
            <w:pPr>
              <w:pStyle w:val="EMEATableLeft"/>
              <w:keepNext w:val="0"/>
              <w:keepLines w:val="0"/>
              <w:widowControl w:val="0"/>
              <w:rPr>
                <w:b/>
                <w:noProof/>
                <w:szCs w:val="22"/>
              </w:rPr>
            </w:pPr>
            <w:r>
              <w:rPr>
                <w:b/>
                <w:bCs/>
              </w:rPr>
              <w:t>România</w:t>
            </w:r>
          </w:p>
          <w:p w14:paraId="3C829870" w14:textId="77777777" w:rsidR="00D02BC8" w:rsidRPr="00D31EBB" w:rsidRDefault="00D02BC8" w:rsidP="008B6CCB">
            <w:pPr>
              <w:pStyle w:val="EMEABodyText"/>
              <w:widowControl w:val="0"/>
            </w:pPr>
            <w:r>
              <w:t>Bristol-Myers Squibb Kft.</w:t>
            </w:r>
          </w:p>
          <w:p w14:paraId="791EE2FE" w14:textId="77777777" w:rsidR="00D02BC8" w:rsidRPr="004F3582" w:rsidRDefault="00D02BC8" w:rsidP="008B6CCB">
            <w:pPr>
              <w:pStyle w:val="EMEATableLeft"/>
              <w:keepNext w:val="0"/>
              <w:keepLines w:val="0"/>
              <w:widowControl w:val="0"/>
            </w:pPr>
            <w:r>
              <w:t>Tel: + 40 (0)21 272 16 00</w:t>
            </w:r>
          </w:p>
          <w:p w14:paraId="30F7101A" w14:textId="77777777" w:rsidR="00D02BC8" w:rsidRPr="004F3582" w:rsidRDefault="00D02BC8" w:rsidP="008B6CCB">
            <w:pPr>
              <w:pStyle w:val="EMEATableLeft"/>
              <w:keepNext w:val="0"/>
              <w:keepLines w:val="0"/>
              <w:widowControl w:val="0"/>
              <w:rPr>
                <w:noProof/>
                <w:szCs w:val="22"/>
              </w:rPr>
            </w:pPr>
          </w:p>
        </w:tc>
      </w:tr>
      <w:tr w:rsidR="00D02BC8" w:rsidRPr="004F3582" w14:paraId="7E3490E6" w14:textId="77777777">
        <w:trPr>
          <w:cantSplit/>
          <w:trHeight w:val="892"/>
        </w:trPr>
        <w:tc>
          <w:tcPr>
            <w:tcW w:w="4536" w:type="dxa"/>
          </w:tcPr>
          <w:p w14:paraId="34783F05" w14:textId="77777777" w:rsidR="00D02BC8" w:rsidRPr="00D31EBB" w:rsidRDefault="00D02BC8" w:rsidP="008B6CCB">
            <w:pPr>
              <w:pStyle w:val="EMEATableLeft"/>
              <w:keepNext w:val="0"/>
              <w:keepLines w:val="0"/>
              <w:widowControl w:val="0"/>
            </w:pPr>
            <w:r>
              <w:rPr>
                <w:b/>
                <w:bCs/>
              </w:rPr>
              <w:t>Ireland</w:t>
            </w:r>
          </w:p>
          <w:p w14:paraId="04168281" w14:textId="77777777" w:rsidR="00D02BC8" w:rsidRPr="00D31EBB" w:rsidRDefault="00D02BC8" w:rsidP="008B6CCB">
            <w:pPr>
              <w:pStyle w:val="EMEABodyText"/>
              <w:widowControl w:val="0"/>
            </w:pPr>
            <w:r>
              <w:t>Bristol-Myers Squibb Pharmaceuticals uc</w:t>
            </w:r>
          </w:p>
          <w:p w14:paraId="6E99409D" w14:textId="77777777" w:rsidR="00D02BC8" w:rsidRPr="00CF4E0B" w:rsidRDefault="00D02BC8" w:rsidP="008B6CCB">
            <w:pPr>
              <w:pStyle w:val="EMEATableLeft"/>
              <w:keepNext w:val="0"/>
              <w:keepLines w:val="0"/>
              <w:widowControl w:val="0"/>
            </w:pPr>
            <w:r>
              <w:t>Tel: + 353 (0)1 483 3625</w:t>
            </w:r>
          </w:p>
          <w:p w14:paraId="0850B841" w14:textId="77777777" w:rsidR="00D02BC8" w:rsidRPr="00CF4E0B" w:rsidRDefault="00D02BC8" w:rsidP="008B6CCB">
            <w:pPr>
              <w:pStyle w:val="EMEATableLeft"/>
              <w:keepNext w:val="0"/>
              <w:keepLines w:val="0"/>
              <w:widowControl w:val="0"/>
            </w:pPr>
          </w:p>
        </w:tc>
        <w:tc>
          <w:tcPr>
            <w:tcW w:w="4536" w:type="dxa"/>
          </w:tcPr>
          <w:p w14:paraId="1BB95AC6" w14:textId="77777777" w:rsidR="00D02BC8" w:rsidRPr="00D31EBB" w:rsidRDefault="00D02BC8" w:rsidP="008B6CCB">
            <w:pPr>
              <w:pStyle w:val="EMEATableLeft"/>
              <w:keepNext w:val="0"/>
              <w:keepLines w:val="0"/>
              <w:widowControl w:val="0"/>
            </w:pPr>
            <w:r>
              <w:rPr>
                <w:b/>
                <w:bCs/>
              </w:rPr>
              <w:t>Slovenija</w:t>
            </w:r>
          </w:p>
          <w:p w14:paraId="30DC2A82" w14:textId="77777777" w:rsidR="00D02BC8" w:rsidRPr="00D31EBB" w:rsidRDefault="00D02BC8" w:rsidP="008B6CCB">
            <w:pPr>
              <w:pStyle w:val="EMEABodyText"/>
              <w:widowControl w:val="0"/>
            </w:pPr>
            <w:r>
              <w:t>Bristol-Myers Squibb spol. s r.o.</w:t>
            </w:r>
          </w:p>
          <w:p w14:paraId="09578922" w14:textId="77777777" w:rsidR="00D02BC8" w:rsidRPr="004F3582" w:rsidRDefault="00D02BC8" w:rsidP="00B10B04">
            <w:pPr>
              <w:pStyle w:val="EMEATableLeft"/>
              <w:keepNext w:val="0"/>
              <w:keepLines w:val="0"/>
              <w:widowControl w:val="0"/>
            </w:pPr>
            <w:r>
              <w:t>Tel: + 386 1 2355 100</w:t>
            </w:r>
          </w:p>
        </w:tc>
      </w:tr>
      <w:tr w:rsidR="00D02BC8" w:rsidRPr="004F3582" w14:paraId="7ECE6596" w14:textId="77777777">
        <w:trPr>
          <w:cantSplit/>
          <w:trHeight w:val="904"/>
        </w:trPr>
        <w:tc>
          <w:tcPr>
            <w:tcW w:w="4536" w:type="dxa"/>
          </w:tcPr>
          <w:p w14:paraId="41A7C68F" w14:textId="77777777" w:rsidR="00D02BC8" w:rsidRPr="00D31EBB" w:rsidRDefault="00D02BC8" w:rsidP="008B6CCB">
            <w:pPr>
              <w:pStyle w:val="EMEATableLeft"/>
              <w:keepNext w:val="0"/>
              <w:keepLines w:val="0"/>
              <w:widowControl w:val="0"/>
            </w:pPr>
            <w:r>
              <w:rPr>
                <w:b/>
                <w:bCs/>
              </w:rPr>
              <w:t>Ísland</w:t>
            </w:r>
          </w:p>
          <w:p w14:paraId="5C79314B" w14:textId="77777777" w:rsidR="00D02BC8" w:rsidRPr="00D31EBB" w:rsidRDefault="009E242A" w:rsidP="008B6CCB">
            <w:pPr>
              <w:pStyle w:val="EMEATableLeft"/>
              <w:keepNext w:val="0"/>
              <w:keepLines w:val="0"/>
              <w:widowControl w:val="0"/>
              <w:rPr>
                <w:szCs w:val="22"/>
              </w:rPr>
            </w:pPr>
            <w:r>
              <w:t>Bristol-Myers Squibb AB hjá Vistor hf.</w:t>
            </w:r>
          </w:p>
          <w:p w14:paraId="3064DFD1" w14:textId="77777777" w:rsidR="00D02BC8" w:rsidRPr="004F3582" w:rsidRDefault="00D02BC8" w:rsidP="008B6CCB">
            <w:pPr>
              <w:pStyle w:val="EMEATableLeft"/>
              <w:keepNext w:val="0"/>
              <w:keepLines w:val="0"/>
              <w:widowControl w:val="0"/>
            </w:pPr>
            <w:r>
              <w:t>Sími: + 354 535 7000</w:t>
            </w:r>
          </w:p>
          <w:p w14:paraId="28EB190A" w14:textId="77777777" w:rsidR="00D02BC8" w:rsidRPr="004F3582" w:rsidRDefault="00D02BC8" w:rsidP="008B6CCB">
            <w:pPr>
              <w:pStyle w:val="EMEATableLeft"/>
              <w:keepNext w:val="0"/>
              <w:keepLines w:val="0"/>
              <w:widowControl w:val="0"/>
            </w:pPr>
          </w:p>
        </w:tc>
        <w:tc>
          <w:tcPr>
            <w:tcW w:w="4536" w:type="dxa"/>
          </w:tcPr>
          <w:p w14:paraId="5E2C4C61" w14:textId="77777777" w:rsidR="00D02BC8" w:rsidRPr="00D31EBB" w:rsidRDefault="00D02BC8" w:rsidP="008B6CCB">
            <w:pPr>
              <w:pStyle w:val="EMEATableLeft"/>
              <w:keepNext w:val="0"/>
              <w:keepLines w:val="0"/>
              <w:widowControl w:val="0"/>
            </w:pPr>
            <w:r>
              <w:rPr>
                <w:b/>
                <w:bCs/>
              </w:rPr>
              <w:t>Slovenská republika</w:t>
            </w:r>
          </w:p>
          <w:p w14:paraId="647B0478" w14:textId="77777777" w:rsidR="00D02BC8" w:rsidRPr="00D31EBB" w:rsidRDefault="00D02BC8" w:rsidP="008B6CCB">
            <w:pPr>
              <w:pStyle w:val="EMEABodyText"/>
              <w:widowControl w:val="0"/>
            </w:pPr>
            <w:r>
              <w:t>Bristol-Myers Squibb spol. s r.o.</w:t>
            </w:r>
          </w:p>
          <w:p w14:paraId="5E676AA0" w14:textId="77777777" w:rsidR="00D02BC8" w:rsidRPr="004F3582" w:rsidRDefault="00D02BC8" w:rsidP="008B6CCB">
            <w:pPr>
              <w:pStyle w:val="EMEATableLeft"/>
              <w:keepNext w:val="0"/>
              <w:keepLines w:val="0"/>
              <w:widowControl w:val="0"/>
            </w:pPr>
            <w:r>
              <w:t>Tel: + 421 2 59298411</w:t>
            </w:r>
          </w:p>
          <w:p w14:paraId="40725FB4" w14:textId="77777777" w:rsidR="00D02BC8" w:rsidRPr="004F3582" w:rsidRDefault="00D02BC8" w:rsidP="008B6CCB">
            <w:pPr>
              <w:pStyle w:val="EMEATableLeft"/>
              <w:keepNext w:val="0"/>
              <w:keepLines w:val="0"/>
              <w:widowControl w:val="0"/>
            </w:pPr>
          </w:p>
        </w:tc>
      </w:tr>
      <w:tr w:rsidR="00D02BC8" w:rsidRPr="004F3582" w14:paraId="288DB93D" w14:textId="77777777">
        <w:trPr>
          <w:cantSplit/>
          <w:trHeight w:val="892"/>
        </w:trPr>
        <w:tc>
          <w:tcPr>
            <w:tcW w:w="4536" w:type="dxa"/>
          </w:tcPr>
          <w:p w14:paraId="4F1C2C98" w14:textId="77777777" w:rsidR="00D02BC8" w:rsidRPr="00D31EBB" w:rsidRDefault="00D02BC8" w:rsidP="008B6CCB">
            <w:pPr>
              <w:pStyle w:val="EMEATableLeft"/>
              <w:keepNext w:val="0"/>
              <w:keepLines w:val="0"/>
              <w:widowControl w:val="0"/>
            </w:pPr>
            <w:r>
              <w:rPr>
                <w:b/>
                <w:bCs/>
              </w:rPr>
              <w:t>Italia</w:t>
            </w:r>
          </w:p>
          <w:p w14:paraId="06E79BDD" w14:textId="77777777" w:rsidR="00D02BC8" w:rsidRPr="00D31EBB" w:rsidRDefault="00D02BC8" w:rsidP="008B6CCB">
            <w:pPr>
              <w:pStyle w:val="EMEABodyText"/>
              <w:widowControl w:val="0"/>
              <w:rPr>
                <w:smallCaps/>
              </w:rPr>
            </w:pPr>
            <w:r>
              <w:rPr>
                <w:smallCaps/>
              </w:rPr>
              <w:t>Bristol-Myers Squibb S.r.l.</w:t>
            </w:r>
          </w:p>
          <w:p w14:paraId="7E531C30" w14:textId="77777777" w:rsidR="00D02BC8" w:rsidRPr="004F3582" w:rsidRDefault="00D02BC8" w:rsidP="008B6CCB">
            <w:pPr>
              <w:pStyle w:val="EMEATableLeft"/>
              <w:keepNext w:val="0"/>
              <w:keepLines w:val="0"/>
              <w:widowControl w:val="0"/>
            </w:pPr>
            <w:r>
              <w:t>Tel: + 39 06 50 39 61</w:t>
            </w:r>
          </w:p>
          <w:p w14:paraId="556D5266" w14:textId="77777777" w:rsidR="00D02BC8" w:rsidRPr="004F3582" w:rsidRDefault="00D02BC8" w:rsidP="008B6CCB">
            <w:pPr>
              <w:pStyle w:val="EMEATableLeft"/>
              <w:keepNext w:val="0"/>
              <w:keepLines w:val="0"/>
              <w:widowControl w:val="0"/>
            </w:pPr>
          </w:p>
        </w:tc>
        <w:tc>
          <w:tcPr>
            <w:tcW w:w="4536" w:type="dxa"/>
          </w:tcPr>
          <w:p w14:paraId="5DFF01B9" w14:textId="77777777" w:rsidR="00D02BC8" w:rsidRPr="004F3582" w:rsidRDefault="00D02BC8" w:rsidP="008B6CCB">
            <w:pPr>
              <w:pStyle w:val="EMEATableLeft"/>
              <w:keepNext w:val="0"/>
              <w:keepLines w:val="0"/>
              <w:widowControl w:val="0"/>
            </w:pPr>
            <w:r>
              <w:rPr>
                <w:b/>
                <w:bCs/>
              </w:rPr>
              <w:t>Suomi/Finland</w:t>
            </w:r>
          </w:p>
          <w:p w14:paraId="1AF1FAEA" w14:textId="77777777" w:rsidR="00D02BC8" w:rsidRPr="004F3582" w:rsidRDefault="00D02BC8" w:rsidP="008B6CCB">
            <w:pPr>
              <w:pStyle w:val="EMEABodyText"/>
              <w:widowControl w:val="0"/>
            </w:pPr>
            <w:r>
              <w:t>Oy Bristol-Myers Squibb (Finland) Ab</w:t>
            </w:r>
          </w:p>
          <w:p w14:paraId="50339B47" w14:textId="77777777" w:rsidR="00D02BC8" w:rsidRPr="004F3582" w:rsidRDefault="00D02BC8" w:rsidP="008B6CCB">
            <w:pPr>
              <w:pStyle w:val="EMEATableLeft"/>
              <w:keepNext w:val="0"/>
              <w:keepLines w:val="0"/>
              <w:widowControl w:val="0"/>
            </w:pPr>
            <w:r>
              <w:t>Puh/Tel: + 358 9 251 21 230</w:t>
            </w:r>
          </w:p>
          <w:p w14:paraId="66D8DC71" w14:textId="77777777" w:rsidR="00D02BC8" w:rsidRPr="004F3582" w:rsidRDefault="00D02BC8" w:rsidP="008B6CCB">
            <w:pPr>
              <w:pStyle w:val="EMEATableLeft"/>
              <w:keepNext w:val="0"/>
              <w:keepLines w:val="0"/>
              <w:widowControl w:val="0"/>
            </w:pPr>
          </w:p>
        </w:tc>
      </w:tr>
      <w:tr w:rsidR="00D02BC8" w:rsidRPr="00965E20" w14:paraId="734F5B93" w14:textId="77777777">
        <w:trPr>
          <w:cantSplit/>
          <w:trHeight w:val="772"/>
        </w:trPr>
        <w:tc>
          <w:tcPr>
            <w:tcW w:w="4536" w:type="dxa"/>
          </w:tcPr>
          <w:p w14:paraId="600818FF" w14:textId="77777777" w:rsidR="00D02BC8" w:rsidRPr="00D31EBB" w:rsidRDefault="00D02BC8" w:rsidP="008B6CCB">
            <w:pPr>
              <w:pStyle w:val="EMEATableLeft"/>
              <w:keepNext w:val="0"/>
              <w:keepLines w:val="0"/>
              <w:widowControl w:val="0"/>
            </w:pPr>
            <w:r>
              <w:rPr>
                <w:b/>
                <w:bCs/>
              </w:rPr>
              <w:t>Κύπρος</w:t>
            </w:r>
          </w:p>
          <w:p w14:paraId="31B3E58D" w14:textId="77777777" w:rsidR="00D02BC8" w:rsidRPr="00D31EBB" w:rsidRDefault="00D02BC8" w:rsidP="008B6CCB">
            <w:pPr>
              <w:pStyle w:val="EMEABodyText"/>
              <w:widowControl w:val="0"/>
            </w:pPr>
            <w:r>
              <w:rPr>
                <w:smallCaps/>
              </w:rPr>
              <w:t>Bristol-Myers Squibb A.E.</w:t>
            </w:r>
          </w:p>
          <w:p w14:paraId="5D7A0FD0" w14:textId="77777777" w:rsidR="00D02BC8" w:rsidRPr="004F3582" w:rsidRDefault="00D02BC8" w:rsidP="008B6CCB">
            <w:pPr>
              <w:pStyle w:val="EMEATableLeft"/>
              <w:keepNext w:val="0"/>
              <w:keepLines w:val="0"/>
              <w:widowControl w:val="0"/>
            </w:pPr>
            <w:r>
              <w:t>Τηλ: + 357 800 92666</w:t>
            </w:r>
          </w:p>
          <w:p w14:paraId="2EBD843E" w14:textId="77777777" w:rsidR="00D02BC8" w:rsidRPr="004F3582" w:rsidRDefault="00D02BC8" w:rsidP="008B6CCB">
            <w:pPr>
              <w:pStyle w:val="EMEATableLeft"/>
              <w:keepNext w:val="0"/>
              <w:keepLines w:val="0"/>
              <w:widowControl w:val="0"/>
            </w:pPr>
          </w:p>
        </w:tc>
        <w:tc>
          <w:tcPr>
            <w:tcW w:w="4536" w:type="dxa"/>
          </w:tcPr>
          <w:p w14:paraId="378704A8" w14:textId="77777777" w:rsidR="00D02BC8" w:rsidRPr="00D31EBB" w:rsidRDefault="00D02BC8" w:rsidP="008B6CCB">
            <w:pPr>
              <w:pStyle w:val="EMEATableLeft"/>
              <w:keepNext w:val="0"/>
              <w:keepLines w:val="0"/>
              <w:widowControl w:val="0"/>
            </w:pPr>
            <w:r>
              <w:rPr>
                <w:b/>
                <w:bCs/>
              </w:rPr>
              <w:t>Sverige</w:t>
            </w:r>
          </w:p>
          <w:p w14:paraId="51CA7B78" w14:textId="77777777" w:rsidR="00D02BC8" w:rsidRPr="00D31EBB" w:rsidRDefault="00D02BC8" w:rsidP="008B6CCB">
            <w:pPr>
              <w:pStyle w:val="EMEABodyText"/>
              <w:widowControl w:val="0"/>
            </w:pPr>
            <w:r>
              <w:t>Bristol-Myers Squibb AB</w:t>
            </w:r>
          </w:p>
          <w:p w14:paraId="5FEF8DA6" w14:textId="77777777" w:rsidR="00D02BC8" w:rsidRPr="00D31EBB" w:rsidRDefault="00D02BC8" w:rsidP="008B6CCB">
            <w:pPr>
              <w:pStyle w:val="EMEATableLeft"/>
              <w:keepNext w:val="0"/>
              <w:keepLines w:val="0"/>
              <w:widowControl w:val="0"/>
            </w:pPr>
            <w:r>
              <w:t>Tel: + 46 8 704 71 00</w:t>
            </w:r>
          </w:p>
          <w:p w14:paraId="0419F818" w14:textId="77777777" w:rsidR="00D02BC8" w:rsidRPr="00D31EBB" w:rsidRDefault="00D02BC8" w:rsidP="008B6CCB">
            <w:pPr>
              <w:pStyle w:val="EMEATableLeft"/>
              <w:keepNext w:val="0"/>
              <w:keepLines w:val="0"/>
              <w:widowControl w:val="0"/>
              <w:rPr>
                <w:lang w:val="en-US"/>
              </w:rPr>
            </w:pPr>
          </w:p>
        </w:tc>
      </w:tr>
      <w:tr w:rsidR="00D02BC8" w:rsidRPr="004F3582" w14:paraId="6458C36A" w14:textId="77777777">
        <w:trPr>
          <w:cantSplit/>
          <w:trHeight w:val="1219"/>
        </w:trPr>
        <w:tc>
          <w:tcPr>
            <w:tcW w:w="4536" w:type="dxa"/>
          </w:tcPr>
          <w:p w14:paraId="467912B5" w14:textId="77777777" w:rsidR="00D02BC8" w:rsidRPr="00D31EBB" w:rsidRDefault="00D02BC8" w:rsidP="008B6CCB">
            <w:pPr>
              <w:pStyle w:val="EMEATableLeft"/>
              <w:keepNext w:val="0"/>
              <w:keepLines w:val="0"/>
              <w:widowControl w:val="0"/>
            </w:pPr>
            <w:r>
              <w:rPr>
                <w:b/>
                <w:bCs/>
              </w:rPr>
              <w:t>Latvija</w:t>
            </w:r>
          </w:p>
          <w:p w14:paraId="2DCF90C8" w14:textId="77777777" w:rsidR="00D02BC8" w:rsidRPr="00D31EBB" w:rsidRDefault="00D02BC8" w:rsidP="008B6CCB">
            <w:pPr>
              <w:pStyle w:val="EMEABodyText"/>
              <w:widowControl w:val="0"/>
            </w:pPr>
            <w:r>
              <w:t>Bristol-Myers Squibb Kft.</w:t>
            </w:r>
          </w:p>
          <w:p w14:paraId="0EF21922" w14:textId="77777777" w:rsidR="00D02BC8" w:rsidRPr="004F3582" w:rsidRDefault="00B10B04" w:rsidP="008B6CCB">
            <w:pPr>
              <w:pStyle w:val="EMEATableLeft"/>
              <w:keepNext w:val="0"/>
              <w:keepLines w:val="0"/>
              <w:widowControl w:val="0"/>
            </w:pPr>
            <w:r>
              <w:t>Tel: + 371 67708347</w:t>
            </w:r>
          </w:p>
          <w:p w14:paraId="78BAE3F9" w14:textId="77777777" w:rsidR="00D02BC8" w:rsidRPr="004F3582" w:rsidRDefault="00D02BC8" w:rsidP="008B6CCB">
            <w:pPr>
              <w:pStyle w:val="EMEATableLeft"/>
              <w:keepNext w:val="0"/>
              <w:keepLines w:val="0"/>
              <w:widowControl w:val="0"/>
            </w:pPr>
          </w:p>
        </w:tc>
        <w:tc>
          <w:tcPr>
            <w:tcW w:w="4536" w:type="dxa"/>
          </w:tcPr>
          <w:p w14:paraId="34C8B142" w14:textId="77777777" w:rsidR="00D02BC8" w:rsidRPr="00D31EBB" w:rsidRDefault="00D02BC8" w:rsidP="008B6CCB">
            <w:pPr>
              <w:pStyle w:val="EMEATableLeft"/>
              <w:keepNext w:val="0"/>
              <w:keepLines w:val="0"/>
              <w:widowControl w:val="0"/>
            </w:pPr>
            <w:r>
              <w:rPr>
                <w:b/>
                <w:bCs/>
              </w:rPr>
              <w:t>United Kingdom</w:t>
            </w:r>
          </w:p>
          <w:p w14:paraId="1244F6BD" w14:textId="77777777" w:rsidR="00D02BC8" w:rsidRPr="00D31EBB" w:rsidRDefault="00D02BC8" w:rsidP="008B6CCB">
            <w:pPr>
              <w:pStyle w:val="EMEABodyText"/>
              <w:widowControl w:val="0"/>
            </w:pPr>
            <w:r>
              <w:t>Bristol-Myers Squibb Pharmaceuticals Ltd</w:t>
            </w:r>
          </w:p>
          <w:p w14:paraId="7ABA6841" w14:textId="77777777" w:rsidR="00D02BC8" w:rsidRPr="004F3582" w:rsidRDefault="00D02BC8" w:rsidP="008B6CCB">
            <w:pPr>
              <w:pStyle w:val="EMEATableLeft"/>
              <w:keepNext w:val="0"/>
              <w:keepLines w:val="0"/>
              <w:widowControl w:val="0"/>
            </w:pPr>
            <w:r>
              <w:t>Tel: + 44 (0800) 731 1736</w:t>
            </w:r>
          </w:p>
          <w:p w14:paraId="5C3E7D46" w14:textId="77777777" w:rsidR="00D02BC8" w:rsidRPr="004F3582" w:rsidRDefault="00D02BC8" w:rsidP="008B6CCB">
            <w:pPr>
              <w:pStyle w:val="EMEATableLeft"/>
              <w:keepNext w:val="0"/>
              <w:keepLines w:val="0"/>
              <w:widowControl w:val="0"/>
            </w:pPr>
          </w:p>
        </w:tc>
      </w:tr>
    </w:tbl>
    <w:p w14:paraId="3C4DA34F" w14:textId="77777777" w:rsidR="00D02BC8" w:rsidRPr="00D31EBB" w:rsidRDefault="00D02BC8" w:rsidP="008B6CCB">
      <w:pPr>
        <w:pStyle w:val="EMEABodyText"/>
      </w:pPr>
      <w:r>
        <w:rPr>
          <w:b/>
        </w:rPr>
        <w:t>This leaflet was last revised in</w:t>
      </w:r>
    </w:p>
    <w:p w14:paraId="097ED376" w14:textId="77777777" w:rsidR="00D02BC8" w:rsidRPr="00D31EBB" w:rsidRDefault="00D02BC8" w:rsidP="008B6CCB">
      <w:pPr>
        <w:pStyle w:val="EMEABodyText"/>
        <w:rPr>
          <w:rFonts w:eastAsia="MS Mincho"/>
          <w:lang w:val="en-US"/>
        </w:rPr>
      </w:pPr>
    </w:p>
    <w:p w14:paraId="61830D76" w14:textId="77777777" w:rsidR="00D02BC8" w:rsidRPr="00D31EBB" w:rsidRDefault="00D02BC8" w:rsidP="008B6CCB">
      <w:pPr>
        <w:pStyle w:val="EMEABodyText"/>
        <w:rPr>
          <w:b/>
          <w:bCs/>
          <w:szCs w:val="22"/>
        </w:rPr>
      </w:pPr>
      <w:r>
        <w:rPr>
          <w:b/>
          <w:bCs/>
          <w:szCs w:val="22"/>
        </w:rPr>
        <w:t>Other sources of information</w:t>
      </w:r>
    </w:p>
    <w:p w14:paraId="7BA85F86" w14:textId="77777777" w:rsidR="00D02BC8" w:rsidRPr="00D31EBB" w:rsidRDefault="00D02BC8" w:rsidP="008B6CCB">
      <w:pPr>
        <w:pStyle w:val="EMEABodyText"/>
        <w:rPr>
          <w:iCs/>
          <w:noProof/>
          <w:lang w:val="en-US"/>
        </w:rPr>
      </w:pPr>
    </w:p>
    <w:p w14:paraId="05659AF5" w14:textId="77777777" w:rsidR="00D02BC8" w:rsidRPr="00D31EBB" w:rsidRDefault="00D02BC8" w:rsidP="008B6CCB">
      <w:pPr>
        <w:pStyle w:val="EMEABodyText"/>
        <w:rPr>
          <w:rFonts w:eastAsia="MS Mincho"/>
        </w:rPr>
      </w:pPr>
      <w:r>
        <w:t>Detailed information on this medicine is available on the European Medicines Agency web site: http://www.ema.europa.eu/.</w:t>
      </w:r>
    </w:p>
    <w:p w14:paraId="25F66579" w14:textId="77777777" w:rsidR="00D02BC8" w:rsidRPr="00D31EBB" w:rsidRDefault="00D02BC8" w:rsidP="008B6CCB">
      <w:pPr>
        <w:pStyle w:val="EMEATitle"/>
        <w:rPr>
          <w:noProof/>
        </w:rPr>
      </w:pPr>
      <w:r>
        <w:br w:type="page"/>
        <w:t>Package leaflet: Information for the user</w:t>
      </w:r>
    </w:p>
    <w:p w14:paraId="789F9CD5" w14:textId="77777777" w:rsidR="00D02BC8" w:rsidRPr="00D31EBB" w:rsidRDefault="00D02BC8" w:rsidP="008B6CCB">
      <w:pPr>
        <w:pStyle w:val="EMEATitle"/>
        <w:rPr>
          <w:noProof/>
          <w:lang w:val="en-US"/>
        </w:rPr>
      </w:pPr>
    </w:p>
    <w:p w14:paraId="1E509B54" w14:textId="77777777" w:rsidR="00D02BC8" w:rsidRPr="00D31EBB" w:rsidRDefault="00D02BC8" w:rsidP="008B6CCB">
      <w:pPr>
        <w:pStyle w:val="EMEABodyText"/>
        <w:jc w:val="center"/>
        <w:rPr>
          <w:b/>
        </w:rPr>
      </w:pPr>
      <w:r>
        <w:rPr>
          <w:b/>
        </w:rPr>
        <w:t>REYATAZ 150 mg hard capsules</w:t>
      </w:r>
    </w:p>
    <w:p w14:paraId="1563BA6A" w14:textId="77777777" w:rsidR="00D02BC8" w:rsidRPr="00D31EBB" w:rsidRDefault="00D02BC8" w:rsidP="008B6CCB">
      <w:pPr>
        <w:pStyle w:val="EMEABodyText"/>
        <w:jc w:val="center"/>
      </w:pPr>
      <w:r>
        <w:t>atazanavir</w:t>
      </w:r>
    </w:p>
    <w:p w14:paraId="2DF32044" w14:textId="77777777" w:rsidR="00D02BC8" w:rsidRPr="00D31EBB" w:rsidRDefault="00D02BC8" w:rsidP="008B6CCB">
      <w:pPr>
        <w:pStyle w:val="EMEABodyText"/>
        <w:jc w:val="center"/>
        <w:rPr>
          <w:b/>
          <w:noProof/>
          <w:lang w:val="en-US"/>
        </w:rPr>
      </w:pPr>
    </w:p>
    <w:p w14:paraId="6329AD8A" w14:textId="77777777" w:rsidR="00D02BC8" w:rsidRPr="00D31EBB" w:rsidRDefault="00D02BC8" w:rsidP="008B6CCB">
      <w:pPr>
        <w:pStyle w:val="EMEABodyText"/>
        <w:rPr>
          <w:b/>
          <w:noProof/>
        </w:rPr>
      </w:pPr>
      <w:r>
        <w:rPr>
          <w:b/>
        </w:rPr>
        <w:t>Read all of this leaflet carefully before you start taking this medicine because it contains important information for you.</w:t>
      </w:r>
    </w:p>
    <w:p w14:paraId="50F362FF" w14:textId="77777777" w:rsidR="00D02BC8" w:rsidRPr="00D31EBB" w:rsidRDefault="00D02BC8" w:rsidP="008C48D0">
      <w:pPr>
        <w:pStyle w:val="EMEABodyTextIndent"/>
        <w:ind w:left="567" w:hanging="567"/>
      </w:pPr>
      <w:r>
        <w:t>Keep this leaflet. You may need to read it again.</w:t>
      </w:r>
    </w:p>
    <w:p w14:paraId="24299EA4" w14:textId="77777777" w:rsidR="00D02BC8" w:rsidRPr="00D31EBB" w:rsidRDefault="00D02BC8" w:rsidP="008C48D0">
      <w:pPr>
        <w:pStyle w:val="EMEABodyTextIndent"/>
        <w:ind w:left="567" w:hanging="567"/>
      </w:pPr>
      <w:r>
        <w:t>If you have any further questions, ask your doctor or pharmacist.</w:t>
      </w:r>
    </w:p>
    <w:p w14:paraId="6BB7B06C" w14:textId="77777777" w:rsidR="00D02BC8" w:rsidRPr="00D31EBB" w:rsidRDefault="00D02BC8" w:rsidP="008C48D0">
      <w:pPr>
        <w:pStyle w:val="EMEABodyTextIndent"/>
        <w:ind w:left="567" w:hanging="567"/>
      </w:pPr>
      <w:r>
        <w:t>This medicine has been prescribed for you only. Do not pass it on to others.</w:t>
      </w:r>
      <w:r>
        <w:br/>
        <w:t>It may harm them, even if their signs of illness are the same as yours.</w:t>
      </w:r>
    </w:p>
    <w:p w14:paraId="00F81DF1" w14:textId="77777777" w:rsidR="00D02BC8" w:rsidRPr="004F3582" w:rsidRDefault="00D02BC8" w:rsidP="008C48D0">
      <w:pPr>
        <w:pStyle w:val="EMEABodyTextIndent"/>
        <w:ind w:left="567" w:hanging="567"/>
        <w:rPr>
          <w:noProof/>
        </w:rPr>
      </w:pPr>
      <w:r>
        <w:t>If you get any side effects talk to your doctor, or pharmacist. This includes any possible side effects not listed in this leaflet. See section 4.</w:t>
      </w:r>
    </w:p>
    <w:p w14:paraId="49A16005" w14:textId="77777777" w:rsidR="00D02BC8" w:rsidRPr="004F3582" w:rsidRDefault="00D02BC8" w:rsidP="008B6CCB">
      <w:pPr>
        <w:pStyle w:val="EMEABodyText"/>
        <w:rPr>
          <w:b/>
          <w:noProof/>
        </w:rPr>
      </w:pPr>
    </w:p>
    <w:p w14:paraId="4EED85DF" w14:textId="77777777" w:rsidR="00D02BC8" w:rsidRPr="004F3582" w:rsidRDefault="00D02BC8" w:rsidP="008B6CCB">
      <w:pPr>
        <w:pStyle w:val="EMEABodyText"/>
      </w:pPr>
      <w:r>
        <w:rPr>
          <w:b/>
        </w:rPr>
        <w:t>What is in this leaflet</w:t>
      </w:r>
    </w:p>
    <w:p w14:paraId="09358A17" w14:textId="77777777" w:rsidR="00D02BC8" w:rsidRPr="004F3582" w:rsidRDefault="00D02BC8" w:rsidP="008B6CCB">
      <w:pPr>
        <w:pStyle w:val="EMEABodyText"/>
      </w:pPr>
    </w:p>
    <w:p w14:paraId="65FF522B" w14:textId="77777777" w:rsidR="00D02BC8" w:rsidRPr="00D31EBB" w:rsidRDefault="00D02BC8" w:rsidP="008B6CCB">
      <w:pPr>
        <w:pStyle w:val="EMEABodyText"/>
      </w:pPr>
      <w:r>
        <w:t>1.</w:t>
      </w:r>
      <w:r>
        <w:tab/>
        <w:t>What REYATAZ is and what it is used for</w:t>
      </w:r>
    </w:p>
    <w:p w14:paraId="0F003635" w14:textId="77777777" w:rsidR="00D02BC8" w:rsidRPr="00D31EBB" w:rsidRDefault="00D02BC8" w:rsidP="008B6CCB">
      <w:pPr>
        <w:pStyle w:val="EMEABodyText"/>
      </w:pPr>
      <w:r>
        <w:t>2.</w:t>
      </w:r>
      <w:r>
        <w:tab/>
        <w:t>What you need to know before you take REYATAZ</w:t>
      </w:r>
    </w:p>
    <w:p w14:paraId="162C4907" w14:textId="77777777" w:rsidR="00D02BC8" w:rsidRPr="00D31EBB" w:rsidRDefault="00D02BC8" w:rsidP="008B6CCB">
      <w:pPr>
        <w:pStyle w:val="EMEABodyText"/>
      </w:pPr>
      <w:r>
        <w:t>3.</w:t>
      </w:r>
      <w:r>
        <w:tab/>
        <w:t>How to take REYATAZ</w:t>
      </w:r>
    </w:p>
    <w:p w14:paraId="3BFA46BE" w14:textId="77777777" w:rsidR="00D02BC8" w:rsidRPr="00D31EBB" w:rsidRDefault="00D02BC8" w:rsidP="008B6CCB">
      <w:pPr>
        <w:pStyle w:val="EMEABodyText"/>
      </w:pPr>
      <w:r>
        <w:t>4.</w:t>
      </w:r>
      <w:r>
        <w:tab/>
        <w:t xml:space="preserve">Possible side effects </w:t>
      </w:r>
    </w:p>
    <w:p w14:paraId="0B78BF84" w14:textId="77777777" w:rsidR="00D02BC8" w:rsidRPr="00D31EBB" w:rsidRDefault="00D02BC8" w:rsidP="008B6CCB">
      <w:pPr>
        <w:pStyle w:val="EMEABodyText"/>
      </w:pPr>
      <w:r>
        <w:t>5.</w:t>
      </w:r>
      <w:r>
        <w:tab/>
        <w:t>How to store REYATAZ</w:t>
      </w:r>
    </w:p>
    <w:p w14:paraId="3257F249" w14:textId="77777777" w:rsidR="00D02BC8" w:rsidRPr="00D31EBB" w:rsidRDefault="00D02BC8" w:rsidP="008B6CCB">
      <w:pPr>
        <w:pStyle w:val="EMEABodyText"/>
      </w:pPr>
      <w:r>
        <w:t>6.</w:t>
      </w:r>
      <w:r>
        <w:tab/>
        <w:t>Contents of the pack and other information</w:t>
      </w:r>
    </w:p>
    <w:p w14:paraId="72F6B15C" w14:textId="77777777" w:rsidR="00D02BC8" w:rsidRPr="00D31EBB" w:rsidRDefault="00D02BC8" w:rsidP="008B6CCB">
      <w:pPr>
        <w:pStyle w:val="EMEABodyText"/>
        <w:rPr>
          <w:b/>
          <w:noProof/>
          <w:lang w:val="en-US"/>
        </w:rPr>
      </w:pPr>
    </w:p>
    <w:p w14:paraId="7CFF0443" w14:textId="77777777" w:rsidR="00D02BC8" w:rsidRPr="00D31EBB" w:rsidRDefault="00D02BC8" w:rsidP="008B6CCB">
      <w:pPr>
        <w:pStyle w:val="EMEABodyText"/>
        <w:rPr>
          <w:noProof/>
          <w:lang w:val="en-US"/>
        </w:rPr>
      </w:pPr>
    </w:p>
    <w:p w14:paraId="5E5389A1" w14:textId="77777777" w:rsidR="00D02BC8" w:rsidRPr="00D31EBB" w:rsidRDefault="00D02BC8" w:rsidP="00D961CF">
      <w:pPr>
        <w:pStyle w:val="EMEAHeading1"/>
      </w:pPr>
      <w:r>
        <w:t>1.</w:t>
      </w:r>
      <w:r>
        <w:tab/>
      </w:r>
      <w:r>
        <w:rPr>
          <w:caps w:val="0"/>
        </w:rPr>
        <w:t>What REYATAZ is and What it is used for</w:t>
      </w:r>
    </w:p>
    <w:p w14:paraId="45D3D91A" w14:textId="77777777" w:rsidR="00D02BC8" w:rsidRPr="00D31EBB" w:rsidRDefault="00D02BC8" w:rsidP="00D961CF">
      <w:pPr>
        <w:pStyle w:val="EMEABodyText"/>
        <w:rPr>
          <w:noProof/>
          <w:lang w:val="en-US"/>
        </w:rPr>
      </w:pPr>
    </w:p>
    <w:p w14:paraId="6B3C9EB2" w14:textId="77777777" w:rsidR="00D02BC8" w:rsidRPr="00D31EBB" w:rsidRDefault="00D02BC8" w:rsidP="008B6CCB">
      <w:pPr>
        <w:pStyle w:val="EMEABodyText"/>
      </w:pPr>
      <w:r>
        <w:rPr>
          <w:b/>
        </w:rPr>
        <w:t xml:space="preserve">REYATAZ is an antiviral (or antiretroviral) medicine. </w:t>
      </w:r>
      <w:r>
        <w:t xml:space="preserve">It is one of a group called </w:t>
      </w:r>
      <w:r>
        <w:rPr>
          <w:i/>
        </w:rPr>
        <w:t>protease inhibitors</w:t>
      </w:r>
      <w:r>
        <w:t>. These medicines control Human Immunodeficiency Virus (HIV) infection by stopping a protein that the HIV needs for its multiplication. They work by reducing the amount of HIV in your body and this in turn, strengthens your immune system. In this way REYATAZ reduces the risk of developing illnesses linked to HIV infection.</w:t>
      </w:r>
    </w:p>
    <w:p w14:paraId="0FA11438" w14:textId="77777777" w:rsidR="00D02BC8" w:rsidRPr="00D31EBB" w:rsidRDefault="00D02BC8" w:rsidP="008B6CCB">
      <w:pPr>
        <w:pStyle w:val="EMEABodyText"/>
        <w:rPr>
          <w:lang w:val="en-US"/>
        </w:rPr>
      </w:pPr>
    </w:p>
    <w:p w14:paraId="31915E12" w14:textId="77777777" w:rsidR="00D02BC8" w:rsidRPr="00D31EBB" w:rsidRDefault="00D02BC8" w:rsidP="008B6CCB">
      <w:pPr>
        <w:pStyle w:val="EMEABodyText"/>
      </w:pPr>
      <w:r>
        <w:t>REYATAZ capsules may be used by adults and children 6 years of age and older. Your doctor has prescribed REYATAZ for you because you are infected by the HIV that causes Acquired Immunodeficiency Syndrome (AIDS). It is normally used in combination with other anti-HIV medicines. Your doctor will discuss with you which combination of these medicines with REYATAZ is best for you.</w:t>
      </w:r>
    </w:p>
    <w:p w14:paraId="30D29515" w14:textId="77777777" w:rsidR="00D02BC8" w:rsidRPr="00D31EBB" w:rsidRDefault="00D02BC8" w:rsidP="008B6CCB">
      <w:pPr>
        <w:pStyle w:val="EMEABodyText"/>
        <w:rPr>
          <w:lang w:val="en-US"/>
        </w:rPr>
      </w:pPr>
    </w:p>
    <w:p w14:paraId="19AE177B" w14:textId="77777777" w:rsidR="00D02BC8" w:rsidRPr="00D31EBB" w:rsidRDefault="00D02BC8" w:rsidP="008B6CCB">
      <w:pPr>
        <w:pStyle w:val="EMEABodyText"/>
        <w:rPr>
          <w:noProof/>
          <w:lang w:val="en-US"/>
        </w:rPr>
      </w:pPr>
    </w:p>
    <w:p w14:paraId="46C77CC9" w14:textId="77777777" w:rsidR="00D02BC8" w:rsidRPr="00D31EBB" w:rsidRDefault="00D02BC8" w:rsidP="00DF39FE">
      <w:pPr>
        <w:pStyle w:val="EMEAHeading1"/>
        <w:rPr>
          <w:bCs/>
          <w:caps w:val="0"/>
        </w:rPr>
      </w:pPr>
      <w:r>
        <w:rPr>
          <w:bCs/>
          <w:caps w:val="0"/>
        </w:rPr>
        <w:t>2.</w:t>
      </w:r>
      <w:r>
        <w:rPr>
          <w:bCs/>
          <w:caps w:val="0"/>
        </w:rPr>
        <w:tab/>
        <w:t>What you need to know before you take REYATAZ</w:t>
      </w:r>
    </w:p>
    <w:p w14:paraId="6E0B0036" w14:textId="77777777" w:rsidR="00D02BC8" w:rsidRPr="00D31EBB" w:rsidRDefault="00D02BC8" w:rsidP="00D961CF">
      <w:pPr>
        <w:pStyle w:val="EMEABodyText"/>
        <w:rPr>
          <w:noProof/>
          <w:lang w:val="en-US"/>
        </w:rPr>
      </w:pPr>
    </w:p>
    <w:p w14:paraId="3714059D" w14:textId="77777777" w:rsidR="00D02BC8" w:rsidRPr="004F3582" w:rsidRDefault="00D02BC8" w:rsidP="008B6CCB">
      <w:pPr>
        <w:pStyle w:val="EMEAHeading2"/>
      </w:pPr>
      <w:r>
        <w:t>Do not take REYATAZ</w:t>
      </w:r>
    </w:p>
    <w:p w14:paraId="16282464" w14:textId="77777777" w:rsidR="00D02BC8" w:rsidRPr="00D31EBB" w:rsidRDefault="00D02BC8" w:rsidP="00211509">
      <w:pPr>
        <w:pStyle w:val="EMEABodyTextIndent"/>
        <w:ind w:left="567" w:hanging="567"/>
      </w:pPr>
      <w:r>
        <w:rPr>
          <w:b/>
        </w:rPr>
        <w:t xml:space="preserve">if you are allergic </w:t>
      </w:r>
      <w:r>
        <w:t>to atazanavir or any of the other ingredients of this medicine (listed in section 6)</w:t>
      </w:r>
    </w:p>
    <w:p w14:paraId="1D08C754" w14:textId="77777777" w:rsidR="00D02BC8" w:rsidRPr="00D31EBB" w:rsidRDefault="00D02BC8" w:rsidP="00C46103">
      <w:pPr>
        <w:pStyle w:val="EMEABodyTextIndent"/>
        <w:ind w:left="567" w:hanging="567"/>
      </w:pPr>
      <w:r>
        <w:rPr>
          <w:b/>
        </w:rPr>
        <w:t xml:space="preserve">if you have moderate to severe liver problems. </w:t>
      </w:r>
      <w:r>
        <w:t>Your doctor will evaluate how severe your liver disease is before deciding whether you can take REYATAZ</w:t>
      </w:r>
    </w:p>
    <w:p w14:paraId="74D3A16D" w14:textId="77777777" w:rsidR="00D02BC8" w:rsidRPr="00D31EBB" w:rsidRDefault="00D02BC8" w:rsidP="00211509">
      <w:pPr>
        <w:pStyle w:val="EMEABodyTextIndent"/>
        <w:ind w:left="567" w:hanging="567"/>
      </w:pPr>
      <w:r>
        <w:rPr>
          <w:b/>
        </w:rPr>
        <w:t xml:space="preserve">if you are taking any of these medicines: </w:t>
      </w:r>
      <w:r>
        <w:t xml:space="preserve">see also </w:t>
      </w:r>
      <w:r>
        <w:rPr>
          <w:i/>
        </w:rPr>
        <w:t>Other medicines and REYATAZ</w:t>
      </w:r>
    </w:p>
    <w:p w14:paraId="75E4D079" w14:textId="77777777" w:rsidR="00D02BC8" w:rsidRPr="00D31EBB" w:rsidRDefault="00D02BC8" w:rsidP="00211509">
      <w:pPr>
        <w:pStyle w:val="EMEABodyTextIndent"/>
        <w:ind w:left="1105" w:hanging="538"/>
      </w:pPr>
      <w:r>
        <w:t>rifampicin (an antibiotic used to treat tuberculosis)</w:t>
      </w:r>
      <w:r>
        <w:rPr>
          <w:color w:val="008000"/>
        </w:rPr>
        <w:t xml:space="preserve"> </w:t>
      </w:r>
    </w:p>
    <w:p w14:paraId="661EB827" w14:textId="77777777" w:rsidR="00D02BC8" w:rsidRPr="00D31EBB" w:rsidRDefault="00D02BC8" w:rsidP="00211509">
      <w:pPr>
        <w:pStyle w:val="EMEABodyTextIndent"/>
        <w:ind w:left="1105" w:hanging="538"/>
      </w:pPr>
      <w:r>
        <w:t>astemizole or terfenadine (commonly used to treat allergy symptoms, these medicines may be available without prescription); cisapride (used to treat gastric reflux, sometimes called heartburn); pimozide (used to treat schizophrenia); quinidine or bepridil (used to correct heart rhythm); ergotamine, dihydroergotamine, ergonovine, methylergonovine (used to treat headaches); and alfuzosin (used to treat enlarged prostatic gland)</w:t>
      </w:r>
    </w:p>
    <w:p w14:paraId="438B964C" w14:textId="77777777" w:rsidR="00D02BC8" w:rsidRPr="00D31EBB" w:rsidRDefault="00D02BC8" w:rsidP="003942A6">
      <w:pPr>
        <w:pStyle w:val="EMEABodyTextIndent"/>
        <w:ind w:left="1105" w:hanging="538"/>
      </w:pPr>
      <w:r>
        <w:t>quetiapine (used to treat schizophrenia, bipolar disorder and major depressive disorder); lurasidone (used to treat schizophrenia)</w:t>
      </w:r>
    </w:p>
    <w:p w14:paraId="5D11AB30" w14:textId="77777777" w:rsidR="00D02BC8" w:rsidRPr="00D31EBB" w:rsidRDefault="00D02BC8" w:rsidP="00211509">
      <w:pPr>
        <w:pStyle w:val="EMEABodyTextIndent"/>
        <w:ind w:left="1105" w:hanging="538"/>
      </w:pPr>
      <w:r>
        <w:t>medicines containing St. John’s wort</w:t>
      </w:r>
      <w:r>
        <w:rPr>
          <w:i/>
        </w:rPr>
        <w:t xml:space="preserve"> (Hypericum perforatum</w:t>
      </w:r>
      <w:r>
        <w:t>, a herbal preparation)</w:t>
      </w:r>
    </w:p>
    <w:p w14:paraId="09E13884" w14:textId="77777777" w:rsidR="00D02BC8" w:rsidRPr="00D31EBB" w:rsidRDefault="00D02BC8" w:rsidP="003942A6">
      <w:pPr>
        <w:pStyle w:val="EMEABodyTextIndent"/>
        <w:ind w:left="1105" w:hanging="538"/>
      </w:pPr>
      <w:r>
        <w:t>triazolam and oral (taken by mouth) midazolam (used to help you sleep and/or to relieve anxiety)</w:t>
      </w:r>
    </w:p>
    <w:p w14:paraId="2041DEE5" w14:textId="77777777" w:rsidR="00D02BC8" w:rsidRPr="00D31EBB" w:rsidRDefault="00D02BC8" w:rsidP="003942A6">
      <w:pPr>
        <w:pStyle w:val="EMEABodyTextIndent"/>
        <w:ind w:left="1105" w:hanging="538"/>
      </w:pPr>
      <w:r>
        <w:t>simvastatin and lovastatin (used to lower blood cholesterol).</w:t>
      </w:r>
    </w:p>
    <w:p w14:paraId="1A10C0D9" w14:textId="77777777" w:rsidR="003D0B02" w:rsidRPr="00D31EBB" w:rsidRDefault="003D0B02" w:rsidP="003D0B02">
      <w:pPr>
        <w:pStyle w:val="EMEABodyTextIndent"/>
        <w:ind w:left="1105" w:hanging="538"/>
      </w:pPr>
      <w:r>
        <w:t>grazoprevir-containing products, including elbasvir/grazoprevir fixed dose combination, and glecaprevir/pibrentasvir fixed dose combination (used to treat chronic hepatitis C infection)</w:t>
      </w:r>
    </w:p>
    <w:p w14:paraId="0FC30D84" w14:textId="77777777" w:rsidR="00D02BC8" w:rsidRPr="00D31EBB" w:rsidRDefault="00D02BC8" w:rsidP="008B6CCB">
      <w:pPr>
        <w:pStyle w:val="EMEABodyText"/>
        <w:rPr>
          <w:lang w:val="en-US"/>
        </w:rPr>
      </w:pPr>
    </w:p>
    <w:p w14:paraId="48EA3BC6" w14:textId="77777777" w:rsidR="00D02BC8" w:rsidRPr="00D31EBB" w:rsidRDefault="00D02BC8" w:rsidP="008B6CCB">
      <w:pPr>
        <w:pStyle w:val="EMEABodyText"/>
      </w:pPr>
      <w:r>
        <w:t>Do not take sildenafil with REYATAZ when sildenafil is used for the treatment of pulmonary arterial hypertension. Sildenafil is also used for the treatment of erectile dysfunction. Tell your doctor if you are using sildenafil for the treatment of erectile dysfunction.</w:t>
      </w:r>
    </w:p>
    <w:p w14:paraId="5D03E4F5" w14:textId="77777777" w:rsidR="00D02BC8" w:rsidRPr="00D31EBB" w:rsidRDefault="00D02BC8" w:rsidP="008B6CCB">
      <w:pPr>
        <w:pStyle w:val="EMEABodyText"/>
        <w:rPr>
          <w:lang w:val="en-US"/>
        </w:rPr>
      </w:pPr>
    </w:p>
    <w:p w14:paraId="79737686" w14:textId="77777777" w:rsidR="00D02BC8" w:rsidRPr="00D31EBB" w:rsidRDefault="00D02BC8" w:rsidP="008B6CCB">
      <w:pPr>
        <w:pStyle w:val="EMEABodyText"/>
      </w:pPr>
      <w:r>
        <w:t>Tell your doctor at once if any of these apply to you.</w:t>
      </w:r>
    </w:p>
    <w:p w14:paraId="5D96E59E" w14:textId="77777777" w:rsidR="00D02BC8" w:rsidRPr="00D31EBB" w:rsidRDefault="00D02BC8" w:rsidP="008B6CCB">
      <w:pPr>
        <w:pStyle w:val="EMEABodyText"/>
        <w:rPr>
          <w:b/>
          <w:noProof/>
          <w:lang w:val="en-US"/>
        </w:rPr>
      </w:pPr>
    </w:p>
    <w:p w14:paraId="00F3D0D1" w14:textId="77777777" w:rsidR="00D02BC8" w:rsidRPr="00D31EBB" w:rsidRDefault="00D02BC8" w:rsidP="008B6CCB">
      <w:pPr>
        <w:pStyle w:val="EMEAHeading2"/>
        <w:rPr>
          <w:noProof/>
        </w:rPr>
      </w:pPr>
      <w:r>
        <w:t>Warnings and precautions</w:t>
      </w:r>
    </w:p>
    <w:p w14:paraId="249EA36A" w14:textId="77777777" w:rsidR="0000712C" w:rsidRPr="00D31EBB" w:rsidRDefault="0000712C" w:rsidP="0000712C">
      <w:pPr>
        <w:pStyle w:val="EMEABodyText"/>
        <w:rPr>
          <w:lang w:val="en-US"/>
        </w:rPr>
      </w:pPr>
    </w:p>
    <w:p w14:paraId="74EFE9E7" w14:textId="77777777" w:rsidR="0000712C" w:rsidRPr="00D31EBB" w:rsidRDefault="0000712C" w:rsidP="0000712C">
      <w:pPr>
        <w:pStyle w:val="EMEABodyText"/>
      </w:pPr>
      <w:r>
        <w:rPr>
          <w:b/>
        </w:rPr>
        <w:t xml:space="preserve">REYATAZ is not a cure for HIV infection. </w:t>
      </w:r>
      <w:r>
        <w:t>You may continue to develop infections or other illnesses linked to HIV infection. You can still pass on HIV when taking this medicine, although the risk is lowered by effective antiretroviral therapy. Discuss with your doctor the precautions needed to avoid infecting other people.</w:t>
      </w:r>
    </w:p>
    <w:p w14:paraId="32ED4ACD" w14:textId="77777777" w:rsidR="0000712C" w:rsidRPr="00D31EBB" w:rsidRDefault="0000712C" w:rsidP="0000712C">
      <w:pPr>
        <w:pStyle w:val="EMEABodyText"/>
        <w:rPr>
          <w:lang w:val="en-US"/>
        </w:rPr>
      </w:pPr>
    </w:p>
    <w:p w14:paraId="545B70B7" w14:textId="77777777" w:rsidR="00D02BC8" w:rsidRPr="00D31EBB" w:rsidRDefault="00D02BC8" w:rsidP="008B6CCB">
      <w:pPr>
        <w:pStyle w:val="EMEABodyText"/>
      </w:pPr>
      <w:r>
        <w:t>Some people will need special care before or while taking REYATAZ. Talk to your doctor or pharmacist before taking REYATAZ and make sure your doctor knows:</w:t>
      </w:r>
    </w:p>
    <w:p w14:paraId="52FFF8F1" w14:textId="77777777" w:rsidR="00D02BC8" w:rsidRPr="00D31EBB" w:rsidRDefault="00D02BC8" w:rsidP="00C46103">
      <w:pPr>
        <w:pStyle w:val="EMEABodyTextIndent"/>
        <w:ind w:left="426" w:hanging="426"/>
      </w:pPr>
      <w:r>
        <w:t>if you have hepatitis B or C</w:t>
      </w:r>
    </w:p>
    <w:p w14:paraId="40FE14EF" w14:textId="77777777" w:rsidR="0000712C" w:rsidRPr="00D31EBB" w:rsidRDefault="0000712C" w:rsidP="002204B5">
      <w:pPr>
        <w:pStyle w:val="EMEABodyTextIndent"/>
        <w:ind w:left="426" w:hanging="426"/>
        <w:rPr>
          <w:i/>
        </w:rPr>
      </w:pPr>
      <w:r>
        <w:t>if you develop signs or symptoms of gall stones (pain at the right side of your stomach)</w:t>
      </w:r>
    </w:p>
    <w:p w14:paraId="6E75F76D" w14:textId="77777777" w:rsidR="00D02BC8" w:rsidRPr="00D31EBB" w:rsidRDefault="00D02BC8" w:rsidP="00C46103">
      <w:pPr>
        <w:pStyle w:val="EMEABodyTextIndent"/>
        <w:ind w:left="426" w:hanging="426"/>
      </w:pPr>
      <w:r>
        <w:t>if you have type A or B haemophilia</w:t>
      </w:r>
    </w:p>
    <w:p w14:paraId="3EA2124D" w14:textId="77777777" w:rsidR="00D02BC8" w:rsidRPr="004F3582" w:rsidRDefault="00D02BC8" w:rsidP="00C46103">
      <w:pPr>
        <w:pStyle w:val="EMEABodyTextIndent"/>
        <w:ind w:left="426" w:hanging="426"/>
      </w:pPr>
      <w:r>
        <w:t>if you require haemodialysis</w:t>
      </w:r>
    </w:p>
    <w:p w14:paraId="6AA4D7A1" w14:textId="77777777" w:rsidR="00D02BC8" w:rsidRPr="004F3582" w:rsidRDefault="00D02BC8" w:rsidP="008B6CCB">
      <w:pPr>
        <w:pStyle w:val="EMEABodyText"/>
      </w:pPr>
    </w:p>
    <w:p w14:paraId="50F13C84" w14:textId="77777777" w:rsidR="00EF4F14" w:rsidRPr="00D31EBB" w:rsidRDefault="00EF4F14" w:rsidP="00EF4F14">
      <w:pPr>
        <w:pStyle w:val="EMEABodyText"/>
      </w:pPr>
      <w:r>
        <w:t>REYATAZ may affect how well your kidneys work.</w:t>
      </w:r>
    </w:p>
    <w:p w14:paraId="51AB658D" w14:textId="77777777" w:rsidR="00EF4F14" w:rsidRPr="00D31EBB" w:rsidRDefault="00EF4F14" w:rsidP="008B6CCB">
      <w:pPr>
        <w:pStyle w:val="EMEABodyText"/>
        <w:rPr>
          <w:lang w:val="en-US"/>
        </w:rPr>
      </w:pPr>
    </w:p>
    <w:p w14:paraId="3763A4A5" w14:textId="77777777" w:rsidR="00D02BC8" w:rsidRPr="00D31EBB" w:rsidRDefault="00D02BC8" w:rsidP="008B6CCB">
      <w:pPr>
        <w:pStyle w:val="EMEABodyText"/>
      </w:pPr>
      <w:r>
        <w:t>Kidney stones have been reported in patients taking REYATAZ. If you develop signs or symptoms of kidney stones (pain in your side, blood in your urine, pain when you urinate), please inform your doctor immediately.</w:t>
      </w:r>
    </w:p>
    <w:p w14:paraId="04B0204B" w14:textId="77777777" w:rsidR="00D02BC8" w:rsidRPr="00D31EBB" w:rsidRDefault="00D02BC8" w:rsidP="008B6CCB">
      <w:pPr>
        <w:pStyle w:val="EMEABodyText"/>
        <w:rPr>
          <w:lang w:val="en-US"/>
        </w:rPr>
      </w:pPr>
    </w:p>
    <w:p w14:paraId="73D38242" w14:textId="77777777" w:rsidR="00D02BC8" w:rsidRPr="00D31EBB" w:rsidRDefault="00D02BC8" w:rsidP="008B6CCB">
      <w:pPr>
        <w:pStyle w:val="EMEABodyText"/>
      </w:pPr>
      <w:r>
        <w:t>In some patients with advanced HIV infection (AIDS) and a history of opportunistic infection, signs and symptoms of inflammation from previous infections may occur soon after anti-HIV treatment is started. It is believed that these symptoms are due to an improvement in the body’s immune response, enabling the body to fight infections that may have been present with no obvious symptoms. If you notice any symptoms of infection, please inform your doctor immediately. 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hands and feet and moving up towards the trunk of the body, palpitations, tremor or hyperactivity, please inform your doctor immediately to seek necessary treatment.</w:t>
      </w:r>
    </w:p>
    <w:p w14:paraId="143913D7" w14:textId="77777777" w:rsidR="00D02BC8" w:rsidRPr="00D31EBB" w:rsidRDefault="00D02BC8" w:rsidP="008B6CCB">
      <w:pPr>
        <w:pStyle w:val="EMEABodyText"/>
        <w:rPr>
          <w:noProof/>
          <w:lang w:val="en-US"/>
        </w:rPr>
      </w:pPr>
    </w:p>
    <w:p w14:paraId="6CBAEE4D" w14:textId="77777777" w:rsidR="00D02BC8" w:rsidRPr="00D31EBB" w:rsidRDefault="00D02BC8" w:rsidP="008B6CCB">
      <w:pPr>
        <w:pStyle w:val="EMEABodyText"/>
      </w:pPr>
      <w:r>
        <w:t>Some patients taking combination antiretroviral therapy may develop a bone disease called osteonecrosis (death of bone tissue caused by loss of blood supply to the bone). The length of combination antiretroviral therapy, corticosteroid use, alcohol consumption, severe immunosuppression, higher body mass index, among others, may be some of the many risk factors for developing this disease. Signs of osteonecrosis are joint stiffness, aches and pains (especially of the hip, knee and shoulder) and difficulty in movement. If you notice any of these symptoms please inform your doctor.</w:t>
      </w:r>
    </w:p>
    <w:p w14:paraId="5A54FFF3" w14:textId="77777777" w:rsidR="002A25E4" w:rsidRPr="00D31EBB" w:rsidRDefault="002A25E4" w:rsidP="008B6CCB">
      <w:pPr>
        <w:pStyle w:val="EMEABodyText"/>
        <w:rPr>
          <w:lang w:val="en-US"/>
        </w:rPr>
      </w:pPr>
    </w:p>
    <w:p w14:paraId="09EBF069" w14:textId="77777777" w:rsidR="00D02BC8" w:rsidRPr="00D31EBB" w:rsidRDefault="00D02BC8" w:rsidP="008B6CCB">
      <w:pPr>
        <w:pStyle w:val="EMEABodyText"/>
      </w:pPr>
      <w:r>
        <w:t>Hyperbilirubinaemia (an increase in the level of bilirubin in the blood) has occurred in patients receiving REYATAZ. The signs may be a mild yellowing of the skin or eyes. If you notice any of these symptoms please inform your doctor.</w:t>
      </w:r>
    </w:p>
    <w:p w14:paraId="3B72AB89" w14:textId="77777777" w:rsidR="00D02BC8" w:rsidRPr="00D31EBB" w:rsidRDefault="00D02BC8" w:rsidP="008B6CCB">
      <w:pPr>
        <w:pStyle w:val="EMEABodyText"/>
        <w:rPr>
          <w:lang w:val="en-US"/>
        </w:rPr>
      </w:pPr>
    </w:p>
    <w:p w14:paraId="392B73DF" w14:textId="77777777" w:rsidR="00D02BC8" w:rsidRPr="00D31EBB" w:rsidRDefault="00D02BC8" w:rsidP="008B6CCB">
      <w:pPr>
        <w:pStyle w:val="EMEABodyText"/>
        <w:rPr>
          <w:noProof/>
        </w:rPr>
      </w:pPr>
      <w:r>
        <w:t>Serious skin rash, including Stevens-Johnson syndrome, has been reported in patients taking REYATAZ. If you develop a rash inform your doctor immediately.</w:t>
      </w:r>
    </w:p>
    <w:p w14:paraId="53090854" w14:textId="77777777" w:rsidR="00D02BC8" w:rsidRPr="00D31EBB" w:rsidRDefault="00D02BC8" w:rsidP="008B6CCB">
      <w:pPr>
        <w:pStyle w:val="EMEABodyText"/>
        <w:rPr>
          <w:noProof/>
          <w:lang w:val="en-US"/>
        </w:rPr>
      </w:pPr>
    </w:p>
    <w:p w14:paraId="1C9161F3" w14:textId="77777777" w:rsidR="0032030D" w:rsidRPr="00D31EBB" w:rsidRDefault="00D02BC8" w:rsidP="0032030D">
      <w:pPr>
        <w:pStyle w:val="EMEABodyText"/>
      </w:pPr>
      <w:r>
        <w:t>If you notice a change in the way your heart beats (heart rhythm changes), please inform your doctor. Children receiving REYATAZ may require their heart to be monitored. Your child's doctor will decide this.</w:t>
      </w:r>
    </w:p>
    <w:p w14:paraId="10675C2E" w14:textId="77777777" w:rsidR="00D02BC8" w:rsidRPr="00D31EBB" w:rsidRDefault="00D02BC8" w:rsidP="008B6CCB">
      <w:pPr>
        <w:pStyle w:val="EMEABodyText"/>
        <w:rPr>
          <w:noProof/>
          <w:lang w:val="en-US"/>
        </w:rPr>
      </w:pPr>
    </w:p>
    <w:p w14:paraId="68480D53" w14:textId="77777777" w:rsidR="00D02BC8" w:rsidRPr="00D31EBB" w:rsidRDefault="00D02BC8" w:rsidP="008B6CCB">
      <w:pPr>
        <w:pStyle w:val="EMEABodyText"/>
        <w:rPr>
          <w:b/>
          <w:noProof/>
        </w:rPr>
      </w:pPr>
      <w:r>
        <w:rPr>
          <w:b/>
        </w:rPr>
        <w:t>Children</w:t>
      </w:r>
    </w:p>
    <w:p w14:paraId="2F342755" w14:textId="77777777" w:rsidR="0032030D" w:rsidRPr="00D31EBB" w:rsidRDefault="0032030D" w:rsidP="0032030D">
      <w:pPr>
        <w:pStyle w:val="EMEABodyText"/>
        <w:rPr>
          <w:dstrike/>
          <w:noProof/>
        </w:rPr>
      </w:pPr>
      <w:r>
        <w:rPr>
          <w:b/>
        </w:rPr>
        <w:t>Do not give this medicine to children</w:t>
      </w:r>
      <w:r>
        <w:t xml:space="preserve"> younger than 3 months of age and weighing less than 5 kg. The use of REYATAZ in children less than 3 months of age and weighing less than 5 kg has not been studied due to the risk of serious complications.</w:t>
      </w:r>
    </w:p>
    <w:p w14:paraId="7ED5BD38" w14:textId="77777777" w:rsidR="00D02BC8" w:rsidRPr="00D31EBB" w:rsidRDefault="00D02BC8" w:rsidP="008B6CCB">
      <w:pPr>
        <w:pStyle w:val="EMEABodyText"/>
        <w:rPr>
          <w:b/>
          <w:noProof/>
          <w:lang w:val="en-US"/>
        </w:rPr>
      </w:pPr>
    </w:p>
    <w:p w14:paraId="68C90946" w14:textId="77777777" w:rsidR="00D02BC8" w:rsidRPr="00D31EBB" w:rsidRDefault="00D02BC8" w:rsidP="008B6CCB">
      <w:pPr>
        <w:pStyle w:val="EMEAHeading2"/>
        <w:rPr>
          <w:noProof/>
        </w:rPr>
      </w:pPr>
      <w:r>
        <w:t>Other medicines and REYATAZ</w:t>
      </w:r>
    </w:p>
    <w:p w14:paraId="0375AD0F" w14:textId="77777777" w:rsidR="00D02BC8" w:rsidRPr="00D31EBB" w:rsidRDefault="00D02BC8" w:rsidP="008B6CCB">
      <w:pPr>
        <w:pStyle w:val="EMEABodyText"/>
      </w:pPr>
      <w:r>
        <w:rPr>
          <w:b/>
        </w:rPr>
        <w:t>You must not take REYATAZ with certain medicines.</w:t>
      </w:r>
      <w:r>
        <w:t xml:space="preserve"> These are listed under Do not take REYATAZ, at the start of Section 2. </w:t>
      </w:r>
    </w:p>
    <w:p w14:paraId="547CB7C5" w14:textId="77777777" w:rsidR="00D02BC8" w:rsidRPr="00D31EBB" w:rsidRDefault="00D02BC8" w:rsidP="008B6CCB">
      <w:pPr>
        <w:pStyle w:val="EMEABodyText"/>
        <w:rPr>
          <w:lang w:val="en-US"/>
        </w:rPr>
      </w:pPr>
    </w:p>
    <w:p w14:paraId="4FA2D78F" w14:textId="77777777" w:rsidR="00D02BC8" w:rsidRPr="004F3582" w:rsidRDefault="00D02BC8" w:rsidP="008B6CCB">
      <w:pPr>
        <w:pStyle w:val="EMEABodyText"/>
      </w:pPr>
      <w:r>
        <w:t>There are other medicines that may not mix with REYATAZ. Tell your doctor if you are taking, have recently taken, or might take any other medicines. It is especially important to mention these:</w:t>
      </w:r>
    </w:p>
    <w:p w14:paraId="35345E5E" w14:textId="77777777" w:rsidR="00D02BC8" w:rsidRPr="00D31EBB" w:rsidRDefault="00D02BC8" w:rsidP="00826E45">
      <w:pPr>
        <w:pStyle w:val="EMEABodyTextIndent"/>
        <w:ind w:left="426" w:hanging="426"/>
        <w:rPr>
          <w:i/>
        </w:rPr>
      </w:pPr>
      <w:r>
        <w:t>other medicines to treat HIV infection (e.g. indinavir, nevirapine and efavirenz)</w:t>
      </w:r>
    </w:p>
    <w:p w14:paraId="351518B0" w14:textId="77777777" w:rsidR="00D02BC8" w:rsidRPr="00D31EBB" w:rsidRDefault="00D02BC8" w:rsidP="00826E45">
      <w:pPr>
        <w:pStyle w:val="EMEABodyTextIndent"/>
        <w:ind w:left="426" w:hanging="426"/>
      </w:pPr>
      <w:r>
        <w:t>boceprevir and sofosbuvir/velpatasvir/voxilaprevir (used to treat hepatitis C)</w:t>
      </w:r>
    </w:p>
    <w:p w14:paraId="0560D7EE" w14:textId="77777777" w:rsidR="00D02BC8" w:rsidRPr="00D31EBB" w:rsidRDefault="00D02BC8" w:rsidP="00826E45">
      <w:pPr>
        <w:pStyle w:val="EMEABodyTextIndent"/>
        <w:ind w:left="426" w:hanging="426"/>
      </w:pPr>
      <w:r>
        <w:t xml:space="preserve">sildenafil, vardenafil, or tadalafil (used by men to treat impotence (erectile dysfunction)) </w:t>
      </w:r>
    </w:p>
    <w:p w14:paraId="6F487D94" w14:textId="77777777" w:rsidR="00D02BC8" w:rsidRPr="00D31EBB" w:rsidRDefault="00D02BC8" w:rsidP="00826E45">
      <w:pPr>
        <w:pStyle w:val="EMEABodyTextIndent"/>
        <w:ind w:left="426" w:hanging="426"/>
      </w:pPr>
      <w:r>
        <w:t>if you are taking an oral contraceptive (</w:t>
      </w:r>
      <w:r>
        <w:rPr>
          <w:b/>
        </w:rPr>
        <w:t>"the Pill"</w:t>
      </w:r>
      <w:r>
        <w:t>) with REYATAZ to prevent pregnancy, be sure to take it exactly as instructed by your doctor and not miss any doses</w:t>
      </w:r>
    </w:p>
    <w:p w14:paraId="4B0698D7" w14:textId="77777777" w:rsidR="00D02BC8" w:rsidRPr="00D31EBB" w:rsidRDefault="00D02BC8" w:rsidP="00826E45">
      <w:pPr>
        <w:pStyle w:val="EMEABodyTextIndent"/>
        <w:ind w:left="426" w:hanging="426"/>
      </w:pPr>
      <w:r>
        <w:t>any medicines used to treat diseases related to the acid in the stomach (e.g. antacids to be taken 1 hour before taking REYATAZ or 2 hours after taking REYATAZ, H</w:t>
      </w:r>
      <w:r>
        <w:rPr>
          <w:vertAlign w:val="subscript"/>
        </w:rPr>
        <w:t>2</w:t>
      </w:r>
      <w:r>
        <w:t>-blockers like famotidine and proton pump inhibitors like omeprazole)</w:t>
      </w:r>
    </w:p>
    <w:p w14:paraId="57225688" w14:textId="77777777" w:rsidR="0032030D" w:rsidRPr="00D31EBB" w:rsidRDefault="00D02BC8" w:rsidP="00826E45">
      <w:pPr>
        <w:pStyle w:val="EMEABodyTextIndent"/>
        <w:ind w:left="426" w:hanging="426"/>
        <w:rPr>
          <w:i/>
        </w:rPr>
      </w:pPr>
      <w:r>
        <w:t>medicines to lower blood pressure, to slow heart rate, or to correct heart rhythm (amiodarone, diltiazem, systemic lidocaine, verapamil)</w:t>
      </w:r>
    </w:p>
    <w:p w14:paraId="5B5E84DC" w14:textId="77777777" w:rsidR="00D02BC8" w:rsidRPr="00D31EBB" w:rsidRDefault="00D02BC8" w:rsidP="00826E45">
      <w:pPr>
        <w:pStyle w:val="EMEABodyTextIndent"/>
        <w:ind w:left="426" w:hanging="426"/>
      </w:pPr>
      <w:r>
        <w:t>atorvastatin, pravastatin, and fluvastatin (used to lower blood cholesterol)</w:t>
      </w:r>
    </w:p>
    <w:p w14:paraId="541BC383" w14:textId="77777777" w:rsidR="00D02BC8" w:rsidRPr="00D31EBB" w:rsidRDefault="00D02BC8" w:rsidP="00826E45">
      <w:pPr>
        <w:pStyle w:val="EMEABodyTextIndent"/>
        <w:ind w:left="426" w:hanging="426"/>
      </w:pPr>
      <w:r>
        <w:t>salmeterol (used to treat asthma)</w:t>
      </w:r>
    </w:p>
    <w:p w14:paraId="48285F64" w14:textId="77777777" w:rsidR="00D02BC8" w:rsidRPr="00D31EBB" w:rsidRDefault="00D02BC8" w:rsidP="00826E45">
      <w:pPr>
        <w:pStyle w:val="EMEABodyTextIndent"/>
        <w:ind w:left="426" w:hanging="426"/>
      </w:pPr>
      <w:r>
        <w:t>cyclosporin, tacrolimus, and sirolimus (medicines to decrease the effects of body's immune system)</w:t>
      </w:r>
    </w:p>
    <w:p w14:paraId="4FE06142" w14:textId="77777777" w:rsidR="00D02BC8" w:rsidRPr="004F3582" w:rsidRDefault="00D02BC8" w:rsidP="00826E45">
      <w:pPr>
        <w:pStyle w:val="EMEABodyTextIndent"/>
        <w:ind w:left="426" w:hanging="426"/>
      </w:pPr>
      <w:r>
        <w:t>certain antibiotics (rifabutin, clarithromycin)</w:t>
      </w:r>
    </w:p>
    <w:p w14:paraId="6E000A53" w14:textId="77777777" w:rsidR="00D02BC8" w:rsidRPr="004F3582" w:rsidRDefault="00D02BC8" w:rsidP="00826E45">
      <w:pPr>
        <w:pStyle w:val="EMEABodyTextIndent"/>
        <w:ind w:left="426" w:hanging="426"/>
      </w:pPr>
      <w:r>
        <w:t>ketoconazole, itraconazole, and voriconazole (antifungals)</w:t>
      </w:r>
    </w:p>
    <w:p w14:paraId="1298FAD5" w14:textId="77777777" w:rsidR="00D02BC8" w:rsidRPr="00D31EBB" w:rsidRDefault="00D02BC8" w:rsidP="00826E45">
      <w:pPr>
        <w:pStyle w:val="EMEABodyTextIndent"/>
        <w:ind w:left="426" w:hanging="426"/>
      </w:pPr>
      <w:r>
        <w:t>warfarin (anticoagulant, used to reduce the blood clots)</w:t>
      </w:r>
    </w:p>
    <w:p w14:paraId="11DB676B" w14:textId="77777777" w:rsidR="00D02BC8" w:rsidRPr="004F3582" w:rsidRDefault="00D02BC8" w:rsidP="00826E45">
      <w:pPr>
        <w:pStyle w:val="EMEABodyTextIndent"/>
        <w:ind w:left="426" w:hanging="426"/>
      </w:pPr>
      <w:r>
        <w:t>carbamazepine, phenytoin, phenobarbital, lamotrigine (antiepileptics)</w:t>
      </w:r>
    </w:p>
    <w:p w14:paraId="291B2387" w14:textId="77777777" w:rsidR="00D02BC8" w:rsidRPr="00D31EBB" w:rsidRDefault="00D02BC8" w:rsidP="00826E45">
      <w:pPr>
        <w:pStyle w:val="EMEABodyTextIndent"/>
        <w:ind w:left="426" w:hanging="426"/>
      </w:pPr>
      <w:r>
        <w:t>irinotecan (used to treat cancer)</w:t>
      </w:r>
    </w:p>
    <w:p w14:paraId="112EB99A" w14:textId="77777777" w:rsidR="00D02BC8" w:rsidRPr="00D31EBB" w:rsidRDefault="00D02BC8" w:rsidP="00826E45">
      <w:pPr>
        <w:pStyle w:val="EMEABodyTextIndent"/>
        <w:ind w:left="426" w:hanging="426"/>
      </w:pPr>
      <w:r>
        <w:t>sedative agents (e.g. midazolam administered by injection)</w:t>
      </w:r>
    </w:p>
    <w:p w14:paraId="48930E54" w14:textId="77777777" w:rsidR="00D02BC8" w:rsidRPr="00D31EBB" w:rsidRDefault="00D02BC8" w:rsidP="00826E45">
      <w:pPr>
        <w:pStyle w:val="EMEABodyTextIndent"/>
        <w:ind w:left="426" w:hanging="426"/>
      </w:pPr>
      <w:r>
        <w:t>buprenorphine (used to treat opioid addiction and pain).</w:t>
      </w:r>
    </w:p>
    <w:p w14:paraId="4C998DFF" w14:textId="77777777" w:rsidR="00D02BC8" w:rsidRPr="00D31EBB" w:rsidRDefault="00D02BC8" w:rsidP="008B6CCB">
      <w:pPr>
        <w:pStyle w:val="EMEABodyText"/>
        <w:rPr>
          <w:lang w:val="en-US"/>
        </w:rPr>
      </w:pPr>
    </w:p>
    <w:p w14:paraId="39E9558A" w14:textId="77777777" w:rsidR="00D02BC8" w:rsidRPr="00D31EBB" w:rsidRDefault="00D02BC8" w:rsidP="008B6CCB">
      <w:pPr>
        <w:pStyle w:val="EMEABodyText"/>
      </w:pPr>
      <w:r>
        <w:t>Some medicines may interact with ritonavir, a medicine that is taken with REYATAZ. It is important to tell your doctor if you are taking fluticasone or budesonide (given by nose or inhaled to treat allergic symptoms or asthma).</w:t>
      </w:r>
    </w:p>
    <w:p w14:paraId="47836A2C" w14:textId="77777777" w:rsidR="00D02BC8" w:rsidRPr="00D31EBB" w:rsidRDefault="00D02BC8" w:rsidP="008B6CCB">
      <w:pPr>
        <w:pStyle w:val="EMEABodyText"/>
        <w:rPr>
          <w:b/>
          <w:noProof/>
          <w:lang w:val="en-US"/>
        </w:rPr>
      </w:pPr>
    </w:p>
    <w:p w14:paraId="178CE810" w14:textId="77777777" w:rsidR="00D02BC8" w:rsidRPr="00D31EBB" w:rsidRDefault="00D02BC8" w:rsidP="008B6CCB">
      <w:pPr>
        <w:pStyle w:val="EMEAHeading2"/>
      </w:pPr>
      <w:r>
        <w:t>REYATAZ with food and drink</w:t>
      </w:r>
    </w:p>
    <w:p w14:paraId="13AF6BA2" w14:textId="77777777" w:rsidR="00D02BC8" w:rsidRPr="00D31EBB" w:rsidRDefault="00D02BC8" w:rsidP="008B6CCB">
      <w:pPr>
        <w:pStyle w:val="EMEABodyText"/>
      </w:pPr>
      <w:r>
        <w:t>It is important that you take REYATAZ with food (a meal or a substantial snack) as this helps the body absorb the medicine.</w:t>
      </w:r>
    </w:p>
    <w:p w14:paraId="4BC0D3B5" w14:textId="77777777" w:rsidR="00D02BC8" w:rsidRPr="00D31EBB" w:rsidRDefault="00D02BC8" w:rsidP="008B6CCB">
      <w:pPr>
        <w:pStyle w:val="EMEABodyText"/>
        <w:rPr>
          <w:b/>
          <w:lang w:val="en-US"/>
        </w:rPr>
      </w:pPr>
    </w:p>
    <w:p w14:paraId="3F86A6E3" w14:textId="77777777" w:rsidR="00D02BC8" w:rsidRPr="00D31EBB" w:rsidRDefault="00D02BC8" w:rsidP="008B6CCB">
      <w:pPr>
        <w:pStyle w:val="EMEAHeading2"/>
      </w:pPr>
      <w:r>
        <w:t>Pregnancy and breast-feeding</w:t>
      </w:r>
    </w:p>
    <w:p w14:paraId="2BBD2E07" w14:textId="77777777" w:rsidR="00D02BC8" w:rsidRPr="00D31EBB" w:rsidRDefault="0032030D" w:rsidP="008B6CCB">
      <w:pPr>
        <w:pStyle w:val="EMEABodyText"/>
      </w:pPr>
      <w:r>
        <w:t>If you are pregnant or breast-feeding, think that you may be pregnant or are planning to have a baby, ask your doctor for advice before taking this medicine. Atazanavir, the active substance of REYATAZ, is excreted in human milk. Patients should not breast-feed while taking REYATAZ. It is recommended that women infected with HIV do not breast-feed because the virus might be transmitted through the breast milk.</w:t>
      </w:r>
    </w:p>
    <w:p w14:paraId="139B9B09" w14:textId="77777777" w:rsidR="00D02BC8" w:rsidRPr="00D31EBB" w:rsidRDefault="00D02BC8" w:rsidP="008B6CCB">
      <w:pPr>
        <w:pStyle w:val="EMEABodyText"/>
        <w:rPr>
          <w:b/>
          <w:lang w:val="en-US"/>
        </w:rPr>
      </w:pPr>
    </w:p>
    <w:p w14:paraId="53976F9A" w14:textId="77777777" w:rsidR="00D02BC8" w:rsidRPr="00D31EBB" w:rsidRDefault="00D02BC8" w:rsidP="008B6CCB">
      <w:pPr>
        <w:pStyle w:val="EMEAHeading2"/>
      </w:pPr>
      <w:r>
        <w:t>Driving and using machines</w:t>
      </w:r>
    </w:p>
    <w:p w14:paraId="73A13DC9" w14:textId="77777777" w:rsidR="00D02BC8" w:rsidRPr="00D31EBB" w:rsidRDefault="00D02BC8" w:rsidP="008B6CCB">
      <w:pPr>
        <w:pStyle w:val="EMEABodyText"/>
      </w:pPr>
      <w:r>
        <w:t>If you feel dizzy or lightheaded, do not drive or use machines and contact your doctor immediately.</w:t>
      </w:r>
    </w:p>
    <w:p w14:paraId="0BCC35DE" w14:textId="77777777" w:rsidR="00D02BC8" w:rsidRPr="00D31EBB" w:rsidRDefault="00D02BC8" w:rsidP="008B6CCB">
      <w:pPr>
        <w:pStyle w:val="EMEABodyText"/>
        <w:rPr>
          <w:b/>
          <w:noProof/>
          <w:lang w:val="en-US"/>
        </w:rPr>
      </w:pPr>
    </w:p>
    <w:p w14:paraId="343B4437" w14:textId="77777777" w:rsidR="00D02BC8" w:rsidRPr="00D31EBB" w:rsidRDefault="00D02BC8" w:rsidP="008B6CCB">
      <w:pPr>
        <w:pStyle w:val="EMEAHeading2"/>
      </w:pPr>
      <w:r>
        <w:t>REYATAZ contains lactose.</w:t>
      </w:r>
    </w:p>
    <w:p w14:paraId="60B4BF28" w14:textId="77777777" w:rsidR="00D02BC8" w:rsidRPr="00D31EBB" w:rsidRDefault="00D02BC8" w:rsidP="008B6CCB">
      <w:pPr>
        <w:pStyle w:val="EMEABodyText"/>
        <w:rPr>
          <w:noProof/>
        </w:rPr>
      </w:pPr>
      <w:r>
        <w:t>If you have been told by your doctor that you have an intolerance to some sugars (e.g. lactose), contact your doctor before taking this medicinal product.</w:t>
      </w:r>
    </w:p>
    <w:p w14:paraId="11163ED2" w14:textId="77777777" w:rsidR="00D02BC8" w:rsidRPr="00D31EBB" w:rsidRDefault="00D02BC8" w:rsidP="008B6CCB">
      <w:pPr>
        <w:pStyle w:val="EMEABodyText"/>
        <w:rPr>
          <w:b/>
          <w:noProof/>
          <w:lang w:val="en-US"/>
        </w:rPr>
      </w:pPr>
    </w:p>
    <w:p w14:paraId="1D74B73D" w14:textId="77777777" w:rsidR="00D02BC8" w:rsidRPr="00D31EBB" w:rsidRDefault="00D02BC8" w:rsidP="008B6CCB">
      <w:pPr>
        <w:pStyle w:val="EMEABodyText"/>
        <w:rPr>
          <w:b/>
          <w:noProof/>
          <w:lang w:val="en-US"/>
        </w:rPr>
      </w:pPr>
    </w:p>
    <w:p w14:paraId="21A65470" w14:textId="77777777" w:rsidR="00D02BC8" w:rsidRPr="00D31EBB" w:rsidRDefault="00D02BC8" w:rsidP="00D961CF">
      <w:pPr>
        <w:pStyle w:val="EMEAHeading1"/>
      </w:pPr>
      <w:r>
        <w:t>3.</w:t>
      </w:r>
      <w:r>
        <w:tab/>
      </w:r>
      <w:r>
        <w:rPr>
          <w:caps w:val="0"/>
        </w:rPr>
        <w:t>How to take REYATAZ</w:t>
      </w:r>
    </w:p>
    <w:p w14:paraId="050205C9" w14:textId="77777777" w:rsidR="00D02BC8" w:rsidRPr="00D31EBB" w:rsidRDefault="00D02BC8" w:rsidP="00D961CF">
      <w:pPr>
        <w:pStyle w:val="EMEABodyText"/>
        <w:rPr>
          <w:noProof/>
          <w:lang w:val="en-US"/>
        </w:rPr>
      </w:pPr>
    </w:p>
    <w:p w14:paraId="39A4B33B" w14:textId="77777777" w:rsidR="00D02BC8" w:rsidRPr="00D31EBB" w:rsidRDefault="00D02BC8" w:rsidP="008B6CCB">
      <w:pPr>
        <w:pStyle w:val="EMEABodyText"/>
      </w:pPr>
      <w:r>
        <w:t xml:space="preserve">Always take this medicine exactly as your doctor has told you. Check with your doctor if you are not sure. This way, you can be sure your medicine is fully effective and you reduce the risk of the virus developing resistance to the treatment. </w:t>
      </w:r>
    </w:p>
    <w:p w14:paraId="7E7CB5A6" w14:textId="77777777" w:rsidR="00D02BC8" w:rsidRPr="00D31EBB" w:rsidRDefault="00D02BC8" w:rsidP="008B6CCB">
      <w:pPr>
        <w:pStyle w:val="EMEABodyText"/>
        <w:rPr>
          <w:noProof/>
          <w:lang w:val="en-US"/>
        </w:rPr>
      </w:pPr>
    </w:p>
    <w:p w14:paraId="11518BA2" w14:textId="77777777" w:rsidR="00D02BC8" w:rsidRPr="00D31EBB" w:rsidRDefault="00D02BC8" w:rsidP="008B6CCB">
      <w:pPr>
        <w:pStyle w:val="EMEABodyText"/>
      </w:pPr>
      <w:r>
        <w:rPr>
          <w:b/>
        </w:rPr>
        <w:t xml:space="preserve">The recommended adult dose of REYATAZ capsules is 300 mg once daily with 100 mg ritonavir once daily and with food, </w:t>
      </w:r>
      <w:r>
        <w:t>in combination with other anti-HIV medicines. Your doctor may adjust the dose of REYATAZ according to your anti-HIV therapy.</w:t>
      </w:r>
    </w:p>
    <w:p w14:paraId="00666FBE" w14:textId="77777777" w:rsidR="00D02BC8" w:rsidRPr="00D31EBB" w:rsidRDefault="00D02BC8" w:rsidP="008B6CCB">
      <w:pPr>
        <w:pStyle w:val="EMEABodyText"/>
        <w:rPr>
          <w:b/>
          <w:lang w:val="en-US"/>
        </w:rPr>
      </w:pPr>
    </w:p>
    <w:p w14:paraId="74D96DBD" w14:textId="77777777" w:rsidR="00D02BC8" w:rsidRPr="00D31EBB" w:rsidRDefault="00D02BC8" w:rsidP="008B6CCB">
      <w:pPr>
        <w:pStyle w:val="EMEABodyText"/>
        <w:spacing w:after="60"/>
      </w:pPr>
      <w:r>
        <w:rPr>
          <w:b/>
        </w:rPr>
        <w:t xml:space="preserve">For children (6 to less than 18 years of age), your child's doctor will decide the right dose based on your child's weight. </w:t>
      </w:r>
      <w:r>
        <w:t>The dose of REYATAZ capsules for children is calculated by body weight and is taken once daily with food and 100 mg ritonavir as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3"/>
        <w:gridCol w:w="3028"/>
        <w:gridCol w:w="3022"/>
      </w:tblGrid>
      <w:tr w:rsidR="00D02BC8" w:rsidRPr="00965E20" w14:paraId="65B57D12" w14:textId="77777777" w:rsidTr="008B6CCB">
        <w:tc>
          <w:tcPr>
            <w:tcW w:w="3096" w:type="dxa"/>
          </w:tcPr>
          <w:p w14:paraId="5453E1D3" w14:textId="77777777" w:rsidR="00D02BC8" w:rsidRPr="004F3582" w:rsidRDefault="00D02BC8" w:rsidP="008B6CCB">
            <w:pPr>
              <w:pStyle w:val="EMEABodyText"/>
              <w:jc w:val="center"/>
              <w:rPr>
                <w:b/>
              </w:rPr>
            </w:pPr>
            <w:r>
              <w:rPr>
                <w:b/>
              </w:rPr>
              <w:t>Body Weight</w:t>
            </w:r>
          </w:p>
          <w:p w14:paraId="310B2EC0" w14:textId="77777777" w:rsidR="00D02BC8" w:rsidRPr="004F3582" w:rsidRDefault="00D02BC8" w:rsidP="008B6CCB">
            <w:pPr>
              <w:pStyle w:val="EMEABodyText"/>
              <w:jc w:val="center"/>
              <w:rPr>
                <w:b/>
              </w:rPr>
            </w:pPr>
            <w:r>
              <w:rPr>
                <w:b/>
              </w:rPr>
              <w:t>(kg)</w:t>
            </w:r>
          </w:p>
        </w:tc>
        <w:tc>
          <w:tcPr>
            <w:tcW w:w="3096" w:type="dxa"/>
          </w:tcPr>
          <w:p w14:paraId="150D4016" w14:textId="77777777" w:rsidR="00D02BC8" w:rsidRPr="00D31EBB" w:rsidRDefault="00D02BC8" w:rsidP="008B6CCB">
            <w:pPr>
              <w:pStyle w:val="EMEABodyText"/>
              <w:jc w:val="center"/>
              <w:rPr>
                <w:b/>
              </w:rPr>
            </w:pPr>
            <w:r>
              <w:rPr>
                <w:b/>
              </w:rPr>
              <w:t>REYATAZ Dose once daily</w:t>
            </w:r>
          </w:p>
          <w:p w14:paraId="386058A5" w14:textId="77777777" w:rsidR="00D02BC8" w:rsidRPr="00D31EBB" w:rsidRDefault="00D02BC8" w:rsidP="008B6CCB">
            <w:pPr>
              <w:pStyle w:val="EMEABodyText"/>
              <w:jc w:val="center"/>
              <w:rPr>
                <w:b/>
              </w:rPr>
            </w:pPr>
            <w:r>
              <w:rPr>
                <w:b/>
              </w:rPr>
              <w:t>(mg)</w:t>
            </w:r>
          </w:p>
        </w:tc>
        <w:tc>
          <w:tcPr>
            <w:tcW w:w="3097" w:type="dxa"/>
          </w:tcPr>
          <w:p w14:paraId="633584CF" w14:textId="77777777" w:rsidR="00D02BC8" w:rsidRPr="00D31EBB" w:rsidRDefault="00D02BC8" w:rsidP="008B6CCB">
            <w:pPr>
              <w:pStyle w:val="EMEABodyText"/>
              <w:jc w:val="center"/>
              <w:rPr>
                <w:b/>
              </w:rPr>
            </w:pPr>
            <w:r>
              <w:rPr>
                <w:b/>
              </w:rPr>
              <w:t>Ritonavir Dose* once daily</w:t>
            </w:r>
          </w:p>
          <w:p w14:paraId="1734F55C" w14:textId="77777777" w:rsidR="00D02BC8" w:rsidRPr="00D31EBB" w:rsidRDefault="00D02BC8" w:rsidP="008B6CCB">
            <w:pPr>
              <w:pStyle w:val="EMEABodyText"/>
              <w:jc w:val="center"/>
              <w:rPr>
                <w:b/>
              </w:rPr>
            </w:pPr>
            <w:r>
              <w:rPr>
                <w:b/>
              </w:rPr>
              <w:t>(mg)</w:t>
            </w:r>
          </w:p>
        </w:tc>
      </w:tr>
      <w:tr w:rsidR="00D02BC8" w:rsidRPr="004F3582" w14:paraId="26042028" w14:textId="77777777" w:rsidTr="008B6CCB">
        <w:tc>
          <w:tcPr>
            <w:tcW w:w="3096" w:type="dxa"/>
          </w:tcPr>
          <w:p w14:paraId="7E8C13A5" w14:textId="77777777" w:rsidR="00D02BC8" w:rsidRPr="004F3582" w:rsidRDefault="00D02BC8" w:rsidP="00945266">
            <w:pPr>
              <w:pStyle w:val="EMEABodyText"/>
              <w:jc w:val="center"/>
            </w:pPr>
            <w:r>
              <w:t>15 to less than 35</w:t>
            </w:r>
          </w:p>
        </w:tc>
        <w:tc>
          <w:tcPr>
            <w:tcW w:w="3096" w:type="dxa"/>
          </w:tcPr>
          <w:p w14:paraId="5EDAA7A9" w14:textId="77777777" w:rsidR="00D02BC8" w:rsidRPr="004F3582" w:rsidRDefault="0032030D" w:rsidP="008B6CCB">
            <w:pPr>
              <w:pStyle w:val="EMEABodyText"/>
              <w:jc w:val="center"/>
            </w:pPr>
            <w:r>
              <w:t>200</w:t>
            </w:r>
          </w:p>
        </w:tc>
        <w:tc>
          <w:tcPr>
            <w:tcW w:w="3097" w:type="dxa"/>
          </w:tcPr>
          <w:p w14:paraId="055EEF04" w14:textId="77777777" w:rsidR="00D02BC8" w:rsidRPr="004F3582" w:rsidRDefault="00D02BC8" w:rsidP="008B6CCB">
            <w:pPr>
              <w:pStyle w:val="EMEABodyText"/>
              <w:jc w:val="center"/>
            </w:pPr>
            <w:r>
              <w:t>100</w:t>
            </w:r>
          </w:p>
        </w:tc>
      </w:tr>
      <w:tr w:rsidR="00D02BC8" w:rsidRPr="004F3582" w14:paraId="2B2DA830" w14:textId="77777777" w:rsidTr="008B6CCB">
        <w:tc>
          <w:tcPr>
            <w:tcW w:w="3096" w:type="dxa"/>
          </w:tcPr>
          <w:p w14:paraId="07525EC0" w14:textId="77777777" w:rsidR="00D02BC8" w:rsidRPr="004F3582" w:rsidRDefault="00D02BC8" w:rsidP="00945266">
            <w:pPr>
              <w:pStyle w:val="EMEABodyText"/>
              <w:jc w:val="center"/>
            </w:pPr>
            <w:r>
              <w:t>at least 35</w:t>
            </w:r>
          </w:p>
        </w:tc>
        <w:tc>
          <w:tcPr>
            <w:tcW w:w="3096" w:type="dxa"/>
          </w:tcPr>
          <w:p w14:paraId="7E099269" w14:textId="77777777" w:rsidR="00D02BC8" w:rsidRPr="004F3582" w:rsidRDefault="00D02BC8" w:rsidP="008B6CCB">
            <w:pPr>
              <w:pStyle w:val="EMEABodyText"/>
              <w:jc w:val="center"/>
            </w:pPr>
            <w:r>
              <w:t>300</w:t>
            </w:r>
          </w:p>
        </w:tc>
        <w:tc>
          <w:tcPr>
            <w:tcW w:w="3097" w:type="dxa"/>
          </w:tcPr>
          <w:p w14:paraId="5042BBDB" w14:textId="77777777" w:rsidR="00D02BC8" w:rsidRPr="004F3582" w:rsidRDefault="00D02BC8" w:rsidP="008B6CCB">
            <w:pPr>
              <w:pStyle w:val="EMEABodyText"/>
              <w:jc w:val="center"/>
            </w:pPr>
            <w:r>
              <w:t>100</w:t>
            </w:r>
          </w:p>
        </w:tc>
      </w:tr>
      <w:tr w:rsidR="00D02BC8" w:rsidRPr="00965E20" w14:paraId="5A5630D7" w14:textId="77777777" w:rsidTr="008B6CCB">
        <w:tc>
          <w:tcPr>
            <w:tcW w:w="9289" w:type="dxa"/>
            <w:gridSpan w:val="3"/>
          </w:tcPr>
          <w:p w14:paraId="1199F4EF" w14:textId="77777777" w:rsidR="00D02BC8" w:rsidRPr="00D31EBB" w:rsidRDefault="00D02BC8" w:rsidP="008B6CCB">
            <w:pPr>
              <w:pStyle w:val="EMEABodyText"/>
              <w:keepNext/>
              <w:rPr>
                <w:sz w:val="18"/>
                <w:szCs w:val="18"/>
              </w:rPr>
            </w:pPr>
            <w:r>
              <w:rPr>
                <w:sz w:val="18"/>
                <w:szCs w:val="18"/>
              </w:rPr>
              <w:t>*Ritonavir capsules, tablets or oral solution may be used.</w:t>
            </w:r>
          </w:p>
        </w:tc>
      </w:tr>
    </w:tbl>
    <w:p w14:paraId="379C94E7" w14:textId="77777777" w:rsidR="00D02BC8" w:rsidRPr="00D31EBB" w:rsidRDefault="00D02BC8" w:rsidP="008B6CCB">
      <w:pPr>
        <w:pStyle w:val="EMEABodyText"/>
        <w:rPr>
          <w:lang w:val="en-US"/>
        </w:rPr>
      </w:pPr>
    </w:p>
    <w:p w14:paraId="0D0931DF" w14:textId="77777777" w:rsidR="0032030D" w:rsidRPr="00D31EBB" w:rsidRDefault="003D1EBD" w:rsidP="0032030D">
      <w:pPr>
        <w:pStyle w:val="EMEABodyText"/>
        <w:rPr>
          <w:bCs/>
          <w:iCs/>
        </w:rPr>
      </w:pPr>
      <w:r>
        <w:t>REYATAZ is also available as an oral powder for use in children at least 3 months old and weighing at least 5 kg. Switching to REYATAZ capsules from REYATAZ oral powder is encouraged as soon as patients are able to consistently swallow capsules.</w:t>
      </w:r>
    </w:p>
    <w:p w14:paraId="34CAE438" w14:textId="77777777" w:rsidR="0032030D" w:rsidRPr="00D31EBB" w:rsidRDefault="0032030D" w:rsidP="0032030D">
      <w:pPr>
        <w:pStyle w:val="EMEABodyText"/>
        <w:rPr>
          <w:bCs/>
          <w:iCs/>
          <w:lang w:val="en-US"/>
        </w:rPr>
      </w:pPr>
    </w:p>
    <w:p w14:paraId="66A218A0" w14:textId="77777777" w:rsidR="0032030D" w:rsidRPr="00D31EBB" w:rsidRDefault="0032030D" w:rsidP="0032030D">
      <w:pPr>
        <w:pStyle w:val="EMEABodyText"/>
        <w:rPr>
          <w:bCs/>
          <w:iCs/>
        </w:rPr>
      </w:pPr>
      <w:r>
        <w:t>A change in dose may occur when switching between oral powder and capsules. Your doctor will decide the right dose based on your child’s weight.</w:t>
      </w:r>
    </w:p>
    <w:p w14:paraId="73979B9F" w14:textId="77777777" w:rsidR="003D1EBD" w:rsidRPr="00D31EBB" w:rsidRDefault="003D1EBD" w:rsidP="008B6CCB">
      <w:pPr>
        <w:pStyle w:val="EMEABodyText"/>
        <w:rPr>
          <w:bCs/>
          <w:iCs/>
          <w:lang w:val="en-US"/>
        </w:rPr>
      </w:pPr>
    </w:p>
    <w:p w14:paraId="1A3A1960" w14:textId="77777777" w:rsidR="00D02BC8" w:rsidRPr="00D31EBB" w:rsidRDefault="00D02BC8" w:rsidP="008B6CCB">
      <w:pPr>
        <w:pStyle w:val="EMEABodyText"/>
        <w:rPr>
          <w:bCs/>
          <w:iCs/>
        </w:rPr>
      </w:pPr>
      <w:r>
        <w:t>There are no dosing recommendations for REYATAZ in paediatric patients less than 3 months of age.</w:t>
      </w:r>
    </w:p>
    <w:p w14:paraId="41EC4008" w14:textId="77777777" w:rsidR="00D02BC8" w:rsidRPr="00D31EBB" w:rsidRDefault="00D02BC8" w:rsidP="008B6CCB">
      <w:pPr>
        <w:pStyle w:val="EMEABodyText"/>
        <w:rPr>
          <w:lang w:val="en-US"/>
        </w:rPr>
      </w:pPr>
    </w:p>
    <w:p w14:paraId="1F6149AD" w14:textId="77777777" w:rsidR="00D02BC8" w:rsidRPr="00D31EBB" w:rsidRDefault="00D02BC8" w:rsidP="008B6CCB">
      <w:pPr>
        <w:pStyle w:val="EMEABodyText"/>
        <w:rPr>
          <w:b/>
        </w:rPr>
      </w:pPr>
      <w:r>
        <w:rPr>
          <w:b/>
        </w:rPr>
        <w:t xml:space="preserve">Take REYATAZ capsules with food </w:t>
      </w:r>
      <w:r>
        <w:t xml:space="preserve">(a meal or a substantial snack). Swallow the capsules whole. </w:t>
      </w:r>
      <w:r>
        <w:rPr>
          <w:b/>
        </w:rPr>
        <w:t>Do not open the capsules.</w:t>
      </w:r>
    </w:p>
    <w:p w14:paraId="7254325C" w14:textId="77777777" w:rsidR="00D02BC8" w:rsidRPr="00D31EBB" w:rsidRDefault="00D02BC8" w:rsidP="008B6CCB">
      <w:pPr>
        <w:pStyle w:val="EMEABodyText"/>
        <w:rPr>
          <w:b/>
          <w:lang w:val="en-US"/>
        </w:rPr>
      </w:pPr>
    </w:p>
    <w:p w14:paraId="231CDC53" w14:textId="77777777" w:rsidR="00D02BC8" w:rsidRPr="00D31EBB" w:rsidRDefault="00D02BC8" w:rsidP="008B6CCB">
      <w:pPr>
        <w:pStyle w:val="EMEAHeading2"/>
      </w:pPr>
      <w:r>
        <w:t>If you take more REYATAZ than you should</w:t>
      </w:r>
    </w:p>
    <w:p w14:paraId="253D1B05" w14:textId="77777777" w:rsidR="00B10B04" w:rsidRPr="00D31EBB" w:rsidRDefault="00B10B04" w:rsidP="00B10B04">
      <w:pPr>
        <w:pStyle w:val="EMEABodyText"/>
      </w:pPr>
      <w:r>
        <w:t>Yellowing of the skin and/or eyes (jaundice) and irregular heart beat (QTc prolongation) may occur if you or your child take too much REYATAZ.</w:t>
      </w:r>
    </w:p>
    <w:p w14:paraId="34425181" w14:textId="77777777" w:rsidR="00D02BC8" w:rsidRPr="00D31EBB" w:rsidRDefault="00D02BC8" w:rsidP="008B6CCB">
      <w:pPr>
        <w:pStyle w:val="EMEABodyText"/>
      </w:pPr>
      <w:r>
        <w:t>If you accidentally take more REYATAZ capsules than your doctor recommended, contact your HIV doctor at once or contact the nearest hospital for advice.</w:t>
      </w:r>
    </w:p>
    <w:p w14:paraId="6F3D8EAA" w14:textId="77777777" w:rsidR="00D02BC8" w:rsidRPr="00D31EBB" w:rsidRDefault="00D02BC8" w:rsidP="008B6CCB">
      <w:pPr>
        <w:pStyle w:val="EMEABodyText"/>
        <w:rPr>
          <w:b/>
          <w:lang w:val="en-US"/>
        </w:rPr>
      </w:pPr>
    </w:p>
    <w:p w14:paraId="2796F091" w14:textId="77777777" w:rsidR="00D02BC8" w:rsidRPr="00D31EBB" w:rsidRDefault="00D02BC8" w:rsidP="008B6CCB">
      <w:pPr>
        <w:pStyle w:val="EMEAHeading2"/>
      </w:pPr>
      <w:r>
        <w:t>If you forget to take REYATAZ</w:t>
      </w:r>
    </w:p>
    <w:p w14:paraId="6497B83A" w14:textId="77777777" w:rsidR="00D02BC8" w:rsidRPr="00D31EBB" w:rsidRDefault="00D02BC8" w:rsidP="008B6CCB">
      <w:pPr>
        <w:pStyle w:val="EMEABodyText"/>
        <w:rPr>
          <w:b/>
        </w:rPr>
      </w:pPr>
      <w:r>
        <w:t xml:space="preserve">If you miss a dose, take the missed dose as soon as possible with food and then take your next scheduled dose at its regular time. If it is almost time for your next dose, do not take the missed dose. Wait and take the next dose at its regular time. </w:t>
      </w:r>
      <w:r>
        <w:rPr>
          <w:b/>
        </w:rPr>
        <w:t>Do not take a double dose to make up for a forgotten dose.</w:t>
      </w:r>
    </w:p>
    <w:p w14:paraId="2B8362D6" w14:textId="77777777" w:rsidR="00D02BC8" w:rsidRPr="00D31EBB" w:rsidRDefault="00D02BC8" w:rsidP="008B6CCB">
      <w:pPr>
        <w:pStyle w:val="EMEABodyText"/>
        <w:rPr>
          <w:noProof/>
          <w:lang w:val="en-US"/>
        </w:rPr>
      </w:pPr>
    </w:p>
    <w:p w14:paraId="6A737672" w14:textId="77777777" w:rsidR="00D02BC8" w:rsidRPr="00D31EBB" w:rsidRDefault="00D02BC8" w:rsidP="008B6CCB">
      <w:pPr>
        <w:pStyle w:val="EMEAHeading2"/>
      </w:pPr>
      <w:r>
        <w:t>If you stop taking REYATAZ</w:t>
      </w:r>
    </w:p>
    <w:p w14:paraId="6A93D0EC" w14:textId="77777777" w:rsidR="00D02BC8" w:rsidRPr="00D31EBB" w:rsidRDefault="00D02BC8" w:rsidP="008B6CCB">
      <w:pPr>
        <w:pStyle w:val="EMEABodyText"/>
      </w:pPr>
      <w:r>
        <w:t>Do not stop taking REYATAZ before talking to your doctor.</w:t>
      </w:r>
    </w:p>
    <w:p w14:paraId="43C2E1F3" w14:textId="77777777" w:rsidR="00D02BC8" w:rsidRPr="00D31EBB" w:rsidRDefault="00D02BC8" w:rsidP="008B6CCB">
      <w:pPr>
        <w:pStyle w:val="EMEABodyText"/>
        <w:rPr>
          <w:b/>
          <w:lang w:val="en-US"/>
        </w:rPr>
      </w:pPr>
    </w:p>
    <w:p w14:paraId="2662F68E" w14:textId="77777777" w:rsidR="00D02BC8" w:rsidRPr="00D31EBB" w:rsidRDefault="00D02BC8" w:rsidP="008B6CCB">
      <w:pPr>
        <w:pStyle w:val="EMEABodyText"/>
        <w:rPr>
          <w:noProof/>
        </w:rPr>
      </w:pPr>
      <w:r>
        <w:t>If you have any further questions on the use of this medicine, ask your doctor.</w:t>
      </w:r>
    </w:p>
    <w:p w14:paraId="3D995FCE" w14:textId="77777777" w:rsidR="00D02BC8" w:rsidRPr="00D31EBB" w:rsidRDefault="00D02BC8" w:rsidP="008B6CCB">
      <w:pPr>
        <w:pStyle w:val="EMEABodyText"/>
        <w:rPr>
          <w:b/>
          <w:noProof/>
          <w:lang w:val="en-US"/>
        </w:rPr>
      </w:pPr>
    </w:p>
    <w:p w14:paraId="3FFD40D8" w14:textId="77777777" w:rsidR="00D02BC8" w:rsidRPr="00D31EBB" w:rsidRDefault="00D02BC8" w:rsidP="008B6CCB">
      <w:pPr>
        <w:pStyle w:val="EMEABodyText"/>
        <w:rPr>
          <w:b/>
          <w:noProof/>
          <w:lang w:val="en-US"/>
        </w:rPr>
      </w:pPr>
    </w:p>
    <w:p w14:paraId="71AD8498" w14:textId="77777777" w:rsidR="00D02BC8" w:rsidRPr="00D31EBB" w:rsidRDefault="00D02BC8" w:rsidP="00D961CF">
      <w:pPr>
        <w:pStyle w:val="EMEAHeading1"/>
        <w:rPr>
          <w:noProof/>
        </w:rPr>
      </w:pPr>
      <w:r>
        <w:t>4.</w:t>
      </w:r>
      <w:r>
        <w:tab/>
      </w:r>
      <w:r>
        <w:rPr>
          <w:caps w:val="0"/>
        </w:rPr>
        <w:t>Possible side effects</w:t>
      </w:r>
    </w:p>
    <w:p w14:paraId="28C4AB2A" w14:textId="77777777" w:rsidR="00D02BC8" w:rsidRPr="00D31EBB" w:rsidRDefault="00D02BC8" w:rsidP="00D961CF">
      <w:pPr>
        <w:pStyle w:val="EMEABodyText"/>
        <w:rPr>
          <w:noProof/>
          <w:lang w:val="en-US"/>
        </w:rPr>
      </w:pPr>
    </w:p>
    <w:p w14:paraId="1BE72C1F" w14:textId="77777777" w:rsidR="00D02BC8" w:rsidRPr="00D31EBB" w:rsidRDefault="00D02BC8" w:rsidP="008B6CCB">
      <w:pPr>
        <w:pStyle w:val="EMEABodyText"/>
      </w:pPr>
      <w:r>
        <w:t>Like all medicines, this medicine can cause side effects, although not everybody gets them. When treating HIV infection, it is not always easy to identify what side effects are caused by REYATAZ, by the other medicines you are taking, or by the HIV infection itself. Tell your doctor if you notice anything unusual about your health.</w:t>
      </w:r>
    </w:p>
    <w:p w14:paraId="0E946E24" w14:textId="77777777" w:rsidR="00680F60" w:rsidRPr="00D31EBB" w:rsidRDefault="00680F60" w:rsidP="008B6CCB">
      <w:pPr>
        <w:pStyle w:val="EMEABodyText"/>
        <w:rPr>
          <w:lang w:val="en-US"/>
        </w:rPr>
      </w:pPr>
    </w:p>
    <w:p w14:paraId="6F521C7D" w14:textId="77777777" w:rsidR="00680F60" w:rsidRPr="00D31EBB" w:rsidRDefault="00680F60" w:rsidP="00680F60">
      <w:pPr>
        <w:pStyle w:val="EMEABodyText"/>
      </w:pPr>
      <w: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3C1BD734" w14:textId="77777777" w:rsidR="00D02BC8" w:rsidRPr="00D31EBB" w:rsidRDefault="00D02BC8" w:rsidP="008B6CCB">
      <w:pPr>
        <w:pStyle w:val="EMEABodyText"/>
        <w:rPr>
          <w:lang w:val="en-US"/>
        </w:rPr>
      </w:pPr>
    </w:p>
    <w:p w14:paraId="131BC008" w14:textId="77777777" w:rsidR="008D5D5B" w:rsidRPr="00D31EBB" w:rsidRDefault="008D5D5B" w:rsidP="008D5D5B">
      <w:pPr>
        <w:pStyle w:val="EMEABodyText"/>
      </w:pPr>
      <w:r>
        <w:t>Tell your doctor immediately if you develop any of the following serious side effects:</w:t>
      </w:r>
    </w:p>
    <w:p w14:paraId="2AA2BA17" w14:textId="77777777" w:rsidR="008D5D5B" w:rsidRPr="00D31EBB" w:rsidRDefault="008D5D5B" w:rsidP="008D5D5B">
      <w:pPr>
        <w:pStyle w:val="EMEABodyText"/>
        <w:rPr>
          <w:lang w:val="en-US"/>
        </w:rPr>
      </w:pPr>
    </w:p>
    <w:p w14:paraId="3FC9CD43" w14:textId="77777777" w:rsidR="008D5D5B" w:rsidRPr="00D31EBB" w:rsidRDefault="008D5D5B" w:rsidP="00826E45">
      <w:pPr>
        <w:pStyle w:val="EMEABodyTextIndent"/>
        <w:ind w:left="426" w:hanging="426"/>
        <w:rPr>
          <w:i/>
        </w:rPr>
      </w:pPr>
      <w:r>
        <w:t xml:space="preserve">Skin rash, itching that may occasionally be severe has been reported. The rash usually disappears within 2 weeks without any change to your REYATAZ treatment. Severe rash may be developed in association with other symptoms which could be serious. Stop taking REYATAZ and talk to your doctor immediately if you develop a severe rash or a rash with flu-like illness symptoms, blisters, fever, mouth sores, muscle or joint pain, swelling in the face, inflammation of the eye which causes redness (conjunctivitis), painful, warm, or red lumps (nodules). </w:t>
      </w:r>
    </w:p>
    <w:p w14:paraId="3BD45310" w14:textId="77777777" w:rsidR="008D5D5B" w:rsidRPr="00D31EBB" w:rsidRDefault="008D5D5B" w:rsidP="00826E45">
      <w:pPr>
        <w:pStyle w:val="EMEABodyTextIndent"/>
        <w:ind w:left="426" w:hanging="426"/>
        <w:rPr>
          <w:i/>
        </w:rPr>
      </w:pPr>
      <w:r>
        <w:t>Yellowing of your skin or the white part of your eyes caused by high levels of bilirubin in your blood has been commonly reported. This side effect is usually not dangerous in adults and infants older than 3 months of age; but it might be a symptom of a serious problem. If your skin or the white part of your eyes turns yellow, talk to your doctor immediately.</w:t>
      </w:r>
    </w:p>
    <w:p w14:paraId="5B8370D7" w14:textId="77777777" w:rsidR="008D5D5B" w:rsidRPr="004F3582" w:rsidRDefault="008D5D5B" w:rsidP="00826E45">
      <w:pPr>
        <w:pStyle w:val="EMEABodyTextIndent"/>
        <w:ind w:left="426" w:hanging="426"/>
        <w:rPr>
          <w:i/>
        </w:rPr>
      </w:pPr>
      <w:r>
        <w:t xml:space="preserve">Changes in the way your heart beats (heart rhythm change) may occasionally happen. Talk to your doctor immediately if you get dizzy, lightheaded or if you suddenly faint. These could be symptoms of a serious heart problem. </w:t>
      </w:r>
    </w:p>
    <w:p w14:paraId="5C8CD4C0" w14:textId="77777777" w:rsidR="008D5D5B" w:rsidRPr="00D31EBB" w:rsidRDefault="008D5D5B" w:rsidP="00826E45">
      <w:pPr>
        <w:pStyle w:val="EMEABodyTextIndent"/>
        <w:ind w:left="426" w:hanging="426"/>
        <w:rPr>
          <w:i/>
        </w:rPr>
      </w:pPr>
      <w:r>
        <w:t>Liver problems may uncommonly happen. Your doctor should do blood tests prior you start REYATAZ and during treatment. If you have liver problems, including hepatitis B or C infection, you may experience a worsening of your liver problems. Talk to your doctor immediately if you get dark (tea-colored) urine, itching, yellowing of your skin or the white part of your eyes, pain around the stomach, pale colored stools or nausea.</w:t>
      </w:r>
    </w:p>
    <w:p w14:paraId="21CAB221" w14:textId="77777777" w:rsidR="008D5D5B" w:rsidRPr="00D31EBB" w:rsidRDefault="008D5D5B" w:rsidP="00826E45">
      <w:pPr>
        <w:pStyle w:val="EMEABodyTextIndent"/>
        <w:ind w:left="426" w:hanging="426"/>
      </w:pPr>
      <w:r>
        <w:t>Gallbladder problems uncommonly happen in people taking REYATAZ. Symptoms of gallbladder problems may include pain in the right or middle upper stomach area, nausea, vomiting, fever or yellowing your skin or the white part of your eyes.</w:t>
      </w:r>
    </w:p>
    <w:p w14:paraId="7820506F" w14:textId="77777777" w:rsidR="00826E45" w:rsidRPr="00D31EBB" w:rsidRDefault="00826E45" w:rsidP="00826E45">
      <w:pPr>
        <w:pStyle w:val="EMEABodyTextIndent"/>
        <w:ind w:left="426" w:hanging="426"/>
      </w:pPr>
      <w:r>
        <w:t>REYATAZ may affect how well your kidneys work.</w:t>
      </w:r>
    </w:p>
    <w:p w14:paraId="0ABAB83A" w14:textId="77777777" w:rsidR="008D5D5B" w:rsidRPr="00D31EBB" w:rsidRDefault="008D5D5B" w:rsidP="00826E45">
      <w:pPr>
        <w:pStyle w:val="EMEABodyTextIndent"/>
        <w:ind w:left="426" w:hanging="426"/>
        <w:rPr>
          <w:i/>
        </w:rPr>
      </w:pPr>
      <w:r>
        <w:t>Kidney stones uncommonly happen in people taking REYATAZ. Talk to your doctor immediately if you get symptoms of kidney stones which may include, pain in your low back or low stomach-area, blood in your urine or pain when you urinate.</w:t>
      </w:r>
    </w:p>
    <w:p w14:paraId="383A2CF6" w14:textId="77777777" w:rsidR="008D5D5B" w:rsidRPr="00D31EBB" w:rsidRDefault="008D5D5B" w:rsidP="008B6CCB">
      <w:pPr>
        <w:pStyle w:val="EMEABodyText"/>
        <w:rPr>
          <w:lang w:val="en-US"/>
        </w:rPr>
      </w:pPr>
    </w:p>
    <w:p w14:paraId="2ADBB36F" w14:textId="77777777" w:rsidR="00D02BC8" w:rsidRPr="00D31EBB" w:rsidRDefault="008D5D5B" w:rsidP="008B6CCB">
      <w:pPr>
        <w:pStyle w:val="EMEABodyText"/>
      </w:pPr>
      <w:r>
        <w:t>Other side effects reported for patients treated with REYATAZ are the following:</w:t>
      </w:r>
    </w:p>
    <w:p w14:paraId="497F698A" w14:textId="77777777" w:rsidR="00D02BC8" w:rsidRPr="00D31EBB" w:rsidRDefault="00D02BC8" w:rsidP="008B6CCB">
      <w:pPr>
        <w:pStyle w:val="EMEABodyText"/>
      </w:pPr>
      <w:r>
        <w:t xml:space="preserve">Common (may affect up to 1 in 10 people): </w:t>
      </w:r>
    </w:p>
    <w:p w14:paraId="3800A029" w14:textId="77777777" w:rsidR="00D02BC8" w:rsidRPr="004F3582" w:rsidRDefault="00D02BC8" w:rsidP="00826E45">
      <w:pPr>
        <w:pStyle w:val="EMEABodyTextIndent"/>
        <w:ind w:left="426" w:hanging="426"/>
      </w:pPr>
      <w:r>
        <w:t>headache</w:t>
      </w:r>
    </w:p>
    <w:p w14:paraId="0B0D143F" w14:textId="77777777" w:rsidR="00D02BC8" w:rsidRPr="00D31EBB" w:rsidRDefault="00D02BC8" w:rsidP="00826E45">
      <w:pPr>
        <w:pStyle w:val="EMEABodyTextIndent"/>
        <w:ind w:left="426" w:hanging="426"/>
      </w:pPr>
      <w:r>
        <w:t>vomiting, diarrhoea, abdominal pain (stomach pain of discomfort), nausea, dyspepsia (indigestion)</w:t>
      </w:r>
    </w:p>
    <w:p w14:paraId="0FCE7614" w14:textId="77777777" w:rsidR="00D02BC8" w:rsidRPr="004F3582" w:rsidRDefault="00D02BC8" w:rsidP="00826E45">
      <w:pPr>
        <w:pStyle w:val="EMEABodyTextIndent"/>
        <w:ind w:left="426" w:hanging="426"/>
      </w:pPr>
      <w:r>
        <w:t>fatigue (extreme tiredness)</w:t>
      </w:r>
    </w:p>
    <w:p w14:paraId="7E9491C9" w14:textId="77777777" w:rsidR="00D02BC8" w:rsidRPr="00D31EBB" w:rsidRDefault="00D02BC8" w:rsidP="008B6CCB">
      <w:pPr>
        <w:pStyle w:val="EMEABodyText"/>
      </w:pPr>
      <w:r>
        <w:t xml:space="preserve">Uncommon (may affect up to 1 in 100 people): </w:t>
      </w:r>
    </w:p>
    <w:p w14:paraId="24A9D8E3" w14:textId="77777777" w:rsidR="00D02BC8" w:rsidRPr="00D31EBB" w:rsidRDefault="00D02BC8" w:rsidP="00826E45">
      <w:pPr>
        <w:pStyle w:val="EMEABodyTextIndent"/>
        <w:ind w:left="426" w:hanging="426"/>
      </w:pPr>
      <w:r>
        <w:t>peripheral neuropathy (numbness, weakness, tingling or pain in the arms and legs)</w:t>
      </w:r>
    </w:p>
    <w:p w14:paraId="22F24286" w14:textId="77777777" w:rsidR="00D02BC8" w:rsidRPr="004F3582" w:rsidRDefault="00D02BC8" w:rsidP="00826E45">
      <w:pPr>
        <w:pStyle w:val="EMEABodyTextIndent"/>
        <w:ind w:left="426" w:hanging="426"/>
      </w:pPr>
      <w:r>
        <w:t>hypersensitivity (allergic reaction)</w:t>
      </w:r>
    </w:p>
    <w:p w14:paraId="42EEE226" w14:textId="77777777" w:rsidR="00D02BC8" w:rsidRPr="00D31EBB" w:rsidRDefault="00D02BC8" w:rsidP="00826E45">
      <w:pPr>
        <w:pStyle w:val="EMEABodyTextIndent"/>
        <w:ind w:left="426" w:hanging="426"/>
      </w:pPr>
      <w:r>
        <w:t>asthenia (unusual tiredness or weakness)</w:t>
      </w:r>
    </w:p>
    <w:p w14:paraId="6166B2FB" w14:textId="77777777" w:rsidR="00D02BC8" w:rsidRPr="00D31EBB" w:rsidRDefault="00D02BC8" w:rsidP="00826E45">
      <w:pPr>
        <w:pStyle w:val="EMEABodyTextIndent"/>
        <w:ind w:left="426" w:hanging="426"/>
      </w:pPr>
      <w:r>
        <w:t>weight decreased, weight gain, anorexia (loss of appetite), appetite increased</w:t>
      </w:r>
    </w:p>
    <w:p w14:paraId="3BED2598" w14:textId="77777777" w:rsidR="00D02BC8" w:rsidRPr="004F3582" w:rsidRDefault="00D02BC8" w:rsidP="00826E45">
      <w:pPr>
        <w:pStyle w:val="EMEABodyTextIndent"/>
        <w:ind w:left="426" w:hanging="426"/>
      </w:pPr>
      <w:r>
        <w:t>depression, anxiety, sleep disorder</w:t>
      </w:r>
    </w:p>
    <w:p w14:paraId="13C80CF7" w14:textId="77777777" w:rsidR="00D02BC8" w:rsidRPr="00D31EBB" w:rsidRDefault="00D02BC8" w:rsidP="00826E45">
      <w:pPr>
        <w:pStyle w:val="EMEABodyTextIndent"/>
        <w:ind w:left="426" w:hanging="426"/>
      </w:pPr>
      <w:r>
        <w:t>disorientation, amnesia (loss of memory), dizziness, somnolence (sleepiness), abnormal dream</w:t>
      </w:r>
    </w:p>
    <w:p w14:paraId="7CA623E9" w14:textId="77777777" w:rsidR="00D02BC8" w:rsidRPr="00D31EBB" w:rsidRDefault="00D02BC8" w:rsidP="00826E45">
      <w:pPr>
        <w:pStyle w:val="EMEABodyTextIndent"/>
        <w:ind w:left="426" w:hanging="426"/>
      </w:pPr>
      <w:r>
        <w:t>syncope (fainting), hypertension (high blood pressure)</w:t>
      </w:r>
    </w:p>
    <w:p w14:paraId="0CBCAD17" w14:textId="77777777" w:rsidR="00D02BC8" w:rsidRPr="004F3582" w:rsidRDefault="00D02BC8" w:rsidP="00826E45">
      <w:pPr>
        <w:pStyle w:val="EMEABodyTextIndent"/>
        <w:ind w:left="426" w:hanging="426"/>
      </w:pPr>
      <w:r>
        <w:t>dyspnoea (shortness of breath)</w:t>
      </w:r>
    </w:p>
    <w:p w14:paraId="3D49002E" w14:textId="77777777" w:rsidR="00D02BC8" w:rsidRPr="00D31EBB" w:rsidRDefault="00D02BC8" w:rsidP="00826E45">
      <w:pPr>
        <w:pStyle w:val="EMEABodyTextIndent"/>
        <w:ind w:left="426" w:hanging="426"/>
      </w:pPr>
      <w:r>
        <w:t>pancreatitis (inflammation of the pancreas), gastritis (inflammation of the stomach), stomatitis aphthous (mouth ulcers and cold sores), dysgeusia (impairment of the sense of taste), flatulence (wind), dry mouth, abdominal distension</w:t>
      </w:r>
    </w:p>
    <w:p w14:paraId="3498C0B9" w14:textId="77777777" w:rsidR="00D02BC8" w:rsidRPr="00D31EBB" w:rsidRDefault="00D02BC8" w:rsidP="00826E45">
      <w:pPr>
        <w:pStyle w:val="EMEABodyTextIndent"/>
        <w:ind w:left="426" w:hanging="426"/>
      </w:pPr>
      <w:r>
        <w:t>angioedema (severe swelling of the skin and other tissues most often the lips or the eyes)</w:t>
      </w:r>
    </w:p>
    <w:p w14:paraId="63265524" w14:textId="77777777" w:rsidR="00D02BC8" w:rsidRPr="00D31EBB" w:rsidRDefault="00D02BC8" w:rsidP="00826E45">
      <w:pPr>
        <w:pStyle w:val="EMEABodyTextIndent"/>
        <w:ind w:left="426" w:hanging="426"/>
      </w:pPr>
      <w:r>
        <w:t>alopecia (unusual hair loss or thinning), pruritus (itching)</w:t>
      </w:r>
    </w:p>
    <w:p w14:paraId="509D4169" w14:textId="77777777" w:rsidR="00D02BC8" w:rsidRPr="00D31EBB" w:rsidRDefault="00D02BC8" w:rsidP="00826E45">
      <w:pPr>
        <w:pStyle w:val="EMEABodyTextIndent"/>
        <w:ind w:left="426" w:hanging="426"/>
      </w:pPr>
      <w:r>
        <w:t>muscle atrophy (muscle shrinkage), arthralgia (joint pain), myalgia (aching muscles)</w:t>
      </w:r>
    </w:p>
    <w:p w14:paraId="3BE3323C" w14:textId="77777777" w:rsidR="00D02BC8" w:rsidRPr="00D31EBB" w:rsidRDefault="00D02BC8" w:rsidP="00826E45">
      <w:pPr>
        <w:pStyle w:val="EMEABodyTextIndent"/>
        <w:ind w:left="426" w:hanging="426"/>
      </w:pPr>
      <w:r>
        <w:t>, interstitial nephritis (kidney inflammation), haematuria (blood in the urine), proteinuria (excess protein in the urine), pollakiuria (increased frequency of urination)</w:t>
      </w:r>
    </w:p>
    <w:p w14:paraId="160B0084" w14:textId="77777777" w:rsidR="00D02BC8" w:rsidRPr="00D31EBB" w:rsidRDefault="00D02BC8" w:rsidP="00826E45">
      <w:pPr>
        <w:pStyle w:val="EMEABodyTextIndent"/>
        <w:ind w:left="426" w:hanging="426"/>
      </w:pPr>
      <w:r>
        <w:t>gynaecomastia (breast enlargement in men)</w:t>
      </w:r>
    </w:p>
    <w:p w14:paraId="3F1F7DD4" w14:textId="77777777" w:rsidR="00D02BC8" w:rsidRPr="00D31EBB" w:rsidRDefault="00D02BC8" w:rsidP="00826E45">
      <w:pPr>
        <w:pStyle w:val="EMEABodyTextIndent"/>
        <w:ind w:left="426" w:hanging="426"/>
      </w:pPr>
      <w:r>
        <w:t>chest pain, malaise (generally feeling unwell), fever</w:t>
      </w:r>
    </w:p>
    <w:p w14:paraId="362AF87F" w14:textId="77777777" w:rsidR="00D02BC8" w:rsidRPr="004F3582" w:rsidRDefault="00D02BC8" w:rsidP="00826E45">
      <w:pPr>
        <w:pStyle w:val="EMEABodyTextIndent"/>
        <w:ind w:left="426" w:hanging="426"/>
      </w:pPr>
      <w:r>
        <w:t>insomnia (difficulty sleeping)</w:t>
      </w:r>
    </w:p>
    <w:p w14:paraId="298BE8BE" w14:textId="77777777" w:rsidR="00D02BC8" w:rsidRPr="00D31EBB" w:rsidRDefault="00D02BC8" w:rsidP="008B6CCB">
      <w:pPr>
        <w:pStyle w:val="EMEABodyText"/>
      </w:pPr>
      <w:r>
        <w:t xml:space="preserve">Rare (may affect up to 1 in 1,000 people): </w:t>
      </w:r>
    </w:p>
    <w:p w14:paraId="776C9B3C" w14:textId="77777777" w:rsidR="00D02BC8" w:rsidRPr="00D31EBB" w:rsidRDefault="00D02BC8" w:rsidP="00826E45">
      <w:pPr>
        <w:pStyle w:val="EMEABodyTextIndent"/>
        <w:ind w:left="426" w:hanging="426"/>
      </w:pPr>
      <w:r>
        <w:t>gait disturbance (abnormal manner of walking)</w:t>
      </w:r>
    </w:p>
    <w:p w14:paraId="1C8C4150" w14:textId="77777777" w:rsidR="00D02BC8" w:rsidRPr="004F3582" w:rsidRDefault="00D02BC8" w:rsidP="00826E45">
      <w:pPr>
        <w:pStyle w:val="EMEABodyTextIndent"/>
        <w:ind w:left="426" w:hanging="426"/>
      </w:pPr>
      <w:r>
        <w:t>oedema (swelling)</w:t>
      </w:r>
    </w:p>
    <w:p w14:paraId="4BB25EEC" w14:textId="77777777" w:rsidR="00D02BC8" w:rsidRPr="00D31EBB" w:rsidRDefault="00D02BC8" w:rsidP="00826E45">
      <w:pPr>
        <w:pStyle w:val="EMEABodyTextIndent"/>
        <w:ind w:left="426" w:hanging="426"/>
      </w:pPr>
      <w:r>
        <w:t>hepatosplenomegaly (enlargement of the liver and spleen)</w:t>
      </w:r>
    </w:p>
    <w:p w14:paraId="14F05ACE" w14:textId="77777777" w:rsidR="00D02BC8" w:rsidRPr="00D31EBB" w:rsidRDefault="00D02BC8" w:rsidP="00826E45">
      <w:pPr>
        <w:pStyle w:val="EMEABodyTextIndent"/>
        <w:ind w:left="426" w:hanging="426"/>
      </w:pPr>
      <w:r>
        <w:t>myopathy (aching muscles, muscle tenderness of weakness, not caused by exercise)</w:t>
      </w:r>
    </w:p>
    <w:p w14:paraId="63D846DB" w14:textId="77777777" w:rsidR="00D02BC8" w:rsidRPr="004F3582" w:rsidRDefault="00D02BC8" w:rsidP="00826E45">
      <w:pPr>
        <w:pStyle w:val="EMEABodyTextIndent"/>
        <w:ind w:left="426" w:hanging="426"/>
      </w:pPr>
      <w:r>
        <w:t>kidney pain</w:t>
      </w:r>
    </w:p>
    <w:p w14:paraId="7B233E55" w14:textId="77777777" w:rsidR="00D02BC8" w:rsidRPr="004F3582" w:rsidRDefault="00D02BC8" w:rsidP="008B6CCB">
      <w:pPr>
        <w:pStyle w:val="EMEABodyText"/>
      </w:pPr>
    </w:p>
    <w:p w14:paraId="121B4FF9" w14:textId="77777777" w:rsidR="00D02BC8" w:rsidRPr="004F3582" w:rsidRDefault="00D02BC8" w:rsidP="008B6CCB">
      <w:pPr>
        <w:pStyle w:val="EMEABodyText"/>
        <w:rPr>
          <w:b/>
        </w:rPr>
      </w:pPr>
      <w:r>
        <w:rPr>
          <w:b/>
        </w:rPr>
        <w:t>Reporting of side effects</w:t>
      </w:r>
    </w:p>
    <w:p w14:paraId="3CD7B822" w14:textId="77777777" w:rsidR="00D02BC8" w:rsidRPr="00D31EBB" w:rsidRDefault="00D02BC8" w:rsidP="00656E99">
      <w:pPr>
        <w:pStyle w:val="BodytextAgency"/>
        <w:spacing w:after="0" w:line="240" w:lineRule="auto"/>
      </w:pPr>
      <w:r>
        <w:t>If you get any side effects, talk to your doctor or nurse.</w:t>
      </w:r>
      <w:r>
        <w:rPr>
          <w:color w:val="FF0000"/>
          <w:szCs w:val="22"/>
        </w:rPr>
        <w:t xml:space="preserve"> </w:t>
      </w:r>
      <w:r>
        <w:t xml:space="preserve">This includes any possible side effects not listed in this leaflet. You can also report side effects directly via </w:t>
      </w:r>
      <w:r>
        <w:rPr>
          <w:szCs w:val="22"/>
          <w:highlight w:val="lightGray"/>
        </w:rPr>
        <w:t xml:space="preserve">the national reporting system listed in </w:t>
      </w:r>
      <w:hyperlink r:id="rId11" w:history="1">
        <w:r>
          <w:rPr>
            <w:rStyle w:val="Hyperlink"/>
            <w:szCs w:val="22"/>
            <w:highlight w:val="lightGray"/>
          </w:rPr>
          <w:t>Appendix V</w:t>
        </w:r>
      </w:hyperlink>
      <w:r>
        <w:t>. By reporting side effects you can help provide more information on the safety of this medicine.</w:t>
      </w:r>
    </w:p>
    <w:p w14:paraId="3ABFBE6D" w14:textId="77777777" w:rsidR="00D02BC8" w:rsidRPr="00D31EBB" w:rsidRDefault="00D02BC8" w:rsidP="008B6CCB">
      <w:pPr>
        <w:pStyle w:val="EMEABodyText"/>
        <w:rPr>
          <w:lang w:val="en-US"/>
        </w:rPr>
      </w:pPr>
    </w:p>
    <w:p w14:paraId="68F93FC6" w14:textId="77777777" w:rsidR="00D02BC8" w:rsidRPr="00D31EBB" w:rsidRDefault="00D02BC8" w:rsidP="008B6CCB">
      <w:pPr>
        <w:pStyle w:val="EMEABodyText"/>
        <w:rPr>
          <w:noProof/>
          <w:lang w:val="en-US"/>
        </w:rPr>
      </w:pPr>
    </w:p>
    <w:p w14:paraId="3D108983" w14:textId="77777777" w:rsidR="00D02BC8" w:rsidRPr="00D31EBB" w:rsidRDefault="00D02BC8" w:rsidP="00211509">
      <w:pPr>
        <w:pStyle w:val="EMEAHeading1"/>
        <w:rPr>
          <w:bCs/>
          <w:caps w:val="0"/>
        </w:rPr>
      </w:pPr>
      <w:r>
        <w:rPr>
          <w:bCs/>
          <w:caps w:val="0"/>
        </w:rPr>
        <w:t>5.</w:t>
      </w:r>
      <w:r>
        <w:rPr>
          <w:bCs/>
          <w:caps w:val="0"/>
        </w:rPr>
        <w:tab/>
        <w:t>How to store REYATAZ</w:t>
      </w:r>
    </w:p>
    <w:p w14:paraId="3E7846B9" w14:textId="77777777" w:rsidR="00D02BC8" w:rsidRPr="00D31EBB" w:rsidRDefault="00D02BC8" w:rsidP="00D961CF">
      <w:pPr>
        <w:pStyle w:val="EMEABodyText"/>
        <w:rPr>
          <w:noProof/>
          <w:lang w:val="en-US"/>
        </w:rPr>
      </w:pPr>
    </w:p>
    <w:p w14:paraId="273E02C5" w14:textId="77777777" w:rsidR="00D02BC8" w:rsidRPr="00D31EBB" w:rsidRDefault="00D02BC8" w:rsidP="008B6CCB">
      <w:pPr>
        <w:pStyle w:val="EMEABodyText"/>
      </w:pPr>
      <w:r>
        <w:t>Keep this medicine out of the sight and reach of children.</w:t>
      </w:r>
    </w:p>
    <w:p w14:paraId="10FD180F" w14:textId="77777777" w:rsidR="00D02BC8" w:rsidRPr="00D31EBB" w:rsidRDefault="00D02BC8" w:rsidP="008B6CCB">
      <w:pPr>
        <w:pStyle w:val="EMEABodyText"/>
        <w:rPr>
          <w:lang w:val="en-US"/>
        </w:rPr>
      </w:pPr>
    </w:p>
    <w:p w14:paraId="5890BEC8" w14:textId="77777777" w:rsidR="00D02BC8" w:rsidRPr="00D31EBB" w:rsidRDefault="00D02BC8" w:rsidP="008B6CCB">
      <w:pPr>
        <w:pStyle w:val="EMEABodyText"/>
      </w:pPr>
      <w:r>
        <w:t>Do not use this medicine after the expiry date which is stated on the label, carton or blister. The expiry date refers to the last day of that month.</w:t>
      </w:r>
    </w:p>
    <w:p w14:paraId="43F3D580" w14:textId="77777777" w:rsidR="00D02BC8" w:rsidRPr="00D31EBB" w:rsidRDefault="00D02BC8" w:rsidP="008B6CCB">
      <w:pPr>
        <w:pStyle w:val="EMEABodyText"/>
      </w:pPr>
      <w:r>
        <w:t>Do not store above 25°C.</w:t>
      </w:r>
    </w:p>
    <w:p w14:paraId="7C5256FA" w14:textId="77777777" w:rsidR="00D02BC8" w:rsidRPr="00D31EBB" w:rsidRDefault="00D02BC8" w:rsidP="008B6CCB">
      <w:pPr>
        <w:pStyle w:val="EMEABodyText"/>
        <w:rPr>
          <w:noProof/>
          <w:lang w:val="en-US"/>
        </w:rPr>
      </w:pPr>
    </w:p>
    <w:p w14:paraId="7DDFBFF5" w14:textId="77777777" w:rsidR="00D02BC8" w:rsidRPr="00D31EBB" w:rsidRDefault="00D02BC8" w:rsidP="008B6CCB">
      <w:pPr>
        <w:pStyle w:val="EMEABodyText"/>
        <w:rPr>
          <w:noProof/>
        </w:rPr>
      </w:pPr>
      <w:r>
        <w:t>Do not throw away any medicines via wastewater or household waste. Ask your pharmacist how to throw away medicines you no longer use. These measures will help protect the environment.</w:t>
      </w:r>
    </w:p>
    <w:p w14:paraId="0BD4260C" w14:textId="77777777" w:rsidR="00D02BC8" w:rsidRPr="00D31EBB" w:rsidRDefault="00D02BC8" w:rsidP="008B6CCB">
      <w:pPr>
        <w:pStyle w:val="EMEABodyText"/>
        <w:rPr>
          <w:b/>
          <w:noProof/>
          <w:lang w:val="en-US"/>
        </w:rPr>
      </w:pPr>
    </w:p>
    <w:p w14:paraId="64C46091" w14:textId="77777777" w:rsidR="00D02BC8" w:rsidRPr="00D31EBB" w:rsidRDefault="00D02BC8" w:rsidP="008B6CCB">
      <w:pPr>
        <w:pStyle w:val="EMEABodyText"/>
        <w:rPr>
          <w:b/>
          <w:noProof/>
          <w:lang w:val="en-US"/>
        </w:rPr>
      </w:pPr>
    </w:p>
    <w:p w14:paraId="5CB97C15" w14:textId="77777777" w:rsidR="00D02BC8" w:rsidRPr="00D31EBB" w:rsidRDefault="00D961CF" w:rsidP="00D961CF">
      <w:pPr>
        <w:pStyle w:val="EMEAHeading1"/>
        <w:rPr>
          <w:noProof/>
        </w:rPr>
      </w:pPr>
      <w:r>
        <w:rPr>
          <w:caps w:val="0"/>
        </w:rPr>
        <w:t>6.</w:t>
      </w:r>
      <w:r>
        <w:rPr>
          <w:caps w:val="0"/>
        </w:rPr>
        <w:tab/>
        <w:t>Contents of the pack and other information</w:t>
      </w:r>
    </w:p>
    <w:p w14:paraId="52DA1090" w14:textId="77777777" w:rsidR="00D02BC8" w:rsidRPr="00D31EBB" w:rsidRDefault="00D02BC8" w:rsidP="00D961CF">
      <w:pPr>
        <w:pStyle w:val="EMEABodyText"/>
        <w:rPr>
          <w:lang w:val="en-US"/>
        </w:rPr>
      </w:pPr>
    </w:p>
    <w:p w14:paraId="12BA4379" w14:textId="77777777" w:rsidR="00D02BC8" w:rsidRPr="004F3582" w:rsidRDefault="00D02BC8" w:rsidP="008B6CCB">
      <w:pPr>
        <w:pStyle w:val="EMEAHeading2"/>
        <w:rPr>
          <w:noProof/>
        </w:rPr>
      </w:pPr>
      <w:r>
        <w:t>What REYATAZ contains</w:t>
      </w:r>
    </w:p>
    <w:p w14:paraId="0EBB46A9" w14:textId="77777777" w:rsidR="00D02BC8" w:rsidRPr="004F3582" w:rsidRDefault="00D02BC8" w:rsidP="008B6CCB">
      <w:pPr>
        <w:pStyle w:val="EMEABodyText"/>
        <w:rPr>
          <w:noProof/>
        </w:rPr>
      </w:pPr>
    </w:p>
    <w:p w14:paraId="419282BB" w14:textId="77777777" w:rsidR="00D02BC8" w:rsidRPr="00D31EBB" w:rsidRDefault="00D02BC8" w:rsidP="00211509">
      <w:pPr>
        <w:pStyle w:val="EMEABodyText"/>
        <w:numPr>
          <w:ilvl w:val="0"/>
          <w:numId w:val="2"/>
        </w:numPr>
      </w:pPr>
      <w:r>
        <w:t xml:space="preserve">The active substance is atazanavir. Each capsule contains 150 mg of atazanavir (as sulphate). </w:t>
      </w:r>
    </w:p>
    <w:p w14:paraId="2CAE28C3" w14:textId="77777777" w:rsidR="00D02BC8" w:rsidRPr="00D31EBB" w:rsidRDefault="00D02BC8" w:rsidP="00211509">
      <w:pPr>
        <w:pStyle w:val="EMEABodyText"/>
        <w:numPr>
          <w:ilvl w:val="0"/>
          <w:numId w:val="2"/>
        </w:numPr>
      </w:pPr>
      <w:r>
        <w:t>The other ingredients are crospovidone, lactose monohydrate, and magnesium stearate. The capsule shell and printing ink contain gelatine, shellac, ammonium hydroxide, simethicone, propylene glycol, indigocarmin (E132) and titanium dioxide (E171).</w:t>
      </w:r>
    </w:p>
    <w:p w14:paraId="305E78BD" w14:textId="77777777" w:rsidR="00D02BC8" w:rsidRPr="00D31EBB" w:rsidRDefault="00D02BC8" w:rsidP="008B6CCB">
      <w:pPr>
        <w:pStyle w:val="EMEABodyText"/>
        <w:rPr>
          <w:b/>
          <w:noProof/>
          <w:lang w:val="en-US"/>
        </w:rPr>
      </w:pPr>
    </w:p>
    <w:p w14:paraId="334AB178" w14:textId="77777777" w:rsidR="00D02BC8" w:rsidRPr="00D31EBB" w:rsidRDefault="00D02BC8" w:rsidP="008B6CCB">
      <w:pPr>
        <w:pStyle w:val="EMEAHeading2"/>
        <w:rPr>
          <w:noProof/>
        </w:rPr>
      </w:pPr>
      <w:r>
        <w:t>What REYATAZ looks like and contents of the pack</w:t>
      </w:r>
    </w:p>
    <w:p w14:paraId="53871505" w14:textId="77777777" w:rsidR="00D02BC8" w:rsidRPr="00D31EBB" w:rsidRDefault="00D02BC8" w:rsidP="008B6CCB">
      <w:pPr>
        <w:pStyle w:val="EMEABodyText"/>
        <w:rPr>
          <w:b/>
          <w:noProof/>
          <w:lang w:val="en-US"/>
        </w:rPr>
      </w:pPr>
    </w:p>
    <w:p w14:paraId="003E4526" w14:textId="77777777" w:rsidR="00D02BC8" w:rsidRPr="00D31EBB" w:rsidRDefault="00D02BC8" w:rsidP="008B6CCB">
      <w:pPr>
        <w:pStyle w:val="EMEABodyText"/>
      </w:pPr>
      <w:r>
        <w:t xml:space="preserve">Each capsule of REYATAZ 150 mg contains 150 mg atazanavir. </w:t>
      </w:r>
    </w:p>
    <w:p w14:paraId="6FEF7E98" w14:textId="77777777" w:rsidR="00D02BC8" w:rsidRPr="00D31EBB" w:rsidRDefault="00D02BC8" w:rsidP="008B6CCB">
      <w:pPr>
        <w:pStyle w:val="EMEABodyText"/>
      </w:pPr>
      <w:r>
        <w:t>Opaque blue and powder blue capsule printed with white and blue inks, with "BMS 150 mg" on one half and with "3624" on the other half.</w:t>
      </w:r>
    </w:p>
    <w:p w14:paraId="51D88B79" w14:textId="77777777" w:rsidR="00D02BC8" w:rsidRPr="00D31EBB" w:rsidRDefault="00D02BC8" w:rsidP="008B6CCB">
      <w:pPr>
        <w:pStyle w:val="EMEABodyText"/>
        <w:rPr>
          <w:lang w:val="en-US"/>
        </w:rPr>
      </w:pPr>
    </w:p>
    <w:p w14:paraId="7B6B8BBA" w14:textId="77777777" w:rsidR="00D02BC8" w:rsidRPr="00D31EBB" w:rsidRDefault="00D02BC8" w:rsidP="008B6CCB">
      <w:pPr>
        <w:pStyle w:val="EMEABodyText"/>
      </w:pPr>
      <w:r>
        <w:t xml:space="preserve">REYATAZ 150 mg hard capsules are supplied in bottles of 60 capsules. </w:t>
      </w:r>
    </w:p>
    <w:p w14:paraId="67DC588D" w14:textId="77777777" w:rsidR="00D02BC8" w:rsidRPr="00D31EBB" w:rsidRDefault="00D02BC8" w:rsidP="008B6CCB">
      <w:pPr>
        <w:pStyle w:val="EMEABodyText"/>
        <w:rPr>
          <w:lang w:val="en-US"/>
        </w:rPr>
      </w:pPr>
    </w:p>
    <w:p w14:paraId="0B3E0E57" w14:textId="77777777" w:rsidR="00D02BC8" w:rsidRPr="00D31EBB" w:rsidRDefault="00D02BC8" w:rsidP="008B6CCB">
      <w:pPr>
        <w:pStyle w:val="EMEABodyText"/>
      </w:pPr>
      <w:r>
        <w:t>REYATAZ 150 mg hard capsules are also supplied in blister strips in packs of 60 capsules.</w:t>
      </w:r>
    </w:p>
    <w:p w14:paraId="66B8CF68" w14:textId="77777777" w:rsidR="00D02BC8" w:rsidRPr="00D31EBB" w:rsidRDefault="00D02BC8" w:rsidP="008B6CCB">
      <w:pPr>
        <w:pStyle w:val="EMEABodyText"/>
        <w:rPr>
          <w:lang w:val="en-US"/>
        </w:rPr>
      </w:pPr>
    </w:p>
    <w:p w14:paraId="5AF9C4A3" w14:textId="77777777" w:rsidR="00D02BC8" w:rsidRPr="00D31EBB" w:rsidRDefault="00D02BC8" w:rsidP="008B6CCB">
      <w:pPr>
        <w:pStyle w:val="EMEABodyText"/>
      </w:pPr>
      <w:r>
        <w:t xml:space="preserve">Not all pack sizes may be marketed in all countries. </w:t>
      </w:r>
    </w:p>
    <w:p w14:paraId="3AF984B8" w14:textId="77777777" w:rsidR="00D02BC8" w:rsidRPr="00D31EBB" w:rsidRDefault="00D02BC8" w:rsidP="008B6CCB">
      <w:pPr>
        <w:pStyle w:val="EMEABodyText"/>
        <w:rPr>
          <w:noProof/>
          <w:lang w:val="en-US"/>
        </w:rPr>
      </w:pPr>
    </w:p>
    <w:p w14:paraId="11656914" w14:textId="77777777" w:rsidR="00D02BC8" w:rsidRPr="00D31EBB" w:rsidRDefault="00EA2170" w:rsidP="008B6CCB">
      <w:pPr>
        <w:pStyle w:val="EMEAHeading2"/>
        <w:rPr>
          <w:noProof/>
        </w:rPr>
      </w:pPr>
      <w:r>
        <w:t>Marketing Authorisation Holder</w:t>
      </w:r>
    </w:p>
    <w:p w14:paraId="7A7CDCC2" w14:textId="77777777" w:rsidR="00D02BC8" w:rsidRPr="00D31EBB" w:rsidRDefault="00D02BC8" w:rsidP="008B6CCB">
      <w:pPr>
        <w:pStyle w:val="EMEABodyText"/>
        <w:rPr>
          <w:lang w:val="en-US"/>
        </w:rPr>
      </w:pPr>
    </w:p>
    <w:p w14:paraId="70189D1E"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7B507537" w14:textId="77777777" w:rsidR="00965E20" w:rsidRDefault="00965E20" w:rsidP="00965E20">
      <w:pPr>
        <w:numPr>
          <w:ilvl w:val="12"/>
          <w:numId w:val="0"/>
        </w:numPr>
      </w:pPr>
      <w:r>
        <w:t xml:space="preserve">Ireland </w:t>
      </w:r>
    </w:p>
    <w:p w14:paraId="232DFD08" w14:textId="3DE99ACF" w:rsidR="00D02BC8" w:rsidRPr="00D31EBB" w:rsidRDefault="00D02BC8" w:rsidP="00965E20">
      <w:pPr>
        <w:numPr>
          <w:ilvl w:val="12"/>
          <w:numId w:val="0"/>
        </w:numPr>
      </w:pPr>
    </w:p>
    <w:p w14:paraId="3650EDCE" w14:textId="77777777" w:rsidR="00D02BC8" w:rsidRPr="00D31EBB" w:rsidRDefault="00D02BC8" w:rsidP="00191AFE">
      <w:pPr>
        <w:pStyle w:val="EMEAAddress"/>
        <w:rPr>
          <w:b/>
          <w:lang w:val="en-US"/>
        </w:rPr>
      </w:pPr>
    </w:p>
    <w:p w14:paraId="59BFBFC4" w14:textId="77777777" w:rsidR="00D02BC8" w:rsidRPr="00D31EBB" w:rsidRDefault="00EA2170" w:rsidP="008B6CCB">
      <w:pPr>
        <w:pStyle w:val="EMEAHeading2"/>
      </w:pPr>
      <w:r>
        <w:t>Manufacturer</w:t>
      </w:r>
    </w:p>
    <w:p w14:paraId="2C2CAA6E" w14:textId="77777777" w:rsidR="00D02BC8" w:rsidRPr="00D31EBB" w:rsidRDefault="00D02BC8" w:rsidP="008B6CCB">
      <w:pPr>
        <w:pStyle w:val="EMEABodyText"/>
        <w:rPr>
          <w:lang w:val="en-US"/>
        </w:rPr>
      </w:pPr>
    </w:p>
    <w:p w14:paraId="78385B4A" w14:textId="1AB6121D" w:rsidR="009859F2" w:rsidRPr="00B65509" w:rsidRDefault="009859F2" w:rsidP="009859F2">
      <w:pPr>
        <w:pStyle w:val="EMEABodyText"/>
        <w:rPr>
          <w:lang w:val="fr-BE"/>
        </w:rPr>
      </w:pPr>
      <w:r w:rsidRPr="00B65509">
        <w:rPr>
          <w:lang w:val="fr-BE"/>
        </w:rPr>
        <w:t>CATALENT ANAGNI S.R.L.</w:t>
      </w:r>
    </w:p>
    <w:p w14:paraId="25131B86" w14:textId="78202381" w:rsidR="009859F2" w:rsidRDefault="009859F2" w:rsidP="009859F2">
      <w:pPr>
        <w:pStyle w:val="EMEABodyText"/>
        <w:rPr>
          <w:lang w:val="en-GB"/>
        </w:rPr>
      </w:pPr>
      <w:r>
        <w:rPr>
          <w:lang w:val="en-GB"/>
        </w:rPr>
        <w:t>Loc.</w:t>
      </w:r>
      <w:r w:rsidRPr="00B65509">
        <w:rPr>
          <w:lang w:val="en-GB"/>
        </w:rPr>
        <w:t xml:space="preserve"> Fontana del Ceraso</w:t>
      </w:r>
      <w:r>
        <w:rPr>
          <w:lang w:val="en-GB"/>
        </w:rPr>
        <w:t xml:space="preserve"> snc</w:t>
      </w:r>
    </w:p>
    <w:p w14:paraId="69139E0C" w14:textId="77777777" w:rsidR="009859F2" w:rsidRPr="00B65509" w:rsidRDefault="009859F2" w:rsidP="009859F2">
      <w:pPr>
        <w:pStyle w:val="EMEABodyText"/>
        <w:rPr>
          <w:lang w:val="en-GB"/>
        </w:rPr>
      </w:pPr>
      <w:r w:rsidRPr="00B65509">
        <w:rPr>
          <w:lang w:val="en-GB"/>
        </w:rPr>
        <w:t>Strada Provinciale 12 Casilina, 41</w:t>
      </w:r>
    </w:p>
    <w:p w14:paraId="30A31F4E" w14:textId="77777777" w:rsidR="009859F2" w:rsidRDefault="009859F2" w:rsidP="009859F2">
      <w:pPr>
        <w:pStyle w:val="EMEABodyText"/>
        <w:rPr>
          <w:lang w:val="en-GB"/>
        </w:rPr>
      </w:pPr>
      <w:r w:rsidRPr="00B65509">
        <w:rPr>
          <w:lang w:val="en-GB"/>
        </w:rPr>
        <w:t>03012 Anagni (FR)</w:t>
      </w:r>
    </w:p>
    <w:p w14:paraId="7CF4D138" w14:textId="77777777" w:rsidR="009859F2" w:rsidRPr="00B65509" w:rsidRDefault="009859F2" w:rsidP="009859F2">
      <w:pPr>
        <w:pStyle w:val="EMEABodyText"/>
        <w:rPr>
          <w:lang w:val="en-GB"/>
        </w:rPr>
      </w:pPr>
      <w:r w:rsidRPr="00B65509">
        <w:rPr>
          <w:lang w:val="en-GB"/>
        </w:rPr>
        <w:t>Italy</w:t>
      </w:r>
    </w:p>
    <w:p w14:paraId="79F39540" w14:textId="77777777" w:rsidR="00987911" w:rsidRDefault="00987911" w:rsidP="00987911">
      <w:pPr>
        <w:pStyle w:val="EMEABodyText"/>
        <w:rPr>
          <w:noProof/>
          <w:lang w:val="es-ES"/>
        </w:rPr>
      </w:pPr>
    </w:p>
    <w:p w14:paraId="10B1B35C" w14:textId="77777777" w:rsidR="00987911" w:rsidRPr="00A77657" w:rsidRDefault="00987911" w:rsidP="00987911">
      <w:pPr>
        <w:pStyle w:val="EMEABodyText"/>
        <w:rPr>
          <w:highlight w:val="lightGray"/>
          <w:lang w:val="en-GB"/>
        </w:rPr>
      </w:pPr>
      <w:r w:rsidRPr="00A77657">
        <w:rPr>
          <w:highlight w:val="lightGray"/>
          <w:lang w:val="en-GB"/>
        </w:rPr>
        <w:t>Swords Laboratories T/A Bristol-Myers Squibb Pharmaceutical Operations, External Manufacturing</w:t>
      </w:r>
    </w:p>
    <w:p w14:paraId="0C3A94AF" w14:textId="77777777" w:rsidR="00987911" w:rsidRPr="00A77657" w:rsidRDefault="00987911" w:rsidP="00987911">
      <w:pPr>
        <w:pStyle w:val="EMEABodyText"/>
        <w:rPr>
          <w:highlight w:val="lightGray"/>
          <w:lang w:val="en-GB"/>
        </w:rPr>
      </w:pPr>
      <w:r w:rsidRPr="00A77657">
        <w:rPr>
          <w:highlight w:val="lightGray"/>
          <w:lang w:val="en-GB"/>
        </w:rPr>
        <w:t>Plaza 254</w:t>
      </w:r>
    </w:p>
    <w:p w14:paraId="3E66C342" w14:textId="77777777" w:rsidR="00987911" w:rsidRPr="00A77657" w:rsidRDefault="00987911" w:rsidP="00987911">
      <w:pPr>
        <w:pStyle w:val="EMEABodyText"/>
        <w:rPr>
          <w:highlight w:val="lightGray"/>
          <w:lang w:val="en-GB"/>
        </w:rPr>
      </w:pPr>
      <w:r w:rsidRPr="00A77657">
        <w:rPr>
          <w:highlight w:val="lightGray"/>
          <w:lang w:val="en-GB"/>
        </w:rPr>
        <w:t>Blanchardstown Corporate Park 2</w:t>
      </w:r>
    </w:p>
    <w:p w14:paraId="075D91F9" w14:textId="77777777" w:rsidR="00987911" w:rsidRPr="00A77657" w:rsidRDefault="00987911" w:rsidP="00987911">
      <w:pPr>
        <w:pStyle w:val="EMEABodyText"/>
        <w:rPr>
          <w:highlight w:val="lightGray"/>
          <w:lang w:val="en-GB"/>
        </w:rPr>
      </w:pPr>
      <w:r w:rsidRPr="00A77657">
        <w:rPr>
          <w:highlight w:val="lightGray"/>
          <w:lang w:val="en-GB"/>
        </w:rPr>
        <w:t>Dublin 15, D15 T867</w:t>
      </w:r>
    </w:p>
    <w:p w14:paraId="2BB5AC83" w14:textId="77777777" w:rsidR="00987911" w:rsidRPr="00B65509" w:rsidRDefault="00987911" w:rsidP="00987911">
      <w:pPr>
        <w:pStyle w:val="EMEABodyText"/>
        <w:rPr>
          <w:lang w:val="en-GB"/>
        </w:rPr>
      </w:pPr>
      <w:r w:rsidRPr="00A77657">
        <w:rPr>
          <w:highlight w:val="lightGray"/>
          <w:lang w:val="en-GB"/>
        </w:rPr>
        <w:t>Ireland</w:t>
      </w:r>
    </w:p>
    <w:p w14:paraId="570B4209" w14:textId="77777777" w:rsidR="009859F2" w:rsidRDefault="009859F2" w:rsidP="009859F2">
      <w:pPr>
        <w:pStyle w:val="EMEABodyText"/>
        <w:rPr>
          <w:noProof/>
          <w:lang w:val="es-ES"/>
        </w:rPr>
      </w:pPr>
    </w:p>
    <w:p w14:paraId="4C139B84" w14:textId="77777777" w:rsidR="00D02BC8" w:rsidRPr="00324E2C" w:rsidRDefault="00D02BC8" w:rsidP="008B6CCB">
      <w:pPr>
        <w:pStyle w:val="EMEABodyText"/>
        <w:rPr>
          <w:noProof/>
          <w:lang w:val="es-ES"/>
        </w:rPr>
      </w:pPr>
    </w:p>
    <w:p w14:paraId="274206BF" w14:textId="77777777" w:rsidR="00D02BC8" w:rsidRPr="00D31EBB" w:rsidRDefault="00D02BC8" w:rsidP="008B6CCB">
      <w:pPr>
        <w:pStyle w:val="EMEABodyText"/>
      </w:pPr>
      <w:r>
        <w:t>For any further information about this medicine, please contact the local representative of the Marketing Authorisation Holder:</w:t>
      </w:r>
    </w:p>
    <w:p w14:paraId="2B09A787" w14:textId="77777777" w:rsidR="00D02BC8" w:rsidRPr="00D31EBB" w:rsidRDefault="00D02BC8" w:rsidP="008B6CCB">
      <w:pPr>
        <w:pStyle w:val="EMEABodyText"/>
        <w:rPr>
          <w:noProof/>
          <w:lang w:val="en-US"/>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D02BC8" w:rsidRPr="004F3582" w14:paraId="018C9DFA" w14:textId="77777777">
        <w:trPr>
          <w:cantSplit/>
          <w:trHeight w:val="904"/>
        </w:trPr>
        <w:tc>
          <w:tcPr>
            <w:tcW w:w="4536" w:type="dxa"/>
          </w:tcPr>
          <w:p w14:paraId="2C6CAD3A" w14:textId="77777777" w:rsidR="00D02BC8" w:rsidRPr="004F3582" w:rsidRDefault="00D02BC8" w:rsidP="008B6CCB">
            <w:pPr>
              <w:pStyle w:val="EMEATableLeft"/>
              <w:keepNext w:val="0"/>
              <w:keepLines w:val="0"/>
              <w:widowControl w:val="0"/>
              <w:rPr>
                <w:b/>
                <w:bCs/>
              </w:rPr>
            </w:pPr>
            <w:r>
              <w:rPr>
                <w:b/>
                <w:bCs/>
              </w:rPr>
              <w:t>Belgique/België/Belgien</w:t>
            </w:r>
          </w:p>
          <w:p w14:paraId="603E52F9" w14:textId="77777777" w:rsidR="00D02BC8" w:rsidRPr="004F3582" w:rsidRDefault="00D02BC8" w:rsidP="008B6CCB">
            <w:pPr>
              <w:rPr>
                <w:bCs/>
                <w:szCs w:val="22"/>
              </w:rPr>
            </w:pPr>
            <w:r>
              <w:t>N.V. Bristol-Myers Squibb Belgium S.A.</w:t>
            </w:r>
          </w:p>
          <w:p w14:paraId="5202108B" w14:textId="77777777" w:rsidR="00D02BC8" w:rsidRPr="004F3582" w:rsidRDefault="00D02BC8" w:rsidP="008B6CCB">
            <w:pPr>
              <w:pStyle w:val="EMEATableLeft"/>
              <w:keepNext w:val="0"/>
              <w:keepLines w:val="0"/>
              <w:widowControl w:val="0"/>
            </w:pPr>
            <w:r>
              <w:t>Tél/Tel: + 32 2 352 76 11</w:t>
            </w:r>
          </w:p>
          <w:p w14:paraId="34418887" w14:textId="77777777" w:rsidR="00D02BC8" w:rsidRPr="004F3582" w:rsidRDefault="00D02BC8" w:rsidP="008B6CCB">
            <w:pPr>
              <w:pStyle w:val="EMEATableLeft"/>
              <w:keepNext w:val="0"/>
              <w:keepLines w:val="0"/>
              <w:widowControl w:val="0"/>
            </w:pPr>
          </w:p>
        </w:tc>
        <w:tc>
          <w:tcPr>
            <w:tcW w:w="4536" w:type="dxa"/>
          </w:tcPr>
          <w:p w14:paraId="511F6953" w14:textId="77777777" w:rsidR="00D02BC8" w:rsidRPr="00D31EBB" w:rsidRDefault="00D02BC8" w:rsidP="008B6CCB">
            <w:pPr>
              <w:pStyle w:val="EMEATableLeft"/>
              <w:keepNext w:val="0"/>
              <w:keepLines w:val="0"/>
              <w:widowControl w:val="0"/>
            </w:pPr>
            <w:r>
              <w:rPr>
                <w:b/>
                <w:bCs/>
              </w:rPr>
              <w:t>Lietuva</w:t>
            </w:r>
          </w:p>
          <w:p w14:paraId="3D187D87" w14:textId="77777777" w:rsidR="00D02BC8" w:rsidRPr="00D31EBB" w:rsidRDefault="00D02BC8" w:rsidP="008B6CCB">
            <w:pPr>
              <w:pStyle w:val="EMEABodyText"/>
              <w:widowControl w:val="0"/>
            </w:pPr>
            <w:r>
              <w:t>Bristol-Myers Squibb Kft.</w:t>
            </w:r>
          </w:p>
          <w:p w14:paraId="6F947EDA" w14:textId="77777777" w:rsidR="00D02BC8" w:rsidRPr="004F3582" w:rsidRDefault="00B10B04" w:rsidP="008B6CCB">
            <w:pPr>
              <w:pStyle w:val="EMEATableLeft"/>
              <w:keepNext w:val="0"/>
              <w:keepLines w:val="0"/>
              <w:widowControl w:val="0"/>
            </w:pPr>
            <w:r>
              <w:t>Tel: + 370 52 369140</w:t>
            </w:r>
          </w:p>
          <w:p w14:paraId="2ED37718" w14:textId="77777777" w:rsidR="00D02BC8" w:rsidRPr="004F3582" w:rsidRDefault="00D02BC8" w:rsidP="008B6CCB">
            <w:pPr>
              <w:pStyle w:val="EMEATableLeft"/>
              <w:keepNext w:val="0"/>
              <w:keepLines w:val="0"/>
              <w:widowControl w:val="0"/>
            </w:pPr>
          </w:p>
        </w:tc>
      </w:tr>
      <w:tr w:rsidR="00D02BC8" w:rsidRPr="004F3582" w14:paraId="1BF23BC1" w14:textId="77777777">
        <w:trPr>
          <w:cantSplit/>
          <w:trHeight w:val="892"/>
        </w:trPr>
        <w:tc>
          <w:tcPr>
            <w:tcW w:w="4536" w:type="dxa"/>
          </w:tcPr>
          <w:p w14:paraId="0A953386" w14:textId="77777777" w:rsidR="00D02BC8" w:rsidRPr="00D31EBB" w:rsidRDefault="00D02BC8" w:rsidP="008B6CCB">
            <w:pPr>
              <w:autoSpaceDE w:val="0"/>
              <w:autoSpaceDN w:val="0"/>
              <w:adjustRightInd w:val="0"/>
              <w:rPr>
                <w:b/>
                <w:bCs/>
                <w:szCs w:val="22"/>
              </w:rPr>
            </w:pPr>
            <w:r>
              <w:rPr>
                <w:b/>
                <w:bCs/>
                <w:szCs w:val="22"/>
              </w:rPr>
              <w:t>България</w:t>
            </w:r>
          </w:p>
          <w:p w14:paraId="18E65BE6" w14:textId="77777777" w:rsidR="00D02BC8" w:rsidRPr="00D31EBB" w:rsidRDefault="00D02BC8" w:rsidP="008B6CCB">
            <w:pPr>
              <w:pStyle w:val="EMEABodyText"/>
              <w:widowControl w:val="0"/>
            </w:pPr>
            <w:r>
              <w:t>Bristol-Myers Squibb Kft.</w:t>
            </w:r>
          </w:p>
          <w:p w14:paraId="586038B8" w14:textId="77777777" w:rsidR="00D02BC8" w:rsidRPr="004F3582" w:rsidRDefault="00D02BC8" w:rsidP="008B6CCB">
            <w:pPr>
              <w:pStyle w:val="EMEATableLeft"/>
              <w:keepNext w:val="0"/>
              <w:keepLines w:val="0"/>
              <w:widowControl w:val="0"/>
            </w:pPr>
            <w:r>
              <w:t>Teл.: + 359 800 12 400</w:t>
            </w:r>
          </w:p>
          <w:p w14:paraId="7E6CC8D6" w14:textId="77777777" w:rsidR="00D02BC8" w:rsidRPr="004F3582" w:rsidRDefault="00D02BC8" w:rsidP="008B6CCB">
            <w:pPr>
              <w:autoSpaceDE w:val="0"/>
              <w:autoSpaceDN w:val="0"/>
              <w:adjustRightInd w:val="0"/>
              <w:rPr>
                <w:rFonts w:ascii="TimesNewRoman" w:hAnsi="TimesNewRoman"/>
                <w:szCs w:val="22"/>
              </w:rPr>
            </w:pPr>
          </w:p>
        </w:tc>
        <w:tc>
          <w:tcPr>
            <w:tcW w:w="4536" w:type="dxa"/>
          </w:tcPr>
          <w:p w14:paraId="2E61C81B" w14:textId="77777777" w:rsidR="00D02BC8" w:rsidRPr="004F3582" w:rsidRDefault="00D02BC8" w:rsidP="008B6CCB">
            <w:pPr>
              <w:pStyle w:val="EMEATableLeft"/>
              <w:keepNext w:val="0"/>
              <w:keepLines w:val="0"/>
              <w:widowControl w:val="0"/>
            </w:pPr>
            <w:r>
              <w:rPr>
                <w:b/>
                <w:bCs/>
              </w:rPr>
              <w:t>Luxembourg/Luxemburg</w:t>
            </w:r>
          </w:p>
          <w:p w14:paraId="78469224" w14:textId="77777777" w:rsidR="00D02BC8" w:rsidRPr="004F3582" w:rsidRDefault="00D02BC8" w:rsidP="008B6CCB">
            <w:pPr>
              <w:rPr>
                <w:bCs/>
                <w:szCs w:val="22"/>
              </w:rPr>
            </w:pPr>
            <w:r>
              <w:t>N.V. Bristol-Myers Squibb Belgium S.A.</w:t>
            </w:r>
          </w:p>
          <w:p w14:paraId="46616338" w14:textId="77777777" w:rsidR="00D02BC8" w:rsidRPr="004F3582" w:rsidRDefault="00D02BC8" w:rsidP="008B6CCB">
            <w:pPr>
              <w:pStyle w:val="EMEATableLeft"/>
              <w:keepNext w:val="0"/>
              <w:keepLines w:val="0"/>
              <w:widowControl w:val="0"/>
            </w:pPr>
            <w:r>
              <w:t>Tél/Tel: + 32 2 352 76 11</w:t>
            </w:r>
          </w:p>
          <w:p w14:paraId="212823CD" w14:textId="77777777" w:rsidR="00D02BC8" w:rsidRPr="004F3582" w:rsidRDefault="00D02BC8" w:rsidP="008B6CCB">
            <w:pPr>
              <w:pStyle w:val="EMEATableLeft"/>
              <w:keepNext w:val="0"/>
              <w:keepLines w:val="0"/>
              <w:widowControl w:val="0"/>
            </w:pPr>
          </w:p>
        </w:tc>
      </w:tr>
      <w:tr w:rsidR="00D02BC8" w:rsidRPr="004F3582" w14:paraId="03E68B50" w14:textId="77777777">
        <w:trPr>
          <w:cantSplit/>
          <w:trHeight w:val="904"/>
        </w:trPr>
        <w:tc>
          <w:tcPr>
            <w:tcW w:w="4536" w:type="dxa"/>
          </w:tcPr>
          <w:p w14:paraId="36EB0B25" w14:textId="77777777" w:rsidR="00D02BC8" w:rsidRPr="00D31EBB" w:rsidRDefault="00D02BC8" w:rsidP="008B6CCB">
            <w:pPr>
              <w:pStyle w:val="EMEATableLeft"/>
              <w:keepNext w:val="0"/>
              <w:keepLines w:val="0"/>
              <w:widowControl w:val="0"/>
              <w:rPr>
                <w:b/>
                <w:bCs/>
              </w:rPr>
            </w:pPr>
            <w:r>
              <w:rPr>
                <w:b/>
                <w:bCs/>
              </w:rPr>
              <w:t>Česká republika</w:t>
            </w:r>
          </w:p>
          <w:p w14:paraId="72174E79" w14:textId="77777777" w:rsidR="00D02BC8" w:rsidRPr="00D31EBB" w:rsidRDefault="00D02BC8" w:rsidP="008B6CCB">
            <w:pPr>
              <w:pStyle w:val="EMEABodyText"/>
              <w:widowControl w:val="0"/>
            </w:pPr>
            <w:r>
              <w:t>Bristol-Myers Squibb spol. s r.o.</w:t>
            </w:r>
          </w:p>
          <w:p w14:paraId="032A7577" w14:textId="77777777" w:rsidR="00D02BC8" w:rsidRPr="004F3582" w:rsidRDefault="00D02BC8" w:rsidP="008B6CCB">
            <w:pPr>
              <w:pStyle w:val="EMEATableLeft"/>
              <w:keepNext w:val="0"/>
              <w:keepLines w:val="0"/>
              <w:widowControl w:val="0"/>
            </w:pPr>
            <w:r>
              <w:t>Tel: + 420 221 016 111</w:t>
            </w:r>
          </w:p>
          <w:p w14:paraId="0EE9134D" w14:textId="77777777" w:rsidR="00D02BC8" w:rsidRPr="004F3582" w:rsidRDefault="00D02BC8" w:rsidP="008B6CCB">
            <w:pPr>
              <w:pStyle w:val="EMEATableLeft"/>
              <w:keepNext w:val="0"/>
              <w:keepLines w:val="0"/>
              <w:widowControl w:val="0"/>
            </w:pPr>
          </w:p>
        </w:tc>
        <w:tc>
          <w:tcPr>
            <w:tcW w:w="4536" w:type="dxa"/>
          </w:tcPr>
          <w:p w14:paraId="1E9625E0" w14:textId="77777777" w:rsidR="00D02BC8" w:rsidRPr="00D31EBB" w:rsidRDefault="00D02BC8" w:rsidP="008B6CCB">
            <w:pPr>
              <w:pStyle w:val="EMEATableLeft"/>
              <w:keepNext w:val="0"/>
              <w:keepLines w:val="0"/>
              <w:widowControl w:val="0"/>
              <w:rPr>
                <w:b/>
                <w:bCs/>
              </w:rPr>
            </w:pPr>
            <w:r>
              <w:rPr>
                <w:b/>
                <w:bCs/>
              </w:rPr>
              <w:t>Magyarország</w:t>
            </w:r>
          </w:p>
          <w:p w14:paraId="0137D600" w14:textId="77777777" w:rsidR="00D02BC8" w:rsidRPr="00D31EBB" w:rsidRDefault="00D02BC8" w:rsidP="008B6CCB">
            <w:pPr>
              <w:pStyle w:val="EMEABodyText"/>
              <w:widowControl w:val="0"/>
            </w:pPr>
            <w:r>
              <w:t>Bristol-Myers Squibb Kft.</w:t>
            </w:r>
          </w:p>
          <w:p w14:paraId="56196663" w14:textId="77777777" w:rsidR="00D02BC8" w:rsidRPr="004F3582" w:rsidRDefault="00D02BC8" w:rsidP="008B6CCB">
            <w:pPr>
              <w:pStyle w:val="EMEATableLeft"/>
              <w:keepNext w:val="0"/>
              <w:keepLines w:val="0"/>
              <w:widowControl w:val="0"/>
            </w:pPr>
            <w:r>
              <w:t>Tel.: + 36 1 9206 550</w:t>
            </w:r>
          </w:p>
          <w:p w14:paraId="2779BA23" w14:textId="77777777" w:rsidR="00D02BC8" w:rsidRPr="004F3582" w:rsidRDefault="00D02BC8" w:rsidP="008B6CCB">
            <w:pPr>
              <w:pStyle w:val="EMEATableLeft"/>
              <w:keepNext w:val="0"/>
              <w:keepLines w:val="0"/>
              <w:widowControl w:val="0"/>
            </w:pPr>
          </w:p>
        </w:tc>
      </w:tr>
      <w:tr w:rsidR="00D02BC8" w:rsidRPr="004F3582" w14:paraId="68645C6F" w14:textId="77777777">
        <w:trPr>
          <w:cantSplit/>
          <w:trHeight w:val="904"/>
        </w:trPr>
        <w:tc>
          <w:tcPr>
            <w:tcW w:w="4536" w:type="dxa"/>
          </w:tcPr>
          <w:p w14:paraId="3E7B3130" w14:textId="77777777" w:rsidR="00D02BC8" w:rsidRPr="00D31EBB" w:rsidRDefault="00D02BC8" w:rsidP="008B6CCB">
            <w:pPr>
              <w:pStyle w:val="EMEATableLeft"/>
              <w:keepNext w:val="0"/>
              <w:keepLines w:val="0"/>
              <w:widowControl w:val="0"/>
              <w:rPr>
                <w:b/>
                <w:bCs/>
              </w:rPr>
            </w:pPr>
            <w:r>
              <w:rPr>
                <w:b/>
                <w:bCs/>
              </w:rPr>
              <w:t>Danmark</w:t>
            </w:r>
          </w:p>
          <w:p w14:paraId="171ACFF6" w14:textId="77777777" w:rsidR="00D02BC8" w:rsidRPr="00D31EBB" w:rsidRDefault="00D02BC8" w:rsidP="008B6CCB">
            <w:pPr>
              <w:pStyle w:val="EMEABodyText"/>
              <w:widowControl w:val="0"/>
            </w:pPr>
            <w:r>
              <w:t>Bristol-Myers Squibb</w:t>
            </w:r>
          </w:p>
          <w:p w14:paraId="7AA8DBD1" w14:textId="77777777" w:rsidR="00D02BC8" w:rsidRPr="00D31EBB" w:rsidRDefault="00D02BC8" w:rsidP="008B6CCB">
            <w:pPr>
              <w:pStyle w:val="EMEATableLeft"/>
              <w:keepNext w:val="0"/>
              <w:keepLines w:val="0"/>
              <w:widowControl w:val="0"/>
            </w:pPr>
            <w:r>
              <w:t>Tlf: + 45 45 93 05 06</w:t>
            </w:r>
          </w:p>
          <w:p w14:paraId="3B05DDC2" w14:textId="77777777" w:rsidR="00D02BC8" w:rsidRPr="00D31EBB" w:rsidRDefault="00D02BC8" w:rsidP="008B6CCB">
            <w:pPr>
              <w:pStyle w:val="EMEATableLeft"/>
              <w:keepNext w:val="0"/>
              <w:keepLines w:val="0"/>
              <w:widowControl w:val="0"/>
              <w:rPr>
                <w:lang w:val="en-US"/>
              </w:rPr>
            </w:pPr>
          </w:p>
        </w:tc>
        <w:tc>
          <w:tcPr>
            <w:tcW w:w="4536" w:type="dxa"/>
          </w:tcPr>
          <w:p w14:paraId="6B1926A1" w14:textId="77777777" w:rsidR="00D02BC8" w:rsidRPr="00D31EBB" w:rsidRDefault="00D02BC8" w:rsidP="008B6CCB">
            <w:pPr>
              <w:pStyle w:val="EMEATableLeft"/>
              <w:keepNext w:val="0"/>
              <w:keepLines w:val="0"/>
              <w:widowControl w:val="0"/>
              <w:rPr>
                <w:b/>
                <w:bCs/>
              </w:rPr>
            </w:pPr>
            <w:r>
              <w:rPr>
                <w:b/>
                <w:bCs/>
              </w:rPr>
              <w:t>Malta</w:t>
            </w:r>
          </w:p>
          <w:p w14:paraId="3EEBCF72" w14:textId="77777777" w:rsidR="00D02BC8" w:rsidRPr="00D31EBB" w:rsidRDefault="00D02BC8" w:rsidP="008B6CCB">
            <w:pPr>
              <w:pStyle w:val="EMEABodyText"/>
              <w:widowControl w:val="0"/>
              <w:rPr>
                <w:smallCaps/>
              </w:rPr>
            </w:pPr>
            <w:r>
              <w:rPr>
                <w:smallCaps/>
              </w:rPr>
              <w:t>Bristol-Myers Squibb S.r.l.</w:t>
            </w:r>
          </w:p>
          <w:p w14:paraId="7782240C" w14:textId="77777777" w:rsidR="00D02BC8" w:rsidRPr="004F3582" w:rsidRDefault="00D02BC8" w:rsidP="008B6CCB">
            <w:pPr>
              <w:pStyle w:val="EMEATableLeft"/>
              <w:keepNext w:val="0"/>
              <w:keepLines w:val="0"/>
              <w:widowControl w:val="0"/>
            </w:pPr>
            <w:r>
              <w:t>Tel: + 39 06 50 39 61</w:t>
            </w:r>
          </w:p>
          <w:p w14:paraId="56ADE62E" w14:textId="77777777" w:rsidR="00D02BC8" w:rsidRPr="004F3582" w:rsidRDefault="00D02BC8" w:rsidP="008B6CCB">
            <w:pPr>
              <w:pStyle w:val="EMEATableLeft"/>
              <w:keepNext w:val="0"/>
              <w:keepLines w:val="0"/>
              <w:widowControl w:val="0"/>
            </w:pPr>
          </w:p>
        </w:tc>
      </w:tr>
      <w:tr w:rsidR="00D02BC8" w:rsidRPr="004F3582" w14:paraId="7A776255" w14:textId="77777777">
        <w:trPr>
          <w:cantSplit/>
          <w:trHeight w:val="892"/>
        </w:trPr>
        <w:tc>
          <w:tcPr>
            <w:tcW w:w="4536" w:type="dxa"/>
          </w:tcPr>
          <w:p w14:paraId="6D3AF37A" w14:textId="77777777" w:rsidR="00D02BC8" w:rsidRPr="00D31EBB" w:rsidRDefault="00D02BC8" w:rsidP="008B6CCB">
            <w:pPr>
              <w:pStyle w:val="EMEATableLeft"/>
              <w:keepNext w:val="0"/>
              <w:keepLines w:val="0"/>
              <w:widowControl w:val="0"/>
            </w:pPr>
            <w:r>
              <w:rPr>
                <w:b/>
                <w:bCs/>
              </w:rPr>
              <w:t>Deutschland</w:t>
            </w:r>
          </w:p>
          <w:p w14:paraId="099B7168" w14:textId="77777777" w:rsidR="00D02BC8" w:rsidRPr="004F3582" w:rsidRDefault="00D02BC8" w:rsidP="008B6CCB">
            <w:pPr>
              <w:pStyle w:val="EMEABodyText"/>
              <w:widowControl w:val="0"/>
            </w:pPr>
            <w:r>
              <w:t>Bristol-Myers Squibb GmbH &amp; Co. KGaA</w:t>
            </w:r>
          </w:p>
          <w:p w14:paraId="2B5A4D6B" w14:textId="77777777" w:rsidR="00D02BC8" w:rsidRPr="004F3582" w:rsidRDefault="00D02BC8" w:rsidP="008B6CCB">
            <w:pPr>
              <w:pStyle w:val="EMEATableLeft"/>
              <w:keepNext w:val="0"/>
              <w:keepLines w:val="0"/>
              <w:widowControl w:val="0"/>
            </w:pPr>
            <w:r>
              <w:t>Tel: + 49 89 121 42-0</w:t>
            </w:r>
          </w:p>
          <w:p w14:paraId="4258C2E9" w14:textId="77777777" w:rsidR="00D02BC8" w:rsidRPr="004F3582" w:rsidRDefault="00D02BC8" w:rsidP="008B6CCB">
            <w:pPr>
              <w:pStyle w:val="EMEATableLeft"/>
              <w:keepNext w:val="0"/>
              <w:keepLines w:val="0"/>
              <w:widowControl w:val="0"/>
            </w:pPr>
          </w:p>
        </w:tc>
        <w:tc>
          <w:tcPr>
            <w:tcW w:w="4536" w:type="dxa"/>
          </w:tcPr>
          <w:p w14:paraId="623A3198" w14:textId="77777777" w:rsidR="00D02BC8" w:rsidRPr="00D31EBB" w:rsidRDefault="00D02BC8" w:rsidP="008B6CCB">
            <w:pPr>
              <w:pStyle w:val="EMEATableLeft"/>
              <w:keepNext w:val="0"/>
              <w:keepLines w:val="0"/>
              <w:widowControl w:val="0"/>
            </w:pPr>
            <w:r>
              <w:rPr>
                <w:b/>
                <w:bCs/>
              </w:rPr>
              <w:t>Nederland</w:t>
            </w:r>
          </w:p>
          <w:p w14:paraId="6D8D82F6" w14:textId="77777777" w:rsidR="00D02BC8" w:rsidRPr="00D31EBB" w:rsidRDefault="00D02BC8" w:rsidP="008B6CCB">
            <w:pPr>
              <w:pStyle w:val="EMEABodyText"/>
              <w:widowControl w:val="0"/>
            </w:pPr>
            <w:r>
              <w:t>Bristol-Myers Squibb B.V.</w:t>
            </w:r>
          </w:p>
          <w:p w14:paraId="68E60309" w14:textId="77777777" w:rsidR="00D02BC8" w:rsidRPr="004F3582" w:rsidRDefault="00D02BC8" w:rsidP="008B6CCB">
            <w:pPr>
              <w:pStyle w:val="EMEATableLeft"/>
              <w:keepNext w:val="0"/>
              <w:keepLines w:val="0"/>
              <w:widowControl w:val="0"/>
            </w:pPr>
            <w:r>
              <w:t>Tel: + 31 (0)30 300 2222</w:t>
            </w:r>
          </w:p>
          <w:p w14:paraId="5B0F7138" w14:textId="77777777" w:rsidR="00D02BC8" w:rsidRPr="004F3582" w:rsidRDefault="00D02BC8" w:rsidP="008B6CCB"/>
        </w:tc>
      </w:tr>
      <w:tr w:rsidR="00D02BC8" w:rsidRPr="004F3582" w14:paraId="77A46E72" w14:textId="77777777">
        <w:trPr>
          <w:cantSplit/>
          <w:trHeight w:val="880"/>
        </w:trPr>
        <w:tc>
          <w:tcPr>
            <w:tcW w:w="4536" w:type="dxa"/>
          </w:tcPr>
          <w:p w14:paraId="510453C9" w14:textId="77777777" w:rsidR="00D02BC8" w:rsidRPr="00D31EBB" w:rsidRDefault="00D02BC8" w:rsidP="008B6CCB">
            <w:pPr>
              <w:pStyle w:val="EMEATableLeft"/>
              <w:keepNext w:val="0"/>
              <w:keepLines w:val="0"/>
              <w:widowControl w:val="0"/>
            </w:pPr>
            <w:r>
              <w:rPr>
                <w:b/>
                <w:bCs/>
              </w:rPr>
              <w:t>Eesti</w:t>
            </w:r>
          </w:p>
          <w:p w14:paraId="2E0F1811" w14:textId="77777777" w:rsidR="00D02BC8" w:rsidRPr="00D31EBB" w:rsidRDefault="00D02BC8" w:rsidP="008B6CCB">
            <w:pPr>
              <w:pStyle w:val="EMEABodyText"/>
              <w:widowControl w:val="0"/>
            </w:pPr>
            <w:r>
              <w:t>Bristol-Myers Squibb Kft.</w:t>
            </w:r>
          </w:p>
          <w:p w14:paraId="141B1A0C" w14:textId="77777777" w:rsidR="00D02BC8" w:rsidRPr="004F3582" w:rsidRDefault="00D02BC8" w:rsidP="008B6CCB">
            <w:pPr>
              <w:pStyle w:val="EMEATableLeft"/>
              <w:keepNext w:val="0"/>
              <w:keepLines w:val="0"/>
              <w:widowControl w:val="0"/>
            </w:pPr>
            <w:r>
              <w:t>Tel: + 372 640 1030</w:t>
            </w:r>
          </w:p>
          <w:p w14:paraId="6EC2F7FA" w14:textId="77777777" w:rsidR="00D02BC8" w:rsidRPr="004F3582" w:rsidRDefault="00D02BC8" w:rsidP="008B6CCB">
            <w:pPr>
              <w:pStyle w:val="EMEATableLeft"/>
              <w:keepNext w:val="0"/>
              <w:keepLines w:val="0"/>
              <w:widowControl w:val="0"/>
            </w:pPr>
          </w:p>
        </w:tc>
        <w:tc>
          <w:tcPr>
            <w:tcW w:w="4536" w:type="dxa"/>
          </w:tcPr>
          <w:p w14:paraId="48B025CF" w14:textId="77777777" w:rsidR="00D02BC8" w:rsidRPr="00D31EBB" w:rsidRDefault="00D02BC8" w:rsidP="008B6CCB">
            <w:pPr>
              <w:pStyle w:val="EMEATableLeft"/>
              <w:keepNext w:val="0"/>
              <w:keepLines w:val="0"/>
              <w:widowControl w:val="0"/>
              <w:rPr>
                <w:b/>
                <w:bCs/>
              </w:rPr>
            </w:pPr>
            <w:r>
              <w:rPr>
                <w:b/>
                <w:bCs/>
              </w:rPr>
              <w:t>Norge</w:t>
            </w:r>
          </w:p>
          <w:p w14:paraId="28A756EF" w14:textId="77777777" w:rsidR="00D02BC8" w:rsidRPr="00D31EBB" w:rsidRDefault="00D02BC8" w:rsidP="008B6CCB">
            <w:pPr>
              <w:pStyle w:val="EMEABodyText"/>
              <w:widowControl w:val="0"/>
            </w:pPr>
            <w:r>
              <w:t>Bristol-Myers Squibb Norway Ltd</w:t>
            </w:r>
          </w:p>
          <w:p w14:paraId="36BED568" w14:textId="77777777" w:rsidR="00D02BC8" w:rsidRPr="004F3582" w:rsidRDefault="00D02BC8" w:rsidP="008B6CCB">
            <w:pPr>
              <w:pStyle w:val="EMEATableLeft"/>
              <w:keepNext w:val="0"/>
              <w:keepLines w:val="0"/>
              <w:widowControl w:val="0"/>
            </w:pPr>
            <w:r>
              <w:t>Tlf: + 47 67 55 53 50</w:t>
            </w:r>
          </w:p>
          <w:p w14:paraId="520DD4AA" w14:textId="77777777" w:rsidR="00D02BC8" w:rsidRPr="004F3582" w:rsidRDefault="00D02BC8" w:rsidP="008B6CCB">
            <w:pPr>
              <w:pStyle w:val="EMEATableLeft"/>
              <w:keepNext w:val="0"/>
              <w:keepLines w:val="0"/>
              <w:widowControl w:val="0"/>
            </w:pPr>
          </w:p>
        </w:tc>
      </w:tr>
      <w:tr w:rsidR="00D02BC8" w:rsidRPr="00965E20" w14:paraId="33B8DC68" w14:textId="77777777">
        <w:trPr>
          <w:cantSplit/>
          <w:trHeight w:val="952"/>
        </w:trPr>
        <w:tc>
          <w:tcPr>
            <w:tcW w:w="4536" w:type="dxa"/>
          </w:tcPr>
          <w:p w14:paraId="7A2E12CE" w14:textId="77777777" w:rsidR="00D02BC8" w:rsidRPr="00D31EBB" w:rsidRDefault="00D02BC8" w:rsidP="008B6CCB">
            <w:pPr>
              <w:pStyle w:val="EMEATableLeft"/>
              <w:keepNext w:val="0"/>
              <w:keepLines w:val="0"/>
              <w:widowControl w:val="0"/>
            </w:pPr>
            <w:r>
              <w:rPr>
                <w:b/>
                <w:bCs/>
              </w:rPr>
              <w:t>Ελλάδα</w:t>
            </w:r>
          </w:p>
          <w:p w14:paraId="549471BB" w14:textId="77777777" w:rsidR="00D02BC8" w:rsidRPr="00D31EBB" w:rsidRDefault="00D02BC8" w:rsidP="008B6CCB">
            <w:pPr>
              <w:pStyle w:val="EMEABodyText"/>
              <w:widowControl w:val="0"/>
            </w:pPr>
            <w:r>
              <w:rPr>
                <w:smallCaps/>
              </w:rPr>
              <w:t>Bristol-Myers Squibb A.E.</w:t>
            </w:r>
          </w:p>
          <w:p w14:paraId="5DDBE760" w14:textId="77777777" w:rsidR="00D02BC8" w:rsidRPr="004F3582" w:rsidRDefault="00D02BC8" w:rsidP="008B6CCB">
            <w:pPr>
              <w:pStyle w:val="EMEATableLeft"/>
              <w:keepNext w:val="0"/>
              <w:keepLines w:val="0"/>
              <w:widowControl w:val="0"/>
            </w:pPr>
            <w:r>
              <w:t>Τηλ: + 30 210 6074300</w:t>
            </w:r>
          </w:p>
          <w:p w14:paraId="584842E9" w14:textId="77777777" w:rsidR="00D02BC8" w:rsidRPr="004F3582" w:rsidRDefault="00D02BC8" w:rsidP="008B6CCB">
            <w:pPr>
              <w:pStyle w:val="EMEATableLeft"/>
              <w:keepNext w:val="0"/>
              <w:keepLines w:val="0"/>
              <w:widowControl w:val="0"/>
            </w:pPr>
          </w:p>
        </w:tc>
        <w:tc>
          <w:tcPr>
            <w:tcW w:w="4536" w:type="dxa"/>
          </w:tcPr>
          <w:p w14:paraId="673BDA34" w14:textId="77777777" w:rsidR="00D02BC8" w:rsidRPr="00D31EBB" w:rsidRDefault="00D02BC8" w:rsidP="008B6CCB">
            <w:pPr>
              <w:pStyle w:val="EMEATableLeft"/>
              <w:keepNext w:val="0"/>
              <w:keepLines w:val="0"/>
              <w:widowControl w:val="0"/>
            </w:pPr>
            <w:r>
              <w:rPr>
                <w:b/>
                <w:bCs/>
              </w:rPr>
              <w:t>Österreich</w:t>
            </w:r>
          </w:p>
          <w:p w14:paraId="7E2EFCDD" w14:textId="77777777" w:rsidR="00D02BC8" w:rsidRPr="00D31EBB" w:rsidRDefault="00D02BC8" w:rsidP="008B6CCB">
            <w:pPr>
              <w:pStyle w:val="EMEABodyText"/>
              <w:widowControl w:val="0"/>
            </w:pPr>
            <w:r>
              <w:t>Bristol-Myers Squibb GesmbH</w:t>
            </w:r>
          </w:p>
          <w:p w14:paraId="6BA7B3C7" w14:textId="77777777" w:rsidR="00D02BC8" w:rsidRPr="00D31EBB" w:rsidRDefault="00D02BC8" w:rsidP="008B6CCB">
            <w:pPr>
              <w:pStyle w:val="EMEATableLeft"/>
              <w:keepNext w:val="0"/>
              <w:keepLines w:val="0"/>
              <w:widowControl w:val="0"/>
            </w:pPr>
            <w:r>
              <w:t>Tel: + 43 1 60 14 30</w:t>
            </w:r>
          </w:p>
          <w:p w14:paraId="1BA8BF20" w14:textId="77777777" w:rsidR="00D02BC8" w:rsidRPr="00D31EBB" w:rsidRDefault="00D02BC8" w:rsidP="008B6CCB">
            <w:pPr>
              <w:pStyle w:val="EMEATableLeft"/>
              <w:keepNext w:val="0"/>
              <w:keepLines w:val="0"/>
              <w:widowControl w:val="0"/>
              <w:rPr>
                <w:lang w:val="en-US"/>
              </w:rPr>
            </w:pPr>
          </w:p>
        </w:tc>
      </w:tr>
      <w:tr w:rsidR="00D02BC8" w:rsidRPr="004F3582" w14:paraId="2501773E" w14:textId="77777777">
        <w:trPr>
          <w:cantSplit/>
          <w:trHeight w:val="1111"/>
        </w:trPr>
        <w:tc>
          <w:tcPr>
            <w:tcW w:w="4536" w:type="dxa"/>
          </w:tcPr>
          <w:p w14:paraId="55EC5AF2" w14:textId="77777777" w:rsidR="00D02BC8" w:rsidRPr="00D31EBB" w:rsidRDefault="00D02BC8" w:rsidP="008B6CCB">
            <w:pPr>
              <w:pStyle w:val="EMEATableLeft"/>
              <w:keepNext w:val="0"/>
              <w:keepLines w:val="0"/>
              <w:widowControl w:val="0"/>
            </w:pPr>
            <w:r>
              <w:rPr>
                <w:b/>
                <w:bCs/>
              </w:rPr>
              <w:t>España</w:t>
            </w:r>
          </w:p>
          <w:p w14:paraId="6769D598" w14:textId="77777777" w:rsidR="00D02BC8" w:rsidRPr="00D31EBB" w:rsidRDefault="00D02BC8" w:rsidP="008B6CCB">
            <w:pPr>
              <w:pStyle w:val="EMEABodyText"/>
              <w:widowControl w:val="0"/>
              <w:rPr>
                <w:smallCaps/>
              </w:rPr>
            </w:pPr>
            <w:r>
              <w:rPr>
                <w:smallCaps/>
              </w:rPr>
              <w:t>Bristol-Myers Squibb, S.A.</w:t>
            </w:r>
          </w:p>
          <w:p w14:paraId="623426B2" w14:textId="77777777" w:rsidR="00D02BC8" w:rsidRPr="004F3582" w:rsidRDefault="00D02BC8" w:rsidP="008B6CCB">
            <w:pPr>
              <w:pStyle w:val="EMEATableLeft"/>
              <w:keepNext w:val="0"/>
              <w:keepLines w:val="0"/>
              <w:widowControl w:val="0"/>
            </w:pPr>
            <w:r>
              <w:t>Tel: + 34 91 456 53 00</w:t>
            </w:r>
          </w:p>
          <w:p w14:paraId="05BD6BE2" w14:textId="77777777" w:rsidR="00D02BC8" w:rsidRPr="004F3582" w:rsidRDefault="00D02BC8" w:rsidP="008B6CCB">
            <w:pPr>
              <w:pStyle w:val="EMEATableLeft"/>
              <w:keepNext w:val="0"/>
              <w:keepLines w:val="0"/>
              <w:widowControl w:val="0"/>
            </w:pPr>
          </w:p>
        </w:tc>
        <w:tc>
          <w:tcPr>
            <w:tcW w:w="4536" w:type="dxa"/>
          </w:tcPr>
          <w:p w14:paraId="4EE0822F" w14:textId="77777777" w:rsidR="00D02BC8" w:rsidRPr="00D31EBB" w:rsidRDefault="00D02BC8" w:rsidP="008B6CCB">
            <w:pPr>
              <w:pStyle w:val="EMEATableLeft"/>
              <w:keepNext w:val="0"/>
              <w:keepLines w:val="0"/>
              <w:widowControl w:val="0"/>
            </w:pPr>
            <w:r>
              <w:rPr>
                <w:b/>
                <w:bCs/>
              </w:rPr>
              <w:t>Polska</w:t>
            </w:r>
          </w:p>
          <w:p w14:paraId="15EF310C" w14:textId="77777777" w:rsidR="00D02BC8" w:rsidRPr="004F3582" w:rsidRDefault="00D02BC8" w:rsidP="008B6CCB">
            <w:pPr>
              <w:pStyle w:val="EMEABodyText"/>
              <w:widowControl w:val="0"/>
            </w:pPr>
            <w:r>
              <w:rPr>
                <w:smallCaps/>
              </w:rPr>
              <w:t>Bristol-Myers Squibb Polska Sp. z o.o.</w:t>
            </w:r>
          </w:p>
          <w:p w14:paraId="14396963" w14:textId="77777777" w:rsidR="00D02BC8" w:rsidRPr="004F3582" w:rsidRDefault="00D02BC8" w:rsidP="008B6CCB">
            <w:pPr>
              <w:pStyle w:val="EMEATableLeft"/>
              <w:keepNext w:val="0"/>
              <w:keepLines w:val="0"/>
              <w:widowControl w:val="0"/>
            </w:pPr>
            <w:r>
              <w:t>Tel.: + 48 22 5796666</w:t>
            </w:r>
          </w:p>
          <w:p w14:paraId="798CAE23" w14:textId="77777777" w:rsidR="00D02BC8" w:rsidRPr="004F3582" w:rsidRDefault="00D02BC8" w:rsidP="008B6CCB">
            <w:pPr>
              <w:pStyle w:val="EMEATableLeft"/>
              <w:keepNext w:val="0"/>
              <w:keepLines w:val="0"/>
              <w:widowControl w:val="0"/>
            </w:pPr>
          </w:p>
        </w:tc>
      </w:tr>
      <w:tr w:rsidR="00D02BC8" w:rsidRPr="004F3582" w14:paraId="2EF361B4" w14:textId="77777777">
        <w:trPr>
          <w:cantSplit/>
          <w:trHeight w:val="892"/>
        </w:trPr>
        <w:tc>
          <w:tcPr>
            <w:tcW w:w="4536" w:type="dxa"/>
          </w:tcPr>
          <w:p w14:paraId="4448492F" w14:textId="77777777" w:rsidR="00D02BC8" w:rsidRPr="004F3582" w:rsidRDefault="00D02BC8" w:rsidP="008B6CCB">
            <w:pPr>
              <w:pStyle w:val="EMEATableLeft"/>
              <w:keepNext w:val="0"/>
              <w:keepLines w:val="0"/>
              <w:widowControl w:val="0"/>
            </w:pPr>
            <w:r>
              <w:rPr>
                <w:b/>
                <w:bCs/>
              </w:rPr>
              <w:t>France</w:t>
            </w:r>
          </w:p>
          <w:p w14:paraId="242C6ABD" w14:textId="77777777" w:rsidR="00D02BC8" w:rsidRPr="004F3582" w:rsidRDefault="00D02BC8" w:rsidP="008B6CCB">
            <w:r>
              <w:t>Bristol-Myers Squibb SARL</w:t>
            </w:r>
          </w:p>
          <w:p w14:paraId="5707A642" w14:textId="77777777" w:rsidR="00D02BC8" w:rsidRPr="004F3582" w:rsidRDefault="00D02BC8" w:rsidP="008B6CCB">
            <w:pPr>
              <w:pStyle w:val="EMEATableLeft"/>
              <w:keepNext w:val="0"/>
              <w:keepLines w:val="0"/>
              <w:widowControl w:val="0"/>
            </w:pPr>
            <w:r>
              <w:t>Tél: + 33 (0) 1 58 83 84 96</w:t>
            </w:r>
          </w:p>
          <w:p w14:paraId="5B820465" w14:textId="77777777" w:rsidR="00D02BC8" w:rsidRPr="004F3582" w:rsidRDefault="00D02BC8" w:rsidP="008B6CCB">
            <w:pPr>
              <w:pStyle w:val="EMEABodyText"/>
              <w:widowControl w:val="0"/>
              <w:rPr>
                <w:smallCaps/>
              </w:rPr>
            </w:pPr>
          </w:p>
        </w:tc>
        <w:tc>
          <w:tcPr>
            <w:tcW w:w="4536" w:type="dxa"/>
          </w:tcPr>
          <w:p w14:paraId="25EF8F67" w14:textId="77777777" w:rsidR="00D02BC8" w:rsidRPr="0096648A" w:rsidRDefault="00D02BC8" w:rsidP="008B6CCB">
            <w:pPr>
              <w:pStyle w:val="EMEATableLeft"/>
              <w:keepNext w:val="0"/>
              <w:keepLines w:val="0"/>
              <w:widowControl w:val="0"/>
            </w:pPr>
            <w:r>
              <w:rPr>
                <w:b/>
                <w:bCs/>
              </w:rPr>
              <w:t>Portugal</w:t>
            </w:r>
          </w:p>
          <w:p w14:paraId="725D2DCB" w14:textId="77777777" w:rsidR="00D02BC8" w:rsidRPr="0096648A" w:rsidRDefault="00D02BC8" w:rsidP="008B6CCB">
            <w:pPr>
              <w:pStyle w:val="EMEABodyText"/>
              <w:widowControl w:val="0"/>
            </w:pPr>
            <w:r>
              <w:t>Bristol-Myers Squibb Farmacêutica Portuguesa, S.A.</w:t>
            </w:r>
          </w:p>
          <w:p w14:paraId="7BB2BA9B" w14:textId="77777777" w:rsidR="00D02BC8" w:rsidRPr="004F3582" w:rsidRDefault="00D02BC8" w:rsidP="008B6CCB">
            <w:pPr>
              <w:pStyle w:val="EMEATableLeft"/>
              <w:keepNext w:val="0"/>
              <w:keepLines w:val="0"/>
              <w:widowControl w:val="0"/>
            </w:pPr>
            <w:r>
              <w:t>Tel: + 351 21 440 70 00</w:t>
            </w:r>
          </w:p>
          <w:p w14:paraId="12ADC1E0" w14:textId="77777777" w:rsidR="00D02BC8" w:rsidRPr="004F3582" w:rsidRDefault="00D02BC8" w:rsidP="008B6CCB">
            <w:pPr>
              <w:pStyle w:val="EMEATableLeft"/>
              <w:keepNext w:val="0"/>
              <w:keepLines w:val="0"/>
              <w:widowControl w:val="0"/>
            </w:pPr>
          </w:p>
        </w:tc>
      </w:tr>
      <w:tr w:rsidR="00D02BC8" w:rsidRPr="004F3582" w14:paraId="7734F32B" w14:textId="77777777">
        <w:trPr>
          <w:cantSplit/>
          <w:trHeight w:val="892"/>
        </w:trPr>
        <w:tc>
          <w:tcPr>
            <w:tcW w:w="4536" w:type="dxa"/>
          </w:tcPr>
          <w:p w14:paraId="49F7FA20" w14:textId="77777777" w:rsidR="00D02BC8" w:rsidRPr="00D31EBB" w:rsidRDefault="00D02BC8" w:rsidP="008B6CCB">
            <w:pPr>
              <w:pStyle w:val="EMEATableLeft"/>
              <w:keepNext w:val="0"/>
              <w:keepLines w:val="0"/>
              <w:widowControl w:val="0"/>
              <w:rPr>
                <w:smallCaps/>
              </w:rPr>
            </w:pPr>
            <w:r>
              <w:rPr>
                <w:b/>
                <w:bCs/>
              </w:rPr>
              <w:t>Hrvatska</w:t>
            </w:r>
          </w:p>
          <w:p w14:paraId="49437F42" w14:textId="77777777" w:rsidR="00D02BC8" w:rsidRPr="00D31EBB" w:rsidRDefault="00D02BC8" w:rsidP="008B6CCB">
            <w:pPr>
              <w:pStyle w:val="EMEABodyText"/>
              <w:widowControl w:val="0"/>
            </w:pPr>
            <w:r>
              <w:t>Bristol-Myers Squibb spol. s r.o.</w:t>
            </w:r>
          </w:p>
          <w:p w14:paraId="3D75D474" w14:textId="77777777" w:rsidR="00D02BC8" w:rsidRPr="004F3582" w:rsidRDefault="00D02BC8" w:rsidP="008B6CCB">
            <w:pPr>
              <w:pStyle w:val="EMEABodyText"/>
              <w:widowControl w:val="0"/>
              <w:rPr>
                <w:smallCaps/>
              </w:rPr>
            </w:pPr>
            <w:r>
              <w:rPr>
                <w:smallCaps/>
              </w:rPr>
              <w:t>Tel: + 385 1 2078 508</w:t>
            </w:r>
          </w:p>
          <w:p w14:paraId="6C6438EF" w14:textId="77777777" w:rsidR="00D02BC8" w:rsidRPr="004F3582" w:rsidRDefault="00D02BC8" w:rsidP="008B6CCB">
            <w:pPr>
              <w:pStyle w:val="EMEATableLeft"/>
              <w:keepNext w:val="0"/>
              <w:keepLines w:val="0"/>
              <w:widowControl w:val="0"/>
              <w:rPr>
                <w:b/>
                <w:bCs/>
              </w:rPr>
            </w:pPr>
          </w:p>
        </w:tc>
        <w:tc>
          <w:tcPr>
            <w:tcW w:w="4536" w:type="dxa"/>
          </w:tcPr>
          <w:p w14:paraId="5BE91E03" w14:textId="77777777" w:rsidR="00D02BC8" w:rsidRPr="00D31EBB" w:rsidRDefault="00D02BC8" w:rsidP="008B6CCB">
            <w:pPr>
              <w:pStyle w:val="EMEATableLeft"/>
              <w:keepNext w:val="0"/>
              <w:keepLines w:val="0"/>
              <w:widowControl w:val="0"/>
              <w:rPr>
                <w:b/>
                <w:noProof/>
                <w:szCs w:val="22"/>
              </w:rPr>
            </w:pPr>
            <w:r>
              <w:rPr>
                <w:b/>
                <w:bCs/>
              </w:rPr>
              <w:t>România</w:t>
            </w:r>
          </w:p>
          <w:p w14:paraId="1931363A" w14:textId="77777777" w:rsidR="00D02BC8" w:rsidRPr="00D31EBB" w:rsidRDefault="00D02BC8" w:rsidP="008B6CCB">
            <w:pPr>
              <w:pStyle w:val="EMEABodyText"/>
              <w:widowControl w:val="0"/>
            </w:pPr>
            <w:r>
              <w:t>Bristol-Myers Squibb Kft.</w:t>
            </w:r>
          </w:p>
          <w:p w14:paraId="0FFA2072" w14:textId="77777777" w:rsidR="00D02BC8" w:rsidRPr="004F3582" w:rsidRDefault="00D02BC8" w:rsidP="008B6CCB">
            <w:pPr>
              <w:pStyle w:val="EMEATableLeft"/>
              <w:keepNext w:val="0"/>
              <w:keepLines w:val="0"/>
              <w:widowControl w:val="0"/>
            </w:pPr>
            <w:r>
              <w:t>Tel: + 40 (0)21 272 16 00</w:t>
            </w:r>
          </w:p>
          <w:p w14:paraId="09BB72EF" w14:textId="77777777" w:rsidR="00D02BC8" w:rsidRPr="004F3582" w:rsidRDefault="00D02BC8" w:rsidP="008B6CCB">
            <w:pPr>
              <w:pStyle w:val="EMEATableLeft"/>
              <w:keepNext w:val="0"/>
              <w:keepLines w:val="0"/>
              <w:widowControl w:val="0"/>
              <w:rPr>
                <w:noProof/>
                <w:szCs w:val="22"/>
              </w:rPr>
            </w:pPr>
          </w:p>
        </w:tc>
      </w:tr>
      <w:tr w:rsidR="00D02BC8" w:rsidRPr="004F3582" w14:paraId="55D47865" w14:textId="77777777">
        <w:trPr>
          <w:cantSplit/>
          <w:trHeight w:val="892"/>
        </w:trPr>
        <w:tc>
          <w:tcPr>
            <w:tcW w:w="4536" w:type="dxa"/>
          </w:tcPr>
          <w:p w14:paraId="4561A93D" w14:textId="77777777" w:rsidR="00D02BC8" w:rsidRPr="00D31EBB" w:rsidRDefault="00D02BC8" w:rsidP="008B6CCB">
            <w:pPr>
              <w:pStyle w:val="EMEATableLeft"/>
              <w:keepNext w:val="0"/>
              <w:keepLines w:val="0"/>
              <w:widowControl w:val="0"/>
            </w:pPr>
            <w:r>
              <w:rPr>
                <w:b/>
                <w:bCs/>
              </w:rPr>
              <w:t>Ireland</w:t>
            </w:r>
          </w:p>
          <w:p w14:paraId="4EA6634C" w14:textId="77777777" w:rsidR="00D02BC8" w:rsidRPr="00D31EBB" w:rsidRDefault="00D02BC8" w:rsidP="008B6CCB">
            <w:pPr>
              <w:pStyle w:val="EMEABodyText"/>
              <w:widowControl w:val="0"/>
            </w:pPr>
            <w:r>
              <w:t>Bristol-Myers Squibb Pharmaceuticals uc</w:t>
            </w:r>
          </w:p>
          <w:p w14:paraId="603C4827" w14:textId="77777777" w:rsidR="00D02BC8" w:rsidRPr="004F3582" w:rsidRDefault="00D02BC8" w:rsidP="008B6CCB">
            <w:pPr>
              <w:pStyle w:val="EMEATableLeft"/>
              <w:keepNext w:val="0"/>
              <w:keepLines w:val="0"/>
              <w:widowControl w:val="0"/>
            </w:pPr>
            <w:r>
              <w:t>Tel: + 353 (0)1 483 3625</w:t>
            </w:r>
          </w:p>
          <w:p w14:paraId="03A8EF71" w14:textId="77777777" w:rsidR="00D02BC8" w:rsidRPr="004F3582" w:rsidRDefault="00D02BC8" w:rsidP="008B6CCB">
            <w:pPr>
              <w:pStyle w:val="EMEATableLeft"/>
              <w:keepNext w:val="0"/>
              <w:keepLines w:val="0"/>
              <w:widowControl w:val="0"/>
            </w:pPr>
          </w:p>
        </w:tc>
        <w:tc>
          <w:tcPr>
            <w:tcW w:w="4536" w:type="dxa"/>
          </w:tcPr>
          <w:p w14:paraId="02F66B6A" w14:textId="77777777" w:rsidR="00D02BC8" w:rsidRPr="00D31EBB" w:rsidRDefault="00D02BC8" w:rsidP="008B6CCB">
            <w:pPr>
              <w:pStyle w:val="EMEATableLeft"/>
              <w:keepNext w:val="0"/>
              <w:keepLines w:val="0"/>
              <w:widowControl w:val="0"/>
            </w:pPr>
            <w:r>
              <w:rPr>
                <w:b/>
                <w:bCs/>
              </w:rPr>
              <w:t>Slovenija</w:t>
            </w:r>
          </w:p>
          <w:p w14:paraId="42837F2D" w14:textId="77777777" w:rsidR="00D02BC8" w:rsidRPr="00D31EBB" w:rsidRDefault="00D02BC8" w:rsidP="008B6CCB">
            <w:pPr>
              <w:pStyle w:val="EMEABodyText"/>
              <w:widowControl w:val="0"/>
            </w:pPr>
            <w:r>
              <w:t>Bristol-Myers Squibb spol. s r.o.</w:t>
            </w:r>
          </w:p>
          <w:p w14:paraId="49B2A7A2" w14:textId="77777777" w:rsidR="00D02BC8" w:rsidRPr="004F3582" w:rsidRDefault="00D02BC8" w:rsidP="008B6CCB">
            <w:pPr>
              <w:pStyle w:val="EMEATableLeft"/>
              <w:keepNext w:val="0"/>
              <w:keepLines w:val="0"/>
              <w:widowControl w:val="0"/>
              <w:rPr>
                <w:iCs/>
              </w:rPr>
            </w:pPr>
            <w:r>
              <w:t>Tel: + 386 1 2355 100</w:t>
            </w:r>
          </w:p>
          <w:p w14:paraId="65D5CADD" w14:textId="77777777" w:rsidR="00D02BC8" w:rsidRPr="004F3582" w:rsidRDefault="00D02BC8" w:rsidP="008B6CCB">
            <w:pPr>
              <w:pStyle w:val="EMEATableLeft"/>
              <w:keepNext w:val="0"/>
              <w:keepLines w:val="0"/>
              <w:widowControl w:val="0"/>
            </w:pPr>
          </w:p>
        </w:tc>
      </w:tr>
      <w:tr w:rsidR="00D02BC8" w:rsidRPr="004F3582" w14:paraId="6128A6C5" w14:textId="77777777">
        <w:trPr>
          <w:cantSplit/>
          <w:trHeight w:val="904"/>
        </w:trPr>
        <w:tc>
          <w:tcPr>
            <w:tcW w:w="4536" w:type="dxa"/>
          </w:tcPr>
          <w:p w14:paraId="531B9B0C" w14:textId="77777777" w:rsidR="00D02BC8" w:rsidRPr="00D31EBB" w:rsidRDefault="00D02BC8" w:rsidP="008B6CCB">
            <w:pPr>
              <w:pStyle w:val="EMEATableLeft"/>
              <w:keepNext w:val="0"/>
              <w:keepLines w:val="0"/>
              <w:widowControl w:val="0"/>
            </w:pPr>
            <w:r>
              <w:rPr>
                <w:b/>
                <w:bCs/>
              </w:rPr>
              <w:t>Ísland</w:t>
            </w:r>
          </w:p>
          <w:p w14:paraId="65180BD3" w14:textId="77777777" w:rsidR="00D02BC8" w:rsidRPr="00D31EBB" w:rsidRDefault="009E242A" w:rsidP="008B6CCB">
            <w:pPr>
              <w:pStyle w:val="EMEATableLeft"/>
              <w:keepNext w:val="0"/>
              <w:keepLines w:val="0"/>
              <w:widowControl w:val="0"/>
              <w:rPr>
                <w:szCs w:val="22"/>
              </w:rPr>
            </w:pPr>
            <w:r>
              <w:t>Bristol-Myers Squibb AB hjá Vistor hf.</w:t>
            </w:r>
          </w:p>
          <w:p w14:paraId="668A9024" w14:textId="77777777" w:rsidR="00D02BC8" w:rsidRPr="004F3582" w:rsidRDefault="00D02BC8" w:rsidP="008B6CCB">
            <w:pPr>
              <w:pStyle w:val="EMEATableLeft"/>
              <w:keepNext w:val="0"/>
              <w:keepLines w:val="0"/>
              <w:widowControl w:val="0"/>
            </w:pPr>
            <w:r>
              <w:t>Sími: + 354 535 7000</w:t>
            </w:r>
          </w:p>
          <w:p w14:paraId="6CC8A3E5" w14:textId="77777777" w:rsidR="00D02BC8" w:rsidRPr="004F3582" w:rsidRDefault="00D02BC8" w:rsidP="008B6CCB">
            <w:pPr>
              <w:pStyle w:val="EMEATableLeft"/>
              <w:keepNext w:val="0"/>
              <w:keepLines w:val="0"/>
              <w:widowControl w:val="0"/>
            </w:pPr>
          </w:p>
        </w:tc>
        <w:tc>
          <w:tcPr>
            <w:tcW w:w="4536" w:type="dxa"/>
          </w:tcPr>
          <w:p w14:paraId="68447AD4" w14:textId="77777777" w:rsidR="00D02BC8" w:rsidRPr="00D31EBB" w:rsidRDefault="00D02BC8" w:rsidP="008B6CCB">
            <w:pPr>
              <w:pStyle w:val="EMEATableLeft"/>
              <w:keepNext w:val="0"/>
              <w:keepLines w:val="0"/>
              <w:widowControl w:val="0"/>
            </w:pPr>
            <w:r>
              <w:rPr>
                <w:b/>
                <w:bCs/>
              </w:rPr>
              <w:t>Slovenská republika</w:t>
            </w:r>
          </w:p>
          <w:p w14:paraId="262913EC" w14:textId="77777777" w:rsidR="00D02BC8" w:rsidRPr="00D31EBB" w:rsidRDefault="00D02BC8" w:rsidP="008B6CCB">
            <w:pPr>
              <w:pStyle w:val="EMEABodyText"/>
              <w:widowControl w:val="0"/>
            </w:pPr>
            <w:r>
              <w:t>Bristol-Myers Squibb spol. s r.o.</w:t>
            </w:r>
          </w:p>
          <w:p w14:paraId="10EE16B6" w14:textId="77777777" w:rsidR="00D02BC8" w:rsidRPr="004F3582" w:rsidRDefault="00D02BC8" w:rsidP="008B6CCB">
            <w:pPr>
              <w:pStyle w:val="EMEATableLeft"/>
              <w:keepNext w:val="0"/>
              <w:keepLines w:val="0"/>
              <w:widowControl w:val="0"/>
            </w:pPr>
            <w:r>
              <w:t>Tel: + 421 2 59298411</w:t>
            </w:r>
          </w:p>
          <w:p w14:paraId="18E9ECA8" w14:textId="77777777" w:rsidR="00D02BC8" w:rsidRPr="004F3582" w:rsidRDefault="00D02BC8" w:rsidP="008B6CCB">
            <w:pPr>
              <w:pStyle w:val="EMEATableLeft"/>
              <w:keepNext w:val="0"/>
              <w:keepLines w:val="0"/>
              <w:widowControl w:val="0"/>
            </w:pPr>
          </w:p>
        </w:tc>
      </w:tr>
      <w:tr w:rsidR="00D02BC8" w:rsidRPr="004F3582" w14:paraId="38262080" w14:textId="77777777">
        <w:trPr>
          <w:cantSplit/>
          <w:trHeight w:val="892"/>
        </w:trPr>
        <w:tc>
          <w:tcPr>
            <w:tcW w:w="4536" w:type="dxa"/>
          </w:tcPr>
          <w:p w14:paraId="6F92C72E" w14:textId="77777777" w:rsidR="00D02BC8" w:rsidRPr="00D31EBB" w:rsidRDefault="00D02BC8" w:rsidP="008B6CCB">
            <w:pPr>
              <w:pStyle w:val="EMEATableLeft"/>
              <w:keepNext w:val="0"/>
              <w:keepLines w:val="0"/>
              <w:widowControl w:val="0"/>
            </w:pPr>
            <w:r>
              <w:rPr>
                <w:b/>
                <w:bCs/>
              </w:rPr>
              <w:t>Italia</w:t>
            </w:r>
          </w:p>
          <w:p w14:paraId="6CF013F6" w14:textId="77777777" w:rsidR="00D02BC8" w:rsidRPr="00D31EBB" w:rsidRDefault="00D02BC8" w:rsidP="008B6CCB">
            <w:pPr>
              <w:pStyle w:val="EMEABodyText"/>
              <w:widowControl w:val="0"/>
              <w:rPr>
                <w:smallCaps/>
              </w:rPr>
            </w:pPr>
            <w:r>
              <w:rPr>
                <w:smallCaps/>
              </w:rPr>
              <w:t>Bristol-Myers Squibb S.r.l.</w:t>
            </w:r>
          </w:p>
          <w:p w14:paraId="513AC611" w14:textId="77777777" w:rsidR="00D02BC8" w:rsidRPr="004F3582" w:rsidRDefault="00D02BC8" w:rsidP="008B6CCB">
            <w:pPr>
              <w:pStyle w:val="EMEATableLeft"/>
              <w:keepNext w:val="0"/>
              <w:keepLines w:val="0"/>
              <w:widowControl w:val="0"/>
            </w:pPr>
            <w:r>
              <w:t>Tel: + 39 06 50 39 61</w:t>
            </w:r>
          </w:p>
          <w:p w14:paraId="56CD6433" w14:textId="77777777" w:rsidR="00D02BC8" w:rsidRPr="004F3582" w:rsidRDefault="00D02BC8" w:rsidP="008B6CCB">
            <w:pPr>
              <w:pStyle w:val="EMEATableLeft"/>
              <w:keepNext w:val="0"/>
              <w:keepLines w:val="0"/>
              <w:widowControl w:val="0"/>
            </w:pPr>
          </w:p>
        </w:tc>
        <w:tc>
          <w:tcPr>
            <w:tcW w:w="4536" w:type="dxa"/>
          </w:tcPr>
          <w:p w14:paraId="2089D331" w14:textId="77777777" w:rsidR="00D02BC8" w:rsidRPr="004F3582" w:rsidRDefault="00D02BC8" w:rsidP="008B6CCB">
            <w:pPr>
              <w:pStyle w:val="EMEATableLeft"/>
              <w:keepNext w:val="0"/>
              <w:keepLines w:val="0"/>
              <w:widowControl w:val="0"/>
            </w:pPr>
            <w:r>
              <w:rPr>
                <w:b/>
                <w:bCs/>
              </w:rPr>
              <w:t>Suomi/Finland</w:t>
            </w:r>
          </w:p>
          <w:p w14:paraId="6277D065" w14:textId="77777777" w:rsidR="00D02BC8" w:rsidRPr="004F3582" w:rsidRDefault="00D02BC8" w:rsidP="008B6CCB">
            <w:pPr>
              <w:pStyle w:val="EMEABodyText"/>
              <w:widowControl w:val="0"/>
            </w:pPr>
            <w:r>
              <w:t>Oy Bristol-Myers Squibb (Finland) Ab</w:t>
            </w:r>
          </w:p>
          <w:p w14:paraId="2982AB7A" w14:textId="77777777" w:rsidR="00D02BC8" w:rsidRPr="004F3582" w:rsidRDefault="00D02BC8" w:rsidP="008B6CCB">
            <w:pPr>
              <w:pStyle w:val="EMEATableLeft"/>
              <w:keepNext w:val="0"/>
              <w:keepLines w:val="0"/>
              <w:widowControl w:val="0"/>
            </w:pPr>
            <w:r>
              <w:t>Puh/Tel: + 358 9 251 21 230</w:t>
            </w:r>
          </w:p>
          <w:p w14:paraId="14F939AB" w14:textId="77777777" w:rsidR="00D02BC8" w:rsidRPr="004F3582" w:rsidRDefault="00D02BC8" w:rsidP="008B6CCB">
            <w:pPr>
              <w:pStyle w:val="EMEATableLeft"/>
              <w:keepNext w:val="0"/>
              <w:keepLines w:val="0"/>
              <w:widowControl w:val="0"/>
            </w:pPr>
          </w:p>
        </w:tc>
      </w:tr>
      <w:tr w:rsidR="00D02BC8" w:rsidRPr="00965E20" w14:paraId="3F022B0A" w14:textId="77777777">
        <w:trPr>
          <w:cantSplit/>
          <w:trHeight w:val="772"/>
        </w:trPr>
        <w:tc>
          <w:tcPr>
            <w:tcW w:w="4536" w:type="dxa"/>
          </w:tcPr>
          <w:p w14:paraId="29B99E00" w14:textId="77777777" w:rsidR="00D02BC8" w:rsidRPr="00D31EBB" w:rsidRDefault="00D02BC8" w:rsidP="008B6CCB">
            <w:pPr>
              <w:pStyle w:val="EMEATableLeft"/>
              <w:keepNext w:val="0"/>
              <w:keepLines w:val="0"/>
              <w:widowControl w:val="0"/>
            </w:pPr>
            <w:r>
              <w:rPr>
                <w:b/>
                <w:bCs/>
              </w:rPr>
              <w:t>Κύπρος</w:t>
            </w:r>
          </w:p>
          <w:p w14:paraId="50EF3520" w14:textId="77777777" w:rsidR="00D02BC8" w:rsidRPr="00D31EBB" w:rsidRDefault="00D02BC8" w:rsidP="008B6CCB">
            <w:pPr>
              <w:pStyle w:val="EMEABodyText"/>
              <w:widowControl w:val="0"/>
            </w:pPr>
            <w:r>
              <w:rPr>
                <w:smallCaps/>
              </w:rPr>
              <w:t>Bristol-Myers Squibb A.E.</w:t>
            </w:r>
          </w:p>
          <w:p w14:paraId="03D5DF46" w14:textId="77777777" w:rsidR="00D02BC8" w:rsidRPr="004F3582" w:rsidRDefault="00D02BC8" w:rsidP="008B6CCB">
            <w:pPr>
              <w:pStyle w:val="EMEATableLeft"/>
              <w:keepNext w:val="0"/>
              <w:keepLines w:val="0"/>
              <w:widowControl w:val="0"/>
            </w:pPr>
            <w:r>
              <w:t>Τηλ: + 357 800 92666</w:t>
            </w:r>
          </w:p>
          <w:p w14:paraId="3EE34151" w14:textId="77777777" w:rsidR="00D02BC8" w:rsidRPr="004F3582" w:rsidRDefault="00D02BC8" w:rsidP="008B6CCB">
            <w:pPr>
              <w:pStyle w:val="EMEATableLeft"/>
              <w:keepNext w:val="0"/>
              <w:keepLines w:val="0"/>
              <w:widowControl w:val="0"/>
            </w:pPr>
          </w:p>
        </w:tc>
        <w:tc>
          <w:tcPr>
            <w:tcW w:w="4536" w:type="dxa"/>
          </w:tcPr>
          <w:p w14:paraId="2F4DA5CE" w14:textId="77777777" w:rsidR="00D02BC8" w:rsidRPr="00D31EBB" w:rsidRDefault="00D02BC8" w:rsidP="008B6CCB">
            <w:pPr>
              <w:pStyle w:val="EMEATableLeft"/>
              <w:keepNext w:val="0"/>
              <w:keepLines w:val="0"/>
              <w:widowControl w:val="0"/>
            </w:pPr>
            <w:r>
              <w:rPr>
                <w:b/>
                <w:bCs/>
              </w:rPr>
              <w:t>Sverige</w:t>
            </w:r>
          </w:p>
          <w:p w14:paraId="50DEA075" w14:textId="77777777" w:rsidR="00D02BC8" w:rsidRPr="00D31EBB" w:rsidRDefault="00D02BC8" w:rsidP="008B6CCB">
            <w:pPr>
              <w:pStyle w:val="EMEABodyText"/>
              <w:widowControl w:val="0"/>
            </w:pPr>
            <w:r>
              <w:t>Bristol-Myers Squibb AB</w:t>
            </w:r>
          </w:p>
          <w:p w14:paraId="07BE936E" w14:textId="77777777" w:rsidR="00D02BC8" w:rsidRPr="00D31EBB" w:rsidRDefault="00D02BC8" w:rsidP="008B6CCB">
            <w:pPr>
              <w:pStyle w:val="EMEATableLeft"/>
              <w:keepNext w:val="0"/>
              <w:keepLines w:val="0"/>
              <w:widowControl w:val="0"/>
            </w:pPr>
            <w:r>
              <w:t>Tel: + 46 8 704 71 00</w:t>
            </w:r>
          </w:p>
          <w:p w14:paraId="352A9E28" w14:textId="77777777" w:rsidR="00D02BC8" w:rsidRPr="00D31EBB" w:rsidRDefault="00D02BC8" w:rsidP="008B6CCB">
            <w:pPr>
              <w:pStyle w:val="EMEATableLeft"/>
              <w:keepNext w:val="0"/>
              <w:keepLines w:val="0"/>
              <w:widowControl w:val="0"/>
              <w:rPr>
                <w:lang w:val="en-US"/>
              </w:rPr>
            </w:pPr>
          </w:p>
        </w:tc>
      </w:tr>
      <w:tr w:rsidR="00D02BC8" w:rsidRPr="004F3582" w14:paraId="40101E7B" w14:textId="77777777">
        <w:trPr>
          <w:cantSplit/>
          <w:trHeight w:val="1219"/>
        </w:trPr>
        <w:tc>
          <w:tcPr>
            <w:tcW w:w="4536" w:type="dxa"/>
          </w:tcPr>
          <w:p w14:paraId="5139F58D" w14:textId="77777777" w:rsidR="00D02BC8" w:rsidRPr="00D31EBB" w:rsidRDefault="00D02BC8" w:rsidP="008B6CCB">
            <w:pPr>
              <w:pStyle w:val="EMEATableLeft"/>
              <w:keepNext w:val="0"/>
              <w:keepLines w:val="0"/>
              <w:widowControl w:val="0"/>
            </w:pPr>
            <w:r>
              <w:rPr>
                <w:b/>
                <w:bCs/>
              </w:rPr>
              <w:t>Latvija</w:t>
            </w:r>
          </w:p>
          <w:p w14:paraId="378DF0AC" w14:textId="77777777" w:rsidR="00D02BC8" w:rsidRPr="00D31EBB" w:rsidRDefault="00D02BC8" w:rsidP="008B6CCB">
            <w:pPr>
              <w:pStyle w:val="EMEABodyText"/>
              <w:widowControl w:val="0"/>
            </w:pPr>
            <w:r>
              <w:t>Bristol-Myers Squibb Kft.</w:t>
            </w:r>
          </w:p>
          <w:p w14:paraId="5B56D724" w14:textId="77777777" w:rsidR="00D02BC8" w:rsidRPr="004F3582" w:rsidRDefault="00B10B04" w:rsidP="008B6CCB">
            <w:pPr>
              <w:pStyle w:val="EMEATableLeft"/>
              <w:keepNext w:val="0"/>
              <w:keepLines w:val="0"/>
              <w:widowControl w:val="0"/>
            </w:pPr>
            <w:r>
              <w:t>Tel: + 371 67708347</w:t>
            </w:r>
          </w:p>
          <w:p w14:paraId="2D88660F" w14:textId="77777777" w:rsidR="00D02BC8" w:rsidRPr="004F3582" w:rsidRDefault="00D02BC8" w:rsidP="008B6CCB">
            <w:pPr>
              <w:pStyle w:val="EMEATableLeft"/>
              <w:keepNext w:val="0"/>
              <w:keepLines w:val="0"/>
              <w:widowControl w:val="0"/>
            </w:pPr>
          </w:p>
        </w:tc>
        <w:tc>
          <w:tcPr>
            <w:tcW w:w="4536" w:type="dxa"/>
          </w:tcPr>
          <w:p w14:paraId="64C00917" w14:textId="77777777" w:rsidR="00D02BC8" w:rsidRPr="00D31EBB" w:rsidRDefault="00D02BC8" w:rsidP="008B6CCB">
            <w:pPr>
              <w:pStyle w:val="EMEATableLeft"/>
              <w:keepNext w:val="0"/>
              <w:keepLines w:val="0"/>
              <w:widowControl w:val="0"/>
            </w:pPr>
            <w:r>
              <w:rPr>
                <w:b/>
                <w:bCs/>
              </w:rPr>
              <w:t>United Kingdom</w:t>
            </w:r>
          </w:p>
          <w:p w14:paraId="3629A7AD" w14:textId="77777777" w:rsidR="00D02BC8" w:rsidRPr="00D31EBB" w:rsidRDefault="00D02BC8" w:rsidP="008B6CCB">
            <w:pPr>
              <w:pStyle w:val="EMEABodyText"/>
              <w:widowControl w:val="0"/>
            </w:pPr>
            <w:r>
              <w:t>Bristol-Myers Squibb Pharmaceuticals Ltd</w:t>
            </w:r>
          </w:p>
          <w:p w14:paraId="77125609" w14:textId="77777777" w:rsidR="00D02BC8" w:rsidRPr="004F3582" w:rsidRDefault="00D02BC8" w:rsidP="008B6CCB">
            <w:pPr>
              <w:pStyle w:val="EMEATableLeft"/>
              <w:keepNext w:val="0"/>
              <w:keepLines w:val="0"/>
              <w:widowControl w:val="0"/>
            </w:pPr>
            <w:r>
              <w:t>Tel: + 44 (0800) 731 1736</w:t>
            </w:r>
          </w:p>
          <w:p w14:paraId="157B8E55" w14:textId="77777777" w:rsidR="00D02BC8" w:rsidRPr="004F3582" w:rsidRDefault="00D02BC8" w:rsidP="008B6CCB">
            <w:pPr>
              <w:pStyle w:val="EMEATableLeft"/>
              <w:keepNext w:val="0"/>
              <w:keepLines w:val="0"/>
              <w:widowControl w:val="0"/>
            </w:pPr>
          </w:p>
        </w:tc>
      </w:tr>
    </w:tbl>
    <w:p w14:paraId="456E3916" w14:textId="77777777" w:rsidR="00D02BC8" w:rsidRPr="00D31EBB" w:rsidRDefault="00D02BC8" w:rsidP="008B6CCB">
      <w:pPr>
        <w:pStyle w:val="EMEABodyText"/>
      </w:pPr>
      <w:r>
        <w:rPr>
          <w:b/>
        </w:rPr>
        <w:t>This leaflet was last revised in</w:t>
      </w:r>
    </w:p>
    <w:p w14:paraId="3090EA1E" w14:textId="77777777" w:rsidR="00D02BC8" w:rsidRPr="00D31EBB" w:rsidRDefault="00D02BC8" w:rsidP="008B6CCB">
      <w:pPr>
        <w:pStyle w:val="EMEABodyText"/>
        <w:rPr>
          <w:rFonts w:eastAsia="MS Mincho"/>
          <w:lang w:val="en-US"/>
        </w:rPr>
      </w:pPr>
    </w:p>
    <w:p w14:paraId="427254AB" w14:textId="77777777" w:rsidR="00D02BC8" w:rsidRPr="00D31EBB" w:rsidRDefault="00D02BC8" w:rsidP="008B6CCB">
      <w:pPr>
        <w:pStyle w:val="EMEABodyText"/>
        <w:rPr>
          <w:b/>
          <w:bCs/>
          <w:szCs w:val="22"/>
        </w:rPr>
      </w:pPr>
      <w:r>
        <w:rPr>
          <w:b/>
          <w:bCs/>
          <w:szCs w:val="22"/>
        </w:rPr>
        <w:t>Other sources of information</w:t>
      </w:r>
    </w:p>
    <w:p w14:paraId="372700CF" w14:textId="77777777" w:rsidR="00D02BC8" w:rsidRPr="00D31EBB" w:rsidRDefault="00D02BC8" w:rsidP="008B6CCB">
      <w:pPr>
        <w:pStyle w:val="EMEABodyText"/>
        <w:rPr>
          <w:iCs/>
          <w:noProof/>
          <w:lang w:val="en-US"/>
        </w:rPr>
      </w:pPr>
    </w:p>
    <w:p w14:paraId="6E56D31F" w14:textId="77777777" w:rsidR="00D02BC8" w:rsidRPr="00D31EBB" w:rsidRDefault="00D02BC8" w:rsidP="008B6CCB">
      <w:pPr>
        <w:pStyle w:val="EMEABodyText"/>
        <w:rPr>
          <w:rFonts w:eastAsia="MS Mincho"/>
        </w:rPr>
      </w:pPr>
      <w:r>
        <w:t>Detailed information on this medicine is available on the European Medicines Agency web site: http://www.ema.europa.eu/.</w:t>
      </w:r>
    </w:p>
    <w:p w14:paraId="13EE48DF" w14:textId="77777777" w:rsidR="00D02BC8" w:rsidRPr="00D31EBB" w:rsidRDefault="00D02BC8" w:rsidP="008B6CCB">
      <w:pPr>
        <w:pStyle w:val="EMEATitle"/>
        <w:rPr>
          <w:noProof/>
        </w:rPr>
      </w:pPr>
      <w:r>
        <w:br w:type="page"/>
        <w:t>Package leaflet: Information for the user</w:t>
      </w:r>
    </w:p>
    <w:p w14:paraId="376E4930" w14:textId="77777777" w:rsidR="00D02BC8" w:rsidRPr="00D31EBB" w:rsidRDefault="00D02BC8" w:rsidP="008B6CCB">
      <w:pPr>
        <w:pStyle w:val="EMEATitle"/>
        <w:rPr>
          <w:noProof/>
          <w:lang w:val="en-US"/>
        </w:rPr>
      </w:pPr>
    </w:p>
    <w:p w14:paraId="1CFA766E" w14:textId="77777777" w:rsidR="00D02BC8" w:rsidRPr="00D31EBB" w:rsidRDefault="00D02BC8" w:rsidP="008B6CCB">
      <w:pPr>
        <w:pStyle w:val="EMEABodyText"/>
        <w:jc w:val="center"/>
        <w:rPr>
          <w:b/>
        </w:rPr>
      </w:pPr>
      <w:r>
        <w:rPr>
          <w:b/>
        </w:rPr>
        <w:t>REYATAZ 200 mg hard capsules</w:t>
      </w:r>
    </w:p>
    <w:p w14:paraId="4F9E1215" w14:textId="77777777" w:rsidR="00D02BC8" w:rsidRPr="00D31EBB" w:rsidRDefault="00D02BC8" w:rsidP="008B6CCB">
      <w:pPr>
        <w:pStyle w:val="EMEABodyText"/>
        <w:jc w:val="center"/>
      </w:pPr>
      <w:r>
        <w:t>atazanavir</w:t>
      </w:r>
    </w:p>
    <w:p w14:paraId="7E288B56" w14:textId="77777777" w:rsidR="00D02BC8" w:rsidRPr="00D31EBB" w:rsidRDefault="00D02BC8" w:rsidP="008B6CCB">
      <w:pPr>
        <w:pStyle w:val="EMEABodyText"/>
        <w:jc w:val="center"/>
        <w:rPr>
          <w:b/>
          <w:noProof/>
          <w:lang w:val="en-US"/>
        </w:rPr>
      </w:pPr>
    </w:p>
    <w:p w14:paraId="74766F08" w14:textId="77777777" w:rsidR="00D02BC8" w:rsidRPr="00D31EBB" w:rsidRDefault="00D02BC8" w:rsidP="008B6CCB">
      <w:pPr>
        <w:pStyle w:val="EMEABodyText"/>
        <w:rPr>
          <w:b/>
          <w:noProof/>
        </w:rPr>
      </w:pPr>
      <w:r>
        <w:rPr>
          <w:b/>
        </w:rPr>
        <w:t>Read all of this leaflet carefully before you start taking this medicine because it contains important information for you.</w:t>
      </w:r>
    </w:p>
    <w:p w14:paraId="7E8E6B6E" w14:textId="77777777" w:rsidR="00D02BC8" w:rsidRPr="00D31EBB" w:rsidRDefault="00D02BC8" w:rsidP="00211509">
      <w:pPr>
        <w:pStyle w:val="EMEABodyTextIndent"/>
        <w:tabs>
          <w:tab w:val="num" w:pos="567"/>
        </w:tabs>
        <w:ind w:left="567" w:hanging="567"/>
        <w:rPr>
          <w:noProof/>
        </w:rPr>
      </w:pPr>
      <w:r>
        <w:t>Keep this leaflet. You may need to read it again.</w:t>
      </w:r>
    </w:p>
    <w:p w14:paraId="38BC5FF6" w14:textId="77777777" w:rsidR="00D02BC8" w:rsidRPr="00D31EBB" w:rsidRDefault="00D02BC8" w:rsidP="00211509">
      <w:pPr>
        <w:pStyle w:val="EMEABodyTextIndent"/>
        <w:tabs>
          <w:tab w:val="num" w:pos="567"/>
        </w:tabs>
        <w:ind w:left="567" w:hanging="567"/>
        <w:rPr>
          <w:noProof/>
        </w:rPr>
      </w:pPr>
      <w:r>
        <w:t>If you have any further questions, ask your doctor or pharmacist.</w:t>
      </w:r>
    </w:p>
    <w:p w14:paraId="2DBA23BB" w14:textId="77777777" w:rsidR="00D02BC8" w:rsidRPr="00D31EBB" w:rsidRDefault="00D02BC8" w:rsidP="00211509">
      <w:pPr>
        <w:pStyle w:val="EMEABodyTextIndent"/>
        <w:tabs>
          <w:tab w:val="num" w:pos="567"/>
        </w:tabs>
        <w:ind w:left="567" w:hanging="567"/>
        <w:rPr>
          <w:noProof/>
        </w:rPr>
      </w:pPr>
      <w:r>
        <w:t>This medicine has been prescribed for you only. Do not pass it on to others.</w:t>
      </w:r>
      <w:r>
        <w:br/>
        <w:t>It may harm them, even if their signs of illness are the same as yours.</w:t>
      </w:r>
    </w:p>
    <w:p w14:paraId="58F97BB9" w14:textId="77777777" w:rsidR="00D02BC8" w:rsidRPr="004F3582" w:rsidRDefault="00D02BC8" w:rsidP="008C48D0">
      <w:pPr>
        <w:pStyle w:val="EMEABodyTextIndent"/>
        <w:tabs>
          <w:tab w:val="num" w:pos="567"/>
        </w:tabs>
        <w:ind w:left="567" w:hanging="567"/>
        <w:rPr>
          <w:noProof/>
        </w:rPr>
      </w:pPr>
      <w:r>
        <w:t>If you get any side effects talk to your doctor, or pharmacist. This includes any possible side effects not listed in this leaflet. See section 4.</w:t>
      </w:r>
    </w:p>
    <w:p w14:paraId="760C4A49" w14:textId="77777777" w:rsidR="00D02BC8" w:rsidRPr="004F3582" w:rsidRDefault="00D02BC8" w:rsidP="008B6CCB">
      <w:pPr>
        <w:pStyle w:val="EMEABodyText"/>
        <w:rPr>
          <w:b/>
          <w:noProof/>
        </w:rPr>
      </w:pPr>
    </w:p>
    <w:p w14:paraId="508AC9CE" w14:textId="77777777" w:rsidR="00D02BC8" w:rsidRPr="004F3582" w:rsidRDefault="00D02BC8" w:rsidP="008B6CCB">
      <w:pPr>
        <w:pStyle w:val="EMEABodyText"/>
      </w:pPr>
      <w:r>
        <w:rPr>
          <w:b/>
        </w:rPr>
        <w:t>What is in this leaflet</w:t>
      </w:r>
    </w:p>
    <w:p w14:paraId="776CC444" w14:textId="77777777" w:rsidR="00D02BC8" w:rsidRPr="004F3582" w:rsidRDefault="00D02BC8" w:rsidP="008B6CCB">
      <w:pPr>
        <w:pStyle w:val="EMEABodyText"/>
      </w:pPr>
    </w:p>
    <w:p w14:paraId="22B25C24" w14:textId="77777777" w:rsidR="00D02BC8" w:rsidRPr="00D31EBB" w:rsidRDefault="00D02BC8" w:rsidP="008B6CCB">
      <w:pPr>
        <w:pStyle w:val="EMEABodyText"/>
      </w:pPr>
      <w:r>
        <w:t>1.</w:t>
      </w:r>
      <w:r>
        <w:tab/>
        <w:t>What REYATAZ is and what it is used for</w:t>
      </w:r>
    </w:p>
    <w:p w14:paraId="2F85993C" w14:textId="77777777" w:rsidR="00D02BC8" w:rsidRPr="00D31EBB" w:rsidRDefault="00D02BC8" w:rsidP="008B6CCB">
      <w:pPr>
        <w:pStyle w:val="EMEABodyText"/>
      </w:pPr>
      <w:r>
        <w:t>2.</w:t>
      </w:r>
      <w:r>
        <w:tab/>
        <w:t>What you need to know before you take REYATAZ</w:t>
      </w:r>
    </w:p>
    <w:p w14:paraId="33546991" w14:textId="77777777" w:rsidR="00D02BC8" w:rsidRPr="00D31EBB" w:rsidRDefault="00D02BC8" w:rsidP="008B6CCB">
      <w:pPr>
        <w:pStyle w:val="EMEABodyText"/>
      </w:pPr>
      <w:r>
        <w:t>3.</w:t>
      </w:r>
      <w:r>
        <w:tab/>
        <w:t>How to take REYATAZ</w:t>
      </w:r>
    </w:p>
    <w:p w14:paraId="4862A030" w14:textId="77777777" w:rsidR="00D02BC8" w:rsidRPr="00D31EBB" w:rsidRDefault="00D02BC8" w:rsidP="008B6CCB">
      <w:pPr>
        <w:pStyle w:val="EMEABodyText"/>
      </w:pPr>
      <w:r>
        <w:t>4.</w:t>
      </w:r>
      <w:r>
        <w:tab/>
        <w:t xml:space="preserve">Possible side effects </w:t>
      </w:r>
    </w:p>
    <w:p w14:paraId="0AA83A57" w14:textId="77777777" w:rsidR="00D02BC8" w:rsidRPr="00D31EBB" w:rsidRDefault="00D02BC8" w:rsidP="008B6CCB">
      <w:pPr>
        <w:pStyle w:val="EMEABodyText"/>
      </w:pPr>
      <w:r>
        <w:t>5.</w:t>
      </w:r>
      <w:r>
        <w:tab/>
        <w:t>How to store REYATAZ</w:t>
      </w:r>
    </w:p>
    <w:p w14:paraId="72D2DA78" w14:textId="77777777" w:rsidR="00D02BC8" w:rsidRPr="00D31EBB" w:rsidRDefault="00D02BC8" w:rsidP="008B6CCB">
      <w:pPr>
        <w:pStyle w:val="EMEABodyText"/>
      </w:pPr>
      <w:r>
        <w:t>6.</w:t>
      </w:r>
      <w:r>
        <w:tab/>
        <w:t>Contents of the pack and other information</w:t>
      </w:r>
    </w:p>
    <w:p w14:paraId="1E1416A5" w14:textId="77777777" w:rsidR="00D02BC8" w:rsidRPr="00D31EBB" w:rsidRDefault="00D02BC8" w:rsidP="008B6CCB">
      <w:pPr>
        <w:pStyle w:val="EMEABodyText"/>
        <w:rPr>
          <w:b/>
          <w:noProof/>
          <w:lang w:val="en-US"/>
        </w:rPr>
      </w:pPr>
    </w:p>
    <w:p w14:paraId="03B584E6" w14:textId="77777777" w:rsidR="00D02BC8" w:rsidRPr="00D31EBB" w:rsidRDefault="00D02BC8" w:rsidP="008B6CCB">
      <w:pPr>
        <w:pStyle w:val="EMEABodyText"/>
        <w:rPr>
          <w:noProof/>
          <w:lang w:val="en-US"/>
        </w:rPr>
      </w:pPr>
    </w:p>
    <w:p w14:paraId="65B80D92" w14:textId="77777777" w:rsidR="00D02BC8" w:rsidRPr="00D31EBB" w:rsidRDefault="00D02BC8" w:rsidP="00D961CF">
      <w:pPr>
        <w:pStyle w:val="EMEAHeading1"/>
      </w:pPr>
      <w:r>
        <w:t>1.</w:t>
      </w:r>
      <w:r>
        <w:tab/>
      </w:r>
      <w:r>
        <w:rPr>
          <w:caps w:val="0"/>
        </w:rPr>
        <w:t>What REYATAZ is and What it is used for</w:t>
      </w:r>
    </w:p>
    <w:p w14:paraId="60ED85B6" w14:textId="77777777" w:rsidR="00D02BC8" w:rsidRPr="00D31EBB" w:rsidRDefault="00D02BC8" w:rsidP="00D961CF">
      <w:pPr>
        <w:pStyle w:val="EMEABodyText"/>
        <w:rPr>
          <w:noProof/>
          <w:lang w:val="en-US"/>
        </w:rPr>
      </w:pPr>
    </w:p>
    <w:p w14:paraId="132F71A2" w14:textId="77777777" w:rsidR="00D02BC8" w:rsidRPr="00D31EBB" w:rsidRDefault="00D02BC8" w:rsidP="008B6CCB">
      <w:pPr>
        <w:pStyle w:val="EMEABodyText"/>
      </w:pPr>
      <w:r>
        <w:rPr>
          <w:b/>
        </w:rPr>
        <w:t xml:space="preserve">REYATAZ is an antiviral (or antiretroviral) medicine. </w:t>
      </w:r>
      <w:r>
        <w:t xml:space="preserve">It is one of a group called </w:t>
      </w:r>
      <w:r>
        <w:rPr>
          <w:i/>
        </w:rPr>
        <w:t>protease inhibitors</w:t>
      </w:r>
      <w:r>
        <w:t>. These medicines control Human Immunodeficiency Virus (HIV) infection by stopping a protein that the HIV needs for its multiplication. They work by reducing the amount of HIV in your body and this in turn, strengthens your immune system. In this way REYATAZ reduces the risk of developing illnesses linked to HIV infection.</w:t>
      </w:r>
    </w:p>
    <w:p w14:paraId="1E271784" w14:textId="77777777" w:rsidR="00D02BC8" w:rsidRPr="00D31EBB" w:rsidRDefault="00D02BC8" w:rsidP="008B6CCB">
      <w:pPr>
        <w:pStyle w:val="EMEABodyText"/>
        <w:rPr>
          <w:lang w:val="en-US"/>
        </w:rPr>
      </w:pPr>
    </w:p>
    <w:p w14:paraId="5CBDD740" w14:textId="77777777" w:rsidR="00D02BC8" w:rsidRPr="00D31EBB" w:rsidRDefault="00D02BC8" w:rsidP="008B6CCB">
      <w:pPr>
        <w:pStyle w:val="EMEABodyText"/>
      </w:pPr>
      <w:r>
        <w:t>REYATAZ capsules may be used by adults and children 6 years of age and older. Your doctor has prescribed REYATAZ for you because you are infected by the HIV that causes Acquired Immunodeficiency Syndrome (AIDS). It is normally used in combination with other anti-HIV medicines. Your doctor will discuss with you which combination of these medicines with REYATAZ is best for you.</w:t>
      </w:r>
    </w:p>
    <w:p w14:paraId="79F7AA35" w14:textId="77777777" w:rsidR="00D02BC8" w:rsidRPr="00D31EBB" w:rsidRDefault="00D02BC8" w:rsidP="008B6CCB">
      <w:pPr>
        <w:pStyle w:val="EMEABodyText"/>
        <w:rPr>
          <w:lang w:val="en-US"/>
        </w:rPr>
      </w:pPr>
    </w:p>
    <w:p w14:paraId="2D49AC0A" w14:textId="77777777" w:rsidR="00D02BC8" w:rsidRPr="00D31EBB" w:rsidRDefault="00D02BC8" w:rsidP="008B6CCB">
      <w:pPr>
        <w:pStyle w:val="EMEABodyText"/>
        <w:rPr>
          <w:noProof/>
          <w:lang w:val="en-US"/>
        </w:rPr>
      </w:pPr>
    </w:p>
    <w:p w14:paraId="7E59CDFA" w14:textId="77777777" w:rsidR="00D02BC8" w:rsidRPr="00D31EBB" w:rsidRDefault="00D02BC8" w:rsidP="00211509">
      <w:pPr>
        <w:pStyle w:val="EMEAHeading1"/>
        <w:rPr>
          <w:bCs/>
          <w:caps w:val="0"/>
        </w:rPr>
      </w:pPr>
      <w:r>
        <w:rPr>
          <w:bCs/>
          <w:caps w:val="0"/>
        </w:rPr>
        <w:t>2.</w:t>
      </w:r>
      <w:r>
        <w:rPr>
          <w:bCs/>
          <w:caps w:val="0"/>
        </w:rPr>
        <w:tab/>
        <w:t>What you need to know before you take REYATAZ</w:t>
      </w:r>
    </w:p>
    <w:p w14:paraId="563FE18F" w14:textId="77777777" w:rsidR="00D02BC8" w:rsidRPr="00D31EBB" w:rsidRDefault="00D02BC8" w:rsidP="00D961CF">
      <w:pPr>
        <w:pStyle w:val="EMEABodyText"/>
        <w:rPr>
          <w:noProof/>
          <w:lang w:val="en-US"/>
        </w:rPr>
      </w:pPr>
    </w:p>
    <w:p w14:paraId="6BBD20F5" w14:textId="77777777" w:rsidR="00D02BC8" w:rsidRPr="004F3582" w:rsidRDefault="00D02BC8" w:rsidP="008B6CCB">
      <w:pPr>
        <w:pStyle w:val="EMEAHeading2"/>
      </w:pPr>
      <w:r>
        <w:t>Do not take REYATAZ</w:t>
      </w:r>
    </w:p>
    <w:p w14:paraId="51A65A6D" w14:textId="77777777" w:rsidR="00D02BC8" w:rsidRPr="00D31EBB" w:rsidRDefault="00D02BC8" w:rsidP="00DD01AC">
      <w:pPr>
        <w:pStyle w:val="EMEABodyTextIndent"/>
        <w:ind w:left="567" w:hanging="567"/>
      </w:pPr>
      <w:r>
        <w:rPr>
          <w:b/>
        </w:rPr>
        <w:t xml:space="preserve">if you are allergic </w:t>
      </w:r>
      <w:r>
        <w:t>to atazanavir or any of the other ingredients of this medicine (listed in section 6)</w:t>
      </w:r>
    </w:p>
    <w:p w14:paraId="75E7F883" w14:textId="77777777" w:rsidR="00D02BC8" w:rsidRPr="00D31EBB" w:rsidRDefault="00D02BC8" w:rsidP="00C46103">
      <w:pPr>
        <w:pStyle w:val="EMEABodyTextIndent"/>
        <w:ind w:left="567" w:hanging="567"/>
      </w:pPr>
      <w:r>
        <w:rPr>
          <w:b/>
        </w:rPr>
        <w:t xml:space="preserve">if you have moderate to severe liver problems. </w:t>
      </w:r>
      <w:r>
        <w:t>Your doctor will evaluate how severe your liver disease is before deciding whether you can take REYATAZ</w:t>
      </w:r>
    </w:p>
    <w:p w14:paraId="5F35AF87" w14:textId="77777777" w:rsidR="00D02BC8" w:rsidRPr="00D31EBB" w:rsidRDefault="00D02BC8" w:rsidP="003C6A99">
      <w:pPr>
        <w:pStyle w:val="EMEABodyTextIndent"/>
        <w:ind w:left="567" w:hanging="567"/>
      </w:pPr>
      <w:r>
        <w:rPr>
          <w:b/>
        </w:rPr>
        <w:t xml:space="preserve">if you are taking any of these medicines: </w:t>
      </w:r>
      <w:r>
        <w:t xml:space="preserve">see also </w:t>
      </w:r>
      <w:r>
        <w:rPr>
          <w:i/>
        </w:rPr>
        <w:t>Other medicines and REYATAZ</w:t>
      </w:r>
    </w:p>
    <w:p w14:paraId="299BA44A" w14:textId="77777777" w:rsidR="00D02BC8" w:rsidRPr="00D31EBB" w:rsidRDefault="00D02BC8" w:rsidP="003C6A99">
      <w:pPr>
        <w:pStyle w:val="EMEABodyTextIndent"/>
        <w:ind w:left="1105" w:hanging="538"/>
      </w:pPr>
      <w:r>
        <w:t>rifampicin (an antibiotic used to treat tuberculosis)</w:t>
      </w:r>
      <w:r>
        <w:rPr>
          <w:color w:val="008000"/>
        </w:rPr>
        <w:t xml:space="preserve"> </w:t>
      </w:r>
    </w:p>
    <w:p w14:paraId="52FA60FB" w14:textId="77777777" w:rsidR="00D02BC8" w:rsidRPr="00D31EBB" w:rsidRDefault="00D02BC8" w:rsidP="003C6A99">
      <w:pPr>
        <w:pStyle w:val="EMEABodyTextIndent"/>
        <w:ind w:left="1105" w:hanging="538"/>
      </w:pPr>
      <w:r>
        <w:t>astemizole or terfenadine (commonly used to treat allergy symptoms, these medicines may be available without prescription); cisapride (used to treat gastric reflux, sometimes called heartburn); pimozide (used to treat schizophrenia); quinidine or bepridil (used to correct heart rhythm); ergotamine, dihydroergotamine, ergonovine, methylergonovine (used to treat headaches); and alfuzosin (used to treat enlarged prostatic gland)</w:t>
      </w:r>
    </w:p>
    <w:p w14:paraId="6A675C91" w14:textId="77777777" w:rsidR="00D02BC8" w:rsidRPr="00D31EBB" w:rsidRDefault="00D02BC8" w:rsidP="003942A6">
      <w:pPr>
        <w:pStyle w:val="EMEABodyTextIndent"/>
        <w:ind w:left="1105" w:hanging="538"/>
      </w:pPr>
      <w:r>
        <w:t>quetiapine (used to treat schizophrenia, bipolar disorder and major depressive disorder); lurasidone (used to treat schizophrenia)</w:t>
      </w:r>
    </w:p>
    <w:p w14:paraId="1A570949" w14:textId="77777777" w:rsidR="00D02BC8" w:rsidRPr="00D31EBB" w:rsidRDefault="00D02BC8" w:rsidP="003C6A99">
      <w:pPr>
        <w:pStyle w:val="EMEABodyTextIndent"/>
        <w:ind w:left="1105" w:hanging="538"/>
      </w:pPr>
      <w:r>
        <w:t>medicines containing St. John’s wort</w:t>
      </w:r>
      <w:r>
        <w:rPr>
          <w:i/>
        </w:rPr>
        <w:t xml:space="preserve"> (Hypericum perforatum</w:t>
      </w:r>
      <w:r>
        <w:t>, a herbal preparation)</w:t>
      </w:r>
    </w:p>
    <w:p w14:paraId="180BEA7F" w14:textId="77777777" w:rsidR="00D02BC8" w:rsidRPr="00D31EBB" w:rsidRDefault="00D02BC8" w:rsidP="003942A6">
      <w:pPr>
        <w:pStyle w:val="EMEABodyTextIndent"/>
        <w:ind w:left="1105" w:hanging="538"/>
      </w:pPr>
      <w:r>
        <w:t>triazolam and oral (taken by mouth) midazolam (used to help you sleep and/or to relieve anxiety)</w:t>
      </w:r>
    </w:p>
    <w:p w14:paraId="1C2FCDB9" w14:textId="77777777" w:rsidR="00D02BC8" w:rsidRPr="00D31EBB" w:rsidRDefault="00D02BC8" w:rsidP="003942A6">
      <w:pPr>
        <w:pStyle w:val="EMEABodyTextIndent"/>
        <w:ind w:left="1105" w:hanging="538"/>
      </w:pPr>
      <w:r>
        <w:t>simvastatin and lovastatin (used to lower blood cholesterol).</w:t>
      </w:r>
    </w:p>
    <w:p w14:paraId="70F405E6" w14:textId="77777777" w:rsidR="003D0B02" w:rsidRPr="00D31EBB" w:rsidRDefault="003D0B02" w:rsidP="003D0B02">
      <w:pPr>
        <w:pStyle w:val="EMEABodyTextIndent"/>
        <w:ind w:left="1105" w:hanging="538"/>
      </w:pPr>
      <w:r>
        <w:t>grazoprevir-containing products, including elbasvir/grazoprevir fixed dose combination, and glecaprevir/pibrentasvir fixed dose combination (used to treat chronic hepatitis C infection)</w:t>
      </w:r>
    </w:p>
    <w:p w14:paraId="5C9344A2" w14:textId="77777777" w:rsidR="00D02BC8" w:rsidRPr="00D31EBB" w:rsidRDefault="00D02BC8" w:rsidP="008B6CCB">
      <w:pPr>
        <w:pStyle w:val="EMEABodyText"/>
        <w:rPr>
          <w:lang w:val="en-US"/>
        </w:rPr>
      </w:pPr>
    </w:p>
    <w:p w14:paraId="18BCF344" w14:textId="77777777" w:rsidR="00D02BC8" w:rsidRPr="00D31EBB" w:rsidRDefault="00D02BC8" w:rsidP="008B6CCB">
      <w:pPr>
        <w:pStyle w:val="EMEABodyText"/>
      </w:pPr>
      <w:r>
        <w:t>Do not take sildenafil with REYATAZ when sildenafil is used for the treatment of pulmonary arterial hypertension. Sildenafil is also used for the treatment of erectile dysfunction. Tell your doctor if you are using sildenafil for the treatment of erectile dysfunction.</w:t>
      </w:r>
    </w:p>
    <w:p w14:paraId="23CD2736" w14:textId="77777777" w:rsidR="00D02BC8" w:rsidRPr="00D31EBB" w:rsidRDefault="00D02BC8" w:rsidP="008B6CCB">
      <w:pPr>
        <w:pStyle w:val="EMEABodyText"/>
        <w:rPr>
          <w:lang w:val="en-US"/>
        </w:rPr>
      </w:pPr>
    </w:p>
    <w:p w14:paraId="1065FC3E" w14:textId="77777777" w:rsidR="00D02BC8" w:rsidRPr="00D31EBB" w:rsidRDefault="00D02BC8" w:rsidP="008B6CCB">
      <w:pPr>
        <w:pStyle w:val="EMEABodyText"/>
      </w:pPr>
      <w:r>
        <w:t>Tell your doctor at once if any of these apply to you.</w:t>
      </w:r>
    </w:p>
    <w:p w14:paraId="338A7DC9" w14:textId="77777777" w:rsidR="00D02BC8" w:rsidRPr="00D31EBB" w:rsidRDefault="00D02BC8" w:rsidP="008B6CCB">
      <w:pPr>
        <w:pStyle w:val="EMEABodyText"/>
        <w:rPr>
          <w:b/>
          <w:noProof/>
          <w:lang w:val="en-US"/>
        </w:rPr>
      </w:pPr>
    </w:p>
    <w:p w14:paraId="630868C0" w14:textId="77777777" w:rsidR="00D02BC8" w:rsidRPr="00D31EBB" w:rsidRDefault="00D02BC8" w:rsidP="008B6CCB">
      <w:pPr>
        <w:pStyle w:val="EMEAHeading2"/>
      </w:pPr>
      <w:r>
        <w:t>Warnings and precautions</w:t>
      </w:r>
    </w:p>
    <w:p w14:paraId="54A77AB2" w14:textId="77777777" w:rsidR="00EA2170" w:rsidRPr="00D31EBB" w:rsidRDefault="00EA2170" w:rsidP="008B6CCB">
      <w:pPr>
        <w:pStyle w:val="EMEABodyText"/>
        <w:rPr>
          <w:lang w:val="en-US"/>
        </w:rPr>
      </w:pPr>
    </w:p>
    <w:p w14:paraId="381ADC8D" w14:textId="77777777" w:rsidR="00EA2170" w:rsidRPr="00D31EBB" w:rsidRDefault="00EA2170" w:rsidP="00EA2170">
      <w:pPr>
        <w:pStyle w:val="EMEABodyText"/>
      </w:pPr>
      <w:r>
        <w:rPr>
          <w:b/>
        </w:rPr>
        <w:t xml:space="preserve">REYATAZ is not a cure for HIV infection. </w:t>
      </w:r>
      <w:r>
        <w:t>You may continue to develop infections or other illnesses linked to HIV infection. You can still pass on HIV when taking this medicine, although the risk is lowered by effective antiretroviral therapy. Discuss with your doctor the precautions needed to avoid infecting other people.</w:t>
      </w:r>
    </w:p>
    <w:p w14:paraId="798BD78C" w14:textId="77777777" w:rsidR="00EA2170" w:rsidRPr="00D31EBB" w:rsidRDefault="00EA2170" w:rsidP="008B6CCB">
      <w:pPr>
        <w:pStyle w:val="EMEABodyText"/>
        <w:rPr>
          <w:lang w:val="en-US"/>
        </w:rPr>
      </w:pPr>
    </w:p>
    <w:p w14:paraId="04D91D42" w14:textId="77777777" w:rsidR="00D02BC8" w:rsidRPr="00D31EBB" w:rsidRDefault="00D02BC8" w:rsidP="008B6CCB">
      <w:pPr>
        <w:pStyle w:val="EMEABodyText"/>
      </w:pPr>
      <w:r>
        <w:t>Some people will need special care before or while taking REYATAZ. Talk to your doctor or pharmacist before taking REYATAZ and make sure your doctor knows:</w:t>
      </w:r>
    </w:p>
    <w:p w14:paraId="18442926" w14:textId="77777777" w:rsidR="00D02BC8" w:rsidRPr="00D31EBB" w:rsidRDefault="00D02BC8" w:rsidP="00C46103">
      <w:pPr>
        <w:pStyle w:val="EMEABodyTextIndent"/>
        <w:ind w:left="426" w:hanging="426"/>
      </w:pPr>
      <w:r>
        <w:t>if you have hepatitis B or C</w:t>
      </w:r>
    </w:p>
    <w:p w14:paraId="09EB44D0" w14:textId="77777777" w:rsidR="00EA2170" w:rsidRPr="00D31EBB" w:rsidRDefault="00EA2170" w:rsidP="002204B5">
      <w:pPr>
        <w:pStyle w:val="EMEABodyTextIndent"/>
        <w:ind w:left="426" w:hanging="426"/>
        <w:rPr>
          <w:i/>
        </w:rPr>
      </w:pPr>
      <w:r>
        <w:t>if you develop signs or symptoms of gall stones (pain at the right side of your stomach)</w:t>
      </w:r>
    </w:p>
    <w:p w14:paraId="21BBA745" w14:textId="77777777" w:rsidR="00D02BC8" w:rsidRPr="00D31EBB" w:rsidRDefault="00D02BC8" w:rsidP="00C46103">
      <w:pPr>
        <w:pStyle w:val="EMEABodyTextIndent"/>
        <w:ind w:left="426" w:hanging="426"/>
      </w:pPr>
      <w:r>
        <w:t>if you have type A or B haemophilia</w:t>
      </w:r>
    </w:p>
    <w:p w14:paraId="370CD563" w14:textId="77777777" w:rsidR="00D02BC8" w:rsidRPr="004F3582" w:rsidRDefault="00D02BC8" w:rsidP="00C46103">
      <w:pPr>
        <w:pStyle w:val="EMEABodyTextIndent"/>
        <w:ind w:left="426" w:hanging="426"/>
      </w:pPr>
      <w:r>
        <w:t>if you require haemodialysis</w:t>
      </w:r>
    </w:p>
    <w:p w14:paraId="02631035" w14:textId="77777777" w:rsidR="00D02BC8" w:rsidRPr="004F3582" w:rsidRDefault="00D02BC8" w:rsidP="008B6CCB">
      <w:pPr>
        <w:pStyle w:val="EMEABodyText"/>
      </w:pPr>
    </w:p>
    <w:p w14:paraId="2D71818B" w14:textId="77777777" w:rsidR="00EF4F14" w:rsidRPr="00D31EBB" w:rsidRDefault="00EF4F14" w:rsidP="00EF4F14">
      <w:pPr>
        <w:pStyle w:val="EMEABodyText"/>
      </w:pPr>
      <w:r>
        <w:t>REYATAZ may affect how well your kidneys work.</w:t>
      </w:r>
    </w:p>
    <w:p w14:paraId="7683857D" w14:textId="77777777" w:rsidR="00EF4F14" w:rsidRPr="00D31EBB" w:rsidRDefault="00EF4F14" w:rsidP="008B6CCB">
      <w:pPr>
        <w:pStyle w:val="EMEABodyText"/>
        <w:rPr>
          <w:lang w:val="en-US"/>
        </w:rPr>
      </w:pPr>
    </w:p>
    <w:p w14:paraId="2EA51501" w14:textId="77777777" w:rsidR="00D02BC8" w:rsidRPr="00D31EBB" w:rsidRDefault="00D02BC8" w:rsidP="008B6CCB">
      <w:pPr>
        <w:pStyle w:val="EMEABodyText"/>
      </w:pPr>
      <w:r>
        <w:t>Kidney stones have been reported in patients taking REYATAZ. If you develop signs or symptoms of kidney stones (pain in your side, blood in your urine, pain when you urinate), please inform your doctor immediately.</w:t>
      </w:r>
    </w:p>
    <w:p w14:paraId="0E23A64D" w14:textId="77777777" w:rsidR="00D02BC8" w:rsidRPr="00D31EBB" w:rsidRDefault="00D02BC8" w:rsidP="008B6CCB">
      <w:pPr>
        <w:pStyle w:val="EMEABodyText"/>
        <w:rPr>
          <w:lang w:val="en-US"/>
        </w:rPr>
      </w:pPr>
    </w:p>
    <w:p w14:paraId="08AF90C6" w14:textId="77777777" w:rsidR="00D02BC8" w:rsidRPr="00D31EBB" w:rsidRDefault="00D02BC8" w:rsidP="008B6CCB">
      <w:pPr>
        <w:pStyle w:val="EMEABodyText"/>
      </w:pPr>
      <w:r>
        <w:t>In some patients with advanced HIV infection (AIDS) and a history of opportunistic infection, signs and symptoms of inflammation from previous infections may occur soon after anti-HIV treatment is started. It is believed that these symptoms are due to an improvement in the body’s immune response, enabling the body to fight infections that may have been present with no obvious symptoms. If you notice any symptoms of infection, please inform your doctor immediately. 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hands and feet and moving up towards the trunk of the body, palpitations, tremor or hyperactivity, please inform your doctor immediately to seek necessary treatment.</w:t>
      </w:r>
    </w:p>
    <w:p w14:paraId="5251A344" w14:textId="77777777" w:rsidR="00D02BC8" w:rsidRPr="00D31EBB" w:rsidRDefault="00D02BC8" w:rsidP="008B6CCB">
      <w:pPr>
        <w:pStyle w:val="EMEABodyText"/>
        <w:rPr>
          <w:noProof/>
          <w:lang w:val="en-US"/>
        </w:rPr>
      </w:pPr>
    </w:p>
    <w:p w14:paraId="20F14F68" w14:textId="77777777" w:rsidR="00D02BC8" w:rsidRPr="00D31EBB" w:rsidRDefault="00D02BC8" w:rsidP="008B6CCB">
      <w:pPr>
        <w:pStyle w:val="EMEABodyText"/>
      </w:pPr>
      <w:r>
        <w:t>Some patients taking combination antiretroviral therapy may develop a bone disease called osteonecrosis (death of bone tissue caused by loss of blood supply to the bone). The length of combination antiretroviral therapy, corticosteroid use, alcohol consumption, severe immunosuppression, higher body mass index, among others, may be some of the many risk factors for developing this disease. Signs of osteonecrosis are joint stiffness, aches and pains (especially of the hip, knee and shoulder) and difficulty in movement. If you notice any of these symptoms please inform your doctor.</w:t>
      </w:r>
    </w:p>
    <w:p w14:paraId="64800B3E" w14:textId="77777777" w:rsidR="002A25E4" w:rsidRPr="00D31EBB" w:rsidRDefault="002A25E4" w:rsidP="008B6CCB">
      <w:pPr>
        <w:pStyle w:val="EMEABodyText"/>
        <w:rPr>
          <w:lang w:val="en-US"/>
        </w:rPr>
      </w:pPr>
    </w:p>
    <w:p w14:paraId="1F3C27C9" w14:textId="77777777" w:rsidR="00D02BC8" w:rsidRPr="00D31EBB" w:rsidRDefault="00D02BC8" w:rsidP="008B6CCB">
      <w:pPr>
        <w:pStyle w:val="EMEABodyText"/>
      </w:pPr>
      <w:r>
        <w:t>Hyperbilirubinaemia (an increase in the level of bilirubin in the blood) has occurred in patients receiving REYATAZ. The signs may be a mild yellowing of the skin or eyes. If you notice any of these symptoms please inform your doctor.</w:t>
      </w:r>
    </w:p>
    <w:p w14:paraId="61CF10D3" w14:textId="77777777" w:rsidR="00D02BC8" w:rsidRPr="00D31EBB" w:rsidRDefault="00D02BC8" w:rsidP="008B6CCB">
      <w:pPr>
        <w:pStyle w:val="EMEABodyText"/>
        <w:rPr>
          <w:lang w:val="en-US"/>
        </w:rPr>
      </w:pPr>
    </w:p>
    <w:p w14:paraId="5FC56171" w14:textId="77777777" w:rsidR="00D02BC8" w:rsidRPr="00D31EBB" w:rsidRDefault="00D02BC8" w:rsidP="008B6CCB">
      <w:pPr>
        <w:pStyle w:val="EMEABodyText"/>
        <w:rPr>
          <w:noProof/>
        </w:rPr>
      </w:pPr>
      <w:r>
        <w:t>Serious skin rash, including Stevens-Johnson syndrome, has been reported in patients taking REYATAZ. If you develop a rash inform your doctor immediately.</w:t>
      </w:r>
    </w:p>
    <w:p w14:paraId="32381062" w14:textId="77777777" w:rsidR="00D02BC8" w:rsidRPr="00D31EBB" w:rsidRDefault="00D02BC8" w:rsidP="008B6CCB">
      <w:pPr>
        <w:pStyle w:val="EMEABodyText"/>
        <w:rPr>
          <w:noProof/>
          <w:lang w:val="en-US"/>
        </w:rPr>
      </w:pPr>
    </w:p>
    <w:p w14:paraId="2BD93B65" w14:textId="77777777" w:rsidR="00B46494" w:rsidRPr="00D31EBB" w:rsidRDefault="00D02BC8">
      <w:pPr>
        <w:pStyle w:val="EMEABodyText"/>
        <w:rPr>
          <w:noProof/>
        </w:rPr>
      </w:pPr>
      <w:r>
        <w:t>If you notice a change in the way your heart beats (heart rhythm changes), please inform your doctor. Children receiving REYATAZ may require their heart to be monitored. Your child's doctor will decide this.</w:t>
      </w:r>
    </w:p>
    <w:p w14:paraId="47C86995" w14:textId="77777777" w:rsidR="00D02BC8" w:rsidRPr="00D31EBB" w:rsidRDefault="00D02BC8" w:rsidP="008B6CCB">
      <w:pPr>
        <w:pStyle w:val="EMEABodyText"/>
        <w:rPr>
          <w:noProof/>
          <w:lang w:val="en-US"/>
        </w:rPr>
      </w:pPr>
    </w:p>
    <w:p w14:paraId="6E875570" w14:textId="77777777" w:rsidR="00D02BC8" w:rsidRPr="00D31EBB" w:rsidRDefault="00D02BC8" w:rsidP="008B6CCB">
      <w:pPr>
        <w:pStyle w:val="EMEABodyText"/>
        <w:rPr>
          <w:b/>
          <w:noProof/>
        </w:rPr>
      </w:pPr>
      <w:r>
        <w:rPr>
          <w:b/>
        </w:rPr>
        <w:t>Children</w:t>
      </w:r>
    </w:p>
    <w:p w14:paraId="58E5A17F" w14:textId="77777777" w:rsidR="00EA2170" w:rsidRPr="00D31EBB" w:rsidRDefault="00EA2170" w:rsidP="00EA2170">
      <w:pPr>
        <w:pStyle w:val="EMEABodyText"/>
        <w:rPr>
          <w:dstrike/>
          <w:noProof/>
        </w:rPr>
      </w:pPr>
      <w:r>
        <w:rPr>
          <w:b/>
        </w:rPr>
        <w:t>Do not give this medicine to children</w:t>
      </w:r>
      <w:r>
        <w:t xml:space="preserve"> younger than 3 months of age and weighing less than 5 kg. The use of REYATAZ in children less than 3 months of age and weighing less than 5 kg has not been studied due to the risk of serious complications.</w:t>
      </w:r>
    </w:p>
    <w:p w14:paraId="7C71700E" w14:textId="77777777" w:rsidR="00D02BC8" w:rsidRPr="00D31EBB" w:rsidRDefault="00D02BC8" w:rsidP="008B6CCB">
      <w:pPr>
        <w:pStyle w:val="EMEABodyText"/>
        <w:rPr>
          <w:dstrike/>
          <w:noProof/>
          <w:lang w:val="en-US"/>
        </w:rPr>
      </w:pPr>
    </w:p>
    <w:p w14:paraId="26E4D102" w14:textId="77777777" w:rsidR="00D02BC8" w:rsidRPr="00D31EBB" w:rsidRDefault="00D02BC8" w:rsidP="008B6CCB">
      <w:pPr>
        <w:pStyle w:val="EMEAHeading2"/>
        <w:rPr>
          <w:noProof/>
        </w:rPr>
      </w:pPr>
      <w:r>
        <w:t>Other medicines and REYATAZ</w:t>
      </w:r>
    </w:p>
    <w:p w14:paraId="33330063" w14:textId="77777777" w:rsidR="00D02BC8" w:rsidRPr="00D31EBB" w:rsidRDefault="00D02BC8" w:rsidP="008B6CCB">
      <w:pPr>
        <w:pStyle w:val="EMEABodyText"/>
      </w:pPr>
      <w:r>
        <w:rPr>
          <w:b/>
        </w:rPr>
        <w:t>You must not take REYATAZ with certain medicines.</w:t>
      </w:r>
      <w:r>
        <w:t xml:space="preserve"> These are listed under Do not take REYATAZ, at the start of Section 2. </w:t>
      </w:r>
    </w:p>
    <w:p w14:paraId="46A29474" w14:textId="77777777" w:rsidR="00D02BC8" w:rsidRPr="00D31EBB" w:rsidRDefault="00D02BC8" w:rsidP="008B6CCB">
      <w:pPr>
        <w:pStyle w:val="EMEABodyText"/>
        <w:rPr>
          <w:lang w:val="en-US"/>
        </w:rPr>
      </w:pPr>
    </w:p>
    <w:p w14:paraId="662612B6" w14:textId="77777777" w:rsidR="00D02BC8" w:rsidRPr="004F3582" w:rsidRDefault="00D02BC8" w:rsidP="008B6CCB">
      <w:pPr>
        <w:pStyle w:val="EMEABodyText"/>
      </w:pPr>
      <w:r>
        <w:t>There are other medicines that may not mix with REYATAZ. Tell your doctor if you are taking, have recently taken, or might take any other medicines. It is especially important to mention these:</w:t>
      </w:r>
    </w:p>
    <w:p w14:paraId="5DA8B186" w14:textId="77777777" w:rsidR="00D02BC8" w:rsidRPr="00D31EBB" w:rsidRDefault="00D02BC8" w:rsidP="00826E45">
      <w:pPr>
        <w:pStyle w:val="EMEABodyTextIndent"/>
        <w:ind w:left="426" w:hanging="426"/>
        <w:rPr>
          <w:i/>
        </w:rPr>
      </w:pPr>
      <w:r>
        <w:t>other medicines to treat HIV infection (e.g. indinavir, nevirapine and efavirenz)</w:t>
      </w:r>
    </w:p>
    <w:p w14:paraId="2BAF409E" w14:textId="77777777" w:rsidR="00D02BC8" w:rsidRPr="00D31EBB" w:rsidRDefault="00D02BC8" w:rsidP="00826E45">
      <w:pPr>
        <w:pStyle w:val="EMEABodyTextIndent"/>
        <w:ind w:left="426" w:hanging="426"/>
      </w:pPr>
      <w:r>
        <w:t>boceprevir and sofosbuvir/velpatasvir/voxilaprevir (used to treat hepatitis C)</w:t>
      </w:r>
    </w:p>
    <w:p w14:paraId="7D4EA631" w14:textId="77777777" w:rsidR="00D02BC8" w:rsidRPr="00D31EBB" w:rsidRDefault="00D02BC8" w:rsidP="00826E45">
      <w:pPr>
        <w:pStyle w:val="EMEABodyTextIndent"/>
        <w:ind w:left="426" w:hanging="426"/>
      </w:pPr>
      <w:r>
        <w:t xml:space="preserve">sildenafil, vardenafil, or tadalafil (used by men to treat impotence (erectile dysfunction)) </w:t>
      </w:r>
    </w:p>
    <w:p w14:paraId="4D4A99DD" w14:textId="77777777" w:rsidR="00D02BC8" w:rsidRPr="00D31EBB" w:rsidRDefault="00D02BC8" w:rsidP="00826E45">
      <w:pPr>
        <w:pStyle w:val="EMEABodyTextIndent"/>
        <w:ind w:left="426" w:hanging="426"/>
      </w:pPr>
      <w:r>
        <w:t>if you are taking an oral contraceptive (</w:t>
      </w:r>
      <w:r>
        <w:rPr>
          <w:b/>
        </w:rPr>
        <w:t>"the Pill"</w:t>
      </w:r>
      <w:r>
        <w:t>) with REYATAZ to prevent pregnancy, be sure to take it exactly as instructed by your doctor and not miss any doses</w:t>
      </w:r>
    </w:p>
    <w:p w14:paraId="41FD9B10" w14:textId="77777777" w:rsidR="00D02BC8" w:rsidRPr="00D31EBB" w:rsidRDefault="00D02BC8" w:rsidP="00826E45">
      <w:pPr>
        <w:pStyle w:val="EMEABodyTextIndent"/>
        <w:ind w:left="426" w:hanging="426"/>
      </w:pPr>
      <w:r>
        <w:t>any medicines used to treat diseases related to the acid in the stomach (e.g. antacids to be taken 1 hour before taking REYATAZ or 2 hours after taking REYATAZ, H</w:t>
      </w:r>
      <w:r>
        <w:rPr>
          <w:vertAlign w:val="subscript"/>
        </w:rPr>
        <w:t>2</w:t>
      </w:r>
      <w:r>
        <w:t>-blockers like famotidine and proton pump inhibitors like omeprazole)</w:t>
      </w:r>
    </w:p>
    <w:p w14:paraId="39327E3E" w14:textId="77777777" w:rsidR="00F06518" w:rsidRPr="00D31EBB" w:rsidRDefault="00D02BC8" w:rsidP="00826E45">
      <w:pPr>
        <w:pStyle w:val="EMEABodyTextIndent"/>
        <w:ind w:left="426" w:hanging="426"/>
        <w:rPr>
          <w:i/>
        </w:rPr>
      </w:pPr>
      <w:r>
        <w:t>medicines to lower blood pressure, to slow heart rate, or to correct heart rhythm (amiodarone, diltiazem, systemic lidocaine, verapamil)</w:t>
      </w:r>
    </w:p>
    <w:p w14:paraId="6121EAA9" w14:textId="77777777" w:rsidR="00D02BC8" w:rsidRPr="00D31EBB" w:rsidRDefault="00D02BC8" w:rsidP="00826E45">
      <w:pPr>
        <w:pStyle w:val="EMEABodyTextIndent"/>
        <w:ind w:left="426" w:hanging="426"/>
      </w:pPr>
      <w:r>
        <w:t>atorvastatin, pravastatin, and fluvastatin (used to lower blood cholesterol)</w:t>
      </w:r>
    </w:p>
    <w:p w14:paraId="6D3442F0" w14:textId="77777777" w:rsidR="00D02BC8" w:rsidRPr="00D31EBB" w:rsidRDefault="00D02BC8" w:rsidP="00826E45">
      <w:pPr>
        <w:pStyle w:val="EMEABodyTextIndent"/>
        <w:ind w:left="426" w:hanging="426"/>
      </w:pPr>
      <w:r>
        <w:t>salmeterol (used to treat asthma)</w:t>
      </w:r>
    </w:p>
    <w:p w14:paraId="08F8E076" w14:textId="77777777" w:rsidR="00D02BC8" w:rsidRPr="00D31EBB" w:rsidRDefault="00D02BC8" w:rsidP="00826E45">
      <w:pPr>
        <w:pStyle w:val="EMEABodyTextIndent"/>
        <w:ind w:left="426" w:hanging="426"/>
      </w:pPr>
      <w:r>
        <w:t>cyclosporin, tacrolimus, and sirolimus (medicines to decrease the effects of body's immune system)</w:t>
      </w:r>
    </w:p>
    <w:p w14:paraId="4EC7B84D" w14:textId="77777777" w:rsidR="00D02BC8" w:rsidRPr="004F3582" w:rsidRDefault="00D02BC8" w:rsidP="00826E45">
      <w:pPr>
        <w:pStyle w:val="EMEABodyTextIndent"/>
        <w:ind w:left="426" w:hanging="426"/>
      </w:pPr>
      <w:r>
        <w:t>certain antibiotics (rifabutin, clarithromycin)</w:t>
      </w:r>
    </w:p>
    <w:p w14:paraId="5EF64CF8" w14:textId="77777777" w:rsidR="00D02BC8" w:rsidRPr="004F3582" w:rsidRDefault="00D02BC8" w:rsidP="00826E45">
      <w:pPr>
        <w:pStyle w:val="EMEABodyTextIndent"/>
        <w:ind w:left="426" w:hanging="426"/>
      </w:pPr>
      <w:r>
        <w:t>ketoconazole, itraconazole, and voriconazole (antifungals)</w:t>
      </w:r>
    </w:p>
    <w:p w14:paraId="29F3AE9F" w14:textId="77777777" w:rsidR="00D02BC8" w:rsidRPr="00D31EBB" w:rsidRDefault="00D02BC8" w:rsidP="00826E45">
      <w:pPr>
        <w:pStyle w:val="EMEABodyTextIndent"/>
        <w:ind w:left="426" w:hanging="426"/>
      </w:pPr>
      <w:r>
        <w:t>warfarin (anticoagulant, used to reduce the blood clots)</w:t>
      </w:r>
    </w:p>
    <w:p w14:paraId="047ECC27" w14:textId="77777777" w:rsidR="00D02BC8" w:rsidRPr="004F3582" w:rsidRDefault="00D02BC8" w:rsidP="00826E45">
      <w:pPr>
        <w:pStyle w:val="EMEABodyTextIndent"/>
        <w:ind w:left="426" w:hanging="426"/>
      </w:pPr>
      <w:r>
        <w:t>carbamazepine, phenytoin, phenobarbital, lamotrigine (antiepileptics)</w:t>
      </w:r>
    </w:p>
    <w:p w14:paraId="0F6AA519" w14:textId="77777777" w:rsidR="00D02BC8" w:rsidRPr="00D31EBB" w:rsidRDefault="00D02BC8" w:rsidP="00826E45">
      <w:pPr>
        <w:pStyle w:val="EMEABodyTextIndent"/>
        <w:ind w:left="426" w:hanging="426"/>
      </w:pPr>
      <w:r>
        <w:t>irinotecan (used to treat cancer)</w:t>
      </w:r>
    </w:p>
    <w:p w14:paraId="094C7B04" w14:textId="77777777" w:rsidR="00D02BC8" w:rsidRPr="00D31EBB" w:rsidRDefault="00D02BC8" w:rsidP="00826E45">
      <w:pPr>
        <w:pStyle w:val="EMEABodyTextIndent"/>
        <w:ind w:left="426" w:hanging="426"/>
      </w:pPr>
      <w:r>
        <w:t>sedative agents (e.g. midazolam administered by injection)</w:t>
      </w:r>
    </w:p>
    <w:p w14:paraId="5617EE24" w14:textId="77777777" w:rsidR="00D02BC8" w:rsidRPr="00D31EBB" w:rsidRDefault="00D02BC8" w:rsidP="00826E45">
      <w:pPr>
        <w:pStyle w:val="EMEABodyTextIndent"/>
        <w:ind w:left="426" w:hanging="426"/>
      </w:pPr>
      <w:r>
        <w:t>buprenorphine (used to treat opioid addiction and pain).</w:t>
      </w:r>
    </w:p>
    <w:p w14:paraId="6F17C2ED" w14:textId="77777777" w:rsidR="00D02BC8" w:rsidRPr="00D31EBB" w:rsidRDefault="00D02BC8" w:rsidP="008B6CCB">
      <w:pPr>
        <w:pStyle w:val="EMEABodyText"/>
        <w:rPr>
          <w:lang w:val="en-US"/>
        </w:rPr>
      </w:pPr>
    </w:p>
    <w:p w14:paraId="7D9DF4DB" w14:textId="77777777" w:rsidR="00D02BC8" w:rsidRPr="00D31EBB" w:rsidRDefault="00D02BC8" w:rsidP="008B6CCB">
      <w:pPr>
        <w:pStyle w:val="EMEABodyText"/>
      </w:pPr>
      <w:r>
        <w:t>Some medicines may interact with ritonavir, a medicine that is taken with REYATAZ. It is important to tell your doctor if you are taking fluticasone or budesonide (given by nose or inhaled to treat allergic symptoms or asthma).</w:t>
      </w:r>
    </w:p>
    <w:p w14:paraId="2FC77204" w14:textId="77777777" w:rsidR="00D02BC8" w:rsidRPr="00D31EBB" w:rsidRDefault="00D02BC8" w:rsidP="008B6CCB">
      <w:pPr>
        <w:pStyle w:val="EMEABodyText"/>
        <w:rPr>
          <w:b/>
          <w:noProof/>
          <w:lang w:val="en-US"/>
        </w:rPr>
      </w:pPr>
    </w:p>
    <w:p w14:paraId="116DD20E" w14:textId="77777777" w:rsidR="00D02BC8" w:rsidRPr="00D31EBB" w:rsidRDefault="00D02BC8" w:rsidP="008B6CCB">
      <w:pPr>
        <w:pStyle w:val="EMEAHeading2"/>
      </w:pPr>
      <w:r>
        <w:t>REYATAZ with food and drink</w:t>
      </w:r>
    </w:p>
    <w:p w14:paraId="3D202B51" w14:textId="77777777" w:rsidR="00D02BC8" w:rsidRPr="00D31EBB" w:rsidRDefault="00D02BC8" w:rsidP="008B6CCB">
      <w:pPr>
        <w:pStyle w:val="EMEABodyText"/>
      </w:pPr>
      <w:r>
        <w:t>It is important that you take REYATAZ with food (a meal or a substantial snack) as this helps the body absorb the medicine.</w:t>
      </w:r>
    </w:p>
    <w:p w14:paraId="162AA02A" w14:textId="77777777" w:rsidR="00D02BC8" w:rsidRPr="00D31EBB" w:rsidRDefault="00D02BC8" w:rsidP="008B6CCB">
      <w:pPr>
        <w:pStyle w:val="EMEABodyText"/>
        <w:rPr>
          <w:b/>
          <w:lang w:val="en-US"/>
        </w:rPr>
      </w:pPr>
    </w:p>
    <w:p w14:paraId="7C4F27A6" w14:textId="77777777" w:rsidR="00D02BC8" w:rsidRPr="00D31EBB" w:rsidRDefault="00D02BC8" w:rsidP="008B6CCB">
      <w:pPr>
        <w:pStyle w:val="EMEAHeading2"/>
      </w:pPr>
      <w:r>
        <w:t>Pregnancy and breast-feeding</w:t>
      </w:r>
    </w:p>
    <w:p w14:paraId="03B0F495" w14:textId="77777777" w:rsidR="00D02BC8" w:rsidRPr="00D31EBB" w:rsidRDefault="00F06518" w:rsidP="008B6CCB">
      <w:pPr>
        <w:pStyle w:val="EMEABodyText"/>
      </w:pPr>
      <w:r>
        <w:t>If you are pregnant or breast-feeding, think that you may be pregnant or are planning to have a baby, ask your doctor for advice before taking this medicine. Atazanavir, the active substance of REYATAZ, is excreted in human milk. Patients should not breast-feed while taking REYATAZ. It is recommended that women infected with HIV do not breast-feed because the virus might be transmitted through the breast milk.</w:t>
      </w:r>
    </w:p>
    <w:p w14:paraId="36A3B38C" w14:textId="77777777" w:rsidR="00D02BC8" w:rsidRPr="00D31EBB" w:rsidRDefault="00D02BC8" w:rsidP="008B6CCB">
      <w:pPr>
        <w:pStyle w:val="EMEABodyText"/>
        <w:rPr>
          <w:b/>
          <w:lang w:val="en-US"/>
        </w:rPr>
      </w:pPr>
    </w:p>
    <w:p w14:paraId="412BDD46" w14:textId="77777777" w:rsidR="00D02BC8" w:rsidRPr="00D31EBB" w:rsidRDefault="00D02BC8" w:rsidP="008B6CCB">
      <w:pPr>
        <w:pStyle w:val="EMEAHeading2"/>
      </w:pPr>
      <w:r>
        <w:t>Driving and using machines</w:t>
      </w:r>
    </w:p>
    <w:p w14:paraId="4AD490FC" w14:textId="77777777" w:rsidR="00D02BC8" w:rsidRPr="00D31EBB" w:rsidRDefault="00D02BC8" w:rsidP="008B6CCB">
      <w:pPr>
        <w:pStyle w:val="EMEABodyText"/>
      </w:pPr>
      <w:r>
        <w:t>If you feel dizzy or lightheaded, do not drive or use machines and contact your doctor immediately.</w:t>
      </w:r>
    </w:p>
    <w:p w14:paraId="57CAE31F" w14:textId="77777777" w:rsidR="00D02BC8" w:rsidRPr="00D31EBB" w:rsidRDefault="00D02BC8" w:rsidP="008B6CCB">
      <w:pPr>
        <w:pStyle w:val="EMEABodyText"/>
        <w:rPr>
          <w:b/>
          <w:noProof/>
          <w:lang w:val="en-US"/>
        </w:rPr>
      </w:pPr>
    </w:p>
    <w:p w14:paraId="1D77F25B" w14:textId="77777777" w:rsidR="00D02BC8" w:rsidRPr="00D31EBB" w:rsidRDefault="00D02BC8" w:rsidP="008B6CCB">
      <w:pPr>
        <w:pStyle w:val="EMEAHeading2"/>
      </w:pPr>
      <w:r>
        <w:t>REYATAZ contains lactose.</w:t>
      </w:r>
    </w:p>
    <w:p w14:paraId="1D995B96" w14:textId="77777777" w:rsidR="00D02BC8" w:rsidRPr="00D31EBB" w:rsidRDefault="00D02BC8" w:rsidP="008B6CCB">
      <w:pPr>
        <w:pStyle w:val="EMEABodyText"/>
        <w:rPr>
          <w:noProof/>
        </w:rPr>
      </w:pPr>
      <w:r>
        <w:t>If you have been told by your doctor that you have an intolerance to some sugars (e.g. lactose), contact your doctor before taking this medicinal product.</w:t>
      </w:r>
    </w:p>
    <w:p w14:paraId="1F5B4AC2" w14:textId="77777777" w:rsidR="00D02BC8" w:rsidRPr="00D31EBB" w:rsidRDefault="00D02BC8" w:rsidP="008B6CCB">
      <w:pPr>
        <w:pStyle w:val="EMEABodyText"/>
        <w:rPr>
          <w:b/>
          <w:noProof/>
          <w:lang w:val="en-US"/>
        </w:rPr>
      </w:pPr>
    </w:p>
    <w:p w14:paraId="0C4FAFF9" w14:textId="77777777" w:rsidR="00D02BC8" w:rsidRPr="00D31EBB" w:rsidRDefault="00D02BC8" w:rsidP="008B6CCB">
      <w:pPr>
        <w:pStyle w:val="EMEABodyText"/>
        <w:rPr>
          <w:b/>
          <w:noProof/>
          <w:lang w:val="en-US"/>
        </w:rPr>
      </w:pPr>
    </w:p>
    <w:p w14:paraId="681E9F79" w14:textId="77777777" w:rsidR="00D02BC8" w:rsidRPr="00D31EBB" w:rsidRDefault="00D02BC8" w:rsidP="003C6A99">
      <w:pPr>
        <w:pStyle w:val="EMEAHeading1"/>
        <w:rPr>
          <w:bCs/>
          <w:caps w:val="0"/>
        </w:rPr>
      </w:pPr>
      <w:r>
        <w:rPr>
          <w:bCs/>
          <w:caps w:val="0"/>
        </w:rPr>
        <w:t>3.</w:t>
      </w:r>
      <w:r>
        <w:rPr>
          <w:bCs/>
          <w:caps w:val="0"/>
        </w:rPr>
        <w:tab/>
        <w:t>How to take REYATAZ</w:t>
      </w:r>
    </w:p>
    <w:p w14:paraId="79D8D1C0" w14:textId="77777777" w:rsidR="00D02BC8" w:rsidRPr="00D31EBB" w:rsidRDefault="00D02BC8" w:rsidP="00222DF5">
      <w:pPr>
        <w:pStyle w:val="EMEABodyText"/>
        <w:rPr>
          <w:noProof/>
          <w:lang w:val="en-US"/>
        </w:rPr>
      </w:pPr>
    </w:p>
    <w:p w14:paraId="0DF3A911" w14:textId="77777777" w:rsidR="00D02BC8" w:rsidRPr="00D31EBB" w:rsidRDefault="00D02BC8" w:rsidP="008B6CCB">
      <w:pPr>
        <w:pStyle w:val="EMEABodyText"/>
      </w:pPr>
      <w:r>
        <w:t xml:space="preserve">Always take this medicine exactly as your doctor has told you. Check with your doctor if you are not sure. This way, you can be sure your medicine is fully effective and you reduce the risk of the virus developing resistance to the treatment. </w:t>
      </w:r>
    </w:p>
    <w:p w14:paraId="57A99D75" w14:textId="77777777" w:rsidR="00D02BC8" w:rsidRPr="00D31EBB" w:rsidRDefault="00D02BC8" w:rsidP="008B6CCB">
      <w:pPr>
        <w:pStyle w:val="EMEABodyText"/>
        <w:rPr>
          <w:noProof/>
          <w:lang w:val="en-US"/>
        </w:rPr>
      </w:pPr>
    </w:p>
    <w:p w14:paraId="210A78C2" w14:textId="77777777" w:rsidR="00D02BC8" w:rsidRPr="00D31EBB" w:rsidRDefault="00D02BC8" w:rsidP="008B6CCB">
      <w:pPr>
        <w:pStyle w:val="EMEABodyText"/>
      </w:pPr>
      <w:r>
        <w:rPr>
          <w:b/>
        </w:rPr>
        <w:t xml:space="preserve">The recommended adult dose of REYATAZ capsules is 300 mg once daily with 100 mg ritonavir once daily and with food, </w:t>
      </w:r>
      <w:r>
        <w:t>in combination with other anti-HIV medicines. Your doctor may adjust the dose of REYATAZ according to your anti-HIV therapy.</w:t>
      </w:r>
    </w:p>
    <w:p w14:paraId="29C7697E" w14:textId="77777777" w:rsidR="00D02BC8" w:rsidRPr="00D31EBB" w:rsidRDefault="00D02BC8" w:rsidP="008B6CCB">
      <w:pPr>
        <w:pStyle w:val="EMEABodyText"/>
        <w:rPr>
          <w:b/>
          <w:lang w:val="en-US"/>
        </w:rPr>
      </w:pPr>
    </w:p>
    <w:p w14:paraId="6226D765" w14:textId="77777777" w:rsidR="00D02BC8" w:rsidRPr="00D31EBB" w:rsidRDefault="00D02BC8" w:rsidP="008B6CCB">
      <w:pPr>
        <w:pStyle w:val="EMEABodyText"/>
        <w:spacing w:after="60"/>
      </w:pPr>
      <w:r>
        <w:rPr>
          <w:b/>
        </w:rPr>
        <w:t xml:space="preserve">For children (6 to less than 18 years of age), your child's doctor will decide the right dose based on your child's weight. </w:t>
      </w:r>
      <w:r>
        <w:t>The dose of REYATAZ capsules for children is calculated by body weight and is taken once daily with food and 100 mg ritonavir as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3"/>
        <w:gridCol w:w="3028"/>
        <w:gridCol w:w="3022"/>
      </w:tblGrid>
      <w:tr w:rsidR="00D02BC8" w:rsidRPr="00965E20" w14:paraId="4968F7BE" w14:textId="77777777" w:rsidTr="008B6CCB">
        <w:tc>
          <w:tcPr>
            <w:tcW w:w="3096" w:type="dxa"/>
          </w:tcPr>
          <w:p w14:paraId="0722289E" w14:textId="77777777" w:rsidR="00D02BC8" w:rsidRPr="004F3582" w:rsidRDefault="00D02BC8" w:rsidP="008B6CCB">
            <w:pPr>
              <w:pStyle w:val="EMEABodyText"/>
              <w:jc w:val="center"/>
              <w:rPr>
                <w:b/>
              </w:rPr>
            </w:pPr>
            <w:r>
              <w:rPr>
                <w:b/>
              </w:rPr>
              <w:t>Body Weight</w:t>
            </w:r>
          </w:p>
          <w:p w14:paraId="447CF098" w14:textId="77777777" w:rsidR="00D02BC8" w:rsidRPr="004F3582" w:rsidRDefault="00D02BC8" w:rsidP="008B6CCB">
            <w:pPr>
              <w:pStyle w:val="EMEABodyText"/>
              <w:jc w:val="center"/>
              <w:rPr>
                <w:b/>
              </w:rPr>
            </w:pPr>
            <w:r>
              <w:rPr>
                <w:b/>
              </w:rPr>
              <w:t>(kg)</w:t>
            </w:r>
          </w:p>
        </w:tc>
        <w:tc>
          <w:tcPr>
            <w:tcW w:w="3096" w:type="dxa"/>
          </w:tcPr>
          <w:p w14:paraId="0826BDBB" w14:textId="77777777" w:rsidR="00D02BC8" w:rsidRPr="00D31EBB" w:rsidRDefault="00D02BC8" w:rsidP="008B6CCB">
            <w:pPr>
              <w:pStyle w:val="EMEABodyText"/>
              <w:jc w:val="center"/>
              <w:rPr>
                <w:b/>
              </w:rPr>
            </w:pPr>
            <w:r>
              <w:rPr>
                <w:b/>
              </w:rPr>
              <w:t>REYATAZ Dose once daily</w:t>
            </w:r>
          </w:p>
          <w:p w14:paraId="51495F7D" w14:textId="77777777" w:rsidR="00D02BC8" w:rsidRPr="00D31EBB" w:rsidRDefault="00D02BC8" w:rsidP="008B6CCB">
            <w:pPr>
              <w:pStyle w:val="EMEABodyText"/>
              <w:jc w:val="center"/>
              <w:rPr>
                <w:b/>
              </w:rPr>
            </w:pPr>
            <w:r>
              <w:rPr>
                <w:b/>
              </w:rPr>
              <w:t>(mg)</w:t>
            </w:r>
          </w:p>
        </w:tc>
        <w:tc>
          <w:tcPr>
            <w:tcW w:w="3097" w:type="dxa"/>
          </w:tcPr>
          <w:p w14:paraId="06E10CDD" w14:textId="77777777" w:rsidR="00D02BC8" w:rsidRPr="00D31EBB" w:rsidRDefault="00D02BC8" w:rsidP="008B6CCB">
            <w:pPr>
              <w:pStyle w:val="EMEABodyText"/>
              <w:jc w:val="center"/>
              <w:rPr>
                <w:b/>
              </w:rPr>
            </w:pPr>
            <w:r>
              <w:rPr>
                <w:b/>
              </w:rPr>
              <w:t>Ritonavir Dose* once daily</w:t>
            </w:r>
          </w:p>
          <w:p w14:paraId="02B73495" w14:textId="77777777" w:rsidR="00D02BC8" w:rsidRPr="00D31EBB" w:rsidRDefault="00D02BC8" w:rsidP="008B6CCB">
            <w:pPr>
              <w:pStyle w:val="EMEABodyText"/>
              <w:jc w:val="center"/>
              <w:rPr>
                <w:b/>
              </w:rPr>
            </w:pPr>
            <w:r>
              <w:rPr>
                <w:b/>
              </w:rPr>
              <w:t>(mg)</w:t>
            </w:r>
          </w:p>
        </w:tc>
      </w:tr>
      <w:tr w:rsidR="00D02BC8" w:rsidRPr="004F3582" w14:paraId="7EE14B73" w14:textId="77777777" w:rsidTr="008B6CCB">
        <w:tc>
          <w:tcPr>
            <w:tcW w:w="3096" w:type="dxa"/>
          </w:tcPr>
          <w:p w14:paraId="5AF51608" w14:textId="77777777" w:rsidR="00D02BC8" w:rsidRPr="004F3582" w:rsidRDefault="00D02BC8" w:rsidP="00462FE2">
            <w:pPr>
              <w:pStyle w:val="EMEABodyText"/>
              <w:jc w:val="center"/>
            </w:pPr>
            <w:r>
              <w:t>15 to less than 35</w:t>
            </w:r>
          </w:p>
        </w:tc>
        <w:tc>
          <w:tcPr>
            <w:tcW w:w="3096" w:type="dxa"/>
          </w:tcPr>
          <w:p w14:paraId="075B11DE" w14:textId="77777777" w:rsidR="00D02BC8" w:rsidRPr="004F3582" w:rsidRDefault="006719E7" w:rsidP="008B6CCB">
            <w:pPr>
              <w:pStyle w:val="EMEABodyText"/>
              <w:jc w:val="center"/>
            </w:pPr>
            <w:r>
              <w:t>200</w:t>
            </w:r>
          </w:p>
        </w:tc>
        <w:tc>
          <w:tcPr>
            <w:tcW w:w="3097" w:type="dxa"/>
          </w:tcPr>
          <w:p w14:paraId="4BC926C6" w14:textId="77777777" w:rsidR="00D02BC8" w:rsidRPr="004F3582" w:rsidRDefault="00D02BC8" w:rsidP="008B6CCB">
            <w:pPr>
              <w:pStyle w:val="EMEABodyText"/>
              <w:jc w:val="center"/>
            </w:pPr>
            <w:r>
              <w:t>100</w:t>
            </w:r>
          </w:p>
        </w:tc>
      </w:tr>
      <w:tr w:rsidR="00D02BC8" w:rsidRPr="004F3582" w14:paraId="40A6FD76" w14:textId="77777777" w:rsidTr="008B6CCB">
        <w:tc>
          <w:tcPr>
            <w:tcW w:w="3096" w:type="dxa"/>
          </w:tcPr>
          <w:p w14:paraId="24186C98" w14:textId="77777777" w:rsidR="00D02BC8" w:rsidRPr="004F3582" w:rsidRDefault="00D02BC8" w:rsidP="00462FE2">
            <w:pPr>
              <w:pStyle w:val="EMEABodyText"/>
              <w:jc w:val="center"/>
            </w:pPr>
            <w:r>
              <w:t>at least 35</w:t>
            </w:r>
          </w:p>
        </w:tc>
        <w:tc>
          <w:tcPr>
            <w:tcW w:w="3096" w:type="dxa"/>
          </w:tcPr>
          <w:p w14:paraId="580AD9C3" w14:textId="77777777" w:rsidR="00D02BC8" w:rsidRPr="004F3582" w:rsidRDefault="00D02BC8" w:rsidP="008B6CCB">
            <w:pPr>
              <w:pStyle w:val="EMEABodyText"/>
              <w:jc w:val="center"/>
            </w:pPr>
            <w:r>
              <w:t>300</w:t>
            </w:r>
          </w:p>
        </w:tc>
        <w:tc>
          <w:tcPr>
            <w:tcW w:w="3097" w:type="dxa"/>
          </w:tcPr>
          <w:p w14:paraId="3350DFD0" w14:textId="77777777" w:rsidR="00D02BC8" w:rsidRPr="004F3582" w:rsidRDefault="00D02BC8" w:rsidP="008B6CCB">
            <w:pPr>
              <w:pStyle w:val="EMEABodyText"/>
              <w:jc w:val="center"/>
            </w:pPr>
            <w:r>
              <w:t>100</w:t>
            </w:r>
          </w:p>
        </w:tc>
      </w:tr>
      <w:tr w:rsidR="00D02BC8" w:rsidRPr="00965E20" w14:paraId="4DDECCB5" w14:textId="77777777" w:rsidTr="008B6CCB">
        <w:tc>
          <w:tcPr>
            <w:tcW w:w="9289" w:type="dxa"/>
            <w:gridSpan w:val="3"/>
          </w:tcPr>
          <w:p w14:paraId="61567BF8" w14:textId="77777777" w:rsidR="00D02BC8" w:rsidRPr="00D31EBB" w:rsidRDefault="00D02BC8" w:rsidP="008B6CCB">
            <w:pPr>
              <w:pStyle w:val="EMEABodyText"/>
              <w:keepNext/>
              <w:rPr>
                <w:sz w:val="18"/>
              </w:rPr>
            </w:pPr>
            <w:r>
              <w:rPr>
                <w:sz w:val="18"/>
              </w:rPr>
              <w:t>*Ritonavir capsules, tablets or oral solution may be used.</w:t>
            </w:r>
          </w:p>
        </w:tc>
      </w:tr>
    </w:tbl>
    <w:p w14:paraId="77602001" w14:textId="77777777" w:rsidR="003D1EBD" w:rsidRPr="00D31EBB" w:rsidRDefault="003D1EBD" w:rsidP="003D1EBD">
      <w:pPr>
        <w:pStyle w:val="EMEABodyText"/>
        <w:rPr>
          <w:bCs/>
          <w:iCs/>
          <w:lang w:val="en-US"/>
        </w:rPr>
      </w:pPr>
    </w:p>
    <w:p w14:paraId="3DB8C7EA" w14:textId="77777777" w:rsidR="006719E7" w:rsidRPr="00D31EBB" w:rsidRDefault="003D1EBD" w:rsidP="006719E7">
      <w:pPr>
        <w:pStyle w:val="EMEABodyText"/>
        <w:rPr>
          <w:bCs/>
          <w:iCs/>
        </w:rPr>
      </w:pPr>
      <w:r>
        <w:t>REYATAZ is also available as an oral powder for use in children at least 3 months old and weighing at least 5 kg. Switching to REYATAZ capsules from REYATAZ oral powder is encouraged as soon as patients are able to consistently swallow capsules.</w:t>
      </w:r>
    </w:p>
    <w:p w14:paraId="74DA3817" w14:textId="77777777" w:rsidR="006719E7" w:rsidRPr="00D31EBB" w:rsidRDefault="006719E7" w:rsidP="006719E7">
      <w:pPr>
        <w:pStyle w:val="EMEABodyText"/>
        <w:rPr>
          <w:bCs/>
          <w:iCs/>
          <w:lang w:val="en-US"/>
        </w:rPr>
      </w:pPr>
    </w:p>
    <w:p w14:paraId="72A6D39F" w14:textId="77777777" w:rsidR="006719E7" w:rsidRPr="00D31EBB" w:rsidRDefault="006719E7" w:rsidP="006719E7">
      <w:pPr>
        <w:pStyle w:val="EMEABodyText"/>
        <w:rPr>
          <w:bCs/>
          <w:iCs/>
        </w:rPr>
      </w:pPr>
      <w:r>
        <w:t>A change in dose may occur when switching between oral powder and capsules. Your doctor will decide the right dose based on your child’s weight.</w:t>
      </w:r>
    </w:p>
    <w:p w14:paraId="051171FA" w14:textId="77777777" w:rsidR="00D02BC8" w:rsidRPr="00D31EBB" w:rsidRDefault="00D02BC8" w:rsidP="008B6CCB">
      <w:pPr>
        <w:pStyle w:val="EMEABodyText"/>
        <w:rPr>
          <w:lang w:val="en-US"/>
        </w:rPr>
      </w:pPr>
    </w:p>
    <w:p w14:paraId="094E3700" w14:textId="77777777" w:rsidR="00D02BC8" w:rsidRPr="00D31EBB" w:rsidRDefault="00D02BC8" w:rsidP="008B6CCB">
      <w:pPr>
        <w:pStyle w:val="EMEABodyText"/>
        <w:rPr>
          <w:bCs/>
          <w:iCs/>
        </w:rPr>
      </w:pPr>
      <w:r>
        <w:t>There are no dosing recommendations for REYATAZ in paediatric patients less than 3 months of age.</w:t>
      </w:r>
    </w:p>
    <w:p w14:paraId="18A0B0CD" w14:textId="77777777" w:rsidR="00D02BC8" w:rsidRPr="00D31EBB" w:rsidRDefault="00D02BC8" w:rsidP="008B6CCB">
      <w:pPr>
        <w:pStyle w:val="EMEABodyText"/>
        <w:rPr>
          <w:lang w:val="en-US"/>
        </w:rPr>
      </w:pPr>
    </w:p>
    <w:p w14:paraId="67AB6BFB" w14:textId="77777777" w:rsidR="00D02BC8" w:rsidRPr="00D31EBB" w:rsidRDefault="00D02BC8" w:rsidP="008B6CCB">
      <w:pPr>
        <w:pStyle w:val="EMEABodyText"/>
        <w:rPr>
          <w:b/>
        </w:rPr>
      </w:pPr>
      <w:r>
        <w:rPr>
          <w:b/>
        </w:rPr>
        <w:t xml:space="preserve">Take REYATAZ capsules with food </w:t>
      </w:r>
      <w:r>
        <w:t xml:space="preserve">(a meal or a substantial snack). Swallow the capsules whole. </w:t>
      </w:r>
      <w:r>
        <w:rPr>
          <w:b/>
        </w:rPr>
        <w:t>Do not open the capsules.</w:t>
      </w:r>
    </w:p>
    <w:p w14:paraId="365A6F46" w14:textId="77777777" w:rsidR="00D02BC8" w:rsidRPr="00D31EBB" w:rsidRDefault="00D02BC8" w:rsidP="008B6CCB">
      <w:pPr>
        <w:pStyle w:val="EMEABodyText"/>
        <w:rPr>
          <w:b/>
          <w:lang w:val="en-US"/>
        </w:rPr>
      </w:pPr>
    </w:p>
    <w:p w14:paraId="466BAA45" w14:textId="77777777" w:rsidR="00D02BC8" w:rsidRPr="00D31EBB" w:rsidRDefault="00D02BC8" w:rsidP="008B6CCB">
      <w:pPr>
        <w:pStyle w:val="EMEAHeading2"/>
      </w:pPr>
      <w:r>
        <w:t>If you take more REYATAZ than you should</w:t>
      </w:r>
    </w:p>
    <w:p w14:paraId="2B6FEABD" w14:textId="77777777" w:rsidR="006719E7" w:rsidRPr="00D31EBB" w:rsidRDefault="006719E7" w:rsidP="006719E7">
      <w:pPr>
        <w:pStyle w:val="EMEABodyText"/>
      </w:pPr>
      <w:r>
        <w:t>Yellowing of the skin and/or eyes (jaundice) and irregular heart beat (QTc prolongation) may occur if you or your child take too much REYATAZ.</w:t>
      </w:r>
    </w:p>
    <w:p w14:paraId="7F8D2E0C" w14:textId="77777777" w:rsidR="00D02BC8" w:rsidRPr="00D31EBB" w:rsidRDefault="00D02BC8" w:rsidP="008B6CCB">
      <w:pPr>
        <w:pStyle w:val="EMEABodyText"/>
      </w:pPr>
      <w:r>
        <w:t>If you accidentally take more REYATAZ capsules than your doctor recommended, contact your HIV doctor at once or contact the nearest hospital for advice.</w:t>
      </w:r>
    </w:p>
    <w:p w14:paraId="662C76F2" w14:textId="77777777" w:rsidR="00D02BC8" w:rsidRPr="00D31EBB" w:rsidRDefault="00D02BC8" w:rsidP="008B6CCB">
      <w:pPr>
        <w:pStyle w:val="EMEABodyText"/>
        <w:rPr>
          <w:b/>
          <w:lang w:val="en-US"/>
        </w:rPr>
      </w:pPr>
    </w:p>
    <w:p w14:paraId="52DC1407" w14:textId="77777777" w:rsidR="00D02BC8" w:rsidRPr="00D31EBB" w:rsidRDefault="00D02BC8" w:rsidP="008B6CCB">
      <w:pPr>
        <w:pStyle w:val="EMEAHeading2"/>
      </w:pPr>
      <w:r>
        <w:t>If you forget to take REYATAZ</w:t>
      </w:r>
    </w:p>
    <w:p w14:paraId="5FF942E2" w14:textId="77777777" w:rsidR="00D02BC8" w:rsidRPr="00D31EBB" w:rsidRDefault="00D02BC8" w:rsidP="008B6CCB">
      <w:pPr>
        <w:pStyle w:val="EMEABodyText"/>
        <w:rPr>
          <w:b/>
        </w:rPr>
      </w:pPr>
      <w:r>
        <w:t xml:space="preserve">If you miss a dose, take the missed dose as soon as possible with food and then take your next scheduled dose at its regular time. If it is almost time for your next dose, do not take the missed dose. Wait and take the next dose at its regular time. </w:t>
      </w:r>
      <w:r>
        <w:rPr>
          <w:b/>
        </w:rPr>
        <w:t>Do not take a double dose to make up for a forgotten dose.</w:t>
      </w:r>
    </w:p>
    <w:p w14:paraId="7887B8FB" w14:textId="77777777" w:rsidR="00D02BC8" w:rsidRPr="00D31EBB" w:rsidRDefault="00D02BC8" w:rsidP="008B6CCB">
      <w:pPr>
        <w:pStyle w:val="EMEABodyText"/>
        <w:rPr>
          <w:noProof/>
          <w:lang w:val="en-US"/>
        </w:rPr>
      </w:pPr>
    </w:p>
    <w:p w14:paraId="09D07012" w14:textId="77777777" w:rsidR="00D02BC8" w:rsidRPr="00D31EBB" w:rsidRDefault="00D02BC8" w:rsidP="008B6CCB">
      <w:pPr>
        <w:pStyle w:val="EMEAHeading2"/>
      </w:pPr>
      <w:r>
        <w:t>If you stop taking REYATAZ</w:t>
      </w:r>
    </w:p>
    <w:p w14:paraId="1C6811D2" w14:textId="77777777" w:rsidR="00D02BC8" w:rsidRPr="00D31EBB" w:rsidRDefault="00D02BC8" w:rsidP="008B6CCB">
      <w:pPr>
        <w:pStyle w:val="EMEABodyText"/>
      </w:pPr>
      <w:r>
        <w:t>Do not stop taking REYATAZ before talking to your doctor.</w:t>
      </w:r>
    </w:p>
    <w:p w14:paraId="5F80705E" w14:textId="77777777" w:rsidR="00D02BC8" w:rsidRPr="00D31EBB" w:rsidRDefault="00D02BC8" w:rsidP="008B6CCB">
      <w:pPr>
        <w:pStyle w:val="EMEABodyText"/>
        <w:rPr>
          <w:b/>
          <w:lang w:val="en-US"/>
        </w:rPr>
      </w:pPr>
    </w:p>
    <w:p w14:paraId="5D63A023" w14:textId="77777777" w:rsidR="00D02BC8" w:rsidRPr="00D31EBB" w:rsidRDefault="00D02BC8" w:rsidP="008B6CCB">
      <w:pPr>
        <w:pStyle w:val="EMEABodyText"/>
        <w:rPr>
          <w:noProof/>
        </w:rPr>
      </w:pPr>
      <w:r>
        <w:t>If you have any further questions on the use of this medicine, ask your doctor.</w:t>
      </w:r>
    </w:p>
    <w:p w14:paraId="52033E53" w14:textId="77777777" w:rsidR="00D02BC8" w:rsidRPr="00D31EBB" w:rsidRDefault="00D02BC8" w:rsidP="008B6CCB">
      <w:pPr>
        <w:pStyle w:val="EMEABodyText"/>
        <w:rPr>
          <w:b/>
          <w:noProof/>
          <w:lang w:val="en-US"/>
        </w:rPr>
      </w:pPr>
    </w:p>
    <w:p w14:paraId="617AC74C" w14:textId="77777777" w:rsidR="00D02BC8" w:rsidRPr="00D31EBB" w:rsidRDefault="00D02BC8" w:rsidP="008B6CCB">
      <w:pPr>
        <w:pStyle w:val="EMEABodyText"/>
        <w:rPr>
          <w:b/>
          <w:noProof/>
          <w:lang w:val="en-US"/>
        </w:rPr>
      </w:pPr>
    </w:p>
    <w:p w14:paraId="3E3CA3F3" w14:textId="77777777" w:rsidR="00D02BC8" w:rsidRPr="00D31EBB" w:rsidRDefault="00D02BC8" w:rsidP="00222DF5">
      <w:pPr>
        <w:pStyle w:val="EMEAHeading1"/>
        <w:rPr>
          <w:noProof/>
        </w:rPr>
      </w:pPr>
      <w:r>
        <w:t>4.</w:t>
      </w:r>
      <w:r>
        <w:tab/>
      </w:r>
      <w:r>
        <w:rPr>
          <w:caps w:val="0"/>
        </w:rPr>
        <w:t>Possible side effects</w:t>
      </w:r>
    </w:p>
    <w:p w14:paraId="376A65FD" w14:textId="77777777" w:rsidR="00D02BC8" w:rsidRPr="00D31EBB" w:rsidRDefault="00D02BC8" w:rsidP="00222DF5">
      <w:pPr>
        <w:pStyle w:val="EMEABodyText"/>
        <w:rPr>
          <w:noProof/>
          <w:lang w:val="en-US"/>
        </w:rPr>
      </w:pPr>
    </w:p>
    <w:p w14:paraId="07D7640B" w14:textId="77777777" w:rsidR="00D02BC8" w:rsidRPr="00D31EBB" w:rsidRDefault="00D02BC8" w:rsidP="008B6CCB">
      <w:pPr>
        <w:pStyle w:val="EMEABodyText"/>
      </w:pPr>
      <w:r>
        <w:t>Like all medicines, this medicine can cause side effects, although not everybody gets them. When treating HIV infection, it is not always easy to identify what side effects are caused by REYATAZ, by the other medicines you are taking, or by the HIV infection itself. Tell your doctor if you notice anything unusual about your health.</w:t>
      </w:r>
    </w:p>
    <w:p w14:paraId="6D25B842" w14:textId="77777777" w:rsidR="00680F60" w:rsidRPr="00D31EBB" w:rsidRDefault="00680F60" w:rsidP="008B6CCB">
      <w:pPr>
        <w:pStyle w:val="EMEABodyText"/>
        <w:rPr>
          <w:lang w:val="en-US"/>
        </w:rPr>
      </w:pPr>
    </w:p>
    <w:p w14:paraId="5B1ABA01" w14:textId="77777777" w:rsidR="00680F60" w:rsidRPr="00D31EBB" w:rsidRDefault="00680F60" w:rsidP="00680F60">
      <w:pPr>
        <w:pStyle w:val="EMEABodyText"/>
      </w:pPr>
      <w: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2B5EA649" w14:textId="77777777" w:rsidR="00D02BC8" w:rsidRPr="00D31EBB" w:rsidRDefault="00D02BC8" w:rsidP="008B6CCB">
      <w:pPr>
        <w:pStyle w:val="EMEABodyText"/>
        <w:rPr>
          <w:lang w:val="en-US"/>
        </w:rPr>
      </w:pPr>
    </w:p>
    <w:p w14:paraId="691E03E7" w14:textId="77777777" w:rsidR="008D5D5B" w:rsidRPr="00D31EBB" w:rsidRDefault="008D5D5B" w:rsidP="008D5D5B">
      <w:pPr>
        <w:pStyle w:val="EMEABodyText"/>
      </w:pPr>
      <w:r>
        <w:t>Tell your doctor immediately if you develop any of the following serious side effects:</w:t>
      </w:r>
    </w:p>
    <w:p w14:paraId="3F889666" w14:textId="77777777" w:rsidR="008D5D5B" w:rsidRPr="00D31EBB" w:rsidRDefault="008D5D5B" w:rsidP="008D5D5B">
      <w:pPr>
        <w:pStyle w:val="EMEABodyText"/>
        <w:rPr>
          <w:lang w:val="en-US"/>
        </w:rPr>
      </w:pPr>
    </w:p>
    <w:p w14:paraId="75FEACF4" w14:textId="77777777" w:rsidR="008D5D5B" w:rsidRPr="00D31EBB" w:rsidRDefault="008D5D5B" w:rsidP="00826E45">
      <w:pPr>
        <w:pStyle w:val="EMEABodyTextIndent"/>
        <w:ind w:left="426" w:hanging="426"/>
        <w:rPr>
          <w:i/>
        </w:rPr>
      </w:pPr>
      <w:r>
        <w:t xml:space="preserve">Skin rash, itching that may occasionally be severe has been reported. The rash usually disappears within 2 weeks without any change to your REYATAZ treatment. Severe rash may be developed in association with other symptoms which could be serious. Stop taking REYATAZ and talk to your doctor immediately if you develop a severe rash or a rash with flu-like illness symptoms, blisters, fever, mouth sores, muscle or joint pain, swelling in the face, inflammation of the eye which causes redness (conjunctivitis), painful, warm, or red lumps (nodules). </w:t>
      </w:r>
    </w:p>
    <w:p w14:paraId="463E0E0B" w14:textId="77777777" w:rsidR="008D5D5B" w:rsidRPr="00D31EBB" w:rsidRDefault="008D5D5B" w:rsidP="00826E45">
      <w:pPr>
        <w:pStyle w:val="EMEABodyTextIndent"/>
        <w:ind w:left="426" w:hanging="426"/>
        <w:rPr>
          <w:i/>
        </w:rPr>
      </w:pPr>
      <w:r>
        <w:t>Yellowing of your skin or the white part of your eyes caused by high levels of bilirubin in your blood has been commonly reported. This side effect is usually not dangerous in adults and infants older than 3 months of age; but it might be a symptom of a serious problem. If your skin or the white part of your eyes turns yellow, talk to your doctor immediately.</w:t>
      </w:r>
    </w:p>
    <w:p w14:paraId="55AD8A25" w14:textId="77777777" w:rsidR="008D5D5B" w:rsidRPr="004F3582" w:rsidRDefault="008D5D5B" w:rsidP="00826E45">
      <w:pPr>
        <w:pStyle w:val="EMEABodyTextIndent"/>
        <w:ind w:left="426" w:hanging="426"/>
        <w:rPr>
          <w:i/>
        </w:rPr>
      </w:pPr>
      <w:r>
        <w:t xml:space="preserve">Changes in the way your heart beats (heart rhythm change) may occasionally happen. Talk to your doctor immediately if you get dizzy, lightheaded or if you suddenly faint. These could be symptoms of a serious heart problem. </w:t>
      </w:r>
    </w:p>
    <w:p w14:paraId="7D999896" w14:textId="77777777" w:rsidR="008D5D5B" w:rsidRPr="00D31EBB" w:rsidRDefault="008D5D5B" w:rsidP="00826E45">
      <w:pPr>
        <w:pStyle w:val="EMEABodyTextIndent"/>
        <w:ind w:left="426" w:hanging="426"/>
        <w:rPr>
          <w:i/>
        </w:rPr>
      </w:pPr>
      <w:r>
        <w:t>Liver problems may uncommonly happen. Your doctor should do blood tests prior you start REYATAZ and during treatment. If you have liver problems, including hepatitis B or C infection, you may experience a worsening of your liver problems. Talk to your doctor immediately if you get dark (tea-colored) urine, itching, yellowing of your skin or the white part of your eyes, pain around the stomach, pale colored stools or nausea.</w:t>
      </w:r>
    </w:p>
    <w:p w14:paraId="087FA8F5" w14:textId="77777777" w:rsidR="008D5D5B" w:rsidRPr="00D31EBB" w:rsidRDefault="008D5D5B" w:rsidP="00826E45">
      <w:pPr>
        <w:pStyle w:val="EMEABodyTextIndent"/>
        <w:ind w:left="426" w:hanging="426"/>
      </w:pPr>
      <w:r>
        <w:t>Gallbladder problems uncommonly happen in people taking REYATAZ. Symptoms of gallbladder problems may include pain in the right or middle upper stomach area, nausea, vomiting, fever or yellowing your skin or the white part of your eyes.</w:t>
      </w:r>
    </w:p>
    <w:p w14:paraId="2481793A" w14:textId="77777777" w:rsidR="00826E45" w:rsidRPr="00D31EBB" w:rsidRDefault="00826E45" w:rsidP="00826E45">
      <w:pPr>
        <w:pStyle w:val="EMEABodyTextIndent"/>
        <w:ind w:left="426" w:hanging="426"/>
      </w:pPr>
      <w:r>
        <w:t>REYATAZ may affect how well your kidneys work.</w:t>
      </w:r>
    </w:p>
    <w:p w14:paraId="16145EB8" w14:textId="77777777" w:rsidR="008D5D5B" w:rsidRPr="00D31EBB" w:rsidRDefault="008D5D5B" w:rsidP="00826E45">
      <w:pPr>
        <w:pStyle w:val="EMEABodyTextIndent"/>
        <w:ind w:left="426" w:hanging="426"/>
        <w:rPr>
          <w:i/>
        </w:rPr>
      </w:pPr>
      <w:r>
        <w:t>Kidney stones uncommonly happen in people taking REYATAZ. Talk to your doctor immediately if you get symptoms of kidney stones which may include, pain in your low back or low stomach-area, blood in your urine or pain when you urinate.</w:t>
      </w:r>
    </w:p>
    <w:p w14:paraId="2682789C" w14:textId="77777777" w:rsidR="008D5D5B" w:rsidRPr="00D31EBB" w:rsidRDefault="008D5D5B" w:rsidP="008B6CCB">
      <w:pPr>
        <w:pStyle w:val="EMEABodyText"/>
        <w:rPr>
          <w:lang w:val="en-US"/>
        </w:rPr>
      </w:pPr>
    </w:p>
    <w:p w14:paraId="7659C240" w14:textId="77777777" w:rsidR="00D02BC8" w:rsidRPr="00D31EBB" w:rsidRDefault="008D5D5B" w:rsidP="008B6CCB">
      <w:pPr>
        <w:pStyle w:val="EMEABodyText"/>
      </w:pPr>
      <w:r>
        <w:t>Other side effects reported for patients treated with REYATAZ are the following:</w:t>
      </w:r>
    </w:p>
    <w:p w14:paraId="6C7DF953" w14:textId="77777777" w:rsidR="00D02BC8" w:rsidRPr="00D31EBB" w:rsidRDefault="00D02BC8" w:rsidP="008B6CCB">
      <w:pPr>
        <w:pStyle w:val="EMEABodyText"/>
      </w:pPr>
      <w:r>
        <w:t xml:space="preserve">Common (may affect up to 1 in 10 people): </w:t>
      </w:r>
    </w:p>
    <w:p w14:paraId="37D2CA88" w14:textId="77777777" w:rsidR="00D02BC8" w:rsidRPr="004F3582" w:rsidRDefault="00D02BC8" w:rsidP="00826E45">
      <w:pPr>
        <w:pStyle w:val="EMEABodyTextIndent"/>
        <w:ind w:left="426" w:hanging="426"/>
      </w:pPr>
      <w:r>
        <w:t>headache</w:t>
      </w:r>
    </w:p>
    <w:p w14:paraId="2CB0941B" w14:textId="77777777" w:rsidR="00D02BC8" w:rsidRPr="00D31EBB" w:rsidRDefault="00D02BC8" w:rsidP="00826E45">
      <w:pPr>
        <w:pStyle w:val="EMEABodyTextIndent"/>
        <w:ind w:left="426" w:hanging="426"/>
      </w:pPr>
      <w:r>
        <w:t>vomiting, diarrhoea, abdominal pain (stomach pain of discomfort), nausea, dyspepsia (indigestion)</w:t>
      </w:r>
    </w:p>
    <w:p w14:paraId="0D2E9B57" w14:textId="77777777" w:rsidR="00D02BC8" w:rsidRPr="004F3582" w:rsidRDefault="00D02BC8" w:rsidP="00826E45">
      <w:pPr>
        <w:pStyle w:val="EMEABodyTextIndent"/>
        <w:ind w:left="426" w:hanging="426"/>
      </w:pPr>
      <w:r>
        <w:t>fatigue (extreme tiredness)</w:t>
      </w:r>
    </w:p>
    <w:p w14:paraId="500A0FAD" w14:textId="77777777" w:rsidR="00D02BC8" w:rsidRPr="00D31EBB" w:rsidRDefault="00D02BC8" w:rsidP="008B6CCB">
      <w:pPr>
        <w:pStyle w:val="EMEABodyText"/>
      </w:pPr>
      <w:r>
        <w:t xml:space="preserve">Uncommon (may affect up to 1 in 100 people): </w:t>
      </w:r>
    </w:p>
    <w:p w14:paraId="2D084D18" w14:textId="77777777" w:rsidR="00D02BC8" w:rsidRPr="00D31EBB" w:rsidRDefault="00D02BC8" w:rsidP="00826E45">
      <w:pPr>
        <w:pStyle w:val="EMEABodyTextIndent"/>
        <w:ind w:left="426" w:hanging="426"/>
      </w:pPr>
      <w:r>
        <w:t>peripheral neuropathy (numbness, weakness, tingling or pain in the arms and legs)</w:t>
      </w:r>
    </w:p>
    <w:p w14:paraId="3282651D" w14:textId="77777777" w:rsidR="00D02BC8" w:rsidRPr="004F3582" w:rsidRDefault="00D02BC8" w:rsidP="00826E45">
      <w:pPr>
        <w:pStyle w:val="EMEABodyTextIndent"/>
        <w:ind w:left="426" w:hanging="426"/>
      </w:pPr>
      <w:r>
        <w:t>hypersensitivity (allergic reaction)</w:t>
      </w:r>
    </w:p>
    <w:p w14:paraId="4F6DE9BE" w14:textId="77777777" w:rsidR="00D02BC8" w:rsidRPr="00D31EBB" w:rsidRDefault="00D02BC8" w:rsidP="00826E45">
      <w:pPr>
        <w:pStyle w:val="EMEABodyTextIndent"/>
        <w:ind w:left="426" w:hanging="426"/>
      </w:pPr>
      <w:r>
        <w:t>asthenia (unusual tiredness or weakness)</w:t>
      </w:r>
    </w:p>
    <w:p w14:paraId="46AD008E" w14:textId="77777777" w:rsidR="00D02BC8" w:rsidRPr="00D31EBB" w:rsidRDefault="00D02BC8" w:rsidP="00826E45">
      <w:pPr>
        <w:pStyle w:val="EMEABodyTextIndent"/>
        <w:ind w:left="426" w:hanging="426"/>
      </w:pPr>
      <w:r>
        <w:t>weight decreased, weight gain, anorexia (loss of appetite), appetite increased</w:t>
      </w:r>
    </w:p>
    <w:p w14:paraId="75FB1BF4" w14:textId="77777777" w:rsidR="00D02BC8" w:rsidRPr="004F3582" w:rsidRDefault="00D02BC8" w:rsidP="00826E45">
      <w:pPr>
        <w:pStyle w:val="EMEABodyTextIndent"/>
        <w:ind w:left="426" w:hanging="426"/>
      </w:pPr>
      <w:r>
        <w:t>depression, anxiety, sleep disorder</w:t>
      </w:r>
    </w:p>
    <w:p w14:paraId="3D6C4DB6" w14:textId="77777777" w:rsidR="00D02BC8" w:rsidRPr="00D31EBB" w:rsidRDefault="00D02BC8" w:rsidP="00826E45">
      <w:pPr>
        <w:pStyle w:val="EMEABodyTextIndent"/>
        <w:ind w:left="426" w:hanging="426"/>
      </w:pPr>
      <w:r>
        <w:t>disorientation, amnesia (loss of memory), dizziness, somnolence (sleepiness), abnormal dream</w:t>
      </w:r>
    </w:p>
    <w:p w14:paraId="7EEE1282" w14:textId="77777777" w:rsidR="00D02BC8" w:rsidRPr="00D31EBB" w:rsidRDefault="00D02BC8" w:rsidP="00826E45">
      <w:pPr>
        <w:pStyle w:val="EMEABodyTextIndent"/>
        <w:ind w:left="426" w:hanging="426"/>
      </w:pPr>
      <w:r>
        <w:t>syncope (fainting), hypertension (high blood pressure)</w:t>
      </w:r>
    </w:p>
    <w:p w14:paraId="0E490BCD" w14:textId="77777777" w:rsidR="00D02BC8" w:rsidRPr="004F3582" w:rsidRDefault="00D02BC8" w:rsidP="00826E45">
      <w:pPr>
        <w:pStyle w:val="EMEABodyTextIndent"/>
        <w:ind w:left="426" w:hanging="426"/>
      </w:pPr>
      <w:r>
        <w:t>dyspnoea (shortness of breath)</w:t>
      </w:r>
    </w:p>
    <w:p w14:paraId="235673A4" w14:textId="77777777" w:rsidR="00D02BC8" w:rsidRPr="00D31EBB" w:rsidRDefault="00D02BC8" w:rsidP="00826E45">
      <w:pPr>
        <w:pStyle w:val="EMEABodyTextIndent"/>
        <w:ind w:left="426" w:hanging="426"/>
      </w:pPr>
      <w:r>
        <w:t>pancreatitis (inflammation of the pancreas), gastritis (inflammation of the stomach), stomatitis aphthous (mouth ulcers and cold sores), dysgeusia (impairment of the sense of taste), flatulence (wind), dry mouth, abdominal distension</w:t>
      </w:r>
    </w:p>
    <w:p w14:paraId="469F2EF3" w14:textId="77777777" w:rsidR="00D02BC8" w:rsidRPr="00D31EBB" w:rsidRDefault="00D02BC8" w:rsidP="00826E45">
      <w:pPr>
        <w:pStyle w:val="EMEABodyTextIndent"/>
        <w:ind w:left="426" w:hanging="426"/>
      </w:pPr>
      <w:r>
        <w:t>angioedema (severe swelling of the skin and other tissues most often the lips or the eyes)</w:t>
      </w:r>
    </w:p>
    <w:p w14:paraId="63D8E7FB" w14:textId="77777777" w:rsidR="00D02BC8" w:rsidRPr="00D31EBB" w:rsidRDefault="00D02BC8" w:rsidP="00826E45">
      <w:pPr>
        <w:pStyle w:val="EMEABodyTextIndent"/>
        <w:ind w:left="426" w:hanging="426"/>
      </w:pPr>
      <w:r>
        <w:t>alopecia (unusual hair loss or thinning), pruritus (itching)</w:t>
      </w:r>
    </w:p>
    <w:p w14:paraId="134881DF" w14:textId="77777777" w:rsidR="00D02BC8" w:rsidRPr="00D31EBB" w:rsidRDefault="00D02BC8" w:rsidP="00826E45">
      <w:pPr>
        <w:pStyle w:val="EMEABodyTextIndent"/>
        <w:ind w:left="426" w:hanging="426"/>
      </w:pPr>
      <w:r>
        <w:t>muscle atrophy (muscle shrinkage), arthralgia (joint pain), myalgia (aching muscles)</w:t>
      </w:r>
    </w:p>
    <w:p w14:paraId="5FAAFAE3" w14:textId="77777777" w:rsidR="00D02BC8" w:rsidRPr="00D31EBB" w:rsidRDefault="00D02BC8" w:rsidP="00826E45">
      <w:pPr>
        <w:pStyle w:val="EMEABodyTextIndent"/>
        <w:ind w:left="426" w:hanging="426"/>
      </w:pPr>
      <w:r>
        <w:t>interstitial nephritis (kidney inflammation), haematuria (blood in the urine), proteinuria (excess protein in the urine), pollakiuria (increased frequency of urination)</w:t>
      </w:r>
    </w:p>
    <w:p w14:paraId="3D67BD1E" w14:textId="77777777" w:rsidR="00D02BC8" w:rsidRPr="00D31EBB" w:rsidRDefault="00D02BC8" w:rsidP="00826E45">
      <w:pPr>
        <w:pStyle w:val="EMEABodyTextIndent"/>
        <w:ind w:left="426" w:hanging="426"/>
      </w:pPr>
      <w:r>
        <w:t>gynaecomastia (breast enlargement in men)</w:t>
      </w:r>
    </w:p>
    <w:p w14:paraId="4FCEFBE4" w14:textId="77777777" w:rsidR="00D02BC8" w:rsidRPr="00D31EBB" w:rsidRDefault="00D02BC8" w:rsidP="00826E45">
      <w:pPr>
        <w:pStyle w:val="EMEABodyTextIndent"/>
        <w:ind w:left="426" w:hanging="426"/>
      </w:pPr>
      <w:r>
        <w:t>chest pain, malaise (generally feeling unwell), fever</w:t>
      </w:r>
    </w:p>
    <w:p w14:paraId="52A24B6B" w14:textId="77777777" w:rsidR="00D02BC8" w:rsidRPr="004F3582" w:rsidRDefault="00D02BC8" w:rsidP="00826E45">
      <w:pPr>
        <w:pStyle w:val="EMEABodyTextIndent"/>
        <w:ind w:left="426" w:hanging="426"/>
      </w:pPr>
      <w:r>
        <w:t>insomnia (difficulty sleeping)</w:t>
      </w:r>
    </w:p>
    <w:p w14:paraId="37342FCC" w14:textId="77777777" w:rsidR="00D02BC8" w:rsidRPr="00D31EBB" w:rsidRDefault="00D02BC8" w:rsidP="008B6CCB">
      <w:pPr>
        <w:pStyle w:val="EMEABodyText"/>
      </w:pPr>
      <w:r>
        <w:t xml:space="preserve">Rare (may affect up to 1 in 1,000 people): </w:t>
      </w:r>
    </w:p>
    <w:p w14:paraId="681A7C79" w14:textId="77777777" w:rsidR="00D02BC8" w:rsidRPr="00D31EBB" w:rsidRDefault="00D02BC8" w:rsidP="00826E45">
      <w:pPr>
        <w:pStyle w:val="EMEABodyTextIndent"/>
        <w:ind w:left="426" w:hanging="426"/>
      </w:pPr>
      <w:r>
        <w:t>gait disturbance (abnormal manner of walking)</w:t>
      </w:r>
    </w:p>
    <w:p w14:paraId="5B262637" w14:textId="77777777" w:rsidR="00D02BC8" w:rsidRPr="004F3582" w:rsidRDefault="00D02BC8" w:rsidP="00826E45">
      <w:pPr>
        <w:pStyle w:val="EMEABodyTextIndent"/>
        <w:ind w:left="426" w:hanging="426"/>
      </w:pPr>
      <w:r>
        <w:t>oedema (swelling)</w:t>
      </w:r>
    </w:p>
    <w:p w14:paraId="6194FA46" w14:textId="77777777" w:rsidR="00D02BC8" w:rsidRPr="00D31EBB" w:rsidRDefault="00D02BC8" w:rsidP="00826E45">
      <w:pPr>
        <w:pStyle w:val="EMEABodyTextIndent"/>
        <w:ind w:left="426" w:hanging="426"/>
      </w:pPr>
      <w:r>
        <w:t>hepatosplenomegaly (enlargement of the liver and spleen)</w:t>
      </w:r>
    </w:p>
    <w:p w14:paraId="2B5237A8" w14:textId="77777777" w:rsidR="00D02BC8" w:rsidRPr="00D31EBB" w:rsidRDefault="00D02BC8" w:rsidP="00826E45">
      <w:pPr>
        <w:pStyle w:val="EMEABodyTextIndent"/>
        <w:ind w:left="426" w:hanging="426"/>
      </w:pPr>
      <w:r>
        <w:t>myopathy (aching muscles, muscle tenderness of weakness, not caused by exercise)</w:t>
      </w:r>
    </w:p>
    <w:p w14:paraId="0C2DF4E9" w14:textId="77777777" w:rsidR="00D02BC8" w:rsidRPr="004F3582" w:rsidRDefault="00D02BC8" w:rsidP="00826E45">
      <w:pPr>
        <w:pStyle w:val="EMEABodyTextIndent"/>
        <w:ind w:left="426" w:hanging="426"/>
      </w:pPr>
      <w:r>
        <w:t>kidney pain</w:t>
      </w:r>
    </w:p>
    <w:p w14:paraId="5A19500E" w14:textId="77777777" w:rsidR="00D02BC8" w:rsidRPr="004F3582" w:rsidRDefault="00D02BC8" w:rsidP="008B6CCB">
      <w:pPr>
        <w:pStyle w:val="EMEABodyText"/>
      </w:pPr>
    </w:p>
    <w:p w14:paraId="182118E2" w14:textId="77777777" w:rsidR="00D02BC8" w:rsidRPr="004F3582" w:rsidRDefault="00D02BC8" w:rsidP="008B6CCB">
      <w:pPr>
        <w:pStyle w:val="EMEABodyText"/>
        <w:rPr>
          <w:b/>
        </w:rPr>
      </w:pPr>
      <w:r>
        <w:rPr>
          <w:b/>
        </w:rPr>
        <w:t>Reporting of side effects</w:t>
      </w:r>
    </w:p>
    <w:p w14:paraId="48C449E0" w14:textId="77777777" w:rsidR="00D02BC8" w:rsidRPr="00D31EBB" w:rsidRDefault="00D02BC8" w:rsidP="00FD76E4">
      <w:pPr>
        <w:pStyle w:val="BodytextAgency"/>
        <w:spacing w:after="0" w:line="240" w:lineRule="auto"/>
      </w:pPr>
      <w:r>
        <w:t>If you get any side effects, talk to your doctor or nurse.</w:t>
      </w:r>
      <w:r>
        <w:rPr>
          <w:color w:val="FF0000"/>
          <w:szCs w:val="22"/>
        </w:rPr>
        <w:t xml:space="preserve"> </w:t>
      </w:r>
      <w:r>
        <w:t xml:space="preserve">This includes any possible side effects not listed in this leaflet. You can also report side effects directly via </w:t>
      </w:r>
      <w:r>
        <w:rPr>
          <w:szCs w:val="22"/>
          <w:highlight w:val="lightGray"/>
        </w:rPr>
        <w:t xml:space="preserve">the national reporting system listed in </w:t>
      </w:r>
      <w:hyperlink r:id="rId12" w:history="1">
        <w:r>
          <w:rPr>
            <w:rStyle w:val="Hyperlink"/>
            <w:szCs w:val="22"/>
            <w:highlight w:val="lightGray"/>
          </w:rPr>
          <w:t>Appendix V</w:t>
        </w:r>
      </w:hyperlink>
      <w:r>
        <w:t>. By reporting side effects you can help provide more information on the safety of this medicine.</w:t>
      </w:r>
    </w:p>
    <w:p w14:paraId="2D5303EC" w14:textId="77777777" w:rsidR="00D02BC8" w:rsidRPr="00D31EBB" w:rsidRDefault="00D02BC8" w:rsidP="008B6CCB">
      <w:pPr>
        <w:pStyle w:val="EMEABodyText"/>
        <w:rPr>
          <w:lang w:val="en-US"/>
        </w:rPr>
      </w:pPr>
    </w:p>
    <w:p w14:paraId="64CA3DA3" w14:textId="77777777" w:rsidR="00D02BC8" w:rsidRPr="00D31EBB" w:rsidRDefault="00D02BC8" w:rsidP="008B6CCB">
      <w:pPr>
        <w:pStyle w:val="EMEABodyText"/>
        <w:rPr>
          <w:noProof/>
          <w:lang w:val="en-US"/>
        </w:rPr>
      </w:pPr>
    </w:p>
    <w:p w14:paraId="3DAB8C4D" w14:textId="77777777" w:rsidR="00D02BC8" w:rsidRPr="00D31EBB" w:rsidRDefault="00D02BC8" w:rsidP="003C6A99">
      <w:pPr>
        <w:pStyle w:val="EMEAHeading1"/>
        <w:rPr>
          <w:bCs/>
          <w:caps w:val="0"/>
        </w:rPr>
      </w:pPr>
      <w:r>
        <w:rPr>
          <w:bCs/>
          <w:caps w:val="0"/>
        </w:rPr>
        <w:t>5.</w:t>
      </w:r>
      <w:r>
        <w:rPr>
          <w:bCs/>
          <w:caps w:val="0"/>
        </w:rPr>
        <w:tab/>
        <w:t>How to store REYATAZ</w:t>
      </w:r>
    </w:p>
    <w:p w14:paraId="79324A00" w14:textId="77777777" w:rsidR="00D02BC8" w:rsidRPr="00D31EBB" w:rsidRDefault="00D02BC8" w:rsidP="00222DF5">
      <w:pPr>
        <w:pStyle w:val="EMEABodyText"/>
        <w:rPr>
          <w:noProof/>
          <w:lang w:val="en-US"/>
        </w:rPr>
      </w:pPr>
    </w:p>
    <w:p w14:paraId="194DCEA6" w14:textId="77777777" w:rsidR="00D02BC8" w:rsidRPr="00D31EBB" w:rsidRDefault="00D02BC8" w:rsidP="008B6CCB">
      <w:pPr>
        <w:pStyle w:val="EMEABodyText"/>
      </w:pPr>
      <w:r>
        <w:t>Keep this medicine out of the sight and reach of children.</w:t>
      </w:r>
    </w:p>
    <w:p w14:paraId="58FD7877" w14:textId="77777777" w:rsidR="00D02BC8" w:rsidRPr="00D31EBB" w:rsidRDefault="00D02BC8" w:rsidP="008B6CCB">
      <w:pPr>
        <w:pStyle w:val="EMEABodyText"/>
        <w:rPr>
          <w:lang w:val="en-US"/>
        </w:rPr>
      </w:pPr>
    </w:p>
    <w:p w14:paraId="0F0355FC" w14:textId="77777777" w:rsidR="00D02BC8" w:rsidRPr="00D31EBB" w:rsidRDefault="00D02BC8" w:rsidP="008B6CCB">
      <w:pPr>
        <w:pStyle w:val="EMEABodyText"/>
      </w:pPr>
      <w:r>
        <w:t>Do not use this medicine after the expiry date which is stated on the label, carton or blister. The expiry date refers to the last day of that month.</w:t>
      </w:r>
    </w:p>
    <w:p w14:paraId="0E06557A" w14:textId="77777777" w:rsidR="00D02BC8" w:rsidRPr="00D31EBB" w:rsidRDefault="00D02BC8" w:rsidP="008B6CCB">
      <w:pPr>
        <w:pStyle w:val="EMEABodyText"/>
      </w:pPr>
      <w:r>
        <w:t>Do not store above 25°C.</w:t>
      </w:r>
    </w:p>
    <w:p w14:paraId="2409F440" w14:textId="77777777" w:rsidR="00D02BC8" w:rsidRPr="00D31EBB" w:rsidRDefault="00D02BC8" w:rsidP="008B6CCB">
      <w:pPr>
        <w:pStyle w:val="EMEABodyText"/>
        <w:rPr>
          <w:noProof/>
          <w:lang w:val="en-US"/>
        </w:rPr>
      </w:pPr>
    </w:p>
    <w:p w14:paraId="2CEC074E" w14:textId="77777777" w:rsidR="00D02BC8" w:rsidRPr="00D31EBB" w:rsidRDefault="00D02BC8" w:rsidP="008B6CCB">
      <w:pPr>
        <w:pStyle w:val="EMEABodyText"/>
        <w:rPr>
          <w:noProof/>
        </w:rPr>
      </w:pPr>
      <w:r>
        <w:t>Do not throw away any medicines via wastewater or household waste. Ask your pharmacist how to throw away medicines you no longer use. These measures will help protect the environment.</w:t>
      </w:r>
    </w:p>
    <w:p w14:paraId="75E0FCD2" w14:textId="77777777" w:rsidR="00D02BC8" w:rsidRPr="00D31EBB" w:rsidRDefault="00D02BC8" w:rsidP="008B6CCB">
      <w:pPr>
        <w:pStyle w:val="EMEABodyText"/>
        <w:rPr>
          <w:b/>
          <w:noProof/>
          <w:lang w:val="en-US"/>
        </w:rPr>
      </w:pPr>
    </w:p>
    <w:p w14:paraId="534FFB0D" w14:textId="77777777" w:rsidR="00D02BC8" w:rsidRPr="00D31EBB" w:rsidRDefault="00D02BC8" w:rsidP="008B6CCB">
      <w:pPr>
        <w:pStyle w:val="EMEABodyText"/>
        <w:rPr>
          <w:b/>
          <w:noProof/>
          <w:lang w:val="en-US"/>
        </w:rPr>
      </w:pPr>
    </w:p>
    <w:p w14:paraId="3E5EF7D1" w14:textId="77777777" w:rsidR="00D02BC8" w:rsidRPr="00D31EBB" w:rsidRDefault="00222DF5" w:rsidP="00222DF5">
      <w:pPr>
        <w:pStyle w:val="EMEAHeading1"/>
        <w:rPr>
          <w:noProof/>
        </w:rPr>
      </w:pPr>
      <w:r>
        <w:rPr>
          <w:caps w:val="0"/>
        </w:rPr>
        <w:t>6.</w:t>
      </w:r>
      <w:r>
        <w:rPr>
          <w:caps w:val="0"/>
        </w:rPr>
        <w:tab/>
        <w:t>Contents of the pack and other information</w:t>
      </w:r>
    </w:p>
    <w:p w14:paraId="5C55DB73" w14:textId="77777777" w:rsidR="00D02BC8" w:rsidRPr="00D31EBB" w:rsidRDefault="00D02BC8" w:rsidP="00222DF5">
      <w:pPr>
        <w:pStyle w:val="EMEABodyText"/>
        <w:rPr>
          <w:lang w:val="en-US"/>
        </w:rPr>
      </w:pPr>
    </w:p>
    <w:p w14:paraId="64D0B267" w14:textId="77777777" w:rsidR="00D02BC8" w:rsidRPr="004F3582" w:rsidRDefault="00D02BC8" w:rsidP="008B6CCB">
      <w:pPr>
        <w:pStyle w:val="EMEAHeading2"/>
        <w:rPr>
          <w:noProof/>
        </w:rPr>
      </w:pPr>
      <w:r>
        <w:t>What REYATAZ contains</w:t>
      </w:r>
    </w:p>
    <w:p w14:paraId="3558FB46" w14:textId="77777777" w:rsidR="00D02BC8" w:rsidRPr="004F3582" w:rsidRDefault="00D02BC8" w:rsidP="008B6CCB">
      <w:pPr>
        <w:pStyle w:val="EMEABodyText"/>
        <w:rPr>
          <w:noProof/>
        </w:rPr>
      </w:pPr>
    </w:p>
    <w:p w14:paraId="31AC8ED0" w14:textId="77777777" w:rsidR="00D02BC8" w:rsidRPr="00D31EBB" w:rsidRDefault="00D02BC8" w:rsidP="00211509">
      <w:pPr>
        <w:pStyle w:val="EMEABodyText"/>
        <w:numPr>
          <w:ilvl w:val="0"/>
          <w:numId w:val="2"/>
        </w:numPr>
      </w:pPr>
      <w:r>
        <w:t xml:space="preserve">The active substance is atazanavir. Each capsule contains 200 mg of atazanavir (as sulphate). </w:t>
      </w:r>
    </w:p>
    <w:p w14:paraId="43EF87FF" w14:textId="77777777" w:rsidR="00D02BC8" w:rsidRPr="00D31EBB" w:rsidRDefault="00D02BC8" w:rsidP="00211509">
      <w:pPr>
        <w:pStyle w:val="EMEABodyText"/>
        <w:numPr>
          <w:ilvl w:val="0"/>
          <w:numId w:val="2"/>
        </w:numPr>
      </w:pPr>
      <w:r>
        <w:t>The other ingredients are crospovidone, lactose monohydrate, and magnesium stearate. The capsule shell and printing ink contain gelatine, shellac, ammonium hydroxide, simethicone, propylene glycol, indigocarmin (E132) and titanium dioxide (E171).</w:t>
      </w:r>
    </w:p>
    <w:p w14:paraId="57411196" w14:textId="77777777" w:rsidR="00D02BC8" w:rsidRPr="00D31EBB" w:rsidRDefault="00D02BC8" w:rsidP="008B6CCB">
      <w:pPr>
        <w:pStyle w:val="EMEABodyText"/>
        <w:rPr>
          <w:b/>
          <w:noProof/>
          <w:lang w:val="en-US"/>
        </w:rPr>
      </w:pPr>
    </w:p>
    <w:p w14:paraId="764C7A0F" w14:textId="77777777" w:rsidR="00D02BC8" w:rsidRPr="00D31EBB" w:rsidRDefault="00D02BC8" w:rsidP="008B6CCB">
      <w:pPr>
        <w:pStyle w:val="EMEAHeading2"/>
        <w:rPr>
          <w:noProof/>
        </w:rPr>
      </w:pPr>
      <w:r>
        <w:t>What REYATAZ looks like and contents of the pack</w:t>
      </w:r>
    </w:p>
    <w:p w14:paraId="6EF39818" w14:textId="77777777" w:rsidR="00D02BC8" w:rsidRPr="00D31EBB" w:rsidRDefault="00D02BC8" w:rsidP="008B6CCB">
      <w:pPr>
        <w:pStyle w:val="EMEABodyText"/>
        <w:rPr>
          <w:b/>
          <w:noProof/>
          <w:lang w:val="en-US"/>
        </w:rPr>
      </w:pPr>
    </w:p>
    <w:p w14:paraId="121EBA4C" w14:textId="77777777" w:rsidR="00D02BC8" w:rsidRPr="00D31EBB" w:rsidRDefault="00D02BC8" w:rsidP="008B6CCB">
      <w:pPr>
        <w:pStyle w:val="EMEABodyText"/>
      </w:pPr>
      <w:r>
        <w:t xml:space="preserve">Each capsule of REYATAZ 200 mg contains 200 mg atazanavir. </w:t>
      </w:r>
    </w:p>
    <w:p w14:paraId="3FDDA68A" w14:textId="77777777" w:rsidR="00D02BC8" w:rsidRPr="00D31EBB" w:rsidRDefault="00D02BC8" w:rsidP="008B6CCB">
      <w:pPr>
        <w:pStyle w:val="EMEABodyText"/>
      </w:pPr>
      <w:r>
        <w:t>Opaque blue capsule printed with white ink, with "BMS 200 mg" on one half and with "3631" on the other half.</w:t>
      </w:r>
    </w:p>
    <w:p w14:paraId="354AC710" w14:textId="77777777" w:rsidR="00D02BC8" w:rsidRPr="00D31EBB" w:rsidRDefault="00D02BC8" w:rsidP="008B6CCB">
      <w:pPr>
        <w:pStyle w:val="EMEABodyText"/>
        <w:rPr>
          <w:lang w:val="en-US"/>
        </w:rPr>
      </w:pPr>
    </w:p>
    <w:p w14:paraId="10C37CDE" w14:textId="77777777" w:rsidR="00B10B04" w:rsidRPr="00D31EBB" w:rsidRDefault="00D02BC8" w:rsidP="00B10B04">
      <w:pPr>
        <w:pStyle w:val="EMEABodyText"/>
      </w:pPr>
      <w:r>
        <w:t>REYATAZ 200 mg hard capsules are supplied in bottles of 60 capsules. Either one or three bottles of 60 hard capsules are provided in one carton.</w:t>
      </w:r>
    </w:p>
    <w:p w14:paraId="369A1223" w14:textId="77777777" w:rsidR="00D02BC8" w:rsidRPr="00D31EBB" w:rsidRDefault="00D02BC8" w:rsidP="008B6CCB">
      <w:pPr>
        <w:pStyle w:val="EMEABodyText"/>
        <w:rPr>
          <w:lang w:val="en-US"/>
        </w:rPr>
      </w:pPr>
    </w:p>
    <w:p w14:paraId="4FB6991D" w14:textId="77777777" w:rsidR="00D02BC8" w:rsidRPr="00D31EBB" w:rsidRDefault="00D02BC8" w:rsidP="008B6CCB">
      <w:pPr>
        <w:pStyle w:val="EMEABodyText"/>
      </w:pPr>
      <w:r>
        <w:t>REYATAZ 200 mg hard capsules are also supplied in blister strips in packs of 60 capsules.</w:t>
      </w:r>
    </w:p>
    <w:p w14:paraId="2B1CC38E" w14:textId="77777777" w:rsidR="00D02BC8" w:rsidRPr="00D31EBB" w:rsidRDefault="00D02BC8" w:rsidP="008B6CCB">
      <w:pPr>
        <w:pStyle w:val="EMEABodyText"/>
        <w:rPr>
          <w:lang w:val="en-US"/>
        </w:rPr>
      </w:pPr>
    </w:p>
    <w:p w14:paraId="0986E625" w14:textId="77777777" w:rsidR="00D02BC8" w:rsidRPr="00D31EBB" w:rsidRDefault="00D02BC8" w:rsidP="008B6CCB">
      <w:pPr>
        <w:pStyle w:val="EMEABodyText"/>
      </w:pPr>
      <w:r>
        <w:t xml:space="preserve">Not all pack sizes may be marketed in all countries. </w:t>
      </w:r>
    </w:p>
    <w:p w14:paraId="1737DED4" w14:textId="77777777" w:rsidR="00D02BC8" w:rsidRPr="00D31EBB" w:rsidRDefault="00D02BC8" w:rsidP="008B6CCB">
      <w:pPr>
        <w:pStyle w:val="EMEABodyText"/>
        <w:rPr>
          <w:noProof/>
          <w:lang w:val="en-US"/>
        </w:rPr>
      </w:pPr>
    </w:p>
    <w:p w14:paraId="556C2622" w14:textId="77777777" w:rsidR="00D02BC8" w:rsidRPr="00D31EBB" w:rsidRDefault="006719E7" w:rsidP="008C48D0">
      <w:pPr>
        <w:pStyle w:val="EMEAHeading2"/>
        <w:rPr>
          <w:noProof/>
        </w:rPr>
      </w:pPr>
      <w:r>
        <w:t>Marketing Authorisation Holder</w:t>
      </w:r>
    </w:p>
    <w:p w14:paraId="30FFCC41" w14:textId="77777777" w:rsidR="00D02BC8" w:rsidRPr="00D31EBB" w:rsidRDefault="00D02BC8" w:rsidP="008C48D0">
      <w:pPr>
        <w:pStyle w:val="EMEABodyText"/>
        <w:keepNext/>
        <w:rPr>
          <w:lang w:val="en-US"/>
        </w:rPr>
      </w:pPr>
    </w:p>
    <w:p w14:paraId="7F9FA779"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2AE8D2C8" w14:textId="77777777" w:rsidR="00965E20" w:rsidRDefault="00965E20" w:rsidP="00965E20">
      <w:pPr>
        <w:numPr>
          <w:ilvl w:val="12"/>
          <w:numId w:val="0"/>
        </w:numPr>
      </w:pPr>
      <w:r>
        <w:t xml:space="preserve">Ireland </w:t>
      </w:r>
    </w:p>
    <w:p w14:paraId="535E38BE" w14:textId="77777777" w:rsidR="00D02BC8" w:rsidRPr="00D31EBB" w:rsidRDefault="00D02BC8" w:rsidP="00191AFE">
      <w:pPr>
        <w:pStyle w:val="EMEAAddress"/>
        <w:keepNext/>
        <w:rPr>
          <w:b/>
          <w:lang w:val="en-US"/>
        </w:rPr>
      </w:pPr>
    </w:p>
    <w:p w14:paraId="60B3B533" w14:textId="77777777" w:rsidR="00D02BC8" w:rsidRPr="00D31EBB" w:rsidRDefault="006719E7" w:rsidP="008B6CCB">
      <w:pPr>
        <w:pStyle w:val="EMEAHeading2"/>
      </w:pPr>
      <w:r>
        <w:t>Manufacturer</w:t>
      </w:r>
    </w:p>
    <w:p w14:paraId="693B601C" w14:textId="77777777" w:rsidR="00D02BC8" w:rsidRPr="00D31EBB" w:rsidRDefault="00D02BC8" w:rsidP="008B6CCB">
      <w:pPr>
        <w:pStyle w:val="EMEABodyText"/>
        <w:rPr>
          <w:lang w:val="en-US"/>
        </w:rPr>
      </w:pPr>
    </w:p>
    <w:p w14:paraId="052A059B" w14:textId="77777777" w:rsidR="00987911" w:rsidRPr="00995147" w:rsidRDefault="00987911" w:rsidP="00987911">
      <w:pPr>
        <w:pStyle w:val="EMEABodyText"/>
        <w:rPr>
          <w:lang w:val="en-GB"/>
        </w:rPr>
      </w:pPr>
      <w:r w:rsidRPr="00995147">
        <w:rPr>
          <w:lang w:val="en-GB"/>
        </w:rPr>
        <w:t>CATALENT ANAGNI S.R.L.</w:t>
      </w:r>
    </w:p>
    <w:p w14:paraId="3825B2A6" w14:textId="03FEFEE2" w:rsidR="00987911" w:rsidRDefault="00987911" w:rsidP="00987911">
      <w:pPr>
        <w:pStyle w:val="EMEABodyText"/>
        <w:rPr>
          <w:lang w:val="en-GB"/>
        </w:rPr>
      </w:pPr>
      <w:r>
        <w:rPr>
          <w:lang w:val="en-GB"/>
        </w:rPr>
        <w:t>Loc.</w:t>
      </w:r>
      <w:r w:rsidRPr="00B65509">
        <w:rPr>
          <w:lang w:val="en-GB"/>
        </w:rPr>
        <w:t xml:space="preserve"> Fontana del Ceraso</w:t>
      </w:r>
      <w:r>
        <w:rPr>
          <w:lang w:val="en-GB"/>
        </w:rPr>
        <w:t xml:space="preserve"> snc</w:t>
      </w:r>
    </w:p>
    <w:p w14:paraId="19434BA5" w14:textId="77777777" w:rsidR="00987911" w:rsidRPr="00B65509" w:rsidRDefault="00987911" w:rsidP="00987911">
      <w:pPr>
        <w:pStyle w:val="EMEABodyText"/>
        <w:rPr>
          <w:lang w:val="en-GB"/>
        </w:rPr>
      </w:pPr>
      <w:r w:rsidRPr="00B65509">
        <w:rPr>
          <w:lang w:val="en-GB"/>
        </w:rPr>
        <w:t>Strada Provinciale 12 Casilina, 41</w:t>
      </w:r>
    </w:p>
    <w:p w14:paraId="45B9BB67" w14:textId="77777777" w:rsidR="00987911" w:rsidRDefault="00987911" w:rsidP="00987911">
      <w:pPr>
        <w:pStyle w:val="EMEABodyText"/>
        <w:rPr>
          <w:lang w:val="en-GB"/>
        </w:rPr>
      </w:pPr>
      <w:r w:rsidRPr="00B65509">
        <w:rPr>
          <w:lang w:val="en-GB"/>
        </w:rPr>
        <w:t>03012 Anagni (FR)</w:t>
      </w:r>
    </w:p>
    <w:p w14:paraId="01573CAF" w14:textId="77777777" w:rsidR="00987911" w:rsidRPr="00B65509" w:rsidRDefault="00987911" w:rsidP="00987911">
      <w:pPr>
        <w:pStyle w:val="EMEABodyText"/>
        <w:rPr>
          <w:lang w:val="en-GB"/>
        </w:rPr>
      </w:pPr>
      <w:r w:rsidRPr="00B65509">
        <w:rPr>
          <w:lang w:val="en-GB"/>
        </w:rPr>
        <w:t>Italy</w:t>
      </w:r>
    </w:p>
    <w:p w14:paraId="0ABFA606" w14:textId="77777777" w:rsidR="00987911" w:rsidRDefault="00987911" w:rsidP="00987911">
      <w:pPr>
        <w:pStyle w:val="EMEABodyText"/>
        <w:rPr>
          <w:noProof/>
          <w:lang w:val="es-ES"/>
        </w:rPr>
      </w:pPr>
    </w:p>
    <w:p w14:paraId="7550DA3E" w14:textId="77777777" w:rsidR="00987911" w:rsidRPr="00686456" w:rsidRDefault="00987911" w:rsidP="00987911">
      <w:pPr>
        <w:pStyle w:val="EMEABodyText"/>
        <w:rPr>
          <w:highlight w:val="lightGray"/>
          <w:lang w:val="en-GB"/>
        </w:rPr>
      </w:pPr>
      <w:r w:rsidRPr="00686456">
        <w:rPr>
          <w:highlight w:val="lightGray"/>
          <w:lang w:val="en-GB"/>
        </w:rPr>
        <w:t>Swords Laboratories T/A Bristol-Myers Squibb Pharmaceutical Operations, External Manufacturing</w:t>
      </w:r>
    </w:p>
    <w:p w14:paraId="39D16C5B" w14:textId="77777777" w:rsidR="00987911" w:rsidRPr="00686456" w:rsidRDefault="00987911" w:rsidP="00987911">
      <w:pPr>
        <w:pStyle w:val="EMEABodyText"/>
        <w:rPr>
          <w:highlight w:val="lightGray"/>
          <w:lang w:val="en-GB"/>
        </w:rPr>
      </w:pPr>
      <w:r w:rsidRPr="00686456">
        <w:rPr>
          <w:highlight w:val="lightGray"/>
          <w:lang w:val="en-GB"/>
        </w:rPr>
        <w:t>Plaza 254</w:t>
      </w:r>
    </w:p>
    <w:p w14:paraId="3236A99D" w14:textId="77777777" w:rsidR="00987911" w:rsidRPr="00686456" w:rsidRDefault="00987911" w:rsidP="00987911">
      <w:pPr>
        <w:pStyle w:val="EMEABodyText"/>
        <w:rPr>
          <w:highlight w:val="lightGray"/>
          <w:lang w:val="en-GB"/>
        </w:rPr>
      </w:pPr>
      <w:r w:rsidRPr="00686456">
        <w:rPr>
          <w:highlight w:val="lightGray"/>
          <w:lang w:val="en-GB"/>
        </w:rPr>
        <w:t>Blanchardstown Corporate Park 2</w:t>
      </w:r>
    </w:p>
    <w:p w14:paraId="7615BB9B" w14:textId="77777777" w:rsidR="00987911" w:rsidRPr="00686456" w:rsidRDefault="00987911" w:rsidP="00987911">
      <w:pPr>
        <w:pStyle w:val="EMEABodyText"/>
        <w:rPr>
          <w:highlight w:val="lightGray"/>
          <w:lang w:val="en-GB"/>
        </w:rPr>
      </w:pPr>
      <w:r w:rsidRPr="00686456">
        <w:rPr>
          <w:highlight w:val="lightGray"/>
          <w:lang w:val="en-GB"/>
        </w:rPr>
        <w:t>Dublin 15, D15 T867</w:t>
      </w:r>
    </w:p>
    <w:p w14:paraId="3ACB25C4" w14:textId="77777777" w:rsidR="00987911" w:rsidRPr="00B65509" w:rsidRDefault="00987911" w:rsidP="00987911">
      <w:pPr>
        <w:pStyle w:val="EMEABodyText"/>
        <w:rPr>
          <w:lang w:val="en-GB"/>
        </w:rPr>
      </w:pPr>
      <w:r w:rsidRPr="00686456">
        <w:rPr>
          <w:highlight w:val="lightGray"/>
          <w:lang w:val="en-GB"/>
        </w:rPr>
        <w:t>Ireland</w:t>
      </w:r>
    </w:p>
    <w:p w14:paraId="1E749ECE" w14:textId="77777777" w:rsidR="00987911" w:rsidRDefault="00987911" w:rsidP="00987911">
      <w:pPr>
        <w:pStyle w:val="EMEABodyText"/>
        <w:rPr>
          <w:noProof/>
          <w:lang w:val="es-ES"/>
        </w:rPr>
      </w:pPr>
    </w:p>
    <w:p w14:paraId="0E7675E7" w14:textId="77777777" w:rsidR="00D02BC8" w:rsidRPr="00324E2C" w:rsidRDefault="00D02BC8" w:rsidP="008B6CCB">
      <w:pPr>
        <w:pStyle w:val="EMEABodyText"/>
        <w:rPr>
          <w:noProof/>
          <w:lang w:val="es-ES"/>
        </w:rPr>
      </w:pPr>
    </w:p>
    <w:p w14:paraId="7195D10B" w14:textId="77777777" w:rsidR="00D02BC8" w:rsidRPr="00D31EBB" w:rsidRDefault="00D02BC8" w:rsidP="008B6CCB">
      <w:pPr>
        <w:pStyle w:val="EMEABodyText"/>
      </w:pPr>
      <w:r>
        <w:t>For any further information about this medicine, please contact the local representative of the Marketing Authorisation Holder:</w:t>
      </w:r>
    </w:p>
    <w:p w14:paraId="1B8180B2" w14:textId="77777777" w:rsidR="00D02BC8" w:rsidRPr="00D31EBB" w:rsidRDefault="00D02BC8" w:rsidP="008B6CCB">
      <w:pPr>
        <w:pStyle w:val="EMEABodyText"/>
        <w:rPr>
          <w:noProof/>
          <w:lang w:val="en-US"/>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D02BC8" w:rsidRPr="004F3582" w14:paraId="072B131A" w14:textId="77777777">
        <w:trPr>
          <w:cantSplit/>
          <w:trHeight w:val="904"/>
        </w:trPr>
        <w:tc>
          <w:tcPr>
            <w:tcW w:w="4536" w:type="dxa"/>
          </w:tcPr>
          <w:p w14:paraId="5232DD24" w14:textId="77777777" w:rsidR="00D02BC8" w:rsidRPr="004F3582" w:rsidRDefault="00D02BC8" w:rsidP="008B6CCB">
            <w:pPr>
              <w:pStyle w:val="EMEATableLeft"/>
              <w:keepNext w:val="0"/>
              <w:keepLines w:val="0"/>
              <w:widowControl w:val="0"/>
              <w:rPr>
                <w:b/>
                <w:bCs/>
              </w:rPr>
            </w:pPr>
            <w:r>
              <w:rPr>
                <w:b/>
                <w:bCs/>
              </w:rPr>
              <w:t>Belgique/België/Belgien</w:t>
            </w:r>
          </w:p>
          <w:p w14:paraId="045A9BED" w14:textId="77777777" w:rsidR="00D02BC8" w:rsidRPr="004F3582" w:rsidRDefault="00D02BC8" w:rsidP="008B6CCB">
            <w:pPr>
              <w:rPr>
                <w:bCs/>
                <w:szCs w:val="22"/>
              </w:rPr>
            </w:pPr>
            <w:r>
              <w:t>N.V. Bristol-Myers Squibb Belgium S.A.</w:t>
            </w:r>
          </w:p>
          <w:p w14:paraId="231C9184" w14:textId="77777777" w:rsidR="00D02BC8" w:rsidRPr="004F3582" w:rsidRDefault="00D02BC8" w:rsidP="008B6CCB">
            <w:pPr>
              <w:pStyle w:val="EMEATableLeft"/>
              <w:keepNext w:val="0"/>
              <w:keepLines w:val="0"/>
              <w:widowControl w:val="0"/>
            </w:pPr>
            <w:r>
              <w:t>Tél/Tel: + 32 2 352 76 11</w:t>
            </w:r>
          </w:p>
          <w:p w14:paraId="1A073432" w14:textId="77777777" w:rsidR="00D02BC8" w:rsidRPr="004F3582" w:rsidRDefault="00D02BC8" w:rsidP="008B6CCB">
            <w:pPr>
              <w:pStyle w:val="EMEATableLeft"/>
              <w:keepNext w:val="0"/>
              <w:keepLines w:val="0"/>
              <w:widowControl w:val="0"/>
            </w:pPr>
          </w:p>
        </w:tc>
        <w:tc>
          <w:tcPr>
            <w:tcW w:w="4536" w:type="dxa"/>
          </w:tcPr>
          <w:p w14:paraId="216A2155" w14:textId="77777777" w:rsidR="00D02BC8" w:rsidRPr="00D31EBB" w:rsidRDefault="00D02BC8" w:rsidP="008B6CCB">
            <w:pPr>
              <w:pStyle w:val="EMEATableLeft"/>
              <w:keepNext w:val="0"/>
              <w:keepLines w:val="0"/>
              <w:widowControl w:val="0"/>
            </w:pPr>
            <w:r>
              <w:rPr>
                <w:b/>
                <w:bCs/>
              </w:rPr>
              <w:t>Lietuva</w:t>
            </w:r>
          </w:p>
          <w:p w14:paraId="7F8D7212" w14:textId="77777777" w:rsidR="00D02BC8" w:rsidRPr="00D31EBB" w:rsidRDefault="00D02BC8" w:rsidP="008B6CCB">
            <w:pPr>
              <w:pStyle w:val="EMEABodyText"/>
              <w:widowControl w:val="0"/>
            </w:pPr>
            <w:r>
              <w:t>Bristol-Myers Squibb Kft.</w:t>
            </w:r>
          </w:p>
          <w:p w14:paraId="705E2595" w14:textId="77777777" w:rsidR="00D02BC8" w:rsidRPr="004F3582" w:rsidRDefault="00D02BC8" w:rsidP="008B6CCB">
            <w:pPr>
              <w:pStyle w:val="EMEATableLeft"/>
              <w:keepNext w:val="0"/>
              <w:keepLines w:val="0"/>
              <w:widowControl w:val="0"/>
            </w:pPr>
            <w:r>
              <w:t>Tel: + 370 52 369140</w:t>
            </w:r>
          </w:p>
          <w:p w14:paraId="66D4A782" w14:textId="77777777" w:rsidR="00D02BC8" w:rsidRPr="004F3582" w:rsidRDefault="00D02BC8" w:rsidP="008B6CCB">
            <w:pPr>
              <w:pStyle w:val="EMEATableLeft"/>
              <w:keepNext w:val="0"/>
              <w:keepLines w:val="0"/>
              <w:widowControl w:val="0"/>
            </w:pPr>
          </w:p>
        </w:tc>
      </w:tr>
      <w:tr w:rsidR="00D02BC8" w:rsidRPr="004F3582" w14:paraId="5BCEA0F9" w14:textId="77777777">
        <w:trPr>
          <w:cantSplit/>
          <w:trHeight w:val="892"/>
        </w:trPr>
        <w:tc>
          <w:tcPr>
            <w:tcW w:w="4536" w:type="dxa"/>
          </w:tcPr>
          <w:p w14:paraId="1A887D00" w14:textId="77777777" w:rsidR="00D02BC8" w:rsidRPr="00D31EBB" w:rsidRDefault="00D02BC8" w:rsidP="008B6CCB">
            <w:pPr>
              <w:autoSpaceDE w:val="0"/>
              <w:autoSpaceDN w:val="0"/>
              <w:adjustRightInd w:val="0"/>
              <w:rPr>
                <w:b/>
                <w:bCs/>
                <w:szCs w:val="22"/>
              </w:rPr>
            </w:pPr>
            <w:r>
              <w:rPr>
                <w:b/>
                <w:bCs/>
                <w:szCs w:val="22"/>
              </w:rPr>
              <w:t>България</w:t>
            </w:r>
          </w:p>
          <w:p w14:paraId="01303774" w14:textId="77777777" w:rsidR="00D02BC8" w:rsidRPr="00D31EBB" w:rsidRDefault="00D02BC8" w:rsidP="008B6CCB">
            <w:pPr>
              <w:pStyle w:val="EMEABodyText"/>
              <w:widowControl w:val="0"/>
            </w:pPr>
            <w:r>
              <w:t>Bristol-Myers Squibb Kft.</w:t>
            </w:r>
          </w:p>
          <w:p w14:paraId="31CC1770" w14:textId="77777777" w:rsidR="00D02BC8" w:rsidRPr="004F3582" w:rsidRDefault="00D02BC8" w:rsidP="008B6CCB">
            <w:pPr>
              <w:pStyle w:val="EMEATableLeft"/>
              <w:keepNext w:val="0"/>
              <w:keepLines w:val="0"/>
              <w:widowControl w:val="0"/>
            </w:pPr>
            <w:r>
              <w:t>Teл.: + 359 800 12 400</w:t>
            </w:r>
          </w:p>
          <w:p w14:paraId="7DABE34D" w14:textId="77777777" w:rsidR="00D02BC8" w:rsidRPr="004F3582" w:rsidRDefault="00D02BC8" w:rsidP="008B6CCB">
            <w:pPr>
              <w:autoSpaceDE w:val="0"/>
              <w:autoSpaceDN w:val="0"/>
              <w:adjustRightInd w:val="0"/>
              <w:rPr>
                <w:rFonts w:ascii="TimesNewRoman" w:hAnsi="TimesNewRoman"/>
                <w:szCs w:val="22"/>
              </w:rPr>
            </w:pPr>
          </w:p>
        </w:tc>
        <w:tc>
          <w:tcPr>
            <w:tcW w:w="4536" w:type="dxa"/>
          </w:tcPr>
          <w:p w14:paraId="463BEE7B" w14:textId="77777777" w:rsidR="00D02BC8" w:rsidRPr="004F3582" w:rsidRDefault="00D02BC8" w:rsidP="008B6CCB">
            <w:pPr>
              <w:pStyle w:val="EMEATableLeft"/>
              <w:keepNext w:val="0"/>
              <w:keepLines w:val="0"/>
              <w:widowControl w:val="0"/>
            </w:pPr>
            <w:r>
              <w:rPr>
                <w:b/>
                <w:bCs/>
              </w:rPr>
              <w:t>Luxembourg/Luxemburg</w:t>
            </w:r>
          </w:p>
          <w:p w14:paraId="0438BD54" w14:textId="77777777" w:rsidR="00D02BC8" w:rsidRPr="004F3582" w:rsidRDefault="00D02BC8" w:rsidP="008B6CCB">
            <w:pPr>
              <w:rPr>
                <w:bCs/>
                <w:szCs w:val="22"/>
              </w:rPr>
            </w:pPr>
            <w:r>
              <w:t>N.V. Bristol-Myers Squibb Belgium S.A.</w:t>
            </w:r>
          </w:p>
          <w:p w14:paraId="0FC3EE6D" w14:textId="77777777" w:rsidR="00D02BC8" w:rsidRPr="004F3582" w:rsidRDefault="00D02BC8" w:rsidP="008B6CCB">
            <w:pPr>
              <w:pStyle w:val="EMEATableLeft"/>
              <w:keepNext w:val="0"/>
              <w:keepLines w:val="0"/>
              <w:widowControl w:val="0"/>
            </w:pPr>
            <w:r>
              <w:t>Tél/Tel: + 32 2 352 76 11</w:t>
            </w:r>
          </w:p>
          <w:p w14:paraId="6A9E73D5" w14:textId="77777777" w:rsidR="00D02BC8" w:rsidRPr="004F3582" w:rsidRDefault="00D02BC8" w:rsidP="008B6CCB">
            <w:pPr>
              <w:pStyle w:val="EMEATableLeft"/>
              <w:keepNext w:val="0"/>
              <w:keepLines w:val="0"/>
              <w:widowControl w:val="0"/>
            </w:pPr>
          </w:p>
        </w:tc>
      </w:tr>
      <w:tr w:rsidR="00D02BC8" w:rsidRPr="004F3582" w14:paraId="62DC8EB0" w14:textId="77777777">
        <w:trPr>
          <w:cantSplit/>
          <w:trHeight w:val="904"/>
        </w:trPr>
        <w:tc>
          <w:tcPr>
            <w:tcW w:w="4536" w:type="dxa"/>
          </w:tcPr>
          <w:p w14:paraId="21024E32" w14:textId="77777777" w:rsidR="00D02BC8" w:rsidRPr="00D31EBB" w:rsidRDefault="00D02BC8" w:rsidP="008B6CCB">
            <w:pPr>
              <w:pStyle w:val="EMEATableLeft"/>
              <w:keepNext w:val="0"/>
              <w:keepLines w:val="0"/>
              <w:widowControl w:val="0"/>
              <w:rPr>
                <w:b/>
                <w:bCs/>
              </w:rPr>
            </w:pPr>
            <w:r>
              <w:rPr>
                <w:b/>
                <w:bCs/>
              </w:rPr>
              <w:t>Česká republika</w:t>
            </w:r>
          </w:p>
          <w:p w14:paraId="707E908E" w14:textId="77777777" w:rsidR="00D02BC8" w:rsidRPr="00D31EBB" w:rsidRDefault="00D02BC8" w:rsidP="008B6CCB">
            <w:pPr>
              <w:pStyle w:val="EMEABodyText"/>
              <w:widowControl w:val="0"/>
            </w:pPr>
            <w:r>
              <w:t>Bristol-Myers Squibb spol. s r.o.</w:t>
            </w:r>
          </w:p>
          <w:p w14:paraId="427C80DC" w14:textId="77777777" w:rsidR="00D02BC8" w:rsidRPr="004F3582" w:rsidRDefault="00D02BC8" w:rsidP="008B6CCB">
            <w:pPr>
              <w:pStyle w:val="EMEATableLeft"/>
              <w:keepNext w:val="0"/>
              <w:keepLines w:val="0"/>
              <w:widowControl w:val="0"/>
            </w:pPr>
            <w:r>
              <w:t>Tel: + 420 221 016 111</w:t>
            </w:r>
          </w:p>
          <w:p w14:paraId="3D6859B4" w14:textId="77777777" w:rsidR="00D02BC8" w:rsidRPr="004F3582" w:rsidRDefault="00D02BC8" w:rsidP="008B6CCB">
            <w:pPr>
              <w:pStyle w:val="EMEATableLeft"/>
              <w:keepNext w:val="0"/>
              <w:keepLines w:val="0"/>
              <w:widowControl w:val="0"/>
            </w:pPr>
          </w:p>
        </w:tc>
        <w:tc>
          <w:tcPr>
            <w:tcW w:w="4536" w:type="dxa"/>
          </w:tcPr>
          <w:p w14:paraId="674629CD" w14:textId="77777777" w:rsidR="00D02BC8" w:rsidRPr="00D31EBB" w:rsidRDefault="00D02BC8" w:rsidP="008B6CCB">
            <w:pPr>
              <w:pStyle w:val="EMEATableLeft"/>
              <w:keepNext w:val="0"/>
              <w:keepLines w:val="0"/>
              <w:widowControl w:val="0"/>
              <w:rPr>
                <w:b/>
                <w:bCs/>
              </w:rPr>
            </w:pPr>
            <w:r>
              <w:rPr>
                <w:b/>
                <w:bCs/>
              </w:rPr>
              <w:t>Magyarország</w:t>
            </w:r>
          </w:p>
          <w:p w14:paraId="09BE8E65" w14:textId="77777777" w:rsidR="00D02BC8" w:rsidRPr="00D31EBB" w:rsidRDefault="00D02BC8" w:rsidP="008B6CCB">
            <w:pPr>
              <w:pStyle w:val="EMEABodyText"/>
              <w:widowControl w:val="0"/>
            </w:pPr>
            <w:r>
              <w:t>Bristol-Myers Squibb Kft.</w:t>
            </w:r>
          </w:p>
          <w:p w14:paraId="6E6961E6" w14:textId="77777777" w:rsidR="00D02BC8" w:rsidRPr="004F3582" w:rsidRDefault="00D02BC8" w:rsidP="008B6CCB">
            <w:pPr>
              <w:pStyle w:val="EMEATableLeft"/>
              <w:keepNext w:val="0"/>
              <w:keepLines w:val="0"/>
              <w:widowControl w:val="0"/>
            </w:pPr>
            <w:r>
              <w:t>Tel.: + 36 1 9206 550</w:t>
            </w:r>
          </w:p>
          <w:p w14:paraId="5BDDB102" w14:textId="77777777" w:rsidR="00D02BC8" w:rsidRPr="004F3582" w:rsidRDefault="00D02BC8" w:rsidP="008B6CCB">
            <w:pPr>
              <w:pStyle w:val="EMEATableLeft"/>
              <w:keepNext w:val="0"/>
              <w:keepLines w:val="0"/>
              <w:widowControl w:val="0"/>
            </w:pPr>
          </w:p>
        </w:tc>
      </w:tr>
      <w:tr w:rsidR="00D02BC8" w:rsidRPr="004F3582" w14:paraId="7A2AFE92" w14:textId="77777777">
        <w:trPr>
          <w:cantSplit/>
          <w:trHeight w:val="904"/>
        </w:trPr>
        <w:tc>
          <w:tcPr>
            <w:tcW w:w="4536" w:type="dxa"/>
          </w:tcPr>
          <w:p w14:paraId="425AE488" w14:textId="77777777" w:rsidR="00D02BC8" w:rsidRPr="00D31EBB" w:rsidRDefault="00D02BC8" w:rsidP="008B6CCB">
            <w:pPr>
              <w:pStyle w:val="EMEATableLeft"/>
              <w:keepNext w:val="0"/>
              <w:keepLines w:val="0"/>
              <w:widowControl w:val="0"/>
              <w:rPr>
                <w:b/>
                <w:bCs/>
              </w:rPr>
            </w:pPr>
            <w:r>
              <w:rPr>
                <w:b/>
                <w:bCs/>
              </w:rPr>
              <w:t>Danmark</w:t>
            </w:r>
          </w:p>
          <w:p w14:paraId="33FE1325" w14:textId="77777777" w:rsidR="00D02BC8" w:rsidRPr="00D31EBB" w:rsidRDefault="00D02BC8" w:rsidP="008B6CCB">
            <w:pPr>
              <w:pStyle w:val="EMEABodyText"/>
              <w:widowControl w:val="0"/>
            </w:pPr>
            <w:r>
              <w:t>Bristol-Myers Squibb</w:t>
            </w:r>
          </w:p>
          <w:p w14:paraId="35312ED6" w14:textId="77777777" w:rsidR="00D02BC8" w:rsidRPr="00D31EBB" w:rsidRDefault="00D02BC8" w:rsidP="008B6CCB">
            <w:pPr>
              <w:pStyle w:val="EMEATableLeft"/>
              <w:keepNext w:val="0"/>
              <w:keepLines w:val="0"/>
              <w:widowControl w:val="0"/>
            </w:pPr>
            <w:r>
              <w:t>Tlf: + 45 45 93 05 06</w:t>
            </w:r>
          </w:p>
          <w:p w14:paraId="3ADE8AA7" w14:textId="77777777" w:rsidR="00D02BC8" w:rsidRPr="00D31EBB" w:rsidRDefault="00D02BC8" w:rsidP="008B6CCB">
            <w:pPr>
              <w:pStyle w:val="EMEATableLeft"/>
              <w:keepNext w:val="0"/>
              <w:keepLines w:val="0"/>
              <w:widowControl w:val="0"/>
              <w:rPr>
                <w:lang w:val="en-US"/>
              </w:rPr>
            </w:pPr>
          </w:p>
        </w:tc>
        <w:tc>
          <w:tcPr>
            <w:tcW w:w="4536" w:type="dxa"/>
          </w:tcPr>
          <w:p w14:paraId="067A0A61" w14:textId="77777777" w:rsidR="00D02BC8" w:rsidRPr="00D31EBB" w:rsidRDefault="00D02BC8" w:rsidP="008B6CCB">
            <w:pPr>
              <w:pStyle w:val="EMEATableLeft"/>
              <w:keepNext w:val="0"/>
              <w:keepLines w:val="0"/>
              <w:widowControl w:val="0"/>
              <w:rPr>
                <w:b/>
                <w:bCs/>
              </w:rPr>
            </w:pPr>
            <w:r>
              <w:rPr>
                <w:b/>
                <w:bCs/>
              </w:rPr>
              <w:t>Malta</w:t>
            </w:r>
          </w:p>
          <w:p w14:paraId="12ECD952" w14:textId="77777777" w:rsidR="00D02BC8" w:rsidRPr="00D31EBB" w:rsidRDefault="00D02BC8" w:rsidP="008B6CCB">
            <w:pPr>
              <w:pStyle w:val="EMEABodyText"/>
              <w:widowControl w:val="0"/>
              <w:rPr>
                <w:smallCaps/>
              </w:rPr>
            </w:pPr>
            <w:r>
              <w:rPr>
                <w:smallCaps/>
              </w:rPr>
              <w:t>Bristol-Myers Squibb S.r.l.</w:t>
            </w:r>
          </w:p>
          <w:p w14:paraId="2359ED77" w14:textId="77777777" w:rsidR="00D02BC8" w:rsidRPr="004F3582" w:rsidRDefault="00D02BC8" w:rsidP="008B6CCB">
            <w:pPr>
              <w:pStyle w:val="EMEATableLeft"/>
              <w:keepNext w:val="0"/>
              <w:keepLines w:val="0"/>
              <w:widowControl w:val="0"/>
            </w:pPr>
            <w:r>
              <w:t>Tel: + 39 06 50 39 61</w:t>
            </w:r>
          </w:p>
          <w:p w14:paraId="4BF7BD6E" w14:textId="77777777" w:rsidR="00D02BC8" w:rsidRPr="004F3582" w:rsidRDefault="00D02BC8" w:rsidP="008B6CCB">
            <w:pPr>
              <w:pStyle w:val="EMEATableLeft"/>
              <w:keepNext w:val="0"/>
              <w:keepLines w:val="0"/>
              <w:widowControl w:val="0"/>
            </w:pPr>
          </w:p>
        </w:tc>
      </w:tr>
      <w:tr w:rsidR="00D02BC8" w:rsidRPr="004F3582" w14:paraId="5BB82829" w14:textId="77777777">
        <w:trPr>
          <w:cantSplit/>
          <w:trHeight w:val="892"/>
        </w:trPr>
        <w:tc>
          <w:tcPr>
            <w:tcW w:w="4536" w:type="dxa"/>
          </w:tcPr>
          <w:p w14:paraId="5E753088" w14:textId="77777777" w:rsidR="00D02BC8" w:rsidRPr="00D31EBB" w:rsidRDefault="00D02BC8" w:rsidP="008B6CCB">
            <w:pPr>
              <w:pStyle w:val="EMEATableLeft"/>
              <w:keepNext w:val="0"/>
              <w:keepLines w:val="0"/>
              <w:widowControl w:val="0"/>
            </w:pPr>
            <w:r>
              <w:rPr>
                <w:b/>
                <w:bCs/>
              </w:rPr>
              <w:t>Deutschland</w:t>
            </w:r>
          </w:p>
          <w:p w14:paraId="50D3B73C" w14:textId="77777777" w:rsidR="00D02BC8" w:rsidRPr="004F3582" w:rsidRDefault="00D02BC8" w:rsidP="008B6CCB">
            <w:pPr>
              <w:pStyle w:val="EMEABodyText"/>
              <w:widowControl w:val="0"/>
            </w:pPr>
            <w:r>
              <w:t>Bristol-Myers Squibb GmbH &amp; Co. KGaA</w:t>
            </w:r>
          </w:p>
          <w:p w14:paraId="65294CDD" w14:textId="77777777" w:rsidR="00D02BC8" w:rsidRPr="004F3582" w:rsidRDefault="00D02BC8" w:rsidP="008B6CCB">
            <w:pPr>
              <w:pStyle w:val="EMEATableLeft"/>
              <w:keepNext w:val="0"/>
              <w:keepLines w:val="0"/>
              <w:widowControl w:val="0"/>
            </w:pPr>
            <w:r>
              <w:t>Tel: + 49 89 121 42-0</w:t>
            </w:r>
          </w:p>
          <w:p w14:paraId="7C76B2D7" w14:textId="77777777" w:rsidR="00D02BC8" w:rsidRPr="004F3582" w:rsidRDefault="00D02BC8" w:rsidP="008B6CCB">
            <w:pPr>
              <w:pStyle w:val="EMEATableLeft"/>
              <w:keepNext w:val="0"/>
              <w:keepLines w:val="0"/>
              <w:widowControl w:val="0"/>
            </w:pPr>
          </w:p>
        </w:tc>
        <w:tc>
          <w:tcPr>
            <w:tcW w:w="4536" w:type="dxa"/>
          </w:tcPr>
          <w:p w14:paraId="70B7EC45" w14:textId="77777777" w:rsidR="00D02BC8" w:rsidRPr="00D31EBB" w:rsidRDefault="00D02BC8" w:rsidP="008B6CCB">
            <w:pPr>
              <w:pStyle w:val="EMEATableLeft"/>
              <w:keepNext w:val="0"/>
              <w:keepLines w:val="0"/>
              <w:widowControl w:val="0"/>
            </w:pPr>
            <w:r>
              <w:rPr>
                <w:b/>
                <w:bCs/>
              </w:rPr>
              <w:t>Nederland</w:t>
            </w:r>
          </w:p>
          <w:p w14:paraId="5AF0112B" w14:textId="77777777" w:rsidR="00D02BC8" w:rsidRPr="00D31EBB" w:rsidRDefault="00D02BC8" w:rsidP="008B6CCB">
            <w:pPr>
              <w:pStyle w:val="EMEABodyText"/>
              <w:widowControl w:val="0"/>
            </w:pPr>
            <w:r>
              <w:t>Bristol-Myers Squibb B.V.</w:t>
            </w:r>
          </w:p>
          <w:p w14:paraId="46CF936F" w14:textId="77777777" w:rsidR="00D02BC8" w:rsidRPr="004F3582" w:rsidRDefault="00D02BC8" w:rsidP="008B6CCB">
            <w:pPr>
              <w:pStyle w:val="EMEATableLeft"/>
              <w:keepNext w:val="0"/>
              <w:keepLines w:val="0"/>
              <w:widowControl w:val="0"/>
            </w:pPr>
            <w:r>
              <w:t>Tel: + 31 (0)30 300 2222</w:t>
            </w:r>
          </w:p>
          <w:p w14:paraId="2457E9FC" w14:textId="77777777" w:rsidR="00D02BC8" w:rsidRPr="004F3582" w:rsidRDefault="00D02BC8" w:rsidP="008B6CCB"/>
        </w:tc>
      </w:tr>
      <w:tr w:rsidR="00D02BC8" w:rsidRPr="004F3582" w14:paraId="0E24AFDD" w14:textId="77777777">
        <w:trPr>
          <w:cantSplit/>
          <w:trHeight w:val="880"/>
        </w:trPr>
        <w:tc>
          <w:tcPr>
            <w:tcW w:w="4536" w:type="dxa"/>
          </w:tcPr>
          <w:p w14:paraId="42E98EE7" w14:textId="77777777" w:rsidR="00D02BC8" w:rsidRPr="00D31EBB" w:rsidRDefault="00D02BC8" w:rsidP="008B6CCB">
            <w:pPr>
              <w:pStyle w:val="EMEATableLeft"/>
              <w:keepNext w:val="0"/>
              <w:keepLines w:val="0"/>
              <w:widowControl w:val="0"/>
            </w:pPr>
            <w:r>
              <w:rPr>
                <w:b/>
                <w:bCs/>
              </w:rPr>
              <w:t>Eesti</w:t>
            </w:r>
          </w:p>
          <w:p w14:paraId="151BFDE0" w14:textId="77777777" w:rsidR="00D02BC8" w:rsidRPr="00D31EBB" w:rsidRDefault="00D02BC8" w:rsidP="008B6CCB">
            <w:pPr>
              <w:pStyle w:val="EMEABodyText"/>
              <w:widowControl w:val="0"/>
            </w:pPr>
            <w:r>
              <w:t>Bristol-Myers Squibb Kft.</w:t>
            </w:r>
          </w:p>
          <w:p w14:paraId="6DE73890" w14:textId="77777777" w:rsidR="00D02BC8" w:rsidRPr="004F3582" w:rsidRDefault="00D02BC8" w:rsidP="008B6CCB">
            <w:pPr>
              <w:pStyle w:val="EMEATableLeft"/>
              <w:keepNext w:val="0"/>
              <w:keepLines w:val="0"/>
              <w:widowControl w:val="0"/>
            </w:pPr>
            <w:r>
              <w:t>Tel: + 372 640 1030</w:t>
            </w:r>
          </w:p>
          <w:p w14:paraId="5A71E35F" w14:textId="77777777" w:rsidR="00D02BC8" w:rsidRPr="004F3582" w:rsidRDefault="00D02BC8" w:rsidP="008B6CCB">
            <w:pPr>
              <w:pStyle w:val="EMEATableLeft"/>
              <w:keepNext w:val="0"/>
              <w:keepLines w:val="0"/>
              <w:widowControl w:val="0"/>
            </w:pPr>
          </w:p>
        </w:tc>
        <w:tc>
          <w:tcPr>
            <w:tcW w:w="4536" w:type="dxa"/>
          </w:tcPr>
          <w:p w14:paraId="5E2CA57A" w14:textId="77777777" w:rsidR="00D02BC8" w:rsidRPr="00D31EBB" w:rsidRDefault="00D02BC8" w:rsidP="008B6CCB">
            <w:pPr>
              <w:pStyle w:val="EMEATableLeft"/>
              <w:keepNext w:val="0"/>
              <w:keepLines w:val="0"/>
              <w:widowControl w:val="0"/>
              <w:rPr>
                <w:b/>
                <w:bCs/>
              </w:rPr>
            </w:pPr>
            <w:r>
              <w:rPr>
                <w:b/>
                <w:bCs/>
              </w:rPr>
              <w:t>Norge</w:t>
            </w:r>
          </w:p>
          <w:p w14:paraId="71D51DB9" w14:textId="77777777" w:rsidR="00D02BC8" w:rsidRPr="00D31EBB" w:rsidRDefault="00D02BC8" w:rsidP="008B6CCB">
            <w:pPr>
              <w:pStyle w:val="EMEABodyText"/>
              <w:widowControl w:val="0"/>
            </w:pPr>
            <w:r>
              <w:t>Bristol-Myers Squibb Norway Ltd</w:t>
            </w:r>
          </w:p>
          <w:p w14:paraId="17E22B56" w14:textId="77777777" w:rsidR="00D02BC8" w:rsidRPr="004F3582" w:rsidRDefault="00D02BC8" w:rsidP="008B6CCB">
            <w:pPr>
              <w:pStyle w:val="EMEATableLeft"/>
              <w:keepNext w:val="0"/>
              <w:keepLines w:val="0"/>
              <w:widowControl w:val="0"/>
            </w:pPr>
            <w:r>
              <w:t>Tlf: + 47 67 55 53 50</w:t>
            </w:r>
          </w:p>
          <w:p w14:paraId="5AA52FB9" w14:textId="77777777" w:rsidR="00D02BC8" w:rsidRPr="004F3582" w:rsidRDefault="00D02BC8" w:rsidP="008B6CCB">
            <w:pPr>
              <w:pStyle w:val="EMEATableLeft"/>
              <w:keepNext w:val="0"/>
              <w:keepLines w:val="0"/>
              <w:widowControl w:val="0"/>
            </w:pPr>
          </w:p>
        </w:tc>
      </w:tr>
      <w:tr w:rsidR="00D02BC8" w:rsidRPr="00965E20" w14:paraId="09982AD1" w14:textId="77777777">
        <w:trPr>
          <w:cantSplit/>
          <w:trHeight w:val="952"/>
        </w:trPr>
        <w:tc>
          <w:tcPr>
            <w:tcW w:w="4536" w:type="dxa"/>
          </w:tcPr>
          <w:p w14:paraId="307B7B17" w14:textId="77777777" w:rsidR="00D02BC8" w:rsidRPr="00D31EBB" w:rsidRDefault="00D02BC8" w:rsidP="008B6CCB">
            <w:pPr>
              <w:pStyle w:val="EMEATableLeft"/>
              <w:keepNext w:val="0"/>
              <w:keepLines w:val="0"/>
              <w:widowControl w:val="0"/>
            </w:pPr>
            <w:r>
              <w:rPr>
                <w:b/>
                <w:bCs/>
              </w:rPr>
              <w:t>Ελλάδα</w:t>
            </w:r>
          </w:p>
          <w:p w14:paraId="0C2DF7FA" w14:textId="77777777" w:rsidR="00D02BC8" w:rsidRPr="00D31EBB" w:rsidRDefault="00D02BC8" w:rsidP="008B6CCB">
            <w:pPr>
              <w:pStyle w:val="EMEABodyText"/>
              <w:widowControl w:val="0"/>
            </w:pPr>
            <w:r>
              <w:rPr>
                <w:smallCaps/>
              </w:rPr>
              <w:t>Bristol-Myers Squibb A.E.</w:t>
            </w:r>
          </w:p>
          <w:p w14:paraId="5A8EE465" w14:textId="77777777" w:rsidR="00D02BC8" w:rsidRPr="004F3582" w:rsidRDefault="00D02BC8" w:rsidP="008B6CCB">
            <w:pPr>
              <w:pStyle w:val="EMEATableLeft"/>
              <w:keepNext w:val="0"/>
              <w:keepLines w:val="0"/>
              <w:widowControl w:val="0"/>
            </w:pPr>
            <w:r>
              <w:t>Τηλ: + 30 210 6074300</w:t>
            </w:r>
          </w:p>
          <w:p w14:paraId="36DCE7D6" w14:textId="77777777" w:rsidR="00D02BC8" w:rsidRPr="004F3582" w:rsidRDefault="00D02BC8" w:rsidP="008B6CCB">
            <w:pPr>
              <w:pStyle w:val="EMEATableLeft"/>
              <w:keepNext w:val="0"/>
              <w:keepLines w:val="0"/>
              <w:widowControl w:val="0"/>
            </w:pPr>
          </w:p>
        </w:tc>
        <w:tc>
          <w:tcPr>
            <w:tcW w:w="4536" w:type="dxa"/>
          </w:tcPr>
          <w:p w14:paraId="53B6BADB" w14:textId="77777777" w:rsidR="00D02BC8" w:rsidRPr="00D31EBB" w:rsidRDefault="00D02BC8" w:rsidP="008B6CCB">
            <w:pPr>
              <w:pStyle w:val="EMEATableLeft"/>
              <w:keepNext w:val="0"/>
              <w:keepLines w:val="0"/>
              <w:widowControl w:val="0"/>
            </w:pPr>
            <w:r>
              <w:rPr>
                <w:b/>
                <w:bCs/>
              </w:rPr>
              <w:t>Österreich</w:t>
            </w:r>
          </w:p>
          <w:p w14:paraId="242B53A7" w14:textId="77777777" w:rsidR="00D02BC8" w:rsidRPr="00D31EBB" w:rsidRDefault="00D02BC8" w:rsidP="008B6CCB">
            <w:pPr>
              <w:pStyle w:val="EMEABodyText"/>
              <w:widowControl w:val="0"/>
            </w:pPr>
            <w:r>
              <w:t>Bristol-Myers Squibb GesmbH</w:t>
            </w:r>
          </w:p>
          <w:p w14:paraId="2D34FD51" w14:textId="77777777" w:rsidR="00D02BC8" w:rsidRPr="00D31EBB" w:rsidRDefault="00D02BC8" w:rsidP="008B6CCB">
            <w:pPr>
              <w:pStyle w:val="EMEATableLeft"/>
              <w:keepNext w:val="0"/>
              <w:keepLines w:val="0"/>
              <w:widowControl w:val="0"/>
            </w:pPr>
            <w:r>
              <w:t>Tel: + 43 1 60 14 30</w:t>
            </w:r>
          </w:p>
          <w:p w14:paraId="64E6E97C" w14:textId="77777777" w:rsidR="00D02BC8" w:rsidRPr="00D31EBB" w:rsidRDefault="00D02BC8" w:rsidP="008B6CCB">
            <w:pPr>
              <w:pStyle w:val="EMEATableLeft"/>
              <w:keepNext w:val="0"/>
              <w:keepLines w:val="0"/>
              <w:widowControl w:val="0"/>
              <w:rPr>
                <w:lang w:val="en-US"/>
              </w:rPr>
            </w:pPr>
          </w:p>
        </w:tc>
      </w:tr>
      <w:tr w:rsidR="00D02BC8" w:rsidRPr="004F3582" w14:paraId="55EA3BFE" w14:textId="77777777">
        <w:trPr>
          <w:cantSplit/>
          <w:trHeight w:val="1111"/>
        </w:trPr>
        <w:tc>
          <w:tcPr>
            <w:tcW w:w="4536" w:type="dxa"/>
          </w:tcPr>
          <w:p w14:paraId="2DAF5590" w14:textId="77777777" w:rsidR="00D02BC8" w:rsidRPr="00D31EBB" w:rsidRDefault="00D02BC8" w:rsidP="008B6CCB">
            <w:pPr>
              <w:pStyle w:val="EMEATableLeft"/>
              <w:keepNext w:val="0"/>
              <w:keepLines w:val="0"/>
              <w:widowControl w:val="0"/>
            </w:pPr>
            <w:r>
              <w:rPr>
                <w:b/>
                <w:bCs/>
              </w:rPr>
              <w:t>España</w:t>
            </w:r>
          </w:p>
          <w:p w14:paraId="3A7253A6" w14:textId="77777777" w:rsidR="00D02BC8" w:rsidRPr="00D31EBB" w:rsidRDefault="00D02BC8" w:rsidP="008B6CCB">
            <w:pPr>
              <w:pStyle w:val="EMEABodyText"/>
              <w:widowControl w:val="0"/>
              <w:rPr>
                <w:smallCaps/>
              </w:rPr>
            </w:pPr>
            <w:r>
              <w:rPr>
                <w:smallCaps/>
              </w:rPr>
              <w:t>Bristol-Myers Squibb, S.A.</w:t>
            </w:r>
          </w:p>
          <w:p w14:paraId="4EFFD514" w14:textId="77777777" w:rsidR="00D02BC8" w:rsidRPr="004F3582" w:rsidRDefault="00D02BC8" w:rsidP="008B6CCB">
            <w:pPr>
              <w:pStyle w:val="EMEATableLeft"/>
              <w:keepNext w:val="0"/>
              <w:keepLines w:val="0"/>
              <w:widowControl w:val="0"/>
            </w:pPr>
            <w:r>
              <w:t>Tel: + 34 91 456 53 00</w:t>
            </w:r>
          </w:p>
          <w:p w14:paraId="479E4EEF" w14:textId="77777777" w:rsidR="00D02BC8" w:rsidRPr="004F3582" w:rsidRDefault="00D02BC8" w:rsidP="008B6CCB">
            <w:pPr>
              <w:pStyle w:val="EMEATableLeft"/>
              <w:keepNext w:val="0"/>
              <w:keepLines w:val="0"/>
              <w:widowControl w:val="0"/>
            </w:pPr>
          </w:p>
        </w:tc>
        <w:tc>
          <w:tcPr>
            <w:tcW w:w="4536" w:type="dxa"/>
          </w:tcPr>
          <w:p w14:paraId="1F470B88" w14:textId="77777777" w:rsidR="00D02BC8" w:rsidRPr="00D31EBB" w:rsidRDefault="00D02BC8" w:rsidP="008B6CCB">
            <w:pPr>
              <w:pStyle w:val="EMEATableLeft"/>
              <w:keepNext w:val="0"/>
              <w:keepLines w:val="0"/>
              <w:widowControl w:val="0"/>
            </w:pPr>
            <w:r>
              <w:rPr>
                <w:b/>
                <w:bCs/>
              </w:rPr>
              <w:t>Polska</w:t>
            </w:r>
          </w:p>
          <w:p w14:paraId="039218AE" w14:textId="77777777" w:rsidR="00D02BC8" w:rsidRPr="004F3582" w:rsidRDefault="00D02BC8" w:rsidP="008B6CCB">
            <w:pPr>
              <w:pStyle w:val="EMEABodyText"/>
              <w:widowControl w:val="0"/>
            </w:pPr>
            <w:r>
              <w:rPr>
                <w:smallCaps/>
              </w:rPr>
              <w:t>Bristol-Myers Squibb Polska Sp. z o.o.</w:t>
            </w:r>
          </w:p>
          <w:p w14:paraId="16C98E80" w14:textId="77777777" w:rsidR="00D02BC8" w:rsidRPr="004F3582" w:rsidRDefault="00D02BC8" w:rsidP="008B6CCB">
            <w:pPr>
              <w:pStyle w:val="EMEATableLeft"/>
              <w:keepNext w:val="0"/>
              <w:keepLines w:val="0"/>
              <w:widowControl w:val="0"/>
            </w:pPr>
            <w:r>
              <w:t>Tel.: + 48 22 5796666</w:t>
            </w:r>
          </w:p>
          <w:p w14:paraId="4D6C7C52" w14:textId="77777777" w:rsidR="00D02BC8" w:rsidRPr="004F3582" w:rsidRDefault="00D02BC8" w:rsidP="008B6CCB">
            <w:pPr>
              <w:pStyle w:val="EMEATableLeft"/>
              <w:keepNext w:val="0"/>
              <w:keepLines w:val="0"/>
              <w:widowControl w:val="0"/>
            </w:pPr>
          </w:p>
        </w:tc>
      </w:tr>
      <w:tr w:rsidR="00D02BC8" w:rsidRPr="004F3582" w14:paraId="307B3BA4" w14:textId="77777777">
        <w:trPr>
          <w:cantSplit/>
          <w:trHeight w:val="892"/>
        </w:trPr>
        <w:tc>
          <w:tcPr>
            <w:tcW w:w="4536" w:type="dxa"/>
          </w:tcPr>
          <w:p w14:paraId="160C4FD3" w14:textId="77777777" w:rsidR="00D02BC8" w:rsidRPr="004F3582" w:rsidRDefault="00D02BC8" w:rsidP="008B6CCB">
            <w:pPr>
              <w:pStyle w:val="EMEATableLeft"/>
              <w:keepNext w:val="0"/>
              <w:keepLines w:val="0"/>
              <w:widowControl w:val="0"/>
            </w:pPr>
            <w:r>
              <w:rPr>
                <w:b/>
                <w:bCs/>
              </w:rPr>
              <w:t>France</w:t>
            </w:r>
          </w:p>
          <w:p w14:paraId="715F0F3E" w14:textId="77777777" w:rsidR="00D02BC8" w:rsidRPr="004F3582" w:rsidRDefault="00D02BC8" w:rsidP="008B6CCB">
            <w:r>
              <w:t>Bristol-Myers Squibb SARL</w:t>
            </w:r>
          </w:p>
          <w:p w14:paraId="66D8A333" w14:textId="77777777" w:rsidR="00D02BC8" w:rsidRPr="004F3582" w:rsidRDefault="00D02BC8" w:rsidP="008B6CCB">
            <w:pPr>
              <w:pStyle w:val="EMEATableLeft"/>
              <w:keepNext w:val="0"/>
              <w:keepLines w:val="0"/>
              <w:widowControl w:val="0"/>
            </w:pPr>
            <w:r>
              <w:t>Tél: + 33 (0) 1 58 83 84 96</w:t>
            </w:r>
          </w:p>
          <w:p w14:paraId="1FF9C81A" w14:textId="77777777" w:rsidR="00D02BC8" w:rsidRPr="004F3582" w:rsidRDefault="00D02BC8" w:rsidP="008B6CCB">
            <w:pPr>
              <w:pStyle w:val="EMEABodyText"/>
              <w:widowControl w:val="0"/>
              <w:rPr>
                <w:smallCaps/>
              </w:rPr>
            </w:pPr>
          </w:p>
        </w:tc>
        <w:tc>
          <w:tcPr>
            <w:tcW w:w="4536" w:type="dxa"/>
          </w:tcPr>
          <w:p w14:paraId="4C7E487D" w14:textId="77777777" w:rsidR="00D02BC8" w:rsidRPr="0096648A" w:rsidRDefault="00D02BC8" w:rsidP="008B6CCB">
            <w:pPr>
              <w:pStyle w:val="EMEATableLeft"/>
              <w:keepNext w:val="0"/>
              <w:keepLines w:val="0"/>
              <w:widowControl w:val="0"/>
            </w:pPr>
            <w:r>
              <w:rPr>
                <w:b/>
                <w:bCs/>
              </w:rPr>
              <w:t>Portugal</w:t>
            </w:r>
          </w:p>
          <w:p w14:paraId="23AFC259" w14:textId="77777777" w:rsidR="00D02BC8" w:rsidRPr="0096648A" w:rsidRDefault="00D02BC8" w:rsidP="008B6CCB">
            <w:pPr>
              <w:pStyle w:val="EMEABodyText"/>
              <w:widowControl w:val="0"/>
            </w:pPr>
            <w:r>
              <w:t>Bristol-Myers Squibb Farmacêutica Portuguesa, S.A.</w:t>
            </w:r>
          </w:p>
          <w:p w14:paraId="28BF8921" w14:textId="77777777" w:rsidR="00D02BC8" w:rsidRPr="004F3582" w:rsidRDefault="00D02BC8" w:rsidP="008B6CCB">
            <w:pPr>
              <w:pStyle w:val="EMEATableLeft"/>
              <w:keepNext w:val="0"/>
              <w:keepLines w:val="0"/>
              <w:widowControl w:val="0"/>
            </w:pPr>
            <w:r>
              <w:t>Tel: + 351 21 440 70 00</w:t>
            </w:r>
          </w:p>
          <w:p w14:paraId="56FC84B0" w14:textId="77777777" w:rsidR="00D02BC8" w:rsidRPr="004F3582" w:rsidRDefault="00D02BC8" w:rsidP="008B6CCB">
            <w:pPr>
              <w:pStyle w:val="EMEATableLeft"/>
              <w:keepNext w:val="0"/>
              <w:keepLines w:val="0"/>
              <w:widowControl w:val="0"/>
            </w:pPr>
          </w:p>
        </w:tc>
      </w:tr>
      <w:tr w:rsidR="00D02BC8" w:rsidRPr="004F3582" w14:paraId="5C58AE71" w14:textId="77777777">
        <w:trPr>
          <w:cantSplit/>
          <w:trHeight w:val="892"/>
        </w:trPr>
        <w:tc>
          <w:tcPr>
            <w:tcW w:w="4536" w:type="dxa"/>
          </w:tcPr>
          <w:p w14:paraId="02ABC50B" w14:textId="77777777" w:rsidR="00D02BC8" w:rsidRPr="00D31EBB" w:rsidRDefault="00D02BC8" w:rsidP="008B6CCB">
            <w:pPr>
              <w:pStyle w:val="EMEATableLeft"/>
              <w:keepNext w:val="0"/>
              <w:keepLines w:val="0"/>
              <w:widowControl w:val="0"/>
              <w:rPr>
                <w:smallCaps/>
              </w:rPr>
            </w:pPr>
            <w:r>
              <w:rPr>
                <w:b/>
                <w:bCs/>
              </w:rPr>
              <w:t>Hrvatska</w:t>
            </w:r>
          </w:p>
          <w:p w14:paraId="12B2EEE5" w14:textId="77777777" w:rsidR="00D02BC8" w:rsidRPr="00D31EBB" w:rsidRDefault="00D02BC8" w:rsidP="008B6CCB">
            <w:pPr>
              <w:pStyle w:val="EMEABodyText"/>
              <w:widowControl w:val="0"/>
            </w:pPr>
            <w:r>
              <w:t>Bristol-Myers Squibb spol. s r.o.</w:t>
            </w:r>
          </w:p>
          <w:p w14:paraId="75838DFF" w14:textId="77777777" w:rsidR="00D02BC8" w:rsidRPr="004F3582" w:rsidRDefault="00D02BC8" w:rsidP="008B6CCB">
            <w:pPr>
              <w:pStyle w:val="EMEABodyText"/>
              <w:widowControl w:val="0"/>
              <w:rPr>
                <w:smallCaps/>
              </w:rPr>
            </w:pPr>
            <w:r>
              <w:rPr>
                <w:smallCaps/>
              </w:rPr>
              <w:t>Tel: + 385 1 2078 508</w:t>
            </w:r>
          </w:p>
          <w:p w14:paraId="52EB796E" w14:textId="77777777" w:rsidR="00D02BC8" w:rsidRPr="004F3582" w:rsidRDefault="00D02BC8" w:rsidP="008B6CCB">
            <w:pPr>
              <w:pStyle w:val="EMEATableLeft"/>
              <w:keepNext w:val="0"/>
              <w:keepLines w:val="0"/>
              <w:widowControl w:val="0"/>
              <w:rPr>
                <w:b/>
                <w:bCs/>
              </w:rPr>
            </w:pPr>
          </w:p>
        </w:tc>
        <w:tc>
          <w:tcPr>
            <w:tcW w:w="4536" w:type="dxa"/>
          </w:tcPr>
          <w:p w14:paraId="2E9E4C4D" w14:textId="77777777" w:rsidR="00D02BC8" w:rsidRPr="00D31EBB" w:rsidRDefault="00D02BC8" w:rsidP="008B6CCB">
            <w:pPr>
              <w:pStyle w:val="EMEATableLeft"/>
              <w:keepNext w:val="0"/>
              <w:keepLines w:val="0"/>
              <w:widowControl w:val="0"/>
              <w:rPr>
                <w:b/>
                <w:noProof/>
                <w:szCs w:val="22"/>
              </w:rPr>
            </w:pPr>
            <w:r>
              <w:rPr>
                <w:b/>
                <w:bCs/>
              </w:rPr>
              <w:t>România</w:t>
            </w:r>
          </w:p>
          <w:p w14:paraId="09E1E990" w14:textId="77777777" w:rsidR="00D02BC8" w:rsidRPr="00D31EBB" w:rsidRDefault="00D02BC8" w:rsidP="008B6CCB">
            <w:pPr>
              <w:pStyle w:val="EMEABodyText"/>
              <w:widowControl w:val="0"/>
            </w:pPr>
            <w:r>
              <w:t>Bristol-Myers Squibb Kft.</w:t>
            </w:r>
          </w:p>
          <w:p w14:paraId="3AC9E6A5" w14:textId="77777777" w:rsidR="00D02BC8" w:rsidRPr="004F3582" w:rsidRDefault="00D02BC8" w:rsidP="008B6CCB">
            <w:pPr>
              <w:pStyle w:val="EMEATableLeft"/>
              <w:keepNext w:val="0"/>
              <w:keepLines w:val="0"/>
              <w:widowControl w:val="0"/>
            </w:pPr>
            <w:r>
              <w:t>Tel: + 40 (0)21 272 16 00</w:t>
            </w:r>
          </w:p>
          <w:p w14:paraId="6EA21DA8" w14:textId="77777777" w:rsidR="00D02BC8" w:rsidRPr="004F3582" w:rsidRDefault="00D02BC8" w:rsidP="008B6CCB">
            <w:pPr>
              <w:pStyle w:val="EMEATableLeft"/>
              <w:keepNext w:val="0"/>
              <w:keepLines w:val="0"/>
              <w:widowControl w:val="0"/>
              <w:rPr>
                <w:noProof/>
                <w:szCs w:val="22"/>
              </w:rPr>
            </w:pPr>
          </w:p>
        </w:tc>
      </w:tr>
      <w:tr w:rsidR="00D02BC8" w:rsidRPr="004F3582" w14:paraId="5648C454" w14:textId="77777777">
        <w:trPr>
          <w:cantSplit/>
          <w:trHeight w:val="892"/>
        </w:trPr>
        <w:tc>
          <w:tcPr>
            <w:tcW w:w="4536" w:type="dxa"/>
          </w:tcPr>
          <w:p w14:paraId="5128FAFE" w14:textId="77777777" w:rsidR="00D02BC8" w:rsidRPr="00D31EBB" w:rsidRDefault="00D02BC8" w:rsidP="008B6CCB">
            <w:pPr>
              <w:pStyle w:val="EMEATableLeft"/>
              <w:keepNext w:val="0"/>
              <w:keepLines w:val="0"/>
              <w:widowControl w:val="0"/>
            </w:pPr>
            <w:r>
              <w:rPr>
                <w:b/>
                <w:bCs/>
              </w:rPr>
              <w:t>Ireland</w:t>
            </w:r>
          </w:p>
          <w:p w14:paraId="2C31C93A" w14:textId="77777777" w:rsidR="00D02BC8" w:rsidRPr="00D31EBB" w:rsidRDefault="00D02BC8" w:rsidP="008B6CCB">
            <w:pPr>
              <w:pStyle w:val="EMEABodyText"/>
              <w:widowControl w:val="0"/>
            </w:pPr>
            <w:r>
              <w:t>Bristol-Myers Squibb Pharmaceuticals uc</w:t>
            </w:r>
          </w:p>
          <w:p w14:paraId="0D017F94" w14:textId="77777777" w:rsidR="00D02BC8" w:rsidRPr="004F3582" w:rsidRDefault="00D02BC8" w:rsidP="008B6CCB">
            <w:pPr>
              <w:pStyle w:val="EMEATableLeft"/>
              <w:keepNext w:val="0"/>
              <w:keepLines w:val="0"/>
              <w:widowControl w:val="0"/>
            </w:pPr>
            <w:r>
              <w:t>Tel: + 353 (0)1 483 3625</w:t>
            </w:r>
          </w:p>
          <w:p w14:paraId="0D880B83" w14:textId="77777777" w:rsidR="00D02BC8" w:rsidRPr="004F3582" w:rsidRDefault="00D02BC8" w:rsidP="008B6CCB">
            <w:pPr>
              <w:pStyle w:val="EMEATableLeft"/>
              <w:keepNext w:val="0"/>
              <w:keepLines w:val="0"/>
              <w:widowControl w:val="0"/>
            </w:pPr>
          </w:p>
        </w:tc>
        <w:tc>
          <w:tcPr>
            <w:tcW w:w="4536" w:type="dxa"/>
          </w:tcPr>
          <w:p w14:paraId="372E63A7" w14:textId="77777777" w:rsidR="00D02BC8" w:rsidRPr="00D31EBB" w:rsidRDefault="00D02BC8" w:rsidP="008B6CCB">
            <w:pPr>
              <w:pStyle w:val="EMEATableLeft"/>
              <w:keepNext w:val="0"/>
              <w:keepLines w:val="0"/>
              <w:widowControl w:val="0"/>
            </w:pPr>
            <w:r>
              <w:rPr>
                <w:b/>
                <w:bCs/>
              </w:rPr>
              <w:t>Slovenija</w:t>
            </w:r>
          </w:p>
          <w:p w14:paraId="09B1C6F4" w14:textId="77777777" w:rsidR="00D02BC8" w:rsidRPr="00D31EBB" w:rsidRDefault="00D02BC8" w:rsidP="008B6CCB">
            <w:pPr>
              <w:pStyle w:val="EMEABodyText"/>
              <w:widowControl w:val="0"/>
            </w:pPr>
            <w:r>
              <w:t>Bristol-Myers Squibb spol. s r.o.</w:t>
            </w:r>
          </w:p>
          <w:p w14:paraId="042A247C" w14:textId="77777777" w:rsidR="00D02BC8" w:rsidRPr="004F3582" w:rsidRDefault="00D02BC8" w:rsidP="008B6CCB">
            <w:pPr>
              <w:pStyle w:val="EMEATableLeft"/>
              <w:keepNext w:val="0"/>
              <w:keepLines w:val="0"/>
              <w:widowControl w:val="0"/>
              <w:rPr>
                <w:iCs/>
              </w:rPr>
            </w:pPr>
            <w:r>
              <w:t>Tel: + 386 1 2355 100</w:t>
            </w:r>
          </w:p>
          <w:p w14:paraId="5FC6521B" w14:textId="77777777" w:rsidR="00D02BC8" w:rsidRPr="004F3582" w:rsidRDefault="00D02BC8" w:rsidP="008B6CCB">
            <w:pPr>
              <w:pStyle w:val="EMEATableLeft"/>
              <w:keepNext w:val="0"/>
              <w:keepLines w:val="0"/>
              <w:widowControl w:val="0"/>
            </w:pPr>
          </w:p>
        </w:tc>
      </w:tr>
      <w:tr w:rsidR="00D02BC8" w:rsidRPr="004F3582" w14:paraId="6621F350" w14:textId="77777777">
        <w:trPr>
          <w:cantSplit/>
          <w:trHeight w:val="904"/>
        </w:trPr>
        <w:tc>
          <w:tcPr>
            <w:tcW w:w="4536" w:type="dxa"/>
          </w:tcPr>
          <w:p w14:paraId="40A0A148" w14:textId="77777777" w:rsidR="00D02BC8" w:rsidRPr="00D31EBB" w:rsidRDefault="00D02BC8" w:rsidP="008B6CCB">
            <w:pPr>
              <w:pStyle w:val="EMEATableLeft"/>
              <w:keepNext w:val="0"/>
              <w:keepLines w:val="0"/>
              <w:widowControl w:val="0"/>
            </w:pPr>
            <w:r>
              <w:rPr>
                <w:b/>
                <w:bCs/>
              </w:rPr>
              <w:t>Ísland</w:t>
            </w:r>
          </w:p>
          <w:p w14:paraId="6D582E08" w14:textId="77777777" w:rsidR="00D02BC8" w:rsidRPr="00D31EBB" w:rsidRDefault="009E242A" w:rsidP="008B6CCB">
            <w:pPr>
              <w:pStyle w:val="EMEATableLeft"/>
              <w:keepNext w:val="0"/>
              <w:keepLines w:val="0"/>
              <w:widowControl w:val="0"/>
              <w:rPr>
                <w:szCs w:val="22"/>
              </w:rPr>
            </w:pPr>
            <w:r>
              <w:t>Bristol-Myers Squibb AB hjá Vistor hf.</w:t>
            </w:r>
          </w:p>
          <w:p w14:paraId="6AEAD1CE" w14:textId="77777777" w:rsidR="00D02BC8" w:rsidRPr="004F3582" w:rsidRDefault="00D02BC8" w:rsidP="008B6CCB">
            <w:pPr>
              <w:pStyle w:val="EMEATableLeft"/>
              <w:keepNext w:val="0"/>
              <w:keepLines w:val="0"/>
              <w:widowControl w:val="0"/>
            </w:pPr>
            <w:r>
              <w:t>Sími: + 354 535 7000</w:t>
            </w:r>
          </w:p>
          <w:p w14:paraId="4D7FB110" w14:textId="77777777" w:rsidR="00D02BC8" w:rsidRPr="004F3582" w:rsidRDefault="00D02BC8" w:rsidP="008B6CCB">
            <w:pPr>
              <w:pStyle w:val="EMEATableLeft"/>
              <w:keepNext w:val="0"/>
              <w:keepLines w:val="0"/>
              <w:widowControl w:val="0"/>
            </w:pPr>
          </w:p>
        </w:tc>
        <w:tc>
          <w:tcPr>
            <w:tcW w:w="4536" w:type="dxa"/>
          </w:tcPr>
          <w:p w14:paraId="36B89BF0" w14:textId="77777777" w:rsidR="00D02BC8" w:rsidRPr="00D31EBB" w:rsidRDefault="00D02BC8" w:rsidP="008B6CCB">
            <w:pPr>
              <w:pStyle w:val="EMEATableLeft"/>
              <w:keepNext w:val="0"/>
              <w:keepLines w:val="0"/>
              <w:widowControl w:val="0"/>
            </w:pPr>
            <w:r>
              <w:rPr>
                <w:b/>
                <w:bCs/>
              </w:rPr>
              <w:t>Slovenská republika</w:t>
            </w:r>
          </w:p>
          <w:p w14:paraId="634319F5" w14:textId="77777777" w:rsidR="00D02BC8" w:rsidRPr="00D31EBB" w:rsidRDefault="00D02BC8" w:rsidP="008B6CCB">
            <w:pPr>
              <w:pStyle w:val="EMEABodyText"/>
              <w:widowControl w:val="0"/>
            </w:pPr>
            <w:r>
              <w:t>Bristol-Myers Squibb spol. s r.o.</w:t>
            </w:r>
          </w:p>
          <w:p w14:paraId="2047A8B1" w14:textId="77777777" w:rsidR="00D02BC8" w:rsidRPr="004F3582" w:rsidRDefault="00D02BC8" w:rsidP="008B6CCB">
            <w:pPr>
              <w:pStyle w:val="EMEATableLeft"/>
              <w:keepNext w:val="0"/>
              <w:keepLines w:val="0"/>
              <w:widowControl w:val="0"/>
            </w:pPr>
            <w:r>
              <w:t>Tel: + 421 2 59298411</w:t>
            </w:r>
          </w:p>
          <w:p w14:paraId="781F5C39" w14:textId="77777777" w:rsidR="00D02BC8" w:rsidRPr="004F3582" w:rsidRDefault="00D02BC8" w:rsidP="008B6CCB">
            <w:pPr>
              <w:pStyle w:val="EMEATableLeft"/>
              <w:keepNext w:val="0"/>
              <w:keepLines w:val="0"/>
              <w:widowControl w:val="0"/>
            </w:pPr>
          </w:p>
        </w:tc>
      </w:tr>
      <w:tr w:rsidR="00D02BC8" w:rsidRPr="004F3582" w14:paraId="4237CB6C" w14:textId="77777777">
        <w:trPr>
          <w:cantSplit/>
          <w:trHeight w:val="892"/>
        </w:trPr>
        <w:tc>
          <w:tcPr>
            <w:tcW w:w="4536" w:type="dxa"/>
          </w:tcPr>
          <w:p w14:paraId="3F802099" w14:textId="77777777" w:rsidR="00D02BC8" w:rsidRPr="00D31EBB" w:rsidRDefault="00D02BC8" w:rsidP="008B6CCB">
            <w:pPr>
              <w:pStyle w:val="EMEATableLeft"/>
              <w:keepNext w:val="0"/>
              <w:keepLines w:val="0"/>
              <w:widowControl w:val="0"/>
            </w:pPr>
            <w:r>
              <w:rPr>
                <w:b/>
                <w:bCs/>
              </w:rPr>
              <w:t>Italia</w:t>
            </w:r>
          </w:p>
          <w:p w14:paraId="316F73EF" w14:textId="77777777" w:rsidR="00D02BC8" w:rsidRPr="00D31EBB" w:rsidRDefault="00D02BC8" w:rsidP="008B6CCB">
            <w:pPr>
              <w:pStyle w:val="EMEABodyText"/>
              <w:widowControl w:val="0"/>
              <w:rPr>
                <w:smallCaps/>
              </w:rPr>
            </w:pPr>
            <w:r>
              <w:rPr>
                <w:smallCaps/>
              </w:rPr>
              <w:t>Bristol-Myers Squibb S.r.l.</w:t>
            </w:r>
          </w:p>
          <w:p w14:paraId="1BBF7650" w14:textId="77777777" w:rsidR="00D02BC8" w:rsidRPr="004F3582" w:rsidRDefault="00D02BC8" w:rsidP="008B6CCB">
            <w:pPr>
              <w:pStyle w:val="EMEATableLeft"/>
              <w:keepNext w:val="0"/>
              <w:keepLines w:val="0"/>
              <w:widowControl w:val="0"/>
            </w:pPr>
            <w:r>
              <w:t>Tel: + 39 06 50 39 61</w:t>
            </w:r>
          </w:p>
          <w:p w14:paraId="1B2A906A" w14:textId="77777777" w:rsidR="00D02BC8" w:rsidRPr="004F3582" w:rsidRDefault="00D02BC8" w:rsidP="008B6CCB">
            <w:pPr>
              <w:pStyle w:val="EMEATableLeft"/>
              <w:keepNext w:val="0"/>
              <w:keepLines w:val="0"/>
              <w:widowControl w:val="0"/>
            </w:pPr>
          </w:p>
        </w:tc>
        <w:tc>
          <w:tcPr>
            <w:tcW w:w="4536" w:type="dxa"/>
          </w:tcPr>
          <w:p w14:paraId="4AF2F292" w14:textId="77777777" w:rsidR="00D02BC8" w:rsidRPr="004F3582" w:rsidRDefault="00D02BC8" w:rsidP="008B6CCB">
            <w:pPr>
              <w:pStyle w:val="EMEATableLeft"/>
              <w:keepNext w:val="0"/>
              <w:keepLines w:val="0"/>
              <w:widowControl w:val="0"/>
            </w:pPr>
            <w:r>
              <w:rPr>
                <w:b/>
                <w:bCs/>
              </w:rPr>
              <w:t>Suomi/Finland</w:t>
            </w:r>
          </w:p>
          <w:p w14:paraId="6550B07D" w14:textId="77777777" w:rsidR="00D02BC8" w:rsidRPr="004F3582" w:rsidRDefault="00D02BC8" w:rsidP="008B6CCB">
            <w:pPr>
              <w:pStyle w:val="EMEABodyText"/>
              <w:widowControl w:val="0"/>
            </w:pPr>
            <w:r>
              <w:t>Oy Bristol-Myers Squibb (Finland) Ab</w:t>
            </w:r>
          </w:p>
          <w:p w14:paraId="638FA95D" w14:textId="77777777" w:rsidR="00D02BC8" w:rsidRPr="004F3582" w:rsidRDefault="00D02BC8" w:rsidP="008B6CCB">
            <w:pPr>
              <w:pStyle w:val="EMEATableLeft"/>
              <w:keepNext w:val="0"/>
              <w:keepLines w:val="0"/>
              <w:widowControl w:val="0"/>
            </w:pPr>
            <w:r>
              <w:t>Puh/Tel: + 358 9 251 21 230</w:t>
            </w:r>
          </w:p>
          <w:p w14:paraId="19613B97" w14:textId="77777777" w:rsidR="00D02BC8" w:rsidRPr="004F3582" w:rsidRDefault="00D02BC8" w:rsidP="008B6CCB">
            <w:pPr>
              <w:pStyle w:val="EMEATableLeft"/>
              <w:keepNext w:val="0"/>
              <w:keepLines w:val="0"/>
              <w:widowControl w:val="0"/>
            </w:pPr>
          </w:p>
        </w:tc>
      </w:tr>
      <w:tr w:rsidR="00D02BC8" w:rsidRPr="00965E20" w14:paraId="7E1BEAEB" w14:textId="77777777">
        <w:trPr>
          <w:cantSplit/>
          <w:trHeight w:val="772"/>
        </w:trPr>
        <w:tc>
          <w:tcPr>
            <w:tcW w:w="4536" w:type="dxa"/>
          </w:tcPr>
          <w:p w14:paraId="7183D795" w14:textId="77777777" w:rsidR="00D02BC8" w:rsidRPr="00D31EBB" w:rsidRDefault="00D02BC8" w:rsidP="008B6CCB">
            <w:pPr>
              <w:pStyle w:val="EMEATableLeft"/>
              <w:keepNext w:val="0"/>
              <w:keepLines w:val="0"/>
              <w:widowControl w:val="0"/>
            </w:pPr>
            <w:r>
              <w:rPr>
                <w:b/>
                <w:bCs/>
              </w:rPr>
              <w:t>Κύπρος</w:t>
            </w:r>
          </w:p>
          <w:p w14:paraId="69F257CD" w14:textId="77777777" w:rsidR="00D02BC8" w:rsidRPr="00D31EBB" w:rsidRDefault="00D02BC8" w:rsidP="008B6CCB">
            <w:pPr>
              <w:pStyle w:val="EMEABodyText"/>
              <w:widowControl w:val="0"/>
            </w:pPr>
            <w:r>
              <w:rPr>
                <w:smallCaps/>
              </w:rPr>
              <w:t>Bristol-Myers Squibb A.E.</w:t>
            </w:r>
          </w:p>
          <w:p w14:paraId="111F4A3D" w14:textId="77777777" w:rsidR="00D02BC8" w:rsidRPr="004F3582" w:rsidRDefault="00D02BC8" w:rsidP="008B6CCB">
            <w:pPr>
              <w:pStyle w:val="EMEATableLeft"/>
              <w:keepNext w:val="0"/>
              <w:keepLines w:val="0"/>
              <w:widowControl w:val="0"/>
            </w:pPr>
            <w:r>
              <w:t>Τηλ: + 357 800 92666</w:t>
            </w:r>
          </w:p>
          <w:p w14:paraId="786FB5D0" w14:textId="77777777" w:rsidR="00D02BC8" w:rsidRPr="004F3582" w:rsidRDefault="00D02BC8" w:rsidP="008B6CCB">
            <w:pPr>
              <w:pStyle w:val="EMEATableLeft"/>
              <w:keepNext w:val="0"/>
              <w:keepLines w:val="0"/>
              <w:widowControl w:val="0"/>
            </w:pPr>
          </w:p>
        </w:tc>
        <w:tc>
          <w:tcPr>
            <w:tcW w:w="4536" w:type="dxa"/>
          </w:tcPr>
          <w:p w14:paraId="709EDA7B" w14:textId="77777777" w:rsidR="00D02BC8" w:rsidRPr="00D31EBB" w:rsidRDefault="00D02BC8" w:rsidP="008B6CCB">
            <w:pPr>
              <w:pStyle w:val="EMEATableLeft"/>
              <w:keepNext w:val="0"/>
              <w:keepLines w:val="0"/>
              <w:widowControl w:val="0"/>
            </w:pPr>
            <w:r>
              <w:rPr>
                <w:b/>
                <w:bCs/>
              </w:rPr>
              <w:t>Sverige</w:t>
            </w:r>
          </w:p>
          <w:p w14:paraId="19308C82" w14:textId="77777777" w:rsidR="00D02BC8" w:rsidRPr="00D31EBB" w:rsidRDefault="00D02BC8" w:rsidP="008B6CCB">
            <w:pPr>
              <w:pStyle w:val="EMEABodyText"/>
              <w:widowControl w:val="0"/>
            </w:pPr>
            <w:r>
              <w:t>Bristol-Myers Squibb AB</w:t>
            </w:r>
          </w:p>
          <w:p w14:paraId="768B1963" w14:textId="77777777" w:rsidR="00D02BC8" w:rsidRPr="00D31EBB" w:rsidRDefault="00D02BC8" w:rsidP="008B6CCB">
            <w:pPr>
              <w:pStyle w:val="EMEATableLeft"/>
              <w:keepNext w:val="0"/>
              <w:keepLines w:val="0"/>
              <w:widowControl w:val="0"/>
            </w:pPr>
            <w:r>
              <w:t>Tel: + 46 8 704 71 00</w:t>
            </w:r>
          </w:p>
          <w:p w14:paraId="5159D3B7" w14:textId="77777777" w:rsidR="00D02BC8" w:rsidRPr="00D31EBB" w:rsidRDefault="00D02BC8" w:rsidP="008B6CCB">
            <w:pPr>
              <w:pStyle w:val="EMEATableLeft"/>
              <w:keepNext w:val="0"/>
              <w:keepLines w:val="0"/>
              <w:widowControl w:val="0"/>
              <w:rPr>
                <w:lang w:val="en-US"/>
              </w:rPr>
            </w:pPr>
          </w:p>
        </w:tc>
      </w:tr>
      <w:tr w:rsidR="00D02BC8" w:rsidRPr="004F3582" w14:paraId="635B7016" w14:textId="77777777">
        <w:trPr>
          <w:cantSplit/>
          <w:trHeight w:val="1219"/>
        </w:trPr>
        <w:tc>
          <w:tcPr>
            <w:tcW w:w="4536" w:type="dxa"/>
          </w:tcPr>
          <w:p w14:paraId="1010389A" w14:textId="77777777" w:rsidR="00D02BC8" w:rsidRPr="00D31EBB" w:rsidRDefault="00D02BC8" w:rsidP="00944494">
            <w:pPr>
              <w:pStyle w:val="EMEATableLeft"/>
              <w:keepNext w:val="0"/>
              <w:keepLines w:val="0"/>
              <w:widowControl w:val="0"/>
              <w:tabs>
                <w:tab w:val="left" w:pos="2850"/>
              </w:tabs>
            </w:pPr>
            <w:r>
              <w:rPr>
                <w:b/>
                <w:bCs/>
              </w:rPr>
              <w:t>Latvija</w:t>
            </w:r>
            <w:r>
              <w:rPr>
                <w:b/>
                <w:bCs/>
              </w:rPr>
              <w:tab/>
            </w:r>
          </w:p>
          <w:p w14:paraId="59582FE7" w14:textId="77777777" w:rsidR="00D02BC8" w:rsidRPr="00D31EBB" w:rsidRDefault="00D02BC8" w:rsidP="008B6CCB">
            <w:pPr>
              <w:pStyle w:val="EMEABodyText"/>
              <w:widowControl w:val="0"/>
            </w:pPr>
            <w:r>
              <w:t>Bristol-Myers Squibb Kft.</w:t>
            </w:r>
          </w:p>
          <w:p w14:paraId="2732A775" w14:textId="77777777" w:rsidR="00D02BC8" w:rsidRPr="004F3582" w:rsidRDefault="00D02BC8" w:rsidP="008B6CCB">
            <w:pPr>
              <w:pStyle w:val="EMEATableLeft"/>
              <w:keepNext w:val="0"/>
              <w:keepLines w:val="0"/>
              <w:widowControl w:val="0"/>
            </w:pPr>
            <w:r>
              <w:t>Tel: + 371 67708347</w:t>
            </w:r>
          </w:p>
          <w:p w14:paraId="5D4EF49D" w14:textId="77777777" w:rsidR="00D02BC8" w:rsidRPr="004F3582" w:rsidRDefault="00D02BC8" w:rsidP="008B6CCB">
            <w:pPr>
              <w:pStyle w:val="EMEATableLeft"/>
              <w:keepNext w:val="0"/>
              <w:keepLines w:val="0"/>
              <w:widowControl w:val="0"/>
            </w:pPr>
          </w:p>
        </w:tc>
        <w:tc>
          <w:tcPr>
            <w:tcW w:w="4536" w:type="dxa"/>
          </w:tcPr>
          <w:p w14:paraId="390B2552" w14:textId="77777777" w:rsidR="00D02BC8" w:rsidRPr="00D31EBB" w:rsidRDefault="00D02BC8" w:rsidP="008B6CCB">
            <w:pPr>
              <w:pStyle w:val="EMEATableLeft"/>
              <w:keepNext w:val="0"/>
              <w:keepLines w:val="0"/>
              <w:widowControl w:val="0"/>
            </w:pPr>
            <w:r>
              <w:rPr>
                <w:b/>
                <w:bCs/>
              </w:rPr>
              <w:t>United Kingdom</w:t>
            </w:r>
          </w:p>
          <w:p w14:paraId="7BA37F0C" w14:textId="77777777" w:rsidR="00D02BC8" w:rsidRPr="00D31EBB" w:rsidRDefault="00D02BC8" w:rsidP="008B6CCB">
            <w:pPr>
              <w:pStyle w:val="EMEABodyText"/>
              <w:widowControl w:val="0"/>
            </w:pPr>
            <w:r>
              <w:t>Bristol-Myers Squibb Pharmaceuticals Ltd</w:t>
            </w:r>
          </w:p>
          <w:p w14:paraId="4A4DDB68" w14:textId="77777777" w:rsidR="00D02BC8" w:rsidRPr="004F3582" w:rsidRDefault="00D02BC8" w:rsidP="008B6CCB">
            <w:pPr>
              <w:pStyle w:val="EMEATableLeft"/>
              <w:keepNext w:val="0"/>
              <w:keepLines w:val="0"/>
              <w:widowControl w:val="0"/>
            </w:pPr>
            <w:r>
              <w:t>Tel: + 44 (0800) 731 1736</w:t>
            </w:r>
          </w:p>
          <w:p w14:paraId="27E6FBED" w14:textId="77777777" w:rsidR="00D02BC8" w:rsidRPr="004F3582" w:rsidRDefault="00D02BC8" w:rsidP="008B6CCB">
            <w:pPr>
              <w:pStyle w:val="EMEATableLeft"/>
              <w:keepNext w:val="0"/>
              <w:keepLines w:val="0"/>
              <w:widowControl w:val="0"/>
            </w:pPr>
          </w:p>
        </w:tc>
      </w:tr>
    </w:tbl>
    <w:p w14:paraId="45E7F6A6" w14:textId="77777777" w:rsidR="00D02BC8" w:rsidRPr="00D31EBB" w:rsidRDefault="00D02BC8" w:rsidP="008B6CCB">
      <w:pPr>
        <w:pStyle w:val="EMEABodyText"/>
      </w:pPr>
      <w:r>
        <w:rPr>
          <w:b/>
        </w:rPr>
        <w:t>This leaflet was last revised in</w:t>
      </w:r>
    </w:p>
    <w:p w14:paraId="6EEE2567" w14:textId="77777777" w:rsidR="00D02BC8" w:rsidRPr="00D31EBB" w:rsidRDefault="00D02BC8" w:rsidP="008B6CCB">
      <w:pPr>
        <w:pStyle w:val="EMEABodyText"/>
        <w:rPr>
          <w:rFonts w:eastAsia="MS Mincho"/>
          <w:lang w:val="en-US"/>
        </w:rPr>
      </w:pPr>
    </w:p>
    <w:p w14:paraId="411DDE39" w14:textId="77777777" w:rsidR="00D02BC8" w:rsidRPr="00D31EBB" w:rsidRDefault="00D02BC8" w:rsidP="008B6CCB">
      <w:pPr>
        <w:pStyle w:val="EMEABodyText"/>
        <w:rPr>
          <w:b/>
          <w:bCs/>
          <w:szCs w:val="22"/>
        </w:rPr>
      </w:pPr>
      <w:r>
        <w:rPr>
          <w:b/>
          <w:bCs/>
          <w:szCs w:val="22"/>
        </w:rPr>
        <w:t>Other sources of information</w:t>
      </w:r>
    </w:p>
    <w:p w14:paraId="31E309A6" w14:textId="77777777" w:rsidR="00D02BC8" w:rsidRPr="00D31EBB" w:rsidRDefault="00D02BC8" w:rsidP="008B6CCB">
      <w:pPr>
        <w:pStyle w:val="EMEABodyText"/>
        <w:rPr>
          <w:iCs/>
          <w:noProof/>
          <w:lang w:val="en-US"/>
        </w:rPr>
      </w:pPr>
    </w:p>
    <w:p w14:paraId="6DF5F015" w14:textId="77777777" w:rsidR="00D02BC8" w:rsidRPr="00D31EBB" w:rsidRDefault="00D02BC8" w:rsidP="008B6CCB">
      <w:pPr>
        <w:pStyle w:val="EMEABodyText"/>
        <w:rPr>
          <w:rFonts w:eastAsia="MS Mincho"/>
        </w:rPr>
      </w:pPr>
      <w:r>
        <w:t>Detailed information on this medicine is available on the European Medicines Agency web site: http://www.ema.europa.eu/.</w:t>
      </w:r>
    </w:p>
    <w:p w14:paraId="0F083A1C" w14:textId="77777777" w:rsidR="00D02BC8" w:rsidRPr="00D31EBB" w:rsidRDefault="00D02BC8" w:rsidP="008B6CCB">
      <w:pPr>
        <w:pStyle w:val="EMEATitle"/>
        <w:rPr>
          <w:noProof/>
        </w:rPr>
      </w:pPr>
      <w:r>
        <w:br w:type="page"/>
        <w:t>Package leaflet: Information for the user</w:t>
      </w:r>
    </w:p>
    <w:p w14:paraId="49AA0DFA" w14:textId="77777777" w:rsidR="00D02BC8" w:rsidRPr="00D31EBB" w:rsidRDefault="00D02BC8" w:rsidP="008B6CCB">
      <w:pPr>
        <w:pStyle w:val="EMEATitle"/>
        <w:rPr>
          <w:noProof/>
          <w:lang w:val="en-US"/>
        </w:rPr>
      </w:pPr>
    </w:p>
    <w:p w14:paraId="1BE70671" w14:textId="77777777" w:rsidR="00D02BC8" w:rsidRPr="00D31EBB" w:rsidRDefault="00D02BC8" w:rsidP="008B6CCB">
      <w:pPr>
        <w:pStyle w:val="EMEABodyText"/>
        <w:jc w:val="center"/>
        <w:rPr>
          <w:b/>
        </w:rPr>
      </w:pPr>
      <w:r>
        <w:rPr>
          <w:b/>
        </w:rPr>
        <w:t>REYATAZ 300 mg hard capsules</w:t>
      </w:r>
    </w:p>
    <w:p w14:paraId="08EECFA2" w14:textId="77777777" w:rsidR="00D02BC8" w:rsidRPr="00D31EBB" w:rsidRDefault="00D02BC8" w:rsidP="008B6CCB">
      <w:pPr>
        <w:pStyle w:val="EMEABodyText"/>
        <w:jc w:val="center"/>
      </w:pPr>
      <w:r>
        <w:t>atazanavir</w:t>
      </w:r>
    </w:p>
    <w:p w14:paraId="4CA01E44" w14:textId="77777777" w:rsidR="00D02BC8" w:rsidRPr="00D31EBB" w:rsidRDefault="00D02BC8" w:rsidP="008B6CCB">
      <w:pPr>
        <w:pStyle w:val="EMEABodyText"/>
        <w:jc w:val="center"/>
        <w:rPr>
          <w:b/>
          <w:noProof/>
          <w:lang w:val="en-US"/>
        </w:rPr>
      </w:pPr>
    </w:p>
    <w:p w14:paraId="35B5FB2F" w14:textId="77777777" w:rsidR="00D02BC8" w:rsidRPr="00D31EBB" w:rsidRDefault="00D02BC8" w:rsidP="008B6CCB">
      <w:pPr>
        <w:pStyle w:val="EMEABodyText"/>
        <w:rPr>
          <w:b/>
          <w:noProof/>
        </w:rPr>
      </w:pPr>
      <w:r>
        <w:rPr>
          <w:b/>
        </w:rPr>
        <w:t>Read all of this leaflet carefully before you start taking this medicine because it contains important information for you.</w:t>
      </w:r>
    </w:p>
    <w:p w14:paraId="217203CE" w14:textId="77777777" w:rsidR="00D02BC8" w:rsidRPr="00D31EBB" w:rsidRDefault="00D02BC8" w:rsidP="008C48D0">
      <w:pPr>
        <w:pStyle w:val="EMEABodyTextIndent"/>
        <w:ind w:left="567" w:hanging="567"/>
      </w:pPr>
      <w:r>
        <w:t>Keep this leaflet. You may need to read it again.</w:t>
      </w:r>
    </w:p>
    <w:p w14:paraId="2E08C57C" w14:textId="77777777" w:rsidR="00D02BC8" w:rsidRPr="00D31EBB" w:rsidRDefault="00D02BC8" w:rsidP="008C48D0">
      <w:pPr>
        <w:pStyle w:val="EMEABodyTextIndent"/>
        <w:ind w:left="567" w:hanging="567"/>
      </w:pPr>
      <w:r>
        <w:t>If you have any further questions, ask your doctor or pharmacist.</w:t>
      </w:r>
    </w:p>
    <w:p w14:paraId="218D031C" w14:textId="77777777" w:rsidR="00D02BC8" w:rsidRPr="00D31EBB" w:rsidRDefault="00D02BC8" w:rsidP="008C48D0">
      <w:pPr>
        <w:pStyle w:val="EMEABodyTextIndent"/>
        <w:ind w:left="567" w:hanging="567"/>
      </w:pPr>
      <w:r>
        <w:t>This medicine has been prescribed for you only. Do not pass it on to others.</w:t>
      </w:r>
      <w:r>
        <w:br/>
        <w:t>It may harm them, even if their signs of illness are the same as yours.</w:t>
      </w:r>
    </w:p>
    <w:p w14:paraId="39BD1394" w14:textId="77777777" w:rsidR="00D02BC8" w:rsidRPr="004F3582" w:rsidRDefault="00D02BC8" w:rsidP="008C48D0">
      <w:pPr>
        <w:pStyle w:val="EMEABodyTextIndent"/>
        <w:ind w:left="567" w:hanging="567"/>
        <w:rPr>
          <w:noProof/>
        </w:rPr>
      </w:pPr>
      <w:r>
        <w:t>If you get any side effects talk to your doctor, or pharmacist. This includes any possible side effects not listed in this leaflet. See section 4.</w:t>
      </w:r>
    </w:p>
    <w:p w14:paraId="25A4D668" w14:textId="77777777" w:rsidR="00D02BC8" w:rsidRPr="004F3582" w:rsidRDefault="00D02BC8" w:rsidP="008B6CCB">
      <w:pPr>
        <w:pStyle w:val="EMEABodyText"/>
        <w:rPr>
          <w:b/>
          <w:noProof/>
        </w:rPr>
      </w:pPr>
    </w:p>
    <w:p w14:paraId="3FC20BC1" w14:textId="77777777" w:rsidR="00D02BC8" w:rsidRPr="004F3582" w:rsidRDefault="00D02BC8" w:rsidP="008B6CCB">
      <w:pPr>
        <w:pStyle w:val="EMEABodyText"/>
      </w:pPr>
      <w:r>
        <w:rPr>
          <w:b/>
        </w:rPr>
        <w:t>What is in this leaflet</w:t>
      </w:r>
    </w:p>
    <w:p w14:paraId="1249B8E4" w14:textId="77777777" w:rsidR="00D02BC8" w:rsidRPr="004F3582" w:rsidRDefault="00D02BC8" w:rsidP="008B6CCB">
      <w:pPr>
        <w:pStyle w:val="EMEABodyText"/>
      </w:pPr>
    </w:p>
    <w:p w14:paraId="3146CB23" w14:textId="77777777" w:rsidR="00D02BC8" w:rsidRPr="00D31EBB" w:rsidRDefault="00D02BC8" w:rsidP="008B6CCB">
      <w:pPr>
        <w:pStyle w:val="EMEABodyText"/>
      </w:pPr>
      <w:r>
        <w:t>1.</w:t>
      </w:r>
      <w:r>
        <w:tab/>
        <w:t>What REYATAZ is and what it is used for</w:t>
      </w:r>
    </w:p>
    <w:p w14:paraId="03EBBC0F" w14:textId="77777777" w:rsidR="00D02BC8" w:rsidRPr="00D31EBB" w:rsidRDefault="00D02BC8" w:rsidP="008B6CCB">
      <w:pPr>
        <w:pStyle w:val="EMEABodyText"/>
      </w:pPr>
      <w:r>
        <w:t>2.</w:t>
      </w:r>
      <w:r>
        <w:tab/>
        <w:t>What you need to know before you take REYATAZ</w:t>
      </w:r>
    </w:p>
    <w:p w14:paraId="059A43B9" w14:textId="77777777" w:rsidR="00D02BC8" w:rsidRPr="00D31EBB" w:rsidRDefault="00D02BC8" w:rsidP="008B6CCB">
      <w:pPr>
        <w:pStyle w:val="EMEABodyText"/>
      </w:pPr>
      <w:r>
        <w:t>3.</w:t>
      </w:r>
      <w:r>
        <w:tab/>
        <w:t>How to take REYATAZ</w:t>
      </w:r>
    </w:p>
    <w:p w14:paraId="0A24D37F" w14:textId="77777777" w:rsidR="00D02BC8" w:rsidRPr="00D31EBB" w:rsidRDefault="00D02BC8" w:rsidP="008B6CCB">
      <w:pPr>
        <w:pStyle w:val="EMEABodyText"/>
      </w:pPr>
      <w:r>
        <w:t>4.</w:t>
      </w:r>
      <w:r>
        <w:tab/>
        <w:t xml:space="preserve">Possible side effects </w:t>
      </w:r>
    </w:p>
    <w:p w14:paraId="41D266F5" w14:textId="77777777" w:rsidR="00D02BC8" w:rsidRPr="00D31EBB" w:rsidRDefault="00D02BC8" w:rsidP="008B6CCB">
      <w:pPr>
        <w:pStyle w:val="EMEABodyText"/>
      </w:pPr>
      <w:r>
        <w:t>5.</w:t>
      </w:r>
      <w:r>
        <w:tab/>
        <w:t>How to store REYATAZ</w:t>
      </w:r>
    </w:p>
    <w:p w14:paraId="3FC4AB35" w14:textId="77777777" w:rsidR="00D02BC8" w:rsidRPr="00D31EBB" w:rsidRDefault="00D02BC8" w:rsidP="008B6CCB">
      <w:pPr>
        <w:pStyle w:val="EMEABodyText"/>
      </w:pPr>
      <w:r>
        <w:t>6.</w:t>
      </w:r>
      <w:r>
        <w:tab/>
        <w:t>Contents of the pack and other information</w:t>
      </w:r>
    </w:p>
    <w:p w14:paraId="76E8E0CC" w14:textId="77777777" w:rsidR="00D02BC8" w:rsidRPr="00D31EBB" w:rsidRDefault="00D02BC8" w:rsidP="008B6CCB">
      <w:pPr>
        <w:pStyle w:val="EMEABodyText"/>
        <w:rPr>
          <w:b/>
          <w:noProof/>
          <w:lang w:val="en-US"/>
        </w:rPr>
      </w:pPr>
    </w:p>
    <w:p w14:paraId="5F04FC6D" w14:textId="77777777" w:rsidR="00D02BC8" w:rsidRPr="00D31EBB" w:rsidRDefault="00D02BC8" w:rsidP="008B6CCB">
      <w:pPr>
        <w:pStyle w:val="EMEABodyText"/>
        <w:rPr>
          <w:noProof/>
          <w:lang w:val="en-US"/>
        </w:rPr>
      </w:pPr>
    </w:p>
    <w:p w14:paraId="5D54C76C" w14:textId="77777777" w:rsidR="00D02BC8" w:rsidRPr="00D31EBB" w:rsidRDefault="00D02BC8" w:rsidP="00222DF5">
      <w:pPr>
        <w:pStyle w:val="EMEAHeading1"/>
      </w:pPr>
      <w:r>
        <w:t>1.</w:t>
      </w:r>
      <w:r>
        <w:tab/>
      </w:r>
      <w:r>
        <w:rPr>
          <w:caps w:val="0"/>
        </w:rPr>
        <w:t>What REYATAZ is and What it is used for</w:t>
      </w:r>
    </w:p>
    <w:p w14:paraId="187374AC" w14:textId="77777777" w:rsidR="00D02BC8" w:rsidRPr="00D31EBB" w:rsidRDefault="00D02BC8" w:rsidP="00222DF5">
      <w:pPr>
        <w:pStyle w:val="EMEABodyText"/>
        <w:rPr>
          <w:noProof/>
          <w:lang w:val="en-US"/>
        </w:rPr>
      </w:pPr>
    </w:p>
    <w:p w14:paraId="204F9652" w14:textId="77777777" w:rsidR="00D02BC8" w:rsidRPr="00D31EBB" w:rsidRDefault="00D02BC8" w:rsidP="008B6CCB">
      <w:pPr>
        <w:pStyle w:val="EMEABodyText"/>
      </w:pPr>
      <w:r>
        <w:rPr>
          <w:b/>
        </w:rPr>
        <w:t xml:space="preserve">REYATAZ is an antiviral (or antiretroviral) medicine. </w:t>
      </w:r>
      <w:r>
        <w:t xml:space="preserve">It is one of a group called </w:t>
      </w:r>
      <w:r>
        <w:rPr>
          <w:i/>
        </w:rPr>
        <w:t>protease inhibitors</w:t>
      </w:r>
      <w:r>
        <w:t>. These medicines control Human Immunodeficiency Virus (HIV) infection by stopping a protein that the HIV needs for its multiplication. They work by reducing the amount of HIV in your body and this in turn, strengthens your immune system. In this way REYATAZ reduces the risk of developing illnesses linked to HIV infection.</w:t>
      </w:r>
    </w:p>
    <w:p w14:paraId="2846853B" w14:textId="77777777" w:rsidR="00D02BC8" w:rsidRPr="00D31EBB" w:rsidRDefault="00D02BC8" w:rsidP="008B6CCB">
      <w:pPr>
        <w:pStyle w:val="EMEABodyText"/>
        <w:rPr>
          <w:lang w:val="en-US"/>
        </w:rPr>
      </w:pPr>
    </w:p>
    <w:p w14:paraId="3472002D" w14:textId="77777777" w:rsidR="00D02BC8" w:rsidRPr="00D31EBB" w:rsidRDefault="00D02BC8" w:rsidP="008B6CCB">
      <w:pPr>
        <w:pStyle w:val="EMEABodyText"/>
      </w:pPr>
      <w:r>
        <w:t>REYATAZ capsules may be used by adults and children 6 years of age and older. Your doctor has prescribed REYATAZ for you because you are infected by the HIV that causes Acquired Immunodeficiency Syndrome (AIDS). It is normally used in combination with other anti-HIV medicines. Your doctor will discuss with you which combination of these medicines with REYATAZ is best for you.</w:t>
      </w:r>
    </w:p>
    <w:p w14:paraId="147D8CBA" w14:textId="77777777" w:rsidR="00D02BC8" w:rsidRPr="00D31EBB" w:rsidRDefault="00D02BC8" w:rsidP="008B6CCB">
      <w:pPr>
        <w:pStyle w:val="EMEABodyText"/>
        <w:rPr>
          <w:lang w:val="en-US"/>
        </w:rPr>
      </w:pPr>
    </w:p>
    <w:p w14:paraId="2F8C6EE6" w14:textId="77777777" w:rsidR="00D02BC8" w:rsidRPr="00D31EBB" w:rsidRDefault="00D02BC8" w:rsidP="008B6CCB">
      <w:pPr>
        <w:pStyle w:val="EMEABodyText"/>
        <w:rPr>
          <w:noProof/>
          <w:lang w:val="en-US"/>
        </w:rPr>
      </w:pPr>
    </w:p>
    <w:p w14:paraId="3987314A" w14:textId="77777777" w:rsidR="00D02BC8" w:rsidRPr="00D31EBB" w:rsidRDefault="00D02BC8" w:rsidP="003C6A99">
      <w:pPr>
        <w:pStyle w:val="EMEAHeading1"/>
        <w:rPr>
          <w:bCs/>
          <w:caps w:val="0"/>
        </w:rPr>
      </w:pPr>
      <w:r>
        <w:rPr>
          <w:bCs/>
          <w:caps w:val="0"/>
        </w:rPr>
        <w:t>2.</w:t>
      </w:r>
      <w:r>
        <w:rPr>
          <w:bCs/>
          <w:caps w:val="0"/>
        </w:rPr>
        <w:tab/>
        <w:t>What you need to know before you take REYATAZ</w:t>
      </w:r>
    </w:p>
    <w:p w14:paraId="127AC584" w14:textId="77777777" w:rsidR="00D02BC8" w:rsidRPr="00D31EBB" w:rsidRDefault="00D02BC8" w:rsidP="00222DF5">
      <w:pPr>
        <w:pStyle w:val="EMEABodyText"/>
        <w:rPr>
          <w:noProof/>
          <w:lang w:val="en-US"/>
        </w:rPr>
      </w:pPr>
    </w:p>
    <w:p w14:paraId="0AF8266F" w14:textId="77777777" w:rsidR="00D02BC8" w:rsidRPr="004F3582" w:rsidRDefault="00D02BC8" w:rsidP="008B6CCB">
      <w:pPr>
        <w:pStyle w:val="EMEAHeading2"/>
      </w:pPr>
      <w:r>
        <w:t>Do not take REYATAZ</w:t>
      </w:r>
    </w:p>
    <w:p w14:paraId="6CE71CC1" w14:textId="77777777" w:rsidR="00D02BC8" w:rsidRPr="00D31EBB" w:rsidRDefault="00D02BC8" w:rsidP="00212980">
      <w:pPr>
        <w:pStyle w:val="EMEABodyTextIndent"/>
        <w:ind w:left="567" w:hanging="567"/>
      </w:pPr>
      <w:r>
        <w:rPr>
          <w:b/>
        </w:rPr>
        <w:t xml:space="preserve">if you are allergic </w:t>
      </w:r>
      <w:r>
        <w:t>to atazanavir or any of the other ingredients of this medicine (listed in section 6)</w:t>
      </w:r>
    </w:p>
    <w:p w14:paraId="79470D4C" w14:textId="77777777" w:rsidR="00D02BC8" w:rsidRPr="00D31EBB" w:rsidRDefault="00D02BC8" w:rsidP="00212980">
      <w:pPr>
        <w:pStyle w:val="EMEABodyTextIndent"/>
        <w:ind w:left="567" w:hanging="567"/>
      </w:pPr>
      <w:r>
        <w:rPr>
          <w:b/>
        </w:rPr>
        <w:t xml:space="preserve">if you have moderate to severe liver problems. </w:t>
      </w:r>
      <w:r>
        <w:t>Your doctor will evaluate how severe your liver disease is before deciding whether you can take REYATAZ</w:t>
      </w:r>
    </w:p>
    <w:p w14:paraId="35D6201C" w14:textId="77777777" w:rsidR="00D02BC8" w:rsidRPr="00D31EBB" w:rsidRDefault="00D02BC8" w:rsidP="00212980">
      <w:pPr>
        <w:pStyle w:val="EMEABodyTextIndent"/>
        <w:ind w:left="567" w:hanging="567"/>
      </w:pPr>
      <w:r>
        <w:rPr>
          <w:b/>
        </w:rPr>
        <w:t xml:space="preserve">if you are taking any of these medicines: </w:t>
      </w:r>
      <w:r>
        <w:t xml:space="preserve">see also </w:t>
      </w:r>
      <w:r>
        <w:rPr>
          <w:i/>
        </w:rPr>
        <w:t>Other medicines and REYATAZ</w:t>
      </w:r>
    </w:p>
    <w:p w14:paraId="729AA39E" w14:textId="77777777" w:rsidR="00D02BC8" w:rsidRPr="00D31EBB" w:rsidRDefault="00D02BC8" w:rsidP="00212980">
      <w:pPr>
        <w:pStyle w:val="EMEABodyTextIndent"/>
        <w:ind w:left="1105" w:hanging="538"/>
      </w:pPr>
      <w:r>
        <w:t>rifampicin (an antibiotic used to treat tuberculosis)</w:t>
      </w:r>
      <w:r>
        <w:rPr>
          <w:color w:val="008000"/>
        </w:rPr>
        <w:t xml:space="preserve"> </w:t>
      </w:r>
    </w:p>
    <w:p w14:paraId="3183CF3F" w14:textId="77777777" w:rsidR="00D02BC8" w:rsidRPr="00D31EBB" w:rsidRDefault="00D02BC8" w:rsidP="00212980">
      <w:pPr>
        <w:pStyle w:val="EMEABodyTextIndent"/>
        <w:ind w:left="1105" w:hanging="538"/>
      </w:pPr>
      <w:r>
        <w:t>astemizole or terfenadine (commonly used to treat allergy symptoms, these medicines may be available without prescription); cisapride (used to treat gastric reflux, sometimes called heartburn); pimozide (used to treat schizophrenia); quinidine or bepridil (used to correct heart rhythm); ergotamine, dihydroergotamine, ergonovine, methylergonovine (used to treat headaches); and alfuzosin (used to treat enlarged prostatic gland)</w:t>
      </w:r>
    </w:p>
    <w:p w14:paraId="28B27EA0" w14:textId="77777777" w:rsidR="00D02BC8" w:rsidRPr="00D31EBB" w:rsidRDefault="00D02BC8" w:rsidP="003942A6">
      <w:pPr>
        <w:pStyle w:val="EMEABodyTextIndent"/>
        <w:ind w:left="1105" w:hanging="538"/>
      </w:pPr>
      <w:r>
        <w:t>quetiapine (used to treat schizophrenia, bipolar disorder and major depressive disorder); lurasidone (used to treat schizophrenia)</w:t>
      </w:r>
    </w:p>
    <w:p w14:paraId="62B098B0" w14:textId="77777777" w:rsidR="00D02BC8" w:rsidRPr="00D31EBB" w:rsidRDefault="00D02BC8" w:rsidP="00212980">
      <w:pPr>
        <w:pStyle w:val="EMEABodyTextIndent"/>
        <w:ind w:left="1105" w:hanging="538"/>
      </w:pPr>
      <w:r>
        <w:t>medicines containing St. John’s wort</w:t>
      </w:r>
      <w:r>
        <w:rPr>
          <w:i/>
        </w:rPr>
        <w:t xml:space="preserve"> (Hypericum perforatum</w:t>
      </w:r>
      <w:r>
        <w:t>, a herbal preparation)</w:t>
      </w:r>
    </w:p>
    <w:p w14:paraId="2BDE8C9A" w14:textId="77777777" w:rsidR="00D02BC8" w:rsidRPr="00D31EBB" w:rsidRDefault="00D02BC8" w:rsidP="003942A6">
      <w:pPr>
        <w:pStyle w:val="EMEABodyTextIndent"/>
        <w:ind w:left="1105" w:hanging="538"/>
      </w:pPr>
      <w:r>
        <w:t>triazolam and oral (taken by mouth) midazolam (used to help you sleep and/or to relieve anxiety)</w:t>
      </w:r>
    </w:p>
    <w:p w14:paraId="13C4C2AB" w14:textId="77777777" w:rsidR="00D02BC8" w:rsidRPr="00D31EBB" w:rsidRDefault="00D02BC8" w:rsidP="00212980">
      <w:pPr>
        <w:pStyle w:val="EMEABodyTextIndent"/>
        <w:ind w:left="1105" w:hanging="538"/>
      </w:pPr>
      <w:r>
        <w:t>simvastatin and lovastatin (used to lower blood cholesterol).</w:t>
      </w:r>
    </w:p>
    <w:p w14:paraId="7E6CE1F9" w14:textId="77777777" w:rsidR="00F7294E" w:rsidRPr="00D31EBB" w:rsidRDefault="00F7294E" w:rsidP="00F7294E">
      <w:pPr>
        <w:pStyle w:val="EMEABodyTextIndent"/>
        <w:ind w:left="1105" w:hanging="538"/>
      </w:pPr>
      <w:r>
        <w:t>grazoprevir-containing products, including elbasvir/grazoprevir fixed dose combination, and glecaprevir/pibrentasvir fixed dose combination (used to treat chronic hepatitis C infection)</w:t>
      </w:r>
    </w:p>
    <w:p w14:paraId="32261514" w14:textId="77777777" w:rsidR="00D02BC8" w:rsidRPr="00D31EBB" w:rsidRDefault="00D02BC8" w:rsidP="008B6CCB">
      <w:pPr>
        <w:pStyle w:val="EMEABodyText"/>
        <w:rPr>
          <w:lang w:val="en-US"/>
        </w:rPr>
      </w:pPr>
    </w:p>
    <w:p w14:paraId="7A037169" w14:textId="77777777" w:rsidR="00D02BC8" w:rsidRPr="00D31EBB" w:rsidRDefault="00D02BC8" w:rsidP="008B6CCB">
      <w:pPr>
        <w:pStyle w:val="EMEABodyText"/>
      </w:pPr>
      <w:r>
        <w:t>Do not take sildenafil with REYATAZ when sildenafil is used for the treatment of pulmonary arterial hypertension. Sildenafil is also used for the treatment of erectile dysfunction. Tell your doctor if you are using sildenafil for the treatment of erectile dysfunction.</w:t>
      </w:r>
    </w:p>
    <w:p w14:paraId="7122BE7B" w14:textId="77777777" w:rsidR="00D02BC8" w:rsidRPr="00D31EBB" w:rsidRDefault="00D02BC8" w:rsidP="008B6CCB">
      <w:pPr>
        <w:pStyle w:val="EMEABodyText"/>
        <w:rPr>
          <w:lang w:val="en-US"/>
        </w:rPr>
      </w:pPr>
    </w:p>
    <w:p w14:paraId="5CF25FE8" w14:textId="77777777" w:rsidR="00D02BC8" w:rsidRPr="00D31EBB" w:rsidRDefault="00D02BC8" w:rsidP="008B6CCB">
      <w:pPr>
        <w:pStyle w:val="EMEABodyText"/>
      </w:pPr>
      <w:r>
        <w:t>Tell your doctor at once if any of these apply to you.</w:t>
      </w:r>
    </w:p>
    <w:p w14:paraId="59561E6C" w14:textId="77777777" w:rsidR="00D02BC8" w:rsidRPr="00D31EBB" w:rsidRDefault="00D02BC8" w:rsidP="008B6CCB">
      <w:pPr>
        <w:pStyle w:val="EMEABodyText"/>
        <w:rPr>
          <w:b/>
          <w:noProof/>
          <w:lang w:val="en-US"/>
        </w:rPr>
      </w:pPr>
    </w:p>
    <w:p w14:paraId="57D9F897" w14:textId="77777777" w:rsidR="00D02BC8" w:rsidRPr="00D31EBB" w:rsidRDefault="00D02BC8" w:rsidP="008B6CCB">
      <w:pPr>
        <w:pStyle w:val="EMEAHeading2"/>
      </w:pPr>
      <w:r>
        <w:t>Warnings and precautions</w:t>
      </w:r>
    </w:p>
    <w:p w14:paraId="60228D26" w14:textId="77777777" w:rsidR="006719E7" w:rsidRPr="00D31EBB" w:rsidRDefault="006719E7" w:rsidP="008B6CCB">
      <w:pPr>
        <w:pStyle w:val="EMEABodyText"/>
        <w:rPr>
          <w:lang w:val="en-US"/>
        </w:rPr>
      </w:pPr>
    </w:p>
    <w:p w14:paraId="288DD1E8" w14:textId="77777777" w:rsidR="006719E7" w:rsidRPr="00D31EBB" w:rsidRDefault="006719E7" w:rsidP="006719E7">
      <w:pPr>
        <w:pStyle w:val="EMEABodyText"/>
      </w:pPr>
      <w:r>
        <w:rPr>
          <w:b/>
        </w:rPr>
        <w:t xml:space="preserve">REYATAZ is not a cure for HIV infection. </w:t>
      </w:r>
      <w:r>
        <w:t>You may continue to develop infections or other illnesses linked to HIV infection. You can still pass on HIV when taking this medicine, although the risk is lowered by effective antiretroviral therapy. Discuss with your doctor the precautions needed to avoid infecting other people.</w:t>
      </w:r>
    </w:p>
    <w:p w14:paraId="63BA88B9" w14:textId="77777777" w:rsidR="006719E7" w:rsidRPr="00D31EBB" w:rsidRDefault="006719E7" w:rsidP="008B6CCB">
      <w:pPr>
        <w:pStyle w:val="EMEABodyText"/>
        <w:rPr>
          <w:lang w:val="en-US"/>
        </w:rPr>
      </w:pPr>
    </w:p>
    <w:p w14:paraId="061BFA13" w14:textId="77777777" w:rsidR="00D02BC8" w:rsidRPr="00D31EBB" w:rsidRDefault="00D02BC8" w:rsidP="008B6CCB">
      <w:pPr>
        <w:pStyle w:val="EMEABodyText"/>
      </w:pPr>
      <w:r>
        <w:t>Some people will need special care before or while taking REYATAZ. Talk to your doctor or pharmacist before taking REYATAZ and make sure your doctor knows:</w:t>
      </w:r>
    </w:p>
    <w:p w14:paraId="7A556EB6" w14:textId="77777777" w:rsidR="00D02BC8" w:rsidRPr="00D31EBB" w:rsidRDefault="00D02BC8" w:rsidP="008D5D5B">
      <w:pPr>
        <w:pStyle w:val="EMEABodyTextIndent"/>
        <w:ind w:left="426" w:hanging="426"/>
      </w:pPr>
      <w:r>
        <w:t>if you have hepatitis B or C</w:t>
      </w:r>
    </w:p>
    <w:p w14:paraId="3A8524B8" w14:textId="77777777" w:rsidR="006719E7" w:rsidRPr="00D31EBB" w:rsidRDefault="006719E7" w:rsidP="003071A1">
      <w:pPr>
        <w:pStyle w:val="EMEABodyTextIndent"/>
        <w:ind w:left="426" w:hanging="426"/>
      </w:pPr>
      <w:r>
        <w:t>if you develop signs or symptoms of gall stones (pain at the right side of your stomach)</w:t>
      </w:r>
    </w:p>
    <w:p w14:paraId="20DE7033" w14:textId="77777777" w:rsidR="00D02BC8" w:rsidRPr="00D31EBB" w:rsidRDefault="00D02BC8" w:rsidP="008D5D5B">
      <w:pPr>
        <w:pStyle w:val="EMEABodyTextIndent"/>
        <w:ind w:left="426" w:hanging="426"/>
      </w:pPr>
      <w:r>
        <w:t>if you have type A or B haemophilia</w:t>
      </w:r>
    </w:p>
    <w:p w14:paraId="108327B3" w14:textId="77777777" w:rsidR="00D02BC8" w:rsidRPr="004F3582" w:rsidRDefault="00D02BC8" w:rsidP="008D5D5B">
      <w:pPr>
        <w:pStyle w:val="EMEABodyTextIndent"/>
        <w:ind w:left="426" w:hanging="426"/>
      </w:pPr>
      <w:r>
        <w:t>if you require haemodialysis</w:t>
      </w:r>
    </w:p>
    <w:p w14:paraId="1296C955" w14:textId="77777777" w:rsidR="00D02BC8" w:rsidRPr="004F3582" w:rsidRDefault="00D02BC8" w:rsidP="008B6CCB">
      <w:pPr>
        <w:pStyle w:val="EMEABodyText"/>
      </w:pPr>
    </w:p>
    <w:p w14:paraId="3DB68A69" w14:textId="77777777" w:rsidR="00EF4F14" w:rsidRPr="00D31EBB" w:rsidRDefault="00EF4F14" w:rsidP="00EF4F14">
      <w:pPr>
        <w:pStyle w:val="EMEABodyText"/>
      </w:pPr>
      <w:r>
        <w:t>REYATAZ may affect how well your kidneys work.</w:t>
      </w:r>
    </w:p>
    <w:p w14:paraId="1EE8B164" w14:textId="77777777" w:rsidR="00EF4F14" w:rsidRPr="00D31EBB" w:rsidRDefault="00EF4F14" w:rsidP="008B6CCB">
      <w:pPr>
        <w:pStyle w:val="EMEABodyText"/>
        <w:rPr>
          <w:lang w:val="en-US"/>
        </w:rPr>
      </w:pPr>
    </w:p>
    <w:p w14:paraId="5FEA1B99" w14:textId="77777777" w:rsidR="00D02BC8" w:rsidRPr="00D31EBB" w:rsidRDefault="00D02BC8" w:rsidP="008B6CCB">
      <w:pPr>
        <w:pStyle w:val="EMEABodyText"/>
      </w:pPr>
      <w:r>
        <w:t>Kidney stones have been reported in patients taking REYATAZ. If you develop signs or symptoms of kidney stones (pain in your side, blood in your urine, pain when you urinate), please inform your doctor immediately.</w:t>
      </w:r>
    </w:p>
    <w:p w14:paraId="3331A75B" w14:textId="77777777" w:rsidR="00D02BC8" w:rsidRPr="00D31EBB" w:rsidRDefault="00D02BC8" w:rsidP="008B6CCB">
      <w:pPr>
        <w:pStyle w:val="EMEABodyText"/>
        <w:rPr>
          <w:lang w:val="en-US"/>
        </w:rPr>
      </w:pPr>
    </w:p>
    <w:p w14:paraId="12EE21AF" w14:textId="77777777" w:rsidR="00D02BC8" w:rsidRPr="00D31EBB" w:rsidRDefault="00D02BC8" w:rsidP="008B6CCB">
      <w:pPr>
        <w:pStyle w:val="EMEABodyText"/>
      </w:pPr>
      <w:r>
        <w:t>In some patients with advanced HIV infection (AIDS) and a history of opportunistic infection, signs and symptoms of inflammation from previous infections may occur soon after anti-HIV treatment is started. It is believed that these symptoms are due to an improvement in the body’s immune response, enabling the body to fight infections that may have been present with no obvious symptoms. If you notice any symptoms of infection, please inform your doctor immediately. 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hands and feet and moving up towards the trunk of the body, palpitations, tremor or hyperactivity, please inform your doctor immediately to seek necessary treatment.</w:t>
      </w:r>
    </w:p>
    <w:p w14:paraId="548EDEF6" w14:textId="77777777" w:rsidR="00D02BC8" w:rsidRPr="00D31EBB" w:rsidRDefault="00D02BC8" w:rsidP="008B6CCB">
      <w:pPr>
        <w:pStyle w:val="EMEABodyText"/>
        <w:rPr>
          <w:noProof/>
          <w:lang w:val="en-US"/>
        </w:rPr>
      </w:pPr>
    </w:p>
    <w:p w14:paraId="080C598A" w14:textId="77777777" w:rsidR="00D02BC8" w:rsidRPr="00D31EBB" w:rsidRDefault="00D02BC8" w:rsidP="008B6CCB">
      <w:pPr>
        <w:pStyle w:val="EMEABodyText"/>
      </w:pPr>
      <w:r>
        <w:t>Some patients taking combination antiretroviral therapy may develop a bone disease called osteonecrosis (death of bone tissue caused by loss of blood supply to the bone). The length of combination antiretroviral therapy, corticosteroid use, alcohol consumption, severe immunosuppression, higher body mass index, among others, may be some of the many risk factors for developing this disease. Signs of osteonecrosis are joint stiffness, aches and pains (especially of the hip, knee and shoulder) and difficulty in movement. If you notice any of these symptoms please inform your doctor.</w:t>
      </w:r>
    </w:p>
    <w:p w14:paraId="5CD3B243" w14:textId="77777777" w:rsidR="002A25E4" w:rsidRPr="00D31EBB" w:rsidRDefault="002A25E4" w:rsidP="008B6CCB">
      <w:pPr>
        <w:pStyle w:val="EMEABodyText"/>
        <w:rPr>
          <w:lang w:val="en-US"/>
        </w:rPr>
      </w:pPr>
    </w:p>
    <w:p w14:paraId="406A97D8" w14:textId="77777777" w:rsidR="00D02BC8" w:rsidRPr="00D31EBB" w:rsidRDefault="00D02BC8" w:rsidP="008B6CCB">
      <w:pPr>
        <w:pStyle w:val="EMEABodyText"/>
      </w:pPr>
      <w:r>
        <w:t>Hyperbilirubinaemia (an increase in the level of bilirubin in the blood) has occurred in patients receiving REYATAZ. The signs may be a mild yellowing of the skin or eyes. If you notice any of these symptoms please inform your doctor.</w:t>
      </w:r>
    </w:p>
    <w:p w14:paraId="54501BB3" w14:textId="77777777" w:rsidR="00D02BC8" w:rsidRPr="00D31EBB" w:rsidRDefault="00D02BC8" w:rsidP="008B6CCB">
      <w:pPr>
        <w:pStyle w:val="EMEABodyText"/>
        <w:rPr>
          <w:lang w:val="en-US"/>
        </w:rPr>
      </w:pPr>
    </w:p>
    <w:p w14:paraId="204380E4" w14:textId="77777777" w:rsidR="00D02BC8" w:rsidRPr="00D31EBB" w:rsidRDefault="00D02BC8" w:rsidP="008B6CCB">
      <w:pPr>
        <w:pStyle w:val="EMEABodyText"/>
        <w:rPr>
          <w:noProof/>
        </w:rPr>
      </w:pPr>
      <w:r>
        <w:t>Serious skin rash, including Stevens-Johnson syndrome, has been reported in patients taking REYATAZ. If you develop a rash inform your doctor immediately.</w:t>
      </w:r>
    </w:p>
    <w:p w14:paraId="58B45CA7" w14:textId="77777777" w:rsidR="00D02BC8" w:rsidRPr="00D31EBB" w:rsidRDefault="00D02BC8" w:rsidP="008B6CCB">
      <w:pPr>
        <w:pStyle w:val="EMEABodyText"/>
        <w:rPr>
          <w:noProof/>
          <w:lang w:val="en-US"/>
        </w:rPr>
      </w:pPr>
    </w:p>
    <w:p w14:paraId="1A536ADB" w14:textId="77777777" w:rsidR="00B46494" w:rsidRPr="00D31EBB" w:rsidRDefault="00D02BC8">
      <w:pPr>
        <w:pStyle w:val="EMEABodyText"/>
        <w:rPr>
          <w:noProof/>
        </w:rPr>
      </w:pPr>
      <w:r>
        <w:t>If you notice a change in the way your heart beats (heart rhythm changes), please inform your doctor. Children receiving REYATAZ may require their heart to be monitored. Your child's doctor will decide this.</w:t>
      </w:r>
    </w:p>
    <w:p w14:paraId="0D371486" w14:textId="77777777" w:rsidR="00D02BC8" w:rsidRPr="00D31EBB" w:rsidRDefault="00D02BC8" w:rsidP="008B6CCB">
      <w:pPr>
        <w:pStyle w:val="EMEABodyText"/>
        <w:rPr>
          <w:noProof/>
          <w:lang w:val="en-US"/>
        </w:rPr>
      </w:pPr>
    </w:p>
    <w:p w14:paraId="151B1EAA" w14:textId="77777777" w:rsidR="00D02BC8" w:rsidRPr="00D31EBB" w:rsidRDefault="00D02BC8" w:rsidP="008B6CCB">
      <w:pPr>
        <w:pStyle w:val="EMEABodyText"/>
        <w:rPr>
          <w:b/>
          <w:noProof/>
        </w:rPr>
      </w:pPr>
      <w:r>
        <w:rPr>
          <w:b/>
        </w:rPr>
        <w:t xml:space="preserve">Children </w:t>
      </w:r>
    </w:p>
    <w:p w14:paraId="4C742C42" w14:textId="77777777" w:rsidR="006719E7" w:rsidRPr="00D31EBB" w:rsidRDefault="006719E7" w:rsidP="006719E7">
      <w:pPr>
        <w:pStyle w:val="EMEABodyText"/>
        <w:rPr>
          <w:dstrike/>
          <w:noProof/>
        </w:rPr>
      </w:pPr>
      <w:r>
        <w:rPr>
          <w:b/>
        </w:rPr>
        <w:t>Do not give this medicine to children</w:t>
      </w:r>
      <w:r>
        <w:t xml:space="preserve"> younger than 3 months of age and weighing less than 5 kg. The use of REYATAZ in children less than 3 months of age and weighing less than 5 kg has not been studied due to the risk of serious complications.</w:t>
      </w:r>
    </w:p>
    <w:p w14:paraId="1FD2CB47" w14:textId="77777777" w:rsidR="00D02BC8" w:rsidRPr="00D31EBB" w:rsidRDefault="00D02BC8" w:rsidP="008B6CCB">
      <w:pPr>
        <w:pStyle w:val="EMEABodyText"/>
        <w:rPr>
          <w:dstrike/>
          <w:noProof/>
          <w:lang w:val="en-US"/>
        </w:rPr>
      </w:pPr>
    </w:p>
    <w:p w14:paraId="74CD1A76" w14:textId="77777777" w:rsidR="00D02BC8" w:rsidRPr="00D31EBB" w:rsidRDefault="00D02BC8" w:rsidP="008B6CCB">
      <w:pPr>
        <w:pStyle w:val="EMEAHeading2"/>
        <w:rPr>
          <w:noProof/>
        </w:rPr>
      </w:pPr>
      <w:r>
        <w:t>Other medicines and REYATAZ</w:t>
      </w:r>
    </w:p>
    <w:p w14:paraId="7B7D1F7E" w14:textId="77777777" w:rsidR="00D02BC8" w:rsidRPr="00D31EBB" w:rsidRDefault="00D02BC8" w:rsidP="008B6CCB">
      <w:pPr>
        <w:pStyle w:val="EMEABodyText"/>
      </w:pPr>
      <w:r>
        <w:rPr>
          <w:b/>
        </w:rPr>
        <w:t>You must not take REYATAZ with certain medicines.</w:t>
      </w:r>
      <w:r>
        <w:t xml:space="preserve"> These are listed under Do not take REYATAZ, at the start of Section 2. </w:t>
      </w:r>
    </w:p>
    <w:p w14:paraId="0A2E2415" w14:textId="77777777" w:rsidR="00D02BC8" w:rsidRPr="00D31EBB" w:rsidRDefault="00D02BC8" w:rsidP="008B6CCB">
      <w:pPr>
        <w:pStyle w:val="EMEABodyText"/>
        <w:rPr>
          <w:lang w:val="en-US"/>
        </w:rPr>
      </w:pPr>
    </w:p>
    <w:p w14:paraId="272ADE1F" w14:textId="77777777" w:rsidR="00D02BC8" w:rsidRPr="004F3582" w:rsidRDefault="00D02BC8" w:rsidP="008B6CCB">
      <w:pPr>
        <w:pStyle w:val="EMEABodyText"/>
      </w:pPr>
      <w:r>
        <w:t>There are other medicines that may not mix with REYATAZ. Tell your doctor if you are taking, have recently taken, or might take any other medicines. It is especially important to mention these:</w:t>
      </w:r>
    </w:p>
    <w:p w14:paraId="32981059" w14:textId="77777777" w:rsidR="00D02BC8" w:rsidRPr="00D31EBB" w:rsidRDefault="00D02BC8" w:rsidP="00826E45">
      <w:pPr>
        <w:pStyle w:val="EMEABodyTextIndent"/>
        <w:ind w:left="426" w:hanging="426"/>
        <w:rPr>
          <w:i/>
        </w:rPr>
      </w:pPr>
      <w:r>
        <w:t>other medicines to treat HIV infection (e.g. indinavir, nevirapine and efavirenz)</w:t>
      </w:r>
    </w:p>
    <w:p w14:paraId="0EB7EBF2" w14:textId="77777777" w:rsidR="00D02BC8" w:rsidRPr="00D31EBB" w:rsidRDefault="00D02BC8" w:rsidP="00826E45">
      <w:pPr>
        <w:pStyle w:val="EMEABodyTextIndent"/>
        <w:ind w:left="426" w:hanging="426"/>
      </w:pPr>
      <w:r>
        <w:t>boceprevir and sofosbuvir/velpatasvir/voxilaprevir (used to treat hepatitis C)</w:t>
      </w:r>
    </w:p>
    <w:p w14:paraId="40E34C93" w14:textId="77777777" w:rsidR="00D02BC8" w:rsidRPr="00D31EBB" w:rsidRDefault="00D02BC8" w:rsidP="00826E45">
      <w:pPr>
        <w:pStyle w:val="EMEABodyTextIndent"/>
        <w:ind w:left="426" w:hanging="426"/>
      </w:pPr>
      <w:r>
        <w:t xml:space="preserve">sildenafil, vardenafil, or tadalafil (used by men to treat impotence (erectile dysfunction)) </w:t>
      </w:r>
    </w:p>
    <w:p w14:paraId="6AFD7CF0" w14:textId="77777777" w:rsidR="00D02BC8" w:rsidRPr="00D31EBB" w:rsidRDefault="00D02BC8" w:rsidP="00826E45">
      <w:pPr>
        <w:pStyle w:val="EMEABodyTextIndent"/>
        <w:ind w:left="426" w:hanging="426"/>
      </w:pPr>
      <w:r>
        <w:t>if you are taking an oral contraceptive (</w:t>
      </w:r>
      <w:r>
        <w:rPr>
          <w:b/>
        </w:rPr>
        <w:t>"the Pill"</w:t>
      </w:r>
      <w:r>
        <w:t>) with REYATAZ to prevent pregancy, be sure to take it exactly as instructed by your doctor and not miss any doses</w:t>
      </w:r>
    </w:p>
    <w:p w14:paraId="19AF05B7" w14:textId="77777777" w:rsidR="00D02BC8" w:rsidRPr="00D31EBB" w:rsidRDefault="00D02BC8" w:rsidP="00826E45">
      <w:pPr>
        <w:pStyle w:val="EMEABodyTextIndent"/>
        <w:ind w:left="426" w:hanging="426"/>
      </w:pPr>
      <w:r>
        <w:t>any medicines used to treat diseases related to the acid in the stomach (e.g. antacids to be taken 1 hour before taking REYATAZ or 2 hours after taking REYATAZ, H</w:t>
      </w:r>
      <w:r>
        <w:rPr>
          <w:vertAlign w:val="subscript"/>
        </w:rPr>
        <w:t>2</w:t>
      </w:r>
      <w:r>
        <w:t>-blockers like famotidine and proton pump inhibitors like omeprazole)</w:t>
      </w:r>
    </w:p>
    <w:p w14:paraId="6A7B0123" w14:textId="77777777" w:rsidR="00D02BC8" w:rsidRPr="00D31EBB" w:rsidRDefault="00D02BC8" w:rsidP="00826E45">
      <w:pPr>
        <w:pStyle w:val="EMEABodyTextIndent"/>
        <w:ind w:left="426" w:hanging="426"/>
        <w:rPr>
          <w:i/>
        </w:rPr>
      </w:pPr>
      <w:r>
        <w:t>medicines to lower blood pressure, to slow heart rate, or to correct heart rhythm (amiodarone, diltiazem, systemic lidocaine, verapamil)</w:t>
      </w:r>
    </w:p>
    <w:p w14:paraId="0BE79CBF" w14:textId="77777777" w:rsidR="00D02BC8" w:rsidRPr="00D31EBB" w:rsidRDefault="00D02BC8" w:rsidP="00826E45">
      <w:pPr>
        <w:pStyle w:val="EMEABodyTextIndent"/>
        <w:ind w:left="426" w:hanging="426"/>
      </w:pPr>
      <w:r>
        <w:t>atorvastatin, pravastatin, and fluvastatin (used to lower blood cholesterol)</w:t>
      </w:r>
    </w:p>
    <w:p w14:paraId="4F74F69F" w14:textId="77777777" w:rsidR="00D02BC8" w:rsidRPr="00D31EBB" w:rsidRDefault="00D02BC8" w:rsidP="00826E45">
      <w:pPr>
        <w:pStyle w:val="EMEABodyTextIndent"/>
        <w:ind w:left="426" w:hanging="426"/>
      </w:pPr>
      <w:r>
        <w:t>salmeterol (used to treat asthma)</w:t>
      </w:r>
    </w:p>
    <w:p w14:paraId="5526042F" w14:textId="77777777" w:rsidR="00D02BC8" w:rsidRPr="00D31EBB" w:rsidRDefault="00D02BC8" w:rsidP="00826E45">
      <w:pPr>
        <w:pStyle w:val="EMEABodyTextIndent"/>
        <w:ind w:left="426" w:hanging="426"/>
      </w:pPr>
      <w:r>
        <w:t>cyclosporin, tacrolimus, and sirolimus (medicines to decrease the effects of body's immune system)</w:t>
      </w:r>
    </w:p>
    <w:p w14:paraId="2E7B516C" w14:textId="77777777" w:rsidR="00D02BC8" w:rsidRPr="004F3582" w:rsidRDefault="00D02BC8" w:rsidP="00826E45">
      <w:pPr>
        <w:pStyle w:val="EMEABodyTextIndent"/>
        <w:ind w:left="426" w:hanging="426"/>
      </w:pPr>
      <w:r>
        <w:t>certain antibiotics (rifabutin, clarithromycin)</w:t>
      </w:r>
    </w:p>
    <w:p w14:paraId="4BEF679D" w14:textId="77777777" w:rsidR="00D02BC8" w:rsidRPr="004F3582" w:rsidRDefault="00D02BC8" w:rsidP="00826E45">
      <w:pPr>
        <w:pStyle w:val="EMEABodyTextIndent"/>
        <w:ind w:left="426" w:hanging="426"/>
      </w:pPr>
      <w:r>
        <w:t>ketoconazole, itraconazole, and voriconazole (antifungals)</w:t>
      </w:r>
    </w:p>
    <w:p w14:paraId="3A66C189" w14:textId="77777777" w:rsidR="00D02BC8" w:rsidRPr="00D31EBB" w:rsidRDefault="00D02BC8" w:rsidP="00826E45">
      <w:pPr>
        <w:pStyle w:val="EMEABodyTextIndent"/>
        <w:ind w:left="426" w:hanging="426"/>
      </w:pPr>
      <w:r>
        <w:t>warfarin (anticoagulant, used to reduce the blood clots)</w:t>
      </w:r>
    </w:p>
    <w:p w14:paraId="131B73E6" w14:textId="77777777" w:rsidR="00D02BC8" w:rsidRPr="004F3582" w:rsidRDefault="00D02BC8" w:rsidP="00826E45">
      <w:pPr>
        <w:pStyle w:val="EMEABodyTextIndent"/>
        <w:ind w:left="426" w:hanging="426"/>
      </w:pPr>
      <w:r>
        <w:t>carbamazepine, phenytoin, phenobarbital, lamotrigine (antiepileptics)</w:t>
      </w:r>
    </w:p>
    <w:p w14:paraId="1F39EAD7" w14:textId="77777777" w:rsidR="00D02BC8" w:rsidRPr="00D31EBB" w:rsidRDefault="00D02BC8" w:rsidP="00826E45">
      <w:pPr>
        <w:pStyle w:val="EMEABodyTextIndent"/>
        <w:ind w:left="426" w:hanging="426"/>
      </w:pPr>
      <w:r>
        <w:t>irinotecan (used to treat cancer)</w:t>
      </w:r>
    </w:p>
    <w:p w14:paraId="0BF2FAFF" w14:textId="77777777" w:rsidR="00D02BC8" w:rsidRPr="00D31EBB" w:rsidRDefault="00D02BC8" w:rsidP="00826E45">
      <w:pPr>
        <w:pStyle w:val="EMEABodyTextIndent"/>
        <w:ind w:left="426" w:hanging="426"/>
      </w:pPr>
      <w:r>
        <w:t>sedative agents (e.g. midazolam administered by injection)</w:t>
      </w:r>
    </w:p>
    <w:p w14:paraId="0393C7A8" w14:textId="77777777" w:rsidR="00D02BC8" w:rsidRPr="00D31EBB" w:rsidRDefault="00D02BC8" w:rsidP="00826E45">
      <w:pPr>
        <w:pStyle w:val="EMEABodyTextIndent"/>
        <w:ind w:left="426" w:hanging="426"/>
      </w:pPr>
      <w:r>
        <w:t>buprenorphine (used to treat opioid addiction and pain).</w:t>
      </w:r>
    </w:p>
    <w:p w14:paraId="575F224A" w14:textId="77777777" w:rsidR="00D02BC8" w:rsidRPr="00D31EBB" w:rsidRDefault="00D02BC8" w:rsidP="008B6CCB">
      <w:pPr>
        <w:pStyle w:val="EMEABodyText"/>
        <w:rPr>
          <w:lang w:val="en-US"/>
        </w:rPr>
      </w:pPr>
    </w:p>
    <w:p w14:paraId="77B35BCD" w14:textId="77777777" w:rsidR="00D02BC8" w:rsidRPr="00D31EBB" w:rsidRDefault="00D02BC8" w:rsidP="008B6CCB">
      <w:pPr>
        <w:pStyle w:val="EMEABodyText"/>
      </w:pPr>
      <w:r>
        <w:t>Some medicines may interact with ritonavir, a medicine that is taken with REYATAZ. It is important to tell your doctor if you are taking fluticasone or budesonide (given by nose or inhaled to treat allergic symptoms or asthma).</w:t>
      </w:r>
    </w:p>
    <w:p w14:paraId="36D5CF65" w14:textId="77777777" w:rsidR="00D02BC8" w:rsidRPr="00D31EBB" w:rsidRDefault="00D02BC8" w:rsidP="008B6CCB">
      <w:pPr>
        <w:pStyle w:val="EMEABodyText"/>
        <w:rPr>
          <w:b/>
          <w:noProof/>
          <w:lang w:val="en-US"/>
        </w:rPr>
      </w:pPr>
    </w:p>
    <w:p w14:paraId="43821C59" w14:textId="77777777" w:rsidR="00D02BC8" w:rsidRPr="00D31EBB" w:rsidRDefault="00D02BC8" w:rsidP="008B6CCB">
      <w:pPr>
        <w:pStyle w:val="EMEAHeading2"/>
      </w:pPr>
      <w:r>
        <w:t>REYATAZ with food and drink</w:t>
      </w:r>
    </w:p>
    <w:p w14:paraId="7186672F" w14:textId="77777777" w:rsidR="00D02BC8" w:rsidRPr="00D31EBB" w:rsidRDefault="00D02BC8" w:rsidP="008B6CCB">
      <w:pPr>
        <w:pStyle w:val="EMEABodyText"/>
      </w:pPr>
      <w:r>
        <w:t>It is important that you take REYATAZ with food (a meal or a substantial snack) as this helps the body absorb the medicine.</w:t>
      </w:r>
    </w:p>
    <w:p w14:paraId="4C3162A5" w14:textId="77777777" w:rsidR="00D02BC8" w:rsidRPr="00D31EBB" w:rsidRDefault="00D02BC8" w:rsidP="008B6CCB">
      <w:pPr>
        <w:pStyle w:val="EMEABodyText"/>
        <w:rPr>
          <w:b/>
          <w:lang w:val="en-US"/>
        </w:rPr>
      </w:pPr>
    </w:p>
    <w:p w14:paraId="1DA2356D" w14:textId="77777777" w:rsidR="00D02BC8" w:rsidRPr="00D31EBB" w:rsidRDefault="00D02BC8" w:rsidP="008B6CCB">
      <w:pPr>
        <w:pStyle w:val="EMEAHeading2"/>
      </w:pPr>
      <w:r>
        <w:t>Pregnancy and breast-feeding</w:t>
      </w:r>
    </w:p>
    <w:p w14:paraId="72E85622" w14:textId="77777777" w:rsidR="00D02BC8" w:rsidRPr="00D31EBB" w:rsidRDefault="006719E7" w:rsidP="008B6CCB">
      <w:pPr>
        <w:pStyle w:val="EMEABodyText"/>
      </w:pPr>
      <w:r>
        <w:t>If you are pregnant or breast-feeding, think that you may be pregnant or are planning to have a baby, ask your doctor for advice before taking this medicine. Atazanavir, the active substance of REYATAZ, is excreted in human milk. Patients should not breast-feed while taking REYATAZ. It is recommended that women infected with HIV do not breast-feed because the virus might be transmitted through the breast milk.</w:t>
      </w:r>
    </w:p>
    <w:p w14:paraId="563D57C0" w14:textId="77777777" w:rsidR="00D02BC8" w:rsidRPr="00D31EBB" w:rsidRDefault="00D02BC8" w:rsidP="008B6CCB">
      <w:pPr>
        <w:pStyle w:val="EMEABodyText"/>
        <w:rPr>
          <w:b/>
          <w:lang w:val="en-US"/>
        </w:rPr>
      </w:pPr>
    </w:p>
    <w:p w14:paraId="0A5C5544" w14:textId="77777777" w:rsidR="00D02BC8" w:rsidRPr="00D31EBB" w:rsidRDefault="00D02BC8" w:rsidP="008B6CCB">
      <w:pPr>
        <w:pStyle w:val="EMEAHeading2"/>
      </w:pPr>
      <w:r>
        <w:t>Driving and using machines</w:t>
      </w:r>
    </w:p>
    <w:p w14:paraId="133FD67E" w14:textId="77777777" w:rsidR="00D02BC8" w:rsidRPr="00D31EBB" w:rsidRDefault="00D02BC8" w:rsidP="008B6CCB">
      <w:pPr>
        <w:pStyle w:val="EMEABodyText"/>
      </w:pPr>
      <w:r>
        <w:t>If you feel dizzy or lightheaded, do not drive or use machines and contact your doctor immediately.</w:t>
      </w:r>
    </w:p>
    <w:p w14:paraId="13144983" w14:textId="77777777" w:rsidR="00D02BC8" w:rsidRPr="00D31EBB" w:rsidRDefault="00D02BC8" w:rsidP="008B6CCB">
      <w:pPr>
        <w:pStyle w:val="EMEABodyText"/>
        <w:rPr>
          <w:b/>
          <w:noProof/>
          <w:lang w:val="en-US"/>
        </w:rPr>
      </w:pPr>
    </w:p>
    <w:p w14:paraId="0C54E0BD" w14:textId="77777777" w:rsidR="00D02BC8" w:rsidRPr="00D31EBB" w:rsidRDefault="00D02BC8" w:rsidP="008B6CCB">
      <w:pPr>
        <w:pStyle w:val="EMEAHeading2"/>
      </w:pPr>
      <w:r>
        <w:t>REYATAZ contains lactose.</w:t>
      </w:r>
    </w:p>
    <w:p w14:paraId="2F3E6457" w14:textId="77777777" w:rsidR="00D02BC8" w:rsidRPr="00D31EBB" w:rsidRDefault="00D02BC8" w:rsidP="008B6CCB">
      <w:pPr>
        <w:pStyle w:val="EMEABodyText"/>
        <w:rPr>
          <w:noProof/>
        </w:rPr>
      </w:pPr>
      <w:r>
        <w:t>If you have been told by your doctor that you have an intolerance to some sugars (e.g. lactose), contact your doctor before taking this medicinal product.</w:t>
      </w:r>
    </w:p>
    <w:p w14:paraId="079C217F" w14:textId="77777777" w:rsidR="00D02BC8" w:rsidRPr="00D31EBB" w:rsidRDefault="00D02BC8" w:rsidP="008B6CCB">
      <w:pPr>
        <w:pStyle w:val="EMEABodyText"/>
        <w:rPr>
          <w:b/>
          <w:noProof/>
          <w:lang w:val="en-US"/>
        </w:rPr>
      </w:pPr>
    </w:p>
    <w:p w14:paraId="0BBDA7FB" w14:textId="77777777" w:rsidR="00D02BC8" w:rsidRPr="00D31EBB" w:rsidRDefault="00D02BC8" w:rsidP="008B6CCB">
      <w:pPr>
        <w:pStyle w:val="EMEABodyText"/>
        <w:rPr>
          <w:b/>
          <w:noProof/>
          <w:lang w:val="en-US"/>
        </w:rPr>
      </w:pPr>
    </w:p>
    <w:p w14:paraId="05E20D6C" w14:textId="77777777" w:rsidR="00D02BC8" w:rsidRPr="00D31EBB" w:rsidRDefault="00D02BC8" w:rsidP="008B6CCB">
      <w:pPr>
        <w:pStyle w:val="EMEAHeading1"/>
      </w:pPr>
      <w:r>
        <w:t>3.</w:t>
      </w:r>
      <w:r>
        <w:tab/>
      </w:r>
      <w:r>
        <w:rPr>
          <w:caps w:val="0"/>
        </w:rPr>
        <w:t>How to take REYATAZ</w:t>
      </w:r>
    </w:p>
    <w:p w14:paraId="4C29956A" w14:textId="77777777" w:rsidR="00D02BC8" w:rsidRPr="00D31EBB" w:rsidRDefault="00D02BC8" w:rsidP="00222DF5">
      <w:pPr>
        <w:pStyle w:val="EMEABodyText"/>
        <w:rPr>
          <w:noProof/>
          <w:lang w:val="en-US"/>
        </w:rPr>
      </w:pPr>
    </w:p>
    <w:p w14:paraId="7255F1A6" w14:textId="77777777" w:rsidR="00D02BC8" w:rsidRPr="00D31EBB" w:rsidRDefault="00D02BC8" w:rsidP="008B6CCB">
      <w:pPr>
        <w:pStyle w:val="EMEABodyText"/>
      </w:pPr>
      <w:r>
        <w:t xml:space="preserve">Always take this medicine exactly as your doctor has told you. Check with your doctor if you are not sure. This way, you can be sure your medicine is fully effective and you reduce the risk of the virus developing resistance to the treatment. </w:t>
      </w:r>
    </w:p>
    <w:p w14:paraId="66246DF4" w14:textId="77777777" w:rsidR="00D02BC8" w:rsidRPr="00D31EBB" w:rsidRDefault="00D02BC8" w:rsidP="008B6CCB">
      <w:pPr>
        <w:pStyle w:val="EMEABodyText"/>
        <w:rPr>
          <w:noProof/>
          <w:lang w:val="en-US"/>
        </w:rPr>
      </w:pPr>
    </w:p>
    <w:p w14:paraId="1E9B2533" w14:textId="77777777" w:rsidR="00D02BC8" w:rsidRPr="00D31EBB" w:rsidRDefault="00D02BC8" w:rsidP="008B6CCB">
      <w:pPr>
        <w:pStyle w:val="EMEABodyText"/>
      </w:pPr>
      <w:r>
        <w:rPr>
          <w:b/>
        </w:rPr>
        <w:t xml:space="preserve">The recommended adult dose of REYATAZ capsules is 300 mg once daily with 100 mg ritonavir once daily and with food, </w:t>
      </w:r>
      <w:r>
        <w:t>in combination with other anti-HIV medicines. Your doctor may adjust the dose of REYATAZ according to your anti-HIV therapy.</w:t>
      </w:r>
    </w:p>
    <w:p w14:paraId="40EEDD29" w14:textId="77777777" w:rsidR="00D02BC8" w:rsidRPr="00D31EBB" w:rsidRDefault="00D02BC8" w:rsidP="008B6CCB">
      <w:pPr>
        <w:pStyle w:val="EMEABodyText"/>
        <w:rPr>
          <w:b/>
          <w:lang w:val="en-US"/>
        </w:rPr>
      </w:pPr>
    </w:p>
    <w:p w14:paraId="26A73A40" w14:textId="77777777" w:rsidR="00D02BC8" w:rsidRPr="00D31EBB" w:rsidRDefault="00D02BC8" w:rsidP="008B6CCB">
      <w:pPr>
        <w:pStyle w:val="EMEABodyText"/>
        <w:spacing w:after="60"/>
      </w:pPr>
      <w:r>
        <w:rPr>
          <w:b/>
        </w:rPr>
        <w:t xml:space="preserve">For children (6 to less than 18 years of age), your child's doctor will decide the right dose based on your child's weight. </w:t>
      </w:r>
      <w:r>
        <w:t>The dose of REYATAZ capsules for children is calculated by body weight and is taken once daily with food and 100 mg ritonavir as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3"/>
        <w:gridCol w:w="3028"/>
        <w:gridCol w:w="3022"/>
      </w:tblGrid>
      <w:tr w:rsidR="00D02BC8" w:rsidRPr="00965E20" w14:paraId="5E67550A" w14:textId="77777777" w:rsidTr="008B6CCB">
        <w:tc>
          <w:tcPr>
            <w:tcW w:w="3096" w:type="dxa"/>
          </w:tcPr>
          <w:p w14:paraId="7872603F" w14:textId="77777777" w:rsidR="00D02BC8" w:rsidRPr="004F3582" w:rsidRDefault="00D02BC8" w:rsidP="008B6CCB">
            <w:pPr>
              <w:pStyle w:val="EMEABodyText"/>
              <w:jc w:val="center"/>
              <w:rPr>
                <w:b/>
              </w:rPr>
            </w:pPr>
            <w:r>
              <w:rPr>
                <w:b/>
              </w:rPr>
              <w:t>Body Weight</w:t>
            </w:r>
          </w:p>
          <w:p w14:paraId="56E3372A" w14:textId="77777777" w:rsidR="00D02BC8" w:rsidRPr="004F3582" w:rsidRDefault="00D02BC8" w:rsidP="008B6CCB">
            <w:pPr>
              <w:pStyle w:val="EMEABodyText"/>
              <w:jc w:val="center"/>
              <w:rPr>
                <w:b/>
              </w:rPr>
            </w:pPr>
            <w:r>
              <w:rPr>
                <w:b/>
              </w:rPr>
              <w:t>(kg)</w:t>
            </w:r>
          </w:p>
        </w:tc>
        <w:tc>
          <w:tcPr>
            <w:tcW w:w="3096" w:type="dxa"/>
          </w:tcPr>
          <w:p w14:paraId="65C81DD9" w14:textId="77777777" w:rsidR="00D02BC8" w:rsidRPr="00D31EBB" w:rsidRDefault="00D02BC8" w:rsidP="008B6CCB">
            <w:pPr>
              <w:pStyle w:val="EMEABodyText"/>
              <w:jc w:val="center"/>
              <w:rPr>
                <w:b/>
              </w:rPr>
            </w:pPr>
            <w:r>
              <w:rPr>
                <w:b/>
              </w:rPr>
              <w:t>REYATAZ Dose once daily</w:t>
            </w:r>
          </w:p>
          <w:p w14:paraId="492DF4A2" w14:textId="77777777" w:rsidR="00D02BC8" w:rsidRPr="00D31EBB" w:rsidRDefault="00D02BC8" w:rsidP="008B6CCB">
            <w:pPr>
              <w:pStyle w:val="EMEABodyText"/>
              <w:jc w:val="center"/>
              <w:rPr>
                <w:b/>
              </w:rPr>
            </w:pPr>
            <w:r>
              <w:rPr>
                <w:b/>
              </w:rPr>
              <w:t>(mg)</w:t>
            </w:r>
          </w:p>
        </w:tc>
        <w:tc>
          <w:tcPr>
            <w:tcW w:w="3097" w:type="dxa"/>
          </w:tcPr>
          <w:p w14:paraId="030ECCC9" w14:textId="77777777" w:rsidR="00D02BC8" w:rsidRPr="00D31EBB" w:rsidRDefault="00D02BC8" w:rsidP="008B6CCB">
            <w:pPr>
              <w:pStyle w:val="EMEABodyText"/>
              <w:jc w:val="center"/>
              <w:rPr>
                <w:b/>
              </w:rPr>
            </w:pPr>
            <w:r>
              <w:rPr>
                <w:b/>
              </w:rPr>
              <w:t>Ritonavir Dose* once daily</w:t>
            </w:r>
          </w:p>
          <w:p w14:paraId="69D2FE01" w14:textId="77777777" w:rsidR="00D02BC8" w:rsidRPr="00D31EBB" w:rsidRDefault="00D02BC8" w:rsidP="008B6CCB">
            <w:pPr>
              <w:pStyle w:val="EMEABodyText"/>
              <w:jc w:val="center"/>
              <w:rPr>
                <w:b/>
              </w:rPr>
            </w:pPr>
            <w:r>
              <w:rPr>
                <w:b/>
              </w:rPr>
              <w:t>(mg)</w:t>
            </w:r>
          </w:p>
        </w:tc>
      </w:tr>
      <w:tr w:rsidR="00D02BC8" w:rsidRPr="004F3582" w14:paraId="154E4C77" w14:textId="77777777" w:rsidTr="008B6CCB">
        <w:tc>
          <w:tcPr>
            <w:tcW w:w="3096" w:type="dxa"/>
          </w:tcPr>
          <w:p w14:paraId="3D3647F6" w14:textId="77777777" w:rsidR="00D02BC8" w:rsidRPr="004F3582" w:rsidRDefault="00D02BC8" w:rsidP="00462FE2">
            <w:pPr>
              <w:pStyle w:val="EMEABodyText"/>
              <w:jc w:val="center"/>
            </w:pPr>
            <w:r>
              <w:t>15 to less than 35</w:t>
            </w:r>
          </w:p>
        </w:tc>
        <w:tc>
          <w:tcPr>
            <w:tcW w:w="3096" w:type="dxa"/>
          </w:tcPr>
          <w:p w14:paraId="66736E59" w14:textId="77777777" w:rsidR="00D02BC8" w:rsidRPr="004F3582" w:rsidRDefault="006719E7" w:rsidP="008B6CCB">
            <w:pPr>
              <w:pStyle w:val="EMEABodyText"/>
              <w:jc w:val="center"/>
            </w:pPr>
            <w:r>
              <w:t>200</w:t>
            </w:r>
          </w:p>
        </w:tc>
        <w:tc>
          <w:tcPr>
            <w:tcW w:w="3097" w:type="dxa"/>
          </w:tcPr>
          <w:p w14:paraId="755D3F32" w14:textId="77777777" w:rsidR="00D02BC8" w:rsidRPr="004F3582" w:rsidRDefault="00D02BC8" w:rsidP="008B6CCB">
            <w:pPr>
              <w:pStyle w:val="EMEABodyText"/>
              <w:jc w:val="center"/>
            </w:pPr>
            <w:r>
              <w:t>100</w:t>
            </w:r>
          </w:p>
        </w:tc>
      </w:tr>
      <w:tr w:rsidR="00D02BC8" w:rsidRPr="004F3582" w14:paraId="7FF9A63A" w14:textId="77777777" w:rsidTr="008B6CCB">
        <w:tc>
          <w:tcPr>
            <w:tcW w:w="3096" w:type="dxa"/>
          </w:tcPr>
          <w:p w14:paraId="77D828E6" w14:textId="77777777" w:rsidR="00D02BC8" w:rsidRPr="004F3582" w:rsidRDefault="00D02BC8" w:rsidP="00462FE2">
            <w:pPr>
              <w:pStyle w:val="EMEABodyText"/>
              <w:jc w:val="center"/>
            </w:pPr>
            <w:r>
              <w:t>at least 35</w:t>
            </w:r>
          </w:p>
        </w:tc>
        <w:tc>
          <w:tcPr>
            <w:tcW w:w="3096" w:type="dxa"/>
          </w:tcPr>
          <w:p w14:paraId="3AA5FE2F" w14:textId="77777777" w:rsidR="00D02BC8" w:rsidRPr="004F3582" w:rsidRDefault="00D02BC8" w:rsidP="008B6CCB">
            <w:pPr>
              <w:pStyle w:val="EMEABodyText"/>
              <w:jc w:val="center"/>
            </w:pPr>
            <w:r>
              <w:t>300</w:t>
            </w:r>
          </w:p>
        </w:tc>
        <w:tc>
          <w:tcPr>
            <w:tcW w:w="3097" w:type="dxa"/>
          </w:tcPr>
          <w:p w14:paraId="0D152A04" w14:textId="77777777" w:rsidR="00D02BC8" w:rsidRPr="004F3582" w:rsidRDefault="00D02BC8" w:rsidP="008B6CCB">
            <w:pPr>
              <w:pStyle w:val="EMEABodyText"/>
              <w:jc w:val="center"/>
            </w:pPr>
            <w:r>
              <w:t>100</w:t>
            </w:r>
          </w:p>
        </w:tc>
      </w:tr>
      <w:tr w:rsidR="00D02BC8" w:rsidRPr="00965E20" w14:paraId="50681FD0" w14:textId="77777777" w:rsidTr="008B6CCB">
        <w:tc>
          <w:tcPr>
            <w:tcW w:w="9289" w:type="dxa"/>
            <w:gridSpan w:val="3"/>
          </w:tcPr>
          <w:p w14:paraId="276B09EA" w14:textId="77777777" w:rsidR="00D02BC8" w:rsidRPr="00D31EBB" w:rsidRDefault="00D02BC8" w:rsidP="008B6CCB">
            <w:pPr>
              <w:pStyle w:val="EMEABodyText"/>
              <w:keepNext/>
              <w:rPr>
                <w:sz w:val="18"/>
              </w:rPr>
            </w:pPr>
            <w:r>
              <w:rPr>
                <w:sz w:val="18"/>
              </w:rPr>
              <w:t>*Ritonavir capsules, tablets or oral solution may be used.</w:t>
            </w:r>
          </w:p>
        </w:tc>
      </w:tr>
    </w:tbl>
    <w:p w14:paraId="4599452E" w14:textId="77777777" w:rsidR="00D02BC8" w:rsidRPr="00D31EBB" w:rsidRDefault="00D02BC8" w:rsidP="008B6CCB">
      <w:pPr>
        <w:pStyle w:val="EMEABodyText"/>
        <w:rPr>
          <w:lang w:val="en-US"/>
        </w:rPr>
      </w:pPr>
    </w:p>
    <w:p w14:paraId="23FFCEA7" w14:textId="77777777" w:rsidR="006719E7" w:rsidRPr="00D31EBB" w:rsidRDefault="003D1EBD" w:rsidP="006719E7">
      <w:pPr>
        <w:pStyle w:val="EMEABodyText"/>
        <w:rPr>
          <w:bCs/>
          <w:iCs/>
        </w:rPr>
      </w:pPr>
      <w:r>
        <w:t>REYATAZ is also available as an oral powder for use in children at least 3 months old and weighing at least 5 kg. Switching to REYATAZ capsules from REYATAZ oral powder is encouraged as soon as patients are able to consistently swallow capsules.</w:t>
      </w:r>
    </w:p>
    <w:p w14:paraId="27A7A773" w14:textId="77777777" w:rsidR="006719E7" w:rsidRPr="00D31EBB" w:rsidRDefault="006719E7" w:rsidP="006719E7">
      <w:pPr>
        <w:pStyle w:val="EMEABodyText"/>
        <w:rPr>
          <w:bCs/>
          <w:iCs/>
          <w:lang w:val="en-US"/>
        </w:rPr>
      </w:pPr>
    </w:p>
    <w:p w14:paraId="65CFA4E4" w14:textId="77777777" w:rsidR="006719E7" w:rsidRPr="00D31EBB" w:rsidRDefault="006719E7" w:rsidP="006719E7">
      <w:pPr>
        <w:pStyle w:val="EMEABodyText"/>
        <w:rPr>
          <w:bCs/>
          <w:iCs/>
        </w:rPr>
      </w:pPr>
      <w:r>
        <w:t>A change in dose may occur when switching between oral powder and capsules. Your doctor will decide the right dose based on your child’s weight.</w:t>
      </w:r>
    </w:p>
    <w:p w14:paraId="69F5AEEB" w14:textId="77777777" w:rsidR="003D1EBD" w:rsidRPr="00D31EBB" w:rsidRDefault="003D1EBD" w:rsidP="003D1EBD">
      <w:pPr>
        <w:pStyle w:val="EMEABodyText"/>
        <w:rPr>
          <w:bCs/>
          <w:iCs/>
          <w:lang w:val="en-US"/>
        </w:rPr>
      </w:pPr>
    </w:p>
    <w:p w14:paraId="11446363" w14:textId="77777777" w:rsidR="00D02BC8" w:rsidRPr="00D31EBB" w:rsidRDefault="00D02BC8" w:rsidP="008B6CCB">
      <w:pPr>
        <w:pStyle w:val="EMEABodyText"/>
        <w:rPr>
          <w:bCs/>
          <w:iCs/>
        </w:rPr>
      </w:pPr>
      <w:r>
        <w:t>There are no dosing recommendations for REYATAZ in paediatric patients less than 3 months of age.</w:t>
      </w:r>
    </w:p>
    <w:p w14:paraId="07A583AB" w14:textId="77777777" w:rsidR="00D02BC8" w:rsidRPr="00D31EBB" w:rsidRDefault="00D02BC8" w:rsidP="008B6CCB">
      <w:pPr>
        <w:pStyle w:val="EMEABodyText"/>
        <w:rPr>
          <w:lang w:val="en-US"/>
        </w:rPr>
      </w:pPr>
    </w:p>
    <w:p w14:paraId="73B8DB29" w14:textId="77777777" w:rsidR="00D02BC8" w:rsidRPr="00D31EBB" w:rsidRDefault="00D02BC8" w:rsidP="008B6CCB">
      <w:pPr>
        <w:pStyle w:val="EMEABodyText"/>
        <w:rPr>
          <w:b/>
        </w:rPr>
      </w:pPr>
      <w:r>
        <w:rPr>
          <w:b/>
        </w:rPr>
        <w:t xml:space="preserve">Take REYATAZ capsules with food </w:t>
      </w:r>
      <w:r>
        <w:t xml:space="preserve">(a meal or a substantial snack). Swallow the capsules whole. </w:t>
      </w:r>
      <w:r>
        <w:rPr>
          <w:b/>
        </w:rPr>
        <w:t>Do not open the capsules.</w:t>
      </w:r>
    </w:p>
    <w:p w14:paraId="15BC9BE6" w14:textId="77777777" w:rsidR="00D02BC8" w:rsidRPr="00D31EBB" w:rsidRDefault="00D02BC8" w:rsidP="008B6CCB">
      <w:pPr>
        <w:pStyle w:val="EMEABodyText"/>
        <w:rPr>
          <w:b/>
          <w:lang w:val="en-US"/>
        </w:rPr>
      </w:pPr>
    </w:p>
    <w:p w14:paraId="7FB57E86" w14:textId="77777777" w:rsidR="00D02BC8" w:rsidRPr="00D31EBB" w:rsidRDefault="00D02BC8" w:rsidP="008B6CCB">
      <w:pPr>
        <w:pStyle w:val="EMEAHeading2"/>
      </w:pPr>
      <w:r>
        <w:t>If you take more REYATAZ than you should</w:t>
      </w:r>
    </w:p>
    <w:p w14:paraId="70C3CED1" w14:textId="77777777" w:rsidR="006719E7" w:rsidRPr="00D31EBB" w:rsidRDefault="006719E7" w:rsidP="006719E7">
      <w:pPr>
        <w:pStyle w:val="EMEABodyText"/>
      </w:pPr>
      <w:r>
        <w:t>Yellowing of the skin and/or eyes (jaundice) and irregular heart beat (QTc prolongation) may occur if you or your child take too much REYATAZ.</w:t>
      </w:r>
    </w:p>
    <w:p w14:paraId="22E216BF" w14:textId="77777777" w:rsidR="00D02BC8" w:rsidRPr="00D31EBB" w:rsidRDefault="00D02BC8" w:rsidP="008B6CCB">
      <w:pPr>
        <w:pStyle w:val="EMEABodyText"/>
      </w:pPr>
      <w:r>
        <w:t>If you accidentally take more REYATAZ capsules than your doctor recommended, contact your HIV doctor at once or contact the nearest hospital for advice.</w:t>
      </w:r>
    </w:p>
    <w:p w14:paraId="568F69BD" w14:textId="77777777" w:rsidR="00D02BC8" w:rsidRPr="00D31EBB" w:rsidRDefault="00D02BC8" w:rsidP="008B6CCB">
      <w:pPr>
        <w:pStyle w:val="EMEABodyText"/>
        <w:rPr>
          <w:b/>
          <w:lang w:val="en-US"/>
        </w:rPr>
      </w:pPr>
    </w:p>
    <w:p w14:paraId="56D85505" w14:textId="77777777" w:rsidR="00D02BC8" w:rsidRPr="00D31EBB" w:rsidRDefault="00D02BC8" w:rsidP="008B6CCB">
      <w:pPr>
        <w:pStyle w:val="EMEAHeading2"/>
      </w:pPr>
      <w:r>
        <w:t>If you forget to take REYATAZ</w:t>
      </w:r>
    </w:p>
    <w:p w14:paraId="44428718" w14:textId="77777777" w:rsidR="00D02BC8" w:rsidRPr="00D31EBB" w:rsidRDefault="00D02BC8" w:rsidP="008B6CCB">
      <w:pPr>
        <w:pStyle w:val="EMEABodyText"/>
        <w:rPr>
          <w:b/>
        </w:rPr>
      </w:pPr>
      <w:r>
        <w:t xml:space="preserve">If you miss a dose, take the missed dose as soon as possible with food and then take your next scheduled dose at its regular time. If it is almost time for your next dose, do not take the missed dose. Wait and take the next dose at its regular time. </w:t>
      </w:r>
      <w:r>
        <w:rPr>
          <w:b/>
        </w:rPr>
        <w:t>Do not take a double dose to make up for a forgotten dose.</w:t>
      </w:r>
    </w:p>
    <w:p w14:paraId="47457B3C" w14:textId="77777777" w:rsidR="00D02BC8" w:rsidRPr="00D31EBB" w:rsidRDefault="00D02BC8" w:rsidP="008B6CCB">
      <w:pPr>
        <w:pStyle w:val="EMEABodyText"/>
        <w:rPr>
          <w:noProof/>
          <w:lang w:val="en-US"/>
        </w:rPr>
      </w:pPr>
    </w:p>
    <w:p w14:paraId="4F958CA1" w14:textId="77777777" w:rsidR="00D02BC8" w:rsidRPr="00D31EBB" w:rsidRDefault="00D02BC8" w:rsidP="008B6CCB">
      <w:pPr>
        <w:pStyle w:val="EMEAHeading2"/>
      </w:pPr>
      <w:r>
        <w:t>If you stop taking REYATAZ</w:t>
      </w:r>
    </w:p>
    <w:p w14:paraId="3740E28B" w14:textId="77777777" w:rsidR="00D02BC8" w:rsidRPr="00D31EBB" w:rsidRDefault="00D02BC8" w:rsidP="008B6CCB">
      <w:pPr>
        <w:pStyle w:val="EMEABodyText"/>
      </w:pPr>
      <w:r>
        <w:t>Do not stop taking REYATAZ before talking to your doctor.</w:t>
      </w:r>
    </w:p>
    <w:p w14:paraId="4F3FB11B" w14:textId="77777777" w:rsidR="00D02BC8" w:rsidRPr="00D31EBB" w:rsidRDefault="00D02BC8" w:rsidP="008B6CCB">
      <w:pPr>
        <w:pStyle w:val="EMEABodyText"/>
        <w:rPr>
          <w:b/>
          <w:lang w:val="en-US"/>
        </w:rPr>
      </w:pPr>
    </w:p>
    <w:p w14:paraId="597A4501" w14:textId="77777777" w:rsidR="00D02BC8" w:rsidRPr="00D31EBB" w:rsidRDefault="00D02BC8" w:rsidP="008B6CCB">
      <w:pPr>
        <w:pStyle w:val="EMEABodyText"/>
        <w:rPr>
          <w:noProof/>
        </w:rPr>
      </w:pPr>
      <w:r>
        <w:t>If you have any further questions on the use of this medicine, ask your doctor.</w:t>
      </w:r>
    </w:p>
    <w:p w14:paraId="42B61C4B" w14:textId="77777777" w:rsidR="00D02BC8" w:rsidRPr="00D31EBB" w:rsidRDefault="00D02BC8" w:rsidP="008B6CCB">
      <w:pPr>
        <w:pStyle w:val="EMEABodyText"/>
        <w:rPr>
          <w:b/>
          <w:noProof/>
          <w:lang w:val="en-US"/>
        </w:rPr>
      </w:pPr>
    </w:p>
    <w:p w14:paraId="5F68366C" w14:textId="77777777" w:rsidR="00D02BC8" w:rsidRPr="00D31EBB" w:rsidRDefault="00D02BC8" w:rsidP="008B6CCB">
      <w:pPr>
        <w:pStyle w:val="EMEABodyText"/>
        <w:rPr>
          <w:b/>
          <w:noProof/>
          <w:lang w:val="en-US"/>
        </w:rPr>
      </w:pPr>
    </w:p>
    <w:p w14:paraId="3BFCAA85" w14:textId="77777777" w:rsidR="00D02BC8" w:rsidRPr="00D31EBB" w:rsidRDefault="00D02BC8" w:rsidP="00222DF5">
      <w:pPr>
        <w:pStyle w:val="EMEAHeading1"/>
        <w:rPr>
          <w:noProof/>
        </w:rPr>
      </w:pPr>
      <w:r>
        <w:t>4.</w:t>
      </w:r>
      <w:r>
        <w:tab/>
      </w:r>
      <w:r>
        <w:rPr>
          <w:caps w:val="0"/>
        </w:rPr>
        <w:t>Possible side effects</w:t>
      </w:r>
    </w:p>
    <w:p w14:paraId="67268FA0" w14:textId="77777777" w:rsidR="00D02BC8" w:rsidRPr="00D31EBB" w:rsidRDefault="00D02BC8" w:rsidP="00222DF5">
      <w:pPr>
        <w:pStyle w:val="EMEABodyText"/>
        <w:rPr>
          <w:noProof/>
          <w:lang w:val="en-US"/>
        </w:rPr>
      </w:pPr>
    </w:p>
    <w:p w14:paraId="4D60C8C3" w14:textId="77777777" w:rsidR="00D02BC8" w:rsidRPr="00D31EBB" w:rsidRDefault="00D02BC8" w:rsidP="008B6CCB">
      <w:pPr>
        <w:pStyle w:val="EMEABodyText"/>
      </w:pPr>
      <w:r>
        <w:t>Like all medicines, this medicine can cause side effects, although not everybody gets them. When treating HIV infection, it is not always easy to identify what side effects are caused by REYATAZ, by the other medicines you are taking, or by the HIV infection itself. Tell your doctor if you notice anything unusual about your health.</w:t>
      </w:r>
    </w:p>
    <w:p w14:paraId="1502C04D" w14:textId="77777777" w:rsidR="00680F60" w:rsidRPr="00D31EBB" w:rsidRDefault="00680F60" w:rsidP="008B6CCB">
      <w:pPr>
        <w:pStyle w:val="EMEABodyText"/>
        <w:rPr>
          <w:lang w:val="en-US"/>
        </w:rPr>
      </w:pPr>
    </w:p>
    <w:p w14:paraId="25980D2F" w14:textId="77777777" w:rsidR="00680F60" w:rsidRPr="00D31EBB" w:rsidRDefault="00680F60" w:rsidP="00680F60">
      <w:pPr>
        <w:pStyle w:val="EMEABodyText"/>
      </w:pPr>
      <w: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553E9B4A" w14:textId="77777777" w:rsidR="00D02BC8" w:rsidRPr="00D31EBB" w:rsidRDefault="00D02BC8" w:rsidP="008B6CCB">
      <w:pPr>
        <w:pStyle w:val="EMEABodyText"/>
        <w:rPr>
          <w:lang w:val="en-US"/>
        </w:rPr>
      </w:pPr>
    </w:p>
    <w:p w14:paraId="5DD85034" w14:textId="77777777" w:rsidR="00C46103" w:rsidRPr="00D31EBB" w:rsidRDefault="00C46103" w:rsidP="00C46103">
      <w:pPr>
        <w:pStyle w:val="EMEABodyText"/>
      </w:pPr>
      <w:r>
        <w:t>Tell your doctor immediately if you develop any of the following serious side effects:</w:t>
      </w:r>
    </w:p>
    <w:p w14:paraId="4E89D16D" w14:textId="77777777" w:rsidR="00C46103" w:rsidRPr="00D31EBB" w:rsidRDefault="00C46103" w:rsidP="00C46103">
      <w:pPr>
        <w:pStyle w:val="EMEABodyText"/>
        <w:rPr>
          <w:lang w:val="en-US"/>
        </w:rPr>
      </w:pPr>
    </w:p>
    <w:p w14:paraId="18342A14" w14:textId="77777777" w:rsidR="00C46103" w:rsidRPr="00D31EBB" w:rsidRDefault="00C46103" w:rsidP="00826E45">
      <w:pPr>
        <w:pStyle w:val="EMEABodyTextIndent"/>
        <w:ind w:left="426" w:hanging="426"/>
        <w:rPr>
          <w:i/>
        </w:rPr>
      </w:pPr>
      <w:r>
        <w:t xml:space="preserve">Skin rash, itching that may occasionally be severe has been reported. The rash usually disappears within 2 weeks without any change to your REYATAZ treatment. Severe rash may be developed in association with other symptoms which could be serious. Stop taking REYATAZ and talk to your doctor immediately if you develop a severe rash or a rash with flu-like illness symptoms, blisters, fever, mouth sores, muscle or joint pain, swelling in the face, inflammation of the eye which causes redness (conjunctivitis), painful, warm, or red lumps (nodules). </w:t>
      </w:r>
    </w:p>
    <w:p w14:paraId="243EEED3" w14:textId="77777777" w:rsidR="004B03FA" w:rsidRPr="00D31EBB" w:rsidRDefault="004B03FA" w:rsidP="00826E45">
      <w:pPr>
        <w:pStyle w:val="EMEABodyTextIndent"/>
        <w:ind w:left="426" w:hanging="426"/>
        <w:rPr>
          <w:i/>
        </w:rPr>
      </w:pPr>
      <w:r>
        <w:t>Yellowing of your skin or the white part of your eyes caused by high levels of bilirubin in your blood has been commonly reported. This side effect is usually not dangerous in adults and infants older than 3 months of age; but it might be a symptom of a serious problem. If your skin or the white part of your eyes turns yellow, talk to your doctor immediately.</w:t>
      </w:r>
    </w:p>
    <w:p w14:paraId="1D5CD8EA" w14:textId="77777777" w:rsidR="00C46103" w:rsidRPr="004F3582" w:rsidRDefault="00C46103" w:rsidP="00826E45">
      <w:pPr>
        <w:pStyle w:val="EMEABodyTextIndent"/>
        <w:ind w:left="426" w:hanging="426"/>
        <w:rPr>
          <w:i/>
        </w:rPr>
      </w:pPr>
      <w:r>
        <w:t xml:space="preserve">Changes in the way your heart beats (heart rhythm change) may occasionally happen. Talk to your doctor immediately if you get dizzy, lightheaded or if you suddenly faint. These could be symptoms of a serious heart problem. </w:t>
      </w:r>
    </w:p>
    <w:p w14:paraId="0DFA4EB2" w14:textId="77777777" w:rsidR="00C46103" w:rsidRPr="00D31EBB" w:rsidRDefault="00C46103" w:rsidP="00826E45">
      <w:pPr>
        <w:pStyle w:val="EMEABodyTextIndent"/>
        <w:ind w:left="426" w:hanging="426"/>
        <w:rPr>
          <w:i/>
        </w:rPr>
      </w:pPr>
      <w:r>
        <w:t>Liver problems may uncommonly happen. Your doctor should do blood tests prior you start REYATAZ and during treatment. If you have liver problems, including hepatitis B or C infection, you may experience a worsening of your liver problems. Talk to your doctor immediately if you get dark (tea-colored) urine, itching, yellowing of your skin or the white part of your eyes, pain around the stomach, pale colored stools or nausea.</w:t>
      </w:r>
    </w:p>
    <w:p w14:paraId="56A9B34B" w14:textId="77777777" w:rsidR="00C46103" w:rsidRPr="00D31EBB" w:rsidRDefault="00C46103" w:rsidP="00826E45">
      <w:pPr>
        <w:pStyle w:val="EMEABodyTextIndent"/>
        <w:ind w:left="426" w:hanging="426"/>
      </w:pPr>
      <w:r>
        <w:t>Gallbladder problems uncommonly happen in people taking REYATAZ. Symptoms of gallbladder problems may include pain in the right or middle upper stomach area, nausea, vomiting, fever or yellowing your skin or the white part of your eyes.</w:t>
      </w:r>
    </w:p>
    <w:p w14:paraId="475019AA" w14:textId="77777777" w:rsidR="00826E45" w:rsidRPr="00D31EBB" w:rsidRDefault="00826E45" w:rsidP="00826E45">
      <w:pPr>
        <w:pStyle w:val="EMEABodyTextIndent"/>
        <w:ind w:left="426" w:hanging="426"/>
      </w:pPr>
      <w:r>
        <w:t>REYATAZ may affect how well your kidneys work.</w:t>
      </w:r>
    </w:p>
    <w:p w14:paraId="66F56B4B" w14:textId="77777777" w:rsidR="00C46103" w:rsidRPr="00D31EBB" w:rsidRDefault="00C46103" w:rsidP="00826E45">
      <w:pPr>
        <w:pStyle w:val="EMEABodyTextIndent"/>
        <w:ind w:left="426" w:hanging="426"/>
        <w:rPr>
          <w:i/>
        </w:rPr>
      </w:pPr>
      <w:r>
        <w:t>Kidney stones uncommonly happen in people taking REYATAZ. Talk to your doctor immediately if you get symptoms of kidney stones which may include, pain in your low back or low stomach-area, blood in your urine or pain when you urinate.</w:t>
      </w:r>
    </w:p>
    <w:p w14:paraId="70220298" w14:textId="77777777" w:rsidR="00C46103" w:rsidRPr="00D31EBB" w:rsidRDefault="00C46103" w:rsidP="008B6CCB">
      <w:pPr>
        <w:pStyle w:val="EMEABodyText"/>
        <w:rPr>
          <w:lang w:val="en-US"/>
        </w:rPr>
      </w:pPr>
    </w:p>
    <w:p w14:paraId="63CA8611" w14:textId="77777777" w:rsidR="00D02BC8" w:rsidRPr="00D31EBB" w:rsidRDefault="00C46103" w:rsidP="008B6CCB">
      <w:pPr>
        <w:pStyle w:val="EMEABodyText"/>
      </w:pPr>
      <w:r>
        <w:t>Other side effects reported for patients treated with REYATAZ are the following:</w:t>
      </w:r>
    </w:p>
    <w:p w14:paraId="6B8615F6" w14:textId="77777777" w:rsidR="00D02BC8" w:rsidRPr="00D31EBB" w:rsidRDefault="00D02BC8" w:rsidP="008B6CCB">
      <w:pPr>
        <w:pStyle w:val="EMEABodyText"/>
      </w:pPr>
      <w:r>
        <w:t xml:space="preserve">Common (may affect up to 1 in 10 people): </w:t>
      </w:r>
    </w:p>
    <w:p w14:paraId="12056BC4" w14:textId="77777777" w:rsidR="00D02BC8" w:rsidRPr="004F3582" w:rsidRDefault="00D02BC8" w:rsidP="00826E45">
      <w:pPr>
        <w:pStyle w:val="EMEABodyTextIndent"/>
        <w:ind w:left="426" w:hanging="426"/>
      </w:pPr>
      <w:r>
        <w:t>headache</w:t>
      </w:r>
    </w:p>
    <w:p w14:paraId="7503F92B" w14:textId="77777777" w:rsidR="00D02BC8" w:rsidRPr="00D31EBB" w:rsidRDefault="00D02BC8" w:rsidP="00826E45">
      <w:pPr>
        <w:pStyle w:val="EMEABodyTextIndent"/>
        <w:ind w:left="426" w:hanging="426"/>
      </w:pPr>
      <w:r>
        <w:t>vomiting, diarrhoea, abdominal pain (stomach pain of discomfort), nausea, dyspepsia (indigestion)</w:t>
      </w:r>
    </w:p>
    <w:p w14:paraId="347AE4F4" w14:textId="77777777" w:rsidR="00D02BC8" w:rsidRPr="004F3582" w:rsidRDefault="00D02BC8" w:rsidP="00826E45">
      <w:pPr>
        <w:pStyle w:val="EMEABodyTextIndent"/>
        <w:ind w:left="426" w:hanging="426"/>
      </w:pPr>
      <w:r>
        <w:t>fatigue (extreme tiredness)</w:t>
      </w:r>
    </w:p>
    <w:p w14:paraId="69AE21B4" w14:textId="77777777" w:rsidR="00D02BC8" w:rsidRPr="00D31EBB" w:rsidRDefault="00D02BC8" w:rsidP="008B6CCB">
      <w:pPr>
        <w:pStyle w:val="EMEABodyText"/>
      </w:pPr>
      <w:r>
        <w:t xml:space="preserve">Uncommon (may affect up to 1 in 100 people): </w:t>
      </w:r>
    </w:p>
    <w:p w14:paraId="584FF804" w14:textId="77777777" w:rsidR="00D02BC8" w:rsidRPr="00D31EBB" w:rsidRDefault="00D02BC8" w:rsidP="00826E45">
      <w:pPr>
        <w:pStyle w:val="EMEABodyTextIndent"/>
        <w:ind w:left="426" w:hanging="426"/>
      </w:pPr>
      <w:r>
        <w:t>peripheral neuropathy (numbness, weakness, tingling or pain in the arms and legs)</w:t>
      </w:r>
    </w:p>
    <w:p w14:paraId="0EEA9470" w14:textId="77777777" w:rsidR="00D02BC8" w:rsidRPr="004F3582" w:rsidRDefault="00D02BC8" w:rsidP="00826E45">
      <w:pPr>
        <w:pStyle w:val="EMEABodyTextIndent"/>
        <w:ind w:left="426" w:hanging="426"/>
      </w:pPr>
      <w:r>
        <w:t>hypersensitivity (allergic reaction)</w:t>
      </w:r>
    </w:p>
    <w:p w14:paraId="584D3E24" w14:textId="77777777" w:rsidR="00D02BC8" w:rsidRPr="00D31EBB" w:rsidRDefault="00D02BC8" w:rsidP="00826E45">
      <w:pPr>
        <w:pStyle w:val="EMEABodyTextIndent"/>
        <w:ind w:left="426" w:hanging="426"/>
      </w:pPr>
      <w:r>
        <w:t>asthenia (unusual tiredness or weakness)</w:t>
      </w:r>
    </w:p>
    <w:p w14:paraId="2655C06C" w14:textId="77777777" w:rsidR="00D02BC8" w:rsidRPr="00D31EBB" w:rsidRDefault="00D02BC8" w:rsidP="00826E45">
      <w:pPr>
        <w:pStyle w:val="EMEABodyTextIndent"/>
        <w:ind w:left="426" w:hanging="426"/>
      </w:pPr>
      <w:r>
        <w:t>weight decreased, weight gain, anorexia (loss of appetite), appetite increased</w:t>
      </w:r>
    </w:p>
    <w:p w14:paraId="42C3C4CD" w14:textId="77777777" w:rsidR="00D02BC8" w:rsidRPr="004F3582" w:rsidRDefault="00D02BC8" w:rsidP="00826E45">
      <w:pPr>
        <w:pStyle w:val="EMEABodyTextIndent"/>
        <w:ind w:left="426" w:hanging="426"/>
      </w:pPr>
      <w:r>
        <w:t>depression, anxiety, sleep disorder</w:t>
      </w:r>
    </w:p>
    <w:p w14:paraId="6B61D6F2" w14:textId="77777777" w:rsidR="00D02BC8" w:rsidRPr="00D31EBB" w:rsidRDefault="00D02BC8" w:rsidP="00826E45">
      <w:pPr>
        <w:pStyle w:val="EMEABodyTextIndent"/>
        <w:ind w:left="426" w:hanging="426"/>
      </w:pPr>
      <w:r>
        <w:t>disorientation, amnesia (loss of memory), dizziness, somnolence (sleepiness), abnormal dream</w:t>
      </w:r>
    </w:p>
    <w:p w14:paraId="237FE007" w14:textId="77777777" w:rsidR="00D02BC8" w:rsidRPr="00D31EBB" w:rsidRDefault="00D02BC8" w:rsidP="00826E45">
      <w:pPr>
        <w:pStyle w:val="EMEABodyTextIndent"/>
        <w:ind w:left="426" w:hanging="426"/>
      </w:pPr>
      <w:r>
        <w:t>syncope (fainting), hypertension (high blood pressure)</w:t>
      </w:r>
    </w:p>
    <w:p w14:paraId="7BC22569" w14:textId="77777777" w:rsidR="00D02BC8" w:rsidRPr="004F3582" w:rsidRDefault="00D02BC8" w:rsidP="00826E45">
      <w:pPr>
        <w:pStyle w:val="EMEABodyTextIndent"/>
        <w:ind w:left="426" w:hanging="426"/>
      </w:pPr>
      <w:r>
        <w:t>dyspnoea (shortness of breath)</w:t>
      </w:r>
    </w:p>
    <w:p w14:paraId="6222282D" w14:textId="77777777" w:rsidR="00D02BC8" w:rsidRPr="00D31EBB" w:rsidRDefault="00D02BC8" w:rsidP="00826E45">
      <w:pPr>
        <w:pStyle w:val="EMEABodyTextIndent"/>
        <w:ind w:left="426" w:hanging="426"/>
      </w:pPr>
      <w:r>
        <w:t>pancreatitis (inflammation of the pancreas), gastritis (inflammation of the stomach), stomatitis aphthous (mouth ulcers and cold sores), dysgeusia (impairment of the sense of taste), flatulence (wind), dry mouth, abdominal distension</w:t>
      </w:r>
    </w:p>
    <w:p w14:paraId="536C2A14" w14:textId="77777777" w:rsidR="00D02BC8" w:rsidRPr="00D31EBB" w:rsidRDefault="00D02BC8" w:rsidP="00826E45">
      <w:pPr>
        <w:pStyle w:val="EMEABodyTextIndent"/>
        <w:ind w:left="426" w:hanging="426"/>
      </w:pPr>
      <w:r>
        <w:t>angioedema (severe swelling of the skin and other tissues most often the lips or the eyes)</w:t>
      </w:r>
    </w:p>
    <w:p w14:paraId="77971209" w14:textId="77777777" w:rsidR="00D02BC8" w:rsidRPr="00D31EBB" w:rsidRDefault="00D02BC8" w:rsidP="00826E45">
      <w:pPr>
        <w:pStyle w:val="EMEABodyTextIndent"/>
        <w:ind w:left="426" w:hanging="426"/>
      </w:pPr>
      <w:r>
        <w:t>alopecia (unusual hair loss or thinning), pruritus (itching)</w:t>
      </w:r>
    </w:p>
    <w:p w14:paraId="799BDC20" w14:textId="77777777" w:rsidR="00D02BC8" w:rsidRPr="00D31EBB" w:rsidRDefault="00D02BC8" w:rsidP="00826E45">
      <w:pPr>
        <w:pStyle w:val="EMEABodyTextIndent"/>
        <w:ind w:left="426" w:hanging="426"/>
      </w:pPr>
      <w:r>
        <w:t>muscle atrophy (muscle shrinkage), arthralgia (joint pain), myalgia (aching muscles)</w:t>
      </w:r>
    </w:p>
    <w:p w14:paraId="6B58B760" w14:textId="77777777" w:rsidR="00D02BC8" w:rsidRPr="00D31EBB" w:rsidRDefault="00D02BC8" w:rsidP="00826E45">
      <w:pPr>
        <w:pStyle w:val="EMEABodyTextIndent"/>
        <w:ind w:left="426" w:hanging="426"/>
      </w:pPr>
      <w:r>
        <w:t>interstitial nephritis (kidney inflammation), haematuria (blood in the urine), proteinuria (excess protein in the urine), pollakiuria (increased frequency of urination)</w:t>
      </w:r>
    </w:p>
    <w:p w14:paraId="457FD28A" w14:textId="77777777" w:rsidR="00D02BC8" w:rsidRPr="00D31EBB" w:rsidRDefault="00D02BC8" w:rsidP="00826E45">
      <w:pPr>
        <w:pStyle w:val="EMEABodyTextIndent"/>
        <w:ind w:left="426" w:hanging="426"/>
      </w:pPr>
      <w:r>
        <w:t>gynaecomastia (breast enlargement in men)</w:t>
      </w:r>
    </w:p>
    <w:p w14:paraId="53BCCAED" w14:textId="77777777" w:rsidR="00D02BC8" w:rsidRPr="00D31EBB" w:rsidRDefault="00D02BC8" w:rsidP="00826E45">
      <w:pPr>
        <w:pStyle w:val="EMEABodyTextIndent"/>
        <w:ind w:left="426" w:hanging="426"/>
      </w:pPr>
      <w:r>
        <w:t>chest pain, malaise (generally feeling unwell), fever</w:t>
      </w:r>
    </w:p>
    <w:p w14:paraId="0CC1DB4A" w14:textId="77777777" w:rsidR="00D02BC8" w:rsidRPr="004F3582" w:rsidRDefault="00D02BC8" w:rsidP="00826E45">
      <w:pPr>
        <w:pStyle w:val="EMEABodyTextIndent"/>
        <w:ind w:left="426" w:hanging="426"/>
      </w:pPr>
      <w:r>
        <w:t>insomnia (difficulty sleeping)</w:t>
      </w:r>
    </w:p>
    <w:p w14:paraId="04065CA9" w14:textId="77777777" w:rsidR="00D02BC8" w:rsidRPr="00D31EBB" w:rsidRDefault="00D02BC8" w:rsidP="008B6CCB">
      <w:pPr>
        <w:pStyle w:val="EMEABodyText"/>
      </w:pPr>
      <w:r>
        <w:t xml:space="preserve">Rare (may affect up to 1 in 1,000 people): </w:t>
      </w:r>
    </w:p>
    <w:p w14:paraId="031D6A68" w14:textId="77777777" w:rsidR="00D02BC8" w:rsidRPr="00D31EBB" w:rsidRDefault="00D02BC8" w:rsidP="00826E45">
      <w:pPr>
        <w:pStyle w:val="EMEABodyTextIndent"/>
        <w:ind w:left="426" w:hanging="426"/>
      </w:pPr>
      <w:r>
        <w:t>gait disturbance (abnormal manner of walking)</w:t>
      </w:r>
    </w:p>
    <w:p w14:paraId="1A87D54D" w14:textId="77777777" w:rsidR="00D02BC8" w:rsidRPr="004F3582" w:rsidRDefault="00D02BC8" w:rsidP="00826E45">
      <w:pPr>
        <w:pStyle w:val="EMEABodyTextIndent"/>
        <w:ind w:left="426" w:hanging="426"/>
      </w:pPr>
      <w:r>
        <w:t>oedema (swelling)</w:t>
      </w:r>
    </w:p>
    <w:p w14:paraId="680EA352" w14:textId="77777777" w:rsidR="00D02BC8" w:rsidRPr="00D31EBB" w:rsidRDefault="00D02BC8" w:rsidP="00826E45">
      <w:pPr>
        <w:pStyle w:val="EMEABodyTextIndent"/>
        <w:ind w:left="426" w:hanging="426"/>
      </w:pPr>
      <w:r>
        <w:t>hepatosplenomegaly (enlargement of the liver and spleen)</w:t>
      </w:r>
    </w:p>
    <w:p w14:paraId="149C620D" w14:textId="77777777" w:rsidR="00D02BC8" w:rsidRPr="00D31EBB" w:rsidRDefault="00D02BC8" w:rsidP="00826E45">
      <w:pPr>
        <w:pStyle w:val="EMEABodyTextIndent"/>
        <w:ind w:left="426" w:hanging="426"/>
      </w:pPr>
      <w:r>
        <w:t>myopathy (aching muscles, muscle tenderness of weakness, not caused by exercise)</w:t>
      </w:r>
    </w:p>
    <w:p w14:paraId="4E6A375B" w14:textId="77777777" w:rsidR="00D02BC8" w:rsidRPr="004F3582" w:rsidRDefault="00D02BC8" w:rsidP="00826E45">
      <w:pPr>
        <w:pStyle w:val="EMEABodyTextIndent"/>
        <w:ind w:left="426" w:hanging="426"/>
      </w:pPr>
      <w:r>
        <w:t>kidney pain</w:t>
      </w:r>
    </w:p>
    <w:p w14:paraId="5BDA8575" w14:textId="77777777" w:rsidR="00D02BC8" w:rsidRPr="004F3582" w:rsidRDefault="00D02BC8" w:rsidP="008B6CCB">
      <w:pPr>
        <w:pStyle w:val="EMEABodyText"/>
      </w:pPr>
    </w:p>
    <w:p w14:paraId="693ECCD1" w14:textId="77777777" w:rsidR="00D02BC8" w:rsidRPr="004F3582" w:rsidRDefault="00D02BC8" w:rsidP="008B6CCB">
      <w:pPr>
        <w:pStyle w:val="EMEABodyText"/>
        <w:rPr>
          <w:b/>
        </w:rPr>
      </w:pPr>
      <w:r>
        <w:rPr>
          <w:b/>
        </w:rPr>
        <w:t>Reporting of side effects</w:t>
      </w:r>
    </w:p>
    <w:p w14:paraId="29445CAC" w14:textId="77777777" w:rsidR="00D02BC8" w:rsidRPr="00D31EBB" w:rsidRDefault="00D02BC8" w:rsidP="00FD76E4">
      <w:pPr>
        <w:pStyle w:val="BodytextAgency"/>
        <w:spacing w:after="0" w:line="240" w:lineRule="auto"/>
      </w:pPr>
      <w:r>
        <w:t>If you get any side effects, talk to your doctor or nurse.</w:t>
      </w:r>
      <w:r>
        <w:rPr>
          <w:color w:val="FF0000"/>
          <w:szCs w:val="22"/>
        </w:rPr>
        <w:t xml:space="preserve"> </w:t>
      </w:r>
      <w:r>
        <w:t xml:space="preserve">This includes any possible side effects not listed in this leaflet. You can also report side effects directly via </w:t>
      </w:r>
      <w:r>
        <w:rPr>
          <w:szCs w:val="22"/>
          <w:highlight w:val="lightGray"/>
        </w:rPr>
        <w:t xml:space="preserve">the national reporting system listed in </w:t>
      </w:r>
      <w:hyperlink r:id="rId13" w:history="1">
        <w:r>
          <w:rPr>
            <w:rStyle w:val="Hyperlink"/>
            <w:szCs w:val="22"/>
            <w:highlight w:val="lightGray"/>
          </w:rPr>
          <w:t>Appendix V</w:t>
        </w:r>
      </w:hyperlink>
      <w:r>
        <w:t>. By reporting side effects you can help provide more information on the safety of this medicine.</w:t>
      </w:r>
    </w:p>
    <w:p w14:paraId="3EA3F7CB" w14:textId="77777777" w:rsidR="00D02BC8" w:rsidRPr="00D31EBB" w:rsidRDefault="00D02BC8" w:rsidP="008B6CCB">
      <w:pPr>
        <w:pStyle w:val="EMEABodyText"/>
        <w:rPr>
          <w:lang w:val="en-US"/>
        </w:rPr>
      </w:pPr>
    </w:p>
    <w:p w14:paraId="33660143" w14:textId="77777777" w:rsidR="00D02BC8" w:rsidRPr="00D31EBB" w:rsidRDefault="00D02BC8" w:rsidP="008B6CCB">
      <w:pPr>
        <w:pStyle w:val="EMEABodyText"/>
        <w:rPr>
          <w:noProof/>
          <w:lang w:val="en-US"/>
        </w:rPr>
      </w:pPr>
    </w:p>
    <w:p w14:paraId="6B4B2AFF" w14:textId="77777777" w:rsidR="00D02BC8" w:rsidRPr="00D31EBB" w:rsidRDefault="00D02BC8" w:rsidP="00266EB3">
      <w:pPr>
        <w:pStyle w:val="EMEAHeading1"/>
        <w:rPr>
          <w:bCs/>
          <w:caps w:val="0"/>
        </w:rPr>
      </w:pPr>
      <w:r>
        <w:rPr>
          <w:bCs/>
          <w:caps w:val="0"/>
        </w:rPr>
        <w:t>5.</w:t>
      </w:r>
      <w:r>
        <w:rPr>
          <w:bCs/>
          <w:caps w:val="0"/>
        </w:rPr>
        <w:tab/>
        <w:t>How to store REYATAZ</w:t>
      </w:r>
    </w:p>
    <w:p w14:paraId="3DBD79AA" w14:textId="77777777" w:rsidR="00D02BC8" w:rsidRPr="00D31EBB" w:rsidRDefault="00D02BC8" w:rsidP="00222DF5">
      <w:pPr>
        <w:pStyle w:val="EMEABodyText"/>
        <w:rPr>
          <w:noProof/>
          <w:lang w:val="en-US"/>
        </w:rPr>
      </w:pPr>
    </w:p>
    <w:p w14:paraId="28F14082" w14:textId="77777777" w:rsidR="00D02BC8" w:rsidRPr="00D31EBB" w:rsidRDefault="00D02BC8" w:rsidP="008B6CCB">
      <w:pPr>
        <w:pStyle w:val="EMEABodyText"/>
      </w:pPr>
      <w:r>
        <w:t>Keep this medicine out of the sight and reach of children.</w:t>
      </w:r>
    </w:p>
    <w:p w14:paraId="4A447539" w14:textId="77777777" w:rsidR="00D02BC8" w:rsidRPr="00D31EBB" w:rsidRDefault="00D02BC8" w:rsidP="008B6CCB">
      <w:pPr>
        <w:pStyle w:val="EMEABodyText"/>
        <w:rPr>
          <w:lang w:val="en-US"/>
        </w:rPr>
      </w:pPr>
    </w:p>
    <w:p w14:paraId="3F51D5D0" w14:textId="77777777" w:rsidR="00D02BC8" w:rsidRPr="00D31EBB" w:rsidRDefault="00D02BC8" w:rsidP="008B6CCB">
      <w:pPr>
        <w:pStyle w:val="EMEABodyText"/>
      </w:pPr>
      <w:r>
        <w:t>Do not use this medicine after the expiry date which is stated on the label, carton or blister. The expiry date refers to the last day of that month.</w:t>
      </w:r>
    </w:p>
    <w:p w14:paraId="418458B1" w14:textId="77777777" w:rsidR="00D02BC8" w:rsidRPr="00D31EBB" w:rsidRDefault="00D02BC8" w:rsidP="008B6CCB">
      <w:pPr>
        <w:pStyle w:val="EMEABodyText"/>
      </w:pPr>
      <w:r>
        <w:t>Do not store above 25°C.</w:t>
      </w:r>
    </w:p>
    <w:p w14:paraId="0D4B46C3" w14:textId="77777777" w:rsidR="00D02BC8" w:rsidRPr="00D31EBB" w:rsidRDefault="00D02BC8" w:rsidP="008B6CCB">
      <w:pPr>
        <w:pStyle w:val="EMEABodyText"/>
        <w:rPr>
          <w:noProof/>
          <w:lang w:val="en-US"/>
        </w:rPr>
      </w:pPr>
    </w:p>
    <w:p w14:paraId="1BE64CC2" w14:textId="77777777" w:rsidR="00D02BC8" w:rsidRPr="00D31EBB" w:rsidRDefault="00D02BC8" w:rsidP="008B6CCB">
      <w:pPr>
        <w:pStyle w:val="EMEABodyText"/>
        <w:rPr>
          <w:noProof/>
        </w:rPr>
      </w:pPr>
      <w:r>
        <w:t>Do not throw away any medicines via wastewater or household waste. Ask your pharmacist how to throw away medicines you no longer use. These measures will help protect the environment.</w:t>
      </w:r>
    </w:p>
    <w:p w14:paraId="6D1B5E81" w14:textId="77777777" w:rsidR="00D02BC8" w:rsidRPr="00D31EBB" w:rsidRDefault="00D02BC8" w:rsidP="008B6CCB">
      <w:pPr>
        <w:pStyle w:val="EMEABodyText"/>
        <w:rPr>
          <w:b/>
          <w:noProof/>
          <w:lang w:val="en-US"/>
        </w:rPr>
      </w:pPr>
    </w:p>
    <w:p w14:paraId="4E056543" w14:textId="77777777" w:rsidR="00D02BC8" w:rsidRPr="00D31EBB" w:rsidRDefault="00D02BC8" w:rsidP="008B6CCB">
      <w:pPr>
        <w:pStyle w:val="EMEABodyText"/>
        <w:rPr>
          <w:b/>
          <w:noProof/>
          <w:lang w:val="en-US"/>
        </w:rPr>
      </w:pPr>
    </w:p>
    <w:p w14:paraId="400A927B" w14:textId="77777777" w:rsidR="00D02BC8" w:rsidRPr="00D31EBB" w:rsidRDefault="00D02BC8" w:rsidP="00222DF5">
      <w:pPr>
        <w:pStyle w:val="EMEAHeading1"/>
        <w:rPr>
          <w:noProof/>
        </w:rPr>
      </w:pPr>
      <w:r>
        <w:t>6.</w:t>
      </w:r>
      <w:r>
        <w:tab/>
      </w:r>
      <w:r>
        <w:rPr>
          <w:caps w:val="0"/>
        </w:rPr>
        <w:t>Contents of the pack and other information</w:t>
      </w:r>
    </w:p>
    <w:p w14:paraId="70A25C09" w14:textId="77777777" w:rsidR="00D02BC8" w:rsidRPr="00D31EBB" w:rsidRDefault="00D02BC8" w:rsidP="00222DF5">
      <w:pPr>
        <w:pStyle w:val="EMEABodyText"/>
        <w:rPr>
          <w:lang w:val="en-US"/>
        </w:rPr>
      </w:pPr>
    </w:p>
    <w:p w14:paraId="1FB1BFEE" w14:textId="77777777" w:rsidR="00D02BC8" w:rsidRPr="004F3582" w:rsidRDefault="00D02BC8" w:rsidP="008B6CCB">
      <w:pPr>
        <w:pStyle w:val="EMEAHeading2"/>
        <w:rPr>
          <w:noProof/>
        </w:rPr>
      </w:pPr>
      <w:r>
        <w:t>What REYATAZ contains</w:t>
      </w:r>
    </w:p>
    <w:p w14:paraId="011CCE47" w14:textId="77777777" w:rsidR="00D02BC8" w:rsidRPr="004F3582" w:rsidRDefault="00D02BC8" w:rsidP="008B6CCB">
      <w:pPr>
        <w:pStyle w:val="EMEABodyText"/>
        <w:rPr>
          <w:noProof/>
        </w:rPr>
      </w:pPr>
    </w:p>
    <w:p w14:paraId="492231D7" w14:textId="77777777" w:rsidR="00D02BC8" w:rsidRPr="00D31EBB" w:rsidRDefault="00D02BC8" w:rsidP="00211509">
      <w:pPr>
        <w:pStyle w:val="EMEABodyText"/>
        <w:numPr>
          <w:ilvl w:val="0"/>
          <w:numId w:val="2"/>
        </w:numPr>
      </w:pPr>
      <w:r>
        <w:t xml:space="preserve">The active substance is atazanavir. Each capsule contains 300 mg of atazanavir (as sulphate). </w:t>
      </w:r>
    </w:p>
    <w:p w14:paraId="3FDED9DA" w14:textId="77777777" w:rsidR="00D02BC8" w:rsidRPr="00D31EBB" w:rsidRDefault="00D02BC8" w:rsidP="00211509">
      <w:pPr>
        <w:pStyle w:val="EMEABodyText"/>
        <w:numPr>
          <w:ilvl w:val="0"/>
          <w:numId w:val="2"/>
        </w:numPr>
      </w:pPr>
      <w:r>
        <w:t>The other ingredients are crospovidone, lactose monohydrate, and magnesium stearate. The capsule shell and printing ink contain gelatine, shellac, ammonium hydroxide, simethicone, red iron oxide, black iron oxide, yellow iron oxide, propylene glycol, indigocarmin (E132) and titanium dioxide (E171).</w:t>
      </w:r>
    </w:p>
    <w:p w14:paraId="63584FD8" w14:textId="77777777" w:rsidR="00D02BC8" w:rsidRPr="00D31EBB" w:rsidRDefault="00D02BC8" w:rsidP="008B6CCB">
      <w:pPr>
        <w:pStyle w:val="EMEABodyText"/>
        <w:rPr>
          <w:b/>
          <w:noProof/>
          <w:lang w:val="en-US"/>
        </w:rPr>
      </w:pPr>
    </w:p>
    <w:p w14:paraId="4DFBEE87" w14:textId="77777777" w:rsidR="00D02BC8" w:rsidRPr="00D31EBB" w:rsidRDefault="00D02BC8" w:rsidP="008B6CCB">
      <w:pPr>
        <w:pStyle w:val="EMEAHeading2"/>
        <w:rPr>
          <w:noProof/>
        </w:rPr>
      </w:pPr>
      <w:r>
        <w:t>What REYATAZ looks like and contents of the pack</w:t>
      </w:r>
    </w:p>
    <w:p w14:paraId="54FAA1CF" w14:textId="77777777" w:rsidR="00D02BC8" w:rsidRPr="00D31EBB" w:rsidRDefault="00D02BC8" w:rsidP="008B6CCB">
      <w:pPr>
        <w:pStyle w:val="EMEABodyText"/>
        <w:rPr>
          <w:b/>
          <w:noProof/>
          <w:lang w:val="en-US"/>
        </w:rPr>
      </w:pPr>
    </w:p>
    <w:p w14:paraId="2E1E6A33" w14:textId="77777777" w:rsidR="00D02BC8" w:rsidRPr="00D31EBB" w:rsidRDefault="00D02BC8" w:rsidP="008B6CCB">
      <w:pPr>
        <w:pStyle w:val="EMEABodyText"/>
      </w:pPr>
      <w:r>
        <w:t xml:space="preserve">Each capsule of REYATAZ 300 mg contains 300 mg atazanavir. </w:t>
      </w:r>
    </w:p>
    <w:p w14:paraId="5FDD04DC" w14:textId="77777777" w:rsidR="00D02BC8" w:rsidRPr="00D31EBB" w:rsidRDefault="00D02BC8" w:rsidP="008B6CCB">
      <w:pPr>
        <w:pStyle w:val="EMEABodyText"/>
      </w:pPr>
      <w:r>
        <w:t>Opaque red and blue capsule printed with white ink, with "BMS 300 mg" on one half and with "3622" on the other half.</w:t>
      </w:r>
    </w:p>
    <w:p w14:paraId="3D106010" w14:textId="77777777" w:rsidR="00D02BC8" w:rsidRPr="00D31EBB" w:rsidRDefault="00D02BC8" w:rsidP="008B6CCB">
      <w:pPr>
        <w:pStyle w:val="EMEABodyText"/>
        <w:rPr>
          <w:lang w:val="en-US"/>
        </w:rPr>
      </w:pPr>
    </w:p>
    <w:p w14:paraId="38420E1E" w14:textId="77777777" w:rsidR="00D02BC8" w:rsidRPr="00D31EBB" w:rsidRDefault="00D02BC8" w:rsidP="008B6CCB">
      <w:pPr>
        <w:pStyle w:val="EMEABodyText"/>
      </w:pPr>
      <w:r>
        <w:t>REYATAZ 300 mg hard capsules are supplied in bottles of 30 capsules. Either one or three bottles of 30 hard capsules are provided in one carton.</w:t>
      </w:r>
    </w:p>
    <w:p w14:paraId="5924799A" w14:textId="77777777" w:rsidR="00D02BC8" w:rsidRPr="00D31EBB" w:rsidRDefault="00D02BC8" w:rsidP="008B6CCB">
      <w:pPr>
        <w:pStyle w:val="EMEABodyText"/>
        <w:rPr>
          <w:lang w:val="en-US"/>
        </w:rPr>
      </w:pPr>
    </w:p>
    <w:p w14:paraId="6759E794" w14:textId="77777777" w:rsidR="00D02BC8" w:rsidRPr="00D31EBB" w:rsidRDefault="00D02BC8" w:rsidP="008B6CCB">
      <w:pPr>
        <w:pStyle w:val="EMEABodyText"/>
      </w:pPr>
      <w:r>
        <w:t>REYATAZ 300 mg hard capsules are also supplied in blister strips in packs of 30 capsules.</w:t>
      </w:r>
    </w:p>
    <w:p w14:paraId="7F160269" w14:textId="77777777" w:rsidR="00D02BC8" w:rsidRPr="00D31EBB" w:rsidRDefault="00D02BC8" w:rsidP="008B6CCB">
      <w:pPr>
        <w:pStyle w:val="EMEABodyText"/>
        <w:rPr>
          <w:lang w:val="en-US"/>
        </w:rPr>
      </w:pPr>
    </w:p>
    <w:p w14:paraId="0A677AB2" w14:textId="77777777" w:rsidR="00D02BC8" w:rsidRPr="00D31EBB" w:rsidRDefault="00D02BC8" w:rsidP="008B6CCB">
      <w:pPr>
        <w:pStyle w:val="EMEABodyText"/>
      </w:pPr>
      <w:r>
        <w:t xml:space="preserve">Not all pack sizes may be marketed in all countries. </w:t>
      </w:r>
    </w:p>
    <w:p w14:paraId="3EDABE94" w14:textId="77777777" w:rsidR="00D02BC8" w:rsidRPr="00D31EBB" w:rsidRDefault="00D02BC8" w:rsidP="008B6CCB">
      <w:pPr>
        <w:pStyle w:val="EMEABodyText"/>
        <w:rPr>
          <w:noProof/>
          <w:lang w:val="en-US"/>
        </w:rPr>
      </w:pPr>
    </w:p>
    <w:p w14:paraId="68CE0B48" w14:textId="77777777" w:rsidR="00D02BC8" w:rsidRPr="00D31EBB" w:rsidRDefault="006719E7" w:rsidP="00CB3159">
      <w:pPr>
        <w:pStyle w:val="EMEAHeading2"/>
        <w:rPr>
          <w:noProof/>
        </w:rPr>
      </w:pPr>
      <w:r>
        <w:t>Marketing Authorisation Holder</w:t>
      </w:r>
    </w:p>
    <w:p w14:paraId="4393A8FD" w14:textId="77777777" w:rsidR="00D02BC8" w:rsidRPr="00D31EBB" w:rsidRDefault="00D02BC8" w:rsidP="00CB3159">
      <w:pPr>
        <w:pStyle w:val="EMEABodyText"/>
        <w:keepNext/>
        <w:rPr>
          <w:lang w:val="en-US"/>
        </w:rPr>
      </w:pPr>
    </w:p>
    <w:p w14:paraId="22AA7DF5"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01AED98E" w14:textId="77777777" w:rsidR="00965E20" w:rsidRDefault="00965E20" w:rsidP="00965E20">
      <w:pPr>
        <w:numPr>
          <w:ilvl w:val="12"/>
          <w:numId w:val="0"/>
        </w:numPr>
      </w:pPr>
      <w:r>
        <w:t xml:space="preserve">Ireland </w:t>
      </w:r>
    </w:p>
    <w:p w14:paraId="7157E157" w14:textId="77777777" w:rsidR="00D02BC8" w:rsidRPr="00D31EBB" w:rsidRDefault="00D02BC8" w:rsidP="00AA7900">
      <w:pPr>
        <w:numPr>
          <w:ilvl w:val="12"/>
          <w:numId w:val="0"/>
        </w:numPr>
        <w:rPr>
          <w:b/>
          <w:lang w:val="en-US"/>
        </w:rPr>
      </w:pPr>
    </w:p>
    <w:p w14:paraId="536CB2CD" w14:textId="77777777" w:rsidR="00D02BC8" w:rsidRPr="00D31EBB" w:rsidRDefault="006719E7" w:rsidP="008B6CCB">
      <w:pPr>
        <w:pStyle w:val="EMEAHeading2"/>
      </w:pPr>
      <w:r>
        <w:t>Manufacturer</w:t>
      </w:r>
    </w:p>
    <w:p w14:paraId="0C144768" w14:textId="77777777" w:rsidR="00D02BC8" w:rsidRPr="00D31EBB" w:rsidRDefault="00D02BC8" w:rsidP="008B6CCB">
      <w:pPr>
        <w:pStyle w:val="EMEABodyText"/>
        <w:rPr>
          <w:lang w:val="en-US"/>
        </w:rPr>
      </w:pPr>
    </w:p>
    <w:p w14:paraId="72CB7575" w14:textId="77777777" w:rsidR="00987911" w:rsidRPr="00995147" w:rsidRDefault="00987911" w:rsidP="00987911">
      <w:pPr>
        <w:pStyle w:val="EMEABodyText"/>
        <w:rPr>
          <w:lang w:val="en-GB"/>
        </w:rPr>
      </w:pPr>
      <w:r w:rsidRPr="00995147">
        <w:rPr>
          <w:lang w:val="en-GB"/>
        </w:rPr>
        <w:t>CATALENT ANAGNI S.R.L.</w:t>
      </w:r>
    </w:p>
    <w:p w14:paraId="02660537" w14:textId="6884D0AF" w:rsidR="00987911" w:rsidRDefault="00987911" w:rsidP="00987911">
      <w:pPr>
        <w:pStyle w:val="EMEABodyText"/>
        <w:rPr>
          <w:lang w:val="en-GB"/>
        </w:rPr>
      </w:pPr>
      <w:r>
        <w:rPr>
          <w:lang w:val="en-GB"/>
        </w:rPr>
        <w:t>Loc.</w:t>
      </w:r>
      <w:r w:rsidRPr="00B65509">
        <w:rPr>
          <w:lang w:val="en-GB"/>
        </w:rPr>
        <w:t xml:space="preserve"> Fontana del Ceraso</w:t>
      </w:r>
      <w:r>
        <w:rPr>
          <w:lang w:val="en-GB"/>
        </w:rPr>
        <w:t xml:space="preserve"> snc</w:t>
      </w:r>
    </w:p>
    <w:p w14:paraId="1EE2BE43" w14:textId="77777777" w:rsidR="00987911" w:rsidRPr="00B65509" w:rsidRDefault="00987911" w:rsidP="00987911">
      <w:pPr>
        <w:pStyle w:val="EMEABodyText"/>
        <w:rPr>
          <w:lang w:val="en-GB"/>
        </w:rPr>
      </w:pPr>
      <w:r w:rsidRPr="00B65509">
        <w:rPr>
          <w:lang w:val="en-GB"/>
        </w:rPr>
        <w:t>Strada Provinciale 12 Casilina, 41</w:t>
      </w:r>
    </w:p>
    <w:p w14:paraId="7BA9DB6B" w14:textId="77777777" w:rsidR="00987911" w:rsidRDefault="00987911" w:rsidP="00987911">
      <w:pPr>
        <w:pStyle w:val="EMEABodyText"/>
        <w:rPr>
          <w:lang w:val="en-GB"/>
        </w:rPr>
      </w:pPr>
      <w:r w:rsidRPr="00B65509">
        <w:rPr>
          <w:lang w:val="en-GB"/>
        </w:rPr>
        <w:t>03012 Anagni (FR)</w:t>
      </w:r>
    </w:p>
    <w:p w14:paraId="3E5388DD" w14:textId="77777777" w:rsidR="00987911" w:rsidRPr="00B65509" w:rsidRDefault="00987911" w:rsidP="00987911">
      <w:pPr>
        <w:pStyle w:val="EMEABodyText"/>
        <w:rPr>
          <w:lang w:val="en-GB"/>
        </w:rPr>
      </w:pPr>
      <w:r w:rsidRPr="00B65509">
        <w:rPr>
          <w:lang w:val="en-GB"/>
        </w:rPr>
        <w:t>Italy</w:t>
      </w:r>
    </w:p>
    <w:p w14:paraId="25B65CD4" w14:textId="77777777" w:rsidR="00987911" w:rsidRDefault="00987911" w:rsidP="00987911">
      <w:pPr>
        <w:pStyle w:val="EMEABodyText"/>
        <w:rPr>
          <w:noProof/>
          <w:lang w:val="es-ES"/>
        </w:rPr>
      </w:pPr>
    </w:p>
    <w:p w14:paraId="601402FC" w14:textId="77777777" w:rsidR="00987911" w:rsidRPr="00686456" w:rsidRDefault="00987911" w:rsidP="00987911">
      <w:pPr>
        <w:pStyle w:val="EMEABodyText"/>
        <w:rPr>
          <w:highlight w:val="lightGray"/>
          <w:lang w:val="en-GB"/>
        </w:rPr>
      </w:pPr>
      <w:r w:rsidRPr="00686456">
        <w:rPr>
          <w:highlight w:val="lightGray"/>
          <w:lang w:val="en-GB"/>
        </w:rPr>
        <w:t>Swords Laboratories T/A Bristol-Myers Squibb Pharmaceutical Operations, External Manufacturing</w:t>
      </w:r>
    </w:p>
    <w:p w14:paraId="7AC372CE" w14:textId="77777777" w:rsidR="00987911" w:rsidRPr="00686456" w:rsidRDefault="00987911" w:rsidP="00987911">
      <w:pPr>
        <w:pStyle w:val="EMEABodyText"/>
        <w:rPr>
          <w:highlight w:val="lightGray"/>
          <w:lang w:val="en-GB"/>
        </w:rPr>
      </w:pPr>
      <w:r w:rsidRPr="00686456">
        <w:rPr>
          <w:highlight w:val="lightGray"/>
          <w:lang w:val="en-GB"/>
        </w:rPr>
        <w:t>Plaza 254</w:t>
      </w:r>
    </w:p>
    <w:p w14:paraId="3718534E" w14:textId="77777777" w:rsidR="00987911" w:rsidRPr="00686456" w:rsidRDefault="00987911" w:rsidP="00987911">
      <w:pPr>
        <w:pStyle w:val="EMEABodyText"/>
        <w:rPr>
          <w:highlight w:val="lightGray"/>
          <w:lang w:val="en-GB"/>
        </w:rPr>
      </w:pPr>
      <w:r w:rsidRPr="00686456">
        <w:rPr>
          <w:highlight w:val="lightGray"/>
          <w:lang w:val="en-GB"/>
        </w:rPr>
        <w:t>Blanchardstown Corporate Park 2</w:t>
      </w:r>
    </w:p>
    <w:p w14:paraId="3B40A496" w14:textId="77777777" w:rsidR="00987911" w:rsidRPr="00686456" w:rsidRDefault="00987911" w:rsidP="00987911">
      <w:pPr>
        <w:pStyle w:val="EMEABodyText"/>
        <w:rPr>
          <w:highlight w:val="lightGray"/>
          <w:lang w:val="en-GB"/>
        </w:rPr>
      </w:pPr>
      <w:r w:rsidRPr="00686456">
        <w:rPr>
          <w:highlight w:val="lightGray"/>
          <w:lang w:val="en-GB"/>
        </w:rPr>
        <w:t>Dublin 15, D15 T867</w:t>
      </w:r>
    </w:p>
    <w:p w14:paraId="39F6F2BF" w14:textId="77777777" w:rsidR="00987911" w:rsidRPr="00B65509" w:rsidRDefault="00987911" w:rsidP="00987911">
      <w:pPr>
        <w:pStyle w:val="EMEABodyText"/>
        <w:rPr>
          <w:lang w:val="en-GB"/>
        </w:rPr>
      </w:pPr>
      <w:r w:rsidRPr="00686456">
        <w:rPr>
          <w:highlight w:val="lightGray"/>
          <w:lang w:val="en-GB"/>
        </w:rPr>
        <w:t>Ireland</w:t>
      </w:r>
    </w:p>
    <w:p w14:paraId="51CB6493" w14:textId="77777777" w:rsidR="00987911" w:rsidRDefault="00987911" w:rsidP="00987911">
      <w:pPr>
        <w:pStyle w:val="EMEABodyText"/>
        <w:rPr>
          <w:noProof/>
          <w:lang w:val="es-ES"/>
        </w:rPr>
      </w:pPr>
    </w:p>
    <w:p w14:paraId="12A42F82" w14:textId="77777777" w:rsidR="00D02BC8" w:rsidRPr="00324E2C" w:rsidRDefault="00D02BC8" w:rsidP="008B6CCB">
      <w:pPr>
        <w:pStyle w:val="EMEABodyText"/>
        <w:rPr>
          <w:noProof/>
          <w:lang w:val="es-ES"/>
        </w:rPr>
      </w:pPr>
    </w:p>
    <w:p w14:paraId="3FBF472C" w14:textId="77777777" w:rsidR="00D02BC8" w:rsidRPr="00D31EBB" w:rsidRDefault="00D02BC8" w:rsidP="008B6CCB">
      <w:pPr>
        <w:pStyle w:val="EMEABodyText"/>
      </w:pPr>
      <w:r>
        <w:t>For any further information about this medicine, please contact the local representative of the Marketing Authorisation Holder:</w:t>
      </w:r>
    </w:p>
    <w:p w14:paraId="281A4A20" w14:textId="77777777" w:rsidR="00D02BC8" w:rsidRPr="00D31EBB" w:rsidRDefault="00D02BC8" w:rsidP="008B6CCB">
      <w:pPr>
        <w:pStyle w:val="EMEABodyText"/>
        <w:rPr>
          <w:noProof/>
          <w:lang w:val="en-US"/>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D02BC8" w:rsidRPr="004F3582" w14:paraId="36710910" w14:textId="77777777">
        <w:trPr>
          <w:cantSplit/>
          <w:trHeight w:val="904"/>
        </w:trPr>
        <w:tc>
          <w:tcPr>
            <w:tcW w:w="4536" w:type="dxa"/>
          </w:tcPr>
          <w:p w14:paraId="139A7569" w14:textId="77777777" w:rsidR="00D02BC8" w:rsidRPr="004F3582" w:rsidRDefault="00D02BC8" w:rsidP="008B6CCB">
            <w:pPr>
              <w:pStyle w:val="EMEATableLeft"/>
              <w:keepNext w:val="0"/>
              <w:keepLines w:val="0"/>
              <w:widowControl w:val="0"/>
              <w:rPr>
                <w:b/>
                <w:bCs/>
              </w:rPr>
            </w:pPr>
            <w:r>
              <w:rPr>
                <w:b/>
                <w:bCs/>
              </w:rPr>
              <w:t>Belgique/België/Belgien</w:t>
            </w:r>
          </w:p>
          <w:p w14:paraId="2796F112" w14:textId="77777777" w:rsidR="00D02BC8" w:rsidRPr="004F3582" w:rsidRDefault="00D02BC8" w:rsidP="008B6CCB">
            <w:pPr>
              <w:rPr>
                <w:bCs/>
                <w:szCs w:val="22"/>
              </w:rPr>
            </w:pPr>
            <w:r>
              <w:t>N.V. Bristol-Myers Squibb Belgium S.A.</w:t>
            </w:r>
          </w:p>
          <w:p w14:paraId="64AB14A8" w14:textId="77777777" w:rsidR="00D02BC8" w:rsidRPr="004F3582" w:rsidRDefault="00D02BC8" w:rsidP="008B6CCB">
            <w:pPr>
              <w:pStyle w:val="EMEATableLeft"/>
              <w:keepNext w:val="0"/>
              <w:keepLines w:val="0"/>
              <w:widowControl w:val="0"/>
            </w:pPr>
            <w:r>
              <w:t>Tél/Tel: + 32 2 352 76 11</w:t>
            </w:r>
          </w:p>
          <w:p w14:paraId="12445810" w14:textId="77777777" w:rsidR="00D02BC8" w:rsidRPr="004F3582" w:rsidRDefault="00D02BC8" w:rsidP="008B6CCB">
            <w:pPr>
              <w:pStyle w:val="EMEATableLeft"/>
              <w:keepNext w:val="0"/>
              <w:keepLines w:val="0"/>
              <w:widowControl w:val="0"/>
            </w:pPr>
          </w:p>
        </w:tc>
        <w:tc>
          <w:tcPr>
            <w:tcW w:w="4536" w:type="dxa"/>
          </w:tcPr>
          <w:p w14:paraId="62F307EC" w14:textId="77777777" w:rsidR="00D02BC8" w:rsidRPr="00D31EBB" w:rsidRDefault="00D02BC8" w:rsidP="008B6CCB">
            <w:pPr>
              <w:pStyle w:val="EMEATableLeft"/>
              <w:keepNext w:val="0"/>
              <w:keepLines w:val="0"/>
              <w:widowControl w:val="0"/>
            </w:pPr>
            <w:r>
              <w:rPr>
                <w:b/>
                <w:bCs/>
              </w:rPr>
              <w:t>Lietuva</w:t>
            </w:r>
          </w:p>
          <w:p w14:paraId="2083C5B9" w14:textId="77777777" w:rsidR="00D02BC8" w:rsidRPr="00D31EBB" w:rsidRDefault="00D02BC8" w:rsidP="008B6CCB">
            <w:pPr>
              <w:pStyle w:val="EMEABodyText"/>
              <w:widowControl w:val="0"/>
            </w:pPr>
            <w:r>
              <w:t>Bristol-Myers Squibb Kft.</w:t>
            </w:r>
          </w:p>
          <w:p w14:paraId="7A450DA4" w14:textId="77777777" w:rsidR="00D02BC8" w:rsidRPr="004F3582" w:rsidRDefault="00B10B04" w:rsidP="008B6CCB">
            <w:pPr>
              <w:pStyle w:val="EMEATableLeft"/>
              <w:keepNext w:val="0"/>
              <w:keepLines w:val="0"/>
              <w:widowControl w:val="0"/>
            </w:pPr>
            <w:r>
              <w:t>Tel: + 370 52 369140</w:t>
            </w:r>
          </w:p>
          <w:p w14:paraId="462938B3" w14:textId="77777777" w:rsidR="00D02BC8" w:rsidRPr="004F3582" w:rsidRDefault="00D02BC8" w:rsidP="008B6CCB">
            <w:pPr>
              <w:pStyle w:val="EMEATableLeft"/>
              <w:keepNext w:val="0"/>
              <w:keepLines w:val="0"/>
              <w:widowControl w:val="0"/>
            </w:pPr>
          </w:p>
        </w:tc>
      </w:tr>
      <w:tr w:rsidR="00D02BC8" w:rsidRPr="004F3582" w14:paraId="00503FB4" w14:textId="77777777">
        <w:trPr>
          <w:cantSplit/>
          <w:trHeight w:val="892"/>
        </w:trPr>
        <w:tc>
          <w:tcPr>
            <w:tcW w:w="4536" w:type="dxa"/>
          </w:tcPr>
          <w:p w14:paraId="29758314" w14:textId="77777777" w:rsidR="00D02BC8" w:rsidRPr="00D31EBB" w:rsidRDefault="00D02BC8" w:rsidP="008B6CCB">
            <w:pPr>
              <w:autoSpaceDE w:val="0"/>
              <w:autoSpaceDN w:val="0"/>
              <w:adjustRightInd w:val="0"/>
              <w:rPr>
                <w:b/>
                <w:bCs/>
                <w:szCs w:val="22"/>
              </w:rPr>
            </w:pPr>
            <w:r>
              <w:rPr>
                <w:b/>
                <w:bCs/>
                <w:szCs w:val="22"/>
              </w:rPr>
              <w:t>България</w:t>
            </w:r>
          </w:p>
          <w:p w14:paraId="1C326F0F" w14:textId="77777777" w:rsidR="00D02BC8" w:rsidRPr="00D31EBB" w:rsidRDefault="00D02BC8" w:rsidP="008B6CCB">
            <w:pPr>
              <w:pStyle w:val="EMEABodyText"/>
              <w:widowControl w:val="0"/>
            </w:pPr>
            <w:r>
              <w:t>Bristol-Myers Squibb Kft.</w:t>
            </w:r>
          </w:p>
          <w:p w14:paraId="55DB4F4A" w14:textId="77777777" w:rsidR="00D02BC8" w:rsidRPr="004F3582" w:rsidRDefault="00D02BC8" w:rsidP="008B6CCB">
            <w:pPr>
              <w:pStyle w:val="EMEATableLeft"/>
              <w:keepNext w:val="0"/>
              <w:keepLines w:val="0"/>
              <w:widowControl w:val="0"/>
            </w:pPr>
            <w:r>
              <w:t>Teл.: + 359 800 12 400</w:t>
            </w:r>
          </w:p>
          <w:p w14:paraId="597DB69A" w14:textId="77777777" w:rsidR="00D02BC8" w:rsidRPr="004F3582" w:rsidRDefault="00D02BC8" w:rsidP="008B6CCB">
            <w:pPr>
              <w:autoSpaceDE w:val="0"/>
              <w:autoSpaceDN w:val="0"/>
              <w:adjustRightInd w:val="0"/>
              <w:rPr>
                <w:rFonts w:ascii="TimesNewRoman" w:hAnsi="TimesNewRoman"/>
                <w:szCs w:val="22"/>
              </w:rPr>
            </w:pPr>
          </w:p>
        </w:tc>
        <w:tc>
          <w:tcPr>
            <w:tcW w:w="4536" w:type="dxa"/>
          </w:tcPr>
          <w:p w14:paraId="46D3214A" w14:textId="77777777" w:rsidR="00D02BC8" w:rsidRPr="004F3582" w:rsidRDefault="00D02BC8" w:rsidP="008B6CCB">
            <w:pPr>
              <w:pStyle w:val="EMEATableLeft"/>
              <w:keepNext w:val="0"/>
              <w:keepLines w:val="0"/>
              <w:widowControl w:val="0"/>
            </w:pPr>
            <w:r>
              <w:rPr>
                <w:b/>
                <w:bCs/>
              </w:rPr>
              <w:t>Luxembourg/Luxemburg</w:t>
            </w:r>
          </w:p>
          <w:p w14:paraId="2CB0EA94" w14:textId="77777777" w:rsidR="00D02BC8" w:rsidRPr="004F3582" w:rsidRDefault="00D02BC8" w:rsidP="008B6CCB">
            <w:pPr>
              <w:rPr>
                <w:bCs/>
                <w:szCs w:val="22"/>
              </w:rPr>
            </w:pPr>
            <w:r>
              <w:t>N.V. Bristol-Myers Squibb Belgium S.A.</w:t>
            </w:r>
          </w:p>
          <w:p w14:paraId="1A23E950" w14:textId="77777777" w:rsidR="00D02BC8" w:rsidRPr="004F3582" w:rsidRDefault="00D02BC8" w:rsidP="008B6CCB">
            <w:pPr>
              <w:pStyle w:val="EMEATableLeft"/>
              <w:keepNext w:val="0"/>
              <w:keepLines w:val="0"/>
              <w:widowControl w:val="0"/>
            </w:pPr>
            <w:r>
              <w:t>Tél/Tel: + 32 2 352 76 11</w:t>
            </w:r>
          </w:p>
          <w:p w14:paraId="6EBA68B8" w14:textId="77777777" w:rsidR="00D02BC8" w:rsidRPr="004F3582" w:rsidRDefault="00D02BC8" w:rsidP="008B6CCB">
            <w:pPr>
              <w:pStyle w:val="EMEATableLeft"/>
              <w:keepNext w:val="0"/>
              <w:keepLines w:val="0"/>
              <w:widowControl w:val="0"/>
            </w:pPr>
          </w:p>
        </w:tc>
      </w:tr>
      <w:tr w:rsidR="00D02BC8" w:rsidRPr="004F3582" w14:paraId="49D54943" w14:textId="77777777">
        <w:trPr>
          <w:cantSplit/>
          <w:trHeight w:val="904"/>
        </w:trPr>
        <w:tc>
          <w:tcPr>
            <w:tcW w:w="4536" w:type="dxa"/>
          </w:tcPr>
          <w:p w14:paraId="21A87C63" w14:textId="77777777" w:rsidR="00D02BC8" w:rsidRPr="00D31EBB" w:rsidRDefault="00D02BC8" w:rsidP="008B6CCB">
            <w:pPr>
              <w:pStyle w:val="EMEATableLeft"/>
              <w:keepNext w:val="0"/>
              <w:keepLines w:val="0"/>
              <w:widowControl w:val="0"/>
              <w:rPr>
                <w:b/>
                <w:bCs/>
              </w:rPr>
            </w:pPr>
            <w:r>
              <w:rPr>
                <w:b/>
                <w:bCs/>
              </w:rPr>
              <w:t>Česká republika</w:t>
            </w:r>
          </w:p>
          <w:p w14:paraId="57B8AAF2" w14:textId="77777777" w:rsidR="00D02BC8" w:rsidRPr="00D31EBB" w:rsidRDefault="00D02BC8" w:rsidP="008B6CCB">
            <w:pPr>
              <w:pStyle w:val="EMEABodyText"/>
              <w:widowControl w:val="0"/>
            </w:pPr>
            <w:r>
              <w:t>Bristol-Myers Squibb spol. s r.o.</w:t>
            </w:r>
          </w:p>
          <w:p w14:paraId="6282EAFE" w14:textId="77777777" w:rsidR="00D02BC8" w:rsidRPr="004F3582" w:rsidRDefault="00D02BC8" w:rsidP="008B6CCB">
            <w:pPr>
              <w:pStyle w:val="EMEATableLeft"/>
              <w:keepNext w:val="0"/>
              <w:keepLines w:val="0"/>
              <w:widowControl w:val="0"/>
            </w:pPr>
            <w:r>
              <w:t>Tel: + 420 221 016 111</w:t>
            </w:r>
          </w:p>
          <w:p w14:paraId="537DED63" w14:textId="77777777" w:rsidR="00D02BC8" w:rsidRPr="004F3582" w:rsidRDefault="00D02BC8" w:rsidP="008B6CCB">
            <w:pPr>
              <w:pStyle w:val="EMEATableLeft"/>
              <w:keepNext w:val="0"/>
              <w:keepLines w:val="0"/>
              <w:widowControl w:val="0"/>
            </w:pPr>
          </w:p>
        </w:tc>
        <w:tc>
          <w:tcPr>
            <w:tcW w:w="4536" w:type="dxa"/>
          </w:tcPr>
          <w:p w14:paraId="2108C403" w14:textId="77777777" w:rsidR="00D02BC8" w:rsidRPr="00D31EBB" w:rsidRDefault="00D02BC8" w:rsidP="008B6CCB">
            <w:pPr>
              <w:pStyle w:val="EMEATableLeft"/>
              <w:keepNext w:val="0"/>
              <w:keepLines w:val="0"/>
              <w:widowControl w:val="0"/>
              <w:rPr>
                <w:b/>
                <w:bCs/>
              </w:rPr>
            </w:pPr>
            <w:r>
              <w:rPr>
                <w:b/>
                <w:bCs/>
              </w:rPr>
              <w:t>Magyarország</w:t>
            </w:r>
          </w:p>
          <w:p w14:paraId="685460C8" w14:textId="77777777" w:rsidR="00D02BC8" w:rsidRPr="00D31EBB" w:rsidRDefault="00D02BC8" w:rsidP="008B6CCB">
            <w:pPr>
              <w:pStyle w:val="EMEABodyText"/>
              <w:widowControl w:val="0"/>
            </w:pPr>
            <w:r>
              <w:t>Bristol-Myers Squibb Kft.</w:t>
            </w:r>
          </w:p>
          <w:p w14:paraId="0811D39E" w14:textId="77777777" w:rsidR="00D02BC8" w:rsidRPr="004F3582" w:rsidRDefault="00D02BC8" w:rsidP="008B6CCB">
            <w:pPr>
              <w:pStyle w:val="EMEATableLeft"/>
              <w:keepNext w:val="0"/>
              <w:keepLines w:val="0"/>
              <w:widowControl w:val="0"/>
            </w:pPr>
            <w:r>
              <w:t>Tel.: + 36 1 9206 550</w:t>
            </w:r>
          </w:p>
          <w:p w14:paraId="2EF00AA6" w14:textId="77777777" w:rsidR="00D02BC8" w:rsidRPr="004F3582" w:rsidRDefault="00D02BC8" w:rsidP="008B6CCB">
            <w:pPr>
              <w:pStyle w:val="EMEATableLeft"/>
              <w:keepNext w:val="0"/>
              <w:keepLines w:val="0"/>
              <w:widowControl w:val="0"/>
            </w:pPr>
          </w:p>
        </w:tc>
      </w:tr>
      <w:tr w:rsidR="00D02BC8" w:rsidRPr="004F3582" w14:paraId="6BFC02F0" w14:textId="77777777">
        <w:trPr>
          <w:cantSplit/>
          <w:trHeight w:val="904"/>
        </w:trPr>
        <w:tc>
          <w:tcPr>
            <w:tcW w:w="4536" w:type="dxa"/>
          </w:tcPr>
          <w:p w14:paraId="166869B5" w14:textId="77777777" w:rsidR="00D02BC8" w:rsidRPr="00D31EBB" w:rsidRDefault="00D02BC8" w:rsidP="008B6CCB">
            <w:pPr>
              <w:pStyle w:val="EMEATableLeft"/>
              <w:keepNext w:val="0"/>
              <w:keepLines w:val="0"/>
              <w:widowControl w:val="0"/>
              <w:rPr>
                <w:b/>
                <w:bCs/>
              </w:rPr>
            </w:pPr>
            <w:r>
              <w:rPr>
                <w:b/>
                <w:bCs/>
              </w:rPr>
              <w:t>Danmark</w:t>
            </w:r>
          </w:p>
          <w:p w14:paraId="3EABFA7A" w14:textId="77777777" w:rsidR="00D02BC8" w:rsidRPr="00D31EBB" w:rsidRDefault="00D02BC8" w:rsidP="008B6CCB">
            <w:pPr>
              <w:pStyle w:val="EMEABodyText"/>
              <w:widowControl w:val="0"/>
            </w:pPr>
            <w:r>
              <w:t>Bristol-Myers Squibb</w:t>
            </w:r>
          </w:p>
          <w:p w14:paraId="66B4FD39" w14:textId="77777777" w:rsidR="00D02BC8" w:rsidRPr="00D31EBB" w:rsidRDefault="00D02BC8" w:rsidP="008B6CCB">
            <w:pPr>
              <w:pStyle w:val="EMEATableLeft"/>
              <w:keepNext w:val="0"/>
              <w:keepLines w:val="0"/>
              <w:widowControl w:val="0"/>
            </w:pPr>
            <w:r>
              <w:t>Tlf: + 45 45 93 05 06</w:t>
            </w:r>
          </w:p>
          <w:p w14:paraId="48636AEB" w14:textId="77777777" w:rsidR="00D02BC8" w:rsidRPr="00D31EBB" w:rsidRDefault="00D02BC8" w:rsidP="008B6CCB">
            <w:pPr>
              <w:pStyle w:val="EMEATableLeft"/>
              <w:keepNext w:val="0"/>
              <w:keepLines w:val="0"/>
              <w:widowControl w:val="0"/>
              <w:rPr>
                <w:lang w:val="en-US"/>
              </w:rPr>
            </w:pPr>
          </w:p>
        </w:tc>
        <w:tc>
          <w:tcPr>
            <w:tcW w:w="4536" w:type="dxa"/>
          </w:tcPr>
          <w:p w14:paraId="290992D6" w14:textId="77777777" w:rsidR="00D02BC8" w:rsidRPr="00D31EBB" w:rsidRDefault="00D02BC8" w:rsidP="008B6CCB">
            <w:pPr>
              <w:pStyle w:val="EMEATableLeft"/>
              <w:keepNext w:val="0"/>
              <w:keepLines w:val="0"/>
              <w:widowControl w:val="0"/>
              <w:rPr>
                <w:b/>
                <w:bCs/>
              </w:rPr>
            </w:pPr>
            <w:r>
              <w:rPr>
                <w:b/>
                <w:bCs/>
              </w:rPr>
              <w:t>Malta</w:t>
            </w:r>
          </w:p>
          <w:p w14:paraId="6F52F0EF" w14:textId="77777777" w:rsidR="00D02BC8" w:rsidRPr="00D31EBB" w:rsidRDefault="00D02BC8" w:rsidP="008B6CCB">
            <w:pPr>
              <w:pStyle w:val="EMEABodyText"/>
              <w:widowControl w:val="0"/>
              <w:rPr>
                <w:smallCaps/>
              </w:rPr>
            </w:pPr>
            <w:r>
              <w:rPr>
                <w:smallCaps/>
              </w:rPr>
              <w:t>Bristol-Myers Squibb S.r.l.</w:t>
            </w:r>
          </w:p>
          <w:p w14:paraId="5BF1EED1" w14:textId="77777777" w:rsidR="00D02BC8" w:rsidRPr="004F3582" w:rsidRDefault="00D02BC8" w:rsidP="008B6CCB">
            <w:pPr>
              <w:pStyle w:val="EMEATableLeft"/>
              <w:keepNext w:val="0"/>
              <w:keepLines w:val="0"/>
              <w:widowControl w:val="0"/>
            </w:pPr>
            <w:r>
              <w:t>Tel: + 39 06 50 39 61</w:t>
            </w:r>
          </w:p>
          <w:p w14:paraId="6B63BAA3" w14:textId="77777777" w:rsidR="00D02BC8" w:rsidRPr="004F3582" w:rsidRDefault="00D02BC8" w:rsidP="008B6CCB">
            <w:pPr>
              <w:pStyle w:val="EMEATableLeft"/>
              <w:keepNext w:val="0"/>
              <w:keepLines w:val="0"/>
              <w:widowControl w:val="0"/>
            </w:pPr>
          </w:p>
        </w:tc>
      </w:tr>
      <w:tr w:rsidR="00D02BC8" w:rsidRPr="004F3582" w14:paraId="75CE96C8" w14:textId="77777777">
        <w:trPr>
          <w:cantSplit/>
          <w:trHeight w:val="892"/>
        </w:trPr>
        <w:tc>
          <w:tcPr>
            <w:tcW w:w="4536" w:type="dxa"/>
          </w:tcPr>
          <w:p w14:paraId="3E09979D" w14:textId="77777777" w:rsidR="00D02BC8" w:rsidRPr="00D31EBB" w:rsidRDefault="00D02BC8" w:rsidP="008B6CCB">
            <w:pPr>
              <w:pStyle w:val="EMEATableLeft"/>
              <w:keepNext w:val="0"/>
              <w:keepLines w:val="0"/>
              <w:widowControl w:val="0"/>
            </w:pPr>
            <w:r>
              <w:rPr>
                <w:b/>
                <w:bCs/>
              </w:rPr>
              <w:t>Deutschland</w:t>
            </w:r>
          </w:p>
          <w:p w14:paraId="110A4791" w14:textId="77777777" w:rsidR="00D02BC8" w:rsidRPr="004F3582" w:rsidRDefault="00D02BC8" w:rsidP="008B6CCB">
            <w:pPr>
              <w:pStyle w:val="EMEABodyText"/>
              <w:widowControl w:val="0"/>
            </w:pPr>
            <w:r>
              <w:t>Bristol-Myers Squibb GmbH &amp; Co. KGaA</w:t>
            </w:r>
          </w:p>
          <w:p w14:paraId="52683DDF" w14:textId="77777777" w:rsidR="00D02BC8" w:rsidRPr="004F3582" w:rsidRDefault="00D02BC8" w:rsidP="008B6CCB">
            <w:pPr>
              <w:pStyle w:val="EMEATableLeft"/>
              <w:keepNext w:val="0"/>
              <w:keepLines w:val="0"/>
              <w:widowControl w:val="0"/>
            </w:pPr>
            <w:r>
              <w:t>Tel: + 49 89 121 42-0</w:t>
            </w:r>
          </w:p>
          <w:p w14:paraId="041A76B2" w14:textId="77777777" w:rsidR="00D02BC8" w:rsidRPr="004F3582" w:rsidRDefault="00D02BC8" w:rsidP="008B6CCB">
            <w:pPr>
              <w:pStyle w:val="EMEATableLeft"/>
              <w:keepNext w:val="0"/>
              <w:keepLines w:val="0"/>
              <w:widowControl w:val="0"/>
            </w:pPr>
          </w:p>
        </w:tc>
        <w:tc>
          <w:tcPr>
            <w:tcW w:w="4536" w:type="dxa"/>
          </w:tcPr>
          <w:p w14:paraId="0648469C" w14:textId="77777777" w:rsidR="00D02BC8" w:rsidRPr="00D31EBB" w:rsidRDefault="00D02BC8" w:rsidP="008B6CCB">
            <w:pPr>
              <w:pStyle w:val="EMEATableLeft"/>
              <w:keepNext w:val="0"/>
              <w:keepLines w:val="0"/>
              <w:widowControl w:val="0"/>
            </w:pPr>
            <w:r>
              <w:rPr>
                <w:b/>
                <w:bCs/>
              </w:rPr>
              <w:t>Nederland</w:t>
            </w:r>
          </w:p>
          <w:p w14:paraId="1DC98E23" w14:textId="77777777" w:rsidR="00D02BC8" w:rsidRPr="00D31EBB" w:rsidRDefault="00D02BC8" w:rsidP="008B6CCB">
            <w:pPr>
              <w:pStyle w:val="EMEABodyText"/>
              <w:widowControl w:val="0"/>
            </w:pPr>
            <w:r>
              <w:t>Bristol-Myers Squibb B.V.</w:t>
            </w:r>
          </w:p>
          <w:p w14:paraId="585EA8C9" w14:textId="77777777" w:rsidR="00D02BC8" w:rsidRPr="004F3582" w:rsidRDefault="00D02BC8" w:rsidP="008B6CCB">
            <w:pPr>
              <w:pStyle w:val="EMEATableLeft"/>
              <w:keepNext w:val="0"/>
              <w:keepLines w:val="0"/>
              <w:widowControl w:val="0"/>
            </w:pPr>
            <w:r>
              <w:t>Tel: + 31 (0)30 300 2222</w:t>
            </w:r>
          </w:p>
          <w:p w14:paraId="427DF937" w14:textId="77777777" w:rsidR="00D02BC8" w:rsidRPr="004F3582" w:rsidRDefault="00D02BC8" w:rsidP="008B6CCB"/>
        </w:tc>
      </w:tr>
      <w:tr w:rsidR="00D02BC8" w:rsidRPr="004F3582" w14:paraId="30626F1C" w14:textId="77777777">
        <w:trPr>
          <w:cantSplit/>
          <w:trHeight w:val="880"/>
        </w:trPr>
        <w:tc>
          <w:tcPr>
            <w:tcW w:w="4536" w:type="dxa"/>
          </w:tcPr>
          <w:p w14:paraId="117B74C4" w14:textId="77777777" w:rsidR="00D02BC8" w:rsidRPr="00D31EBB" w:rsidRDefault="00D02BC8" w:rsidP="008B6CCB">
            <w:pPr>
              <w:pStyle w:val="EMEATableLeft"/>
              <w:keepNext w:val="0"/>
              <w:keepLines w:val="0"/>
              <w:widowControl w:val="0"/>
            </w:pPr>
            <w:r>
              <w:rPr>
                <w:b/>
                <w:bCs/>
              </w:rPr>
              <w:t>Eesti</w:t>
            </w:r>
          </w:p>
          <w:p w14:paraId="483B2B4A" w14:textId="77777777" w:rsidR="00D02BC8" w:rsidRPr="00D31EBB" w:rsidRDefault="00D02BC8" w:rsidP="008B6CCB">
            <w:pPr>
              <w:pStyle w:val="EMEABodyText"/>
              <w:widowControl w:val="0"/>
            </w:pPr>
            <w:r>
              <w:t>Bristol-Myers Squibb Kft.</w:t>
            </w:r>
          </w:p>
          <w:p w14:paraId="20F8968B" w14:textId="77777777" w:rsidR="00D02BC8" w:rsidRPr="004F3582" w:rsidRDefault="00D02BC8" w:rsidP="008B6CCB">
            <w:pPr>
              <w:pStyle w:val="EMEATableLeft"/>
              <w:keepNext w:val="0"/>
              <w:keepLines w:val="0"/>
              <w:widowControl w:val="0"/>
            </w:pPr>
            <w:r>
              <w:t>Tel: + 372 640 1030</w:t>
            </w:r>
          </w:p>
          <w:p w14:paraId="7BB4121B" w14:textId="77777777" w:rsidR="00D02BC8" w:rsidRPr="004F3582" w:rsidRDefault="00D02BC8" w:rsidP="008B6CCB">
            <w:pPr>
              <w:pStyle w:val="EMEATableLeft"/>
              <w:keepNext w:val="0"/>
              <w:keepLines w:val="0"/>
              <w:widowControl w:val="0"/>
            </w:pPr>
          </w:p>
        </w:tc>
        <w:tc>
          <w:tcPr>
            <w:tcW w:w="4536" w:type="dxa"/>
          </w:tcPr>
          <w:p w14:paraId="46279E2E" w14:textId="77777777" w:rsidR="00D02BC8" w:rsidRPr="00D31EBB" w:rsidRDefault="00D02BC8" w:rsidP="008B6CCB">
            <w:pPr>
              <w:pStyle w:val="EMEATableLeft"/>
              <w:keepNext w:val="0"/>
              <w:keepLines w:val="0"/>
              <w:widowControl w:val="0"/>
              <w:rPr>
                <w:b/>
                <w:bCs/>
              </w:rPr>
            </w:pPr>
            <w:r>
              <w:rPr>
                <w:b/>
                <w:bCs/>
              </w:rPr>
              <w:t>Norge</w:t>
            </w:r>
          </w:p>
          <w:p w14:paraId="78EC14A9" w14:textId="77777777" w:rsidR="00D02BC8" w:rsidRPr="00D31EBB" w:rsidRDefault="00D02BC8" w:rsidP="008B6CCB">
            <w:pPr>
              <w:pStyle w:val="EMEABodyText"/>
              <w:widowControl w:val="0"/>
            </w:pPr>
            <w:r>
              <w:t>Bristol-Myers Squibb Norway Ltd</w:t>
            </w:r>
          </w:p>
          <w:p w14:paraId="13E1A251" w14:textId="77777777" w:rsidR="00D02BC8" w:rsidRPr="004F3582" w:rsidRDefault="00D02BC8" w:rsidP="008B6CCB">
            <w:pPr>
              <w:pStyle w:val="EMEATableLeft"/>
              <w:keepNext w:val="0"/>
              <w:keepLines w:val="0"/>
              <w:widowControl w:val="0"/>
            </w:pPr>
            <w:r>
              <w:t>Tlf: + 47 67 55 53 50</w:t>
            </w:r>
          </w:p>
          <w:p w14:paraId="521CA7E9" w14:textId="77777777" w:rsidR="00D02BC8" w:rsidRPr="004F3582" w:rsidRDefault="00D02BC8" w:rsidP="008B6CCB">
            <w:pPr>
              <w:pStyle w:val="EMEATableLeft"/>
              <w:keepNext w:val="0"/>
              <w:keepLines w:val="0"/>
              <w:widowControl w:val="0"/>
            </w:pPr>
          </w:p>
        </w:tc>
      </w:tr>
      <w:tr w:rsidR="00D02BC8" w:rsidRPr="00965E20" w14:paraId="58CFA8C0" w14:textId="77777777">
        <w:trPr>
          <w:cantSplit/>
          <w:trHeight w:val="952"/>
        </w:trPr>
        <w:tc>
          <w:tcPr>
            <w:tcW w:w="4536" w:type="dxa"/>
          </w:tcPr>
          <w:p w14:paraId="4B4D5A5D" w14:textId="77777777" w:rsidR="00D02BC8" w:rsidRPr="00D31EBB" w:rsidRDefault="00D02BC8" w:rsidP="008B6CCB">
            <w:pPr>
              <w:pStyle w:val="EMEATableLeft"/>
              <w:keepNext w:val="0"/>
              <w:keepLines w:val="0"/>
              <w:widowControl w:val="0"/>
            </w:pPr>
            <w:r>
              <w:rPr>
                <w:b/>
                <w:bCs/>
              </w:rPr>
              <w:t>Ελλάδα</w:t>
            </w:r>
          </w:p>
          <w:p w14:paraId="71908FC7" w14:textId="77777777" w:rsidR="00D02BC8" w:rsidRPr="00D31EBB" w:rsidRDefault="00D02BC8" w:rsidP="008B6CCB">
            <w:pPr>
              <w:pStyle w:val="EMEABodyText"/>
              <w:widowControl w:val="0"/>
            </w:pPr>
            <w:r>
              <w:rPr>
                <w:smallCaps/>
              </w:rPr>
              <w:t>Bristol-Myers Squibb A.E.</w:t>
            </w:r>
          </w:p>
          <w:p w14:paraId="51E8B802" w14:textId="77777777" w:rsidR="00D02BC8" w:rsidRPr="004F3582" w:rsidRDefault="00D02BC8" w:rsidP="008B6CCB">
            <w:pPr>
              <w:pStyle w:val="EMEATableLeft"/>
              <w:keepNext w:val="0"/>
              <w:keepLines w:val="0"/>
              <w:widowControl w:val="0"/>
            </w:pPr>
            <w:r>
              <w:t>Τηλ: + 30 210 6074300</w:t>
            </w:r>
          </w:p>
          <w:p w14:paraId="67E80229" w14:textId="77777777" w:rsidR="00D02BC8" w:rsidRPr="004F3582" w:rsidRDefault="00D02BC8" w:rsidP="008B6CCB">
            <w:pPr>
              <w:pStyle w:val="EMEATableLeft"/>
              <w:keepNext w:val="0"/>
              <w:keepLines w:val="0"/>
              <w:widowControl w:val="0"/>
            </w:pPr>
          </w:p>
        </w:tc>
        <w:tc>
          <w:tcPr>
            <w:tcW w:w="4536" w:type="dxa"/>
          </w:tcPr>
          <w:p w14:paraId="4AA7CC24" w14:textId="77777777" w:rsidR="00D02BC8" w:rsidRPr="00D31EBB" w:rsidRDefault="00D02BC8" w:rsidP="008B6CCB">
            <w:pPr>
              <w:pStyle w:val="EMEATableLeft"/>
              <w:keepNext w:val="0"/>
              <w:keepLines w:val="0"/>
              <w:widowControl w:val="0"/>
            </w:pPr>
            <w:r>
              <w:rPr>
                <w:b/>
                <w:bCs/>
              </w:rPr>
              <w:t>Österreich</w:t>
            </w:r>
          </w:p>
          <w:p w14:paraId="224F547A" w14:textId="77777777" w:rsidR="00D02BC8" w:rsidRPr="00D31EBB" w:rsidRDefault="00D02BC8" w:rsidP="008B6CCB">
            <w:pPr>
              <w:pStyle w:val="EMEABodyText"/>
              <w:widowControl w:val="0"/>
            </w:pPr>
            <w:r>
              <w:t>Bristol-Myers Squibb GesmbH</w:t>
            </w:r>
          </w:p>
          <w:p w14:paraId="5868862A" w14:textId="77777777" w:rsidR="00D02BC8" w:rsidRPr="00D31EBB" w:rsidRDefault="00D02BC8" w:rsidP="008B6CCB">
            <w:pPr>
              <w:pStyle w:val="EMEATableLeft"/>
              <w:keepNext w:val="0"/>
              <w:keepLines w:val="0"/>
              <w:widowControl w:val="0"/>
            </w:pPr>
            <w:r>
              <w:t>Tel: + 43 1 60 14 30</w:t>
            </w:r>
          </w:p>
          <w:p w14:paraId="3CEFDBCA" w14:textId="77777777" w:rsidR="00D02BC8" w:rsidRPr="00D31EBB" w:rsidRDefault="00D02BC8" w:rsidP="008B6CCB">
            <w:pPr>
              <w:pStyle w:val="EMEATableLeft"/>
              <w:keepNext w:val="0"/>
              <w:keepLines w:val="0"/>
              <w:widowControl w:val="0"/>
              <w:rPr>
                <w:lang w:val="en-US"/>
              </w:rPr>
            </w:pPr>
          </w:p>
        </w:tc>
      </w:tr>
      <w:tr w:rsidR="00D02BC8" w:rsidRPr="004F3582" w14:paraId="7980CFAC" w14:textId="77777777">
        <w:trPr>
          <w:cantSplit/>
          <w:trHeight w:val="1111"/>
        </w:trPr>
        <w:tc>
          <w:tcPr>
            <w:tcW w:w="4536" w:type="dxa"/>
          </w:tcPr>
          <w:p w14:paraId="3189BBD2" w14:textId="77777777" w:rsidR="00D02BC8" w:rsidRPr="00D31EBB" w:rsidRDefault="00D02BC8" w:rsidP="008B6CCB">
            <w:pPr>
              <w:pStyle w:val="EMEATableLeft"/>
              <w:keepNext w:val="0"/>
              <w:keepLines w:val="0"/>
              <w:widowControl w:val="0"/>
            </w:pPr>
            <w:r>
              <w:rPr>
                <w:b/>
                <w:bCs/>
              </w:rPr>
              <w:t>España</w:t>
            </w:r>
          </w:p>
          <w:p w14:paraId="0BF73A9D" w14:textId="77777777" w:rsidR="00D02BC8" w:rsidRPr="00D31EBB" w:rsidRDefault="00D02BC8" w:rsidP="008B6CCB">
            <w:pPr>
              <w:pStyle w:val="EMEABodyText"/>
              <w:widowControl w:val="0"/>
              <w:rPr>
                <w:smallCaps/>
              </w:rPr>
            </w:pPr>
            <w:r>
              <w:rPr>
                <w:smallCaps/>
              </w:rPr>
              <w:t>Bristol-Myers Squibb, S.A.</w:t>
            </w:r>
          </w:p>
          <w:p w14:paraId="26904BEA" w14:textId="77777777" w:rsidR="00D02BC8" w:rsidRPr="004F3582" w:rsidRDefault="00D02BC8" w:rsidP="008B6CCB">
            <w:pPr>
              <w:pStyle w:val="EMEATableLeft"/>
              <w:keepNext w:val="0"/>
              <w:keepLines w:val="0"/>
              <w:widowControl w:val="0"/>
            </w:pPr>
            <w:r>
              <w:t>Tel: + 34 91 456 53 00</w:t>
            </w:r>
          </w:p>
          <w:p w14:paraId="08BD104D" w14:textId="77777777" w:rsidR="00D02BC8" w:rsidRPr="004F3582" w:rsidRDefault="00D02BC8" w:rsidP="008B6CCB">
            <w:pPr>
              <w:pStyle w:val="EMEATableLeft"/>
              <w:keepNext w:val="0"/>
              <w:keepLines w:val="0"/>
              <w:widowControl w:val="0"/>
            </w:pPr>
          </w:p>
        </w:tc>
        <w:tc>
          <w:tcPr>
            <w:tcW w:w="4536" w:type="dxa"/>
          </w:tcPr>
          <w:p w14:paraId="5827079A" w14:textId="77777777" w:rsidR="00D02BC8" w:rsidRPr="00D31EBB" w:rsidRDefault="00D02BC8" w:rsidP="008B6CCB">
            <w:pPr>
              <w:pStyle w:val="EMEATableLeft"/>
              <w:keepNext w:val="0"/>
              <w:keepLines w:val="0"/>
              <w:widowControl w:val="0"/>
            </w:pPr>
            <w:r>
              <w:rPr>
                <w:b/>
                <w:bCs/>
              </w:rPr>
              <w:t>Polska</w:t>
            </w:r>
          </w:p>
          <w:p w14:paraId="6C5B9089" w14:textId="77777777" w:rsidR="00D02BC8" w:rsidRPr="004F3582" w:rsidRDefault="00D02BC8" w:rsidP="008B6CCB">
            <w:pPr>
              <w:pStyle w:val="EMEABodyText"/>
              <w:widowControl w:val="0"/>
            </w:pPr>
            <w:r>
              <w:rPr>
                <w:smallCaps/>
              </w:rPr>
              <w:t>Bristol-Myers Squibb Polska Sp. z o.o.</w:t>
            </w:r>
          </w:p>
          <w:p w14:paraId="0FC4BFB3" w14:textId="77777777" w:rsidR="00D02BC8" w:rsidRPr="004F3582" w:rsidRDefault="00D02BC8" w:rsidP="008B6CCB">
            <w:pPr>
              <w:pStyle w:val="EMEATableLeft"/>
              <w:keepNext w:val="0"/>
              <w:keepLines w:val="0"/>
              <w:widowControl w:val="0"/>
            </w:pPr>
            <w:r>
              <w:t>Tel.: + 48 22 5796666</w:t>
            </w:r>
          </w:p>
          <w:p w14:paraId="09FAE71C" w14:textId="77777777" w:rsidR="00D02BC8" w:rsidRPr="004F3582" w:rsidRDefault="00D02BC8" w:rsidP="008B6CCB">
            <w:pPr>
              <w:pStyle w:val="EMEATableLeft"/>
              <w:keepNext w:val="0"/>
              <w:keepLines w:val="0"/>
              <w:widowControl w:val="0"/>
            </w:pPr>
          </w:p>
        </w:tc>
      </w:tr>
      <w:tr w:rsidR="00D02BC8" w:rsidRPr="004F3582" w14:paraId="670FE7D7" w14:textId="77777777">
        <w:trPr>
          <w:cantSplit/>
          <w:trHeight w:val="892"/>
        </w:trPr>
        <w:tc>
          <w:tcPr>
            <w:tcW w:w="4536" w:type="dxa"/>
          </w:tcPr>
          <w:p w14:paraId="5DABE3A8" w14:textId="77777777" w:rsidR="00D02BC8" w:rsidRPr="004F3582" w:rsidRDefault="00D02BC8" w:rsidP="008B6CCB">
            <w:pPr>
              <w:pStyle w:val="EMEATableLeft"/>
              <w:keepNext w:val="0"/>
              <w:keepLines w:val="0"/>
              <w:widowControl w:val="0"/>
            </w:pPr>
            <w:r>
              <w:rPr>
                <w:b/>
                <w:bCs/>
              </w:rPr>
              <w:t>France</w:t>
            </w:r>
          </w:p>
          <w:p w14:paraId="26498CB5" w14:textId="77777777" w:rsidR="00D02BC8" w:rsidRPr="004F3582" w:rsidRDefault="00D02BC8" w:rsidP="008B6CCB">
            <w:r>
              <w:t>Bristol-Myers Squibb SARL</w:t>
            </w:r>
          </w:p>
          <w:p w14:paraId="6EA7CC13" w14:textId="77777777" w:rsidR="00D02BC8" w:rsidRPr="004F3582" w:rsidRDefault="00D02BC8" w:rsidP="008B6CCB">
            <w:pPr>
              <w:pStyle w:val="EMEATableLeft"/>
              <w:keepNext w:val="0"/>
              <w:keepLines w:val="0"/>
              <w:widowControl w:val="0"/>
            </w:pPr>
            <w:r>
              <w:t>Tél: + 33 (0) 1 58 83 84 96</w:t>
            </w:r>
          </w:p>
          <w:p w14:paraId="364CEA51" w14:textId="77777777" w:rsidR="00D02BC8" w:rsidRPr="004F3582" w:rsidRDefault="00D02BC8" w:rsidP="008B6CCB">
            <w:pPr>
              <w:pStyle w:val="EMEABodyText"/>
              <w:widowControl w:val="0"/>
              <w:rPr>
                <w:smallCaps/>
              </w:rPr>
            </w:pPr>
          </w:p>
        </w:tc>
        <w:tc>
          <w:tcPr>
            <w:tcW w:w="4536" w:type="dxa"/>
          </w:tcPr>
          <w:p w14:paraId="3FC5F12E" w14:textId="77777777" w:rsidR="00D02BC8" w:rsidRPr="0096648A" w:rsidRDefault="00D02BC8" w:rsidP="008B6CCB">
            <w:pPr>
              <w:pStyle w:val="EMEATableLeft"/>
              <w:keepNext w:val="0"/>
              <w:keepLines w:val="0"/>
              <w:widowControl w:val="0"/>
            </w:pPr>
            <w:r>
              <w:rPr>
                <w:b/>
                <w:bCs/>
              </w:rPr>
              <w:t>Portugal</w:t>
            </w:r>
          </w:p>
          <w:p w14:paraId="27C23DB1" w14:textId="77777777" w:rsidR="00D02BC8" w:rsidRPr="0096648A" w:rsidRDefault="00D02BC8" w:rsidP="008B6CCB">
            <w:pPr>
              <w:pStyle w:val="EMEABodyText"/>
              <w:widowControl w:val="0"/>
            </w:pPr>
            <w:r>
              <w:t>Bristol-Myers Squibb Farmacêutica Portuguesa, S.A.</w:t>
            </w:r>
          </w:p>
          <w:p w14:paraId="61C569D1" w14:textId="77777777" w:rsidR="00D02BC8" w:rsidRPr="004F3582" w:rsidRDefault="00D02BC8" w:rsidP="008B6CCB">
            <w:pPr>
              <w:pStyle w:val="EMEATableLeft"/>
              <w:keepNext w:val="0"/>
              <w:keepLines w:val="0"/>
              <w:widowControl w:val="0"/>
            </w:pPr>
            <w:r>
              <w:t>Tel: + 351 21 440 70 00</w:t>
            </w:r>
          </w:p>
          <w:p w14:paraId="6D7971CE" w14:textId="77777777" w:rsidR="00D02BC8" w:rsidRPr="004F3582" w:rsidRDefault="00D02BC8" w:rsidP="008B6CCB">
            <w:pPr>
              <w:pStyle w:val="EMEATableLeft"/>
              <w:keepNext w:val="0"/>
              <w:keepLines w:val="0"/>
              <w:widowControl w:val="0"/>
            </w:pPr>
          </w:p>
        </w:tc>
      </w:tr>
      <w:tr w:rsidR="00D02BC8" w:rsidRPr="004F3582" w14:paraId="1B40B0BC" w14:textId="77777777">
        <w:trPr>
          <w:cantSplit/>
          <w:trHeight w:val="892"/>
        </w:trPr>
        <w:tc>
          <w:tcPr>
            <w:tcW w:w="4536" w:type="dxa"/>
          </w:tcPr>
          <w:p w14:paraId="683E149F" w14:textId="77777777" w:rsidR="00D02BC8" w:rsidRPr="00D31EBB" w:rsidRDefault="00D02BC8" w:rsidP="008B6CCB">
            <w:pPr>
              <w:pStyle w:val="EMEATableLeft"/>
              <w:keepNext w:val="0"/>
              <w:keepLines w:val="0"/>
              <w:widowControl w:val="0"/>
              <w:rPr>
                <w:smallCaps/>
              </w:rPr>
            </w:pPr>
            <w:r>
              <w:rPr>
                <w:b/>
                <w:bCs/>
              </w:rPr>
              <w:t>Hrvatska</w:t>
            </w:r>
          </w:p>
          <w:p w14:paraId="30A9F8B8" w14:textId="77777777" w:rsidR="00D02BC8" w:rsidRPr="00D31EBB" w:rsidRDefault="00D02BC8" w:rsidP="008B6CCB">
            <w:pPr>
              <w:pStyle w:val="EMEABodyText"/>
              <w:widowControl w:val="0"/>
            </w:pPr>
            <w:r>
              <w:t>Bristol-Myers Squibb spol. s r.o.</w:t>
            </w:r>
          </w:p>
          <w:p w14:paraId="03B78656" w14:textId="77777777" w:rsidR="00D02BC8" w:rsidRPr="004F3582" w:rsidRDefault="00D02BC8" w:rsidP="008B6CCB">
            <w:pPr>
              <w:pStyle w:val="EMEABodyText"/>
              <w:widowControl w:val="0"/>
              <w:rPr>
                <w:smallCaps/>
              </w:rPr>
            </w:pPr>
            <w:r>
              <w:rPr>
                <w:smallCaps/>
              </w:rPr>
              <w:t>Tel: + 385 1 2078 508</w:t>
            </w:r>
          </w:p>
          <w:p w14:paraId="32A93C67" w14:textId="77777777" w:rsidR="00D02BC8" w:rsidRPr="004F3582" w:rsidRDefault="00D02BC8" w:rsidP="008B6CCB">
            <w:pPr>
              <w:pStyle w:val="EMEATableLeft"/>
              <w:keepNext w:val="0"/>
              <w:keepLines w:val="0"/>
              <w:widowControl w:val="0"/>
              <w:rPr>
                <w:b/>
                <w:bCs/>
              </w:rPr>
            </w:pPr>
          </w:p>
        </w:tc>
        <w:tc>
          <w:tcPr>
            <w:tcW w:w="4536" w:type="dxa"/>
          </w:tcPr>
          <w:p w14:paraId="217F06DF" w14:textId="77777777" w:rsidR="00D02BC8" w:rsidRPr="00D31EBB" w:rsidRDefault="00D02BC8" w:rsidP="008B6CCB">
            <w:pPr>
              <w:pStyle w:val="EMEATableLeft"/>
              <w:keepNext w:val="0"/>
              <w:keepLines w:val="0"/>
              <w:widowControl w:val="0"/>
              <w:rPr>
                <w:b/>
                <w:noProof/>
                <w:szCs w:val="22"/>
              </w:rPr>
            </w:pPr>
            <w:r>
              <w:rPr>
                <w:b/>
                <w:bCs/>
              </w:rPr>
              <w:t>România</w:t>
            </w:r>
          </w:p>
          <w:p w14:paraId="21376F7B" w14:textId="77777777" w:rsidR="00D02BC8" w:rsidRPr="00D31EBB" w:rsidRDefault="00D02BC8" w:rsidP="008B6CCB">
            <w:pPr>
              <w:pStyle w:val="EMEABodyText"/>
              <w:widowControl w:val="0"/>
            </w:pPr>
            <w:r>
              <w:t>Bristol-Myers Squibb Kft.</w:t>
            </w:r>
          </w:p>
          <w:p w14:paraId="66BC8CAF" w14:textId="77777777" w:rsidR="00D02BC8" w:rsidRPr="004F3582" w:rsidRDefault="00D02BC8" w:rsidP="008B6CCB">
            <w:pPr>
              <w:pStyle w:val="EMEATableLeft"/>
              <w:keepNext w:val="0"/>
              <w:keepLines w:val="0"/>
              <w:widowControl w:val="0"/>
            </w:pPr>
            <w:r>
              <w:t>Tel: + 40 (0)21 272 16 00</w:t>
            </w:r>
          </w:p>
          <w:p w14:paraId="6A6E0EF5" w14:textId="77777777" w:rsidR="00D02BC8" w:rsidRPr="004F3582" w:rsidRDefault="00D02BC8" w:rsidP="008B6CCB">
            <w:pPr>
              <w:pStyle w:val="EMEATableLeft"/>
              <w:keepNext w:val="0"/>
              <w:keepLines w:val="0"/>
              <w:widowControl w:val="0"/>
              <w:rPr>
                <w:noProof/>
                <w:szCs w:val="22"/>
              </w:rPr>
            </w:pPr>
          </w:p>
        </w:tc>
      </w:tr>
      <w:tr w:rsidR="00D02BC8" w:rsidRPr="004F3582" w14:paraId="425D7AE6" w14:textId="77777777">
        <w:trPr>
          <w:cantSplit/>
          <w:trHeight w:val="892"/>
        </w:trPr>
        <w:tc>
          <w:tcPr>
            <w:tcW w:w="4536" w:type="dxa"/>
          </w:tcPr>
          <w:p w14:paraId="1BC8ED12" w14:textId="77777777" w:rsidR="00D02BC8" w:rsidRPr="00D31EBB" w:rsidRDefault="00D02BC8" w:rsidP="008B6CCB">
            <w:pPr>
              <w:pStyle w:val="EMEATableLeft"/>
              <w:keepNext w:val="0"/>
              <w:keepLines w:val="0"/>
              <w:widowControl w:val="0"/>
            </w:pPr>
            <w:r>
              <w:rPr>
                <w:b/>
                <w:bCs/>
              </w:rPr>
              <w:t>Ireland</w:t>
            </w:r>
          </w:p>
          <w:p w14:paraId="063B9E0A" w14:textId="77777777" w:rsidR="00D02BC8" w:rsidRPr="00D31EBB" w:rsidRDefault="00D02BC8" w:rsidP="008B6CCB">
            <w:pPr>
              <w:pStyle w:val="EMEABodyText"/>
              <w:widowControl w:val="0"/>
            </w:pPr>
            <w:r>
              <w:t>Bristol-Myers Squibb Pharmaceuticals uc</w:t>
            </w:r>
          </w:p>
          <w:p w14:paraId="382A9896" w14:textId="77777777" w:rsidR="00D02BC8" w:rsidRPr="004F3582" w:rsidRDefault="00D02BC8" w:rsidP="008B6CCB">
            <w:pPr>
              <w:pStyle w:val="EMEATableLeft"/>
              <w:keepNext w:val="0"/>
              <w:keepLines w:val="0"/>
              <w:widowControl w:val="0"/>
            </w:pPr>
            <w:r>
              <w:t>Tel: + 353 (0)1 483 3625</w:t>
            </w:r>
          </w:p>
          <w:p w14:paraId="552C79BF" w14:textId="77777777" w:rsidR="00D02BC8" w:rsidRPr="004F3582" w:rsidRDefault="00D02BC8" w:rsidP="008B6CCB">
            <w:pPr>
              <w:pStyle w:val="EMEATableLeft"/>
              <w:keepNext w:val="0"/>
              <w:keepLines w:val="0"/>
              <w:widowControl w:val="0"/>
            </w:pPr>
          </w:p>
        </w:tc>
        <w:tc>
          <w:tcPr>
            <w:tcW w:w="4536" w:type="dxa"/>
          </w:tcPr>
          <w:p w14:paraId="26478AA0" w14:textId="77777777" w:rsidR="00D02BC8" w:rsidRPr="00D31EBB" w:rsidRDefault="00D02BC8" w:rsidP="008B6CCB">
            <w:pPr>
              <w:pStyle w:val="EMEATableLeft"/>
              <w:keepNext w:val="0"/>
              <w:keepLines w:val="0"/>
              <w:widowControl w:val="0"/>
            </w:pPr>
            <w:r>
              <w:rPr>
                <w:b/>
                <w:bCs/>
              </w:rPr>
              <w:t>Slovenija</w:t>
            </w:r>
          </w:p>
          <w:p w14:paraId="219DE7BB" w14:textId="77777777" w:rsidR="00D02BC8" w:rsidRPr="00D31EBB" w:rsidRDefault="00D02BC8" w:rsidP="008B6CCB">
            <w:pPr>
              <w:pStyle w:val="EMEABodyText"/>
              <w:widowControl w:val="0"/>
            </w:pPr>
            <w:r>
              <w:t>Bristol-Myers Squibb spol. s r.o.</w:t>
            </w:r>
          </w:p>
          <w:p w14:paraId="41CFAEF9" w14:textId="77777777" w:rsidR="00D02BC8" w:rsidRPr="004F3582" w:rsidRDefault="00D02BC8" w:rsidP="008B6CCB">
            <w:pPr>
              <w:pStyle w:val="EMEATableLeft"/>
              <w:keepNext w:val="0"/>
              <w:keepLines w:val="0"/>
              <w:widowControl w:val="0"/>
              <w:rPr>
                <w:iCs/>
              </w:rPr>
            </w:pPr>
            <w:r>
              <w:t>Tel: + 386 1 2355 100</w:t>
            </w:r>
          </w:p>
          <w:p w14:paraId="57786F95" w14:textId="77777777" w:rsidR="00D02BC8" w:rsidRPr="004F3582" w:rsidRDefault="00D02BC8" w:rsidP="008B6CCB">
            <w:pPr>
              <w:pStyle w:val="EMEATableLeft"/>
              <w:keepNext w:val="0"/>
              <w:keepLines w:val="0"/>
              <w:widowControl w:val="0"/>
            </w:pPr>
          </w:p>
        </w:tc>
      </w:tr>
      <w:tr w:rsidR="00D02BC8" w:rsidRPr="004F3582" w14:paraId="3E75DB43" w14:textId="77777777">
        <w:trPr>
          <w:cantSplit/>
          <w:trHeight w:val="904"/>
        </w:trPr>
        <w:tc>
          <w:tcPr>
            <w:tcW w:w="4536" w:type="dxa"/>
          </w:tcPr>
          <w:p w14:paraId="1740A63E" w14:textId="77777777" w:rsidR="00D02BC8" w:rsidRPr="00D31EBB" w:rsidRDefault="00D02BC8" w:rsidP="008B6CCB">
            <w:pPr>
              <w:pStyle w:val="EMEATableLeft"/>
              <w:keepNext w:val="0"/>
              <w:keepLines w:val="0"/>
              <w:widowControl w:val="0"/>
            </w:pPr>
            <w:r>
              <w:rPr>
                <w:b/>
                <w:bCs/>
              </w:rPr>
              <w:t>Ísland</w:t>
            </w:r>
          </w:p>
          <w:p w14:paraId="26366673" w14:textId="77777777" w:rsidR="00D02BC8" w:rsidRPr="00D31EBB" w:rsidRDefault="009E242A" w:rsidP="008B6CCB">
            <w:pPr>
              <w:pStyle w:val="EMEATableLeft"/>
              <w:keepNext w:val="0"/>
              <w:keepLines w:val="0"/>
              <w:widowControl w:val="0"/>
              <w:rPr>
                <w:szCs w:val="22"/>
              </w:rPr>
            </w:pPr>
            <w:r>
              <w:t>Bristol-Myers Squibb AB hjá Vistor hf.</w:t>
            </w:r>
          </w:p>
          <w:p w14:paraId="10052006" w14:textId="77777777" w:rsidR="00D02BC8" w:rsidRPr="004F3582" w:rsidRDefault="00D02BC8" w:rsidP="008B6CCB">
            <w:pPr>
              <w:pStyle w:val="EMEATableLeft"/>
              <w:keepNext w:val="0"/>
              <w:keepLines w:val="0"/>
              <w:widowControl w:val="0"/>
            </w:pPr>
            <w:r>
              <w:t>Sími: + 354 535 7000</w:t>
            </w:r>
          </w:p>
          <w:p w14:paraId="2FAA3C47" w14:textId="77777777" w:rsidR="00D02BC8" w:rsidRPr="004F3582" w:rsidRDefault="00D02BC8" w:rsidP="008B6CCB">
            <w:pPr>
              <w:pStyle w:val="EMEATableLeft"/>
              <w:keepNext w:val="0"/>
              <w:keepLines w:val="0"/>
              <w:widowControl w:val="0"/>
            </w:pPr>
          </w:p>
        </w:tc>
        <w:tc>
          <w:tcPr>
            <w:tcW w:w="4536" w:type="dxa"/>
          </w:tcPr>
          <w:p w14:paraId="30D74F2E" w14:textId="77777777" w:rsidR="00D02BC8" w:rsidRPr="00D31EBB" w:rsidRDefault="00D02BC8" w:rsidP="008B6CCB">
            <w:pPr>
              <w:pStyle w:val="EMEATableLeft"/>
              <w:keepNext w:val="0"/>
              <w:keepLines w:val="0"/>
              <w:widowControl w:val="0"/>
            </w:pPr>
            <w:r>
              <w:rPr>
                <w:b/>
                <w:bCs/>
              </w:rPr>
              <w:t>Slovenská republika</w:t>
            </w:r>
          </w:p>
          <w:p w14:paraId="4F0553F4" w14:textId="77777777" w:rsidR="00D02BC8" w:rsidRPr="00D31EBB" w:rsidRDefault="00D02BC8" w:rsidP="008B6CCB">
            <w:pPr>
              <w:pStyle w:val="EMEABodyText"/>
              <w:widowControl w:val="0"/>
            </w:pPr>
            <w:r>
              <w:t>Bristol-Myers Squibb spol. s r.o.</w:t>
            </w:r>
          </w:p>
          <w:p w14:paraId="1A7292FB" w14:textId="77777777" w:rsidR="00D02BC8" w:rsidRPr="004F3582" w:rsidRDefault="00D02BC8" w:rsidP="008B6CCB">
            <w:pPr>
              <w:pStyle w:val="EMEATableLeft"/>
              <w:keepNext w:val="0"/>
              <w:keepLines w:val="0"/>
              <w:widowControl w:val="0"/>
            </w:pPr>
            <w:r>
              <w:t>Tel: + 421 2 59298411</w:t>
            </w:r>
          </w:p>
          <w:p w14:paraId="387D6AC5" w14:textId="77777777" w:rsidR="00D02BC8" w:rsidRPr="004F3582" w:rsidRDefault="00D02BC8" w:rsidP="008B6CCB">
            <w:pPr>
              <w:pStyle w:val="EMEATableLeft"/>
              <w:keepNext w:val="0"/>
              <w:keepLines w:val="0"/>
              <w:widowControl w:val="0"/>
            </w:pPr>
          </w:p>
        </w:tc>
      </w:tr>
      <w:tr w:rsidR="00D02BC8" w:rsidRPr="004F3582" w14:paraId="1493A57A" w14:textId="77777777">
        <w:trPr>
          <w:cantSplit/>
          <w:trHeight w:val="892"/>
        </w:trPr>
        <w:tc>
          <w:tcPr>
            <w:tcW w:w="4536" w:type="dxa"/>
          </w:tcPr>
          <w:p w14:paraId="4A696F0F" w14:textId="77777777" w:rsidR="00D02BC8" w:rsidRPr="00D31EBB" w:rsidRDefault="00D02BC8" w:rsidP="008B6CCB">
            <w:pPr>
              <w:pStyle w:val="EMEATableLeft"/>
              <w:keepNext w:val="0"/>
              <w:keepLines w:val="0"/>
              <w:widowControl w:val="0"/>
            </w:pPr>
            <w:r>
              <w:rPr>
                <w:b/>
                <w:bCs/>
              </w:rPr>
              <w:t>Italia</w:t>
            </w:r>
          </w:p>
          <w:p w14:paraId="49D6647F" w14:textId="77777777" w:rsidR="00D02BC8" w:rsidRPr="00D31EBB" w:rsidRDefault="00D02BC8" w:rsidP="008B6CCB">
            <w:pPr>
              <w:pStyle w:val="EMEABodyText"/>
              <w:widowControl w:val="0"/>
              <w:rPr>
                <w:smallCaps/>
              </w:rPr>
            </w:pPr>
            <w:r>
              <w:rPr>
                <w:smallCaps/>
              </w:rPr>
              <w:t>Bristol-Myers Squibb S.r.l.</w:t>
            </w:r>
          </w:p>
          <w:p w14:paraId="40DA3201" w14:textId="77777777" w:rsidR="00D02BC8" w:rsidRPr="004F3582" w:rsidRDefault="00D02BC8" w:rsidP="008B6CCB">
            <w:pPr>
              <w:pStyle w:val="EMEATableLeft"/>
              <w:keepNext w:val="0"/>
              <w:keepLines w:val="0"/>
              <w:widowControl w:val="0"/>
            </w:pPr>
            <w:r>
              <w:t>Tel: + 39 06 50 39 61</w:t>
            </w:r>
          </w:p>
          <w:p w14:paraId="0DBD305A" w14:textId="77777777" w:rsidR="00D02BC8" w:rsidRPr="004F3582" w:rsidRDefault="00D02BC8" w:rsidP="008B6CCB">
            <w:pPr>
              <w:pStyle w:val="EMEATableLeft"/>
              <w:keepNext w:val="0"/>
              <w:keepLines w:val="0"/>
              <w:widowControl w:val="0"/>
            </w:pPr>
          </w:p>
        </w:tc>
        <w:tc>
          <w:tcPr>
            <w:tcW w:w="4536" w:type="dxa"/>
          </w:tcPr>
          <w:p w14:paraId="2DF493F6" w14:textId="77777777" w:rsidR="00D02BC8" w:rsidRPr="004F3582" w:rsidRDefault="00D02BC8" w:rsidP="008B6CCB">
            <w:pPr>
              <w:pStyle w:val="EMEATableLeft"/>
              <w:keepNext w:val="0"/>
              <w:keepLines w:val="0"/>
              <w:widowControl w:val="0"/>
            </w:pPr>
            <w:r>
              <w:rPr>
                <w:b/>
                <w:bCs/>
              </w:rPr>
              <w:t>Suomi/Finland</w:t>
            </w:r>
          </w:p>
          <w:p w14:paraId="1ADCFEBD" w14:textId="77777777" w:rsidR="00D02BC8" w:rsidRPr="004F3582" w:rsidRDefault="00D02BC8" w:rsidP="008B6CCB">
            <w:pPr>
              <w:pStyle w:val="EMEABodyText"/>
              <w:widowControl w:val="0"/>
            </w:pPr>
            <w:r>
              <w:t>Oy Bristol-Myers Squibb (Finland) Ab</w:t>
            </w:r>
          </w:p>
          <w:p w14:paraId="2B255F3F" w14:textId="77777777" w:rsidR="00D02BC8" w:rsidRPr="004F3582" w:rsidRDefault="00D02BC8" w:rsidP="008B6CCB">
            <w:pPr>
              <w:pStyle w:val="EMEATableLeft"/>
              <w:keepNext w:val="0"/>
              <w:keepLines w:val="0"/>
              <w:widowControl w:val="0"/>
            </w:pPr>
            <w:r>
              <w:t>Puh/Tel: + 358 9 251 21 230</w:t>
            </w:r>
          </w:p>
          <w:p w14:paraId="53C3AB68" w14:textId="77777777" w:rsidR="00D02BC8" w:rsidRPr="004F3582" w:rsidRDefault="00D02BC8" w:rsidP="008B6CCB">
            <w:pPr>
              <w:pStyle w:val="EMEATableLeft"/>
              <w:keepNext w:val="0"/>
              <w:keepLines w:val="0"/>
              <w:widowControl w:val="0"/>
            </w:pPr>
          </w:p>
        </w:tc>
      </w:tr>
      <w:tr w:rsidR="00D02BC8" w:rsidRPr="00965E20" w14:paraId="12382C5D" w14:textId="77777777">
        <w:trPr>
          <w:cantSplit/>
          <w:trHeight w:val="772"/>
        </w:trPr>
        <w:tc>
          <w:tcPr>
            <w:tcW w:w="4536" w:type="dxa"/>
          </w:tcPr>
          <w:p w14:paraId="7F3FF3FC" w14:textId="77777777" w:rsidR="00D02BC8" w:rsidRPr="00D31EBB" w:rsidRDefault="00D02BC8" w:rsidP="008B6CCB">
            <w:pPr>
              <w:pStyle w:val="EMEATableLeft"/>
              <w:keepNext w:val="0"/>
              <w:keepLines w:val="0"/>
              <w:widowControl w:val="0"/>
            </w:pPr>
            <w:r>
              <w:rPr>
                <w:b/>
                <w:bCs/>
              </w:rPr>
              <w:t>Κύπρος</w:t>
            </w:r>
          </w:p>
          <w:p w14:paraId="5380135D" w14:textId="77777777" w:rsidR="00D02BC8" w:rsidRPr="00D31EBB" w:rsidRDefault="00D02BC8" w:rsidP="008B6CCB">
            <w:pPr>
              <w:pStyle w:val="EMEABodyText"/>
              <w:widowControl w:val="0"/>
            </w:pPr>
            <w:r>
              <w:rPr>
                <w:smallCaps/>
              </w:rPr>
              <w:t>Bristol-Myers Squibb A.E.</w:t>
            </w:r>
          </w:p>
          <w:p w14:paraId="7373CAB2" w14:textId="77777777" w:rsidR="00D02BC8" w:rsidRPr="004F3582" w:rsidRDefault="00D02BC8" w:rsidP="008B6CCB">
            <w:pPr>
              <w:pStyle w:val="EMEATableLeft"/>
              <w:keepNext w:val="0"/>
              <w:keepLines w:val="0"/>
              <w:widowControl w:val="0"/>
            </w:pPr>
            <w:r>
              <w:t>Τηλ: + 357 800 92666</w:t>
            </w:r>
          </w:p>
          <w:p w14:paraId="3C340ECB" w14:textId="77777777" w:rsidR="00D02BC8" w:rsidRPr="004F3582" w:rsidRDefault="00D02BC8" w:rsidP="008B6CCB">
            <w:pPr>
              <w:pStyle w:val="EMEATableLeft"/>
              <w:keepNext w:val="0"/>
              <w:keepLines w:val="0"/>
              <w:widowControl w:val="0"/>
            </w:pPr>
          </w:p>
        </w:tc>
        <w:tc>
          <w:tcPr>
            <w:tcW w:w="4536" w:type="dxa"/>
          </w:tcPr>
          <w:p w14:paraId="34284C9A" w14:textId="77777777" w:rsidR="00D02BC8" w:rsidRPr="00D31EBB" w:rsidRDefault="00D02BC8" w:rsidP="008B6CCB">
            <w:pPr>
              <w:pStyle w:val="EMEATableLeft"/>
              <w:keepNext w:val="0"/>
              <w:keepLines w:val="0"/>
              <w:widowControl w:val="0"/>
            </w:pPr>
            <w:r>
              <w:rPr>
                <w:b/>
                <w:bCs/>
              </w:rPr>
              <w:t>Sverige</w:t>
            </w:r>
          </w:p>
          <w:p w14:paraId="090F7508" w14:textId="77777777" w:rsidR="00D02BC8" w:rsidRPr="00D31EBB" w:rsidRDefault="00D02BC8" w:rsidP="008B6CCB">
            <w:pPr>
              <w:pStyle w:val="EMEABodyText"/>
              <w:widowControl w:val="0"/>
            </w:pPr>
            <w:r>
              <w:t>Bristol-Myers Squibb AB</w:t>
            </w:r>
          </w:p>
          <w:p w14:paraId="31097984" w14:textId="77777777" w:rsidR="00D02BC8" w:rsidRPr="00D31EBB" w:rsidRDefault="00D02BC8" w:rsidP="008B6CCB">
            <w:pPr>
              <w:pStyle w:val="EMEATableLeft"/>
              <w:keepNext w:val="0"/>
              <w:keepLines w:val="0"/>
              <w:widowControl w:val="0"/>
            </w:pPr>
            <w:r>
              <w:t>Tel: + 46 8 704 71 00</w:t>
            </w:r>
          </w:p>
          <w:p w14:paraId="53878CFA" w14:textId="77777777" w:rsidR="00D02BC8" w:rsidRPr="00D31EBB" w:rsidRDefault="00D02BC8" w:rsidP="008B6CCB">
            <w:pPr>
              <w:pStyle w:val="EMEATableLeft"/>
              <w:keepNext w:val="0"/>
              <w:keepLines w:val="0"/>
              <w:widowControl w:val="0"/>
              <w:rPr>
                <w:lang w:val="en-US"/>
              </w:rPr>
            </w:pPr>
          </w:p>
        </w:tc>
      </w:tr>
      <w:tr w:rsidR="00D02BC8" w:rsidRPr="004F3582" w14:paraId="5C868F93" w14:textId="77777777">
        <w:trPr>
          <w:cantSplit/>
          <w:trHeight w:val="1219"/>
        </w:trPr>
        <w:tc>
          <w:tcPr>
            <w:tcW w:w="4536" w:type="dxa"/>
          </w:tcPr>
          <w:p w14:paraId="100AA196" w14:textId="77777777" w:rsidR="00D02BC8" w:rsidRPr="00D31EBB" w:rsidRDefault="00D02BC8" w:rsidP="008B6CCB">
            <w:pPr>
              <w:pStyle w:val="EMEATableLeft"/>
              <w:keepNext w:val="0"/>
              <w:keepLines w:val="0"/>
              <w:widowControl w:val="0"/>
            </w:pPr>
            <w:r>
              <w:rPr>
                <w:b/>
                <w:bCs/>
              </w:rPr>
              <w:t>Latvija</w:t>
            </w:r>
          </w:p>
          <w:p w14:paraId="02E5BB02" w14:textId="77777777" w:rsidR="00D02BC8" w:rsidRPr="00D31EBB" w:rsidRDefault="00D02BC8" w:rsidP="008B6CCB">
            <w:pPr>
              <w:pStyle w:val="EMEABodyText"/>
              <w:widowControl w:val="0"/>
            </w:pPr>
            <w:r>
              <w:t>Bristol-Myers Squibb Kft.</w:t>
            </w:r>
          </w:p>
          <w:p w14:paraId="4243E217" w14:textId="77777777" w:rsidR="00D02BC8" w:rsidRPr="004F3582" w:rsidRDefault="00B10B04" w:rsidP="008B6CCB">
            <w:pPr>
              <w:pStyle w:val="EMEATableLeft"/>
              <w:keepNext w:val="0"/>
              <w:keepLines w:val="0"/>
              <w:widowControl w:val="0"/>
            </w:pPr>
            <w:r>
              <w:t>Tel: + 371 67708347</w:t>
            </w:r>
          </w:p>
          <w:p w14:paraId="41456632" w14:textId="77777777" w:rsidR="00D02BC8" w:rsidRPr="004F3582" w:rsidRDefault="00D02BC8" w:rsidP="008B6CCB">
            <w:pPr>
              <w:pStyle w:val="EMEATableLeft"/>
              <w:keepNext w:val="0"/>
              <w:keepLines w:val="0"/>
              <w:widowControl w:val="0"/>
            </w:pPr>
          </w:p>
        </w:tc>
        <w:tc>
          <w:tcPr>
            <w:tcW w:w="4536" w:type="dxa"/>
          </w:tcPr>
          <w:p w14:paraId="1E6E74D7" w14:textId="77777777" w:rsidR="00D02BC8" w:rsidRPr="00D31EBB" w:rsidRDefault="00D02BC8" w:rsidP="008B6CCB">
            <w:pPr>
              <w:pStyle w:val="EMEATableLeft"/>
              <w:keepNext w:val="0"/>
              <w:keepLines w:val="0"/>
              <w:widowControl w:val="0"/>
            </w:pPr>
            <w:r>
              <w:rPr>
                <w:b/>
                <w:bCs/>
              </w:rPr>
              <w:t>United Kingdom</w:t>
            </w:r>
          </w:p>
          <w:p w14:paraId="0E852C6F" w14:textId="77777777" w:rsidR="00D02BC8" w:rsidRPr="00D31EBB" w:rsidRDefault="00D02BC8" w:rsidP="008B6CCB">
            <w:pPr>
              <w:pStyle w:val="EMEABodyText"/>
              <w:widowControl w:val="0"/>
            </w:pPr>
            <w:r>
              <w:t>Bristol-Myers Squibb Pharmaceuticals Ltd</w:t>
            </w:r>
          </w:p>
          <w:p w14:paraId="26064703" w14:textId="77777777" w:rsidR="00D02BC8" w:rsidRPr="004F3582" w:rsidRDefault="00D02BC8" w:rsidP="008B6CCB">
            <w:pPr>
              <w:pStyle w:val="EMEATableLeft"/>
              <w:keepNext w:val="0"/>
              <w:keepLines w:val="0"/>
              <w:widowControl w:val="0"/>
            </w:pPr>
            <w:r>
              <w:t>Tel: + 44 (0800) 731 1736</w:t>
            </w:r>
          </w:p>
          <w:p w14:paraId="59DF09C4" w14:textId="77777777" w:rsidR="00D02BC8" w:rsidRPr="004F3582" w:rsidRDefault="00D02BC8" w:rsidP="008B6CCB">
            <w:pPr>
              <w:pStyle w:val="EMEATableLeft"/>
              <w:keepNext w:val="0"/>
              <w:keepLines w:val="0"/>
              <w:widowControl w:val="0"/>
            </w:pPr>
          </w:p>
        </w:tc>
      </w:tr>
    </w:tbl>
    <w:p w14:paraId="313EDF68" w14:textId="77777777" w:rsidR="00D02BC8" w:rsidRPr="00D31EBB" w:rsidRDefault="00D02BC8" w:rsidP="008B6CCB">
      <w:pPr>
        <w:pStyle w:val="EMEABodyText"/>
      </w:pPr>
      <w:r>
        <w:rPr>
          <w:b/>
        </w:rPr>
        <w:t>This leaflet was last revised in</w:t>
      </w:r>
    </w:p>
    <w:p w14:paraId="540D6CED" w14:textId="77777777" w:rsidR="00D02BC8" w:rsidRPr="00D31EBB" w:rsidRDefault="00D02BC8" w:rsidP="008B6CCB">
      <w:pPr>
        <w:pStyle w:val="EMEABodyText"/>
        <w:rPr>
          <w:rFonts w:eastAsia="MS Mincho"/>
          <w:lang w:val="en-US"/>
        </w:rPr>
      </w:pPr>
    </w:p>
    <w:p w14:paraId="22189944" w14:textId="77777777" w:rsidR="00D02BC8" w:rsidRPr="00D31EBB" w:rsidRDefault="00D02BC8" w:rsidP="008B6CCB">
      <w:pPr>
        <w:pStyle w:val="EMEABodyText"/>
        <w:rPr>
          <w:b/>
          <w:bCs/>
          <w:szCs w:val="22"/>
        </w:rPr>
      </w:pPr>
      <w:r>
        <w:rPr>
          <w:b/>
          <w:bCs/>
          <w:szCs w:val="22"/>
        </w:rPr>
        <w:t>Other sources of information</w:t>
      </w:r>
    </w:p>
    <w:p w14:paraId="24BC7F06" w14:textId="77777777" w:rsidR="00D02BC8" w:rsidRPr="00D31EBB" w:rsidRDefault="00D02BC8" w:rsidP="008B6CCB">
      <w:pPr>
        <w:pStyle w:val="EMEABodyText"/>
        <w:rPr>
          <w:iCs/>
          <w:noProof/>
          <w:lang w:val="en-US"/>
        </w:rPr>
      </w:pPr>
    </w:p>
    <w:p w14:paraId="6E61E14B" w14:textId="77777777" w:rsidR="00D02BC8" w:rsidRPr="00D31EBB" w:rsidRDefault="00D02BC8" w:rsidP="008B6CCB">
      <w:pPr>
        <w:pStyle w:val="EMEABodyText"/>
        <w:rPr>
          <w:rFonts w:eastAsia="MS Mincho"/>
        </w:rPr>
      </w:pPr>
      <w:r>
        <w:t>Detailed information on this medicine is available on the European Medicines Agency web site: http://www.ema.europa.eu/.</w:t>
      </w:r>
    </w:p>
    <w:p w14:paraId="3C0CEB77" w14:textId="77777777" w:rsidR="00187713" w:rsidRPr="00D31EBB" w:rsidRDefault="00187713" w:rsidP="00187713">
      <w:pPr>
        <w:pStyle w:val="EMEATitle"/>
        <w:rPr>
          <w:noProof/>
        </w:rPr>
      </w:pPr>
      <w:r>
        <w:br w:type="page"/>
        <w:t>Package leaflet: Information for the user</w:t>
      </w:r>
    </w:p>
    <w:p w14:paraId="56B1F963" w14:textId="77777777" w:rsidR="00187713" w:rsidRPr="00D31EBB" w:rsidRDefault="00187713" w:rsidP="00187713">
      <w:pPr>
        <w:pStyle w:val="EMEATitle"/>
        <w:rPr>
          <w:noProof/>
          <w:lang w:val="en-US"/>
        </w:rPr>
      </w:pPr>
    </w:p>
    <w:p w14:paraId="04B93DE9" w14:textId="77777777" w:rsidR="00187713" w:rsidRPr="00D31EBB" w:rsidRDefault="00187713" w:rsidP="00187713">
      <w:pPr>
        <w:pStyle w:val="EMEABodyText"/>
        <w:jc w:val="center"/>
        <w:rPr>
          <w:b/>
        </w:rPr>
      </w:pPr>
      <w:r>
        <w:rPr>
          <w:b/>
        </w:rPr>
        <w:t>REYATAZ 50 mg oral powder</w:t>
      </w:r>
    </w:p>
    <w:p w14:paraId="5188B92F" w14:textId="77777777" w:rsidR="00187713" w:rsidRPr="00D31EBB" w:rsidRDefault="00187713" w:rsidP="00187713">
      <w:pPr>
        <w:pStyle w:val="EMEABodyText"/>
        <w:jc w:val="center"/>
      </w:pPr>
      <w:r>
        <w:t>atazanavir</w:t>
      </w:r>
    </w:p>
    <w:p w14:paraId="053519FE" w14:textId="77777777" w:rsidR="00187713" w:rsidRPr="00D31EBB" w:rsidRDefault="00187713" w:rsidP="00187713">
      <w:pPr>
        <w:pStyle w:val="EMEABodyText"/>
        <w:jc w:val="center"/>
        <w:rPr>
          <w:b/>
          <w:noProof/>
          <w:lang w:val="en-US"/>
        </w:rPr>
      </w:pPr>
    </w:p>
    <w:p w14:paraId="6132D78C" w14:textId="77777777" w:rsidR="00187713" w:rsidRPr="00D31EBB" w:rsidRDefault="00187713" w:rsidP="00187713">
      <w:pPr>
        <w:pStyle w:val="EMEABodyText"/>
        <w:rPr>
          <w:b/>
          <w:noProof/>
        </w:rPr>
      </w:pPr>
      <w:r>
        <w:rPr>
          <w:b/>
        </w:rPr>
        <w:t>Read all of this leaflet carefully before you start taking this medicine because it contains important information for you.</w:t>
      </w:r>
    </w:p>
    <w:p w14:paraId="7684117D" w14:textId="77777777" w:rsidR="00187713" w:rsidRPr="00D31EBB" w:rsidRDefault="00187713" w:rsidP="00A66E5A">
      <w:pPr>
        <w:pStyle w:val="EMEABodyTextIndent"/>
        <w:ind w:left="567" w:hanging="567"/>
        <w:rPr>
          <w:i/>
          <w:noProof/>
        </w:rPr>
      </w:pPr>
      <w:r>
        <w:t>Keep this leaflet. You may need to read it again.</w:t>
      </w:r>
    </w:p>
    <w:p w14:paraId="439FDD60" w14:textId="77777777" w:rsidR="00187713" w:rsidRPr="00D31EBB" w:rsidRDefault="00187713" w:rsidP="00A66E5A">
      <w:pPr>
        <w:pStyle w:val="EMEABodyTextIndent"/>
        <w:ind w:left="567" w:hanging="567"/>
        <w:rPr>
          <w:i/>
          <w:noProof/>
        </w:rPr>
      </w:pPr>
      <w:r>
        <w:t>If you have any further questions, ask your doctor or pharmacist.</w:t>
      </w:r>
    </w:p>
    <w:p w14:paraId="66FC742E" w14:textId="77777777" w:rsidR="00187713" w:rsidRPr="00D31EBB" w:rsidRDefault="00187713" w:rsidP="00A66E5A">
      <w:pPr>
        <w:pStyle w:val="EMEABodyTextIndent"/>
        <w:ind w:left="567" w:hanging="567"/>
        <w:rPr>
          <w:i/>
          <w:noProof/>
        </w:rPr>
      </w:pPr>
      <w:r>
        <w:t>This medicine has been prescribed for you only. Do not pass it on to others.</w:t>
      </w:r>
      <w:r>
        <w:br/>
        <w:t>It may harm them, even if their signs of illness are the same as yours.</w:t>
      </w:r>
    </w:p>
    <w:p w14:paraId="7E01ED69" w14:textId="77777777" w:rsidR="00187713" w:rsidRPr="004F3582" w:rsidRDefault="00187713" w:rsidP="008440D2">
      <w:pPr>
        <w:pStyle w:val="EMEABodyTextIndent"/>
        <w:ind w:left="567" w:hanging="567"/>
        <w:rPr>
          <w:i/>
          <w:noProof/>
        </w:rPr>
      </w:pPr>
      <w:r>
        <w:t>If you get any side effects talk to your doctor, or pharmacist. This includes any possible side effects not listed in this leaflet. See section 4</w:t>
      </w:r>
    </w:p>
    <w:p w14:paraId="2AFDDA25" w14:textId="77777777" w:rsidR="00187713" w:rsidRPr="004F3582" w:rsidRDefault="00187713" w:rsidP="00187713">
      <w:pPr>
        <w:pStyle w:val="EMEABodyText"/>
        <w:rPr>
          <w:b/>
          <w:noProof/>
        </w:rPr>
      </w:pPr>
    </w:p>
    <w:p w14:paraId="67A680CD" w14:textId="77777777" w:rsidR="00187713" w:rsidRPr="004F3582" w:rsidRDefault="00187713" w:rsidP="00187713">
      <w:pPr>
        <w:pStyle w:val="EMEABodyText"/>
      </w:pPr>
      <w:r>
        <w:rPr>
          <w:b/>
        </w:rPr>
        <w:t>What is in this leaflet</w:t>
      </w:r>
    </w:p>
    <w:p w14:paraId="79A81D9F" w14:textId="77777777" w:rsidR="00187713" w:rsidRPr="004F3582" w:rsidRDefault="00187713" w:rsidP="00187713">
      <w:pPr>
        <w:pStyle w:val="EMEABodyText"/>
      </w:pPr>
    </w:p>
    <w:p w14:paraId="41856535" w14:textId="77777777" w:rsidR="00187713" w:rsidRPr="00D31EBB" w:rsidRDefault="00187713" w:rsidP="00187713">
      <w:pPr>
        <w:pStyle w:val="EMEABodyText"/>
      </w:pPr>
      <w:r>
        <w:t>1.</w:t>
      </w:r>
      <w:r>
        <w:tab/>
        <w:t>What REYATAZ is and what it is used for</w:t>
      </w:r>
    </w:p>
    <w:p w14:paraId="35887341" w14:textId="77777777" w:rsidR="00187713" w:rsidRPr="00D31EBB" w:rsidRDefault="00187713" w:rsidP="00187713">
      <w:pPr>
        <w:pStyle w:val="EMEABodyText"/>
      </w:pPr>
      <w:r>
        <w:t>2.</w:t>
      </w:r>
      <w:r>
        <w:tab/>
        <w:t>What you need to know before you take REYATAZ</w:t>
      </w:r>
    </w:p>
    <w:p w14:paraId="4EBA45A7" w14:textId="77777777" w:rsidR="00187713" w:rsidRPr="00D31EBB" w:rsidRDefault="00187713" w:rsidP="00187713">
      <w:pPr>
        <w:pStyle w:val="EMEABodyText"/>
      </w:pPr>
      <w:r>
        <w:t>3.</w:t>
      </w:r>
      <w:r>
        <w:tab/>
        <w:t>How to take REYATAZ</w:t>
      </w:r>
    </w:p>
    <w:p w14:paraId="5B0EE49E" w14:textId="77777777" w:rsidR="00187713" w:rsidRPr="00D31EBB" w:rsidRDefault="00187713" w:rsidP="00187713">
      <w:pPr>
        <w:pStyle w:val="EMEABodyText"/>
      </w:pPr>
      <w:r>
        <w:t>4.</w:t>
      </w:r>
      <w:r>
        <w:tab/>
        <w:t xml:space="preserve">Possible side effects </w:t>
      </w:r>
    </w:p>
    <w:p w14:paraId="65657024" w14:textId="77777777" w:rsidR="00187713" w:rsidRPr="00D31EBB" w:rsidRDefault="00187713" w:rsidP="00187713">
      <w:pPr>
        <w:pStyle w:val="EMEABodyText"/>
      </w:pPr>
      <w:r>
        <w:t>5.</w:t>
      </w:r>
      <w:r>
        <w:tab/>
        <w:t>How to store REYATAZ</w:t>
      </w:r>
    </w:p>
    <w:p w14:paraId="7F8C00BF" w14:textId="77777777" w:rsidR="00187713" w:rsidRPr="00D31EBB" w:rsidRDefault="00187713" w:rsidP="00187713">
      <w:pPr>
        <w:pStyle w:val="EMEABodyText"/>
      </w:pPr>
      <w:r>
        <w:t>6.</w:t>
      </w:r>
      <w:r>
        <w:tab/>
        <w:t>Contents of the pack and other information</w:t>
      </w:r>
    </w:p>
    <w:p w14:paraId="3905A044" w14:textId="77777777" w:rsidR="00187713" w:rsidRPr="00D31EBB" w:rsidRDefault="00187713" w:rsidP="00187713">
      <w:pPr>
        <w:pStyle w:val="EMEABodyText"/>
        <w:rPr>
          <w:b/>
          <w:noProof/>
          <w:lang w:val="en-US"/>
        </w:rPr>
      </w:pPr>
    </w:p>
    <w:p w14:paraId="27E2145D" w14:textId="77777777" w:rsidR="00187713" w:rsidRPr="00D31EBB" w:rsidRDefault="00187713" w:rsidP="00187713">
      <w:pPr>
        <w:pStyle w:val="EMEABodyText"/>
        <w:rPr>
          <w:noProof/>
          <w:lang w:val="en-US"/>
        </w:rPr>
      </w:pPr>
    </w:p>
    <w:p w14:paraId="27340E73" w14:textId="77777777" w:rsidR="00187713" w:rsidRPr="00D31EBB" w:rsidRDefault="00187713" w:rsidP="00187713">
      <w:pPr>
        <w:pStyle w:val="EMEABodyText"/>
        <w:rPr>
          <w:b/>
        </w:rPr>
      </w:pPr>
      <w:r>
        <w:rPr>
          <w:b/>
        </w:rPr>
        <w:t>1.</w:t>
      </w:r>
      <w:r>
        <w:rPr>
          <w:b/>
        </w:rPr>
        <w:tab/>
        <w:t>What REYATAZ is and What it is used for</w:t>
      </w:r>
    </w:p>
    <w:p w14:paraId="131B2361" w14:textId="77777777" w:rsidR="00187713" w:rsidRPr="00D31EBB" w:rsidRDefault="00187713" w:rsidP="00187713">
      <w:pPr>
        <w:pStyle w:val="EMEAHeading1"/>
        <w:rPr>
          <w:b w:val="0"/>
          <w:noProof/>
          <w:lang w:val="en-US"/>
        </w:rPr>
      </w:pPr>
    </w:p>
    <w:p w14:paraId="1328EC4D" w14:textId="77777777" w:rsidR="00187713" w:rsidRPr="00D31EBB" w:rsidRDefault="00187713" w:rsidP="00187713">
      <w:pPr>
        <w:pStyle w:val="EMEABodyText"/>
      </w:pPr>
      <w:r>
        <w:rPr>
          <w:b/>
        </w:rPr>
        <w:t xml:space="preserve">REYATAZ is an antiviral (or antiretroviral) medicine. </w:t>
      </w:r>
      <w:r>
        <w:t xml:space="preserve">It is one of a group called </w:t>
      </w:r>
      <w:r>
        <w:rPr>
          <w:i/>
        </w:rPr>
        <w:t>protease inhibitors</w:t>
      </w:r>
      <w:r>
        <w:t>. These medicines control Human Immunodeficiency Virus (HIV) infection by stopping a protein that the HIV needs for its multiplication. They work by reducing the amount of HIV in your body and this in turn, strengthens your immune system. In this way REYATAZ reduces the risk of developing illnesses linked to HIV infection.</w:t>
      </w:r>
    </w:p>
    <w:p w14:paraId="23FDF1F5" w14:textId="77777777" w:rsidR="00187713" w:rsidRPr="00D31EBB" w:rsidRDefault="00187713" w:rsidP="00187713">
      <w:pPr>
        <w:pStyle w:val="EMEABodyText"/>
        <w:rPr>
          <w:lang w:val="en-US"/>
        </w:rPr>
      </w:pPr>
    </w:p>
    <w:p w14:paraId="60380F61" w14:textId="77777777" w:rsidR="00187713" w:rsidRPr="00D31EBB" w:rsidRDefault="00187713" w:rsidP="00187713">
      <w:pPr>
        <w:pStyle w:val="EMEABodyText"/>
      </w:pPr>
      <w:r>
        <w:t>REYATAZ oral powder may be used by children at least 3 months of age and weighing at least 5 kg (see section 3 How to take REYATAZ). Your doctor has prescribed REYATAZ for you because you are infected by the HIV that causes Acquired Immunodeficiency Syndrome (AIDS). It should always be used with a low dose of ritonavir and in combination with other anti-HIV medicines. Your doctor will discuss with you which combination of these medicines with REYATAZ is best for you.</w:t>
      </w:r>
    </w:p>
    <w:p w14:paraId="61B2F219" w14:textId="77777777" w:rsidR="00187713" w:rsidRPr="00D31EBB" w:rsidRDefault="00187713" w:rsidP="00187713">
      <w:pPr>
        <w:pStyle w:val="EMEABodyText"/>
        <w:rPr>
          <w:lang w:val="en-US"/>
        </w:rPr>
      </w:pPr>
    </w:p>
    <w:p w14:paraId="28FE9E92" w14:textId="77777777" w:rsidR="00187713" w:rsidRPr="00D31EBB" w:rsidRDefault="00187713" w:rsidP="00187713">
      <w:pPr>
        <w:pStyle w:val="EMEABodyText"/>
        <w:rPr>
          <w:noProof/>
          <w:lang w:val="en-US"/>
        </w:rPr>
      </w:pPr>
    </w:p>
    <w:p w14:paraId="4B1619AF" w14:textId="77777777" w:rsidR="00187713" w:rsidRPr="00D31EBB" w:rsidRDefault="00187713" w:rsidP="00187713">
      <w:pPr>
        <w:pStyle w:val="EMEABodyText"/>
        <w:rPr>
          <w:b/>
          <w:noProof/>
        </w:rPr>
      </w:pPr>
      <w:r>
        <w:rPr>
          <w:b/>
        </w:rPr>
        <w:t>2.</w:t>
      </w:r>
      <w:r>
        <w:rPr>
          <w:b/>
        </w:rPr>
        <w:tab/>
        <w:t>What you need to know before you take REYATAZ</w:t>
      </w:r>
    </w:p>
    <w:p w14:paraId="29E435D4" w14:textId="77777777" w:rsidR="00187713" w:rsidRPr="00D31EBB" w:rsidRDefault="00187713" w:rsidP="00187713">
      <w:pPr>
        <w:pStyle w:val="EMEAHeading1"/>
        <w:rPr>
          <w:b w:val="0"/>
          <w:noProof/>
          <w:lang w:val="en-US"/>
        </w:rPr>
      </w:pPr>
    </w:p>
    <w:p w14:paraId="32F1C508" w14:textId="77777777" w:rsidR="00187713" w:rsidRPr="004F3582" w:rsidRDefault="00187713" w:rsidP="00187713">
      <w:pPr>
        <w:pStyle w:val="EMEAHeading2"/>
      </w:pPr>
      <w:r>
        <w:t>Do not take REYATAZ</w:t>
      </w:r>
    </w:p>
    <w:p w14:paraId="00209489" w14:textId="77777777" w:rsidR="00187713" w:rsidRPr="00D31EBB" w:rsidRDefault="00187713" w:rsidP="00A66E5A">
      <w:pPr>
        <w:pStyle w:val="EMEABodyTextIndent"/>
        <w:ind w:left="567" w:hanging="567"/>
        <w:rPr>
          <w:i/>
        </w:rPr>
      </w:pPr>
      <w:r>
        <w:rPr>
          <w:b/>
        </w:rPr>
        <w:t xml:space="preserve">if you are allergic </w:t>
      </w:r>
      <w:r>
        <w:t>to atazanavir or any of the other ingredients of this medicine (listed in section 6)</w:t>
      </w:r>
    </w:p>
    <w:p w14:paraId="7CEEE9F6" w14:textId="77777777" w:rsidR="00187713" w:rsidRPr="00D31EBB" w:rsidRDefault="00187713" w:rsidP="008440D2">
      <w:pPr>
        <w:pStyle w:val="EMEABodyTextIndent"/>
        <w:ind w:left="567" w:hanging="567"/>
        <w:rPr>
          <w:i/>
        </w:rPr>
      </w:pPr>
      <w:r>
        <w:rPr>
          <w:b/>
        </w:rPr>
        <w:t xml:space="preserve">if you have moderate to severe liver problems. </w:t>
      </w:r>
      <w:r>
        <w:t>Your doctor will evaluate how severe your liver disease is before deciding whether you can take REYATAZ</w:t>
      </w:r>
    </w:p>
    <w:p w14:paraId="74928A49" w14:textId="77777777" w:rsidR="00187713" w:rsidRPr="00D31EBB" w:rsidRDefault="00187713" w:rsidP="00A66E5A">
      <w:pPr>
        <w:pStyle w:val="EMEABodyTextIndent"/>
        <w:ind w:left="567" w:hanging="567"/>
        <w:rPr>
          <w:i/>
        </w:rPr>
      </w:pPr>
      <w:r>
        <w:rPr>
          <w:b/>
        </w:rPr>
        <w:t xml:space="preserve">if you are taking any of these medicines: </w:t>
      </w:r>
      <w:r>
        <w:t xml:space="preserve">see also </w:t>
      </w:r>
      <w:r>
        <w:rPr>
          <w:i/>
        </w:rPr>
        <w:t>Other medicines and REYATAZ</w:t>
      </w:r>
    </w:p>
    <w:p w14:paraId="34D00DC7" w14:textId="77777777" w:rsidR="00187713" w:rsidRPr="00D31EBB" w:rsidRDefault="00187713" w:rsidP="00A66E5A">
      <w:pPr>
        <w:pStyle w:val="EMEABodyTextIndent"/>
        <w:ind w:left="1134" w:hanging="567"/>
        <w:rPr>
          <w:i/>
        </w:rPr>
      </w:pPr>
      <w:r>
        <w:t>rifampicin (an antibiotic used to treat tuberculosis)</w:t>
      </w:r>
    </w:p>
    <w:p w14:paraId="2CAD5D7E" w14:textId="77777777" w:rsidR="00187713" w:rsidRPr="00D31EBB" w:rsidRDefault="00187713" w:rsidP="00A66E5A">
      <w:pPr>
        <w:pStyle w:val="EMEABodyTextIndent"/>
        <w:ind w:left="1134" w:hanging="567"/>
        <w:rPr>
          <w:i/>
        </w:rPr>
      </w:pPr>
      <w:r>
        <w:t>astemizole or terfenadine (commonly used to treat allergy symptoms, these medicines may be available without prescription); cisapride (used to treat gastric reflux, sometimes called heartburn); pimozide (used to treat schizophrenia); quinidine or bepridil (used to correct heart rhythm); ergotamine, dihydroergotamine, ergonovine, methylergonovine (used to treat headaches); and alfuzosin (used to treat enlarged prostatic gland)</w:t>
      </w:r>
    </w:p>
    <w:p w14:paraId="11E86838" w14:textId="77777777" w:rsidR="00187713" w:rsidRPr="00D31EBB" w:rsidRDefault="00187713" w:rsidP="008440D2">
      <w:pPr>
        <w:pStyle w:val="EMEABodyTextIndent"/>
        <w:ind w:left="1134" w:hanging="567"/>
        <w:rPr>
          <w:i/>
        </w:rPr>
      </w:pPr>
      <w:r>
        <w:t>quetiapine (used to treat schizophrenia, bipolar disorder and major depressive disorder); lurasidone (used to treat schizophrenia)</w:t>
      </w:r>
    </w:p>
    <w:p w14:paraId="1BF2DDB9" w14:textId="77777777" w:rsidR="00187713" w:rsidRPr="00D31EBB" w:rsidRDefault="00187713" w:rsidP="008440D2">
      <w:pPr>
        <w:pStyle w:val="EMEABodyTextIndent"/>
        <w:ind w:left="1134" w:hanging="567"/>
      </w:pPr>
      <w:r>
        <w:t>medicines containing St. John’s wort</w:t>
      </w:r>
      <w:r>
        <w:rPr>
          <w:i/>
        </w:rPr>
        <w:t xml:space="preserve"> (Hypericum perforatum</w:t>
      </w:r>
      <w:r>
        <w:t>, a herbal preparation)</w:t>
      </w:r>
    </w:p>
    <w:p w14:paraId="4F30D095" w14:textId="77777777" w:rsidR="00187713" w:rsidRPr="00D31EBB" w:rsidRDefault="00187713" w:rsidP="008440D2">
      <w:pPr>
        <w:pStyle w:val="EMEABodyTextIndent"/>
        <w:ind w:left="1134" w:hanging="567"/>
        <w:rPr>
          <w:i/>
        </w:rPr>
      </w:pPr>
      <w:r>
        <w:t>triazolam and oral (taken by mouth) midazolam (used to help you sleep and/or to relieve anxiety)</w:t>
      </w:r>
    </w:p>
    <w:p w14:paraId="1EBEBDD2" w14:textId="77777777" w:rsidR="00187713" w:rsidRPr="00D31EBB" w:rsidRDefault="006719E7" w:rsidP="008440D2">
      <w:pPr>
        <w:pStyle w:val="EMEABodyTextIndent"/>
        <w:ind w:left="1134" w:hanging="567"/>
      </w:pPr>
      <w:r>
        <w:t>simvastatin and lovastatin (used to lower blood cholesterol).</w:t>
      </w:r>
    </w:p>
    <w:p w14:paraId="1684E507" w14:textId="77777777" w:rsidR="00F7294E" w:rsidRPr="00D31EBB" w:rsidRDefault="00F7294E" w:rsidP="00F7294E">
      <w:pPr>
        <w:pStyle w:val="EMEABodyTextIndent"/>
        <w:ind w:left="1134" w:hanging="567"/>
      </w:pPr>
      <w:r>
        <w:t>grazoprevir-containing products, including elbasvir/grazoprevir fixed dose combination, and glecaprevir/pibrentasvir fixed dose combination (used to treat chronic hepatitis C infection)</w:t>
      </w:r>
    </w:p>
    <w:p w14:paraId="0352F8D1" w14:textId="77777777" w:rsidR="00187713" w:rsidRPr="00D31EBB" w:rsidRDefault="00187713" w:rsidP="00187713">
      <w:pPr>
        <w:pStyle w:val="EMEABodyText"/>
        <w:rPr>
          <w:lang w:val="en-US"/>
        </w:rPr>
      </w:pPr>
    </w:p>
    <w:p w14:paraId="2120110A" w14:textId="77777777" w:rsidR="00187713" w:rsidRPr="00D31EBB" w:rsidRDefault="00187713" w:rsidP="00187713">
      <w:pPr>
        <w:pStyle w:val="EMEABodyText"/>
      </w:pPr>
      <w:r>
        <w:t>Do not take sildenafil with REYATAZ when sildenafil is used for the treatment of pulmonary arterial hypertension. Sildenafil is also used for the treatment of erectile dysfunction. Tell your doctor if you are using sildenafil for the treatment of erectile dysfunction.</w:t>
      </w:r>
    </w:p>
    <w:p w14:paraId="663A7F6E" w14:textId="77777777" w:rsidR="00187713" w:rsidRPr="00D31EBB" w:rsidRDefault="00187713" w:rsidP="00187713">
      <w:pPr>
        <w:pStyle w:val="EMEABodyText"/>
        <w:rPr>
          <w:lang w:val="en-US"/>
        </w:rPr>
      </w:pPr>
    </w:p>
    <w:p w14:paraId="6D3784C9" w14:textId="77777777" w:rsidR="00187713" w:rsidRPr="00D31EBB" w:rsidRDefault="00187713" w:rsidP="00187713">
      <w:pPr>
        <w:pStyle w:val="EMEABodyText"/>
      </w:pPr>
      <w:r>
        <w:t>Tell your doctor at once if any of these apply to you.</w:t>
      </w:r>
    </w:p>
    <w:p w14:paraId="05EE0D75" w14:textId="77777777" w:rsidR="00187713" w:rsidRPr="00D31EBB" w:rsidRDefault="00187713" w:rsidP="00187713">
      <w:pPr>
        <w:pStyle w:val="EMEABodyText"/>
        <w:rPr>
          <w:b/>
          <w:noProof/>
          <w:lang w:val="en-US"/>
        </w:rPr>
      </w:pPr>
    </w:p>
    <w:p w14:paraId="1886ED7D" w14:textId="77777777" w:rsidR="00187713" w:rsidRPr="00D31EBB" w:rsidRDefault="00187713" w:rsidP="00187713">
      <w:pPr>
        <w:pStyle w:val="EMEAHeading2"/>
      </w:pPr>
      <w:r>
        <w:t>Warnings and precautions</w:t>
      </w:r>
    </w:p>
    <w:p w14:paraId="0B519FCB" w14:textId="77777777" w:rsidR="006719E7" w:rsidRPr="00D31EBB" w:rsidRDefault="006719E7" w:rsidP="00187713">
      <w:pPr>
        <w:pStyle w:val="EMEABodyText"/>
        <w:rPr>
          <w:lang w:val="en-US"/>
        </w:rPr>
      </w:pPr>
    </w:p>
    <w:p w14:paraId="556BD7E1" w14:textId="77777777" w:rsidR="006719E7" w:rsidRPr="00D31EBB" w:rsidRDefault="006719E7" w:rsidP="006719E7">
      <w:pPr>
        <w:pStyle w:val="EMEABodyText"/>
      </w:pPr>
      <w:r>
        <w:rPr>
          <w:b/>
        </w:rPr>
        <w:t xml:space="preserve">REYATAZ is not a cure for HIV infection. </w:t>
      </w:r>
      <w:r>
        <w:t>You may continue to develop infections or other illnesses linked to HIV infection. You can still pass on HIV when taking this medicine, although the risk is lowered by effective antiretroviral therapy. Discuss with your doctor the precautions needed to avoid infecting other people.</w:t>
      </w:r>
    </w:p>
    <w:p w14:paraId="2545C83A" w14:textId="77777777" w:rsidR="006719E7" w:rsidRPr="00D31EBB" w:rsidRDefault="006719E7" w:rsidP="00187713">
      <w:pPr>
        <w:pStyle w:val="EMEABodyText"/>
        <w:rPr>
          <w:lang w:val="en-US"/>
        </w:rPr>
      </w:pPr>
    </w:p>
    <w:p w14:paraId="011F2BB8" w14:textId="77777777" w:rsidR="00187713" w:rsidRPr="00D31EBB" w:rsidRDefault="00187713" w:rsidP="00187713">
      <w:pPr>
        <w:pStyle w:val="EMEABodyText"/>
      </w:pPr>
      <w:r>
        <w:t>Some people will need special care before or while taking REYATAZ. Talk to your doctor or pharmacist before taking REYATAZ and make sure your doctor knows:</w:t>
      </w:r>
    </w:p>
    <w:p w14:paraId="23DCF2BC" w14:textId="77777777" w:rsidR="00187713" w:rsidRPr="00D31EBB" w:rsidRDefault="00187713" w:rsidP="00D1740D">
      <w:pPr>
        <w:pStyle w:val="EMEABodyTextIndent"/>
        <w:ind w:left="567" w:hanging="567"/>
        <w:rPr>
          <w:i/>
        </w:rPr>
      </w:pPr>
      <w:r>
        <w:t>if you have hepatitis B or C</w:t>
      </w:r>
    </w:p>
    <w:p w14:paraId="6E58D54F" w14:textId="77777777" w:rsidR="006719E7" w:rsidRPr="00D31EBB" w:rsidRDefault="006719E7" w:rsidP="00D1740D">
      <w:pPr>
        <w:pStyle w:val="EMEABodyTextIndent"/>
        <w:ind w:left="567" w:hanging="567"/>
        <w:rPr>
          <w:i/>
        </w:rPr>
      </w:pPr>
      <w:r>
        <w:t>if you develop signs or symptoms of gall stones (pain at the right side of your stomach)</w:t>
      </w:r>
    </w:p>
    <w:p w14:paraId="60FC3A2F" w14:textId="77777777" w:rsidR="00187713" w:rsidRPr="00D31EBB" w:rsidRDefault="00187713" w:rsidP="00D1740D">
      <w:pPr>
        <w:pStyle w:val="EMEABodyTextIndent"/>
        <w:ind w:left="567" w:hanging="567"/>
        <w:rPr>
          <w:i/>
        </w:rPr>
      </w:pPr>
      <w:r>
        <w:t>if you have type A or B haemophilia</w:t>
      </w:r>
    </w:p>
    <w:p w14:paraId="475116AF" w14:textId="77777777" w:rsidR="00187713" w:rsidRPr="004F3582" w:rsidRDefault="00187713" w:rsidP="00D1740D">
      <w:pPr>
        <w:pStyle w:val="EMEABodyTextIndent"/>
        <w:ind w:left="567" w:hanging="567"/>
        <w:rPr>
          <w:i/>
        </w:rPr>
      </w:pPr>
      <w:r>
        <w:t>if you require haemodialysis</w:t>
      </w:r>
    </w:p>
    <w:p w14:paraId="0CE009D9" w14:textId="77777777" w:rsidR="00187713" w:rsidRPr="004F3582" w:rsidRDefault="00187713" w:rsidP="00187713">
      <w:pPr>
        <w:pStyle w:val="EMEABodyText"/>
      </w:pPr>
    </w:p>
    <w:p w14:paraId="09E68E3F" w14:textId="77777777" w:rsidR="00EF4F14" w:rsidRPr="00D31EBB" w:rsidRDefault="00EF4F14" w:rsidP="00EF4F14">
      <w:pPr>
        <w:pStyle w:val="EMEABodyText"/>
      </w:pPr>
      <w:r>
        <w:t>REYATAZ may affect how well your kidneys work.</w:t>
      </w:r>
    </w:p>
    <w:p w14:paraId="6CEBB424" w14:textId="77777777" w:rsidR="00EF4F14" w:rsidRPr="00D31EBB" w:rsidRDefault="00EF4F14" w:rsidP="00187713">
      <w:pPr>
        <w:pStyle w:val="EMEABodyText"/>
        <w:rPr>
          <w:lang w:val="en-US"/>
        </w:rPr>
      </w:pPr>
    </w:p>
    <w:p w14:paraId="296ABE31" w14:textId="77777777" w:rsidR="00187713" w:rsidRPr="00D31EBB" w:rsidRDefault="00187713" w:rsidP="00187713">
      <w:pPr>
        <w:pStyle w:val="EMEABodyText"/>
      </w:pPr>
      <w:r>
        <w:t>Kidney stones have been reported in patients taking REYATAZ. If you develop signs or symptoms of kidney stones (pain in your side, blood in your urine, pain when you urinate), please inform your doctor immediately.</w:t>
      </w:r>
    </w:p>
    <w:p w14:paraId="7F0F340A" w14:textId="77777777" w:rsidR="00187713" w:rsidRPr="00D31EBB" w:rsidRDefault="00187713" w:rsidP="00187713">
      <w:pPr>
        <w:pStyle w:val="EMEABodyText"/>
        <w:rPr>
          <w:lang w:val="en-US"/>
        </w:rPr>
      </w:pPr>
    </w:p>
    <w:p w14:paraId="054C6676" w14:textId="77777777" w:rsidR="00187713" w:rsidRPr="00D31EBB" w:rsidRDefault="00187713" w:rsidP="00187713">
      <w:pPr>
        <w:pStyle w:val="EMEABodyText"/>
      </w:pPr>
      <w:r>
        <w:t>In some patients with advanced HIV infection (AIDS) and a history of opportunistic infection, signs and symptoms of inflammation from previous infections may occur soon after anti-HIV treatment is started. It is believed that these symptoms are due to an improvement in the body’s immune response, enabling the body to fight infections that may have been present with no obvious symptoms. If you notice any symptoms of infection, please inform your doctor immediately. In addition to the opportunistic infections, autoimmune disorders (a condition that occurs when the immune system attacks healthy body tissue) may also occur after you start taking medicines for the treatment of your HIV infection. Autoimmune disorders may occur many months after the start of treatment. If you notice any symptoms of infection or other symptoms such as muscle weakness, weakness beginning in hands and feet and moving up towards the trunk of the body, palpitations, tremor or hyperactivity, please inform your doctor immediately to seek necessary treatment.</w:t>
      </w:r>
    </w:p>
    <w:p w14:paraId="5F037609" w14:textId="77777777" w:rsidR="00187713" w:rsidRPr="00D31EBB" w:rsidRDefault="00187713" w:rsidP="00187713">
      <w:pPr>
        <w:pStyle w:val="EMEABodyText"/>
        <w:rPr>
          <w:noProof/>
          <w:lang w:val="en-US"/>
        </w:rPr>
      </w:pPr>
    </w:p>
    <w:p w14:paraId="22D427D0" w14:textId="77777777" w:rsidR="00187713" w:rsidRPr="00D31EBB" w:rsidRDefault="00187713" w:rsidP="00187713">
      <w:pPr>
        <w:pStyle w:val="EMEABodyText"/>
      </w:pPr>
      <w:r>
        <w:t>Some patients taking combination antiretroviral therapy may develop a bone disease called osteonecrosis (death of bone tissue caused by loss of blood supply to the bone). The length of combination antiretroviral therapy, corticosteroid use, alcohol consumption, severe immunosuppression, higher body mass index, among others, may be some of the many risk factors for developing this disease. Signs of osteonecrosis are joint stiffness, aches and pains (especially of the hip, knee and shoulder) and difficulty in movement. If you notice any of these symptoms please inform your doctor.</w:t>
      </w:r>
    </w:p>
    <w:p w14:paraId="400829A9" w14:textId="77777777" w:rsidR="00187713" w:rsidRPr="00D31EBB" w:rsidRDefault="00187713" w:rsidP="00187713">
      <w:pPr>
        <w:pStyle w:val="EMEABodyText"/>
        <w:rPr>
          <w:lang w:val="en-US"/>
        </w:rPr>
      </w:pPr>
    </w:p>
    <w:p w14:paraId="1432FCBB" w14:textId="77777777" w:rsidR="00187713" w:rsidRPr="00D31EBB" w:rsidRDefault="00187713" w:rsidP="00187713">
      <w:pPr>
        <w:pStyle w:val="EMEABodyText"/>
      </w:pPr>
      <w:r>
        <w:t>Hyperbilirubinaemia (an increase in the level of bilirubin in the blood) has occurred in patients receiving REYATAZ. The signs may be a mild yellowing of the skin or eyes. If you notice any of these symptoms please inform your doctor.</w:t>
      </w:r>
    </w:p>
    <w:p w14:paraId="03165E97" w14:textId="77777777" w:rsidR="00187713" w:rsidRPr="00D31EBB" w:rsidRDefault="00187713" w:rsidP="00187713">
      <w:pPr>
        <w:pStyle w:val="EMEABodyText"/>
        <w:rPr>
          <w:lang w:val="en-US"/>
        </w:rPr>
      </w:pPr>
    </w:p>
    <w:p w14:paraId="0C37735E" w14:textId="77777777" w:rsidR="00187713" w:rsidRPr="00D31EBB" w:rsidRDefault="00187713" w:rsidP="00187713">
      <w:pPr>
        <w:pStyle w:val="EMEABodyText"/>
        <w:rPr>
          <w:noProof/>
        </w:rPr>
      </w:pPr>
      <w:r>
        <w:t>Serious skin rash, including Stevens-Johnson syndrome, has been reported in patients taking REYATAZ. If you develop a rash inform your doctor immediately.</w:t>
      </w:r>
    </w:p>
    <w:p w14:paraId="46518C95" w14:textId="77777777" w:rsidR="00187713" w:rsidRPr="00D31EBB" w:rsidRDefault="00187713" w:rsidP="00187713">
      <w:pPr>
        <w:pStyle w:val="EMEABodyText"/>
        <w:rPr>
          <w:noProof/>
          <w:lang w:val="en-US"/>
        </w:rPr>
      </w:pPr>
    </w:p>
    <w:p w14:paraId="418AF9C6" w14:textId="77777777" w:rsidR="006719E7" w:rsidRPr="00D31EBB" w:rsidRDefault="00187713" w:rsidP="006719E7">
      <w:pPr>
        <w:pStyle w:val="EMEABodyText"/>
      </w:pPr>
      <w:r>
        <w:t>If you notice a change in the way your heart beats (heart rhythm changes), please inform your doctor. Children receiving REYATAZ may require their heart to be monitored. Your child's doctor will decide this.</w:t>
      </w:r>
    </w:p>
    <w:p w14:paraId="0B9D00B1" w14:textId="77777777" w:rsidR="00187713" w:rsidRPr="00D31EBB" w:rsidRDefault="00187713" w:rsidP="00187713">
      <w:pPr>
        <w:pStyle w:val="EMEABodyText"/>
        <w:rPr>
          <w:noProof/>
          <w:lang w:val="en-US"/>
        </w:rPr>
      </w:pPr>
    </w:p>
    <w:p w14:paraId="21303F06" w14:textId="77777777" w:rsidR="00187713" w:rsidRPr="00D31EBB" w:rsidRDefault="00187713" w:rsidP="00187713">
      <w:pPr>
        <w:pStyle w:val="EMEABodyText"/>
        <w:rPr>
          <w:b/>
          <w:noProof/>
        </w:rPr>
      </w:pPr>
      <w:r>
        <w:rPr>
          <w:b/>
        </w:rPr>
        <w:t>Children</w:t>
      </w:r>
    </w:p>
    <w:p w14:paraId="52EE8FE9" w14:textId="77777777" w:rsidR="006719E7" w:rsidRPr="00D31EBB" w:rsidRDefault="006719E7" w:rsidP="006719E7">
      <w:pPr>
        <w:pStyle w:val="EMEABodyText"/>
        <w:rPr>
          <w:noProof/>
        </w:rPr>
      </w:pPr>
      <w:r>
        <w:rPr>
          <w:b/>
        </w:rPr>
        <w:t>Do not give this medicine to children</w:t>
      </w:r>
      <w:r>
        <w:t xml:space="preserve"> younger than 3 months of age and weighing less than 5 kg. The use of REYATAZ in children less than 3 months of age and weighing less than 5 kg has not been studied due to the risk of serious complications.</w:t>
      </w:r>
    </w:p>
    <w:p w14:paraId="2513C978" w14:textId="77777777" w:rsidR="00187713" w:rsidRPr="00D31EBB" w:rsidRDefault="00187713" w:rsidP="00187713">
      <w:pPr>
        <w:pStyle w:val="EMEABodyText"/>
        <w:rPr>
          <w:dstrike/>
          <w:noProof/>
          <w:lang w:val="en-US"/>
        </w:rPr>
      </w:pPr>
    </w:p>
    <w:p w14:paraId="0324C2AF" w14:textId="77777777" w:rsidR="00187713" w:rsidRPr="00D31EBB" w:rsidRDefault="00187713" w:rsidP="00187713">
      <w:pPr>
        <w:pStyle w:val="EMEAHeading2"/>
        <w:rPr>
          <w:noProof/>
        </w:rPr>
      </w:pPr>
      <w:r>
        <w:t>Other medicines and REYATAZ</w:t>
      </w:r>
    </w:p>
    <w:p w14:paraId="344D6EFE" w14:textId="77777777" w:rsidR="00187713" w:rsidRPr="00D31EBB" w:rsidRDefault="00187713" w:rsidP="00187713">
      <w:pPr>
        <w:pStyle w:val="EMEABodyText"/>
      </w:pPr>
      <w:r>
        <w:rPr>
          <w:b/>
        </w:rPr>
        <w:t>You must not take REYATAZ with certain medicines.</w:t>
      </w:r>
      <w:r>
        <w:t xml:space="preserve"> These are listed under Do not take REYATAZ, at the start of Section 2. </w:t>
      </w:r>
    </w:p>
    <w:p w14:paraId="19A7E1B1" w14:textId="77777777" w:rsidR="00187713" w:rsidRPr="00D31EBB" w:rsidRDefault="00187713" w:rsidP="00187713">
      <w:pPr>
        <w:pStyle w:val="EMEABodyText"/>
        <w:rPr>
          <w:lang w:val="en-US"/>
        </w:rPr>
      </w:pPr>
    </w:p>
    <w:p w14:paraId="5889FE7E" w14:textId="77777777" w:rsidR="00187713" w:rsidRPr="004F3582" w:rsidRDefault="00187713" w:rsidP="00187713">
      <w:pPr>
        <w:pStyle w:val="EMEABodyText"/>
      </w:pPr>
      <w:r>
        <w:t>There are other medicines that may not mix with REYATAZ. Tell your doctor if you are taking, have recently taken, or might take any other medicines. It is especially important to mention these:</w:t>
      </w:r>
    </w:p>
    <w:p w14:paraId="40F514A5" w14:textId="77777777" w:rsidR="00187713" w:rsidRPr="00D31EBB" w:rsidRDefault="00187713" w:rsidP="00826E45">
      <w:pPr>
        <w:pStyle w:val="EMEABodyTextIndent"/>
        <w:ind w:left="426" w:hanging="426"/>
      </w:pPr>
      <w:r>
        <w:t>other medicines to treat HIV infection (e.g. indinavir, nevirapine and efavirenz)</w:t>
      </w:r>
    </w:p>
    <w:p w14:paraId="1525D4DC" w14:textId="77777777" w:rsidR="00187713" w:rsidRPr="00D31EBB" w:rsidRDefault="00187713" w:rsidP="00826E45">
      <w:pPr>
        <w:pStyle w:val="EMEABodyTextIndent"/>
        <w:ind w:left="426" w:hanging="426"/>
        <w:rPr>
          <w:i/>
        </w:rPr>
      </w:pPr>
      <w:r>
        <w:t>boceprevir and sofosbuvir/velpatasvir/voxilaprevir (used to treat hepatitis C)</w:t>
      </w:r>
    </w:p>
    <w:p w14:paraId="6763CA5F" w14:textId="77777777" w:rsidR="00187713" w:rsidRPr="00D31EBB" w:rsidRDefault="00187713" w:rsidP="00826E45">
      <w:pPr>
        <w:pStyle w:val="EMEABodyTextIndent"/>
        <w:ind w:left="426" w:hanging="426"/>
      </w:pPr>
      <w:r>
        <w:t xml:space="preserve">sildenafil, vardenafil, or tadalafil (used by men to treat impotence (erectile dysfunction)) </w:t>
      </w:r>
    </w:p>
    <w:p w14:paraId="7A577F2A" w14:textId="77777777" w:rsidR="00187713" w:rsidRPr="00D31EBB" w:rsidRDefault="00187713" w:rsidP="00826E45">
      <w:pPr>
        <w:pStyle w:val="EMEABodyTextIndent"/>
        <w:ind w:left="426" w:hanging="426"/>
        <w:rPr>
          <w:i/>
        </w:rPr>
      </w:pPr>
      <w:r>
        <w:t>if you are taking an oral contraceptive (</w:t>
      </w:r>
      <w:r>
        <w:rPr>
          <w:b/>
        </w:rPr>
        <w:t>"the Pill"</w:t>
      </w:r>
      <w:r>
        <w:t>) with REYATAZ to prevent pregancy, be sure to take it exactly as instructed by your doctor and not miss any doses</w:t>
      </w:r>
    </w:p>
    <w:p w14:paraId="09B67A9A" w14:textId="77777777" w:rsidR="00187713" w:rsidRPr="00D31EBB" w:rsidRDefault="00187713" w:rsidP="00826E45">
      <w:pPr>
        <w:pStyle w:val="EMEABodyTextIndent"/>
        <w:ind w:left="426" w:hanging="426"/>
        <w:rPr>
          <w:i/>
        </w:rPr>
      </w:pPr>
      <w:r>
        <w:t>any medicines used to treat diseases related to the acid in the stomach (e.g. antacids to be taken 1 hour before taking REYATAZ or 2 hours after taking REYATAZ, H</w:t>
      </w:r>
      <w:r>
        <w:rPr>
          <w:vertAlign w:val="subscript"/>
        </w:rPr>
        <w:t>2</w:t>
      </w:r>
      <w:r>
        <w:t>-blockers like famotidine and proton pump inhibitors like omeprazole)</w:t>
      </w:r>
    </w:p>
    <w:p w14:paraId="388A21AA" w14:textId="77777777" w:rsidR="00424574" w:rsidRPr="00D31EBB" w:rsidRDefault="00187713" w:rsidP="00826E45">
      <w:pPr>
        <w:pStyle w:val="EMEABodyTextIndent"/>
        <w:ind w:left="426" w:hanging="426"/>
      </w:pPr>
      <w:r>
        <w:t>medicines to lower blood pressure, to slow heart rate, or to correct heart rhythm (amiodarone, diltiazem, systemic lidocaine, verapamil)</w:t>
      </w:r>
    </w:p>
    <w:p w14:paraId="263A47AF" w14:textId="77777777" w:rsidR="00187713" w:rsidRPr="00D31EBB" w:rsidRDefault="00187713" w:rsidP="00826E45">
      <w:pPr>
        <w:pStyle w:val="EMEABodyTextIndent"/>
        <w:ind w:left="426" w:hanging="426"/>
      </w:pPr>
      <w:r>
        <w:t>atorvastatin, pravastatin, and fluvastatin (used to lower blood cholesterol)</w:t>
      </w:r>
    </w:p>
    <w:p w14:paraId="24DCBEA5" w14:textId="77777777" w:rsidR="00187713" w:rsidRPr="00D31EBB" w:rsidRDefault="00187713" w:rsidP="00826E45">
      <w:pPr>
        <w:pStyle w:val="EMEABodyTextIndent"/>
        <w:ind w:left="426" w:hanging="426"/>
        <w:rPr>
          <w:i/>
        </w:rPr>
      </w:pPr>
      <w:r>
        <w:t>salmeterol (used to treat asthma)</w:t>
      </w:r>
    </w:p>
    <w:p w14:paraId="438A9104" w14:textId="77777777" w:rsidR="00187713" w:rsidRPr="00D31EBB" w:rsidRDefault="00187713" w:rsidP="00826E45">
      <w:pPr>
        <w:pStyle w:val="EMEABodyTextIndent"/>
        <w:ind w:left="426" w:hanging="426"/>
      </w:pPr>
      <w:r>
        <w:t>cyclosporin, tacrolimus, and sirolimus (medicines to decrease the effects of body's immune system)</w:t>
      </w:r>
    </w:p>
    <w:p w14:paraId="35EA0E76" w14:textId="77777777" w:rsidR="00187713" w:rsidRPr="004F3582" w:rsidRDefault="00187713" w:rsidP="00826E45">
      <w:pPr>
        <w:pStyle w:val="EMEABodyTextIndent"/>
        <w:ind w:left="426" w:hanging="426"/>
      </w:pPr>
      <w:r>
        <w:t>certain antibiotics (rifabutin, clarithromycin)</w:t>
      </w:r>
    </w:p>
    <w:p w14:paraId="6F398DB2" w14:textId="77777777" w:rsidR="00187713" w:rsidRPr="004F3582" w:rsidRDefault="00187713" w:rsidP="00826E45">
      <w:pPr>
        <w:pStyle w:val="EMEABodyTextIndent"/>
        <w:ind w:left="426" w:hanging="426"/>
      </w:pPr>
      <w:r>
        <w:t>ketoconazole, itraconazole, and voriconazole (antifungals)</w:t>
      </w:r>
    </w:p>
    <w:p w14:paraId="0DFDD4C9" w14:textId="77777777" w:rsidR="00187713" w:rsidRPr="00D31EBB" w:rsidRDefault="00187713" w:rsidP="00826E45">
      <w:pPr>
        <w:pStyle w:val="EMEABodyTextIndent"/>
        <w:ind w:left="426" w:hanging="426"/>
      </w:pPr>
      <w:r>
        <w:t>warfarin (anticoagulant, used to reduce the blood clots)</w:t>
      </w:r>
    </w:p>
    <w:p w14:paraId="5DD8E4E1" w14:textId="77777777" w:rsidR="00187713" w:rsidRPr="004F3582" w:rsidRDefault="00187713" w:rsidP="00826E45">
      <w:pPr>
        <w:pStyle w:val="EMEABodyTextIndent"/>
        <w:ind w:left="426" w:hanging="426"/>
        <w:rPr>
          <w:i/>
        </w:rPr>
      </w:pPr>
      <w:r>
        <w:t>carbamazepine, phenytoin, phenobarbital, lamotrigine (antiepileptics)</w:t>
      </w:r>
    </w:p>
    <w:p w14:paraId="64D17EFA" w14:textId="77777777" w:rsidR="00187713" w:rsidRPr="00D31EBB" w:rsidRDefault="00187713" w:rsidP="00826E45">
      <w:pPr>
        <w:pStyle w:val="EMEABodyTextIndent"/>
        <w:ind w:left="426" w:hanging="426"/>
      </w:pPr>
      <w:r>
        <w:t>irinotecan (used to treat cancer)</w:t>
      </w:r>
    </w:p>
    <w:p w14:paraId="54012498" w14:textId="77777777" w:rsidR="00187713" w:rsidRPr="00D31EBB" w:rsidRDefault="00187713" w:rsidP="00826E45">
      <w:pPr>
        <w:pStyle w:val="EMEABodyTextIndent"/>
        <w:ind w:left="426" w:hanging="426"/>
        <w:rPr>
          <w:i/>
        </w:rPr>
      </w:pPr>
      <w:r>
        <w:t>sedative agents (e.g. midazolam administered by injection)</w:t>
      </w:r>
    </w:p>
    <w:p w14:paraId="4AE5CB03" w14:textId="77777777" w:rsidR="00187713" w:rsidRPr="00D31EBB" w:rsidRDefault="00187713" w:rsidP="00826E45">
      <w:pPr>
        <w:pStyle w:val="EMEABodyTextIndent"/>
        <w:ind w:left="426" w:hanging="426"/>
        <w:rPr>
          <w:i/>
        </w:rPr>
      </w:pPr>
      <w:r>
        <w:t>buprenorphine (used to treat opioid addiction and pain).</w:t>
      </w:r>
    </w:p>
    <w:p w14:paraId="6CAA0C3A" w14:textId="77777777" w:rsidR="00187713" w:rsidRPr="00D31EBB" w:rsidRDefault="00187713" w:rsidP="00187713">
      <w:pPr>
        <w:pStyle w:val="EMEABodyText"/>
        <w:rPr>
          <w:lang w:val="en-US"/>
        </w:rPr>
      </w:pPr>
    </w:p>
    <w:p w14:paraId="52A3FA9D" w14:textId="77777777" w:rsidR="00187713" w:rsidRPr="00D31EBB" w:rsidRDefault="00187713" w:rsidP="00187713">
      <w:pPr>
        <w:pStyle w:val="EMEABodyText"/>
      </w:pPr>
      <w:r>
        <w:t>Some medicines may interact with ritonavir, a medicine that is taken with REYATAZ. It is important to tell your doctor if you are taking fluticasone or budesonide (given by nose or inhaled to treat allergic symptoms or asthma).</w:t>
      </w:r>
    </w:p>
    <w:p w14:paraId="77D24873" w14:textId="77777777" w:rsidR="00187713" w:rsidRPr="00D31EBB" w:rsidRDefault="00187713" w:rsidP="00187713">
      <w:pPr>
        <w:pStyle w:val="EMEABodyText"/>
        <w:rPr>
          <w:b/>
          <w:noProof/>
          <w:lang w:val="en-US"/>
        </w:rPr>
      </w:pPr>
    </w:p>
    <w:p w14:paraId="593267CD" w14:textId="77777777" w:rsidR="00187713" w:rsidRPr="00D31EBB" w:rsidRDefault="00187713" w:rsidP="00187713">
      <w:pPr>
        <w:pStyle w:val="EMEAHeading2"/>
      </w:pPr>
      <w:r>
        <w:t>REYATAZ with food and drink</w:t>
      </w:r>
    </w:p>
    <w:p w14:paraId="7DC4FF68" w14:textId="77777777" w:rsidR="00187713" w:rsidRPr="00D31EBB" w:rsidRDefault="00187713" w:rsidP="00187713">
      <w:pPr>
        <w:pStyle w:val="EMEABodyText"/>
      </w:pPr>
      <w:r>
        <w:t>See section 3 How to take REYATAZ.</w:t>
      </w:r>
    </w:p>
    <w:p w14:paraId="0987341E" w14:textId="77777777" w:rsidR="00187713" w:rsidRPr="00D31EBB" w:rsidRDefault="00187713" w:rsidP="00187713">
      <w:pPr>
        <w:pStyle w:val="EMEABodyText"/>
        <w:rPr>
          <w:b/>
          <w:lang w:val="en-US"/>
        </w:rPr>
      </w:pPr>
    </w:p>
    <w:p w14:paraId="22E715C7" w14:textId="77777777" w:rsidR="00187713" w:rsidRPr="00D31EBB" w:rsidRDefault="00187713" w:rsidP="00187713">
      <w:pPr>
        <w:pStyle w:val="EMEAHeading2"/>
      </w:pPr>
      <w:r>
        <w:t>Pregnancy and breast-feeding</w:t>
      </w:r>
    </w:p>
    <w:p w14:paraId="163B3396" w14:textId="77777777" w:rsidR="00187713" w:rsidRPr="00D31EBB" w:rsidRDefault="00424574" w:rsidP="00187713">
      <w:pPr>
        <w:pStyle w:val="EMEABodyText"/>
      </w:pPr>
      <w:r>
        <w:t>If you are pregnant or breast-feeding, think you may be pregnant or are planning to have a baby, ask your doctor for advice before taking this medicine. Atazanavir, the active substance of REYATAZ, is excreted in human milk. Patients should not breast-feed while taking REYATAZ. It is recommended that women infected with HIV do not breast-feed because the virus might be transmitted through the breast milk.</w:t>
      </w:r>
    </w:p>
    <w:p w14:paraId="7836AF1F" w14:textId="77777777" w:rsidR="00187713" w:rsidRPr="00D31EBB" w:rsidRDefault="00187713" w:rsidP="00187713">
      <w:pPr>
        <w:pStyle w:val="EMEABodyText"/>
        <w:rPr>
          <w:b/>
          <w:lang w:val="en-US"/>
        </w:rPr>
      </w:pPr>
    </w:p>
    <w:p w14:paraId="64E929DA" w14:textId="77777777" w:rsidR="00187713" w:rsidRPr="00D31EBB" w:rsidRDefault="00187713" w:rsidP="00187713">
      <w:pPr>
        <w:pStyle w:val="EMEAHeading2"/>
      </w:pPr>
      <w:r>
        <w:t>Driving and using machines</w:t>
      </w:r>
    </w:p>
    <w:p w14:paraId="5FF7781F" w14:textId="77777777" w:rsidR="00187713" w:rsidRPr="00D31EBB" w:rsidRDefault="00187713" w:rsidP="00187713">
      <w:pPr>
        <w:pStyle w:val="EMEABodyText"/>
      </w:pPr>
      <w:r>
        <w:t>If you feel dizzy or lightheaded, do not drive or use machines, and contact your doctor immediately.</w:t>
      </w:r>
    </w:p>
    <w:p w14:paraId="33C814A1" w14:textId="77777777" w:rsidR="00187713" w:rsidRPr="00D31EBB" w:rsidRDefault="00187713" w:rsidP="00187713">
      <w:pPr>
        <w:pStyle w:val="EMEABodyText"/>
        <w:rPr>
          <w:b/>
          <w:noProof/>
          <w:lang w:val="en-US"/>
        </w:rPr>
      </w:pPr>
    </w:p>
    <w:p w14:paraId="1DCC3663" w14:textId="77777777" w:rsidR="00187713" w:rsidRPr="004F3582" w:rsidRDefault="00187713" w:rsidP="00187713">
      <w:pPr>
        <w:pStyle w:val="EMEAHeading2"/>
      </w:pPr>
      <w:r>
        <w:t>REYATAZ oral powder contains :</w:t>
      </w:r>
    </w:p>
    <w:p w14:paraId="3E4F3BE5" w14:textId="77777777" w:rsidR="00187713" w:rsidRPr="00D31EBB" w:rsidRDefault="008F61E4" w:rsidP="00826E45">
      <w:pPr>
        <w:pStyle w:val="EMEABodyTextIndent"/>
        <w:ind w:left="426" w:hanging="426"/>
        <w:rPr>
          <w:i/>
        </w:rPr>
      </w:pPr>
      <w:r>
        <w:t>63 mg of aspartame per sachet. Aspartame is a source of phenylalanine. It may be harmful if you have phenylketonuria (PKU), a rare genetic disorder in which phenylalanine builds up because the body cannot remove it properly.</w:t>
      </w:r>
    </w:p>
    <w:p w14:paraId="00B9A86C" w14:textId="77777777" w:rsidR="00187713" w:rsidRPr="00D31EBB" w:rsidRDefault="00187713" w:rsidP="00826E45">
      <w:pPr>
        <w:pStyle w:val="EMEABodyTextIndent"/>
        <w:ind w:left="426" w:hanging="426"/>
        <w:rPr>
          <w:b/>
          <w:i/>
          <w:noProof/>
        </w:rPr>
      </w:pPr>
      <w:r>
        <w:t>1.3 g of sucrose per sachet. If you have been told by your doctor that your child has an intolerance to some sugars, contact your doctor before giving this medicinal product to your child.</w:t>
      </w:r>
    </w:p>
    <w:p w14:paraId="6D7EDDBF" w14:textId="77777777" w:rsidR="00187713" w:rsidRPr="00D31EBB" w:rsidRDefault="00187713" w:rsidP="00187713">
      <w:pPr>
        <w:pStyle w:val="EMEABodyText"/>
        <w:rPr>
          <w:b/>
          <w:noProof/>
          <w:lang w:val="en-US"/>
        </w:rPr>
      </w:pPr>
    </w:p>
    <w:p w14:paraId="370DD02A" w14:textId="77777777" w:rsidR="00F7294E" w:rsidRPr="00D31EBB" w:rsidRDefault="00F7294E" w:rsidP="00187713">
      <w:pPr>
        <w:pStyle w:val="EMEABodyText"/>
        <w:rPr>
          <w:b/>
          <w:noProof/>
          <w:lang w:val="en-US"/>
        </w:rPr>
      </w:pPr>
    </w:p>
    <w:p w14:paraId="27F7B04E" w14:textId="77777777" w:rsidR="00187713" w:rsidRPr="00D31EBB" w:rsidRDefault="00187713" w:rsidP="00D1740D">
      <w:pPr>
        <w:pStyle w:val="EMEAHeading1"/>
        <w:rPr>
          <w:bCs/>
          <w:caps w:val="0"/>
        </w:rPr>
      </w:pPr>
      <w:r>
        <w:rPr>
          <w:bCs/>
          <w:caps w:val="0"/>
        </w:rPr>
        <w:t>3.</w:t>
      </w:r>
      <w:r>
        <w:rPr>
          <w:bCs/>
          <w:caps w:val="0"/>
        </w:rPr>
        <w:tab/>
        <w:t>How to take REYATAZ</w:t>
      </w:r>
    </w:p>
    <w:p w14:paraId="64335A07" w14:textId="77777777" w:rsidR="00187713" w:rsidRPr="00D31EBB" w:rsidRDefault="00187713" w:rsidP="00187713">
      <w:pPr>
        <w:pStyle w:val="EMEAHeading1"/>
        <w:rPr>
          <w:b w:val="0"/>
          <w:noProof/>
          <w:lang w:val="en-US"/>
        </w:rPr>
      </w:pPr>
    </w:p>
    <w:p w14:paraId="2111B981" w14:textId="77777777" w:rsidR="00187713" w:rsidRPr="00D31EBB" w:rsidRDefault="00187713" w:rsidP="00187713">
      <w:pPr>
        <w:pStyle w:val="EMEABodyText"/>
      </w:pPr>
      <w:r>
        <w:t xml:space="preserve">Always take this medicine exactly as your doctor has told you. Check with your doctor if you are not sure. This way, you can be sure your medicine is fully effective and you reduce the risk of the virus developing resistance to the treatment. </w:t>
      </w:r>
    </w:p>
    <w:p w14:paraId="4006401D" w14:textId="77777777" w:rsidR="00187713" w:rsidRPr="00D31EBB" w:rsidRDefault="00187713" w:rsidP="00187713">
      <w:pPr>
        <w:pStyle w:val="EMEABodyText"/>
        <w:rPr>
          <w:noProof/>
          <w:lang w:val="en-US"/>
        </w:rPr>
      </w:pPr>
    </w:p>
    <w:p w14:paraId="4AD65F7E" w14:textId="77777777" w:rsidR="00187713" w:rsidRPr="00D31EBB" w:rsidRDefault="00187713" w:rsidP="00187713">
      <w:pPr>
        <w:pStyle w:val="EMEABodyText"/>
        <w:spacing w:after="60"/>
      </w:pPr>
      <w:r>
        <w:rPr>
          <w:b/>
        </w:rPr>
        <w:t xml:space="preserve">For children (at least 3 months of age and weighing at least 5 kg), your child's doctor will decide the right dose based on your child's weight. </w:t>
      </w:r>
      <w:r>
        <w:t>The dose of REYATAZ oral powder for children is calculated by body weight and is taken once daily with food and ritonavir as shown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3"/>
        <w:gridCol w:w="3028"/>
        <w:gridCol w:w="3022"/>
      </w:tblGrid>
      <w:tr w:rsidR="008C6BE3" w:rsidRPr="00965E20" w14:paraId="576AB679" w14:textId="77777777" w:rsidTr="0000712C">
        <w:tc>
          <w:tcPr>
            <w:tcW w:w="3096" w:type="dxa"/>
          </w:tcPr>
          <w:p w14:paraId="1D1A3F24" w14:textId="77777777" w:rsidR="00187713" w:rsidRPr="004F3582" w:rsidRDefault="00187713" w:rsidP="0000712C">
            <w:pPr>
              <w:pStyle w:val="EMEABodyText"/>
              <w:jc w:val="center"/>
              <w:rPr>
                <w:b/>
              </w:rPr>
            </w:pPr>
            <w:r>
              <w:rPr>
                <w:b/>
              </w:rPr>
              <w:t>Body Weight</w:t>
            </w:r>
          </w:p>
          <w:p w14:paraId="12F4FDCE" w14:textId="77777777" w:rsidR="00187713" w:rsidRPr="004F3582" w:rsidRDefault="00187713" w:rsidP="0000712C">
            <w:pPr>
              <w:pStyle w:val="EMEABodyText"/>
              <w:jc w:val="center"/>
              <w:rPr>
                <w:b/>
              </w:rPr>
            </w:pPr>
            <w:r>
              <w:rPr>
                <w:b/>
              </w:rPr>
              <w:t>(kg)</w:t>
            </w:r>
          </w:p>
        </w:tc>
        <w:tc>
          <w:tcPr>
            <w:tcW w:w="3096" w:type="dxa"/>
          </w:tcPr>
          <w:p w14:paraId="5BB98460" w14:textId="77777777" w:rsidR="00187713" w:rsidRPr="00D31EBB" w:rsidRDefault="00187713" w:rsidP="0000712C">
            <w:pPr>
              <w:pStyle w:val="EMEABodyText"/>
              <w:jc w:val="center"/>
              <w:rPr>
                <w:b/>
              </w:rPr>
            </w:pPr>
            <w:r>
              <w:rPr>
                <w:b/>
              </w:rPr>
              <w:t>REYATAZ Dose once daily</w:t>
            </w:r>
          </w:p>
          <w:p w14:paraId="77184E15" w14:textId="77777777" w:rsidR="00187713" w:rsidRPr="00D31EBB" w:rsidRDefault="00187713" w:rsidP="0000712C">
            <w:pPr>
              <w:pStyle w:val="EMEABodyText"/>
              <w:jc w:val="center"/>
              <w:rPr>
                <w:b/>
              </w:rPr>
            </w:pPr>
            <w:r>
              <w:rPr>
                <w:b/>
              </w:rPr>
              <w:t>(mg)</w:t>
            </w:r>
          </w:p>
        </w:tc>
        <w:tc>
          <w:tcPr>
            <w:tcW w:w="3097" w:type="dxa"/>
          </w:tcPr>
          <w:p w14:paraId="7A787B74" w14:textId="77777777" w:rsidR="00187713" w:rsidRPr="00D31EBB" w:rsidRDefault="00187713" w:rsidP="0000712C">
            <w:pPr>
              <w:pStyle w:val="EMEABodyText"/>
              <w:jc w:val="center"/>
              <w:rPr>
                <w:b/>
              </w:rPr>
            </w:pPr>
            <w:r>
              <w:rPr>
                <w:b/>
              </w:rPr>
              <w:t>Ritonavir Dose once daily</w:t>
            </w:r>
          </w:p>
          <w:p w14:paraId="7B250CD8" w14:textId="77777777" w:rsidR="00187713" w:rsidRPr="00D31EBB" w:rsidRDefault="00187713" w:rsidP="0000712C">
            <w:pPr>
              <w:pStyle w:val="EMEABodyText"/>
              <w:jc w:val="center"/>
              <w:rPr>
                <w:b/>
              </w:rPr>
            </w:pPr>
            <w:r>
              <w:rPr>
                <w:b/>
              </w:rPr>
              <w:t>(mg)</w:t>
            </w:r>
          </w:p>
        </w:tc>
      </w:tr>
      <w:tr w:rsidR="008C6BE3" w:rsidRPr="004F3582" w14:paraId="4B2F1CA9" w14:textId="77777777" w:rsidTr="0000712C">
        <w:tc>
          <w:tcPr>
            <w:tcW w:w="3096" w:type="dxa"/>
          </w:tcPr>
          <w:p w14:paraId="33E73179" w14:textId="77777777" w:rsidR="00187713" w:rsidRPr="00D31EBB" w:rsidRDefault="00187713" w:rsidP="0000712C">
            <w:pPr>
              <w:pStyle w:val="EMEABodyText"/>
              <w:jc w:val="center"/>
            </w:pPr>
            <w:r>
              <w:t>At least 5 to less than 15</w:t>
            </w:r>
          </w:p>
        </w:tc>
        <w:tc>
          <w:tcPr>
            <w:tcW w:w="3096" w:type="dxa"/>
          </w:tcPr>
          <w:p w14:paraId="4761CFEA" w14:textId="77777777" w:rsidR="00187713" w:rsidRPr="004F3582" w:rsidRDefault="00187713" w:rsidP="0000712C">
            <w:pPr>
              <w:pStyle w:val="EMEABodyText"/>
              <w:jc w:val="center"/>
            </w:pPr>
            <w:r>
              <w:t>200 mg (4 sachets</w:t>
            </w:r>
            <w:r>
              <w:rPr>
                <w:vertAlign w:val="superscript"/>
              </w:rPr>
              <w:t>a</w:t>
            </w:r>
            <w:r>
              <w:t>)</w:t>
            </w:r>
          </w:p>
        </w:tc>
        <w:tc>
          <w:tcPr>
            <w:tcW w:w="3097" w:type="dxa"/>
          </w:tcPr>
          <w:p w14:paraId="0E721F80" w14:textId="77777777" w:rsidR="00187713" w:rsidRPr="004F3582" w:rsidRDefault="00187713" w:rsidP="0000712C">
            <w:pPr>
              <w:pStyle w:val="EMEABodyText"/>
              <w:jc w:val="center"/>
            </w:pPr>
            <w:r>
              <w:t>80 mg</w:t>
            </w:r>
            <w:r>
              <w:rPr>
                <w:vertAlign w:val="superscript"/>
              </w:rPr>
              <w:t>b</w:t>
            </w:r>
          </w:p>
        </w:tc>
      </w:tr>
      <w:tr w:rsidR="008C6BE3" w:rsidRPr="004F3582" w14:paraId="2634B2D8" w14:textId="77777777" w:rsidTr="0000712C">
        <w:tc>
          <w:tcPr>
            <w:tcW w:w="3096" w:type="dxa"/>
          </w:tcPr>
          <w:p w14:paraId="696B4AD8" w14:textId="77777777" w:rsidR="00187713" w:rsidRPr="00D31EBB" w:rsidRDefault="00187713" w:rsidP="00885B9D">
            <w:pPr>
              <w:pStyle w:val="EMEABodyText"/>
              <w:jc w:val="center"/>
            </w:pPr>
            <w:r>
              <w:t>At least 15 to less than 35</w:t>
            </w:r>
          </w:p>
        </w:tc>
        <w:tc>
          <w:tcPr>
            <w:tcW w:w="3096" w:type="dxa"/>
          </w:tcPr>
          <w:p w14:paraId="54233D4C" w14:textId="77777777" w:rsidR="00187713" w:rsidRPr="004F3582" w:rsidRDefault="00187713" w:rsidP="0000712C">
            <w:pPr>
              <w:pStyle w:val="EMEABodyText"/>
              <w:jc w:val="center"/>
            </w:pPr>
            <w:r>
              <w:t>250 mg (5 sachets</w:t>
            </w:r>
            <w:r>
              <w:rPr>
                <w:vertAlign w:val="superscript"/>
              </w:rPr>
              <w:t>a</w:t>
            </w:r>
            <w:r>
              <w:t>)</w:t>
            </w:r>
          </w:p>
        </w:tc>
        <w:tc>
          <w:tcPr>
            <w:tcW w:w="3097" w:type="dxa"/>
          </w:tcPr>
          <w:p w14:paraId="66F37DF9" w14:textId="77777777" w:rsidR="00187713" w:rsidRPr="004F3582" w:rsidRDefault="00187713" w:rsidP="004F6EF3">
            <w:pPr>
              <w:pStyle w:val="EMEABodyText"/>
              <w:jc w:val="center"/>
            </w:pPr>
            <w:r>
              <w:t>80 mg</w:t>
            </w:r>
            <w:r>
              <w:rPr>
                <w:vertAlign w:val="superscript"/>
              </w:rPr>
              <w:t>b</w:t>
            </w:r>
          </w:p>
        </w:tc>
      </w:tr>
      <w:tr w:rsidR="008C6BE3" w:rsidRPr="004F3582" w14:paraId="0E865218" w14:textId="77777777" w:rsidTr="0000712C">
        <w:tc>
          <w:tcPr>
            <w:tcW w:w="3096" w:type="dxa"/>
          </w:tcPr>
          <w:p w14:paraId="4EBDC5D6" w14:textId="77777777" w:rsidR="00187713" w:rsidRPr="004F3582" w:rsidRDefault="00187713" w:rsidP="00885B9D">
            <w:pPr>
              <w:pStyle w:val="EMEABodyText"/>
              <w:jc w:val="center"/>
            </w:pPr>
            <w:r>
              <w:t>at least 35</w:t>
            </w:r>
          </w:p>
        </w:tc>
        <w:tc>
          <w:tcPr>
            <w:tcW w:w="3096" w:type="dxa"/>
          </w:tcPr>
          <w:p w14:paraId="615B7383" w14:textId="77777777" w:rsidR="00187713" w:rsidRPr="004F3582" w:rsidRDefault="00187713" w:rsidP="0000712C">
            <w:pPr>
              <w:pStyle w:val="EMEABodyText"/>
              <w:jc w:val="center"/>
            </w:pPr>
            <w:r>
              <w:t>300 mg (6 sachets</w:t>
            </w:r>
            <w:r>
              <w:rPr>
                <w:vertAlign w:val="superscript"/>
              </w:rPr>
              <w:t>a</w:t>
            </w:r>
            <w:r>
              <w:t>)</w:t>
            </w:r>
          </w:p>
        </w:tc>
        <w:tc>
          <w:tcPr>
            <w:tcW w:w="3097" w:type="dxa"/>
          </w:tcPr>
          <w:p w14:paraId="0C6B6174" w14:textId="77777777" w:rsidR="00187713" w:rsidRPr="004F3582" w:rsidRDefault="00187713" w:rsidP="00A04D01">
            <w:pPr>
              <w:pStyle w:val="EMEABodyText"/>
              <w:jc w:val="center"/>
            </w:pPr>
            <w:r>
              <w:t>100 mg</w:t>
            </w:r>
            <w:r>
              <w:rPr>
                <w:vertAlign w:val="superscript"/>
              </w:rPr>
              <w:t>c</w:t>
            </w:r>
          </w:p>
        </w:tc>
      </w:tr>
      <w:tr w:rsidR="00187713" w:rsidRPr="004F3582" w14:paraId="4B95701B" w14:textId="77777777" w:rsidTr="0000712C">
        <w:tc>
          <w:tcPr>
            <w:tcW w:w="9289" w:type="dxa"/>
            <w:gridSpan w:val="3"/>
          </w:tcPr>
          <w:p w14:paraId="520829FA" w14:textId="77777777" w:rsidR="00187713" w:rsidRPr="00D31EBB" w:rsidRDefault="00187713" w:rsidP="0000712C">
            <w:pPr>
              <w:pStyle w:val="EMEABodyText"/>
              <w:rPr>
                <w:sz w:val="18"/>
              </w:rPr>
            </w:pPr>
            <w:r>
              <w:rPr>
                <w:sz w:val="18"/>
                <w:vertAlign w:val="superscript"/>
              </w:rPr>
              <w:t>a</w:t>
            </w:r>
            <w:r>
              <w:rPr>
                <w:sz w:val="18"/>
              </w:rPr>
              <w:t>Each sachet contains 50 mg of REYATAZ</w:t>
            </w:r>
          </w:p>
          <w:p w14:paraId="1E3F2BB2" w14:textId="77777777" w:rsidR="00187713" w:rsidRPr="004F3582" w:rsidRDefault="00187713" w:rsidP="0000712C">
            <w:pPr>
              <w:pStyle w:val="EMEABodyText"/>
              <w:rPr>
                <w:sz w:val="18"/>
              </w:rPr>
            </w:pPr>
            <w:r>
              <w:rPr>
                <w:sz w:val="18"/>
                <w:vertAlign w:val="superscript"/>
              </w:rPr>
              <w:t>b</w:t>
            </w:r>
            <w:r>
              <w:rPr>
                <w:sz w:val="18"/>
              </w:rPr>
              <w:t>Ritonavir oral solution</w:t>
            </w:r>
          </w:p>
          <w:p w14:paraId="787C1743" w14:textId="77777777" w:rsidR="00187713" w:rsidRPr="004F3582" w:rsidRDefault="00A04D01" w:rsidP="0000712C">
            <w:pPr>
              <w:pStyle w:val="EMEABodyText"/>
            </w:pPr>
            <w:r>
              <w:rPr>
                <w:sz w:val="18"/>
                <w:vertAlign w:val="superscript"/>
              </w:rPr>
              <w:t>c</w:t>
            </w:r>
            <w:r>
              <w:rPr>
                <w:sz w:val="18"/>
              </w:rPr>
              <w:t>Ritonavir oral solution or capsule/tablet</w:t>
            </w:r>
          </w:p>
        </w:tc>
      </w:tr>
    </w:tbl>
    <w:p w14:paraId="3EFAA4EF" w14:textId="77777777" w:rsidR="00187713" w:rsidRPr="004F3582" w:rsidRDefault="00187713" w:rsidP="00187713">
      <w:pPr>
        <w:pStyle w:val="EMEABodyText"/>
      </w:pPr>
    </w:p>
    <w:p w14:paraId="30963898" w14:textId="77777777" w:rsidR="00424574" w:rsidRPr="00D31EBB" w:rsidRDefault="00187713" w:rsidP="00424574">
      <w:pPr>
        <w:pStyle w:val="EMEABodyText"/>
        <w:rPr>
          <w:bCs/>
          <w:iCs/>
        </w:rPr>
      </w:pPr>
      <w:r>
        <w:t>REYATAZ is also available in capsules for use in adults and children at least 6 years of age who weigh at least 15 kg and who are able to swallow the capsules. Switching from REYATAZ oral powder to REYATAZ capsules is encouraged as soon as patients are able to consistently swallow capsules.</w:t>
      </w:r>
    </w:p>
    <w:p w14:paraId="0E05FBE9" w14:textId="77777777" w:rsidR="00424574" w:rsidRPr="00D31EBB" w:rsidRDefault="00424574" w:rsidP="00424574">
      <w:pPr>
        <w:pStyle w:val="EMEABodyText"/>
        <w:rPr>
          <w:bCs/>
          <w:iCs/>
          <w:lang w:val="en-US"/>
        </w:rPr>
      </w:pPr>
    </w:p>
    <w:p w14:paraId="169DC136" w14:textId="77777777" w:rsidR="00424574" w:rsidRPr="00D31EBB" w:rsidRDefault="00424574" w:rsidP="00424574">
      <w:pPr>
        <w:pStyle w:val="EMEABodyText"/>
        <w:rPr>
          <w:bCs/>
          <w:iCs/>
        </w:rPr>
      </w:pPr>
      <w:r>
        <w:t>A change in dose may occur when switching between oral powder and capsules. Your doctor will decide the right dose based on your child’s weight.</w:t>
      </w:r>
    </w:p>
    <w:p w14:paraId="3D09E47F" w14:textId="77777777" w:rsidR="00187713" w:rsidRPr="00D31EBB" w:rsidRDefault="00187713" w:rsidP="00187713">
      <w:pPr>
        <w:pStyle w:val="EMEABodyText"/>
        <w:rPr>
          <w:bCs/>
          <w:iCs/>
          <w:lang w:val="en-US"/>
        </w:rPr>
      </w:pPr>
    </w:p>
    <w:p w14:paraId="3F8FB899" w14:textId="77777777" w:rsidR="00187713" w:rsidRPr="00D31EBB" w:rsidRDefault="00187713" w:rsidP="00187713">
      <w:pPr>
        <w:pStyle w:val="EMEABodyText"/>
        <w:rPr>
          <w:bCs/>
          <w:iCs/>
        </w:rPr>
      </w:pPr>
      <w:r>
        <w:t>There are no dosing recommendations for REYATAZ in paediatric patients less than 3 months of age.</w:t>
      </w:r>
    </w:p>
    <w:p w14:paraId="07A9A4F8" w14:textId="77777777" w:rsidR="00187713" w:rsidRPr="00D31EBB" w:rsidRDefault="00187713" w:rsidP="00187713">
      <w:pPr>
        <w:pStyle w:val="EMEABodyText"/>
        <w:rPr>
          <w:lang w:val="en-US"/>
        </w:rPr>
      </w:pPr>
    </w:p>
    <w:p w14:paraId="122A7A57" w14:textId="77777777" w:rsidR="00187713" w:rsidRPr="00D31EBB" w:rsidRDefault="00187713" w:rsidP="00187713">
      <w:pPr>
        <w:pStyle w:val="EMEABodyText"/>
      </w:pPr>
      <w:r>
        <w:rPr>
          <w:b/>
        </w:rPr>
        <w:t xml:space="preserve">Instructions for REYATAZ oral powder: </w:t>
      </w:r>
    </w:p>
    <w:p w14:paraId="02A41095" w14:textId="77777777" w:rsidR="00187713" w:rsidRPr="00D31EBB" w:rsidRDefault="00187713" w:rsidP="00826E45">
      <w:pPr>
        <w:pStyle w:val="EMEABodyTextIndent"/>
        <w:ind w:left="426" w:hanging="426"/>
        <w:rPr>
          <w:i/>
        </w:rPr>
      </w:pPr>
      <w:r>
        <w:t>For children who are able to drink from a cup, REYATAZ oral powder must be taken with food or drinks. If REYATAZ oral powder is mixed with water, food should also be taken at the same time.</w:t>
      </w:r>
    </w:p>
    <w:p w14:paraId="6B1CE7B6" w14:textId="77777777" w:rsidR="00187713" w:rsidRPr="00D31EBB" w:rsidRDefault="00187713" w:rsidP="00826E45">
      <w:pPr>
        <w:pStyle w:val="EMEABodyTextIndent"/>
        <w:ind w:left="426" w:hanging="426"/>
        <w:rPr>
          <w:i/>
        </w:rPr>
      </w:pPr>
      <w:r>
        <w:t xml:space="preserve">For children who cannot eat solid food or drink from a cup, REYATAZ oral powder must be mixed with infant formula and should be given using an oral syringe. Ask your pharmacist for an oral syringe. Do not use an infant bottle to give REYATAZ mixed with infant formula. </w:t>
      </w:r>
    </w:p>
    <w:p w14:paraId="4EF22B2D" w14:textId="77777777" w:rsidR="00187713" w:rsidRPr="00D31EBB" w:rsidRDefault="00187713" w:rsidP="00826E45">
      <w:pPr>
        <w:pStyle w:val="EMEABodyTextIndent"/>
        <w:ind w:left="426" w:hanging="426"/>
        <w:rPr>
          <w:i/>
        </w:rPr>
      </w:pPr>
      <w:r>
        <w:t>See the "Instructions for use" at the end of the package leaflet for how to prepare and give a dose of REYATAZ oral powder.</w:t>
      </w:r>
    </w:p>
    <w:p w14:paraId="3B6F4A12" w14:textId="77777777" w:rsidR="00187713" w:rsidRPr="00D31EBB" w:rsidRDefault="00187713" w:rsidP="00826E45">
      <w:pPr>
        <w:pStyle w:val="EMEABodyTextIndent"/>
        <w:ind w:left="426" w:hanging="426"/>
        <w:rPr>
          <w:i/>
        </w:rPr>
      </w:pPr>
      <w:r>
        <w:t>REYATAZ oral powder should be given within 60 minutes of mixing.</w:t>
      </w:r>
    </w:p>
    <w:p w14:paraId="37795D85" w14:textId="77777777" w:rsidR="00187713" w:rsidRPr="00D31EBB" w:rsidRDefault="00187713" w:rsidP="00187713">
      <w:pPr>
        <w:pStyle w:val="EMEABodyText"/>
        <w:rPr>
          <w:lang w:val="en-US"/>
        </w:rPr>
      </w:pPr>
    </w:p>
    <w:p w14:paraId="46058E02" w14:textId="77777777" w:rsidR="00187713" w:rsidRPr="00D31EBB" w:rsidRDefault="00187713" w:rsidP="00187713">
      <w:pPr>
        <w:pStyle w:val="EMEAHeading2"/>
      </w:pPr>
      <w:r>
        <w:t>If you take more REYATAZ than you should</w:t>
      </w:r>
    </w:p>
    <w:p w14:paraId="5E25C2A2" w14:textId="77777777" w:rsidR="00424574" w:rsidRPr="00D31EBB" w:rsidRDefault="00424574" w:rsidP="00424574">
      <w:pPr>
        <w:pStyle w:val="EMEABodyText"/>
      </w:pPr>
      <w:r>
        <w:t>Yellowing of the skin and/or eyes (jaundice) and irregular heart beat (QTc prolongation) may occur if you or your child take too much REYATAZ.</w:t>
      </w:r>
    </w:p>
    <w:p w14:paraId="69A8ADDF" w14:textId="77777777" w:rsidR="00187713" w:rsidRPr="00D31EBB" w:rsidRDefault="00187713" w:rsidP="00187713">
      <w:pPr>
        <w:pStyle w:val="EMEABodyText"/>
      </w:pPr>
      <w:r>
        <w:t>If you accidentally take or give more REYATAZ oral powder than your doctor recommended, contact your HIV doctor at once or contact the nearest hospital for advice.</w:t>
      </w:r>
    </w:p>
    <w:p w14:paraId="072328DE" w14:textId="77777777" w:rsidR="00187713" w:rsidRPr="00D31EBB" w:rsidRDefault="00187713" w:rsidP="00187713">
      <w:pPr>
        <w:pStyle w:val="EMEABodyText"/>
        <w:rPr>
          <w:b/>
          <w:lang w:val="en-US"/>
        </w:rPr>
      </w:pPr>
    </w:p>
    <w:p w14:paraId="6AE392DB" w14:textId="77777777" w:rsidR="00187713" w:rsidRPr="00D31EBB" w:rsidRDefault="00187713" w:rsidP="00187713">
      <w:pPr>
        <w:pStyle w:val="EMEAHeading2"/>
      </w:pPr>
      <w:r>
        <w:t>If you forget to take REYATAZ</w:t>
      </w:r>
    </w:p>
    <w:p w14:paraId="3785BCF7" w14:textId="77777777" w:rsidR="00187713" w:rsidRPr="00D31EBB" w:rsidRDefault="00187713" w:rsidP="00187713">
      <w:pPr>
        <w:pStyle w:val="EMEABodyText"/>
        <w:rPr>
          <w:b/>
        </w:rPr>
      </w:pPr>
      <w:r>
        <w:t xml:space="preserve">If you miss a dose or if you forget to give your child a dose, take or give the missed dose as soon as possible with food and then take or give the next scheduled dose at its regular time. If it is almost time for your or your child's next dose, do not take or give the missed dose. Wait and take or give the next dose at its regular time. </w:t>
      </w:r>
      <w:r>
        <w:rPr>
          <w:b/>
        </w:rPr>
        <w:t xml:space="preserve">Do not take or give a double dose to make up for a forgotten dose. </w:t>
      </w:r>
    </w:p>
    <w:p w14:paraId="20AF2EAB" w14:textId="77777777" w:rsidR="00187713" w:rsidRPr="00D31EBB" w:rsidRDefault="00187713" w:rsidP="00187713">
      <w:pPr>
        <w:pStyle w:val="EMEABodyText"/>
        <w:rPr>
          <w:noProof/>
          <w:lang w:val="en-US"/>
        </w:rPr>
      </w:pPr>
    </w:p>
    <w:p w14:paraId="7B9E0EEA" w14:textId="77777777" w:rsidR="00187713" w:rsidRPr="00D31EBB" w:rsidRDefault="00187713" w:rsidP="00187713">
      <w:pPr>
        <w:pStyle w:val="EMEAHeading2"/>
      </w:pPr>
      <w:r>
        <w:t>If you stop taking REYATAZ</w:t>
      </w:r>
    </w:p>
    <w:p w14:paraId="79AF1B12" w14:textId="77777777" w:rsidR="00187713" w:rsidRPr="00D31EBB" w:rsidRDefault="00187713" w:rsidP="00187713">
      <w:pPr>
        <w:pStyle w:val="EMEABodyText"/>
      </w:pPr>
      <w:r>
        <w:t>Do not stop taking REYATAZ before talking to your doctor.</w:t>
      </w:r>
    </w:p>
    <w:p w14:paraId="4DAE6950" w14:textId="77777777" w:rsidR="00187713" w:rsidRPr="00D31EBB" w:rsidRDefault="00187713" w:rsidP="00187713">
      <w:pPr>
        <w:pStyle w:val="EMEABodyText"/>
        <w:rPr>
          <w:b/>
          <w:lang w:val="en-US"/>
        </w:rPr>
      </w:pPr>
    </w:p>
    <w:p w14:paraId="370B11EE" w14:textId="77777777" w:rsidR="00187713" w:rsidRPr="00D31EBB" w:rsidRDefault="00187713" w:rsidP="00187713">
      <w:pPr>
        <w:pStyle w:val="EMEABodyText"/>
        <w:rPr>
          <w:noProof/>
        </w:rPr>
      </w:pPr>
      <w:r>
        <w:t>If you have any further questions on the use of this medicine, ask your doctor.</w:t>
      </w:r>
    </w:p>
    <w:p w14:paraId="3EBBB892" w14:textId="77777777" w:rsidR="00187713" w:rsidRPr="00D31EBB" w:rsidRDefault="00187713" w:rsidP="00187713">
      <w:pPr>
        <w:pStyle w:val="EMEABodyText"/>
        <w:rPr>
          <w:b/>
          <w:noProof/>
          <w:lang w:val="en-US"/>
        </w:rPr>
      </w:pPr>
    </w:p>
    <w:p w14:paraId="42A47C1A" w14:textId="77777777" w:rsidR="00187713" w:rsidRPr="00D31EBB" w:rsidRDefault="00187713" w:rsidP="00187713">
      <w:pPr>
        <w:pStyle w:val="EMEABodyText"/>
        <w:rPr>
          <w:b/>
          <w:noProof/>
          <w:lang w:val="en-US"/>
        </w:rPr>
      </w:pPr>
    </w:p>
    <w:p w14:paraId="3B39BABA" w14:textId="77777777" w:rsidR="00187713" w:rsidRPr="00D31EBB" w:rsidRDefault="00187713" w:rsidP="00187713">
      <w:pPr>
        <w:pStyle w:val="EMEABodyText"/>
        <w:rPr>
          <w:b/>
          <w:noProof/>
        </w:rPr>
      </w:pPr>
      <w:r>
        <w:rPr>
          <w:b/>
        </w:rPr>
        <w:t>4.</w:t>
      </w:r>
      <w:r>
        <w:rPr>
          <w:b/>
        </w:rPr>
        <w:tab/>
        <w:t>Possible side effects</w:t>
      </w:r>
    </w:p>
    <w:p w14:paraId="30BD3DC6" w14:textId="77777777" w:rsidR="00187713" w:rsidRPr="00D31EBB" w:rsidRDefault="00187713" w:rsidP="00187713">
      <w:pPr>
        <w:pStyle w:val="EMEAHeading1"/>
        <w:rPr>
          <w:noProof/>
          <w:lang w:val="en-US"/>
        </w:rPr>
      </w:pPr>
    </w:p>
    <w:p w14:paraId="66F7A45A" w14:textId="77777777" w:rsidR="00187713" w:rsidRPr="00D31EBB" w:rsidRDefault="00187713" w:rsidP="00187713">
      <w:pPr>
        <w:pStyle w:val="EMEABodyText"/>
      </w:pPr>
      <w:r>
        <w:t>Like all medicines, this medicine can cause side effects, although not everybody gets them. When treating HIV infection, it is not always easy to identify what side effects are caused by REYATAZ, by the other medicines you are taking, or by the HIV infection itself. Tell your doctor if you notice anything unusual about your health.</w:t>
      </w:r>
    </w:p>
    <w:p w14:paraId="4568FF37" w14:textId="77777777" w:rsidR="00680F60" w:rsidRPr="00D31EBB" w:rsidRDefault="00680F60" w:rsidP="00187713">
      <w:pPr>
        <w:pStyle w:val="EMEABodyText"/>
        <w:rPr>
          <w:lang w:val="en-US"/>
        </w:rPr>
      </w:pPr>
    </w:p>
    <w:p w14:paraId="6813B7BF" w14:textId="77777777" w:rsidR="00680F60" w:rsidRPr="00D31EBB" w:rsidRDefault="00680F60" w:rsidP="00680F60">
      <w:pPr>
        <w:pStyle w:val="EMEABodyText"/>
      </w:pPr>
      <w:r>
        <w:t>During HIV therapy there may be an increase in weight and in levels of blood lipids and glucose. This is partly linked to restored health and life style, and in the case of blood lipids sometimes to the HIV medicines themselves. Your doctor will test for these changes.</w:t>
      </w:r>
    </w:p>
    <w:p w14:paraId="577D0143" w14:textId="77777777" w:rsidR="00187713" w:rsidRPr="00D31EBB" w:rsidRDefault="00187713" w:rsidP="00187713">
      <w:pPr>
        <w:pStyle w:val="EMEABodyText"/>
        <w:rPr>
          <w:lang w:val="en-US"/>
        </w:rPr>
      </w:pPr>
    </w:p>
    <w:p w14:paraId="71A6503D" w14:textId="77777777" w:rsidR="00E8461B" w:rsidRPr="00D31EBB" w:rsidRDefault="00E8461B" w:rsidP="00E8461B">
      <w:pPr>
        <w:pStyle w:val="EMEABodyText"/>
      </w:pPr>
      <w:r>
        <w:t>Tell your doctor immediately if you develop any of the following serious side effects:</w:t>
      </w:r>
    </w:p>
    <w:p w14:paraId="14611964" w14:textId="77777777" w:rsidR="00E8461B" w:rsidRPr="00D31EBB" w:rsidRDefault="00E8461B" w:rsidP="00E8461B">
      <w:pPr>
        <w:pStyle w:val="EMEABodyText"/>
        <w:rPr>
          <w:lang w:val="en-US"/>
        </w:rPr>
      </w:pPr>
    </w:p>
    <w:p w14:paraId="6C17D416" w14:textId="77777777" w:rsidR="00E8461B" w:rsidRPr="00D31EBB" w:rsidRDefault="00E8461B" w:rsidP="00826E45">
      <w:pPr>
        <w:pStyle w:val="EMEABodyTextIndent"/>
        <w:ind w:left="426" w:hanging="426"/>
        <w:rPr>
          <w:i/>
        </w:rPr>
      </w:pPr>
      <w:r>
        <w:t xml:space="preserve">Skin rash, itching that may occasionally be severe has been reported. The rash usually disappears within 2 weeks without any change to your REYATAZ treatment. Severe rash may be developed in association with other symptoms which could be serious. Stop taking REYATAZ and talk to your doctor immediately if you develop a severe rash or a rash with flu-like illness symptoms, blisters, fever, mouth sores, muscle or joint pain, swelling in the face, inflammation of the eye which causes redness (conjunctivitis), painful, warm, or red lumps (nodules). </w:t>
      </w:r>
    </w:p>
    <w:p w14:paraId="69304A20" w14:textId="77777777" w:rsidR="00E8461B" w:rsidRPr="00D31EBB" w:rsidRDefault="00E8461B" w:rsidP="00826E45">
      <w:pPr>
        <w:pStyle w:val="EMEABodyTextIndent"/>
        <w:ind w:left="426" w:hanging="426"/>
        <w:rPr>
          <w:i/>
        </w:rPr>
      </w:pPr>
      <w:r>
        <w:t>Yellowing of your skin or the white part of your eyes caused by high levels of bilirubin in your blood has been commonly reported. This side effect is usually not dangerous in adults and infants older than 3 months of age; but it might be a symptom of a serious problem. If your skin or the white part of your eyes turns yellow, talk to your doctor immediately.</w:t>
      </w:r>
    </w:p>
    <w:p w14:paraId="7C988A75" w14:textId="77777777" w:rsidR="00E8461B" w:rsidRPr="004F3582" w:rsidRDefault="00E8461B" w:rsidP="00826E45">
      <w:pPr>
        <w:pStyle w:val="EMEABodyTextIndent"/>
        <w:ind w:left="426" w:hanging="426"/>
        <w:rPr>
          <w:i/>
        </w:rPr>
      </w:pPr>
      <w:r>
        <w:t xml:space="preserve">Changes in the way your heart beats (heart rhythm change) may occasionally happen. Talk to your doctor immediately if you get dizzy, lightheaded or if you suddenly faint. These could be symptoms of a serious heart problem. </w:t>
      </w:r>
    </w:p>
    <w:p w14:paraId="0304ACBC" w14:textId="77777777" w:rsidR="00E8461B" w:rsidRPr="00D31EBB" w:rsidRDefault="00E8461B" w:rsidP="00826E45">
      <w:pPr>
        <w:pStyle w:val="EMEABodyTextIndent"/>
        <w:ind w:left="426" w:hanging="426"/>
        <w:rPr>
          <w:i/>
        </w:rPr>
      </w:pPr>
      <w:r>
        <w:t>Liver problems may uncommonly happen. Your doctor should do blood tests prior you start REYATAZ and during treatment. If you have liver problems, including hepatitis B or C infection, you may experience a worsening of your liver problems. Talk to your doctor immediately if you get dark (tea-colored) urine, itching, yellowing of your skin or the white part of your eyes, pain around the stomach, pale colored stools or nausea.</w:t>
      </w:r>
    </w:p>
    <w:p w14:paraId="65635015" w14:textId="77777777" w:rsidR="00E8461B" w:rsidRPr="00D31EBB" w:rsidRDefault="00E8461B" w:rsidP="00826E45">
      <w:pPr>
        <w:pStyle w:val="EMEABodyTextIndent"/>
        <w:ind w:left="426" w:hanging="426"/>
      </w:pPr>
      <w:r>
        <w:t>Gallbladder problems uncommonly happen in people taking REYATAZ. Symptoms of gallbladder problems may include pain in the right or middle upper stomach area, nausea, vomiting, fever or yellowing your skin or the white part of your eyes.</w:t>
      </w:r>
    </w:p>
    <w:p w14:paraId="2E0420C8" w14:textId="77777777" w:rsidR="00826E45" w:rsidRPr="00D31EBB" w:rsidRDefault="00826E45" w:rsidP="00523638">
      <w:pPr>
        <w:pStyle w:val="EMEABodyTextIndent"/>
        <w:ind w:left="426" w:hanging="426"/>
      </w:pPr>
      <w:r>
        <w:t>REYATAZ may affect how well your kidneys work.</w:t>
      </w:r>
    </w:p>
    <w:p w14:paraId="6F6A5964" w14:textId="77777777" w:rsidR="00E8461B" w:rsidRPr="00D31EBB" w:rsidRDefault="00E8461B" w:rsidP="00826E45">
      <w:pPr>
        <w:pStyle w:val="EMEABodyTextIndent"/>
        <w:ind w:left="426" w:hanging="426"/>
        <w:rPr>
          <w:i/>
        </w:rPr>
      </w:pPr>
      <w:r>
        <w:t>Kidney stones uncommonly happen in people taking REYATAZ. Talk to your doctor immediately if you get symptoms of kidney stones which may include, pain in your low back or low stomach-area, blood in your urine or pain when you urinate.</w:t>
      </w:r>
    </w:p>
    <w:p w14:paraId="5DF44F22" w14:textId="77777777" w:rsidR="00E8461B" w:rsidRPr="00D31EBB" w:rsidRDefault="00E8461B" w:rsidP="00187713">
      <w:pPr>
        <w:pStyle w:val="EMEABodyText"/>
        <w:rPr>
          <w:lang w:val="en-US"/>
        </w:rPr>
      </w:pPr>
    </w:p>
    <w:p w14:paraId="008CA44C" w14:textId="77777777" w:rsidR="00187713" w:rsidRPr="00D31EBB" w:rsidRDefault="00E8461B" w:rsidP="00187713">
      <w:pPr>
        <w:pStyle w:val="EMEABodyText"/>
      </w:pPr>
      <w:r>
        <w:t>Other side effects reported for patients treated with REYATAZ are the following:</w:t>
      </w:r>
    </w:p>
    <w:p w14:paraId="2E879C07" w14:textId="77777777" w:rsidR="00187713" w:rsidRPr="00D31EBB" w:rsidRDefault="00187713" w:rsidP="00187713">
      <w:pPr>
        <w:pStyle w:val="EMEABodyText"/>
      </w:pPr>
      <w:r>
        <w:t xml:space="preserve">Common (may affect up to 1 in 10 people): </w:t>
      </w:r>
    </w:p>
    <w:p w14:paraId="237976A9" w14:textId="77777777" w:rsidR="00187713" w:rsidRPr="004F3582" w:rsidRDefault="00187713" w:rsidP="00826E45">
      <w:pPr>
        <w:pStyle w:val="EMEABodyTextIndent"/>
        <w:ind w:left="426" w:hanging="426"/>
        <w:rPr>
          <w:i/>
        </w:rPr>
      </w:pPr>
      <w:r>
        <w:t>headache</w:t>
      </w:r>
    </w:p>
    <w:p w14:paraId="05CA06A1" w14:textId="77777777" w:rsidR="00187713" w:rsidRPr="00D31EBB" w:rsidRDefault="00187713" w:rsidP="00826E45">
      <w:pPr>
        <w:pStyle w:val="EMEABodyTextIndent"/>
        <w:ind w:left="426" w:hanging="426"/>
        <w:rPr>
          <w:i/>
        </w:rPr>
      </w:pPr>
      <w:r>
        <w:t>vomiting, diarrhoea, abdominal pain (stomach pain of discomfort), nausea, dyspepsia (indigestion)</w:t>
      </w:r>
    </w:p>
    <w:p w14:paraId="326D066C" w14:textId="77777777" w:rsidR="00187713" w:rsidRPr="004F3582" w:rsidRDefault="00187713" w:rsidP="00826E45">
      <w:pPr>
        <w:pStyle w:val="EMEABodyTextIndent"/>
        <w:ind w:left="426" w:hanging="426"/>
        <w:rPr>
          <w:i/>
        </w:rPr>
      </w:pPr>
      <w:r>
        <w:t>fatigue (extreme tiredness)</w:t>
      </w:r>
    </w:p>
    <w:p w14:paraId="1B9C3AB6" w14:textId="77777777" w:rsidR="00187713" w:rsidRPr="00D31EBB" w:rsidRDefault="00187713" w:rsidP="00187713">
      <w:pPr>
        <w:pStyle w:val="EMEABodyText"/>
      </w:pPr>
      <w:r>
        <w:t xml:space="preserve">Uncommon (may affect up to 1 in 100 people): </w:t>
      </w:r>
    </w:p>
    <w:p w14:paraId="53850F4D" w14:textId="77777777" w:rsidR="00187713" w:rsidRPr="00D31EBB" w:rsidRDefault="00187713" w:rsidP="00826E45">
      <w:pPr>
        <w:pStyle w:val="EMEABodyTextIndent"/>
        <w:ind w:left="426" w:hanging="426"/>
        <w:rPr>
          <w:i/>
        </w:rPr>
      </w:pPr>
      <w:r>
        <w:t>peripheral neuropathy (numbness, weakness, tingling or pain in the arms and legs)</w:t>
      </w:r>
    </w:p>
    <w:p w14:paraId="32A8E17D" w14:textId="77777777" w:rsidR="00187713" w:rsidRPr="004F3582" w:rsidRDefault="00187713" w:rsidP="00826E45">
      <w:pPr>
        <w:pStyle w:val="EMEABodyTextIndent"/>
        <w:ind w:left="426" w:hanging="426"/>
        <w:rPr>
          <w:i/>
        </w:rPr>
      </w:pPr>
      <w:r>
        <w:t>hypersensitivity (allergic reaction)</w:t>
      </w:r>
    </w:p>
    <w:p w14:paraId="13DF58C5" w14:textId="77777777" w:rsidR="00187713" w:rsidRPr="00D31EBB" w:rsidRDefault="00187713" w:rsidP="00826E45">
      <w:pPr>
        <w:pStyle w:val="EMEABodyTextIndent"/>
        <w:ind w:left="426" w:hanging="426"/>
        <w:rPr>
          <w:i/>
        </w:rPr>
      </w:pPr>
      <w:r>
        <w:t>asthenia (unusual tiredness or weakness)</w:t>
      </w:r>
    </w:p>
    <w:p w14:paraId="7A5D47AB" w14:textId="77777777" w:rsidR="00187713" w:rsidRPr="00D31EBB" w:rsidRDefault="00187713" w:rsidP="00826E45">
      <w:pPr>
        <w:pStyle w:val="EMEABodyTextIndent"/>
        <w:ind w:left="426" w:hanging="426"/>
        <w:rPr>
          <w:i/>
        </w:rPr>
      </w:pPr>
      <w:r>
        <w:t>weight decreased, weight gain, anorexia (loss of appetite), appetite increased</w:t>
      </w:r>
    </w:p>
    <w:p w14:paraId="67935D9C" w14:textId="77777777" w:rsidR="00187713" w:rsidRPr="004F3582" w:rsidRDefault="00187713" w:rsidP="00826E45">
      <w:pPr>
        <w:pStyle w:val="EMEABodyTextIndent"/>
        <w:ind w:left="426" w:hanging="426"/>
        <w:rPr>
          <w:i/>
        </w:rPr>
      </w:pPr>
      <w:r>
        <w:t>depression, anxiety, sleep disorder</w:t>
      </w:r>
    </w:p>
    <w:p w14:paraId="1B7B187E" w14:textId="77777777" w:rsidR="00187713" w:rsidRPr="00D31EBB" w:rsidRDefault="00187713" w:rsidP="00826E45">
      <w:pPr>
        <w:pStyle w:val="EMEABodyTextIndent"/>
        <w:ind w:left="426" w:hanging="426"/>
        <w:rPr>
          <w:i/>
        </w:rPr>
      </w:pPr>
      <w:r>
        <w:t>disorientation, amnesia (loss of memory), dizziness, somnolence (sleepiness), abnormal dream</w:t>
      </w:r>
    </w:p>
    <w:p w14:paraId="5C67660D" w14:textId="77777777" w:rsidR="00187713" w:rsidRPr="00D31EBB" w:rsidRDefault="00187713" w:rsidP="00826E45">
      <w:pPr>
        <w:pStyle w:val="EMEABodyTextIndent"/>
        <w:ind w:left="426" w:hanging="426"/>
        <w:rPr>
          <w:i/>
        </w:rPr>
      </w:pPr>
      <w:r>
        <w:t>syncope (fainting), hypertension (high blood pressure)</w:t>
      </w:r>
    </w:p>
    <w:p w14:paraId="05C2D71E" w14:textId="77777777" w:rsidR="00187713" w:rsidRPr="004F3582" w:rsidRDefault="00187713" w:rsidP="00826E45">
      <w:pPr>
        <w:pStyle w:val="EMEABodyTextIndent"/>
        <w:ind w:left="426"/>
        <w:rPr>
          <w:i/>
        </w:rPr>
      </w:pPr>
      <w:r>
        <w:t>dyspnoea (shortness of breath)</w:t>
      </w:r>
    </w:p>
    <w:p w14:paraId="1EC35DF0" w14:textId="77777777" w:rsidR="00187713" w:rsidRPr="00D31EBB" w:rsidRDefault="00187713" w:rsidP="00826E45">
      <w:pPr>
        <w:pStyle w:val="EMEABodyTextIndent"/>
        <w:ind w:left="426"/>
        <w:rPr>
          <w:i/>
        </w:rPr>
      </w:pPr>
      <w:r>
        <w:t>pancreatitis (inflammation of the pancreas), gastritis (inflammation of the stomach), stomatitis aphthous (mouth ulcers and cold sores), dysgeusia (impairment of the sense of taste), flatulence (wind), dry mouth, abdominal distension</w:t>
      </w:r>
    </w:p>
    <w:p w14:paraId="47F770F7" w14:textId="77777777" w:rsidR="00187713" w:rsidRPr="00D31EBB" w:rsidRDefault="00187713" w:rsidP="00826E45">
      <w:pPr>
        <w:pStyle w:val="EMEABodyTextIndent"/>
        <w:ind w:left="426"/>
        <w:rPr>
          <w:i/>
        </w:rPr>
      </w:pPr>
      <w:r>
        <w:t>angioedema (severe swelling of the skin and other tissues most often the lips or the eyes)</w:t>
      </w:r>
    </w:p>
    <w:p w14:paraId="7AB59715" w14:textId="77777777" w:rsidR="00187713" w:rsidRPr="00D31EBB" w:rsidRDefault="00187713" w:rsidP="00826E45">
      <w:pPr>
        <w:pStyle w:val="EMEABodyTextIndent"/>
        <w:ind w:left="426"/>
        <w:rPr>
          <w:i/>
        </w:rPr>
      </w:pPr>
      <w:r>
        <w:t>alopecia (unusual hair loss or thinning), pruritus (itching)</w:t>
      </w:r>
    </w:p>
    <w:p w14:paraId="2371FB4A" w14:textId="77777777" w:rsidR="00187713" w:rsidRPr="00D31EBB" w:rsidRDefault="00187713" w:rsidP="00826E45">
      <w:pPr>
        <w:pStyle w:val="EMEABodyTextIndent"/>
        <w:ind w:left="426"/>
        <w:rPr>
          <w:i/>
        </w:rPr>
      </w:pPr>
      <w:r>
        <w:t>muscle atrophy (muscle shrinkage), arthralgia (joint pain), myalgia (aching muscles)</w:t>
      </w:r>
    </w:p>
    <w:p w14:paraId="66C206B2" w14:textId="77777777" w:rsidR="00187713" w:rsidRPr="00D31EBB" w:rsidRDefault="00187713" w:rsidP="00826E45">
      <w:pPr>
        <w:pStyle w:val="EMEABodyTextIndent"/>
        <w:ind w:left="426"/>
        <w:rPr>
          <w:i/>
        </w:rPr>
      </w:pPr>
      <w:r>
        <w:t>interstitial nephritis (kidney inflammation), haematuria (blood in the urine), proteinuria (excess protein in the urine), pollakiuria (increased frequency of urination)</w:t>
      </w:r>
    </w:p>
    <w:p w14:paraId="3C87B913" w14:textId="77777777" w:rsidR="00187713" w:rsidRPr="00D31EBB" w:rsidRDefault="00187713" w:rsidP="00826E45">
      <w:pPr>
        <w:pStyle w:val="EMEABodyTextIndent"/>
        <w:ind w:left="426"/>
        <w:rPr>
          <w:i/>
        </w:rPr>
      </w:pPr>
      <w:r>
        <w:t>gynaecomastia (breast enlargement in men)</w:t>
      </w:r>
    </w:p>
    <w:p w14:paraId="3DD3E2A6" w14:textId="77777777" w:rsidR="00187713" w:rsidRPr="00D31EBB" w:rsidRDefault="00187713" w:rsidP="00826E45">
      <w:pPr>
        <w:pStyle w:val="EMEABodyTextIndent"/>
        <w:ind w:left="426"/>
        <w:rPr>
          <w:i/>
        </w:rPr>
      </w:pPr>
      <w:r>
        <w:t>chest pain, malaise (generally feeling unwell), fever</w:t>
      </w:r>
    </w:p>
    <w:p w14:paraId="04AABE7E" w14:textId="77777777" w:rsidR="00187713" w:rsidRPr="004F3582" w:rsidRDefault="00187713" w:rsidP="00826E45">
      <w:pPr>
        <w:pStyle w:val="EMEABodyTextIndent"/>
        <w:ind w:left="426"/>
        <w:rPr>
          <w:i/>
        </w:rPr>
      </w:pPr>
      <w:r>
        <w:t>insomnia (difficulty sleeping)</w:t>
      </w:r>
    </w:p>
    <w:p w14:paraId="255AA67E" w14:textId="77777777" w:rsidR="00187713" w:rsidRPr="00D31EBB" w:rsidRDefault="00187713" w:rsidP="00187713">
      <w:pPr>
        <w:pStyle w:val="EMEABodyText"/>
      </w:pPr>
      <w:r>
        <w:t xml:space="preserve">Rare (may affect up to 1 in 1,000 people): </w:t>
      </w:r>
    </w:p>
    <w:p w14:paraId="21B1E486" w14:textId="77777777" w:rsidR="00187713" w:rsidRPr="00D31EBB" w:rsidRDefault="00187713" w:rsidP="00826E45">
      <w:pPr>
        <w:pStyle w:val="EMEABodyTextIndent"/>
        <w:ind w:left="426" w:hanging="426"/>
        <w:rPr>
          <w:i/>
        </w:rPr>
      </w:pPr>
      <w:r>
        <w:t>gait disturbance (abnormal manner of walking)</w:t>
      </w:r>
    </w:p>
    <w:p w14:paraId="4098BDB9" w14:textId="77777777" w:rsidR="00187713" w:rsidRPr="004F3582" w:rsidRDefault="00187713" w:rsidP="00826E45">
      <w:pPr>
        <w:pStyle w:val="EMEABodyTextIndent"/>
        <w:ind w:left="426" w:hanging="426"/>
        <w:rPr>
          <w:i/>
        </w:rPr>
      </w:pPr>
      <w:r>
        <w:t>oedema (swelling)</w:t>
      </w:r>
    </w:p>
    <w:p w14:paraId="3EB34244" w14:textId="77777777" w:rsidR="00187713" w:rsidRPr="00D31EBB" w:rsidRDefault="00187713" w:rsidP="00826E45">
      <w:pPr>
        <w:pStyle w:val="EMEABodyTextIndent"/>
        <w:ind w:left="426" w:hanging="426"/>
        <w:rPr>
          <w:i/>
        </w:rPr>
      </w:pPr>
      <w:r>
        <w:t>hepatosplenomegaly (enlargement of the liver and spleen)</w:t>
      </w:r>
    </w:p>
    <w:p w14:paraId="7E01FF4B" w14:textId="77777777" w:rsidR="00187713" w:rsidRPr="00D31EBB" w:rsidRDefault="00187713" w:rsidP="00826E45">
      <w:pPr>
        <w:pStyle w:val="EMEABodyTextIndent"/>
        <w:ind w:left="426" w:hanging="426"/>
        <w:rPr>
          <w:i/>
        </w:rPr>
      </w:pPr>
      <w:r>
        <w:t>myopathy (aching muscles, muscle tenderness of weakness, not caused by exercise)</w:t>
      </w:r>
    </w:p>
    <w:p w14:paraId="2DABE339" w14:textId="77777777" w:rsidR="00187713" w:rsidRPr="004F3582" w:rsidRDefault="00187713" w:rsidP="00826E45">
      <w:pPr>
        <w:pStyle w:val="EMEABodyTextIndent"/>
        <w:ind w:left="426" w:hanging="426"/>
        <w:rPr>
          <w:i/>
        </w:rPr>
      </w:pPr>
      <w:r>
        <w:t>kidney pain</w:t>
      </w:r>
    </w:p>
    <w:p w14:paraId="3638C8AA" w14:textId="77777777" w:rsidR="00187713" w:rsidRPr="004F3582" w:rsidRDefault="00187713" w:rsidP="00187713">
      <w:pPr>
        <w:pStyle w:val="EMEABodyText"/>
      </w:pPr>
    </w:p>
    <w:p w14:paraId="3B76FC1F" w14:textId="77777777" w:rsidR="00187713" w:rsidRPr="004F3582" w:rsidRDefault="00187713" w:rsidP="00187713">
      <w:pPr>
        <w:pStyle w:val="EMEABodyText"/>
        <w:rPr>
          <w:b/>
        </w:rPr>
      </w:pPr>
      <w:r>
        <w:rPr>
          <w:b/>
        </w:rPr>
        <w:t>Reporting of side effects</w:t>
      </w:r>
    </w:p>
    <w:p w14:paraId="5EB30D59" w14:textId="77777777" w:rsidR="00187713" w:rsidRPr="00D31EBB" w:rsidRDefault="00187713" w:rsidP="00FD76E4">
      <w:pPr>
        <w:pStyle w:val="BodytextAgency"/>
        <w:spacing w:after="0" w:line="240" w:lineRule="auto"/>
      </w:pPr>
      <w:r>
        <w:t xml:space="preserve">If you get any side effects, talk to your doctor or nurse. This includes any possible side effects not listed in this leaflet. You can also report side effects directly via </w:t>
      </w:r>
      <w:r>
        <w:rPr>
          <w:szCs w:val="22"/>
          <w:highlight w:val="lightGray"/>
        </w:rPr>
        <w:t xml:space="preserve">the national reporting system listed in </w:t>
      </w:r>
      <w:hyperlink r:id="rId14" w:history="1">
        <w:r>
          <w:rPr>
            <w:rStyle w:val="Hyperlink"/>
            <w:szCs w:val="22"/>
            <w:highlight w:val="lightGray"/>
          </w:rPr>
          <w:t>Appendix V</w:t>
        </w:r>
      </w:hyperlink>
      <w:r>
        <w:t>. By reporting side effects you can help provide more information on the safety of this medicine.</w:t>
      </w:r>
    </w:p>
    <w:p w14:paraId="1613F23E" w14:textId="77777777" w:rsidR="00187713" w:rsidRPr="00D31EBB" w:rsidRDefault="00187713" w:rsidP="00187713">
      <w:pPr>
        <w:pStyle w:val="EMEABodyText"/>
        <w:rPr>
          <w:lang w:val="en-US"/>
        </w:rPr>
      </w:pPr>
    </w:p>
    <w:p w14:paraId="1640DF03" w14:textId="77777777" w:rsidR="00187713" w:rsidRPr="00D31EBB" w:rsidRDefault="00187713" w:rsidP="00187713">
      <w:pPr>
        <w:pStyle w:val="EMEABodyText"/>
        <w:rPr>
          <w:noProof/>
          <w:lang w:val="en-US"/>
        </w:rPr>
      </w:pPr>
    </w:p>
    <w:p w14:paraId="51B82931" w14:textId="77777777" w:rsidR="00187713" w:rsidRPr="00D31EBB" w:rsidRDefault="00187713" w:rsidP="00187713">
      <w:pPr>
        <w:pStyle w:val="EMEABodyText"/>
        <w:rPr>
          <w:b/>
          <w:noProof/>
        </w:rPr>
      </w:pPr>
      <w:r>
        <w:rPr>
          <w:b/>
        </w:rPr>
        <w:t>5.</w:t>
      </w:r>
      <w:r>
        <w:rPr>
          <w:b/>
        </w:rPr>
        <w:tab/>
        <w:t>How to store REYATAZ</w:t>
      </w:r>
    </w:p>
    <w:p w14:paraId="211111FF" w14:textId="77777777" w:rsidR="00187713" w:rsidRPr="00D31EBB" w:rsidRDefault="00187713" w:rsidP="00187713">
      <w:pPr>
        <w:pStyle w:val="EMEAHeading1"/>
        <w:rPr>
          <w:b w:val="0"/>
          <w:noProof/>
          <w:lang w:val="en-US"/>
        </w:rPr>
      </w:pPr>
    </w:p>
    <w:p w14:paraId="26EC2B45" w14:textId="77777777" w:rsidR="00187713" w:rsidRPr="00D31EBB" w:rsidRDefault="00187713" w:rsidP="00187713">
      <w:pPr>
        <w:pStyle w:val="EMEABodyText"/>
      </w:pPr>
      <w:r>
        <w:t>Keep this medicine out of the sight and reach of children.</w:t>
      </w:r>
    </w:p>
    <w:p w14:paraId="4D44C26B" w14:textId="77777777" w:rsidR="00187713" w:rsidRPr="00D31EBB" w:rsidRDefault="00187713" w:rsidP="00187713">
      <w:pPr>
        <w:pStyle w:val="EMEABodyText"/>
        <w:rPr>
          <w:lang w:val="en-US"/>
        </w:rPr>
      </w:pPr>
    </w:p>
    <w:p w14:paraId="61E3603B" w14:textId="77777777" w:rsidR="00187713" w:rsidRPr="00D31EBB" w:rsidRDefault="00187713" w:rsidP="00187713">
      <w:pPr>
        <w:pStyle w:val="EMEABodyText"/>
      </w:pPr>
      <w:r>
        <w:t>Do not use this medicine after the expiry date which is stated on the carton or sachet. The expiry date refers to the last day of that month.</w:t>
      </w:r>
    </w:p>
    <w:p w14:paraId="6AEF9DB5" w14:textId="77777777" w:rsidR="00187713" w:rsidRPr="00D31EBB" w:rsidRDefault="00187713" w:rsidP="00187713">
      <w:pPr>
        <w:pStyle w:val="EMEABodyText"/>
        <w:rPr>
          <w:lang w:val="en-US"/>
        </w:rPr>
      </w:pPr>
    </w:p>
    <w:p w14:paraId="058226A3" w14:textId="77777777" w:rsidR="00187713" w:rsidRPr="00D31EBB" w:rsidRDefault="00187713" w:rsidP="00187713">
      <w:pPr>
        <w:pStyle w:val="EMEABodyText"/>
      </w:pPr>
      <w:r>
        <w:t>This medicinal product does not require any special storage conditions. Do not open the sachet until ready to use.</w:t>
      </w:r>
    </w:p>
    <w:p w14:paraId="6D10F4AF" w14:textId="77777777" w:rsidR="00187713" w:rsidRPr="00D31EBB" w:rsidRDefault="00187713" w:rsidP="00187713">
      <w:pPr>
        <w:pStyle w:val="EMEABodyText"/>
        <w:rPr>
          <w:lang w:val="en-US"/>
        </w:rPr>
      </w:pPr>
    </w:p>
    <w:p w14:paraId="3E87C3A1" w14:textId="77777777" w:rsidR="00187713" w:rsidRPr="00D31EBB" w:rsidRDefault="00424574" w:rsidP="00187713">
      <w:pPr>
        <w:pStyle w:val="EMEABodyText"/>
      </w:pPr>
      <w:r>
        <w:t>After mixing the oral powder with food or drinks, it may be stored at room temperature (not above 30</w:t>
      </w:r>
      <w:r>
        <w:rPr>
          <w:vertAlign w:val="superscript"/>
        </w:rPr>
        <w:t>o</w:t>
      </w:r>
      <w:r>
        <w:t>C) for up to 1 hour.</w:t>
      </w:r>
    </w:p>
    <w:p w14:paraId="7968BA3F" w14:textId="77777777" w:rsidR="00187713" w:rsidRPr="00D31EBB" w:rsidRDefault="00187713" w:rsidP="00187713">
      <w:pPr>
        <w:pStyle w:val="EMEABodyText"/>
        <w:rPr>
          <w:noProof/>
          <w:lang w:val="en-US"/>
        </w:rPr>
      </w:pPr>
    </w:p>
    <w:p w14:paraId="41BDFD05" w14:textId="77777777" w:rsidR="00187713" w:rsidRPr="00D31EBB" w:rsidRDefault="00187713" w:rsidP="00187713">
      <w:pPr>
        <w:pStyle w:val="EMEABodyText"/>
        <w:rPr>
          <w:noProof/>
        </w:rPr>
      </w:pPr>
      <w:r>
        <w:t>Do not throw away any medicines via wastewater or household waste. Ask your pharmacist how to throw away medicines you no longer use. These measures will help protect the environment.</w:t>
      </w:r>
    </w:p>
    <w:p w14:paraId="30A085A7" w14:textId="77777777" w:rsidR="00187713" w:rsidRPr="00D31EBB" w:rsidRDefault="00187713" w:rsidP="00187713">
      <w:pPr>
        <w:pStyle w:val="EMEABodyText"/>
        <w:rPr>
          <w:b/>
          <w:noProof/>
          <w:lang w:val="en-US"/>
        </w:rPr>
      </w:pPr>
    </w:p>
    <w:p w14:paraId="19343388" w14:textId="77777777" w:rsidR="00187713" w:rsidRPr="00D31EBB" w:rsidRDefault="00187713" w:rsidP="00187713">
      <w:pPr>
        <w:pStyle w:val="EMEABodyText"/>
        <w:rPr>
          <w:b/>
          <w:noProof/>
          <w:lang w:val="en-US"/>
        </w:rPr>
      </w:pPr>
    </w:p>
    <w:p w14:paraId="02A9B669" w14:textId="77777777" w:rsidR="00187713" w:rsidRPr="00D31EBB" w:rsidRDefault="00187713" w:rsidP="00187713">
      <w:pPr>
        <w:pStyle w:val="EMEABodyText"/>
        <w:rPr>
          <w:b/>
          <w:noProof/>
        </w:rPr>
      </w:pPr>
      <w:r>
        <w:rPr>
          <w:b/>
        </w:rPr>
        <w:t>6.</w:t>
      </w:r>
      <w:r>
        <w:rPr>
          <w:b/>
        </w:rPr>
        <w:tab/>
        <w:t>Contents of the pack and other information</w:t>
      </w:r>
    </w:p>
    <w:p w14:paraId="43C790FE" w14:textId="77777777" w:rsidR="00187713" w:rsidRPr="00D31EBB" w:rsidRDefault="00187713" w:rsidP="00187713">
      <w:pPr>
        <w:pStyle w:val="EMEAHeading1"/>
        <w:rPr>
          <w:b w:val="0"/>
          <w:lang w:val="en-US"/>
        </w:rPr>
      </w:pPr>
    </w:p>
    <w:p w14:paraId="5A12389D" w14:textId="77777777" w:rsidR="00187713" w:rsidRPr="004F3582" w:rsidRDefault="00187713" w:rsidP="00187713">
      <w:pPr>
        <w:pStyle w:val="EMEAHeading2"/>
        <w:rPr>
          <w:noProof/>
        </w:rPr>
      </w:pPr>
      <w:r>
        <w:t>What REYATAZ contains</w:t>
      </w:r>
    </w:p>
    <w:p w14:paraId="0812D5CD" w14:textId="77777777" w:rsidR="00187713" w:rsidRPr="004F3582" w:rsidRDefault="00187713" w:rsidP="00187713">
      <w:pPr>
        <w:pStyle w:val="EMEABodyText"/>
        <w:rPr>
          <w:noProof/>
        </w:rPr>
      </w:pPr>
    </w:p>
    <w:p w14:paraId="55A0C920" w14:textId="77777777" w:rsidR="00187713" w:rsidRPr="00D31EBB" w:rsidRDefault="00187713" w:rsidP="00DB1FED">
      <w:pPr>
        <w:pStyle w:val="EMEABodyText"/>
        <w:numPr>
          <w:ilvl w:val="0"/>
          <w:numId w:val="5"/>
        </w:numPr>
        <w:rPr>
          <w:i/>
        </w:rPr>
      </w:pPr>
      <w:r>
        <w:t xml:space="preserve">The active substance is atazanavir. Each sachet contains 50 mg of atazanavir (as sulphate). </w:t>
      </w:r>
    </w:p>
    <w:p w14:paraId="1450BE8C" w14:textId="77777777" w:rsidR="00187713" w:rsidRPr="00D31EBB" w:rsidRDefault="00187713" w:rsidP="00DB1FED">
      <w:pPr>
        <w:pStyle w:val="EMEABodyText"/>
        <w:numPr>
          <w:ilvl w:val="0"/>
          <w:numId w:val="5"/>
        </w:numPr>
        <w:rPr>
          <w:i/>
        </w:rPr>
      </w:pPr>
      <w:r>
        <w:t>The other ingredients are aspartame (E951), sucrose and orange vanilla flavour.</w:t>
      </w:r>
    </w:p>
    <w:p w14:paraId="78AAC63D" w14:textId="77777777" w:rsidR="00187713" w:rsidRPr="00D31EBB" w:rsidRDefault="00187713" w:rsidP="00187713">
      <w:pPr>
        <w:pStyle w:val="EMEABodyText"/>
        <w:rPr>
          <w:b/>
          <w:noProof/>
          <w:lang w:val="en-US"/>
        </w:rPr>
      </w:pPr>
    </w:p>
    <w:p w14:paraId="4A841A01" w14:textId="77777777" w:rsidR="00187713" w:rsidRPr="00D31EBB" w:rsidRDefault="00187713" w:rsidP="00187713">
      <w:pPr>
        <w:pStyle w:val="EMEAHeading2"/>
        <w:rPr>
          <w:noProof/>
        </w:rPr>
      </w:pPr>
      <w:r>
        <w:t>What REYATAZ looks like and contents of the pack</w:t>
      </w:r>
    </w:p>
    <w:p w14:paraId="48E67E57" w14:textId="77777777" w:rsidR="00187713" w:rsidRPr="00D31EBB" w:rsidRDefault="00187713" w:rsidP="00187713">
      <w:pPr>
        <w:pStyle w:val="EMEABodyText"/>
        <w:rPr>
          <w:b/>
          <w:noProof/>
          <w:lang w:val="en-US"/>
        </w:rPr>
      </w:pPr>
    </w:p>
    <w:p w14:paraId="4D89B19C" w14:textId="77777777" w:rsidR="00187713" w:rsidRPr="00D31EBB" w:rsidRDefault="00187713" w:rsidP="00187713">
      <w:pPr>
        <w:pStyle w:val="EMEABodyText"/>
      </w:pPr>
      <w:r>
        <w:t xml:space="preserve">Each sachet of REYATAZ 50 mg oral powder contains 50 mg atazanavir. </w:t>
      </w:r>
    </w:p>
    <w:p w14:paraId="366F9DFE" w14:textId="77777777" w:rsidR="00187713" w:rsidRPr="00D31EBB" w:rsidRDefault="00187713" w:rsidP="00187713">
      <w:pPr>
        <w:pStyle w:val="EMEABodyText"/>
        <w:rPr>
          <w:lang w:val="en-US"/>
        </w:rPr>
      </w:pPr>
    </w:p>
    <w:p w14:paraId="730CD776" w14:textId="77777777" w:rsidR="00187713" w:rsidRPr="00D31EBB" w:rsidRDefault="00187713" w:rsidP="00187713">
      <w:pPr>
        <w:pStyle w:val="EMEABodyText"/>
      </w:pPr>
      <w:r>
        <w:t>One pack size is available: 1 carton with 30 sachets.</w:t>
      </w:r>
    </w:p>
    <w:p w14:paraId="4EB2C0ED" w14:textId="77777777" w:rsidR="00187713" w:rsidRPr="00D31EBB" w:rsidRDefault="00187713" w:rsidP="00187713">
      <w:pPr>
        <w:pStyle w:val="EMEABodyText"/>
        <w:rPr>
          <w:lang w:val="en-US"/>
        </w:rPr>
      </w:pPr>
    </w:p>
    <w:p w14:paraId="3AA03610" w14:textId="77777777" w:rsidR="00187713" w:rsidRPr="00D31EBB" w:rsidRDefault="00187713" w:rsidP="00187713">
      <w:pPr>
        <w:pStyle w:val="EMEABodyText"/>
        <w:rPr>
          <w:noProof/>
          <w:lang w:val="en-US"/>
        </w:rPr>
      </w:pPr>
    </w:p>
    <w:p w14:paraId="2F46E838" w14:textId="77777777" w:rsidR="00187713" w:rsidRPr="00D31EBB" w:rsidRDefault="00424574" w:rsidP="00187713">
      <w:pPr>
        <w:pStyle w:val="EMEAHeading2"/>
        <w:rPr>
          <w:noProof/>
        </w:rPr>
      </w:pPr>
      <w:r>
        <w:t xml:space="preserve">Marketing Authorisation Holder </w:t>
      </w:r>
    </w:p>
    <w:p w14:paraId="4E476F1B" w14:textId="77777777" w:rsidR="00187713" w:rsidRPr="00D31EBB" w:rsidRDefault="00187713" w:rsidP="00187713">
      <w:pPr>
        <w:pStyle w:val="EMEABodyText"/>
        <w:rPr>
          <w:lang w:val="en-US"/>
        </w:rPr>
      </w:pPr>
    </w:p>
    <w:p w14:paraId="6E6B291C" w14:textId="77777777" w:rsidR="00965E20" w:rsidRPr="00965E20" w:rsidRDefault="00965E20" w:rsidP="00965E20">
      <w:pPr>
        <w:numPr>
          <w:ilvl w:val="12"/>
          <w:numId w:val="0"/>
        </w:numPr>
      </w:pPr>
      <w:r>
        <w:t>Bristol-Myers Squibb Pharma EEIG</w:t>
      </w:r>
      <w:r>
        <w:br/>
        <w:t>Plaza 254</w:t>
      </w:r>
      <w:r>
        <w:br/>
        <w:t>Blanchardstown Corporate Park 2</w:t>
      </w:r>
      <w:r>
        <w:br/>
        <w:t>Dublin 15, D15 T867</w:t>
      </w:r>
    </w:p>
    <w:p w14:paraId="2014FE47" w14:textId="77777777" w:rsidR="00965E20" w:rsidRDefault="00965E20" w:rsidP="00965E20">
      <w:pPr>
        <w:numPr>
          <w:ilvl w:val="12"/>
          <w:numId w:val="0"/>
        </w:numPr>
      </w:pPr>
      <w:r>
        <w:t xml:space="preserve">Ireland </w:t>
      </w:r>
    </w:p>
    <w:p w14:paraId="75673473" w14:textId="77777777" w:rsidR="00187713" w:rsidRPr="00D31EBB" w:rsidRDefault="00187713" w:rsidP="00AA7900">
      <w:pPr>
        <w:numPr>
          <w:ilvl w:val="12"/>
          <w:numId w:val="0"/>
        </w:numPr>
        <w:rPr>
          <w:b/>
          <w:lang w:val="en-US"/>
        </w:rPr>
      </w:pPr>
    </w:p>
    <w:p w14:paraId="13541412" w14:textId="77777777" w:rsidR="00187713" w:rsidRPr="00D31EBB" w:rsidRDefault="00424574" w:rsidP="00187713">
      <w:pPr>
        <w:pStyle w:val="EMEAHeading2"/>
      </w:pPr>
      <w:r>
        <w:t>Manufacturer</w:t>
      </w:r>
    </w:p>
    <w:p w14:paraId="1B92A66C" w14:textId="77777777" w:rsidR="00187713" w:rsidRPr="00D31EBB" w:rsidRDefault="00187713" w:rsidP="00187713">
      <w:pPr>
        <w:pStyle w:val="EMEABodyText"/>
        <w:rPr>
          <w:lang w:val="en-US"/>
        </w:rPr>
      </w:pPr>
    </w:p>
    <w:p w14:paraId="6A6AD0E9" w14:textId="77777777" w:rsidR="006F2A69" w:rsidRDefault="006F2A69" w:rsidP="006F2A69">
      <w:pPr>
        <w:pStyle w:val="EMEABodyText"/>
      </w:pPr>
      <w:r>
        <w:t>Swords Laboratories T/A Lawrence Laboratories</w:t>
      </w:r>
    </w:p>
    <w:p w14:paraId="1EDD5E27" w14:textId="22377495" w:rsidR="006F2A69" w:rsidRDefault="006F2A69" w:rsidP="006F2A69">
      <w:pPr>
        <w:pStyle w:val="EMEABodyText"/>
      </w:pPr>
      <w:r>
        <w:t>Unit 12</w:t>
      </w:r>
      <w:r>
        <w:rPr>
          <w:lang w:val="en-GB"/>
        </w:rPr>
        <w:t xml:space="preserve"> &amp; 15</w:t>
      </w:r>
      <w:r>
        <w:t>, Distribution Centre</w:t>
      </w:r>
    </w:p>
    <w:p w14:paraId="2D71BA0A" w14:textId="44802DA1" w:rsidR="006F2A69" w:rsidRDefault="006F2A69" w:rsidP="006F2A69">
      <w:pPr>
        <w:pStyle w:val="EMEABodyText"/>
      </w:pPr>
      <w:r>
        <w:t xml:space="preserve">Shannon Industrial Estate </w:t>
      </w:r>
    </w:p>
    <w:p w14:paraId="7EFACA20" w14:textId="77777777" w:rsidR="006F2A69" w:rsidRDefault="006F2A69" w:rsidP="006F2A69">
      <w:pPr>
        <w:pStyle w:val="EMEABodyText"/>
        <w:rPr>
          <w:lang w:val="en-GB"/>
        </w:rPr>
      </w:pPr>
      <w:r>
        <w:t xml:space="preserve">Shannon, Co. Clare, </w:t>
      </w:r>
      <w:r>
        <w:rPr>
          <w:lang w:val="en-GB"/>
        </w:rPr>
        <w:t>V14 DD39</w:t>
      </w:r>
    </w:p>
    <w:p w14:paraId="76292C2D" w14:textId="77777777" w:rsidR="006F2A69" w:rsidRPr="00D31EBB" w:rsidRDefault="006F2A69" w:rsidP="006F2A69">
      <w:pPr>
        <w:pStyle w:val="EMEABodyText"/>
      </w:pPr>
      <w:r>
        <w:t>Ireland</w:t>
      </w:r>
    </w:p>
    <w:p w14:paraId="03492344" w14:textId="77777777" w:rsidR="00187713" w:rsidRPr="00D31EBB" w:rsidRDefault="00187713" w:rsidP="00187713">
      <w:pPr>
        <w:pStyle w:val="EMEABodyText"/>
        <w:rPr>
          <w:lang w:val="en-US"/>
        </w:rPr>
      </w:pPr>
    </w:p>
    <w:p w14:paraId="27DAA3F3" w14:textId="77777777" w:rsidR="00187713" w:rsidRPr="00D31EBB" w:rsidRDefault="00187713" w:rsidP="00187713">
      <w:pPr>
        <w:pStyle w:val="EMEABodyText"/>
      </w:pPr>
      <w:r>
        <w:t>For any further information about this medicine, please contact the local representative of the Marketing Authorisation Holder:</w:t>
      </w:r>
    </w:p>
    <w:p w14:paraId="09D05642" w14:textId="77777777" w:rsidR="00187713" w:rsidRPr="00D31EBB" w:rsidRDefault="00187713" w:rsidP="00187713">
      <w:pPr>
        <w:pStyle w:val="EMEABodyText"/>
        <w:rPr>
          <w:noProof/>
          <w:lang w:val="en-US"/>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8C6BE3" w:rsidRPr="004F3582" w14:paraId="2CC7BFAB" w14:textId="77777777" w:rsidTr="0000712C">
        <w:trPr>
          <w:cantSplit/>
          <w:trHeight w:val="904"/>
        </w:trPr>
        <w:tc>
          <w:tcPr>
            <w:tcW w:w="4536" w:type="dxa"/>
          </w:tcPr>
          <w:p w14:paraId="1889D634" w14:textId="77777777" w:rsidR="00187713" w:rsidRPr="004F3582" w:rsidRDefault="00187713" w:rsidP="0000712C">
            <w:pPr>
              <w:pStyle w:val="EMEATableLeft"/>
              <w:keepNext w:val="0"/>
              <w:keepLines w:val="0"/>
              <w:widowControl w:val="0"/>
              <w:rPr>
                <w:b/>
                <w:bCs/>
              </w:rPr>
            </w:pPr>
            <w:r>
              <w:rPr>
                <w:b/>
                <w:bCs/>
              </w:rPr>
              <w:t>Belgique/België/Belgien</w:t>
            </w:r>
          </w:p>
          <w:p w14:paraId="7AEB5384" w14:textId="77777777" w:rsidR="00187713" w:rsidRPr="004F3582" w:rsidRDefault="00187713" w:rsidP="0000712C">
            <w:pPr>
              <w:rPr>
                <w:bCs/>
                <w:szCs w:val="22"/>
              </w:rPr>
            </w:pPr>
            <w:r>
              <w:t>N.V. Bristol-Myers Squibb Belgium S.A.</w:t>
            </w:r>
          </w:p>
          <w:p w14:paraId="30EFEBDC" w14:textId="77777777" w:rsidR="00187713" w:rsidRPr="004F3582" w:rsidRDefault="00187713" w:rsidP="0000712C">
            <w:pPr>
              <w:pStyle w:val="EMEATableLeft"/>
              <w:keepNext w:val="0"/>
              <w:keepLines w:val="0"/>
              <w:widowControl w:val="0"/>
            </w:pPr>
            <w:r>
              <w:t>Tél/Tel: + 32 2 352 76 11</w:t>
            </w:r>
          </w:p>
          <w:p w14:paraId="7F3828F7" w14:textId="77777777" w:rsidR="00187713" w:rsidRPr="004F3582" w:rsidRDefault="00187713" w:rsidP="0000712C">
            <w:pPr>
              <w:pStyle w:val="EMEATableLeft"/>
              <w:keepNext w:val="0"/>
              <w:keepLines w:val="0"/>
              <w:widowControl w:val="0"/>
            </w:pPr>
          </w:p>
        </w:tc>
        <w:tc>
          <w:tcPr>
            <w:tcW w:w="4536" w:type="dxa"/>
          </w:tcPr>
          <w:p w14:paraId="288887F7" w14:textId="77777777" w:rsidR="00187713" w:rsidRPr="00D31EBB" w:rsidRDefault="00187713" w:rsidP="0000712C">
            <w:pPr>
              <w:pStyle w:val="EMEATableLeft"/>
              <w:keepNext w:val="0"/>
              <w:keepLines w:val="0"/>
              <w:widowControl w:val="0"/>
            </w:pPr>
            <w:r>
              <w:rPr>
                <w:b/>
                <w:bCs/>
              </w:rPr>
              <w:t>Lietuva</w:t>
            </w:r>
          </w:p>
          <w:p w14:paraId="18D4C881" w14:textId="77777777" w:rsidR="00187713" w:rsidRPr="00D31EBB" w:rsidRDefault="00187713" w:rsidP="0000712C">
            <w:pPr>
              <w:pStyle w:val="EMEABodyText"/>
              <w:widowControl w:val="0"/>
            </w:pPr>
            <w:r>
              <w:t>Bristol-Myers Squibb Kft.</w:t>
            </w:r>
          </w:p>
          <w:p w14:paraId="361CB210" w14:textId="77777777" w:rsidR="00187713" w:rsidRPr="004F3582" w:rsidRDefault="00187713" w:rsidP="0000712C">
            <w:pPr>
              <w:pStyle w:val="EMEATableLeft"/>
              <w:keepNext w:val="0"/>
              <w:keepLines w:val="0"/>
              <w:widowControl w:val="0"/>
            </w:pPr>
            <w:r>
              <w:t>Tel: + 370 52 369140</w:t>
            </w:r>
          </w:p>
          <w:p w14:paraId="05E7E84F" w14:textId="77777777" w:rsidR="00187713" w:rsidRPr="004F3582" w:rsidRDefault="00187713" w:rsidP="0000712C">
            <w:pPr>
              <w:pStyle w:val="EMEATableLeft"/>
              <w:keepNext w:val="0"/>
              <w:keepLines w:val="0"/>
              <w:widowControl w:val="0"/>
            </w:pPr>
          </w:p>
        </w:tc>
      </w:tr>
      <w:tr w:rsidR="008C6BE3" w:rsidRPr="00995147" w14:paraId="22A43701" w14:textId="77777777" w:rsidTr="0000712C">
        <w:trPr>
          <w:cantSplit/>
          <w:trHeight w:val="892"/>
        </w:trPr>
        <w:tc>
          <w:tcPr>
            <w:tcW w:w="4536" w:type="dxa"/>
          </w:tcPr>
          <w:p w14:paraId="0610D9F8" w14:textId="77777777" w:rsidR="00187713" w:rsidRPr="00995147" w:rsidRDefault="00187713" w:rsidP="0000712C">
            <w:pPr>
              <w:autoSpaceDE w:val="0"/>
              <w:autoSpaceDN w:val="0"/>
              <w:adjustRightInd w:val="0"/>
              <w:rPr>
                <w:b/>
                <w:bCs/>
                <w:szCs w:val="22"/>
              </w:rPr>
            </w:pPr>
            <w:r w:rsidRPr="00995147">
              <w:rPr>
                <w:b/>
                <w:bCs/>
                <w:szCs w:val="22"/>
              </w:rPr>
              <w:t>България</w:t>
            </w:r>
          </w:p>
          <w:p w14:paraId="4F86A036" w14:textId="77777777" w:rsidR="00187713" w:rsidRPr="00995147" w:rsidRDefault="00187713" w:rsidP="0000712C">
            <w:pPr>
              <w:pStyle w:val="EMEABodyText"/>
              <w:widowControl w:val="0"/>
            </w:pPr>
            <w:r w:rsidRPr="00995147">
              <w:t>Bristol-Myers Squibb Kft.</w:t>
            </w:r>
          </w:p>
          <w:p w14:paraId="7ABD1C64" w14:textId="77777777" w:rsidR="00187713" w:rsidRPr="00995147" w:rsidRDefault="00187713" w:rsidP="0000712C">
            <w:pPr>
              <w:pStyle w:val="EMEATableLeft"/>
              <w:keepNext w:val="0"/>
              <w:keepLines w:val="0"/>
              <w:widowControl w:val="0"/>
            </w:pPr>
            <w:r w:rsidRPr="00995147">
              <w:t>Teл.: + 359 800 12 400</w:t>
            </w:r>
          </w:p>
          <w:p w14:paraId="43F7344B" w14:textId="77777777" w:rsidR="00187713" w:rsidRPr="00995147" w:rsidRDefault="00187713" w:rsidP="0000712C">
            <w:pPr>
              <w:autoSpaceDE w:val="0"/>
              <w:autoSpaceDN w:val="0"/>
              <w:adjustRightInd w:val="0"/>
              <w:rPr>
                <w:rFonts w:ascii="TimesNewRoman" w:hAnsi="TimesNewRoman"/>
                <w:szCs w:val="22"/>
              </w:rPr>
            </w:pPr>
          </w:p>
        </w:tc>
        <w:tc>
          <w:tcPr>
            <w:tcW w:w="4536" w:type="dxa"/>
          </w:tcPr>
          <w:p w14:paraId="7D9E06C5" w14:textId="77777777" w:rsidR="00187713" w:rsidRPr="00995147" w:rsidRDefault="00187713" w:rsidP="0000712C">
            <w:pPr>
              <w:pStyle w:val="EMEATableLeft"/>
              <w:keepNext w:val="0"/>
              <w:keepLines w:val="0"/>
              <w:widowControl w:val="0"/>
            </w:pPr>
            <w:r w:rsidRPr="00995147">
              <w:rPr>
                <w:b/>
                <w:bCs/>
              </w:rPr>
              <w:t>Luxembourg/Luxemburg</w:t>
            </w:r>
          </w:p>
          <w:p w14:paraId="3276B87E" w14:textId="77777777" w:rsidR="00187713" w:rsidRPr="00995147" w:rsidRDefault="00187713" w:rsidP="0000712C">
            <w:pPr>
              <w:rPr>
                <w:bCs/>
                <w:szCs w:val="22"/>
              </w:rPr>
            </w:pPr>
            <w:r w:rsidRPr="00995147">
              <w:t>N.V. Bristol-Myers Squibb Belgium S.A.</w:t>
            </w:r>
          </w:p>
          <w:p w14:paraId="0F90763E" w14:textId="77777777" w:rsidR="00187713" w:rsidRPr="00995147" w:rsidRDefault="00187713" w:rsidP="0000712C">
            <w:pPr>
              <w:pStyle w:val="EMEATableLeft"/>
              <w:keepNext w:val="0"/>
              <w:keepLines w:val="0"/>
              <w:widowControl w:val="0"/>
            </w:pPr>
            <w:r w:rsidRPr="00995147">
              <w:t>Tél/Tel: + 32 2 352 76 11</w:t>
            </w:r>
          </w:p>
          <w:p w14:paraId="3414F267" w14:textId="77777777" w:rsidR="00187713" w:rsidRPr="00995147" w:rsidRDefault="00187713" w:rsidP="0000712C">
            <w:pPr>
              <w:pStyle w:val="EMEATableLeft"/>
              <w:keepNext w:val="0"/>
              <w:keepLines w:val="0"/>
              <w:widowControl w:val="0"/>
            </w:pPr>
          </w:p>
        </w:tc>
      </w:tr>
      <w:tr w:rsidR="008C6BE3" w:rsidRPr="00995147" w14:paraId="6EFE7BAC" w14:textId="77777777" w:rsidTr="0000712C">
        <w:trPr>
          <w:cantSplit/>
          <w:trHeight w:val="904"/>
        </w:trPr>
        <w:tc>
          <w:tcPr>
            <w:tcW w:w="4536" w:type="dxa"/>
          </w:tcPr>
          <w:p w14:paraId="10DEF62F" w14:textId="77777777" w:rsidR="00187713" w:rsidRPr="00995147" w:rsidRDefault="00187713" w:rsidP="0000712C">
            <w:pPr>
              <w:pStyle w:val="EMEATableLeft"/>
              <w:keepNext w:val="0"/>
              <w:keepLines w:val="0"/>
              <w:widowControl w:val="0"/>
              <w:rPr>
                <w:b/>
                <w:bCs/>
              </w:rPr>
            </w:pPr>
            <w:r w:rsidRPr="00995147">
              <w:rPr>
                <w:b/>
                <w:bCs/>
              </w:rPr>
              <w:t>Česká republika</w:t>
            </w:r>
          </w:p>
          <w:p w14:paraId="5497343A" w14:textId="77777777" w:rsidR="00187713" w:rsidRPr="00995147" w:rsidRDefault="00187713" w:rsidP="0000712C">
            <w:pPr>
              <w:pStyle w:val="EMEABodyText"/>
              <w:widowControl w:val="0"/>
            </w:pPr>
            <w:r w:rsidRPr="00995147">
              <w:t>Bristol-Myers Squibb spol. s r.o.</w:t>
            </w:r>
          </w:p>
          <w:p w14:paraId="47BB7607" w14:textId="77777777" w:rsidR="00187713" w:rsidRPr="00995147" w:rsidRDefault="00187713" w:rsidP="0000712C">
            <w:pPr>
              <w:pStyle w:val="EMEATableLeft"/>
              <w:keepNext w:val="0"/>
              <w:keepLines w:val="0"/>
              <w:widowControl w:val="0"/>
            </w:pPr>
            <w:r w:rsidRPr="00995147">
              <w:t>Tel: + 420 221 016 111</w:t>
            </w:r>
          </w:p>
          <w:p w14:paraId="7DABC607" w14:textId="77777777" w:rsidR="00187713" w:rsidRPr="00995147" w:rsidRDefault="00187713" w:rsidP="0000712C">
            <w:pPr>
              <w:pStyle w:val="EMEATableLeft"/>
              <w:keepNext w:val="0"/>
              <w:keepLines w:val="0"/>
              <w:widowControl w:val="0"/>
            </w:pPr>
          </w:p>
        </w:tc>
        <w:tc>
          <w:tcPr>
            <w:tcW w:w="4536" w:type="dxa"/>
          </w:tcPr>
          <w:p w14:paraId="41D8F26E" w14:textId="77777777" w:rsidR="00187713" w:rsidRPr="00995147" w:rsidRDefault="00187713" w:rsidP="0000712C">
            <w:pPr>
              <w:pStyle w:val="EMEATableLeft"/>
              <w:keepNext w:val="0"/>
              <w:keepLines w:val="0"/>
              <w:widowControl w:val="0"/>
              <w:rPr>
                <w:b/>
                <w:bCs/>
              </w:rPr>
            </w:pPr>
            <w:r w:rsidRPr="00995147">
              <w:rPr>
                <w:b/>
                <w:bCs/>
              </w:rPr>
              <w:t>Magyarország</w:t>
            </w:r>
          </w:p>
          <w:p w14:paraId="3AD9316A" w14:textId="77777777" w:rsidR="00187713" w:rsidRPr="00995147" w:rsidRDefault="00187713" w:rsidP="0000712C">
            <w:pPr>
              <w:pStyle w:val="EMEABodyText"/>
              <w:widowControl w:val="0"/>
            </w:pPr>
            <w:r w:rsidRPr="00995147">
              <w:t>Bristol-Myers Squibb Kft.</w:t>
            </w:r>
          </w:p>
          <w:p w14:paraId="394985FA" w14:textId="77777777" w:rsidR="00187713" w:rsidRPr="00995147" w:rsidRDefault="00187713" w:rsidP="0000712C">
            <w:pPr>
              <w:pStyle w:val="EMEATableLeft"/>
              <w:keepNext w:val="0"/>
              <w:keepLines w:val="0"/>
              <w:widowControl w:val="0"/>
            </w:pPr>
            <w:r w:rsidRPr="00995147">
              <w:t>Tel.: + 36 1 9206 550</w:t>
            </w:r>
          </w:p>
          <w:p w14:paraId="54A592D3" w14:textId="77777777" w:rsidR="00187713" w:rsidRPr="00995147" w:rsidRDefault="00187713" w:rsidP="0000712C">
            <w:pPr>
              <w:pStyle w:val="EMEATableLeft"/>
              <w:keepNext w:val="0"/>
              <w:keepLines w:val="0"/>
              <w:widowControl w:val="0"/>
            </w:pPr>
          </w:p>
        </w:tc>
      </w:tr>
      <w:tr w:rsidR="008C6BE3" w:rsidRPr="00995147" w14:paraId="30919BD7" w14:textId="77777777" w:rsidTr="0000712C">
        <w:trPr>
          <w:cantSplit/>
          <w:trHeight w:val="904"/>
        </w:trPr>
        <w:tc>
          <w:tcPr>
            <w:tcW w:w="4536" w:type="dxa"/>
          </w:tcPr>
          <w:p w14:paraId="33DB5937" w14:textId="77777777" w:rsidR="00187713" w:rsidRPr="00995147" w:rsidRDefault="00187713" w:rsidP="0000712C">
            <w:pPr>
              <w:pStyle w:val="EMEATableLeft"/>
              <w:keepNext w:val="0"/>
              <w:keepLines w:val="0"/>
              <w:widowControl w:val="0"/>
              <w:rPr>
                <w:b/>
                <w:bCs/>
              </w:rPr>
            </w:pPr>
            <w:r w:rsidRPr="00995147">
              <w:rPr>
                <w:b/>
                <w:bCs/>
              </w:rPr>
              <w:t>Danmark</w:t>
            </w:r>
          </w:p>
          <w:p w14:paraId="00FA63D5" w14:textId="77777777" w:rsidR="00187713" w:rsidRPr="00995147" w:rsidRDefault="00187713" w:rsidP="0000712C">
            <w:pPr>
              <w:pStyle w:val="EMEABodyText"/>
              <w:widowControl w:val="0"/>
            </w:pPr>
            <w:r w:rsidRPr="00995147">
              <w:t>Bristol-Myers Squibb</w:t>
            </w:r>
          </w:p>
          <w:p w14:paraId="20D4957B" w14:textId="77777777" w:rsidR="00187713" w:rsidRPr="00995147" w:rsidRDefault="00187713" w:rsidP="0000712C">
            <w:pPr>
              <w:pStyle w:val="EMEATableLeft"/>
              <w:keepNext w:val="0"/>
              <w:keepLines w:val="0"/>
              <w:widowControl w:val="0"/>
            </w:pPr>
            <w:r w:rsidRPr="00995147">
              <w:t>Tlf: + 45 45 93 05 06</w:t>
            </w:r>
          </w:p>
          <w:p w14:paraId="167764E2" w14:textId="77777777" w:rsidR="00187713" w:rsidRPr="00995147" w:rsidRDefault="00187713" w:rsidP="0000712C">
            <w:pPr>
              <w:pStyle w:val="EMEATableLeft"/>
              <w:keepNext w:val="0"/>
              <w:keepLines w:val="0"/>
              <w:widowControl w:val="0"/>
              <w:rPr>
                <w:lang w:val="en-US"/>
              </w:rPr>
            </w:pPr>
          </w:p>
        </w:tc>
        <w:tc>
          <w:tcPr>
            <w:tcW w:w="4536" w:type="dxa"/>
          </w:tcPr>
          <w:p w14:paraId="7D65DEDE" w14:textId="77777777" w:rsidR="00187713" w:rsidRPr="00995147" w:rsidRDefault="00187713" w:rsidP="0000712C">
            <w:pPr>
              <w:pStyle w:val="EMEATableLeft"/>
              <w:keepNext w:val="0"/>
              <w:keepLines w:val="0"/>
              <w:widowControl w:val="0"/>
              <w:rPr>
                <w:b/>
                <w:bCs/>
              </w:rPr>
            </w:pPr>
            <w:r w:rsidRPr="00995147">
              <w:rPr>
                <w:b/>
                <w:bCs/>
              </w:rPr>
              <w:t>Malta</w:t>
            </w:r>
          </w:p>
          <w:p w14:paraId="4823EC03" w14:textId="77777777" w:rsidR="00187713" w:rsidRPr="00995147" w:rsidRDefault="00187713" w:rsidP="0000712C">
            <w:pPr>
              <w:pStyle w:val="EMEABodyText"/>
              <w:widowControl w:val="0"/>
              <w:rPr>
                <w:smallCaps/>
              </w:rPr>
            </w:pPr>
            <w:r w:rsidRPr="00995147">
              <w:rPr>
                <w:smallCaps/>
              </w:rPr>
              <w:t>Bristol-Myers Squibb S.r.l.</w:t>
            </w:r>
          </w:p>
          <w:p w14:paraId="25220CFA" w14:textId="77777777" w:rsidR="00187713" w:rsidRPr="00995147" w:rsidRDefault="00187713" w:rsidP="0000712C">
            <w:pPr>
              <w:pStyle w:val="EMEATableLeft"/>
              <w:keepNext w:val="0"/>
              <w:keepLines w:val="0"/>
              <w:widowControl w:val="0"/>
            </w:pPr>
            <w:r w:rsidRPr="00995147">
              <w:t>Tel: + 39 06 50 39 61</w:t>
            </w:r>
          </w:p>
          <w:p w14:paraId="26589D27" w14:textId="77777777" w:rsidR="00187713" w:rsidRPr="00995147" w:rsidRDefault="00187713" w:rsidP="0000712C">
            <w:pPr>
              <w:pStyle w:val="EMEATableLeft"/>
              <w:keepNext w:val="0"/>
              <w:keepLines w:val="0"/>
              <w:widowControl w:val="0"/>
            </w:pPr>
          </w:p>
        </w:tc>
      </w:tr>
      <w:tr w:rsidR="008C6BE3" w:rsidRPr="00995147" w14:paraId="583DBD21" w14:textId="77777777" w:rsidTr="0000712C">
        <w:trPr>
          <w:cantSplit/>
          <w:trHeight w:val="892"/>
        </w:trPr>
        <w:tc>
          <w:tcPr>
            <w:tcW w:w="4536" w:type="dxa"/>
          </w:tcPr>
          <w:p w14:paraId="5D144332" w14:textId="77777777" w:rsidR="00187713" w:rsidRPr="00995147" w:rsidRDefault="00187713" w:rsidP="0000712C">
            <w:pPr>
              <w:pStyle w:val="EMEATableLeft"/>
              <w:keepNext w:val="0"/>
              <w:keepLines w:val="0"/>
              <w:widowControl w:val="0"/>
            </w:pPr>
            <w:r w:rsidRPr="00995147">
              <w:rPr>
                <w:b/>
                <w:bCs/>
              </w:rPr>
              <w:t>Deutschland</w:t>
            </w:r>
          </w:p>
          <w:p w14:paraId="6D62C8ED" w14:textId="77777777" w:rsidR="00187713" w:rsidRPr="00995147" w:rsidRDefault="00187713" w:rsidP="0000712C">
            <w:pPr>
              <w:pStyle w:val="EMEABodyText"/>
              <w:widowControl w:val="0"/>
            </w:pPr>
            <w:r w:rsidRPr="00995147">
              <w:t>Bristol-Myers Squibb GmbH &amp; Co. KGaA</w:t>
            </w:r>
          </w:p>
          <w:p w14:paraId="01C31E4B" w14:textId="77777777" w:rsidR="00187713" w:rsidRPr="00995147" w:rsidRDefault="00187713" w:rsidP="0000712C">
            <w:pPr>
              <w:pStyle w:val="EMEATableLeft"/>
              <w:keepNext w:val="0"/>
              <w:keepLines w:val="0"/>
              <w:widowControl w:val="0"/>
            </w:pPr>
            <w:r w:rsidRPr="00995147">
              <w:t>Tel: + 49 89 121 42-0</w:t>
            </w:r>
          </w:p>
          <w:p w14:paraId="356DCFD4" w14:textId="77777777" w:rsidR="00187713" w:rsidRPr="00995147" w:rsidRDefault="00187713" w:rsidP="0000712C">
            <w:pPr>
              <w:pStyle w:val="EMEATableLeft"/>
              <w:keepNext w:val="0"/>
              <w:keepLines w:val="0"/>
              <w:widowControl w:val="0"/>
            </w:pPr>
          </w:p>
        </w:tc>
        <w:tc>
          <w:tcPr>
            <w:tcW w:w="4536" w:type="dxa"/>
          </w:tcPr>
          <w:p w14:paraId="50CAD4C7" w14:textId="77777777" w:rsidR="00187713" w:rsidRPr="00995147" w:rsidRDefault="00187713" w:rsidP="0000712C">
            <w:pPr>
              <w:pStyle w:val="EMEATableLeft"/>
              <w:keepNext w:val="0"/>
              <w:keepLines w:val="0"/>
              <w:widowControl w:val="0"/>
            </w:pPr>
            <w:r w:rsidRPr="00995147">
              <w:rPr>
                <w:b/>
                <w:bCs/>
              </w:rPr>
              <w:t>Nederland</w:t>
            </w:r>
          </w:p>
          <w:p w14:paraId="1051C231" w14:textId="77777777" w:rsidR="00187713" w:rsidRPr="00995147" w:rsidRDefault="00187713" w:rsidP="0000712C">
            <w:pPr>
              <w:pStyle w:val="EMEABodyText"/>
              <w:widowControl w:val="0"/>
            </w:pPr>
            <w:r w:rsidRPr="00995147">
              <w:t>Bristol-Myers Squibb B.V.</w:t>
            </w:r>
          </w:p>
          <w:p w14:paraId="2B939ADC" w14:textId="77777777" w:rsidR="00187713" w:rsidRPr="00995147" w:rsidRDefault="00187713" w:rsidP="0000712C">
            <w:pPr>
              <w:pStyle w:val="EMEATableLeft"/>
              <w:keepNext w:val="0"/>
              <w:keepLines w:val="0"/>
              <w:widowControl w:val="0"/>
            </w:pPr>
            <w:r w:rsidRPr="00995147">
              <w:t>Tel: + 31 (0)30 300 2222</w:t>
            </w:r>
          </w:p>
          <w:p w14:paraId="58A8A138" w14:textId="77777777" w:rsidR="00187713" w:rsidRPr="00995147" w:rsidRDefault="00187713" w:rsidP="0000712C"/>
        </w:tc>
      </w:tr>
      <w:tr w:rsidR="008C6BE3" w:rsidRPr="004F3582" w14:paraId="05CB03CE" w14:textId="77777777" w:rsidTr="0000712C">
        <w:trPr>
          <w:cantSplit/>
          <w:trHeight w:val="880"/>
        </w:trPr>
        <w:tc>
          <w:tcPr>
            <w:tcW w:w="4536" w:type="dxa"/>
          </w:tcPr>
          <w:p w14:paraId="538D8862" w14:textId="77777777" w:rsidR="00187713" w:rsidRPr="00995147" w:rsidRDefault="00187713" w:rsidP="0000712C">
            <w:pPr>
              <w:pStyle w:val="EMEATableLeft"/>
              <w:keepNext w:val="0"/>
              <w:keepLines w:val="0"/>
              <w:widowControl w:val="0"/>
            </w:pPr>
            <w:r w:rsidRPr="00995147">
              <w:rPr>
                <w:b/>
                <w:bCs/>
              </w:rPr>
              <w:t>Eesti</w:t>
            </w:r>
          </w:p>
          <w:p w14:paraId="77B5F8EE" w14:textId="77777777" w:rsidR="00187713" w:rsidRPr="00995147" w:rsidRDefault="00187713" w:rsidP="0000712C">
            <w:pPr>
              <w:pStyle w:val="EMEABodyText"/>
              <w:widowControl w:val="0"/>
            </w:pPr>
            <w:r w:rsidRPr="00995147">
              <w:t>Bristol-Myers Squibb Kft.</w:t>
            </w:r>
          </w:p>
          <w:p w14:paraId="1B1BC0CB" w14:textId="77777777" w:rsidR="00187713" w:rsidRPr="00995147" w:rsidRDefault="00187713" w:rsidP="0000712C">
            <w:pPr>
              <w:pStyle w:val="EMEATableLeft"/>
              <w:keepNext w:val="0"/>
              <w:keepLines w:val="0"/>
              <w:widowControl w:val="0"/>
            </w:pPr>
            <w:r w:rsidRPr="00995147">
              <w:t>Tel: + 372 640 1030</w:t>
            </w:r>
          </w:p>
          <w:p w14:paraId="12BFE8D1" w14:textId="77777777" w:rsidR="00187713" w:rsidRPr="00995147" w:rsidRDefault="00187713" w:rsidP="0000712C">
            <w:pPr>
              <w:pStyle w:val="EMEATableLeft"/>
              <w:keepNext w:val="0"/>
              <w:keepLines w:val="0"/>
              <w:widowControl w:val="0"/>
            </w:pPr>
          </w:p>
        </w:tc>
        <w:tc>
          <w:tcPr>
            <w:tcW w:w="4536" w:type="dxa"/>
          </w:tcPr>
          <w:p w14:paraId="67534ED3" w14:textId="77777777" w:rsidR="00187713" w:rsidRPr="00995147" w:rsidRDefault="00187713" w:rsidP="0000712C">
            <w:pPr>
              <w:pStyle w:val="EMEATableLeft"/>
              <w:keepNext w:val="0"/>
              <w:keepLines w:val="0"/>
              <w:widowControl w:val="0"/>
              <w:rPr>
                <w:b/>
                <w:bCs/>
              </w:rPr>
            </w:pPr>
            <w:r w:rsidRPr="00995147">
              <w:rPr>
                <w:b/>
                <w:bCs/>
              </w:rPr>
              <w:t>Norge</w:t>
            </w:r>
          </w:p>
          <w:p w14:paraId="0203D7A3" w14:textId="77777777" w:rsidR="00187713" w:rsidRPr="00995147" w:rsidRDefault="00187713" w:rsidP="0000712C">
            <w:pPr>
              <w:pStyle w:val="EMEABodyText"/>
              <w:widowControl w:val="0"/>
            </w:pPr>
            <w:r w:rsidRPr="00995147">
              <w:t>Bristol-Myers Squibb Norway Ltd</w:t>
            </w:r>
          </w:p>
          <w:p w14:paraId="687439AA" w14:textId="77777777" w:rsidR="00187713" w:rsidRPr="004F3582" w:rsidRDefault="00187713" w:rsidP="0000712C">
            <w:pPr>
              <w:pStyle w:val="EMEATableLeft"/>
              <w:keepNext w:val="0"/>
              <w:keepLines w:val="0"/>
              <w:widowControl w:val="0"/>
            </w:pPr>
            <w:r w:rsidRPr="00995147">
              <w:t>Tlf: + 47 67 55 53 50</w:t>
            </w:r>
          </w:p>
          <w:p w14:paraId="4DD52A77" w14:textId="77777777" w:rsidR="00187713" w:rsidRPr="004F3582" w:rsidRDefault="00187713" w:rsidP="0000712C">
            <w:pPr>
              <w:pStyle w:val="EMEATableLeft"/>
              <w:keepNext w:val="0"/>
              <w:keepLines w:val="0"/>
              <w:widowControl w:val="0"/>
            </w:pPr>
          </w:p>
        </w:tc>
      </w:tr>
      <w:tr w:rsidR="008C6BE3" w:rsidRPr="00965E20" w14:paraId="31446952" w14:textId="77777777" w:rsidTr="0000712C">
        <w:trPr>
          <w:cantSplit/>
          <w:trHeight w:val="952"/>
        </w:trPr>
        <w:tc>
          <w:tcPr>
            <w:tcW w:w="4536" w:type="dxa"/>
          </w:tcPr>
          <w:p w14:paraId="585DB0E1" w14:textId="77777777" w:rsidR="00187713" w:rsidRPr="00995147" w:rsidRDefault="00187713" w:rsidP="0000712C">
            <w:pPr>
              <w:pStyle w:val="EMEATableLeft"/>
              <w:keepNext w:val="0"/>
              <w:keepLines w:val="0"/>
              <w:widowControl w:val="0"/>
            </w:pPr>
            <w:r w:rsidRPr="00995147">
              <w:rPr>
                <w:b/>
                <w:bCs/>
              </w:rPr>
              <w:t>Ελλάδα</w:t>
            </w:r>
          </w:p>
          <w:p w14:paraId="1D5786AD" w14:textId="77777777" w:rsidR="00187713" w:rsidRPr="00995147" w:rsidRDefault="00187713" w:rsidP="0000712C">
            <w:pPr>
              <w:pStyle w:val="EMEABodyText"/>
              <w:widowControl w:val="0"/>
            </w:pPr>
            <w:r w:rsidRPr="00995147">
              <w:rPr>
                <w:smallCaps/>
              </w:rPr>
              <w:t>Bristol-Myers Squibb A.E.</w:t>
            </w:r>
          </w:p>
          <w:p w14:paraId="41D653A5" w14:textId="77777777" w:rsidR="00187713" w:rsidRPr="00995147" w:rsidRDefault="00187713" w:rsidP="0000712C">
            <w:pPr>
              <w:pStyle w:val="EMEATableLeft"/>
              <w:keepNext w:val="0"/>
              <w:keepLines w:val="0"/>
              <w:widowControl w:val="0"/>
            </w:pPr>
            <w:r w:rsidRPr="00995147">
              <w:t>Τηλ: + 30 210 6074300</w:t>
            </w:r>
          </w:p>
          <w:p w14:paraId="5653AEA4" w14:textId="77777777" w:rsidR="00187713" w:rsidRPr="00995147" w:rsidRDefault="00187713" w:rsidP="0000712C">
            <w:pPr>
              <w:pStyle w:val="EMEATableLeft"/>
              <w:keepNext w:val="0"/>
              <w:keepLines w:val="0"/>
              <w:widowControl w:val="0"/>
            </w:pPr>
          </w:p>
        </w:tc>
        <w:tc>
          <w:tcPr>
            <w:tcW w:w="4536" w:type="dxa"/>
          </w:tcPr>
          <w:p w14:paraId="635FB147" w14:textId="77777777" w:rsidR="00187713" w:rsidRPr="00995147" w:rsidRDefault="00187713" w:rsidP="0000712C">
            <w:pPr>
              <w:pStyle w:val="EMEATableLeft"/>
              <w:keepNext w:val="0"/>
              <w:keepLines w:val="0"/>
              <w:widowControl w:val="0"/>
            </w:pPr>
            <w:r w:rsidRPr="00995147">
              <w:rPr>
                <w:b/>
                <w:bCs/>
              </w:rPr>
              <w:t>Österreich</w:t>
            </w:r>
          </w:p>
          <w:p w14:paraId="6920D99E" w14:textId="77777777" w:rsidR="00187713" w:rsidRPr="00995147" w:rsidRDefault="00187713" w:rsidP="0000712C">
            <w:pPr>
              <w:pStyle w:val="EMEABodyText"/>
              <w:widowControl w:val="0"/>
            </w:pPr>
            <w:r w:rsidRPr="00995147">
              <w:t>Bristol-Myers Squibb GesmbH</w:t>
            </w:r>
          </w:p>
          <w:p w14:paraId="2C4960A9" w14:textId="77777777" w:rsidR="00187713" w:rsidRPr="00995147" w:rsidRDefault="00187713" w:rsidP="0000712C">
            <w:pPr>
              <w:pStyle w:val="EMEATableLeft"/>
              <w:keepNext w:val="0"/>
              <w:keepLines w:val="0"/>
              <w:widowControl w:val="0"/>
            </w:pPr>
            <w:r w:rsidRPr="00995147">
              <w:t>Tel: + 43 1 60 14 30</w:t>
            </w:r>
          </w:p>
          <w:p w14:paraId="160DFA34" w14:textId="77777777" w:rsidR="00187713" w:rsidRPr="00995147" w:rsidRDefault="00187713" w:rsidP="0000712C">
            <w:pPr>
              <w:pStyle w:val="EMEATableLeft"/>
              <w:keepNext w:val="0"/>
              <w:keepLines w:val="0"/>
              <w:widowControl w:val="0"/>
              <w:rPr>
                <w:lang w:val="en-US"/>
              </w:rPr>
            </w:pPr>
          </w:p>
        </w:tc>
      </w:tr>
      <w:tr w:rsidR="008C6BE3" w:rsidRPr="004F3582" w14:paraId="1CF0AD17" w14:textId="77777777" w:rsidTr="0000712C">
        <w:trPr>
          <w:cantSplit/>
          <w:trHeight w:val="1111"/>
        </w:trPr>
        <w:tc>
          <w:tcPr>
            <w:tcW w:w="4536" w:type="dxa"/>
          </w:tcPr>
          <w:p w14:paraId="28892CC2" w14:textId="77777777" w:rsidR="00187713" w:rsidRPr="00995147" w:rsidRDefault="00187713" w:rsidP="0000712C">
            <w:pPr>
              <w:pStyle w:val="EMEATableLeft"/>
              <w:keepNext w:val="0"/>
              <w:keepLines w:val="0"/>
              <w:widowControl w:val="0"/>
            </w:pPr>
            <w:r w:rsidRPr="00995147">
              <w:rPr>
                <w:b/>
                <w:bCs/>
              </w:rPr>
              <w:t>España</w:t>
            </w:r>
          </w:p>
          <w:p w14:paraId="3186CA45" w14:textId="77777777" w:rsidR="00187713" w:rsidRPr="00995147" w:rsidRDefault="00187713" w:rsidP="0000712C">
            <w:pPr>
              <w:pStyle w:val="EMEABodyText"/>
              <w:widowControl w:val="0"/>
              <w:rPr>
                <w:smallCaps/>
              </w:rPr>
            </w:pPr>
            <w:r w:rsidRPr="00995147">
              <w:rPr>
                <w:smallCaps/>
              </w:rPr>
              <w:t>Bristol-Myers Squibb, S.A.</w:t>
            </w:r>
          </w:p>
          <w:p w14:paraId="1B0A90F6" w14:textId="77777777" w:rsidR="00187713" w:rsidRPr="00995147" w:rsidRDefault="00187713" w:rsidP="0000712C">
            <w:pPr>
              <w:pStyle w:val="EMEATableLeft"/>
              <w:keepNext w:val="0"/>
              <w:keepLines w:val="0"/>
              <w:widowControl w:val="0"/>
            </w:pPr>
            <w:r w:rsidRPr="00995147">
              <w:t>Tel: + 34 91 456 53 00</w:t>
            </w:r>
          </w:p>
          <w:p w14:paraId="7F67E350" w14:textId="77777777" w:rsidR="00187713" w:rsidRPr="00995147" w:rsidRDefault="00187713" w:rsidP="0000712C">
            <w:pPr>
              <w:pStyle w:val="EMEATableLeft"/>
              <w:keepNext w:val="0"/>
              <w:keepLines w:val="0"/>
              <w:widowControl w:val="0"/>
            </w:pPr>
          </w:p>
        </w:tc>
        <w:tc>
          <w:tcPr>
            <w:tcW w:w="4536" w:type="dxa"/>
          </w:tcPr>
          <w:p w14:paraId="4F886BDF" w14:textId="77777777" w:rsidR="00187713" w:rsidRPr="00995147" w:rsidRDefault="00187713" w:rsidP="0000712C">
            <w:pPr>
              <w:pStyle w:val="EMEATableLeft"/>
              <w:keepNext w:val="0"/>
              <w:keepLines w:val="0"/>
              <w:widowControl w:val="0"/>
            </w:pPr>
            <w:r w:rsidRPr="00995147">
              <w:rPr>
                <w:b/>
                <w:bCs/>
              </w:rPr>
              <w:t>Polska</w:t>
            </w:r>
          </w:p>
          <w:p w14:paraId="3F9F34EF" w14:textId="77777777" w:rsidR="00187713" w:rsidRPr="00995147" w:rsidRDefault="00187713" w:rsidP="0000712C">
            <w:pPr>
              <w:pStyle w:val="EMEABodyText"/>
              <w:widowControl w:val="0"/>
            </w:pPr>
            <w:r w:rsidRPr="00995147">
              <w:rPr>
                <w:smallCaps/>
              </w:rPr>
              <w:t>Bristol-Myers Squibb Polska Sp. z o.o.</w:t>
            </w:r>
          </w:p>
          <w:p w14:paraId="59BE9661" w14:textId="77777777" w:rsidR="00187713" w:rsidRPr="00995147" w:rsidRDefault="00187713" w:rsidP="0000712C">
            <w:pPr>
              <w:pStyle w:val="EMEATableLeft"/>
              <w:keepNext w:val="0"/>
              <w:keepLines w:val="0"/>
              <w:widowControl w:val="0"/>
            </w:pPr>
            <w:r w:rsidRPr="00995147">
              <w:t>Tel.: + 48 22 5796666</w:t>
            </w:r>
          </w:p>
          <w:p w14:paraId="7F9BF41B" w14:textId="77777777" w:rsidR="00187713" w:rsidRPr="00995147" w:rsidRDefault="00187713" w:rsidP="0000712C">
            <w:pPr>
              <w:pStyle w:val="EMEATableLeft"/>
              <w:keepNext w:val="0"/>
              <w:keepLines w:val="0"/>
              <w:widowControl w:val="0"/>
            </w:pPr>
          </w:p>
        </w:tc>
      </w:tr>
      <w:tr w:rsidR="008C6BE3" w:rsidRPr="004F3582" w14:paraId="0DCFFC33" w14:textId="77777777" w:rsidTr="0000712C">
        <w:trPr>
          <w:cantSplit/>
          <w:trHeight w:val="892"/>
        </w:trPr>
        <w:tc>
          <w:tcPr>
            <w:tcW w:w="4536" w:type="dxa"/>
          </w:tcPr>
          <w:p w14:paraId="582D19CE" w14:textId="77777777" w:rsidR="00187713" w:rsidRPr="00995147" w:rsidRDefault="00187713" w:rsidP="0000712C">
            <w:pPr>
              <w:pStyle w:val="EMEATableLeft"/>
              <w:keepNext w:val="0"/>
              <w:keepLines w:val="0"/>
              <w:widowControl w:val="0"/>
            </w:pPr>
            <w:r w:rsidRPr="00995147">
              <w:rPr>
                <w:b/>
                <w:bCs/>
              </w:rPr>
              <w:t>France</w:t>
            </w:r>
          </w:p>
          <w:p w14:paraId="5543D47E" w14:textId="77777777" w:rsidR="00187713" w:rsidRPr="00995147" w:rsidRDefault="00187713" w:rsidP="0000712C">
            <w:r w:rsidRPr="00995147">
              <w:t>Bristol-Myers Squibb SARL</w:t>
            </w:r>
          </w:p>
          <w:p w14:paraId="263BCBC1" w14:textId="77777777" w:rsidR="00187713" w:rsidRPr="00995147" w:rsidRDefault="00187713" w:rsidP="0000712C">
            <w:pPr>
              <w:pStyle w:val="EMEABodyText"/>
              <w:widowControl w:val="0"/>
              <w:rPr>
                <w:smallCaps/>
              </w:rPr>
            </w:pPr>
            <w:r w:rsidRPr="00995147">
              <w:t>Tél: + 33 (0)1 58 83 84 96</w:t>
            </w:r>
          </w:p>
        </w:tc>
        <w:tc>
          <w:tcPr>
            <w:tcW w:w="4536" w:type="dxa"/>
          </w:tcPr>
          <w:p w14:paraId="5F0466C1" w14:textId="77777777" w:rsidR="00187713" w:rsidRPr="00995147" w:rsidRDefault="00187713" w:rsidP="0000712C">
            <w:pPr>
              <w:pStyle w:val="EMEATableLeft"/>
              <w:keepNext w:val="0"/>
              <w:keepLines w:val="0"/>
              <w:widowControl w:val="0"/>
            </w:pPr>
            <w:r w:rsidRPr="00995147">
              <w:rPr>
                <w:b/>
                <w:bCs/>
              </w:rPr>
              <w:t>Portugal</w:t>
            </w:r>
          </w:p>
          <w:p w14:paraId="46E6EA6E" w14:textId="77777777" w:rsidR="00187713" w:rsidRPr="00995147" w:rsidRDefault="00187713" w:rsidP="0000712C">
            <w:pPr>
              <w:pStyle w:val="EMEABodyText"/>
              <w:widowControl w:val="0"/>
            </w:pPr>
            <w:r w:rsidRPr="00995147">
              <w:t>Bristol-Myers Squibb Farmacêutica Portuguesa, S.A.</w:t>
            </w:r>
          </w:p>
          <w:p w14:paraId="23BC6284" w14:textId="77777777" w:rsidR="00187713" w:rsidRPr="00995147" w:rsidRDefault="00187713" w:rsidP="0000712C">
            <w:pPr>
              <w:pStyle w:val="EMEATableLeft"/>
              <w:keepNext w:val="0"/>
              <w:keepLines w:val="0"/>
              <w:widowControl w:val="0"/>
            </w:pPr>
            <w:r w:rsidRPr="00995147">
              <w:t>Tel: + 351 21 440 70 00</w:t>
            </w:r>
          </w:p>
          <w:p w14:paraId="0D1C32A8" w14:textId="77777777" w:rsidR="00187713" w:rsidRPr="00995147" w:rsidRDefault="00187713" w:rsidP="0000712C">
            <w:pPr>
              <w:pStyle w:val="EMEATableLeft"/>
              <w:keepNext w:val="0"/>
              <w:keepLines w:val="0"/>
              <w:widowControl w:val="0"/>
            </w:pPr>
          </w:p>
        </w:tc>
      </w:tr>
      <w:tr w:rsidR="008C6BE3" w:rsidRPr="004F3582" w14:paraId="59011A2D" w14:textId="77777777" w:rsidTr="0000712C">
        <w:trPr>
          <w:cantSplit/>
          <w:trHeight w:val="892"/>
        </w:trPr>
        <w:tc>
          <w:tcPr>
            <w:tcW w:w="4536" w:type="dxa"/>
          </w:tcPr>
          <w:p w14:paraId="7F0AE799" w14:textId="77777777" w:rsidR="00187713" w:rsidRPr="00D31EBB" w:rsidRDefault="00187713" w:rsidP="0000712C">
            <w:pPr>
              <w:pStyle w:val="EMEATableLeft"/>
              <w:keepNext w:val="0"/>
              <w:keepLines w:val="0"/>
              <w:widowControl w:val="0"/>
              <w:rPr>
                <w:smallCaps/>
              </w:rPr>
            </w:pPr>
            <w:r>
              <w:rPr>
                <w:b/>
                <w:bCs/>
              </w:rPr>
              <w:t>Hrvatska</w:t>
            </w:r>
          </w:p>
          <w:p w14:paraId="6063C5D3" w14:textId="77777777" w:rsidR="00187713" w:rsidRPr="00D31EBB" w:rsidRDefault="00187713" w:rsidP="0000712C">
            <w:pPr>
              <w:pStyle w:val="EMEABodyText"/>
              <w:widowControl w:val="0"/>
            </w:pPr>
            <w:r>
              <w:t>Bristol-Myers Squibb spol. s r.o.</w:t>
            </w:r>
          </w:p>
          <w:p w14:paraId="6EA9298F" w14:textId="77777777" w:rsidR="00187713" w:rsidRPr="004F3582" w:rsidRDefault="00187713" w:rsidP="0000712C">
            <w:pPr>
              <w:pStyle w:val="EMEABodyText"/>
              <w:widowControl w:val="0"/>
              <w:rPr>
                <w:smallCaps/>
              </w:rPr>
            </w:pPr>
            <w:r>
              <w:rPr>
                <w:smallCaps/>
              </w:rPr>
              <w:t>Tel: +385 1 2078 508</w:t>
            </w:r>
          </w:p>
          <w:p w14:paraId="6AAC4117" w14:textId="77777777" w:rsidR="00187713" w:rsidRPr="004F3582" w:rsidRDefault="00187713" w:rsidP="0000712C">
            <w:pPr>
              <w:pStyle w:val="EMEATableLeft"/>
              <w:keepNext w:val="0"/>
              <w:keepLines w:val="0"/>
              <w:widowControl w:val="0"/>
              <w:rPr>
                <w:b/>
                <w:bCs/>
              </w:rPr>
            </w:pPr>
          </w:p>
        </w:tc>
        <w:tc>
          <w:tcPr>
            <w:tcW w:w="4536" w:type="dxa"/>
          </w:tcPr>
          <w:p w14:paraId="6D4A1028" w14:textId="77777777" w:rsidR="00187713" w:rsidRPr="00D31EBB" w:rsidRDefault="00187713" w:rsidP="0000712C">
            <w:pPr>
              <w:pStyle w:val="EMEATableLeft"/>
              <w:keepNext w:val="0"/>
              <w:keepLines w:val="0"/>
              <w:widowControl w:val="0"/>
              <w:rPr>
                <w:b/>
                <w:noProof/>
                <w:szCs w:val="22"/>
              </w:rPr>
            </w:pPr>
            <w:r>
              <w:rPr>
                <w:b/>
                <w:bCs/>
              </w:rPr>
              <w:t>România</w:t>
            </w:r>
          </w:p>
          <w:p w14:paraId="4D5AB196" w14:textId="77777777" w:rsidR="00187713" w:rsidRPr="00D31EBB" w:rsidRDefault="00187713" w:rsidP="0000712C">
            <w:pPr>
              <w:pStyle w:val="EMEABodyText"/>
              <w:widowControl w:val="0"/>
            </w:pPr>
            <w:r>
              <w:t>Bristol-Myers Squibb Kft.</w:t>
            </w:r>
          </w:p>
          <w:p w14:paraId="2B5BA66E" w14:textId="77777777" w:rsidR="00187713" w:rsidRPr="004F3582" w:rsidRDefault="00187713" w:rsidP="0000712C">
            <w:pPr>
              <w:pStyle w:val="EMEATableLeft"/>
              <w:keepNext w:val="0"/>
              <w:keepLines w:val="0"/>
              <w:widowControl w:val="0"/>
            </w:pPr>
            <w:r>
              <w:t>Tel: + 40 (0)21 272 16 00</w:t>
            </w:r>
          </w:p>
          <w:p w14:paraId="760C82C1" w14:textId="77777777" w:rsidR="00187713" w:rsidRPr="004F3582" w:rsidRDefault="00187713" w:rsidP="0000712C">
            <w:pPr>
              <w:pStyle w:val="EMEATableLeft"/>
              <w:keepNext w:val="0"/>
              <w:keepLines w:val="0"/>
              <w:widowControl w:val="0"/>
              <w:rPr>
                <w:noProof/>
                <w:szCs w:val="22"/>
              </w:rPr>
            </w:pPr>
          </w:p>
        </w:tc>
      </w:tr>
      <w:tr w:rsidR="008C6BE3" w:rsidRPr="00995147" w14:paraId="5B9B4FCE" w14:textId="77777777" w:rsidTr="0000712C">
        <w:trPr>
          <w:cantSplit/>
          <w:trHeight w:val="892"/>
        </w:trPr>
        <w:tc>
          <w:tcPr>
            <w:tcW w:w="4536" w:type="dxa"/>
          </w:tcPr>
          <w:p w14:paraId="1A561820" w14:textId="77777777" w:rsidR="00187713" w:rsidRPr="00995147" w:rsidRDefault="00187713" w:rsidP="0000712C">
            <w:pPr>
              <w:pStyle w:val="EMEATableLeft"/>
              <w:keepNext w:val="0"/>
              <w:keepLines w:val="0"/>
              <w:widowControl w:val="0"/>
            </w:pPr>
            <w:r w:rsidRPr="00995147">
              <w:rPr>
                <w:b/>
                <w:bCs/>
              </w:rPr>
              <w:t>Ireland</w:t>
            </w:r>
          </w:p>
          <w:p w14:paraId="73E84D0D" w14:textId="77777777" w:rsidR="00187713" w:rsidRPr="00995147" w:rsidRDefault="00187713" w:rsidP="0000712C">
            <w:pPr>
              <w:pStyle w:val="EMEABodyText"/>
              <w:widowControl w:val="0"/>
            </w:pPr>
            <w:r w:rsidRPr="00995147">
              <w:t>Bristol-Myers Squibb Pharmaceuticals uc</w:t>
            </w:r>
          </w:p>
          <w:p w14:paraId="31E0EC3A" w14:textId="77777777" w:rsidR="00187713" w:rsidRPr="00995147" w:rsidRDefault="00187713" w:rsidP="0000712C">
            <w:pPr>
              <w:pStyle w:val="EMEATableLeft"/>
              <w:keepNext w:val="0"/>
              <w:keepLines w:val="0"/>
              <w:widowControl w:val="0"/>
            </w:pPr>
            <w:r w:rsidRPr="00995147">
              <w:t>Tel: + 353 (0)1 483 3625</w:t>
            </w:r>
          </w:p>
          <w:p w14:paraId="1CD33454" w14:textId="77777777" w:rsidR="00187713" w:rsidRPr="00995147" w:rsidRDefault="00187713" w:rsidP="0000712C">
            <w:pPr>
              <w:pStyle w:val="EMEATableLeft"/>
              <w:keepNext w:val="0"/>
              <w:keepLines w:val="0"/>
              <w:widowControl w:val="0"/>
            </w:pPr>
          </w:p>
        </w:tc>
        <w:tc>
          <w:tcPr>
            <w:tcW w:w="4536" w:type="dxa"/>
          </w:tcPr>
          <w:p w14:paraId="6D8B4A63" w14:textId="77777777" w:rsidR="00187713" w:rsidRPr="00995147" w:rsidRDefault="00187713" w:rsidP="0000712C">
            <w:pPr>
              <w:pStyle w:val="EMEATableLeft"/>
              <w:keepNext w:val="0"/>
              <w:keepLines w:val="0"/>
              <w:widowControl w:val="0"/>
            </w:pPr>
            <w:r w:rsidRPr="00995147">
              <w:rPr>
                <w:b/>
                <w:bCs/>
              </w:rPr>
              <w:t>Slovenija</w:t>
            </w:r>
          </w:p>
          <w:p w14:paraId="13B1A9EF" w14:textId="77777777" w:rsidR="00187713" w:rsidRPr="00995147" w:rsidRDefault="00187713" w:rsidP="0000712C">
            <w:pPr>
              <w:pStyle w:val="EMEABodyText"/>
              <w:widowControl w:val="0"/>
            </w:pPr>
            <w:r w:rsidRPr="00995147">
              <w:t>Bristol-Myers Squibb spol. s r.o.</w:t>
            </w:r>
          </w:p>
          <w:p w14:paraId="21D0F3F1" w14:textId="77777777" w:rsidR="00187713" w:rsidRPr="00995147" w:rsidRDefault="00187713" w:rsidP="0000712C">
            <w:pPr>
              <w:pStyle w:val="EMEATableLeft"/>
              <w:keepNext w:val="0"/>
              <w:keepLines w:val="0"/>
              <w:widowControl w:val="0"/>
              <w:rPr>
                <w:iCs/>
              </w:rPr>
            </w:pPr>
            <w:r w:rsidRPr="00995147">
              <w:t>Tel: + 386 1 2355 100</w:t>
            </w:r>
          </w:p>
          <w:p w14:paraId="682B2E47" w14:textId="77777777" w:rsidR="00187713" w:rsidRPr="00995147" w:rsidRDefault="00187713" w:rsidP="0000712C">
            <w:pPr>
              <w:pStyle w:val="EMEATableLeft"/>
              <w:keepNext w:val="0"/>
              <w:keepLines w:val="0"/>
              <w:widowControl w:val="0"/>
            </w:pPr>
          </w:p>
        </w:tc>
      </w:tr>
      <w:tr w:rsidR="008C6BE3" w:rsidRPr="00995147" w14:paraId="01541099" w14:textId="77777777" w:rsidTr="0000712C">
        <w:trPr>
          <w:cantSplit/>
          <w:trHeight w:val="904"/>
        </w:trPr>
        <w:tc>
          <w:tcPr>
            <w:tcW w:w="4536" w:type="dxa"/>
          </w:tcPr>
          <w:p w14:paraId="70516EE5" w14:textId="77777777" w:rsidR="00187713" w:rsidRPr="00995147" w:rsidRDefault="00187713" w:rsidP="0000712C">
            <w:pPr>
              <w:pStyle w:val="EMEATableLeft"/>
              <w:keepNext w:val="0"/>
              <w:keepLines w:val="0"/>
              <w:widowControl w:val="0"/>
            </w:pPr>
            <w:r w:rsidRPr="00995147">
              <w:rPr>
                <w:b/>
                <w:bCs/>
              </w:rPr>
              <w:t>Ísland</w:t>
            </w:r>
          </w:p>
          <w:p w14:paraId="7F1837F4" w14:textId="77777777" w:rsidR="00187713" w:rsidRPr="00995147" w:rsidRDefault="009E242A" w:rsidP="0000712C">
            <w:pPr>
              <w:pStyle w:val="EMEATableLeft"/>
              <w:keepNext w:val="0"/>
              <w:keepLines w:val="0"/>
              <w:widowControl w:val="0"/>
              <w:rPr>
                <w:szCs w:val="22"/>
              </w:rPr>
            </w:pPr>
            <w:r w:rsidRPr="00995147">
              <w:t>Bristol-Myers Squibb AB hjá Vistor hf.</w:t>
            </w:r>
          </w:p>
          <w:p w14:paraId="5F279A14" w14:textId="77777777" w:rsidR="00187713" w:rsidRPr="00995147" w:rsidRDefault="00187713" w:rsidP="0000712C">
            <w:pPr>
              <w:pStyle w:val="EMEATableLeft"/>
              <w:keepNext w:val="0"/>
              <w:keepLines w:val="0"/>
              <w:widowControl w:val="0"/>
            </w:pPr>
            <w:r w:rsidRPr="00995147">
              <w:t>Sími: + 354 535 7000</w:t>
            </w:r>
          </w:p>
          <w:p w14:paraId="0D4ED6A6" w14:textId="77777777" w:rsidR="00187713" w:rsidRPr="00995147" w:rsidRDefault="00187713" w:rsidP="0000712C">
            <w:pPr>
              <w:pStyle w:val="EMEATableLeft"/>
              <w:keepNext w:val="0"/>
              <w:keepLines w:val="0"/>
              <w:widowControl w:val="0"/>
            </w:pPr>
          </w:p>
        </w:tc>
        <w:tc>
          <w:tcPr>
            <w:tcW w:w="4536" w:type="dxa"/>
          </w:tcPr>
          <w:p w14:paraId="248D4891" w14:textId="77777777" w:rsidR="00187713" w:rsidRPr="00995147" w:rsidRDefault="00187713" w:rsidP="0000712C">
            <w:pPr>
              <w:pStyle w:val="EMEATableLeft"/>
              <w:keepNext w:val="0"/>
              <w:keepLines w:val="0"/>
              <w:widowControl w:val="0"/>
            </w:pPr>
            <w:r w:rsidRPr="00995147">
              <w:rPr>
                <w:b/>
                <w:bCs/>
              </w:rPr>
              <w:t>Slovenská republika</w:t>
            </w:r>
          </w:p>
          <w:p w14:paraId="5B25A73C" w14:textId="77777777" w:rsidR="00187713" w:rsidRPr="00995147" w:rsidRDefault="00187713" w:rsidP="0000712C">
            <w:pPr>
              <w:pStyle w:val="EMEABodyText"/>
              <w:widowControl w:val="0"/>
            </w:pPr>
            <w:r w:rsidRPr="00995147">
              <w:t>Bristol-Myers Squibb spol. s r.o.</w:t>
            </w:r>
          </w:p>
          <w:p w14:paraId="4E8D8A5A" w14:textId="77777777" w:rsidR="00187713" w:rsidRPr="00995147" w:rsidRDefault="00187713" w:rsidP="0000712C">
            <w:pPr>
              <w:pStyle w:val="EMEATableLeft"/>
              <w:keepNext w:val="0"/>
              <w:keepLines w:val="0"/>
              <w:widowControl w:val="0"/>
            </w:pPr>
            <w:r w:rsidRPr="00995147">
              <w:t>Tel: + 421 2 59298411</w:t>
            </w:r>
          </w:p>
          <w:p w14:paraId="27018B91" w14:textId="77777777" w:rsidR="00187713" w:rsidRPr="00995147" w:rsidRDefault="00187713" w:rsidP="0000712C">
            <w:pPr>
              <w:pStyle w:val="EMEATableLeft"/>
              <w:keepNext w:val="0"/>
              <w:keepLines w:val="0"/>
              <w:widowControl w:val="0"/>
            </w:pPr>
          </w:p>
        </w:tc>
      </w:tr>
      <w:tr w:rsidR="008C6BE3" w:rsidRPr="00995147" w14:paraId="18166EC1" w14:textId="77777777" w:rsidTr="0000712C">
        <w:trPr>
          <w:cantSplit/>
          <w:trHeight w:val="892"/>
        </w:trPr>
        <w:tc>
          <w:tcPr>
            <w:tcW w:w="4536" w:type="dxa"/>
          </w:tcPr>
          <w:p w14:paraId="110D65AC" w14:textId="77777777" w:rsidR="00187713" w:rsidRPr="00995147" w:rsidRDefault="00187713" w:rsidP="0000712C">
            <w:pPr>
              <w:pStyle w:val="EMEATableLeft"/>
              <w:keepNext w:val="0"/>
              <w:keepLines w:val="0"/>
              <w:widowControl w:val="0"/>
            </w:pPr>
            <w:r w:rsidRPr="00995147">
              <w:rPr>
                <w:b/>
                <w:bCs/>
              </w:rPr>
              <w:t>Italia</w:t>
            </w:r>
          </w:p>
          <w:p w14:paraId="4A0231C8" w14:textId="77777777" w:rsidR="00187713" w:rsidRPr="00995147" w:rsidRDefault="00187713" w:rsidP="0000712C">
            <w:pPr>
              <w:pStyle w:val="EMEABodyText"/>
              <w:widowControl w:val="0"/>
              <w:rPr>
                <w:smallCaps/>
              </w:rPr>
            </w:pPr>
            <w:r w:rsidRPr="00995147">
              <w:rPr>
                <w:smallCaps/>
              </w:rPr>
              <w:t>Bristol-Myers Squibb S.r.l.</w:t>
            </w:r>
          </w:p>
          <w:p w14:paraId="513C90C5" w14:textId="77777777" w:rsidR="00187713" w:rsidRPr="00995147" w:rsidRDefault="00187713" w:rsidP="0000712C">
            <w:pPr>
              <w:pStyle w:val="EMEATableLeft"/>
              <w:keepNext w:val="0"/>
              <w:keepLines w:val="0"/>
              <w:widowControl w:val="0"/>
            </w:pPr>
            <w:r w:rsidRPr="00995147">
              <w:t>Tel: + 39 06 50 39 61</w:t>
            </w:r>
          </w:p>
          <w:p w14:paraId="1B8AC643" w14:textId="77777777" w:rsidR="00187713" w:rsidRPr="00995147" w:rsidRDefault="00187713" w:rsidP="0000712C">
            <w:pPr>
              <w:pStyle w:val="EMEATableLeft"/>
              <w:keepNext w:val="0"/>
              <w:keepLines w:val="0"/>
              <w:widowControl w:val="0"/>
            </w:pPr>
          </w:p>
        </w:tc>
        <w:tc>
          <w:tcPr>
            <w:tcW w:w="4536" w:type="dxa"/>
          </w:tcPr>
          <w:p w14:paraId="35E4B302" w14:textId="77777777" w:rsidR="00187713" w:rsidRPr="00995147" w:rsidRDefault="00187713" w:rsidP="0000712C">
            <w:pPr>
              <w:pStyle w:val="EMEATableLeft"/>
              <w:keepNext w:val="0"/>
              <w:keepLines w:val="0"/>
              <w:widowControl w:val="0"/>
            </w:pPr>
            <w:r w:rsidRPr="00995147">
              <w:rPr>
                <w:b/>
                <w:bCs/>
              </w:rPr>
              <w:t>Suomi/Finland</w:t>
            </w:r>
          </w:p>
          <w:p w14:paraId="21B4362F" w14:textId="77777777" w:rsidR="00187713" w:rsidRPr="00995147" w:rsidRDefault="00187713" w:rsidP="0000712C">
            <w:pPr>
              <w:pStyle w:val="EMEABodyText"/>
              <w:widowControl w:val="0"/>
            </w:pPr>
            <w:r w:rsidRPr="00995147">
              <w:t>Oy Bristol-Myers Squibb (Finland) Ab</w:t>
            </w:r>
          </w:p>
          <w:p w14:paraId="198F767A" w14:textId="77777777" w:rsidR="00187713" w:rsidRPr="00995147" w:rsidRDefault="00187713" w:rsidP="0000712C">
            <w:pPr>
              <w:pStyle w:val="EMEATableLeft"/>
              <w:keepNext w:val="0"/>
              <w:keepLines w:val="0"/>
              <w:widowControl w:val="0"/>
            </w:pPr>
            <w:r w:rsidRPr="00995147">
              <w:t>Puh/Tel: + 358 9 251 21 230</w:t>
            </w:r>
          </w:p>
          <w:p w14:paraId="2FC0F226" w14:textId="77777777" w:rsidR="00187713" w:rsidRPr="00995147" w:rsidRDefault="00187713" w:rsidP="0000712C">
            <w:pPr>
              <w:pStyle w:val="EMEATableLeft"/>
              <w:keepNext w:val="0"/>
              <w:keepLines w:val="0"/>
              <w:widowControl w:val="0"/>
            </w:pPr>
          </w:p>
        </w:tc>
      </w:tr>
      <w:tr w:rsidR="008C6BE3" w:rsidRPr="00995147" w14:paraId="5FA84CCD" w14:textId="77777777" w:rsidTr="0000712C">
        <w:trPr>
          <w:cantSplit/>
          <w:trHeight w:val="772"/>
        </w:trPr>
        <w:tc>
          <w:tcPr>
            <w:tcW w:w="4536" w:type="dxa"/>
          </w:tcPr>
          <w:p w14:paraId="2FA39883" w14:textId="77777777" w:rsidR="00187713" w:rsidRPr="00995147" w:rsidRDefault="00187713" w:rsidP="0000712C">
            <w:pPr>
              <w:pStyle w:val="EMEATableLeft"/>
              <w:keepNext w:val="0"/>
              <w:keepLines w:val="0"/>
              <w:widowControl w:val="0"/>
            </w:pPr>
            <w:r w:rsidRPr="00995147">
              <w:rPr>
                <w:b/>
                <w:bCs/>
              </w:rPr>
              <w:t>Κύπρος</w:t>
            </w:r>
          </w:p>
          <w:p w14:paraId="321EAE7C" w14:textId="77777777" w:rsidR="00187713" w:rsidRPr="00995147" w:rsidRDefault="00187713" w:rsidP="0000712C">
            <w:pPr>
              <w:pStyle w:val="EMEABodyText"/>
              <w:widowControl w:val="0"/>
            </w:pPr>
            <w:r w:rsidRPr="00995147">
              <w:rPr>
                <w:smallCaps/>
              </w:rPr>
              <w:t>Bristol-Myers Squibb A.E.</w:t>
            </w:r>
          </w:p>
          <w:p w14:paraId="5E189D2B" w14:textId="77777777" w:rsidR="00187713" w:rsidRPr="00995147" w:rsidRDefault="00187713" w:rsidP="0000712C">
            <w:pPr>
              <w:pStyle w:val="EMEATableLeft"/>
              <w:keepNext w:val="0"/>
              <w:keepLines w:val="0"/>
              <w:widowControl w:val="0"/>
            </w:pPr>
            <w:r w:rsidRPr="00995147">
              <w:t>Τηλ: + 357 800 92666</w:t>
            </w:r>
          </w:p>
          <w:p w14:paraId="71525774" w14:textId="77777777" w:rsidR="00187713" w:rsidRPr="00995147" w:rsidRDefault="00187713" w:rsidP="0000712C">
            <w:pPr>
              <w:pStyle w:val="EMEATableLeft"/>
              <w:keepNext w:val="0"/>
              <w:keepLines w:val="0"/>
              <w:widowControl w:val="0"/>
            </w:pPr>
          </w:p>
        </w:tc>
        <w:tc>
          <w:tcPr>
            <w:tcW w:w="4536" w:type="dxa"/>
          </w:tcPr>
          <w:p w14:paraId="7EF1FF5D" w14:textId="77777777" w:rsidR="00187713" w:rsidRPr="00995147" w:rsidRDefault="00187713" w:rsidP="0000712C">
            <w:pPr>
              <w:pStyle w:val="EMEATableLeft"/>
              <w:keepNext w:val="0"/>
              <w:keepLines w:val="0"/>
              <w:widowControl w:val="0"/>
            </w:pPr>
            <w:r w:rsidRPr="00995147">
              <w:rPr>
                <w:b/>
                <w:bCs/>
              </w:rPr>
              <w:t>Sverige</w:t>
            </w:r>
          </w:p>
          <w:p w14:paraId="24DE874D" w14:textId="77777777" w:rsidR="00187713" w:rsidRPr="00995147" w:rsidRDefault="00187713" w:rsidP="0000712C">
            <w:pPr>
              <w:pStyle w:val="EMEABodyText"/>
              <w:widowControl w:val="0"/>
            </w:pPr>
            <w:r w:rsidRPr="00995147">
              <w:t>Bristol-Myers Squibb AB</w:t>
            </w:r>
          </w:p>
          <w:p w14:paraId="07F959D6" w14:textId="77777777" w:rsidR="00187713" w:rsidRPr="00995147" w:rsidRDefault="00187713" w:rsidP="0000712C">
            <w:pPr>
              <w:pStyle w:val="EMEATableLeft"/>
              <w:keepNext w:val="0"/>
              <w:keepLines w:val="0"/>
              <w:widowControl w:val="0"/>
            </w:pPr>
            <w:r w:rsidRPr="00995147">
              <w:t>Tel: + 46 8 704 71 00</w:t>
            </w:r>
          </w:p>
          <w:p w14:paraId="03F81773" w14:textId="77777777" w:rsidR="00187713" w:rsidRPr="00995147" w:rsidRDefault="00187713" w:rsidP="0000712C">
            <w:pPr>
              <w:pStyle w:val="EMEATableLeft"/>
              <w:keepNext w:val="0"/>
              <w:keepLines w:val="0"/>
              <w:widowControl w:val="0"/>
              <w:rPr>
                <w:lang w:val="en-US"/>
              </w:rPr>
            </w:pPr>
          </w:p>
        </w:tc>
      </w:tr>
      <w:tr w:rsidR="00187713" w:rsidRPr="00995147" w14:paraId="6340EDE7" w14:textId="77777777" w:rsidTr="0000712C">
        <w:trPr>
          <w:cantSplit/>
          <w:trHeight w:val="1219"/>
        </w:trPr>
        <w:tc>
          <w:tcPr>
            <w:tcW w:w="4536" w:type="dxa"/>
          </w:tcPr>
          <w:p w14:paraId="56972CE3" w14:textId="77777777" w:rsidR="00187713" w:rsidRPr="00995147" w:rsidRDefault="00187713" w:rsidP="0000712C">
            <w:pPr>
              <w:pStyle w:val="EMEATableLeft"/>
              <w:keepNext w:val="0"/>
              <w:keepLines w:val="0"/>
              <w:widowControl w:val="0"/>
            </w:pPr>
            <w:r w:rsidRPr="00995147">
              <w:rPr>
                <w:b/>
                <w:bCs/>
              </w:rPr>
              <w:t>Latvija</w:t>
            </w:r>
          </w:p>
          <w:p w14:paraId="00A1E732" w14:textId="77777777" w:rsidR="00187713" w:rsidRPr="00995147" w:rsidRDefault="00187713" w:rsidP="0000712C">
            <w:pPr>
              <w:pStyle w:val="EMEABodyText"/>
              <w:widowControl w:val="0"/>
            </w:pPr>
            <w:r w:rsidRPr="00995147">
              <w:t>Bristol-Myers Squibb Kft.</w:t>
            </w:r>
          </w:p>
          <w:p w14:paraId="5E2F1DC3" w14:textId="77777777" w:rsidR="00187713" w:rsidRPr="00995147" w:rsidRDefault="00187713" w:rsidP="0000712C">
            <w:pPr>
              <w:pStyle w:val="EMEATableLeft"/>
              <w:keepNext w:val="0"/>
              <w:keepLines w:val="0"/>
              <w:widowControl w:val="0"/>
            </w:pPr>
            <w:r w:rsidRPr="00995147">
              <w:t>Tel: + 371 67708347</w:t>
            </w:r>
          </w:p>
          <w:p w14:paraId="5095AF50" w14:textId="77777777" w:rsidR="00187713" w:rsidRPr="00995147" w:rsidRDefault="00187713" w:rsidP="0000712C">
            <w:pPr>
              <w:pStyle w:val="EMEATableLeft"/>
              <w:keepNext w:val="0"/>
              <w:keepLines w:val="0"/>
              <w:widowControl w:val="0"/>
            </w:pPr>
          </w:p>
        </w:tc>
        <w:tc>
          <w:tcPr>
            <w:tcW w:w="4536" w:type="dxa"/>
          </w:tcPr>
          <w:p w14:paraId="19735D77" w14:textId="77777777" w:rsidR="00187713" w:rsidRPr="00995147" w:rsidRDefault="00187713" w:rsidP="0000712C">
            <w:pPr>
              <w:pStyle w:val="EMEATableLeft"/>
              <w:keepNext w:val="0"/>
              <w:keepLines w:val="0"/>
              <w:widowControl w:val="0"/>
            </w:pPr>
            <w:r w:rsidRPr="00995147">
              <w:rPr>
                <w:b/>
                <w:bCs/>
              </w:rPr>
              <w:t>United Kingdom</w:t>
            </w:r>
          </w:p>
          <w:p w14:paraId="79D56A0E" w14:textId="77777777" w:rsidR="00187713" w:rsidRPr="00995147" w:rsidRDefault="00187713" w:rsidP="0000712C">
            <w:pPr>
              <w:pStyle w:val="EMEABodyText"/>
              <w:widowControl w:val="0"/>
            </w:pPr>
            <w:r w:rsidRPr="00995147">
              <w:t>Bristol-Myers Squibb Pharmaceuticals Ltd</w:t>
            </w:r>
          </w:p>
          <w:p w14:paraId="0B529466" w14:textId="77777777" w:rsidR="00187713" w:rsidRPr="00995147" w:rsidRDefault="00187713" w:rsidP="0000712C">
            <w:pPr>
              <w:pStyle w:val="EMEATableLeft"/>
              <w:keepNext w:val="0"/>
              <w:keepLines w:val="0"/>
              <w:widowControl w:val="0"/>
            </w:pPr>
            <w:r w:rsidRPr="00995147">
              <w:t>Tel: + 44 (0800) 731 1736</w:t>
            </w:r>
          </w:p>
          <w:p w14:paraId="7A13C386" w14:textId="77777777" w:rsidR="00187713" w:rsidRPr="00995147" w:rsidRDefault="00187713" w:rsidP="0000712C">
            <w:pPr>
              <w:pStyle w:val="EMEATableLeft"/>
              <w:keepNext w:val="0"/>
              <w:keepLines w:val="0"/>
              <w:widowControl w:val="0"/>
            </w:pPr>
          </w:p>
        </w:tc>
      </w:tr>
    </w:tbl>
    <w:p w14:paraId="4CF3AB6E" w14:textId="77777777" w:rsidR="00187713" w:rsidRPr="00995147" w:rsidRDefault="00187713" w:rsidP="00187713">
      <w:pPr>
        <w:pStyle w:val="EMEABodyText"/>
      </w:pPr>
      <w:r w:rsidRPr="00995147">
        <w:rPr>
          <w:b/>
        </w:rPr>
        <w:t>This leaflet was last revised in</w:t>
      </w:r>
    </w:p>
    <w:p w14:paraId="3B04861C" w14:textId="77777777" w:rsidR="00187713" w:rsidRPr="00995147" w:rsidRDefault="00187713" w:rsidP="00187713">
      <w:pPr>
        <w:pStyle w:val="EMEABodyText"/>
        <w:rPr>
          <w:rFonts w:eastAsia="MS Mincho"/>
          <w:lang w:val="en-US"/>
        </w:rPr>
      </w:pPr>
    </w:p>
    <w:p w14:paraId="3799B045" w14:textId="77777777" w:rsidR="00187713" w:rsidRPr="00995147" w:rsidRDefault="00187713" w:rsidP="00187713">
      <w:pPr>
        <w:pStyle w:val="EMEABodyText"/>
        <w:rPr>
          <w:b/>
          <w:bCs/>
          <w:szCs w:val="22"/>
        </w:rPr>
      </w:pPr>
      <w:r w:rsidRPr="00995147">
        <w:rPr>
          <w:b/>
          <w:bCs/>
          <w:szCs w:val="22"/>
        </w:rPr>
        <w:t>Other sources of information</w:t>
      </w:r>
    </w:p>
    <w:p w14:paraId="1E0C2794" w14:textId="77777777" w:rsidR="00187713" w:rsidRPr="00995147" w:rsidRDefault="00187713" w:rsidP="00187713">
      <w:pPr>
        <w:pStyle w:val="EMEABodyText"/>
        <w:rPr>
          <w:iCs/>
          <w:noProof/>
          <w:lang w:val="en-US"/>
        </w:rPr>
      </w:pPr>
    </w:p>
    <w:p w14:paraId="53570A71" w14:textId="77777777" w:rsidR="00187713" w:rsidRPr="00D31EBB" w:rsidRDefault="00187713" w:rsidP="00187713">
      <w:pPr>
        <w:pStyle w:val="EMEABodyText"/>
        <w:rPr>
          <w:rFonts w:eastAsia="MS Mincho"/>
        </w:rPr>
      </w:pPr>
      <w:r w:rsidRPr="00995147">
        <w:t>Detailed information on this medicine is available on the European Medicines Agency web site: http://www.ema.europa.eu/.</w:t>
      </w:r>
    </w:p>
    <w:p w14:paraId="4D387B4C" w14:textId="77777777" w:rsidR="00187713" w:rsidRPr="00D31EBB" w:rsidRDefault="00187713" w:rsidP="00187713">
      <w:pPr>
        <w:pStyle w:val="EMEATitle"/>
        <w:jc w:val="left"/>
        <w:rPr>
          <w:noProof/>
        </w:rPr>
      </w:pPr>
      <w:r>
        <w:br w:type="page"/>
        <w:t>Instructions for use</w:t>
      </w:r>
    </w:p>
    <w:p w14:paraId="0ADF022E" w14:textId="77777777" w:rsidR="00187713" w:rsidRPr="00D31EBB" w:rsidRDefault="00187713" w:rsidP="00187713">
      <w:pPr>
        <w:pStyle w:val="EMEABodyText"/>
        <w:rPr>
          <w:noProof/>
          <w:lang w:val="en-US"/>
        </w:rPr>
      </w:pPr>
    </w:p>
    <w:p w14:paraId="286363F2" w14:textId="77777777" w:rsidR="00187713" w:rsidRPr="00D31EBB" w:rsidRDefault="00187713" w:rsidP="00187713">
      <w:pPr>
        <w:pStyle w:val="EMEABodyText"/>
        <w:rPr>
          <w:noProof/>
        </w:rPr>
      </w:pPr>
      <w:r>
        <w:t>These instructions show you how to prepare and give a dose of REYATAZ oral powder. Make sure that you read and understand these instructions before giving this medicine to your child.</w:t>
      </w:r>
    </w:p>
    <w:p w14:paraId="07FE0E76" w14:textId="77777777" w:rsidR="00187713" w:rsidRPr="00D31EBB" w:rsidRDefault="00187713" w:rsidP="00187713">
      <w:pPr>
        <w:pStyle w:val="EMEABodyText"/>
        <w:rPr>
          <w:noProof/>
        </w:rPr>
      </w:pPr>
      <w:r>
        <w:t xml:space="preserve">Your child's doctor will decide the right dose based on your child's age and weight. </w:t>
      </w:r>
    </w:p>
    <w:p w14:paraId="387D8CA6" w14:textId="77777777" w:rsidR="00187713" w:rsidRPr="00D31EBB" w:rsidRDefault="00187713" w:rsidP="00187713">
      <w:pPr>
        <w:pStyle w:val="EMEABodyText"/>
        <w:rPr>
          <w:noProof/>
          <w:lang w:val="en-US"/>
        </w:rPr>
      </w:pPr>
    </w:p>
    <w:p w14:paraId="43899698" w14:textId="77777777" w:rsidR="00187713" w:rsidRPr="00D31EBB" w:rsidRDefault="00187713" w:rsidP="00187713">
      <w:pPr>
        <w:pStyle w:val="EMEABodyText"/>
        <w:rPr>
          <w:noProof/>
        </w:rPr>
      </w:pPr>
      <w:r>
        <w:t>Always give your child the medicine within 60 minutes of mixing.</w:t>
      </w:r>
    </w:p>
    <w:p w14:paraId="10631A57" w14:textId="77777777" w:rsidR="00187713" w:rsidRPr="00D31EBB" w:rsidRDefault="00187713" w:rsidP="00187713">
      <w:pPr>
        <w:pStyle w:val="EMEABodyText"/>
        <w:rPr>
          <w:b/>
          <w:noProof/>
          <w:lang w:val="en-US"/>
        </w:rPr>
      </w:pPr>
    </w:p>
    <w:p w14:paraId="44F63C45" w14:textId="77777777" w:rsidR="00187713" w:rsidRPr="00D31EBB" w:rsidRDefault="00187713" w:rsidP="00187713">
      <w:pPr>
        <w:pStyle w:val="EMEABodyText"/>
        <w:rPr>
          <w:b/>
          <w:noProof/>
        </w:rPr>
      </w:pPr>
      <w:r>
        <w:rPr>
          <w:b/>
        </w:rPr>
        <w:t>Before giving the medicine</w:t>
      </w:r>
    </w:p>
    <w:p w14:paraId="3572F38A" w14:textId="77777777" w:rsidR="00187713" w:rsidRPr="00D31EBB" w:rsidRDefault="00043C3A" w:rsidP="008B182F">
      <w:pPr>
        <w:pStyle w:val="EMEABodyText"/>
        <w:tabs>
          <w:tab w:val="left" w:pos="851"/>
        </w:tabs>
        <w:spacing w:line="260" w:lineRule="exact"/>
        <w:ind w:left="851" w:hanging="539"/>
        <w:rPr>
          <w:i/>
          <w:noProof/>
        </w:rPr>
      </w:pPr>
      <w:r>
        <w:t>1.</w:t>
      </w:r>
      <w:r>
        <w:tab/>
        <w:t>Determine the dose and the number of REYATAZ oral powder sachets needed (see section 3 How to take REYATAZ).</w:t>
      </w:r>
    </w:p>
    <w:p w14:paraId="15F5D21F" w14:textId="77777777" w:rsidR="00187713" w:rsidRPr="00D31EBB" w:rsidRDefault="00043C3A" w:rsidP="00043C3A">
      <w:pPr>
        <w:pStyle w:val="EMEABodyText"/>
        <w:tabs>
          <w:tab w:val="left" w:pos="851"/>
        </w:tabs>
        <w:spacing w:line="260" w:lineRule="exact"/>
        <w:ind w:left="896" w:hanging="539"/>
        <w:rPr>
          <w:i/>
          <w:noProof/>
        </w:rPr>
      </w:pPr>
      <w:r>
        <w:t>2.</w:t>
      </w:r>
      <w:r>
        <w:tab/>
        <w:t>Before use, tap the sachet. Cut each sachet along the dotted line.</w:t>
      </w:r>
    </w:p>
    <w:p w14:paraId="128AB2B3" w14:textId="77777777" w:rsidR="00424574" w:rsidRPr="00D31EBB" w:rsidRDefault="00043C3A" w:rsidP="00043C3A">
      <w:pPr>
        <w:pStyle w:val="EMEABodyText"/>
        <w:tabs>
          <w:tab w:val="left" w:pos="851"/>
        </w:tabs>
        <w:spacing w:line="260" w:lineRule="exact"/>
        <w:ind w:left="896" w:hanging="539"/>
        <w:rPr>
          <w:i/>
          <w:noProof/>
        </w:rPr>
      </w:pPr>
      <w:r>
        <w:t>3.</w:t>
      </w:r>
      <w:r>
        <w:tab/>
        <w:t>Choose the appropriate option listed below for giving REYATAZ oral powder to your child. Larger volumes or quantities of liquid infant formula, beverage or food may be used. Ensure that all the infant formula, beverage or food that contains the medicine is taken.</w:t>
      </w:r>
    </w:p>
    <w:p w14:paraId="6DF642C8" w14:textId="77777777" w:rsidR="00424574" w:rsidRPr="00D31EBB" w:rsidRDefault="00424574" w:rsidP="00424574">
      <w:pPr>
        <w:pStyle w:val="EMEABodyText"/>
        <w:spacing w:before="120" w:after="120"/>
        <w:rPr>
          <w:b/>
          <w:noProof/>
        </w:rPr>
      </w:pPr>
      <w:r>
        <w:rPr>
          <w:b/>
        </w:rPr>
        <w:t>Preparing and giving the medicine with liquid infant formula using a medicine cup or small container and oral syringe (</w:t>
      </w:r>
      <w:r>
        <w:t>ask your pharmacist for an oral syringe</w:t>
      </w:r>
      <w:r>
        <w:rPr>
          <w:b/>
        </w:rPr>
        <w:t>):</w:t>
      </w:r>
    </w:p>
    <w:p w14:paraId="1B6CF6FB" w14:textId="77777777" w:rsidR="00424574" w:rsidRPr="00D31EBB" w:rsidRDefault="00043C3A" w:rsidP="00043C3A">
      <w:pPr>
        <w:pStyle w:val="EMEABodyText"/>
        <w:tabs>
          <w:tab w:val="left" w:pos="851"/>
        </w:tabs>
        <w:spacing w:line="260" w:lineRule="exact"/>
        <w:ind w:left="896" w:hanging="539"/>
        <w:rPr>
          <w:i/>
          <w:noProof/>
        </w:rPr>
      </w:pPr>
      <w:r>
        <w:t>1.</w:t>
      </w:r>
      <w:r>
        <w:tab/>
        <w:t>Take a medicine cup or small container and put the sachets’ content in the cup or small container.</w:t>
      </w:r>
    </w:p>
    <w:p w14:paraId="3E4BCCA2" w14:textId="77777777" w:rsidR="00424574" w:rsidRPr="00D31EBB" w:rsidRDefault="00043C3A" w:rsidP="00043C3A">
      <w:pPr>
        <w:pStyle w:val="EMEABodyText"/>
        <w:tabs>
          <w:tab w:val="left" w:pos="851"/>
        </w:tabs>
        <w:spacing w:line="260" w:lineRule="exact"/>
        <w:ind w:left="896" w:hanging="539"/>
        <w:rPr>
          <w:i/>
          <w:noProof/>
        </w:rPr>
      </w:pPr>
      <w:r>
        <w:t>2.</w:t>
      </w:r>
      <w:r>
        <w:tab/>
        <w:t>Add 10 ml of prepared liquid infant formula and mix using a spoon.</w:t>
      </w:r>
    </w:p>
    <w:p w14:paraId="7CF62755" w14:textId="77777777" w:rsidR="00424574" w:rsidRPr="00D31EBB" w:rsidRDefault="00043C3A" w:rsidP="00043C3A">
      <w:pPr>
        <w:pStyle w:val="EMEABodyText"/>
        <w:tabs>
          <w:tab w:val="left" w:pos="851"/>
        </w:tabs>
        <w:spacing w:line="260" w:lineRule="exact"/>
        <w:ind w:left="896" w:hanging="539"/>
        <w:rPr>
          <w:i/>
          <w:noProof/>
        </w:rPr>
      </w:pPr>
      <w:r>
        <w:t>3.</w:t>
      </w:r>
      <w:r>
        <w:tab/>
        <w:t>Put the oral syringe tip into the mixture and pull back the plunger until the full amount of infant formula is taken up.</w:t>
      </w:r>
    </w:p>
    <w:p w14:paraId="0A4FE8D6" w14:textId="77777777" w:rsidR="00424574" w:rsidRPr="00D31EBB" w:rsidRDefault="00043C3A" w:rsidP="00043C3A">
      <w:pPr>
        <w:pStyle w:val="EMEABodyText"/>
        <w:tabs>
          <w:tab w:val="left" w:pos="851"/>
        </w:tabs>
        <w:spacing w:line="260" w:lineRule="exact"/>
        <w:ind w:left="896" w:hanging="539"/>
        <w:rPr>
          <w:i/>
          <w:noProof/>
        </w:rPr>
      </w:pPr>
      <w:r>
        <w:t>4.</w:t>
      </w:r>
      <w:r>
        <w:tab/>
        <w:t>Place the syringe in your child's mouth towards the cheek and push the plunger down to release the medicine.</w:t>
      </w:r>
    </w:p>
    <w:p w14:paraId="36A3FE15" w14:textId="77777777" w:rsidR="00424574" w:rsidRPr="00D31EBB" w:rsidRDefault="00043C3A" w:rsidP="00043C3A">
      <w:pPr>
        <w:pStyle w:val="EMEABodyText"/>
        <w:tabs>
          <w:tab w:val="left" w:pos="851"/>
        </w:tabs>
        <w:spacing w:line="260" w:lineRule="exact"/>
        <w:ind w:left="896" w:hanging="539"/>
        <w:rPr>
          <w:i/>
          <w:noProof/>
        </w:rPr>
      </w:pPr>
      <w:r>
        <w:t>5.</w:t>
      </w:r>
      <w:r>
        <w:tab/>
        <w:t xml:space="preserve">Put another 10 ml of prepared infant formula in the cup or container and rinse the remaining oral powder from the cup or container. </w:t>
      </w:r>
    </w:p>
    <w:p w14:paraId="4C574924" w14:textId="77777777" w:rsidR="00424574" w:rsidRPr="00D31EBB" w:rsidRDefault="00043C3A" w:rsidP="00043C3A">
      <w:pPr>
        <w:pStyle w:val="EMEABodyText"/>
        <w:tabs>
          <w:tab w:val="left" w:pos="851"/>
        </w:tabs>
        <w:spacing w:line="260" w:lineRule="exact"/>
        <w:ind w:left="896" w:hanging="539"/>
        <w:rPr>
          <w:i/>
          <w:noProof/>
        </w:rPr>
      </w:pPr>
      <w:r>
        <w:t>6.</w:t>
      </w:r>
      <w:r>
        <w:tab/>
        <w:t>Put the syringe tip into the mixture and pull back the plunger until the full amount of infant formula is taken up.</w:t>
      </w:r>
    </w:p>
    <w:p w14:paraId="4B9DB7EE" w14:textId="77777777" w:rsidR="00424574" w:rsidRPr="00D31EBB" w:rsidRDefault="00043C3A" w:rsidP="00043C3A">
      <w:pPr>
        <w:pStyle w:val="EMEABodyText"/>
        <w:tabs>
          <w:tab w:val="left" w:pos="851"/>
        </w:tabs>
        <w:spacing w:line="260" w:lineRule="exact"/>
        <w:ind w:left="896" w:hanging="539"/>
        <w:rPr>
          <w:i/>
          <w:noProof/>
        </w:rPr>
      </w:pPr>
      <w:r>
        <w:t>7.</w:t>
      </w:r>
      <w:r>
        <w:tab/>
        <w:t>Place the syringe in your child's mouth towards the cheek and push the plunger down to release the medicine.</w:t>
      </w:r>
    </w:p>
    <w:p w14:paraId="7CA5F4BB" w14:textId="77777777" w:rsidR="00424574" w:rsidRPr="00D31EBB" w:rsidRDefault="00043C3A" w:rsidP="00043C3A">
      <w:pPr>
        <w:pStyle w:val="EMEABodyText"/>
        <w:tabs>
          <w:tab w:val="left" w:pos="851"/>
        </w:tabs>
        <w:spacing w:after="120" w:line="260" w:lineRule="exact"/>
        <w:ind w:left="896" w:hanging="539"/>
        <w:rPr>
          <w:i/>
          <w:noProof/>
        </w:rPr>
      </w:pPr>
      <w:r>
        <w:t>8.</w:t>
      </w:r>
      <w:r>
        <w:tab/>
        <w:t>Give to your child the recommended dose of ritonavir immediately after giving REYATAZ oral powder.</w:t>
      </w:r>
    </w:p>
    <w:p w14:paraId="05AAB0E2" w14:textId="77777777" w:rsidR="00424574" w:rsidRPr="00D31EBB" w:rsidRDefault="00424574" w:rsidP="00424574">
      <w:pPr>
        <w:pStyle w:val="EMEABodyText"/>
        <w:spacing w:after="120"/>
        <w:rPr>
          <w:b/>
          <w:noProof/>
        </w:rPr>
      </w:pPr>
      <w:r>
        <w:rPr>
          <w:b/>
        </w:rPr>
        <w:t>Preparing and giving the medicine with drinks</w:t>
      </w:r>
    </w:p>
    <w:p w14:paraId="005086D4" w14:textId="77777777" w:rsidR="00424574" w:rsidRPr="00D31EBB" w:rsidRDefault="00043C3A" w:rsidP="00043C3A">
      <w:pPr>
        <w:pStyle w:val="EMEABodyText"/>
        <w:spacing w:line="260" w:lineRule="exact"/>
        <w:ind w:left="851" w:hanging="567"/>
        <w:rPr>
          <w:i/>
          <w:noProof/>
        </w:rPr>
      </w:pPr>
      <w:r>
        <w:t>1.</w:t>
      </w:r>
      <w:r>
        <w:tab/>
        <w:t>Put the sachets’ content in a small drinking cup.</w:t>
      </w:r>
    </w:p>
    <w:p w14:paraId="2C511363" w14:textId="77777777" w:rsidR="00424574" w:rsidRPr="00D31EBB" w:rsidRDefault="00043C3A" w:rsidP="00043C3A">
      <w:pPr>
        <w:pStyle w:val="EMEABodyText"/>
        <w:tabs>
          <w:tab w:val="left" w:pos="851"/>
        </w:tabs>
        <w:spacing w:line="260" w:lineRule="exact"/>
        <w:ind w:left="851" w:hanging="567"/>
        <w:rPr>
          <w:i/>
          <w:noProof/>
        </w:rPr>
      </w:pPr>
      <w:r>
        <w:t>2.</w:t>
      </w:r>
      <w:r>
        <w:tab/>
        <w:t xml:space="preserve">Add 30 ml of the drink and mix with a spoon. </w:t>
      </w:r>
    </w:p>
    <w:p w14:paraId="3D61826D" w14:textId="77777777" w:rsidR="00424574" w:rsidRPr="00D31EBB" w:rsidRDefault="00043C3A" w:rsidP="00043C3A">
      <w:pPr>
        <w:pStyle w:val="EMEABodyText"/>
        <w:tabs>
          <w:tab w:val="left" w:pos="851"/>
        </w:tabs>
        <w:spacing w:line="260" w:lineRule="exact"/>
        <w:ind w:left="851" w:hanging="567"/>
        <w:rPr>
          <w:i/>
          <w:noProof/>
        </w:rPr>
      </w:pPr>
      <w:r>
        <w:t>3.</w:t>
      </w:r>
      <w:r>
        <w:tab/>
        <w:t>Have the child drink the mixture.</w:t>
      </w:r>
    </w:p>
    <w:p w14:paraId="60D56012" w14:textId="77777777" w:rsidR="00424574" w:rsidRPr="00D31EBB" w:rsidRDefault="00043C3A" w:rsidP="00043C3A">
      <w:pPr>
        <w:pStyle w:val="EMEABodyText"/>
        <w:tabs>
          <w:tab w:val="left" w:pos="851"/>
        </w:tabs>
        <w:spacing w:line="260" w:lineRule="exact"/>
        <w:ind w:left="851" w:hanging="567"/>
        <w:rPr>
          <w:i/>
          <w:noProof/>
        </w:rPr>
      </w:pPr>
      <w:r>
        <w:t>4.</w:t>
      </w:r>
      <w:r>
        <w:tab/>
        <w:t>Add another 15 ml of the drink, mix and have the child drink the mixture.</w:t>
      </w:r>
    </w:p>
    <w:p w14:paraId="74D36F86" w14:textId="77777777" w:rsidR="00424574" w:rsidRPr="00D31EBB" w:rsidRDefault="00043C3A" w:rsidP="00043C3A">
      <w:pPr>
        <w:pStyle w:val="EMEABodyText"/>
        <w:tabs>
          <w:tab w:val="left" w:pos="851"/>
        </w:tabs>
        <w:spacing w:after="120" w:line="260" w:lineRule="exact"/>
        <w:ind w:left="851" w:hanging="567"/>
        <w:rPr>
          <w:i/>
          <w:noProof/>
        </w:rPr>
      </w:pPr>
      <w:r>
        <w:t>5.</w:t>
      </w:r>
      <w:r>
        <w:tab/>
        <w:t>If water is used, food should also be taken at the same time.</w:t>
      </w:r>
    </w:p>
    <w:p w14:paraId="6E6A517A" w14:textId="77777777" w:rsidR="00187713" w:rsidRPr="00D31EBB" w:rsidRDefault="00187713" w:rsidP="00187713">
      <w:pPr>
        <w:pStyle w:val="EMEABodyText"/>
        <w:spacing w:after="120"/>
        <w:rPr>
          <w:b/>
          <w:noProof/>
        </w:rPr>
      </w:pPr>
      <w:r>
        <w:rPr>
          <w:b/>
        </w:rPr>
        <w:t>Preparing and giving the medicine with food</w:t>
      </w:r>
    </w:p>
    <w:p w14:paraId="7FC4A170" w14:textId="77777777" w:rsidR="00187713" w:rsidRPr="00D31EBB" w:rsidRDefault="00043C3A" w:rsidP="00043C3A">
      <w:pPr>
        <w:pStyle w:val="EMEABodyText"/>
        <w:spacing w:line="260" w:lineRule="exact"/>
        <w:ind w:left="851" w:hanging="425"/>
        <w:rPr>
          <w:i/>
          <w:noProof/>
        </w:rPr>
      </w:pPr>
      <w:r>
        <w:t>1.</w:t>
      </w:r>
      <w:r>
        <w:tab/>
        <w:t xml:space="preserve">Fill a small container with the sachets' content. </w:t>
      </w:r>
    </w:p>
    <w:p w14:paraId="35724A16" w14:textId="77777777" w:rsidR="00187713" w:rsidRPr="00D31EBB" w:rsidRDefault="00043C3A" w:rsidP="00043C3A">
      <w:pPr>
        <w:pStyle w:val="EMEABodyText"/>
        <w:spacing w:line="260" w:lineRule="exact"/>
        <w:ind w:left="851" w:hanging="425"/>
        <w:rPr>
          <w:i/>
          <w:noProof/>
        </w:rPr>
      </w:pPr>
      <w:r>
        <w:t>2.</w:t>
      </w:r>
      <w:r>
        <w:tab/>
        <w:t>Add a minimum of one tablespoon of food and mix.</w:t>
      </w:r>
    </w:p>
    <w:p w14:paraId="7C910654" w14:textId="77777777" w:rsidR="00187713" w:rsidRPr="00D31EBB" w:rsidRDefault="00043C3A" w:rsidP="00043C3A">
      <w:pPr>
        <w:pStyle w:val="EMEABodyText"/>
        <w:tabs>
          <w:tab w:val="left" w:pos="851"/>
        </w:tabs>
        <w:spacing w:line="260" w:lineRule="exact"/>
        <w:ind w:left="426"/>
        <w:rPr>
          <w:i/>
          <w:noProof/>
        </w:rPr>
      </w:pPr>
      <w:r>
        <w:t>3.</w:t>
      </w:r>
      <w:r>
        <w:tab/>
        <w:t>Feed your child with the mixture.</w:t>
      </w:r>
    </w:p>
    <w:p w14:paraId="62ACCAA3" w14:textId="77777777" w:rsidR="00187713" w:rsidRPr="00D31EBB" w:rsidRDefault="00043C3A" w:rsidP="00043C3A">
      <w:pPr>
        <w:pStyle w:val="EMEABodyText"/>
        <w:tabs>
          <w:tab w:val="left" w:pos="851"/>
        </w:tabs>
        <w:spacing w:after="120" w:line="260" w:lineRule="exact"/>
        <w:ind w:left="426"/>
        <w:rPr>
          <w:i/>
          <w:noProof/>
        </w:rPr>
      </w:pPr>
      <w:r>
        <w:t>4.</w:t>
      </w:r>
      <w:r>
        <w:tab/>
        <w:t>Add an additional tablespoon in the container, mix and feed to your child again.</w:t>
      </w:r>
    </w:p>
    <w:p w14:paraId="19E6AE74" w14:textId="77777777" w:rsidR="00187713" w:rsidRPr="00D31EBB" w:rsidRDefault="00187713" w:rsidP="00187713">
      <w:pPr>
        <w:pStyle w:val="EMEABodyText"/>
        <w:rPr>
          <w:rFonts w:eastAsia="MS Mincho"/>
          <w:lang w:val="en-US"/>
        </w:rPr>
      </w:pPr>
    </w:p>
    <w:p w14:paraId="41BF4672" w14:textId="77777777" w:rsidR="00187713" w:rsidRPr="00D31EBB" w:rsidRDefault="00187713" w:rsidP="00187713">
      <w:pPr>
        <w:pStyle w:val="EMEABodyText"/>
        <w:rPr>
          <w:szCs w:val="24"/>
        </w:rPr>
      </w:pPr>
      <w:r>
        <w:t xml:space="preserve">If you have any questions on how to prepare or give a dose of REYATAZ oral powder, talk to your doctor, pharmacist or nurse. </w:t>
      </w:r>
    </w:p>
    <w:p w14:paraId="61FE66FE" w14:textId="77777777" w:rsidR="00187713" w:rsidRPr="00D31EBB" w:rsidRDefault="00187713" w:rsidP="00187713">
      <w:pPr>
        <w:pStyle w:val="EMEABodyText"/>
        <w:rPr>
          <w:rFonts w:eastAsia="MS Mincho"/>
          <w:lang w:val="en-US"/>
        </w:rPr>
      </w:pPr>
    </w:p>
    <w:p w14:paraId="77C20778" w14:textId="77777777" w:rsidR="000669FC" w:rsidRPr="00D31EBB" w:rsidRDefault="000669FC">
      <w:pPr>
        <w:pStyle w:val="EMEABodyText"/>
        <w:rPr>
          <w:lang w:val="en-US"/>
        </w:rPr>
      </w:pPr>
    </w:p>
    <w:sectPr w:rsidR="000669FC" w:rsidRPr="00D31EBB" w:rsidSect="00D02BC8">
      <w:footerReference w:type="even" r:id="rId15"/>
      <w:footerReference w:type="default" r:id="rId16"/>
      <w:footerReference w:type="first" r:id="rId17"/>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153AE" w14:textId="77777777" w:rsidR="00566AFC" w:rsidRDefault="00566AFC" w:rsidP="00CE3246">
      <w:r>
        <w:separator/>
      </w:r>
    </w:p>
  </w:endnote>
  <w:endnote w:type="continuationSeparator" w:id="0">
    <w:p w14:paraId="7E349765" w14:textId="77777777" w:rsidR="00566AFC" w:rsidRDefault="00566AFC" w:rsidP="00CE3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71D39" w14:textId="77777777" w:rsidR="00566AFC" w:rsidRDefault="00566AFC" w:rsidP="00FF1D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68C1CA" w14:textId="77777777" w:rsidR="00566AFC" w:rsidRDefault="00566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9DBA6" w14:textId="5128769F" w:rsidR="00566AFC" w:rsidRPr="00F823ED" w:rsidRDefault="00566AFC" w:rsidP="00FF1D5F">
    <w:pPr>
      <w:pStyle w:val="Footer"/>
      <w:framePr w:wrap="around" w:vAnchor="text" w:hAnchor="margin" w:xAlign="center" w:y="1"/>
      <w:rPr>
        <w:rStyle w:val="PageNumber"/>
        <w:rFonts w:ascii="Arial" w:hAnsi="Arial" w:cs="Arial"/>
      </w:rPr>
    </w:pPr>
    <w:r w:rsidRPr="00F823ED">
      <w:rPr>
        <w:rStyle w:val="PageNumber"/>
        <w:rFonts w:ascii="Arial" w:hAnsi="Arial" w:cs="Arial"/>
      </w:rPr>
      <w:fldChar w:fldCharType="begin"/>
    </w:r>
    <w:r w:rsidRPr="00F823ED">
      <w:rPr>
        <w:rStyle w:val="PageNumber"/>
        <w:rFonts w:ascii="Arial" w:hAnsi="Arial" w:cs="Arial"/>
      </w:rPr>
      <w:instrText xml:space="preserve">PAGE  </w:instrText>
    </w:r>
    <w:r w:rsidRPr="00F823ED">
      <w:rPr>
        <w:rStyle w:val="PageNumber"/>
        <w:rFonts w:ascii="Arial" w:hAnsi="Arial" w:cs="Arial"/>
      </w:rPr>
      <w:fldChar w:fldCharType="separate"/>
    </w:r>
    <w:r w:rsidR="00E427A7">
      <w:rPr>
        <w:rStyle w:val="PageNumber"/>
        <w:rFonts w:ascii="Arial" w:hAnsi="Arial" w:cs="Arial"/>
        <w:noProof/>
      </w:rPr>
      <w:t>83</w:t>
    </w:r>
    <w:r w:rsidRPr="00F823ED">
      <w:rPr>
        <w:rStyle w:val="PageNumber"/>
        <w:rFonts w:ascii="Arial" w:hAnsi="Arial" w:cs="Arial"/>
      </w:rPr>
      <w:fldChar w:fldCharType="end"/>
    </w:r>
  </w:p>
  <w:p w14:paraId="501C48EB" w14:textId="77777777" w:rsidR="00566AFC" w:rsidRPr="00F823ED" w:rsidRDefault="00566AFC" w:rsidP="00F823ED">
    <w:pPr>
      <w:pStyle w:val="Footer"/>
      <w:rPr>
        <w:rFonts w:ascii="Arial" w:hAnsi="Arial" w:cs="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20E41" w14:textId="77777777" w:rsidR="00566AFC" w:rsidRDefault="00566AFC">
    <w:pPr>
      <w:pStyle w:val="Footer"/>
      <w:tabs>
        <w:tab w:val="clear" w:pos="8930"/>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5517C" w14:textId="77777777" w:rsidR="00566AFC" w:rsidRDefault="00566AFC" w:rsidP="00CE3246">
      <w:r>
        <w:separator/>
      </w:r>
    </w:p>
  </w:footnote>
  <w:footnote w:type="continuationSeparator" w:id="0">
    <w:p w14:paraId="5F566C61" w14:textId="77777777" w:rsidR="00566AFC" w:rsidRDefault="00566AFC" w:rsidP="00CE3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14C6364E"/>
    <w:lvl w:ilvl="0">
      <w:numFmt w:val="decimal"/>
      <w:lvlText w:val="*"/>
      <w:lvlJc w:val="left"/>
    </w:lvl>
  </w:abstractNum>
  <w:abstractNum w:abstractNumId="2" w15:restartNumberingAfterBreak="0">
    <w:nsid w:val="1CF35E8C"/>
    <w:multiLevelType w:val="hybridMultilevel"/>
    <w:tmpl w:val="C23C0958"/>
    <w:lvl w:ilvl="0" w:tplc="0C0A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98562B"/>
    <w:multiLevelType w:val="hybridMultilevel"/>
    <w:tmpl w:val="EB56EA6E"/>
    <w:lvl w:ilvl="0" w:tplc="A0D0DA5C">
      <w:start w:val="1"/>
      <w:numFmt w:val="bullet"/>
      <w:lvlText w:val=""/>
      <w:lvlJc w:val="left"/>
      <w:pPr>
        <w:ind w:left="360" w:hanging="360"/>
      </w:pPr>
      <w:rPr>
        <w:rFonts w:ascii="Wingdings" w:hAnsi="Wingdings" w:hint="default"/>
        <w:b w:val="0"/>
        <w:i w:val="0"/>
        <w:color w:val="auto"/>
      </w:rPr>
    </w:lvl>
    <w:lvl w:ilvl="1" w:tplc="0407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292B3C"/>
    <w:multiLevelType w:val="hybridMultilevel"/>
    <w:tmpl w:val="CD1E79D2"/>
    <w:lvl w:ilvl="0" w:tplc="0C0A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523FDF"/>
    <w:multiLevelType w:val="hybridMultilevel"/>
    <w:tmpl w:val="152EE956"/>
    <w:lvl w:ilvl="0" w:tplc="A0D0DA5C">
      <w:start w:val="1"/>
      <w:numFmt w:val="bullet"/>
      <w:pStyle w:val="EMEABodyTextIndent"/>
      <w:lvlText w:val=""/>
      <w:lvlJc w:val="left"/>
      <w:pPr>
        <w:ind w:left="1495" w:hanging="360"/>
      </w:pPr>
      <w:rPr>
        <w:rFonts w:ascii="Wingdings" w:hAnsi="Wingdings" w:hint="default"/>
        <w:b w:val="0"/>
        <w:i w:val="0"/>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F3B23BC"/>
    <w:multiLevelType w:val="hybridMultilevel"/>
    <w:tmpl w:val="20F8444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C54B8"/>
    <w:multiLevelType w:val="hybridMultilevel"/>
    <w:tmpl w:val="E0ACC41A"/>
    <w:lvl w:ilvl="0" w:tplc="A0D0DA5C">
      <w:start w:val="1"/>
      <w:numFmt w:val="bullet"/>
      <w:lvlText w:val=""/>
      <w:lvlJc w:val="left"/>
      <w:pPr>
        <w:ind w:left="360" w:hanging="360"/>
      </w:pPr>
      <w:rPr>
        <w:rFonts w:ascii="Wingdings" w:hAnsi="Wingdings" w:hint="default"/>
        <w:b w:val="0"/>
        <w:i w:val="0"/>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DBA1ECE"/>
    <w:multiLevelType w:val="hybridMultilevel"/>
    <w:tmpl w:val="0D4437F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lvl>
    </w:lvlOverride>
  </w:num>
  <w:num w:numId="3">
    <w:abstractNumId w:val="5"/>
  </w:num>
  <w:num w:numId="4">
    <w:abstractNumId w:val="7"/>
  </w:num>
  <w:num w:numId="5">
    <w:abstractNumId w:val="1"/>
    <w:lvlOverride w:ilvl="0">
      <w:lvl w:ilvl="0">
        <w:start w:val="1"/>
        <w:numFmt w:val="bullet"/>
        <w:lvlText w:val="-"/>
        <w:legacy w:legacy="1" w:legacySpace="0" w:legacyIndent="360"/>
        <w:lvlJc w:val="left"/>
        <w:pPr>
          <w:ind w:left="360" w:hanging="360"/>
        </w:pPr>
        <w:rPr>
          <w:i/>
          <w:color w:val="auto"/>
        </w:rPr>
      </w:lvl>
    </w:lvlOverride>
  </w:num>
  <w:num w:numId="6">
    <w:abstractNumId w:val="6"/>
  </w:num>
  <w:num w:numId="7">
    <w:abstractNumId w:val="2"/>
  </w:num>
  <w:num w:numId="8">
    <w:abstractNumId w:val="4"/>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Formatting/>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67BF"/>
    <w:rsid w:val="0000712C"/>
    <w:rsid w:val="00012164"/>
    <w:rsid w:val="00016C8D"/>
    <w:rsid w:val="000228A7"/>
    <w:rsid w:val="00027E4B"/>
    <w:rsid w:val="00031B5D"/>
    <w:rsid w:val="00041BAC"/>
    <w:rsid w:val="000424FD"/>
    <w:rsid w:val="00043C3A"/>
    <w:rsid w:val="00053473"/>
    <w:rsid w:val="00060546"/>
    <w:rsid w:val="00063004"/>
    <w:rsid w:val="000669FC"/>
    <w:rsid w:val="000708AD"/>
    <w:rsid w:val="00074E77"/>
    <w:rsid w:val="000A0FC0"/>
    <w:rsid w:val="000A1548"/>
    <w:rsid w:val="000A48B3"/>
    <w:rsid w:val="000C105E"/>
    <w:rsid w:val="000C5B78"/>
    <w:rsid w:val="000D0507"/>
    <w:rsid w:val="000D2783"/>
    <w:rsid w:val="000D487C"/>
    <w:rsid w:val="000D68E5"/>
    <w:rsid w:val="000D7E39"/>
    <w:rsid w:val="000F0502"/>
    <w:rsid w:val="001067B1"/>
    <w:rsid w:val="00115777"/>
    <w:rsid w:val="00121BA6"/>
    <w:rsid w:val="00134D00"/>
    <w:rsid w:val="00142AFE"/>
    <w:rsid w:val="00155E8F"/>
    <w:rsid w:val="00157FD1"/>
    <w:rsid w:val="00180715"/>
    <w:rsid w:val="00187713"/>
    <w:rsid w:val="00191AFE"/>
    <w:rsid w:val="001A00CC"/>
    <w:rsid w:val="001A1969"/>
    <w:rsid w:val="001A2212"/>
    <w:rsid w:val="001B2B5C"/>
    <w:rsid w:val="001C5260"/>
    <w:rsid w:val="001E35B6"/>
    <w:rsid w:val="00201410"/>
    <w:rsid w:val="002035E4"/>
    <w:rsid w:val="00210E23"/>
    <w:rsid w:val="00211509"/>
    <w:rsid w:val="00212217"/>
    <w:rsid w:val="00212980"/>
    <w:rsid w:val="002204B5"/>
    <w:rsid w:val="00221E8E"/>
    <w:rsid w:val="002220CD"/>
    <w:rsid w:val="00222DF5"/>
    <w:rsid w:val="00266EB3"/>
    <w:rsid w:val="00283DEB"/>
    <w:rsid w:val="00290208"/>
    <w:rsid w:val="00290961"/>
    <w:rsid w:val="002A21BD"/>
    <w:rsid w:val="002A25E4"/>
    <w:rsid w:val="002A644A"/>
    <w:rsid w:val="002B5D70"/>
    <w:rsid w:val="002B73B9"/>
    <w:rsid w:val="002C1AB6"/>
    <w:rsid w:val="002C2408"/>
    <w:rsid w:val="002C4D44"/>
    <w:rsid w:val="002C5E8B"/>
    <w:rsid w:val="002D4A1A"/>
    <w:rsid w:val="002E2C1C"/>
    <w:rsid w:val="002E5D00"/>
    <w:rsid w:val="002F0D5F"/>
    <w:rsid w:val="003071A1"/>
    <w:rsid w:val="00317DB1"/>
    <w:rsid w:val="0032030D"/>
    <w:rsid w:val="003228A9"/>
    <w:rsid w:val="00324E2C"/>
    <w:rsid w:val="00325328"/>
    <w:rsid w:val="0033513D"/>
    <w:rsid w:val="003357E2"/>
    <w:rsid w:val="00335FEF"/>
    <w:rsid w:val="00351230"/>
    <w:rsid w:val="00353147"/>
    <w:rsid w:val="00374046"/>
    <w:rsid w:val="00374598"/>
    <w:rsid w:val="00385E66"/>
    <w:rsid w:val="003942A6"/>
    <w:rsid w:val="003B6CAB"/>
    <w:rsid w:val="003C008D"/>
    <w:rsid w:val="003C2AA7"/>
    <w:rsid w:val="003C6A99"/>
    <w:rsid w:val="003D0B02"/>
    <w:rsid w:val="003D1EBD"/>
    <w:rsid w:val="003E3A36"/>
    <w:rsid w:val="003F4A9E"/>
    <w:rsid w:val="004120BC"/>
    <w:rsid w:val="004161E3"/>
    <w:rsid w:val="004165E7"/>
    <w:rsid w:val="00424574"/>
    <w:rsid w:val="004432F7"/>
    <w:rsid w:val="00443442"/>
    <w:rsid w:val="004563E6"/>
    <w:rsid w:val="004576C1"/>
    <w:rsid w:val="004578FA"/>
    <w:rsid w:val="0046289D"/>
    <w:rsid w:val="00462FE2"/>
    <w:rsid w:val="00463EAD"/>
    <w:rsid w:val="00465D08"/>
    <w:rsid w:val="00486F86"/>
    <w:rsid w:val="00491972"/>
    <w:rsid w:val="00495B99"/>
    <w:rsid w:val="00497C47"/>
    <w:rsid w:val="004B03FA"/>
    <w:rsid w:val="004B14F8"/>
    <w:rsid w:val="004B1771"/>
    <w:rsid w:val="004B1CB4"/>
    <w:rsid w:val="004B584A"/>
    <w:rsid w:val="004C5CC1"/>
    <w:rsid w:val="004D4455"/>
    <w:rsid w:val="004D6E53"/>
    <w:rsid w:val="004E02B9"/>
    <w:rsid w:val="004F3582"/>
    <w:rsid w:val="004F5D51"/>
    <w:rsid w:val="004F6EF3"/>
    <w:rsid w:val="004F7E4F"/>
    <w:rsid w:val="00501A6D"/>
    <w:rsid w:val="0051419C"/>
    <w:rsid w:val="00515196"/>
    <w:rsid w:val="0051544C"/>
    <w:rsid w:val="00523638"/>
    <w:rsid w:val="0053172A"/>
    <w:rsid w:val="00541B51"/>
    <w:rsid w:val="00543FB4"/>
    <w:rsid w:val="005460FC"/>
    <w:rsid w:val="00566AFC"/>
    <w:rsid w:val="005732E6"/>
    <w:rsid w:val="00581731"/>
    <w:rsid w:val="00592917"/>
    <w:rsid w:val="005931F6"/>
    <w:rsid w:val="00595621"/>
    <w:rsid w:val="0059639F"/>
    <w:rsid w:val="005B0337"/>
    <w:rsid w:val="005B2C7A"/>
    <w:rsid w:val="005B3839"/>
    <w:rsid w:val="005B4604"/>
    <w:rsid w:val="005C4B2B"/>
    <w:rsid w:val="006013CD"/>
    <w:rsid w:val="00604B48"/>
    <w:rsid w:val="00611B57"/>
    <w:rsid w:val="00614DFB"/>
    <w:rsid w:val="0061667D"/>
    <w:rsid w:val="00620738"/>
    <w:rsid w:val="00621549"/>
    <w:rsid w:val="006275D1"/>
    <w:rsid w:val="006330A6"/>
    <w:rsid w:val="00634190"/>
    <w:rsid w:val="00656E99"/>
    <w:rsid w:val="00657B15"/>
    <w:rsid w:val="006719E7"/>
    <w:rsid w:val="0067267F"/>
    <w:rsid w:val="00680F60"/>
    <w:rsid w:val="0068334F"/>
    <w:rsid w:val="00686456"/>
    <w:rsid w:val="00687FD9"/>
    <w:rsid w:val="006903B0"/>
    <w:rsid w:val="00691D14"/>
    <w:rsid w:val="006C3573"/>
    <w:rsid w:val="006C4377"/>
    <w:rsid w:val="006C6810"/>
    <w:rsid w:val="006C7A5D"/>
    <w:rsid w:val="006C7DA9"/>
    <w:rsid w:val="006D2E04"/>
    <w:rsid w:val="006D6649"/>
    <w:rsid w:val="006E2090"/>
    <w:rsid w:val="006F2A69"/>
    <w:rsid w:val="006F59E2"/>
    <w:rsid w:val="00701D08"/>
    <w:rsid w:val="00705D1F"/>
    <w:rsid w:val="0071035D"/>
    <w:rsid w:val="00712C5F"/>
    <w:rsid w:val="00723038"/>
    <w:rsid w:val="00724517"/>
    <w:rsid w:val="00727ECC"/>
    <w:rsid w:val="00740597"/>
    <w:rsid w:val="00747D90"/>
    <w:rsid w:val="007504A9"/>
    <w:rsid w:val="0075536C"/>
    <w:rsid w:val="00773BF0"/>
    <w:rsid w:val="00776CDC"/>
    <w:rsid w:val="00782095"/>
    <w:rsid w:val="0079236B"/>
    <w:rsid w:val="007A5218"/>
    <w:rsid w:val="007A6035"/>
    <w:rsid w:val="007A778D"/>
    <w:rsid w:val="007B490F"/>
    <w:rsid w:val="007D392F"/>
    <w:rsid w:val="007F1CC2"/>
    <w:rsid w:val="007F3D03"/>
    <w:rsid w:val="007F44D8"/>
    <w:rsid w:val="007F6847"/>
    <w:rsid w:val="008246AC"/>
    <w:rsid w:val="00826E45"/>
    <w:rsid w:val="008273DE"/>
    <w:rsid w:val="008440D2"/>
    <w:rsid w:val="00844D32"/>
    <w:rsid w:val="00845D7E"/>
    <w:rsid w:val="0085272A"/>
    <w:rsid w:val="00863155"/>
    <w:rsid w:val="008660B5"/>
    <w:rsid w:val="00885B9D"/>
    <w:rsid w:val="00891DDE"/>
    <w:rsid w:val="008B182F"/>
    <w:rsid w:val="008B27F4"/>
    <w:rsid w:val="008B6CCB"/>
    <w:rsid w:val="008C48D0"/>
    <w:rsid w:val="008C49BC"/>
    <w:rsid w:val="008C5951"/>
    <w:rsid w:val="008C6BE3"/>
    <w:rsid w:val="008C6C6A"/>
    <w:rsid w:val="008D1DF0"/>
    <w:rsid w:val="008D3624"/>
    <w:rsid w:val="008D48A8"/>
    <w:rsid w:val="008D4B3D"/>
    <w:rsid w:val="008D5D5B"/>
    <w:rsid w:val="008E33EB"/>
    <w:rsid w:val="008F3D3F"/>
    <w:rsid w:val="008F61E4"/>
    <w:rsid w:val="009007BF"/>
    <w:rsid w:val="00913D13"/>
    <w:rsid w:val="00931619"/>
    <w:rsid w:val="009349C5"/>
    <w:rsid w:val="00944494"/>
    <w:rsid w:val="00945266"/>
    <w:rsid w:val="00956762"/>
    <w:rsid w:val="00957233"/>
    <w:rsid w:val="00960717"/>
    <w:rsid w:val="00965CD8"/>
    <w:rsid w:val="00965E20"/>
    <w:rsid w:val="0096648A"/>
    <w:rsid w:val="00966E08"/>
    <w:rsid w:val="0097028B"/>
    <w:rsid w:val="009777C0"/>
    <w:rsid w:val="009859F2"/>
    <w:rsid w:val="00987911"/>
    <w:rsid w:val="009905D5"/>
    <w:rsid w:val="00993FF0"/>
    <w:rsid w:val="00995147"/>
    <w:rsid w:val="009A181E"/>
    <w:rsid w:val="009B14E6"/>
    <w:rsid w:val="009C5C78"/>
    <w:rsid w:val="009E0F71"/>
    <w:rsid w:val="009E1943"/>
    <w:rsid w:val="009E242A"/>
    <w:rsid w:val="009E2ACD"/>
    <w:rsid w:val="009F134D"/>
    <w:rsid w:val="009F54A9"/>
    <w:rsid w:val="00A04D01"/>
    <w:rsid w:val="00A15A5F"/>
    <w:rsid w:val="00A25670"/>
    <w:rsid w:val="00A30624"/>
    <w:rsid w:val="00A34CCE"/>
    <w:rsid w:val="00A364DF"/>
    <w:rsid w:val="00A37464"/>
    <w:rsid w:val="00A404E4"/>
    <w:rsid w:val="00A503F9"/>
    <w:rsid w:val="00A66E5A"/>
    <w:rsid w:val="00A739A8"/>
    <w:rsid w:val="00A757FE"/>
    <w:rsid w:val="00A760DC"/>
    <w:rsid w:val="00A77657"/>
    <w:rsid w:val="00A77BE7"/>
    <w:rsid w:val="00A805C0"/>
    <w:rsid w:val="00A84D37"/>
    <w:rsid w:val="00AA16D3"/>
    <w:rsid w:val="00AA7900"/>
    <w:rsid w:val="00AC27D3"/>
    <w:rsid w:val="00AC29DC"/>
    <w:rsid w:val="00AD3F13"/>
    <w:rsid w:val="00AD625D"/>
    <w:rsid w:val="00AE21FD"/>
    <w:rsid w:val="00AE260F"/>
    <w:rsid w:val="00AF0F7F"/>
    <w:rsid w:val="00AF4A72"/>
    <w:rsid w:val="00B10026"/>
    <w:rsid w:val="00B10B04"/>
    <w:rsid w:val="00B12F92"/>
    <w:rsid w:val="00B271E2"/>
    <w:rsid w:val="00B4154D"/>
    <w:rsid w:val="00B4203C"/>
    <w:rsid w:val="00B43EB5"/>
    <w:rsid w:val="00B46494"/>
    <w:rsid w:val="00B5335E"/>
    <w:rsid w:val="00B54163"/>
    <w:rsid w:val="00B65509"/>
    <w:rsid w:val="00B66075"/>
    <w:rsid w:val="00B72504"/>
    <w:rsid w:val="00B853FF"/>
    <w:rsid w:val="00B94A1B"/>
    <w:rsid w:val="00BA31F4"/>
    <w:rsid w:val="00BB3C56"/>
    <w:rsid w:val="00BC762C"/>
    <w:rsid w:val="00BC76A6"/>
    <w:rsid w:val="00BD774F"/>
    <w:rsid w:val="00C14C6D"/>
    <w:rsid w:val="00C23538"/>
    <w:rsid w:val="00C278BF"/>
    <w:rsid w:val="00C46103"/>
    <w:rsid w:val="00C506A1"/>
    <w:rsid w:val="00C51E90"/>
    <w:rsid w:val="00C66731"/>
    <w:rsid w:val="00C71837"/>
    <w:rsid w:val="00C72F3F"/>
    <w:rsid w:val="00C7714F"/>
    <w:rsid w:val="00C8210E"/>
    <w:rsid w:val="00CA1580"/>
    <w:rsid w:val="00CA2062"/>
    <w:rsid w:val="00CB3159"/>
    <w:rsid w:val="00CB68B2"/>
    <w:rsid w:val="00CE08DD"/>
    <w:rsid w:val="00CE2C0D"/>
    <w:rsid w:val="00CE3246"/>
    <w:rsid w:val="00CF4E0B"/>
    <w:rsid w:val="00CF59D4"/>
    <w:rsid w:val="00CF5E73"/>
    <w:rsid w:val="00D02BC8"/>
    <w:rsid w:val="00D06181"/>
    <w:rsid w:val="00D14CF6"/>
    <w:rsid w:val="00D1740D"/>
    <w:rsid w:val="00D211F0"/>
    <w:rsid w:val="00D31EBB"/>
    <w:rsid w:val="00D324C3"/>
    <w:rsid w:val="00D34D38"/>
    <w:rsid w:val="00D479B5"/>
    <w:rsid w:val="00D53169"/>
    <w:rsid w:val="00D53F24"/>
    <w:rsid w:val="00D70F5D"/>
    <w:rsid w:val="00D71EB8"/>
    <w:rsid w:val="00D773B4"/>
    <w:rsid w:val="00D87D24"/>
    <w:rsid w:val="00D961CF"/>
    <w:rsid w:val="00DA25FA"/>
    <w:rsid w:val="00DB1FED"/>
    <w:rsid w:val="00DC4627"/>
    <w:rsid w:val="00DC7AA2"/>
    <w:rsid w:val="00DD01AC"/>
    <w:rsid w:val="00DE0989"/>
    <w:rsid w:val="00DE391B"/>
    <w:rsid w:val="00DE5BA2"/>
    <w:rsid w:val="00DF39FE"/>
    <w:rsid w:val="00E009EB"/>
    <w:rsid w:val="00E037C5"/>
    <w:rsid w:val="00E046D4"/>
    <w:rsid w:val="00E06585"/>
    <w:rsid w:val="00E072B9"/>
    <w:rsid w:val="00E112BC"/>
    <w:rsid w:val="00E15CEA"/>
    <w:rsid w:val="00E27C0E"/>
    <w:rsid w:val="00E320BD"/>
    <w:rsid w:val="00E3481D"/>
    <w:rsid w:val="00E3579B"/>
    <w:rsid w:val="00E37796"/>
    <w:rsid w:val="00E41E66"/>
    <w:rsid w:val="00E427A7"/>
    <w:rsid w:val="00E452F3"/>
    <w:rsid w:val="00E505B8"/>
    <w:rsid w:val="00E5297E"/>
    <w:rsid w:val="00E54274"/>
    <w:rsid w:val="00E55D06"/>
    <w:rsid w:val="00E65D41"/>
    <w:rsid w:val="00E75376"/>
    <w:rsid w:val="00E77B7C"/>
    <w:rsid w:val="00E8461B"/>
    <w:rsid w:val="00E961B4"/>
    <w:rsid w:val="00E97F12"/>
    <w:rsid w:val="00EA2170"/>
    <w:rsid w:val="00EA4399"/>
    <w:rsid w:val="00EA46BF"/>
    <w:rsid w:val="00EC7643"/>
    <w:rsid w:val="00ED5AED"/>
    <w:rsid w:val="00EE3C4A"/>
    <w:rsid w:val="00EF0441"/>
    <w:rsid w:val="00EF4C08"/>
    <w:rsid w:val="00EF4F14"/>
    <w:rsid w:val="00EF531B"/>
    <w:rsid w:val="00F027F1"/>
    <w:rsid w:val="00F06518"/>
    <w:rsid w:val="00F07254"/>
    <w:rsid w:val="00F15E47"/>
    <w:rsid w:val="00F20671"/>
    <w:rsid w:val="00F22397"/>
    <w:rsid w:val="00F31638"/>
    <w:rsid w:val="00F42CD0"/>
    <w:rsid w:val="00F46647"/>
    <w:rsid w:val="00F51397"/>
    <w:rsid w:val="00F62C23"/>
    <w:rsid w:val="00F62C71"/>
    <w:rsid w:val="00F7294E"/>
    <w:rsid w:val="00F74C0E"/>
    <w:rsid w:val="00F819C9"/>
    <w:rsid w:val="00F823ED"/>
    <w:rsid w:val="00F833F4"/>
    <w:rsid w:val="00FA146E"/>
    <w:rsid w:val="00FA5ABB"/>
    <w:rsid w:val="00FB37FE"/>
    <w:rsid w:val="00FD76E4"/>
    <w:rsid w:val="00FD7D1A"/>
    <w:rsid w:val="00FF1D5F"/>
    <w:rsid w:val="00FF2270"/>
    <w:rsid w:val="00FF5A0D"/>
    <w:rsid w:val="00FF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4FEFC66"/>
  <w15:chartTrackingRefBased/>
  <w15:docId w15:val="{2C8FE49D-C71F-44D8-ADE8-C1F6A42F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bg-BG"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D5AED"/>
    <w:rPr>
      <w:sz w:val="22"/>
    </w:rPr>
  </w:style>
  <w:style w:type="paragraph" w:styleId="Heading1">
    <w:name w:val="heading 1"/>
    <w:basedOn w:val="Normal"/>
    <w:next w:val="Normal"/>
    <w:qFormat/>
    <w:rsid w:val="00ED5AED"/>
    <w:pPr>
      <w:keepNext/>
      <w:keepLines/>
      <w:numPr>
        <w:numId w:val="1"/>
      </w:numPr>
      <w:spacing w:before="240" w:after="120"/>
      <w:outlineLvl w:val="0"/>
    </w:pPr>
    <w:rPr>
      <w:b/>
      <w:caps/>
    </w:rPr>
  </w:style>
  <w:style w:type="paragraph" w:styleId="Heading2">
    <w:name w:val="heading 2"/>
    <w:basedOn w:val="Normal"/>
    <w:next w:val="Normal"/>
    <w:qFormat/>
    <w:rsid w:val="00ED5AED"/>
    <w:pPr>
      <w:keepNext/>
      <w:keepLines/>
      <w:numPr>
        <w:ilvl w:val="1"/>
        <w:numId w:val="1"/>
      </w:numPr>
      <w:spacing w:before="120" w:after="120"/>
      <w:outlineLvl w:val="1"/>
    </w:pPr>
    <w:rPr>
      <w:b/>
    </w:rPr>
  </w:style>
  <w:style w:type="paragraph" w:styleId="Heading3">
    <w:name w:val="heading 3"/>
    <w:basedOn w:val="Normal"/>
    <w:next w:val="Normal"/>
    <w:qFormat/>
    <w:rsid w:val="00ED5AED"/>
    <w:pPr>
      <w:keepNext/>
      <w:numPr>
        <w:ilvl w:val="2"/>
        <w:numId w:val="1"/>
      </w:numPr>
      <w:spacing w:before="240" w:after="60"/>
      <w:outlineLvl w:val="2"/>
    </w:pPr>
    <w:rPr>
      <w:b/>
      <w:sz w:val="24"/>
    </w:rPr>
  </w:style>
  <w:style w:type="paragraph" w:styleId="Heading4">
    <w:name w:val="heading 4"/>
    <w:basedOn w:val="Normal"/>
    <w:next w:val="Normal"/>
    <w:qFormat/>
    <w:rsid w:val="00ED5AED"/>
    <w:pPr>
      <w:keepNext/>
      <w:numPr>
        <w:ilvl w:val="3"/>
        <w:numId w:val="1"/>
      </w:numPr>
      <w:spacing w:before="240" w:after="60"/>
      <w:outlineLvl w:val="3"/>
    </w:pPr>
    <w:rPr>
      <w:b/>
      <w:i/>
      <w:sz w:val="24"/>
    </w:rPr>
  </w:style>
  <w:style w:type="paragraph" w:styleId="Heading5">
    <w:name w:val="heading 5"/>
    <w:basedOn w:val="Normal"/>
    <w:next w:val="Normal"/>
    <w:qFormat/>
    <w:rsid w:val="00ED5AED"/>
    <w:pPr>
      <w:numPr>
        <w:ilvl w:val="4"/>
        <w:numId w:val="1"/>
      </w:numPr>
      <w:spacing w:before="240" w:after="60"/>
      <w:outlineLvl w:val="4"/>
    </w:pPr>
    <w:rPr>
      <w:rFonts w:ascii="Arial" w:hAnsi="Arial"/>
    </w:rPr>
  </w:style>
  <w:style w:type="paragraph" w:styleId="Heading6">
    <w:name w:val="heading 6"/>
    <w:basedOn w:val="Normal"/>
    <w:next w:val="Normal"/>
    <w:qFormat/>
    <w:rsid w:val="00ED5AED"/>
    <w:pPr>
      <w:numPr>
        <w:ilvl w:val="5"/>
        <w:numId w:val="1"/>
      </w:numPr>
      <w:spacing w:before="240" w:after="60"/>
      <w:outlineLvl w:val="5"/>
    </w:pPr>
    <w:rPr>
      <w:rFonts w:ascii="Arial" w:hAnsi="Arial"/>
      <w:i/>
    </w:rPr>
  </w:style>
  <w:style w:type="paragraph" w:styleId="Heading7">
    <w:name w:val="heading 7"/>
    <w:basedOn w:val="Normal"/>
    <w:next w:val="Normal"/>
    <w:qFormat/>
    <w:rsid w:val="00ED5AED"/>
    <w:pPr>
      <w:numPr>
        <w:ilvl w:val="6"/>
        <w:numId w:val="1"/>
      </w:numPr>
      <w:spacing w:before="240" w:after="60"/>
      <w:outlineLvl w:val="6"/>
    </w:pPr>
    <w:rPr>
      <w:rFonts w:ascii="Arial" w:hAnsi="Arial"/>
    </w:rPr>
  </w:style>
  <w:style w:type="paragraph" w:styleId="Heading8">
    <w:name w:val="heading 8"/>
    <w:basedOn w:val="Normal"/>
    <w:next w:val="Normal"/>
    <w:qFormat/>
    <w:rsid w:val="00ED5AED"/>
    <w:pPr>
      <w:numPr>
        <w:ilvl w:val="7"/>
        <w:numId w:val="1"/>
      </w:numPr>
      <w:spacing w:before="240" w:after="60"/>
      <w:outlineLvl w:val="7"/>
    </w:pPr>
    <w:rPr>
      <w:rFonts w:ascii="Arial" w:hAnsi="Arial"/>
      <w:i/>
    </w:rPr>
  </w:style>
  <w:style w:type="paragraph" w:styleId="Heading9">
    <w:name w:val="heading 9"/>
    <w:basedOn w:val="Normal"/>
    <w:next w:val="Normal"/>
    <w:qFormat/>
    <w:rsid w:val="00ED5AED"/>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ED5AED"/>
    <w:pPr>
      <w:keepNext/>
      <w:keepLines/>
      <w:jc w:val="center"/>
    </w:pPr>
  </w:style>
  <w:style w:type="paragraph" w:customStyle="1" w:styleId="EMEATableLeft">
    <w:name w:val="EMEA Table Left"/>
    <w:basedOn w:val="EMEABodyText"/>
    <w:rsid w:val="00ED5AED"/>
    <w:pPr>
      <w:keepNext/>
      <w:keepLines/>
    </w:pPr>
  </w:style>
  <w:style w:type="paragraph" w:customStyle="1" w:styleId="EMEABodyTextIndent">
    <w:name w:val="EMEA Body Text Indent"/>
    <w:basedOn w:val="EMEABodyText"/>
    <w:next w:val="EMEABodyText"/>
    <w:rsid w:val="002204B5"/>
    <w:pPr>
      <w:numPr>
        <w:numId w:val="3"/>
      </w:numPr>
    </w:pPr>
  </w:style>
  <w:style w:type="paragraph" w:customStyle="1" w:styleId="EMEABodyText">
    <w:name w:val="EMEA Body Text"/>
    <w:basedOn w:val="Normal"/>
    <w:link w:val="EMEABodyTextChar"/>
    <w:rsid w:val="00ED5AED"/>
  </w:style>
  <w:style w:type="paragraph" w:customStyle="1" w:styleId="EMEATitle">
    <w:name w:val="EMEA Title"/>
    <w:basedOn w:val="EMEABodyText"/>
    <w:next w:val="EMEABodyText"/>
    <w:rsid w:val="00ED5AED"/>
    <w:pPr>
      <w:keepNext/>
      <w:keepLines/>
      <w:jc w:val="center"/>
    </w:pPr>
    <w:rPr>
      <w:b/>
    </w:rPr>
  </w:style>
  <w:style w:type="paragraph" w:customStyle="1" w:styleId="EMEAHeading1NoIndent">
    <w:name w:val="EMEA Heading 1 No Indent"/>
    <w:basedOn w:val="EMEABodyText"/>
    <w:next w:val="EMEABodyText"/>
    <w:rsid w:val="00ED5AED"/>
    <w:pPr>
      <w:keepNext/>
      <w:keepLines/>
      <w:outlineLvl w:val="0"/>
    </w:pPr>
    <w:rPr>
      <w:b/>
      <w:caps/>
    </w:rPr>
  </w:style>
  <w:style w:type="paragraph" w:customStyle="1" w:styleId="EMEAHeading3">
    <w:name w:val="EMEA Heading 3"/>
    <w:basedOn w:val="EMEABodyText"/>
    <w:next w:val="EMEABodyText"/>
    <w:rsid w:val="00ED5AED"/>
    <w:pPr>
      <w:keepNext/>
      <w:keepLines/>
      <w:outlineLvl w:val="2"/>
    </w:pPr>
    <w:rPr>
      <w:b/>
    </w:rPr>
  </w:style>
  <w:style w:type="paragraph" w:customStyle="1" w:styleId="EMEAHeading1">
    <w:name w:val="EMEA Heading 1"/>
    <w:basedOn w:val="EMEABodyText"/>
    <w:next w:val="EMEABodyText"/>
    <w:rsid w:val="00ED5AED"/>
    <w:pPr>
      <w:keepNext/>
      <w:keepLines/>
      <w:ind w:left="567" w:hanging="567"/>
      <w:outlineLvl w:val="0"/>
    </w:pPr>
    <w:rPr>
      <w:b/>
      <w:caps/>
    </w:rPr>
  </w:style>
  <w:style w:type="paragraph" w:customStyle="1" w:styleId="EMEAHeading2">
    <w:name w:val="EMEA Heading 2"/>
    <w:basedOn w:val="EMEABodyText"/>
    <w:next w:val="EMEABodyText"/>
    <w:rsid w:val="00ED5AED"/>
    <w:pPr>
      <w:keepNext/>
      <w:keepLines/>
      <w:ind w:left="567" w:hanging="567"/>
      <w:outlineLvl w:val="1"/>
    </w:pPr>
    <w:rPr>
      <w:b/>
    </w:rPr>
  </w:style>
  <w:style w:type="paragraph" w:customStyle="1" w:styleId="EMEAAddress">
    <w:name w:val="EMEA Address"/>
    <w:basedOn w:val="EMEABodyText"/>
    <w:next w:val="EMEABodyText"/>
    <w:rsid w:val="00ED5AED"/>
    <w:pPr>
      <w:keepLines/>
    </w:pPr>
  </w:style>
  <w:style w:type="paragraph" w:customStyle="1" w:styleId="EMEAComment">
    <w:name w:val="EMEA Comment"/>
    <w:basedOn w:val="EMEABodyText"/>
    <w:rsid w:val="00ED5AED"/>
    <w:pPr>
      <w:suppressLineNumbers/>
    </w:pPr>
    <w:rPr>
      <w:i/>
      <w:sz w:val="20"/>
    </w:rPr>
  </w:style>
  <w:style w:type="paragraph" w:styleId="DocumentMap">
    <w:name w:val="Document Map"/>
    <w:basedOn w:val="Normal"/>
    <w:semiHidden/>
    <w:rsid w:val="00ED5AED"/>
    <w:pPr>
      <w:shd w:val="clear" w:color="auto" w:fill="000080"/>
    </w:pPr>
    <w:rPr>
      <w:rFonts w:ascii="Tahoma" w:hAnsi="Tahoma"/>
    </w:rPr>
  </w:style>
  <w:style w:type="paragraph" w:customStyle="1" w:styleId="EMEAHiddenTitlePIL">
    <w:name w:val="EMEA Hidden Title PIL"/>
    <w:basedOn w:val="EMEABodyText"/>
    <w:next w:val="EMEABodyText"/>
    <w:rsid w:val="00ED5AED"/>
    <w:pPr>
      <w:keepNext/>
      <w:keepLines/>
    </w:pPr>
    <w:rPr>
      <w:i/>
    </w:rPr>
  </w:style>
  <w:style w:type="paragraph" w:customStyle="1" w:styleId="EMEAHiddenTitlePAC">
    <w:name w:val="EMEA Hidden Title PAC"/>
    <w:basedOn w:val="EMEAHiddenTitlePIL"/>
    <w:next w:val="EMEABodyText"/>
    <w:rsid w:val="00ED5AED"/>
    <w:pPr>
      <w:ind w:left="567" w:hanging="567"/>
    </w:pPr>
    <w:rPr>
      <w:b/>
      <w:i w:val="0"/>
      <w:caps/>
    </w:rPr>
  </w:style>
  <w:style w:type="character" w:customStyle="1" w:styleId="BMSInstructionText">
    <w:name w:val="BMS Instruction Text"/>
    <w:rsid w:val="00ED5AED"/>
    <w:rPr>
      <w:rFonts w:ascii="Times New Roman" w:hAnsi="Times New Roman"/>
      <w:i/>
      <w:dstrike w:val="0"/>
      <w:vanish/>
      <w:color w:val="FF0000"/>
      <w:sz w:val="24"/>
      <w:u w:val="none"/>
      <w:vertAlign w:val="baseline"/>
    </w:rPr>
  </w:style>
  <w:style w:type="character" w:customStyle="1" w:styleId="EMEASubscript">
    <w:name w:val="EMEA Subscript"/>
    <w:rsid w:val="00ED5AED"/>
    <w:rPr>
      <w:sz w:val="22"/>
      <w:vertAlign w:val="subscript"/>
    </w:rPr>
  </w:style>
  <w:style w:type="character" w:customStyle="1" w:styleId="EMEASuperscript">
    <w:name w:val="EMEA Superscript"/>
    <w:rsid w:val="00ED5AED"/>
    <w:rPr>
      <w:sz w:val="22"/>
      <w:vertAlign w:val="superscript"/>
    </w:rPr>
  </w:style>
  <w:style w:type="paragraph" w:customStyle="1" w:styleId="EMEATableHeader">
    <w:name w:val="EMEA Table Header"/>
    <w:basedOn w:val="EMEATableCentered"/>
    <w:rsid w:val="00ED5AED"/>
    <w:rPr>
      <w:b/>
    </w:rPr>
  </w:style>
  <w:style w:type="paragraph" w:styleId="TOC1">
    <w:name w:val="toc 1"/>
    <w:basedOn w:val="Normal"/>
    <w:next w:val="Normal"/>
    <w:autoRedefine/>
    <w:semiHidden/>
    <w:rsid w:val="00ED5AED"/>
  </w:style>
  <w:style w:type="paragraph" w:styleId="TOC2">
    <w:name w:val="toc 2"/>
    <w:basedOn w:val="Normal"/>
    <w:next w:val="Normal"/>
    <w:autoRedefine/>
    <w:semiHidden/>
    <w:rsid w:val="00ED5AED"/>
    <w:pPr>
      <w:ind w:left="220"/>
    </w:pPr>
  </w:style>
  <w:style w:type="paragraph" w:styleId="TOC3">
    <w:name w:val="toc 3"/>
    <w:basedOn w:val="Normal"/>
    <w:next w:val="Normal"/>
    <w:autoRedefine/>
    <w:semiHidden/>
    <w:rsid w:val="00ED5AED"/>
    <w:pPr>
      <w:ind w:left="440"/>
    </w:pPr>
  </w:style>
  <w:style w:type="paragraph" w:styleId="TOC4">
    <w:name w:val="toc 4"/>
    <w:basedOn w:val="Normal"/>
    <w:next w:val="Normal"/>
    <w:autoRedefine/>
    <w:semiHidden/>
    <w:rsid w:val="00ED5AED"/>
    <w:pPr>
      <w:ind w:left="660"/>
    </w:pPr>
  </w:style>
  <w:style w:type="paragraph" w:styleId="TOC5">
    <w:name w:val="toc 5"/>
    <w:basedOn w:val="Normal"/>
    <w:next w:val="Normal"/>
    <w:autoRedefine/>
    <w:semiHidden/>
    <w:rsid w:val="00ED5AED"/>
    <w:pPr>
      <w:ind w:left="880"/>
    </w:pPr>
  </w:style>
  <w:style w:type="paragraph" w:styleId="TOC6">
    <w:name w:val="toc 6"/>
    <w:basedOn w:val="Normal"/>
    <w:next w:val="Normal"/>
    <w:autoRedefine/>
    <w:semiHidden/>
    <w:rsid w:val="00ED5AED"/>
    <w:pPr>
      <w:ind w:left="1100"/>
    </w:pPr>
  </w:style>
  <w:style w:type="paragraph" w:styleId="TOC7">
    <w:name w:val="toc 7"/>
    <w:basedOn w:val="Normal"/>
    <w:next w:val="Normal"/>
    <w:autoRedefine/>
    <w:semiHidden/>
    <w:rsid w:val="00ED5AED"/>
    <w:pPr>
      <w:ind w:left="1320"/>
    </w:pPr>
  </w:style>
  <w:style w:type="paragraph" w:styleId="TOC8">
    <w:name w:val="toc 8"/>
    <w:basedOn w:val="Normal"/>
    <w:next w:val="Normal"/>
    <w:autoRedefine/>
    <w:semiHidden/>
    <w:rsid w:val="00ED5AED"/>
    <w:pPr>
      <w:ind w:left="1540"/>
    </w:pPr>
  </w:style>
  <w:style w:type="paragraph" w:styleId="TOC9">
    <w:name w:val="toc 9"/>
    <w:basedOn w:val="Normal"/>
    <w:next w:val="Normal"/>
    <w:autoRedefine/>
    <w:semiHidden/>
    <w:rsid w:val="00ED5AED"/>
    <w:pPr>
      <w:ind w:left="1760"/>
    </w:pPr>
  </w:style>
  <w:style w:type="paragraph" w:styleId="Header">
    <w:name w:val="header"/>
    <w:basedOn w:val="Normal"/>
    <w:rsid w:val="00ED5AED"/>
    <w:pPr>
      <w:tabs>
        <w:tab w:val="left" w:pos="567"/>
        <w:tab w:val="center" w:pos="4153"/>
        <w:tab w:val="right" w:pos="8306"/>
      </w:tabs>
    </w:pPr>
    <w:rPr>
      <w:rFonts w:ascii="Helvetica" w:hAnsi="Helvetica"/>
      <w:sz w:val="20"/>
    </w:rPr>
  </w:style>
  <w:style w:type="paragraph" w:styleId="Footer">
    <w:name w:val="footer"/>
    <w:basedOn w:val="Normal"/>
    <w:rsid w:val="00ED5AED"/>
    <w:pPr>
      <w:tabs>
        <w:tab w:val="left" w:pos="567"/>
        <w:tab w:val="center" w:pos="4536"/>
        <w:tab w:val="center" w:pos="8930"/>
      </w:tabs>
    </w:pPr>
    <w:rPr>
      <w:rFonts w:ascii="Helvetica" w:hAnsi="Helvetica"/>
      <w:sz w:val="16"/>
    </w:rPr>
  </w:style>
  <w:style w:type="character" w:styleId="PageNumber">
    <w:name w:val="page number"/>
    <w:basedOn w:val="DefaultParagraphFont"/>
    <w:rsid w:val="00ED5AED"/>
  </w:style>
  <w:style w:type="paragraph" w:styleId="EndnoteText">
    <w:name w:val="endnote text"/>
    <w:basedOn w:val="Normal"/>
    <w:semiHidden/>
    <w:rsid w:val="00ED5AED"/>
    <w:pPr>
      <w:tabs>
        <w:tab w:val="left" w:pos="567"/>
      </w:tabs>
    </w:pPr>
  </w:style>
  <w:style w:type="paragraph" w:customStyle="1" w:styleId="EMEATitlePAC">
    <w:name w:val="EMEA Title PAC"/>
    <w:basedOn w:val="EMEAHiddenTitlePIL"/>
    <w:next w:val="EMEABodyText"/>
    <w:rsid w:val="00D02BC8"/>
    <w:pPr>
      <w:pBdr>
        <w:top w:val="single" w:sz="4" w:space="1" w:color="auto"/>
        <w:left w:val="single" w:sz="4" w:space="4" w:color="auto"/>
        <w:bottom w:val="single" w:sz="4" w:space="1" w:color="auto"/>
        <w:right w:val="single" w:sz="4" w:space="4" w:color="auto"/>
      </w:pBdr>
    </w:pPr>
    <w:rPr>
      <w:b/>
      <w:i w:val="0"/>
      <w:caps/>
    </w:rPr>
  </w:style>
  <w:style w:type="paragraph" w:customStyle="1" w:styleId="EMEAEnBodyText">
    <w:name w:val="EMEA En Body Text"/>
    <w:basedOn w:val="Normal"/>
    <w:rsid w:val="00D02BC8"/>
    <w:pPr>
      <w:spacing w:before="120" w:after="120"/>
      <w:jc w:val="both"/>
    </w:pPr>
  </w:style>
  <w:style w:type="character" w:styleId="Hyperlink">
    <w:name w:val="Hyperlink"/>
    <w:rsid w:val="00D02BC8"/>
    <w:rPr>
      <w:color w:val="0000FF"/>
      <w:u w:val="single"/>
    </w:rPr>
  </w:style>
  <w:style w:type="character" w:customStyle="1" w:styleId="EMEABodyTextChar">
    <w:name w:val="EMEA Body Text Char"/>
    <w:link w:val="EMEABodyText"/>
    <w:rsid w:val="00D02BC8"/>
    <w:rPr>
      <w:sz w:val="22"/>
      <w:lang w:eastAsia="en-US"/>
    </w:rPr>
  </w:style>
  <w:style w:type="character" w:customStyle="1" w:styleId="BMSSubscript">
    <w:name w:val="BMS Subscript"/>
    <w:rsid w:val="00D02BC8"/>
    <w:rPr>
      <w:sz w:val="28"/>
      <w:szCs w:val="28"/>
      <w:vertAlign w:val="subscript"/>
    </w:rPr>
  </w:style>
  <w:style w:type="paragraph" w:styleId="BodyTextIndent">
    <w:name w:val="Body Text Indent"/>
    <w:basedOn w:val="Normal"/>
    <w:link w:val="BodyTextIndentChar"/>
    <w:rsid w:val="00D02BC8"/>
    <w:pPr>
      <w:autoSpaceDE w:val="0"/>
      <w:autoSpaceDN w:val="0"/>
      <w:adjustRightInd w:val="0"/>
      <w:ind w:left="720"/>
      <w:jc w:val="both"/>
    </w:pPr>
    <w:rPr>
      <w:szCs w:val="22"/>
      <w:lang w:eastAsia="en-GB"/>
    </w:rPr>
  </w:style>
  <w:style w:type="character" w:customStyle="1" w:styleId="BodyTextIndentChar">
    <w:name w:val="Body Text Indent Char"/>
    <w:link w:val="BodyTextIndent"/>
    <w:rsid w:val="00D02BC8"/>
    <w:rPr>
      <w:sz w:val="22"/>
      <w:szCs w:val="22"/>
    </w:rPr>
  </w:style>
  <w:style w:type="table" w:styleId="TableGrid">
    <w:name w:val="Table Grid"/>
    <w:basedOn w:val="TableNormal"/>
    <w:rsid w:val="00D02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02BC8"/>
    <w:rPr>
      <w:rFonts w:ascii="Tahoma" w:hAnsi="Tahoma" w:cs="Tahoma"/>
      <w:sz w:val="16"/>
      <w:szCs w:val="16"/>
    </w:rPr>
  </w:style>
  <w:style w:type="character" w:customStyle="1" w:styleId="BalloonTextChar">
    <w:name w:val="Balloon Text Char"/>
    <w:link w:val="BalloonText"/>
    <w:rsid w:val="00D02BC8"/>
    <w:rPr>
      <w:rFonts w:ascii="Tahoma" w:hAnsi="Tahoma" w:cs="Tahoma"/>
      <w:sz w:val="16"/>
      <w:szCs w:val="16"/>
      <w:lang w:eastAsia="en-US"/>
    </w:rPr>
  </w:style>
  <w:style w:type="paragraph" w:customStyle="1" w:styleId="emeabodytext0">
    <w:name w:val="emeabodytext"/>
    <w:basedOn w:val="Normal"/>
    <w:rsid w:val="00D02BC8"/>
    <w:pPr>
      <w:spacing w:before="100" w:beforeAutospacing="1" w:after="100" w:afterAutospacing="1"/>
    </w:pPr>
    <w:rPr>
      <w:sz w:val="24"/>
      <w:szCs w:val="24"/>
    </w:rPr>
  </w:style>
  <w:style w:type="paragraph" w:customStyle="1" w:styleId="BMSTableText">
    <w:name w:val="BMS Table Text"/>
    <w:link w:val="BMSTableTextChar"/>
    <w:rsid w:val="00D02BC8"/>
    <w:pPr>
      <w:tabs>
        <w:tab w:val="left" w:pos="360"/>
      </w:tabs>
      <w:spacing w:before="60" w:after="60"/>
      <w:jc w:val="center"/>
    </w:pPr>
  </w:style>
  <w:style w:type="character" w:customStyle="1" w:styleId="BMSTableTextChar">
    <w:name w:val="BMS Table Text Char"/>
    <w:link w:val="BMSTableText"/>
    <w:rsid w:val="00D02BC8"/>
    <w:rPr>
      <w:lang w:val="bg-BG" w:eastAsia="en-US" w:bidi="ar-SA"/>
    </w:rPr>
  </w:style>
  <w:style w:type="character" w:customStyle="1" w:styleId="BMSSuperscript">
    <w:name w:val="BMS Superscript"/>
    <w:rsid w:val="00D02BC8"/>
    <w:rPr>
      <w:sz w:val="28"/>
      <w:vertAlign w:val="superscript"/>
    </w:rPr>
  </w:style>
  <w:style w:type="paragraph" w:customStyle="1" w:styleId="StyleBMSTableText9pt">
    <w:name w:val="Style BMS Table Text + 9 pt"/>
    <w:basedOn w:val="BMSTableText"/>
    <w:link w:val="StyleBMSTableText9ptChar"/>
    <w:rsid w:val="00D02BC8"/>
    <w:pPr>
      <w:jc w:val="left"/>
    </w:pPr>
    <w:rPr>
      <w:sz w:val="18"/>
    </w:rPr>
  </w:style>
  <w:style w:type="character" w:customStyle="1" w:styleId="StyleBMSTableText9ptChar">
    <w:name w:val="Style BMS Table Text + 9 pt Char"/>
    <w:link w:val="StyleBMSTableText9pt"/>
    <w:rsid w:val="00D02BC8"/>
    <w:rPr>
      <w:sz w:val="18"/>
      <w:lang w:val="bg-BG" w:eastAsia="en-US" w:bidi="ar-SA"/>
    </w:rPr>
  </w:style>
  <w:style w:type="paragraph" w:customStyle="1" w:styleId="BMSBodyText">
    <w:name w:val="BMS Body Text"/>
    <w:link w:val="BMSBodyTextChar"/>
    <w:rsid w:val="00D02BC8"/>
    <w:pPr>
      <w:spacing w:before="120" w:after="120" w:line="300" w:lineRule="auto"/>
      <w:jc w:val="both"/>
    </w:pPr>
    <w:rPr>
      <w:color w:val="000000"/>
      <w:sz w:val="24"/>
    </w:rPr>
  </w:style>
  <w:style w:type="character" w:customStyle="1" w:styleId="BMSBodyTextChar">
    <w:name w:val="BMS Body Text Char"/>
    <w:link w:val="BMSBodyText"/>
    <w:rsid w:val="00D02BC8"/>
    <w:rPr>
      <w:color w:val="000000"/>
      <w:sz w:val="24"/>
      <w:lang w:val="bg-BG" w:eastAsia="en-US" w:bidi="ar-SA"/>
    </w:rPr>
  </w:style>
  <w:style w:type="character" w:styleId="CommentReference">
    <w:name w:val="annotation reference"/>
    <w:rsid w:val="00D02BC8"/>
    <w:rPr>
      <w:sz w:val="16"/>
      <w:szCs w:val="16"/>
    </w:rPr>
  </w:style>
  <w:style w:type="paragraph" w:styleId="CommentText">
    <w:name w:val="annotation text"/>
    <w:basedOn w:val="Normal"/>
    <w:link w:val="CommentTextChar"/>
    <w:rsid w:val="00D02BC8"/>
    <w:rPr>
      <w:sz w:val="20"/>
    </w:rPr>
  </w:style>
  <w:style w:type="character" w:customStyle="1" w:styleId="CommentTextChar">
    <w:name w:val="Comment Text Char"/>
    <w:link w:val="CommentText"/>
    <w:rsid w:val="00D02BC8"/>
    <w:rPr>
      <w:lang w:eastAsia="en-US"/>
    </w:rPr>
  </w:style>
  <w:style w:type="paragraph" w:styleId="CommentSubject">
    <w:name w:val="annotation subject"/>
    <w:basedOn w:val="CommentText"/>
    <w:next w:val="CommentText"/>
    <w:link w:val="CommentSubjectChar"/>
    <w:rsid w:val="00D02BC8"/>
    <w:rPr>
      <w:b/>
      <w:bCs/>
    </w:rPr>
  </w:style>
  <w:style w:type="character" w:customStyle="1" w:styleId="CommentSubjectChar">
    <w:name w:val="Comment Subject Char"/>
    <w:link w:val="CommentSubject"/>
    <w:rsid w:val="00D02BC8"/>
    <w:rPr>
      <w:b/>
      <w:bCs/>
      <w:lang w:eastAsia="en-US"/>
    </w:rPr>
  </w:style>
  <w:style w:type="paragraph" w:customStyle="1" w:styleId="BMSTableHeader">
    <w:name w:val="BMS Table Header"/>
    <w:basedOn w:val="BMSTableText"/>
    <w:rsid w:val="00D02BC8"/>
    <w:rPr>
      <w:b/>
    </w:rPr>
  </w:style>
  <w:style w:type="paragraph" w:customStyle="1" w:styleId="Default">
    <w:name w:val="Default"/>
    <w:rsid w:val="00D02BC8"/>
    <w:pPr>
      <w:autoSpaceDE w:val="0"/>
      <w:autoSpaceDN w:val="0"/>
      <w:adjustRightInd w:val="0"/>
    </w:pPr>
    <w:rPr>
      <w:color w:val="000000"/>
      <w:sz w:val="24"/>
      <w:szCs w:val="24"/>
      <w:lang w:eastAsia="en-GB"/>
    </w:rPr>
  </w:style>
  <w:style w:type="paragraph" w:styleId="NormalWeb">
    <w:name w:val="Normal (Web)"/>
    <w:basedOn w:val="Normal"/>
    <w:uiPriority w:val="99"/>
    <w:unhideWhenUsed/>
    <w:rsid w:val="00D02BC8"/>
    <w:pPr>
      <w:spacing w:before="100" w:beforeAutospacing="1" w:after="100" w:afterAutospacing="1"/>
    </w:pPr>
    <w:rPr>
      <w:sz w:val="24"/>
      <w:szCs w:val="24"/>
    </w:rPr>
  </w:style>
  <w:style w:type="paragraph" w:customStyle="1" w:styleId="BodytextAgency">
    <w:name w:val="Body text (Agency)"/>
    <w:basedOn w:val="Normal"/>
    <w:link w:val="BodytextAgencyChar"/>
    <w:rsid w:val="002A644A"/>
    <w:pPr>
      <w:spacing w:after="140" w:line="280" w:lineRule="atLeast"/>
    </w:pPr>
    <w:rPr>
      <w:rFonts w:eastAsia="Verdana"/>
      <w:szCs w:val="18"/>
      <w:lang w:eastAsia="x-none"/>
    </w:rPr>
  </w:style>
  <w:style w:type="character" w:customStyle="1" w:styleId="BodytextAgencyChar">
    <w:name w:val="Body text (Agency) Char"/>
    <w:link w:val="BodytextAgency"/>
    <w:rsid w:val="002A644A"/>
    <w:rPr>
      <w:rFonts w:eastAsia="Verdana"/>
      <w:sz w:val="22"/>
      <w:szCs w:val="18"/>
      <w:lang w:val="bg-BG" w:eastAsia="x-none"/>
    </w:rPr>
  </w:style>
  <w:style w:type="paragraph" w:customStyle="1" w:styleId="BMSTableTitle">
    <w:name w:val="BMS Table Title"/>
    <w:rsid w:val="00187713"/>
    <w:pPr>
      <w:keepNext/>
      <w:keepLines/>
      <w:tabs>
        <w:tab w:val="left" w:pos="2160"/>
      </w:tabs>
      <w:spacing w:before="120" w:after="120"/>
      <w:ind w:left="2160" w:hanging="2160"/>
    </w:pPr>
    <w:rPr>
      <w:b/>
      <w:sz w:val="24"/>
    </w:rPr>
  </w:style>
  <w:style w:type="paragraph" w:styleId="Revision">
    <w:name w:val="Revision"/>
    <w:hidden/>
    <w:uiPriority w:val="99"/>
    <w:semiHidden/>
    <w:rsid w:val="00E427A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4450">
      <w:bodyDiv w:val="1"/>
      <w:marLeft w:val="0"/>
      <w:marRight w:val="0"/>
      <w:marTop w:val="0"/>
      <w:marBottom w:val="0"/>
      <w:divBdr>
        <w:top w:val="none" w:sz="0" w:space="0" w:color="auto"/>
        <w:left w:val="none" w:sz="0" w:space="0" w:color="auto"/>
        <w:bottom w:val="none" w:sz="0" w:space="0" w:color="auto"/>
        <w:right w:val="none" w:sz="0" w:space="0" w:color="auto"/>
      </w:divBdr>
    </w:div>
    <w:div w:id="68044161">
      <w:bodyDiv w:val="1"/>
      <w:marLeft w:val="0"/>
      <w:marRight w:val="0"/>
      <w:marTop w:val="0"/>
      <w:marBottom w:val="0"/>
      <w:divBdr>
        <w:top w:val="none" w:sz="0" w:space="0" w:color="auto"/>
        <w:left w:val="none" w:sz="0" w:space="0" w:color="auto"/>
        <w:bottom w:val="none" w:sz="0" w:space="0" w:color="auto"/>
        <w:right w:val="none" w:sz="0" w:space="0" w:color="auto"/>
      </w:divBdr>
    </w:div>
    <w:div w:id="154810655">
      <w:bodyDiv w:val="1"/>
      <w:marLeft w:val="0"/>
      <w:marRight w:val="0"/>
      <w:marTop w:val="0"/>
      <w:marBottom w:val="0"/>
      <w:divBdr>
        <w:top w:val="none" w:sz="0" w:space="0" w:color="auto"/>
        <w:left w:val="none" w:sz="0" w:space="0" w:color="auto"/>
        <w:bottom w:val="none" w:sz="0" w:space="0" w:color="auto"/>
        <w:right w:val="none" w:sz="0" w:space="0" w:color="auto"/>
      </w:divBdr>
    </w:div>
    <w:div w:id="172457801">
      <w:bodyDiv w:val="1"/>
      <w:marLeft w:val="0"/>
      <w:marRight w:val="0"/>
      <w:marTop w:val="0"/>
      <w:marBottom w:val="0"/>
      <w:divBdr>
        <w:top w:val="none" w:sz="0" w:space="0" w:color="auto"/>
        <w:left w:val="none" w:sz="0" w:space="0" w:color="auto"/>
        <w:bottom w:val="none" w:sz="0" w:space="0" w:color="auto"/>
        <w:right w:val="none" w:sz="0" w:space="0" w:color="auto"/>
      </w:divBdr>
    </w:div>
    <w:div w:id="351539663">
      <w:bodyDiv w:val="1"/>
      <w:marLeft w:val="0"/>
      <w:marRight w:val="0"/>
      <w:marTop w:val="0"/>
      <w:marBottom w:val="0"/>
      <w:divBdr>
        <w:top w:val="none" w:sz="0" w:space="0" w:color="auto"/>
        <w:left w:val="none" w:sz="0" w:space="0" w:color="auto"/>
        <w:bottom w:val="none" w:sz="0" w:space="0" w:color="auto"/>
        <w:right w:val="none" w:sz="0" w:space="0" w:color="auto"/>
      </w:divBdr>
    </w:div>
    <w:div w:id="522674128">
      <w:bodyDiv w:val="1"/>
      <w:marLeft w:val="0"/>
      <w:marRight w:val="0"/>
      <w:marTop w:val="0"/>
      <w:marBottom w:val="0"/>
      <w:divBdr>
        <w:top w:val="none" w:sz="0" w:space="0" w:color="auto"/>
        <w:left w:val="none" w:sz="0" w:space="0" w:color="auto"/>
        <w:bottom w:val="none" w:sz="0" w:space="0" w:color="auto"/>
        <w:right w:val="none" w:sz="0" w:space="0" w:color="auto"/>
      </w:divBdr>
    </w:div>
    <w:div w:id="526262125">
      <w:bodyDiv w:val="1"/>
      <w:marLeft w:val="0"/>
      <w:marRight w:val="0"/>
      <w:marTop w:val="0"/>
      <w:marBottom w:val="0"/>
      <w:divBdr>
        <w:top w:val="none" w:sz="0" w:space="0" w:color="auto"/>
        <w:left w:val="none" w:sz="0" w:space="0" w:color="auto"/>
        <w:bottom w:val="none" w:sz="0" w:space="0" w:color="auto"/>
        <w:right w:val="none" w:sz="0" w:space="0" w:color="auto"/>
      </w:divBdr>
    </w:div>
    <w:div w:id="548809938">
      <w:bodyDiv w:val="1"/>
      <w:marLeft w:val="0"/>
      <w:marRight w:val="0"/>
      <w:marTop w:val="0"/>
      <w:marBottom w:val="0"/>
      <w:divBdr>
        <w:top w:val="none" w:sz="0" w:space="0" w:color="auto"/>
        <w:left w:val="none" w:sz="0" w:space="0" w:color="auto"/>
        <w:bottom w:val="none" w:sz="0" w:space="0" w:color="auto"/>
        <w:right w:val="none" w:sz="0" w:space="0" w:color="auto"/>
      </w:divBdr>
    </w:div>
    <w:div w:id="569845766">
      <w:bodyDiv w:val="1"/>
      <w:marLeft w:val="0"/>
      <w:marRight w:val="0"/>
      <w:marTop w:val="0"/>
      <w:marBottom w:val="0"/>
      <w:divBdr>
        <w:top w:val="none" w:sz="0" w:space="0" w:color="auto"/>
        <w:left w:val="none" w:sz="0" w:space="0" w:color="auto"/>
        <w:bottom w:val="none" w:sz="0" w:space="0" w:color="auto"/>
        <w:right w:val="none" w:sz="0" w:space="0" w:color="auto"/>
      </w:divBdr>
    </w:div>
    <w:div w:id="599607153">
      <w:bodyDiv w:val="1"/>
      <w:marLeft w:val="0"/>
      <w:marRight w:val="0"/>
      <w:marTop w:val="0"/>
      <w:marBottom w:val="0"/>
      <w:divBdr>
        <w:top w:val="none" w:sz="0" w:space="0" w:color="auto"/>
        <w:left w:val="none" w:sz="0" w:space="0" w:color="auto"/>
        <w:bottom w:val="none" w:sz="0" w:space="0" w:color="auto"/>
        <w:right w:val="none" w:sz="0" w:space="0" w:color="auto"/>
      </w:divBdr>
    </w:div>
    <w:div w:id="620839406">
      <w:bodyDiv w:val="1"/>
      <w:marLeft w:val="0"/>
      <w:marRight w:val="0"/>
      <w:marTop w:val="0"/>
      <w:marBottom w:val="0"/>
      <w:divBdr>
        <w:top w:val="none" w:sz="0" w:space="0" w:color="auto"/>
        <w:left w:val="none" w:sz="0" w:space="0" w:color="auto"/>
        <w:bottom w:val="none" w:sz="0" w:space="0" w:color="auto"/>
        <w:right w:val="none" w:sz="0" w:space="0" w:color="auto"/>
      </w:divBdr>
    </w:div>
    <w:div w:id="622468668">
      <w:bodyDiv w:val="1"/>
      <w:marLeft w:val="0"/>
      <w:marRight w:val="0"/>
      <w:marTop w:val="0"/>
      <w:marBottom w:val="0"/>
      <w:divBdr>
        <w:top w:val="none" w:sz="0" w:space="0" w:color="auto"/>
        <w:left w:val="none" w:sz="0" w:space="0" w:color="auto"/>
        <w:bottom w:val="none" w:sz="0" w:space="0" w:color="auto"/>
        <w:right w:val="none" w:sz="0" w:space="0" w:color="auto"/>
      </w:divBdr>
    </w:div>
    <w:div w:id="868109775">
      <w:bodyDiv w:val="1"/>
      <w:marLeft w:val="0"/>
      <w:marRight w:val="0"/>
      <w:marTop w:val="0"/>
      <w:marBottom w:val="0"/>
      <w:divBdr>
        <w:top w:val="none" w:sz="0" w:space="0" w:color="auto"/>
        <w:left w:val="none" w:sz="0" w:space="0" w:color="auto"/>
        <w:bottom w:val="none" w:sz="0" w:space="0" w:color="auto"/>
        <w:right w:val="none" w:sz="0" w:space="0" w:color="auto"/>
      </w:divBdr>
    </w:div>
    <w:div w:id="1063913667">
      <w:bodyDiv w:val="1"/>
      <w:marLeft w:val="0"/>
      <w:marRight w:val="0"/>
      <w:marTop w:val="0"/>
      <w:marBottom w:val="0"/>
      <w:divBdr>
        <w:top w:val="none" w:sz="0" w:space="0" w:color="auto"/>
        <w:left w:val="none" w:sz="0" w:space="0" w:color="auto"/>
        <w:bottom w:val="none" w:sz="0" w:space="0" w:color="auto"/>
        <w:right w:val="none" w:sz="0" w:space="0" w:color="auto"/>
      </w:divBdr>
    </w:div>
    <w:div w:id="1074624720">
      <w:bodyDiv w:val="1"/>
      <w:marLeft w:val="0"/>
      <w:marRight w:val="0"/>
      <w:marTop w:val="0"/>
      <w:marBottom w:val="0"/>
      <w:divBdr>
        <w:top w:val="none" w:sz="0" w:space="0" w:color="auto"/>
        <w:left w:val="none" w:sz="0" w:space="0" w:color="auto"/>
        <w:bottom w:val="none" w:sz="0" w:space="0" w:color="auto"/>
        <w:right w:val="none" w:sz="0" w:space="0" w:color="auto"/>
      </w:divBdr>
    </w:div>
    <w:div w:id="1090854718">
      <w:bodyDiv w:val="1"/>
      <w:marLeft w:val="0"/>
      <w:marRight w:val="0"/>
      <w:marTop w:val="0"/>
      <w:marBottom w:val="0"/>
      <w:divBdr>
        <w:top w:val="none" w:sz="0" w:space="0" w:color="auto"/>
        <w:left w:val="none" w:sz="0" w:space="0" w:color="auto"/>
        <w:bottom w:val="none" w:sz="0" w:space="0" w:color="auto"/>
        <w:right w:val="none" w:sz="0" w:space="0" w:color="auto"/>
      </w:divBdr>
    </w:div>
    <w:div w:id="1100756559">
      <w:bodyDiv w:val="1"/>
      <w:marLeft w:val="0"/>
      <w:marRight w:val="0"/>
      <w:marTop w:val="0"/>
      <w:marBottom w:val="0"/>
      <w:divBdr>
        <w:top w:val="none" w:sz="0" w:space="0" w:color="auto"/>
        <w:left w:val="none" w:sz="0" w:space="0" w:color="auto"/>
        <w:bottom w:val="none" w:sz="0" w:space="0" w:color="auto"/>
        <w:right w:val="none" w:sz="0" w:space="0" w:color="auto"/>
      </w:divBdr>
    </w:div>
    <w:div w:id="1117871681">
      <w:bodyDiv w:val="1"/>
      <w:marLeft w:val="0"/>
      <w:marRight w:val="0"/>
      <w:marTop w:val="0"/>
      <w:marBottom w:val="0"/>
      <w:divBdr>
        <w:top w:val="none" w:sz="0" w:space="0" w:color="auto"/>
        <w:left w:val="none" w:sz="0" w:space="0" w:color="auto"/>
        <w:bottom w:val="none" w:sz="0" w:space="0" w:color="auto"/>
        <w:right w:val="none" w:sz="0" w:space="0" w:color="auto"/>
      </w:divBdr>
    </w:div>
    <w:div w:id="1277519319">
      <w:bodyDiv w:val="1"/>
      <w:marLeft w:val="0"/>
      <w:marRight w:val="0"/>
      <w:marTop w:val="0"/>
      <w:marBottom w:val="0"/>
      <w:divBdr>
        <w:top w:val="none" w:sz="0" w:space="0" w:color="auto"/>
        <w:left w:val="none" w:sz="0" w:space="0" w:color="auto"/>
        <w:bottom w:val="none" w:sz="0" w:space="0" w:color="auto"/>
        <w:right w:val="none" w:sz="0" w:space="0" w:color="auto"/>
      </w:divBdr>
    </w:div>
    <w:div w:id="1315988530">
      <w:bodyDiv w:val="1"/>
      <w:marLeft w:val="0"/>
      <w:marRight w:val="0"/>
      <w:marTop w:val="0"/>
      <w:marBottom w:val="0"/>
      <w:divBdr>
        <w:top w:val="none" w:sz="0" w:space="0" w:color="auto"/>
        <w:left w:val="none" w:sz="0" w:space="0" w:color="auto"/>
        <w:bottom w:val="none" w:sz="0" w:space="0" w:color="auto"/>
        <w:right w:val="none" w:sz="0" w:space="0" w:color="auto"/>
      </w:divBdr>
    </w:div>
    <w:div w:id="1330863491">
      <w:bodyDiv w:val="1"/>
      <w:marLeft w:val="0"/>
      <w:marRight w:val="0"/>
      <w:marTop w:val="0"/>
      <w:marBottom w:val="0"/>
      <w:divBdr>
        <w:top w:val="none" w:sz="0" w:space="0" w:color="auto"/>
        <w:left w:val="none" w:sz="0" w:space="0" w:color="auto"/>
        <w:bottom w:val="none" w:sz="0" w:space="0" w:color="auto"/>
        <w:right w:val="none" w:sz="0" w:space="0" w:color="auto"/>
      </w:divBdr>
    </w:div>
    <w:div w:id="1363021448">
      <w:bodyDiv w:val="1"/>
      <w:marLeft w:val="0"/>
      <w:marRight w:val="0"/>
      <w:marTop w:val="0"/>
      <w:marBottom w:val="0"/>
      <w:divBdr>
        <w:top w:val="none" w:sz="0" w:space="0" w:color="auto"/>
        <w:left w:val="none" w:sz="0" w:space="0" w:color="auto"/>
        <w:bottom w:val="none" w:sz="0" w:space="0" w:color="auto"/>
        <w:right w:val="none" w:sz="0" w:space="0" w:color="auto"/>
      </w:divBdr>
    </w:div>
    <w:div w:id="1449423319">
      <w:bodyDiv w:val="1"/>
      <w:marLeft w:val="0"/>
      <w:marRight w:val="0"/>
      <w:marTop w:val="0"/>
      <w:marBottom w:val="0"/>
      <w:divBdr>
        <w:top w:val="none" w:sz="0" w:space="0" w:color="auto"/>
        <w:left w:val="none" w:sz="0" w:space="0" w:color="auto"/>
        <w:bottom w:val="none" w:sz="0" w:space="0" w:color="auto"/>
        <w:right w:val="none" w:sz="0" w:space="0" w:color="auto"/>
      </w:divBdr>
    </w:div>
    <w:div w:id="1451390241">
      <w:bodyDiv w:val="1"/>
      <w:marLeft w:val="0"/>
      <w:marRight w:val="0"/>
      <w:marTop w:val="0"/>
      <w:marBottom w:val="0"/>
      <w:divBdr>
        <w:top w:val="none" w:sz="0" w:space="0" w:color="auto"/>
        <w:left w:val="none" w:sz="0" w:space="0" w:color="auto"/>
        <w:bottom w:val="none" w:sz="0" w:space="0" w:color="auto"/>
        <w:right w:val="none" w:sz="0" w:space="0" w:color="auto"/>
      </w:divBdr>
    </w:div>
    <w:div w:id="1570458145">
      <w:bodyDiv w:val="1"/>
      <w:marLeft w:val="0"/>
      <w:marRight w:val="0"/>
      <w:marTop w:val="0"/>
      <w:marBottom w:val="0"/>
      <w:divBdr>
        <w:top w:val="none" w:sz="0" w:space="0" w:color="auto"/>
        <w:left w:val="none" w:sz="0" w:space="0" w:color="auto"/>
        <w:bottom w:val="none" w:sz="0" w:space="0" w:color="auto"/>
        <w:right w:val="none" w:sz="0" w:space="0" w:color="auto"/>
      </w:divBdr>
    </w:div>
    <w:div w:id="1612516186">
      <w:bodyDiv w:val="1"/>
      <w:marLeft w:val="0"/>
      <w:marRight w:val="0"/>
      <w:marTop w:val="0"/>
      <w:marBottom w:val="0"/>
      <w:divBdr>
        <w:top w:val="none" w:sz="0" w:space="0" w:color="auto"/>
        <w:left w:val="none" w:sz="0" w:space="0" w:color="auto"/>
        <w:bottom w:val="none" w:sz="0" w:space="0" w:color="auto"/>
        <w:right w:val="none" w:sz="0" w:space="0" w:color="auto"/>
      </w:divBdr>
    </w:div>
    <w:div w:id="1621645063">
      <w:bodyDiv w:val="1"/>
      <w:marLeft w:val="0"/>
      <w:marRight w:val="0"/>
      <w:marTop w:val="0"/>
      <w:marBottom w:val="0"/>
      <w:divBdr>
        <w:top w:val="none" w:sz="0" w:space="0" w:color="auto"/>
        <w:left w:val="none" w:sz="0" w:space="0" w:color="auto"/>
        <w:bottom w:val="none" w:sz="0" w:space="0" w:color="auto"/>
        <w:right w:val="none" w:sz="0" w:space="0" w:color="auto"/>
      </w:divBdr>
    </w:div>
    <w:div w:id="2078433029">
      <w:bodyDiv w:val="1"/>
      <w:marLeft w:val="0"/>
      <w:marRight w:val="0"/>
      <w:marTop w:val="0"/>
      <w:marBottom w:val="0"/>
      <w:divBdr>
        <w:top w:val="none" w:sz="0" w:space="0" w:color="auto"/>
        <w:left w:val="none" w:sz="0" w:space="0" w:color="auto"/>
        <w:bottom w:val="none" w:sz="0" w:space="0" w:color="auto"/>
        <w:right w:val="none" w:sz="0" w:space="0" w:color="auto"/>
      </w:divBdr>
    </w:div>
    <w:div w:id="21216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b:Sourc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BB335-6A70-49B2-A771-3112C99B4AB0}">
  <ds:schemaRefs>
    <ds:schemaRef ds:uri="http://schemas.openxmlformats.org/officeDocument/2006/bibliography"/>
  </ds:schemaRefs>
</ds:datastoreItem>
</file>

<file path=customXml/itemProps2.xml><?xml version="1.0" encoding="utf-8"?>
<ds:datastoreItem xmlns:ds="http://schemas.openxmlformats.org/officeDocument/2006/customXml" ds:itemID="{1651837F-88E2-4983-9311-0B6FDA2326A9}"/>
</file>

<file path=customXml/itemProps3.xml><?xml version="1.0" encoding="utf-8"?>
<ds:datastoreItem xmlns:ds="http://schemas.openxmlformats.org/officeDocument/2006/customXml" ds:itemID="{CF1D78B0-209F-482F-8BA2-BCE80C77EC3C}"/>
</file>

<file path=customXml/itemProps4.xml><?xml version="1.0" encoding="utf-8"?>
<ds:datastoreItem xmlns:ds="http://schemas.openxmlformats.org/officeDocument/2006/customXml" ds:itemID="{BEE41DA0-8DB0-4478-995D-C06A1C7A4A8A}"/>
</file>

<file path=docProps/app.xml><?xml version="1.0" encoding="utf-8"?>
<Properties xmlns="http://schemas.openxmlformats.org/officeDocument/2006/extended-properties" xmlns:vt="http://schemas.openxmlformats.org/officeDocument/2006/docPropsVTypes">
  <Template>EMEALabelingCoreTemplate</Template>
  <TotalTime>16</TotalTime>
  <Pages>35</Pages>
  <Words>47694</Words>
  <Characters>271856</Characters>
  <Application>Microsoft Office Word</Application>
  <DocSecurity>0</DocSecurity>
  <Lines>2265</Lines>
  <Paragraphs>637</Paragraphs>
  <ScaleCrop>false</ScaleCrop>
  <HeadingPairs>
    <vt:vector size="2" baseType="variant">
      <vt:variant>
        <vt:lpstr>Title</vt:lpstr>
      </vt:variant>
      <vt:variant>
        <vt:i4>1</vt:i4>
      </vt:variant>
    </vt:vector>
  </HeadingPairs>
  <TitlesOfParts>
    <vt:vector size="1" baseType="lpstr">
      <vt:lpstr>Reyataz-H-494-IB-101-PI-d25-en-clean compared with Reyataz-H-494-X-094-PI-en-clean</vt:lpstr>
    </vt:vector>
  </TitlesOfParts>
  <Manager>WWRA-Europe</Manager>
  <Company>Bristol-Myers Squibb Int. Corp.</Company>
  <LinksUpToDate>false</LinksUpToDate>
  <CharactersWithSpaces>318913</CharactersWithSpaces>
  <SharedDoc>false</SharedDoc>
  <HLinks>
    <vt:vector size="42" baseType="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Reyataz-H-494-IB-101-PI-d25-en-clean compared with Reyataz-H-494-X-094-PI-en-clean</dc:title>
  <dc:subject>REYATAZ</dc:subject>
  <dc:creator>BMS</dc:creator>
  <cp:keywords>REYATAZ INT En</cp:keywords>
  <dc:description>jueves, 23 abr 2015 11:08:52</dc:description>
  <cp:lastModifiedBy>EMA MedWrit ES</cp:lastModifiedBy>
  <cp:revision>9</cp:revision>
  <cp:lastPrinted>2016-04-26T07:09:00Z</cp:lastPrinted>
  <dcterms:created xsi:type="dcterms:W3CDTF">2020-03-24T09:58:00Z</dcterms:created>
  <dcterms:modified xsi:type="dcterms:W3CDTF">2021-03-03T22:27:00Z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bp_dc_comparedocs">
    <vt:lpwstr>3.4.15.10</vt:lpwstr>
  </property>
  <property fmtid="{D5CDD505-2E9C-101B-9397-08002B2CF9AE}" pid="111" name="_NewReviewCycle">
    <vt:lpwstr>
    </vt:lpwstr>
  </property>
  <property fmtid="{D5CDD505-2E9C-101B-9397-08002B2CF9AE}" pid="112" name="MSIP_Label_0eea11ca-d417-4147-80ed-01a58412c458_Enabled">
    <vt:lpwstr>true</vt:lpwstr>
  </property>
  <property fmtid="{D5CDD505-2E9C-101B-9397-08002B2CF9AE}" pid="113" name="MSIP_Label_0eea11ca-d417-4147-80ed-01a58412c458_SetDate">
    <vt:lpwstr>2021-03-03T22:27:44Z</vt:lpwstr>
  </property>
  <property fmtid="{D5CDD505-2E9C-101B-9397-08002B2CF9AE}" pid="114" name="MSIP_Label_0eea11ca-d417-4147-80ed-01a58412c458_Method">
    <vt:lpwstr>Standard</vt:lpwstr>
  </property>
  <property fmtid="{D5CDD505-2E9C-101B-9397-08002B2CF9AE}" pid="115" name="MSIP_Label_0eea11ca-d417-4147-80ed-01a58412c458_Name">
    <vt:lpwstr>0eea11ca-d417-4147-80ed-01a58412c458</vt:lpwstr>
  </property>
  <property fmtid="{D5CDD505-2E9C-101B-9397-08002B2CF9AE}" pid="116" name="MSIP_Label_0eea11ca-d417-4147-80ed-01a58412c458_SiteId">
    <vt:lpwstr>bc9dc15c-61bc-4f03-b60b-e5b6d8922839</vt:lpwstr>
  </property>
  <property fmtid="{D5CDD505-2E9C-101B-9397-08002B2CF9AE}" pid="117" name="MSIP_Label_0eea11ca-d417-4147-80ed-01a58412c458_ActionId">
    <vt:lpwstr>aa6f2f98-941b-416f-9ccd-8b27ed44e842</vt:lpwstr>
  </property>
  <property fmtid="{D5CDD505-2E9C-101B-9397-08002B2CF9AE}" pid="118" name="MSIP_Label_0eea11ca-d417-4147-80ed-01a58412c458_ContentBits">
    <vt:lpwstr>2</vt:lpwstr>
  </property>
  <property fmtid="{D5CDD505-2E9C-101B-9397-08002B2CF9AE}" pid="119" name="ContentTypeId">
    <vt:lpwstr>0x010100726F91DD1AE57B44B1BCEB7F1056F5D0</vt:lpwstr>
  </property>
</Properties>
</file>