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1906" w14:textId="77777777" w:rsidR="00A27A6F" w:rsidRDefault="00A27A6F">
      <w:pPr>
        <w:spacing w:line="240" w:lineRule="auto"/>
        <w:rPr>
          <w:szCs w:val="22"/>
        </w:rPr>
      </w:pPr>
    </w:p>
    <w:p w14:paraId="78070485" w14:textId="77777777" w:rsidR="00A27A6F" w:rsidRDefault="00A27A6F">
      <w:pPr>
        <w:spacing w:line="240" w:lineRule="auto"/>
        <w:rPr>
          <w:szCs w:val="22"/>
        </w:rPr>
      </w:pPr>
    </w:p>
    <w:p w14:paraId="40456092" w14:textId="77777777" w:rsidR="00A27A6F" w:rsidRDefault="00A27A6F">
      <w:pPr>
        <w:spacing w:line="240" w:lineRule="auto"/>
        <w:rPr>
          <w:szCs w:val="22"/>
        </w:rPr>
      </w:pPr>
    </w:p>
    <w:p w14:paraId="40969D6D" w14:textId="77777777" w:rsidR="00A27A6F" w:rsidRDefault="00A27A6F">
      <w:pPr>
        <w:spacing w:line="240" w:lineRule="auto"/>
        <w:rPr>
          <w:szCs w:val="22"/>
        </w:rPr>
      </w:pPr>
    </w:p>
    <w:p w14:paraId="6D223703" w14:textId="77777777" w:rsidR="00A27A6F" w:rsidRDefault="00A27A6F">
      <w:pPr>
        <w:spacing w:line="240" w:lineRule="auto"/>
        <w:rPr>
          <w:szCs w:val="22"/>
        </w:rPr>
      </w:pPr>
    </w:p>
    <w:p w14:paraId="54A554D1" w14:textId="77777777" w:rsidR="00A27A6F" w:rsidRDefault="00A27A6F">
      <w:pPr>
        <w:spacing w:line="240" w:lineRule="auto"/>
        <w:rPr>
          <w:szCs w:val="22"/>
        </w:rPr>
      </w:pPr>
    </w:p>
    <w:p w14:paraId="65B3B0F6" w14:textId="77777777" w:rsidR="00A27A6F" w:rsidRDefault="00A27A6F">
      <w:pPr>
        <w:spacing w:line="240" w:lineRule="auto"/>
        <w:rPr>
          <w:szCs w:val="22"/>
        </w:rPr>
      </w:pPr>
    </w:p>
    <w:p w14:paraId="3998C1CE" w14:textId="77777777" w:rsidR="00A27A6F" w:rsidRDefault="00A27A6F">
      <w:pPr>
        <w:spacing w:line="240" w:lineRule="auto"/>
        <w:rPr>
          <w:szCs w:val="22"/>
        </w:rPr>
      </w:pPr>
    </w:p>
    <w:p w14:paraId="344FE004" w14:textId="77777777" w:rsidR="00A27A6F" w:rsidRDefault="00A27A6F">
      <w:pPr>
        <w:spacing w:line="240" w:lineRule="auto"/>
        <w:rPr>
          <w:szCs w:val="22"/>
        </w:rPr>
      </w:pPr>
    </w:p>
    <w:p w14:paraId="7751CDAB" w14:textId="77777777" w:rsidR="00A27A6F" w:rsidRDefault="00A27A6F">
      <w:pPr>
        <w:spacing w:line="240" w:lineRule="auto"/>
        <w:rPr>
          <w:szCs w:val="22"/>
        </w:rPr>
      </w:pPr>
    </w:p>
    <w:p w14:paraId="184C1F9F" w14:textId="77777777" w:rsidR="00A27A6F" w:rsidRDefault="00A27A6F">
      <w:pPr>
        <w:spacing w:line="240" w:lineRule="auto"/>
        <w:rPr>
          <w:szCs w:val="22"/>
        </w:rPr>
      </w:pPr>
    </w:p>
    <w:p w14:paraId="3B65CC09" w14:textId="77777777" w:rsidR="00A27A6F" w:rsidRDefault="00A27A6F">
      <w:pPr>
        <w:spacing w:line="240" w:lineRule="auto"/>
        <w:rPr>
          <w:szCs w:val="22"/>
        </w:rPr>
      </w:pPr>
    </w:p>
    <w:p w14:paraId="4B5154BA" w14:textId="77777777" w:rsidR="00A27A6F" w:rsidRDefault="00A27A6F">
      <w:pPr>
        <w:spacing w:line="240" w:lineRule="auto"/>
        <w:rPr>
          <w:szCs w:val="22"/>
        </w:rPr>
      </w:pPr>
    </w:p>
    <w:p w14:paraId="0A2C4D26" w14:textId="77777777" w:rsidR="00A27A6F" w:rsidRDefault="00A27A6F">
      <w:pPr>
        <w:spacing w:line="240" w:lineRule="auto"/>
        <w:rPr>
          <w:szCs w:val="22"/>
        </w:rPr>
      </w:pPr>
    </w:p>
    <w:p w14:paraId="60985BA8" w14:textId="77777777" w:rsidR="00A27A6F" w:rsidRDefault="00A27A6F">
      <w:pPr>
        <w:spacing w:line="240" w:lineRule="auto"/>
        <w:rPr>
          <w:szCs w:val="22"/>
        </w:rPr>
      </w:pPr>
    </w:p>
    <w:p w14:paraId="5001265B" w14:textId="77777777" w:rsidR="00A27A6F" w:rsidRDefault="00A27A6F">
      <w:pPr>
        <w:spacing w:line="240" w:lineRule="auto"/>
        <w:rPr>
          <w:szCs w:val="22"/>
        </w:rPr>
      </w:pPr>
    </w:p>
    <w:p w14:paraId="5729413B" w14:textId="77777777" w:rsidR="00A27A6F" w:rsidRDefault="00A27A6F">
      <w:pPr>
        <w:spacing w:line="240" w:lineRule="auto"/>
        <w:rPr>
          <w:szCs w:val="22"/>
        </w:rPr>
      </w:pPr>
    </w:p>
    <w:p w14:paraId="64B85BE8" w14:textId="77777777" w:rsidR="00A27A6F" w:rsidRDefault="00A27A6F">
      <w:pPr>
        <w:spacing w:line="240" w:lineRule="auto"/>
        <w:rPr>
          <w:szCs w:val="22"/>
        </w:rPr>
      </w:pPr>
    </w:p>
    <w:p w14:paraId="0FAACD91" w14:textId="77777777" w:rsidR="00A27A6F" w:rsidRDefault="00A27A6F">
      <w:pPr>
        <w:spacing w:line="240" w:lineRule="auto"/>
        <w:rPr>
          <w:szCs w:val="22"/>
        </w:rPr>
      </w:pPr>
    </w:p>
    <w:p w14:paraId="269CF7F0" w14:textId="77777777" w:rsidR="00A27A6F" w:rsidRDefault="00A27A6F">
      <w:pPr>
        <w:spacing w:line="240" w:lineRule="auto"/>
        <w:rPr>
          <w:szCs w:val="22"/>
        </w:rPr>
      </w:pPr>
    </w:p>
    <w:p w14:paraId="6EE077DE" w14:textId="77777777" w:rsidR="00A27A6F" w:rsidRDefault="00A27A6F">
      <w:pPr>
        <w:spacing w:line="240" w:lineRule="auto"/>
        <w:rPr>
          <w:szCs w:val="22"/>
        </w:rPr>
      </w:pPr>
    </w:p>
    <w:p w14:paraId="34637D01" w14:textId="77777777" w:rsidR="00A27A6F" w:rsidRDefault="00A27A6F">
      <w:pPr>
        <w:spacing w:line="240" w:lineRule="auto"/>
        <w:rPr>
          <w:szCs w:val="22"/>
        </w:rPr>
      </w:pPr>
    </w:p>
    <w:p w14:paraId="67BF64DB" w14:textId="77777777" w:rsidR="00A27A6F" w:rsidRDefault="00A27A6F">
      <w:pPr>
        <w:spacing w:line="240" w:lineRule="auto"/>
        <w:rPr>
          <w:szCs w:val="22"/>
        </w:rPr>
      </w:pPr>
    </w:p>
    <w:p w14:paraId="348D0910" w14:textId="77777777" w:rsidR="00A27A6F" w:rsidRDefault="002C0949">
      <w:pPr>
        <w:spacing w:line="240" w:lineRule="auto"/>
        <w:jc w:val="center"/>
        <w:rPr>
          <w:b/>
          <w:szCs w:val="22"/>
          <w:lang w:eastAsia="en-US"/>
        </w:rPr>
      </w:pPr>
      <w:r>
        <w:rPr>
          <w:b/>
          <w:szCs w:val="22"/>
          <w:lang w:eastAsia="en-US"/>
        </w:rPr>
        <w:t>I LISA</w:t>
      </w:r>
    </w:p>
    <w:p w14:paraId="21A18D0C" w14:textId="77777777" w:rsidR="00A27A6F" w:rsidRDefault="00A27A6F">
      <w:pPr>
        <w:spacing w:line="240" w:lineRule="auto"/>
        <w:jc w:val="center"/>
        <w:rPr>
          <w:b/>
          <w:szCs w:val="22"/>
          <w:lang w:eastAsia="en-US"/>
        </w:rPr>
      </w:pPr>
    </w:p>
    <w:p w14:paraId="4DACBDDB" w14:textId="77777777" w:rsidR="00A27A6F" w:rsidRDefault="002C0949">
      <w:pPr>
        <w:pStyle w:val="TitleA"/>
        <w:outlineLvl w:val="0"/>
        <w:rPr>
          <w:lang w:val="et-EE"/>
        </w:rPr>
      </w:pPr>
      <w:r>
        <w:rPr>
          <w:lang w:val="et-EE"/>
        </w:rPr>
        <w:t>RAVIMI OMADUSTE KOKKUVÕTE</w:t>
      </w:r>
    </w:p>
    <w:p w14:paraId="5A8DAD21" w14:textId="718DCF3E" w:rsidR="00A27A6F" w:rsidRDefault="002C0949">
      <w:pPr>
        <w:pStyle w:val="HeadingSmPC"/>
        <w:keepNext/>
        <w:spacing w:line="240" w:lineRule="auto"/>
        <w:rPr>
          <w:noProof w:val="0"/>
        </w:rPr>
      </w:pPr>
      <w:r>
        <w:br w:type="page"/>
      </w:r>
      <w:r>
        <w:rPr>
          <w:noProof w:val="0"/>
        </w:rPr>
        <w:lastRenderedPageBreak/>
        <w:t>1.</w:t>
      </w:r>
      <w:r>
        <w:rPr>
          <w:noProof w:val="0"/>
        </w:rPr>
        <w:tab/>
        <w:t>RAVIMPREPARAADI NIMETUS</w:t>
      </w:r>
    </w:p>
    <w:p w14:paraId="0837BDDB" w14:textId="77777777" w:rsidR="00A27A6F" w:rsidRDefault="00A27A6F">
      <w:pPr>
        <w:keepNext/>
        <w:spacing w:line="240" w:lineRule="auto"/>
        <w:rPr>
          <w:iCs/>
          <w:szCs w:val="22"/>
        </w:rPr>
      </w:pPr>
    </w:p>
    <w:p w14:paraId="5D7B3F7E" w14:textId="77777777" w:rsidR="00A27A6F" w:rsidRDefault="002C0949">
      <w:pPr>
        <w:spacing w:line="240" w:lineRule="auto"/>
      </w:pPr>
      <w:r>
        <w:t>ALPROLIX 250 RÜ süstelahuse pulber ja lahusti</w:t>
      </w:r>
    </w:p>
    <w:p w14:paraId="5C3FA2CF" w14:textId="77777777" w:rsidR="00A27A6F" w:rsidRDefault="00A27A6F">
      <w:pPr>
        <w:spacing w:line="240" w:lineRule="auto"/>
      </w:pPr>
    </w:p>
    <w:p w14:paraId="1055B778" w14:textId="77777777" w:rsidR="00A27A6F" w:rsidRDefault="002C0949">
      <w:pPr>
        <w:spacing w:line="240" w:lineRule="auto"/>
      </w:pPr>
      <w:r>
        <w:t>ALPROLIX 500 RÜ süstelahuse pulber ja lahusti</w:t>
      </w:r>
    </w:p>
    <w:p w14:paraId="436C2905" w14:textId="77777777" w:rsidR="00A27A6F" w:rsidRDefault="00A27A6F">
      <w:pPr>
        <w:spacing w:line="240" w:lineRule="auto"/>
      </w:pPr>
    </w:p>
    <w:p w14:paraId="276E8806" w14:textId="77777777" w:rsidR="00A27A6F" w:rsidRDefault="002C0949">
      <w:pPr>
        <w:spacing w:line="240" w:lineRule="auto"/>
      </w:pPr>
      <w:r>
        <w:t>ALPROLIX 1000 RÜ süstelahuse pulber ja lahusti</w:t>
      </w:r>
    </w:p>
    <w:p w14:paraId="56651489" w14:textId="77777777" w:rsidR="00A27A6F" w:rsidRDefault="00A27A6F">
      <w:pPr>
        <w:spacing w:line="240" w:lineRule="auto"/>
      </w:pPr>
    </w:p>
    <w:p w14:paraId="7ED1BB1C" w14:textId="77777777" w:rsidR="00A27A6F" w:rsidRDefault="002C0949">
      <w:pPr>
        <w:spacing w:line="240" w:lineRule="auto"/>
      </w:pPr>
      <w:r>
        <w:t>ALPROLIX 2000 RÜ süstelahuse pulber ja lahusti</w:t>
      </w:r>
    </w:p>
    <w:p w14:paraId="4F041E3A" w14:textId="77777777" w:rsidR="00A27A6F" w:rsidRDefault="00A27A6F">
      <w:pPr>
        <w:spacing w:line="240" w:lineRule="auto"/>
      </w:pPr>
    </w:p>
    <w:p w14:paraId="6C08770D" w14:textId="77777777" w:rsidR="00A27A6F" w:rsidRDefault="002C0949">
      <w:pPr>
        <w:spacing w:line="240" w:lineRule="auto"/>
      </w:pPr>
      <w:r>
        <w:t>ALPROLIX 3000 RÜ süstelahuse pulber ja lahusti</w:t>
      </w:r>
    </w:p>
    <w:p w14:paraId="1BCC21B7" w14:textId="77777777" w:rsidR="00A27A6F" w:rsidRDefault="00A27A6F">
      <w:pPr>
        <w:spacing w:line="240" w:lineRule="auto"/>
        <w:rPr>
          <w:iCs/>
          <w:szCs w:val="22"/>
        </w:rPr>
      </w:pPr>
    </w:p>
    <w:p w14:paraId="013623DB" w14:textId="77777777" w:rsidR="00A27A6F" w:rsidRDefault="00A27A6F">
      <w:pPr>
        <w:spacing w:line="240" w:lineRule="auto"/>
        <w:rPr>
          <w:iCs/>
          <w:szCs w:val="22"/>
        </w:rPr>
      </w:pPr>
    </w:p>
    <w:p w14:paraId="150A28C8" w14:textId="77777777" w:rsidR="00A27A6F" w:rsidRDefault="002C0949">
      <w:pPr>
        <w:keepNext/>
        <w:suppressAutoHyphens/>
        <w:spacing w:line="240" w:lineRule="auto"/>
        <w:ind w:left="567" w:hanging="567"/>
        <w:rPr>
          <w:szCs w:val="22"/>
        </w:rPr>
      </w:pPr>
      <w:r>
        <w:rPr>
          <w:b/>
          <w:szCs w:val="22"/>
        </w:rPr>
        <w:t>2.</w:t>
      </w:r>
      <w:r>
        <w:rPr>
          <w:b/>
          <w:szCs w:val="22"/>
        </w:rPr>
        <w:tab/>
        <w:t>KVALITATIIVNE JA KVANTITATIIVNE KOOSTIS</w:t>
      </w:r>
    </w:p>
    <w:p w14:paraId="41CB382E" w14:textId="77777777" w:rsidR="00A27A6F" w:rsidRDefault="00A27A6F">
      <w:pPr>
        <w:keepNext/>
        <w:spacing w:line="240" w:lineRule="auto"/>
        <w:rPr>
          <w:iCs/>
          <w:szCs w:val="22"/>
        </w:rPr>
      </w:pPr>
    </w:p>
    <w:p w14:paraId="2C37128B" w14:textId="77777777" w:rsidR="00A27A6F" w:rsidRDefault="002C0949">
      <w:pPr>
        <w:keepNext/>
        <w:keepLines/>
        <w:spacing w:line="240" w:lineRule="auto"/>
        <w:rPr>
          <w:u w:val="single"/>
        </w:rPr>
      </w:pPr>
      <w:r>
        <w:rPr>
          <w:u w:val="single"/>
        </w:rPr>
        <w:t>ALPROLIX 250 RÜ süstelahuse pulber ja lahusti</w:t>
      </w:r>
    </w:p>
    <w:p w14:paraId="308BA3FF" w14:textId="77777777" w:rsidR="00D75E29" w:rsidRDefault="002C0949">
      <w:pPr>
        <w:spacing w:line="240" w:lineRule="auto"/>
      </w:pPr>
      <w:r>
        <w:t xml:space="preserve">Üks </w:t>
      </w:r>
      <w:proofErr w:type="spellStart"/>
      <w:r>
        <w:t>viaal</w:t>
      </w:r>
      <w:proofErr w:type="spellEnd"/>
      <w:r>
        <w:t xml:space="preserve"> sisaldab nominaalselt 250 RÜ </w:t>
      </w:r>
      <w:r w:rsidR="00B7173E">
        <w:t xml:space="preserve">inimese </w:t>
      </w:r>
      <w:r w:rsidR="00C249EC">
        <w:t xml:space="preserve">IX hüübimisfaktorit </w:t>
      </w:r>
      <w:r w:rsidR="00B7173E">
        <w:t>(</w:t>
      </w:r>
      <w:proofErr w:type="spellStart"/>
      <w:r w:rsidR="00B7173E">
        <w:t>rDNA</w:t>
      </w:r>
      <w:proofErr w:type="spellEnd"/>
      <w:r w:rsidR="00B7173E">
        <w:t xml:space="preserve">) </w:t>
      </w:r>
      <w:proofErr w:type="spellStart"/>
      <w:r>
        <w:t>alfaeftrenonakogi</w:t>
      </w:r>
      <w:proofErr w:type="spellEnd"/>
      <w:r>
        <w:t xml:space="preserve"> (</w:t>
      </w:r>
      <w:proofErr w:type="spellStart"/>
      <w:r>
        <w:rPr>
          <w:i/>
          <w:szCs w:val="22"/>
        </w:rPr>
        <w:t>eftrenonacogum</w:t>
      </w:r>
      <w:proofErr w:type="spellEnd"/>
      <w:r>
        <w:rPr>
          <w:i/>
          <w:szCs w:val="22"/>
        </w:rPr>
        <w:t xml:space="preserve"> alfa</w:t>
      </w:r>
      <w:r>
        <w:rPr>
          <w:szCs w:val="22"/>
        </w:rPr>
        <w:t>)</w:t>
      </w:r>
      <w:r>
        <w:t>.</w:t>
      </w:r>
    </w:p>
    <w:p w14:paraId="57CF27C6" w14:textId="09295FC5" w:rsidR="00A27A6F" w:rsidRDefault="002C0949">
      <w:pPr>
        <w:spacing w:line="240" w:lineRule="auto"/>
      </w:pPr>
      <w:r>
        <w:t xml:space="preserve">Pärast manustamiskõlblikuks muutmist sisaldab </w:t>
      </w:r>
      <w:r w:rsidR="00B7173E">
        <w:t xml:space="preserve">ALPROLIX </w:t>
      </w:r>
      <w:r>
        <w:t xml:space="preserve">ligikaudu </w:t>
      </w:r>
      <w:r w:rsidR="00B7173E">
        <w:t>250 RÜ (</w:t>
      </w:r>
      <w:r>
        <w:t>50 RÜ</w:t>
      </w:r>
      <w:r w:rsidR="00B7173E">
        <w:t>/ml)</w:t>
      </w:r>
      <w:r>
        <w:t xml:space="preserve"> </w:t>
      </w:r>
      <w:r w:rsidR="00B7173E">
        <w:t xml:space="preserve">inimese </w:t>
      </w:r>
      <w:r w:rsidR="00C249EC">
        <w:t xml:space="preserve">IX hüübimisfaktorit </w:t>
      </w:r>
      <w:r w:rsidR="00B7173E">
        <w:t>(</w:t>
      </w:r>
      <w:proofErr w:type="spellStart"/>
      <w:r w:rsidR="00B7173E">
        <w:t>rDNA</w:t>
      </w:r>
      <w:proofErr w:type="spellEnd"/>
      <w:r w:rsidR="00B7173E">
        <w:t xml:space="preserve">) </w:t>
      </w:r>
      <w:proofErr w:type="spellStart"/>
      <w:r>
        <w:t>alfaeftrenonakogi</w:t>
      </w:r>
      <w:proofErr w:type="spellEnd"/>
      <w:r>
        <w:t>.</w:t>
      </w:r>
    </w:p>
    <w:p w14:paraId="4135C97F" w14:textId="77777777" w:rsidR="00A27A6F" w:rsidRDefault="00A27A6F">
      <w:pPr>
        <w:spacing w:line="240" w:lineRule="auto"/>
      </w:pPr>
    </w:p>
    <w:p w14:paraId="477FDC90" w14:textId="77777777" w:rsidR="00A27A6F" w:rsidRDefault="002C0949">
      <w:pPr>
        <w:keepNext/>
        <w:keepLines/>
        <w:spacing w:line="240" w:lineRule="auto"/>
        <w:rPr>
          <w:u w:val="single"/>
        </w:rPr>
      </w:pPr>
      <w:r>
        <w:rPr>
          <w:u w:val="single"/>
        </w:rPr>
        <w:t>ALPROLIX 500 RÜ süstelahuse pulber ja lahusti</w:t>
      </w:r>
    </w:p>
    <w:p w14:paraId="620EB01D" w14:textId="77777777" w:rsidR="00D75E29" w:rsidRDefault="002C0949">
      <w:pPr>
        <w:spacing w:line="240" w:lineRule="auto"/>
      </w:pPr>
      <w:r>
        <w:t xml:space="preserve">Üks </w:t>
      </w:r>
      <w:proofErr w:type="spellStart"/>
      <w:r>
        <w:t>viaal</w:t>
      </w:r>
      <w:proofErr w:type="spellEnd"/>
      <w:r>
        <w:t xml:space="preserve"> sisaldab nominaalselt 500 RÜ </w:t>
      </w:r>
      <w:r w:rsidR="00B7173E">
        <w:t>inimese IX hüübimisfaktorit (</w:t>
      </w:r>
      <w:proofErr w:type="spellStart"/>
      <w:r w:rsidR="00B7173E">
        <w:t>rDNA</w:t>
      </w:r>
      <w:proofErr w:type="spellEnd"/>
      <w:r w:rsidR="00B7173E">
        <w:t xml:space="preserve">) </w:t>
      </w:r>
      <w:proofErr w:type="spellStart"/>
      <w:r>
        <w:t>alfaeftrenonakogi</w:t>
      </w:r>
      <w:proofErr w:type="spellEnd"/>
      <w:r>
        <w:t xml:space="preserve"> (</w:t>
      </w:r>
      <w:proofErr w:type="spellStart"/>
      <w:r>
        <w:rPr>
          <w:i/>
          <w:szCs w:val="22"/>
        </w:rPr>
        <w:t>eftrenonacogum</w:t>
      </w:r>
      <w:proofErr w:type="spellEnd"/>
      <w:r>
        <w:rPr>
          <w:i/>
          <w:szCs w:val="22"/>
        </w:rPr>
        <w:t xml:space="preserve"> alfa</w:t>
      </w:r>
      <w:r>
        <w:rPr>
          <w:szCs w:val="22"/>
        </w:rPr>
        <w:t>)</w:t>
      </w:r>
      <w:r>
        <w:t>.</w:t>
      </w:r>
    </w:p>
    <w:p w14:paraId="0F3D4879" w14:textId="5DC1496A" w:rsidR="00A27A6F" w:rsidRDefault="002C0949">
      <w:pPr>
        <w:spacing w:line="240" w:lineRule="auto"/>
      </w:pPr>
      <w:r>
        <w:t xml:space="preserve">Pärast manustamiskõlblikuks muutmist sisaldab </w:t>
      </w:r>
      <w:r w:rsidR="00B7173E">
        <w:t xml:space="preserve">ALPROLIX </w:t>
      </w:r>
      <w:r>
        <w:t xml:space="preserve">ligikaudu </w:t>
      </w:r>
      <w:r w:rsidR="00B7173E">
        <w:t>500 RÜ (</w:t>
      </w:r>
      <w:r>
        <w:t>100 RÜ</w:t>
      </w:r>
      <w:r w:rsidR="00B7173E">
        <w:t>/ml)</w:t>
      </w:r>
      <w:r>
        <w:t xml:space="preserve"> </w:t>
      </w:r>
      <w:r w:rsidR="00B7173E">
        <w:t>inimese IX hüübimisfaktorit (</w:t>
      </w:r>
      <w:proofErr w:type="spellStart"/>
      <w:r w:rsidR="00B7173E">
        <w:t>rDNA</w:t>
      </w:r>
      <w:proofErr w:type="spellEnd"/>
      <w:r w:rsidR="00B7173E">
        <w:t xml:space="preserve">) </w:t>
      </w:r>
      <w:proofErr w:type="spellStart"/>
      <w:r>
        <w:t>alfaeftrenonakogi</w:t>
      </w:r>
      <w:proofErr w:type="spellEnd"/>
      <w:r>
        <w:t>.</w:t>
      </w:r>
    </w:p>
    <w:p w14:paraId="3D11FA5C" w14:textId="77777777" w:rsidR="00A27A6F" w:rsidRDefault="00A27A6F">
      <w:pPr>
        <w:spacing w:line="240" w:lineRule="auto"/>
      </w:pPr>
    </w:p>
    <w:p w14:paraId="75BE824C" w14:textId="77777777" w:rsidR="00A27A6F" w:rsidRDefault="002C0949">
      <w:pPr>
        <w:keepNext/>
        <w:keepLines/>
        <w:spacing w:line="240" w:lineRule="auto"/>
        <w:rPr>
          <w:u w:val="single"/>
        </w:rPr>
      </w:pPr>
      <w:r>
        <w:rPr>
          <w:u w:val="single"/>
        </w:rPr>
        <w:t>ALPROLIX 1000 RÜ süstelahuse pulber ja lahusti</w:t>
      </w:r>
    </w:p>
    <w:p w14:paraId="248BFF8C" w14:textId="77777777" w:rsidR="00D75E29" w:rsidRDefault="002C0949">
      <w:pPr>
        <w:spacing w:line="240" w:lineRule="auto"/>
      </w:pPr>
      <w:r>
        <w:t xml:space="preserve">Üks </w:t>
      </w:r>
      <w:proofErr w:type="spellStart"/>
      <w:r>
        <w:t>viaal</w:t>
      </w:r>
      <w:proofErr w:type="spellEnd"/>
      <w:r>
        <w:t xml:space="preserve"> sisaldab nominaalselt 1000 RÜ </w:t>
      </w:r>
      <w:r w:rsidR="00B7173E">
        <w:t>inimese IX hüübimisfaktorit (</w:t>
      </w:r>
      <w:proofErr w:type="spellStart"/>
      <w:r w:rsidR="00B7173E">
        <w:t>rDNA</w:t>
      </w:r>
      <w:proofErr w:type="spellEnd"/>
      <w:r w:rsidR="00B7173E">
        <w:t xml:space="preserve">) </w:t>
      </w:r>
      <w:proofErr w:type="spellStart"/>
      <w:r>
        <w:t>alfaeftrenonakogi</w:t>
      </w:r>
      <w:proofErr w:type="spellEnd"/>
      <w:r>
        <w:t xml:space="preserve"> (</w:t>
      </w:r>
      <w:proofErr w:type="spellStart"/>
      <w:r>
        <w:rPr>
          <w:i/>
          <w:szCs w:val="22"/>
        </w:rPr>
        <w:t>eftrenonacogum</w:t>
      </w:r>
      <w:proofErr w:type="spellEnd"/>
      <w:r>
        <w:rPr>
          <w:i/>
          <w:szCs w:val="22"/>
        </w:rPr>
        <w:t xml:space="preserve"> alfa</w:t>
      </w:r>
      <w:r>
        <w:rPr>
          <w:szCs w:val="22"/>
        </w:rPr>
        <w:t>)</w:t>
      </w:r>
      <w:r>
        <w:t>.</w:t>
      </w:r>
    </w:p>
    <w:p w14:paraId="28998683" w14:textId="002518FB" w:rsidR="00A27A6F" w:rsidRDefault="002C0949">
      <w:pPr>
        <w:spacing w:line="240" w:lineRule="auto"/>
      </w:pPr>
      <w:r>
        <w:t xml:space="preserve">Pärast manustamiskõlblikuks muutmist sisaldab </w:t>
      </w:r>
      <w:r w:rsidR="00B7173E">
        <w:t xml:space="preserve">ALPROLIX </w:t>
      </w:r>
      <w:r>
        <w:t xml:space="preserve">ligikaudu </w:t>
      </w:r>
      <w:r w:rsidR="00B7173E">
        <w:t>1000 R</w:t>
      </w:r>
      <w:r w:rsidR="00AB1D0F">
        <w:t>Ü</w:t>
      </w:r>
      <w:r w:rsidR="00B7173E">
        <w:t xml:space="preserve"> (</w:t>
      </w:r>
      <w:r>
        <w:t>200 RÜ</w:t>
      </w:r>
      <w:r w:rsidR="00B7173E">
        <w:t>/ml)</w:t>
      </w:r>
      <w:r>
        <w:t xml:space="preserve"> </w:t>
      </w:r>
      <w:r w:rsidR="00B7173E">
        <w:t>inimese IX hüübimisfaktorit (</w:t>
      </w:r>
      <w:proofErr w:type="spellStart"/>
      <w:r w:rsidR="00B7173E">
        <w:t>rDNA</w:t>
      </w:r>
      <w:proofErr w:type="spellEnd"/>
      <w:r w:rsidR="00B7173E">
        <w:t xml:space="preserve">) </w:t>
      </w:r>
      <w:proofErr w:type="spellStart"/>
      <w:r>
        <w:t>alfaeftrenonakogi</w:t>
      </w:r>
      <w:proofErr w:type="spellEnd"/>
      <w:r>
        <w:t>.</w:t>
      </w:r>
    </w:p>
    <w:p w14:paraId="24CA0E75" w14:textId="77777777" w:rsidR="00A27A6F" w:rsidRDefault="00A27A6F">
      <w:pPr>
        <w:spacing w:line="240" w:lineRule="auto"/>
      </w:pPr>
    </w:p>
    <w:p w14:paraId="76996130" w14:textId="77777777" w:rsidR="00A27A6F" w:rsidRDefault="002C0949">
      <w:pPr>
        <w:keepNext/>
        <w:keepLines/>
        <w:spacing w:line="240" w:lineRule="auto"/>
        <w:rPr>
          <w:u w:val="single"/>
        </w:rPr>
      </w:pPr>
      <w:r>
        <w:rPr>
          <w:u w:val="single"/>
        </w:rPr>
        <w:t>ALPROLIX 2000 RÜ süstelahuse pulber ja lahusti</w:t>
      </w:r>
    </w:p>
    <w:p w14:paraId="47603EFF" w14:textId="77777777" w:rsidR="00D75E29" w:rsidRDefault="002C0949">
      <w:pPr>
        <w:spacing w:line="240" w:lineRule="auto"/>
      </w:pPr>
      <w:r>
        <w:t xml:space="preserve">Üks </w:t>
      </w:r>
      <w:proofErr w:type="spellStart"/>
      <w:r>
        <w:t>viaal</w:t>
      </w:r>
      <w:proofErr w:type="spellEnd"/>
      <w:r>
        <w:t xml:space="preserve"> sisaldab nominaalselt 2000 RÜ </w:t>
      </w:r>
      <w:r w:rsidR="00B7173E">
        <w:t>inimese IX hüübimisfaktorit (</w:t>
      </w:r>
      <w:proofErr w:type="spellStart"/>
      <w:r w:rsidR="00B7173E">
        <w:t>rDNA</w:t>
      </w:r>
      <w:proofErr w:type="spellEnd"/>
      <w:r w:rsidR="00B7173E">
        <w:t xml:space="preserve">) </w:t>
      </w:r>
      <w:proofErr w:type="spellStart"/>
      <w:r>
        <w:t>alfaeftrenonakogi</w:t>
      </w:r>
      <w:proofErr w:type="spellEnd"/>
      <w:r>
        <w:t xml:space="preserve"> (</w:t>
      </w:r>
      <w:proofErr w:type="spellStart"/>
      <w:r>
        <w:rPr>
          <w:i/>
          <w:szCs w:val="22"/>
        </w:rPr>
        <w:t>eftrenonacogum</w:t>
      </w:r>
      <w:proofErr w:type="spellEnd"/>
      <w:r>
        <w:rPr>
          <w:i/>
          <w:szCs w:val="22"/>
        </w:rPr>
        <w:t xml:space="preserve"> alfa</w:t>
      </w:r>
      <w:r>
        <w:rPr>
          <w:szCs w:val="22"/>
        </w:rPr>
        <w:t>)</w:t>
      </w:r>
      <w:r>
        <w:t>.</w:t>
      </w:r>
    </w:p>
    <w:p w14:paraId="75326199" w14:textId="5C222D32" w:rsidR="00A27A6F" w:rsidRDefault="002C0949">
      <w:pPr>
        <w:spacing w:line="240" w:lineRule="auto"/>
      </w:pPr>
      <w:r>
        <w:t xml:space="preserve">Pärast manustamiskõlblikuks muutmist sisaldab </w:t>
      </w:r>
      <w:r w:rsidR="00B7173E">
        <w:t xml:space="preserve">ALPROLIX </w:t>
      </w:r>
      <w:r>
        <w:t xml:space="preserve">ligikaudu </w:t>
      </w:r>
      <w:r w:rsidR="00B7173E">
        <w:t>2000 RÜ (</w:t>
      </w:r>
      <w:r>
        <w:t>400 RÜ</w:t>
      </w:r>
      <w:r w:rsidR="00B7173E">
        <w:t>/ml) inimese IX hüübimisfaktorit (</w:t>
      </w:r>
      <w:proofErr w:type="spellStart"/>
      <w:r w:rsidR="00B7173E">
        <w:t>rDNA</w:t>
      </w:r>
      <w:proofErr w:type="spellEnd"/>
      <w:r w:rsidR="00B7173E">
        <w:t>)</w:t>
      </w:r>
      <w:r>
        <w:t xml:space="preserve"> </w:t>
      </w:r>
      <w:proofErr w:type="spellStart"/>
      <w:r>
        <w:t>alfaeftrenonakogi</w:t>
      </w:r>
      <w:proofErr w:type="spellEnd"/>
      <w:r>
        <w:t>.</w:t>
      </w:r>
    </w:p>
    <w:p w14:paraId="28D731D4" w14:textId="77777777" w:rsidR="00A27A6F" w:rsidRDefault="00A27A6F">
      <w:pPr>
        <w:spacing w:line="240" w:lineRule="auto"/>
      </w:pPr>
    </w:p>
    <w:p w14:paraId="629F669C" w14:textId="77777777" w:rsidR="00A27A6F" w:rsidRDefault="002C0949">
      <w:pPr>
        <w:keepNext/>
        <w:keepLines/>
        <w:spacing w:line="240" w:lineRule="auto"/>
        <w:rPr>
          <w:u w:val="single"/>
        </w:rPr>
      </w:pPr>
      <w:r>
        <w:rPr>
          <w:u w:val="single"/>
        </w:rPr>
        <w:t>ALPROLIX 3000 RÜ süstelahuse pulber ja lahusti</w:t>
      </w:r>
    </w:p>
    <w:p w14:paraId="6B4B9906" w14:textId="77777777" w:rsidR="00D75E29" w:rsidRDefault="002C0949">
      <w:pPr>
        <w:spacing w:line="240" w:lineRule="auto"/>
      </w:pPr>
      <w:r>
        <w:t xml:space="preserve">Üks </w:t>
      </w:r>
      <w:proofErr w:type="spellStart"/>
      <w:r>
        <w:t>viaal</w:t>
      </w:r>
      <w:proofErr w:type="spellEnd"/>
      <w:r>
        <w:t xml:space="preserve"> sisaldab nominaalselt 3000 RÜ </w:t>
      </w:r>
      <w:r w:rsidR="00B7173E">
        <w:t>inimese IX hüübimisfaktorit (</w:t>
      </w:r>
      <w:proofErr w:type="spellStart"/>
      <w:r w:rsidR="00B7173E">
        <w:t>rDNA</w:t>
      </w:r>
      <w:proofErr w:type="spellEnd"/>
      <w:r w:rsidR="00B7173E">
        <w:t xml:space="preserve">) </w:t>
      </w:r>
      <w:proofErr w:type="spellStart"/>
      <w:r>
        <w:t>alfaeftrenonakogi</w:t>
      </w:r>
      <w:proofErr w:type="spellEnd"/>
      <w:r>
        <w:t xml:space="preserve"> (</w:t>
      </w:r>
      <w:proofErr w:type="spellStart"/>
      <w:r>
        <w:rPr>
          <w:i/>
          <w:szCs w:val="22"/>
        </w:rPr>
        <w:t>eftrenonacogum</w:t>
      </w:r>
      <w:proofErr w:type="spellEnd"/>
      <w:r>
        <w:rPr>
          <w:i/>
          <w:szCs w:val="22"/>
        </w:rPr>
        <w:t xml:space="preserve"> alfa</w:t>
      </w:r>
      <w:r>
        <w:rPr>
          <w:szCs w:val="22"/>
        </w:rPr>
        <w:t>)</w:t>
      </w:r>
      <w:r>
        <w:t>.</w:t>
      </w:r>
    </w:p>
    <w:p w14:paraId="18304B49" w14:textId="1E4405DF" w:rsidR="00A27A6F" w:rsidRDefault="002C0949">
      <w:pPr>
        <w:spacing w:line="240" w:lineRule="auto"/>
      </w:pPr>
      <w:r>
        <w:t xml:space="preserve">Pärast manustamiskõlblikuks muutmist sisaldab </w:t>
      </w:r>
      <w:r w:rsidR="00B7173E">
        <w:t xml:space="preserve">ALPROLIX </w:t>
      </w:r>
      <w:r>
        <w:t xml:space="preserve">ligikaudu </w:t>
      </w:r>
      <w:r w:rsidR="00B7173E">
        <w:t>3000 RÜ (</w:t>
      </w:r>
      <w:r>
        <w:t>600 RÜ</w:t>
      </w:r>
      <w:r w:rsidR="00B7173E">
        <w:t>/ml) inimese IX hüübimisfaktorit (</w:t>
      </w:r>
      <w:proofErr w:type="spellStart"/>
      <w:r w:rsidR="00B7173E">
        <w:t>rDNA</w:t>
      </w:r>
      <w:proofErr w:type="spellEnd"/>
      <w:r w:rsidR="00B7173E">
        <w:t>)</w:t>
      </w:r>
      <w:r>
        <w:t xml:space="preserve"> </w:t>
      </w:r>
      <w:proofErr w:type="spellStart"/>
      <w:r>
        <w:t>alfaeftrenonakogi</w:t>
      </w:r>
      <w:proofErr w:type="spellEnd"/>
      <w:r>
        <w:t>.</w:t>
      </w:r>
    </w:p>
    <w:p w14:paraId="0FC4F67B" w14:textId="77777777" w:rsidR="00A27A6F" w:rsidRDefault="00A27A6F">
      <w:pPr>
        <w:pStyle w:val="Default"/>
        <w:rPr>
          <w:color w:val="auto"/>
          <w:sz w:val="22"/>
          <w:szCs w:val="22"/>
        </w:rPr>
      </w:pPr>
    </w:p>
    <w:p w14:paraId="123080B0" w14:textId="560F0691" w:rsidR="00A27A6F" w:rsidRDefault="002C0949">
      <w:pPr>
        <w:pStyle w:val="Default"/>
        <w:rPr>
          <w:color w:val="auto"/>
          <w:sz w:val="22"/>
          <w:szCs w:val="22"/>
        </w:rPr>
      </w:pPr>
      <w:r>
        <w:rPr>
          <w:color w:val="auto"/>
          <w:sz w:val="22"/>
          <w:szCs w:val="22"/>
        </w:rPr>
        <w:t xml:space="preserve">Potentsus </w:t>
      </w:r>
      <w:r w:rsidR="00F436BD">
        <w:rPr>
          <w:color w:val="auto"/>
          <w:sz w:val="22"/>
          <w:szCs w:val="22"/>
        </w:rPr>
        <w:t xml:space="preserve">(RÜ) </w:t>
      </w:r>
      <w:r>
        <w:rPr>
          <w:color w:val="auto"/>
          <w:sz w:val="22"/>
          <w:szCs w:val="22"/>
        </w:rPr>
        <w:t xml:space="preserve">määratakse Euroopa farmakopöa üheastmelise koagulatsioonitestiga. </w:t>
      </w:r>
      <w:proofErr w:type="spellStart"/>
      <w:r>
        <w:rPr>
          <w:color w:val="auto"/>
          <w:sz w:val="22"/>
          <w:szCs w:val="22"/>
        </w:rPr>
        <w:t>ALPROLIX’i</w:t>
      </w:r>
      <w:proofErr w:type="spellEnd"/>
      <w:r>
        <w:rPr>
          <w:color w:val="auto"/>
          <w:sz w:val="22"/>
          <w:szCs w:val="22"/>
        </w:rPr>
        <w:t xml:space="preserve"> spetsiifiline aktiivsus on 55…84 RÜ/mg valgu kohta.</w:t>
      </w:r>
    </w:p>
    <w:p w14:paraId="69C595A9" w14:textId="77777777" w:rsidR="00A27A6F" w:rsidRDefault="00A27A6F">
      <w:pPr>
        <w:spacing w:line="240" w:lineRule="auto"/>
      </w:pPr>
    </w:p>
    <w:p w14:paraId="5C0B574C" w14:textId="77777777" w:rsidR="00A27A6F" w:rsidRDefault="002C0949">
      <w:pPr>
        <w:spacing w:line="240" w:lineRule="auto"/>
        <w:rPr>
          <w:rFonts w:eastAsia="Calibri"/>
        </w:rPr>
      </w:pPr>
      <w:proofErr w:type="spellStart"/>
      <w:r>
        <w:rPr>
          <w:rFonts w:eastAsia="Calibri"/>
        </w:rPr>
        <w:t>Alfa</w:t>
      </w:r>
      <w:r>
        <w:t>eftrenonakog</w:t>
      </w:r>
      <w:proofErr w:type="spellEnd"/>
      <w:r>
        <w:rPr>
          <w:rFonts w:eastAsia="Calibri"/>
        </w:rPr>
        <w:t xml:space="preserve"> [</w:t>
      </w:r>
      <w:proofErr w:type="spellStart"/>
      <w:r>
        <w:rPr>
          <w:rFonts w:eastAsia="Calibri"/>
        </w:rPr>
        <w:t>rekombinantne</w:t>
      </w:r>
      <w:proofErr w:type="spellEnd"/>
      <w:r>
        <w:rPr>
          <w:rFonts w:eastAsia="Calibri"/>
        </w:rPr>
        <w:t xml:space="preserve"> inimese IX hüübimisfaktor, </w:t>
      </w:r>
      <w:proofErr w:type="spellStart"/>
      <w:r>
        <w:rPr>
          <w:rFonts w:eastAsia="Calibri"/>
        </w:rPr>
        <w:t>Fc</w:t>
      </w:r>
      <w:proofErr w:type="spellEnd"/>
      <w:r>
        <w:rPr>
          <w:rFonts w:eastAsia="Calibri"/>
        </w:rPr>
        <w:t> fusioonvalk (</w:t>
      </w:r>
      <w:proofErr w:type="spellStart"/>
      <w:r>
        <w:rPr>
          <w:rFonts w:eastAsia="Calibri"/>
        </w:rPr>
        <w:t>rFIXFc</w:t>
      </w:r>
      <w:proofErr w:type="spellEnd"/>
      <w:r>
        <w:rPr>
          <w:rFonts w:eastAsia="Calibri"/>
        </w:rPr>
        <w:t xml:space="preserve">)] koosneb 867 aminohappest. See on kõrge puhtusastmega preparaat, mida toodetakse </w:t>
      </w:r>
      <w:proofErr w:type="spellStart"/>
      <w:r>
        <w:rPr>
          <w:rFonts w:eastAsia="Calibri"/>
        </w:rPr>
        <w:t>rekombinantse</w:t>
      </w:r>
      <w:proofErr w:type="spellEnd"/>
      <w:r>
        <w:rPr>
          <w:rFonts w:eastAsia="Calibri"/>
        </w:rPr>
        <w:t xml:space="preserve"> DNA </w:t>
      </w:r>
      <w:r>
        <w:rPr>
          <w:rFonts w:eastAsia="Calibri"/>
        </w:rPr>
        <w:lastRenderedPageBreak/>
        <w:t xml:space="preserve">tehnoloogia abil inimese embrüonaalse neeru (HEK) rakuliinis ilma mistahes lisa </w:t>
      </w:r>
      <w:proofErr w:type="spellStart"/>
      <w:r>
        <w:rPr>
          <w:rFonts w:eastAsia="Calibri"/>
        </w:rPr>
        <w:t>eksogeense</w:t>
      </w:r>
      <w:proofErr w:type="spellEnd"/>
      <w:r>
        <w:rPr>
          <w:rFonts w:eastAsia="Calibri"/>
        </w:rPr>
        <w:t xml:space="preserve"> </w:t>
      </w:r>
      <w:proofErr w:type="spellStart"/>
      <w:r>
        <w:rPr>
          <w:rFonts w:eastAsia="Calibri"/>
        </w:rPr>
        <w:t>inim</w:t>
      </w:r>
      <w:proofErr w:type="spellEnd"/>
      <w:r>
        <w:rPr>
          <w:rFonts w:eastAsia="Calibri"/>
        </w:rPr>
        <w:t>- või loompäritolu valguta rakkude kultiveerimisel, puhastamisel ega lõplikus ravimvormis.</w:t>
      </w:r>
    </w:p>
    <w:p w14:paraId="3A20F5D2" w14:textId="77777777" w:rsidR="00A27A6F" w:rsidRDefault="00A27A6F">
      <w:pPr>
        <w:spacing w:line="240" w:lineRule="auto"/>
      </w:pPr>
    </w:p>
    <w:p w14:paraId="1D8352C2" w14:textId="197BCBF5" w:rsidR="00A27A6F" w:rsidRDefault="002C0949">
      <w:pPr>
        <w:keepNext/>
        <w:tabs>
          <w:tab w:val="clear" w:pos="567"/>
        </w:tabs>
        <w:autoSpaceDE w:val="0"/>
        <w:autoSpaceDN w:val="0"/>
        <w:adjustRightInd w:val="0"/>
        <w:spacing w:line="240" w:lineRule="auto"/>
        <w:rPr>
          <w:u w:val="single"/>
        </w:rPr>
      </w:pPr>
      <w:r>
        <w:rPr>
          <w:u w:val="single"/>
        </w:rPr>
        <w:t>Teadaolevat toimet omav abiaine</w:t>
      </w:r>
    </w:p>
    <w:p w14:paraId="520A8B4E" w14:textId="77777777" w:rsidR="00A27A6F" w:rsidRDefault="002C0949">
      <w:pPr>
        <w:tabs>
          <w:tab w:val="clear" w:pos="567"/>
        </w:tabs>
        <w:autoSpaceDE w:val="0"/>
        <w:autoSpaceDN w:val="0"/>
        <w:adjustRightInd w:val="0"/>
        <w:spacing w:line="240" w:lineRule="auto"/>
        <w:rPr>
          <w:rFonts w:eastAsia="SimSun"/>
          <w:szCs w:val="22"/>
          <w:u w:val="single"/>
        </w:rPr>
      </w:pPr>
      <w:r>
        <w:t xml:space="preserve">0,3 mmol (6,4 mg) naatriumi </w:t>
      </w:r>
      <w:proofErr w:type="spellStart"/>
      <w:r>
        <w:t>viaali</w:t>
      </w:r>
      <w:proofErr w:type="spellEnd"/>
      <w:r>
        <w:t xml:space="preserve"> kohta.</w:t>
      </w:r>
    </w:p>
    <w:p w14:paraId="798F1D54" w14:textId="77777777" w:rsidR="00A27A6F" w:rsidRDefault="00A27A6F">
      <w:pPr>
        <w:spacing w:line="240" w:lineRule="auto"/>
      </w:pPr>
    </w:p>
    <w:p w14:paraId="0265123C" w14:textId="77777777" w:rsidR="00A27A6F" w:rsidRDefault="002C0949">
      <w:pPr>
        <w:spacing w:line="240" w:lineRule="auto"/>
      </w:pPr>
      <w:r>
        <w:t>Abiainete täielik loetelu vt lõik 6.1.</w:t>
      </w:r>
    </w:p>
    <w:p w14:paraId="7A793EDE" w14:textId="77777777" w:rsidR="00A27A6F" w:rsidRDefault="00A27A6F">
      <w:pPr>
        <w:spacing w:line="240" w:lineRule="auto"/>
      </w:pPr>
    </w:p>
    <w:p w14:paraId="186DB7E6" w14:textId="77777777" w:rsidR="00A27A6F" w:rsidRDefault="00A27A6F">
      <w:pPr>
        <w:spacing w:line="240" w:lineRule="auto"/>
      </w:pPr>
    </w:p>
    <w:p w14:paraId="4434B6AA" w14:textId="77777777" w:rsidR="00A27A6F" w:rsidRDefault="002C0949">
      <w:pPr>
        <w:keepNext/>
        <w:spacing w:line="240" w:lineRule="auto"/>
      </w:pPr>
      <w:r>
        <w:rPr>
          <w:b/>
          <w:szCs w:val="22"/>
        </w:rPr>
        <w:t>3.</w:t>
      </w:r>
      <w:r>
        <w:rPr>
          <w:b/>
          <w:szCs w:val="22"/>
        </w:rPr>
        <w:tab/>
        <w:t>RAVIMVORM</w:t>
      </w:r>
    </w:p>
    <w:p w14:paraId="355075DE" w14:textId="77777777" w:rsidR="00A27A6F" w:rsidRDefault="00A27A6F">
      <w:pPr>
        <w:keepNext/>
        <w:spacing w:line="240" w:lineRule="auto"/>
        <w:rPr>
          <w:szCs w:val="22"/>
        </w:rPr>
      </w:pPr>
    </w:p>
    <w:p w14:paraId="6AC6A4E1" w14:textId="77777777" w:rsidR="00A27A6F" w:rsidRDefault="002C0949">
      <w:pPr>
        <w:pStyle w:val="Default"/>
        <w:rPr>
          <w:color w:val="auto"/>
          <w:sz w:val="22"/>
          <w:szCs w:val="22"/>
        </w:rPr>
      </w:pPr>
      <w:r>
        <w:rPr>
          <w:color w:val="auto"/>
          <w:sz w:val="22"/>
          <w:szCs w:val="22"/>
        </w:rPr>
        <w:t>Süstelahuse pulber ja lahusti.</w:t>
      </w:r>
    </w:p>
    <w:p w14:paraId="4297D74C" w14:textId="77777777" w:rsidR="00A27A6F" w:rsidRDefault="002C0949">
      <w:pPr>
        <w:pStyle w:val="Default"/>
        <w:rPr>
          <w:color w:val="auto"/>
          <w:sz w:val="22"/>
          <w:szCs w:val="22"/>
        </w:rPr>
      </w:pPr>
      <w:r>
        <w:rPr>
          <w:color w:val="auto"/>
          <w:sz w:val="22"/>
          <w:szCs w:val="22"/>
        </w:rPr>
        <w:t xml:space="preserve">Pulber: </w:t>
      </w:r>
      <w:proofErr w:type="spellStart"/>
      <w:r>
        <w:rPr>
          <w:color w:val="auto"/>
          <w:sz w:val="22"/>
          <w:szCs w:val="22"/>
        </w:rPr>
        <w:t>lüofiliseeritud</w:t>
      </w:r>
      <w:proofErr w:type="spellEnd"/>
      <w:r>
        <w:rPr>
          <w:color w:val="auto"/>
          <w:sz w:val="22"/>
          <w:szCs w:val="22"/>
        </w:rPr>
        <w:t>, valge kuni valkjas pulber või kämp.</w:t>
      </w:r>
    </w:p>
    <w:p w14:paraId="562B4F62" w14:textId="3D4C4355" w:rsidR="00A27A6F" w:rsidRDefault="002C0949">
      <w:pPr>
        <w:tabs>
          <w:tab w:val="clear" w:pos="567"/>
        </w:tabs>
        <w:autoSpaceDE w:val="0"/>
        <w:autoSpaceDN w:val="0"/>
        <w:adjustRightInd w:val="0"/>
        <w:spacing w:line="240" w:lineRule="auto"/>
        <w:rPr>
          <w:rFonts w:eastAsia="SimSun"/>
          <w:szCs w:val="22"/>
          <w:lang w:eastAsia="en-GB"/>
        </w:rPr>
      </w:pPr>
      <w:r>
        <w:rPr>
          <w:rFonts w:eastAsia="SimSun"/>
          <w:szCs w:val="22"/>
        </w:rPr>
        <w:t>Lahusti: läbipaistev kuni värvitu</w:t>
      </w:r>
      <w:r w:rsidR="00B7173E">
        <w:rPr>
          <w:rFonts w:eastAsia="SimSun"/>
          <w:szCs w:val="22"/>
        </w:rPr>
        <w:t xml:space="preserve"> lahus</w:t>
      </w:r>
      <w:r>
        <w:rPr>
          <w:rFonts w:eastAsia="SimSun"/>
          <w:szCs w:val="22"/>
        </w:rPr>
        <w:t>.</w:t>
      </w:r>
    </w:p>
    <w:p w14:paraId="56913519" w14:textId="6571A441" w:rsidR="00A27A6F" w:rsidRDefault="00A27A6F">
      <w:pPr>
        <w:spacing w:line="240" w:lineRule="auto"/>
        <w:rPr>
          <w:szCs w:val="22"/>
        </w:rPr>
      </w:pPr>
    </w:p>
    <w:p w14:paraId="53B74D9E" w14:textId="09818276" w:rsidR="00B7173E" w:rsidRDefault="00B7173E">
      <w:pPr>
        <w:spacing w:line="240" w:lineRule="auto"/>
        <w:rPr>
          <w:szCs w:val="22"/>
        </w:rPr>
      </w:pPr>
      <w:proofErr w:type="spellStart"/>
      <w:r>
        <w:rPr>
          <w:szCs w:val="22"/>
        </w:rPr>
        <w:t>pH</w:t>
      </w:r>
      <w:proofErr w:type="spellEnd"/>
      <w:r>
        <w:rPr>
          <w:szCs w:val="22"/>
        </w:rPr>
        <w:t>: 6,5…7,5</w:t>
      </w:r>
    </w:p>
    <w:p w14:paraId="48768EDB" w14:textId="64C86401" w:rsidR="00B7173E" w:rsidRDefault="00B7173E">
      <w:pPr>
        <w:spacing w:line="240" w:lineRule="auto"/>
        <w:rPr>
          <w:szCs w:val="22"/>
        </w:rPr>
      </w:pPr>
      <w:proofErr w:type="spellStart"/>
      <w:r>
        <w:rPr>
          <w:szCs w:val="22"/>
        </w:rPr>
        <w:t>Osmolaalsus</w:t>
      </w:r>
      <w:proofErr w:type="spellEnd"/>
      <w:r w:rsidR="003A6778">
        <w:rPr>
          <w:szCs w:val="22"/>
        </w:rPr>
        <w:t>: 255…345 </w:t>
      </w:r>
      <w:proofErr w:type="spellStart"/>
      <w:r w:rsidR="003A6778">
        <w:rPr>
          <w:szCs w:val="22"/>
        </w:rPr>
        <w:t>mOsm</w:t>
      </w:r>
      <w:proofErr w:type="spellEnd"/>
      <w:r w:rsidR="003A6778">
        <w:rPr>
          <w:szCs w:val="22"/>
        </w:rPr>
        <w:t>/kg</w:t>
      </w:r>
    </w:p>
    <w:p w14:paraId="76B16236" w14:textId="77777777" w:rsidR="003A6778" w:rsidRDefault="003A6778">
      <w:pPr>
        <w:spacing w:line="240" w:lineRule="auto"/>
        <w:rPr>
          <w:szCs w:val="22"/>
        </w:rPr>
      </w:pPr>
    </w:p>
    <w:p w14:paraId="1BAED966" w14:textId="77777777" w:rsidR="00A27A6F" w:rsidRDefault="00A27A6F">
      <w:pPr>
        <w:suppressAutoHyphens/>
        <w:spacing w:line="240" w:lineRule="auto"/>
        <w:ind w:left="567" w:hanging="567"/>
        <w:rPr>
          <w:b/>
          <w:caps/>
          <w:szCs w:val="22"/>
        </w:rPr>
      </w:pPr>
    </w:p>
    <w:p w14:paraId="1DD6E550" w14:textId="77777777" w:rsidR="00A27A6F" w:rsidRDefault="002C0949">
      <w:pPr>
        <w:keepNext/>
        <w:spacing w:line="240" w:lineRule="auto"/>
        <w:rPr>
          <w:caps/>
          <w:szCs w:val="22"/>
        </w:rPr>
      </w:pPr>
      <w:r>
        <w:rPr>
          <w:b/>
          <w:szCs w:val="22"/>
        </w:rPr>
        <w:t>4.</w:t>
      </w:r>
      <w:r>
        <w:rPr>
          <w:b/>
          <w:szCs w:val="22"/>
        </w:rPr>
        <w:tab/>
        <w:t>KLIINILISED ANDMED</w:t>
      </w:r>
    </w:p>
    <w:p w14:paraId="5827FDEF" w14:textId="77777777" w:rsidR="00A27A6F" w:rsidRDefault="00A27A6F">
      <w:pPr>
        <w:keepNext/>
        <w:spacing w:line="240" w:lineRule="auto"/>
        <w:rPr>
          <w:szCs w:val="22"/>
        </w:rPr>
      </w:pPr>
    </w:p>
    <w:p w14:paraId="1145ABCB" w14:textId="77777777" w:rsidR="00A27A6F" w:rsidRDefault="002C0949">
      <w:pPr>
        <w:keepNext/>
        <w:spacing w:line="240" w:lineRule="auto"/>
        <w:rPr>
          <w:szCs w:val="22"/>
        </w:rPr>
      </w:pPr>
      <w:r>
        <w:rPr>
          <w:b/>
          <w:szCs w:val="22"/>
        </w:rPr>
        <w:t>4.1</w:t>
      </w:r>
      <w:r>
        <w:rPr>
          <w:b/>
          <w:szCs w:val="22"/>
        </w:rPr>
        <w:tab/>
        <w:t>Näidustused</w:t>
      </w:r>
    </w:p>
    <w:p w14:paraId="38DC48CA" w14:textId="77777777" w:rsidR="00A27A6F" w:rsidRDefault="00A27A6F">
      <w:pPr>
        <w:keepNext/>
        <w:spacing w:line="240" w:lineRule="auto"/>
        <w:rPr>
          <w:szCs w:val="22"/>
        </w:rPr>
      </w:pPr>
    </w:p>
    <w:p w14:paraId="75E13024" w14:textId="77777777" w:rsidR="00A27A6F" w:rsidRDefault="002C0949">
      <w:pPr>
        <w:spacing w:line="240" w:lineRule="auto"/>
      </w:pPr>
      <w:r>
        <w:t>Veritsuse ravi ja profülaktika B</w:t>
      </w:r>
      <w:r>
        <w:noBreakHyphen/>
        <w:t>hemofiiliaga (IX hüübimisfaktori kaasasündinud puudulikkus) patsientidel.</w:t>
      </w:r>
    </w:p>
    <w:p w14:paraId="5B00CF36" w14:textId="77777777" w:rsidR="00A27A6F" w:rsidRDefault="00A27A6F">
      <w:pPr>
        <w:spacing w:line="240" w:lineRule="auto"/>
      </w:pPr>
    </w:p>
    <w:p w14:paraId="491A2774" w14:textId="77777777" w:rsidR="00A27A6F" w:rsidRDefault="002C0949">
      <w:pPr>
        <w:spacing w:line="240" w:lineRule="auto"/>
      </w:pPr>
      <w:r>
        <w:t>ALPROLIX sobib kasutamiseks kõigis vanuserühmades.</w:t>
      </w:r>
    </w:p>
    <w:p w14:paraId="0B686902" w14:textId="77777777" w:rsidR="00A27A6F" w:rsidRDefault="00A27A6F">
      <w:pPr>
        <w:spacing w:line="240" w:lineRule="auto"/>
        <w:rPr>
          <w:szCs w:val="22"/>
        </w:rPr>
      </w:pPr>
    </w:p>
    <w:p w14:paraId="3F91195D" w14:textId="77777777" w:rsidR="00A27A6F" w:rsidRDefault="002C0949">
      <w:pPr>
        <w:keepNext/>
        <w:spacing w:line="240" w:lineRule="auto"/>
        <w:rPr>
          <w:b/>
          <w:szCs w:val="22"/>
        </w:rPr>
      </w:pPr>
      <w:r>
        <w:rPr>
          <w:b/>
          <w:szCs w:val="22"/>
        </w:rPr>
        <w:t>4.2</w:t>
      </w:r>
      <w:r>
        <w:rPr>
          <w:b/>
          <w:szCs w:val="22"/>
        </w:rPr>
        <w:tab/>
        <w:t>Annustamine ja manustamisviis</w:t>
      </w:r>
    </w:p>
    <w:p w14:paraId="3C86E1FF" w14:textId="77777777" w:rsidR="00A27A6F" w:rsidRDefault="00A27A6F">
      <w:pPr>
        <w:keepNext/>
        <w:spacing w:line="240" w:lineRule="auto"/>
        <w:rPr>
          <w:b/>
          <w:szCs w:val="22"/>
        </w:rPr>
      </w:pPr>
    </w:p>
    <w:p w14:paraId="1D98CBFB" w14:textId="77777777" w:rsidR="00A27A6F" w:rsidRDefault="002C0949">
      <w:pPr>
        <w:autoSpaceDE w:val="0"/>
        <w:autoSpaceDN w:val="0"/>
        <w:adjustRightInd w:val="0"/>
        <w:spacing w:line="240" w:lineRule="auto"/>
      </w:pPr>
      <w:r>
        <w:t>Ravi tohib teostada ainult hemofiilia ravis kogenenud arsti järelevalve all.</w:t>
      </w:r>
    </w:p>
    <w:p w14:paraId="09D61595" w14:textId="77777777" w:rsidR="00A27A6F" w:rsidRDefault="00A27A6F">
      <w:pPr>
        <w:autoSpaceDE w:val="0"/>
        <w:autoSpaceDN w:val="0"/>
        <w:adjustRightInd w:val="0"/>
        <w:spacing w:line="240" w:lineRule="auto"/>
      </w:pPr>
    </w:p>
    <w:p w14:paraId="75A68CD1" w14:textId="77777777" w:rsidR="00A27A6F" w:rsidRDefault="002C0949">
      <w:pPr>
        <w:keepNext/>
        <w:spacing w:line="240" w:lineRule="auto"/>
        <w:rPr>
          <w:u w:val="single"/>
        </w:rPr>
      </w:pPr>
      <w:r>
        <w:rPr>
          <w:u w:val="single"/>
        </w:rPr>
        <w:t>Raviseire</w:t>
      </w:r>
    </w:p>
    <w:p w14:paraId="11753613" w14:textId="338FE09D" w:rsidR="00A27A6F" w:rsidRDefault="002C0949">
      <w:pPr>
        <w:spacing w:line="240" w:lineRule="auto"/>
      </w:pPr>
      <w:r>
        <w:t xml:space="preserve">Ravi jooksul on soovitatav jooksvalt hinnata IX faktori tasemeid, kuna see aitab määrata kordussüstide annuseid ja manustamissagedust. Erinevate patsientide ravivastus IX faktorile võib olla erinev (erinevad poolväärtusajad ja taastumised). Ala- või ülekaalulistel patsientidel võib osutuda vajalikuks kehakaalul põhinevate annuste kohandamine. Mahukate kirurgiliste operatsioonide puhul on eriti oluline asendusravi täpne seire, koagulatsioonianalüüs (IX faktori </w:t>
      </w:r>
      <w:r w:rsidRPr="00A63BDD">
        <w:t xml:space="preserve">aktiivsus </w:t>
      </w:r>
      <w:r w:rsidR="003C7AEF" w:rsidRPr="00A63BDD">
        <w:t>vere</w:t>
      </w:r>
      <w:r w:rsidRPr="00A63BDD">
        <w:t>plasmas</w:t>
      </w:r>
      <w:r>
        <w:t>) on sel puhul asendamatu.</w:t>
      </w:r>
    </w:p>
    <w:p w14:paraId="58A82C06" w14:textId="77777777" w:rsidR="00A27A6F" w:rsidRDefault="00A27A6F">
      <w:pPr>
        <w:spacing w:line="240" w:lineRule="auto"/>
        <w:rPr>
          <w:i/>
          <w:szCs w:val="22"/>
          <w:u w:val="single"/>
        </w:rPr>
      </w:pPr>
    </w:p>
    <w:p w14:paraId="46ADDA11" w14:textId="6A4F3869" w:rsidR="00A27A6F" w:rsidRDefault="002C0949">
      <w:pPr>
        <w:spacing w:line="240" w:lineRule="auto"/>
      </w:pPr>
      <w:r>
        <w:t xml:space="preserve">Patsientide vereproovides IX faktori aktiivsuse määramiseks </w:t>
      </w:r>
      <w:r>
        <w:rPr>
          <w:i/>
          <w:iCs/>
        </w:rPr>
        <w:t>in </w:t>
      </w:r>
      <w:proofErr w:type="spellStart"/>
      <w:r>
        <w:rPr>
          <w:i/>
          <w:iCs/>
        </w:rPr>
        <w:t>vitro</w:t>
      </w:r>
      <w:proofErr w:type="spellEnd"/>
      <w:r>
        <w:t xml:space="preserve"> </w:t>
      </w:r>
      <w:proofErr w:type="spellStart"/>
      <w:r>
        <w:t>tromboplastiiniajal</w:t>
      </w:r>
      <w:proofErr w:type="spellEnd"/>
      <w:r>
        <w:t xml:space="preserve"> (</w:t>
      </w:r>
      <w:proofErr w:type="spellStart"/>
      <w:r>
        <w:t>aPTT</w:t>
      </w:r>
      <w:proofErr w:type="spellEnd"/>
      <w:r>
        <w:t xml:space="preserve">) põhineva üheastmelise koagulatsioonitesti kasutamisel võib IX faktori aktiivsust </w:t>
      </w:r>
      <w:r w:rsidR="0081738A">
        <w:t>vere</w:t>
      </w:r>
      <w:r>
        <w:t xml:space="preserve">plasmas oluliselt mõjutada nii </w:t>
      </w:r>
      <w:proofErr w:type="spellStart"/>
      <w:r>
        <w:t>aPTT</w:t>
      </w:r>
      <w:proofErr w:type="spellEnd"/>
      <w:r>
        <w:t xml:space="preserve"> reagendi tüüp kui ka analüüsimisel kasutatud referentsstandard. See on eriti oluline laboratooriumi ja/või analüüsis kasutatavate reagentide vahetamisel.</w:t>
      </w:r>
    </w:p>
    <w:p w14:paraId="169389A2" w14:textId="77777777" w:rsidR="00A27A6F" w:rsidRDefault="002C0949">
      <w:pPr>
        <w:spacing w:line="240" w:lineRule="auto"/>
      </w:pPr>
      <w:r>
        <w:t xml:space="preserve">Kaoliinipõhist </w:t>
      </w:r>
      <w:proofErr w:type="spellStart"/>
      <w:r>
        <w:t>aPTT</w:t>
      </w:r>
      <w:proofErr w:type="spellEnd"/>
      <w:r>
        <w:t xml:space="preserve"> reagenti kasutavate üheastmeliste koagulatsioonitestide mõõtmistulemustes on aktiivsustase tõenäoliselt alahinnatud.</w:t>
      </w:r>
    </w:p>
    <w:p w14:paraId="3513BBF5" w14:textId="77777777" w:rsidR="00A27A6F" w:rsidRDefault="00A27A6F">
      <w:pPr>
        <w:autoSpaceDE w:val="0"/>
        <w:autoSpaceDN w:val="0"/>
        <w:adjustRightInd w:val="0"/>
        <w:spacing w:line="240" w:lineRule="auto"/>
      </w:pPr>
    </w:p>
    <w:p w14:paraId="511E7102" w14:textId="77777777" w:rsidR="00A27A6F" w:rsidRDefault="002C0949">
      <w:pPr>
        <w:keepNext/>
        <w:spacing w:line="240" w:lineRule="auto"/>
        <w:rPr>
          <w:u w:val="single"/>
        </w:rPr>
      </w:pPr>
      <w:r>
        <w:rPr>
          <w:u w:val="single"/>
        </w:rPr>
        <w:t>Annustamine</w:t>
      </w:r>
    </w:p>
    <w:p w14:paraId="17E22CC0" w14:textId="77777777" w:rsidR="00A27A6F" w:rsidRDefault="002C0949">
      <w:pPr>
        <w:autoSpaceDE w:val="0"/>
        <w:autoSpaceDN w:val="0"/>
        <w:adjustRightInd w:val="0"/>
        <w:spacing w:line="240" w:lineRule="auto"/>
      </w:pPr>
      <w:r>
        <w:t>Asendusravi annus ja kestus sõltuvad IX faktori puudulikkuse raskusastmest, veritsuse asukohast ja ulatusest ning patsiendi kliinilisest seisundist.</w:t>
      </w:r>
    </w:p>
    <w:p w14:paraId="5ADB7F1D" w14:textId="77777777" w:rsidR="00A27A6F" w:rsidRDefault="00A27A6F">
      <w:pPr>
        <w:spacing w:line="240" w:lineRule="auto"/>
        <w:rPr>
          <w:iCs/>
        </w:rPr>
      </w:pPr>
    </w:p>
    <w:p w14:paraId="31A872AC" w14:textId="6F4B38F4" w:rsidR="00A27A6F" w:rsidRDefault="002C0949">
      <w:pPr>
        <w:autoSpaceDE w:val="0"/>
        <w:autoSpaceDN w:val="0"/>
        <w:adjustRightInd w:val="0"/>
        <w:spacing w:line="240" w:lineRule="auto"/>
      </w:pPr>
      <w:proofErr w:type="spellStart"/>
      <w:r>
        <w:lastRenderedPageBreak/>
        <w:t>Rekombinantse</w:t>
      </w:r>
      <w:proofErr w:type="spellEnd"/>
      <w:r>
        <w:t xml:space="preserve"> IX </w:t>
      </w:r>
      <w:r w:rsidR="003A6778">
        <w:t>faktori</w:t>
      </w:r>
      <w:r>
        <w:t xml:space="preserve"> manustatud ühikute arvu väljendatakse rahvusvahelistes ühikutes (RÜ), mis lähtub ajakohasest MTO poolt IX faktorit sisaldavatele ravimitele kehtivast standardist. IX faktori plasmaaktiivsust väljendatakse protsendina (normaalse </w:t>
      </w:r>
      <w:proofErr w:type="spellStart"/>
      <w:r>
        <w:t>inimplasma</w:t>
      </w:r>
      <w:proofErr w:type="spellEnd"/>
      <w:r>
        <w:t xml:space="preserve"> suhtes) või rahvusvahelistes ühikutes (IX faktori plasmasisalduse rahvusvahelise standardi suhtes).</w:t>
      </w:r>
    </w:p>
    <w:p w14:paraId="264402FB" w14:textId="77777777" w:rsidR="00A27A6F" w:rsidRDefault="00A27A6F">
      <w:pPr>
        <w:autoSpaceDE w:val="0"/>
        <w:autoSpaceDN w:val="0"/>
        <w:adjustRightInd w:val="0"/>
        <w:spacing w:line="240" w:lineRule="auto"/>
      </w:pPr>
    </w:p>
    <w:p w14:paraId="1A333080" w14:textId="77777777" w:rsidR="00A27A6F" w:rsidRDefault="002C0949">
      <w:pPr>
        <w:autoSpaceDE w:val="0"/>
        <w:autoSpaceDN w:val="0"/>
        <w:adjustRightInd w:val="0"/>
        <w:spacing w:line="240" w:lineRule="auto"/>
      </w:pPr>
      <w:proofErr w:type="spellStart"/>
      <w:r>
        <w:t>Rekombinantse</w:t>
      </w:r>
      <w:proofErr w:type="spellEnd"/>
      <w:r>
        <w:t xml:space="preserve"> faktor IX </w:t>
      </w:r>
      <w:proofErr w:type="spellStart"/>
      <w:r>
        <w:t>Fc</w:t>
      </w:r>
      <w:proofErr w:type="spellEnd"/>
      <w:r>
        <w:t xml:space="preserve"> aktiivsuse üks rahvusvaheline ühik (RÜ) võrdub sama IX faktori kogusega ühes ml normaalses </w:t>
      </w:r>
      <w:proofErr w:type="spellStart"/>
      <w:r>
        <w:t>inimplasmas</w:t>
      </w:r>
      <w:proofErr w:type="spellEnd"/>
      <w:r>
        <w:t>.</w:t>
      </w:r>
    </w:p>
    <w:p w14:paraId="38D865C2" w14:textId="77777777" w:rsidR="00A27A6F" w:rsidRDefault="00A27A6F">
      <w:pPr>
        <w:autoSpaceDE w:val="0"/>
        <w:autoSpaceDN w:val="0"/>
        <w:adjustRightInd w:val="0"/>
        <w:spacing w:line="240" w:lineRule="auto"/>
      </w:pPr>
    </w:p>
    <w:p w14:paraId="60C49359" w14:textId="77777777" w:rsidR="00A27A6F" w:rsidRDefault="002C0949">
      <w:pPr>
        <w:keepNext/>
        <w:autoSpaceDE w:val="0"/>
        <w:autoSpaceDN w:val="0"/>
        <w:adjustRightInd w:val="0"/>
        <w:spacing w:line="240" w:lineRule="auto"/>
        <w:ind w:left="357" w:hanging="357"/>
        <w:rPr>
          <w:i/>
          <w:iCs/>
          <w:u w:val="single"/>
        </w:rPr>
      </w:pPr>
      <w:r>
        <w:rPr>
          <w:i/>
          <w:iCs/>
          <w:u w:val="single"/>
        </w:rPr>
        <w:t>Vajaduspõhine ravi</w:t>
      </w:r>
    </w:p>
    <w:p w14:paraId="7055AF4C" w14:textId="5E996068" w:rsidR="00A27A6F" w:rsidRDefault="002C0949">
      <w:pPr>
        <w:autoSpaceDE w:val="0"/>
        <w:autoSpaceDN w:val="0"/>
        <w:adjustRightInd w:val="0"/>
        <w:spacing w:line="240" w:lineRule="auto"/>
      </w:pPr>
      <w:r>
        <w:t>Faktor IX </w:t>
      </w:r>
      <w:proofErr w:type="spellStart"/>
      <w:r>
        <w:t>Fc</w:t>
      </w:r>
      <w:proofErr w:type="spellEnd"/>
      <w:r>
        <w:t xml:space="preserve"> vajaliku annuse arvutamine põhineb empiirilisel leiul, et 1 RÜ IX faktorit kg kehakaalu kohta tõstab IX faktori </w:t>
      </w:r>
      <w:r w:rsidRPr="002F18D9">
        <w:t xml:space="preserve">aktiivsust </w:t>
      </w:r>
      <w:r w:rsidR="002320F0" w:rsidRPr="002F18D9">
        <w:t>vere</w:t>
      </w:r>
      <w:r w:rsidRPr="002F18D9">
        <w:t>plasmas</w:t>
      </w:r>
      <w:r>
        <w:t xml:space="preserve"> võrreldes normaalse aktiivsusega 1% (RÜ/dl) võrra. Vajaliku annuse määramisel kasutatakse järgmist valemit.</w:t>
      </w:r>
    </w:p>
    <w:p w14:paraId="2232DB04" w14:textId="77777777" w:rsidR="00A27A6F" w:rsidRDefault="00A27A6F">
      <w:pPr>
        <w:autoSpaceDE w:val="0"/>
        <w:autoSpaceDN w:val="0"/>
        <w:adjustRightInd w:val="0"/>
        <w:spacing w:line="240" w:lineRule="auto"/>
      </w:pPr>
    </w:p>
    <w:p w14:paraId="1408EB38" w14:textId="09BEDA9A" w:rsidR="00A27A6F" w:rsidRDefault="002C0949">
      <w:pPr>
        <w:autoSpaceDE w:val="0"/>
        <w:autoSpaceDN w:val="0"/>
        <w:adjustRightInd w:val="0"/>
        <w:spacing w:line="240" w:lineRule="auto"/>
      </w:pPr>
      <w:r>
        <w:t>Vajalike ühikute arv = kehakaal (kg) </w:t>
      </w:r>
      <w:r w:rsidR="00C92342">
        <w:t>×</w:t>
      </w:r>
      <w:r>
        <w:t> soovitav IX faktori tõus (%) (RÜ/dl) </w:t>
      </w:r>
      <w:r w:rsidR="00C92342">
        <w:t>×</w:t>
      </w:r>
      <w:r>
        <w:t xml:space="preserve"> {täheldatud taastumise </w:t>
      </w:r>
      <w:proofErr w:type="spellStart"/>
      <w:r>
        <w:t>pöördväärtus</w:t>
      </w:r>
      <w:proofErr w:type="spellEnd"/>
      <w:r>
        <w:t>) (RÜ/kg RÜ/dl kohta)}.</w:t>
      </w:r>
    </w:p>
    <w:p w14:paraId="353470C0" w14:textId="77777777" w:rsidR="00A27A6F" w:rsidRDefault="00A27A6F">
      <w:pPr>
        <w:autoSpaceDE w:val="0"/>
        <w:autoSpaceDN w:val="0"/>
        <w:adjustRightInd w:val="0"/>
        <w:spacing w:line="240" w:lineRule="auto"/>
      </w:pPr>
    </w:p>
    <w:p w14:paraId="37D65270" w14:textId="77777777" w:rsidR="00A27A6F" w:rsidRDefault="002C0949">
      <w:pPr>
        <w:autoSpaceDE w:val="0"/>
        <w:autoSpaceDN w:val="0"/>
        <w:adjustRightInd w:val="0"/>
        <w:spacing w:line="240" w:lineRule="auto"/>
        <w:rPr>
          <w:bCs/>
        </w:rPr>
      </w:pPr>
      <w:r>
        <w:t xml:space="preserve">Manustatava koguse ja manustamissageduse määramisel peab alati lähtuma iga individuaalse juhtumi kliinilisest efektiivsusest. Kui veritsuse peatamiseks tuleb manustada korduvannus, peab arvestama </w:t>
      </w:r>
      <w:proofErr w:type="spellStart"/>
      <w:r>
        <w:t>ALPROLIX’i</w:t>
      </w:r>
      <w:proofErr w:type="spellEnd"/>
      <w:r>
        <w:t xml:space="preserve"> pikenenud poolväärtusajaga (vt lõik 5.2). Maksimaalse toime edasilükkumist ei ole oodata.</w:t>
      </w:r>
    </w:p>
    <w:p w14:paraId="3425609D" w14:textId="77777777" w:rsidR="00A27A6F" w:rsidRDefault="00A27A6F">
      <w:pPr>
        <w:spacing w:line="240" w:lineRule="auto"/>
        <w:rPr>
          <w:bCs/>
        </w:rPr>
      </w:pPr>
    </w:p>
    <w:p w14:paraId="18F83D48" w14:textId="77777777" w:rsidR="00A27A6F" w:rsidRDefault="002C0949">
      <w:pPr>
        <w:spacing w:line="240" w:lineRule="auto"/>
      </w:pPr>
      <w:r>
        <w:t>Järgnevate veritsusepisoodide puhul ei tohi IX faktori aktiivsus vastava perioodi jooksul langeda allapoole toodud plasmaaktiivsuse taset (protsentides normaalväärtusest või RÜ/dl). Tabelit 1 võib kasutada annustamisjuhisena eri veritsusepisoodide ja operatsioonide puhul.</w:t>
      </w:r>
    </w:p>
    <w:p w14:paraId="0653A942" w14:textId="77777777" w:rsidR="00A27A6F" w:rsidRDefault="00A27A6F">
      <w:pPr>
        <w:spacing w:line="240" w:lineRule="auto"/>
        <w:rPr>
          <w:b/>
          <w:sz w:val="20"/>
        </w:rPr>
      </w:pPr>
    </w:p>
    <w:p w14:paraId="529101FF" w14:textId="77777777" w:rsidR="00A27A6F" w:rsidRDefault="002C0949">
      <w:pPr>
        <w:keepNext/>
        <w:autoSpaceDE w:val="0"/>
        <w:autoSpaceDN w:val="0"/>
        <w:adjustRightInd w:val="0"/>
        <w:spacing w:line="240" w:lineRule="auto"/>
        <w:ind w:left="357" w:hanging="357"/>
      </w:pPr>
      <w:r>
        <w:lastRenderedPageBreak/>
        <w:t xml:space="preserve">Tabel 1. </w:t>
      </w:r>
      <w:proofErr w:type="spellStart"/>
      <w:r>
        <w:t>ALPROLIX’i</w:t>
      </w:r>
      <w:proofErr w:type="spellEnd"/>
      <w:r>
        <w:t xml:space="preserve"> annustamisjuhis veritsusepisoodidel ja operatsioonidel</w:t>
      </w:r>
    </w:p>
    <w:tbl>
      <w:tblPr>
        <w:tblW w:w="0" w:type="auto"/>
        <w:tblInd w:w="108" w:type="dxa"/>
        <w:tblBorders>
          <w:insideH w:val="single" w:sz="4" w:space="0" w:color="auto"/>
        </w:tblBorders>
        <w:tblLook w:val="04A0" w:firstRow="1" w:lastRow="0" w:firstColumn="1" w:lastColumn="0" w:noHBand="0" w:noVBand="1"/>
      </w:tblPr>
      <w:tblGrid>
        <w:gridCol w:w="2753"/>
        <w:gridCol w:w="2364"/>
        <w:gridCol w:w="4235"/>
      </w:tblGrid>
      <w:tr w:rsidR="00A27A6F" w14:paraId="714356B4" w14:textId="77777777" w:rsidTr="00C92342">
        <w:trPr>
          <w:trHeight w:val="908"/>
        </w:trPr>
        <w:tc>
          <w:tcPr>
            <w:tcW w:w="2835" w:type="dxa"/>
            <w:tcBorders>
              <w:bottom w:val="single" w:sz="4" w:space="0" w:color="auto"/>
            </w:tcBorders>
            <w:shd w:val="clear" w:color="auto" w:fill="auto"/>
            <w:vAlign w:val="center"/>
          </w:tcPr>
          <w:p w14:paraId="2006763F" w14:textId="77777777" w:rsidR="00A27A6F" w:rsidRDefault="002C0949" w:rsidP="00C92342">
            <w:pPr>
              <w:keepNext/>
              <w:spacing w:line="240" w:lineRule="auto"/>
              <w:outlineLvl w:val="1"/>
              <w:rPr>
                <w:b/>
                <w:bCs/>
                <w:szCs w:val="22"/>
              </w:rPr>
            </w:pPr>
            <w:r>
              <w:rPr>
                <w:b/>
                <w:bCs/>
                <w:szCs w:val="22"/>
              </w:rPr>
              <w:t>Verejooksu raskusaste/ kirurgilise protseduuri tüüp</w:t>
            </w:r>
          </w:p>
        </w:tc>
        <w:tc>
          <w:tcPr>
            <w:tcW w:w="2410" w:type="dxa"/>
            <w:tcBorders>
              <w:bottom w:val="single" w:sz="4" w:space="0" w:color="auto"/>
            </w:tcBorders>
            <w:shd w:val="clear" w:color="auto" w:fill="auto"/>
            <w:vAlign w:val="center"/>
          </w:tcPr>
          <w:p w14:paraId="32F303DD" w14:textId="77777777" w:rsidR="00A27A6F" w:rsidRDefault="002C0949" w:rsidP="00C92342">
            <w:pPr>
              <w:keepNext/>
              <w:spacing w:line="240" w:lineRule="auto"/>
              <w:outlineLvl w:val="1"/>
              <w:rPr>
                <w:b/>
                <w:bCs/>
                <w:szCs w:val="22"/>
              </w:rPr>
            </w:pPr>
            <w:r>
              <w:rPr>
                <w:b/>
                <w:bCs/>
                <w:szCs w:val="22"/>
              </w:rPr>
              <w:t>Nõutav IX faktori tase (%) (RÜ/dl)</w:t>
            </w:r>
          </w:p>
        </w:tc>
        <w:tc>
          <w:tcPr>
            <w:tcW w:w="4394" w:type="dxa"/>
            <w:tcBorders>
              <w:bottom w:val="single" w:sz="4" w:space="0" w:color="auto"/>
            </w:tcBorders>
            <w:shd w:val="clear" w:color="auto" w:fill="auto"/>
            <w:vAlign w:val="center"/>
          </w:tcPr>
          <w:p w14:paraId="2FE7F8DF" w14:textId="77777777" w:rsidR="00A27A6F" w:rsidRDefault="002C0949" w:rsidP="00C92342">
            <w:pPr>
              <w:keepNext/>
              <w:spacing w:line="240" w:lineRule="auto"/>
              <w:outlineLvl w:val="1"/>
              <w:rPr>
                <w:b/>
                <w:bCs/>
                <w:szCs w:val="22"/>
              </w:rPr>
            </w:pPr>
            <w:r>
              <w:rPr>
                <w:b/>
                <w:bCs/>
                <w:szCs w:val="22"/>
              </w:rPr>
              <w:t>Annustamissagedus (tundides)/ravi kestus (päevades)</w:t>
            </w:r>
          </w:p>
        </w:tc>
      </w:tr>
      <w:tr w:rsidR="00A27A6F" w14:paraId="0B69D66C" w14:textId="77777777">
        <w:trPr>
          <w:trHeight w:val="271"/>
        </w:trPr>
        <w:tc>
          <w:tcPr>
            <w:tcW w:w="2835" w:type="dxa"/>
            <w:tcBorders>
              <w:top w:val="single" w:sz="4" w:space="0" w:color="auto"/>
              <w:bottom w:val="nil"/>
            </w:tcBorders>
            <w:shd w:val="clear" w:color="auto" w:fill="auto"/>
          </w:tcPr>
          <w:p w14:paraId="3F623379" w14:textId="77777777" w:rsidR="00A27A6F" w:rsidRDefault="002C0949">
            <w:pPr>
              <w:keepNext/>
              <w:spacing w:line="240" w:lineRule="auto"/>
              <w:outlineLvl w:val="1"/>
              <w:rPr>
                <w:bCs/>
                <w:szCs w:val="22"/>
                <w:u w:val="single"/>
              </w:rPr>
            </w:pPr>
            <w:r>
              <w:rPr>
                <w:bCs/>
                <w:szCs w:val="22"/>
                <w:u w:val="single"/>
              </w:rPr>
              <w:t>Hemorraagia</w:t>
            </w:r>
          </w:p>
        </w:tc>
        <w:tc>
          <w:tcPr>
            <w:tcW w:w="2410" w:type="dxa"/>
            <w:tcBorders>
              <w:top w:val="single" w:sz="4" w:space="0" w:color="auto"/>
              <w:bottom w:val="nil"/>
            </w:tcBorders>
            <w:shd w:val="clear" w:color="auto" w:fill="auto"/>
          </w:tcPr>
          <w:p w14:paraId="355D7B01" w14:textId="77777777" w:rsidR="00A27A6F" w:rsidRDefault="00A27A6F">
            <w:pPr>
              <w:keepNext/>
              <w:spacing w:line="240" w:lineRule="auto"/>
              <w:outlineLvl w:val="1"/>
              <w:rPr>
                <w:bCs/>
                <w:szCs w:val="22"/>
              </w:rPr>
            </w:pPr>
          </w:p>
        </w:tc>
        <w:tc>
          <w:tcPr>
            <w:tcW w:w="4394" w:type="dxa"/>
            <w:tcBorders>
              <w:top w:val="single" w:sz="4" w:space="0" w:color="auto"/>
              <w:bottom w:val="nil"/>
            </w:tcBorders>
            <w:shd w:val="clear" w:color="auto" w:fill="auto"/>
          </w:tcPr>
          <w:p w14:paraId="5E44AB3B" w14:textId="77777777" w:rsidR="00A27A6F" w:rsidRDefault="00A27A6F">
            <w:pPr>
              <w:keepNext/>
              <w:spacing w:line="240" w:lineRule="auto"/>
              <w:outlineLvl w:val="1"/>
              <w:rPr>
                <w:bCs/>
                <w:szCs w:val="22"/>
              </w:rPr>
            </w:pPr>
          </w:p>
        </w:tc>
      </w:tr>
      <w:tr w:rsidR="00A27A6F" w14:paraId="17E3E5E7" w14:textId="77777777">
        <w:tc>
          <w:tcPr>
            <w:tcW w:w="2835" w:type="dxa"/>
            <w:tcBorders>
              <w:top w:val="nil"/>
              <w:bottom w:val="nil"/>
            </w:tcBorders>
            <w:shd w:val="clear" w:color="auto" w:fill="auto"/>
          </w:tcPr>
          <w:p w14:paraId="7653947E" w14:textId="77777777" w:rsidR="00A27A6F" w:rsidRDefault="002C0949">
            <w:pPr>
              <w:keepNext/>
              <w:spacing w:line="240" w:lineRule="auto"/>
              <w:outlineLvl w:val="1"/>
              <w:rPr>
                <w:bCs/>
                <w:szCs w:val="22"/>
              </w:rPr>
            </w:pPr>
            <w:r>
              <w:rPr>
                <w:bCs/>
                <w:szCs w:val="22"/>
              </w:rPr>
              <w:t xml:space="preserve">Varane </w:t>
            </w:r>
            <w:proofErr w:type="spellStart"/>
            <w:r>
              <w:rPr>
                <w:bCs/>
                <w:szCs w:val="22"/>
              </w:rPr>
              <w:t>hemartroos</w:t>
            </w:r>
            <w:proofErr w:type="spellEnd"/>
            <w:r>
              <w:rPr>
                <w:bCs/>
                <w:szCs w:val="22"/>
              </w:rPr>
              <w:t>, lihasveritsus või suuõõne veritsus</w:t>
            </w:r>
          </w:p>
        </w:tc>
        <w:tc>
          <w:tcPr>
            <w:tcW w:w="2410" w:type="dxa"/>
            <w:tcBorders>
              <w:top w:val="nil"/>
              <w:bottom w:val="nil"/>
            </w:tcBorders>
            <w:shd w:val="clear" w:color="auto" w:fill="auto"/>
          </w:tcPr>
          <w:p w14:paraId="7F74ACDE" w14:textId="77777777" w:rsidR="00A27A6F" w:rsidRDefault="002C0949">
            <w:pPr>
              <w:keepNext/>
              <w:spacing w:line="240" w:lineRule="auto"/>
              <w:outlineLvl w:val="1"/>
              <w:rPr>
                <w:bCs/>
                <w:szCs w:val="22"/>
              </w:rPr>
            </w:pPr>
            <w:r>
              <w:rPr>
                <w:bCs/>
                <w:szCs w:val="22"/>
              </w:rPr>
              <w:t>20...40</w:t>
            </w:r>
          </w:p>
        </w:tc>
        <w:tc>
          <w:tcPr>
            <w:tcW w:w="4394" w:type="dxa"/>
            <w:tcBorders>
              <w:top w:val="nil"/>
              <w:bottom w:val="nil"/>
            </w:tcBorders>
            <w:shd w:val="clear" w:color="auto" w:fill="auto"/>
          </w:tcPr>
          <w:p w14:paraId="3A18ADAB" w14:textId="77777777" w:rsidR="00A27A6F" w:rsidRDefault="002C0949">
            <w:pPr>
              <w:spacing w:line="240" w:lineRule="auto"/>
              <w:rPr>
                <w:bCs/>
                <w:szCs w:val="22"/>
              </w:rPr>
            </w:pPr>
            <w:r>
              <w:rPr>
                <w:bCs/>
                <w:szCs w:val="22"/>
              </w:rPr>
              <w:t>Süsti tuleb korrata iga 48 tunni järel, kuni verejooksuepisood on kaasneva valu järgi otsustades möödunud või on saavutatud paranemine.</w:t>
            </w:r>
          </w:p>
          <w:p w14:paraId="5FCB5E0C" w14:textId="77777777" w:rsidR="00A27A6F" w:rsidRDefault="00A27A6F">
            <w:pPr>
              <w:keepNext/>
              <w:spacing w:line="240" w:lineRule="auto"/>
              <w:outlineLvl w:val="1"/>
              <w:rPr>
                <w:bCs/>
                <w:szCs w:val="22"/>
              </w:rPr>
            </w:pPr>
          </w:p>
        </w:tc>
      </w:tr>
      <w:tr w:rsidR="00A27A6F" w14:paraId="03E31922" w14:textId="77777777">
        <w:tc>
          <w:tcPr>
            <w:tcW w:w="2835" w:type="dxa"/>
            <w:tcBorders>
              <w:top w:val="nil"/>
              <w:bottom w:val="nil"/>
            </w:tcBorders>
            <w:shd w:val="clear" w:color="auto" w:fill="auto"/>
          </w:tcPr>
          <w:p w14:paraId="1CF785D8" w14:textId="77777777" w:rsidR="00A27A6F" w:rsidRDefault="002C0949">
            <w:pPr>
              <w:keepNext/>
              <w:spacing w:line="240" w:lineRule="auto"/>
              <w:outlineLvl w:val="1"/>
              <w:rPr>
                <w:bCs/>
                <w:szCs w:val="22"/>
              </w:rPr>
            </w:pPr>
            <w:r>
              <w:rPr>
                <w:bCs/>
                <w:szCs w:val="22"/>
              </w:rPr>
              <w:t xml:space="preserve">Ulatuslikum </w:t>
            </w:r>
            <w:proofErr w:type="spellStart"/>
            <w:r>
              <w:rPr>
                <w:bCs/>
                <w:szCs w:val="22"/>
              </w:rPr>
              <w:t>hemartroos</w:t>
            </w:r>
            <w:proofErr w:type="spellEnd"/>
            <w:r>
              <w:rPr>
                <w:bCs/>
                <w:szCs w:val="22"/>
              </w:rPr>
              <w:t>, lihasveritsus või hematoom</w:t>
            </w:r>
          </w:p>
        </w:tc>
        <w:tc>
          <w:tcPr>
            <w:tcW w:w="2410" w:type="dxa"/>
            <w:tcBorders>
              <w:top w:val="nil"/>
              <w:bottom w:val="nil"/>
            </w:tcBorders>
            <w:shd w:val="clear" w:color="auto" w:fill="auto"/>
          </w:tcPr>
          <w:p w14:paraId="5ED6686A" w14:textId="77777777" w:rsidR="00A27A6F" w:rsidRDefault="002C0949">
            <w:pPr>
              <w:keepNext/>
              <w:spacing w:line="240" w:lineRule="auto"/>
              <w:outlineLvl w:val="1"/>
              <w:rPr>
                <w:bCs/>
                <w:szCs w:val="22"/>
              </w:rPr>
            </w:pPr>
            <w:r>
              <w:rPr>
                <w:bCs/>
                <w:szCs w:val="22"/>
              </w:rPr>
              <w:t>30...60</w:t>
            </w:r>
          </w:p>
        </w:tc>
        <w:tc>
          <w:tcPr>
            <w:tcW w:w="4394" w:type="dxa"/>
            <w:tcBorders>
              <w:top w:val="nil"/>
              <w:bottom w:val="nil"/>
            </w:tcBorders>
            <w:shd w:val="clear" w:color="auto" w:fill="auto"/>
          </w:tcPr>
          <w:p w14:paraId="62708625" w14:textId="77777777" w:rsidR="00A27A6F" w:rsidRDefault="002C0949">
            <w:pPr>
              <w:spacing w:line="240" w:lineRule="auto"/>
              <w:rPr>
                <w:bCs/>
                <w:szCs w:val="22"/>
              </w:rPr>
            </w:pPr>
            <w:r>
              <w:rPr>
                <w:bCs/>
                <w:szCs w:val="22"/>
              </w:rPr>
              <w:t>Süsti tuleb korrata iga 24...48 tunni järel, kuni valu ja äge häire on taandunud.</w:t>
            </w:r>
          </w:p>
          <w:p w14:paraId="11D718E7" w14:textId="77777777" w:rsidR="00A27A6F" w:rsidRDefault="00A27A6F">
            <w:pPr>
              <w:keepNext/>
              <w:spacing w:line="240" w:lineRule="auto"/>
              <w:outlineLvl w:val="1"/>
              <w:rPr>
                <w:bCs/>
                <w:szCs w:val="22"/>
              </w:rPr>
            </w:pPr>
          </w:p>
        </w:tc>
      </w:tr>
      <w:tr w:rsidR="00A27A6F" w14:paraId="1D0075AE" w14:textId="77777777">
        <w:tc>
          <w:tcPr>
            <w:tcW w:w="2835" w:type="dxa"/>
            <w:tcBorders>
              <w:top w:val="nil"/>
              <w:bottom w:val="single" w:sz="4" w:space="0" w:color="auto"/>
            </w:tcBorders>
            <w:shd w:val="clear" w:color="auto" w:fill="auto"/>
          </w:tcPr>
          <w:p w14:paraId="3A47DE35" w14:textId="77777777" w:rsidR="00A27A6F" w:rsidRDefault="002C0949">
            <w:pPr>
              <w:keepNext/>
              <w:spacing w:line="240" w:lineRule="auto"/>
              <w:outlineLvl w:val="1"/>
              <w:rPr>
                <w:bCs/>
                <w:szCs w:val="22"/>
              </w:rPr>
            </w:pPr>
            <w:r>
              <w:rPr>
                <w:bCs/>
                <w:szCs w:val="22"/>
              </w:rPr>
              <w:t>Eluohtlikud verejooksud</w:t>
            </w:r>
          </w:p>
        </w:tc>
        <w:tc>
          <w:tcPr>
            <w:tcW w:w="2410" w:type="dxa"/>
            <w:tcBorders>
              <w:top w:val="nil"/>
              <w:bottom w:val="single" w:sz="4" w:space="0" w:color="auto"/>
            </w:tcBorders>
            <w:shd w:val="clear" w:color="auto" w:fill="auto"/>
          </w:tcPr>
          <w:p w14:paraId="72245B36" w14:textId="77777777" w:rsidR="00A27A6F" w:rsidRDefault="002C0949">
            <w:pPr>
              <w:keepNext/>
              <w:spacing w:line="240" w:lineRule="auto"/>
              <w:outlineLvl w:val="1"/>
              <w:rPr>
                <w:bCs/>
                <w:szCs w:val="22"/>
              </w:rPr>
            </w:pPr>
            <w:r>
              <w:rPr>
                <w:bCs/>
                <w:szCs w:val="22"/>
              </w:rPr>
              <w:t>60...100</w:t>
            </w:r>
          </w:p>
        </w:tc>
        <w:tc>
          <w:tcPr>
            <w:tcW w:w="4394" w:type="dxa"/>
            <w:tcBorders>
              <w:top w:val="nil"/>
              <w:bottom w:val="single" w:sz="4" w:space="0" w:color="auto"/>
            </w:tcBorders>
            <w:shd w:val="clear" w:color="auto" w:fill="auto"/>
          </w:tcPr>
          <w:p w14:paraId="77CC1D27" w14:textId="77777777" w:rsidR="00A27A6F" w:rsidRDefault="002C0949">
            <w:pPr>
              <w:spacing w:line="240" w:lineRule="auto"/>
              <w:rPr>
                <w:bCs/>
                <w:szCs w:val="22"/>
              </w:rPr>
            </w:pPr>
            <w:r>
              <w:rPr>
                <w:bCs/>
                <w:szCs w:val="22"/>
              </w:rPr>
              <w:t>Süsti tuleb korrata iga 8...24 tunni järel, kuni ohu möödumiseni.</w:t>
            </w:r>
          </w:p>
          <w:p w14:paraId="6C8748CB" w14:textId="77777777" w:rsidR="00A27A6F" w:rsidRDefault="00A27A6F">
            <w:pPr>
              <w:keepNext/>
              <w:spacing w:line="240" w:lineRule="auto"/>
              <w:outlineLvl w:val="1"/>
              <w:rPr>
                <w:bCs/>
                <w:szCs w:val="22"/>
              </w:rPr>
            </w:pPr>
          </w:p>
        </w:tc>
      </w:tr>
      <w:tr w:rsidR="00A27A6F" w14:paraId="56AC4C36" w14:textId="77777777">
        <w:trPr>
          <w:trHeight w:val="297"/>
        </w:trPr>
        <w:tc>
          <w:tcPr>
            <w:tcW w:w="2835" w:type="dxa"/>
            <w:tcBorders>
              <w:top w:val="single" w:sz="4" w:space="0" w:color="auto"/>
              <w:bottom w:val="nil"/>
            </w:tcBorders>
            <w:shd w:val="clear" w:color="auto" w:fill="auto"/>
          </w:tcPr>
          <w:p w14:paraId="35AF5746" w14:textId="77777777" w:rsidR="00A27A6F" w:rsidRDefault="002C0949">
            <w:pPr>
              <w:keepNext/>
              <w:spacing w:line="240" w:lineRule="auto"/>
              <w:outlineLvl w:val="1"/>
              <w:rPr>
                <w:bCs/>
                <w:szCs w:val="22"/>
                <w:u w:val="single"/>
              </w:rPr>
            </w:pPr>
            <w:r>
              <w:rPr>
                <w:bCs/>
                <w:szCs w:val="22"/>
                <w:u w:val="single"/>
              </w:rPr>
              <w:t>Kirurgiline operatsioon</w:t>
            </w:r>
          </w:p>
        </w:tc>
        <w:tc>
          <w:tcPr>
            <w:tcW w:w="2410" w:type="dxa"/>
            <w:tcBorders>
              <w:top w:val="single" w:sz="4" w:space="0" w:color="auto"/>
              <w:bottom w:val="nil"/>
            </w:tcBorders>
            <w:shd w:val="clear" w:color="auto" w:fill="auto"/>
          </w:tcPr>
          <w:p w14:paraId="22B3E1B6" w14:textId="77777777" w:rsidR="00A27A6F" w:rsidRDefault="00A27A6F">
            <w:pPr>
              <w:keepNext/>
              <w:spacing w:line="240" w:lineRule="auto"/>
              <w:outlineLvl w:val="1"/>
              <w:rPr>
                <w:bCs/>
                <w:szCs w:val="22"/>
              </w:rPr>
            </w:pPr>
          </w:p>
        </w:tc>
        <w:tc>
          <w:tcPr>
            <w:tcW w:w="4394" w:type="dxa"/>
            <w:tcBorders>
              <w:top w:val="single" w:sz="4" w:space="0" w:color="auto"/>
              <w:bottom w:val="nil"/>
            </w:tcBorders>
            <w:shd w:val="clear" w:color="auto" w:fill="auto"/>
          </w:tcPr>
          <w:p w14:paraId="69E6CF51" w14:textId="77777777" w:rsidR="00A27A6F" w:rsidRDefault="00A27A6F">
            <w:pPr>
              <w:keepNext/>
              <w:spacing w:line="240" w:lineRule="auto"/>
              <w:outlineLvl w:val="1"/>
              <w:rPr>
                <w:bCs/>
                <w:szCs w:val="22"/>
              </w:rPr>
            </w:pPr>
          </w:p>
        </w:tc>
      </w:tr>
      <w:tr w:rsidR="00A27A6F" w14:paraId="1D6E1010" w14:textId="77777777">
        <w:tc>
          <w:tcPr>
            <w:tcW w:w="2835" w:type="dxa"/>
            <w:tcBorders>
              <w:top w:val="nil"/>
              <w:bottom w:val="single" w:sz="4" w:space="0" w:color="auto"/>
            </w:tcBorders>
            <w:shd w:val="clear" w:color="auto" w:fill="auto"/>
          </w:tcPr>
          <w:p w14:paraId="2AF4A223" w14:textId="77777777" w:rsidR="00A27A6F" w:rsidRDefault="002C0949">
            <w:pPr>
              <w:keepNext/>
              <w:spacing w:line="240" w:lineRule="auto"/>
              <w:outlineLvl w:val="1"/>
              <w:rPr>
                <w:bCs/>
                <w:szCs w:val="22"/>
              </w:rPr>
            </w:pPr>
            <w:r>
              <w:rPr>
                <w:bCs/>
                <w:szCs w:val="22"/>
              </w:rPr>
              <w:t>Väiksem operatsioon, sh hamba väljatõmbamine</w:t>
            </w:r>
          </w:p>
        </w:tc>
        <w:tc>
          <w:tcPr>
            <w:tcW w:w="2410" w:type="dxa"/>
            <w:tcBorders>
              <w:top w:val="nil"/>
              <w:bottom w:val="single" w:sz="4" w:space="0" w:color="auto"/>
            </w:tcBorders>
            <w:shd w:val="clear" w:color="auto" w:fill="auto"/>
          </w:tcPr>
          <w:p w14:paraId="05FCEF7C" w14:textId="77777777" w:rsidR="00A27A6F" w:rsidRDefault="002C0949">
            <w:pPr>
              <w:keepNext/>
              <w:spacing w:line="240" w:lineRule="auto"/>
              <w:outlineLvl w:val="1"/>
              <w:rPr>
                <w:bCs/>
                <w:szCs w:val="22"/>
              </w:rPr>
            </w:pPr>
            <w:r>
              <w:rPr>
                <w:bCs/>
                <w:szCs w:val="22"/>
              </w:rPr>
              <w:t>30...60</w:t>
            </w:r>
          </w:p>
        </w:tc>
        <w:tc>
          <w:tcPr>
            <w:tcW w:w="4394" w:type="dxa"/>
            <w:tcBorders>
              <w:top w:val="nil"/>
              <w:bottom w:val="single" w:sz="4" w:space="0" w:color="auto"/>
            </w:tcBorders>
            <w:shd w:val="clear" w:color="auto" w:fill="auto"/>
          </w:tcPr>
          <w:p w14:paraId="537C288F" w14:textId="77777777" w:rsidR="00A27A6F" w:rsidRDefault="002C0949">
            <w:pPr>
              <w:spacing w:line="240" w:lineRule="auto"/>
              <w:rPr>
                <w:szCs w:val="22"/>
              </w:rPr>
            </w:pPr>
            <w:r>
              <w:rPr>
                <w:bCs/>
                <w:szCs w:val="22"/>
              </w:rPr>
              <w:t>Vajadusel tuleb süsti korrata 24 tunni möödumisel, kuni paranemiseni</w:t>
            </w:r>
            <w:r>
              <w:rPr>
                <w:bCs/>
                <w:szCs w:val="22"/>
                <w:vertAlign w:val="superscript"/>
              </w:rPr>
              <w:t xml:space="preserve"> 1</w:t>
            </w:r>
            <w:r>
              <w:rPr>
                <w:bCs/>
                <w:szCs w:val="22"/>
              </w:rPr>
              <w:t>.</w:t>
            </w:r>
          </w:p>
          <w:p w14:paraId="5D2CDED9" w14:textId="77777777" w:rsidR="00A27A6F" w:rsidRDefault="00A27A6F">
            <w:pPr>
              <w:keepNext/>
              <w:spacing w:line="240" w:lineRule="auto"/>
              <w:outlineLvl w:val="1"/>
              <w:rPr>
                <w:bCs/>
                <w:szCs w:val="22"/>
              </w:rPr>
            </w:pPr>
          </w:p>
        </w:tc>
      </w:tr>
      <w:tr w:rsidR="00A27A6F" w14:paraId="010B5486" w14:textId="77777777">
        <w:tc>
          <w:tcPr>
            <w:tcW w:w="2835" w:type="dxa"/>
            <w:tcBorders>
              <w:top w:val="single" w:sz="4" w:space="0" w:color="auto"/>
              <w:bottom w:val="single" w:sz="4" w:space="0" w:color="auto"/>
            </w:tcBorders>
            <w:shd w:val="clear" w:color="auto" w:fill="auto"/>
          </w:tcPr>
          <w:p w14:paraId="226AF880" w14:textId="77777777" w:rsidR="00A27A6F" w:rsidRDefault="002C0949">
            <w:pPr>
              <w:keepNext/>
              <w:spacing w:line="240" w:lineRule="auto"/>
              <w:outlineLvl w:val="1"/>
              <w:rPr>
                <w:bCs/>
                <w:szCs w:val="22"/>
                <w:u w:val="single"/>
              </w:rPr>
            </w:pPr>
            <w:r>
              <w:rPr>
                <w:bCs/>
                <w:szCs w:val="22"/>
                <w:u w:val="single"/>
              </w:rPr>
              <w:t>Suurem operatsioon</w:t>
            </w:r>
          </w:p>
        </w:tc>
        <w:tc>
          <w:tcPr>
            <w:tcW w:w="2410" w:type="dxa"/>
            <w:tcBorders>
              <w:top w:val="single" w:sz="4" w:space="0" w:color="auto"/>
              <w:bottom w:val="single" w:sz="4" w:space="0" w:color="auto"/>
            </w:tcBorders>
            <w:shd w:val="clear" w:color="auto" w:fill="auto"/>
          </w:tcPr>
          <w:p w14:paraId="7CCC134C" w14:textId="77777777" w:rsidR="00A27A6F" w:rsidRDefault="002C0949">
            <w:pPr>
              <w:keepNext/>
              <w:spacing w:line="240" w:lineRule="auto"/>
              <w:outlineLvl w:val="1"/>
              <w:rPr>
                <w:bCs/>
                <w:szCs w:val="22"/>
              </w:rPr>
            </w:pPr>
            <w:r>
              <w:rPr>
                <w:bCs/>
                <w:szCs w:val="22"/>
              </w:rPr>
              <w:t>80...100</w:t>
            </w:r>
          </w:p>
          <w:p w14:paraId="3C0D51C8" w14:textId="77777777" w:rsidR="00A27A6F" w:rsidRDefault="002C0949">
            <w:pPr>
              <w:keepNext/>
              <w:spacing w:line="240" w:lineRule="auto"/>
              <w:outlineLvl w:val="1"/>
              <w:rPr>
                <w:bCs/>
                <w:szCs w:val="22"/>
              </w:rPr>
            </w:pPr>
            <w:r>
              <w:rPr>
                <w:bCs/>
                <w:szCs w:val="22"/>
              </w:rPr>
              <w:t>(</w:t>
            </w:r>
            <w:proofErr w:type="spellStart"/>
            <w:r>
              <w:rPr>
                <w:bCs/>
                <w:szCs w:val="22"/>
              </w:rPr>
              <w:t>pre</w:t>
            </w:r>
            <w:proofErr w:type="spellEnd"/>
            <w:r>
              <w:rPr>
                <w:bCs/>
                <w:szCs w:val="22"/>
              </w:rPr>
              <w:t>- ja postoperatiivselt)</w:t>
            </w:r>
          </w:p>
        </w:tc>
        <w:tc>
          <w:tcPr>
            <w:tcW w:w="4394" w:type="dxa"/>
            <w:tcBorders>
              <w:top w:val="single" w:sz="4" w:space="0" w:color="auto"/>
              <w:bottom w:val="single" w:sz="4" w:space="0" w:color="auto"/>
            </w:tcBorders>
            <w:shd w:val="clear" w:color="auto" w:fill="auto"/>
          </w:tcPr>
          <w:p w14:paraId="66073334" w14:textId="77777777" w:rsidR="00A27A6F" w:rsidRDefault="002C0949">
            <w:pPr>
              <w:spacing w:line="240" w:lineRule="auto"/>
              <w:rPr>
                <w:szCs w:val="22"/>
              </w:rPr>
            </w:pPr>
            <w:r>
              <w:rPr>
                <w:bCs/>
                <w:szCs w:val="22"/>
              </w:rPr>
              <w:t>Süsti korrata iga 8...24 tunni järel, kuni haava piisava paranemiseni, seejärel ravida veel vähemalt 7 päeva jooksul, et säiliks IX faktori aktiivsus 30...60% (RÜ/dl).</w:t>
            </w:r>
          </w:p>
          <w:p w14:paraId="3D445205" w14:textId="77777777" w:rsidR="00A27A6F" w:rsidRDefault="00A27A6F">
            <w:pPr>
              <w:keepNext/>
              <w:spacing w:line="240" w:lineRule="auto"/>
              <w:outlineLvl w:val="1"/>
              <w:rPr>
                <w:bCs/>
                <w:szCs w:val="22"/>
              </w:rPr>
            </w:pPr>
          </w:p>
        </w:tc>
      </w:tr>
    </w:tbl>
    <w:p w14:paraId="2AB64FD4" w14:textId="77777777" w:rsidR="00A27A6F" w:rsidRDefault="002C0949">
      <w:pPr>
        <w:spacing w:line="240" w:lineRule="auto"/>
        <w:rPr>
          <w:sz w:val="18"/>
          <w:szCs w:val="18"/>
        </w:rPr>
      </w:pPr>
      <w:r>
        <w:rPr>
          <w:sz w:val="18"/>
          <w:szCs w:val="18"/>
          <w:vertAlign w:val="superscript"/>
        </w:rPr>
        <w:t xml:space="preserve">1 </w:t>
      </w:r>
      <w:r>
        <w:rPr>
          <w:sz w:val="18"/>
          <w:szCs w:val="18"/>
        </w:rPr>
        <w:t>Mõnel patsiendil ja mõnes olukorras võib annustamisintervalli pikendada kuni 48 tunnini (farmakokineetilised andmed vt lõik 5.2).</w:t>
      </w:r>
    </w:p>
    <w:p w14:paraId="2F2145DE" w14:textId="77777777" w:rsidR="00A27A6F" w:rsidRDefault="00A27A6F">
      <w:pPr>
        <w:spacing w:line="240" w:lineRule="auto"/>
        <w:rPr>
          <w:u w:val="single"/>
        </w:rPr>
      </w:pPr>
    </w:p>
    <w:p w14:paraId="2A82306D" w14:textId="77777777" w:rsidR="00A27A6F" w:rsidRDefault="002C0949" w:rsidP="000A5DBE">
      <w:pPr>
        <w:pStyle w:val="Default"/>
        <w:keepNext/>
        <w:rPr>
          <w:i/>
          <w:iCs/>
          <w:color w:val="auto"/>
          <w:sz w:val="22"/>
          <w:szCs w:val="22"/>
          <w:u w:val="single"/>
        </w:rPr>
      </w:pPr>
      <w:r>
        <w:rPr>
          <w:i/>
          <w:iCs/>
          <w:color w:val="auto"/>
          <w:sz w:val="22"/>
          <w:szCs w:val="22"/>
          <w:u w:val="single"/>
        </w:rPr>
        <w:t>Profülaktika</w:t>
      </w:r>
    </w:p>
    <w:p w14:paraId="5F888E77" w14:textId="77777777" w:rsidR="00A27A6F" w:rsidRDefault="002C0949" w:rsidP="000A5DBE">
      <w:pPr>
        <w:keepNext/>
        <w:spacing w:line="240" w:lineRule="auto"/>
        <w:rPr>
          <w:szCs w:val="22"/>
        </w:rPr>
      </w:pPr>
      <w:r>
        <w:rPr>
          <w:szCs w:val="22"/>
        </w:rPr>
        <w:t xml:space="preserve">Veritsemisvastase pikaajalise profülaktika soovitatav algskeem on kas </w:t>
      </w:r>
    </w:p>
    <w:p w14:paraId="14CE4AA8" w14:textId="77777777" w:rsidR="00A27A6F" w:rsidRDefault="002C0949" w:rsidP="000A5DBE">
      <w:pPr>
        <w:keepNext/>
        <w:numPr>
          <w:ilvl w:val="0"/>
          <w:numId w:val="81"/>
        </w:numPr>
        <w:spacing w:line="240" w:lineRule="auto"/>
        <w:ind w:left="0" w:firstLine="0"/>
        <w:rPr>
          <w:szCs w:val="22"/>
        </w:rPr>
      </w:pPr>
      <w:r>
        <w:rPr>
          <w:szCs w:val="22"/>
        </w:rPr>
        <w:t>50 RÜ/kg üks kord nädalas, annust tuleb kohandada vastavalt individuaalsele ravivastusele või</w:t>
      </w:r>
    </w:p>
    <w:p w14:paraId="4912BB8A" w14:textId="77777777" w:rsidR="00A27A6F" w:rsidRDefault="002C0949">
      <w:pPr>
        <w:numPr>
          <w:ilvl w:val="0"/>
          <w:numId w:val="81"/>
        </w:numPr>
        <w:spacing w:line="240" w:lineRule="auto"/>
        <w:ind w:left="567" w:hanging="567"/>
        <w:rPr>
          <w:szCs w:val="22"/>
        </w:rPr>
      </w:pPr>
      <w:r>
        <w:rPr>
          <w:szCs w:val="22"/>
        </w:rPr>
        <w:t>100 RÜ/kg üks kord iga 10 päeva järel, intervalli tuleb kohandada vastavalt individuaalsele ravivastusele. Mõned patsiendid, kes alluvad hästi ravile raviskeemiga üks kord iga 10 päeva järel, võivad saada ravi 14</w:t>
      </w:r>
      <w:r>
        <w:rPr>
          <w:szCs w:val="22"/>
        </w:rPr>
        <w:noBreakHyphen/>
        <w:t>päevase või pikema intervalliga.</w:t>
      </w:r>
    </w:p>
    <w:p w14:paraId="6EB172EC" w14:textId="77777777" w:rsidR="00A27A6F" w:rsidRDefault="00A27A6F">
      <w:pPr>
        <w:spacing w:line="240" w:lineRule="auto"/>
        <w:rPr>
          <w:szCs w:val="22"/>
        </w:rPr>
      </w:pPr>
    </w:p>
    <w:p w14:paraId="2892C71D" w14:textId="77777777" w:rsidR="00A27A6F" w:rsidRDefault="002C0949">
      <w:pPr>
        <w:spacing w:line="240" w:lineRule="auto"/>
        <w:rPr>
          <w:szCs w:val="22"/>
        </w:rPr>
      </w:pPr>
      <w:r>
        <w:rPr>
          <w:szCs w:val="22"/>
        </w:rPr>
        <w:t>Suurim soovitatav profülaktiline annus on 100 RÜ/kg.</w:t>
      </w:r>
    </w:p>
    <w:p w14:paraId="21ED7549" w14:textId="77777777" w:rsidR="00A27A6F" w:rsidRDefault="00A27A6F">
      <w:pPr>
        <w:spacing w:line="240" w:lineRule="auto"/>
        <w:rPr>
          <w:i/>
          <w:szCs w:val="22"/>
          <w:u w:val="single"/>
        </w:rPr>
      </w:pPr>
    </w:p>
    <w:p w14:paraId="2DB92B84" w14:textId="77777777" w:rsidR="00A27A6F" w:rsidRDefault="002C0949">
      <w:pPr>
        <w:keepNext/>
        <w:autoSpaceDE w:val="0"/>
        <w:autoSpaceDN w:val="0"/>
        <w:adjustRightInd w:val="0"/>
        <w:spacing w:line="240" w:lineRule="auto"/>
        <w:rPr>
          <w:i/>
          <w:u w:val="single"/>
        </w:rPr>
      </w:pPr>
      <w:r>
        <w:rPr>
          <w:i/>
          <w:u w:val="single"/>
        </w:rPr>
        <w:t>Eakad</w:t>
      </w:r>
    </w:p>
    <w:p w14:paraId="33C7310F" w14:textId="77777777" w:rsidR="00A27A6F" w:rsidRDefault="002C0949">
      <w:pPr>
        <w:spacing w:line="240" w:lineRule="auto"/>
      </w:pPr>
      <w:r>
        <w:t>Kogemused patsientidega vanuses ≥ 65 aastat on piiratud.</w:t>
      </w:r>
    </w:p>
    <w:p w14:paraId="7BB1D893" w14:textId="77777777" w:rsidR="00A27A6F" w:rsidRDefault="00A27A6F">
      <w:pPr>
        <w:spacing w:line="240" w:lineRule="auto"/>
      </w:pPr>
    </w:p>
    <w:p w14:paraId="70CE6E38" w14:textId="77777777" w:rsidR="00A27A6F" w:rsidRDefault="002C0949">
      <w:pPr>
        <w:keepNext/>
        <w:autoSpaceDE w:val="0"/>
        <w:autoSpaceDN w:val="0"/>
        <w:adjustRightInd w:val="0"/>
        <w:spacing w:line="240" w:lineRule="auto"/>
        <w:rPr>
          <w:bCs/>
          <w:i/>
          <w:iCs/>
          <w:szCs w:val="22"/>
          <w:u w:val="single"/>
        </w:rPr>
      </w:pPr>
      <w:r>
        <w:rPr>
          <w:bCs/>
          <w:i/>
          <w:iCs/>
          <w:szCs w:val="22"/>
          <w:u w:val="single"/>
        </w:rPr>
        <w:t>Lapsed</w:t>
      </w:r>
    </w:p>
    <w:p w14:paraId="3A674D0F" w14:textId="77777777" w:rsidR="00A27A6F" w:rsidRDefault="002C0949">
      <w:pPr>
        <w:spacing w:line="240" w:lineRule="auto"/>
      </w:pPr>
      <w:r>
        <w:t>Lastel vanuses 12 aastat ja nooremad võib osutuda vajalikuks suuremad annused või sagedasem manustamine ning soovitatav algannus on 50…60 RÜ/kg kohta iga 7 päeva järel. Noorukitel vanuses 12 aastat ja vanemad kehtivad samad annustamissoovitused mis täiskasvanutel. Vt lõigud 5.1 ja 5.2.</w:t>
      </w:r>
    </w:p>
    <w:p w14:paraId="280415E3" w14:textId="77777777" w:rsidR="00A27A6F" w:rsidRDefault="002C0949">
      <w:pPr>
        <w:spacing w:line="240" w:lineRule="auto"/>
        <w:rPr>
          <w:bCs/>
          <w:i/>
          <w:iCs/>
          <w:szCs w:val="22"/>
          <w:u w:val="single"/>
        </w:rPr>
      </w:pPr>
      <w:r>
        <w:rPr>
          <w:szCs w:val="22"/>
        </w:rPr>
        <w:t>Suurim soovitatav profülaktiline annus on 100 RÜ/kg.</w:t>
      </w:r>
    </w:p>
    <w:p w14:paraId="3FC86C59" w14:textId="77777777" w:rsidR="00A27A6F" w:rsidRDefault="00A27A6F">
      <w:pPr>
        <w:spacing w:line="240" w:lineRule="auto"/>
        <w:rPr>
          <w:szCs w:val="22"/>
          <w:u w:val="single"/>
        </w:rPr>
      </w:pPr>
    </w:p>
    <w:p w14:paraId="06F165BB" w14:textId="77777777" w:rsidR="00A27A6F" w:rsidRDefault="002C0949">
      <w:pPr>
        <w:keepNext/>
        <w:autoSpaceDE w:val="0"/>
        <w:autoSpaceDN w:val="0"/>
        <w:adjustRightInd w:val="0"/>
        <w:spacing w:line="240" w:lineRule="auto"/>
        <w:rPr>
          <w:szCs w:val="22"/>
          <w:u w:val="single"/>
        </w:rPr>
      </w:pPr>
      <w:r>
        <w:rPr>
          <w:szCs w:val="22"/>
          <w:u w:val="single"/>
        </w:rPr>
        <w:t>Manustamisviis</w:t>
      </w:r>
    </w:p>
    <w:p w14:paraId="75D870C6" w14:textId="77777777" w:rsidR="00A27A6F" w:rsidRDefault="002C0949">
      <w:pPr>
        <w:spacing w:line="240" w:lineRule="auto"/>
        <w:rPr>
          <w:u w:val="single"/>
        </w:rPr>
      </w:pPr>
      <w:proofErr w:type="spellStart"/>
      <w:r>
        <w:rPr>
          <w:bCs/>
        </w:rPr>
        <w:t>Intravenoosne</w:t>
      </w:r>
      <w:proofErr w:type="spellEnd"/>
      <w:r>
        <w:rPr>
          <w:bCs/>
        </w:rPr>
        <w:t>.</w:t>
      </w:r>
    </w:p>
    <w:p w14:paraId="0B6B64D4" w14:textId="77777777" w:rsidR="00A27A6F" w:rsidRDefault="00A27A6F">
      <w:pPr>
        <w:pStyle w:val="Default"/>
        <w:rPr>
          <w:iCs/>
          <w:color w:val="auto"/>
          <w:sz w:val="22"/>
          <w:szCs w:val="22"/>
        </w:rPr>
      </w:pPr>
    </w:p>
    <w:p w14:paraId="3207C719" w14:textId="77777777" w:rsidR="00A27A6F" w:rsidRDefault="002C0949">
      <w:pPr>
        <w:pStyle w:val="Default"/>
        <w:rPr>
          <w:iCs/>
          <w:color w:val="auto"/>
          <w:sz w:val="22"/>
          <w:szCs w:val="22"/>
        </w:rPr>
      </w:pPr>
      <w:r>
        <w:rPr>
          <w:iCs/>
          <w:color w:val="auto"/>
          <w:sz w:val="22"/>
          <w:szCs w:val="22"/>
        </w:rPr>
        <w:t xml:space="preserve">Asjakohane väljaõpe on vajalik endale manustamisel või kui </w:t>
      </w:r>
      <w:proofErr w:type="spellStart"/>
      <w:r>
        <w:rPr>
          <w:iCs/>
          <w:color w:val="auto"/>
          <w:sz w:val="22"/>
          <w:szCs w:val="22"/>
        </w:rPr>
        <w:t>manustaja</w:t>
      </w:r>
      <w:proofErr w:type="spellEnd"/>
      <w:r>
        <w:rPr>
          <w:iCs/>
          <w:color w:val="auto"/>
          <w:sz w:val="22"/>
          <w:szCs w:val="22"/>
        </w:rPr>
        <w:t xml:space="preserve"> on hooldaja.</w:t>
      </w:r>
    </w:p>
    <w:p w14:paraId="6F6DD8C1" w14:textId="77777777" w:rsidR="00A27A6F" w:rsidRDefault="00A27A6F">
      <w:pPr>
        <w:pStyle w:val="Default"/>
        <w:rPr>
          <w:iCs/>
          <w:color w:val="auto"/>
          <w:sz w:val="22"/>
          <w:szCs w:val="22"/>
        </w:rPr>
      </w:pPr>
    </w:p>
    <w:p w14:paraId="642159AD" w14:textId="77777777" w:rsidR="00A27A6F" w:rsidRDefault="002C0949">
      <w:pPr>
        <w:pStyle w:val="Default"/>
        <w:rPr>
          <w:iCs/>
          <w:color w:val="auto"/>
          <w:sz w:val="22"/>
          <w:szCs w:val="22"/>
        </w:rPr>
      </w:pPr>
      <w:proofErr w:type="spellStart"/>
      <w:r>
        <w:rPr>
          <w:iCs/>
          <w:color w:val="auto"/>
          <w:sz w:val="22"/>
          <w:szCs w:val="22"/>
        </w:rPr>
        <w:t>ALPROLIX’it</w:t>
      </w:r>
      <w:proofErr w:type="spellEnd"/>
      <w:r>
        <w:rPr>
          <w:iCs/>
          <w:color w:val="auto"/>
          <w:sz w:val="22"/>
          <w:szCs w:val="22"/>
        </w:rPr>
        <w:t xml:space="preserve"> tuleb süstida </w:t>
      </w:r>
      <w:proofErr w:type="spellStart"/>
      <w:r>
        <w:rPr>
          <w:iCs/>
          <w:color w:val="auto"/>
          <w:sz w:val="22"/>
          <w:szCs w:val="22"/>
        </w:rPr>
        <w:t>intravenoosselt</w:t>
      </w:r>
      <w:proofErr w:type="spellEnd"/>
      <w:r>
        <w:rPr>
          <w:iCs/>
          <w:color w:val="auto"/>
          <w:sz w:val="22"/>
          <w:szCs w:val="22"/>
        </w:rPr>
        <w:t xml:space="preserve"> mitme minuti jooksul. Manustamiskiirus peab olema patsiendile mugav ja ei tohi ületada 10 ml/min.</w:t>
      </w:r>
    </w:p>
    <w:p w14:paraId="6E7A1B89" w14:textId="77777777" w:rsidR="00A27A6F" w:rsidRDefault="00A27A6F">
      <w:pPr>
        <w:autoSpaceDE w:val="0"/>
        <w:autoSpaceDN w:val="0"/>
        <w:adjustRightInd w:val="0"/>
        <w:spacing w:line="240" w:lineRule="auto"/>
        <w:rPr>
          <w:szCs w:val="22"/>
        </w:rPr>
      </w:pPr>
    </w:p>
    <w:p w14:paraId="5D7F40DE" w14:textId="77777777" w:rsidR="00A27A6F" w:rsidRDefault="002C0949">
      <w:pPr>
        <w:autoSpaceDE w:val="0"/>
        <w:autoSpaceDN w:val="0"/>
        <w:adjustRightInd w:val="0"/>
        <w:spacing w:line="240" w:lineRule="auto"/>
        <w:rPr>
          <w:szCs w:val="22"/>
        </w:rPr>
      </w:pPr>
      <w:r>
        <w:rPr>
          <w:szCs w:val="22"/>
        </w:rPr>
        <w:t>Ravimpreparaadi manustamiskõlblikuks muutmise juhised vt lõik 6.6.</w:t>
      </w:r>
    </w:p>
    <w:p w14:paraId="75E86647" w14:textId="77777777" w:rsidR="00A27A6F" w:rsidRDefault="00A27A6F">
      <w:pPr>
        <w:spacing w:line="240" w:lineRule="auto"/>
        <w:rPr>
          <w:szCs w:val="22"/>
        </w:rPr>
      </w:pPr>
    </w:p>
    <w:p w14:paraId="6FA8A5A1" w14:textId="77777777" w:rsidR="00A27A6F" w:rsidRDefault="002C0949">
      <w:pPr>
        <w:keepNext/>
        <w:autoSpaceDE w:val="0"/>
        <w:autoSpaceDN w:val="0"/>
        <w:adjustRightInd w:val="0"/>
        <w:spacing w:line="240" w:lineRule="auto"/>
        <w:rPr>
          <w:szCs w:val="22"/>
        </w:rPr>
      </w:pPr>
      <w:r>
        <w:rPr>
          <w:b/>
          <w:szCs w:val="22"/>
        </w:rPr>
        <w:t>4.3</w:t>
      </w:r>
      <w:r>
        <w:rPr>
          <w:b/>
          <w:szCs w:val="22"/>
        </w:rPr>
        <w:tab/>
        <w:t>Vastunäidustused</w:t>
      </w:r>
    </w:p>
    <w:p w14:paraId="33E70ACC" w14:textId="77777777" w:rsidR="00A27A6F" w:rsidRDefault="00A27A6F">
      <w:pPr>
        <w:keepNext/>
        <w:autoSpaceDE w:val="0"/>
        <w:autoSpaceDN w:val="0"/>
        <w:adjustRightInd w:val="0"/>
        <w:spacing w:line="240" w:lineRule="auto"/>
        <w:rPr>
          <w:szCs w:val="22"/>
        </w:rPr>
      </w:pPr>
    </w:p>
    <w:p w14:paraId="419610F2" w14:textId="79D4FA8B" w:rsidR="00A27A6F" w:rsidRDefault="002C0949">
      <w:pPr>
        <w:spacing w:line="240" w:lineRule="auto"/>
        <w:rPr>
          <w:szCs w:val="22"/>
        </w:rPr>
      </w:pPr>
      <w:r>
        <w:t>Ülitundlikkus toimeaine või lõigus 6.1 loetletud mis tahes abiainete suhtes.</w:t>
      </w:r>
    </w:p>
    <w:p w14:paraId="3514EFC7" w14:textId="77777777" w:rsidR="00A27A6F" w:rsidRDefault="00A27A6F">
      <w:pPr>
        <w:spacing w:line="240" w:lineRule="auto"/>
        <w:rPr>
          <w:szCs w:val="22"/>
        </w:rPr>
      </w:pPr>
    </w:p>
    <w:p w14:paraId="7F3F734A" w14:textId="77777777" w:rsidR="00A27A6F" w:rsidRDefault="002C0949">
      <w:pPr>
        <w:keepNext/>
        <w:autoSpaceDE w:val="0"/>
        <w:autoSpaceDN w:val="0"/>
        <w:adjustRightInd w:val="0"/>
        <w:spacing w:line="240" w:lineRule="auto"/>
        <w:ind w:left="567" w:hanging="567"/>
        <w:rPr>
          <w:b/>
          <w:szCs w:val="22"/>
        </w:rPr>
      </w:pPr>
      <w:r>
        <w:rPr>
          <w:b/>
          <w:szCs w:val="22"/>
        </w:rPr>
        <w:t>4.4</w:t>
      </w:r>
      <w:r>
        <w:rPr>
          <w:b/>
          <w:szCs w:val="22"/>
        </w:rPr>
        <w:tab/>
        <w:t>Erihoiatused ja ettevaatusabinõud kasutamisel</w:t>
      </w:r>
    </w:p>
    <w:p w14:paraId="4036E175" w14:textId="77777777" w:rsidR="00A27A6F" w:rsidRDefault="00A27A6F">
      <w:pPr>
        <w:keepNext/>
        <w:autoSpaceDE w:val="0"/>
        <w:autoSpaceDN w:val="0"/>
        <w:adjustRightInd w:val="0"/>
        <w:spacing w:line="240" w:lineRule="auto"/>
        <w:ind w:left="567" w:hanging="567"/>
        <w:rPr>
          <w:b/>
          <w:szCs w:val="22"/>
        </w:rPr>
      </w:pPr>
    </w:p>
    <w:p w14:paraId="3168C01E" w14:textId="77777777" w:rsidR="00C92342" w:rsidRDefault="00C92342" w:rsidP="00C92342">
      <w:pPr>
        <w:keepNext/>
        <w:spacing w:line="240" w:lineRule="auto"/>
        <w:ind w:left="567" w:hanging="567"/>
        <w:rPr>
          <w:u w:val="single"/>
        </w:rPr>
      </w:pPr>
      <w:r>
        <w:rPr>
          <w:u w:val="single"/>
        </w:rPr>
        <w:t>Jälgitavus</w:t>
      </w:r>
    </w:p>
    <w:p w14:paraId="1A9F06AF" w14:textId="77777777" w:rsidR="00C92342" w:rsidRDefault="00C92342" w:rsidP="00C92342">
      <w:pPr>
        <w:tabs>
          <w:tab w:val="clear" w:pos="567"/>
          <w:tab w:val="left" w:pos="7530"/>
        </w:tabs>
        <w:spacing w:line="240" w:lineRule="auto"/>
        <w:rPr>
          <w:szCs w:val="22"/>
        </w:rPr>
      </w:pPr>
      <w:r>
        <w:rPr>
          <w:szCs w:val="22"/>
        </w:rPr>
        <w:t>Bioloogiliste ravimpreparaatide jälgitavuse parandamiseks tuleb manustatava ravimi nimi ja partii number selgelt dokumenteerida.</w:t>
      </w:r>
    </w:p>
    <w:p w14:paraId="61D01B7F" w14:textId="77777777" w:rsidR="00C92342" w:rsidRDefault="00C92342" w:rsidP="00C92342">
      <w:pPr>
        <w:tabs>
          <w:tab w:val="clear" w:pos="567"/>
          <w:tab w:val="left" w:pos="7530"/>
        </w:tabs>
        <w:spacing w:line="240" w:lineRule="auto"/>
      </w:pPr>
    </w:p>
    <w:p w14:paraId="14741DD9" w14:textId="77777777" w:rsidR="00A27A6F" w:rsidRDefault="002C0949">
      <w:pPr>
        <w:keepNext/>
        <w:autoSpaceDE w:val="0"/>
        <w:autoSpaceDN w:val="0"/>
        <w:adjustRightInd w:val="0"/>
        <w:spacing w:line="240" w:lineRule="auto"/>
        <w:ind w:left="567" w:hanging="567"/>
      </w:pPr>
      <w:r>
        <w:rPr>
          <w:u w:val="single"/>
        </w:rPr>
        <w:t>Ülitundlikkus</w:t>
      </w:r>
    </w:p>
    <w:p w14:paraId="45A9C73A" w14:textId="77777777" w:rsidR="00A27A6F" w:rsidRDefault="002C0949">
      <w:pPr>
        <w:spacing w:line="240" w:lineRule="auto"/>
      </w:pPr>
      <w:proofErr w:type="spellStart"/>
      <w:r>
        <w:t>ALPROLIX’i</w:t>
      </w:r>
      <w:proofErr w:type="spellEnd"/>
      <w:r>
        <w:t xml:space="preserve"> kasutamisel on teatatud allergilist tüüpi ülitundlikkusreaktsioonidest. Patsiente tuleb nõustada, et ülitundlikkussümptomite tekkimisel tuleb ravimi kasutamine viivitamatult katkestada ning arsti poole pöörduda.</w:t>
      </w:r>
    </w:p>
    <w:p w14:paraId="1D4CDB28" w14:textId="71A79049" w:rsidR="00A27A6F" w:rsidRDefault="002C0949">
      <w:pPr>
        <w:spacing w:line="240" w:lineRule="auto"/>
      </w:pPr>
      <w:r>
        <w:t xml:space="preserve">Patsiente tuleb teatada ülitundlikkusreaktsiooni varajaste nähtude, sh nõgestõve, </w:t>
      </w:r>
      <w:proofErr w:type="spellStart"/>
      <w:r>
        <w:t>generaliseerunud</w:t>
      </w:r>
      <w:proofErr w:type="spellEnd"/>
      <w:r>
        <w:t xml:space="preserve"> </w:t>
      </w:r>
      <w:proofErr w:type="spellStart"/>
      <w:r>
        <w:t>urtikaaria</w:t>
      </w:r>
      <w:proofErr w:type="spellEnd"/>
      <w:r>
        <w:t xml:space="preserve">, pitsitustunde rindkeres, vilistava hingamise, hüpotensiooni ja </w:t>
      </w:r>
      <w:proofErr w:type="spellStart"/>
      <w:r>
        <w:t>anafülaksia</w:t>
      </w:r>
      <w:proofErr w:type="spellEnd"/>
      <w:r>
        <w:t xml:space="preserve"> osas.</w:t>
      </w:r>
    </w:p>
    <w:p w14:paraId="28805444" w14:textId="77777777" w:rsidR="00A27A6F" w:rsidRDefault="00A27A6F">
      <w:pPr>
        <w:spacing w:line="240" w:lineRule="auto"/>
      </w:pPr>
    </w:p>
    <w:p w14:paraId="5E2D7A29" w14:textId="77777777" w:rsidR="00A27A6F" w:rsidRDefault="002C0949">
      <w:pPr>
        <w:spacing w:line="240" w:lineRule="auto"/>
      </w:pPr>
      <w:r>
        <w:t>Anafülaktilise šoki korral tuleb rakendada standarditele vastavaid šoki meditsiinilisi ravivõtteid.</w:t>
      </w:r>
    </w:p>
    <w:p w14:paraId="11B45F59" w14:textId="77777777" w:rsidR="00A27A6F" w:rsidRDefault="00A27A6F">
      <w:pPr>
        <w:spacing w:line="240" w:lineRule="auto"/>
        <w:rPr>
          <w:u w:val="single"/>
        </w:rPr>
      </w:pPr>
    </w:p>
    <w:p w14:paraId="4FBA94C0" w14:textId="77777777" w:rsidR="00A27A6F" w:rsidRDefault="002C0949">
      <w:pPr>
        <w:keepNext/>
        <w:spacing w:line="240" w:lineRule="auto"/>
        <w:rPr>
          <w:u w:val="single"/>
        </w:rPr>
      </w:pPr>
      <w:r>
        <w:rPr>
          <w:u w:val="single"/>
        </w:rPr>
        <w:t>Inhibiitorid</w:t>
      </w:r>
    </w:p>
    <w:p w14:paraId="43E9652A" w14:textId="77777777" w:rsidR="00A27A6F" w:rsidRDefault="002C0949">
      <w:pPr>
        <w:spacing w:line="240" w:lineRule="auto"/>
        <w:rPr>
          <w:sz w:val="18"/>
        </w:rPr>
      </w:pPr>
      <w:r>
        <w:t xml:space="preserve">Pärast korduvat ravi inimese IX hüübimisfaktori preparaatidega tuleb patsiente jälgida neutraliseerivate antikehade (inhibiitorite) suhtes, mille koguse määramiseks </w:t>
      </w:r>
      <w:proofErr w:type="spellStart"/>
      <w:r>
        <w:t>Bethesda</w:t>
      </w:r>
      <w:proofErr w:type="spellEnd"/>
      <w:r>
        <w:t xml:space="preserve"> ühikutes (BÜ) tuleb kasutada asjakohaseid bioloogilisi analüüse.</w:t>
      </w:r>
    </w:p>
    <w:p w14:paraId="6BDAC6CF" w14:textId="77777777" w:rsidR="00A27A6F" w:rsidRDefault="00A27A6F">
      <w:pPr>
        <w:spacing w:line="240" w:lineRule="auto"/>
        <w:rPr>
          <w:sz w:val="18"/>
          <w:szCs w:val="18"/>
        </w:rPr>
      </w:pPr>
    </w:p>
    <w:p w14:paraId="4309E923" w14:textId="6C938AE8" w:rsidR="00A27A6F" w:rsidRDefault="002C0949">
      <w:pPr>
        <w:spacing w:line="240" w:lineRule="auto"/>
      </w:pPr>
      <w:r>
        <w:t xml:space="preserve">Kirjanduses on teateid, mis viitavad seosele IX faktori inhibiitorite esinemise ja allergiliste reaktsioonide vahel. Seetõttu tuleb patsiente, kellel tekivad allergilised reaktsioonid, hinnata inhibiitorite olemasolu suhtes. Tuleb märkida, et IX faktori järgmisel kasutuskorral võib IX faktori inhibiitoritega patsientidel olla </w:t>
      </w:r>
      <w:proofErr w:type="spellStart"/>
      <w:r>
        <w:t>anafülaksia</w:t>
      </w:r>
      <w:proofErr w:type="spellEnd"/>
      <w:r>
        <w:t xml:space="preserve"> tekkerisk tõusnud.</w:t>
      </w:r>
    </w:p>
    <w:p w14:paraId="6E41B9F4" w14:textId="77777777" w:rsidR="00A27A6F" w:rsidRDefault="00A27A6F">
      <w:pPr>
        <w:spacing w:line="240" w:lineRule="auto"/>
        <w:rPr>
          <w:sz w:val="18"/>
          <w:szCs w:val="18"/>
        </w:rPr>
      </w:pPr>
    </w:p>
    <w:p w14:paraId="6A87C877" w14:textId="77777777" w:rsidR="00A27A6F" w:rsidRDefault="002C0949">
      <w:pPr>
        <w:spacing w:line="240" w:lineRule="auto"/>
      </w:pPr>
      <w:r>
        <w:t>IX faktori preparaatide kasutamisega kaasnevate allergiliste reaktsioonide tekkeriski tõttu tuleb IX faktori esmakordne manustamine vastavalt raviarsti otsusele viia läbi meditsiinilise järelevalve all, kus on võimalik osutada asjakohast meditsiinilist abi võimalike allergiliste reaktsioonide korral.</w:t>
      </w:r>
    </w:p>
    <w:p w14:paraId="76225CC3" w14:textId="77777777" w:rsidR="00A27A6F" w:rsidRDefault="00A27A6F">
      <w:pPr>
        <w:keepNext/>
        <w:tabs>
          <w:tab w:val="clear" w:pos="567"/>
          <w:tab w:val="left" w:pos="720"/>
        </w:tabs>
        <w:spacing w:line="240" w:lineRule="auto"/>
        <w:rPr>
          <w:rFonts w:eastAsia="SimSun"/>
          <w:u w:val="single"/>
        </w:rPr>
      </w:pPr>
    </w:p>
    <w:p w14:paraId="1F4D9562" w14:textId="77777777" w:rsidR="00A27A6F" w:rsidRDefault="002C0949">
      <w:pPr>
        <w:keepNext/>
        <w:tabs>
          <w:tab w:val="clear" w:pos="567"/>
          <w:tab w:val="left" w:pos="720"/>
        </w:tabs>
        <w:spacing w:line="240" w:lineRule="auto"/>
        <w:rPr>
          <w:rFonts w:eastAsia="SimSun"/>
        </w:rPr>
      </w:pPr>
      <w:r>
        <w:rPr>
          <w:rFonts w:eastAsia="SimSun"/>
          <w:u w:val="single"/>
        </w:rPr>
        <w:t>Trombemboolia</w:t>
      </w:r>
    </w:p>
    <w:p w14:paraId="7E68A3D8" w14:textId="7A9C93F7" w:rsidR="00A27A6F" w:rsidRDefault="002C0949">
      <w:pPr>
        <w:spacing w:line="240" w:lineRule="auto"/>
        <w:rPr>
          <w:rFonts w:eastAsia="SimSun"/>
        </w:rPr>
      </w:pPr>
      <w:r>
        <w:t xml:space="preserve">IX faktori preparaatidega kaasneda võivate </w:t>
      </w:r>
      <w:proofErr w:type="spellStart"/>
      <w:r>
        <w:t>trombootiliste</w:t>
      </w:r>
      <w:proofErr w:type="spellEnd"/>
      <w:r>
        <w:t xml:space="preserve"> tüsistuste tõttu tuleb ravimi manustamisel maksahaigusi põdevatele patsientidele, operatsioonijärgsetele patsientidele, vastsündinutele või </w:t>
      </w:r>
      <w:proofErr w:type="spellStart"/>
      <w:r>
        <w:t>trombootiliste</w:t>
      </w:r>
      <w:proofErr w:type="spellEnd"/>
      <w:r>
        <w:t xml:space="preserve"> tüsistuste või </w:t>
      </w:r>
      <w:proofErr w:type="spellStart"/>
      <w:r>
        <w:t>dissemineeritud</w:t>
      </w:r>
      <w:proofErr w:type="spellEnd"/>
      <w:r>
        <w:t xml:space="preserve"> </w:t>
      </w:r>
      <w:proofErr w:type="spellStart"/>
      <w:r>
        <w:t>intravaskulaarse</w:t>
      </w:r>
      <w:proofErr w:type="spellEnd"/>
      <w:r>
        <w:t xml:space="preserve"> koagulatsiooni (</w:t>
      </w:r>
      <w:proofErr w:type="spellStart"/>
      <w:r>
        <w:rPr>
          <w:i/>
        </w:rPr>
        <w:t>Disseminated</w:t>
      </w:r>
      <w:proofErr w:type="spellEnd"/>
      <w:r>
        <w:rPr>
          <w:i/>
        </w:rPr>
        <w:t xml:space="preserve"> Intravascular </w:t>
      </w:r>
      <w:proofErr w:type="spellStart"/>
      <w:r>
        <w:rPr>
          <w:i/>
        </w:rPr>
        <w:t>Coagulation</w:t>
      </w:r>
      <w:proofErr w:type="spellEnd"/>
      <w:r>
        <w:rPr>
          <w:i/>
        </w:rPr>
        <w:t>,</w:t>
      </w:r>
      <w:r>
        <w:t xml:space="preserve"> DIC) tekkeriskiga patsientidele alustada </w:t>
      </w:r>
      <w:proofErr w:type="spellStart"/>
      <w:r>
        <w:t>trombootilise</w:t>
      </w:r>
      <w:proofErr w:type="spellEnd"/>
      <w:r>
        <w:t xml:space="preserve"> ja </w:t>
      </w:r>
      <w:proofErr w:type="spellStart"/>
      <w:r>
        <w:t>kulutuskoagulopaatia</w:t>
      </w:r>
      <w:proofErr w:type="spellEnd"/>
      <w:r>
        <w:t xml:space="preserve"> varajaste nähtude tuvastamiseks kliinilist järelevalvet koos asjakohaste bioloogiliste analüüsidega.</w:t>
      </w:r>
      <w:r>
        <w:rPr>
          <w:rFonts w:eastAsia="SimSun"/>
        </w:rPr>
        <w:t xml:space="preserve"> Neil juhtudel </w:t>
      </w:r>
      <w:r w:rsidRPr="0081738A">
        <w:rPr>
          <w:rFonts w:eastAsia="SimSun"/>
        </w:rPr>
        <w:t xml:space="preserve">tuleb kaaluda </w:t>
      </w:r>
      <w:proofErr w:type="spellStart"/>
      <w:r w:rsidRPr="0081738A">
        <w:t>ALPROLIX</w:t>
      </w:r>
      <w:r w:rsidR="00EF2ADE" w:rsidRPr="0081738A">
        <w:t>’iga</w:t>
      </w:r>
      <w:proofErr w:type="spellEnd"/>
      <w:r w:rsidR="00EF2ADE" w:rsidRPr="0081738A">
        <w:t xml:space="preserve"> </w:t>
      </w:r>
      <w:r w:rsidRPr="0081738A">
        <w:t>ravi</w:t>
      </w:r>
      <w:r>
        <w:t xml:space="preserve"> kasu võrreldes nimetatud tüsistuste riskiga.</w:t>
      </w:r>
    </w:p>
    <w:p w14:paraId="0F628E1B" w14:textId="77777777" w:rsidR="00A27A6F" w:rsidRDefault="00A27A6F">
      <w:pPr>
        <w:spacing w:line="240" w:lineRule="auto"/>
        <w:rPr>
          <w:szCs w:val="22"/>
        </w:rPr>
      </w:pPr>
    </w:p>
    <w:p w14:paraId="52F2665E" w14:textId="77777777" w:rsidR="00A27A6F" w:rsidRDefault="002C0949">
      <w:pPr>
        <w:keepNext/>
        <w:keepLines/>
        <w:spacing w:line="240" w:lineRule="auto"/>
        <w:rPr>
          <w:szCs w:val="22"/>
          <w:u w:val="single"/>
        </w:rPr>
      </w:pPr>
      <w:r>
        <w:rPr>
          <w:szCs w:val="22"/>
          <w:u w:val="single"/>
        </w:rPr>
        <w:t>Kardiovaskulaarne toime</w:t>
      </w:r>
    </w:p>
    <w:p w14:paraId="384E05B5" w14:textId="63E5531B" w:rsidR="00A27A6F" w:rsidRDefault="002C0949">
      <w:pPr>
        <w:spacing w:line="240" w:lineRule="auto"/>
        <w:rPr>
          <w:szCs w:val="22"/>
        </w:rPr>
      </w:pPr>
      <w:r>
        <w:rPr>
          <w:szCs w:val="22"/>
        </w:rPr>
        <w:t xml:space="preserve">Olemasolevate </w:t>
      </w:r>
      <w:proofErr w:type="spellStart"/>
      <w:r>
        <w:rPr>
          <w:szCs w:val="22"/>
        </w:rPr>
        <w:t>kardiovaskulaarsete</w:t>
      </w:r>
      <w:proofErr w:type="spellEnd"/>
      <w:r>
        <w:rPr>
          <w:szCs w:val="22"/>
        </w:rPr>
        <w:t xml:space="preserve"> riskiteguritega patsientidel võib asendusravi </w:t>
      </w:r>
      <w:r w:rsidR="003A6778">
        <w:rPr>
          <w:szCs w:val="22"/>
        </w:rPr>
        <w:t xml:space="preserve">IX faktorit sisaldavate ravimitega </w:t>
      </w:r>
      <w:r>
        <w:rPr>
          <w:szCs w:val="22"/>
        </w:rPr>
        <w:t xml:space="preserve">suurendada </w:t>
      </w:r>
      <w:proofErr w:type="spellStart"/>
      <w:r>
        <w:rPr>
          <w:szCs w:val="22"/>
        </w:rPr>
        <w:t>kardiovaskulaarset</w:t>
      </w:r>
      <w:proofErr w:type="spellEnd"/>
      <w:r>
        <w:rPr>
          <w:szCs w:val="22"/>
        </w:rPr>
        <w:t xml:space="preserve"> riski.</w:t>
      </w:r>
    </w:p>
    <w:p w14:paraId="243DB743" w14:textId="77777777" w:rsidR="00A27A6F" w:rsidRDefault="00A27A6F">
      <w:pPr>
        <w:spacing w:line="240" w:lineRule="auto"/>
      </w:pPr>
    </w:p>
    <w:p w14:paraId="6EAC5C41" w14:textId="77777777" w:rsidR="00A27A6F" w:rsidRDefault="002C0949">
      <w:pPr>
        <w:keepNext/>
        <w:keepLines/>
        <w:spacing w:line="240" w:lineRule="auto"/>
        <w:rPr>
          <w:u w:val="single"/>
        </w:rPr>
      </w:pPr>
      <w:r>
        <w:rPr>
          <w:u w:val="single"/>
        </w:rPr>
        <w:lastRenderedPageBreak/>
        <w:t>Kateetriga seotud tüsistused</w:t>
      </w:r>
    </w:p>
    <w:p w14:paraId="655C1E6D" w14:textId="77777777" w:rsidR="00A27A6F" w:rsidRDefault="002C0949">
      <w:pPr>
        <w:spacing w:line="240" w:lineRule="auto"/>
      </w:pPr>
      <w:r>
        <w:t>Tsentraalveeni kateetri (</w:t>
      </w:r>
      <w:proofErr w:type="spellStart"/>
      <w:r>
        <w:rPr>
          <w:i/>
        </w:rPr>
        <w:t>central</w:t>
      </w:r>
      <w:proofErr w:type="spellEnd"/>
      <w:r>
        <w:rPr>
          <w:i/>
        </w:rPr>
        <w:t xml:space="preserve"> </w:t>
      </w:r>
      <w:proofErr w:type="spellStart"/>
      <w:r>
        <w:rPr>
          <w:i/>
        </w:rPr>
        <w:t>venous</w:t>
      </w:r>
      <w:proofErr w:type="spellEnd"/>
      <w:r>
        <w:rPr>
          <w:i/>
        </w:rPr>
        <w:t xml:space="preserve"> </w:t>
      </w:r>
      <w:proofErr w:type="spellStart"/>
      <w:r>
        <w:rPr>
          <w:i/>
        </w:rPr>
        <w:t>access</w:t>
      </w:r>
      <w:proofErr w:type="spellEnd"/>
      <w:r>
        <w:rPr>
          <w:i/>
        </w:rPr>
        <w:t xml:space="preserve"> </w:t>
      </w:r>
      <w:proofErr w:type="spellStart"/>
      <w:r>
        <w:rPr>
          <w:i/>
        </w:rPr>
        <w:t>device</w:t>
      </w:r>
      <w:proofErr w:type="spellEnd"/>
      <w:r>
        <w:t xml:space="preserve">, CVAD) kasutamise vajadusel tuleb arvestada CVAD-iga seotud tüsistuste, sh lokaalse infektsiooni, </w:t>
      </w:r>
      <w:proofErr w:type="spellStart"/>
      <w:r>
        <w:t>baktereemia</w:t>
      </w:r>
      <w:proofErr w:type="spellEnd"/>
      <w:r>
        <w:t xml:space="preserve"> ja kateetrikoha tromboosi tekkeriskiga.</w:t>
      </w:r>
    </w:p>
    <w:p w14:paraId="1A081C55" w14:textId="77777777" w:rsidR="00A27A6F" w:rsidRDefault="00A27A6F">
      <w:pPr>
        <w:spacing w:line="240" w:lineRule="auto"/>
      </w:pPr>
    </w:p>
    <w:p w14:paraId="66AD2E64" w14:textId="77777777" w:rsidR="00A27A6F" w:rsidRDefault="002C0949">
      <w:pPr>
        <w:pStyle w:val="Default"/>
        <w:keepNext/>
        <w:rPr>
          <w:color w:val="auto"/>
          <w:sz w:val="22"/>
          <w:szCs w:val="22"/>
        </w:rPr>
      </w:pPr>
      <w:r>
        <w:rPr>
          <w:color w:val="auto"/>
          <w:sz w:val="22"/>
          <w:szCs w:val="22"/>
          <w:u w:val="single"/>
        </w:rPr>
        <w:t>Lapsed</w:t>
      </w:r>
    </w:p>
    <w:p w14:paraId="1CD9A499" w14:textId="77777777" w:rsidR="00A27A6F" w:rsidRDefault="002C0949">
      <w:pPr>
        <w:spacing w:line="240" w:lineRule="auto"/>
      </w:pPr>
      <w:r>
        <w:t>Loetletud hoiatused ja ettevaatusabinõud rakenduvad nii täiskasvanutele kui lastele.</w:t>
      </w:r>
    </w:p>
    <w:p w14:paraId="648C3521" w14:textId="77777777" w:rsidR="00A27A6F" w:rsidRDefault="00A27A6F">
      <w:pPr>
        <w:spacing w:line="240" w:lineRule="auto"/>
      </w:pPr>
    </w:p>
    <w:p w14:paraId="71DF31FD" w14:textId="77777777" w:rsidR="00A27A6F" w:rsidRDefault="002C0949">
      <w:pPr>
        <w:keepNext/>
        <w:autoSpaceDE w:val="0"/>
        <w:autoSpaceDN w:val="0"/>
        <w:adjustRightInd w:val="0"/>
        <w:spacing w:line="240" w:lineRule="auto"/>
        <w:rPr>
          <w:u w:val="single"/>
        </w:rPr>
      </w:pPr>
      <w:r>
        <w:rPr>
          <w:u w:val="single"/>
        </w:rPr>
        <w:t>Abiainetega seotud asjaolud</w:t>
      </w:r>
    </w:p>
    <w:p w14:paraId="1A8DB28B" w14:textId="7D52A8F8" w:rsidR="00A27A6F" w:rsidRDefault="002C0949">
      <w:pPr>
        <w:spacing w:line="240" w:lineRule="auto"/>
      </w:pPr>
      <w:r>
        <w:t>Ravim sisaldab vähem kui 1 mmol (23 mg) naatriumi annuses, see tähendab põhimõtteliselt „naatriumivaba".</w:t>
      </w:r>
      <w:r w:rsidR="00833798">
        <w:t xml:space="preserve"> </w:t>
      </w:r>
      <w:r w:rsidR="00833798">
        <w:rPr>
          <w:szCs w:val="22"/>
        </w:rPr>
        <w:t xml:space="preserve">Kui raviks kasutatakse rohkem kui ühte </w:t>
      </w:r>
      <w:proofErr w:type="spellStart"/>
      <w:r w:rsidR="00833798">
        <w:rPr>
          <w:szCs w:val="22"/>
        </w:rPr>
        <w:t>viaali</w:t>
      </w:r>
      <w:proofErr w:type="spellEnd"/>
      <w:r w:rsidR="00833798">
        <w:rPr>
          <w:szCs w:val="22"/>
        </w:rPr>
        <w:t>, tuleb arvestada kogu naatriumisisaldusega.</w:t>
      </w:r>
    </w:p>
    <w:p w14:paraId="49074D3F" w14:textId="77777777" w:rsidR="00A27A6F" w:rsidRDefault="00A27A6F">
      <w:pPr>
        <w:spacing w:line="240" w:lineRule="auto"/>
      </w:pPr>
    </w:p>
    <w:p w14:paraId="382B400E" w14:textId="77777777" w:rsidR="00A27A6F" w:rsidRDefault="002C0949">
      <w:pPr>
        <w:keepNext/>
        <w:autoSpaceDE w:val="0"/>
        <w:autoSpaceDN w:val="0"/>
        <w:adjustRightInd w:val="0"/>
        <w:spacing w:line="240" w:lineRule="auto"/>
        <w:ind w:left="567" w:hanging="567"/>
        <w:rPr>
          <w:b/>
          <w:szCs w:val="22"/>
        </w:rPr>
      </w:pPr>
      <w:r>
        <w:rPr>
          <w:b/>
          <w:szCs w:val="22"/>
        </w:rPr>
        <w:t>4.5</w:t>
      </w:r>
      <w:r>
        <w:rPr>
          <w:b/>
          <w:szCs w:val="22"/>
        </w:rPr>
        <w:tab/>
        <w:t>Koostoimed teiste ravimitega ja muud koostoimed</w:t>
      </w:r>
    </w:p>
    <w:p w14:paraId="6E452E94" w14:textId="77777777" w:rsidR="00A27A6F" w:rsidRDefault="00A27A6F">
      <w:pPr>
        <w:keepNext/>
        <w:spacing w:line="240" w:lineRule="auto"/>
      </w:pPr>
    </w:p>
    <w:p w14:paraId="6F18C745" w14:textId="77777777" w:rsidR="00A27A6F" w:rsidRDefault="002C0949">
      <w:pPr>
        <w:spacing w:line="240" w:lineRule="auto"/>
      </w:pPr>
      <w:proofErr w:type="spellStart"/>
      <w:r>
        <w:t>ALPROLIX’i</w:t>
      </w:r>
      <w:proofErr w:type="spellEnd"/>
      <w:r>
        <w:t xml:space="preserve"> koostoimetest teiste ravimitega ei ole teatatud. Koostoimeid ei ole uuritud.</w:t>
      </w:r>
    </w:p>
    <w:p w14:paraId="24A1844D" w14:textId="77777777" w:rsidR="00A27A6F" w:rsidRDefault="00A27A6F">
      <w:pPr>
        <w:spacing w:line="240" w:lineRule="auto"/>
      </w:pPr>
    </w:p>
    <w:p w14:paraId="635D368B" w14:textId="77777777" w:rsidR="00A27A6F" w:rsidRDefault="002C0949">
      <w:pPr>
        <w:keepNext/>
        <w:autoSpaceDE w:val="0"/>
        <w:autoSpaceDN w:val="0"/>
        <w:adjustRightInd w:val="0"/>
        <w:spacing w:line="240" w:lineRule="auto"/>
        <w:ind w:left="567" w:hanging="567"/>
        <w:rPr>
          <w:b/>
          <w:szCs w:val="22"/>
        </w:rPr>
      </w:pPr>
      <w:r>
        <w:rPr>
          <w:b/>
          <w:szCs w:val="22"/>
        </w:rPr>
        <w:t>4.6</w:t>
      </w:r>
      <w:r>
        <w:rPr>
          <w:b/>
          <w:szCs w:val="22"/>
        </w:rPr>
        <w:tab/>
        <w:t>Fertiilsus, rasedus ja imetamine</w:t>
      </w:r>
    </w:p>
    <w:p w14:paraId="0A0251A9" w14:textId="77777777" w:rsidR="00A27A6F" w:rsidRDefault="00A27A6F">
      <w:pPr>
        <w:keepNext/>
        <w:spacing w:line="240" w:lineRule="auto"/>
        <w:rPr>
          <w:szCs w:val="22"/>
        </w:rPr>
      </w:pPr>
    </w:p>
    <w:p w14:paraId="160367BC" w14:textId="77777777" w:rsidR="00A27A6F" w:rsidRDefault="002C0949">
      <w:pPr>
        <w:pStyle w:val="Default"/>
        <w:keepNext/>
        <w:autoSpaceDE/>
        <w:autoSpaceDN/>
        <w:adjustRightInd/>
        <w:rPr>
          <w:color w:val="auto"/>
          <w:sz w:val="22"/>
          <w:szCs w:val="22"/>
          <w:u w:val="single"/>
        </w:rPr>
      </w:pPr>
      <w:r>
        <w:rPr>
          <w:color w:val="auto"/>
          <w:sz w:val="22"/>
          <w:szCs w:val="22"/>
          <w:u w:val="single"/>
        </w:rPr>
        <w:t>Rasedus ja imetamine</w:t>
      </w:r>
    </w:p>
    <w:p w14:paraId="1BAF58A3" w14:textId="77777777" w:rsidR="00A27A6F" w:rsidRDefault="002C0949">
      <w:pPr>
        <w:pStyle w:val="Default"/>
        <w:rPr>
          <w:color w:val="auto"/>
          <w:sz w:val="22"/>
        </w:rPr>
      </w:pPr>
      <w:r>
        <w:rPr>
          <w:color w:val="auto"/>
          <w:sz w:val="22"/>
          <w:szCs w:val="22"/>
        </w:rPr>
        <w:t xml:space="preserve">Loomadel ei ole reproduktsiooniuuringuid </w:t>
      </w:r>
      <w:proofErr w:type="spellStart"/>
      <w:r>
        <w:rPr>
          <w:color w:val="auto"/>
          <w:sz w:val="22"/>
          <w:szCs w:val="22"/>
        </w:rPr>
        <w:t>ALPROLIX’iga</w:t>
      </w:r>
      <w:proofErr w:type="spellEnd"/>
      <w:r>
        <w:rPr>
          <w:color w:val="auto"/>
          <w:sz w:val="22"/>
          <w:szCs w:val="22"/>
        </w:rPr>
        <w:t xml:space="preserve"> läbi viidud. Hiirtel viidi läbi platsentabarjääri läbimise uuring (vt lõik 5.3). Kuna naistel esineb B</w:t>
      </w:r>
      <w:r>
        <w:rPr>
          <w:color w:val="auto"/>
          <w:sz w:val="22"/>
          <w:szCs w:val="22"/>
        </w:rPr>
        <w:noBreakHyphen/>
        <w:t xml:space="preserve">hemofiiliat harva, puuduvad kogemused IX faktori kasutamisega raseduse ja imetamise ajal. </w:t>
      </w:r>
      <w:r>
        <w:rPr>
          <w:color w:val="auto"/>
          <w:sz w:val="22"/>
        </w:rPr>
        <w:t>Seetõttu võib IX faktorit kasutada raseduse ja imetamise ajal vaid kindla näidustuse korral.</w:t>
      </w:r>
    </w:p>
    <w:p w14:paraId="30E827AD" w14:textId="77777777" w:rsidR="00A27A6F" w:rsidRDefault="00A27A6F">
      <w:pPr>
        <w:pStyle w:val="Default"/>
        <w:rPr>
          <w:color w:val="auto"/>
          <w:sz w:val="22"/>
          <w:szCs w:val="22"/>
          <w:u w:val="single"/>
        </w:rPr>
      </w:pPr>
    </w:p>
    <w:p w14:paraId="5546F61B" w14:textId="77777777" w:rsidR="00A27A6F" w:rsidRDefault="002C0949">
      <w:pPr>
        <w:pStyle w:val="Default"/>
        <w:keepNext/>
        <w:rPr>
          <w:color w:val="auto"/>
          <w:sz w:val="22"/>
          <w:szCs w:val="22"/>
          <w:u w:val="single"/>
        </w:rPr>
      </w:pPr>
      <w:r>
        <w:rPr>
          <w:color w:val="auto"/>
          <w:sz w:val="22"/>
          <w:szCs w:val="22"/>
          <w:u w:val="single"/>
        </w:rPr>
        <w:t>Fertiilsus</w:t>
      </w:r>
    </w:p>
    <w:p w14:paraId="1E5C56FB" w14:textId="77777777" w:rsidR="00A27A6F" w:rsidRDefault="002C0949">
      <w:pPr>
        <w:spacing w:line="240" w:lineRule="auto"/>
      </w:pPr>
      <w:r>
        <w:t xml:space="preserve">Fertiilsuse kohta andmed puuduvad. Loomadel ei ole fertiilsusuuringuid </w:t>
      </w:r>
      <w:proofErr w:type="spellStart"/>
      <w:r>
        <w:t>ALPROLIX’iga</w:t>
      </w:r>
      <w:proofErr w:type="spellEnd"/>
      <w:r>
        <w:t xml:space="preserve"> läbi viidud.</w:t>
      </w:r>
    </w:p>
    <w:p w14:paraId="5781A79C" w14:textId="77777777" w:rsidR="00A27A6F" w:rsidRDefault="00A27A6F">
      <w:pPr>
        <w:spacing w:line="240" w:lineRule="auto"/>
        <w:rPr>
          <w:i/>
          <w:szCs w:val="22"/>
        </w:rPr>
      </w:pPr>
    </w:p>
    <w:p w14:paraId="2407F001" w14:textId="77777777" w:rsidR="00A27A6F" w:rsidRDefault="002C0949">
      <w:pPr>
        <w:keepNext/>
        <w:autoSpaceDE w:val="0"/>
        <w:autoSpaceDN w:val="0"/>
        <w:adjustRightInd w:val="0"/>
        <w:spacing w:line="240" w:lineRule="auto"/>
        <w:ind w:left="567" w:hanging="567"/>
        <w:rPr>
          <w:b/>
          <w:szCs w:val="22"/>
        </w:rPr>
      </w:pPr>
      <w:r>
        <w:rPr>
          <w:b/>
          <w:szCs w:val="22"/>
        </w:rPr>
        <w:t>4.7</w:t>
      </w:r>
      <w:r>
        <w:rPr>
          <w:b/>
          <w:szCs w:val="22"/>
        </w:rPr>
        <w:tab/>
        <w:t>Toime reaktsioonikiirusele</w:t>
      </w:r>
    </w:p>
    <w:p w14:paraId="5F8F1228" w14:textId="77777777" w:rsidR="00A27A6F" w:rsidRDefault="00A27A6F">
      <w:pPr>
        <w:keepNext/>
        <w:spacing w:line="240" w:lineRule="auto"/>
        <w:rPr>
          <w:szCs w:val="22"/>
        </w:rPr>
      </w:pPr>
    </w:p>
    <w:p w14:paraId="0EB8606D" w14:textId="77777777" w:rsidR="00A27A6F" w:rsidRDefault="002C0949">
      <w:pPr>
        <w:spacing w:line="240" w:lineRule="auto"/>
        <w:rPr>
          <w:szCs w:val="22"/>
        </w:rPr>
      </w:pPr>
      <w:r>
        <w:t>ALPROLIX ei mõjuta autojuhtimise ja masinate käsitsemise võimet.</w:t>
      </w:r>
    </w:p>
    <w:p w14:paraId="5257EB8C" w14:textId="77777777" w:rsidR="00A27A6F" w:rsidRDefault="00A27A6F">
      <w:pPr>
        <w:spacing w:line="240" w:lineRule="auto"/>
        <w:rPr>
          <w:szCs w:val="22"/>
        </w:rPr>
      </w:pPr>
    </w:p>
    <w:p w14:paraId="11F42B4F" w14:textId="77777777" w:rsidR="00A27A6F" w:rsidRDefault="002C0949">
      <w:pPr>
        <w:keepNext/>
        <w:autoSpaceDE w:val="0"/>
        <w:autoSpaceDN w:val="0"/>
        <w:adjustRightInd w:val="0"/>
        <w:spacing w:line="240" w:lineRule="auto"/>
        <w:ind w:left="567" w:hanging="567"/>
        <w:rPr>
          <w:b/>
          <w:szCs w:val="22"/>
        </w:rPr>
      </w:pPr>
      <w:r>
        <w:rPr>
          <w:b/>
          <w:szCs w:val="22"/>
        </w:rPr>
        <w:t>4.8</w:t>
      </w:r>
      <w:r>
        <w:rPr>
          <w:b/>
          <w:szCs w:val="22"/>
        </w:rPr>
        <w:tab/>
        <w:t>Kõrvaltoimed</w:t>
      </w:r>
    </w:p>
    <w:p w14:paraId="5F2E3A2F" w14:textId="77777777" w:rsidR="00A27A6F" w:rsidRDefault="00A27A6F">
      <w:pPr>
        <w:pStyle w:val="Default"/>
        <w:keepNext/>
        <w:autoSpaceDE/>
        <w:autoSpaceDN/>
        <w:adjustRightInd/>
        <w:rPr>
          <w:color w:val="auto"/>
          <w:sz w:val="22"/>
          <w:szCs w:val="22"/>
          <w:u w:val="single"/>
        </w:rPr>
      </w:pPr>
    </w:p>
    <w:p w14:paraId="0B7AF7AB" w14:textId="77777777" w:rsidR="00A27A6F" w:rsidRDefault="002C0949">
      <w:pPr>
        <w:pStyle w:val="Default"/>
        <w:keepNext/>
        <w:autoSpaceDE/>
        <w:autoSpaceDN/>
        <w:adjustRightInd/>
        <w:rPr>
          <w:color w:val="auto"/>
          <w:sz w:val="22"/>
          <w:szCs w:val="22"/>
          <w:u w:val="single"/>
        </w:rPr>
      </w:pPr>
      <w:r>
        <w:rPr>
          <w:color w:val="auto"/>
          <w:sz w:val="22"/>
          <w:szCs w:val="22"/>
          <w:u w:val="single"/>
        </w:rPr>
        <w:t>Ohutusprofiili kokkuvõte</w:t>
      </w:r>
    </w:p>
    <w:p w14:paraId="077BFF64" w14:textId="77777777" w:rsidR="00A27A6F" w:rsidRDefault="002C0949">
      <w:pPr>
        <w:autoSpaceDE w:val="0"/>
        <w:autoSpaceDN w:val="0"/>
        <w:adjustRightInd w:val="0"/>
        <w:spacing w:line="240" w:lineRule="auto"/>
        <w:rPr>
          <w:szCs w:val="22"/>
        </w:rPr>
      </w:pPr>
      <w:r>
        <w:t xml:space="preserve">Harva on täheldatud ülitundlikkus- või allergilisi reaktsioone (nt </w:t>
      </w:r>
      <w:proofErr w:type="spellStart"/>
      <w:r>
        <w:t>angioödeem</w:t>
      </w:r>
      <w:proofErr w:type="spellEnd"/>
      <w:r>
        <w:t xml:space="preserve">, põletus- ja torkimistunne infusioonikohal, külmavärinad, õhetus, </w:t>
      </w:r>
      <w:proofErr w:type="spellStart"/>
      <w:r>
        <w:t>generaliseerunud</w:t>
      </w:r>
      <w:proofErr w:type="spellEnd"/>
      <w:r>
        <w:t xml:space="preserve"> </w:t>
      </w:r>
      <w:proofErr w:type="spellStart"/>
      <w:r>
        <w:t>urtikaaria</w:t>
      </w:r>
      <w:proofErr w:type="spellEnd"/>
      <w:r>
        <w:t xml:space="preserve">, peavalu, nahalööve, hüpotensioon, letargia, iiveldus, rahutus, tahhükardia, pitsitustunne rindkeres, torkimistunne, oksendamine, vilistav hingamine), mis võivad mõnel juhul progresseeruda raskekujuliseks </w:t>
      </w:r>
      <w:proofErr w:type="spellStart"/>
      <w:r>
        <w:t>anafülaksiaks</w:t>
      </w:r>
      <w:proofErr w:type="spellEnd"/>
      <w:r>
        <w:t xml:space="preserve"> (sh šokk). Mõnel juhul on need reaktsioonid, progresseerunud raskekujuliseks </w:t>
      </w:r>
      <w:proofErr w:type="spellStart"/>
      <w:r>
        <w:t>anafülaksiaks</w:t>
      </w:r>
      <w:proofErr w:type="spellEnd"/>
      <w:r>
        <w:t xml:space="preserve"> ja esinenud ajaliselt lähedases seoses IX faktori inhibiitorite tekkega (vt ka lõik 4.4). B</w:t>
      </w:r>
      <w:r>
        <w:noBreakHyphen/>
        <w:t xml:space="preserve">hemofiiliaga patsientidel, kellel on IX faktori inhibiitorid ning anamneesis allergilised reaktsioonid, on immuuntolerantsuse indutseerimise järgselt teatatud </w:t>
      </w:r>
      <w:proofErr w:type="spellStart"/>
      <w:r>
        <w:t>nefrootilisest</w:t>
      </w:r>
      <w:proofErr w:type="spellEnd"/>
      <w:r>
        <w:t xml:space="preserve"> sündroomist.</w:t>
      </w:r>
    </w:p>
    <w:p w14:paraId="3B014F82" w14:textId="77777777" w:rsidR="00A27A6F" w:rsidRDefault="00A27A6F">
      <w:pPr>
        <w:autoSpaceDE w:val="0"/>
        <w:autoSpaceDN w:val="0"/>
        <w:adjustRightInd w:val="0"/>
        <w:spacing w:line="240" w:lineRule="auto"/>
        <w:rPr>
          <w:szCs w:val="22"/>
        </w:rPr>
      </w:pPr>
    </w:p>
    <w:p w14:paraId="3C540033" w14:textId="77777777" w:rsidR="00A27A6F" w:rsidRDefault="002C0949">
      <w:pPr>
        <w:autoSpaceDE w:val="0"/>
        <w:autoSpaceDN w:val="0"/>
        <w:adjustRightInd w:val="0"/>
        <w:spacing w:line="240" w:lineRule="auto"/>
        <w:rPr>
          <w:szCs w:val="22"/>
        </w:rPr>
      </w:pPr>
      <w:r>
        <w:rPr>
          <w:szCs w:val="22"/>
        </w:rPr>
        <w:t>B</w:t>
      </w:r>
      <w:r>
        <w:rPr>
          <w:szCs w:val="22"/>
        </w:rPr>
        <w:noBreakHyphen/>
        <w:t xml:space="preserve">hemofiiliaga patsientidel võivad välja kujuneda IX faktori vastased antikehad (inhibiitorid). </w:t>
      </w:r>
      <w:proofErr w:type="spellStart"/>
      <w:r>
        <w:rPr>
          <w:szCs w:val="22"/>
        </w:rPr>
        <w:t>Inhibitsiooni</w:t>
      </w:r>
      <w:proofErr w:type="spellEnd"/>
      <w:r>
        <w:rPr>
          <w:szCs w:val="22"/>
        </w:rPr>
        <w:t xml:space="preserve"> korral avaldub seisund ebapiisava kliinilise ravivastusena. Sellistel juhtudel on soovitatav pöörduda spetsiaalse hemofiiliakeskuse poole.</w:t>
      </w:r>
    </w:p>
    <w:p w14:paraId="7D98736C" w14:textId="77777777" w:rsidR="00A27A6F" w:rsidRDefault="00A27A6F">
      <w:pPr>
        <w:autoSpaceDE w:val="0"/>
        <w:autoSpaceDN w:val="0"/>
        <w:adjustRightInd w:val="0"/>
        <w:spacing w:line="240" w:lineRule="auto"/>
        <w:jc w:val="both"/>
        <w:rPr>
          <w:szCs w:val="22"/>
        </w:rPr>
      </w:pPr>
    </w:p>
    <w:p w14:paraId="5C9100B3" w14:textId="77777777" w:rsidR="00A27A6F" w:rsidRDefault="002C0949">
      <w:pPr>
        <w:autoSpaceDE w:val="0"/>
        <w:autoSpaceDN w:val="0"/>
        <w:adjustRightInd w:val="0"/>
        <w:spacing w:line="240" w:lineRule="auto"/>
      </w:pPr>
      <w:r>
        <w:t xml:space="preserve">IX faktori preparaatide manustamise järgselt esineb </w:t>
      </w:r>
      <w:proofErr w:type="spellStart"/>
      <w:r>
        <w:t>trombemboolsete</w:t>
      </w:r>
      <w:proofErr w:type="spellEnd"/>
      <w:r>
        <w:t xml:space="preserve"> tüsistuste tekkerisk, risk on suurem väiksema puhtusastmega ravimite korral. Väikse puhtusastmega IX faktori preparaatide kasutamist on seostatud müokardi infarkti, </w:t>
      </w:r>
      <w:proofErr w:type="spellStart"/>
      <w:r>
        <w:t>dissemineeritud</w:t>
      </w:r>
      <w:proofErr w:type="spellEnd"/>
      <w:r>
        <w:t xml:space="preserve"> </w:t>
      </w:r>
      <w:proofErr w:type="spellStart"/>
      <w:r>
        <w:t>intravaskulaarse</w:t>
      </w:r>
      <w:proofErr w:type="spellEnd"/>
      <w:r>
        <w:t xml:space="preserve"> koagulatsiooni, venoosse tromboosi ja </w:t>
      </w:r>
      <w:r>
        <w:lastRenderedPageBreak/>
        <w:t xml:space="preserve">kopsuemboolia juhtudega. </w:t>
      </w:r>
      <w:r>
        <w:rPr>
          <w:rFonts w:eastAsia="Calibri"/>
        </w:rPr>
        <w:t xml:space="preserve">Kõrge </w:t>
      </w:r>
      <w:r>
        <w:t xml:space="preserve">puhtusastmega IX faktori kasutamist on harva seostatud </w:t>
      </w:r>
      <w:proofErr w:type="spellStart"/>
      <w:r>
        <w:t>trombemboolsete</w:t>
      </w:r>
      <w:proofErr w:type="spellEnd"/>
      <w:r>
        <w:t xml:space="preserve"> tüsistustega.</w:t>
      </w:r>
    </w:p>
    <w:p w14:paraId="41D4C6A4" w14:textId="77777777" w:rsidR="00A27A6F" w:rsidRDefault="00A27A6F">
      <w:pPr>
        <w:autoSpaceDE w:val="0"/>
        <w:autoSpaceDN w:val="0"/>
        <w:adjustRightInd w:val="0"/>
        <w:spacing w:line="240" w:lineRule="auto"/>
        <w:rPr>
          <w:szCs w:val="22"/>
        </w:rPr>
      </w:pPr>
    </w:p>
    <w:p w14:paraId="1AD565D6" w14:textId="01878DAF" w:rsidR="00A27A6F" w:rsidRPr="0081738A" w:rsidRDefault="002C0949">
      <w:pPr>
        <w:pStyle w:val="Default"/>
        <w:keepNext/>
        <w:autoSpaceDE/>
        <w:autoSpaceDN/>
        <w:adjustRightInd/>
        <w:rPr>
          <w:color w:val="auto"/>
          <w:sz w:val="22"/>
          <w:szCs w:val="22"/>
          <w:u w:val="single"/>
        </w:rPr>
      </w:pPr>
      <w:r w:rsidRPr="0081738A">
        <w:rPr>
          <w:color w:val="auto"/>
          <w:sz w:val="22"/>
          <w:szCs w:val="22"/>
          <w:u w:val="single"/>
        </w:rPr>
        <w:t>Kõrvaltoimete loetelu tabeli</w:t>
      </w:r>
      <w:r w:rsidR="00DB15F9" w:rsidRPr="0081738A">
        <w:rPr>
          <w:color w:val="auto"/>
          <w:sz w:val="22"/>
          <w:szCs w:val="22"/>
          <w:u w:val="single"/>
        </w:rPr>
        <w:t>s</w:t>
      </w:r>
    </w:p>
    <w:p w14:paraId="07B07792" w14:textId="7B05B228" w:rsidR="00A27A6F" w:rsidRPr="0081738A" w:rsidRDefault="002C0949">
      <w:pPr>
        <w:autoSpaceDE w:val="0"/>
        <w:autoSpaceDN w:val="0"/>
        <w:adjustRightInd w:val="0"/>
        <w:spacing w:line="240" w:lineRule="auto"/>
      </w:pPr>
      <w:r w:rsidRPr="0081738A">
        <w:rPr>
          <w:szCs w:val="22"/>
        </w:rPr>
        <w:t>Eelnevalt ravitud patsiendid: III faasi kliinilistes uuringutes ja jätku-uuringus</w:t>
      </w:r>
      <w:r w:rsidR="003A6778" w:rsidRPr="0081738A">
        <w:rPr>
          <w:szCs w:val="22"/>
        </w:rPr>
        <w:t xml:space="preserve"> vaadeldi kokku 153 </w:t>
      </w:r>
      <w:r w:rsidR="003A6778" w:rsidRPr="0081738A">
        <w:t>raske B</w:t>
      </w:r>
      <w:r w:rsidR="003A6778" w:rsidRPr="0081738A">
        <w:noBreakHyphen/>
        <w:t xml:space="preserve">hemofiiliaga </w:t>
      </w:r>
      <w:r w:rsidR="003A6778" w:rsidRPr="0081738A">
        <w:rPr>
          <w:szCs w:val="22"/>
        </w:rPr>
        <w:t>patsienti</w:t>
      </w:r>
      <w:r w:rsidRPr="0081738A">
        <w:rPr>
          <w:szCs w:val="22"/>
        </w:rPr>
        <w:t xml:space="preserve">. Kõrvaltoimeid jälgiti kokku 561 osaleja-aastat. </w:t>
      </w:r>
      <w:r w:rsidRPr="0081738A">
        <w:t>Kokkupuutepäevi oli kokku 26 106; mediaan 165  (vahemikus 1...528) osaleja kohta.</w:t>
      </w:r>
    </w:p>
    <w:p w14:paraId="17E7D1B1" w14:textId="77777777" w:rsidR="00A27A6F" w:rsidRPr="0081738A" w:rsidRDefault="00A27A6F">
      <w:pPr>
        <w:pStyle w:val="Default"/>
        <w:rPr>
          <w:color w:val="auto"/>
          <w:sz w:val="22"/>
        </w:rPr>
      </w:pPr>
    </w:p>
    <w:p w14:paraId="336428E0" w14:textId="5F915C40" w:rsidR="00A27A6F" w:rsidRDefault="002C0949">
      <w:pPr>
        <w:autoSpaceDE w:val="0"/>
        <w:autoSpaceDN w:val="0"/>
        <w:adjustRightInd w:val="0"/>
        <w:spacing w:line="240" w:lineRule="auto"/>
      </w:pPr>
      <w:r w:rsidRPr="0081738A">
        <w:rPr>
          <w:szCs w:val="22"/>
        </w:rPr>
        <w:t>Eelnevalt ravimata patsiendid: ühes kliinilises uuringus</w:t>
      </w:r>
      <w:r w:rsidR="003A6778" w:rsidRPr="0081738A">
        <w:rPr>
          <w:szCs w:val="22"/>
        </w:rPr>
        <w:t xml:space="preserve"> vaadeldi kokku 33 </w:t>
      </w:r>
      <w:r w:rsidR="003A6778" w:rsidRPr="0081738A">
        <w:t>raske B</w:t>
      </w:r>
      <w:r w:rsidR="003A6778" w:rsidRPr="0081738A">
        <w:noBreakHyphen/>
        <w:t>hemofiiliaga</w:t>
      </w:r>
      <w:r w:rsidR="003A6778">
        <w:t xml:space="preserve"> </w:t>
      </w:r>
      <w:r w:rsidR="003A6778">
        <w:rPr>
          <w:szCs w:val="22"/>
        </w:rPr>
        <w:t>patsienti</w:t>
      </w:r>
      <w:r>
        <w:rPr>
          <w:szCs w:val="22"/>
        </w:rPr>
        <w:t xml:space="preserve">. Kõrvaltoimeid jälgiti kokku 57,51 osaleja-aastat. </w:t>
      </w:r>
      <w:r>
        <w:t>Kokkupuutepäevi oli kokku 2233; mediaan 76  (vahemikus 1...137) osaleja kohta.</w:t>
      </w:r>
    </w:p>
    <w:p w14:paraId="2480EE58" w14:textId="77777777" w:rsidR="00A27A6F" w:rsidRDefault="00A27A6F">
      <w:pPr>
        <w:pStyle w:val="Default"/>
        <w:rPr>
          <w:color w:val="auto"/>
          <w:sz w:val="22"/>
        </w:rPr>
      </w:pPr>
    </w:p>
    <w:p w14:paraId="01447F10" w14:textId="77777777" w:rsidR="00A27A6F" w:rsidRDefault="002C0949">
      <w:pPr>
        <w:pStyle w:val="Default"/>
        <w:rPr>
          <w:color w:val="auto"/>
          <w:sz w:val="22"/>
          <w:szCs w:val="22"/>
        </w:rPr>
      </w:pPr>
      <w:r>
        <w:rPr>
          <w:color w:val="auto"/>
          <w:sz w:val="22"/>
          <w:szCs w:val="22"/>
        </w:rPr>
        <w:t>Allolev tabel 2 vastab MedDRA organsüsteemi klassifikatsioonile (organsüsteemi klassi ja eelistatava termini alusel).</w:t>
      </w:r>
    </w:p>
    <w:p w14:paraId="3BCB3B2A" w14:textId="77777777" w:rsidR="00A27A6F" w:rsidRDefault="00A27A6F">
      <w:pPr>
        <w:pStyle w:val="Default"/>
        <w:rPr>
          <w:color w:val="auto"/>
          <w:sz w:val="22"/>
          <w:szCs w:val="22"/>
        </w:rPr>
      </w:pPr>
    </w:p>
    <w:p w14:paraId="7EA9967E" w14:textId="2F9C444D" w:rsidR="00A27A6F" w:rsidRDefault="002C0949">
      <w:pPr>
        <w:pStyle w:val="Default"/>
        <w:rPr>
          <w:color w:val="auto"/>
          <w:sz w:val="22"/>
          <w:szCs w:val="22"/>
        </w:rPr>
      </w:pPr>
      <w:r>
        <w:rPr>
          <w:color w:val="auto"/>
          <w:sz w:val="22"/>
          <w:szCs w:val="22"/>
        </w:rPr>
        <w:t>Kõrvaltoimed on järjestatud järgmise süsteemi kohaselt: väga sage (≥ 1/10), sage (≥ 1/100 kuni &lt; 1/10); aeg-ajalt (≥ 1/1000 kuni &lt; 1/100); harv (≥ 1/10 000 kuni &lt; 1/1000); väga harv (&lt; 1/10 000); teadmata (ei saa hinnata olemasolevate andmete alusel).</w:t>
      </w:r>
      <w:r w:rsidR="00F436BD">
        <w:rPr>
          <w:color w:val="auto"/>
          <w:sz w:val="22"/>
          <w:szCs w:val="22"/>
        </w:rPr>
        <w:t xml:space="preserve"> </w:t>
      </w:r>
      <w:r w:rsidR="00F436BD" w:rsidRPr="00F436BD">
        <w:rPr>
          <w:color w:val="auto"/>
          <w:sz w:val="22"/>
          <w:szCs w:val="22"/>
        </w:rPr>
        <w:t>Tabelis on loetletud kliinilistes uuringutes teatatud ja turustamisjärgselt tuvastatud kõrvaltoimed.</w:t>
      </w:r>
    </w:p>
    <w:p w14:paraId="4AFF5C14" w14:textId="77777777" w:rsidR="00A27A6F" w:rsidRDefault="00A27A6F">
      <w:pPr>
        <w:pStyle w:val="Default"/>
        <w:rPr>
          <w:color w:val="auto"/>
          <w:sz w:val="22"/>
          <w:szCs w:val="22"/>
        </w:rPr>
      </w:pPr>
    </w:p>
    <w:p w14:paraId="65F98AD4" w14:textId="4715B57D" w:rsidR="00A27A6F" w:rsidRDefault="002C0949">
      <w:pPr>
        <w:keepNext/>
        <w:keepLines/>
        <w:spacing w:line="240" w:lineRule="auto"/>
        <w:rPr>
          <w:bCs/>
          <w:szCs w:val="22"/>
        </w:rPr>
      </w:pPr>
      <w:r>
        <w:rPr>
          <w:bCs/>
          <w:szCs w:val="22"/>
        </w:rPr>
        <w:t xml:space="preserve">Tabel 2. </w:t>
      </w:r>
      <w:proofErr w:type="spellStart"/>
      <w:r>
        <w:rPr>
          <w:bCs/>
          <w:szCs w:val="22"/>
        </w:rPr>
        <w:t>ALPROLIX’i</w:t>
      </w:r>
      <w:proofErr w:type="spellEnd"/>
      <w:r w:rsidR="003A6778">
        <w:rPr>
          <w:bCs/>
          <w:szCs w:val="22"/>
        </w:rPr>
        <w:t xml:space="preserve"> manustamisel</w:t>
      </w:r>
      <w:r>
        <w:rPr>
          <w:bCs/>
          <w:szCs w:val="22"/>
        </w:rPr>
        <w:t xml:space="preserve"> teatatud kõrvaltoimed</w:t>
      </w:r>
    </w:p>
    <w:tbl>
      <w:tblPr>
        <w:tblW w:w="5000" w:type="pct"/>
        <w:tblCellMar>
          <w:left w:w="0" w:type="dxa"/>
          <w:right w:w="0" w:type="dxa"/>
        </w:tblCellMar>
        <w:tblLook w:val="04A0" w:firstRow="1" w:lastRow="0" w:firstColumn="1" w:lastColumn="0" w:noHBand="0" w:noVBand="1"/>
      </w:tblPr>
      <w:tblGrid>
        <w:gridCol w:w="3921"/>
        <w:gridCol w:w="3247"/>
        <w:gridCol w:w="2172"/>
      </w:tblGrid>
      <w:tr w:rsidR="00A27A6F" w14:paraId="1266D312" w14:textId="77777777">
        <w:tc>
          <w:tcPr>
            <w:tcW w:w="20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FD0D1" w14:textId="77777777" w:rsidR="00A27A6F" w:rsidRDefault="002C0949">
            <w:pPr>
              <w:keepNext/>
              <w:keepLines/>
              <w:spacing w:line="240" w:lineRule="auto"/>
              <w:rPr>
                <w:b/>
                <w:bCs/>
                <w:szCs w:val="22"/>
              </w:rPr>
            </w:pPr>
            <w:r>
              <w:rPr>
                <w:b/>
                <w:bCs/>
                <w:szCs w:val="22"/>
              </w:rPr>
              <w:t>MedDRA organsüsteemi klass</w:t>
            </w:r>
          </w:p>
        </w:tc>
        <w:tc>
          <w:tcPr>
            <w:tcW w:w="173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E0AA7AF" w14:textId="77777777" w:rsidR="00A27A6F" w:rsidRDefault="002C0949">
            <w:pPr>
              <w:keepNext/>
              <w:keepLines/>
              <w:spacing w:line="240" w:lineRule="auto"/>
              <w:rPr>
                <w:szCs w:val="22"/>
              </w:rPr>
            </w:pPr>
            <w:r>
              <w:rPr>
                <w:b/>
                <w:bCs/>
                <w:szCs w:val="22"/>
              </w:rPr>
              <w:t>Kõrvaltoimed</w:t>
            </w:r>
          </w:p>
        </w:tc>
        <w:tc>
          <w:tcPr>
            <w:tcW w:w="1163" w:type="pct"/>
            <w:tcBorders>
              <w:top w:val="single" w:sz="8" w:space="0" w:color="000000"/>
              <w:left w:val="single" w:sz="8" w:space="0" w:color="000000"/>
              <w:bottom w:val="single" w:sz="8" w:space="0" w:color="000000"/>
              <w:right w:val="single" w:sz="8" w:space="0" w:color="000000"/>
            </w:tcBorders>
          </w:tcPr>
          <w:p w14:paraId="59CFC288" w14:textId="77777777" w:rsidR="00A27A6F" w:rsidRDefault="002C0949">
            <w:pPr>
              <w:keepNext/>
              <w:keepLines/>
              <w:spacing w:line="240" w:lineRule="auto"/>
              <w:ind w:left="232"/>
              <w:rPr>
                <w:bCs/>
                <w:szCs w:val="22"/>
              </w:rPr>
            </w:pPr>
            <w:r>
              <w:rPr>
                <w:b/>
                <w:bCs/>
                <w:szCs w:val="22"/>
              </w:rPr>
              <w:t>Sagedus</w:t>
            </w:r>
          </w:p>
        </w:tc>
      </w:tr>
      <w:tr w:rsidR="00A27A6F" w14:paraId="768974FE" w14:textId="77777777">
        <w:tc>
          <w:tcPr>
            <w:tcW w:w="20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DBC1017" w14:textId="77777777" w:rsidR="00A27A6F" w:rsidRDefault="002C0949">
            <w:pPr>
              <w:keepNext/>
              <w:spacing w:line="240" w:lineRule="auto"/>
              <w:rPr>
                <w:bCs/>
                <w:szCs w:val="22"/>
              </w:rPr>
            </w:pPr>
            <w:r>
              <w:rPr>
                <w:bCs/>
                <w:szCs w:val="22"/>
              </w:rPr>
              <w:t>Vere ja lümfisüsteemi häired</w:t>
            </w:r>
          </w:p>
        </w:tc>
        <w:tc>
          <w:tcPr>
            <w:tcW w:w="173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C1FED4" w14:textId="77777777" w:rsidR="00A27A6F" w:rsidRDefault="002C0949">
            <w:pPr>
              <w:keepNext/>
              <w:spacing w:line="240" w:lineRule="auto"/>
              <w:rPr>
                <w:bCs/>
                <w:szCs w:val="22"/>
              </w:rPr>
            </w:pPr>
            <w:r>
              <w:rPr>
                <w:bCs/>
                <w:szCs w:val="22"/>
              </w:rPr>
              <w:t>IX faktori inhibeerimine</w:t>
            </w:r>
          </w:p>
        </w:tc>
        <w:tc>
          <w:tcPr>
            <w:tcW w:w="1163" w:type="pct"/>
            <w:tcBorders>
              <w:top w:val="single" w:sz="8" w:space="0" w:color="000000"/>
              <w:left w:val="single" w:sz="8" w:space="0" w:color="000000"/>
              <w:bottom w:val="single" w:sz="8" w:space="0" w:color="000000"/>
              <w:right w:val="single" w:sz="8" w:space="0" w:color="000000"/>
            </w:tcBorders>
          </w:tcPr>
          <w:p w14:paraId="6759AE88" w14:textId="26E06709" w:rsidR="00A27A6F" w:rsidRDefault="002C0949" w:rsidP="00C92342">
            <w:pPr>
              <w:keepNext/>
              <w:spacing w:line="240" w:lineRule="auto"/>
              <w:ind w:left="232"/>
              <w:rPr>
                <w:bCs/>
                <w:szCs w:val="22"/>
              </w:rPr>
            </w:pPr>
            <w:r>
              <w:rPr>
                <w:bCs/>
                <w:szCs w:val="22"/>
              </w:rPr>
              <w:t>Sage</w:t>
            </w:r>
            <w:r>
              <w:rPr>
                <w:bCs/>
                <w:szCs w:val="22"/>
                <w:vertAlign w:val="superscript"/>
              </w:rPr>
              <w:t>1</w:t>
            </w:r>
          </w:p>
        </w:tc>
      </w:tr>
      <w:tr w:rsidR="00A27A6F" w14:paraId="10AEC4B9" w14:textId="77777777">
        <w:tc>
          <w:tcPr>
            <w:tcW w:w="20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25A2019" w14:textId="77777777" w:rsidR="00A27A6F" w:rsidRDefault="002C0949">
            <w:pPr>
              <w:keepNext/>
              <w:spacing w:line="240" w:lineRule="auto"/>
              <w:rPr>
                <w:bCs/>
                <w:szCs w:val="22"/>
              </w:rPr>
            </w:pPr>
            <w:r>
              <w:rPr>
                <w:bCs/>
                <w:szCs w:val="22"/>
              </w:rPr>
              <w:t>Immuunsüsteemi häired</w:t>
            </w:r>
          </w:p>
        </w:tc>
        <w:tc>
          <w:tcPr>
            <w:tcW w:w="173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DF885E" w14:textId="77777777" w:rsidR="00A27A6F" w:rsidRDefault="002C0949">
            <w:pPr>
              <w:keepNext/>
              <w:spacing w:line="240" w:lineRule="auto"/>
              <w:rPr>
                <w:bCs/>
                <w:szCs w:val="22"/>
              </w:rPr>
            </w:pPr>
            <w:r>
              <w:rPr>
                <w:bCs/>
                <w:szCs w:val="22"/>
              </w:rPr>
              <w:t>Ülitundlikkus</w:t>
            </w:r>
          </w:p>
          <w:p w14:paraId="268E213F" w14:textId="54F05298" w:rsidR="003A6778" w:rsidRDefault="003A6778">
            <w:pPr>
              <w:keepNext/>
              <w:spacing w:line="240" w:lineRule="auto"/>
              <w:rPr>
                <w:bCs/>
                <w:szCs w:val="22"/>
              </w:rPr>
            </w:pPr>
            <w:r>
              <w:rPr>
                <w:bCs/>
                <w:szCs w:val="22"/>
              </w:rPr>
              <w:t>Anafülaktiline reaktsioon</w:t>
            </w:r>
          </w:p>
        </w:tc>
        <w:tc>
          <w:tcPr>
            <w:tcW w:w="1163" w:type="pct"/>
            <w:tcBorders>
              <w:top w:val="single" w:sz="8" w:space="0" w:color="000000"/>
              <w:left w:val="single" w:sz="8" w:space="0" w:color="000000"/>
              <w:bottom w:val="single" w:sz="8" w:space="0" w:color="000000"/>
              <w:right w:val="single" w:sz="8" w:space="0" w:color="000000"/>
            </w:tcBorders>
          </w:tcPr>
          <w:p w14:paraId="61F720D1" w14:textId="09DD89F5" w:rsidR="00A27A6F" w:rsidRDefault="002C0949" w:rsidP="00C92342">
            <w:pPr>
              <w:keepNext/>
              <w:spacing w:line="240" w:lineRule="auto"/>
              <w:ind w:left="232"/>
              <w:rPr>
                <w:bCs/>
                <w:szCs w:val="22"/>
                <w:vertAlign w:val="superscript"/>
              </w:rPr>
            </w:pPr>
            <w:r>
              <w:rPr>
                <w:bCs/>
                <w:szCs w:val="22"/>
              </w:rPr>
              <w:t>Sage</w:t>
            </w:r>
            <w:r>
              <w:rPr>
                <w:bCs/>
                <w:szCs w:val="22"/>
                <w:vertAlign w:val="superscript"/>
              </w:rPr>
              <w:t>1</w:t>
            </w:r>
          </w:p>
          <w:p w14:paraId="359E3046" w14:textId="480EF1B8" w:rsidR="005E6424" w:rsidRPr="005E6424" w:rsidRDefault="005E6424" w:rsidP="00C92342">
            <w:pPr>
              <w:keepNext/>
              <w:spacing w:line="240" w:lineRule="auto"/>
              <w:ind w:left="232"/>
              <w:rPr>
                <w:bCs/>
                <w:szCs w:val="22"/>
              </w:rPr>
            </w:pPr>
            <w:r>
              <w:rPr>
                <w:bCs/>
                <w:szCs w:val="22"/>
              </w:rPr>
              <w:t>Teadmata</w:t>
            </w:r>
          </w:p>
        </w:tc>
      </w:tr>
      <w:tr w:rsidR="00A27A6F" w14:paraId="32F5267C" w14:textId="77777777">
        <w:tc>
          <w:tcPr>
            <w:tcW w:w="20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BDB823" w14:textId="77777777" w:rsidR="00A27A6F" w:rsidRDefault="002C0949">
            <w:pPr>
              <w:keepNext/>
              <w:spacing w:line="240" w:lineRule="auto"/>
              <w:rPr>
                <w:bCs/>
                <w:szCs w:val="22"/>
              </w:rPr>
            </w:pPr>
            <w:r>
              <w:rPr>
                <w:bCs/>
                <w:szCs w:val="22"/>
              </w:rPr>
              <w:t>Ainevahetus-</w:t>
            </w:r>
            <w:r>
              <w:rPr>
                <w:b/>
                <w:bCs/>
              </w:rPr>
              <w:t xml:space="preserve"> </w:t>
            </w:r>
            <w:r>
              <w:rPr>
                <w:bCs/>
                <w:szCs w:val="22"/>
              </w:rPr>
              <w:t>ja</w:t>
            </w:r>
            <w:r>
              <w:rPr>
                <w:b/>
                <w:bCs/>
              </w:rPr>
              <w:t xml:space="preserve"> </w:t>
            </w:r>
            <w:r>
              <w:rPr>
                <w:bCs/>
                <w:szCs w:val="22"/>
              </w:rPr>
              <w:t>toitumishäired</w:t>
            </w:r>
          </w:p>
        </w:tc>
        <w:tc>
          <w:tcPr>
            <w:tcW w:w="173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4DE2C4" w14:textId="77777777" w:rsidR="00A27A6F" w:rsidRDefault="002C0949">
            <w:pPr>
              <w:keepNext/>
              <w:spacing w:line="240" w:lineRule="auto"/>
              <w:rPr>
                <w:bCs/>
                <w:szCs w:val="22"/>
              </w:rPr>
            </w:pPr>
            <w:r>
              <w:rPr>
                <w:bCs/>
                <w:szCs w:val="22"/>
              </w:rPr>
              <w:t>Söögiisu vähenemine</w:t>
            </w:r>
          </w:p>
        </w:tc>
        <w:tc>
          <w:tcPr>
            <w:tcW w:w="1163" w:type="pct"/>
            <w:tcBorders>
              <w:top w:val="single" w:sz="8" w:space="0" w:color="000000"/>
              <w:left w:val="single" w:sz="8" w:space="0" w:color="000000"/>
              <w:bottom w:val="single" w:sz="8" w:space="0" w:color="000000"/>
              <w:right w:val="single" w:sz="8" w:space="0" w:color="000000"/>
            </w:tcBorders>
            <w:hideMark/>
          </w:tcPr>
          <w:p w14:paraId="3F01610E" w14:textId="77777777" w:rsidR="00A27A6F" w:rsidRDefault="002C0949">
            <w:pPr>
              <w:keepNext/>
              <w:spacing w:line="240" w:lineRule="auto"/>
              <w:ind w:left="232"/>
              <w:rPr>
                <w:bCs/>
                <w:szCs w:val="22"/>
              </w:rPr>
            </w:pPr>
            <w:r>
              <w:rPr>
                <w:bCs/>
                <w:szCs w:val="22"/>
              </w:rPr>
              <w:t>Aeg-ajalt</w:t>
            </w:r>
          </w:p>
        </w:tc>
      </w:tr>
      <w:tr w:rsidR="00A27A6F" w14:paraId="32DCE39A" w14:textId="77777777">
        <w:tc>
          <w:tcPr>
            <w:tcW w:w="20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1D23912" w14:textId="77777777" w:rsidR="00A27A6F" w:rsidRDefault="002C0949">
            <w:pPr>
              <w:keepNext/>
              <w:spacing w:line="240" w:lineRule="auto"/>
              <w:rPr>
                <w:bCs/>
                <w:szCs w:val="22"/>
              </w:rPr>
            </w:pPr>
            <w:r>
              <w:rPr>
                <w:bCs/>
                <w:szCs w:val="22"/>
              </w:rPr>
              <w:t>Närvisüsteemi</w:t>
            </w:r>
            <w:r>
              <w:rPr>
                <w:b/>
                <w:bCs/>
              </w:rPr>
              <w:t xml:space="preserve"> </w:t>
            </w:r>
            <w:r>
              <w:rPr>
                <w:bCs/>
                <w:szCs w:val="22"/>
              </w:rPr>
              <w:t>häired</w:t>
            </w:r>
          </w:p>
        </w:tc>
        <w:tc>
          <w:tcPr>
            <w:tcW w:w="173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E408BB" w14:textId="77777777" w:rsidR="00A27A6F" w:rsidRDefault="002C0949">
            <w:pPr>
              <w:keepNext/>
              <w:spacing w:line="240" w:lineRule="auto"/>
              <w:rPr>
                <w:bCs/>
                <w:szCs w:val="22"/>
              </w:rPr>
            </w:pPr>
            <w:r>
              <w:rPr>
                <w:bCs/>
                <w:szCs w:val="22"/>
              </w:rPr>
              <w:t>Peavalu</w:t>
            </w:r>
          </w:p>
          <w:p w14:paraId="5F2FD9AE" w14:textId="77777777" w:rsidR="00A27A6F" w:rsidRDefault="002C0949">
            <w:pPr>
              <w:keepNext/>
              <w:spacing w:line="240" w:lineRule="auto"/>
              <w:rPr>
                <w:bCs/>
                <w:szCs w:val="22"/>
              </w:rPr>
            </w:pPr>
            <w:r>
              <w:rPr>
                <w:bCs/>
                <w:szCs w:val="22"/>
              </w:rPr>
              <w:t>Pearinglus</w:t>
            </w:r>
          </w:p>
          <w:p w14:paraId="49BEE0C5" w14:textId="77777777" w:rsidR="00A27A6F" w:rsidRDefault="002C0949">
            <w:pPr>
              <w:keepNext/>
              <w:spacing w:line="240" w:lineRule="auto"/>
              <w:rPr>
                <w:bCs/>
                <w:szCs w:val="22"/>
              </w:rPr>
            </w:pPr>
            <w:r>
              <w:rPr>
                <w:bCs/>
                <w:szCs w:val="22"/>
              </w:rPr>
              <w:t>Maitsetundlikkuse häired</w:t>
            </w:r>
          </w:p>
        </w:tc>
        <w:tc>
          <w:tcPr>
            <w:tcW w:w="1163" w:type="pct"/>
            <w:tcBorders>
              <w:top w:val="single" w:sz="8" w:space="0" w:color="000000"/>
              <w:left w:val="single" w:sz="8" w:space="0" w:color="000000"/>
              <w:bottom w:val="single" w:sz="8" w:space="0" w:color="000000"/>
              <w:right w:val="single" w:sz="8" w:space="0" w:color="000000"/>
            </w:tcBorders>
            <w:hideMark/>
          </w:tcPr>
          <w:p w14:paraId="3AC1C95F" w14:textId="77777777" w:rsidR="00A27A6F" w:rsidRDefault="002C0949">
            <w:pPr>
              <w:keepNext/>
              <w:spacing w:line="240" w:lineRule="auto"/>
              <w:ind w:left="232"/>
              <w:rPr>
                <w:bCs/>
                <w:szCs w:val="22"/>
              </w:rPr>
            </w:pPr>
            <w:r>
              <w:rPr>
                <w:bCs/>
                <w:szCs w:val="22"/>
              </w:rPr>
              <w:t>Sage</w:t>
            </w:r>
          </w:p>
          <w:p w14:paraId="37571941" w14:textId="77777777" w:rsidR="00A27A6F" w:rsidRDefault="002C0949">
            <w:pPr>
              <w:keepNext/>
              <w:spacing w:line="240" w:lineRule="auto"/>
              <w:ind w:left="232"/>
              <w:rPr>
                <w:bCs/>
                <w:szCs w:val="22"/>
              </w:rPr>
            </w:pPr>
            <w:r>
              <w:rPr>
                <w:bCs/>
                <w:szCs w:val="22"/>
              </w:rPr>
              <w:t>Aeg-ajalt</w:t>
            </w:r>
          </w:p>
          <w:p w14:paraId="2370A0FE" w14:textId="77777777" w:rsidR="00A27A6F" w:rsidRDefault="002C0949">
            <w:pPr>
              <w:keepNext/>
              <w:spacing w:line="240" w:lineRule="auto"/>
              <w:ind w:left="232"/>
              <w:rPr>
                <w:bCs/>
                <w:szCs w:val="22"/>
              </w:rPr>
            </w:pPr>
            <w:r>
              <w:rPr>
                <w:bCs/>
                <w:szCs w:val="22"/>
              </w:rPr>
              <w:t>Aeg-ajalt</w:t>
            </w:r>
          </w:p>
        </w:tc>
      </w:tr>
      <w:tr w:rsidR="00A27A6F" w14:paraId="510ACFB6" w14:textId="77777777">
        <w:trPr>
          <w:trHeight w:val="242"/>
        </w:trPr>
        <w:tc>
          <w:tcPr>
            <w:tcW w:w="2099" w:type="pct"/>
            <w:tcBorders>
              <w:top w:val="single" w:sz="8" w:space="0" w:color="000000"/>
              <w:left w:val="single" w:sz="8" w:space="0" w:color="000000"/>
              <w:bottom w:val="nil"/>
              <w:right w:val="single" w:sz="8" w:space="0" w:color="000000"/>
            </w:tcBorders>
            <w:tcMar>
              <w:top w:w="15" w:type="dxa"/>
              <w:left w:w="108" w:type="dxa"/>
              <w:bottom w:w="0" w:type="dxa"/>
              <w:right w:w="108" w:type="dxa"/>
            </w:tcMar>
            <w:hideMark/>
          </w:tcPr>
          <w:p w14:paraId="5F144EAE" w14:textId="77777777" w:rsidR="00A27A6F" w:rsidRDefault="002C0949">
            <w:pPr>
              <w:keepNext/>
              <w:spacing w:line="240" w:lineRule="auto"/>
              <w:rPr>
                <w:bCs/>
                <w:szCs w:val="22"/>
              </w:rPr>
            </w:pPr>
            <w:r>
              <w:rPr>
                <w:bCs/>
                <w:szCs w:val="22"/>
              </w:rPr>
              <w:t>Südame häired</w:t>
            </w:r>
          </w:p>
        </w:tc>
        <w:tc>
          <w:tcPr>
            <w:tcW w:w="1738" w:type="pct"/>
            <w:tcBorders>
              <w:top w:val="single" w:sz="8" w:space="0" w:color="000000"/>
              <w:left w:val="single" w:sz="8" w:space="0" w:color="000000"/>
              <w:bottom w:val="nil"/>
              <w:right w:val="single" w:sz="8" w:space="0" w:color="000000"/>
            </w:tcBorders>
            <w:tcMar>
              <w:top w:w="15" w:type="dxa"/>
              <w:left w:w="108" w:type="dxa"/>
              <w:bottom w:w="0" w:type="dxa"/>
              <w:right w:w="108" w:type="dxa"/>
            </w:tcMar>
            <w:hideMark/>
          </w:tcPr>
          <w:p w14:paraId="291B4AD8" w14:textId="77777777" w:rsidR="00A27A6F" w:rsidRDefault="002C0949">
            <w:pPr>
              <w:keepNext/>
              <w:spacing w:line="240" w:lineRule="auto"/>
              <w:rPr>
                <w:bCs/>
                <w:szCs w:val="22"/>
              </w:rPr>
            </w:pPr>
            <w:proofErr w:type="spellStart"/>
            <w:r>
              <w:rPr>
                <w:bCs/>
                <w:szCs w:val="22"/>
              </w:rPr>
              <w:t>Palpitatsioonid</w:t>
            </w:r>
            <w:proofErr w:type="spellEnd"/>
          </w:p>
        </w:tc>
        <w:tc>
          <w:tcPr>
            <w:tcW w:w="1163" w:type="pct"/>
            <w:tcBorders>
              <w:top w:val="single" w:sz="8" w:space="0" w:color="000000"/>
              <w:left w:val="single" w:sz="8" w:space="0" w:color="000000"/>
              <w:bottom w:val="nil"/>
              <w:right w:val="single" w:sz="8" w:space="0" w:color="000000"/>
            </w:tcBorders>
            <w:hideMark/>
          </w:tcPr>
          <w:p w14:paraId="17130DF3" w14:textId="77777777" w:rsidR="00A27A6F" w:rsidRDefault="002C0949">
            <w:pPr>
              <w:keepNext/>
              <w:spacing w:line="240" w:lineRule="auto"/>
              <w:ind w:left="232"/>
              <w:rPr>
                <w:bCs/>
                <w:szCs w:val="22"/>
              </w:rPr>
            </w:pPr>
            <w:r>
              <w:rPr>
                <w:bCs/>
                <w:szCs w:val="22"/>
              </w:rPr>
              <w:t>Aeg-ajalt</w:t>
            </w:r>
          </w:p>
        </w:tc>
      </w:tr>
      <w:tr w:rsidR="00A27A6F" w14:paraId="082634BB" w14:textId="77777777">
        <w:tc>
          <w:tcPr>
            <w:tcW w:w="20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6CF47F2" w14:textId="77777777" w:rsidR="00A27A6F" w:rsidRDefault="002C0949">
            <w:pPr>
              <w:keepNext/>
              <w:spacing w:line="240" w:lineRule="auto"/>
              <w:rPr>
                <w:bCs/>
                <w:szCs w:val="22"/>
              </w:rPr>
            </w:pPr>
            <w:r>
              <w:rPr>
                <w:bCs/>
                <w:szCs w:val="22"/>
              </w:rPr>
              <w:t>Vaskulaarsed häired</w:t>
            </w:r>
          </w:p>
        </w:tc>
        <w:tc>
          <w:tcPr>
            <w:tcW w:w="173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907C5AF" w14:textId="77777777" w:rsidR="00A27A6F" w:rsidRDefault="002C0949">
            <w:pPr>
              <w:keepNext/>
              <w:spacing w:line="240" w:lineRule="auto"/>
              <w:rPr>
                <w:bCs/>
                <w:szCs w:val="22"/>
              </w:rPr>
            </w:pPr>
            <w:r>
              <w:rPr>
                <w:bCs/>
                <w:szCs w:val="22"/>
              </w:rPr>
              <w:t>Hüpotensioon</w:t>
            </w:r>
          </w:p>
        </w:tc>
        <w:tc>
          <w:tcPr>
            <w:tcW w:w="1163" w:type="pct"/>
            <w:tcBorders>
              <w:top w:val="single" w:sz="8" w:space="0" w:color="000000"/>
              <w:left w:val="single" w:sz="8" w:space="0" w:color="000000"/>
              <w:bottom w:val="single" w:sz="8" w:space="0" w:color="000000"/>
              <w:right w:val="single" w:sz="8" w:space="0" w:color="000000"/>
            </w:tcBorders>
            <w:hideMark/>
          </w:tcPr>
          <w:p w14:paraId="3A37C24F" w14:textId="77777777" w:rsidR="00A27A6F" w:rsidRDefault="002C0949">
            <w:pPr>
              <w:keepNext/>
              <w:spacing w:line="240" w:lineRule="auto"/>
              <w:ind w:left="232"/>
              <w:rPr>
                <w:bCs/>
                <w:szCs w:val="22"/>
              </w:rPr>
            </w:pPr>
            <w:r>
              <w:rPr>
                <w:bCs/>
                <w:szCs w:val="22"/>
              </w:rPr>
              <w:t>Aeg-ajalt</w:t>
            </w:r>
          </w:p>
        </w:tc>
      </w:tr>
      <w:tr w:rsidR="00A27A6F" w14:paraId="6ED564BA" w14:textId="77777777">
        <w:tc>
          <w:tcPr>
            <w:tcW w:w="20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CC1B038" w14:textId="77777777" w:rsidR="00A27A6F" w:rsidRDefault="002C0949">
            <w:pPr>
              <w:keepNext/>
              <w:spacing w:line="240" w:lineRule="auto"/>
              <w:rPr>
                <w:bCs/>
                <w:szCs w:val="22"/>
              </w:rPr>
            </w:pPr>
            <w:r>
              <w:rPr>
                <w:bCs/>
                <w:szCs w:val="22"/>
              </w:rPr>
              <w:t>Seedetrakti</w:t>
            </w:r>
            <w:r>
              <w:rPr>
                <w:b/>
                <w:bCs/>
              </w:rPr>
              <w:t xml:space="preserve"> </w:t>
            </w:r>
            <w:r>
              <w:rPr>
                <w:bCs/>
                <w:szCs w:val="22"/>
              </w:rPr>
              <w:t>häired</w:t>
            </w:r>
          </w:p>
        </w:tc>
        <w:tc>
          <w:tcPr>
            <w:tcW w:w="173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D92165A" w14:textId="77777777" w:rsidR="00A27A6F" w:rsidRDefault="002C0949">
            <w:pPr>
              <w:keepNext/>
              <w:spacing w:line="240" w:lineRule="auto"/>
              <w:rPr>
                <w:bCs/>
                <w:szCs w:val="22"/>
              </w:rPr>
            </w:pPr>
            <w:r>
              <w:rPr>
                <w:bCs/>
                <w:szCs w:val="22"/>
              </w:rPr>
              <w:t>Suu paresteesia</w:t>
            </w:r>
          </w:p>
          <w:p w14:paraId="18707BE0" w14:textId="77777777" w:rsidR="00A27A6F" w:rsidRDefault="002C0949">
            <w:pPr>
              <w:keepNext/>
              <w:spacing w:line="240" w:lineRule="auto"/>
              <w:rPr>
                <w:bCs/>
                <w:szCs w:val="22"/>
              </w:rPr>
            </w:pPr>
            <w:r>
              <w:rPr>
                <w:bCs/>
                <w:szCs w:val="22"/>
              </w:rPr>
              <w:t>Halb hingeõhk</w:t>
            </w:r>
          </w:p>
        </w:tc>
        <w:tc>
          <w:tcPr>
            <w:tcW w:w="1163" w:type="pct"/>
            <w:tcBorders>
              <w:top w:val="single" w:sz="8" w:space="0" w:color="000000"/>
              <w:left w:val="single" w:sz="8" w:space="0" w:color="000000"/>
              <w:bottom w:val="single" w:sz="8" w:space="0" w:color="000000"/>
              <w:right w:val="single" w:sz="8" w:space="0" w:color="000000"/>
            </w:tcBorders>
            <w:hideMark/>
          </w:tcPr>
          <w:p w14:paraId="2E4CF98C" w14:textId="77777777" w:rsidR="00A27A6F" w:rsidRDefault="002C0949">
            <w:pPr>
              <w:keepNext/>
              <w:spacing w:line="240" w:lineRule="auto"/>
              <w:ind w:left="232"/>
              <w:rPr>
                <w:bCs/>
                <w:szCs w:val="22"/>
              </w:rPr>
            </w:pPr>
            <w:r>
              <w:rPr>
                <w:bCs/>
                <w:szCs w:val="22"/>
              </w:rPr>
              <w:t>Sage</w:t>
            </w:r>
          </w:p>
          <w:p w14:paraId="5A0E3A0A" w14:textId="77777777" w:rsidR="00A27A6F" w:rsidRDefault="002C0949">
            <w:pPr>
              <w:keepNext/>
              <w:spacing w:line="240" w:lineRule="auto"/>
              <w:ind w:left="232"/>
              <w:rPr>
                <w:bCs/>
                <w:szCs w:val="22"/>
              </w:rPr>
            </w:pPr>
            <w:r>
              <w:rPr>
                <w:bCs/>
                <w:szCs w:val="22"/>
              </w:rPr>
              <w:t>Aeg-ajalt</w:t>
            </w:r>
          </w:p>
        </w:tc>
      </w:tr>
      <w:tr w:rsidR="00A27A6F" w14:paraId="2859A9B8" w14:textId="77777777">
        <w:trPr>
          <w:trHeight w:val="233"/>
        </w:trPr>
        <w:tc>
          <w:tcPr>
            <w:tcW w:w="20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B861E46" w14:textId="77777777" w:rsidR="00A27A6F" w:rsidRDefault="002C0949">
            <w:pPr>
              <w:keepNext/>
              <w:spacing w:line="240" w:lineRule="auto"/>
              <w:rPr>
                <w:bCs/>
                <w:szCs w:val="22"/>
              </w:rPr>
            </w:pPr>
            <w:r>
              <w:rPr>
                <w:bCs/>
                <w:szCs w:val="22"/>
              </w:rPr>
              <w:t>Neerude ja kuseteede häired</w:t>
            </w:r>
          </w:p>
        </w:tc>
        <w:tc>
          <w:tcPr>
            <w:tcW w:w="173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34409B8" w14:textId="77777777" w:rsidR="00A27A6F" w:rsidRDefault="002C0949">
            <w:pPr>
              <w:keepNext/>
              <w:spacing w:line="240" w:lineRule="auto"/>
              <w:rPr>
                <w:bCs/>
                <w:szCs w:val="22"/>
              </w:rPr>
            </w:pPr>
            <w:r>
              <w:rPr>
                <w:bCs/>
                <w:szCs w:val="22"/>
              </w:rPr>
              <w:t xml:space="preserve">Obstruktiivne </w:t>
            </w:r>
            <w:proofErr w:type="spellStart"/>
            <w:r>
              <w:rPr>
                <w:bCs/>
                <w:szCs w:val="22"/>
              </w:rPr>
              <w:t>uropaatia</w:t>
            </w:r>
            <w:proofErr w:type="spellEnd"/>
          </w:p>
          <w:p w14:paraId="5435AAB7" w14:textId="77777777" w:rsidR="00A27A6F" w:rsidRDefault="002C0949">
            <w:pPr>
              <w:keepNext/>
              <w:spacing w:line="240" w:lineRule="auto"/>
              <w:rPr>
                <w:bCs/>
                <w:szCs w:val="22"/>
              </w:rPr>
            </w:pPr>
            <w:r>
              <w:rPr>
                <w:bCs/>
                <w:szCs w:val="22"/>
              </w:rPr>
              <w:t>Hematuuria</w:t>
            </w:r>
          </w:p>
          <w:p w14:paraId="29E30446" w14:textId="77777777" w:rsidR="00A27A6F" w:rsidRDefault="002C0949">
            <w:pPr>
              <w:keepNext/>
              <w:spacing w:line="240" w:lineRule="auto"/>
              <w:rPr>
                <w:bCs/>
                <w:szCs w:val="22"/>
              </w:rPr>
            </w:pPr>
            <w:r>
              <w:rPr>
                <w:bCs/>
                <w:szCs w:val="22"/>
              </w:rPr>
              <w:t>Neeruvoolmed</w:t>
            </w:r>
          </w:p>
        </w:tc>
        <w:tc>
          <w:tcPr>
            <w:tcW w:w="1163" w:type="pct"/>
            <w:tcBorders>
              <w:top w:val="single" w:sz="8" w:space="0" w:color="000000"/>
              <w:left w:val="single" w:sz="8" w:space="0" w:color="000000"/>
              <w:bottom w:val="single" w:sz="8" w:space="0" w:color="000000"/>
              <w:right w:val="single" w:sz="8" w:space="0" w:color="000000"/>
            </w:tcBorders>
            <w:hideMark/>
          </w:tcPr>
          <w:p w14:paraId="0527CA73" w14:textId="77777777" w:rsidR="00A27A6F" w:rsidRDefault="002C0949">
            <w:pPr>
              <w:keepNext/>
              <w:spacing w:line="240" w:lineRule="auto"/>
              <w:ind w:left="232"/>
              <w:rPr>
                <w:bCs/>
                <w:szCs w:val="22"/>
              </w:rPr>
            </w:pPr>
            <w:r>
              <w:rPr>
                <w:bCs/>
                <w:szCs w:val="22"/>
              </w:rPr>
              <w:t>Sage</w:t>
            </w:r>
          </w:p>
          <w:p w14:paraId="628E4929" w14:textId="77777777" w:rsidR="00A27A6F" w:rsidRDefault="002C0949">
            <w:pPr>
              <w:keepNext/>
              <w:spacing w:line="240" w:lineRule="auto"/>
              <w:ind w:left="232"/>
              <w:rPr>
                <w:bCs/>
                <w:szCs w:val="22"/>
              </w:rPr>
            </w:pPr>
            <w:r>
              <w:rPr>
                <w:bCs/>
                <w:szCs w:val="22"/>
              </w:rPr>
              <w:t>Aeg-ajalt</w:t>
            </w:r>
          </w:p>
          <w:p w14:paraId="07998A42" w14:textId="77777777" w:rsidR="00A27A6F" w:rsidRDefault="002C0949">
            <w:pPr>
              <w:keepNext/>
              <w:spacing w:line="240" w:lineRule="auto"/>
              <w:ind w:left="232"/>
              <w:rPr>
                <w:bCs/>
                <w:szCs w:val="22"/>
              </w:rPr>
            </w:pPr>
            <w:r>
              <w:rPr>
                <w:bCs/>
                <w:szCs w:val="22"/>
              </w:rPr>
              <w:t>Aeg-ajalt</w:t>
            </w:r>
          </w:p>
        </w:tc>
      </w:tr>
      <w:tr w:rsidR="00A27A6F" w14:paraId="19537393" w14:textId="77777777">
        <w:trPr>
          <w:trHeight w:val="546"/>
        </w:trPr>
        <w:tc>
          <w:tcPr>
            <w:tcW w:w="2099"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hideMark/>
          </w:tcPr>
          <w:p w14:paraId="12D0C3F9" w14:textId="77777777" w:rsidR="00A27A6F" w:rsidRDefault="002C0949">
            <w:pPr>
              <w:spacing w:line="240" w:lineRule="auto"/>
              <w:rPr>
                <w:bCs/>
                <w:szCs w:val="22"/>
              </w:rPr>
            </w:pPr>
            <w:r>
              <w:rPr>
                <w:bCs/>
                <w:szCs w:val="22"/>
              </w:rPr>
              <w:t>Üldised häired ja manustamiskoha reaktsioonid</w:t>
            </w:r>
          </w:p>
        </w:tc>
        <w:tc>
          <w:tcPr>
            <w:tcW w:w="1738"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hideMark/>
          </w:tcPr>
          <w:p w14:paraId="1CD36432" w14:textId="77777777" w:rsidR="00C92342" w:rsidRDefault="00C92342">
            <w:pPr>
              <w:spacing w:line="240" w:lineRule="auto"/>
              <w:rPr>
                <w:bCs/>
                <w:szCs w:val="22"/>
              </w:rPr>
            </w:pPr>
            <w:proofErr w:type="spellStart"/>
            <w:r>
              <w:rPr>
                <w:bCs/>
                <w:szCs w:val="22"/>
              </w:rPr>
              <w:t>Erüteem</w:t>
            </w:r>
            <w:proofErr w:type="spellEnd"/>
            <w:r>
              <w:rPr>
                <w:bCs/>
                <w:szCs w:val="22"/>
              </w:rPr>
              <w:t xml:space="preserve"> süstekohas</w:t>
            </w:r>
          </w:p>
          <w:p w14:paraId="6DFAEFE9" w14:textId="7E5EFB16" w:rsidR="00A27A6F" w:rsidRDefault="002C0949">
            <w:pPr>
              <w:spacing w:line="240" w:lineRule="auto"/>
              <w:rPr>
                <w:bCs/>
                <w:szCs w:val="22"/>
              </w:rPr>
            </w:pPr>
            <w:r>
              <w:rPr>
                <w:bCs/>
                <w:szCs w:val="22"/>
              </w:rPr>
              <w:t>Väsimus</w:t>
            </w:r>
          </w:p>
          <w:p w14:paraId="03C1B711" w14:textId="54EAEB9A" w:rsidR="00A27A6F" w:rsidRDefault="002C0949">
            <w:pPr>
              <w:spacing w:line="240" w:lineRule="auto"/>
              <w:rPr>
                <w:bCs/>
                <w:szCs w:val="22"/>
              </w:rPr>
            </w:pPr>
            <w:r>
              <w:rPr>
                <w:bCs/>
                <w:szCs w:val="22"/>
              </w:rPr>
              <w:t>Valu infusioonikohas</w:t>
            </w:r>
          </w:p>
        </w:tc>
        <w:tc>
          <w:tcPr>
            <w:tcW w:w="1163" w:type="pct"/>
            <w:tcBorders>
              <w:top w:val="single" w:sz="8" w:space="0" w:color="000000"/>
              <w:left w:val="single" w:sz="8" w:space="0" w:color="000000"/>
              <w:bottom w:val="single" w:sz="4" w:space="0" w:color="auto"/>
              <w:right w:val="single" w:sz="8" w:space="0" w:color="000000"/>
            </w:tcBorders>
            <w:hideMark/>
          </w:tcPr>
          <w:p w14:paraId="65CCCA71" w14:textId="3CD0A2D8" w:rsidR="00C92342" w:rsidRDefault="00C92342">
            <w:pPr>
              <w:spacing w:line="240" w:lineRule="auto"/>
              <w:ind w:left="232"/>
              <w:rPr>
                <w:bCs/>
                <w:szCs w:val="22"/>
              </w:rPr>
            </w:pPr>
            <w:r>
              <w:rPr>
                <w:bCs/>
                <w:szCs w:val="22"/>
              </w:rPr>
              <w:t>Sage</w:t>
            </w:r>
          </w:p>
          <w:p w14:paraId="3998B2C9" w14:textId="7CAF2289" w:rsidR="00A27A6F" w:rsidRDefault="002C0949">
            <w:pPr>
              <w:spacing w:line="240" w:lineRule="auto"/>
              <w:ind w:left="232"/>
              <w:rPr>
                <w:bCs/>
                <w:szCs w:val="22"/>
              </w:rPr>
            </w:pPr>
            <w:r>
              <w:rPr>
                <w:bCs/>
                <w:szCs w:val="22"/>
              </w:rPr>
              <w:t>Aeg-ajalt</w:t>
            </w:r>
          </w:p>
          <w:p w14:paraId="1B43F67A" w14:textId="3F379718" w:rsidR="00A27A6F" w:rsidRDefault="002C0949">
            <w:pPr>
              <w:spacing w:line="240" w:lineRule="auto"/>
              <w:ind w:left="232"/>
              <w:rPr>
                <w:bCs/>
                <w:szCs w:val="22"/>
              </w:rPr>
            </w:pPr>
            <w:r>
              <w:rPr>
                <w:bCs/>
                <w:szCs w:val="22"/>
              </w:rPr>
              <w:t>Aeg-ajalt</w:t>
            </w:r>
          </w:p>
        </w:tc>
      </w:tr>
    </w:tbl>
    <w:p w14:paraId="6B63F46E" w14:textId="01FC8F27" w:rsidR="00A27A6F" w:rsidRDefault="002C0949">
      <w:pPr>
        <w:pStyle w:val="Default"/>
        <w:rPr>
          <w:color w:val="auto"/>
          <w:sz w:val="22"/>
          <w:szCs w:val="22"/>
        </w:rPr>
      </w:pPr>
      <w:r>
        <w:rPr>
          <w:color w:val="auto"/>
          <w:sz w:val="22"/>
          <w:szCs w:val="22"/>
          <w:vertAlign w:val="superscript"/>
        </w:rPr>
        <w:t>1</w:t>
      </w:r>
      <w:r>
        <w:rPr>
          <w:color w:val="auto"/>
          <w:sz w:val="22"/>
          <w:szCs w:val="22"/>
        </w:rPr>
        <w:t xml:space="preserve"> </w:t>
      </w:r>
      <w:r w:rsidR="00F436BD">
        <w:rPr>
          <w:color w:val="auto"/>
          <w:sz w:val="22"/>
          <w:szCs w:val="22"/>
        </w:rPr>
        <w:t>E</w:t>
      </w:r>
      <w:r>
        <w:rPr>
          <w:color w:val="auto"/>
          <w:sz w:val="22"/>
          <w:szCs w:val="22"/>
        </w:rPr>
        <w:t>sinemissagedused põhinevad eelnevalt ravimata patsientide</w:t>
      </w:r>
      <w:r w:rsidR="009E3D5E">
        <w:rPr>
          <w:color w:val="auto"/>
          <w:sz w:val="22"/>
          <w:szCs w:val="22"/>
        </w:rPr>
        <w:t>ga tehtud uuringu andmeil</w:t>
      </w:r>
      <w:r>
        <w:rPr>
          <w:color w:val="auto"/>
          <w:sz w:val="22"/>
          <w:szCs w:val="22"/>
        </w:rPr>
        <w:t>.</w:t>
      </w:r>
      <w:r w:rsidR="009E3D5E">
        <w:rPr>
          <w:color w:val="auto"/>
          <w:sz w:val="22"/>
          <w:szCs w:val="22"/>
        </w:rPr>
        <w:t xml:space="preserve"> </w:t>
      </w:r>
      <w:r>
        <w:rPr>
          <w:color w:val="auto"/>
          <w:sz w:val="22"/>
          <w:szCs w:val="22"/>
        </w:rPr>
        <w:t>Mõlemad IX faktori inhibeerimise juhud ilmnesid ühel eelnevalt ravimata patsiendil</w:t>
      </w:r>
      <w:r w:rsidR="009E3D5E">
        <w:rPr>
          <w:color w:val="auto"/>
          <w:sz w:val="22"/>
          <w:szCs w:val="22"/>
        </w:rPr>
        <w:t xml:space="preserve"> uuringus IV</w:t>
      </w:r>
      <w:r>
        <w:rPr>
          <w:color w:val="auto"/>
          <w:sz w:val="22"/>
          <w:szCs w:val="22"/>
        </w:rPr>
        <w:t>. Vt lõik „Valitud kõrvaltoimete kirjeldus“.</w:t>
      </w:r>
    </w:p>
    <w:p w14:paraId="74A52255" w14:textId="77777777" w:rsidR="00A27A6F" w:rsidRDefault="00A27A6F">
      <w:pPr>
        <w:pStyle w:val="Default"/>
        <w:rPr>
          <w:color w:val="auto"/>
          <w:sz w:val="22"/>
          <w:szCs w:val="22"/>
          <w:u w:val="single"/>
        </w:rPr>
      </w:pPr>
    </w:p>
    <w:p w14:paraId="03D62674" w14:textId="77777777" w:rsidR="00A27A6F" w:rsidRDefault="002C0949">
      <w:pPr>
        <w:pStyle w:val="Default"/>
        <w:keepNext/>
        <w:rPr>
          <w:color w:val="auto"/>
          <w:sz w:val="22"/>
          <w:szCs w:val="22"/>
          <w:u w:val="single"/>
        </w:rPr>
      </w:pPr>
      <w:r>
        <w:rPr>
          <w:color w:val="auto"/>
          <w:sz w:val="22"/>
          <w:szCs w:val="22"/>
          <w:u w:val="single"/>
        </w:rPr>
        <w:t>Valitud kõrvaltoimete kirjeldus</w:t>
      </w:r>
    </w:p>
    <w:p w14:paraId="498DE26B" w14:textId="25E312E9" w:rsidR="00A27A6F" w:rsidRDefault="002C0949">
      <w:pPr>
        <w:pStyle w:val="Default"/>
        <w:rPr>
          <w:color w:val="auto"/>
          <w:sz w:val="22"/>
          <w:szCs w:val="22"/>
        </w:rPr>
      </w:pPr>
      <w:r>
        <w:rPr>
          <w:color w:val="auto"/>
          <w:sz w:val="22"/>
          <w:szCs w:val="22"/>
        </w:rPr>
        <w:t>Kogu kliiniliste uuringute programmis tekkis ühel uuringus IV osalenud patsiendil (eelnevalt ravimata) IX faktori väike tiiter, mida seostati ülitundlikkusega (vt lõik 5.1).</w:t>
      </w:r>
      <w:r w:rsidR="00C92342" w:rsidRPr="00C92342">
        <w:rPr>
          <w:color w:val="auto"/>
          <w:sz w:val="22"/>
          <w:szCs w:val="22"/>
        </w:rPr>
        <w:t xml:space="preserve"> </w:t>
      </w:r>
      <w:proofErr w:type="spellStart"/>
      <w:r w:rsidR="00C92342">
        <w:rPr>
          <w:color w:val="auto"/>
          <w:sz w:val="22"/>
          <w:szCs w:val="22"/>
        </w:rPr>
        <w:t>Turuletulekujärgsel</w:t>
      </w:r>
      <w:proofErr w:type="spellEnd"/>
      <w:r w:rsidR="00C92342">
        <w:rPr>
          <w:color w:val="auto"/>
          <w:sz w:val="22"/>
          <w:szCs w:val="22"/>
        </w:rPr>
        <w:t xml:space="preserve"> kasutamisel on täheldatud IX faktori inhibiitorite tekkimist ja ülitundlikkust (sh </w:t>
      </w:r>
      <w:proofErr w:type="spellStart"/>
      <w:r w:rsidR="00C92342">
        <w:rPr>
          <w:color w:val="auto"/>
          <w:sz w:val="22"/>
          <w:szCs w:val="22"/>
        </w:rPr>
        <w:t>anafülaksiat</w:t>
      </w:r>
      <w:proofErr w:type="spellEnd"/>
      <w:r w:rsidR="00C92342">
        <w:rPr>
          <w:color w:val="auto"/>
          <w:sz w:val="22"/>
          <w:szCs w:val="22"/>
        </w:rPr>
        <w:t>).</w:t>
      </w:r>
    </w:p>
    <w:p w14:paraId="6333F823" w14:textId="77777777" w:rsidR="00A27A6F" w:rsidRDefault="00A27A6F">
      <w:pPr>
        <w:pStyle w:val="Default"/>
        <w:rPr>
          <w:color w:val="auto"/>
          <w:sz w:val="22"/>
          <w:szCs w:val="22"/>
          <w:u w:val="single"/>
        </w:rPr>
      </w:pPr>
    </w:p>
    <w:p w14:paraId="5BC34BAD" w14:textId="77777777" w:rsidR="00A27A6F" w:rsidRDefault="002C0949">
      <w:pPr>
        <w:pStyle w:val="Default"/>
        <w:keepNext/>
        <w:rPr>
          <w:color w:val="auto"/>
          <w:sz w:val="22"/>
          <w:szCs w:val="22"/>
        </w:rPr>
      </w:pPr>
      <w:r>
        <w:rPr>
          <w:color w:val="auto"/>
          <w:sz w:val="22"/>
          <w:szCs w:val="22"/>
          <w:u w:val="single"/>
        </w:rPr>
        <w:lastRenderedPageBreak/>
        <w:t>Lapsed</w:t>
      </w:r>
    </w:p>
    <w:p w14:paraId="6E3B1A70" w14:textId="77777777" w:rsidR="00A27A6F" w:rsidRDefault="002C0949">
      <w:pPr>
        <w:pStyle w:val="Default"/>
        <w:rPr>
          <w:color w:val="auto"/>
          <w:sz w:val="22"/>
          <w:szCs w:val="22"/>
        </w:rPr>
      </w:pPr>
      <w:r>
        <w:rPr>
          <w:color w:val="auto"/>
          <w:sz w:val="22"/>
          <w:szCs w:val="22"/>
        </w:rPr>
        <w:t>Lastel esinevate kõrvaltoimete sagedus, tüüp ja raskusaste on tõenäoliselt sarnane täiskasvanute omaga. Laste ohutuse andmebaasi andmeid kestuse ja ealise kirjelduse kohta vt lõik 5.1.</w:t>
      </w:r>
    </w:p>
    <w:p w14:paraId="6C723EC9" w14:textId="77777777" w:rsidR="00A27A6F" w:rsidRDefault="00A27A6F">
      <w:pPr>
        <w:autoSpaceDE w:val="0"/>
        <w:autoSpaceDN w:val="0"/>
        <w:adjustRightInd w:val="0"/>
        <w:spacing w:line="240" w:lineRule="auto"/>
        <w:rPr>
          <w:bCs/>
          <w:iCs/>
          <w:szCs w:val="22"/>
        </w:rPr>
      </w:pPr>
    </w:p>
    <w:p w14:paraId="75DF87D9" w14:textId="4ED45F28" w:rsidR="00A27A6F" w:rsidRDefault="002C0949">
      <w:pPr>
        <w:keepNext/>
        <w:autoSpaceDE w:val="0"/>
        <w:autoSpaceDN w:val="0"/>
        <w:adjustRightInd w:val="0"/>
        <w:spacing w:line="240" w:lineRule="auto"/>
        <w:rPr>
          <w:szCs w:val="22"/>
          <w:u w:val="single"/>
        </w:rPr>
      </w:pPr>
      <w:r>
        <w:rPr>
          <w:szCs w:val="22"/>
          <w:u w:val="single"/>
        </w:rPr>
        <w:t>Võimalikest kõrvaltoimetest teatamine</w:t>
      </w:r>
    </w:p>
    <w:p w14:paraId="1B6B8027" w14:textId="7C546F43" w:rsidR="00A27A6F" w:rsidRDefault="002C0949">
      <w:pPr>
        <w:autoSpaceDE w:val="0"/>
        <w:autoSpaceDN w:val="0"/>
        <w:adjustRightInd w:val="0"/>
        <w:spacing w:line="240" w:lineRule="auto"/>
        <w:rPr>
          <w:szCs w:val="22"/>
        </w:rPr>
      </w:pPr>
      <w:r>
        <w:rPr>
          <w:szCs w:val="22"/>
        </w:rPr>
        <w:t xml:space="preserve">Ravimi võimalikest kõrvaltoimetest on oluline teatada ka pärast ravimi müügiloa väljastamist. See võimaldab jätkuvalt hinnata ravimi kasu/riski suhet. Tervishoiutöötajatel palutakse kõigist võimalikest </w:t>
      </w:r>
      <w:r w:rsidRPr="00C92342">
        <w:rPr>
          <w:szCs w:val="22"/>
        </w:rPr>
        <w:t xml:space="preserve">kõrvaltoimetest teatada </w:t>
      </w:r>
      <w:r w:rsidRPr="00C92342">
        <w:rPr>
          <w:szCs w:val="22"/>
          <w:shd w:val="clear" w:color="auto" w:fill="BFBFBF"/>
        </w:rPr>
        <w:t xml:space="preserve">riikliku teavitamissüsteemi (vt </w:t>
      </w:r>
      <w:hyperlink r:id="rId12">
        <w:r w:rsidRPr="00C92342">
          <w:rPr>
            <w:rStyle w:val="Hyperlink"/>
            <w:shd w:val="clear" w:color="auto" w:fill="BFBFBF"/>
          </w:rPr>
          <w:t>V lisa)</w:t>
        </w:r>
      </w:hyperlink>
      <w:r w:rsidRPr="00C92342">
        <w:rPr>
          <w:szCs w:val="22"/>
        </w:rPr>
        <w:t xml:space="preserve"> kaudu.</w:t>
      </w:r>
    </w:p>
    <w:p w14:paraId="06201670" w14:textId="77777777" w:rsidR="00A27A6F" w:rsidRDefault="00A27A6F">
      <w:pPr>
        <w:spacing w:line="240" w:lineRule="auto"/>
        <w:rPr>
          <w:szCs w:val="22"/>
        </w:rPr>
      </w:pPr>
    </w:p>
    <w:p w14:paraId="180977FE" w14:textId="77777777" w:rsidR="00A27A6F" w:rsidRDefault="002C0949">
      <w:pPr>
        <w:keepNext/>
        <w:autoSpaceDE w:val="0"/>
        <w:autoSpaceDN w:val="0"/>
        <w:adjustRightInd w:val="0"/>
        <w:spacing w:line="240" w:lineRule="auto"/>
        <w:rPr>
          <w:szCs w:val="22"/>
        </w:rPr>
      </w:pPr>
      <w:r>
        <w:rPr>
          <w:b/>
          <w:szCs w:val="22"/>
        </w:rPr>
        <w:t>4.9</w:t>
      </w:r>
      <w:r>
        <w:rPr>
          <w:b/>
          <w:szCs w:val="22"/>
        </w:rPr>
        <w:tab/>
        <w:t>Üleannustamine</w:t>
      </w:r>
    </w:p>
    <w:p w14:paraId="3E4D12AE" w14:textId="77777777" w:rsidR="00A27A6F" w:rsidRDefault="00A27A6F">
      <w:pPr>
        <w:keepNext/>
        <w:autoSpaceDE w:val="0"/>
        <w:autoSpaceDN w:val="0"/>
        <w:adjustRightInd w:val="0"/>
        <w:spacing w:line="240" w:lineRule="auto"/>
        <w:rPr>
          <w:szCs w:val="22"/>
        </w:rPr>
      </w:pPr>
    </w:p>
    <w:p w14:paraId="2DD27B06" w14:textId="77777777" w:rsidR="00A27A6F" w:rsidRDefault="002C0949">
      <w:pPr>
        <w:spacing w:line="240" w:lineRule="auto"/>
      </w:pPr>
      <w:proofErr w:type="spellStart"/>
      <w:r>
        <w:t>ALPROLIX'i</w:t>
      </w:r>
      <w:proofErr w:type="spellEnd"/>
      <w:r>
        <w:t xml:space="preserve"> toime soovitatust suuremate annuste korral ei ole teada.</w:t>
      </w:r>
    </w:p>
    <w:p w14:paraId="7EC65889" w14:textId="77777777" w:rsidR="00A27A6F" w:rsidRDefault="00A27A6F">
      <w:pPr>
        <w:spacing w:line="240" w:lineRule="auto"/>
      </w:pPr>
    </w:p>
    <w:p w14:paraId="1A3F8B4A" w14:textId="77777777" w:rsidR="00A27A6F" w:rsidRDefault="00A27A6F">
      <w:pPr>
        <w:suppressAutoHyphens/>
        <w:spacing w:line="240" w:lineRule="auto"/>
        <w:ind w:left="567" w:hanging="567"/>
        <w:rPr>
          <w:bCs/>
        </w:rPr>
      </w:pPr>
    </w:p>
    <w:p w14:paraId="12CF51C1" w14:textId="77777777" w:rsidR="00A27A6F" w:rsidRDefault="002C0949">
      <w:pPr>
        <w:keepNext/>
        <w:autoSpaceDE w:val="0"/>
        <w:autoSpaceDN w:val="0"/>
        <w:adjustRightInd w:val="0"/>
        <w:spacing w:line="240" w:lineRule="auto"/>
      </w:pPr>
      <w:r>
        <w:rPr>
          <w:b/>
        </w:rPr>
        <w:t>5.</w:t>
      </w:r>
      <w:r>
        <w:rPr>
          <w:b/>
        </w:rPr>
        <w:tab/>
        <w:t>FARMAKOLOOGILISED OMADUSED</w:t>
      </w:r>
    </w:p>
    <w:p w14:paraId="3680119C" w14:textId="77777777" w:rsidR="00A27A6F" w:rsidRDefault="00A27A6F">
      <w:pPr>
        <w:keepNext/>
        <w:autoSpaceDE w:val="0"/>
        <w:autoSpaceDN w:val="0"/>
        <w:adjustRightInd w:val="0"/>
        <w:spacing w:line="240" w:lineRule="auto"/>
      </w:pPr>
    </w:p>
    <w:p w14:paraId="6A3065DC" w14:textId="3CD6BF0B" w:rsidR="00A27A6F" w:rsidRDefault="002C0949">
      <w:pPr>
        <w:keepNext/>
        <w:autoSpaceDE w:val="0"/>
        <w:autoSpaceDN w:val="0"/>
        <w:adjustRightInd w:val="0"/>
        <w:spacing w:line="240" w:lineRule="auto"/>
      </w:pPr>
      <w:r>
        <w:rPr>
          <w:b/>
        </w:rPr>
        <w:t>5.1</w:t>
      </w:r>
      <w:r>
        <w:rPr>
          <w:b/>
        </w:rPr>
        <w:tab/>
        <w:t>Farmakodünaamilised omadused</w:t>
      </w:r>
    </w:p>
    <w:p w14:paraId="5DC0A11B" w14:textId="77777777" w:rsidR="00A27A6F" w:rsidRDefault="00A27A6F">
      <w:pPr>
        <w:keepNext/>
        <w:autoSpaceDE w:val="0"/>
        <w:autoSpaceDN w:val="0"/>
        <w:adjustRightInd w:val="0"/>
        <w:spacing w:line="240" w:lineRule="auto"/>
      </w:pPr>
    </w:p>
    <w:p w14:paraId="41F17023" w14:textId="77777777" w:rsidR="00A27A6F" w:rsidRDefault="002C0949">
      <w:pPr>
        <w:spacing w:line="240" w:lineRule="auto"/>
        <w:rPr>
          <w:szCs w:val="22"/>
        </w:rPr>
      </w:pPr>
      <w:r>
        <w:rPr>
          <w:szCs w:val="22"/>
        </w:rPr>
        <w:t>Farmakoterapeutiline rühm: verejooksu tõkestavad ained, IX hüübimisfaktor; ATC</w:t>
      </w:r>
      <w:r>
        <w:rPr>
          <w:szCs w:val="22"/>
        </w:rPr>
        <w:noBreakHyphen/>
        <w:t>kood: B02BD04</w:t>
      </w:r>
    </w:p>
    <w:p w14:paraId="6667B4B2" w14:textId="77777777" w:rsidR="00A27A6F" w:rsidRDefault="00A27A6F">
      <w:pPr>
        <w:spacing w:line="240" w:lineRule="auto"/>
        <w:rPr>
          <w:szCs w:val="22"/>
        </w:rPr>
      </w:pPr>
    </w:p>
    <w:p w14:paraId="338C0388" w14:textId="77777777" w:rsidR="00A27A6F" w:rsidRDefault="002C0949">
      <w:pPr>
        <w:keepNext/>
        <w:autoSpaceDE w:val="0"/>
        <w:autoSpaceDN w:val="0"/>
        <w:adjustRightInd w:val="0"/>
        <w:spacing w:line="240" w:lineRule="auto"/>
        <w:rPr>
          <w:szCs w:val="22"/>
          <w:u w:val="single"/>
        </w:rPr>
      </w:pPr>
      <w:r>
        <w:rPr>
          <w:szCs w:val="22"/>
          <w:u w:val="single"/>
        </w:rPr>
        <w:t>Toimemehhanism</w:t>
      </w:r>
    </w:p>
    <w:p w14:paraId="44ED31FA" w14:textId="1DD86CEF" w:rsidR="00C92342" w:rsidRDefault="002C0949">
      <w:pPr>
        <w:autoSpaceDE w:val="0"/>
        <w:autoSpaceDN w:val="0"/>
        <w:adjustRightInd w:val="0"/>
        <w:spacing w:line="240" w:lineRule="auto"/>
      </w:pPr>
      <w:r>
        <w:t xml:space="preserve">IX faktor on </w:t>
      </w:r>
      <w:proofErr w:type="spellStart"/>
      <w:r>
        <w:t>üheahelaline</w:t>
      </w:r>
      <w:proofErr w:type="spellEnd"/>
      <w:r>
        <w:t xml:space="preserve"> </w:t>
      </w:r>
      <w:proofErr w:type="spellStart"/>
      <w:r>
        <w:t>glükovalk</w:t>
      </w:r>
      <w:proofErr w:type="spellEnd"/>
      <w:r>
        <w:t xml:space="preserve">, mille molekulmass on ligikaudu </w:t>
      </w:r>
      <w:r w:rsidR="00C92342">
        <w:t>55</w:t>
      </w:r>
      <w:r>
        <w:t> 000 </w:t>
      </w:r>
      <w:proofErr w:type="spellStart"/>
      <w:r>
        <w:t>daltonit</w:t>
      </w:r>
      <w:proofErr w:type="spellEnd"/>
      <w:r>
        <w:t>. See on K</w:t>
      </w:r>
      <w:r>
        <w:noBreakHyphen/>
        <w:t xml:space="preserve">vitamiinist sõltuv hüübimisfaktor. IX faktor aktiveerub </w:t>
      </w:r>
      <w:proofErr w:type="spellStart"/>
      <w:r>
        <w:t>XIa</w:t>
      </w:r>
      <w:proofErr w:type="spellEnd"/>
      <w:r>
        <w:t xml:space="preserve"> faktori vahendusel hüübimissüsteemi sisemisel rajal ning VII faktori/koefaktori kompleksi vahendusel hüübimissüsteemi välimisel rajal. Aktiveeritud IX faktor kombinatsioonis aktiveeritud VIII faktoriga aktiveerib X faktori. Aktiveeritud X faktor konverteerib protrombiini trombiiniks. Seejärel konverteerib </w:t>
      </w:r>
      <w:proofErr w:type="spellStart"/>
      <w:r>
        <w:t>trombiin</w:t>
      </w:r>
      <w:proofErr w:type="spellEnd"/>
      <w:r>
        <w:t xml:space="preserve"> </w:t>
      </w:r>
      <w:proofErr w:type="spellStart"/>
      <w:r>
        <w:t>fibrinogeeni</w:t>
      </w:r>
      <w:proofErr w:type="spellEnd"/>
      <w:r>
        <w:t xml:space="preserve"> </w:t>
      </w:r>
      <w:proofErr w:type="spellStart"/>
      <w:r>
        <w:t>fibriiniks</w:t>
      </w:r>
      <w:proofErr w:type="spellEnd"/>
      <w:r>
        <w:t xml:space="preserve"> ja moodustub hüüve. </w:t>
      </w:r>
    </w:p>
    <w:p w14:paraId="1D703D58" w14:textId="12D7C4B9" w:rsidR="00A27A6F" w:rsidRDefault="002C0949">
      <w:pPr>
        <w:autoSpaceDE w:val="0"/>
        <w:autoSpaceDN w:val="0"/>
        <w:adjustRightInd w:val="0"/>
        <w:spacing w:line="240" w:lineRule="auto"/>
      </w:pPr>
      <w:r>
        <w:t>B</w:t>
      </w:r>
      <w:r>
        <w:noBreakHyphen/>
        <w:t xml:space="preserve">hemofiilia on </w:t>
      </w:r>
      <w:proofErr w:type="spellStart"/>
      <w:r w:rsidR="005E6424">
        <w:t>sugu</w:t>
      </w:r>
      <w:r>
        <w:t>liiteline</w:t>
      </w:r>
      <w:proofErr w:type="spellEnd"/>
      <w:r>
        <w:t xml:space="preserve"> pärilik verehüübesüsteemi haigus, mida põhjustab IX faktori madal tase ning mille tagajärjel tekivad verejooksud liigestes, lihastes või siseorganites, kas spontaanselt või traumade/operatsioonide tagajärjel. Asendusraviga tõstetakse IX faktori sisaldust plasmas, misläbi korrigeeritakse ajutiselt faktori puudulikkus ning veritsuskalduvused.</w:t>
      </w:r>
    </w:p>
    <w:p w14:paraId="75EE10A3" w14:textId="77777777" w:rsidR="00A27A6F" w:rsidRDefault="00A27A6F">
      <w:pPr>
        <w:autoSpaceDE w:val="0"/>
        <w:autoSpaceDN w:val="0"/>
        <w:adjustRightInd w:val="0"/>
        <w:spacing w:line="240" w:lineRule="auto"/>
      </w:pPr>
    </w:p>
    <w:p w14:paraId="49013BD8" w14:textId="77777777" w:rsidR="00A27A6F" w:rsidRDefault="002C0949">
      <w:pPr>
        <w:autoSpaceDE w:val="0"/>
        <w:autoSpaceDN w:val="0"/>
        <w:adjustRightInd w:val="0"/>
        <w:spacing w:line="240" w:lineRule="auto"/>
      </w:pPr>
      <w:r>
        <w:t>ALPROLIX (</w:t>
      </w:r>
      <w:proofErr w:type="spellStart"/>
      <w:r>
        <w:t>alfaeftrenonakog</w:t>
      </w:r>
      <w:proofErr w:type="spellEnd"/>
      <w:r>
        <w:t xml:space="preserve">) on pikatoimeline, täielikult </w:t>
      </w:r>
      <w:proofErr w:type="spellStart"/>
      <w:r>
        <w:t>rekombinantne</w:t>
      </w:r>
      <w:proofErr w:type="spellEnd"/>
      <w:r>
        <w:t xml:space="preserve"> fusioonvalk, mis sisaldab inimese IX hüübimisfaktorit, mis on </w:t>
      </w:r>
      <w:proofErr w:type="spellStart"/>
      <w:r>
        <w:t>kovalentselt</w:t>
      </w:r>
      <w:proofErr w:type="spellEnd"/>
      <w:r>
        <w:t xml:space="preserve"> seotud inimese immuunglobuliin G1 </w:t>
      </w:r>
      <w:proofErr w:type="spellStart"/>
      <w:r>
        <w:t>Fc</w:t>
      </w:r>
      <w:proofErr w:type="spellEnd"/>
      <w:r>
        <w:t xml:space="preserve"> domeeniga ning toodetud </w:t>
      </w:r>
      <w:proofErr w:type="spellStart"/>
      <w:r>
        <w:t>rekombinantse</w:t>
      </w:r>
      <w:proofErr w:type="spellEnd"/>
      <w:r>
        <w:t xml:space="preserve"> DNA</w:t>
      </w:r>
      <w:r>
        <w:noBreakHyphen/>
        <w:t xml:space="preserve">tehnoloogia abil. </w:t>
      </w:r>
    </w:p>
    <w:p w14:paraId="4F61A668" w14:textId="77777777" w:rsidR="00A27A6F" w:rsidRDefault="00A27A6F">
      <w:pPr>
        <w:autoSpaceDE w:val="0"/>
        <w:autoSpaceDN w:val="0"/>
        <w:adjustRightInd w:val="0"/>
        <w:spacing w:line="240" w:lineRule="auto"/>
      </w:pPr>
    </w:p>
    <w:p w14:paraId="7039D4EC" w14:textId="77777777" w:rsidR="00A27A6F" w:rsidRDefault="002C0949">
      <w:pPr>
        <w:autoSpaceDE w:val="0"/>
        <w:autoSpaceDN w:val="0"/>
        <w:adjustRightInd w:val="0"/>
        <w:spacing w:line="240" w:lineRule="auto"/>
      </w:pPr>
      <w:r>
        <w:t xml:space="preserve">Inimese immuunglobuliini G1 </w:t>
      </w:r>
      <w:proofErr w:type="spellStart"/>
      <w:r>
        <w:t>Fc</w:t>
      </w:r>
      <w:proofErr w:type="spellEnd"/>
      <w:r>
        <w:t xml:space="preserve"> regioon seondub </w:t>
      </w:r>
      <w:proofErr w:type="spellStart"/>
      <w:r>
        <w:t>neonataalse</w:t>
      </w:r>
      <w:proofErr w:type="spellEnd"/>
      <w:r>
        <w:t xml:space="preserve"> </w:t>
      </w:r>
      <w:proofErr w:type="spellStart"/>
      <w:r>
        <w:t>Fc</w:t>
      </w:r>
      <w:proofErr w:type="spellEnd"/>
      <w:r>
        <w:t xml:space="preserve"> retseptoriga. Seda retseptorit </w:t>
      </w:r>
      <w:proofErr w:type="spellStart"/>
      <w:r>
        <w:t>ekspresseeritakse</w:t>
      </w:r>
      <w:proofErr w:type="spellEnd"/>
      <w:r>
        <w:t xml:space="preserve"> kogu elu osana loomulikult toimivast protsessist, mis kaitseb immuunglobuliine </w:t>
      </w:r>
      <w:proofErr w:type="spellStart"/>
      <w:r>
        <w:t>lüsosomaalse</w:t>
      </w:r>
      <w:proofErr w:type="spellEnd"/>
      <w:r>
        <w:t xml:space="preserve"> degradeerumise eest, suunates neid valke tagasi vereringesse. Selle tagajärjel on nende poolväärtusaeg plasmas pikk.</w:t>
      </w:r>
    </w:p>
    <w:p w14:paraId="75AA4636" w14:textId="77777777" w:rsidR="00A27A6F" w:rsidRDefault="00A27A6F">
      <w:pPr>
        <w:autoSpaceDE w:val="0"/>
        <w:autoSpaceDN w:val="0"/>
        <w:adjustRightInd w:val="0"/>
        <w:spacing w:line="240" w:lineRule="auto"/>
        <w:rPr>
          <w:szCs w:val="22"/>
        </w:rPr>
      </w:pPr>
    </w:p>
    <w:p w14:paraId="205475C9" w14:textId="77777777" w:rsidR="00A27A6F" w:rsidRDefault="002C0949">
      <w:pPr>
        <w:keepNext/>
        <w:autoSpaceDE w:val="0"/>
        <w:autoSpaceDN w:val="0"/>
        <w:adjustRightInd w:val="0"/>
        <w:spacing w:line="240" w:lineRule="auto"/>
        <w:rPr>
          <w:u w:val="single"/>
        </w:rPr>
      </w:pPr>
      <w:r>
        <w:rPr>
          <w:u w:val="single"/>
        </w:rPr>
        <w:t>Kliiniline efektiivsus ja ohutus</w:t>
      </w:r>
    </w:p>
    <w:p w14:paraId="633776B6" w14:textId="156BD1C1" w:rsidR="00A27A6F" w:rsidRDefault="002C0949">
      <w:pPr>
        <w:autoSpaceDE w:val="0"/>
        <w:autoSpaceDN w:val="0"/>
        <w:adjustRightInd w:val="0"/>
        <w:spacing w:line="240" w:lineRule="auto"/>
      </w:pPr>
      <w:proofErr w:type="spellStart"/>
      <w:r>
        <w:t>ALPROLIX’i</w:t>
      </w:r>
      <w:proofErr w:type="spellEnd"/>
      <w:r>
        <w:t xml:space="preserve"> ohutust, efektiivsust ja farmakokineetikat on hinnatud 2 </w:t>
      </w:r>
      <w:proofErr w:type="spellStart"/>
      <w:r>
        <w:t>paljurahvuselises</w:t>
      </w:r>
      <w:proofErr w:type="spellEnd"/>
      <w:r>
        <w:t xml:space="preserve"> avatud keskses uuringus eelnevalt ravitud patsientidel: III faasi uuring täiskasvanutel ja noorukitel, edaspidi uuring I, ja III faasi uuring lastel, edaspidi uuring II (vt „Lapsed“). </w:t>
      </w:r>
      <w:proofErr w:type="spellStart"/>
      <w:r>
        <w:t>ALPROLIX’i</w:t>
      </w:r>
      <w:proofErr w:type="spellEnd"/>
      <w:r>
        <w:t xml:space="preserve"> ohutust ja efektiivsust hinnati ka </w:t>
      </w:r>
      <w:r w:rsidRPr="00A63BDD">
        <w:t>raske B</w:t>
      </w:r>
      <w:r w:rsidRPr="00A63BDD">
        <w:noBreakHyphen/>
        <w:t>hemofiiliaga</w:t>
      </w:r>
      <w:r>
        <w:t>, eelnevalt ravimata patsientidel (uuring IV), vt „Lapsed“.</w:t>
      </w:r>
    </w:p>
    <w:p w14:paraId="61D20406" w14:textId="77777777" w:rsidR="00A27A6F" w:rsidRDefault="00A27A6F">
      <w:pPr>
        <w:autoSpaceDE w:val="0"/>
        <w:autoSpaceDN w:val="0"/>
        <w:adjustRightInd w:val="0"/>
        <w:spacing w:line="240" w:lineRule="auto"/>
      </w:pPr>
    </w:p>
    <w:p w14:paraId="50F14733" w14:textId="4EE0C9E1" w:rsidR="00A27A6F" w:rsidRDefault="002C0949">
      <w:pPr>
        <w:autoSpaceDE w:val="0"/>
        <w:autoSpaceDN w:val="0"/>
        <w:adjustRightInd w:val="0"/>
        <w:spacing w:line="240" w:lineRule="auto"/>
      </w:pPr>
      <w:r>
        <w:t>Uuringus I võrreldi 2 </w:t>
      </w:r>
      <w:bookmarkStart w:id="0" w:name="_Hlk44919015"/>
      <w:r>
        <w:t xml:space="preserve">profülaktilist raviskeemi </w:t>
      </w:r>
      <w:bookmarkEnd w:id="0"/>
      <w:r>
        <w:t>(mõlemat eraldi, 50 RÜ/kg manustamine fikseeritud nädalase intervalliga ja 100 RÜ/kg manustamine individualiseeritud intervalliga, alustades igal 10. päeval) vajaduspõhise raviga. Uuringusse kaasati kokku 123 raske B</w:t>
      </w:r>
      <w:r>
        <w:noBreakHyphen/>
        <w:t xml:space="preserve">hemofiiliaga (≤ 2% endogeenne FIX aktiivsus) eelnevalt ravitud meessoost patsienti (vanuses 12...71 aastat). Kõik patsiendid said </w:t>
      </w:r>
      <w:proofErr w:type="spellStart"/>
      <w:r w:rsidRPr="009F49A8">
        <w:t>ALPROLIX</w:t>
      </w:r>
      <w:r w:rsidR="009A7AEB" w:rsidRPr="009F49A8">
        <w:t>’iga</w:t>
      </w:r>
      <w:proofErr w:type="spellEnd"/>
      <w:r w:rsidR="009A7AEB">
        <w:t xml:space="preserve"> </w:t>
      </w:r>
      <w:r>
        <w:t>ravi ning nende järelkontroll kestis kuni 77 nädalat.</w:t>
      </w:r>
    </w:p>
    <w:p w14:paraId="53455461" w14:textId="77777777" w:rsidR="00A27A6F" w:rsidRDefault="00A27A6F">
      <w:pPr>
        <w:autoSpaceDE w:val="0"/>
        <w:autoSpaceDN w:val="0"/>
        <w:adjustRightInd w:val="0"/>
        <w:spacing w:line="240" w:lineRule="auto"/>
      </w:pPr>
    </w:p>
    <w:p w14:paraId="25C2F9D0" w14:textId="2CF51D5C" w:rsidR="00A27A6F" w:rsidRPr="009F49A8" w:rsidRDefault="002C0949">
      <w:pPr>
        <w:autoSpaceDE w:val="0"/>
        <w:autoSpaceDN w:val="0"/>
        <w:adjustRightInd w:val="0"/>
        <w:spacing w:line="240" w:lineRule="auto"/>
      </w:pPr>
      <w:r>
        <w:t xml:space="preserve">Uuringu I lõpetanud 123 uuritavast kaasati 93 uuringusse III (jätku-uuring), mille </w:t>
      </w:r>
      <w:r w:rsidRPr="009F49A8">
        <w:t>järelkontrolli mediaan</w:t>
      </w:r>
      <w:r w:rsidR="009A7AEB" w:rsidRPr="009F49A8">
        <w:t xml:space="preserve">ne </w:t>
      </w:r>
      <w:r w:rsidRPr="009F49A8">
        <w:t>aeg oli 6,5 aastat.</w:t>
      </w:r>
    </w:p>
    <w:p w14:paraId="43F65B9B" w14:textId="77777777" w:rsidR="00A27A6F" w:rsidRPr="009F49A8" w:rsidRDefault="00A27A6F">
      <w:pPr>
        <w:autoSpaceDE w:val="0"/>
        <w:autoSpaceDN w:val="0"/>
        <w:adjustRightInd w:val="0"/>
        <w:spacing w:line="240" w:lineRule="auto"/>
      </w:pPr>
    </w:p>
    <w:p w14:paraId="5D25283E" w14:textId="77777777" w:rsidR="00A27A6F" w:rsidRPr="009F49A8" w:rsidRDefault="002C0949">
      <w:pPr>
        <w:autoSpaceDE w:val="0"/>
        <w:autoSpaceDN w:val="0"/>
        <w:adjustRightInd w:val="0"/>
        <w:spacing w:line="240" w:lineRule="auto"/>
      </w:pPr>
      <w:r w:rsidRPr="009F49A8">
        <w:t>Märkus: aastane veritsusmäär (AVM) ei ole võrreldav faktorite eri kontsentratsioonide ning erinevate kliiniliste uuringute vahel.</w:t>
      </w:r>
    </w:p>
    <w:p w14:paraId="7585B1AE" w14:textId="77777777" w:rsidR="00A27A6F" w:rsidRPr="009F49A8" w:rsidRDefault="00A27A6F">
      <w:pPr>
        <w:autoSpaceDE w:val="0"/>
        <w:autoSpaceDN w:val="0"/>
        <w:adjustRightInd w:val="0"/>
        <w:spacing w:line="240" w:lineRule="auto"/>
      </w:pPr>
    </w:p>
    <w:p w14:paraId="24FE5447" w14:textId="20ADA112" w:rsidR="00A27A6F" w:rsidRPr="009F49A8" w:rsidRDefault="002C0949">
      <w:pPr>
        <w:keepNext/>
        <w:spacing w:line="240" w:lineRule="auto"/>
        <w:rPr>
          <w:i/>
          <w:iCs/>
          <w:u w:val="single"/>
        </w:rPr>
      </w:pPr>
      <w:r w:rsidRPr="009F49A8">
        <w:rPr>
          <w:i/>
          <w:iCs/>
          <w:u w:val="single"/>
        </w:rPr>
        <w:t>Profülaktika fikseeritud nädalase intervalli ja individualiseeritud intervallidega</w:t>
      </w:r>
    </w:p>
    <w:p w14:paraId="4BF3E934" w14:textId="6738C82E" w:rsidR="00A27A6F" w:rsidRDefault="002C0949">
      <w:pPr>
        <w:autoSpaceDE w:val="0"/>
        <w:autoSpaceDN w:val="0"/>
        <w:adjustRightInd w:val="0"/>
        <w:spacing w:line="240" w:lineRule="auto"/>
      </w:pPr>
      <w:r w:rsidRPr="009F49A8">
        <w:t>Uuringus I oli fikseeritud nädalase intervalliga ravirühmas osalejatel mediaanne nädalaannus 45,17 RÜ/kg (</w:t>
      </w:r>
      <w:proofErr w:type="spellStart"/>
      <w:r w:rsidRPr="009F49A8">
        <w:t>interkvartiilne</w:t>
      </w:r>
      <w:proofErr w:type="spellEnd"/>
      <w:r w:rsidRPr="009F49A8">
        <w:t xml:space="preserve"> vahemik 38,1...53,7). Efektiivsushindamistes osalenud patsientidel oli vastav AVM</w:t>
      </w:r>
      <w:r w:rsidRPr="009F49A8">
        <w:noBreakHyphen/>
        <w:t>i mediaan 2,95 (</w:t>
      </w:r>
      <w:proofErr w:type="spellStart"/>
      <w:r w:rsidRPr="009F49A8">
        <w:t>interkvartiilne</w:t>
      </w:r>
      <w:proofErr w:type="spellEnd"/>
      <w:r w:rsidRPr="009F49A8">
        <w:t xml:space="preserve"> vahemik 1,01…4,35) ja see jäi sarnaseks kogu uuringu III vältel (1,85 (</w:t>
      </w:r>
      <w:proofErr w:type="spellStart"/>
      <w:r w:rsidRPr="009F49A8">
        <w:t>interkvartiilne</w:t>
      </w:r>
      <w:proofErr w:type="spellEnd"/>
      <w:r w:rsidRPr="009F49A8">
        <w:t xml:space="preserve"> vahemik 0,76…4,0)). Uuringus III oli uuritavatel spontaansete liigeseverejooksude mediaan</w:t>
      </w:r>
      <w:r w:rsidR="009A7AEB" w:rsidRPr="009F49A8">
        <w:t xml:space="preserve">ne </w:t>
      </w:r>
      <w:r w:rsidRPr="009F49A8">
        <w:t>arv 0,38 (</w:t>
      </w:r>
      <w:proofErr w:type="spellStart"/>
      <w:r w:rsidRPr="009F49A8">
        <w:t>interkvartiilne</w:t>
      </w:r>
      <w:proofErr w:type="spellEnd"/>
      <w:r w:rsidRPr="009F49A8">
        <w:t xml:space="preserve"> vahemik 0,00…1,43).</w:t>
      </w:r>
    </w:p>
    <w:p w14:paraId="67465FAE" w14:textId="77777777" w:rsidR="00A27A6F" w:rsidRDefault="00A27A6F">
      <w:pPr>
        <w:autoSpaceDE w:val="0"/>
        <w:autoSpaceDN w:val="0"/>
        <w:adjustRightInd w:val="0"/>
        <w:spacing w:line="240" w:lineRule="auto"/>
      </w:pPr>
    </w:p>
    <w:p w14:paraId="11D196B7" w14:textId="2FDAF2C8" w:rsidR="00A27A6F" w:rsidRDefault="002C0949">
      <w:pPr>
        <w:autoSpaceDE w:val="0"/>
        <w:autoSpaceDN w:val="0"/>
        <w:adjustRightInd w:val="0"/>
        <w:spacing w:line="240" w:lineRule="auto"/>
      </w:pPr>
      <w:r>
        <w:t>Uuringus I oli individualiseeritud intervalliga ravirühma uuringus osalejatel manustamisintervalli mediaan 12,53 päeva (</w:t>
      </w:r>
      <w:proofErr w:type="spellStart"/>
      <w:r>
        <w:t>interkvartiilne</w:t>
      </w:r>
      <w:proofErr w:type="spellEnd"/>
      <w:r>
        <w:t xml:space="preserve"> vahemik 10,4...13,4). AVM-i vastav mediaan oli 1,38 (</w:t>
      </w:r>
      <w:proofErr w:type="spellStart"/>
      <w:r>
        <w:t>interkvartiilne</w:t>
      </w:r>
      <w:proofErr w:type="spellEnd"/>
      <w:r>
        <w:t xml:space="preserve"> vahemik 0,00…3,43) ja see jäi sarnaseks kogu uuringu III vältel (1,85 (</w:t>
      </w:r>
      <w:proofErr w:type="spellStart"/>
      <w:r>
        <w:t>interkvartiilne</w:t>
      </w:r>
      <w:proofErr w:type="spellEnd"/>
      <w:r>
        <w:t xml:space="preserve"> vahemik 0,76…4,00)).</w:t>
      </w:r>
    </w:p>
    <w:p w14:paraId="7DA0B4D9" w14:textId="77777777" w:rsidR="00C92342" w:rsidRDefault="00C92342">
      <w:pPr>
        <w:autoSpaceDE w:val="0"/>
        <w:autoSpaceDN w:val="0"/>
        <w:adjustRightInd w:val="0"/>
        <w:spacing w:line="240" w:lineRule="auto"/>
      </w:pPr>
    </w:p>
    <w:p w14:paraId="308FB1AA" w14:textId="77777777" w:rsidR="00A27A6F" w:rsidRDefault="002C0949">
      <w:pPr>
        <w:autoSpaceDE w:val="0"/>
        <w:autoSpaceDN w:val="0"/>
        <w:adjustRightInd w:val="0"/>
        <w:spacing w:line="240" w:lineRule="auto"/>
      </w:pPr>
      <w:r>
        <w:t>Manustamisintervallid ja faktori tarbimine püsisid uuringus III (jätku-uuring) mõlema profülaktilise raviskeemi korral sarnased uuringuga I.</w:t>
      </w:r>
    </w:p>
    <w:p w14:paraId="139F8FAB" w14:textId="77777777" w:rsidR="00A27A6F" w:rsidRDefault="00A27A6F">
      <w:pPr>
        <w:autoSpaceDE w:val="0"/>
        <w:autoSpaceDN w:val="0"/>
        <w:adjustRightInd w:val="0"/>
        <w:spacing w:line="240" w:lineRule="auto"/>
      </w:pPr>
    </w:p>
    <w:p w14:paraId="6B573C7B" w14:textId="77777777" w:rsidR="00A27A6F" w:rsidRDefault="002C0949">
      <w:pPr>
        <w:autoSpaceDE w:val="0"/>
        <w:autoSpaceDN w:val="0"/>
        <w:adjustRightInd w:val="0"/>
        <w:spacing w:line="240" w:lineRule="auto"/>
      </w:pPr>
      <w:r>
        <w:t>Veritsusepisoode ei esinenud 42% osalejatest individualiseeritud profülaktika rühmas ja 23,0% osalejatest iganädalase profülaktika rühmas. Nende patsientide osakaal, kellel oli ravi alustamisel kahjustatud üks liiges või rohkem, oli individualiseeritud intervalliga profülaktilist ravi saavate patsientide hulgas väiksem kui fikseeritud iganädalase intervalliga profülaktilist ravi saavate hulgas (vastavalt 27,6% ja 57,1%).</w:t>
      </w:r>
    </w:p>
    <w:p w14:paraId="0E7F18D7" w14:textId="77777777" w:rsidR="00A27A6F" w:rsidRDefault="00A27A6F">
      <w:pPr>
        <w:spacing w:line="240" w:lineRule="auto"/>
      </w:pPr>
    </w:p>
    <w:p w14:paraId="6064654A" w14:textId="4008EB55" w:rsidR="00C92342" w:rsidRDefault="002C0949">
      <w:pPr>
        <w:autoSpaceDE w:val="0"/>
        <w:autoSpaceDN w:val="0"/>
        <w:adjustRightInd w:val="0"/>
        <w:spacing w:line="240" w:lineRule="auto"/>
      </w:pPr>
      <w:r>
        <w:rPr>
          <w:i/>
          <w:iCs/>
          <w:u w:val="single"/>
        </w:rPr>
        <w:t>Veritsuse ravi</w:t>
      </w:r>
    </w:p>
    <w:p w14:paraId="3CE8B916" w14:textId="49E18331" w:rsidR="00A27A6F" w:rsidRDefault="002C0949">
      <w:pPr>
        <w:autoSpaceDE w:val="0"/>
        <w:autoSpaceDN w:val="0"/>
        <w:adjustRightInd w:val="0"/>
        <w:spacing w:line="240" w:lineRule="auto"/>
      </w:pPr>
      <w:r>
        <w:t>Uuringus I täheldatud 636 veritsusepisoodist 90,4% allus ravile 1 süstiga ning üldse allus ravile 2 või vähema süstiga 97,3%. Keskmise annuse mediaan veritsusepisoodi raviks tehtava süsti kohta oli 46,07 (</w:t>
      </w:r>
      <w:proofErr w:type="spellStart"/>
      <w:r>
        <w:t>interkvartiilne</w:t>
      </w:r>
      <w:proofErr w:type="spellEnd"/>
      <w:r>
        <w:t xml:space="preserve"> vahemik 32,86…57,03) RÜ/kg. Veritsusepisoodi raviks kasutatav </w:t>
      </w:r>
      <w:r w:rsidRPr="009F49A8">
        <w:t>üldine mediaan</w:t>
      </w:r>
      <w:r w:rsidR="00FF4E95" w:rsidRPr="009F49A8">
        <w:t>ne</w:t>
      </w:r>
      <w:r w:rsidR="00FF4E95">
        <w:t xml:space="preserve"> </w:t>
      </w:r>
      <w:r>
        <w:t>annus oli iganädalase profülaktika rühmas 51,47 RÜ/kg (</w:t>
      </w:r>
      <w:proofErr w:type="spellStart"/>
      <w:r>
        <w:t>interkvartiilne</w:t>
      </w:r>
      <w:proofErr w:type="spellEnd"/>
      <w:r>
        <w:t xml:space="preserve"> vahemik 35,21…61,73); individualiseeritud profülaktika rühmas 49,62 RÜ/kg (</w:t>
      </w:r>
      <w:proofErr w:type="spellStart"/>
      <w:r>
        <w:t>interkvartiilne</w:t>
      </w:r>
      <w:proofErr w:type="spellEnd"/>
      <w:r>
        <w:t xml:space="preserve"> vahemik 35,71…94,82) ja vajaduspõhise ravi rühmas 46,58 RÜ/kg (</w:t>
      </w:r>
      <w:proofErr w:type="spellStart"/>
      <w:r>
        <w:t>interkvartiilne</w:t>
      </w:r>
      <w:proofErr w:type="spellEnd"/>
      <w:r>
        <w:t xml:space="preserve"> vahemik 33,33…59,41).</w:t>
      </w:r>
    </w:p>
    <w:p w14:paraId="471157AF" w14:textId="77777777" w:rsidR="00A27A6F" w:rsidRDefault="00A27A6F">
      <w:pPr>
        <w:autoSpaceDE w:val="0"/>
        <w:autoSpaceDN w:val="0"/>
        <w:adjustRightInd w:val="0"/>
        <w:spacing w:line="240" w:lineRule="auto"/>
      </w:pPr>
    </w:p>
    <w:p w14:paraId="7F5DB47B" w14:textId="3138F3C5" w:rsidR="00A27A6F" w:rsidRPr="00C92342" w:rsidRDefault="002C0949">
      <w:pPr>
        <w:pStyle w:val="ListParagraph"/>
        <w:keepNext/>
        <w:ind w:left="0"/>
        <w:rPr>
          <w:i/>
          <w:sz w:val="22"/>
          <w:u w:val="single"/>
        </w:rPr>
      </w:pPr>
      <w:r>
        <w:rPr>
          <w:i/>
          <w:sz w:val="22"/>
          <w:u w:val="single"/>
        </w:rPr>
        <w:t>Perioperatiivne ravi (kirurgiline profülaktika)</w:t>
      </w:r>
    </w:p>
    <w:p w14:paraId="48E1BFB4" w14:textId="77777777" w:rsidR="00A27A6F" w:rsidRDefault="002C0949">
      <w:pPr>
        <w:pStyle w:val="ListParagraph"/>
        <w:ind w:left="0"/>
        <w:rPr>
          <w:kern w:val="24"/>
          <w:sz w:val="22"/>
          <w:szCs w:val="22"/>
        </w:rPr>
      </w:pPr>
      <w:r>
        <w:rPr>
          <w:sz w:val="22"/>
        </w:rPr>
        <w:t>Uuringus I ja uuringus III teostati ja hinnati 22 uuringus osalejal (21 täiskasvanut ja noorukit ning üks &lt; 12</w:t>
      </w:r>
      <w:r>
        <w:rPr>
          <w:sz w:val="22"/>
        </w:rPr>
        <w:noBreakHyphen/>
        <w:t xml:space="preserve">aastane laps) 35 ulatuslikku kirurgilist operatsiooni. 35 ulatuslikust operatsioonist 28 puhul (80,0%) tuli manustada ühekordne </w:t>
      </w:r>
      <w:proofErr w:type="spellStart"/>
      <w:r>
        <w:rPr>
          <w:sz w:val="22"/>
        </w:rPr>
        <w:t>preoperatiivne</w:t>
      </w:r>
      <w:proofErr w:type="spellEnd"/>
      <w:r>
        <w:rPr>
          <w:sz w:val="22"/>
        </w:rPr>
        <w:t xml:space="preserve"> annus </w:t>
      </w:r>
      <w:proofErr w:type="spellStart"/>
      <w:r>
        <w:rPr>
          <w:sz w:val="22"/>
        </w:rPr>
        <w:t>hemostaasi</w:t>
      </w:r>
      <w:proofErr w:type="spellEnd"/>
      <w:r>
        <w:rPr>
          <w:sz w:val="22"/>
        </w:rPr>
        <w:t xml:space="preserve"> säilitamiseks kirurgilise operatsiooni ajal.</w:t>
      </w:r>
      <w:r>
        <w:rPr>
          <w:kern w:val="24"/>
          <w:sz w:val="22"/>
        </w:rPr>
        <w:t xml:space="preserve"> </w:t>
      </w:r>
      <w:r>
        <w:rPr>
          <w:kern w:val="24"/>
          <w:sz w:val="22"/>
          <w:szCs w:val="22"/>
        </w:rPr>
        <w:t xml:space="preserve">Keskmise annuse mediaan </w:t>
      </w:r>
      <w:proofErr w:type="spellStart"/>
      <w:r>
        <w:rPr>
          <w:kern w:val="24"/>
          <w:sz w:val="22"/>
          <w:szCs w:val="22"/>
        </w:rPr>
        <w:t>hemostaasi</w:t>
      </w:r>
      <w:proofErr w:type="spellEnd"/>
      <w:r>
        <w:rPr>
          <w:kern w:val="24"/>
          <w:sz w:val="22"/>
          <w:szCs w:val="22"/>
        </w:rPr>
        <w:t xml:space="preserve"> säilitamiseks kirurgilise operatsiooni ajal oli 94,7 RÜ/kg (vahemik 49...152 RÜ/kg)</w:t>
      </w:r>
      <w:r>
        <w:rPr>
          <w:sz w:val="22"/>
        </w:rPr>
        <w:t xml:space="preserve">. </w:t>
      </w:r>
      <w:r>
        <w:rPr>
          <w:kern w:val="24"/>
          <w:sz w:val="22"/>
          <w:szCs w:val="22"/>
        </w:rPr>
        <w:t>Operatsioonipäeval manustatud koguannus jäi vahemikku 49...341 RÜ/kg ning 14</w:t>
      </w:r>
      <w:r>
        <w:rPr>
          <w:kern w:val="24"/>
          <w:sz w:val="22"/>
          <w:szCs w:val="22"/>
        </w:rPr>
        <w:noBreakHyphen/>
        <w:t xml:space="preserve">päevasel </w:t>
      </w:r>
      <w:proofErr w:type="spellStart"/>
      <w:r>
        <w:rPr>
          <w:kern w:val="24"/>
          <w:sz w:val="22"/>
          <w:szCs w:val="22"/>
        </w:rPr>
        <w:t>perioperatiivsel</w:t>
      </w:r>
      <w:proofErr w:type="spellEnd"/>
      <w:r>
        <w:rPr>
          <w:kern w:val="24"/>
          <w:sz w:val="22"/>
          <w:szCs w:val="22"/>
        </w:rPr>
        <w:t xml:space="preserve"> perioodil manustatud koguannus jäi vahemikku 60…1947 RÜ/kg.</w:t>
      </w:r>
    </w:p>
    <w:p w14:paraId="17844152" w14:textId="77777777" w:rsidR="00A27A6F" w:rsidRDefault="00A27A6F">
      <w:pPr>
        <w:autoSpaceDE w:val="0"/>
        <w:autoSpaceDN w:val="0"/>
        <w:adjustRightInd w:val="0"/>
        <w:spacing w:line="240" w:lineRule="auto"/>
      </w:pPr>
    </w:p>
    <w:p w14:paraId="47CAB3F7" w14:textId="77777777" w:rsidR="00A27A6F" w:rsidRDefault="002C0949">
      <w:pPr>
        <w:autoSpaceDE w:val="0"/>
        <w:autoSpaceDN w:val="0"/>
        <w:adjustRightInd w:val="0"/>
        <w:spacing w:line="240" w:lineRule="auto"/>
      </w:pPr>
      <w:proofErr w:type="spellStart"/>
      <w:r>
        <w:t>Hemostaatiline</w:t>
      </w:r>
      <w:proofErr w:type="spellEnd"/>
      <w:r>
        <w:t xml:space="preserve"> vastus loeti suurepäraseks või heaks 100% ulatuslike operatsioonide korral.</w:t>
      </w:r>
    </w:p>
    <w:p w14:paraId="4666E804" w14:textId="77777777" w:rsidR="00A27A6F" w:rsidRDefault="00A27A6F">
      <w:pPr>
        <w:autoSpaceDE w:val="0"/>
        <w:autoSpaceDN w:val="0"/>
        <w:adjustRightInd w:val="0"/>
        <w:spacing w:line="240" w:lineRule="auto"/>
      </w:pPr>
    </w:p>
    <w:p w14:paraId="74DFC0C2" w14:textId="77777777" w:rsidR="00A27A6F" w:rsidRDefault="002C0949">
      <w:pPr>
        <w:keepNext/>
        <w:spacing w:line="240" w:lineRule="auto"/>
        <w:rPr>
          <w:bCs/>
          <w:iCs/>
          <w:szCs w:val="22"/>
          <w:u w:val="single"/>
        </w:rPr>
      </w:pPr>
      <w:r>
        <w:rPr>
          <w:bCs/>
          <w:iCs/>
          <w:szCs w:val="22"/>
          <w:u w:val="single"/>
        </w:rPr>
        <w:t>Lapsed</w:t>
      </w:r>
    </w:p>
    <w:p w14:paraId="46F2D47A" w14:textId="77777777" w:rsidR="00A27A6F" w:rsidRDefault="00A27A6F">
      <w:pPr>
        <w:keepNext/>
        <w:spacing w:line="240" w:lineRule="auto"/>
        <w:rPr>
          <w:bCs/>
          <w:iCs/>
          <w:szCs w:val="22"/>
        </w:rPr>
      </w:pPr>
    </w:p>
    <w:p w14:paraId="6CCE2BDA" w14:textId="4217912F" w:rsidR="00A27A6F" w:rsidRPr="009F49A8" w:rsidRDefault="002C0949">
      <w:pPr>
        <w:autoSpaceDE w:val="0"/>
        <w:autoSpaceDN w:val="0"/>
        <w:adjustRightInd w:val="0"/>
        <w:spacing w:line="240" w:lineRule="auto"/>
      </w:pPr>
      <w:r>
        <w:t>Uuringusse II kaasati kokku 30 raske B</w:t>
      </w:r>
      <w:r>
        <w:noBreakHyphen/>
        <w:t>hemofiiliaga eelnevalt ravitud poissi (≤ 2% endogeenne FIX aktiivsus). Patsiendid olid alla 12</w:t>
      </w:r>
      <w:r>
        <w:noBreakHyphen/>
        <w:t>aastased (15 olid &lt; 6</w:t>
      </w:r>
      <w:r>
        <w:noBreakHyphen/>
        <w:t xml:space="preserve">aastased ja 15 vanusevahemikus 6...&lt; 12 aastat). Kõik patsiendid said </w:t>
      </w:r>
      <w:proofErr w:type="spellStart"/>
      <w:r w:rsidRPr="009F49A8">
        <w:t>ALPROLIX</w:t>
      </w:r>
      <w:r w:rsidR="003A5067" w:rsidRPr="009F49A8">
        <w:t>’iga</w:t>
      </w:r>
      <w:proofErr w:type="spellEnd"/>
      <w:r w:rsidR="003A5067" w:rsidRPr="009F49A8">
        <w:t xml:space="preserve"> </w:t>
      </w:r>
      <w:r w:rsidRPr="009F49A8">
        <w:t>ravi ning nende järelkontroll kestis kuni 52 nädalat.</w:t>
      </w:r>
    </w:p>
    <w:p w14:paraId="3C753ABD" w14:textId="77777777" w:rsidR="00A27A6F" w:rsidRPr="009F49A8" w:rsidRDefault="00A27A6F">
      <w:pPr>
        <w:spacing w:line="240" w:lineRule="auto"/>
        <w:rPr>
          <w:bCs/>
          <w:iCs/>
          <w:szCs w:val="22"/>
        </w:rPr>
      </w:pPr>
    </w:p>
    <w:p w14:paraId="785B37E7" w14:textId="1D29A300" w:rsidR="00A27A6F" w:rsidRDefault="002C0949">
      <w:pPr>
        <w:spacing w:line="240" w:lineRule="auto"/>
      </w:pPr>
      <w:r w:rsidRPr="009F49A8">
        <w:lastRenderedPageBreak/>
        <w:t xml:space="preserve">Kõik 30 patsienti said </w:t>
      </w:r>
      <w:proofErr w:type="spellStart"/>
      <w:r w:rsidRPr="009F49A8">
        <w:t>ALPROLIX</w:t>
      </w:r>
      <w:r w:rsidR="003A5067" w:rsidRPr="009F49A8">
        <w:t>’iga</w:t>
      </w:r>
      <w:proofErr w:type="spellEnd"/>
      <w:r w:rsidR="003A5067" w:rsidRPr="009F49A8">
        <w:t xml:space="preserve"> </w:t>
      </w:r>
      <w:r w:rsidRPr="009F49A8">
        <w:t>ravi profülaktilise manustamise raviskeemiga, algannus oli 50...60 RÜ/kg iga 7 päeva järel. Annust kohandati</w:t>
      </w:r>
      <w:r>
        <w:t xml:space="preserve"> maksimaalselt kuni 100 RÜ/kg ning annustamisintervalli vahemikus minimaalselt üks kord nädalas kuni maksimaalselt kaks korda nädalas. Uuringu II lõpetanud 30 patsiendist osalesid 27 uuringus III (jätku-uuring). Uuringutes II + III osalemise mediaanaeg oli 2,88 aastat ja kokkupuutepäevade </w:t>
      </w:r>
      <w:r w:rsidRPr="009F49A8">
        <w:t>mediaan</w:t>
      </w:r>
      <w:r w:rsidR="003A5067" w:rsidRPr="009F49A8">
        <w:t xml:space="preserve">ne </w:t>
      </w:r>
      <w:r w:rsidRPr="009F49A8">
        <w:t>arv</w:t>
      </w:r>
      <w:r>
        <w:t xml:space="preserve"> oli 166.</w:t>
      </w:r>
    </w:p>
    <w:p w14:paraId="5E7C918D" w14:textId="77777777" w:rsidR="00A27A6F" w:rsidRDefault="00A27A6F">
      <w:pPr>
        <w:spacing w:line="240" w:lineRule="auto"/>
      </w:pPr>
    </w:p>
    <w:p w14:paraId="6BE8B925" w14:textId="31CF644D" w:rsidR="00A27A6F" w:rsidRDefault="002C0949">
      <w:pPr>
        <w:spacing w:line="240" w:lineRule="auto"/>
      </w:pPr>
      <w:r>
        <w:t>Uuringusse IV kaasati 33 raske B</w:t>
      </w:r>
      <w:r>
        <w:noBreakHyphen/>
        <w:t xml:space="preserve">hemofiiliaga (≤ 2% endogeense FIX aktiivsus), eelnevalt ravimata patsienti. Uuringusse kaasamise ajal oli mediaanne vanus 0,6 aastat (vahemikus 0,08…2 aastat); 78,8% uuringus osalejatest olid alla 1 aastased. </w:t>
      </w:r>
      <w:proofErr w:type="spellStart"/>
      <w:r>
        <w:t>ALPROLIX’iga</w:t>
      </w:r>
      <w:proofErr w:type="spellEnd"/>
      <w:r>
        <w:t xml:space="preserve"> ravi mediaanne kestus oli 83,01 nädalat (vahemikus 6,7…226,7 nädalat) ja kokkupuutepäevade üldine mediaanne arv oli 76 päeva (vahemikus 1…137 päeva).</w:t>
      </w:r>
    </w:p>
    <w:p w14:paraId="5A13A1FF" w14:textId="77777777" w:rsidR="00A27A6F" w:rsidRDefault="00A27A6F">
      <w:pPr>
        <w:spacing w:line="240" w:lineRule="auto"/>
      </w:pPr>
    </w:p>
    <w:p w14:paraId="3E3AA0A8" w14:textId="615EF231" w:rsidR="00A27A6F" w:rsidRDefault="002C0949">
      <w:pPr>
        <w:keepNext/>
        <w:spacing w:line="240" w:lineRule="auto"/>
      </w:pPr>
      <w:r>
        <w:rPr>
          <w:i/>
          <w:iCs/>
          <w:u w:val="single"/>
        </w:rPr>
        <w:t>Profülaktika individualiseeritud raviskeemiga</w:t>
      </w:r>
    </w:p>
    <w:p w14:paraId="6A3231E2" w14:textId="7C47ACDE" w:rsidR="00A27A6F" w:rsidRDefault="002C0949">
      <w:pPr>
        <w:spacing w:line="240" w:lineRule="auto"/>
      </w:pPr>
      <w:r>
        <w:t xml:space="preserve">Uuringus II oli </w:t>
      </w:r>
      <w:proofErr w:type="spellStart"/>
      <w:r>
        <w:t>ALPROLIX’i</w:t>
      </w:r>
      <w:proofErr w:type="spellEnd"/>
      <w:r>
        <w:t xml:space="preserve"> keskmise iganädalase annuse mediaan &lt; 6</w:t>
      </w:r>
      <w:r>
        <w:noBreakHyphen/>
        <w:t>aastastel osalejatel 59,40 RÜ/kg (</w:t>
      </w:r>
      <w:proofErr w:type="spellStart"/>
      <w:r>
        <w:t>interkvartiilne</w:t>
      </w:r>
      <w:proofErr w:type="spellEnd"/>
      <w:r>
        <w:t xml:space="preserve"> vahemik 52,95...64,78 RÜ/kg) ning 6...&lt; 6...12</w:t>
      </w:r>
      <w:r>
        <w:noBreakHyphen/>
        <w:t>aastastel osalejatel 57,78 RÜ/kg (</w:t>
      </w:r>
      <w:proofErr w:type="spellStart"/>
      <w:r>
        <w:t>interkvartiilne</w:t>
      </w:r>
      <w:proofErr w:type="spellEnd"/>
      <w:r>
        <w:t xml:space="preserve"> vahemik 51,67...65,01 RÜ/kg). Üldise annustamisintervalli mediaan oli 6,99 päeva (</w:t>
      </w:r>
      <w:proofErr w:type="spellStart"/>
      <w:r>
        <w:t>interkvartiilne</w:t>
      </w:r>
      <w:proofErr w:type="spellEnd"/>
      <w:r>
        <w:t xml:space="preserve"> vahemik 6,94...7,03), kusjuures vanuserühmade lõikes annustamisintervalli mediaanis erinevusi ei täheldatud. Välja arvatud üks patsient, kelle viimane määratud annus oli 100 RÜ/kg iga 5 ööpäeva järel, olid ülejäänud 29 patsiendile viimati määratud annused kuni 70 RÜ/kg iga 7 ööpäeva järel. 33% lastest veritsusepisoode ei esinenud. Manustamisintervallid ja hüübimisfaktori tarbimine püsisid uuringus III sarnased uuringuga II.</w:t>
      </w:r>
    </w:p>
    <w:p w14:paraId="22B097AD" w14:textId="77777777" w:rsidR="00A27A6F" w:rsidRDefault="00A27A6F">
      <w:pPr>
        <w:spacing w:line="240" w:lineRule="auto"/>
        <w:rPr>
          <w:bCs/>
          <w:iCs/>
          <w:szCs w:val="22"/>
        </w:rPr>
      </w:pPr>
    </w:p>
    <w:p w14:paraId="6BB782E4" w14:textId="77777777" w:rsidR="00A27A6F" w:rsidRDefault="002C0949">
      <w:pPr>
        <w:spacing w:line="240" w:lineRule="auto"/>
        <w:rPr>
          <w:bCs/>
          <w:iCs/>
          <w:szCs w:val="22"/>
        </w:rPr>
      </w:pPr>
      <w:r>
        <w:rPr>
          <w:bCs/>
          <w:iCs/>
          <w:szCs w:val="22"/>
        </w:rPr>
        <w:t>Uuringus II efektiivsushinnangutes osalenud patsientidel vanuses &lt; 12 aastat oli aastase veritsusmäära mediaan 1,97 (</w:t>
      </w:r>
      <w:proofErr w:type="spellStart"/>
      <w:r>
        <w:rPr>
          <w:bCs/>
          <w:iCs/>
          <w:szCs w:val="22"/>
        </w:rPr>
        <w:t>interkvartiilne</w:t>
      </w:r>
      <w:proofErr w:type="spellEnd"/>
      <w:r>
        <w:rPr>
          <w:bCs/>
          <w:iCs/>
          <w:szCs w:val="22"/>
        </w:rPr>
        <w:t xml:space="preserve"> vahemik 0,00…3,13)</w:t>
      </w:r>
      <w:r>
        <w:t xml:space="preserve"> </w:t>
      </w:r>
      <w:r>
        <w:rPr>
          <w:bCs/>
          <w:iCs/>
          <w:szCs w:val="22"/>
        </w:rPr>
        <w:t>ja see jäi sarnaseks kogu uuringu III (jätku-uuring) vältel.</w:t>
      </w:r>
    </w:p>
    <w:p w14:paraId="7A2543C2" w14:textId="77777777" w:rsidR="00A27A6F" w:rsidRDefault="00A27A6F">
      <w:pPr>
        <w:autoSpaceDE w:val="0"/>
        <w:autoSpaceDN w:val="0"/>
        <w:adjustRightInd w:val="0"/>
        <w:spacing w:line="240" w:lineRule="auto"/>
      </w:pPr>
    </w:p>
    <w:p w14:paraId="02A56F14" w14:textId="2A18950F" w:rsidR="00A27A6F" w:rsidRDefault="002C0949">
      <w:pPr>
        <w:autoSpaceDE w:val="0"/>
        <w:autoSpaceDN w:val="0"/>
        <w:adjustRightInd w:val="0"/>
        <w:spacing w:line="240" w:lineRule="auto"/>
      </w:pPr>
      <w:proofErr w:type="spellStart"/>
      <w:r>
        <w:t>ALPROLIX’i</w:t>
      </w:r>
      <w:proofErr w:type="spellEnd"/>
      <w:r>
        <w:t xml:space="preserve"> nädala keskmise annuse mediaan oli eelnevalt ravi</w:t>
      </w:r>
      <w:r>
        <w:rPr>
          <w:szCs w:val="22"/>
        </w:rPr>
        <w:t>mata</w:t>
      </w:r>
      <w:r>
        <w:t xml:space="preserve"> patsientidel (uuring IV) 57,96 RÜ/kg (</w:t>
      </w:r>
      <w:proofErr w:type="spellStart"/>
      <w:r>
        <w:t>interkvartiilne</w:t>
      </w:r>
      <w:proofErr w:type="spellEnd"/>
      <w:r>
        <w:t xml:space="preserve"> vahemik 52,45…65,06 RÜ/kg) ja keskmise manustamisintervalli mediaan oli 7 päeva (</w:t>
      </w:r>
      <w:proofErr w:type="spellStart"/>
      <w:r>
        <w:t>interkvartiilne</w:t>
      </w:r>
      <w:proofErr w:type="spellEnd"/>
      <w:r>
        <w:t xml:space="preserve"> vahemik 6,95…7,12 päeva). Manustamisintervallid ja hüübimisfaktori tarbimine püsisid uuringu IV ning uuringute II ja III võrdluses sarnased. Profülaktilist ravi saanud, eelnevalt ravimata uuringus osalejatest 8</w:t>
      </w:r>
      <w:r>
        <w:noBreakHyphen/>
        <w:t>l (28,6%) ei esinenud ühtegi veritsusepisoodi. Üldise AVM</w:t>
      </w:r>
      <w:r>
        <w:noBreakHyphen/>
        <w:t>i mediaan oli profülaktilist ravi saanud, eelnevalt ravimata uuringus osalejatel 1,24 (</w:t>
      </w:r>
      <w:proofErr w:type="spellStart"/>
      <w:r>
        <w:t>interkvartiilne</w:t>
      </w:r>
      <w:proofErr w:type="spellEnd"/>
      <w:r>
        <w:t xml:space="preserve"> vahemik 0,0…2,49).</w:t>
      </w:r>
    </w:p>
    <w:p w14:paraId="1FA300A6" w14:textId="77777777" w:rsidR="00A27A6F" w:rsidRDefault="00A27A6F">
      <w:pPr>
        <w:autoSpaceDE w:val="0"/>
        <w:autoSpaceDN w:val="0"/>
        <w:adjustRightInd w:val="0"/>
        <w:spacing w:line="240" w:lineRule="auto"/>
      </w:pPr>
    </w:p>
    <w:p w14:paraId="0DEB1F7B" w14:textId="127E2EAD" w:rsidR="00C92342" w:rsidRDefault="002C0949" w:rsidP="009F49A8">
      <w:pPr>
        <w:keepNext/>
        <w:autoSpaceDE w:val="0"/>
        <w:autoSpaceDN w:val="0"/>
        <w:adjustRightInd w:val="0"/>
        <w:spacing w:line="240" w:lineRule="auto"/>
        <w:rPr>
          <w:i/>
          <w:u w:val="single"/>
        </w:rPr>
      </w:pPr>
      <w:r>
        <w:rPr>
          <w:i/>
          <w:u w:val="single"/>
        </w:rPr>
        <w:t>Veritsusepisoodide ravi</w:t>
      </w:r>
    </w:p>
    <w:p w14:paraId="4B5CA47E" w14:textId="5B34A6AD" w:rsidR="00A27A6F" w:rsidRDefault="002C0949">
      <w:pPr>
        <w:autoSpaceDE w:val="0"/>
        <w:autoSpaceDN w:val="0"/>
        <w:adjustRightInd w:val="0"/>
        <w:spacing w:line="240" w:lineRule="auto"/>
      </w:pPr>
      <w:r>
        <w:t>Uuringu II jooksul täheldatud 60 veritsusepisoodist 75% allus ravile 1 süstiga ning üldse allus ravile 2 või vähema süstiga 91,7% veritsusepisoodidest. Keskmise annuse mediaan veritsusepisoodi raviks tehtava süsti kohta oli 63,51 RÜ/kg (</w:t>
      </w:r>
      <w:proofErr w:type="spellStart"/>
      <w:r>
        <w:t>interkvartiilne</w:t>
      </w:r>
      <w:proofErr w:type="spellEnd"/>
      <w:r>
        <w:t xml:space="preserve"> vahemik 48,92...99,44). Üldise annuse mediaan veritsusepisoodi raviks oli 68,22 RÜ/kg (</w:t>
      </w:r>
      <w:proofErr w:type="spellStart"/>
      <w:r>
        <w:t>interkvartiilne</w:t>
      </w:r>
      <w:proofErr w:type="spellEnd"/>
      <w:r>
        <w:t xml:space="preserve"> vahemik 50,89...126,19).</w:t>
      </w:r>
    </w:p>
    <w:p w14:paraId="3C1F4B7E" w14:textId="77777777" w:rsidR="00A27A6F" w:rsidRDefault="00A27A6F">
      <w:pPr>
        <w:autoSpaceDE w:val="0"/>
        <w:autoSpaceDN w:val="0"/>
        <w:adjustRightInd w:val="0"/>
        <w:spacing w:line="240" w:lineRule="auto"/>
      </w:pPr>
    </w:p>
    <w:p w14:paraId="179FF2D3" w14:textId="0C1B3BA4" w:rsidR="00A27A6F" w:rsidRDefault="002C0949">
      <w:pPr>
        <w:autoSpaceDE w:val="0"/>
        <w:autoSpaceDN w:val="0"/>
        <w:adjustRightInd w:val="0"/>
        <w:spacing w:line="240" w:lineRule="auto"/>
      </w:pPr>
      <w:r>
        <w:t>Uuringu IV jooksul täheldatud 58 veritsusepisoodist profülaktilist ravi saanud, eelnevalt ravimata patsientidel allus 87,9% ravile 1 süstiga ja üldse allus ravile 2 või vähema süstiga 96,6% veritsusepisoodidest. Keskmise annuse mediaan veritsusepisoodi raviks tehtava süsti kohta oli 71,92 RÜ/kg (</w:t>
      </w:r>
      <w:proofErr w:type="spellStart"/>
      <w:r>
        <w:t>interkvartiilne</w:t>
      </w:r>
      <w:proofErr w:type="spellEnd"/>
      <w:r>
        <w:t xml:space="preserve"> vahemik 52,45…100,81 RÜ/kg). </w:t>
      </w:r>
      <w:proofErr w:type="spellStart"/>
      <w:r>
        <w:t>Üldannuse</w:t>
      </w:r>
      <w:proofErr w:type="spellEnd"/>
      <w:r>
        <w:t xml:space="preserve"> mediaan veritsusepisoodi raviks oli 78,74 RÜ/kg (</w:t>
      </w:r>
      <w:proofErr w:type="spellStart"/>
      <w:r>
        <w:t>interkvartiilne</w:t>
      </w:r>
      <w:proofErr w:type="spellEnd"/>
      <w:r>
        <w:t xml:space="preserve"> vahemik 53,57…104,90 RÜ/kg).</w:t>
      </w:r>
    </w:p>
    <w:p w14:paraId="6E333828" w14:textId="77777777" w:rsidR="00A27A6F" w:rsidRDefault="00A27A6F">
      <w:pPr>
        <w:autoSpaceDE w:val="0"/>
        <w:autoSpaceDN w:val="0"/>
        <w:adjustRightInd w:val="0"/>
        <w:spacing w:line="240" w:lineRule="auto"/>
      </w:pPr>
    </w:p>
    <w:p w14:paraId="3DFE3684" w14:textId="77777777" w:rsidR="00A27A6F" w:rsidRDefault="002C0949">
      <w:pPr>
        <w:keepNext/>
        <w:autoSpaceDE w:val="0"/>
        <w:autoSpaceDN w:val="0"/>
        <w:adjustRightInd w:val="0"/>
        <w:spacing w:line="240" w:lineRule="auto"/>
        <w:rPr>
          <w:b/>
          <w:szCs w:val="22"/>
        </w:rPr>
      </w:pPr>
      <w:r>
        <w:rPr>
          <w:b/>
          <w:szCs w:val="22"/>
        </w:rPr>
        <w:t>5.2</w:t>
      </w:r>
      <w:r>
        <w:rPr>
          <w:b/>
          <w:szCs w:val="22"/>
        </w:rPr>
        <w:tab/>
        <w:t>Farmakokineetilised omadused</w:t>
      </w:r>
    </w:p>
    <w:p w14:paraId="5C7E33A7" w14:textId="77777777" w:rsidR="00A27A6F" w:rsidRDefault="00A27A6F">
      <w:pPr>
        <w:keepNext/>
        <w:autoSpaceDE w:val="0"/>
        <w:autoSpaceDN w:val="0"/>
        <w:adjustRightInd w:val="0"/>
        <w:spacing w:line="240" w:lineRule="auto"/>
        <w:rPr>
          <w:b/>
          <w:szCs w:val="22"/>
        </w:rPr>
      </w:pPr>
    </w:p>
    <w:p w14:paraId="7090755E" w14:textId="0DD15368" w:rsidR="00A27A6F" w:rsidRDefault="002C0949">
      <w:pPr>
        <w:spacing w:line="240" w:lineRule="auto"/>
      </w:pPr>
      <w:r>
        <w:t xml:space="preserve">Kõik </w:t>
      </w:r>
      <w:proofErr w:type="spellStart"/>
      <w:r>
        <w:t>ALPROLIX’i</w:t>
      </w:r>
      <w:proofErr w:type="spellEnd"/>
      <w:r>
        <w:t xml:space="preserve"> farmakokineetika uuringud viidi läbi eelnevalt ravitud raske B</w:t>
      </w:r>
      <w:r>
        <w:noBreakHyphen/>
        <w:t xml:space="preserve">hemofiiliaga patsientidel. Käesolevas lõigus toodud andmed koguti IX faktori plasmastandardite järgi kalibreeritud ränipõhise </w:t>
      </w:r>
      <w:proofErr w:type="spellStart"/>
      <w:r>
        <w:t>aPTT</w:t>
      </w:r>
      <w:proofErr w:type="spellEnd"/>
      <w:r>
        <w:t xml:space="preserve"> reagendiga tehtud üheastmelistest koagulatsioonitestidest.</w:t>
      </w:r>
    </w:p>
    <w:p w14:paraId="70F37FF8" w14:textId="77777777" w:rsidR="00A27A6F" w:rsidRDefault="00A27A6F">
      <w:pPr>
        <w:spacing w:line="240" w:lineRule="auto"/>
      </w:pPr>
    </w:p>
    <w:p w14:paraId="488151CB" w14:textId="327964DE" w:rsidR="00A27A6F" w:rsidRDefault="002C0949">
      <w:pPr>
        <w:spacing w:line="240" w:lineRule="auto"/>
        <w:rPr>
          <w:iCs/>
          <w:szCs w:val="22"/>
        </w:rPr>
      </w:pPr>
      <w:r>
        <w:rPr>
          <w:szCs w:val="22"/>
        </w:rPr>
        <w:lastRenderedPageBreak/>
        <w:t>Farmakokineetilisi omadusi hinnati 22 </w:t>
      </w:r>
      <w:proofErr w:type="spellStart"/>
      <w:r>
        <w:rPr>
          <w:szCs w:val="22"/>
        </w:rPr>
        <w:t>ALPROLIX’i</w:t>
      </w:r>
      <w:proofErr w:type="spellEnd"/>
      <w:r>
        <w:rPr>
          <w:szCs w:val="22"/>
        </w:rPr>
        <w:t xml:space="preserve"> (</w:t>
      </w:r>
      <w:proofErr w:type="spellStart"/>
      <w:r>
        <w:rPr>
          <w:szCs w:val="22"/>
        </w:rPr>
        <w:t>rFIXFc</w:t>
      </w:r>
      <w:proofErr w:type="spellEnd"/>
      <w:r>
        <w:rPr>
          <w:szCs w:val="22"/>
        </w:rPr>
        <w:t>) saaval osalejal (≥ 19</w:t>
      </w:r>
      <w:r>
        <w:rPr>
          <w:szCs w:val="22"/>
        </w:rPr>
        <w:noBreakHyphen/>
        <w:t>aastased).</w:t>
      </w:r>
      <w:r>
        <w:rPr>
          <w:iCs/>
          <w:szCs w:val="22"/>
        </w:rPr>
        <w:t xml:space="preserve"> Osalejatele manustati pärast vähemalt 120</w:t>
      </w:r>
      <w:r>
        <w:rPr>
          <w:iCs/>
          <w:szCs w:val="22"/>
        </w:rPr>
        <w:noBreakHyphen/>
        <w:t xml:space="preserve">tunnist (5 päeva) elimineerimisperioodi ühekordne 50 RÜ/kg annus. Farmakokineetilised proovid võeti enne manustamist ning seejärel pärast manustamist 11 ajapunktis kuni 240 tunni (10 päeva) möödumiseni. </w:t>
      </w:r>
      <w:proofErr w:type="spellStart"/>
      <w:r>
        <w:rPr>
          <w:iCs/>
          <w:szCs w:val="22"/>
        </w:rPr>
        <w:t>Mittekompartmentanalüüsi</w:t>
      </w:r>
      <w:proofErr w:type="spellEnd"/>
      <w:r>
        <w:rPr>
          <w:iCs/>
          <w:szCs w:val="22"/>
        </w:rPr>
        <w:t xml:space="preserve"> farmakokineetilised parameetrid pärast </w:t>
      </w:r>
      <w:proofErr w:type="spellStart"/>
      <w:r>
        <w:rPr>
          <w:iCs/>
          <w:szCs w:val="22"/>
        </w:rPr>
        <w:t>ALPROLIX’i</w:t>
      </w:r>
      <w:proofErr w:type="spellEnd"/>
      <w:r>
        <w:rPr>
          <w:iCs/>
          <w:szCs w:val="22"/>
        </w:rPr>
        <w:t xml:space="preserve"> 50 RÜ/kg annuse manustamist on toodud tabelis 3.</w:t>
      </w:r>
    </w:p>
    <w:p w14:paraId="242BA699" w14:textId="77777777" w:rsidR="00A27A6F" w:rsidRDefault="00A27A6F">
      <w:pPr>
        <w:spacing w:line="240" w:lineRule="auto"/>
        <w:rPr>
          <w:szCs w:val="22"/>
        </w:rPr>
      </w:pPr>
    </w:p>
    <w:p w14:paraId="39A30ADB" w14:textId="77777777" w:rsidR="00A27A6F" w:rsidRDefault="002C0949">
      <w:pPr>
        <w:keepNext/>
        <w:shd w:val="clear" w:color="auto" w:fill="FFFFFF"/>
        <w:spacing w:line="240" w:lineRule="auto"/>
      </w:pPr>
      <w:r>
        <w:t xml:space="preserve">Tabel 3. </w:t>
      </w:r>
      <w:proofErr w:type="spellStart"/>
      <w:r>
        <w:t>ALPROLIX’i</w:t>
      </w:r>
      <w:proofErr w:type="spellEnd"/>
      <w:r>
        <w:t xml:space="preserve"> (annuses 50 RÜ/kg) farmakokineetilised parameetrid</w:t>
      </w:r>
    </w:p>
    <w:tbl>
      <w:tblPr>
        <w:tblW w:w="8931" w:type="dxa"/>
        <w:tblCellMar>
          <w:left w:w="0" w:type="dxa"/>
          <w:right w:w="0" w:type="dxa"/>
        </w:tblCellMar>
        <w:tblLook w:val="04A0" w:firstRow="1" w:lastRow="0" w:firstColumn="1" w:lastColumn="0" w:noHBand="0" w:noVBand="1"/>
      </w:tblPr>
      <w:tblGrid>
        <w:gridCol w:w="4395"/>
        <w:gridCol w:w="4536"/>
      </w:tblGrid>
      <w:tr w:rsidR="00A27A6F" w14:paraId="1827402F" w14:textId="77777777">
        <w:tc>
          <w:tcPr>
            <w:tcW w:w="4395"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3EE45424" w14:textId="77777777" w:rsidR="00A27A6F" w:rsidRDefault="002C0949">
            <w:pPr>
              <w:keepNext/>
              <w:spacing w:line="240" w:lineRule="auto"/>
              <w:jc w:val="center"/>
              <w:rPr>
                <w:sz w:val="20"/>
              </w:rPr>
            </w:pPr>
            <w:r>
              <w:rPr>
                <w:b/>
                <w:bCs/>
                <w:sz w:val="20"/>
              </w:rPr>
              <w:t>Farmakokineetilised parameetrid</w:t>
            </w:r>
            <w:r>
              <w:rPr>
                <w:b/>
                <w:bCs/>
                <w:sz w:val="20"/>
                <w:vertAlign w:val="superscript"/>
              </w:rPr>
              <w:t>1</w:t>
            </w:r>
          </w:p>
          <w:p w14:paraId="587CC816" w14:textId="77777777" w:rsidR="00A27A6F" w:rsidRDefault="00A27A6F">
            <w:pPr>
              <w:keepNext/>
              <w:spacing w:line="240" w:lineRule="auto"/>
              <w:rPr>
                <w:sz w:val="20"/>
              </w:rPr>
            </w:pP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614DA1F" w14:textId="77777777" w:rsidR="00A27A6F" w:rsidRDefault="002C0949">
            <w:pPr>
              <w:keepNext/>
              <w:spacing w:line="240" w:lineRule="auto"/>
              <w:jc w:val="center"/>
              <w:rPr>
                <w:b/>
                <w:bCs/>
                <w:sz w:val="20"/>
              </w:rPr>
            </w:pPr>
            <w:r>
              <w:rPr>
                <w:b/>
                <w:bCs/>
                <w:sz w:val="20"/>
              </w:rPr>
              <w:t xml:space="preserve">ALPROLIX </w:t>
            </w:r>
          </w:p>
          <w:p w14:paraId="2900A0D8" w14:textId="77777777" w:rsidR="00A27A6F" w:rsidRDefault="002C0949">
            <w:pPr>
              <w:keepNext/>
              <w:spacing w:line="240" w:lineRule="auto"/>
              <w:jc w:val="center"/>
              <w:rPr>
                <w:sz w:val="20"/>
              </w:rPr>
            </w:pPr>
            <w:r>
              <w:rPr>
                <w:b/>
                <w:bCs/>
                <w:sz w:val="20"/>
              </w:rPr>
              <w:t>(95% CI)</w:t>
            </w:r>
          </w:p>
        </w:tc>
      </w:tr>
      <w:tr w:rsidR="00A27A6F" w14:paraId="630FCBDA" w14:textId="77777777">
        <w:tc>
          <w:tcPr>
            <w:tcW w:w="4395"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4D60A04" w14:textId="77777777" w:rsidR="00A27A6F" w:rsidRDefault="00A27A6F">
            <w:pPr>
              <w:keepNext/>
              <w:spacing w:line="240" w:lineRule="auto"/>
              <w:rPr>
                <w:sz w:val="20"/>
              </w:rPr>
            </w:pP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24B051C" w14:textId="77777777" w:rsidR="00A27A6F" w:rsidRDefault="002C0949">
            <w:pPr>
              <w:keepNext/>
              <w:spacing w:line="240" w:lineRule="auto"/>
              <w:jc w:val="center"/>
              <w:rPr>
                <w:sz w:val="20"/>
              </w:rPr>
            </w:pPr>
            <w:r>
              <w:rPr>
                <w:bCs/>
                <w:sz w:val="20"/>
              </w:rPr>
              <w:t>N = 22</w:t>
            </w:r>
          </w:p>
        </w:tc>
      </w:tr>
      <w:tr w:rsidR="00A27A6F" w14:paraId="045C263B"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0C4B60" w14:textId="77777777" w:rsidR="00A27A6F" w:rsidRDefault="002C0949">
            <w:pPr>
              <w:keepNext/>
              <w:spacing w:line="240" w:lineRule="auto"/>
              <w:jc w:val="center"/>
              <w:rPr>
                <w:bCs/>
                <w:sz w:val="20"/>
              </w:rPr>
            </w:pPr>
            <w:r>
              <w:rPr>
                <w:bCs/>
                <w:kern w:val="24"/>
                <w:sz w:val="20"/>
              </w:rPr>
              <w:t>Astmeline taastumine (RÜ/dl RÜ/kg kohta)</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2B49245" w14:textId="77777777" w:rsidR="00A27A6F" w:rsidRDefault="002C0949">
            <w:pPr>
              <w:keepNext/>
              <w:spacing w:line="240" w:lineRule="auto"/>
              <w:jc w:val="center"/>
              <w:rPr>
                <w:bCs/>
                <w:sz w:val="20"/>
              </w:rPr>
            </w:pPr>
            <w:r>
              <w:rPr>
                <w:sz w:val="20"/>
              </w:rPr>
              <w:t>0,92</w:t>
            </w:r>
            <w:r>
              <w:rPr>
                <w:sz w:val="20"/>
              </w:rPr>
              <w:br/>
              <w:t>(0,77…1,10)</w:t>
            </w:r>
          </w:p>
        </w:tc>
      </w:tr>
      <w:tr w:rsidR="00A27A6F" w14:paraId="0570BB9D"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E334BA5" w14:textId="77777777" w:rsidR="00A27A6F" w:rsidRDefault="002C0949">
            <w:pPr>
              <w:keepNext/>
              <w:spacing w:line="240" w:lineRule="auto"/>
              <w:jc w:val="center"/>
              <w:rPr>
                <w:bCs/>
                <w:kern w:val="24"/>
                <w:sz w:val="20"/>
              </w:rPr>
            </w:pPr>
            <w:r>
              <w:rPr>
                <w:bCs/>
                <w:kern w:val="24"/>
                <w:sz w:val="20"/>
              </w:rPr>
              <w:t>AUC/annus</w:t>
            </w:r>
          </w:p>
          <w:p w14:paraId="70E9EB34" w14:textId="77777777" w:rsidR="00A27A6F" w:rsidRDefault="002C0949">
            <w:pPr>
              <w:keepNext/>
              <w:spacing w:line="240" w:lineRule="auto"/>
              <w:jc w:val="center"/>
              <w:rPr>
                <w:bCs/>
                <w:kern w:val="24"/>
                <w:sz w:val="20"/>
              </w:rPr>
            </w:pPr>
            <w:r>
              <w:rPr>
                <w:bCs/>
                <w:kern w:val="24"/>
                <w:sz w:val="20"/>
              </w:rPr>
              <w:t>(RÜ*h/dl RÜ/kg kohta)</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8F12A2B" w14:textId="77777777" w:rsidR="00A27A6F" w:rsidRDefault="002C0949">
            <w:pPr>
              <w:spacing w:line="240" w:lineRule="auto"/>
              <w:jc w:val="center"/>
              <w:rPr>
                <w:sz w:val="20"/>
              </w:rPr>
            </w:pPr>
            <w:r>
              <w:rPr>
                <w:sz w:val="20"/>
              </w:rPr>
              <w:t>31,58</w:t>
            </w:r>
          </w:p>
          <w:p w14:paraId="36EB8C43" w14:textId="77777777" w:rsidR="00A27A6F" w:rsidRDefault="002C0949">
            <w:pPr>
              <w:keepNext/>
              <w:spacing w:line="240" w:lineRule="auto"/>
              <w:jc w:val="center"/>
              <w:rPr>
                <w:bCs/>
                <w:kern w:val="24"/>
                <w:sz w:val="20"/>
              </w:rPr>
            </w:pPr>
            <w:r>
              <w:rPr>
                <w:sz w:val="20"/>
              </w:rPr>
              <w:t>(28,46…35,05)</w:t>
            </w:r>
          </w:p>
        </w:tc>
      </w:tr>
      <w:tr w:rsidR="00A27A6F" w14:paraId="472064BE"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0DA1E45" w14:textId="77777777" w:rsidR="00A27A6F" w:rsidRDefault="002C0949">
            <w:pPr>
              <w:keepNext/>
              <w:spacing w:line="240" w:lineRule="auto"/>
              <w:jc w:val="center"/>
              <w:rPr>
                <w:bCs/>
                <w:kern w:val="24"/>
                <w:sz w:val="20"/>
              </w:rPr>
            </w:pPr>
            <w:r>
              <w:rPr>
                <w:bCs/>
                <w:kern w:val="24"/>
                <w:sz w:val="20"/>
              </w:rPr>
              <w:t>C</w:t>
            </w:r>
            <w:r>
              <w:rPr>
                <w:bCs/>
                <w:kern w:val="24"/>
                <w:sz w:val="20"/>
                <w:vertAlign w:val="subscript"/>
              </w:rPr>
              <w:t>max</w:t>
            </w:r>
            <w:r>
              <w:rPr>
                <w:bCs/>
                <w:kern w:val="24"/>
                <w:sz w:val="20"/>
              </w:rPr>
              <w:t xml:space="preserve"> (RÜ/dl)</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C82BA9" w14:textId="77777777" w:rsidR="00A27A6F" w:rsidRDefault="002C0949">
            <w:pPr>
              <w:spacing w:line="240" w:lineRule="auto"/>
              <w:jc w:val="center"/>
              <w:rPr>
                <w:sz w:val="20"/>
              </w:rPr>
            </w:pPr>
            <w:r>
              <w:rPr>
                <w:sz w:val="20"/>
              </w:rPr>
              <w:t>46,10</w:t>
            </w:r>
          </w:p>
          <w:p w14:paraId="4C3FD021" w14:textId="77777777" w:rsidR="00A27A6F" w:rsidRDefault="002C0949">
            <w:pPr>
              <w:keepNext/>
              <w:spacing w:line="240" w:lineRule="auto"/>
              <w:jc w:val="center"/>
              <w:rPr>
                <w:bCs/>
                <w:sz w:val="20"/>
              </w:rPr>
            </w:pPr>
            <w:r>
              <w:rPr>
                <w:sz w:val="20"/>
              </w:rPr>
              <w:t>(38,56…55,11)</w:t>
            </w:r>
          </w:p>
        </w:tc>
      </w:tr>
      <w:tr w:rsidR="00A27A6F" w14:paraId="0FF5AFC4"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0C5B64C" w14:textId="77777777" w:rsidR="00A27A6F" w:rsidRDefault="002C0949">
            <w:pPr>
              <w:keepNext/>
              <w:spacing w:line="240" w:lineRule="auto"/>
              <w:jc w:val="center"/>
              <w:rPr>
                <w:sz w:val="20"/>
              </w:rPr>
            </w:pPr>
            <w:r>
              <w:rPr>
                <w:bCs/>
                <w:sz w:val="20"/>
              </w:rPr>
              <w:t>CL (ml/h/kg)</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BEF6350" w14:textId="77777777" w:rsidR="00A27A6F" w:rsidRDefault="002C0949">
            <w:pPr>
              <w:spacing w:line="240" w:lineRule="auto"/>
              <w:jc w:val="center"/>
              <w:rPr>
                <w:sz w:val="20"/>
              </w:rPr>
            </w:pPr>
            <w:r>
              <w:rPr>
                <w:sz w:val="20"/>
              </w:rPr>
              <w:t>3,17</w:t>
            </w:r>
          </w:p>
          <w:p w14:paraId="29C1EEDF" w14:textId="77777777" w:rsidR="00A27A6F" w:rsidRDefault="002C0949">
            <w:pPr>
              <w:keepNext/>
              <w:spacing w:line="240" w:lineRule="auto"/>
              <w:jc w:val="center"/>
              <w:rPr>
                <w:sz w:val="20"/>
              </w:rPr>
            </w:pPr>
            <w:r>
              <w:rPr>
                <w:sz w:val="20"/>
              </w:rPr>
              <w:t>(2,85…3,51)</w:t>
            </w:r>
          </w:p>
        </w:tc>
      </w:tr>
      <w:tr w:rsidR="00A27A6F" w14:paraId="69630E10"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F64A201" w14:textId="77777777" w:rsidR="00A27A6F" w:rsidRDefault="002C0949">
            <w:pPr>
              <w:keepNext/>
              <w:spacing w:line="240" w:lineRule="auto"/>
              <w:jc w:val="center"/>
              <w:rPr>
                <w:sz w:val="20"/>
              </w:rPr>
            </w:pPr>
            <w:r>
              <w:rPr>
                <w:bCs/>
                <w:sz w:val="20"/>
              </w:rPr>
              <w:t>t</w:t>
            </w:r>
            <w:r>
              <w:rPr>
                <w:bCs/>
                <w:sz w:val="20"/>
                <w:vertAlign w:val="subscript"/>
              </w:rPr>
              <w:t>½</w:t>
            </w:r>
            <w:r>
              <w:rPr>
                <w:bCs/>
                <w:sz w:val="20"/>
              </w:rPr>
              <w:t xml:space="preserve"> (h)</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2A7FC39" w14:textId="77777777" w:rsidR="00A27A6F" w:rsidRDefault="002C0949">
            <w:pPr>
              <w:spacing w:line="240" w:lineRule="auto"/>
              <w:jc w:val="center"/>
              <w:rPr>
                <w:sz w:val="20"/>
              </w:rPr>
            </w:pPr>
            <w:r>
              <w:rPr>
                <w:sz w:val="20"/>
              </w:rPr>
              <w:t>77,60</w:t>
            </w:r>
          </w:p>
          <w:p w14:paraId="7183D3D9" w14:textId="77777777" w:rsidR="00A27A6F" w:rsidRDefault="002C0949">
            <w:pPr>
              <w:keepNext/>
              <w:spacing w:line="240" w:lineRule="auto"/>
              <w:jc w:val="center"/>
              <w:rPr>
                <w:sz w:val="20"/>
              </w:rPr>
            </w:pPr>
            <w:r>
              <w:rPr>
                <w:sz w:val="20"/>
              </w:rPr>
              <w:t>(70,05…85,95)</w:t>
            </w:r>
          </w:p>
        </w:tc>
      </w:tr>
      <w:tr w:rsidR="00A27A6F" w14:paraId="5DF8388F"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81F5AC0" w14:textId="77777777" w:rsidR="00A27A6F" w:rsidRDefault="002C0949">
            <w:pPr>
              <w:keepNext/>
              <w:spacing w:line="240" w:lineRule="auto"/>
              <w:jc w:val="center"/>
              <w:rPr>
                <w:bCs/>
                <w:sz w:val="20"/>
              </w:rPr>
            </w:pPr>
            <w:r>
              <w:rPr>
                <w:bCs/>
                <w:sz w:val="20"/>
              </w:rPr>
              <w:t>t</w:t>
            </w:r>
            <w:r>
              <w:rPr>
                <w:bCs/>
                <w:sz w:val="20"/>
                <w:vertAlign w:val="subscript"/>
              </w:rPr>
              <w:t>½α</w:t>
            </w:r>
            <w:r>
              <w:rPr>
                <w:bCs/>
                <w:sz w:val="20"/>
              </w:rPr>
              <w:t xml:space="preserve"> (h)</w:t>
            </w:r>
            <w:r>
              <w:rPr>
                <w:bCs/>
                <w:sz w:val="20"/>
                <w:vertAlign w:val="superscript"/>
              </w:rPr>
              <w:t>2</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5E9308D" w14:textId="77777777" w:rsidR="00A27A6F" w:rsidRDefault="002C0949">
            <w:pPr>
              <w:spacing w:line="240" w:lineRule="auto"/>
              <w:jc w:val="center"/>
              <w:rPr>
                <w:sz w:val="20"/>
              </w:rPr>
            </w:pPr>
            <w:r>
              <w:rPr>
                <w:sz w:val="20"/>
              </w:rPr>
              <w:t>5,03</w:t>
            </w:r>
            <w:r>
              <w:rPr>
                <w:sz w:val="20"/>
              </w:rPr>
              <w:br/>
              <w:t>(3,20…7,89)</w:t>
            </w:r>
          </w:p>
        </w:tc>
      </w:tr>
      <w:tr w:rsidR="00A27A6F" w14:paraId="0EF0AA40"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69EADA7" w14:textId="77777777" w:rsidR="00A27A6F" w:rsidRDefault="002C0949">
            <w:pPr>
              <w:keepNext/>
              <w:spacing w:line="240" w:lineRule="auto"/>
              <w:jc w:val="center"/>
              <w:rPr>
                <w:bCs/>
                <w:sz w:val="20"/>
              </w:rPr>
            </w:pPr>
            <w:r>
              <w:rPr>
                <w:bCs/>
                <w:sz w:val="20"/>
              </w:rPr>
              <w:t>t</w:t>
            </w:r>
            <w:r>
              <w:rPr>
                <w:bCs/>
                <w:sz w:val="20"/>
                <w:vertAlign w:val="subscript"/>
              </w:rPr>
              <w:t>½β</w:t>
            </w:r>
            <w:r>
              <w:rPr>
                <w:bCs/>
                <w:sz w:val="20"/>
              </w:rPr>
              <w:t xml:space="preserve"> (h)</w:t>
            </w:r>
            <w:r>
              <w:rPr>
                <w:bCs/>
                <w:sz w:val="20"/>
                <w:vertAlign w:val="superscript"/>
              </w:rPr>
              <w:t>2</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078A221" w14:textId="77777777" w:rsidR="00A27A6F" w:rsidRDefault="002C0949">
            <w:pPr>
              <w:spacing w:line="240" w:lineRule="auto"/>
              <w:jc w:val="center"/>
              <w:rPr>
                <w:sz w:val="20"/>
              </w:rPr>
            </w:pPr>
            <w:r>
              <w:rPr>
                <w:sz w:val="20"/>
              </w:rPr>
              <w:t>82,12</w:t>
            </w:r>
            <w:r>
              <w:rPr>
                <w:sz w:val="20"/>
              </w:rPr>
              <w:br/>
              <w:t>(71,39…94,46)</w:t>
            </w:r>
          </w:p>
        </w:tc>
      </w:tr>
      <w:tr w:rsidR="00A27A6F" w14:paraId="31159F8D"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C0200F" w14:textId="77777777" w:rsidR="00A27A6F" w:rsidRDefault="002C0949">
            <w:pPr>
              <w:keepNext/>
              <w:spacing w:line="240" w:lineRule="auto"/>
              <w:jc w:val="center"/>
              <w:rPr>
                <w:bCs/>
                <w:sz w:val="20"/>
              </w:rPr>
            </w:pPr>
            <w:r>
              <w:rPr>
                <w:bCs/>
                <w:kern w:val="24"/>
                <w:sz w:val="20"/>
              </w:rPr>
              <w:t>MRT (h)</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29AABE1" w14:textId="77777777" w:rsidR="00A27A6F" w:rsidRDefault="002C0949">
            <w:pPr>
              <w:spacing w:line="240" w:lineRule="auto"/>
              <w:jc w:val="center"/>
              <w:rPr>
                <w:sz w:val="20"/>
              </w:rPr>
            </w:pPr>
            <w:r>
              <w:rPr>
                <w:sz w:val="20"/>
              </w:rPr>
              <w:t>95,82</w:t>
            </w:r>
          </w:p>
          <w:p w14:paraId="02C094B5" w14:textId="77777777" w:rsidR="00A27A6F" w:rsidRDefault="002C0949">
            <w:pPr>
              <w:keepNext/>
              <w:spacing w:line="240" w:lineRule="auto"/>
              <w:jc w:val="center"/>
              <w:rPr>
                <w:bCs/>
                <w:sz w:val="20"/>
              </w:rPr>
            </w:pPr>
            <w:r>
              <w:rPr>
                <w:sz w:val="20"/>
              </w:rPr>
              <w:t>(88,44…106,21)</w:t>
            </w:r>
          </w:p>
        </w:tc>
      </w:tr>
      <w:tr w:rsidR="00A27A6F" w14:paraId="470D1A35"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596ACC0" w14:textId="77777777" w:rsidR="00A27A6F" w:rsidRDefault="002C0949">
            <w:pPr>
              <w:keepNext/>
              <w:spacing w:line="240" w:lineRule="auto"/>
              <w:jc w:val="center"/>
              <w:rPr>
                <w:sz w:val="20"/>
              </w:rPr>
            </w:pPr>
            <w:proofErr w:type="spellStart"/>
            <w:r>
              <w:rPr>
                <w:bCs/>
                <w:sz w:val="20"/>
              </w:rPr>
              <w:t>V</w:t>
            </w:r>
            <w:r>
              <w:rPr>
                <w:bCs/>
                <w:sz w:val="20"/>
                <w:vertAlign w:val="subscript"/>
              </w:rPr>
              <w:t>ss</w:t>
            </w:r>
            <w:proofErr w:type="spellEnd"/>
            <w:r>
              <w:rPr>
                <w:bCs/>
                <w:sz w:val="20"/>
              </w:rPr>
              <w:t xml:space="preserve"> (ml/kg)</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06E0D5B" w14:textId="77777777" w:rsidR="00A27A6F" w:rsidRDefault="002C0949">
            <w:pPr>
              <w:spacing w:line="240" w:lineRule="auto"/>
              <w:jc w:val="center"/>
              <w:rPr>
                <w:sz w:val="20"/>
              </w:rPr>
            </w:pPr>
            <w:r>
              <w:rPr>
                <w:sz w:val="20"/>
              </w:rPr>
              <w:t>303,4</w:t>
            </w:r>
          </w:p>
          <w:p w14:paraId="39031A1A" w14:textId="77777777" w:rsidR="00A27A6F" w:rsidRDefault="002C0949">
            <w:pPr>
              <w:keepNext/>
              <w:spacing w:line="240" w:lineRule="auto"/>
              <w:jc w:val="center"/>
              <w:rPr>
                <w:sz w:val="20"/>
              </w:rPr>
            </w:pPr>
            <w:r>
              <w:rPr>
                <w:sz w:val="20"/>
              </w:rPr>
              <w:t>(275,1…334,6)</w:t>
            </w:r>
          </w:p>
        </w:tc>
      </w:tr>
      <w:tr w:rsidR="00A27A6F" w14:paraId="1D0ACCA6" w14:textId="77777777">
        <w:tc>
          <w:tcPr>
            <w:tcW w:w="4395"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B33706" w14:textId="77777777" w:rsidR="00A27A6F" w:rsidRDefault="002C0949">
            <w:pPr>
              <w:keepNext/>
              <w:spacing w:line="240" w:lineRule="auto"/>
              <w:jc w:val="center"/>
              <w:rPr>
                <w:bCs/>
                <w:sz w:val="20"/>
              </w:rPr>
            </w:pPr>
            <w:r>
              <w:rPr>
                <w:bCs/>
                <w:sz w:val="20"/>
              </w:rPr>
              <w:t>Aeg 1%-</w:t>
            </w:r>
            <w:proofErr w:type="spellStart"/>
            <w:r>
              <w:rPr>
                <w:bCs/>
                <w:sz w:val="20"/>
              </w:rPr>
              <w:t>ni</w:t>
            </w:r>
            <w:proofErr w:type="spellEnd"/>
            <w:r>
              <w:rPr>
                <w:bCs/>
                <w:sz w:val="20"/>
              </w:rPr>
              <w:t xml:space="preserve"> (päeva)</w:t>
            </w:r>
            <w:r>
              <w:rPr>
                <w:bCs/>
                <w:sz w:val="20"/>
                <w:vertAlign w:val="superscript"/>
              </w:rPr>
              <w:t>2</w:t>
            </w:r>
          </w:p>
        </w:tc>
        <w:tc>
          <w:tcPr>
            <w:tcW w:w="453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52BDDD" w14:textId="77777777" w:rsidR="00A27A6F" w:rsidRDefault="002C0949">
            <w:pPr>
              <w:spacing w:line="240" w:lineRule="auto"/>
              <w:jc w:val="center"/>
              <w:rPr>
                <w:sz w:val="20"/>
              </w:rPr>
            </w:pPr>
            <w:r>
              <w:rPr>
                <w:sz w:val="20"/>
              </w:rPr>
              <w:t xml:space="preserve">11,22 </w:t>
            </w:r>
          </w:p>
          <w:p w14:paraId="1B4ABB94" w14:textId="77777777" w:rsidR="00A27A6F" w:rsidRDefault="002C0949">
            <w:pPr>
              <w:spacing w:line="240" w:lineRule="auto"/>
              <w:jc w:val="center"/>
              <w:rPr>
                <w:sz w:val="20"/>
              </w:rPr>
            </w:pPr>
            <w:r>
              <w:rPr>
                <w:sz w:val="20"/>
              </w:rPr>
              <w:t>(10,20…12,35)</w:t>
            </w:r>
          </w:p>
        </w:tc>
      </w:tr>
    </w:tbl>
    <w:p w14:paraId="4259B267" w14:textId="77777777" w:rsidR="00A27A6F" w:rsidRDefault="002C0949">
      <w:pPr>
        <w:autoSpaceDE w:val="0"/>
        <w:autoSpaceDN w:val="0"/>
        <w:adjustRightInd w:val="0"/>
        <w:spacing w:line="240" w:lineRule="auto"/>
        <w:rPr>
          <w:sz w:val="18"/>
          <w:szCs w:val="18"/>
        </w:rPr>
      </w:pPr>
      <w:r>
        <w:rPr>
          <w:sz w:val="18"/>
          <w:szCs w:val="18"/>
          <w:vertAlign w:val="superscript"/>
        </w:rPr>
        <w:t>1</w:t>
      </w:r>
      <w:r>
        <w:rPr>
          <w:sz w:val="18"/>
          <w:szCs w:val="18"/>
        </w:rPr>
        <w:t xml:space="preserve"> Farmakokineetilised parameetrid on toodud geomeetrilise keskmisena (95% CI)</w:t>
      </w:r>
    </w:p>
    <w:p w14:paraId="061DF8CE" w14:textId="77777777" w:rsidR="00A27A6F" w:rsidRDefault="002C0949">
      <w:pPr>
        <w:autoSpaceDE w:val="0"/>
        <w:autoSpaceDN w:val="0"/>
        <w:adjustRightInd w:val="0"/>
        <w:spacing w:line="240" w:lineRule="auto"/>
        <w:rPr>
          <w:sz w:val="18"/>
          <w:szCs w:val="18"/>
        </w:rPr>
      </w:pPr>
      <w:r>
        <w:rPr>
          <w:sz w:val="18"/>
          <w:szCs w:val="18"/>
          <w:vertAlign w:val="superscript"/>
        </w:rPr>
        <w:t xml:space="preserve">2 </w:t>
      </w:r>
      <w:r>
        <w:rPr>
          <w:sz w:val="18"/>
          <w:szCs w:val="18"/>
        </w:rPr>
        <w:t xml:space="preserve">Need farmakokineetilised parameetrid saadi </w:t>
      </w:r>
      <w:proofErr w:type="spellStart"/>
      <w:r>
        <w:rPr>
          <w:sz w:val="18"/>
          <w:szCs w:val="18"/>
        </w:rPr>
        <w:t>kompartmentanalüüsimisel</w:t>
      </w:r>
      <w:proofErr w:type="spellEnd"/>
    </w:p>
    <w:p w14:paraId="46DEB314" w14:textId="307D8B51" w:rsidR="00A27A6F" w:rsidRDefault="002C0949">
      <w:pPr>
        <w:numPr>
          <w:ilvl w:val="12"/>
          <w:numId w:val="0"/>
        </w:numPr>
        <w:spacing w:line="240" w:lineRule="auto"/>
        <w:ind w:right="-2"/>
        <w:rPr>
          <w:sz w:val="18"/>
          <w:szCs w:val="18"/>
        </w:rPr>
      </w:pPr>
      <w:r>
        <w:rPr>
          <w:b/>
          <w:sz w:val="18"/>
          <w:szCs w:val="18"/>
        </w:rPr>
        <w:t>Lühendid</w:t>
      </w:r>
      <w:r>
        <w:rPr>
          <w:sz w:val="18"/>
          <w:szCs w:val="18"/>
        </w:rPr>
        <w:t>: CI = usaldusvahemik; C</w:t>
      </w:r>
      <w:r>
        <w:rPr>
          <w:sz w:val="18"/>
          <w:szCs w:val="18"/>
          <w:vertAlign w:val="subscript"/>
        </w:rPr>
        <w:t>max</w:t>
      </w:r>
      <w:r>
        <w:rPr>
          <w:sz w:val="18"/>
          <w:szCs w:val="18"/>
        </w:rPr>
        <w:t>= maksimaalne aktiivsus</w:t>
      </w:r>
      <w:r>
        <w:rPr>
          <w:bCs/>
          <w:kern w:val="24"/>
          <w:sz w:val="18"/>
          <w:szCs w:val="18"/>
        </w:rPr>
        <w:t>;</w:t>
      </w:r>
      <w:r>
        <w:rPr>
          <w:sz w:val="18"/>
          <w:szCs w:val="18"/>
        </w:rPr>
        <w:t xml:space="preserve"> AUC = IX faktori aktiivsuse kõveraalune pindala, </w:t>
      </w:r>
      <w:r>
        <w:rPr>
          <w:bCs/>
          <w:sz w:val="18"/>
          <w:szCs w:val="18"/>
        </w:rPr>
        <w:t>t</w:t>
      </w:r>
      <w:r>
        <w:rPr>
          <w:bCs/>
          <w:sz w:val="18"/>
          <w:szCs w:val="18"/>
          <w:vertAlign w:val="subscript"/>
        </w:rPr>
        <w:t>½</w:t>
      </w:r>
      <w:r>
        <w:rPr>
          <w:sz w:val="18"/>
          <w:szCs w:val="18"/>
        </w:rPr>
        <w:t>= poolväärtusaeg;</w:t>
      </w:r>
      <w:r>
        <w:rPr>
          <w:bCs/>
          <w:sz w:val="18"/>
          <w:szCs w:val="18"/>
        </w:rPr>
        <w:t xml:space="preserve"> t</w:t>
      </w:r>
      <w:r>
        <w:rPr>
          <w:bCs/>
          <w:sz w:val="18"/>
          <w:szCs w:val="18"/>
          <w:vertAlign w:val="subscript"/>
        </w:rPr>
        <w:t>½α</w:t>
      </w:r>
      <w:r>
        <w:rPr>
          <w:b/>
          <w:bCs/>
          <w:sz w:val="18"/>
          <w:szCs w:val="18"/>
        </w:rPr>
        <w:t xml:space="preserve"> </w:t>
      </w:r>
      <w:r>
        <w:rPr>
          <w:sz w:val="18"/>
          <w:szCs w:val="18"/>
        </w:rPr>
        <w:t xml:space="preserve">= jaotumise poolväärtusaeg; </w:t>
      </w:r>
      <w:r>
        <w:rPr>
          <w:bCs/>
          <w:sz w:val="18"/>
          <w:szCs w:val="18"/>
        </w:rPr>
        <w:t>t</w:t>
      </w:r>
      <w:r>
        <w:rPr>
          <w:bCs/>
          <w:sz w:val="18"/>
          <w:szCs w:val="18"/>
          <w:vertAlign w:val="subscript"/>
        </w:rPr>
        <w:t>½β</w:t>
      </w:r>
      <w:r>
        <w:rPr>
          <w:b/>
          <w:bCs/>
          <w:sz w:val="18"/>
          <w:szCs w:val="18"/>
        </w:rPr>
        <w:t xml:space="preserve"> </w:t>
      </w:r>
      <w:r>
        <w:rPr>
          <w:sz w:val="18"/>
          <w:szCs w:val="18"/>
        </w:rPr>
        <w:t xml:space="preserve">= eritumise poolväärtusaeg; CL = kliirens; </w:t>
      </w:r>
      <w:proofErr w:type="spellStart"/>
      <w:r>
        <w:rPr>
          <w:sz w:val="18"/>
          <w:szCs w:val="18"/>
        </w:rPr>
        <w:t>V</w:t>
      </w:r>
      <w:r>
        <w:rPr>
          <w:sz w:val="18"/>
          <w:szCs w:val="18"/>
          <w:vertAlign w:val="subscript"/>
        </w:rPr>
        <w:t>ss</w:t>
      </w:r>
      <w:proofErr w:type="spellEnd"/>
      <w:r>
        <w:rPr>
          <w:sz w:val="18"/>
          <w:szCs w:val="18"/>
        </w:rPr>
        <w:t xml:space="preserve"> = jaotusruumala </w:t>
      </w:r>
      <w:r w:rsidR="009F49A8" w:rsidRPr="009F49A8">
        <w:rPr>
          <w:sz w:val="18"/>
          <w:szCs w:val="18"/>
        </w:rPr>
        <w:t>tasakaalu</w:t>
      </w:r>
      <w:r>
        <w:rPr>
          <w:sz w:val="18"/>
          <w:szCs w:val="18"/>
        </w:rPr>
        <w:t>kontsentratsiooni tingimustes; MRT = keskmine organismis viibimise aeg.</w:t>
      </w:r>
    </w:p>
    <w:p w14:paraId="6888E19A" w14:textId="77777777" w:rsidR="00A27A6F" w:rsidRDefault="00A27A6F">
      <w:pPr>
        <w:numPr>
          <w:ilvl w:val="12"/>
          <w:numId w:val="0"/>
        </w:numPr>
        <w:spacing w:line="240" w:lineRule="auto"/>
        <w:ind w:right="-2"/>
        <w:rPr>
          <w:b/>
        </w:rPr>
      </w:pPr>
    </w:p>
    <w:p w14:paraId="6643BAE4" w14:textId="5B565E24" w:rsidR="00A27A6F" w:rsidRDefault="00151E7C">
      <w:pPr>
        <w:numPr>
          <w:ilvl w:val="12"/>
          <w:numId w:val="0"/>
        </w:numPr>
        <w:spacing w:line="240" w:lineRule="auto"/>
        <w:ind w:right="-2"/>
        <w:rPr>
          <w:sz w:val="16"/>
          <w:szCs w:val="16"/>
        </w:rPr>
      </w:pPr>
      <w:r>
        <w:t>E</w:t>
      </w:r>
      <w:r w:rsidR="002C0949">
        <w:t xml:space="preserve">ritumise poolväärtusaega (82 h) mõjutab </w:t>
      </w:r>
      <w:proofErr w:type="spellStart"/>
      <w:r w:rsidR="002C0949">
        <w:t>Fc</w:t>
      </w:r>
      <w:proofErr w:type="spellEnd"/>
      <w:r w:rsidR="002C0949">
        <w:t xml:space="preserve"> piirkond, mida loomkatsete andmeil vahendavad </w:t>
      </w:r>
      <w:proofErr w:type="spellStart"/>
      <w:r w:rsidR="002C0949">
        <w:t>neonataalse</w:t>
      </w:r>
      <w:proofErr w:type="spellEnd"/>
      <w:r w:rsidR="002C0949">
        <w:t xml:space="preserve"> </w:t>
      </w:r>
      <w:proofErr w:type="spellStart"/>
      <w:r w:rsidR="002C0949">
        <w:t>Fc</w:t>
      </w:r>
      <w:proofErr w:type="spellEnd"/>
      <w:r w:rsidR="002C0949">
        <w:t> retseptori ainevahetuse rajad.</w:t>
      </w:r>
    </w:p>
    <w:p w14:paraId="4F65B6E3" w14:textId="77777777" w:rsidR="00A27A6F" w:rsidRDefault="00A27A6F">
      <w:pPr>
        <w:numPr>
          <w:ilvl w:val="12"/>
          <w:numId w:val="0"/>
        </w:numPr>
        <w:spacing w:line="240" w:lineRule="auto"/>
        <w:ind w:right="-2"/>
        <w:rPr>
          <w:b/>
        </w:rPr>
      </w:pPr>
    </w:p>
    <w:p w14:paraId="0C25F830" w14:textId="1FDCEBE1" w:rsidR="00A27A6F" w:rsidRDefault="002C0949">
      <w:pPr>
        <w:numPr>
          <w:ilvl w:val="12"/>
          <w:numId w:val="0"/>
        </w:numPr>
        <w:spacing w:line="240" w:lineRule="auto"/>
        <w:ind w:right="-2"/>
      </w:pPr>
      <w:r>
        <w:t>Populatsiooni farmakokineetilise mudeli väljatöötamisel lähtuti FIX aktiivsuse andmetest, mis pärinesid kõigilt kolmes kliinilises uuringus osalenud 161 osalejalt (12 osalejat 1/2a faasi uuringus, 123 osalejat uuringus I ja 26 osalejat uuringus II) kõigis vanuserühmades (2...76</w:t>
      </w:r>
      <w:r>
        <w:noBreakHyphen/>
        <w:t xml:space="preserve">aastased), kehakaaluga vahemikus 12,5...186,7 kg. </w:t>
      </w:r>
      <w:r w:rsidR="009E3D5E">
        <w:t>H</w:t>
      </w:r>
      <w:r>
        <w:t xml:space="preserve">innanguline kliirens tüüpilisel 70 kg kaaluval täiskasvanul on 2,30 dl/h ning jaotusruumala </w:t>
      </w:r>
      <w:r w:rsidR="009F49A8" w:rsidRPr="009F49A8">
        <w:rPr>
          <w:szCs w:val="22"/>
        </w:rPr>
        <w:t>tasakaalu</w:t>
      </w:r>
      <w:r>
        <w:t xml:space="preserve">kontsentratsiooni tingimustes on 194,8 dl. Täheldatud keskmine (SD) toimeaja profiil pärast </w:t>
      </w:r>
      <w:proofErr w:type="spellStart"/>
      <w:r>
        <w:t>ALPROLIX’i</w:t>
      </w:r>
      <w:proofErr w:type="spellEnd"/>
      <w:r>
        <w:t xml:space="preserve"> ühekordset annust raske B</w:t>
      </w:r>
      <w:r>
        <w:noBreakHyphen/>
        <w:t>hemofiiliaga patsientidel on toodud allpool (vt tabel 4).</w:t>
      </w:r>
    </w:p>
    <w:p w14:paraId="27AEF51F" w14:textId="77777777" w:rsidR="00A27A6F" w:rsidRDefault="00A27A6F">
      <w:pPr>
        <w:spacing w:line="240" w:lineRule="auto"/>
      </w:pPr>
    </w:p>
    <w:p w14:paraId="7DFE7C20" w14:textId="692FEFF0" w:rsidR="00A27A6F" w:rsidRDefault="002C0949">
      <w:pPr>
        <w:keepNext/>
        <w:spacing w:line="240" w:lineRule="auto"/>
        <w:ind w:left="851" w:hanging="851"/>
        <w:rPr>
          <w:rStyle w:val="caption-h"/>
        </w:rPr>
      </w:pPr>
      <w:r>
        <w:rPr>
          <w:rStyle w:val="caption-h"/>
        </w:rPr>
        <w:lastRenderedPageBreak/>
        <w:t>Tabel 4. Täheldatud keskmine (SD) FIX aktiivsus (RÜ/dl) pärast ALPROLIX’i</w:t>
      </w:r>
      <w:r w:rsidRPr="00C92342">
        <w:rPr>
          <w:rStyle w:val="caption-h"/>
          <w:vertAlign w:val="superscript"/>
        </w:rPr>
        <w:t>1</w:t>
      </w:r>
      <w:r>
        <w:rPr>
          <w:rStyle w:val="caption-h"/>
        </w:rPr>
        <w:t xml:space="preserve"> </w:t>
      </w:r>
      <w:r w:rsidR="00C92342">
        <w:rPr>
          <w:szCs w:val="22"/>
        </w:rPr>
        <w:t>(</w:t>
      </w:r>
      <w:proofErr w:type="spellStart"/>
      <w:r w:rsidR="00C92342">
        <w:rPr>
          <w:szCs w:val="22"/>
        </w:rPr>
        <w:t>rFIXFc</w:t>
      </w:r>
      <w:proofErr w:type="spellEnd"/>
      <w:r w:rsidR="00C92342">
        <w:rPr>
          <w:szCs w:val="22"/>
        </w:rPr>
        <w:t xml:space="preserve">) </w:t>
      </w:r>
      <w:r>
        <w:rPr>
          <w:rStyle w:val="caption-h"/>
        </w:rPr>
        <w:t>ühekordset annust ≥ 12</w:t>
      </w:r>
      <w:r>
        <w:rPr>
          <w:rStyle w:val="caption-h"/>
        </w:rPr>
        <w:noBreakHyphen/>
        <w:t xml:space="preserve">aastastel patsientidel </w:t>
      </w:r>
    </w:p>
    <w:tbl>
      <w:tblPr>
        <w:tblW w:w="4950" w:type="pct"/>
        <w:tblInd w:w="18" w:type="dxa"/>
        <w:tblLook w:val="04A0" w:firstRow="1" w:lastRow="0" w:firstColumn="1" w:lastColumn="0" w:noHBand="0" w:noVBand="1"/>
      </w:tblPr>
      <w:tblGrid>
        <w:gridCol w:w="836"/>
        <w:gridCol w:w="742"/>
        <w:gridCol w:w="680"/>
        <w:gridCol w:w="651"/>
        <w:gridCol w:w="634"/>
        <w:gridCol w:w="641"/>
        <w:gridCol w:w="641"/>
        <w:gridCol w:w="637"/>
        <w:gridCol w:w="786"/>
        <w:gridCol w:w="786"/>
        <w:gridCol w:w="786"/>
        <w:gridCol w:w="786"/>
        <w:gridCol w:w="651"/>
      </w:tblGrid>
      <w:tr w:rsidR="00A27A6F" w:rsidRPr="00C92342" w14:paraId="2F4A7C5F" w14:textId="77777777">
        <w:trPr>
          <w:trHeight w:val="683"/>
        </w:trPr>
        <w:tc>
          <w:tcPr>
            <w:tcW w:w="319" w:type="pct"/>
            <w:tcBorders>
              <w:top w:val="single" w:sz="4" w:space="0" w:color="auto"/>
              <w:left w:val="single" w:sz="4" w:space="0" w:color="auto"/>
              <w:bottom w:val="single" w:sz="4" w:space="0" w:color="000000"/>
              <w:right w:val="single" w:sz="4" w:space="0" w:color="auto"/>
            </w:tcBorders>
            <w:vAlign w:val="center"/>
            <w:hideMark/>
          </w:tcPr>
          <w:p w14:paraId="26ECDDF9" w14:textId="77777777" w:rsidR="00A27A6F" w:rsidRPr="00C92342" w:rsidRDefault="002C0949">
            <w:pPr>
              <w:keepNext/>
              <w:spacing w:line="240" w:lineRule="auto"/>
              <w:jc w:val="center"/>
              <w:rPr>
                <w:b/>
                <w:bCs/>
                <w:sz w:val="18"/>
                <w:szCs w:val="18"/>
              </w:rPr>
            </w:pPr>
            <w:r w:rsidRPr="00C92342">
              <w:rPr>
                <w:b/>
                <w:bCs/>
                <w:sz w:val="18"/>
                <w:szCs w:val="18"/>
              </w:rPr>
              <w:t>Annus (RÜ/kg)</w:t>
            </w:r>
          </w:p>
        </w:tc>
        <w:tc>
          <w:tcPr>
            <w:tcW w:w="438" w:type="pct"/>
            <w:tcBorders>
              <w:top w:val="single" w:sz="4" w:space="0" w:color="auto"/>
              <w:left w:val="nil"/>
              <w:bottom w:val="single" w:sz="4" w:space="0" w:color="auto"/>
              <w:right w:val="nil"/>
            </w:tcBorders>
            <w:vAlign w:val="center"/>
            <w:hideMark/>
          </w:tcPr>
          <w:p w14:paraId="680C6728" w14:textId="77777777" w:rsidR="00A27A6F" w:rsidRPr="00C92342" w:rsidRDefault="002C0949">
            <w:pPr>
              <w:keepNext/>
              <w:spacing w:line="240" w:lineRule="auto"/>
              <w:jc w:val="center"/>
              <w:rPr>
                <w:b/>
                <w:bCs/>
                <w:sz w:val="18"/>
                <w:szCs w:val="18"/>
                <w:vertAlign w:val="superscript"/>
              </w:rPr>
            </w:pPr>
            <w:r w:rsidRPr="00C92342">
              <w:rPr>
                <w:b/>
                <w:bCs/>
                <w:sz w:val="18"/>
                <w:szCs w:val="18"/>
              </w:rPr>
              <w:t>10 min</w:t>
            </w:r>
          </w:p>
        </w:tc>
        <w:tc>
          <w:tcPr>
            <w:tcW w:w="408" w:type="pct"/>
            <w:tcBorders>
              <w:top w:val="single" w:sz="4" w:space="0" w:color="auto"/>
              <w:left w:val="single" w:sz="4" w:space="0" w:color="auto"/>
              <w:bottom w:val="single" w:sz="4" w:space="0" w:color="auto"/>
              <w:right w:val="single" w:sz="4" w:space="0" w:color="auto"/>
            </w:tcBorders>
            <w:vAlign w:val="center"/>
            <w:hideMark/>
          </w:tcPr>
          <w:p w14:paraId="3EDE513B" w14:textId="77777777" w:rsidR="00A27A6F" w:rsidRPr="00C92342" w:rsidRDefault="002C0949">
            <w:pPr>
              <w:keepNext/>
              <w:spacing w:line="240" w:lineRule="auto"/>
              <w:jc w:val="center"/>
              <w:rPr>
                <w:b/>
                <w:bCs/>
                <w:sz w:val="18"/>
                <w:szCs w:val="18"/>
              </w:rPr>
            </w:pPr>
            <w:r w:rsidRPr="00C92342">
              <w:rPr>
                <w:b/>
                <w:bCs/>
                <w:sz w:val="18"/>
                <w:szCs w:val="18"/>
              </w:rPr>
              <w:t>1 h</w:t>
            </w:r>
          </w:p>
        </w:tc>
        <w:tc>
          <w:tcPr>
            <w:tcW w:w="385" w:type="pct"/>
            <w:tcBorders>
              <w:top w:val="single" w:sz="4" w:space="0" w:color="auto"/>
              <w:left w:val="nil"/>
              <w:bottom w:val="single" w:sz="4" w:space="0" w:color="auto"/>
              <w:right w:val="single" w:sz="4" w:space="0" w:color="auto"/>
            </w:tcBorders>
            <w:vAlign w:val="center"/>
            <w:hideMark/>
          </w:tcPr>
          <w:p w14:paraId="71DF2D41" w14:textId="77777777" w:rsidR="00A27A6F" w:rsidRPr="00C92342" w:rsidRDefault="002C0949">
            <w:pPr>
              <w:keepNext/>
              <w:spacing w:line="240" w:lineRule="auto"/>
              <w:jc w:val="center"/>
              <w:rPr>
                <w:b/>
                <w:bCs/>
                <w:sz w:val="18"/>
                <w:szCs w:val="18"/>
              </w:rPr>
            </w:pPr>
            <w:r w:rsidRPr="00C92342">
              <w:rPr>
                <w:b/>
                <w:bCs/>
                <w:sz w:val="18"/>
                <w:szCs w:val="18"/>
              </w:rPr>
              <w:t>3 h</w:t>
            </w:r>
          </w:p>
        </w:tc>
        <w:tc>
          <w:tcPr>
            <w:tcW w:w="385" w:type="pct"/>
            <w:tcBorders>
              <w:top w:val="single" w:sz="4" w:space="0" w:color="auto"/>
              <w:left w:val="nil"/>
              <w:bottom w:val="single" w:sz="4" w:space="0" w:color="auto"/>
              <w:right w:val="single" w:sz="4" w:space="0" w:color="auto"/>
            </w:tcBorders>
            <w:vAlign w:val="center"/>
            <w:hideMark/>
          </w:tcPr>
          <w:p w14:paraId="19D81B3D" w14:textId="77777777" w:rsidR="00A27A6F" w:rsidRPr="00C92342" w:rsidRDefault="002C0949">
            <w:pPr>
              <w:keepNext/>
              <w:spacing w:line="240" w:lineRule="auto"/>
              <w:jc w:val="center"/>
              <w:rPr>
                <w:b/>
                <w:bCs/>
                <w:sz w:val="18"/>
                <w:szCs w:val="18"/>
              </w:rPr>
            </w:pPr>
            <w:r w:rsidRPr="00C92342">
              <w:rPr>
                <w:b/>
                <w:bCs/>
                <w:sz w:val="18"/>
                <w:szCs w:val="18"/>
              </w:rPr>
              <w:t>6 h</w:t>
            </w:r>
          </w:p>
        </w:tc>
        <w:tc>
          <w:tcPr>
            <w:tcW w:w="385" w:type="pct"/>
            <w:tcBorders>
              <w:top w:val="single" w:sz="4" w:space="0" w:color="auto"/>
              <w:left w:val="nil"/>
              <w:bottom w:val="single" w:sz="4" w:space="0" w:color="auto"/>
              <w:right w:val="single" w:sz="4" w:space="0" w:color="auto"/>
            </w:tcBorders>
            <w:vAlign w:val="center"/>
            <w:hideMark/>
          </w:tcPr>
          <w:p w14:paraId="1299BA1F" w14:textId="77777777" w:rsidR="00A27A6F" w:rsidRPr="00C92342" w:rsidRDefault="002C0949">
            <w:pPr>
              <w:keepNext/>
              <w:spacing w:line="240" w:lineRule="auto"/>
              <w:jc w:val="center"/>
              <w:rPr>
                <w:b/>
                <w:bCs/>
                <w:sz w:val="18"/>
                <w:szCs w:val="18"/>
              </w:rPr>
            </w:pPr>
            <w:r w:rsidRPr="00C92342">
              <w:rPr>
                <w:b/>
                <w:bCs/>
                <w:sz w:val="18"/>
                <w:szCs w:val="18"/>
              </w:rPr>
              <w:t>24 h</w:t>
            </w:r>
          </w:p>
        </w:tc>
        <w:tc>
          <w:tcPr>
            <w:tcW w:w="385" w:type="pct"/>
            <w:tcBorders>
              <w:top w:val="single" w:sz="4" w:space="0" w:color="auto"/>
              <w:left w:val="nil"/>
              <w:bottom w:val="single" w:sz="4" w:space="0" w:color="auto"/>
              <w:right w:val="single" w:sz="4" w:space="0" w:color="auto"/>
            </w:tcBorders>
            <w:vAlign w:val="center"/>
            <w:hideMark/>
          </w:tcPr>
          <w:p w14:paraId="2E85EB43" w14:textId="77777777" w:rsidR="00A27A6F" w:rsidRPr="00C92342" w:rsidRDefault="002C0949">
            <w:pPr>
              <w:keepNext/>
              <w:spacing w:line="240" w:lineRule="auto"/>
              <w:jc w:val="center"/>
              <w:rPr>
                <w:b/>
                <w:bCs/>
                <w:sz w:val="18"/>
                <w:szCs w:val="18"/>
              </w:rPr>
            </w:pPr>
            <w:r w:rsidRPr="00C92342">
              <w:rPr>
                <w:b/>
                <w:bCs/>
                <w:sz w:val="18"/>
                <w:szCs w:val="18"/>
              </w:rPr>
              <w:t>48 h</w:t>
            </w:r>
          </w:p>
        </w:tc>
        <w:tc>
          <w:tcPr>
            <w:tcW w:w="383" w:type="pct"/>
            <w:tcBorders>
              <w:top w:val="single" w:sz="4" w:space="0" w:color="auto"/>
              <w:left w:val="nil"/>
              <w:bottom w:val="single" w:sz="4" w:space="0" w:color="auto"/>
              <w:right w:val="single" w:sz="4" w:space="0" w:color="auto"/>
            </w:tcBorders>
            <w:vAlign w:val="center"/>
            <w:hideMark/>
          </w:tcPr>
          <w:p w14:paraId="629F456D" w14:textId="77777777" w:rsidR="00A27A6F" w:rsidRPr="00C92342" w:rsidRDefault="002C0949">
            <w:pPr>
              <w:keepNext/>
              <w:spacing w:line="240" w:lineRule="auto"/>
              <w:jc w:val="center"/>
              <w:rPr>
                <w:b/>
                <w:bCs/>
                <w:sz w:val="18"/>
                <w:szCs w:val="18"/>
              </w:rPr>
            </w:pPr>
            <w:r w:rsidRPr="00C92342">
              <w:rPr>
                <w:b/>
                <w:bCs/>
                <w:sz w:val="18"/>
                <w:szCs w:val="18"/>
              </w:rPr>
              <w:t>96 h</w:t>
            </w:r>
          </w:p>
        </w:tc>
        <w:tc>
          <w:tcPr>
            <w:tcW w:w="383" w:type="pct"/>
            <w:tcBorders>
              <w:top w:val="single" w:sz="4" w:space="0" w:color="auto"/>
              <w:left w:val="nil"/>
              <w:bottom w:val="single" w:sz="4" w:space="0" w:color="auto"/>
              <w:right w:val="single" w:sz="4" w:space="0" w:color="auto"/>
            </w:tcBorders>
            <w:vAlign w:val="center"/>
            <w:hideMark/>
          </w:tcPr>
          <w:p w14:paraId="13374982" w14:textId="77777777" w:rsidR="00A27A6F" w:rsidRPr="00C92342" w:rsidRDefault="002C0949">
            <w:pPr>
              <w:keepNext/>
              <w:spacing w:line="240" w:lineRule="auto"/>
              <w:jc w:val="center"/>
              <w:rPr>
                <w:b/>
                <w:bCs/>
                <w:sz w:val="18"/>
                <w:szCs w:val="18"/>
              </w:rPr>
            </w:pPr>
            <w:r w:rsidRPr="00C92342">
              <w:rPr>
                <w:b/>
                <w:bCs/>
                <w:sz w:val="18"/>
                <w:szCs w:val="18"/>
              </w:rPr>
              <w:t>144 h</w:t>
            </w:r>
          </w:p>
        </w:tc>
        <w:tc>
          <w:tcPr>
            <w:tcW w:w="383" w:type="pct"/>
            <w:tcBorders>
              <w:top w:val="single" w:sz="4" w:space="0" w:color="auto"/>
              <w:left w:val="nil"/>
              <w:bottom w:val="single" w:sz="4" w:space="0" w:color="auto"/>
              <w:right w:val="single" w:sz="4" w:space="0" w:color="auto"/>
            </w:tcBorders>
            <w:vAlign w:val="center"/>
            <w:hideMark/>
          </w:tcPr>
          <w:p w14:paraId="4B0BAAB6" w14:textId="77777777" w:rsidR="00A27A6F" w:rsidRPr="00C92342" w:rsidRDefault="002C0949">
            <w:pPr>
              <w:keepNext/>
              <w:spacing w:line="240" w:lineRule="auto"/>
              <w:jc w:val="center"/>
              <w:rPr>
                <w:b/>
                <w:bCs/>
                <w:sz w:val="18"/>
                <w:szCs w:val="18"/>
              </w:rPr>
            </w:pPr>
            <w:r w:rsidRPr="00C92342">
              <w:rPr>
                <w:b/>
                <w:bCs/>
                <w:sz w:val="18"/>
                <w:szCs w:val="18"/>
              </w:rPr>
              <w:t>168 h</w:t>
            </w:r>
          </w:p>
        </w:tc>
        <w:tc>
          <w:tcPr>
            <w:tcW w:w="384" w:type="pct"/>
            <w:tcBorders>
              <w:top w:val="single" w:sz="4" w:space="0" w:color="auto"/>
              <w:left w:val="nil"/>
              <w:bottom w:val="single" w:sz="4" w:space="0" w:color="auto"/>
              <w:right w:val="single" w:sz="4" w:space="0" w:color="auto"/>
            </w:tcBorders>
            <w:vAlign w:val="center"/>
            <w:hideMark/>
          </w:tcPr>
          <w:p w14:paraId="19A0E196" w14:textId="77777777" w:rsidR="00A27A6F" w:rsidRPr="00C92342" w:rsidRDefault="002C0949">
            <w:pPr>
              <w:keepNext/>
              <w:spacing w:line="240" w:lineRule="auto"/>
              <w:jc w:val="center"/>
              <w:rPr>
                <w:b/>
                <w:bCs/>
                <w:sz w:val="18"/>
                <w:szCs w:val="18"/>
              </w:rPr>
            </w:pPr>
            <w:r w:rsidRPr="00C92342">
              <w:rPr>
                <w:b/>
                <w:bCs/>
                <w:sz w:val="18"/>
                <w:szCs w:val="18"/>
              </w:rPr>
              <w:t>192 h</w:t>
            </w:r>
          </w:p>
        </w:tc>
        <w:tc>
          <w:tcPr>
            <w:tcW w:w="382" w:type="pct"/>
            <w:tcBorders>
              <w:top w:val="single" w:sz="4" w:space="0" w:color="auto"/>
              <w:left w:val="nil"/>
              <w:bottom w:val="single" w:sz="4" w:space="0" w:color="auto"/>
              <w:right w:val="single" w:sz="4" w:space="0" w:color="auto"/>
            </w:tcBorders>
            <w:vAlign w:val="center"/>
            <w:hideMark/>
          </w:tcPr>
          <w:p w14:paraId="4BFAE652" w14:textId="77777777" w:rsidR="00A27A6F" w:rsidRPr="00C92342" w:rsidRDefault="002C0949">
            <w:pPr>
              <w:keepNext/>
              <w:spacing w:line="240" w:lineRule="auto"/>
              <w:jc w:val="center"/>
              <w:rPr>
                <w:b/>
                <w:bCs/>
                <w:sz w:val="18"/>
                <w:szCs w:val="18"/>
              </w:rPr>
            </w:pPr>
            <w:r w:rsidRPr="00C92342">
              <w:rPr>
                <w:b/>
                <w:bCs/>
                <w:sz w:val="18"/>
                <w:szCs w:val="18"/>
              </w:rPr>
              <w:t>240 h</w:t>
            </w:r>
          </w:p>
        </w:tc>
        <w:tc>
          <w:tcPr>
            <w:tcW w:w="380" w:type="pct"/>
            <w:tcBorders>
              <w:top w:val="single" w:sz="4" w:space="0" w:color="auto"/>
              <w:left w:val="nil"/>
              <w:bottom w:val="single" w:sz="4" w:space="0" w:color="auto"/>
              <w:right w:val="single" w:sz="4" w:space="0" w:color="auto"/>
            </w:tcBorders>
            <w:vAlign w:val="center"/>
            <w:hideMark/>
          </w:tcPr>
          <w:p w14:paraId="7362C5C8" w14:textId="77777777" w:rsidR="00A27A6F" w:rsidRPr="00C92342" w:rsidRDefault="002C0949">
            <w:pPr>
              <w:keepNext/>
              <w:spacing w:line="240" w:lineRule="auto"/>
              <w:jc w:val="center"/>
              <w:rPr>
                <w:b/>
                <w:bCs/>
                <w:sz w:val="18"/>
                <w:szCs w:val="18"/>
              </w:rPr>
            </w:pPr>
            <w:r w:rsidRPr="00C92342">
              <w:rPr>
                <w:b/>
                <w:bCs/>
                <w:sz w:val="18"/>
                <w:szCs w:val="18"/>
              </w:rPr>
              <w:t>288 h</w:t>
            </w:r>
          </w:p>
        </w:tc>
      </w:tr>
      <w:tr w:rsidR="00A27A6F" w:rsidRPr="00C92342" w14:paraId="178382E0" w14:textId="77777777">
        <w:trPr>
          <w:trHeight w:val="728"/>
        </w:trPr>
        <w:tc>
          <w:tcPr>
            <w:tcW w:w="319" w:type="pct"/>
            <w:tcBorders>
              <w:top w:val="nil"/>
              <w:left w:val="single" w:sz="4" w:space="0" w:color="auto"/>
              <w:bottom w:val="single" w:sz="4" w:space="0" w:color="auto"/>
              <w:right w:val="single" w:sz="4" w:space="0" w:color="auto"/>
            </w:tcBorders>
            <w:vAlign w:val="center"/>
            <w:hideMark/>
          </w:tcPr>
          <w:p w14:paraId="579225F2" w14:textId="77777777" w:rsidR="00A27A6F" w:rsidRPr="00C92342" w:rsidRDefault="002C0949">
            <w:pPr>
              <w:keepNext/>
              <w:spacing w:line="240" w:lineRule="auto"/>
              <w:jc w:val="center"/>
              <w:rPr>
                <w:b/>
                <w:sz w:val="18"/>
                <w:szCs w:val="18"/>
              </w:rPr>
            </w:pPr>
            <w:r w:rsidRPr="00C92342">
              <w:rPr>
                <w:b/>
                <w:sz w:val="18"/>
                <w:szCs w:val="18"/>
              </w:rPr>
              <w:t>50</w:t>
            </w:r>
          </w:p>
        </w:tc>
        <w:tc>
          <w:tcPr>
            <w:tcW w:w="438" w:type="pct"/>
            <w:tcBorders>
              <w:top w:val="nil"/>
              <w:left w:val="nil"/>
              <w:bottom w:val="single" w:sz="4" w:space="0" w:color="auto"/>
              <w:right w:val="single" w:sz="4" w:space="0" w:color="auto"/>
            </w:tcBorders>
            <w:vAlign w:val="center"/>
            <w:hideMark/>
          </w:tcPr>
          <w:p w14:paraId="1CC6A229" w14:textId="0BCBB83B" w:rsidR="00A27A6F" w:rsidRPr="00C92342" w:rsidRDefault="002C0949">
            <w:pPr>
              <w:keepNext/>
              <w:spacing w:line="240" w:lineRule="auto"/>
              <w:jc w:val="center"/>
              <w:rPr>
                <w:sz w:val="18"/>
                <w:szCs w:val="18"/>
              </w:rPr>
            </w:pPr>
            <w:r w:rsidRPr="00C92342">
              <w:rPr>
                <w:sz w:val="18"/>
                <w:szCs w:val="18"/>
              </w:rPr>
              <w:t>52,9</w:t>
            </w:r>
          </w:p>
          <w:p w14:paraId="0B47D24B" w14:textId="77777777" w:rsidR="00A27A6F" w:rsidRPr="00C92342" w:rsidRDefault="002C0949">
            <w:pPr>
              <w:keepNext/>
              <w:spacing w:line="240" w:lineRule="auto"/>
              <w:jc w:val="center"/>
              <w:rPr>
                <w:sz w:val="18"/>
                <w:szCs w:val="18"/>
              </w:rPr>
            </w:pPr>
            <w:r w:rsidRPr="00C92342">
              <w:rPr>
                <w:sz w:val="18"/>
                <w:szCs w:val="18"/>
              </w:rPr>
              <w:t>(30,6)</w:t>
            </w:r>
          </w:p>
        </w:tc>
        <w:tc>
          <w:tcPr>
            <w:tcW w:w="408" w:type="pct"/>
            <w:tcBorders>
              <w:top w:val="nil"/>
              <w:left w:val="nil"/>
              <w:bottom w:val="single" w:sz="4" w:space="0" w:color="auto"/>
              <w:right w:val="nil"/>
            </w:tcBorders>
            <w:vAlign w:val="center"/>
            <w:hideMark/>
          </w:tcPr>
          <w:p w14:paraId="5D5B4117" w14:textId="77777777" w:rsidR="00A27A6F" w:rsidRPr="00C92342" w:rsidRDefault="002C0949">
            <w:pPr>
              <w:keepNext/>
              <w:spacing w:line="240" w:lineRule="auto"/>
              <w:jc w:val="center"/>
              <w:rPr>
                <w:sz w:val="18"/>
                <w:szCs w:val="18"/>
              </w:rPr>
            </w:pPr>
            <w:r w:rsidRPr="00C92342">
              <w:rPr>
                <w:sz w:val="18"/>
                <w:szCs w:val="18"/>
              </w:rPr>
              <w:t>34,5</w:t>
            </w:r>
          </w:p>
          <w:p w14:paraId="10DCF1E4" w14:textId="77777777" w:rsidR="00A27A6F" w:rsidRPr="00C92342" w:rsidRDefault="002C0949">
            <w:pPr>
              <w:keepNext/>
              <w:spacing w:line="240" w:lineRule="auto"/>
              <w:jc w:val="center"/>
              <w:rPr>
                <w:sz w:val="18"/>
                <w:szCs w:val="18"/>
              </w:rPr>
            </w:pPr>
            <w:r w:rsidRPr="00C92342">
              <w:rPr>
                <w:sz w:val="18"/>
                <w:szCs w:val="18"/>
              </w:rPr>
              <w:t>(7,3)</w:t>
            </w:r>
          </w:p>
        </w:tc>
        <w:tc>
          <w:tcPr>
            <w:tcW w:w="385" w:type="pct"/>
            <w:tcBorders>
              <w:top w:val="nil"/>
              <w:left w:val="single" w:sz="4" w:space="0" w:color="auto"/>
              <w:bottom w:val="single" w:sz="4" w:space="0" w:color="auto"/>
              <w:right w:val="single" w:sz="4" w:space="0" w:color="auto"/>
            </w:tcBorders>
            <w:vAlign w:val="center"/>
            <w:hideMark/>
          </w:tcPr>
          <w:p w14:paraId="073865D7" w14:textId="77777777" w:rsidR="00A27A6F" w:rsidRPr="00C92342" w:rsidRDefault="002C0949">
            <w:pPr>
              <w:keepNext/>
              <w:spacing w:line="240" w:lineRule="auto"/>
              <w:jc w:val="center"/>
              <w:rPr>
                <w:sz w:val="18"/>
                <w:szCs w:val="18"/>
              </w:rPr>
            </w:pPr>
            <w:r w:rsidRPr="00C92342">
              <w:rPr>
                <w:sz w:val="18"/>
                <w:szCs w:val="18"/>
              </w:rPr>
              <w:t>28,7</w:t>
            </w:r>
          </w:p>
          <w:p w14:paraId="19A78A74" w14:textId="77777777" w:rsidR="00A27A6F" w:rsidRPr="00C92342" w:rsidRDefault="002C0949">
            <w:pPr>
              <w:keepNext/>
              <w:spacing w:line="240" w:lineRule="auto"/>
              <w:jc w:val="center"/>
              <w:rPr>
                <w:sz w:val="18"/>
                <w:szCs w:val="18"/>
              </w:rPr>
            </w:pPr>
            <w:r w:rsidRPr="00C92342">
              <w:rPr>
                <w:sz w:val="18"/>
                <w:szCs w:val="18"/>
              </w:rPr>
              <w:t>(6,7)</w:t>
            </w:r>
          </w:p>
        </w:tc>
        <w:tc>
          <w:tcPr>
            <w:tcW w:w="385" w:type="pct"/>
            <w:tcBorders>
              <w:top w:val="nil"/>
              <w:left w:val="nil"/>
              <w:bottom w:val="single" w:sz="4" w:space="0" w:color="auto"/>
              <w:right w:val="single" w:sz="4" w:space="0" w:color="auto"/>
            </w:tcBorders>
            <w:vAlign w:val="center"/>
            <w:hideMark/>
          </w:tcPr>
          <w:p w14:paraId="4B773119" w14:textId="77777777" w:rsidR="00A27A6F" w:rsidRPr="00C92342" w:rsidRDefault="002C0949">
            <w:pPr>
              <w:keepNext/>
              <w:spacing w:line="240" w:lineRule="auto"/>
              <w:jc w:val="center"/>
              <w:rPr>
                <w:sz w:val="18"/>
                <w:szCs w:val="18"/>
              </w:rPr>
            </w:pPr>
            <w:r w:rsidRPr="00C92342">
              <w:rPr>
                <w:sz w:val="18"/>
                <w:szCs w:val="18"/>
              </w:rPr>
              <w:t>25,1</w:t>
            </w:r>
          </w:p>
          <w:p w14:paraId="36A36553" w14:textId="77777777" w:rsidR="00A27A6F" w:rsidRPr="00C92342" w:rsidRDefault="002C0949">
            <w:pPr>
              <w:keepNext/>
              <w:spacing w:line="240" w:lineRule="auto"/>
              <w:jc w:val="center"/>
              <w:rPr>
                <w:sz w:val="18"/>
                <w:szCs w:val="18"/>
              </w:rPr>
            </w:pPr>
            <w:r w:rsidRPr="00C92342">
              <w:rPr>
                <w:sz w:val="18"/>
                <w:szCs w:val="18"/>
              </w:rPr>
              <w:t>(5,1)</w:t>
            </w:r>
          </w:p>
        </w:tc>
        <w:tc>
          <w:tcPr>
            <w:tcW w:w="385" w:type="pct"/>
            <w:tcBorders>
              <w:top w:val="nil"/>
              <w:left w:val="nil"/>
              <w:bottom w:val="single" w:sz="4" w:space="0" w:color="auto"/>
              <w:right w:val="single" w:sz="4" w:space="0" w:color="auto"/>
            </w:tcBorders>
            <w:vAlign w:val="center"/>
            <w:hideMark/>
          </w:tcPr>
          <w:p w14:paraId="3572E171" w14:textId="77777777" w:rsidR="00A27A6F" w:rsidRPr="00C92342" w:rsidRDefault="002C0949">
            <w:pPr>
              <w:keepNext/>
              <w:spacing w:line="240" w:lineRule="auto"/>
              <w:jc w:val="center"/>
              <w:rPr>
                <w:sz w:val="18"/>
                <w:szCs w:val="18"/>
              </w:rPr>
            </w:pPr>
            <w:r w:rsidRPr="00C92342">
              <w:rPr>
                <w:sz w:val="18"/>
                <w:szCs w:val="18"/>
              </w:rPr>
              <w:t>15,1</w:t>
            </w:r>
          </w:p>
          <w:p w14:paraId="133F800C" w14:textId="77777777" w:rsidR="00A27A6F" w:rsidRPr="00C92342" w:rsidRDefault="002C0949">
            <w:pPr>
              <w:keepNext/>
              <w:spacing w:line="240" w:lineRule="auto"/>
              <w:jc w:val="center"/>
              <w:rPr>
                <w:sz w:val="18"/>
                <w:szCs w:val="18"/>
              </w:rPr>
            </w:pPr>
            <w:r w:rsidRPr="00C92342">
              <w:rPr>
                <w:sz w:val="18"/>
                <w:szCs w:val="18"/>
              </w:rPr>
              <w:t>(3,9)</w:t>
            </w:r>
          </w:p>
        </w:tc>
        <w:tc>
          <w:tcPr>
            <w:tcW w:w="385" w:type="pct"/>
            <w:tcBorders>
              <w:top w:val="nil"/>
              <w:left w:val="nil"/>
              <w:bottom w:val="single" w:sz="4" w:space="0" w:color="auto"/>
              <w:right w:val="single" w:sz="4" w:space="0" w:color="auto"/>
            </w:tcBorders>
            <w:vAlign w:val="center"/>
            <w:hideMark/>
          </w:tcPr>
          <w:p w14:paraId="06201797" w14:textId="77777777" w:rsidR="00A27A6F" w:rsidRPr="00C92342" w:rsidRDefault="002C0949">
            <w:pPr>
              <w:keepNext/>
              <w:spacing w:line="240" w:lineRule="auto"/>
              <w:jc w:val="center"/>
              <w:rPr>
                <w:sz w:val="18"/>
                <w:szCs w:val="18"/>
              </w:rPr>
            </w:pPr>
            <w:r w:rsidRPr="00C92342">
              <w:rPr>
                <w:sz w:val="18"/>
                <w:szCs w:val="18"/>
              </w:rPr>
              <w:t>9,7</w:t>
            </w:r>
          </w:p>
          <w:p w14:paraId="1835BD6C" w14:textId="77777777" w:rsidR="00A27A6F" w:rsidRPr="00C92342" w:rsidRDefault="002C0949">
            <w:pPr>
              <w:keepNext/>
              <w:spacing w:line="240" w:lineRule="auto"/>
              <w:jc w:val="center"/>
              <w:rPr>
                <w:sz w:val="18"/>
                <w:szCs w:val="18"/>
              </w:rPr>
            </w:pPr>
            <w:r w:rsidRPr="00C92342">
              <w:rPr>
                <w:sz w:val="18"/>
                <w:szCs w:val="18"/>
              </w:rPr>
              <w:t>(3,0)</w:t>
            </w:r>
          </w:p>
        </w:tc>
        <w:tc>
          <w:tcPr>
            <w:tcW w:w="383" w:type="pct"/>
            <w:tcBorders>
              <w:top w:val="nil"/>
              <w:left w:val="nil"/>
              <w:bottom w:val="single" w:sz="4" w:space="0" w:color="auto"/>
              <w:right w:val="single" w:sz="4" w:space="0" w:color="auto"/>
            </w:tcBorders>
            <w:vAlign w:val="center"/>
            <w:hideMark/>
          </w:tcPr>
          <w:p w14:paraId="60B0893C" w14:textId="77777777" w:rsidR="00A27A6F" w:rsidRPr="00C92342" w:rsidRDefault="002C0949">
            <w:pPr>
              <w:keepNext/>
              <w:spacing w:line="240" w:lineRule="auto"/>
              <w:jc w:val="center"/>
              <w:rPr>
                <w:sz w:val="18"/>
                <w:szCs w:val="18"/>
              </w:rPr>
            </w:pPr>
            <w:r w:rsidRPr="00C92342">
              <w:rPr>
                <w:sz w:val="18"/>
                <w:szCs w:val="18"/>
              </w:rPr>
              <w:t>5,0</w:t>
            </w:r>
          </w:p>
          <w:p w14:paraId="6F8DBB0E" w14:textId="77777777" w:rsidR="00A27A6F" w:rsidRPr="00C92342" w:rsidRDefault="002C0949">
            <w:pPr>
              <w:keepNext/>
              <w:spacing w:line="240" w:lineRule="auto"/>
              <w:jc w:val="center"/>
              <w:rPr>
                <w:sz w:val="18"/>
                <w:szCs w:val="18"/>
              </w:rPr>
            </w:pPr>
            <w:r w:rsidRPr="00C92342">
              <w:rPr>
                <w:sz w:val="18"/>
                <w:szCs w:val="18"/>
              </w:rPr>
              <w:t>(1,6)</w:t>
            </w:r>
          </w:p>
        </w:tc>
        <w:tc>
          <w:tcPr>
            <w:tcW w:w="383" w:type="pct"/>
            <w:tcBorders>
              <w:top w:val="nil"/>
              <w:left w:val="nil"/>
              <w:bottom w:val="single" w:sz="4" w:space="0" w:color="auto"/>
              <w:right w:val="single" w:sz="4" w:space="0" w:color="auto"/>
            </w:tcBorders>
            <w:vAlign w:val="center"/>
            <w:hideMark/>
          </w:tcPr>
          <w:p w14:paraId="2B4DF662" w14:textId="77777777" w:rsidR="00A27A6F" w:rsidRPr="00C92342" w:rsidRDefault="002C0949">
            <w:pPr>
              <w:keepNext/>
              <w:spacing w:line="240" w:lineRule="auto"/>
              <w:jc w:val="center"/>
              <w:rPr>
                <w:sz w:val="18"/>
                <w:szCs w:val="18"/>
              </w:rPr>
            </w:pPr>
            <w:r w:rsidRPr="00C92342">
              <w:rPr>
                <w:sz w:val="18"/>
                <w:szCs w:val="18"/>
              </w:rPr>
              <w:t>3,4(1,1)</w:t>
            </w:r>
          </w:p>
        </w:tc>
        <w:tc>
          <w:tcPr>
            <w:tcW w:w="383" w:type="pct"/>
            <w:tcBorders>
              <w:top w:val="nil"/>
              <w:left w:val="nil"/>
              <w:bottom w:val="single" w:sz="4" w:space="0" w:color="auto"/>
              <w:right w:val="single" w:sz="4" w:space="0" w:color="auto"/>
            </w:tcBorders>
            <w:vAlign w:val="center"/>
            <w:hideMark/>
          </w:tcPr>
          <w:p w14:paraId="68F1CF76" w14:textId="77777777" w:rsidR="00A27A6F" w:rsidRPr="00C92342" w:rsidRDefault="002C0949">
            <w:pPr>
              <w:keepNext/>
              <w:spacing w:line="240" w:lineRule="auto"/>
              <w:jc w:val="center"/>
              <w:rPr>
                <w:sz w:val="18"/>
                <w:szCs w:val="18"/>
              </w:rPr>
            </w:pPr>
            <w:r w:rsidRPr="00C92342">
              <w:rPr>
                <w:sz w:val="18"/>
                <w:szCs w:val="18"/>
              </w:rPr>
              <w:t>3,2(1,9)</w:t>
            </w:r>
          </w:p>
        </w:tc>
        <w:tc>
          <w:tcPr>
            <w:tcW w:w="384" w:type="pct"/>
            <w:tcBorders>
              <w:top w:val="nil"/>
              <w:left w:val="nil"/>
              <w:bottom w:val="single" w:sz="4" w:space="0" w:color="auto"/>
              <w:right w:val="single" w:sz="4" w:space="0" w:color="auto"/>
            </w:tcBorders>
            <w:vAlign w:val="center"/>
            <w:hideMark/>
          </w:tcPr>
          <w:p w14:paraId="1FB0D51C" w14:textId="77777777" w:rsidR="00A27A6F" w:rsidRPr="00C92342" w:rsidRDefault="002C0949">
            <w:pPr>
              <w:keepNext/>
              <w:spacing w:line="240" w:lineRule="auto"/>
              <w:jc w:val="center"/>
              <w:rPr>
                <w:sz w:val="18"/>
                <w:szCs w:val="18"/>
              </w:rPr>
            </w:pPr>
            <w:r w:rsidRPr="00C92342">
              <w:rPr>
                <w:sz w:val="18"/>
                <w:szCs w:val="18"/>
              </w:rPr>
              <w:t>2,6(1,0)</w:t>
            </w:r>
          </w:p>
        </w:tc>
        <w:tc>
          <w:tcPr>
            <w:tcW w:w="382" w:type="pct"/>
            <w:tcBorders>
              <w:top w:val="nil"/>
              <w:left w:val="nil"/>
              <w:bottom w:val="single" w:sz="4" w:space="0" w:color="auto"/>
              <w:right w:val="single" w:sz="4" w:space="0" w:color="auto"/>
            </w:tcBorders>
            <w:vAlign w:val="center"/>
            <w:hideMark/>
          </w:tcPr>
          <w:p w14:paraId="5DEC5495" w14:textId="77777777" w:rsidR="00A27A6F" w:rsidRPr="00C92342" w:rsidRDefault="002C0949">
            <w:pPr>
              <w:keepNext/>
              <w:spacing w:line="240" w:lineRule="auto"/>
              <w:jc w:val="center"/>
              <w:rPr>
                <w:sz w:val="18"/>
                <w:szCs w:val="18"/>
              </w:rPr>
            </w:pPr>
            <w:r w:rsidRPr="00C92342">
              <w:rPr>
                <w:sz w:val="18"/>
                <w:szCs w:val="18"/>
              </w:rPr>
              <w:t>2,1(0,9)</w:t>
            </w:r>
          </w:p>
        </w:tc>
        <w:tc>
          <w:tcPr>
            <w:tcW w:w="380" w:type="pct"/>
            <w:tcBorders>
              <w:top w:val="nil"/>
              <w:left w:val="nil"/>
              <w:bottom w:val="single" w:sz="4" w:space="0" w:color="auto"/>
              <w:right w:val="single" w:sz="4" w:space="0" w:color="auto"/>
            </w:tcBorders>
            <w:vAlign w:val="center"/>
            <w:hideMark/>
          </w:tcPr>
          <w:p w14:paraId="4E75C7EC" w14:textId="77777777" w:rsidR="00A27A6F" w:rsidRPr="00C92342" w:rsidRDefault="002C0949">
            <w:pPr>
              <w:keepNext/>
              <w:spacing w:line="240" w:lineRule="auto"/>
              <w:jc w:val="center"/>
              <w:rPr>
                <w:sz w:val="18"/>
                <w:szCs w:val="18"/>
              </w:rPr>
            </w:pPr>
            <w:r w:rsidRPr="00C92342">
              <w:rPr>
                <w:sz w:val="18"/>
                <w:szCs w:val="18"/>
              </w:rPr>
              <w:t>NA</w:t>
            </w:r>
          </w:p>
        </w:tc>
      </w:tr>
      <w:tr w:rsidR="00A27A6F" w:rsidRPr="00C92342" w14:paraId="18E5FDEF" w14:textId="77777777">
        <w:trPr>
          <w:trHeight w:val="521"/>
        </w:trPr>
        <w:tc>
          <w:tcPr>
            <w:tcW w:w="319" w:type="pct"/>
            <w:tcBorders>
              <w:top w:val="single" w:sz="4" w:space="0" w:color="auto"/>
              <w:left w:val="single" w:sz="4" w:space="0" w:color="auto"/>
              <w:bottom w:val="single" w:sz="4" w:space="0" w:color="auto"/>
              <w:right w:val="nil"/>
            </w:tcBorders>
            <w:vAlign w:val="center"/>
            <w:hideMark/>
          </w:tcPr>
          <w:p w14:paraId="2B40928F" w14:textId="77777777" w:rsidR="00A27A6F" w:rsidRPr="00C92342" w:rsidRDefault="002C0949">
            <w:pPr>
              <w:spacing w:line="240" w:lineRule="auto"/>
              <w:jc w:val="center"/>
              <w:rPr>
                <w:b/>
                <w:sz w:val="18"/>
                <w:szCs w:val="18"/>
              </w:rPr>
            </w:pPr>
            <w:r w:rsidRPr="00C92342">
              <w:rPr>
                <w:b/>
                <w:sz w:val="18"/>
                <w:szCs w:val="18"/>
              </w:rPr>
              <w:t>100</w:t>
            </w:r>
          </w:p>
        </w:tc>
        <w:tc>
          <w:tcPr>
            <w:tcW w:w="438" w:type="pct"/>
            <w:tcBorders>
              <w:top w:val="single" w:sz="4" w:space="0" w:color="auto"/>
              <w:left w:val="single" w:sz="4" w:space="0" w:color="auto"/>
              <w:bottom w:val="single" w:sz="4" w:space="0" w:color="auto"/>
              <w:right w:val="single" w:sz="4" w:space="0" w:color="auto"/>
            </w:tcBorders>
            <w:vAlign w:val="center"/>
            <w:hideMark/>
          </w:tcPr>
          <w:p w14:paraId="674340DA" w14:textId="77777777" w:rsidR="00A27A6F" w:rsidRPr="00C92342" w:rsidRDefault="002C0949">
            <w:pPr>
              <w:spacing w:line="240" w:lineRule="auto"/>
              <w:jc w:val="center"/>
              <w:rPr>
                <w:sz w:val="18"/>
                <w:szCs w:val="18"/>
              </w:rPr>
            </w:pPr>
            <w:r w:rsidRPr="00C92342">
              <w:rPr>
                <w:sz w:val="18"/>
                <w:szCs w:val="18"/>
              </w:rPr>
              <w:t>112</w:t>
            </w:r>
          </w:p>
          <w:p w14:paraId="1A1BE149" w14:textId="77777777" w:rsidR="00A27A6F" w:rsidRPr="00C92342" w:rsidRDefault="002C0949">
            <w:pPr>
              <w:spacing w:line="240" w:lineRule="auto"/>
              <w:jc w:val="center"/>
              <w:rPr>
                <w:sz w:val="18"/>
                <w:szCs w:val="18"/>
              </w:rPr>
            </w:pPr>
            <w:r w:rsidRPr="00C92342">
              <w:rPr>
                <w:sz w:val="18"/>
                <w:szCs w:val="18"/>
              </w:rPr>
              <w:t>(24)</w:t>
            </w:r>
          </w:p>
        </w:tc>
        <w:tc>
          <w:tcPr>
            <w:tcW w:w="408" w:type="pct"/>
            <w:tcBorders>
              <w:top w:val="single" w:sz="4" w:space="0" w:color="auto"/>
              <w:left w:val="nil"/>
              <w:bottom w:val="single" w:sz="4" w:space="0" w:color="auto"/>
              <w:right w:val="single" w:sz="4" w:space="0" w:color="auto"/>
            </w:tcBorders>
            <w:vAlign w:val="center"/>
            <w:hideMark/>
          </w:tcPr>
          <w:p w14:paraId="3A9E6B30" w14:textId="77777777" w:rsidR="00A27A6F" w:rsidRPr="00C92342" w:rsidRDefault="002C0949">
            <w:pPr>
              <w:spacing w:line="240" w:lineRule="auto"/>
              <w:jc w:val="center"/>
              <w:rPr>
                <w:sz w:val="18"/>
                <w:szCs w:val="18"/>
              </w:rPr>
            </w:pPr>
            <w:r w:rsidRPr="00C92342">
              <w:rPr>
                <w:sz w:val="18"/>
                <w:szCs w:val="18"/>
              </w:rPr>
              <w:t>NA</w:t>
            </w:r>
          </w:p>
        </w:tc>
        <w:tc>
          <w:tcPr>
            <w:tcW w:w="385" w:type="pct"/>
            <w:tcBorders>
              <w:top w:val="single" w:sz="4" w:space="0" w:color="auto"/>
              <w:left w:val="nil"/>
              <w:bottom w:val="single" w:sz="4" w:space="0" w:color="auto"/>
              <w:right w:val="single" w:sz="4" w:space="0" w:color="auto"/>
            </w:tcBorders>
            <w:vAlign w:val="center"/>
            <w:hideMark/>
          </w:tcPr>
          <w:p w14:paraId="6A82D6B8" w14:textId="77777777" w:rsidR="00A27A6F" w:rsidRPr="00C92342" w:rsidRDefault="002C0949">
            <w:pPr>
              <w:spacing w:line="240" w:lineRule="auto"/>
              <w:jc w:val="center"/>
              <w:rPr>
                <w:sz w:val="18"/>
                <w:szCs w:val="18"/>
              </w:rPr>
            </w:pPr>
            <w:r w:rsidRPr="00C92342">
              <w:rPr>
                <w:sz w:val="18"/>
                <w:szCs w:val="18"/>
              </w:rPr>
              <w:t>77,1</w:t>
            </w:r>
          </w:p>
          <w:p w14:paraId="38743938" w14:textId="77777777" w:rsidR="00A27A6F" w:rsidRPr="00C92342" w:rsidRDefault="002C0949">
            <w:pPr>
              <w:spacing w:line="240" w:lineRule="auto"/>
              <w:jc w:val="center"/>
              <w:rPr>
                <w:sz w:val="18"/>
                <w:szCs w:val="18"/>
              </w:rPr>
            </w:pPr>
            <w:r w:rsidRPr="00C92342">
              <w:rPr>
                <w:sz w:val="18"/>
                <w:szCs w:val="18"/>
              </w:rPr>
              <w:t>(12,8)</w:t>
            </w:r>
          </w:p>
        </w:tc>
        <w:tc>
          <w:tcPr>
            <w:tcW w:w="385" w:type="pct"/>
            <w:tcBorders>
              <w:top w:val="single" w:sz="4" w:space="0" w:color="auto"/>
              <w:left w:val="nil"/>
              <w:bottom w:val="single" w:sz="4" w:space="0" w:color="auto"/>
              <w:right w:val="single" w:sz="4" w:space="0" w:color="auto"/>
            </w:tcBorders>
            <w:vAlign w:val="center"/>
            <w:hideMark/>
          </w:tcPr>
          <w:p w14:paraId="5DC3F428" w14:textId="77777777" w:rsidR="00A27A6F" w:rsidRPr="00C92342" w:rsidRDefault="002C0949">
            <w:pPr>
              <w:spacing w:line="240" w:lineRule="auto"/>
              <w:jc w:val="center"/>
              <w:rPr>
                <w:sz w:val="18"/>
                <w:szCs w:val="18"/>
              </w:rPr>
            </w:pPr>
            <w:r w:rsidRPr="00C92342">
              <w:rPr>
                <w:sz w:val="18"/>
                <w:szCs w:val="18"/>
              </w:rPr>
              <w:t>NA</w:t>
            </w:r>
          </w:p>
        </w:tc>
        <w:tc>
          <w:tcPr>
            <w:tcW w:w="385" w:type="pct"/>
            <w:tcBorders>
              <w:top w:val="single" w:sz="4" w:space="0" w:color="auto"/>
              <w:left w:val="nil"/>
              <w:bottom w:val="single" w:sz="4" w:space="0" w:color="auto"/>
              <w:right w:val="single" w:sz="4" w:space="0" w:color="auto"/>
            </w:tcBorders>
            <w:vAlign w:val="center"/>
            <w:hideMark/>
          </w:tcPr>
          <w:p w14:paraId="417A8211" w14:textId="77777777" w:rsidR="00A27A6F" w:rsidRPr="00C92342" w:rsidRDefault="002C0949">
            <w:pPr>
              <w:spacing w:line="240" w:lineRule="auto"/>
              <w:jc w:val="center"/>
              <w:rPr>
                <w:sz w:val="18"/>
                <w:szCs w:val="18"/>
              </w:rPr>
            </w:pPr>
            <w:r w:rsidRPr="00C92342">
              <w:rPr>
                <w:sz w:val="18"/>
                <w:szCs w:val="18"/>
              </w:rPr>
              <w:t>36,7</w:t>
            </w:r>
          </w:p>
          <w:p w14:paraId="13DC905C" w14:textId="77777777" w:rsidR="00A27A6F" w:rsidRPr="00C92342" w:rsidRDefault="002C0949">
            <w:pPr>
              <w:spacing w:line="240" w:lineRule="auto"/>
              <w:jc w:val="center"/>
              <w:rPr>
                <w:sz w:val="18"/>
                <w:szCs w:val="18"/>
              </w:rPr>
            </w:pPr>
            <w:r w:rsidRPr="00C92342">
              <w:rPr>
                <w:sz w:val="18"/>
                <w:szCs w:val="18"/>
              </w:rPr>
              <w:t>(8,0)</w:t>
            </w:r>
          </w:p>
        </w:tc>
        <w:tc>
          <w:tcPr>
            <w:tcW w:w="385" w:type="pct"/>
            <w:tcBorders>
              <w:top w:val="single" w:sz="4" w:space="0" w:color="auto"/>
              <w:left w:val="nil"/>
              <w:bottom w:val="single" w:sz="4" w:space="0" w:color="auto"/>
              <w:right w:val="single" w:sz="4" w:space="0" w:color="auto"/>
            </w:tcBorders>
            <w:vAlign w:val="center"/>
            <w:hideMark/>
          </w:tcPr>
          <w:p w14:paraId="0F9AC628" w14:textId="77777777" w:rsidR="00A27A6F" w:rsidRPr="00C92342" w:rsidRDefault="002C0949">
            <w:pPr>
              <w:spacing w:line="240" w:lineRule="auto"/>
              <w:jc w:val="center"/>
              <w:rPr>
                <w:sz w:val="18"/>
                <w:szCs w:val="18"/>
              </w:rPr>
            </w:pPr>
            <w:r w:rsidRPr="00C92342">
              <w:rPr>
                <w:sz w:val="18"/>
                <w:szCs w:val="18"/>
              </w:rPr>
              <w:t xml:space="preserve">21,8 </w:t>
            </w:r>
          </w:p>
          <w:p w14:paraId="3FB0B0DE" w14:textId="77777777" w:rsidR="00A27A6F" w:rsidRPr="00C92342" w:rsidRDefault="002C0949">
            <w:pPr>
              <w:spacing w:line="240" w:lineRule="auto"/>
              <w:jc w:val="center"/>
              <w:rPr>
                <w:sz w:val="18"/>
                <w:szCs w:val="18"/>
              </w:rPr>
            </w:pPr>
            <w:r w:rsidRPr="00C92342">
              <w:rPr>
                <w:sz w:val="18"/>
                <w:szCs w:val="18"/>
              </w:rPr>
              <w:t>(4,8)</w:t>
            </w:r>
          </w:p>
        </w:tc>
        <w:tc>
          <w:tcPr>
            <w:tcW w:w="383" w:type="pct"/>
            <w:tcBorders>
              <w:top w:val="single" w:sz="4" w:space="0" w:color="auto"/>
              <w:left w:val="nil"/>
              <w:bottom w:val="single" w:sz="4" w:space="0" w:color="auto"/>
              <w:right w:val="single" w:sz="4" w:space="0" w:color="auto"/>
            </w:tcBorders>
            <w:vAlign w:val="center"/>
            <w:hideMark/>
          </w:tcPr>
          <w:p w14:paraId="787E014C" w14:textId="77777777" w:rsidR="00A27A6F" w:rsidRPr="00C92342" w:rsidRDefault="002C0949">
            <w:pPr>
              <w:spacing w:line="240" w:lineRule="auto"/>
              <w:jc w:val="center"/>
              <w:rPr>
                <w:sz w:val="18"/>
                <w:szCs w:val="18"/>
              </w:rPr>
            </w:pPr>
            <w:r w:rsidRPr="00C92342">
              <w:rPr>
                <w:sz w:val="18"/>
                <w:szCs w:val="18"/>
              </w:rPr>
              <w:t>10,1</w:t>
            </w:r>
          </w:p>
          <w:p w14:paraId="1504B9D9" w14:textId="77777777" w:rsidR="00A27A6F" w:rsidRPr="00C92342" w:rsidRDefault="002C0949">
            <w:pPr>
              <w:spacing w:line="240" w:lineRule="auto"/>
              <w:jc w:val="center"/>
              <w:rPr>
                <w:sz w:val="18"/>
                <w:szCs w:val="18"/>
              </w:rPr>
            </w:pPr>
            <w:r w:rsidRPr="00C92342">
              <w:rPr>
                <w:sz w:val="18"/>
                <w:szCs w:val="18"/>
              </w:rPr>
              <w:t>(2,6)</w:t>
            </w:r>
          </w:p>
        </w:tc>
        <w:tc>
          <w:tcPr>
            <w:tcW w:w="383" w:type="pct"/>
            <w:tcBorders>
              <w:top w:val="single" w:sz="4" w:space="0" w:color="auto"/>
              <w:left w:val="nil"/>
              <w:bottom w:val="single" w:sz="4" w:space="0" w:color="auto"/>
              <w:right w:val="single" w:sz="4" w:space="0" w:color="auto"/>
            </w:tcBorders>
            <w:vAlign w:val="center"/>
            <w:hideMark/>
          </w:tcPr>
          <w:p w14:paraId="715A6969" w14:textId="77777777" w:rsidR="00A27A6F" w:rsidRPr="00C92342" w:rsidRDefault="002C0949">
            <w:pPr>
              <w:spacing w:line="240" w:lineRule="auto"/>
              <w:jc w:val="center"/>
              <w:rPr>
                <w:sz w:val="18"/>
                <w:szCs w:val="18"/>
              </w:rPr>
            </w:pPr>
            <w:r w:rsidRPr="00C92342">
              <w:rPr>
                <w:sz w:val="18"/>
                <w:szCs w:val="18"/>
              </w:rPr>
              <w:t>NA</w:t>
            </w:r>
          </w:p>
        </w:tc>
        <w:tc>
          <w:tcPr>
            <w:tcW w:w="383" w:type="pct"/>
            <w:tcBorders>
              <w:top w:val="single" w:sz="4" w:space="0" w:color="auto"/>
              <w:left w:val="nil"/>
              <w:bottom w:val="single" w:sz="4" w:space="0" w:color="auto"/>
              <w:right w:val="single" w:sz="4" w:space="0" w:color="auto"/>
            </w:tcBorders>
            <w:vAlign w:val="center"/>
            <w:hideMark/>
          </w:tcPr>
          <w:p w14:paraId="348AC819" w14:textId="77777777" w:rsidR="00A27A6F" w:rsidRPr="00C92342" w:rsidRDefault="002C0949">
            <w:pPr>
              <w:spacing w:line="240" w:lineRule="auto"/>
              <w:jc w:val="center"/>
              <w:rPr>
                <w:sz w:val="18"/>
                <w:szCs w:val="18"/>
              </w:rPr>
            </w:pPr>
            <w:r w:rsidRPr="00C92342">
              <w:rPr>
                <w:sz w:val="18"/>
                <w:szCs w:val="18"/>
              </w:rPr>
              <w:t>4,81</w:t>
            </w:r>
          </w:p>
          <w:p w14:paraId="4B2B30BC" w14:textId="77777777" w:rsidR="00A27A6F" w:rsidRPr="00C92342" w:rsidRDefault="002C0949">
            <w:pPr>
              <w:spacing w:line="240" w:lineRule="auto"/>
              <w:jc w:val="center"/>
              <w:rPr>
                <w:sz w:val="18"/>
                <w:szCs w:val="18"/>
              </w:rPr>
            </w:pPr>
            <w:r w:rsidRPr="00C92342">
              <w:rPr>
                <w:sz w:val="18"/>
                <w:szCs w:val="18"/>
              </w:rPr>
              <w:t>(1,67)</w:t>
            </w:r>
          </w:p>
        </w:tc>
        <w:tc>
          <w:tcPr>
            <w:tcW w:w="384" w:type="pct"/>
            <w:tcBorders>
              <w:top w:val="single" w:sz="4" w:space="0" w:color="auto"/>
              <w:left w:val="nil"/>
              <w:bottom w:val="single" w:sz="4" w:space="0" w:color="auto"/>
              <w:right w:val="single" w:sz="4" w:space="0" w:color="auto"/>
            </w:tcBorders>
            <w:vAlign w:val="center"/>
            <w:hideMark/>
          </w:tcPr>
          <w:p w14:paraId="52F98B57" w14:textId="77777777" w:rsidR="00A27A6F" w:rsidRPr="00C92342" w:rsidRDefault="002C0949">
            <w:pPr>
              <w:spacing w:line="240" w:lineRule="auto"/>
              <w:jc w:val="center"/>
              <w:rPr>
                <w:sz w:val="18"/>
                <w:szCs w:val="18"/>
              </w:rPr>
            </w:pPr>
            <w:r w:rsidRPr="00C92342">
              <w:rPr>
                <w:sz w:val="18"/>
                <w:szCs w:val="18"/>
              </w:rPr>
              <w:t>NA</w:t>
            </w:r>
          </w:p>
        </w:tc>
        <w:tc>
          <w:tcPr>
            <w:tcW w:w="382" w:type="pct"/>
            <w:tcBorders>
              <w:top w:val="single" w:sz="4" w:space="0" w:color="auto"/>
              <w:left w:val="nil"/>
              <w:bottom w:val="single" w:sz="4" w:space="0" w:color="auto"/>
              <w:right w:val="single" w:sz="4" w:space="0" w:color="auto"/>
            </w:tcBorders>
            <w:vAlign w:val="center"/>
            <w:hideMark/>
          </w:tcPr>
          <w:p w14:paraId="4A6369CA" w14:textId="77777777" w:rsidR="00A27A6F" w:rsidRPr="00C92342" w:rsidRDefault="002C0949">
            <w:pPr>
              <w:spacing w:line="240" w:lineRule="auto"/>
              <w:jc w:val="center"/>
              <w:rPr>
                <w:sz w:val="18"/>
                <w:szCs w:val="18"/>
              </w:rPr>
            </w:pPr>
            <w:r w:rsidRPr="00C92342">
              <w:rPr>
                <w:sz w:val="18"/>
                <w:szCs w:val="18"/>
              </w:rPr>
              <w:t>2,86</w:t>
            </w:r>
          </w:p>
          <w:p w14:paraId="62DE3469" w14:textId="77777777" w:rsidR="00A27A6F" w:rsidRPr="00C92342" w:rsidRDefault="002C0949">
            <w:pPr>
              <w:spacing w:line="240" w:lineRule="auto"/>
              <w:jc w:val="center"/>
              <w:rPr>
                <w:sz w:val="18"/>
                <w:szCs w:val="18"/>
              </w:rPr>
            </w:pPr>
            <w:r w:rsidRPr="00C92342">
              <w:rPr>
                <w:sz w:val="18"/>
                <w:szCs w:val="18"/>
              </w:rPr>
              <w:t>(0,98)</w:t>
            </w:r>
          </w:p>
        </w:tc>
        <w:tc>
          <w:tcPr>
            <w:tcW w:w="380" w:type="pct"/>
            <w:tcBorders>
              <w:top w:val="single" w:sz="4" w:space="0" w:color="auto"/>
              <w:left w:val="nil"/>
              <w:bottom w:val="single" w:sz="4" w:space="0" w:color="auto"/>
              <w:right w:val="single" w:sz="4" w:space="0" w:color="auto"/>
            </w:tcBorders>
            <w:vAlign w:val="center"/>
            <w:hideMark/>
          </w:tcPr>
          <w:p w14:paraId="018D8BAC" w14:textId="77777777" w:rsidR="00A27A6F" w:rsidRPr="00C92342" w:rsidRDefault="002C0949">
            <w:pPr>
              <w:spacing w:line="240" w:lineRule="auto"/>
              <w:jc w:val="center"/>
              <w:rPr>
                <w:sz w:val="18"/>
                <w:szCs w:val="18"/>
              </w:rPr>
            </w:pPr>
            <w:r w:rsidRPr="00C92342">
              <w:rPr>
                <w:sz w:val="18"/>
                <w:szCs w:val="18"/>
              </w:rPr>
              <w:t>2,30</w:t>
            </w:r>
          </w:p>
          <w:p w14:paraId="2E33EBB3" w14:textId="77777777" w:rsidR="00A27A6F" w:rsidRPr="00C92342" w:rsidRDefault="002C0949">
            <w:pPr>
              <w:spacing w:line="240" w:lineRule="auto"/>
              <w:jc w:val="center"/>
              <w:rPr>
                <w:sz w:val="18"/>
                <w:szCs w:val="18"/>
              </w:rPr>
            </w:pPr>
            <w:r w:rsidRPr="00C92342">
              <w:rPr>
                <w:sz w:val="18"/>
                <w:szCs w:val="18"/>
              </w:rPr>
              <w:t>(0,94)</w:t>
            </w:r>
          </w:p>
        </w:tc>
      </w:tr>
    </w:tbl>
    <w:p w14:paraId="4A4B78E0" w14:textId="77777777" w:rsidR="00A27A6F" w:rsidRDefault="002C0949">
      <w:pPr>
        <w:spacing w:line="240" w:lineRule="auto"/>
        <w:rPr>
          <w:sz w:val="18"/>
          <w:szCs w:val="18"/>
        </w:rPr>
      </w:pPr>
      <w:r>
        <w:rPr>
          <w:sz w:val="18"/>
          <w:szCs w:val="18"/>
          <w:vertAlign w:val="superscript"/>
        </w:rPr>
        <w:t>1</w:t>
      </w:r>
      <w:r>
        <w:rPr>
          <w:sz w:val="18"/>
          <w:szCs w:val="18"/>
        </w:rPr>
        <w:t xml:space="preserve"> Vt lõik 4.2; NA: ei ole kättesaadav</w:t>
      </w:r>
    </w:p>
    <w:p w14:paraId="4C6910AA" w14:textId="77777777" w:rsidR="00A27A6F" w:rsidRDefault="00A27A6F">
      <w:pPr>
        <w:spacing w:line="240" w:lineRule="auto"/>
      </w:pPr>
    </w:p>
    <w:p w14:paraId="75B11F79" w14:textId="77777777" w:rsidR="00A27A6F" w:rsidRDefault="002C0949">
      <w:pPr>
        <w:keepNext/>
        <w:keepLines/>
        <w:spacing w:line="240" w:lineRule="auto"/>
        <w:rPr>
          <w:u w:val="single"/>
        </w:rPr>
      </w:pPr>
      <w:r>
        <w:rPr>
          <w:u w:val="single"/>
        </w:rPr>
        <w:t>Lapsed</w:t>
      </w:r>
    </w:p>
    <w:p w14:paraId="27115D5E" w14:textId="77777777" w:rsidR="00A27A6F" w:rsidRDefault="002C0949">
      <w:pPr>
        <w:numPr>
          <w:ilvl w:val="12"/>
          <w:numId w:val="0"/>
        </w:numPr>
        <w:spacing w:line="240" w:lineRule="auto"/>
        <w:ind w:right="-2"/>
        <w:rPr>
          <w:b/>
        </w:rPr>
      </w:pPr>
      <w:proofErr w:type="spellStart"/>
      <w:r>
        <w:t>ALPROLIX’i</w:t>
      </w:r>
      <w:proofErr w:type="spellEnd"/>
      <w:r>
        <w:t xml:space="preserve"> farmakokineetilised parameetrid määrati noorukitel uuringus I [f</w:t>
      </w:r>
      <w:r>
        <w:rPr>
          <w:iCs/>
          <w:szCs w:val="22"/>
        </w:rPr>
        <w:t>armakokineetilised proovid võeti enne manustamist ning seejärel pärast manustamist mitmes ajapunktis kuni 336 tunni (14 päeva) möödumiseni] ning lastel uuringus II [farmakokineetilised proovid võeti enne manustamist ning seejärel pärast manustamist 7 ajapunktis kuni 168 tunni (7 päeva) möödumiseni].</w:t>
      </w:r>
      <w:r>
        <w:t xml:space="preserve"> Tabelis 5 toodud farmakokineetiliste parameetrite arvutamisel lähtuti 35</w:t>
      </w:r>
      <w:r>
        <w:noBreakHyphen/>
        <w:t>lt alla 18</w:t>
      </w:r>
      <w:r>
        <w:noBreakHyphen/>
        <w:t>aastaselt osalejalt kogutud andmetest.</w:t>
      </w:r>
    </w:p>
    <w:p w14:paraId="6037B517" w14:textId="77777777" w:rsidR="00A27A6F" w:rsidRDefault="00A27A6F">
      <w:pPr>
        <w:spacing w:line="240" w:lineRule="auto"/>
        <w:rPr>
          <w:szCs w:val="22"/>
        </w:rPr>
      </w:pPr>
    </w:p>
    <w:p w14:paraId="542B1A4E" w14:textId="7951DF91" w:rsidR="00A27A6F" w:rsidRDefault="002C0949" w:rsidP="009F49A8">
      <w:pPr>
        <w:keepNext/>
        <w:spacing w:line="240" w:lineRule="auto"/>
        <w:rPr>
          <w:bCs/>
          <w:szCs w:val="22"/>
        </w:rPr>
      </w:pPr>
      <w:bookmarkStart w:id="1" w:name="ProposedTable5PKforAdolescents"/>
      <w:r>
        <w:rPr>
          <w:rStyle w:val="caption-h"/>
        </w:rPr>
        <w:t xml:space="preserve">Tabel 5. </w:t>
      </w:r>
      <w:proofErr w:type="spellStart"/>
      <w:r>
        <w:rPr>
          <w:rStyle w:val="caption-h"/>
        </w:rPr>
        <w:t>ALPROLIX'i</w:t>
      </w:r>
      <w:proofErr w:type="spellEnd"/>
      <w:r>
        <w:rPr>
          <w:rStyle w:val="caption-h"/>
        </w:rPr>
        <w:t xml:space="preserve"> </w:t>
      </w:r>
      <w:r w:rsidR="000E6A08">
        <w:rPr>
          <w:rStyle w:val="caption-h"/>
        </w:rPr>
        <w:t>(</w:t>
      </w:r>
      <w:proofErr w:type="spellStart"/>
      <w:r w:rsidR="000E6A08">
        <w:rPr>
          <w:rStyle w:val="caption-h"/>
        </w:rPr>
        <w:t>rFIXFc</w:t>
      </w:r>
      <w:proofErr w:type="spellEnd"/>
      <w:r w:rsidR="000E6A08">
        <w:rPr>
          <w:rStyle w:val="caption-h"/>
        </w:rPr>
        <w:t xml:space="preserve">) </w:t>
      </w:r>
      <w:r>
        <w:rPr>
          <w:rStyle w:val="caption-h"/>
        </w:rPr>
        <w:t>farmakokineetiliste (FK) parameetrite võrdlus vanusekategooriate lõikes</w:t>
      </w:r>
    </w:p>
    <w:tbl>
      <w:tblPr>
        <w:tblW w:w="5005" w:type="pct"/>
        <w:tblLook w:val="04A0" w:firstRow="1" w:lastRow="0" w:firstColumn="1" w:lastColumn="0" w:noHBand="0" w:noVBand="1"/>
      </w:tblPr>
      <w:tblGrid>
        <w:gridCol w:w="2599"/>
        <w:gridCol w:w="2132"/>
        <w:gridCol w:w="2050"/>
        <w:gridCol w:w="2565"/>
        <w:gridCol w:w="7"/>
      </w:tblGrid>
      <w:tr w:rsidR="00A27A6F" w14:paraId="20FC6C18" w14:textId="77777777" w:rsidTr="000E6A08">
        <w:trPr>
          <w:gridAfter w:val="1"/>
          <w:wAfter w:w="5" w:type="pct"/>
        </w:trPr>
        <w:tc>
          <w:tcPr>
            <w:tcW w:w="1389" w:type="pct"/>
            <w:vMerge w:val="restart"/>
            <w:tcBorders>
              <w:top w:val="single" w:sz="6" w:space="0" w:color="auto"/>
              <w:left w:val="single" w:sz="6" w:space="0" w:color="auto"/>
              <w:bottom w:val="single" w:sz="6" w:space="0" w:color="auto"/>
              <w:right w:val="single" w:sz="6" w:space="0" w:color="auto"/>
            </w:tcBorders>
            <w:vAlign w:val="center"/>
            <w:hideMark/>
          </w:tcPr>
          <w:p w14:paraId="149D1235" w14:textId="77777777" w:rsidR="00A27A6F" w:rsidRDefault="002C0949" w:rsidP="009F49A8">
            <w:pPr>
              <w:keepNext/>
              <w:spacing w:line="240" w:lineRule="auto"/>
              <w:jc w:val="center"/>
              <w:rPr>
                <w:b/>
                <w:bCs/>
                <w:sz w:val="20"/>
              </w:rPr>
            </w:pPr>
            <w:r>
              <w:rPr>
                <w:b/>
                <w:bCs/>
                <w:sz w:val="20"/>
              </w:rPr>
              <w:t>FK parameetrid</w:t>
            </w:r>
            <w:r>
              <w:rPr>
                <w:b/>
                <w:bCs/>
                <w:sz w:val="20"/>
                <w:vertAlign w:val="superscript"/>
              </w:rPr>
              <w:t>1</w:t>
            </w:r>
          </w:p>
        </w:tc>
        <w:tc>
          <w:tcPr>
            <w:tcW w:w="2235" w:type="pct"/>
            <w:gridSpan w:val="2"/>
            <w:tcBorders>
              <w:top w:val="single" w:sz="6" w:space="0" w:color="auto"/>
              <w:left w:val="single" w:sz="6" w:space="0" w:color="auto"/>
              <w:bottom w:val="single" w:sz="6" w:space="0" w:color="auto"/>
              <w:right w:val="single" w:sz="6" w:space="0" w:color="auto"/>
            </w:tcBorders>
            <w:vAlign w:val="center"/>
            <w:hideMark/>
          </w:tcPr>
          <w:p w14:paraId="68D035FF" w14:textId="77777777" w:rsidR="00A27A6F" w:rsidRDefault="002C0949" w:rsidP="009F49A8">
            <w:pPr>
              <w:keepNext/>
              <w:spacing w:line="240" w:lineRule="auto"/>
              <w:jc w:val="center"/>
              <w:rPr>
                <w:b/>
                <w:sz w:val="20"/>
              </w:rPr>
            </w:pPr>
            <w:r>
              <w:rPr>
                <w:b/>
                <w:sz w:val="20"/>
              </w:rPr>
              <w:t>Uuring II</w:t>
            </w:r>
          </w:p>
        </w:tc>
        <w:tc>
          <w:tcPr>
            <w:tcW w:w="1371" w:type="pct"/>
            <w:tcBorders>
              <w:top w:val="single" w:sz="6" w:space="0" w:color="auto"/>
              <w:left w:val="single" w:sz="6" w:space="0" w:color="auto"/>
              <w:bottom w:val="single" w:sz="6" w:space="0" w:color="auto"/>
              <w:right w:val="single" w:sz="6" w:space="0" w:color="auto"/>
            </w:tcBorders>
            <w:vAlign w:val="center"/>
            <w:hideMark/>
          </w:tcPr>
          <w:p w14:paraId="16B46110" w14:textId="77777777" w:rsidR="00A27A6F" w:rsidRDefault="002C0949" w:rsidP="009F49A8">
            <w:pPr>
              <w:keepNext/>
              <w:spacing w:line="240" w:lineRule="auto"/>
              <w:jc w:val="center"/>
              <w:rPr>
                <w:b/>
                <w:sz w:val="20"/>
              </w:rPr>
            </w:pPr>
            <w:r>
              <w:rPr>
                <w:b/>
                <w:sz w:val="20"/>
              </w:rPr>
              <w:t>Uuring I</w:t>
            </w:r>
          </w:p>
        </w:tc>
      </w:tr>
      <w:tr w:rsidR="00A27A6F" w14:paraId="31C09A4D" w14:textId="77777777" w:rsidTr="000E6A08">
        <w:trPr>
          <w:gridAfter w:val="1"/>
          <w:wAfter w:w="5" w:type="pct"/>
          <w:trHeight w:val="498"/>
        </w:trPr>
        <w:tc>
          <w:tcPr>
            <w:tcW w:w="1389" w:type="pct"/>
            <w:vMerge/>
            <w:tcBorders>
              <w:top w:val="single" w:sz="6" w:space="0" w:color="auto"/>
              <w:left w:val="single" w:sz="6" w:space="0" w:color="auto"/>
              <w:bottom w:val="single" w:sz="6" w:space="0" w:color="auto"/>
              <w:right w:val="single" w:sz="6" w:space="0" w:color="auto"/>
            </w:tcBorders>
            <w:vAlign w:val="center"/>
            <w:hideMark/>
          </w:tcPr>
          <w:p w14:paraId="0ECBA0ED" w14:textId="77777777" w:rsidR="00A27A6F" w:rsidRDefault="00A27A6F" w:rsidP="009F49A8">
            <w:pPr>
              <w:keepNext/>
              <w:tabs>
                <w:tab w:val="clear" w:pos="567"/>
              </w:tabs>
              <w:spacing w:line="240" w:lineRule="auto"/>
              <w:rPr>
                <w:b/>
                <w:bCs/>
                <w:sz w:val="20"/>
              </w:rPr>
            </w:pPr>
          </w:p>
        </w:tc>
        <w:tc>
          <w:tcPr>
            <w:tcW w:w="1140" w:type="pct"/>
            <w:tcBorders>
              <w:top w:val="single" w:sz="6" w:space="0" w:color="auto"/>
              <w:left w:val="single" w:sz="6" w:space="0" w:color="auto"/>
              <w:bottom w:val="single" w:sz="6" w:space="0" w:color="auto"/>
              <w:right w:val="single" w:sz="6" w:space="0" w:color="auto"/>
            </w:tcBorders>
            <w:vAlign w:val="center"/>
            <w:hideMark/>
          </w:tcPr>
          <w:p w14:paraId="34E94D29" w14:textId="77777777" w:rsidR="00A27A6F" w:rsidRDefault="002C0949" w:rsidP="009F49A8">
            <w:pPr>
              <w:keepNext/>
              <w:spacing w:line="240" w:lineRule="auto"/>
              <w:jc w:val="center"/>
              <w:rPr>
                <w:b/>
                <w:sz w:val="20"/>
              </w:rPr>
            </w:pPr>
            <w:r>
              <w:rPr>
                <w:b/>
                <w:sz w:val="20"/>
              </w:rPr>
              <w:t>&lt; 6</w:t>
            </w:r>
            <w:r>
              <w:rPr>
                <w:b/>
                <w:sz w:val="20"/>
              </w:rPr>
              <w:noBreakHyphen/>
              <w:t>aastased</w:t>
            </w:r>
          </w:p>
          <w:p w14:paraId="7541E60C" w14:textId="77777777" w:rsidR="00A27A6F" w:rsidRDefault="002C0949" w:rsidP="009F49A8">
            <w:pPr>
              <w:keepNext/>
              <w:spacing w:line="240" w:lineRule="auto"/>
              <w:jc w:val="center"/>
              <w:rPr>
                <w:b/>
                <w:sz w:val="20"/>
              </w:rPr>
            </w:pPr>
            <w:r>
              <w:rPr>
                <w:b/>
                <w:sz w:val="20"/>
              </w:rPr>
              <w:t>(2, 4)</w:t>
            </w:r>
          </w:p>
        </w:tc>
        <w:tc>
          <w:tcPr>
            <w:tcW w:w="1096" w:type="pct"/>
            <w:tcBorders>
              <w:top w:val="single" w:sz="6" w:space="0" w:color="auto"/>
              <w:left w:val="single" w:sz="6" w:space="0" w:color="auto"/>
              <w:bottom w:val="single" w:sz="6" w:space="0" w:color="auto"/>
              <w:right w:val="single" w:sz="6" w:space="0" w:color="auto"/>
            </w:tcBorders>
            <w:vAlign w:val="center"/>
            <w:hideMark/>
          </w:tcPr>
          <w:p w14:paraId="7C23577C" w14:textId="77777777" w:rsidR="00A27A6F" w:rsidRDefault="002C0949" w:rsidP="009F49A8">
            <w:pPr>
              <w:keepNext/>
              <w:spacing w:line="240" w:lineRule="auto"/>
              <w:jc w:val="center"/>
              <w:rPr>
                <w:b/>
                <w:sz w:val="20"/>
              </w:rPr>
            </w:pPr>
            <w:r>
              <w:rPr>
                <w:b/>
                <w:sz w:val="20"/>
              </w:rPr>
              <w:t>6...&lt; 12</w:t>
            </w:r>
            <w:r>
              <w:rPr>
                <w:b/>
                <w:sz w:val="20"/>
              </w:rPr>
              <w:noBreakHyphen/>
              <w:t>aastased</w:t>
            </w:r>
          </w:p>
          <w:p w14:paraId="72E03D6F" w14:textId="77777777" w:rsidR="00A27A6F" w:rsidRDefault="002C0949" w:rsidP="009F49A8">
            <w:pPr>
              <w:keepNext/>
              <w:spacing w:line="240" w:lineRule="auto"/>
              <w:jc w:val="center"/>
              <w:rPr>
                <w:b/>
                <w:sz w:val="20"/>
              </w:rPr>
            </w:pPr>
            <w:r>
              <w:rPr>
                <w:b/>
                <w:sz w:val="20"/>
              </w:rPr>
              <w:t>(6, 10)</w:t>
            </w:r>
          </w:p>
        </w:tc>
        <w:tc>
          <w:tcPr>
            <w:tcW w:w="1371" w:type="pct"/>
            <w:tcBorders>
              <w:top w:val="single" w:sz="6" w:space="0" w:color="auto"/>
              <w:left w:val="single" w:sz="6" w:space="0" w:color="auto"/>
              <w:bottom w:val="single" w:sz="6" w:space="0" w:color="auto"/>
              <w:right w:val="single" w:sz="6" w:space="0" w:color="auto"/>
            </w:tcBorders>
            <w:vAlign w:val="center"/>
            <w:hideMark/>
          </w:tcPr>
          <w:p w14:paraId="1FA1C23D" w14:textId="77777777" w:rsidR="00A27A6F" w:rsidRDefault="002C0949" w:rsidP="009F49A8">
            <w:pPr>
              <w:keepNext/>
              <w:spacing w:line="240" w:lineRule="auto"/>
              <w:jc w:val="center"/>
              <w:rPr>
                <w:b/>
                <w:sz w:val="20"/>
              </w:rPr>
            </w:pPr>
            <w:r>
              <w:rPr>
                <w:b/>
                <w:sz w:val="20"/>
              </w:rPr>
              <w:t>12...&lt; 18</w:t>
            </w:r>
            <w:r>
              <w:rPr>
                <w:b/>
                <w:sz w:val="20"/>
              </w:rPr>
              <w:noBreakHyphen/>
              <w:t>aastased</w:t>
            </w:r>
          </w:p>
          <w:p w14:paraId="1BA55BD4" w14:textId="77777777" w:rsidR="00A27A6F" w:rsidRDefault="002C0949" w:rsidP="009F49A8">
            <w:pPr>
              <w:keepNext/>
              <w:spacing w:line="240" w:lineRule="auto"/>
              <w:jc w:val="center"/>
              <w:rPr>
                <w:b/>
                <w:sz w:val="20"/>
              </w:rPr>
            </w:pPr>
            <w:r>
              <w:rPr>
                <w:b/>
                <w:sz w:val="20"/>
              </w:rPr>
              <w:t>(12, 17)</w:t>
            </w:r>
          </w:p>
        </w:tc>
      </w:tr>
      <w:tr w:rsidR="00A27A6F" w14:paraId="6201862B" w14:textId="77777777" w:rsidTr="000E6A08">
        <w:trPr>
          <w:gridAfter w:val="1"/>
          <w:wAfter w:w="5" w:type="pct"/>
          <w:trHeight w:val="336"/>
        </w:trPr>
        <w:tc>
          <w:tcPr>
            <w:tcW w:w="1389" w:type="pct"/>
            <w:vMerge/>
            <w:tcBorders>
              <w:top w:val="single" w:sz="6" w:space="0" w:color="auto"/>
              <w:left w:val="single" w:sz="6" w:space="0" w:color="auto"/>
              <w:bottom w:val="single" w:sz="6" w:space="0" w:color="auto"/>
              <w:right w:val="single" w:sz="6" w:space="0" w:color="auto"/>
            </w:tcBorders>
            <w:vAlign w:val="center"/>
            <w:hideMark/>
          </w:tcPr>
          <w:p w14:paraId="44EC3DFC" w14:textId="77777777" w:rsidR="00A27A6F" w:rsidRDefault="00A27A6F" w:rsidP="009F49A8">
            <w:pPr>
              <w:keepNext/>
              <w:tabs>
                <w:tab w:val="clear" w:pos="567"/>
              </w:tabs>
              <w:spacing w:line="240" w:lineRule="auto"/>
              <w:rPr>
                <w:b/>
                <w:bCs/>
                <w:sz w:val="20"/>
              </w:rPr>
            </w:pPr>
          </w:p>
        </w:tc>
        <w:tc>
          <w:tcPr>
            <w:tcW w:w="1140" w:type="pct"/>
            <w:tcBorders>
              <w:top w:val="single" w:sz="6" w:space="0" w:color="auto"/>
              <w:left w:val="single" w:sz="6" w:space="0" w:color="auto"/>
              <w:bottom w:val="single" w:sz="6" w:space="0" w:color="auto"/>
              <w:right w:val="single" w:sz="6" w:space="0" w:color="auto"/>
            </w:tcBorders>
            <w:vAlign w:val="center"/>
            <w:hideMark/>
          </w:tcPr>
          <w:p w14:paraId="3612C75C" w14:textId="77777777" w:rsidR="00A27A6F" w:rsidRDefault="002C0949" w:rsidP="009F49A8">
            <w:pPr>
              <w:keepNext/>
              <w:spacing w:line="240" w:lineRule="auto"/>
              <w:jc w:val="center"/>
              <w:rPr>
                <w:b/>
                <w:sz w:val="20"/>
              </w:rPr>
            </w:pPr>
            <w:r>
              <w:rPr>
                <w:b/>
                <w:sz w:val="20"/>
              </w:rPr>
              <w:t>N = 11</w:t>
            </w:r>
          </w:p>
        </w:tc>
        <w:tc>
          <w:tcPr>
            <w:tcW w:w="1096" w:type="pct"/>
            <w:tcBorders>
              <w:top w:val="single" w:sz="6" w:space="0" w:color="auto"/>
              <w:left w:val="single" w:sz="6" w:space="0" w:color="auto"/>
              <w:bottom w:val="single" w:sz="6" w:space="0" w:color="auto"/>
              <w:right w:val="single" w:sz="6" w:space="0" w:color="auto"/>
            </w:tcBorders>
            <w:vAlign w:val="center"/>
            <w:hideMark/>
          </w:tcPr>
          <w:p w14:paraId="0976F3F6" w14:textId="77777777" w:rsidR="00A27A6F" w:rsidRDefault="002C0949" w:rsidP="009F49A8">
            <w:pPr>
              <w:keepNext/>
              <w:spacing w:line="240" w:lineRule="auto"/>
              <w:jc w:val="center"/>
              <w:rPr>
                <w:b/>
                <w:sz w:val="20"/>
              </w:rPr>
            </w:pPr>
            <w:r>
              <w:rPr>
                <w:b/>
                <w:sz w:val="20"/>
              </w:rPr>
              <w:t>N = 13</w:t>
            </w:r>
          </w:p>
        </w:tc>
        <w:tc>
          <w:tcPr>
            <w:tcW w:w="1371" w:type="pct"/>
            <w:tcBorders>
              <w:top w:val="single" w:sz="6" w:space="0" w:color="auto"/>
              <w:left w:val="single" w:sz="6" w:space="0" w:color="auto"/>
              <w:bottom w:val="single" w:sz="6" w:space="0" w:color="auto"/>
              <w:right w:val="single" w:sz="6" w:space="0" w:color="auto"/>
            </w:tcBorders>
            <w:vAlign w:val="center"/>
            <w:hideMark/>
          </w:tcPr>
          <w:p w14:paraId="3379C82F" w14:textId="77777777" w:rsidR="00A27A6F" w:rsidRDefault="002C0949" w:rsidP="009F49A8">
            <w:pPr>
              <w:keepNext/>
              <w:spacing w:line="240" w:lineRule="auto"/>
              <w:jc w:val="center"/>
              <w:rPr>
                <w:b/>
                <w:sz w:val="20"/>
              </w:rPr>
            </w:pPr>
            <w:r>
              <w:rPr>
                <w:b/>
                <w:sz w:val="20"/>
              </w:rPr>
              <w:t>N = 11</w:t>
            </w:r>
          </w:p>
        </w:tc>
      </w:tr>
      <w:tr w:rsidR="00A27A6F" w14:paraId="6C0AAD79" w14:textId="77777777" w:rsidTr="000E6A08">
        <w:trPr>
          <w:gridAfter w:val="1"/>
          <w:wAfter w:w="5" w:type="pct"/>
        </w:trPr>
        <w:tc>
          <w:tcPr>
            <w:tcW w:w="1389" w:type="pct"/>
            <w:tcBorders>
              <w:top w:val="single" w:sz="6" w:space="0" w:color="auto"/>
              <w:left w:val="single" w:sz="6" w:space="0" w:color="auto"/>
              <w:bottom w:val="single" w:sz="6" w:space="0" w:color="auto"/>
              <w:right w:val="single" w:sz="6" w:space="0" w:color="auto"/>
            </w:tcBorders>
            <w:vAlign w:val="center"/>
            <w:hideMark/>
          </w:tcPr>
          <w:p w14:paraId="6F850A51" w14:textId="77777777" w:rsidR="00A27A6F" w:rsidRDefault="002C0949" w:rsidP="009F49A8">
            <w:pPr>
              <w:keepNext/>
              <w:spacing w:line="240" w:lineRule="auto"/>
              <w:jc w:val="center"/>
              <w:rPr>
                <w:b/>
                <w:bCs/>
                <w:sz w:val="20"/>
              </w:rPr>
            </w:pPr>
            <w:r>
              <w:rPr>
                <w:b/>
                <w:bCs/>
                <w:sz w:val="20"/>
              </w:rPr>
              <w:t>IR</w:t>
            </w:r>
          </w:p>
          <w:p w14:paraId="5DE9B870" w14:textId="77777777" w:rsidR="00A27A6F" w:rsidRDefault="002C0949" w:rsidP="009F49A8">
            <w:pPr>
              <w:keepNext/>
              <w:spacing w:line="240" w:lineRule="auto"/>
              <w:jc w:val="center"/>
              <w:rPr>
                <w:sz w:val="20"/>
              </w:rPr>
            </w:pPr>
            <w:r>
              <w:rPr>
                <w:b/>
                <w:bCs/>
                <w:sz w:val="20"/>
              </w:rPr>
              <w:t>(RÜ/dl RÜ/kg kohta)</w:t>
            </w:r>
          </w:p>
        </w:tc>
        <w:tc>
          <w:tcPr>
            <w:tcW w:w="1140" w:type="pct"/>
            <w:tcBorders>
              <w:top w:val="single" w:sz="6" w:space="0" w:color="auto"/>
              <w:left w:val="single" w:sz="6" w:space="0" w:color="auto"/>
              <w:bottom w:val="single" w:sz="6" w:space="0" w:color="auto"/>
              <w:right w:val="single" w:sz="6" w:space="0" w:color="auto"/>
            </w:tcBorders>
            <w:vAlign w:val="center"/>
            <w:hideMark/>
          </w:tcPr>
          <w:p w14:paraId="6A5599FF" w14:textId="77777777" w:rsidR="00A27A6F" w:rsidRDefault="002C0949" w:rsidP="009F49A8">
            <w:pPr>
              <w:keepNext/>
              <w:spacing w:line="240" w:lineRule="auto"/>
              <w:jc w:val="center"/>
              <w:rPr>
                <w:sz w:val="20"/>
              </w:rPr>
            </w:pPr>
            <w:r>
              <w:rPr>
                <w:sz w:val="20"/>
              </w:rPr>
              <w:t>0,5989</w:t>
            </w:r>
            <w:r>
              <w:rPr>
                <w:sz w:val="20"/>
              </w:rPr>
              <w:br/>
              <w:t>(0,5152; 0,6752)</w:t>
            </w:r>
          </w:p>
        </w:tc>
        <w:tc>
          <w:tcPr>
            <w:tcW w:w="1096" w:type="pct"/>
            <w:tcBorders>
              <w:top w:val="single" w:sz="6" w:space="0" w:color="auto"/>
              <w:left w:val="single" w:sz="6" w:space="0" w:color="auto"/>
              <w:bottom w:val="single" w:sz="6" w:space="0" w:color="auto"/>
              <w:right w:val="single" w:sz="6" w:space="0" w:color="auto"/>
            </w:tcBorders>
            <w:vAlign w:val="center"/>
            <w:hideMark/>
          </w:tcPr>
          <w:p w14:paraId="7101A865" w14:textId="77777777" w:rsidR="00A27A6F" w:rsidRDefault="002C0949" w:rsidP="009F49A8">
            <w:pPr>
              <w:keepNext/>
              <w:spacing w:line="240" w:lineRule="auto"/>
              <w:jc w:val="center"/>
              <w:rPr>
                <w:sz w:val="20"/>
              </w:rPr>
            </w:pPr>
            <w:r>
              <w:rPr>
                <w:sz w:val="20"/>
              </w:rPr>
              <w:t>0,7170</w:t>
            </w:r>
            <w:r>
              <w:rPr>
                <w:sz w:val="20"/>
              </w:rPr>
              <w:br/>
              <w:t>(0,6115; 0,8407)</w:t>
            </w:r>
          </w:p>
        </w:tc>
        <w:tc>
          <w:tcPr>
            <w:tcW w:w="1371" w:type="pct"/>
            <w:tcBorders>
              <w:top w:val="single" w:sz="6" w:space="0" w:color="auto"/>
              <w:left w:val="single" w:sz="6" w:space="0" w:color="auto"/>
              <w:bottom w:val="single" w:sz="6" w:space="0" w:color="auto"/>
              <w:right w:val="single" w:sz="6" w:space="0" w:color="auto"/>
            </w:tcBorders>
            <w:vAlign w:val="center"/>
            <w:hideMark/>
          </w:tcPr>
          <w:p w14:paraId="67A625F2" w14:textId="77777777" w:rsidR="00A27A6F" w:rsidRDefault="002C0949" w:rsidP="009F49A8">
            <w:pPr>
              <w:keepNext/>
              <w:spacing w:line="240" w:lineRule="auto"/>
              <w:jc w:val="center"/>
              <w:rPr>
                <w:sz w:val="20"/>
              </w:rPr>
            </w:pPr>
            <w:r>
              <w:rPr>
                <w:sz w:val="20"/>
              </w:rPr>
              <w:t>0,8470</w:t>
            </w:r>
            <w:r>
              <w:rPr>
                <w:sz w:val="20"/>
              </w:rPr>
              <w:br/>
              <w:t>(0,6767; 1,0600)</w:t>
            </w:r>
          </w:p>
        </w:tc>
      </w:tr>
      <w:tr w:rsidR="00A27A6F" w14:paraId="65A4D8A0" w14:textId="77777777" w:rsidTr="000E6A08">
        <w:trPr>
          <w:gridAfter w:val="1"/>
          <w:wAfter w:w="5" w:type="pct"/>
        </w:trPr>
        <w:tc>
          <w:tcPr>
            <w:tcW w:w="1389" w:type="pct"/>
            <w:tcBorders>
              <w:top w:val="single" w:sz="6" w:space="0" w:color="auto"/>
              <w:left w:val="single" w:sz="6" w:space="0" w:color="auto"/>
              <w:bottom w:val="single" w:sz="6" w:space="0" w:color="auto"/>
              <w:right w:val="single" w:sz="6" w:space="0" w:color="auto"/>
            </w:tcBorders>
            <w:vAlign w:val="center"/>
            <w:hideMark/>
          </w:tcPr>
          <w:p w14:paraId="70ADDEC2" w14:textId="77777777" w:rsidR="00A27A6F" w:rsidRDefault="002C0949" w:rsidP="009F49A8">
            <w:pPr>
              <w:keepNext/>
              <w:spacing w:line="240" w:lineRule="auto"/>
              <w:jc w:val="center"/>
              <w:rPr>
                <w:b/>
                <w:bCs/>
                <w:sz w:val="20"/>
              </w:rPr>
            </w:pPr>
            <w:r>
              <w:rPr>
                <w:b/>
                <w:bCs/>
                <w:sz w:val="20"/>
              </w:rPr>
              <w:t>AUC/annus</w:t>
            </w:r>
          </w:p>
          <w:p w14:paraId="5947B694" w14:textId="77777777" w:rsidR="00A27A6F" w:rsidRDefault="002C0949" w:rsidP="009F49A8">
            <w:pPr>
              <w:keepNext/>
              <w:spacing w:line="240" w:lineRule="auto"/>
              <w:jc w:val="center"/>
              <w:rPr>
                <w:sz w:val="20"/>
              </w:rPr>
            </w:pPr>
            <w:r>
              <w:rPr>
                <w:b/>
                <w:bCs/>
                <w:sz w:val="20"/>
              </w:rPr>
              <w:t>(RÜ*h/dl RÜ/kg kohta)</w:t>
            </w:r>
          </w:p>
        </w:tc>
        <w:tc>
          <w:tcPr>
            <w:tcW w:w="1140" w:type="pct"/>
            <w:tcBorders>
              <w:top w:val="single" w:sz="6" w:space="0" w:color="auto"/>
              <w:left w:val="single" w:sz="6" w:space="0" w:color="auto"/>
              <w:bottom w:val="single" w:sz="6" w:space="0" w:color="auto"/>
              <w:right w:val="single" w:sz="6" w:space="0" w:color="auto"/>
            </w:tcBorders>
            <w:vAlign w:val="center"/>
            <w:hideMark/>
          </w:tcPr>
          <w:p w14:paraId="2F344095" w14:textId="77777777" w:rsidR="00A27A6F" w:rsidRDefault="002C0949" w:rsidP="009F49A8">
            <w:pPr>
              <w:keepNext/>
              <w:spacing w:line="240" w:lineRule="auto"/>
              <w:jc w:val="center"/>
              <w:rPr>
                <w:sz w:val="20"/>
              </w:rPr>
            </w:pPr>
            <w:r>
              <w:rPr>
                <w:sz w:val="20"/>
              </w:rPr>
              <w:t>22,71</w:t>
            </w:r>
            <w:r>
              <w:rPr>
                <w:sz w:val="20"/>
              </w:rPr>
              <w:br/>
              <w:t>(20,32; 25,38)</w:t>
            </w:r>
          </w:p>
        </w:tc>
        <w:tc>
          <w:tcPr>
            <w:tcW w:w="1096" w:type="pct"/>
            <w:tcBorders>
              <w:top w:val="single" w:sz="6" w:space="0" w:color="auto"/>
              <w:left w:val="single" w:sz="6" w:space="0" w:color="auto"/>
              <w:bottom w:val="single" w:sz="6" w:space="0" w:color="auto"/>
              <w:right w:val="single" w:sz="6" w:space="0" w:color="auto"/>
            </w:tcBorders>
            <w:vAlign w:val="center"/>
            <w:hideMark/>
          </w:tcPr>
          <w:p w14:paraId="029E4E6D" w14:textId="77777777" w:rsidR="00A27A6F" w:rsidRDefault="002C0949" w:rsidP="009F49A8">
            <w:pPr>
              <w:keepNext/>
              <w:spacing w:line="240" w:lineRule="auto"/>
              <w:jc w:val="center"/>
              <w:rPr>
                <w:sz w:val="20"/>
              </w:rPr>
            </w:pPr>
            <w:r>
              <w:rPr>
                <w:sz w:val="20"/>
              </w:rPr>
              <w:t>28,53</w:t>
            </w:r>
            <w:r>
              <w:rPr>
                <w:sz w:val="20"/>
              </w:rPr>
              <w:br/>
              <w:t>(24,47; 33,27)</w:t>
            </w:r>
          </w:p>
        </w:tc>
        <w:tc>
          <w:tcPr>
            <w:tcW w:w="1371" w:type="pct"/>
            <w:tcBorders>
              <w:top w:val="single" w:sz="6" w:space="0" w:color="auto"/>
              <w:left w:val="single" w:sz="6" w:space="0" w:color="auto"/>
              <w:bottom w:val="single" w:sz="6" w:space="0" w:color="auto"/>
              <w:right w:val="single" w:sz="6" w:space="0" w:color="auto"/>
            </w:tcBorders>
            <w:vAlign w:val="center"/>
            <w:hideMark/>
          </w:tcPr>
          <w:p w14:paraId="0E336B37" w14:textId="77777777" w:rsidR="00A27A6F" w:rsidRDefault="002C0949" w:rsidP="009F49A8">
            <w:pPr>
              <w:keepNext/>
              <w:spacing w:line="240" w:lineRule="auto"/>
              <w:jc w:val="center"/>
              <w:rPr>
                <w:sz w:val="20"/>
              </w:rPr>
            </w:pPr>
            <w:r>
              <w:rPr>
                <w:sz w:val="20"/>
              </w:rPr>
              <w:t>29,50</w:t>
            </w:r>
            <w:r>
              <w:rPr>
                <w:sz w:val="20"/>
              </w:rPr>
              <w:br/>
              <w:t>(25,13; 34,63)</w:t>
            </w:r>
          </w:p>
        </w:tc>
      </w:tr>
      <w:tr w:rsidR="00A27A6F" w14:paraId="2D0580D6" w14:textId="77777777" w:rsidTr="000E6A08">
        <w:trPr>
          <w:gridAfter w:val="1"/>
          <w:wAfter w:w="5" w:type="pct"/>
        </w:trPr>
        <w:tc>
          <w:tcPr>
            <w:tcW w:w="1389" w:type="pct"/>
            <w:tcBorders>
              <w:top w:val="single" w:sz="6" w:space="0" w:color="auto"/>
              <w:left w:val="single" w:sz="6" w:space="0" w:color="auto"/>
              <w:bottom w:val="single" w:sz="6" w:space="0" w:color="auto"/>
              <w:right w:val="single" w:sz="6" w:space="0" w:color="auto"/>
            </w:tcBorders>
            <w:vAlign w:val="center"/>
            <w:hideMark/>
          </w:tcPr>
          <w:p w14:paraId="00175316" w14:textId="77777777" w:rsidR="00A27A6F" w:rsidRDefault="002C0949" w:rsidP="009F49A8">
            <w:pPr>
              <w:keepNext/>
              <w:spacing w:line="240" w:lineRule="auto"/>
              <w:jc w:val="center"/>
              <w:rPr>
                <w:sz w:val="20"/>
              </w:rPr>
            </w:pPr>
            <w:r>
              <w:rPr>
                <w:b/>
                <w:bCs/>
                <w:sz w:val="20"/>
              </w:rPr>
              <w:t>t</w:t>
            </w:r>
            <w:r>
              <w:rPr>
                <w:sz w:val="20"/>
                <w:vertAlign w:val="subscript"/>
              </w:rPr>
              <w:t>½</w:t>
            </w:r>
            <w:r>
              <w:rPr>
                <w:b/>
                <w:bCs/>
                <w:sz w:val="20"/>
              </w:rPr>
              <w:t xml:space="preserve"> (h)</w:t>
            </w:r>
          </w:p>
        </w:tc>
        <w:tc>
          <w:tcPr>
            <w:tcW w:w="1140" w:type="pct"/>
            <w:tcBorders>
              <w:top w:val="single" w:sz="6" w:space="0" w:color="auto"/>
              <w:left w:val="single" w:sz="6" w:space="0" w:color="auto"/>
              <w:bottom w:val="single" w:sz="6" w:space="0" w:color="auto"/>
              <w:right w:val="single" w:sz="6" w:space="0" w:color="auto"/>
            </w:tcBorders>
            <w:vAlign w:val="center"/>
            <w:hideMark/>
          </w:tcPr>
          <w:p w14:paraId="19DB281E" w14:textId="77777777" w:rsidR="00A27A6F" w:rsidRDefault="002C0949" w:rsidP="009F49A8">
            <w:pPr>
              <w:keepNext/>
              <w:spacing w:line="240" w:lineRule="auto"/>
              <w:jc w:val="center"/>
              <w:rPr>
                <w:sz w:val="20"/>
              </w:rPr>
            </w:pPr>
            <w:r>
              <w:rPr>
                <w:sz w:val="20"/>
              </w:rPr>
              <w:t>66,49</w:t>
            </w:r>
            <w:r>
              <w:rPr>
                <w:sz w:val="20"/>
              </w:rPr>
              <w:br/>
              <w:t>(55,86; 79,14)</w:t>
            </w:r>
          </w:p>
        </w:tc>
        <w:tc>
          <w:tcPr>
            <w:tcW w:w="1096" w:type="pct"/>
            <w:tcBorders>
              <w:top w:val="single" w:sz="6" w:space="0" w:color="auto"/>
              <w:left w:val="single" w:sz="6" w:space="0" w:color="auto"/>
              <w:bottom w:val="single" w:sz="6" w:space="0" w:color="auto"/>
              <w:right w:val="single" w:sz="6" w:space="0" w:color="auto"/>
            </w:tcBorders>
            <w:vAlign w:val="center"/>
            <w:hideMark/>
          </w:tcPr>
          <w:p w14:paraId="079ED86D" w14:textId="77777777" w:rsidR="00A27A6F" w:rsidRDefault="002C0949" w:rsidP="009F49A8">
            <w:pPr>
              <w:keepNext/>
              <w:spacing w:line="240" w:lineRule="auto"/>
              <w:jc w:val="center"/>
              <w:rPr>
                <w:sz w:val="20"/>
              </w:rPr>
            </w:pPr>
            <w:r>
              <w:rPr>
                <w:sz w:val="20"/>
              </w:rPr>
              <w:t>70,34</w:t>
            </w:r>
            <w:r>
              <w:rPr>
                <w:sz w:val="20"/>
              </w:rPr>
              <w:br/>
              <w:t>(60,95; 81,17)</w:t>
            </w:r>
          </w:p>
        </w:tc>
        <w:tc>
          <w:tcPr>
            <w:tcW w:w="1371" w:type="pct"/>
            <w:tcBorders>
              <w:top w:val="single" w:sz="6" w:space="0" w:color="auto"/>
              <w:left w:val="single" w:sz="6" w:space="0" w:color="auto"/>
              <w:bottom w:val="single" w:sz="6" w:space="0" w:color="auto"/>
              <w:right w:val="single" w:sz="6" w:space="0" w:color="auto"/>
            </w:tcBorders>
            <w:vAlign w:val="center"/>
            <w:hideMark/>
          </w:tcPr>
          <w:p w14:paraId="73E18057" w14:textId="77777777" w:rsidR="00A27A6F" w:rsidRDefault="002C0949" w:rsidP="009F49A8">
            <w:pPr>
              <w:keepNext/>
              <w:spacing w:line="240" w:lineRule="auto"/>
              <w:jc w:val="center"/>
              <w:rPr>
                <w:sz w:val="20"/>
              </w:rPr>
            </w:pPr>
            <w:r>
              <w:rPr>
                <w:sz w:val="20"/>
              </w:rPr>
              <w:t>82,22</w:t>
            </w:r>
            <w:r>
              <w:rPr>
                <w:sz w:val="20"/>
              </w:rPr>
              <w:br/>
              <w:t>(72,30; 93,50)</w:t>
            </w:r>
          </w:p>
        </w:tc>
      </w:tr>
      <w:tr w:rsidR="00A27A6F" w14:paraId="04263A7F" w14:textId="77777777" w:rsidTr="000E6A08">
        <w:trPr>
          <w:gridAfter w:val="1"/>
          <w:wAfter w:w="5" w:type="pct"/>
        </w:trPr>
        <w:tc>
          <w:tcPr>
            <w:tcW w:w="1389" w:type="pct"/>
            <w:tcBorders>
              <w:top w:val="single" w:sz="6" w:space="0" w:color="auto"/>
              <w:left w:val="single" w:sz="6" w:space="0" w:color="auto"/>
              <w:bottom w:val="single" w:sz="6" w:space="0" w:color="auto"/>
              <w:right w:val="single" w:sz="6" w:space="0" w:color="auto"/>
            </w:tcBorders>
            <w:vAlign w:val="center"/>
            <w:hideMark/>
          </w:tcPr>
          <w:p w14:paraId="472C637D" w14:textId="77777777" w:rsidR="00A27A6F" w:rsidRDefault="002C0949" w:rsidP="009F49A8">
            <w:pPr>
              <w:keepNext/>
              <w:spacing w:line="240" w:lineRule="auto"/>
              <w:jc w:val="center"/>
              <w:rPr>
                <w:sz w:val="20"/>
              </w:rPr>
            </w:pPr>
            <w:r>
              <w:rPr>
                <w:b/>
                <w:bCs/>
                <w:sz w:val="20"/>
              </w:rPr>
              <w:t>MRT (h)</w:t>
            </w:r>
          </w:p>
        </w:tc>
        <w:tc>
          <w:tcPr>
            <w:tcW w:w="1140" w:type="pct"/>
            <w:tcBorders>
              <w:top w:val="single" w:sz="6" w:space="0" w:color="auto"/>
              <w:left w:val="single" w:sz="6" w:space="0" w:color="auto"/>
              <w:bottom w:val="single" w:sz="6" w:space="0" w:color="auto"/>
              <w:right w:val="single" w:sz="6" w:space="0" w:color="auto"/>
            </w:tcBorders>
            <w:vAlign w:val="center"/>
            <w:hideMark/>
          </w:tcPr>
          <w:p w14:paraId="0CF192C5" w14:textId="77777777" w:rsidR="00A27A6F" w:rsidRDefault="002C0949" w:rsidP="009F49A8">
            <w:pPr>
              <w:keepNext/>
              <w:spacing w:line="240" w:lineRule="auto"/>
              <w:jc w:val="center"/>
              <w:rPr>
                <w:sz w:val="20"/>
              </w:rPr>
            </w:pPr>
            <w:r>
              <w:rPr>
                <w:sz w:val="20"/>
              </w:rPr>
              <w:t>83,65</w:t>
            </w:r>
            <w:r>
              <w:rPr>
                <w:sz w:val="20"/>
              </w:rPr>
              <w:br/>
              <w:t>(71,76; 97,51)</w:t>
            </w:r>
          </w:p>
        </w:tc>
        <w:tc>
          <w:tcPr>
            <w:tcW w:w="1096" w:type="pct"/>
            <w:tcBorders>
              <w:top w:val="single" w:sz="6" w:space="0" w:color="auto"/>
              <w:left w:val="single" w:sz="6" w:space="0" w:color="auto"/>
              <w:bottom w:val="single" w:sz="6" w:space="0" w:color="auto"/>
              <w:right w:val="single" w:sz="6" w:space="0" w:color="auto"/>
            </w:tcBorders>
            <w:vAlign w:val="center"/>
            <w:hideMark/>
          </w:tcPr>
          <w:p w14:paraId="2A9859AC" w14:textId="77777777" w:rsidR="00A27A6F" w:rsidRDefault="002C0949" w:rsidP="009F49A8">
            <w:pPr>
              <w:keepNext/>
              <w:spacing w:line="240" w:lineRule="auto"/>
              <w:jc w:val="center"/>
              <w:rPr>
                <w:sz w:val="20"/>
              </w:rPr>
            </w:pPr>
            <w:r>
              <w:rPr>
                <w:sz w:val="20"/>
              </w:rPr>
              <w:t>82,46</w:t>
            </w:r>
            <w:r>
              <w:rPr>
                <w:sz w:val="20"/>
              </w:rPr>
              <w:br/>
              <w:t>(72,65; 93,60)</w:t>
            </w:r>
          </w:p>
        </w:tc>
        <w:tc>
          <w:tcPr>
            <w:tcW w:w="1371" w:type="pct"/>
            <w:tcBorders>
              <w:top w:val="single" w:sz="6" w:space="0" w:color="auto"/>
              <w:left w:val="single" w:sz="6" w:space="0" w:color="auto"/>
              <w:bottom w:val="single" w:sz="6" w:space="0" w:color="auto"/>
              <w:right w:val="single" w:sz="6" w:space="0" w:color="auto"/>
            </w:tcBorders>
            <w:vAlign w:val="center"/>
            <w:hideMark/>
          </w:tcPr>
          <w:p w14:paraId="31B4E79D" w14:textId="77777777" w:rsidR="00A27A6F" w:rsidRDefault="002C0949" w:rsidP="009F49A8">
            <w:pPr>
              <w:keepNext/>
              <w:spacing w:line="240" w:lineRule="auto"/>
              <w:jc w:val="center"/>
              <w:rPr>
                <w:sz w:val="20"/>
              </w:rPr>
            </w:pPr>
            <w:r>
              <w:rPr>
                <w:sz w:val="20"/>
              </w:rPr>
              <w:t>93,46</w:t>
            </w:r>
            <w:r>
              <w:rPr>
                <w:sz w:val="20"/>
              </w:rPr>
              <w:br/>
              <w:t>(81,77; 106,81)</w:t>
            </w:r>
          </w:p>
        </w:tc>
      </w:tr>
      <w:tr w:rsidR="00A27A6F" w14:paraId="2A1C1116" w14:textId="77777777" w:rsidTr="000E6A08">
        <w:trPr>
          <w:gridAfter w:val="1"/>
          <w:wAfter w:w="5" w:type="pct"/>
        </w:trPr>
        <w:tc>
          <w:tcPr>
            <w:tcW w:w="1389" w:type="pct"/>
            <w:tcBorders>
              <w:top w:val="single" w:sz="6" w:space="0" w:color="auto"/>
              <w:left w:val="single" w:sz="6" w:space="0" w:color="auto"/>
              <w:bottom w:val="single" w:sz="6" w:space="0" w:color="auto"/>
              <w:right w:val="single" w:sz="6" w:space="0" w:color="auto"/>
            </w:tcBorders>
            <w:vAlign w:val="center"/>
            <w:hideMark/>
          </w:tcPr>
          <w:p w14:paraId="499EC00D" w14:textId="77777777" w:rsidR="00A27A6F" w:rsidRDefault="002C0949" w:rsidP="009F49A8">
            <w:pPr>
              <w:keepNext/>
              <w:spacing w:line="240" w:lineRule="auto"/>
              <w:jc w:val="center"/>
              <w:rPr>
                <w:sz w:val="20"/>
              </w:rPr>
            </w:pPr>
            <w:r>
              <w:rPr>
                <w:b/>
                <w:bCs/>
                <w:sz w:val="20"/>
              </w:rPr>
              <w:t>CL (ml/h/kg)</w:t>
            </w:r>
          </w:p>
        </w:tc>
        <w:tc>
          <w:tcPr>
            <w:tcW w:w="1140" w:type="pct"/>
            <w:tcBorders>
              <w:top w:val="single" w:sz="6" w:space="0" w:color="auto"/>
              <w:left w:val="single" w:sz="6" w:space="0" w:color="auto"/>
              <w:bottom w:val="single" w:sz="6" w:space="0" w:color="auto"/>
              <w:right w:val="single" w:sz="6" w:space="0" w:color="auto"/>
            </w:tcBorders>
            <w:vAlign w:val="center"/>
            <w:hideMark/>
          </w:tcPr>
          <w:p w14:paraId="6A3A891D" w14:textId="77777777" w:rsidR="00A27A6F" w:rsidRDefault="002C0949" w:rsidP="009F49A8">
            <w:pPr>
              <w:keepNext/>
              <w:spacing w:line="240" w:lineRule="auto"/>
              <w:jc w:val="center"/>
              <w:rPr>
                <w:sz w:val="20"/>
              </w:rPr>
            </w:pPr>
            <w:r>
              <w:rPr>
                <w:sz w:val="20"/>
              </w:rPr>
              <w:t>4,365</w:t>
            </w:r>
            <w:r>
              <w:rPr>
                <w:sz w:val="20"/>
              </w:rPr>
              <w:br/>
              <w:t>(3,901; 4,885)</w:t>
            </w:r>
          </w:p>
        </w:tc>
        <w:tc>
          <w:tcPr>
            <w:tcW w:w="1096" w:type="pct"/>
            <w:tcBorders>
              <w:top w:val="single" w:sz="6" w:space="0" w:color="auto"/>
              <w:left w:val="single" w:sz="6" w:space="0" w:color="auto"/>
              <w:bottom w:val="single" w:sz="6" w:space="0" w:color="auto"/>
              <w:right w:val="single" w:sz="6" w:space="0" w:color="auto"/>
            </w:tcBorders>
            <w:vAlign w:val="center"/>
            <w:hideMark/>
          </w:tcPr>
          <w:p w14:paraId="62AB07EE" w14:textId="77777777" w:rsidR="00A27A6F" w:rsidRDefault="002C0949" w:rsidP="009F49A8">
            <w:pPr>
              <w:keepNext/>
              <w:spacing w:line="240" w:lineRule="auto"/>
              <w:jc w:val="center"/>
              <w:rPr>
                <w:sz w:val="20"/>
              </w:rPr>
            </w:pPr>
            <w:r>
              <w:rPr>
                <w:sz w:val="20"/>
              </w:rPr>
              <w:t>3,505</w:t>
            </w:r>
            <w:r>
              <w:rPr>
                <w:sz w:val="20"/>
              </w:rPr>
              <w:br/>
              <w:t>(3,006; 4,087)</w:t>
            </w:r>
          </w:p>
        </w:tc>
        <w:tc>
          <w:tcPr>
            <w:tcW w:w="1371" w:type="pct"/>
            <w:tcBorders>
              <w:top w:val="single" w:sz="6" w:space="0" w:color="auto"/>
              <w:left w:val="single" w:sz="6" w:space="0" w:color="auto"/>
              <w:bottom w:val="single" w:sz="6" w:space="0" w:color="auto"/>
              <w:right w:val="single" w:sz="6" w:space="0" w:color="auto"/>
            </w:tcBorders>
            <w:vAlign w:val="center"/>
            <w:hideMark/>
          </w:tcPr>
          <w:p w14:paraId="565C32F7" w14:textId="77777777" w:rsidR="00A27A6F" w:rsidRDefault="002C0949" w:rsidP="009F49A8">
            <w:pPr>
              <w:keepNext/>
              <w:spacing w:line="240" w:lineRule="auto"/>
              <w:jc w:val="center"/>
              <w:rPr>
                <w:sz w:val="20"/>
              </w:rPr>
            </w:pPr>
            <w:r>
              <w:rPr>
                <w:sz w:val="20"/>
              </w:rPr>
              <w:t>3,390</w:t>
            </w:r>
            <w:r>
              <w:rPr>
                <w:sz w:val="20"/>
              </w:rPr>
              <w:br/>
              <w:t>(2,888; 3,979)</w:t>
            </w:r>
          </w:p>
        </w:tc>
      </w:tr>
      <w:tr w:rsidR="00A27A6F" w14:paraId="10D5604A" w14:textId="77777777" w:rsidTr="000E6A08">
        <w:trPr>
          <w:gridAfter w:val="1"/>
          <w:wAfter w:w="5" w:type="pct"/>
        </w:trPr>
        <w:tc>
          <w:tcPr>
            <w:tcW w:w="1389" w:type="pct"/>
            <w:tcBorders>
              <w:top w:val="single" w:sz="6" w:space="0" w:color="auto"/>
              <w:left w:val="single" w:sz="6" w:space="0" w:color="auto"/>
              <w:bottom w:val="single" w:sz="6" w:space="0" w:color="auto"/>
              <w:right w:val="single" w:sz="6" w:space="0" w:color="auto"/>
            </w:tcBorders>
            <w:vAlign w:val="center"/>
            <w:hideMark/>
          </w:tcPr>
          <w:p w14:paraId="11C84D4A" w14:textId="77777777" w:rsidR="00A27A6F" w:rsidRDefault="002C0949">
            <w:pPr>
              <w:keepNext/>
              <w:spacing w:line="240" w:lineRule="auto"/>
              <w:jc w:val="center"/>
              <w:rPr>
                <w:sz w:val="20"/>
              </w:rPr>
            </w:pPr>
            <w:r>
              <w:rPr>
                <w:b/>
                <w:bCs/>
                <w:sz w:val="20"/>
              </w:rPr>
              <w:t>V</w:t>
            </w:r>
            <w:r>
              <w:rPr>
                <w:b/>
                <w:bCs/>
                <w:sz w:val="20"/>
                <w:vertAlign w:val="subscript"/>
              </w:rPr>
              <w:t>SS</w:t>
            </w:r>
            <w:r>
              <w:rPr>
                <w:b/>
                <w:bCs/>
                <w:sz w:val="20"/>
              </w:rPr>
              <w:t xml:space="preserve"> (ml/kg)</w:t>
            </w:r>
          </w:p>
        </w:tc>
        <w:tc>
          <w:tcPr>
            <w:tcW w:w="1140" w:type="pct"/>
            <w:tcBorders>
              <w:top w:val="single" w:sz="6" w:space="0" w:color="auto"/>
              <w:left w:val="single" w:sz="6" w:space="0" w:color="auto"/>
              <w:bottom w:val="single" w:sz="6" w:space="0" w:color="auto"/>
              <w:right w:val="single" w:sz="6" w:space="0" w:color="auto"/>
            </w:tcBorders>
            <w:vAlign w:val="center"/>
            <w:hideMark/>
          </w:tcPr>
          <w:p w14:paraId="4C49D09F" w14:textId="77777777" w:rsidR="00A27A6F" w:rsidRDefault="002C0949">
            <w:pPr>
              <w:keepNext/>
              <w:spacing w:line="240" w:lineRule="auto"/>
              <w:jc w:val="center"/>
              <w:rPr>
                <w:sz w:val="20"/>
              </w:rPr>
            </w:pPr>
            <w:r>
              <w:rPr>
                <w:sz w:val="20"/>
              </w:rPr>
              <w:t>365,1</w:t>
            </w:r>
            <w:r>
              <w:rPr>
                <w:sz w:val="20"/>
              </w:rPr>
              <w:br/>
              <w:t>(316,2; 421,6)</w:t>
            </w:r>
          </w:p>
        </w:tc>
        <w:tc>
          <w:tcPr>
            <w:tcW w:w="1096" w:type="pct"/>
            <w:tcBorders>
              <w:top w:val="single" w:sz="6" w:space="0" w:color="auto"/>
              <w:left w:val="single" w:sz="6" w:space="0" w:color="auto"/>
              <w:bottom w:val="single" w:sz="6" w:space="0" w:color="auto"/>
              <w:right w:val="single" w:sz="6" w:space="0" w:color="auto"/>
            </w:tcBorders>
            <w:vAlign w:val="center"/>
            <w:hideMark/>
          </w:tcPr>
          <w:p w14:paraId="46D53B34" w14:textId="77777777" w:rsidR="00A27A6F" w:rsidRDefault="002C0949">
            <w:pPr>
              <w:keepNext/>
              <w:spacing w:line="240" w:lineRule="auto"/>
              <w:jc w:val="center"/>
              <w:rPr>
                <w:sz w:val="20"/>
              </w:rPr>
            </w:pPr>
            <w:r>
              <w:rPr>
                <w:sz w:val="20"/>
              </w:rPr>
              <w:t>289,0</w:t>
            </w:r>
            <w:r>
              <w:rPr>
                <w:sz w:val="20"/>
              </w:rPr>
              <w:br/>
              <w:t>(236,7; 352,9)</w:t>
            </w:r>
          </w:p>
        </w:tc>
        <w:tc>
          <w:tcPr>
            <w:tcW w:w="1371" w:type="pct"/>
            <w:tcBorders>
              <w:top w:val="single" w:sz="6" w:space="0" w:color="auto"/>
              <w:left w:val="single" w:sz="6" w:space="0" w:color="auto"/>
              <w:bottom w:val="single" w:sz="6" w:space="0" w:color="auto"/>
              <w:right w:val="single" w:sz="6" w:space="0" w:color="auto"/>
            </w:tcBorders>
            <w:vAlign w:val="center"/>
            <w:hideMark/>
          </w:tcPr>
          <w:p w14:paraId="7D4D12C1" w14:textId="77777777" w:rsidR="00A27A6F" w:rsidRDefault="002C0949">
            <w:pPr>
              <w:spacing w:line="240" w:lineRule="auto"/>
              <w:jc w:val="center"/>
              <w:rPr>
                <w:sz w:val="20"/>
              </w:rPr>
            </w:pPr>
            <w:r>
              <w:rPr>
                <w:sz w:val="20"/>
              </w:rPr>
              <w:t>316,8</w:t>
            </w:r>
            <w:r>
              <w:rPr>
                <w:sz w:val="20"/>
              </w:rPr>
              <w:br/>
              <w:t>(267,4; 375,5)</w:t>
            </w:r>
          </w:p>
        </w:tc>
      </w:tr>
      <w:tr w:rsidR="000E6A08" w14:paraId="642D2175" w14:textId="77777777" w:rsidTr="000E6A08">
        <w:tc>
          <w:tcPr>
            <w:tcW w:w="5000" w:type="pct"/>
            <w:gridSpan w:val="5"/>
            <w:tcBorders>
              <w:top w:val="single" w:sz="6" w:space="0" w:color="auto"/>
              <w:left w:val="nil"/>
              <w:bottom w:val="nil"/>
              <w:right w:val="nil"/>
            </w:tcBorders>
            <w:vAlign w:val="center"/>
            <w:hideMark/>
          </w:tcPr>
          <w:p w14:paraId="64DBB931" w14:textId="77777777" w:rsidR="00A27A6F" w:rsidRDefault="002C0949">
            <w:pPr>
              <w:spacing w:line="240" w:lineRule="auto"/>
              <w:rPr>
                <w:sz w:val="18"/>
                <w:szCs w:val="18"/>
              </w:rPr>
            </w:pPr>
            <w:r>
              <w:rPr>
                <w:sz w:val="18"/>
                <w:szCs w:val="18"/>
                <w:vertAlign w:val="superscript"/>
              </w:rPr>
              <w:t xml:space="preserve">1 </w:t>
            </w:r>
            <w:proofErr w:type="spellStart"/>
            <w:r>
              <w:rPr>
                <w:sz w:val="18"/>
                <w:szCs w:val="18"/>
              </w:rPr>
              <w:t>Mittekompartmentanalüüsi</w:t>
            </w:r>
            <w:proofErr w:type="spellEnd"/>
            <w:r>
              <w:rPr>
                <w:sz w:val="18"/>
                <w:szCs w:val="18"/>
              </w:rPr>
              <w:t xml:space="preserve"> tulemustest saadud FK parameetrid on esitatud geomeetrilise keskmisena (95% CI) </w:t>
            </w:r>
          </w:p>
          <w:p w14:paraId="5C5C837C" w14:textId="54FAACCB" w:rsidR="00A27A6F" w:rsidRDefault="002C0949" w:rsidP="007D2584">
            <w:pPr>
              <w:spacing w:line="240" w:lineRule="auto"/>
              <w:rPr>
                <w:sz w:val="18"/>
                <w:szCs w:val="18"/>
              </w:rPr>
            </w:pPr>
            <w:r>
              <w:rPr>
                <w:b/>
                <w:sz w:val="18"/>
                <w:szCs w:val="18"/>
              </w:rPr>
              <w:t>Lühendid:</w:t>
            </w:r>
            <w:r>
              <w:rPr>
                <w:sz w:val="18"/>
                <w:szCs w:val="18"/>
              </w:rPr>
              <w:t xml:space="preserve"> CI = usaldusvahemik; IR = astmeline taastumine; AUC = FIX aktiivsuse kõveraalune pindala; t</w:t>
            </w:r>
            <w:r>
              <w:rPr>
                <w:sz w:val="18"/>
                <w:szCs w:val="18"/>
                <w:vertAlign w:val="subscript"/>
              </w:rPr>
              <w:t xml:space="preserve">½ </w:t>
            </w:r>
            <w:r>
              <w:rPr>
                <w:sz w:val="18"/>
                <w:szCs w:val="18"/>
              </w:rPr>
              <w:t>= poolväärtusaeg; MRT = keskmine organismis viibimise aeg; CL = kliirens; V</w:t>
            </w:r>
            <w:r>
              <w:rPr>
                <w:sz w:val="18"/>
                <w:szCs w:val="18"/>
                <w:vertAlign w:val="subscript"/>
              </w:rPr>
              <w:t>SS</w:t>
            </w:r>
            <w:r>
              <w:rPr>
                <w:sz w:val="18"/>
                <w:szCs w:val="18"/>
              </w:rPr>
              <w:t xml:space="preserve"> = </w:t>
            </w:r>
            <w:r w:rsidRPr="00A63BDD">
              <w:rPr>
                <w:sz w:val="18"/>
                <w:szCs w:val="18"/>
              </w:rPr>
              <w:t xml:space="preserve">jaotusruumala </w:t>
            </w:r>
            <w:r w:rsidR="007D2584" w:rsidRPr="00A63BDD">
              <w:rPr>
                <w:sz w:val="18"/>
                <w:szCs w:val="18"/>
              </w:rPr>
              <w:t>tasakaalu</w:t>
            </w:r>
            <w:r w:rsidRPr="00A63BDD">
              <w:rPr>
                <w:sz w:val="18"/>
                <w:szCs w:val="18"/>
              </w:rPr>
              <w:t>kontsentratsiooni</w:t>
            </w:r>
            <w:bookmarkStart w:id="2" w:name="_GoBack"/>
            <w:bookmarkEnd w:id="2"/>
            <w:r>
              <w:rPr>
                <w:sz w:val="18"/>
                <w:szCs w:val="18"/>
              </w:rPr>
              <w:t xml:space="preserve"> tingimustes</w:t>
            </w:r>
          </w:p>
        </w:tc>
      </w:tr>
      <w:bookmarkEnd w:id="1"/>
    </w:tbl>
    <w:p w14:paraId="3269778C" w14:textId="77777777" w:rsidR="00A27A6F" w:rsidRDefault="00A27A6F">
      <w:pPr>
        <w:keepNext/>
        <w:spacing w:line="240" w:lineRule="auto"/>
        <w:rPr>
          <w:b/>
          <w:szCs w:val="22"/>
        </w:rPr>
      </w:pPr>
    </w:p>
    <w:p w14:paraId="131BFADF" w14:textId="77777777" w:rsidR="00A27A6F" w:rsidRDefault="002C0949">
      <w:pPr>
        <w:keepNext/>
        <w:spacing w:line="240" w:lineRule="auto"/>
        <w:rPr>
          <w:szCs w:val="22"/>
        </w:rPr>
      </w:pPr>
      <w:r>
        <w:rPr>
          <w:b/>
          <w:szCs w:val="22"/>
        </w:rPr>
        <w:t>5.3</w:t>
      </w:r>
      <w:r>
        <w:rPr>
          <w:b/>
          <w:szCs w:val="22"/>
        </w:rPr>
        <w:tab/>
        <w:t>Prekliinilised ohutusandmed</w:t>
      </w:r>
    </w:p>
    <w:p w14:paraId="3373FBA7" w14:textId="77777777" w:rsidR="00A27A6F" w:rsidRDefault="00A27A6F">
      <w:pPr>
        <w:keepNext/>
        <w:spacing w:line="240" w:lineRule="auto"/>
        <w:rPr>
          <w:szCs w:val="22"/>
        </w:rPr>
      </w:pPr>
    </w:p>
    <w:p w14:paraId="038A09D1" w14:textId="441B5A76" w:rsidR="00A27A6F" w:rsidRDefault="002C0949">
      <w:pPr>
        <w:spacing w:line="240" w:lineRule="auto"/>
      </w:pPr>
      <w:r>
        <w:t xml:space="preserve">Küülikutel läbi viidud </w:t>
      </w:r>
      <w:proofErr w:type="spellStart"/>
      <w:r>
        <w:t>trombogeensuse</w:t>
      </w:r>
      <w:proofErr w:type="spellEnd"/>
      <w:r>
        <w:t xml:space="preserve"> uuringud (</w:t>
      </w:r>
      <w:proofErr w:type="spellStart"/>
      <w:r>
        <w:t>Wessleri</w:t>
      </w:r>
      <w:proofErr w:type="spellEnd"/>
      <w:r>
        <w:t xml:space="preserve"> </w:t>
      </w:r>
      <w:proofErr w:type="spellStart"/>
      <w:r>
        <w:t>staasimudel</w:t>
      </w:r>
      <w:proofErr w:type="spellEnd"/>
      <w:r>
        <w:t xml:space="preserve">) ja rottidel ning ahvidel läbi viidud korduvtoksilisuse mittekliinilised uuringud (mis hõlmasid lokaalse toksilisuse, isasloomade suguelundite ja </w:t>
      </w:r>
      <w:proofErr w:type="spellStart"/>
      <w:r>
        <w:t>elektrokardiograafiliste</w:t>
      </w:r>
      <w:proofErr w:type="spellEnd"/>
      <w:r>
        <w:t xml:space="preserve"> parameetrite hindamist) ei ole näidanud kahjulikku toimet inimesele. </w:t>
      </w:r>
      <w:proofErr w:type="spellStart"/>
      <w:r>
        <w:t>Genotoksilisuse</w:t>
      </w:r>
      <w:proofErr w:type="spellEnd"/>
      <w:r>
        <w:t xml:space="preserve">, </w:t>
      </w:r>
      <w:proofErr w:type="spellStart"/>
      <w:r>
        <w:t>kartsinogeensuse</w:t>
      </w:r>
      <w:proofErr w:type="spellEnd"/>
      <w:r>
        <w:t xml:space="preserve">, reproduktsiooni- ja </w:t>
      </w:r>
      <w:proofErr w:type="spellStart"/>
      <w:r>
        <w:t>embrüofetaalse</w:t>
      </w:r>
      <w:proofErr w:type="spellEnd"/>
      <w:r>
        <w:t xml:space="preserve"> arengutoksilisuse uuringuid ei ole läbi viidud. Platsentabarjääri läbimise uuringus selgus, et hiirtel ületab </w:t>
      </w:r>
      <w:proofErr w:type="spellStart"/>
      <w:r w:rsidR="00BB07DA">
        <w:t>alfaeftrenonakog</w:t>
      </w:r>
      <w:proofErr w:type="spellEnd"/>
      <w:r w:rsidR="00BB07DA">
        <w:rPr>
          <w:rStyle w:val="caption-h"/>
        </w:rPr>
        <w:t xml:space="preserve"> (</w:t>
      </w:r>
      <w:proofErr w:type="spellStart"/>
      <w:r w:rsidR="00BB07DA">
        <w:rPr>
          <w:rStyle w:val="caption-h"/>
        </w:rPr>
        <w:t>rFIXFc</w:t>
      </w:r>
      <w:proofErr w:type="spellEnd"/>
      <w:r w:rsidR="00BB07DA">
        <w:rPr>
          <w:rStyle w:val="caption-h"/>
        </w:rPr>
        <w:t xml:space="preserve">) </w:t>
      </w:r>
      <w:r>
        <w:t>väikestes annustes platsentabarjääri.</w:t>
      </w:r>
    </w:p>
    <w:p w14:paraId="61A749BA" w14:textId="77777777" w:rsidR="00A27A6F" w:rsidRDefault="00A27A6F">
      <w:pPr>
        <w:spacing w:line="240" w:lineRule="auto"/>
        <w:rPr>
          <w:szCs w:val="22"/>
        </w:rPr>
      </w:pPr>
    </w:p>
    <w:p w14:paraId="69C44440" w14:textId="77777777" w:rsidR="00A27A6F" w:rsidRDefault="00A27A6F">
      <w:pPr>
        <w:spacing w:line="240" w:lineRule="auto"/>
        <w:rPr>
          <w:szCs w:val="22"/>
        </w:rPr>
      </w:pPr>
    </w:p>
    <w:p w14:paraId="297B49BB" w14:textId="77777777" w:rsidR="00A27A6F" w:rsidRDefault="002C0949">
      <w:pPr>
        <w:keepNext/>
        <w:spacing w:line="240" w:lineRule="auto"/>
        <w:rPr>
          <w:b/>
          <w:szCs w:val="22"/>
        </w:rPr>
      </w:pPr>
      <w:r>
        <w:rPr>
          <w:b/>
          <w:szCs w:val="22"/>
        </w:rPr>
        <w:lastRenderedPageBreak/>
        <w:t>6.</w:t>
      </w:r>
      <w:r>
        <w:rPr>
          <w:b/>
          <w:szCs w:val="22"/>
        </w:rPr>
        <w:tab/>
        <w:t>FARMATSEUTILISED ANDMED</w:t>
      </w:r>
    </w:p>
    <w:p w14:paraId="79C855C9" w14:textId="77777777" w:rsidR="00A27A6F" w:rsidRDefault="00A27A6F">
      <w:pPr>
        <w:keepNext/>
        <w:spacing w:line="240" w:lineRule="auto"/>
        <w:rPr>
          <w:szCs w:val="22"/>
        </w:rPr>
      </w:pPr>
    </w:p>
    <w:p w14:paraId="158FEB78" w14:textId="77777777" w:rsidR="00A27A6F" w:rsidRDefault="002C0949">
      <w:pPr>
        <w:keepNext/>
        <w:spacing w:line="240" w:lineRule="auto"/>
        <w:rPr>
          <w:szCs w:val="22"/>
        </w:rPr>
      </w:pPr>
      <w:r>
        <w:rPr>
          <w:b/>
          <w:szCs w:val="22"/>
        </w:rPr>
        <w:t>6.1</w:t>
      </w:r>
      <w:r>
        <w:rPr>
          <w:b/>
          <w:szCs w:val="22"/>
        </w:rPr>
        <w:tab/>
        <w:t>Abiainete</w:t>
      </w:r>
      <w:r>
        <w:rPr>
          <w:b/>
          <w:bCs/>
        </w:rPr>
        <w:t xml:space="preserve"> </w:t>
      </w:r>
      <w:r>
        <w:rPr>
          <w:b/>
          <w:szCs w:val="22"/>
        </w:rPr>
        <w:t>loetelu</w:t>
      </w:r>
    </w:p>
    <w:p w14:paraId="4D49205A" w14:textId="77777777" w:rsidR="00A27A6F" w:rsidRDefault="00A27A6F">
      <w:pPr>
        <w:keepNext/>
        <w:spacing w:line="240" w:lineRule="auto"/>
        <w:rPr>
          <w:i/>
          <w:szCs w:val="22"/>
        </w:rPr>
      </w:pPr>
    </w:p>
    <w:p w14:paraId="096AFAA9" w14:textId="77777777" w:rsidR="00A27A6F" w:rsidRDefault="002C0949">
      <w:pPr>
        <w:keepNext/>
        <w:spacing w:line="240" w:lineRule="auto"/>
        <w:rPr>
          <w:rFonts w:eastAsia="Calibri"/>
          <w:u w:val="single"/>
        </w:rPr>
      </w:pPr>
      <w:r>
        <w:rPr>
          <w:rFonts w:eastAsia="Calibri"/>
          <w:u w:val="single"/>
        </w:rPr>
        <w:t>Pulber</w:t>
      </w:r>
    </w:p>
    <w:p w14:paraId="681ED054" w14:textId="77777777" w:rsidR="00A27A6F" w:rsidRDefault="002C0949">
      <w:pPr>
        <w:autoSpaceDE w:val="0"/>
        <w:autoSpaceDN w:val="0"/>
        <w:adjustRightInd w:val="0"/>
        <w:spacing w:line="240" w:lineRule="auto"/>
      </w:pPr>
      <w:r>
        <w:t>Sahharoos</w:t>
      </w:r>
    </w:p>
    <w:p w14:paraId="012B036E" w14:textId="77777777" w:rsidR="00A27A6F" w:rsidRDefault="002C0949">
      <w:pPr>
        <w:autoSpaceDE w:val="0"/>
        <w:autoSpaceDN w:val="0"/>
        <w:adjustRightInd w:val="0"/>
        <w:spacing w:line="240" w:lineRule="auto"/>
      </w:pPr>
      <w:proofErr w:type="spellStart"/>
      <w:r>
        <w:t>Histidiin</w:t>
      </w:r>
      <w:proofErr w:type="spellEnd"/>
    </w:p>
    <w:p w14:paraId="6A2F4F6D" w14:textId="77777777" w:rsidR="00A27A6F" w:rsidRDefault="002C0949">
      <w:pPr>
        <w:autoSpaceDE w:val="0"/>
        <w:autoSpaceDN w:val="0"/>
        <w:adjustRightInd w:val="0"/>
        <w:spacing w:line="240" w:lineRule="auto"/>
      </w:pPr>
      <w:r>
        <w:t>Mannitool</w:t>
      </w:r>
    </w:p>
    <w:p w14:paraId="3406F8D8" w14:textId="77777777" w:rsidR="00A27A6F" w:rsidRDefault="002C0949">
      <w:pPr>
        <w:autoSpaceDE w:val="0"/>
        <w:autoSpaceDN w:val="0"/>
        <w:adjustRightInd w:val="0"/>
        <w:spacing w:line="240" w:lineRule="auto"/>
      </w:pPr>
      <w:proofErr w:type="spellStart"/>
      <w:r>
        <w:t>Polüsorbaat</w:t>
      </w:r>
      <w:proofErr w:type="spellEnd"/>
      <w:r>
        <w:t> 20</w:t>
      </w:r>
    </w:p>
    <w:p w14:paraId="0A853929" w14:textId="77777777" w:rsidR="00A27A6F" w:rsidRDefault="002C0949">
      <w:pPr>
        <w:autoSpaceDE w:val="0"/>
        <w:autoSpaceDN w:val="0"/>
        <w:adjustRightInd w:val="0"/>
        <w:spacing w:line="240" w:lineRule="auto"/>
      </w:pPr>
      <w:r>
        <w:t>Naatriumhüdroksiid (</w:t>
      </w:r>
      <w:proofErr w:type="spellStart"/>
      <w:r>
        <w:t>pH</w:t>
      </w:r>
      <w:proofErr w:type="spellEnd"/>
      <w:r>
        <w:t xml:space="preserve"> reguleerimiseks)</w:t>
      </w:r>
    </w:p>
    <w:p w14:paraId="33EE8055" w14:textId="77777777" w:rsidR="00A27A6F" w:rsidRDefault="002C0949">
      <w:pPr>
        <w:autoSpaceDE w:val="0"/>
        <w:autoSpaceDN w:val="0"/>
        <w:adjustRightInd w:val="0"/>
        <w:spacing w:line="240" w:lineRule="auto"/>
      </w:pPr>
      <w:r>
        <w:t>Vesinikkloriidhape (</w:t>
      </w:r>
      <w:proofErr w:type="spellStart"/>
      <w:r>
        <w:t>pH</w:t>
      </w:r>
      <w:proofErr w:type="spellEnd"/>
      <w:r>
        <w:t xml:space="preserve"> reguleerimiseks)</w:t>
      </w:r>
    </w:p>
    <w:p w14:paraId="5FBE1DAF" w14:textId="77777777" w:rsidR="00A27A6F" w:rsidRDefault="00A27A6F">
      <w:pPr>
        <w:autoSpaceDE w:val="0"/>
        <w:autoSpaceDN w:val="0"/>
        <w:adjustRightInd w:val="0"/>
        <w:spacing w:line="240" w:lineRule="auto"/>
      </w:pPr>
    </w:p>
    <w:p w14:paraId="1B85B67E" w14:textId="77777777" w:rsidR="00A27A6F" w:rsidRDefault="002C0949">
      <w:pPr>
        <w:keepNext/>
        <w:spacing w:line="240" w:lineRule="auto"/>
        <w:rPr>
          <w:u w:val="single"/>
        </w:rPr>
      </w:pPr>
      <w:r>
        <w:rPr>
          <w:u w:val="single"/>
        </w:rPr>
        <w:t>Lahusti</w:t>
      </w:r>
    </w:p>
    <w:p w14:paraId="73B6B32C" w14:textId="77777777" w:rsidR="00A27A6F" w:rsidRDefault="002C0949">
      <w:pPr>
        <w:spacing w:line="240" w:lineRule="auto"/>
        <w:rPr>
          <w:szCs w:val="22"/>
        </w:rPr>
      </w:pPr>
      <w:r>
        <w:rPr>
          <w:szCs w:val="22"/>
        </w:rPr>
        <w:t>Naatriumkloriid</w:t>
      </w:r>
    </w:p>
    <w:p w14:paraId="4304900D" w14:textId="77777777" w:rsidR="00A27A6F" w:rsidRDefault="002C0949">
      <w:pPr>
        <w:spacing w:line="240" w:lineRule="auto"/>
        <w:rPr>
          <w:szCs w:val="22"/>
        </w:rPr>
      </w:pPr>
      <w:r>
        <w:rPr>
          <w:szCs w:val="22"/>
        </w:rPr>
        <w:t>Süstevesi</w:t>
      </w:r>
    </w:p>
    <w:p w14:paraId="2117204F" w14:textId="77777777" w:rsidR="00A27A6F" w:rsidRDefault="00A27A6F">
      <w:pPr>
        <w:spacing w:line="240" w:lineRule="auto"/>
        <w:rPr>
          <w:szCs w:val="22"/>
        </w:rPr>
      </w:pPr>
    </w:p>
    <w:p w14:paraId="0F3F4B85" w14:textId="77777777" w:rsidR="00A27A6F" w:rsidRDefault="002C0949">
      <w:pPr>
        <w:keepNext/>
        <w:spacing w:line="240" w:lineRule="auto"/>
        <w:rPr>
          <w:szCs w:val="22"/>
        </w:rPr>
      </w:pPr>
      <w:r>
        <w:rPr>
          <w:b/>
          <w:szCs w:val="22"/>
        </w:rPr>
        <w:t>6.2.</w:t>
      </w:r>
      <w:r>
        <w:rPr>
          <w:b/>
          <w:szCs w:val="22"/>
        </w:rPr>
        <w:tab/>
        <w:t>Sobimatus</w:t>
      </w:r>
    </w:p>
    <w:p w14:paraId="0A40F879" w14:textId="77777777" w:rsidR="00A27A6F" w:rsidRDefault="00A27A6F">
      <w:pPr>
        <w:keepNext/>
        <w:spacing w:line="240" w:lineRule="auto"/>
        <w:rPr>
          <w:szCs w:val="22"/>
        </w:rPr>
      </w:pPr>
    </w:p>
    <w:p w14:paraId="7988F48C" w14:textId="77777777" w:rsidR="00A27A6F" w:rsidRDefault="002C0949">
      <w:pPr>
        <w:tabs>
          <w:tab w:val="clear" w:pos="567"/>
        </w:tabs>
        <w:autoSpaceDE w:val="0"/>
        <w:autoSpaceDN w:val="0"/>
        <w:adjustRightInd w:val="0"/>
        <w:spacing w:line="240" w:lineRule="auto"/>
        <w:rPr>
          <w:rFonts w:eastAsia="SimSun"/>
          <w:szCs w:val="22"/>
        </w:rPr>
      </w:pPr>
      <w:r>
        <w:rPr>
          <w:rFonts w:eastAsia="SimSun"/>
          <w:szCs w:val="22"/>
        </w:rPr>
        <w:t>Sobivusuuringute puudumise tõttu ei tohi seda ravimpreparaati teiste ravimitega segada.</w:t>
      </w:r>
    </w:p>
    <w:p w14:paraId="161AA0B7" w14:textId="77777777" w:rsidR="00A27A6F" w:rsidRDefault="00A27A6F">
      <w:pPr>
        <w:spacing w:line="240" w:lineRule="auto"/>
        <w:rPr>
          <w:rFonts w:eastAsia="SimSun"/>
          <w:szCs w:val="22"/>
        </w:rPr>
      </w:pPr>
    </w:p>
    <w:p w14:paraId="169437B8" w14:textId="77777777" w:rsidR="00A27A6F" w:rsidRDefault="002C0949">
      <w:pPr>
        <w:spacing w:line="240" w:lineRule="auto"/>
        <w:rPr>
          <w:rFonts w:eastAsia="SimSun"/>
          <w:szCs w:val="22"/>
        </w:rPr>
      </w:pPr>
      <w:r>
        <w:rPr>
          <w:rFonts w:eastAsia="SimSun"/>
          <w:szCs w:val="22"/>
        </w:rPr>
        <w:t xml:space="preserve">Kasutada tohib ainult kaasapandud infusioonikomplekti, kuna hüübimisfaktor IX võib </w:t>
      </w:r>
      <w:proofErr w:type="spellStart"/>
      <w:r>
        <w:rPr>
          <w:rFonts w:eastAsia="SimSun"/>
          <w:szCs w:val="22"/>
        </w:rPr>
        <w:t>adsorbeeruda</w:t>
      </w:r>
      <w:proofErr w:type="spellEnd"/>
      <w:r>
        <w:rPr>
          <w:rFonts w:eastAsia="SimSun"/>
          <w:szCs w:val="22"/>
        </w:rPr>
        <w:t xml:space="preserve"> mõne süstevahendi sisepinnale, mis võib lõppeda ravi ebaõnnestumisega.</w:t>
      </w:r>
    </w:p>
    <w:p w14:paraId="4F2A39E7" w14:textId="77777777" w:rsidR="00A27A6F" w:rsidRDefault="00A27A6F">
      <w:pPr>
        <w:spacing w:line="240" w:lineRule="auto"/>
        <w:rPr>
          <w:szCs w:val="22"/>
        </w:rPr>
      </w:pPr>
    </w:p>
    <w:p w14:paraId="21FC2544" w14:textId="77777777" w:rsidR="00A27A6F" w:rsidRDefault="002C0949">
      <w:pPr>
        <w:keepNext/>
        <w:spacing w:line="240" w:lineRule="auto"/>
        <w:rPr>
          <w:szCs w:val="22"/>
        </w:rPr>
      </w:pPr>
      <w:r>
        <w:rPr>
          <w:b/>
          <w:szCs w:val="22"/>
        </w:rPr>
        <w:t>6.3</w:t>
      </w:r>
      <w:r>
        <w:rPr>
          <w:b/>
          <w:szCs w:val="22"/>
        </w:rPr>
        <w:tab/>
        <w:t>Kõlblikkusaeg</w:t>
      </w:r>
    </w:p>
    <w:p w14:paraId="612E6D14" w14:textId="77777777" w:rsidR="00A27A6F" w:rsidRDefault="00A27A6F">
      <w:pPr>
        <w:keepNext/>
        <w:spacing w:line="240" w:lineRule="auto"/>
        <w:rPr>
          <w:szCs w:val="22"/>
        </w:rPr>
      </w:pPr>
    </w:p>
    <w:p w14:paraId="4D1B8E21" w14:textId="77777777" w:rsidR="00A27A6F" w:rsidRDefault="002C0949">
      <w:pPr>
        <w:keepNext/>
        <w:spacing w:line="240" w:lineRule="auto"/>
        <w:rPr>
          <w:szCs w:val="22"/>
          <w:u w:val="single"/>
        </w:rPr>
      </w:pPr>
      <w:r>
        <w:rPr>
          <w:szCs w:val="22"/>
          <w:u w:val="single"/>
        </w:rPr>
        <w:t xml:space="preserve">Avamata </w:t>
      </w:r>
      <w:proofErr w:type="spellStart"/>
      <w:r>
        <w:rPr>
          <w:szCs w:val="22"/>
          <w:u w:val="single"/>
        </w:rPr>
        <w:t>viaal</w:t>
      </w:r>
      <w:proofErr w:type="spellEnd"/>
    </w:p>
    <w:p w14:paraId="3528571D" w14:textId="3ECE7080" w:rsidR="00A27A6F" w:rsidRDefault="002C0949">
      <w:pPr>
        <w:spacing w:line="240" w:lineRule="auto"/>
        <w:rPr>
          <w:szCs w:val="22"/>
        </w:rPr>
      </w:pPr>
      <w:r w:rsidRPr="00356F66">
        <w:rPr>
          <w:szCs w:val="22"/>
        </w:rPr>
        <w:t>4 aastat</w:t>
      </w:r>
      <w:r w:rsidR="00084152" w:rsidRPr="00356F66">
        <w:rPr>
          <w:szCs w:val="22"/>
        </w:rPr>
        <w:t>.</w:t>
      </w:r>
    </w:p>
    <w:p w14:paraId="67A2C62E" w14:textId="77777777" w:rsidR="00A27A6F" w:rsidRDefault="00A27A6F">
      <w:pPr>
        <w:spacing w:line="240" w:lineRule="auto"/>
        <w:rPr>
          <w:szCs w:val="22"/>
        </w:rPr>
      </w:pPr>
    </w:p>
    <w:p w14:paraId="6A99B9F6" w14:textId="77777777" w:rsidR="00A27A6F" w:rsidRDefault="002C0949">
      <w:pPr>
        <w:spacing w:line="240" w:lineRule="auto"/>
        <w:rPr>
          <w:szCs w:val="22"/>
        </w:rPr>
      </w:pPr>
      <w:r>
        <w:rPr>
          <w:szCs w:val="22"/>
        </w:rPr>
        <w:t>Kõlblikkusaja jooksul võib ravimit säilitada toatemperatuuril (kuni 30°C) ühe, kuni 6</w:t>
      </w:r>
      <w:r>
        <w:rPr>
          <w:szCs w:val="22"/>
        </w:rPr>
        <w:noBreakHyphen/>
        <w:t xml:space="preserve">kuulise ajaperioodi jooksul. Kuupäev, mil ravim külmkapist välja võetakse, tuleb märkida karbile. </w:t>
      </w:r>
      <w:r>
        <w:t>Pärast toatemperatuuril hoidmist ei tohi ravimit uuesti külmkappi panna.</w:t>
      </w:r>
      <w:r>
        <w:rPr>
          <w:i/>
          <w:iCs/>
        </w:rPr>
        <w:t xml:space="preserve"> </w:t>
      </w:r>
      <w:r>
        <w:rPr>
          <w:szCs w:val="22"/>
        </w:rPr>
        <w:t xml:space="preserve">Ravimit ei tohi kasutada pärast </w:t>
      </w:r>
      <w:proofErr w:type="spellStart"/>
      <w:r>
        <w:rPr>
          <w:szCs w:val="22"/>
        </w:rPr>
        <w:t>viaalile</w:t>
      </w:r>
      <w:proofErr w:type="spellEnd"/>
      <w:r>
        <w:rPr>
          <w:szCs w:val="22"/>
        </w:rPr>
        <w:t xml:space="preserve"> trükitud kõlblikkusaega või kuue kuu möödumisel pärast karbi külmkapist väljavõtmist, olenevalt sellest, kumb on varasem.</w:t>
      </w:r>
    </w:p>
    <w:p w14:paraId="267FF7BF" w14:textId="77777777" w:rsidR="00A27A6F" w:rsidRDefault="00A27A6F">
      <w:pPr>
        <w:spacing w:line="240" w:lineRule="auto"/>
        <w:rPr>
          <w:szCs w:val="22"/>
        </w:rPr>
      </w:pPr>
    </w:p>
    <w:p w14:paraId="16502B03" w14:textId="77777777" w:rsidR="00A27A6F" w:rsidRDefault="002C0949">
      <w:pPr>
        <w:keepNext/>
        <w:spacing w:line="240" w:lineRule="auto"/>
        <w:rPr>
          <w:szCs w:val="22"/>
          <w:u w:val="single"/>
        </w:rPr>
      </w:pPr>
      <w:r>
        <w:rPr>
          <w:szCs w:val="22"/>
          <w:u w:val="single"/>
        </w:rPr>
        <w:t>Pärast manustamiskõlblikuks muutmist</w:t>
      </w:r>
    </w:p>
    <w:p w14:paraId="1C8ED6A7" w14:textId="4E6682E8" w:rsidR="00A27A6F" w:rsidRDefault="002C0949">
      <w:pPr>
        <w:spacing w:line="240" w:lineRule="auto"/>
        <w:rPr>
          <w:szCs w:val="22"/>
        </w:rPr>
      </w:pPr>
      <w:r>
        <w:rPr>
          <w:szCs w:val="22"/>
        </w:rPr>
        <w:t xml:space="preserve">Ravimi kasutusaegne </w:t>
      </w:r>
      <w:proofErr w:type="spellStart"/>
      <w:r>
        <w:rPr>
          <w:szCs w:val="22"/>
        </w:rPr>
        <w:t>keemilis</w:t>
      </w:r>
      <w:proofErr w:type="spellEnd"/>
      <w:r>
        <w:rPr>
          <w:szCs w:val="22"/>
        </w:rPr>
        <w:t xml:space="preserve">- ja füüsikaline stabiilsus on tõendatud 6 tunni jooksul temperatuuril kuni 30°C. Kui ravimit ei kasutata 6 tunni möödumisel, tuleb see ära </w:t>
      </w:r>
      <w:r w:rsidRPr="00356F66">
        <w:rPr>
          <w:szCs w:val="22"/>
        </w:rPr>
        <w:t xml:space="preserve">visata. </w:t>
      </w:r>
      <w:r w:rsidR="00734514" w:rsidRPr="00356F66">
        <w:rPr>
          <w:szCs w:val="22"/>
        </w:rPr>
        <w:t>Mikrobioloogilise saastatuse vältimiseks tuleb ravim kohe pärast manustamiskõlblikuks muutmist ära kasutada</w:t>
      </w:r>
      <w:r w:rsidRPr="00356F66">
        <w:t xml:space="preserve">. Kui ravimit ei kasutata kohe, </w:t>
      </w:r>
      <w:r w:rsidR="00ED19AB" w:rsidRPr="00356F66">
        <w:t xml:space="preserve">on kõlblikkusaeg ja säilitamistingimused kasutaja </w:t>
      </w:r>
      <w:proofErr w:type="spellStart"/>
      <w:r w:rsidR="00ED19AB" w:rsidRPr="00356F66">
        <w:t>vastutusel</w:t>
      </w:r>
      <w:r w:rsidRPr="00356F66">
        <w:t>vastutab</w:t>
      </w:r>
      <w:proofErr w:type="spellEnd"/>
      <w:r w:rsidRPr="00356F66">
        <w:t xml:space="preserve"> selle säilitamisaja ja -tingimuste eest kasutaja. Hoida otsese päikesevalguse eest.</w:t>
      </w:r>
    </w:p>
    <w:p w14:paraId="2ECD7FDD" w14:textId="77777777" w:rsidR="00A27A6F" w:rsidRDefault="00A27A6F">
      <w:pPr>
        <w:tabs>
          <w:tab w:val="clear" w:pos="567"/>
        </w:tabs>
        <w:spacing w:line="240" w:lineRule="auto"/>
        <w:rPr>
          <w:szCs w:val="22"/>
        </w:rPr>
      </w:pPr>
    </w:p>
    <w:p w14:paraId="1CAF07CC" w14:textId="77777777" w:rsidR="00A27A6F" w:rsidRDefault="002C0949">
      <w:pPr>
        <w:keepNext/>
        <w:spacing w:line="240" w:lineRule="auto"/>
        <w:rPr>
          <w:b/>
          <w:szCs w:val="22"/>
        </w:rPr>
      </w:pPr>
      <w:r>
        <w:rPr>
          <w:b/>
          <w:szCs w:val="22"/>
        </w:rPr>
        <w:t>6.4</w:t>
      </w:r>
      <w:r>
        <w:rPr>
          <w:b/>
          <w:szCs w:val="22"/>
        </w:rPr>
        <w:tab/>
        <w:t>Säilitamise</w:t>
      </w:r>
      <w:r>
        <w:rPr>
          <w:b/>
          <w:bCs/>
        </w:rPr>
        <w:t xml:space="preserve"> </w:t>
      </w:r>
      <w:r>
        <w:rPr>
          <w:b/>
          <w:szCs w:val="22"/>
        </w:rPr>
        <w:t>eritingimused</w:t>
      </w:r>
    </w:p>
    <w:p w14:paraId="01CACDAB" w14:textId="77777777" w:rsidR="00A27A6F" w:rsidRDefault="00A27A6F">
      <w:pPr>
        <w:keepNext/>
        <w:spacing w:line="240" w:lineRule="auto"/>
        <w:rPr>
          <w:szCs w:val="22"/>
        </w:rPr>
      </w:pPr>
    </w:p>
    <w:p w14:paraId="5C40C135" w14:textId="77777777" w:rsidR="00A27A6F" w:rsidRDefault="002C0949">
      <w:pPr>
        <w:spacing w:line="240" w:lineRule="auto"/>
        <w:rPr>
          <w:szCs w:val="22"/>
        </w:rPr>
      </w:pPr>
      <w:r>
        <w:rPr>
          <w:szCs w:val="22"/>
        </w:rPr>
        <w:t xml:space="preserve">Hoida külmkapis (2°C…8°C). Mitte lasta külmuda. Hoida </w:t>
      </w:r>
      <w:proofErr w:type="spellStart"/>
      <w:r>
        <w:rPr>
          <w:szCs w:val="22"/>
        </w:rPr>
        <w:t>viaali</w:t>
      </w:r>
      <w:proofErr w:type="spellEnd"/>
      <w:r>
        <w:rPr>
          <w:szCs w:val="22"/>
        </w:rPr>
        <w:t xml:space="preserve"> </w:t>
      </w:r>
      <w:proofErr w:type="spellStart"/>
      <w:r>
        <w:rPr>
          <w:szCs w:val="22"/>
        </w:rPr>
        <w:t>välispakendis</w:t>
      </w:r>
      <w:proofErr w:type="spellEnd"/>
      <w:r>
        <w:rPr>
          <w:szCs w:val="22"/>
        </w:rPr>
        <w:t xml:space="preserve"> valguse eest kaitstult.</w:t>
      </w:r>
    </w:p>
    <w:p w14:paraId="3B40EEEA" w14:textId="77777777" w:rsidR="00A27A6F" w:rsidRDefault="00A27A6F">
      <w:pPr>
        <w:spacing w:line="240" w:lineRule="auto"/>
        <w:rPr>
          <w:szCs w:val="22"/>
        </w:rPr>
      </w:pPr>
    </w:p>
    <w:p w14:paraId="451A5DA0" w14:textId="77777777" w:rsidR="00A27A6F" w:rsidRDefault="002C0949">
      <w:pPr>
        <w:spacing w:line="240" w:lineRule="auto"/>
        <w:rPr>
          <w:i/>
          <w:szCs w:val="22"/>
        </w:rPr>
      </w:pPr>
      <w:r>
        <w:rPr>
          <w:szCs w:val="22"/>
        </w:rPr>
        <w:t>Säilitamistingimused pärast ravimpreparaadi manustamiskõlblikuks muutmist vt lõik 6.3.</w:t>
      </w:r>
    </w:p>
    <w:p w14:paraId="1F869C11" w14:textId="77777777" w:rsidR="00A27A6F" w:rsidRDefault="00A27A6F">
      <w:pPr>
        <w:spacing w:line="240" w:lineRule="auto"/>
        <w:rPr>
          <w:szCs w:val="22"/>
        </w:rPr>
      </w:pPr>
    </w:p>
    <w:p w14:paraId="0A1E02F5" w14:textId="77777777" w:rsidR="00A27A6F" w:rsidRDefault="002C0949">
      <w:pPr>
        <w:keepNext/>
        <w:spacing w:line="240" w:lineRule="auto"/>
        <w:rPr>
          <w:b/>
          <w:szCs w:val="22"/>
        </w:rPr>
      </w:pPr>
      <w:r>
        <w:rPr>
          <w:b/>
          <w:szCs w:val="22"/>
        </w:rPr>
        <w:lastRenderedPageBreak/>
        <w:t>6.5</w:t>
      </w:r>
      <w:r>
        <w:rPr>
          <w:b/>
          <w:szCs w:val="22"/>
        </w:rPr>
        <w:tab/>
        <w:t>Pakendi iseloomustus ja sisu ja kasutamise või manustamise erivahendid</w:t>
      </w:r>
    </w:p>
    <w:p w14:paraId="3C642F1F" w14:textId="77777777" w:rsidR="00A27A6F" w:rsidRDefault="00A27A6F">
      <w:pPr>
        <w:keepNext/>
        <w:spacing w:line="240" w:lineRule="auto"/>
        <w:rPr>
          <w:b/>
          <w:szCs w:val="22"/>
        </w:rPr>
      </w:pPr>
    </w:p>
    <w:p w14:paraId="6A7081FD" w14:textId="77777777" w:rsidR="00A27A6F" w:rsidRDefault="002C0949">
      <w:pPr>
        <w:keepNext/>
        <w:spacing w:line="240" w:lineRule="auto"/>
        <w:rPr>
          <w:szCs w:val="22"/>
        </w:rPr>
      </w:pPr>
      <w:r>
        <w:rPr>
          <w:szCs w:val="22"/>
        </w:rPr>
        <w:t>Üks pakend sisaldab:</w:t>
      </w:r>
    </w:p>
    <w:p w14:paraId="7937BCEB" w14:textId="77777777" w:rsidR="00A27A6F" w:rsidRDefault="002C0949">
      <w:pPr>
        <w:keepNext/>
        <w:numPr>
          <w:ilvl w:val="0"/>
          <w:numId w:val="26"/>
        </w:numPr>
        <w:tabs>
          <w:tab w:val="clear" w:pos="567"/>
        </w:tabs>
        <w:spacing w:line="240" w:lineRule="auto"/>
        <w:ind w:left="567" w:hanging="567"/>
        <w:rPr>
          <w:szCs w:val="22"/>
        </w:rPr>
      </w:pPr>
      <w:r>
        <w:rPr>
          <w:szCs w:val="22"/>
        </w:rPr>
        <w:t xml:space="preserve">pulber </w:t>
      </w:r>
      <w:proofErr w:type="spellStart"/>
      <w:r>
        <w:rPr>
          <w:szCs w:val="22"/>
        </w:rPr>
        <w:t>viaalis</w:t>
      </w:r>
      <w:proofErr w:type="spellEnd"/>
      <w:r>
        <w:rPr>
          <w:szCs w:val="22"/>
        </w:rPr>
        <w:t xml:space="preserve"> (I tüüpi klaasist) </w:t>
      </w:r>
      <w:proofErr w:type="spellStart"/>
      <w:r>
        <w:rPr>
          <w:szCs w:val="22"/>
        </w:rPr>
        <w:t>klorobutüülkummist</w:t>
      </w:r>
      <w:proofErr w:type="spellEnd"/>
      <w:r>
        <w:rPr>
          <w:szCs w:val="22"/>
        </w:rPr>
        <w:t xml:space="preserve"> punnkorgiga;</w:t>
      </w:r>
    </w:p>
    <w:p w14:paraId="6A5786CB" w14:textId="77777777" w:rsidR="00A27A6F" w:rsidRDefault="002C0949">
      <w:pPr>
        <w:keepNext/>
        <w:numPr>
          <w:ilvl w:val="0"/>
          <w:numId w:val="26"/>
        </w:numPr>
        <w:tabs>
          <w:tab w:val="clear" w:pos="567"/>
        </w:tabs>
        <w:spacing w:line="240" w:lineRule="auto"/>
        <w:ind w:left="567" w:hanging="567"/>
        <w:rPr>
          <w:szCs w:val="22"/>
        </w:rPr>
      </w:pPr>
      <w:r>
        <w:rPr>
          <w:szCs w:val="22"/>
        </w:rPr>
        <w:t xml:space="preserve">5 ml lahustit </w:t>
      </w:r>
      <w:proofErr w:type="spellStart"/>
      <w:r>
        <w:rPr>
          <w:szCs w:val="22"/>
        </w:rPr>
        <w:t>süstlis</w:t>
      </w:r>
      <w:proofErr w:type="spellEnd"/>
      <w:r>
        <w:rPr>
          <w:szCs w:val="22"/>
        </w:rPr>
        <w:t xml:space="preserve"> (I tüüpi klaasist) </w:t>
      </w:r>
      <w:proofErr w:type="spellStart"/>
      <w:r>
        <w:rPr>
          <w:szCs w:val="22"/>
        </w:rPr>
        <w:t>bromobutüülkummist</w:t>
      </w:r>
      <w:proofErr w:type="spellEnd"/>
      <w:r>
        <w:rPr>
          <w:szCs w:val="22"/>
        </w:rPr>
        <w:t xml:space="preserve"> kolbkorgiga;</w:t>
      </w:r>
    </w:p>
    <w:p w14:paraId="3ADB0AAA" w14:textId="77777777" w:rsidR="00A27A6F" w:rsidRDefault="002C0949">
      <w:pPr>
        <w:keepNext/>
        <w:numPr>
          <w:ilvl w:val="0"/>
          <w:numId w:val="26"/>
        </w:numPr>
        <w:tabs>
          <w:tab w:val="clear" w:pos="567"/>
        </w:tabs>
        <w:spacing w:line="240" w:lineRule="auto"/>
        <w:ind w:left="567" w:hanging="567"/>
        <w:rPr>
          <w:szCs w:val="22"/>
        </w:rPr>
      </w:pPr>
      <w:r>
        <w:rPr>
          <w:szCs w:val="22"/>
        </w:rPr>
        <w:t>üks kolvivarras;</w:t>
      </w:r>
    </w:p>
    <w:p w14:paraId="0034EB56" w14:textId="77777777" w:rsidR="00A27A6F" w:rsidRDefault="002C0949">
      <w:pPr>
        <w:keepNext/>
        <w:numPr>
          <w:ilvl w:val="0"/>
          <w:numId w:val="26"/>
        </w:numPr>
        <w:tabs>
          <w:tab w:val="clear" w:pos="567"/>
        </w:tabs>
        <w:spacing w:line="240" w:lineRule="auto"/>
        <w:ind w:left="567" w:hanging="567"/>
        <w:rPr>
          <w:szCs w:val="22"/>
        </w:rPr>
      </w:pPr>
      <w:r>
        <w:rPr>
          <w:szCs w:val="22"/>
        </w:rPr>
        <w:t xml:space="preserve">üks steriilne </w:t>
      </w:r>
      <w:proofErr w:type="spellStart"/>
      <w:r>
        <w:rPr>
          <w:szCs w:val="22"/>
        </w:rPr>
        <w:t>viaaliadapter</w:t>
      </w:r>
      <w:proofErr w:type="spellEnd"/>
      <w:r>
        <w:rPr>
          <w:szCs w:val="22"/>
        </w:rPr>
        <w:t xml:space="preserve"> manustamiskõlblikuks muutmiseks;</w:t>
      </w:r>
    </w:p>
    <w:p w14:paraId="0934F1FA" w14:textId="77777777" w:rsidR="00A27A6F" w:rsidRDefault="002C0949">
      <w:pPr>
        <w:keepNext/>
        <w:numPr>
          <w:ilvl w:val="0"/>
          <w:numId w:val="26"/>
        </w:numPr>
        <w:tabs>
          <w:tab w:val="clear" w:pos="567"/>
        </w:tabs>
        <w:spacing w:line="240" w:lineRule="auto"/>
        <w:ind w:left="567" w:hanging="567"/>
        <w:rPr>
          <w:szCs w:val="22"/>
        </w:rPr>
      </w:pPr>
      <w:r>
        <w:rPr>
          <w:szCs w:val="22"/>
        </w:rPr>
        <w:t>üks steriilne infusioonikomplekt;</w:t>
      </w:r>
    </w:p>
    <w:p w14:paraId="4F33ABFC" w14:textId="076C38A7" w:rsidR="00A27A6F" w:rsidRDefault="002C0949">
      <w:pPr>
        <w:numPr>
          <w:ilvl w:val="0"/>
          <w:numId w:val="26"/>
        </w:numPr>
        <w:tabs>
          <w:tab w:val="clear" w:pos="567"/>
        </w:tabs>
        <w:spacing w:line="240" w:lineRule="auto"/>
        <w:ind w:left="567" w:hanging="567"/>
        <w:rPr>
          <w:szCs w:val="22"/>
        </w:rPr>
      </w:pPr>
      <w:r>
        <w:rPr>
          <w:szCs w:val="22"/>
        </w:rPr>
        <w:t>alkoholis niisutatud vatitups(</w:t>
      </w:r>
      <w:proofErr w:type="spellStart"/>
      <w:r>
        <w:rPr>
          <w:szCs w:val="22"/>
        </w:rPr>
        <w:t>ud</w:t>
      </w:r>
      <w:proofErr w:type="spellEnd"/>
      <w:r>
        <w:rPr>
          <w:szCs w:val="22"/>
        </w:rPr>
        <w:t>);</w:t>
      </w:r>
    </w:p>
    <w:p w14:paraId="0C59B231" w14:textId="77777777" w:rsidR="00A27A6F" w:rsidRDefault="002C0949">
      <w:pPr>
        <w:numPr>
          <w:ilvl w:val="0"/>
          <w:numId w:val="26"/>
        </w:numPr>
        <w:tabs>
          <w:tab w:val="clear" w:pos="567"/>
        </w:tabs>
        <w:spacing w:line="240" w:lineRule="auto"/>
        <w:ind w:left="567" w:hanging="567"/>
        <w:rPr>
          <w:szCs w:val="22"/>
        </w:rPr>
      </w:pPr>
      <w:r>
        <w:rPr>
          <w:szCs w:val="22"/>
        </w:rPr>
        <w:t>plaaster (plaastrid);</w:t>
      </w:r>
    </w:p>
    <w:p w14:paraId="6815A936" w14:textId="77777777" w:rsidR="00A27A6F" w:rsidRDefault="002C0949">
      <w:pPr>
        <w:numPr>
          <w:ilvl w:val="0"/>
          <w:numId w:val="26"/>
        </w:numPr>
        <w:tabs>
          <w:tab w:val="clear" w:pos="567"/>
        </w:tabs>
        <w:spacing w:line="240" w:lineRule="auto"/>
        <w:ind w:left="567" w:hanging="567"/>
        <w:rPr>
          <w:szCs w:val="22"/>
        </w:rPr>
      </w:pPr>
      <w:r>
        <w:rPr>
          <w:szCs w:val="22"/>
        </w:rPr>
        <w:t>marlilapp (marlilapid).</w:t>
      </w:r>
    </w:p>
    <w:p w14:paraId="22096B4A" w14:textId="77777777" w:rsidR="00A27A6F" w:rsidRDefault="00A27A6F">
      <w:pPr>
        <w:tabs>
          <w:tab w:val="clear" w:pos="567"/>
        </w:tabs>
        <w:spacing w:line="240" w:lineRule="auto"/>
        <w:rPr>
          <w:szCs w:val="22"/>
        </w:rPr>
      </w:pPr>
    </w:p>
    <w:p w14:paraId="5E65B439" w14:textId="77777777" w:rsidR="00A27A6F" w:rsidRDefault="002C0949">
      <w:pPr>
        <w:spacing w:line="240" w:lineRule="auto"/>
        <w:rPr>
          <w:szCs w:val="22"/>
        </w:rPr>
      </w:pPr>
      <w:r>
        <w:rPr>
          <w:szCs w:val="22"/>
        </w:rPr>
        <w:t>Pakendi suurus: 1.</w:t>
      </w:r>
    </w:p>
    <w:p w14:paraId="7EBFCD57" w14:textId="77777777" w:rsidR="00A27A6F" w:rsidRDefault="00A27A6F">
      <w:pPr>
        <w:spacing w:line="240" w:lineRule="auto"/>
        <w:rPr>
          <w:szCs w:val="22"/>
        </w:rPr>
      </w:pPr>
    </w:p>
    <w:p w14:paraId="1F356C42" w14:textId="77777777" w:rsidR="00A27A6F" w:rsidRDefault="002C0949">
      <w:pPr>
        <w:keepNext/>
        <w:spacing w:line="240" w:lineRule="auto"/>
        <w:rPr>
          <w:b/>
          <w:szCs w:val="22"/>
        </w:rPr>
      </w:pPr>
      <w:bookmarkStart w:id="3" w:name="OLE_LINK1"/>
      <w:r>
        <w:rPr>
          <w:b/>
          <w:szCs w:val="22"/>
        </w:rPr>
        <w:t>6.6</w:t>
      </w:r>
      <w:r>
        <w:rPr>
          <w:b/>
          <w:szCs w:val="22"/>
        </w:rPr>
        <w:tab/>
        <w:t>Erihoiatused ravimpreparaadi hävitamiseks ja käsitlemiseks</w:t>
      </w:r>
    </w:p>
    <w:p w14:paraId="5F86D7F2" w14:textId="77777777" w:rsidR="00A27A6F" w:rsidRDefault="00A27A6F">
      <w:pPr>
        <w:keepNext/>
        <w:tabs>
          <w:tab w:val="left" w:pos="8222"/>
        </w:tabs>
        <w:autoSpaceDE w:val="0"/>
        <w:autoSpaceDN w:val="0"/>
        <w:adjustRightInd w:val="0"/>
        <w:spacing w:line="240" w:lineRule="auto"/>
        <w:rPr>
          <w:rFonts w:eastAsia="SimSun"/>
        </w:rPr>
      </w:pPr>
    </w:p>
    <w:p w14:paraId="5317530D" w14:textId="5EB6E0AB" w:rsidR="00A27A6F" w:rsidRDefault="002C0949">
      <w:pPr>
        <w:spacing w:line="240" w:lineRule="auto"/>
      </w:pPr>
      <w:r>
        <w:t xml:space="preserve">Iga süstelahuse pulbrit sisaldava </w:t>
      </w:r>
      <w:proofErr w:type="spellStart"/>
      <w:r>
        <w:t>viaali</w:t>
      </w:r>
      <w:proofErr w:type="spellEnd"/>
      <w:r>
        <w:t xml:space="preserve"> sisu tuleb muuta manustamiskõlblikuks selleks kaasapandud </w:t>
      </w:r>
      <w:proofErr w:type="spellStart"/>
      <w:r>
        <w:t>süstlis</w:t>
      </w:r>
      <w:proofErr w:type="spellEnd"/>
      <w:r>
        <w:t xml:space="preserve"> oleva lahustiga (naatriumkloriidi lahus), kasutades steriilset </w:t>
      </w:r>
      <w:proofErr w:type="spellStart"/>
      <w:r>
        <w:t>viaaliadapterit</w:t>
      </w:r>
      <w:proofErr w:type="spellEnd"/>
      <w:r>
        <w:t>.</w:t>
      </w:r>
    </w:p>
    <w:p w14:paraId="28D5EE58" w14:textId="77777777" w:rsidR="00C92342" w:rsidRDefault="00C92342">
      <w:pPr>
        <w:spacing w:line="240" w:lineRule="auto"/>
      </w:pPr>
    </w:p>
    <w:p w14:paraId="40DA0864" w14:textId="77777777" w:rsidR="00A27A6F" w:rsidRDefault="002C0949">
      <w:pPr>
        <w:spacing w:line="240" w:lineRule="auto"/>
      </w:pPr>
      <w:proofErr w:type="spellStart"/>
      <w:r>
        <w:t>Viaali</w:t>
      </w:r>
      <w:proofErr w:type="spellEnd"/>
      <w:r>
        <w:t xml:space="preserve"> tuleb õrnalt keerutada kuni pulbri lahustumiseni.</w:t>
      </w:r>
    </w:p>
    <w:p w14:paraId="0780C909" w14:textId="77777777" w:rsidR="00A27A6F" w:rsidRDefault="00A27A6F">
      <w:pPr>
        <w:spacing w:line="240" w:lineRule="auto"/>
      </w:pPr>
    </w:p>
    <w:p w14:paraId="2FECF7FE" w14:textId="77777777" w:rsidR="00A27A6F" w:rsidRDefault="002C0949">
      <w:pPr>
        <w:tabs>
          <w:tab w:val="clear" w:pos="567"/>
        </w:tabs>
        <w:autoSpaceDE w:val="0"/>
        <w:autoSpaceDN w:val="0"/>
        <w:adjustRightInd w:val="0"/>
        <w:spacing w:line="240" w:lineRule="auto"/>
        <w:rPr>
          <w:rFonts w:eastAsia="SimSun"/>
          <w:szCs w:val="22"/>
        </w:rPr>
      </w:pPr>
      <w:r>
        <w:rPr>
          <w:rFonts w:eastAsia="SimSun"/>
          <w:szCs w:val="22"/>
        </w:rPr>
        <w:t xml:space="preserve">Manustamiskõlblikuks muudetud lahus peab olema läbipaistev või kergelt küütlev ja värvitu. Manustamiskõlblikuks muudetud ravimit tuleb enne manustamist visuaalselt kontrollida </w:t>
      </w:r>
      <w:proofErr w:type="spellStart"/>
      <w:r>
        <w:rPr>
          <w:rFonts w:eastAsia="SimSun"/>
          <w:szCs w:val="22"/>
        </w:rPr>
        <w:t>võõrosakeste</w:t>
      </w:r>
      <w:proofErr w:type="spellEnd"/>
      <w:r>
        <w:rPr>
          <w:rFonts w:eastAsia="SimSun"/>
          <w:szCs w:val="22"/>
        </w:rPr>
        <w:t xml:space="preserve"> ja värvimuutuse osas. Hägusaid või nähtavaid osakesi sisaldavaid lahuseid ei tohi kasutada.</w:t>
      </w:r>
    </w:p>
    <w:p w14:paraId="30F29920" w14:textId="77777777" w:rsidR="00A27A6F" w:rsidRDefault="00A27A6F">
      <w:pPr>
        <w:spacing w:line="240" w:lineRule="auto"/>
      </w:pPr>
    </w:p>
    <w:p w14:paraId="65E92FE6" w14:textId="77777777" w:rsidR="00A27A6F" w:rsidRDefault="002C0949">
      <w:pPr>
        <w:spacing w:line="240" w:lineRule="auto"/>
      </w:pPr>
      <w:r>
        <w:t>See preparaat on ainult ühekordseks kasutamiseks.</w:t>
      </w:r>
    </w:p>
    <w:p w14:paraId="3DDF6B23" w14:textId="77777777" w:rsidR="00A27A6F" w:rsidRDefault="00A27A6F">
      <w:pPr>
        <w:spacing w:line="240" w:lineRule="auto"/>
      </w:pPr>
    </w:p>
    <w:p w14:paraId="3F1DFCB9" w14:textId="77777777" w:rsidR="00A27A6F" w:rsidRDefault="002C0949">
      <w:pPr>
        <w:spacing w:line="240" w:lineRule="auto"/>
      </w:pPr>
      <w:r>
        <w:t>Kasutamata ravimpreparaat või jäätmematerjal tuleb hävitada vastavalt kohalikele nõuetele.</w:t>
      </w:r>
    </w:p>
    <w:bookmarkEnd w:id="3"/>
    <w:p w14:paraId="7C752B55" w14:textId="77777777" w:rsidR="00A27A6F" w:rsidRDefault="00A27A6F">
      <w:pPr>
        <w:spacing w:line="240" w:lineRule="auto"/>
      </w:pPr>
    </w:p>
    <w:p w14:paraId="077EC7BD" w14:textId="614FD05C" w:rsidR="00C92342" w:rsidRPr="00C92342" w:rsidRDefault="00C92342" w:rsidP="00C92342">
      <w:pPr>
        <w:keepNext/>
        <w:spacing w:line="240" w:lineRule="auto"/>
        <w:ind w:right="-2"/>
        <w:rPr>
          <w:u w:val="single"/>
        </w:rPr>
      </w:pPr>
      <w:r w:rsidRPr="00C92342">
        <w:rPr>
          <w:u w:val="single"/>
        </w:rPr>
        <w:t>Juhised ettevalmistamiseks ja manustamiseks</w:t>
      </w:r>
    </w:p>
    <w:p w14:paraId="25C14CF1" w14:textId="77777777" w:rsidR="00C92342" w:rsidRDefault="00C92342" w:rsidP="00C92342">
      <w:pPr>
        <w:keepNext/>
        <w:spacing w:line="240" w:lineRule="auto"/>
        <w:rPr>
          <w:b/>
        </w:rPr>
      </w:pPr>
    </w:p>
    <w:p w14:paraId="03B184A2" w14:textId="77777777" w:rsidR="00C92342" w:rsidRDefault="00C92342" w:rsidP="00C92342">
      <w:pPr>
        <w:keepNext/>
        <w:spacing w:line="240" w:lineRule="auto"/>
      </w:pPr>
      <w:r>
        <w:t xml:space="preserve">Järgmised protseduurid kirjeldavad </w:t>
      </w:r>
      <w:proofErr w:type="spellStart"/>
      <w:r>
        <w:t>ALPROLIX’i</w:t>
      </w:r>
      <w:proofErr w:type="spellEnd"/>
      <w:r>
        <w:t xml:space="preserve"> ettevalmistamist ja manustamist.</w:t>
      </w:r>
    </w:p>
    <w:p w14:paraId="4C39EE7A" w14:textId="77777777" w:rsidR="00C92342" w:rsidRDefault="00C92342" w:rsidP="00C92342">
      <w:pPr>
        <w:keepNext/>
        <w:spacing w:line="240" w:lineRule="auto"/>
        <w:rPr>
          <w:b/>
        </w:rPr>
      </w:pPr>
    </w:p>
    <w:p w14:paraId="657E9DED" w14:textId="77777777" w:rsidR="00C92342" w:rsidRDefault="00C92342" w:rsidP="00C92342">
      <w:pPr>
        <w:keepNext/>
        <w:spacing w:line="240" w:lineRule="auto"/>
      </w:pPr>
      <w:proofErr w:type="spellStart"/>
      <w:r>
        <w:t>ALPROLIX’it</w:t>
      </w:r>
      <w:proofErr w:type="spellEnd"/>
      <w:r>
        <w:t xml:space="preserve"> manustatakse </w:t>
      </w:r>
      <w:proofErr w:type="spellStart"/>
      <w:r>
        <w:t>intravenoosse</w:t>
      </w:r>
      <w:proofErr w:type="spellEnd"/>
      <w:r>
        <w:t xml:space="preserve"> (</w:t>
      </w:r>
      <w:proofErr w:type="spellStart"/>
      <w:r>
        <w:t>i.v</w:t>
      </w:r>
      <w:proofErr w:type="spellEnd"/>
      <w:r>
        <w:t xml:space="preserve">.) süstena pärast süstelahuse pulbri lahustamist </w:t>
      </w:r>
      <w:proofErr w:type="spellStart"/>
      <w:r>
        <w:t>süstlis</w:t>
      </w:r>
      <w:proofErr w:type="spellEnd"/>
      <w:r>
        <w:t xml:space="preserve"> tarnitud lahustiga. </w:t>
      </w:r>
      <w:proofErr w:type="spellStart"/>
      <w:r>
        <w:t>ALPROLIX’i</w:t>
      </w:r>
      <w:proofErr w:type="spellEnd"/>
      <w:r>
        <w:t xml:space="preserve"> pakend sisaldab:</w:t>
      </w:r>
    </w:p>
    <w:p w14:paraId="457D849C" w14:textId="058E70C3" w:rsidR="00C92342" w:rsidRDefault="00275EF1" w:rsidP="00C92342">
      <w:pPr>
        <w:keepNext/>
        <w:spacing w:line="240" w:lineRule="auto"/>
      </w:pPr>
      <w:r>
        <w:rPr>
          <w:noProof/>
          <w:lang w:val="en-GB" w:eastAsia="en-GB"/>
        </w:rPr>
        <mc:AlternateContent>
          <mc:Choice Requires="wps">
            <w:drawing>
              <wp:anchor distT="0" distB="0" distL="114300" distR="114300" simplePos="0" relativeHeight="251673088" behindDoc="0" locked="0" layoutInCell="1" allowOverlap="1" wp14:anchorId="22F49DC1" wp14:editId="74DA0202">
                <wp:simplePos x="0" y="0"/>
                <wp:positionH relativeFrom="column">
                  <wp:posOffset>3758569</wp:posOffset>
                </wp:positionH>
                <wp:positionV relativeFrom="paragraph">
                  <wp:posOffset>112793</wp:posOffset>
                </wp:positionV>
                <wp:extent cx="2207895" cy="1621237"/>
                <wp:effectExtent l="0" t="0" r="20955" b="1714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1237"/>
                        </a:xfrm>
                        <a:prstGeom prst="rect">
                          <a:avLst/>
                        </a:prstGeom>
                        <a:solidFill>
                          <a:srgbClr val="FFFFFF"/>
                        </a:solidFill>
                        <a:ln w="9525">
                          <a:solidFill>
                            <a:srgbClr val="000000"/>
                          </a:solidFill>
                          <a:miter lim="800000"/>
                          <a:headEnd/>
                          <a:tailEnd/>
                        </a:ln>
                      </wps:spPr>
                      <wps:txbx>
                        <w:txbxContent>
                          <w:p w14:paraId="549056B5" w14:textId="5F1D9A53" w:rsidR="0081738A" w:rsidRDefault="0081738A" w:rsidP="00C92342">
                            <w:pPr>
                              <w:rPr>
                                <w:sz w:val="20"/>
                                <w:lang w:val="en-US"/>
                              </w:rPr>
                            </w:pPr>
                            <w:r>
                              <w:rPr>
                                <w:sz w:val="20"/>
                              </w:rPr>
                              <w:t>A) 1 pulbriviaal</w:t>
                            </w:r>
                            <w:r>
                              <w:rPr>
                                <w:sz w:val="20"/>
                              </w:rPr>
                              <w:br/>
                              <w:t>B) 5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r>
                              <w:rPr>
                                <w:sz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F49DC1" id="_x0000_t202" coordsize="21600,21600" o:spt="202" path="m,l,21600r21600,l21600,xe">
                <v:stroke joinstyle="miter"/>
                <v:path gradientshapeok="t" o:connecttype="rect"/>
              </v:shapetype>
              <v:shape id="Text Box 2" o:spid="_x0000_s1026" type="#_x0000_t202" style="position:absolute;margin-left:295.95pt;margin-top:8.9pt;width:173.85pt;height:127.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qIwIAAEY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Jr1A6VMkyj&#10;Ro9i8OQNDCQP9PSdKzDqocM4P+A1hsZSXXcP/KsjBrYtM3txay30rWA1ppeFl8nF0xHHBZCq/wA1&#10;fsMOHiLQ0FgduEM2CKKjTKezNCEVjpd5nl4vVwtKOPqyqzzLX1/HP1jx/Lyzzr8ToEk4lNSi9hGe&#10;He+dD+mw4jkk/OZAyXonlYqG3VdbZcmRYZ/s4prQfwpThvQlXS3yxcjAXyHSuP4EoaXHhldSl3R5&#10;DmJF4O2tqWM7eibVeMaUlZmIDNyNLPqhGiZhKqhPSKmFsbFxEPHQgv1OSY9NXVL37cCsoES9NyjL&#10;KpvPwxREY764ztGwl57q0sMMR6iSekrG49bHyQmEGbhF+RoZiQ06j5lMuWKzRr6nwQrTcGnHqB/j&#10;v3kCAAD//wMAUEsDBBQABgAIAAAAIQBpKR1a4AAAAAoBAAAPAAAAZHJzL2Rvd25yZXYueG1sTI/B&#10;TsMwEETvSPyDtUhcEHXSQFKHOBVCAsEN2gqubrxNImI72G4a/p7lBMfVPM2+qdazGdiEPvTOSkgX&#10;CTC0jdO9bSXsto/XK2AhKqvV4CxK+MYA6/r8rFKldif7htMmtoxKbCiVhC7GseQ8NB0aFRZuREvZ&#10;wXmjIp2+5dqrE5WbgS+TJOdG9ZY+dGrEhw6bz83RSFjdPE8f4SV7fW/ywyDiVTE9fXkpLy/m+ztg&#10;Eef4B8OvPqlDTU57d7Q6sEHCrUgFoRQUNIEAkYkc2F7CsshS4HXF/0+ofwAAAP//AwBQSwECLQAU&#10;AAYACAAAACEAtoM4kv4AAADhAQAAEwAAAAAAAAAAAAAAAAAAAAAAW0NvbnRlbnRfVHlwZXNdLnht&#10;bFBLAQItABQABgAIAAAAIQA4/SH/1gAAAJQBAAALAAAAAAAAAAAAAAAAAC8BAABfcmVscy8ucmVs&#10;c1BLAQItABQABgAIAAAAIQB/BBHqIwIAAEYEAAAOAAAAAAAAAAAAAAAAAC4CAABkcnMvZTJvRG9j&#10;LnhtbFBLAQItABQABgAIAAAAIQBpKR1a4AAAAAoBAAAPAAAAAAAAAAAAAAAAAH0EAABkcnMvZG93&#10;bnJldi54bWxQSwUGAAAAAAQABADzAAAAigUAAAAA&#10;">
                <v:textbox>
                  <w:txbxContent>
                    <w:p w14:paraId="549056B5" w14:textId="5F1D9A53" w:rsidR="0081738A" w:rsidRDefault="0081738A" w:rsidP="00C92342">
                      <w:pPr>
                        <w:rPr>
                          <w:sz w:val="20"/>
                          <w:lang w:val="en-US"/>
                        </w:rPr>
                      </w:pPr>
                      <w:r>
                        <w:rPr>
                          <w:sz w:val="20"/>
                        </w:rPr>
                        <w:t>A) 1 pulbriviaal</w:t>
                      </w:r>
                      <w:r>
                        <w:rPr>
                          <w:sz w:val="20"/>
                        </w:rPr>
                        <w:br/>
                        <w:t>B) 5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r>
                        <w:rPr>
                          <w:sz w:val="20"/>
                        </w:rPr>
                        <w:br/>
                      </w:r>
                    </w:p>
                  </w:txbxContent>
                </v:textbox>
              </v:shape>
            </w:pict>
          </mc:Fallback>
        </mc:AlternateContent>
      </w:r>
    </w:p>
    <w:p w14:paraId="7B5523A5" w14:textId="77777777" w:rsidR="00C92342" w:rsidRDefault="00C92342" w:rsidP="00C92342">
      <w:pPr>
        <w:keepNext/>
        <w:numPr>
          <w:ilvl w:val="12"/>
          <w:numId w:val="0"/>
        </w:numPr>
        <w:spacing w:line="240" w:lineRule="auto"/>
        <w:rPr>
          <w:b/>
        </w:rPr>
      </w:pPr>
    </w:p>
    <w:p w14:paraId="0C455C04" w14:textId="614FD05C" w:rsidR="00C92342" w:rsidRDefault="00C92342" w:rsidP="00C92342">
      <w:pPr>
        <w:keepNext/>
        <w:numPr>
          <w:ilvl w:val="12"/>
          <w:numId w:val="0"/>
        </w:numPr>
        <w:spacing w:line="240" w:lineRule="auto"/>
        <w:rPr>
          <w:b/>
        </w:rPr>
      </w:pPr>
      <w:r>
        <w:rPr>
          <w:noProof/>
          <w:lang w:val="en-GB" w:eastAsia="en-GB"/>
        </w:rPr>
        <w:drawing>
          <wp:anchor distT="0" distB="0" distL="114300" distR="114300" simplePos="0" relativeHeight="251687424" behindDoc="0" locked="0" layoutInCell="1" allowOverlap="1" wp14:anchorId="2575C7F4" wp14:editId="3E7F17FE">
            <wp:simplePos x="0" y="0"/>
            <wp:positionH relativeFrom="column">
              <wp:posOffset>245745</wp:posOffset>
            </wp:positionH>
            <wp:positionV relativeFrom="paragraph">
              <wp:posOffset>14605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7CEA8" w14:textId="77777777" w:rsidR="00C92342" w:rsidRDefault="00C92342" w:rsidP="00C92342">
      <w:pPr>
        <w:keepNext/>
        <w:numPr>
          <w:ilvl w:val="12"/>
          <w:numId w:val="0"/>
        </w:numPr>
        <w:spacing w:line="240" w:lineRule="auto"/>
        <w:rPr>
          <w:b/>
        </w:rPr>
      </w:pPr>
    </w:p>
    <w:p w14:paraId="66EFEEA0" w14:textId="77777777" w:rsidR="00C92342" w:rsidRDefault="00C92342" w:rsidP="00C92342">
      <w:pPr>
        <w:keepNext/>
        <w:numPr>
          <w:ilvl w:val="12"/>
          <w:numId w:val="0"/>
        </w:numPr>
        <w:spacing w:line="240" w:lineRule="auto"/>
        <w:rPr>
          <w:b/>
        </w:rPr>
      </w:pPr>
    </w:p>
    <w:p w14:paraId="1DA26A09" w14:textId="77777777" w:rsidR="00C92342" w:rsidRDefault="00C92342" w:rsidP="00C92342">
      <w:pPr>
        <w:keepNext/>
        <w:numPr>
          <w:ilvl w:val="12"/>
          <w:numId w:val="0"/>
        </w:numPr>
        <w:spacing w:line="240" w:lineRule="auto"/>
        <w:ind w:right="-2"/>
        <w:rPr>
          <w:b/>
        </w:rPr>
      </w:pPr>
    </w:p>
    <w:p w14:paraId="7ACAA30C" w14:textId="77777777" w:rsidR="00C92342" w:rsidRDefault="00C92342" w:rsidP="00C92342">
      <w:pPr>
        <w:keepNext/>
        <w:numPr>
          <w:ilvl w:val="12"/>
          <w:numId w:val="0"/>
        </w:numPr>
        <w:spacing w:line="240" w:lineRule="auto"/>
        <w:ind w:right="-2"/>
        <w:rPr>
          <w:b/>
        </w:rPr>
      </w:pPr>
    </w:p>
    <w:p w14:paraId="4ADE0403" w14:textId="77777777" w:rsidR="00C92342" w:rsidRDefault="00C92342" w:rsidP="00C92342">
      <w:pPr>
        <w:numPr>
          <w:ilvl w:val="12"/>
          <w:numId w:val="0"/>
        </w:numPr>
        <w:spacing w:line="240" w:lineRule="auto"/>
        <w:ind w:right="-2"/>
        <w:rPr>
          <w:b/>
        </w:rPr>
      </w:pPr>
    </w:p>
    <w:p w14:paraId="424CBC49" w14:textId="77777777" w:rsidR="00C92342" w:rsidRDefault="00C92342" w:rsidP="00C92342">
      <w:pPr>
        <w:numPr>
          <w:ilvl w:val="12"/>
          <w:numId w:val="0"/>
        </w:numPr>
        <w:spacing w:line="240" w:lineRule="auto"/>
        <w:ind w:right="-2"/>
        <w:rPr>
          <w:b/>
        </w:rPr>
      </w:pPr>
    </w:p>
    <w:p w14:paraId="14E00427" w14:textId="77777777" w:rsidR="00C92342" w:rsidRDefault="00C92342" w:rsidP="00C92342">
      <w:pPr>
        <w:numPr>
          <w:ilvl w:val="12"/>
          <w:numId w:val="0"/>
        </w:numPr>
        <w:spacing w:line="240" w:lineRule="auto"/>
        <w:ind w:right="-2"/>
        <w:rPr>
          <w:b/>
        </w:rPr>
      </w:pPr>
    </w:p>
    <w:p w14:paraId="710C1884" w14:textId="77777777" w:rsidR="00C92342" w:rsidRDefault="00C92342" w:rsidP="00C92342">
      <w:pPr>
        <w:numPr>
          <w:ilvl w:val="12"/>
          <w:numId w:val="0"/>
        </w:numPr>
        <w:spacing w:line="240" w:lineRule="auto"/>
        <w:ind w:right="-2"/>
        <w:rPr>
          <w:b/>
        </w:rPr>
      </w:pPr>
    </w:p>
    <w:p w14:paraId="781583AD" w14:textId="77777777" w:rsidR="00C92342" w:rsidRDefault="00C92342" w:rsidP="00C92342">
      <w:pPr>
        <w:numPr>
          <w:ilvl w:val="12"/>
          <w:numId w:val="0"/>
        </w:numPr>
        <w:spacing w:line="240" w:lineRule="auto"/>
        <w:ind w:right="-2"/>
        <w:rPr>
          <w:b/>
        </w:rPr>
      </w:pPr>
    </w:p>
    <w:p w14:paraId="6C696A46" w14:textId="77777777" w:rsidR="00C92342" w:rsidRDefault="00C92342" w:rsidP="00C92342">
      <w:pPr>
        <w:spacing w:line="240" w:lineRule="auto"/>
      </w:pPr>
      <w:proofErr w:type="spellStart"/>
      <w:r>
        <w:t>ALPROLIX’it</w:t>
      </w:r>
      <w:proofErr w:type="spellEnd"/>
      <w:r>
        <w:t xml:space="preserve"> ei tohi segada teiste süstelahuste ega infusioonilahustega.</w:t>
      </w:r>
    </w:p>
    <w:p w14:paraId="231EE4F6" w14:textId="77777777" w:rsidR="00C92342" w:rsidRDefault="00C92342" w:rsidP="00C92342">
      <w:pPr>
        <w:numPr>
          <w:ilvl w:val="12"/>
          <w:numId w:val="0"/>
        </w:numPr>
        <w:spacing w:line="240" w:lineRule="auto"/>
        <w:ind w:right="-2"/>
      </w:pPr>
    </w:p>
    <w:p w14:paraId="734269A3" w14:textId="77777777" w:rsidR="00C92342" w:rsidRDefault="00C92342" w:rsidP="00C92342">
      <w:pPr>
        <w:numPr>
          <w:ilvl w:val="12"/>
          <w:numId w:val="0"/>
        </w:numPr>
        <w:spacing w:line="240" w:lineRule="auto"/>
        <w:ind w:right="-2"/>
        <w:rPr>
          <w:b/>
        </w:rPr>
      </w:pPr>
      <w:r>
        <w:t>Enne pakendi avamist peske käed.</w:t>
      </w:r>
    </w:p>
    <w:p w14:paraId="55DB7BDD" w14:textId="77777777" w:rsidR="00C92342" w:rsidRDefault="00C92342" w:rsidP="00C92342">
      <w:pPr>
        <w:numPr>
          <w:ilvl w:val="12"/>
          <w:numId w:val="0"/>
        </w:numPr>
        <w:spacing w:line="240" w:lineRule="auto"/>
        <w:ind w:right="-2"/>
        <w:rPr>
          <w:b/>
        </w:rPr>
      </w:pPr>
    </w:p>
    <w:p w14:paraId="602BAB9E" w14:textId="77777777" w:rsidR="00C92342" w:rsidRDefault="00C92342" w:rsidP="00C92342">
      <w:pPr>
        <w:keepNext/>
        <w:keepLines/>
        <w:numPr>
          <w:ilvl w:val="12"/>
          <w:numId w:val="0"/>
        </w:numPr>
        <w:spacing w:line="240" w:lineRule="auto"/>
        <w:ind w:right="-2"/>
        <w:rPr>
          <w:b/>
        </w:rPr>
      </w:pPr>
      <w:r>
        <w:rPr>
          <w:b/>
        </w:rPr>
        <w:lastRenderedPageBreak/>
        <w:t>Ettevalmistamine:</w:t>
      </w:r>
    </w:p>
    <w:p w14:paraId="0663C08B" w14:textId="77777777" w:rsidR="00C92342" w:rsidRDefault="00C92342" w:rsidP="00C92342">
      <w:pPr>
        <w:keepNext/>
        <w:keepLines/>
        <w:numPr>
          <w:ilvl w:val="12"/>
          <w:numId w:val="0"/>
        </w:numPr>
        <w:spacing w:line="240" w:lineRule="auto"/>
        <w:ind w:right="-2"/>
        <w:rPr>
          <w:b/>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C92342" w14:paraId="35E819F7" w14:textId="77777777" w:rsidTr="00356F66">
        <w:tc>
          <w:tcPr>
            <w:tcW w:w="9450" w:type="dxa"/>
            <w:gridSpan w:val="2"/>
            <w:shd w:val="clear" w:color="auto" w:fill="auto"/>
          </w:tcPr>
          <w:p w14:paraId="3BDE3670" w14:textId="77777777" w:rsidR="00C92342" w:rsidRDefault="00C92342" w:rsidP="00C92342">
            <w:pPr>
              <w:keepNext/>
              <w:spacing w:line="240" w:lineRule="auto"/>
              <w:ind w:left="562" w:hanging="562"/>
            </w:pPr>
            <w:r>
              <w:t>1.</w:t>
            </w:r>
            <w:r>
              <w:tab/>
              <w:t xml:space="preserve">Kontrollige pakendile märgitud nime ja tugevust veendumaks, et see sisaldab õiget ravimit. Kontrollige </w:t>
            </w:r>
            <w:proofErr w:type="spellStart"/>
            <w:r>
              <w:t>ALPROLIX’i</w:t>
            </w:r>
            <w:proofErr w:type="spellEnd"/>
            <w:r>
              <w:t xml:space="preserve"> karbile märgitud kõlblikkusaega. Ärge kasutage, kui ravimi kõlblikkusaeg on möödas.</w:t>
            </w:r>
          </w:p>
          <w:p w14:paraId="56DB4B64" w14:textId="77777777" w:rsidR="00C92342" w:rsidRDefault="00C92342" w:rsidP="00C92342">
            <w:pPr>
              <w:keepNext/>
              <w:spacing w:line="240" w:lineRule="auto"/>
              <w:rPr>
                <w:b/>
              </w:rPr>
            </w:pPr>
          </w:p>
        </w:tc>
      </w:tr>
      <w:tr w:rsidR="00C92342" w14:paraId="7DC44A6A" w14:textId="77777777" w:rsidTr="00356F66">
        <w:tc>
          <w:tcPr>
            <w:tcW w:w="9450" w:type="dxa"/>
            <w:gridSpan w:val="2"/>
            <w:tcBorders>
              <w:bottom w:val="single" w:sz="4" w:space="0" w:color="auto"/>
            </w:tcBorders>
            <w:shd w:val="clear" w:color="auto" w:fill="auto"/>
          </w:tcPr>
          <w:p w14:paraId="2438DC05" w14:textId="77777777" w:rsidR="00C92342" w:rsidRDefault="00C92342" w:rsidP="00C92342">
            <w:pPr>
              <w:keepNext/>
              <w:spacing w:line="240" w:lineRule="auto"/>
              <w:ind w:left="562" w:hanging="562"/>
            </w:pPr>
            <w:r>
              <w:t>2.</w:t>
            </w:r>
            <w:r>
              <w:tab/>
              <w:t xml:space="preserve">Juhul kui </w:t>
            </w:r>
            <w:proofErr w:type="spellStart"/>
            <w:r>
              <w:t>ALPROLIX’it</w:t>
            </w:r>
            <w:proofErr w:type="spellEnd"/>
            <w:r>
              <w:t xml:space="preserve"> on hoitud külmkapis, tuleb </w:t>
            </w:r>
            <w:proofErr w:type="spellStart"/>
            <w:r>
              <w:t>ALPROLIX’i</w:t>
            </w:r>
            <w:proofErr w:type="spellEnd"/>
            <w:r>
              <w:t xml:space="preserve"> </w:t>
            </w:r>
            <w:proofErr w:type="spellStart"/>
            <w:r>
              <w:t>viaalil</w:t>
            </w:r>
            <w:proofErr w:type="spellEnd"/>
            <w:r>
              <w:t xml:space="preserve"> (A) ja süstlal lahusega (B) lasta enne kasutamist toatemperatuurini soojeneda. Ärge kasutage välist soojusallikat.</w:t>
            </w:r>
          </w:p>
          <w:p w14:paraId="345D63A4" w14:textId="77777777" w:rsidR="00C92342" w:rsidRDefault="00C92342" w:rsidP="00C92342">
            <w:pPr>
              <w:keepNext/>
              <w:spacing w:line="240" w:lineRule="auto"/>
            </w:pPr>
          </w:p>
        </w:tc>
      </w:tr>
      <w:tr w:rsidR="00C92342" w14:paraId="4A5550FF" w14:textId="77777777" w:rsidTr="00356F66">
        <w:tc>
          <w:tcPr>
            <w:tcW w:w="5154" w:type="dxa"/>
            <w:tcBorders>
              <w:bottom w:val="single" w:sz="4" w:space="0" w:color="auto"/>
              <w:right w:val="nil"/>
            </w:tcBorders>
            <w:shd w:val="clear" w:color="auto" w:fill="auto"/>
          </w:tcPr>
          <w:p w14:paraId="6E67BB6B" w14:textId="1B7EB0A8" w:rsidR="00C92342" w:rsidRDefault="00C92342" w:rsidP="00C92342">
            <w:pPr>
              <w:keepNext/>
              <w:spacing w:line="240" w:lineRule="auto"/>
              <w:ind w:left="562" w:hanging="562"/>
            </w:pPr>
            <w:r>
              <w:t>3.</w:t>
            </w:r>
            <w:r>
              <w:tab/>
              <w:t xml:space="preserve">Asetage </w:t>
            </w:r>
            <w:proofErr w:type="spellStart"/>
            <w:r>
              <w:t>viaal</w:t>
            </w:r>
            <w:proofErr w:type="spellEnd"/>
            <w:r>
              <w:t xml:space="preserve"> puhtale lamedale pinnale. Eemaldage </w:t>
            </w:r>
            <w:proofErr w:type="spellStart"/>
            <w:r>
              <w:t>viaali</w:t>
            </w:r>
            <w:proofErr w:type="spellEnd"/>
            <w:r>
              <w:t xml:space="preserve"> eemaldatav plastkate.</w:t>
            </w:r>
          </w:p>
          <w:p w14:paraId="1C8DDBE7" w14:textId="77777777" w:rsidR="00C92342" w:rsidRDefault="00C92342" w:rsidP="00C92342">
            <w:pPr>
              <w:keepNext/>
              <w:spacing w:line="240" w:lineRule="auto"/>
              <w:ind w:left="562" w:hanging="562"/>
            </w:pPr>
          </w:p>
          <w:p w14:paraId="0939F348" w14:textId="77777777" w:rsidR="00C92342" w:rsidRDefault="00C92342" w:rsidP="00C92342">
            <w:pPr>
              <w:keepNext/>
              <w:spacing w:line="240" w:lineRule="auto"/>
            </w:pPr>
          </w:p>
          <w:p w14:paraId="0F36B3C7" w14:textId="77777777" w:rsidR="00C92342" w:rsidRDefault="00C92342" w:rsidP="00C92342">
            <w:pPr>
              <w:keepNext/>
              <w:spacing w:line="240" w:lineRule="auto"/>
            </w:pPr>
          </w:p>
          <w:p w14:paraId="409B899F" w14:textId="77777777" w:rsidR="00C92342" w:rsidRDefault="00C92342" w:rsidP="00C92342">
            <w:pPr>
              <w:keepNext/>
              <w:spacing w:line="240" w:lineRule="auto"/>
            </w:pPr>
          </w:p>
          <w:p w14:paraId="29FB78AC" w14:textId="77777777" w:rsidR="00C92342" w:rsidRDefault="00C92342" w:rsidP="00C92342">
            <w:pPr>
              <w:keepNext/>
              <w:spacing w:line="240" w:lineRule="auto"/>
            </w:pPr>
          </w:p>
          <w:p w14:paraId="2F512525" w14:textId="77777777" w:rsidR="00C92342" w:rsidRDefault="00C92342" w:rsidP="00C92342">
            <w:pPr>
              <w:keepNext/>
              <w:spacing w:line="240" w:lineRule="auto"/>
            </w:pPr>
          </w:p>
          <w:p w14:paraId="570ABAEE" w14:textId="77777777" w:rsidR="00C92342" w:rsidRDefault="00C92342" w:rsidP="00C92342">
            <w:pPr>
              <w:keepNext/>
              <w:spacing w:line="240" w:lineRule="auto"/>
            </w:pPr>
          </w:p>
          <w:p w14:paraId="51B22908" w14:textId="77777777" w:rsidR="00C92342" w:rsidRDefault="00C92342" w:rsidP="00C92342">
            <w:pPr>
              <w:keepNext/>
              <w:spacing w:line="240" w:lineRule="auto"/>
            </w:pPr>
          </w:p>
        </w:tc>
        <w:tc>
          <w:tcPr>
            <w:tcW w:w="4296" w:type="dxa"/>
            <w:tcBorders>
              <w:left w:val="nil"/>
              <w:bottom w:val="single" w:sz="4" w:space="0" w:color="auto"/>
            </w:tcBorders>
            <w:shd w:val="clear" w:color="auto" w:fill="auto"/>
          </w:tcPr>
          <w:p w14:paraId="3ADCF950" w14:textId="77777777" w:rsidR="00C92342" w:rsidRDefault="00C92342" w:rsidP="00C92342">
            <w:pPr>
              <w:keepNext/>
              <w:spacing w:line="240" w:lineRule="auto"/>
              <w:rPr>
                <w:rFonts w:eastAsia="Calibri"/>
              </w:rPr>
            </w:pPr>
            <w:r>
              <w:rPr>
                <w:noProof/>
                <w:lang w:val="en-GB" w:eastAsia="en-GB"/>
              </w:rPr>
              <w:drawing>
                <wp:anchor distT="0" distB="0" distL="114300" distR="114300" simplePos="0" relativeHeight="251674112" behindDoc="0" locked="0" layoutInCell="1" allowOverlap="1" wp14:anchorId="54B7904F" wp14:editId="212813CC">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280B5EDF" w14:textId="77777777" w:rsidTr="00356F66">
        <w:tc>
          <w:tcPr>
            <w:tcW w:w="5154" w:type="dxa"/>
            <w:tcBorders>
              <w:right w:val="nil"/>
            </w:tcBorders>
            <w:shd w:val="clear" w:color="auto" w:fill="auto"/>
          </w:tcPr>
          <w:p w14:paraId="461125CC" w14:textId="21632D22" w:rsidR="00C92342" w:rsidRDefault="00C92342" w:rsidP="00C92342">
            <w:pPr>
              <w:spacing w:line="240" w:lineRule="auto"/>
              <w:ind w:left="562" w:hanging="562"/>
            </w:pPr>
            <w:r>
              <w:t>4.</w:t>
            </w:r>
            <w:r>
              <w:tab/>
              <w:t>P</w:t>
            </w:r>
            <w:r>
              <w:rPr>
                <w:szCs w:val="22"/>
              </w:rPr>
              <w:t>uhastage</w:t>
            </w:r>
            <w:r>
              <w:t xml:space="preserve"> </w:t>
            </w:r>
            <w:proofErr w:type="spellStart"/>
            <w:r>
              <w:t>viaali</w:t>
            </w:r>
            <w:proofErr w:type="spellEnd"/>
            <w:r>
              <w:t xml:space="preserve"> korki, kasutades selleks ühte pakis olevatest alkoholis niisutatud vatitupsudest (F) ja laske õhu käes kuivada. Pärast puh</w:t>
            </w:r>
            <w:r>
              <w:rPr>
                <w:szCs w:val="22"/>
              </w:rPr>
              <w:t>astamist</w:t>
            </w:r>
            <w:r>
              <w:t xml:space="preserve"> ärge puutuge enam </w:t>
            </w:r>
            <w:proofErr w:type="spellStart"/>
            <w:r>
              <w:t>viaali</w:t>
            </w:r>
            <w:proofErr w:type="spellEnd"/>
            <w:r>
              <w:t xml:space="preserve"> korki ega laske sellel millegi vastu puutuda.</w:t>
            </w:r>
          </w:p>
          <w:p w14:paraId="1AE3D0D0" w14:textId="77777777" w:rsidR="00C92342" w:rsidRDefault="00C92342" w:rsidP="00C92342">
            <w:pPr>
              <w:spacing w:line="240" w:lineRule="auto"/>
            </w:pPr>
          </w:p>
          <w:p w14:paraId="30CE7CE7" w14:textId="77777777" w:rsidR="00C92342" w:rsidRDefault="00C92342" w:rsidP="00C92342">
            <w:pPr>
              <w:spacing w:line="240" w:lineRule="auto"/>
            </w:pPr>
          </w:p>
          <w:p w14:paraId="7C9A6C60" w14:textId="77777777" w:rsidR="00C92342" w:rsidRDefault="00C92342" w:rsidP="00C92342">
            <w:pPr>
              <w:spacing w:line="240" w:lineRule="auto"/>
            </w:pPr>
          </w:p>
          <w:p w14:paraId="4B3CA37F" w14:textId="77777777" w:rsidR="00C92342" w:rsidRDefault="00C92342" w:rsidP="00C92342">
            <w:pPr>
              <w:spacing w:line="240" w:lineRule="auto"/>
            </w:pPr>
          </w:p>
        </w:tc>
        <w:tc>
          <w:tcPr>
            <w:tcW w:w="4296" w:type="dxa"/>
            <w:tcBorders>
              <w:left w:val="nil"/>
            </w:tcBorders>
            <w:shd w:val="clear" w:color="auto" w:fill="auto"/>
          </w:tcPr>
          <w:p w14:paraId="70592C74" w14:textId="77777777" w:rsidR="00C92342" w:rsidRDefault="00C92342" w:rsidP="00C92342">
            <w:pPr>
              <w:spacing w:line="240" w:lineRule="auto"/>
              <w:rPr>
                <w:b/>
              </w:rPr>
            </w:pPr>
            <w:r>
              <w:rPr>
                <w:noProof/>
                <w:lang w:val="en-GB" w:eastAsia="en-GB"/>
              </w:rPr>
              <w:drawing>
                <wp:anchor distT="0" distB="0" distL="114300" distR="114300" simplePos="0" relativeHeight="251675136" behindDoc="0" locked="0" layoutInCell="1" allowOverlap="1" wp14:anchorId="198C3E92" wp14:editId="34492920">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5645D885" w14:textId="77777777" w:rsidTr="00356F66">
        <w:tc>
          <w:tcPr>
            <w:tcW w:w="9450" w:type="dxa"/>
            <w:gridSpan w:val="2"/>
            <w:tcBorders>
              <w:bottom w:val="single" w:sz="4" w:space="0" w:color="auto"/>
            </w:tcBorders>
            <w:shd w:val="clear" w:color="auto" w:fill="auto"/>
          </w:tcPr>
          <w:p w14:paraId="574346E2" w14:textId="77777777" w:rsidR="00C92342" w:rsidRDefault="00C92342" w:rsidP="00C92342">
            <w:pPr>
              <w:spacing w:line="240" w:lineRule="auto"/>
              <w:ind w:left="562" w:hanging="562"/>
            </w:pPr>
            <w:r>
              <w:t>5.</w:t>
            </w:r>
            <w:r>
              <w:tab/>
              <w:t xml:space="preserve">Eemaldage läbipaistvalt plastist </w:t>
            </w:r>
            <w:proofErr w:type="spellStart"/>
            <w:r>
              <w:t>viaaliadapterilt</w:t>
            </w:r>
            <w:proofErr w:type="spellEnd"/>
            <w:r>
              <w:t xml:space="preserve"> (D) seda kaitsev paberkate. Ärge eemaldage adapterit selle kaitsekorgilt. Ärge puutuge </w:t>
            </w:r>
            <w:proofErr w:type="spellStart"/>
            <w:r>
              <w:t>viaaliadapteri</w:t>
            </w:r>
            <w:proofErr w:type="spellEnd"/>
            <w:r>
              <w:t xml:space="preserve"> pakendi sisekülge.</w:t>
            </w:r>
          </w:p>
          <w:p w14:paraId="4B033CF1" w14:textId="77777777" w:rsidR="00C92342" w:rsidRDefault="00C92342" w:rsidP="00C92342">
            <w:pPr>
              <w:spacing w:line="240" w:lineRule="auto"/>
              <w:rPr>
                <w:b/>
              </w:rPr>
            </w:pPr>
          </w:p>
        </w:tc>
      </w:tr>
      <w:tr w:rsidR="00C92342" w14:paraId="6C934D65" w14:textId="77777777" w:rsidTr="00356F66">
        <w:tc>
          <w:tcPr>
            <w:tcW w:w="5154" w:type="dxa"/>
            <w:tcBorders>
              <w:bottom w:val="single" w:sz="4" w:space="0" w:color="auto"/>
              <w:right w:val="nil"/>
            </w:tcBorders>
            <w:shd w:val="clear" w:color="auto" w:fill="auto"/>
          </w:tcPr>
          <w:p w14:paraId="50904088" w14:textId="77777777" w:rsidR="00C92342" w:rsidRDefault="00C92342" w:rsidP="00C92342">
            <w:pPr>
              <w:spacing w:line="240" w:lineRule="auto"/>
              <w:ind w:left="567" w:hanging="567"/>
            </w:pPr>
            <w:r>
              <w:t>6.</w:t>
            </w:r>
            <w:r>
              <w:tab/>
              <w:t xml:space="preserve">Asetage </w:t>
            </w:r>
            <w:proofErr w:type="spellStart"/>
            <w:r>
              <w:t>viaal</w:t>
            </w:r>
            <w:proofErr w:type="spellEnd"/>
            <w:r>
              <w:t xml:space="preserve"> tasasele pinnale. Hoidke </w:t>
            </w:r>
            <w:proofErr w:type="spellStart"/>
            <w:r>
              <w:t>viaaliadapterit</w:t>
            </w:r>
            <w:proofErr w:type="spellEnd"/>
            <w:r>
              <w:t xml:space="preserve"> selle kaitsekorgis ja asetage see täpselt </w:t>
            </w:r>
            <w:proofErr w:type="spellStart"/>
            <w:r>
              <w:t>viaali</w:t>
            </w:r>
            <w:proofErr w:type="spellEnd"/>
            <w:r>
              <w:t xml:space="preserve"> otsa. Suruge kuni adapter klõpsab oma kohale </w:t>
            </w:r>
            <w:proofErr w:type="spellStart"/>
            <w:r>
              <w:t>viaali</w:t>
            </w:r>
            <w:proofErr w:type="spellEnd"/>
            <w:r>
              <w:t xml:space="preserve"> otsas nii, et adapteri teravik läbistab </w:t>
            </w:r>
            <w:proofErr w:type="spellStart"/>
            <w:r>
              <w:t>viaali</w:t>
            </w:r>
            <w:proofErr w:type="spellEnd"/>
            <w:r>
              <w:t xml:space="preserve"> punnkorgi.</w:t>
            </w:r>
          </w:p>
          <w:p w14:paraId="49086F8E" w14:textId="77777777" w:rsidR="00C92342" w:rsidRDefault="00C92342" w:rsidP="00C92342">
            <w:pPr>
              <w:spacing w:line="240" w:lineRule="auto"/>
            </w:pPr>
          </w:p>
        </w:tc>
        <w:tc>
          <w:tcPr>
            <w:tcW w:w="4296" w:type="dxa"/>
            <w:tcBorders>
              <w:left w:val="nil"/>
              <w:bottom w:val="single" w:sz="4" w:space="0" w:color="auto"/>
            </w:tcBorders>
            <w:shd w:val="clear" w:color="auto" w:fill="auto"/>
          </w:tcPr>
          <w:p w14:paraId="63AC85BB" w14:textId="77777777" w:rsidR="00C92342" w:rsidRDefault="00C92342" w:rsidP="00C92342">
            <w:pPr>
              <w:spacing w:line="240" w:lineRule="auto"/>
            </w:pPr>
            <w:r>
              <w:rPr>
                <w:noProof/>
                <w:lang w:val="en-GB" w:eastAsia="en-GB"/>
              </w:rPr>
              <w:drawing>
                <wp:inline distT="0" distB="0" distL="0" distR="0" wp14:anchorId="75BB9267" wp14:editId="37EC7B32">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C92342" w14:paraId="5A398CEC" w14:textId="77777777" w:rsidTr="00356F66">
        <w:tc>
          <w:tcPr>
            <w:tcW w:w="5154" w:type="dxa"/>
            <w:tcBorders>
              <w:bottom w:val="single" w:sz="4" w:space="0" w:color="auto"/>
              <w:right w:val="nil"/>
            </w:tcBorders>
            <w:shd w:val="clear" w:color="auto" w:fill="auto"/>
          </w:tcPr>
          <w:p w14:paraId="6A0CFC32" w14:textId="77777777" w:rsidR="00C92342" w:rsidRDefault="00C92342" w:rsidP="00C92342">
            <w:pPr>
              <w:spacing w:line="240" w:lineRule="auto"/>
              <w:ind w:left="562" w:hanging="562"/>
            </w:pPr>
            <w:r>
              <w:lastRenderedPageBreak/>
              <w:t>7.</w:t>
            </w:r>
            <w:r>
              <w:tab/>
              <w:t>Kinnitage kolvivarras (C) lahustisüstlale, sisestades kolvivarda tipu süstla kolvi avasse. Pöörake kolvivarrast tugevalt päripäeva, kuni see on kindlalt süstla kolvile kinnitatud.</w:t>
            </w:r>
          </w:p>
        </w:tc>
        <w:tc>
          <w:tcPr>
            <w:tcW w:w="4296" w:type="dxa"/>
            <w:tcBorders>
              <w:left w:val="nil"/>
              <w:bottom w:val="single" w:sz="4" w:space="0" w:color="auto"/>
            </w:tcBorders>
            <w:shd w:val="clear" w:color="auto" w:fill="auto"/>
          </w:tcPr>
          <w:p w14:paraId="0F340892" w14:textId="77777777" w:rsidR="00C92342" w:rsidRDefault="00C92342" w:rsidP="00C92342">
            <w:pPr>
              <w:spacing w:line="240" w:lineRule="auto"/>
              <w:rPr>
                <w:b/>
              </w:rPr>
            </w:pPr>
            <w:r>
              <w:rPr>
                <w:noProof/>
                <w:lang w:val="en-GB" w:eastAsia="en-GB"/>
              </w:rPr>
              <w:drawing>
                <wp:anchor distT="0" distB="0" distL="114300" distR="114300" simplePos="0" relativeHeight="251676160" behindDoc="0" locked="0" layoutInCell="1" allowOverlap="1" wp14:anchorId="063EF7B9" wp14:editId="38B21D6B">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48745059" w14:textId="77777777" w:rsidTr="00356F66">
        <w:tc>
          <w:tcPr>
            <w:tcW w:w="5154" w:type="dxa"/>
            <w:tcBorders>
              <w:bottom w:val="single" w:sz="4" w:space="0" w:color="auto"/>
              <w:right w:val="nil"/>
            </w:tcBorders>
            <w:shd w:val="clear" w:color="auto" w:fill="auto"/>
          </w:tcPr>
          <w:p w14:paraId="6CE0294D" w14:textId="77777777" w:rsidR="00C92342" w:rsidRDefault="00C92342" w:rsidP="00C92342">
            <w:pPr>
              <w:spacing w:line="240" w:lineRule="auto"/>
              <w:ind w:left="562" w:hanging="562"/>
            </w:pPr>
            <w:r>
              <w:t>8.</w:t>
            </w:r>
            <w:r>
              <w:tab/>
              <w:t>Murdke lahustisüstlalt valge plastist turvakork, painutades perforatsioonikohast, kuni see lahti murdub. Pange kork kõrvale, lamedale pinnale, ülaosa allpool. Ärge puutuge korgi sisepinda ega süstla otsa.</w:t>
            </w:r>
          </w:p>
          <w:p w14:paraId="6E9D5A91" w14:textId="77777777" w:rsidR="00C92342" w:rsidRDefault="00C92342" w:rsidP="00C92342">
            <w:pPr>
              <w:spacing w:line="240" w:lineRule="auto"/>
            </w:pPr>
          </w:p>
        </w:tc>
        <w:tc>
          <w:tcPr>
            <w:tcW w:w="4296" w:type="dxa"/>
            <w:tcBorders>
              <w:left w:val="nil"/>
              <w:bottom w:val="single" w:sz="4" w:space="0" w:color="auto"/>
            </w:tcBorders>
            <w:shd w:val="clear" w:color="auto" w:fill="auto"/>
          </w:tcPr>
          <w:p w14:paraId="25A86696" w14:textId="77777777" w:rsidR="00C92342" w:rsidRDefault="00C92342" w:rsidP="00C92342">
            <w:pPr>
              <w:spacing w:line="240" w:lineRule="auto"/>
              <w:rPr>
                <w:b/>
              </w:rPr>
            </w:pPr>
            <w:r>
              <w:rPr>
                <w:noProof/>
                <w:lang w:val="en-GB" w:eastAsia="en-GB"/>
              </w:rPr>
              <w:drawing>
                <wp:anchor distT="0" distB="0" distL="114300" distR="114300" simplePos="0" relativeHeight="251677184" behindDoc="0" locked="0" layoutInCell="1" allowOverlap="1" wp14:anchorId="241F67F7" wp14:editId="63E43D41">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1DC95E99" w14:textId="77777777" w:rsidTr="00356F66">
        <w:tc>
          <w:tcPr>
            <w:tcW w:w="5154" w:type="dxa"/>
            <w:tcBorders>
              <w:bottom w:val="single" w:sz="4" w:space="0" w:color="auto"/>
              <w:right w:val="nil"/>
            </w:tcBorders>
            <w:shd w:val="clear" w:color="auto" w:fill="auto"/>
          </w:tcPr>
          <w:p w14:paraId="313B4797" w14:textId="77777777" w:rsidR="00C92342" w:rsidRDefault="00C92342" w:rsidP="00C92342">
            <w:pPr>
              <w:spacing w:line="240" w:lineRule="auto"/>
            </w:pPr>
            <w:r>
              <w:t>9.</w:t>
            </w:r>
            <w:r>
              <w:tab/>
              <w:t>Eemaldage adapterilt kaitsekork ja visake ära.</w:t>
            </w:r>
          </w:p>
        </w:tc>
        <w:tc>
          <w:tcPr>
            <w:tcW w:w="4296" w:type="dxa"/>
            <w:tcBorders>
              <w:left w:val="nil"/>
              <w:bottom w:val="single" w:sz="4" w:space="0" w:color="auto"/>
            </w:tcBorders>
            <w:shd w:val="clear" w:color="auto" w:fill="auto"/>
          </w:tcPr>
          <w:p w14:paraId="4A363CDA" w14:textId="77777777" w:rsidR="00C92342" w:rsidRDefault="00C92342" w:rsidP="00C92342">
            <w:pPr>
              <w:spacing w:line="240" w:lineRule="auto"/>
              <w:rPr>
                <w:b/>
              </w:rPr>
            </w:pPr>
            <w:r>
              <w:rPr>
                <w:noProof/>
                <w:lang w:val="en-GB" w:eastAsia="en-GB"/>
              </w:rPr>
              <w:drawing>
                <wp:anchor distT="0" distB="0" distL="114300" distR="114300" simplePos="0" relativeHeight="251678208" behindDoc="0" locked="0" layoutInCell="1" allowOverlap="1" wp14:anchorId="460ECE3D" wp14:editId="410ADC04">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3DCA8D7A" w14:textId="77777777" w:rsidTr="00356F66">
        <w:trPr>
          <w:trHeight w:val="2411"/>
        </w:trPr>
        <w:tc>
          <w:tcPr>
            <w:tcW w:w="5154" w:type="dxa"/>
            <w:tcBorders>
              <w:bottom w:val="single" w:sz="4" w:space="0" w:color="auto"/>
              <w:right w:val="nil"/>
            </w:tcBorders>
            <w:shd w:val="clear" w:color="auto" w:fill="auto"/>
          </w:tcPr>
          <w:p w14:paraId="513EE088" w14:textId="77777777" w:rsidR="00C92342" w:rsidRDefault="00C92342" w:rsidP="00C92342">
            <w:pPr>
              <w:spacing w:line="240" w:lineRule="auto"/>
              <w:ind w:left="562" w:hanging="562"/>
            </w:pPr>
            <w:r>
              <w:t xml:space="preserve">10. </w:t>
            </w:r>
            <w:r>
              <w:tab/>
              <w:t xml:space="preserve">Kinnitage lahustisüstal </w:t>
            </w:r>
            <w:proofErr w:type="spellStart"/>
            <w:r>
              <w:t>viaaliadapterile</w:t>
            </w:r>
            <w:proofErr w:type="spellEnd"/>
            <w:r>
              <w:t>, sisestades süstla otsa adapteri avasse. Suruge tugevasti süstlale ja pöörake seda päripäeva, kuni see on kindlalt kinnitatud.</w:t>
            </w:r>
          </w:p>
        </w:tc>
        <w:tc>
          <w:tcPr>
            <w:tcW w:w="4296" w:type="dxa"/>
            <w:tcBorders>
              <w:left w:val="nil"/>
              <w:bottom w:val="single" w:sz="4" w:space="0" w:color="auto"/>
            </w:tcBorders>
            <w:shd w:val="clear" w:color="auto" w:fill="auto"/>
          </w:tcPr>
          <w:p w14:paraId="7438B026" w14:textId="77777777" w:rsidR="00C92342" w:rsidRDefault="00C92342" w:rsidP="00C92342">
            <w:pPr>
              <w:spacing w:line="240" w:lineRule="auto"/>
              <w:rPr>
                <w:rFonts w:eastAsia="Calibri"/>
              </w:rPr>
            </w:pPr>
            <w:r>
              <w:rPr>
                <w:noProof/>
                <w:lang w:val="en-GB" w:eastAsia="en-GB"/>
              </w:rPr>
              <w:drawing>
                <wp:anchor distT="0" distB="0" distL="114300" distR="114300" simplePos="0" relativeHeight="251679232" behindDoc="0" locked="0" layoutInCell="1" allowOverlap="1" wp14:anchorId="58A767D5" wp14:editId="2947432D">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5FF287F8" w14:textId="77777777" w:rsidTr="00356F66">
        <w:tc>
          <w:tcPr>
            <w:tcW w:w="5154" w:type="dxa"/>
            <w:tcBorders>
              <w:bottom w:val="single" w:sz="4" w:space="0" w:color="auto"/>
              <w:right w:val="nil"/>
            </w:tcBorders>
            <w:shd w:val="clear" w:color="auto" w:fill="auto"/>
          </w:tcPr>
          <w:p w14:paraId="1EA25BE9" w14:textId="77777777" w:rsidR="00C92342" w:rsidRDefault="00C92342" w:rsidP="00C92342">
            <w:pPr>
              <w:spacing w:line="240" w:lineRule="auto"/>
              <w:ind w:left="567" w:hanging="567"/>
            </w:pPr>
            <w:r>
              <w:t>11.</w:t>
            </w:r>
            <w:r>
              <w:tab/>
              <w:t xml:space="preserve">Vajutage aeglaselt kolvivarrele ja süstige kogu lahusti </w:t>
            </w:r>
            <w:proofErr w:type="spellStart"/>
            <w:r>
              <w:t>ALPROLIX’i</w:t>
            </w:r>
            <w:proofErr w:type="spellEnd"/>
            <w:r>
              <w:t xml:space="preserve"> </w:t>
            </w:r>
            <w:proofErr w:type="spellStart"/>
            <w:r>
              <w:t>viaali</w:t>
            </w:r>
            <w:proofErr w:type="spellEnd"/>
            <w:r>
              <w:t>.</w:t>
            </w:r>
          </w:p>
        </w:tc>
        <w:tc>
          <w:tcPr>
            <w:tcW w:w="4296" w:type="dxa"/>
            <w:tcBorders>
              <w:left w:val="nil"/>
              <w:bottom w:val="single" w:sz="4" w:space="0" w:color="auto"/>
            </w:tcBorders>
            <w:shd w:val="clear" w:color="auto" w:fill="auto"/>
          </w:tcPr>
          <w:p w14:paraId="55ACC446" w14:textId="77777777" w:rsidR="00C92342" w:rsidRDefault="00C92342" w:rsidP="00C92342">
            <w:pPr>
              <w:spacing w:line="240" w:lineRule="auto"/>
              <w:rPr>
                <w:rFonts w:eastAsia="Calibri"/>
              </w:rPr>
            </w:pPr>
            <w:r>
              <w:rPr>
                <w:noProof/>
                <w:lang w:val="en-GB" w:eastAsia="en-GB"/>
              </w:rPr>
              <w:drawing>
                <wp:anchor distT="0" distB="0" distL="114300" distR="114300" simplePos="0" relativeHeight="251680256" behindDoc="0" locked="0" layoutInCell="1" allowOverlap="1" wp14:anchorId="2DE8E54C" wp14:editId="5AB1672E">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6ADEA0AA" w14:textId="77777777" w:rsidTr="00356F66">
        <w:tc>
          <w:tcPr>
            <w:tcW w:w="5154" w:type="dxa"/>
            <w:tcBorders>
              <w:right w:val="nil"/>
            </w:tcBorders>
            <w:shd w:val="clear" w:color="auto" w:fill="auto"/>
          </w:tcPr>
          <w:p w14:paraId="76572D6D" w14:textId="77777777" w:rsidR="00C92342" w:rsidRDefault="00C92342" w:rsidP="00C92342">
            <w:pPr>
              <w:spacing w:line="240" w:lineRule="auto"/>
              <w:ind w:left="562" w:hanging="562"/>
            </w:pPr>
            <w:r>
              <w:lastRenderedPageBreak/>
              <w:t>12.</w:t>
            </w:r>
            <w:r>
              <w:tab/>
              <w:t xml:space="preserve">Hoides süstalt ikka veel adapterile kinnitatuna ning kolvivart allasurutud asendis, keerutage õrnalt </w:t>
            </w:r>
            <w:proofErr w:type="spellStart"/>
            <w:r>
              <w:t>viaali</w:t>
            </w:r>
            <w:proofErr w:type="spellEnd"/>
            <w:r>
              <w:t>, kuni pulber on lahustunud.</w:t>
            </w:r>
          </w:p>
          <w:p w14:paraId="0976A3DD" w14:textId="77777777" w:rsidR="00C92342" w:rsidRDefault="00C92342" w:rsidP="00C92342">
            <w:pPr>
              <w:spacing w:line="240" w:lineRule="auto"/>
              <w:ind w:left="562" w:hanging="562"/>
            </w:pPr>
            <w:r>
              <w:tab/>
              <w:t>Ärge raputage.</w:t>
            </w:r>
          </w:p>
        </w:tc>
        <w:tc>
          <w:tcPr>
            <w:tcW w:w="4296" w:type="dxa"/>
            <w:tcBorders>
              <w:left w:val="nil"/>
            </w:tcBorders>
            <w:shd w:val="clear" w:color="auto" w:fill="auto"/>
          </w:tcPr>
          <w:p w14:paraId="2779131A" w14:textId="77777777" w:rsidR="00C92342" w:rsidRDefault="00C92342" w:rsidP="00C92342">
            <w:pPr>
              <w:spacing w:line="240" w:lineRule="auto"/>
              <w:rPr>
                <w:rFonts w:eastAsia="Calibri"/>
              </w:rPr>
            </w:pPr>
            <w:r>
              <w:rPr>
                <w:noProof/>
                <w:lang w:val="en-GB" w:eastAsia="en-GB"/>
              </w:rPr>
              <w:drawing>
                <wp:anchor distT="0" distB="0" distL="114300" distR="114300" simplePos="0" relativeHeight="251681280" behindDoc="0" locked="0" layoutInCell="1" allowOverlap="1" wp14:anchorId="62D02FFE" wp14:editId="67CE0CC5">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6141E3C3" w14:textId="77777777" w:rsidTr="00356F66">
        <w:tc>
          <w:tcPr>
            <w:tcW w:w="9450" w:type="dxa"/>
            <w:gridSpan w:val="2"/>
            <w:tcBorders>
              <w:bottom w:val="single" w:sz="4" w:space="0" w:color="auto"/>
            </w:tcBorders>
            <w:shd w:val="clear" w:color="auto" w:fill="auto"/>
          </w:tcPr>
          <w:p w14:paraId="79C679E3" w14:textId="36824E5D" w:rsidR="00C92342" w:rsidRDefault="00C92342" w:rsidP="00C92342">
            <w:pPr>
              <w:spacing w:line="240" w:lineRule="auto"/>
              <w:ind w:left="562" w:hanging="562"/>
            </w:pPr>
            <w:r>
              <w:t>13.</w:t>
            </w:r>
            <w:r>
              <w:tab/>
              <w:t>Enne manustamist tuleb valmislahust visuaalselt kontrollida. Lahus peab olema läbipaistev või kergelt küütlev</w:t>
            </w:r>
            <w:r w:rsidR="005A6951">
              <w:t xml:space="preserve"> (</w:t>
            </w:r>
            <w:proofErr w:type="spellStart"/>
            <w:r w:rsidR="005A6951">
              <w:t>pärlmutterjas</w:t>
            </w:r>
            <w:proofErr w:type="spellEnd"/>
            <w:r w:rsidR="005A6951">
              <w:t>)</w:t>
            </w:r>
            <w:r>
              <w:t xml:space="preserve"> ja värvitu. Ärge kasutage lahust, kui see on hägune või sisaldab nähtavaid osakesi.</w:t>
            </w:r>
          </w:p>
          <w:p w14:paraId="4E3EFB77" w14:textId="77777777" w:rsidR="00C92342" w:rsidRDefault="00C92342" w:rsidP="00C92342">
            <w:pPr>
              <w:spacing w:line="240" w:lineRule="auto"/>
              <w:rPr>
                <w:rFonts w:eastAsia="Calibri"/>
              </w:rPr>
            </w:pPr>
          </w:p>
        </w:tc>
      </w:tr>
      <w:tr w:rsidR="00C92342" w14:paraId="7A73C96F" w14:textId="77777777" w:rsidTr="00356F66">
        <w:tc>
          <w:tcPr>
            <w:tcW w:w="5154" w:type="dxa"/>
            <w:tcBorders>
              <w:bottom w:val="single" w:sz="4" w:space="0" w:color="auto"/>
              <w:right w:val="nil"/>
            </w:tcBorders>
            <w:shd w:val="clear" w:color="auto" w:fill="auto"/>
          </w:tcPr>
          <w:p w14:paraId="37CBA062" w14:textId="53096604" w:rsidR="00C92342" w:rsidRDefault="00C92342" w:rsidP="00C92342">
            <w:pPr>
              <w:spacing w:line="240" w:lineRule="auto"/>
              <w:ind w:left="562" w:hanging="562"/>
            </w:pPr>
            <w:r>
              <w:t>14.</w:t>
            </w:r>
            <w:r>
              <w:tab/>
              <w:t xml:space="preserve">Veendudes, et süstla kolvivarras on ikka veel allasurutud asendis, pöörake </w:t>
            </w:r>
            <w:proofErr w:type="spellStart"/>
            <w:r>
              <w:t>viaal</w:t>
            </w:r>
            <w:proofErr w:type="spellEnd"/>
            <w:r>
              <w:t xml:space="preserve"> ümber. Tõmmake aeglaselt kolvivarrast allapoole ning tõmmake kogu lahus läbi </w:t>
            </w:r>
            <w:proofErr w:type="spellStart"/>
            <w:r>
              <w:t>viaaliadaptri</w:t>
            </w:r>
            <w:proofErr w:type="spellEnd"/>
            <w:r>
              <w:t xml:space="preserve"> süstlasse.</w:t>
            </w:r>
          </w:p>
          <w:p w14:paraId="2A9B996C" w14:textId="77777777" w:rsidR="00833798" w:rsidRDefault="00833798" w:rsidP="00833798">
            <w:pPr>
              <w:spacing w:line="240" w:lineRule="auto"/>
              <w:ind w:left="562" w:firstLine="27"/>
            </w:pPr>
          </w:p>
          <w:p w14:paraId="53DA2D72" w14:textId="77777777" w:rsidR="00833798" w:rsidRDefault="00833798" w:rsidP="00833798">
            <w:pPr>
              <w:keepNext/>
              <w:keepLines/>
              <w:spacing w:line="240" w:lineRule="auto"/>
              <w:ind w:left="589"/>
            </w:pPr>
            <w:r>
              <w:t xml:space="preserve">Märkus. Juhul kui kasutate süste kohta rohkem kui ühte </w:t>
            </w:r>
            <w:proofErr w:type="spellStart"/>
            <w:r>
              <w:t>ALPROLIX’i</w:t>
            </w:r>
            <w:proofErr w:type="spellEnd"/>
            <w:r>
              <w:t xml:space="preserve"> </w:t>
            </w:r>
            <w:proofErr w:type="spellStart"/>
            <w:r>
              <w:t>viaali</w:t>
            </w:r>
            <w:proofErr w:type="spellEnd"/>
            <w:r>
              <w:t xml:space="preserve">, tuleb iga </w:t>
            </w:r>
            <w:proofErr w:type="spellStart"/>
            <w:r>
              <w:t>viaal</w:t>
            </w:r>
            <w:proofErr w:type="spellEnd"/>
            <w:r>
              <w:t xml:space="preserve"> eraldi ette valmistada, järgides ülaltoodud samme (1 kuni 13). Lahustisüstel tuleb eemaldada ning </w:t>
            </w:r>
            <w:proofErr w:type="spellStart"/>
            <w:r>
              <w:t>viaaliadapter</w:t>
            </w:r>
            <w:proofErr w:type="spellEnd"/>
            <w:r>
              <w:t xml:space="preserve"> oma kohale jätta. Iga individuaalse </w:t>
            </w:r>
            <w:proofErr w:type="spellStart"/>
            <w:r>
              <w:t>viaali</w:t>
            </w:r>
            <w:proofErr w:type="spellEnd"/>
            <w:r>
              <w:t xml:space="preserve"> ettevalmistatud sisu süstlasse tõmbamiseks võib kasutada ühte suurt </w:t>
            </w:r>
            <w:proofErr w:type="spellStart"/>
            <w:r>
              <w:rPr>
                <w:i/>
              </w:rPr>
              <w:t>luer-lock</w:t>
            </w:r>
            <w:proofErr w:type="spellEnd"/>
            <w:r>
              <w:t xml:space="preserve"> süstalt.</w:t>
            </w:r>
          </w:p>
          <w:p w14:paraId="19D4A2B3" w14:textId="77777777" w:rsidR="00C92342" w:rsidRDefault="00C92342" w:rsidP="00C92342">
            <w:pPr>
              <w:spacing w:line="240" w:lineRule="auto"/>
            </w:pPr>
          </w:p>
        </w:tc>
        <w:tc>
          <w:tcPr>
            <w:tcW w:w="4296" w:type="dxa"/>
            <w:tcBorders>
              <w:left w:val="nil"/>
              <w:bottom w:val="single" w:sz="4" w:space="0" w:color="auto"/>
            </w:tcBorders>
            <w:shd w:val="clear" w:color="auto" w:fill="auto"/>
          </w:tcPr>
          <w:p w14:paraId="0D72715E" w14:textId="77777777" w:rsidR="00C92342" w:rsidRDefault="00C92342" w:rsidP="00C92342">
            <w:pPr>
              <w:spacing w:line="240" w:lineRule="auto"/>
              <w:rPr>
                <w:rFonts w:eastAsia="Calibri"/>
              </w:rPr>
            </w:pPr>
            <w:r>
              <w:rPr>
                <w:noProof/>
                <w:lang w:val="en-GB" w:eastAsia="en-GB"/>
              </w:rPr>
              <w:drawing>
                <wp:anchor distT="0" distB="0" distL="114300" distR="114300" simplePos="0" relativeHeight="251682304" behindDoc="0" locked="0" layoutInCell="1" allowOverlap="1" wp14:anchorId="66CCD82D" wp14:editId="5B8E24CA">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3798" w14:paraId="2639AA50" w14:textId="77777777" w:rsidTr="00356F66">
        <w:trPr>
          <w:trHeight w:val="2324"/>
        </w:trPr>
        <w:tc>
          <w:tcPr>
            <w:tcW w:w="5154" w:type="dxa"/>
            <w:tcBorders>
              <w:right w:val="nil"/>
            </w:tcBorders>
            <w:shd w:val="clear" w:color="auto" w:fill="auto"/>
          </w:tcPr>
          <w:p w14:paraId="4703A08F" w14:textId="77777777" w:rsidR="00C92342" w:rsidRDefault="00C92342" w:rsidP="00C92342">
            <w:pPr>
              <w:spacing w:line="240" w:lineRule="auto"/>
              <w:ind w:left="562" w:hanging="562"/>
            </w:pPr>
            <w:r>
              <w:t>15.</w:t>
            </w:r>
            <w:r>
              <w:tab/>
              <w:t xml:space="preserve">Eemaldage süstal </w:t>
            </w:r>
            <w:proofErr w:type="spellStart"/>
            <w:r>
              <w:t>viaaliadapterist</w:t>
            </w:r>
            <w:proofErr w:type="spellEnd"/>
            <w:r>
              <w:t xml:space="preserve">, tõmmates seda õrnalt ning pöörates </w:t>
            </w:r>
            <w:proofErr w:type="spellStart"/>
            <w:r>
              <w:t>viaali</w:t>
            </w:r>
            <w:proofErr w:type="spellEnd"/>
            <w:r>
              <w:t xml:space="preserve"> vastupäeva.</w:t>
            </w:r>
          </w:p>
          <w:p w14:paraId="713363E4" w14:textId="77777777" w:rsidR="00C92342" w:rsidRDefault="00C92342" w:rsidP="00C92342">
            <w:pPr>
              <w:spacing w:line="240" w:lineRule="auto"/>
            </w:pPr>
          </w:p>
        </w:tc>
        <w:tc>
          <w:tcPr>
            <w:tcW w:w="4296" w:type="dxa"/>
            <w:tcBorders>
              <w:left w:val="nil"/>
            </w:tcBorders>
            <w:shd w:val="clear" w:color="auto" w:fill="auto"/>
          </w:tcPr>
          <w:p w14:paraId="5B8C08C7" w14:textId="77777777" w:rsidR="00C92342" w:rsidRDefault="00C92342" w:rsidP="00C92342">
            <w:pPr>
              <w:spacing w:line="240" w:lineRule="auto"/>
              <w:rPr>
                <w:rFonts w:eastAsia="Calibri"/>
              </w:rPr>
            </w:pPr>
            <w:r>
              <w:rPr>
                <w:noProof/>
                <w:lang w:val="en-GB" w:eastAsia="en-GB"/>
              </w:rPr>
              <w:drawing>
                <wp:anchor distT="0" distB="0" distL="114300" distR="114300" simplePos="0" relativeHeight="251683328" behindDoc="0" locked="0" layoutInCell="1" allowOverlap="1" wp14:anchorId="77264F8B" wp14:editId="13C6727F">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0DE2E668" w14:textId="77777777" w:rsidTr="00356F66">
        <w:tc>
          <w:tcPr>
            <w:tcW w:w="9450" w:type="dxa"/>
            <w:gridSpan w:val="2"/>
            <w:shd w:val="clear" w:color="auto" w:fill="auto"/>
          </w:tcPr>
          <w:p w14:paraId="6F28F1AD" w14:textId="77777777" w:rsidR="00C92342" w:rsidRDefault="00C92342" w:rsidP="00C92342">
            <w:pPr>
              <w:spacing w:line="240" w:lineRule="auto"/>
            </w:pPr>
            <w:r>
              <w:t>16.</w:t>
            </w:r>
            <w:r>
              <w:tab/>
              <w:t xml:space="preserve">Visake </w:t>
            </w:r>
            <w:proofErr w:type="spellStart"/>
            <w:r>
              <w:t>viaal</w:t>
            </w:r>
            <w:proofErr w:type="spellEnd"/>
            <w:r>
              <w:t xml:space="preserve"> ja adapter ära.</w:t>
            </w:r>
          </w:p>
          <w:p w14:paraId="10CC6CCA" w14:textId="77777777" w:rsidR="00C92342" w:rsidRDefault="00C92342" w:rsidP="00C92342">
            <w:pPr>
              <w:spacing w:line="240" w:lineRule="auto"/>
            </w:pPr>
          </w:p>
          <w:p w14:paraId="0D764D70" w14:textId="77777777" w:rsidR="00C92342" w:rsidRDefault="00C92342" w:rsidP="00C92342">
            <w:pPr>
              <w:numPr>
                <w:ilvl w:val="12"/>
                <w:numId w:val="0"/>
              </w:numPr>
              <w:spacing w:line="240" w:lineRule="auto"/>
              <w:ind w:right="-2"/>
            </w:pPr>
            <w:r>
              <w:t>Märkus. Juhul kui lahust ei kasutata kohe, tuleb süstlakork ettevaatlikult süstla otsa tagasi panna. Ärge puutuge süstla otsa ega korgi sisepinda.</w:t>
            </w:r>
          </w:p>
          <w:p w14:paraId="0E85832E" w14:textId="77777777" w:rsidR="00C92342" w:rsidRDefault="00C92342" w:rsidP="00C92342">
            <w:pPr>
              <w:numPr>
                <w:ilvl w:val="12"/>
                <w:numId w:val="0"/>
              </w:numPr>
              <w:spacing w:line="240" w:lineRule="auto"/>
              <w:ind w:right="-2"/>
            </w:pPr>
          </w:p>
          <w:p w14:paraId="330625BF" w14:textId="77777777" w:rsidR="00C92342" w:rsidRDefault="00C92342" w:rsidP="00C92342">
            <w:pPr>
              <w:numPr>
                <w:ilvl w:val="12"/>
                <w:numId w:val="0"/>
              </w:numPr>
              <w:spacing w:line="240" w:lineRule="auto"/>
              <w:ind w:right="-2"/>
              <w:rPr>
                <w:rFonts w:eastAsia="Calibri"/>
              </w:rPr>
            </w:pPr>
            <w:r>
              <w:t xml:space="preserve">Pärast ette valmistamist võib </w:t>
            </w:r>
            <w:proofErr w:type="spellStart"/>
            <w:r>
              <w:t>ALPROLIX’it</w:t>
            </w:r>
            <w:proofErr w:type="spellEnd"/>
            <w:r>
              <w:t xml:space="preserve"> enne manustamist hoida kuni 6 tundi toatemperatuuril. Pärast seda tuleb ettevalmistatud ALPROLIX ära visata. Hoidke otsese päikesevalguse eest kaitstult.</w:t>
            </w:r>
          </w:p>
        </w:tc>
      </w:tr>
    </w:tbl>
    <w:p w14:paraId="54ADEB56" w14:textId="77777777" w:rsidR="00C92342" w:rsidRDefault="00C92342" w:rsidP="00C92342">
      <w:pPr>
        <w:spacing w:line="240" w:lineRule="auto"/>
        <w:rPr>
          <w:b/>
        </w:rPr>
      </w:pPr>
    </w:p>
    <w:p w14:paraId="2F2A2DFE" w14:textId="77777777" w:rsidR="00C92342" w:rsidRDefault="00C92342" w:rsidP="00C92342">
      <w:pPr>
        <w:keepNext/>
        <w:spacing w:line="240" w:lineRule="auto"/>
        <w:rPr>
          <w:b/>
        </w:rPr>
      </w:pPr>
      <w:r>
        <w:rPr>
          <w:b/>
        </w:rPr>
        <w:lastRenderedPageBreak/>
        <w:t>Manustamine (</w:t>
      </w:r>
      <w:proofErr w:type="spellStart"/>
      <w:r>
        <w:rPr>
          <w:b/>
        </w:rPr>
        <w:t>intravenoosne</w:t>
      </w:r>
      <w:proofErr w:type="spellEnd"/>
      <w:r>
        <w:rPr>
          <w:b/>
        </w:rPr>
        <w:t xml:space="preserve"> süste):</w:t>
      </w:r>
    </w:p>
    <w:p w14:paraId="00332465" w14:textId="77777777" w:rsidR="00C92342" w:rsidRDefault="00C92342" w:rsidP="00C92342">
      <w:pPr>
        <w:pStyle w:val="ListParagraph"/>
        <w:keepNext/>
        <w:ind w:left="0"/>
        <w:rPr>
          <w:sz w:val="22"/>
          <w:szCs w:val="22"/>
        </w:rPr>
      </w:pPr>
    </w:p>
    <w:p w14:paraId="4507F63B" w14:textId="77777777" w:rsidR="00C92342" w:rsidRDefault="00C92342" w:rsidP="00C92342">
      <w:pPr>
        <w:pStyle w:val="ListParagraph"/>
        <w:keepNext/>
        <w:ind w:left="0"/>
        <w:rPr>
          <w:sz w:val="22"/>
          <w:szCs w:val="22"/>
        </w:rPr>
      </w:pPr>
      <w:proofErr w:type="spellStart"/>
      <w:r>
        <w:rPr>
          <w:sz w:val="22"/>
          <w:szCs w:val="22"/>
        </w:rPr>
        <w:t>ALPROLIX’i</w:t>
      </w:r>
      <w:proofErr w:type="spellEnd"/>
      <w:r>
        <w:rPr>
          <w:sz w:val="22"/>
          <w:szCs w:val="22"/>
        </w:rPr>
        <w:t xml:space="preserve"> manustamiseks tuleb kasutada pakendisse kaasa pandud infusioonikomplekti (E).</w:t>
      </w:r>
    </w:p>
    <w:p w14:paraId="5D7E1079" w14:textId="77777777" w:rsidR="00C92342" w:rsidRDefault="00C92342" w:rsidP="00C92342">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92342" w14:paraId="6DD8A637" w14:textId="77777777" w:rsidTr="00C92342">
        <w:tc>
          <w:tcPr>
            <w:tcW w:w="6678" w:type="dxa"/>
            <w:tcBorders>
              <w:right w:val="nil"/>
            </w:tcBorders>
            <w:shd w:val="clear" w:color="auto" w:fill="auto"/>
          </w:tcPr>
          <w:p w14:paraId="484ACE6B" w14:textId="77777777" w:rsidR="00C92342" w:rsidRDefault="00C92342" w:rsidP="00C92342">
            <w:pPr>
              <w:spacing w:line="240" w:lineRule="auto"/>
              <w:ind w:left="567" w:hanging="567"/>
            </w:pPr>
            <w:r>
              <w:rPr>
                <w:szCs w:val="22"/>
              </w:rPr>
              <w:t>1.</w:t>
            </w:r>
            <w:r>
              <w:rPr>
                <w:szCs w:val="22"/>
              </w:rPr>
              <w:tab/>
              <w:t xml:space="preserve">Avage infusioonikomplekti pakend ja eemaldage voolikusüsteemi otsas olev kork. Kinnitage ette valmistatud </w:t>
            </w:r>
            <w:proofErr w:type="spellStart"/>
            <w:r>
              <w:rPr>
                <w:szCs w:val="22"/>
              </w:rPr>
              <w:t>ALPROLIX’i</w:t>
            </w:r>
            <w:proofErr w:type="spellEnd"/>
            <w:r>
              <w:rPr>
                <w:szCs w:val="22"/>
              </w:rPr>
              <w:t xml:space="preserve"> lahust sisaldav süstal infusioonikomplekti voolikusüsteemi otsa, pöörates seda päripäeva.</w:t>
            </w:r>
          </w:p>
        </w:tc>
        <w:tc>
          <w:tcPr>
            <w:tcW w:w="2609" w:type="dxa"/>
            <w:tcBorders>
              <w:left w:val="nil"/>
            </w:tcBorders>
            <w:shd w:val="clear" w:color="auto" w:fill="auto"/>
          </w:tcPr>
          <w:p w14:paraId="78DDBE40" w14:textId="77777777" w:rsidR="00C92342" w:rsidRDefault="00C92342" w:rsidP="00C92342">
            <w:pPr>
              <w:pStyle w:val="ListParagraph"/>
              <w:ind w:left="0"/>
              <w:rPr>
                <w:sz w:val="22"/>
              </w:rPr>
            </w:pPr>
            <w:r>
              <w:rPr>
                <w:noProof/>
                <w:lang w:val="en-GB" w:eastAsia="en-GB"/>
              </w:rPr>
              <w:drawing>
                <wp:anchor distT="0" distB="0" distL="114300" distR="114300" simplePos="0" relativeHeight="251684352" behindDoc="0" locked="0" layoutInCell="1" allowOverlap="1" wp14:anchorId="3F23344C" wp14:editId="449A305C">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6EEA7675" w14:textId="77777777" w:rsidTr="00C92342">
        <w:trPr>
          <w:trHeight w:val="3185"/>
        </w:trPr>
        <w:tc>
          <w:tcPr>
            <w:tcW w:w="9287" w:type="dxa"/>
            <w:gridSpan w:val="2"/>
            <w:shd w:val="clear" w:color="auto" w:fill="auto"/>
          </w:tcPr>
          <w:p w14:paraId="2B6D8DAF" w14:textId="77777777" w:rsidR="00C92342" w:rsidRDefault="00C92342" w:rsidP="00C92342">
            <w:pPr>
              <w:spacing w:line="240" w:lineRule="auto"/>
              <w:ind w:left="567" w:hanging="567"/>
              <w:rPr>
                <w:szCs w:val="22"/>
              </w:rPr>
            </w:pPr>
            <w:r>
              <w:rPr>
                <w:noProof/>
                <w:lang w:val="en-GB" w:eastAsia="en-GB"/>
              </w:rPr>
              <w:drawing>
                <wp:anchor distT="0" distB="0" distL="114300" distR="114300" simplePos="0" relativeHeight="251685376" behindDoc="0" locked="0" layoutInCell="1" allowOverlap="1" wp14:anchorId="6A3E10B6" wp14:editId="6A140768">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2.</w:t>
            </w:r>
            <w:r>
              <w:rPr>
                <w:szCs w:val="22"/>
              </w:rPr>
              <w:tab/>
              <w:t>Vajadusel kasutage žgutti ja valmistage süstekoht ette, puhastades nahka hoolikalt teise pakendis oleva alkoholis niisutatud vatitupsuga.</w:t>
            </w:r>
          </w:p>
          <w:p w14:paraId="24E1363D" w14:textId="77777777" w:rsidR="00C92342" w:rsidRDefault="00C92342" w:rsidP="00C92342">
            <w:pPr>
              <w:pStyle w:val="ListParagraph"/>
              <w:ind w:left="0"/>
              <w:rPr>
                <w:sz w:val="22"/>
                <w:szCs w:val="22"/>
              </w:rPr>
            </w:pPr>
          </w:p>
        </w:tc>
      </w:tr>
      <w:tr w:rsidR="00C92342" w14:paraId="3567CDBA" w14:textId="77777777" w:rsidTr="00C92342">
        <w:tc>
          <w:tcPr>
            <w:tcW w:w="9287" w:type="dxa"/>
            <w:gridSpan w:val="2"/>
            <w:shd w:val="clear" w:color="auto" w:fill="auto"/>
          </w:tcPr>
          <w:p w14:paraId="33CF5E77" w14:textId="77777777" w:rsidR="00C92342" w:rsidRDefault="00C92342" w:rsidP="00C92342">
            <w:pPr>
              <w:pStyle w:val="ListParagraph"/>
              <w:ind w:hanging="720"/>
              <w:rPr>
                <w:sz w:val="22"/>
              </w:rPr>
            </w:pPr>
            <w:r>
              <w:rPr>
                <w:sz w:val="22"/>
                <w:szCs w:val="22"/>
              </w:rPr>
              <w:t>3.</w:t>
            </w:r>
            <w:r>
              <w:rPr>
                <w:sz w:val="22"/>
                <w:szCs w:val="22"/>
              </w:rPr>
              <w:tab/>
              <w:t xml:space="preserve">Eemaldage kogu infusioonikomplektis olev õhk, vajutades selleks kolvivardale, kuni vedelik jõuab infusioonikomplekti nõelani. </w:t>
            </w:r>
            <w:r>
              <w:rPr>
                <w:sz w:val="22"/>
              </w:rPr>
              <w:t xml:space="preserve">Ärge suruge lahust läbi nõela. </w:t>
            </w:r>
            <w:r>
              <w:rPr>
                <w:sz w:val="22"/>
                <w:szCs w:val="22"/>
              </w:rPr>
              <w:t>Eemaldage nõelalt läbipaistev plastist kaitsekate.</w:t>
            </w:r>
          </w:p>
        </w:tc>
      </w:tr>
      <w:tr w:rsidR="00C92342" w14:paraId="082298BA" w14:textId="77777777" w:rsidTr="00C92342">
        <w:tc>
          <w:tcPr>
            <w:tcW w:w="9287" w:type="dxa"/>
            <w:gridSpan w:val="2"/>
            <w:tcBorders>
              <w:bottom w:val="single" w:sz="4" w:space="0" w:color="auto"/>
            </w:tcBorders>
            <w:shd w:val="clear" w:color="auto" w:fill="auto"/>
          </w:tcPr>
          <w:p w14:paraId="6A4C31E2" w14:textId="77777777" w:rsidR="00C92342" w:rsidRDefault="00C92342" w:rsidP="00C92342">
            <w:pPr>
              <w:pStyle w:val="ListParagraph"/>
              <w:ind w:hanging="720"/>
              <w:rPr>
                <w:sz w:val="22"/>
                <w:szCs w:val="22"/>
              </w:rPr>
            </w:pPr>
            <w:r>
              <w:rPr>
                <w:sz w:val="22"/>
                <w:szCs w:val="22"/>
              </w:rPr>
              <w:t>4.</w:t>
            </w:r>
            <w:r>
              <w:rPr>
                <w:sz w:val="22"/>
                <w:szCs w:val="22"/>
              </w:rPr>
              <w:tab/>
              <w:t xml:space="preserve">Sisestage infusioonikomplekti nõel veeni vastavalt arsti või meditsiiniõe juhistele ja eemaldage žgutt. Soovi korral võite kasutada ühte pakendis olevatest plaastritest (G) ja hoida selle abil nõela tiibu süstekohas paigal. Ettevalmistatud ravimit tuleb süstida </w:t>
            </w:r>
            <w:proofErr w:type="spellStart"/>
            <w:r>
              <w:rPr>
                <w:sz w:val="22"/>
                <w:szCs w:val="22"/>
              </w:rPr>
              <w:t>intravenoosselt</w:t>
            </w:r>
            <w:proofErr w:type="spellEnd"/>
            <w:r>
              <w:rPr>
                <w:sz w:val="22"/>
                <w:szCs w:val="22"/>
              </w:rPr>
              <w:t xml:space="preserve"> mitme minuti jooksul. Arst võib soovituslikku manustamiskiirust muuta, et see teile mugavam oleks.</w:t>
            </w:r>
          </w:p>
        </w:tc>
      </w:tr>
      <w:tr w:rsidR="00C92342" w14:paraId="3C0BD1D7" w14:textId="77777777" w:rsidTr="00C92342">
        <w:trPr>
          <w:trHeight w:val="2672"/>
        </w:trPr>
        <w:tc>
          <w:tcPr>
            <w:tcW w:w="6678" w:type="dxa"/>
            <w:tcBorders>
              <w:right w:val="nil"/>
            </w:tcBorders>
            <w:shd w:val="clear" w:color="auto" w:fill="auto"/>
          </w:tcPr>
          <w:p w14:paraId="3249C115" w14:textId="77777777" w:rsidR="00C92342" w:rsidRDefault="00C92342" w:rsidP="00C92342">
            <w:pPr>
              <w:pStyle w:val="ListParagraph"/>
              <w:ind w:hanging="720"/>
              <w:rPr>
                <w:sz w:val="22"/>
                <w:szCs w:val="22"/>
              </w:rPr>
            </w:pPr>
            <w:r>
              <w:rPr>
                <w:sz w:val="22"/>
                <w:szCs w:val="22"/>
              </w:rPr>
              <w:t>5.</w:t>
            </w:r>
            <w:r>
              <w:rPr>
                <w:sz w:val="22"/>
                <w:szCs w:val="22"/>
              </w:rPr>
              <w:tab/>
              <w:t>Pärast süstimise lõpetamist ja nõela väljavõtmist peate nõelakaitsme lahti painutama ja nõelale kinnitama.</w:t>
            </w:r>
          </w:p>
        </w:tc>
        <w:tc>
          <w:tcPr>
            <w:tcW w:w="2609" w:type="dxa"/>
            <w:tcBorders>
              <w:left w:val="nil"/>
            </w:tcBorders>
            <w:shd w:val="clear" w:color="auto" w:fill="auto"/>
          </w:tcPr>
          <w:p w14:paraId="52810E3B" w14:textId="77777777" w:rsidR="00C92342" w:rsidRDefault="00C92342" w:rsidP="00C92342">
            <w:pPr>
              <w:pStyle w:val="ListParagraph"/>
              <w:ind w:left="0"/>
              <w:rPr>
                <w:sz w:val="22"/>
                <w:szCs w:val="22"/>
              </w:rPr>
            </w:pPr>
            <w:r>
              <w:rPr>
                <w:noProof/>
                <w:lang w:val="en-GB" w:eastAsia="en-GB"/>
              </w:rPr>
              <w:drawing>
                <wp:anchor distT="0" distB="0" distL="114300" distR="114300" simplePos="0" relativeHeight="251686400" behindDoc="0" locked="0" layoutInCell="1" allowOverlap="1" wp14:anchorId="1D6D1333" wp14:editId="7C864D03">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92342" w14:paraId="7535036A" w14:textId="77777777" w:rsidTr="00C92342">
        <w:trPr>
          <w:trHeight w:val="854"/>
        </w:trPr>
        <w:tc>
          <w:tcPr>
            <w:tcW w:w="9287" w:type="dxa"/>
            <w:gridSpan w:val="2"/>
            <w:shd w:val="clear" w:color="auto" w:fill="auto"/>
          </w:tcPr>
          <w:p w14:paraId="2C7DE7DE" w14:textId="77777777" w:rsidR="00C92342" w:rsidRDefault="00C92342" w:rsidP="00C92342">
            <w:pPr>
              <w:spacing w:line="240" w:lineRule="auto"/>
              <w:ind w:left="567" w:hanging="567"/>
              <w:rPr>
                <w:rFonts w:eastAsia="Calibri"/>
                <w:szCs w:val="22"/>
              </w:rPr>
            </w:pPr>
            <w:r>
              <w:rPr>
                <w:szCs w:val="22"/>
              </w:rPr>
              <w:t>6.</w:t>
            </w:r>
            <w:r>
              <w:rPr>
                <w:szCs w:val="22"/>
              </w:rPr>
              <w:tab/>
              <w:t xml:space="preserve">Palun visake kasutatud nõel, kogu ülejäänud lahus, süstal ja tühi </w:t>
            </w:r>
            <w:proofErr w:type="spellStart"/>
            <w:r>
              <w:rPr>
                <w:szCs w:val="22"/>
              </w:rPr>
              <w:t>viaal</w:t>
            </w:r>
            <w:proofErr w:type="spellEnd"/>
            <w:r>
              <w:rPr>
                <w:szCs w:val="22"/>
              </w:rPr>
              <w:t xml:space="preserve"> ohutult selleks ettenähtud meditsiiniliste jäätmete mahutisse. Need materjalid võivad olla teistele kahjulikud, kui neid korralikult ei hävitata. Ärge kasutage komplekti korduvalt.</w:t>
            </w:r>
          </w:p>
        </w:tc>
      </w:tr>
    </w:tbl>
    <w:p w14:paraId="0DD0FC90" w14:textId="77777777" w:rsidR="00C92342" w:rsidRDefault="00C92342" w:rsidP="00C92342">
      <w:pPr>
        <w:tabs>
          <w:tab w:val="clear" w:pos="567"/>
          <w:tab w:val="left" w:pos="709"/>
        </w:tabs>
        <w:autoSpaceDE w:val="0"/>
        <w:autoSpaceDN w:val="0"/>
        <w:adjustRightInd w:val="0"/>
        <w:spacing w:line="240" w:lineRule="auto"/>
        <w:ind w:right="-23"/>
        <w:rPr>
          <w:color w:val="000000"/>
          <w:szCs w:val="22"/>
        </w:rPr>
      </w:pPr>
    </w:p>
    <w:p w14:paraId="360C4BD3" w14:textId="77777777" w:rsidR="00A27A6F" w:rsidRDefault="00A27A6F">
      <w:pPr>
        <w:spacing w:line="240" w:lineRule="auto"/>
        <w:rPr>
          <w:szCs w:val="22"/>
        </w:rPr>
      </w:pPr>
    </w:p>
    <w:p w14:paraId="10C59F84" w14:textId="77777777" w:rsidR="00A27A6F" w:rsidRDefault="002C0949">
      <w:pPr>
        <w:keepNext/>
        <w:spacing w:line="240" w:lineRule="auto"/>
        <w:ind w:left="567" w:hanging="567"/>
        <w:rPr>
          <w:szCs w:val="22"/>
        </w:rPr>
      </w:pPr>
      <w:r>
        <w:rPr>
          <w:b/>
          <w:szCs w:val="22"/>
        </w:rPr>
        <w:t>7.</w:t>
      </w:r>
      <w:r>
        <w:rPr>
          <w:b/>
          <w:szCs w:val="22"/>
        </w:rPr>
        <w:tab/>
        <w:t>MÜÜGILOA HOIDJA</w:t>
      </w:r>
    </w:p>
    <w:p w14:paraId="088557D5" w14:textId="77777777" w:rsidR="00A27A6F" w:rsidRDefault="00A27A6F">
      <w:pPr>
        <w:keepNext/>
        <w:spacing w:line="240" w:lineRule="auto"/>
        <w:rPr>
          <w:szCs w:val="22"/>
        </w:rPr>
      </w:pPr>
    </w:p>
    <w:p w14:paraId="7E8747CA" w14:textId="77777777" w:rsidR="00A27A6F" w:rsidRDefault="002C0949">
      <w:pPr>
        <w:keepNext/>
        <w:spacing w:line="240" w:lineRule="auto"/>
      </w:pPr>
      <w:r>
        <w:t xml:space="preserve">Swedish </w:t>
      </w:r>
      <w:proofErr w:type="spellStart"/>
      <w:r>
        <w:t>Orphan</w:t>
      </w:r>
      <w:proofErr w:type="spellEnd"/>
      <w:r>
        <w:t xml:space="preserve"> </w:t>
      </w:r>
      <w:proofErr w:type="spellStart"/>
      <w:r>
        <w:t>Biovitrum</w:t>
      </w:r>
      <w:proofErr w:type="spellEnd"/>
      <w:r>
        <w:t xml:space="preserve"> AB (</w:t>
      </w:r>
      <w:proofErr w:type="spellStart"/>
      <w:r>
        <w:t>publ</w:t>
      </w:r>
      <w:proofErr w:type="spellEnd"/>
      <w:r>
        <w:t>)</w:t>
      </w:r>
    </w:p>
    <w:p w14:paraId="26DA002D" w14:textId="77777777" w:rsidR="00A27A6F" w:rsidRDefault="002C0949">
      <w:pPr>
        <w:keepNext/>
        <w:spacing w:line="240" w:lineRule="auto"/>
      </w:pPr>
      <w:r>
        <w:t>SE-112 76 Stockholm</w:t>
      </w:r>
    </w:p>
    <w:p w14:paraId="1445987D" w14:textId="77777777" w:rsidR="00A27A6F" w:rsidRDefault="002C0949">
      <w:pPr>
        <w:spacing w:line="240" w:lineRule="auto"/>
      </w:pPr>
      <w:r>
        <w:t>Rootsi</w:t>
      </w:r>
    </w:p>
    <w:p w14:paraId="4CF7BA97" w14:textId="77777777" w:rsidR="00A27A6F" w:rsidRDefault="00A27A6F">
      <w:pPr>
        <w:spacing w:line="240" w:lineRule="auto"/>
        <w:rPr>
          <w:szCs w:val="22"/>
        </w:rPr>
      </w:pPr>
    </w:p>
    <w:p w14:paraId="56BE221F" w14:textId="77777777" w:rsidR="00A27A6F" w:rsidRDefault="00A27A6F">
      <w:pPr>
        <w:spacing w:line="240" w:lineRule="auto"/>
        <w:rPr>
          <w:szCs w:val="22"/>
        </w:rPr>
      </w:pPr>
    </w:p>
    <w:p w14:paraId="572FF559" w14:textId="77777777" w:rsidR="00A27A6F" w:rsidRDefault="002C0949">
      <w:pPr>
        <w:keepNext/>
        <w:spacing w:line="240" w:lineRule="auto"/>
        <w:ind w:left="567" w:hanging="567"/>
        <w:rPr>
          <w:b/>
          <w:szCs w:val="22"/>
        </w:rPr>
      </w:pPr>
      <w:r>
        <w:rPr>
          <w:b/>
          <w:szCs w:val="22"/>
        </w:rPr>
        <w:t>8.</w:t>
      </w:r>
      <w:r>
        <w:rPr>
          <w:b/>
          <w:szCs w:val="22"/>
        </w:rPr>
        <w:tab/>
        <w:t>MÜÜGILOA NUMBER (NUMBRID)</w:t>
      </w:r>
    </w:p>
    <w:p w14:paraId="65E43B5C" w14:textId="77777777" w:rsidR="00A27A6F" w:rsidRDefault="00A27A6F">
      <w:pPr>
        <w:keepNext/>
        <w:spacing w:line="240" w:lineRule="auto"/>
        <w:rPr>
          <w:szCs w:val="22"/>
        </w:rPr>
      </w:pPr>
    </w:p>
    <w:p w14:paraId="7FC62510" w14:textId="77777777" w:rsidR="00A27A6F" w:rsidRDefault="002C0949" w:rsidP="000E6A08">
      <w:pPr>
        <w:keepNext/>
        <w:spacing w:line="240" w:lineRule="auto"/>
        <w:rPr>
          <w:szCs w:val="22"/>
        </w:rPr>
      </w:pPr>
      <w:r>
        <w:rPr>
          <w:szCs w:val="22"/>
        </w:rPr>
        <w:t>EU/1/16/1098/001</w:t>
      </w:r>
    </w:p>
    <w:p w14:paraId="6F88E58C" w14:textId="77777777" w:rsidR="00A27A6F" w:rsidRDefault="002C0949" w:rsidP="000E6A08">
      <w:pPr>
        <w:keepNext/>
        <w:spacing w:line="240" w:lineRule="auto"/>
        <w:rPr>
          <w:szCs w:val="22"/>
        </w:rPr>
      </w:pPr>
      <w:r>
        <w:rPr>
          <w:szCs w:val="22"/>
        </w:rPr>
        <w:t>EU/1/16/1098/002</w:t>
      </w:r>
    </w:p>
    <w:p w14:paraId="71DB2D1C" w14:textId="77777777" w:rsidR="00A27A6F" w:rsidRDefault="002C0949" w:rsidP="000E6A08">
      <w:pPr>
        <w:keepNext/>
        <w:spacing w:line="240" w:lineRule="auto"/>
        <w:rPr>
          <w:szCs w:val="22"/>
        </w:rPr>
      </w:pPr>
      <w:r>
        <w:rPr>
          <w:szCs w:val="22"/>
        </w:rPr>
        <w:t>EU/1/16/1098/003</w:t>
      </w:r>
    </w:p>
    <w:p w14:paraId="005E71C1" w14:textId="77777777" w:rsidR="00A27A6F" w:rsidRDefault="002C0949" w:rsidP="000E6A08">
      <w:pPr>
        <w:keepNext/>
        <w:spacing w:line="240" w:lineRule="auto"/>
        <w:rPr>
          <w:szCs w:val="22"/>
        </w:rPr>
      </w:pPr>
      <w:r>
        <w:rPr>
          <w:szCs w:val="22"/>
        </w:rPr>
        <w:t>EU/1/16/1098/004</w:t>
      </w:r>
    </w:p>
    <w:p w14:paraId="423E9FDA" w14:textId="77777777" w:rsidR="00A27A6F" w:rsidRDefault="002C0949">
      <w:pPr>
        <w:spacing w:line="240" w:lineRule="auto"/>
        <w:rPr>
          <w:szCs w:val="22"/>
        </w:rPr>
      </w:pPr>
      <w:r>
        <w:rPr>
          <w:szCs w:val="22"/>
        </w:rPr>
        <w:t>EU/1/16/1098/005</w:t>
      </w:r>
    </w:p>
    <w:p w14:paraId="77874483" w14:textId="77777777" w:rsidR="00A27A6F" w:rsidRDefault="00A27A6F">
      <w:pPr>
        <w:spacing w:line="240" w:lineRule="auto"/>
        <w:rPr>
          <w:szCs w:val="22"/>
        </w:rPr>
      </w:pPr>
    </w:p>
    <w:p w14:paraId="1B5C4769" w14:textId="77777777" w:rsidR="00A27A6F" w:rsidRDefault="00A27A6F">
      <w:pPr>
        <w:spacing w:line="240" w:lineRule="auto"/>
        <w:rPr>
          <w:szCs w:val="22"/>
        </w:rPr>
      </w:pPr>
    </w:p>
    <w:p w14:paraId="3E2C3753" w14:textId="77777777" w:rsidR="00A27A6F" w:rsidRDefault="002C0949">
      <w:pPr>
        <w:keepNext/>
        <w:spacing w:line="240" w:lineRule="auto"/>
        <w:ind w:left="567" w:hanging="567"/>
        <w:rPr>
          <w:szCs w:val="22"/>
        </w:rPr>
      </w:pPr>
      <w:r>
        <w:rPr>
          <w:b/>
          <w:szCs w:val="22"/>
        </w:rPr>
        <w:t>9.</w:t>
      </w:r>
      <w:r>
        <w:rPr>
          <w:b/>
          <w:szCs w:val="22"/>
        </w:rPr>
        <w:tab/>
        <w:t>ESMASE MÜÜGILOA VÄLJASTAMISE/MÜÜGILOA UUENDAMISE KUUPÄEV</w:t>
      </w:r>
    </w:p>
    <w:p w14:paraId="41533D20" w14:textId="77777777" w:rsidR="00A27A6F" w:rsidRDefault="00A27A6F">
      <w:pPr>
        <w:keepNext/>
        <w:spacing w:line="240" w:lineRule="auto"/>
        <w:rPr>
          <w:i/>
          <w:szCs w:val="22"/>
        </w:rPr>
      </w:pPr>
    </w:p>
    <w:p w14:paraId="315CC387" w14:textId="77777777" w:rsidR="00A27A6F" w:rsidRDefault="002C0949" w:rsidP="000E6A08">
      <w:pPr>
        <w:keepNext/>
        <w:spacing w:line="240" w:lineRule="auto"/>
        <w:rPr>
          <w:i/>
          <w:szCs w:val="22"/>
        </w:rPr>
      </w:pPr>
      <w:r>
        <w:rPr>
          <w:szCs w:val="22"/>
        </w:rPr>
        <w:t>Müügiloa esmase väljastamise kuupäev:</w:t>
      </w:r>
      <w:r>
        <w:t xml:space="preserve"> 12. mai 2016</w:t>
      </w:r>
    </w:p>
    <w:p w14:paraId="4EC5CFC9" w14:textId="41268A9F" w:rsidR="00A27A6F" w:rsidRDefault="00C92342">
      <w:pPr>
        <w:spacing w:line="240" w:lineRule="auto"/>
      </w:pPr>
      <w:r w:rsidRPr="009C3083">
        <w:t>Müügiloa viimase uuendamise kuupäev</w:t>
      </w:r>
      <w:r>
        <w:t>:</w:t>
      </w:r>
    </w:p>
    <w:p w14:paraId="7EA0CF26" w14:textId="77777777" w:rsidR="00C92342" w:rsidRDefault="00C92342">
      <w:pPr>
        <w:spacing w:line="240" w:lineRule="auto"/>
        <w:rPr>
          <w:szCs w:val="22"/>
        </w:rPr>
      </w:pPr>
    </w:p>
    <w:p w14:paraId="15C11F46" w14:textId="77777777" w:rsidR="00A27A6F" w:rsidRDefault="00A27A6F">
      <w:pPr>
        <w:spacing w:line="240" w:lineRule="auto"/>
        <w:rPr>
          <w:szCs w:val="22"/>
        </w:rPr>
      </w:pPr>
    </w:p>
    <w:p w14:paraId="2CD97E52" w14:textId="77777777" w:rsidR="00A27A6F" w:rsidRDefault="002C0949">
      <w:pPr>
        <w:keepNext/>
        <w:spacing w:line="240" w:lineRule="auto"/>
        <w:ind w:left="567" w:hanging="567"/>
        <w:rPr>
          <w:b/>
          <w:szCs w:val="22"/>
        </w:rPr>
      </w:pPr>
      <w:r>
        <w:rPr>
          <w:b/>
          <w:szCs w:val="22"/>
        </w:rPr>
        <w:t>10.</w:t>
      </w:r>
      <w:r>
        <w:rPr>
          <w:b/>
          <w:szCs w:val="22"/>
        </w:rPr>
        <w:tab/>
        <w:t>TEKSTI</w:t>
      </w:r>
      <w:r>
        <w:t xml:space="preserve"> </w:t>
      </w:r>
      <w:r>
        <w:rPr>
          <w:b/>
          <w:szCs w:val="22"/>
        </w:rPr>
        <w:t>LÄBIVAATAMISE</w:t>
      </w:r>
      <w:r>
        <w:t xml:space="preserve"> </w:t>
      </w:r>
      <w:r>
        <w:rPr>
          <w:b/>
          <w:szCs w:val="22"/>
        </w:rPr>
        <w:t>KUUPÄEV</w:t>
      </w:r>
    </w:p>
    <w:p w14:paraId="2ECFEAFA" w14:textId="77777777" w:rsidR="00A27A6F" w:rsidRDefault="00A27A6F">
      <w:pPr>
        <w:keepNext/>
        <w:numPr>
          <w:ilvl w:val="12"/>
          <w:numId w:val="0"/>
        </w:numPr>
        <w:spacing w:line="240" w:lineRule="auto"/>
      </w:pPr>
    </w:p>
    <w:p w14:paraId="4BA14B51" w14:textId="77777777" w:rsidR="00A27A6F" w:rsidRDefault="00A27A6F">
      <w:pPr>
        <w:numPr>
          <w:ilvl w:val="12"/>
          <w:numId w:val="0"/>
        </w:numPr>
        <w:spacing w:line="240" w:lineRule="auto"/>
        <w:ind w:right="-2"/>
      </w:pPr>
    </w:p>
    <w:p w14:paraId="05D33779" w14:textId="5D5DCE5B" w:rsidR="00A27A6F" w:rsidRDefault="002C0949">
      <w:pPr>
        <w:numPr>
          <w:ilvl w:val="12"/>
          <w:numId w:val="0"/>
        </w:numPr>
        <w:spacing w:line="240" w:lineRule="auto"/>
        <w:ind w:right="-2"/>
        <w:rPr>
          <w:szCs w:val="22"/>
        </w:rPr>
      </w:pPr>
      <w:r>
        <w:t xml:space="preserve">Täpne teave selle ravimpreparaadi kohta on Euroopa Ravimiameti kodulehel: </w:t>
      </w:r>
      <w:hyperlink r:id="rId28" w:history="1">
        <w:r>
          <w:rPr>
            <w:rStyle w:val="Hyperlink"/>
          </w:rPr>
          <w:t>http://www.ema.europa.eu</w:t>
        </w:r>
      </w:hyperlink>
      <w:r>
        <w:t>.</w:t>
      </w:r>
    </w:p>
    <w:p w14:paraId="1303D6A8" w14:textId="77777777" w:rsidR="00A27A6F" w:rsidRDefault="002C0949">
      <w:pPr>
        <w:spacing w:line="240" w:lineRule="auto"/>
        <w:rPr>
          <w:szCs w:val="22"/>
        </w:rPr>
      </w:pPr>
      <w:r>
        <w:rPr>
          <w:szCs w:val="22"/>
        </w:rPr>
        <w:br w:type="page"/>
      </w:r>
    </w:p>
    <w:p w14:paraId="154E9944" w14:textId="77777777" w:rsidR="00A27A6F" w:rsidRDefault="00A27A6F">
      <w:pPr>
        <w:spacing w:line="240" w:lineRule="auto"/>
        <w:rPr>
          <w:szCs w:val="22"/>
        </w:rPr>
      </w:pPr>
    </w:p>
    <w:p w14:paraId="035A7BF5" w14:textId="77777777" w:rsidR="00A27A6F" w:rsidRDefault="00A27A6F">
      <w:pPr>
        <w:spacing w:line="240" w:lineRule="auto"/>
        <w:rPr>
          <w:szCs w:val="22"/>
        </w:rPr>
      </w:pPr>
    </w:p>
    <w:p w14:paraId="41520699" w14:textId="77777777" w:rsidR="00A27A6F" w:rsidRDefault="00A27A6F">
      <w:pPr>
        <w:spacing w:line="240" w:lineRule="auto"/>
        <w:rPr>
          <w:szCs w:val="22"/>
        </w:rPr>
      </w:pPr>
    </w:p>
    <w:p w14:paraId="02D3F5F3" w14:textId="77777777" w:rsidR="00A27A6F" w:rsidRDefault="00A27A6F">
      <w:pPr>
        <w:spacing w:line="240" w:lineRule="auto"/>
        <w:rPr>
          <w:szCs w:val="22"/>
        </w:rPr>
      </w:pPr>
    </w:p>
    <w:p w14:paraId="188F2101" w14:textId="77777777" w:rsidR="00A27A6F" w:rsidRDefault="00A27A6F">
      <w:pPr>
        <w:spacing w:line="240" w:lineRule="auto"/>
        <w:rPr>
          <w:szCs w:val="22"/>
        </w:rPr>
      </w:pPr>
    </w:p>
    <w:p w14:paraId="45F1DFE8" w14:textId="77777777" w:rsidR="00A27A6F" w:rsidRDefault="00A27A6F">
      <w:pPr>
        <w:spacing w:line="240" w:lineRule="auto"/>
        <w:rPr>
          <w:szCs w:val="22"/>
        </w:rPr>
      </w:pPr>
    </w:p>
    <w:p w14:paraId="6B27AF21" w14:textId="77777777" w:rsidR="00A27A6F" w:rsidRDefault="00A27A6F">
      <w:pPr>
        <w:spacing w:line="240" w:lineRule="auto"/>
        <w:rPr>
          <w:szCs w:val="22"/>
        </w:rPr>
      </w:pPr>
    </w:p>
    <w:p w14:paraId="6C767BBF" w14:textId="77777777" w:rsidR="00A27A6F" w:rsidRDefault="00A27A6F">
      <w:pPr>
        <w:spacing w:line="240" w:lineRule="auto"/>
        <w:rPr>
          <w:szCs w:val="22"/>
        </w:rPr>
      </w:pPr>
    </w:p>
    <w:p w14:paraId="18764AD8" w14:textId="77777777" w:rsidR="00A27A6F" w:rsidRDefault="00A27A6F">
      <w:pPr>
        <w:spacing w:line="240" w:lineRule="auto"/>
        <w:rPr>
          <w:szCs w:val="22"/>
        </w:rPr>
      </w:pPr>
    </w:p>
    <w:p w14:paraId="0D220F12" w14:textId="77777777" w:rsidR="00A27A6F" w:rsidRDefault="00A27A6F">
      <w:pPr>
        <w:spacing w:line="240" w:lineRule="auto"/>
        <w:rPr>
          <w:szCs w:val="22"/>
        </w:rPr>
      </w:pPr>
    </w:p>
    <w:p w14:paraId="6EA8EDC4" w14:textId="77777777" w:rsidR="00A27A6F" w:rsidRDefault="00A27A6F">
      <w:pPr>
        <w:spacing w:line="240" w:lineRule="auto"/>
        <w:rPr>
          <w:szCs w:val="22"/>
        </w:rPr>
      </w:pPr>
    </w:p>
    <w:p w14:paraId="61B67C4D" w14:textId="77777777" w:rsidR="00A27A6F" w:rsidRDefault="00A27A6F">
      <w:pPr>
        <w:spacing w:line="240" w:lineRule="auto"/>
        <w:rPr>
          <w:szCs w:val="22"/>
        </w:rPr>
      </w:pPr>
    </w:p>
    <w:p w14:paraId="30CB78CE" w14:textId="77777777" w:rsidR="00A27A6F" w:rsidRDefault="00A27A6F">
      <w:pPr>
        <w:spacing w:line="240" w:lineRule="auto"/>
        <w:rPr>
          <w:szCs w:val="22"/>
        </w:rPr>
      </w:pPr>
    </w:p>
    <w:p w14:paraId="08E640B8" w14:textId="77777777" w:rsidR="00A27A6F" w:rsidRDefault="00A27A6F">
      <w:pPr>
        <w:spacing w:line="240" w:lineRule="auto"/>
        <w:rPr>
          <w:szCs w:val="22"/>
        </w:rPr>
      </w:pPr>
    </w:p>
    <w:p w14:paraId="044D8A12" w14:textId="77777777" w:rsidR="00A27A6F" w:rsidRDefault="00A27A6F">
      <w:pPr>
        <w:spacing w:line="240" w:lineRule="auto"/>
        <w:rPr>
          <w:szCs w:val="22"/>
        </w:rPr>
      </w:pPr>
    </w:p>
    <w:p w14:paraId="2DB682FF" w14:textId="77777777" w:rsidR="00A27A6F" w:rsidRDefault="00A27A6F">
      <w:pPr>
        <w:spacing w:line="240" w:lineRule="auto"/>
        <w:rPr>
          <w:szCs w:val="22"/>
        </w:rPr>
      </w:pPr>
    </w:p>
    <w:p w14:paraId="4DCC3BCA" w14:textId="77777777" w:rsidR="00A27A6F" w:rsidRDefault="00A27A6F">
      <w:pPr>
        <w:spacing w:line="240" w:lineRule="auto"/>
        <w:rPr>
          <w:szCs w:val="22"/>
        </w:rPr>
      </w:pPr>
    </w:p>
    <w:p w14:paraId="2F1E9557" w14:textId="77777777" w:rsidR="00A27A6F" w:rsidRDefault="00A27A6F">
      <w:pPr>
        <w:spacing w:line="240" w:lineRule="auto"/>
        <w:rPr>
          <w:szCs w:val="22"/>
        </w:rPr>
      </w:pPr>
    </w:p>
    <w:p w14:paraId="43540618" w14:textId="77777777" w:rsidR="00A27A6F" w:rsidRDefault="00A27A6F">
      <w:pPr>
        <w:spacing w:line="240" w:lineRule="auto"/>
        <w:rPr>
          <w:szCs w:val="22"/>
        </w:rPr>
      </w:pPr>
    </w:p>
    <w:p w14:paraId="097A983F" w14:textId="77777777" w:rsidR="00A27A6F" w:rsidRDefault="00A27A6F">
      <w:pPr>
        <w:spacing w:line="240" w:lineRule="auto"/>
        <w:rPr>
          <w:szCs w:val="22"/>
        </w:rPr>
      </w:pPr>
    </w:p>
    <w:p w14:paraId="3F2F4DFA" w14:textId="77777777" w:rsidR="00A27A6F" w:rsidRDefault="00A27A6F">
      <w:pPr>
        <w:spacing w:line="240" w:lineRule="auto"/>
        <w:rPr>
          <w:szCs w:val="22"/>
        </w:rPr>
      </w:pPr>
    </w:p>
    <w:p w14:paraId="14CF464A" w14:textId="77777777" w:rsidR="00A27A6F" w:rsidRDefault="00A27A6F">
      <w:pPr>
        <w:spacing w:line="240" w:lineRule="auto"/>
        <w:rPr>
          <w:szCs w:val="22"/>
        </w:rPr>
      </w:pPr>
    </w:p>
    <w:p w14:paraId="6EC84FE2" w14:textId="77777777" w:rsidR="00A27A6F" w:rsidRDefault="00A27A6F">
      <w:pPr>
        <w:spacing w:line="240" w:lineRule="auto"/>
        <w:rPr>
          <w:szCs w:val="22"/>
        </w:rPr>
      </w:pPr>
    </w:p>
    <w:p w14:paraId="15AD8A7D" w14:textId="77777777" w:rsidR="00A27A6F" w:rsidRDefault="002C0949">
      <w:pPr>
        <w:spacing w:line="240" w:lineRule="auto"/>
        <w:jc w:val="center"/>
        <w:rPr>
          <w:szCs w:val="22"/>
        </w:rPr>
      </w:pPr>
      <w:r>
        <w:rPr>
          <w:b/>
          <w:szCs w:val="22"/>
        </w:rPr>
        <w:t>II LISA</w:t>
      </w:r>
    </w:p>
    <w:p w14:paraId="3DA69AC7" w14:textId="77777777" w:rsidR="00A27A6F" w:rsidRDefault="00A27A6F">
      <w:pPr>
        <w:spacing w:line="240" w:lineRule="auto"/>
        <w:ind w:right="1416"/>
        <w:rPr>
          <w:szCs w:val="22"/>
        </w:rPr>
      </w:pPr>
    </w:p>
    <w:p w14:paraId="3B8C9511" w14:textId="77777777" w:rsidR="00A27A6F" w:rsidRDefault="002C0949">
      <w:pPr>
        <w:spacing w:line="240" w:lineRule="auto"/>
        <w:ind w:left="1701" w:right="1416" w:hanging="708"/>
        <w:rPr>
          <w:b/>
          <w:szCs w:val="22"/>
        </w:rPr>
      </w:pPr>
      <w:r>
        <w:rPr>
          <w:b/>
          <w:szCs w:val="22"/>
        </w:rPr>
        <w:t>A.</w:t>
      </w:r>
      <w:r>
        <w:rPr>
          <w:b/>
          <w:szCs w:val="22"/>
        </w:rPr>
        <w:tab/>
        <w:t>BIOLOOGILISE TOIMEAINE TOOTJA(D) JA RAVIMIPARTII KASUTAMISEKS VABASTAMISE EEST VASTUTAV TOOTJA</w:t>
      </w:r>
    </w:p>
    <w:p w14:paraId="1B3F7FAD" w14:textId="77777777" w:rsidR="00A27A6F" w:rsidRDefault="00A27A6F">
      <w:pPr>
        <w:spacing w:line="240" w:lineRule="auto"/>
        <w:ind w:left="567" w:hanging="567"/>
        <w:rPr>
          <w:szCs w:val="22"/>
        </w:rPr>
      </w:pPr>
    </w:p>
    <w:p w14:paraId="6E11C2CC" w14:textId="77777777" w:rsidR="00A27A6F" w:rsidRDefault="002C0949">
      <w:pPr>
        <w:spacing w:line="240" w:lineRule="auto"/>
        <w:ind w:left="1701" w:right="1418" w:hanging="709"/>
        <w:rPr>
          <w:b/>
          <w:szCs w:val="22"/>
        </w:rPr>
      </w:pPr>
      <w:r>
        <w:rPr>
          <w:b/>
          <w:szCs w:val="22"/>
        </w:rPr>
        <w:t>B.</w:t>
      </w:r>
      <w:r>
        <w:rPr>
          <w:b/>
          <w:szCs w:val="22"/>
        </w:rPr>
        <w:tab/>
        <w:t>HANKE- JA KASUTUSTINGIMUSED VÕI PIIRANGUD</w:t>
      </w:r>
    </w:p>
    <w:p w14:paraId="3A6AF9BB" w14:textId="77777777" w:rsidR="00A27A6F" w:rsidRDefault="00A27A6F">
      <w:pPr>
        <w:spacing w:line="240" w:lineRule="auto"/>
        <w:ind w:left="567" w:hanging="567"/>
        <w:rPr>
          <w:szCs w:val="22"/>
        </w:rPr>
      </w:pPr>
    </w:p>
    <w:p w14:paraId="34FB4AE2" w14:textId="77777777" w:rsidR="00A27A6F" w:rsidRDefault="002C0949">
      <w:pPr>
        <w:spacing w:line="240" w:lineRule="auto"/>
        <w:ind w:left="1701" w:right="1559" w:hanging="709"/>
        <w:rPr>
          <w:b/>
          <w:szCs w:val="22"/>
        </w:rPr>
      </w:pPr>
      <w:r>
        <w:rPr>
          <w:b/>
          <w:szCs w:val="22"/>
        </w:rPr>
        <w:t>C.</w:t>
      </w:r>
      <w:r>
        <w:rPr>
          <w:b/>
          <w:szCs w:val="22"/>
        </w:rPr>
        <w:tab/>
        <w:t>MÜÜGILOA MUUD TINGIMUSED JA NÕUDED</w:t>
      </w:r>
    </w:p>
    <w:p w14:paraId="277492AD" w14:textId="77777777" w:rsidR="00A27A6F" w:rsidRDefault="00A27A6F">
      <w:pPr>
        <w:spacing w:line="240" w:lineRule="auto"/>
        <w:ind w:right="1558"/>
        <w:rPr>
          <w:b/>
        </w:rPr>
      </w:pPr>
    </w:p>
    <w:p w14:paraId="3E2BB0C5" w14:textId="77777777" w:rsidR="00A27A6F" w:rsidRDefault="002C0949">
      <w:pPr>
        <w:spacing w:line="240" w:lineRule="auto"/>
        <w:ind w:left="1701" w:right="1416" w:hanging="708"/>
        <w:rPr>
          <w:b/>
        </w:rPr>
      </w:pPr>
      <w:r>
        <w:rPr>
          <w:b/>
          <w:caps/>
        </w:rPr>
        <w:t>D.</w:t>
      </w:r>
      <w:r>
        <w:rPr>
          <w:b/>
          <w:caps/>
        </w:rPr>
        <w:tab/>
        <w:t>RAVIMPREPARAADI OHUTU JA EFEKTIIVSE KASUTAMISE TINGIMUSED JA PIIRANGUD</w:t>
      </w:r>
    </w:p>
    <w:p w14:paraId="2D2938B4" w14:textId="77777777" w:rsidR="00A27A6F" w:rsidRDefault="00A27A6F">
      <w:pPr>
        <w:spacing w:line="240" w:lineRule="auto"/>
        <w:ind w:right="1416"/>
        <w:rPr>
          <w:b/>
        </w:rPr>
      </w:pPr>
    </w:p>
    <w:p w14:paraId="217121A4" w14:textId="77777777" w:rsidR="00A27A6F" w:rsidRPr="000A5DBE" w:rsidRDefault="002C0949">
      <w:pPr>
        <w:pStyle w:val="TitleB"/>
        <w:outlineLvl w:val="0"/>
        <w:rPr>
          <w:lang w:val="et-EE"/>
        </w:rPr>
      </w:pPr>
      <w:r w:rsidRPr="000A5DBE">
        <w:rPr>
          <w:lang w:val="et-EE"/>
        </w:rPr>
        <w:br w:type="page"/>
      </w:r>
      <w:r w:rsidRPr="000A5DBE">
        <w:rPr>
          <w:lang w:val="et-EE"/>
        </w:rPr>
        <w:lastRenderedPageBreak/>
        <w:t>A.</w:t>
      </w:r>
      <w:r w:rsidRPr="000A5DBE">
        <w:rPr>
          <w:lang w:val="et-EE"/>
        </w:rPr>
        <w:tab/>
        <w:t>BIOLOOGILISE TOIMEAINE TOOTJA(D) JA RAVIMIPARTII KASUTAMISEKS VABASTAMISE EEST VASTUTAV(AD) TOOTJA(D)</w:t>
      </w:r>
    </w:p>
    <w:p w14:paraId="0C2458AA" w14:textId="77777777" w:rsidR="00A27A6F" w:rsidRDefault="00A27A6F">
      <w:pPr>
        <w:spacing w:line="240" w:lineRule="auto"/>
        <w:ind w:right="1416"/>
        <w:rPr>
          <w:szCs w:val="24"/>
          <w:lang w:eastAsia="en-US"/>
        </w:rPr>
      </w:pPr>
    </w:p>
    <w:p w14:paraId="696A1B31" w14:textId="77777777" w:rsidR="00A27A6F" w:rsidRDefault="002C0949">
      <w:pPr>
        <w:spacing w:line="240" w:lineRule="auto"/>
        <w:ind w:right="1416"/>
        <w:rPr>
          <w:szCs w:val="24"/>
          <w:u w:val="single"/>
          <w:lang w:eastAsia="en-US"/>
        </w:rPr>
      </w:pPr>
      <w:r>
        <w:rPr>
          <w:szCs w:val="24"/>
          <w:u w:val="single"/>
          <w:lang w:eastAsia="en-US"/>
        </w:rPr>
        <w:t>Bioloogilise toimeaine tootja(te) nimi (nimed) ja aadress(id)</w:t>
      </w:r>
    </w:p>
    <w:p w14:paraId="26A211CD" w14:textId="77777777" w:rsidR="00A27A6F" w:rsidRDefault="00A27A6F">
      <w:pPr>
        <w:spacing w:line="240" w:lineRule="auto"/>
        <w:ind w:right="1416"/>
        <w:rPr>
          <w:szCs w:val="24"/>
          <w:lang w:eastAsia="en-US"/>
        </w:rPr>
      </w:pPr>
    </w:p>
    <w:p w14:paraId="3291A7A3" w14:textId="77777777" w:rsidR="00A27A6F" w:rsidRDefault="002C0949">
      <w:pPr>
        <w:spacing w:line="240" w:lineRule="auto"/>
        <w:rPr>
          <w:szCs w:val="24"/>
          <w:lang w:eastAsia="en-US"/>
        </w:rPr>
      </w:pPr>
      <w:proofErr w:type="spellStart"/>
      <w:r>
        <w:rPr>
          <w:szCs w:val="24"/>
          <w:lang w:eastAsia="en-US"/>
        </w:rPr>
        <w:t>Biogen</w:t>
      </w:r>
      <w:proofErr w:type="spellEnd"/>
      <w:r>
        <w:rPr>
          <w:szCs w:val="24"/>
          <w:lang w:eastAsia="en-US"/>
        </w:rPr>
        <w:t xml:space="preserve"> Inc</w:t>
      </w:r>
    </w:p>
    <w:p w14:paraId="18D8DA9B" w14:textId="77777777" w:rsidR="00A27A6F" w:rsidRDefault="002C0949">
      <w:pPr>
        <w:spacing w:line="240" w:lineRule="auto"/>
        <w:rPr>
          <w:szCs w:val="24"/>
          <w:lang w:eastAsia="en-US"/>
        </w:rPr>
      </w:pPr>
      <w:r>
        <w:rPr>
          <w:szCs w:val="24"/>
          <w:lang w:eastAsia="en-US"/>
        </w:rPr>
        <w:t>5000 Davis Drive</w:t>
      </w:r>
    </w:p>
    <w:p w14:paraId="52471D3C" w14:textId="77777777" w:rsidR="00A27A6F" w:rsidRDefault="002C0949">
      <w:pPr>
        <w:spacing w:line="240" w:lineRule="auto"/>
        <w:rPr>
          <w:szCs w:val="24"/>
          <w:lang w:eastAsia="en-US"/>
        </w:rPr>
      </w:pPr>
      <w:r>
        <w:rPr>
          <w:szCs w:val="24"/>
          <w:lang w:eastAsia="en-US"/>
        </w:rPr>
        <w:t xml:space="preserve">Research </w:t>
      </w:r>
      <w:proofErr w:type="spellStart"/>
      <w:r>
        <w:rPr>
          <w:szCs w:val="24"/>
          <w:lang w:eastAsia="en-US"/>
        </w:rPr>
        <w:t>Triangle</w:t>
      </w:r>
      <w:proofErr w:type="spellEnd"/>
      <w:r>
        <w:rPr>
          <w:szCs w:val="24"/>
          <w:lang w:eastAsia="en-US"/>
        </w:rPr>
        <w:t xml:space="preserve"> Park</w:t>
      </w:r>
    </w:p>
    <w:p w14:paraId="0D397818" w14:textId="77777777" w:rsidR="00A27A6F" w:rsidRDefault="002C0949">
      <w:pPr>
        <w:spacing w:line="240" w:lineRule="auto"/>
        <w:rPr>
          <w:szCs w:val="24"/>
          <w:lang w:eastAsia="en-US"/>
        </w:rPr>
      </w:pPr>
      <w:r>
        <w:rPr>
          <w:szCs w:val="24"/>
          <w:lang w:eastAsia="en-US"/>
        </w:rPr>
        <w:t>North Carolina</w:t>
      </w:r>
    </w:p>
    <w:p w14:paraId="70C0D668" w14:textId="77777777" w:rsidR="00A27A6F" w:rsidRDefault="002C0949">
      <w:pPr>
        <w:spacing w:line="240" w:lineRule="auto"/>
        <w:rPr>
          <w:szCs w:val="24"/>
          <w:lang w:eastAsia="en-US"/>
        </w:rPr>
      </w:pPr>
      <w:r>
        <w:rPr>
          <w:szCs w:val="24"/>
          <w:lang w:eastAsia="en-US"/>
        </w:rPr>
        <w:t>27709-4627</w:t>
      </w:r>
    </w:p>
    <w:p w14:paraId="30EE3BA2" w14:textId="77777777" w:rsidR="00A27A6F" w:rsidRDefault="002C0949">
      <w:pPr>
        <w:spacing w:line="240" w:lineRule="auto"/>
        <w:rPr>
          <w:szCs w:val="24"/>
          <w:lang w:eastAsia="en-US"/>
        </w:rPr>
      </w:pPr>
      <w:r>
        <w:rPr>
          <w:szCs w:val="24"/>
          <w:lang w:eastAsia="en-US"/>
        </w:rPr>
        <w:t>Ameerika Ühendriigid</w:t>
      </w:r>
    </w:p>
    <w:p w14:paraId="3E728666" w14:textId="77777777" w:rsidR="00A27A6F" w:rsidRDefault="00A27A6F">
      <w:pPr>
        <w:spacing w:line="240" w:lineRule="auto"/>
        <w:rPr>
          <w:szCs w:val="24"/>
          <w:lang w:eastAsia="en-US"/>
        </w:rPr>
      </w:pPr>
    </w:p>
    <w:p w14:paraId="4A9ADB02" w14:textId="77777777" w:rsidR="00A27A6F" w:rsidRDefault="002C0949">
      <w:pPr>
        <w:spacing w:line="240" w:lineRule="auto"/>
        <w:ind w:right="1416"/>
        <w:rPr>
          <w:szCs w:val="24"/>
          <w:u w:val="single"/>
          <w:lang w:eastAsia="en-US"/>
        </w:rPr>
      </w:pPr>
      <w:r>
        <w:rPr>
          <w:szCs w:val="24"/>
          <w:u w:val="single"/>
          <w:lang w:eastAsia="en-US"/>
        </w:rPr>
        <w:t>Ravimipartii kasutamiseks vabastamise eest vastutava(te) tootja(te) nimi ja aadress</w:t>
      </w:r>
    </w:p>
    <w:p w14:paraId="31D0C168" w14:textId="77777777" w:rsidR="00A27A6F" w:rsidRDefault="00A27A6F">
      <w:pPr>
        <w:spacing w:line="240" w:lineRule="auto"/>
        <w:rPr>
          <w:szCs w:val="24"/>
          <w:lang w:eastAsia="en-US"/>
        </w:rPr>
      </w:pPr>
    </w:p>
    <w:p w14:paraId="309878EA" w14:textId="77777777" w:rsidR="00A27A6F" w:rsidRDefault="002C0949">
      <w:pPr>
        <w:spacing w:line="240" w:lineRule="auto"/>
        <w:rPr>
          <w:szCs w:val="24"/>
          <w:lang w:eastAsia="en-US"/>
        </w:rPr>
      </w:pPr>
      <w:r>
        <w:rPr>
          <w:szCs w:val="24"/>
          <w:lang w:eastAsia="en-US"/>
        </w:rPr>
        <w:t xml:space="preserve">Swedish </w:t>
      </w:r>
      <w:proofErr w:type="spellStart"/>
      <w:r>
        <w:rPr>
          <w:szCs w:val="24"/>
          <w:lang w:eastAsia="en-US"/>
        </w:rPr>
        <w:t>Orphan</w:t>
      </w:r>
      <w:proofErr w:type="spellEnd"/>
      <w:r>
        <w:rPr>
          <w:szCs w:val="24"/>
          <w:lang w:eastAsia="en-US"/>
        </w:rPr>
        <w:t xml:space="preserve"> </w:t>
      </w:r>
      <w:proofErr w:type="spellStart"/>
      <w:r>
        <w:rPr>
          <w:szCs w:val="24"/>
          <w:lang w:eastAsia="en-US"/>
        </w:rPr>
        <w:t>Biovitrum</w:t>
      </w:r>
      <w:proofErr w:type="spellEnd"/>
      <w:r>
        <w:rPr>
          <w:szCs w:val="24"/>
          <w:lang w:eastAsia="en-US"/>
        </w:rPr>
        <w:t xml:space="preserve"> AB (</w:t>
      </w:r>
      <w:proofErr w:type="spellStart"/>
      <w:r>
        <w:rPr>
          <w:szCs w:val="24"/>
          <w:lang w:eastAsia="en-US"/>
        </w:rPr>
        <w:t>publ</w:t>
      </w:r>
      <w:proofErr w:type="spellEnd"/>
      <w:r>
        <w:rPr>
          <w:szCs w:val="24"/>
          <w:lang w:eastAsia="en-US"/>
        </w:rPr>
        <w:t>)</w:t>
      </w:r>
    </w:p>
    <w:p w14:paraId="64638372" w14:textId="77777777" w:rsidR="00A27A6F" w:rsidRDefault="002C0949">
      <w:pPr>
        <w:spacing w:line="240" w:lineRule="auto"/>
        <w:rPr>
          <w:szCs w:val="24"/>
          <w:lang w:eastAsia="en-US"/>
        </w:rPr>
      </w:pPr>
      <w:proofErr w:type="spellStart"/>
      <w:r>
        <w:rPr>
          <w:szCs w:val="24"/>
          <w:lang w:eastAsia="en-US"/>
        </w:rPr>
        <w:t>Strandbergsgatan</w:t>
      </w:r>
      <w:proofErr w:type="spellEnd"/>
      <w:r>
        <w:rPr>
          <w:szCs w:val="24"/>
          <w:lang w:eastAsia="en-US"/>
        </w:rPr>
        <w:t xml:space="preserve"> 49 </w:t>
      </w:r>
    </w:p>
    <w:p w14:paraId="58B68F78" w14:textId="77777777" w:rsidR="00A27A6F" w:rsidRDefault="002C0949">
      <w:pPr>
        <w:spacing w:line="240" w:lineRule="auto"/>
        <w:rPr>
          <w:szCs w:val="24"/>
          <w:lang w:eastAsia="en-US"/>
        </w:rPr>
      </w:pPr>
      <w:r>
        <w:rPr>
          <w:szCs w:val="24"/>
          <w:lang w:eastAsia="en-US"/>
        </w:rPr>
        <w:t>11276 Stockholm</w:t>
      </w:r>
    </w:p>
    <w:p w14:paraId="6EAACD60" w14:textId="77777777" w:rsidR="00A27A6F" w:rsidRDefault="002C0949">
      <w:pPr>
        <w:spacing w:line="240" w:lineRule="auto"/>
        <w:rPr>
          <w:szCs w:val="24"/>
          <w:lang w:eastAsia="en-US"/>
        </w:rPr>
      </w:pPr>
      <w:r>
        <w:rPr>
          <w:szCs w:val="24"/>
          <w:lang w:eastAsia="en-US"/>
        </w:rPr>
        <w:t xml:space="preserve">Rootsi </w:t>
      </w:r>
    </w:p>
    <w:p w14:paraId="2995D376" w14:textId="77777777" w:rsidR="00A27A6F" w:rsidRDefault="00A27A6F">
      <w:pPr>
        <w:spacing w:line="240" w:lineRule="auto"/>
        <w:rPr>
          <w:szCs w:val="24"/>
          <w:lang w:eastAsia="en-US"/>
        </w:rPr>
      </w:pPr>
    </w:p>
    <w:p w14:paraId="73DE2BCF" w14:textId="77777777" w:rsidR="00A27A6F" w:rsidRDefault="00A27A6F">
      <w:pPr>
        <w:spacing w:line="240" w:lineRule="auto"/>
        <w:rPr>
          <w:szCs w:val="24"/>
          <w:lang w:eastAsia="en-US"/>
        </w:rPr>
      </w:pPr>
    </w:p>
    <w:p w14:paraId="2D438B27" w14:textId="77777777" w:rsidR="00A27A6F" w:rsidRDefault="002C0949">
      <w:pPr>
        <w:pStyle w:val="TitleB"/>
        <w:outlineLvl w:val="0"/>
        <w:rPr>
          <w:lang w:val="et-EE"/>
        </w:rPr>
      </w:pPr>
      <w:r>
        <w:rPr>
          <w:lang w:val="et-EE"/>
        </w:rPr>
        <w:t>B.</w:t>
      </w:r>
      <w:r>
        <w:rPr>
          <w:lang w:val="et-EE"/>
        </w:rPr>
        <w:tab/>
        <w:t>HANKE- JA KASUTUSTINGIMUSED VÕI PIIRANGUD</w:t>
      </w:r>
    </w:p>
    <w:p w14:paraId="133E20D3" w14:textId="77777777" w:rsidR="00A27A6F" w:rsidRDefault="00A27A6F">
      <w:pPr>
        <w:spacing w:line="240" w:lineRule="auto"/>
        <w:rPr>
          <w:szCs w:val="24"/>
          <w:lang w:eastAsia="en-US"/>
        </w:rPr>
      </w:pPr>
    </w:p>
    <w:p w14:paraId="517E0755" w14:textId="77777777" w:rsidR="00A27A6F" w:rsidRDefault="002C0949">
      <w:pPr>
        <w:numPr>
          <w:ilvl w:val="12"/>
          <w:numId w:val="0"/>
        </w:numPr>
        <w:spacing w:line="240" w:lineRule="auto"/>
        <w:rPr>
          <w:szCs w:val="24"/>
          <w:lang w:eastAsia="en-US"/>
        </w:rPr>
      </w:pPr>
      <w:r>
        <w:rPr>
          <w:szCs w:val="24"/>
          <w:lang w:eastAsia="en-US"/>
        </w:rPr>
        <w:t>Piiratud tingimustel väljastatav retseptiravim (vt I lisa: Ravimi omaduste kokkuvõte, lõik 4.2).</w:t>
      </w:r>
    </w:p>
    <w:p w14:paraId="6AEC290F" w14:textId="77777777" w:rsidR="00A27A6F" w:rsidRDefault="00A27A6F">
      <w:pPr>
        <w:numPr>
          <w:ilvl w:val="12"/>
          <w:numId w:val="0"/>
        </w:numPr>
        <w:spacing w:line="240" w:lineRule="auto"/>
        <w:rPr>
          <w:szCs w:val="24"/>
          <w:u w:val="single"/>
          <w:lang w:eastAsia="en-US"/>
        </w:rPr>
      </w:pPr>
    </w:p>
    <w:p w14:paraId="00F014D9" w14:textId="77777777" w:rsidR="00A27A6F" w:rsidRDefault="00A27A6F">
      <w:pPr>
        <w:numPr>
          <w:ilvl w:val="12"/>
          <w:numId w:val="0"/>
        </w:numPr>
        <w:spacing w:line="240" w:lineRule="auto"/>
        <w:rPr>
          <w:szCs w:val="24"/>
          <w:lang w:eastAsia="en-US"/>
        </w:rPr>
      </w:pPr>
    </w:p>
    <w:p w14:paraId="155C67A1" w14:textId="77777777" w:rsidR="00A27A6F" w:rsidRDefault="002C0949">
      <w:pPr>
        <w:pStyle w:val="TitleB"/>
        <w:outlineLvl w:val="0"/>
        <w:rPr>
          <w:lang w:val="et-EE"/>
        </w:rPr>
      </w:pPr>
      <w:r>
        <w:rPr>
          <w:lang w:val="et-EE"/>
        </w:rPr>
        <w:t>C.</w:t>
      </w:r>
      <w:r>
        <w:rPr>
          <w:lang w:val="et-EE"/>
        </w:rPr>
        <w:tab/>
        <w:t>MÜÜGILOA MUUD TINGIMUSED JA NÕUDED</w:t>
      </w:r>
    </w:p>
    <w:p w14:paraId="15005812" w14:textId="77777777" w:rsidR="00A27A6F" w:rsidRDefault="00A27A6F">
      <w:pPr>
        <w:spacing w:line="240" w:lineRule="auto"/>
        <w:ind w:right="567"/>
        <w:rPr>
          <w:lang w:eastAsia="en-US"/>
        </w:rPr>
      </w:pPr>
    </w:p>
    <w:p w14:paraId="493F5B94" w14:textId="77777777" w:rsidR="00A27A6F" w:rsidRDefault="002C0949">
      <w:pPr>
        <w:numPr>
          <w:ilvl w:val="0"/>
          <w:numId w:val="21"/>
        </w:numPr>
        <w:tabs>
          <w:tab w:val="clear" w:pos="720"/>
        </w:tabs>
        <w:spacing w:line="240" w:lineRule="auto"/>
        <w:ind w:left="567" w:right="-1" w:hanging="567"/>
        <w:rPr>
          <w:b/>
          <w:szCs w:val="24"/>
          <w:lang w:eastAsia="en-US"/>
        </w:rPr>
      </w:pPr>
      <w:r>
        <w:rPr>
          <w:b/>
          <w:lang w:eastAsia="en-US"/>
        </w:rPr>
        <w:t>Perioodilised ohutusaruanded</w:t>
      </w:r>
    </w:p>
    <w:p w14:paraId="1EA92555" w14:textId="77777777" w:rsidR="00A27A6F" w:rsidRDefault="00A27A6F">
      <w:pPr>
        <w:tabs>
          <w:tab w:val="left" w:pos="0"/>
        </w:tabs>
        <w:spacing w:line="240" w:lineRule="auto"/>
        <w:ind w:right="567"/>
        <w:rPr>
          <w:szCs w:val="24"/>
          <w:lang w:eastAsia="en-US"/>
        </w:rPr>
      </w:pPr>
    </w:p>
    <w:p w14:paraId="5A09E087" w14:textId="77777777" w:rsidR="00A27A6F" w:rsidRDefault="002C0949">
      <w:pPr>
        <w:tabs>
          <w:tab w:val="left" w:pos="0"/>
        </w:tabs>
        <w:spacing w:line="240" w:lineRule="auto"/>
        <w:ind w:right="567"/>
        <w:rPr>
          <w:i/>
          <w:szCs w:val="24"/>
          <w:lang w:eastAsia="en-US"/>
        </w:rPr>
      </w:pPr>
      <w:r>
        <w:rPr>
          <w:szCs w:val="24"/>
          <w:lang w:eastAsia="en-US"/>
        </w:rPr>
        <w:t xml:space="preserve">Nõuded asjaomase ravimi perioodiliste ohutusaruannete </w:t>
      </w:r>
      <w:r>
        <w:rPr>
          <w:lang w:eastAsia="en-US"/>
        </w:rPr>
        <w:t xml:space="preserve">esitamiseks on sätestatud direktiivi 2001/83/EÜ artikli 107c punkti 7 kohaselt liidu kontrollpäevade loetelus (EURD loetelu) ja iga hilisem uuendus avaldatakse </w:t>
      </w:r>
      <w:r>
        <w:rPr>
          <w:szCs w:val="24"/>
          <w:lang w:eastAsia="en-US"/>
        </w:rPr>
        <w:t>Euroopa ravimite veebiportaalis</w:t>
      </w:r>
      <w:r>
        <w:rPr>
          <w:i/>
          <w:szCs w:val="24"/>
          <w:lang w:eastAsia="en-US"/>
        </w:rPr>
        <w:t>.</w:t>
      </w:r>
    </w:p>
    <w:p w14:paraId="2E274826" w14:textId="77777777" w:rsidR="00A27A6F" w:rsidRDefault="00A27A6F">
      <w:pPr>
        <w:spacing w:line="240" w:lineRule="auto"/>
        <w:ind w:right="-1"/>
        <w:rPr>
          <w:i/>
          <w:szCs w:val="24"/>
          <w:u w:val="single"/>
          <w:lang w:eastAsia="en-US"/>
        </w:rPr>
      </w:pPr>
    </w:p>
    <w:p w14:paraId="3407A602" w14:textId="77777777" w:rsidR="00A27A6F" w:rsidRDefault="00A27A6F">
      <w:pPr>
        <w:spacing w:line="240" w:lineRule="auto"/>
        <w:ind w:right="-1"/>
        <w:rPr>
          <w:i/>
          <w:szCs w:val="24"/>
          <w:u w:val="single"/>
          <w:lang w:eastAsia="en-US"/>
        </w:rPr>
      </w:pPr>
    </w:p>
    <w:p w14:paraId="24786A27" w14:textId="77777777" w:rsidR="00A27A6F" w:rsidRDefault="002C0949">
      <w:pPr>
        <w:pStyle w:val="TitleB"/>
        <w:outlineLvl w:val="0"/>
        <w:rPr>
          <w:lang w:val="et-EE"/>
        </w:rPr>
      </w:pPr>
      <w:r>
        <w:rPr>
          <w:lang w:val="et-EE"/>
        </w:rPr>
        <w:t>D.</w:t>
      </w:r>
      <w:r>
        <w:rPr>
          <w:lang w:val="et-EE"/>
        </w:rPr>
        <w:tab/>
        <w:t>RAVIMPREPARAADI OHUTU JA EFEKTIIVSE KASUTAMISE TINGIMUSED JA PIIRANGUD</w:t>
      </w:r>
    </w:p>
    <w:p w14:paraId="3A8D2253" w14:textId="77777777" w:rsidR="00A27A6F" w:rsidRDefault="00A27A6F">
      <w:pPr>
        <w:spacing w:line="240" w:lineRule="auto"/>
        <w:ind w:right="-1"/>
        <w:rPr>
          <w:szCs w:val="24"/>
          <w:lang w:eastAsia="en-US"/>
        </w:rPr>
      </w:pPr>
    </w:p>
    <w:p w14:paraId="536AA0EB" w14:textId="77777777" w:rsidR="00A27A6F" w:rsidRDefault="002C0949">
      <w:pPr>
        <w:numPr>
          <w:ilvl w:val="0"/>
          <w:numId w:val="21"/>
        </w:numPr>
        <w:tabs>
          <w:tab w:val="clear" w:pos="720"/>
        </w:tabs>
        <w:spacing w:line="240" w:lineRule="auto"/>
        <w:ind w:left="567" w:right="-1" w:hanging="567"/>
        <w:rPr>
          <w:b/>
          <w:szCs w:val="24"/>
          <w:lang w:eastAsia="en-US"/>
        </w:rPr>
      </w:pPr>
      <w:proofErr w:type="spellStart"/>
      <w:r>
        <w:rPr>
          <w:b/>
          <w:lang w:eastAsia="en-US"/>
        </w:rPr>
        <w:t>Riskijuhtimiskava</w:t>
      </w:r>
      <w:proofErr w:type="spellEnd"/>
    </w:p>
    <w:p w14:paraId="3CAC3E40" w14:textId="77777777" w:rsidR="00A27A6F" w:rsidRDefault="00A27A6F">
      <w:pPr>
        <w:spacing w:line="240" w:lineRule="auto"/>
        <w:ind w:left="567" w:hanging="567"/>
        <w:rPr>
          <w:szCs w:val="24"/>
          <w:lang w:eastAsia="en-US"/>
        </w:rPr>
      </w:pPr>
    </w:p>
    <w:p w14:paraId="36DCDFCA" w14:textId="77777777" w:rsidR="00A27A6F" w:rsidRDefault="002C0949">
      <w:pPr>
        <w:tabs>
          <w:tab w:val="left" w:pos="0"/>
        </w:tabs>
        <w:spacing w:line="240" w:lineRule="auto"/>
        <w:ind w:right="567"/>
        <w:rPr>
          <w:szCs w:val="24"/>
          <w:lang w:eastAsia="en-US"/>
        </w:rPr>
      </w:pPr>
      <w:r>
        <w:rPr>
          <w:szCs w:val="24"/>
          <w:lang w:eastAsia="en-US"/>
        </w:rPr>
        <w:t xml:space="preserve">Müügiloa hoidja peab nõutavad ravimiohutuse toimingud ja sekkumismeetmed läbi viima vastavalt müügiloa taotluse moodulis 1.8.2 esitatud kokkulepitud </w:t>
      </w:r>
      <w:proofErr w:type="spellStart"/>
      <w:r>
        <w:rPr>
          <w:szCs w:val="24"/>
          <w:lang w:eastAsia="en-US"/>
        </w:rPr>
        <w:t>riskijuhtimiskavale</w:t>
      </w:r>
      <w:proofErr w:type="spellEnd"/>
      <w:r>
        <w:rPr>
          <w:szCs w:val="24"/>
          <w:lang w:eastAsia="en-US"/>
        </w:rPr>
        <w:t xml:space="preserve"> ja mis tahes järgmistele ajakohastatud </w:t>
      </w:r>
      <w:proofErr w:type="spellStart"/>
      <w:r>
        <w:rPr>
          <w:szCs w:val="24"/>
          <w:lang w:eastAsia="en-US"/>
        </w:rPr>
        <w:t>riskijuhtimiskavadele</w:t>
      </w:r>
      <w:proofErr w:type="spellEnd"/>
      <w:r>
        <w:rPr>
          <w:szCs w:val="24"/>
          <w:lang w:eastAsia="en-US"/>
        </w:rPr>
        <w:t>.</w:t>
      </w:r>
    </w:p>
    <w:p w14:paraId="5282073F" w14:textId="77777777" w:rsidR="00A27A6F" w:rsidRDefault="00A27A6F">
      <w:pPr>
        <w:spacing w:line="240" w:lineRule="auto"/>
        <w:ind w:right="-1"/>
        <w:rPr>
          <w:lang w:eastAsia="en-US"/>
        </w:rPr>
      </w:pPr>
    </w:p>
    <w:p w14:paraId="615CE4EF" w14:textId="77777777" w:rsidR="00A27A6F" w:rsidRDefault="002C0949">
      <w:pPr>
        <w:keepNext/>
        <w:spacing w:line="240" w:lineRule="auto"/>
        <w:rPr>
          <w:i/>
          <w:szCs w:val="24"/>
          <w:lang w:eastAsia="en-US"/>
        </w:rPr>
      </w:pPr>
      <w:r>
        <w:rPr>
          <w:szCs w:val="24"/>
          <w:lang w:eastAsia="en-US"/>
        </w:rPr>
        <w:t xml:space="preserve">Ajakohastatud </w:t>
      </w:r>
      <w:proofErr w:type="spellStart"/>
      <w:r>
        <w:rPr>
          <w:szCs w:val="24"/>
          <w:lang w:eastAsia="en-US"/>
        </w:rPr>
        <w:t>riskijuhtimiskava</w:t>
      </w:r>
      <w:proofErr w:type="spellEnd"/>
      <w:r>
        <w:rPr>
          <w:szCs w:val="24"/>
          <w:lang w:eastAsia="en-US"/>
        </w:rPr>
        <w:t xml:space="preserve"> tuleb esitada:</w:t>
      </w:r>
    </w:p>
    <w:p w14:paraId="43C797FD" w14:textId="77777777" w:rsidR="00A27A6F" w:rsidRDefault="002C0949">
      <w:pPr>
        <w:numPr>
          <w:ilvl w:val="0"/>
          <w:numId w:val="14"/>
        </w:numPr>
        <w:tabs>
          <w:tab w:val="clear" w:pos="567"/>
        </w:tabs>
        <w:spacing w:line="240" w:lineRule="auto"/>
        <w:ind w:right="-1"/>
        <w:rPr>
          <w:i/>
          <w:szCs w:val="24"/>
          <w:lang w:eastAsia="en-US"/>
        </w:rPr>
      </w:pPr>
      <w:r>
        <w:rPr>
          <w:lang w:eastAsia="en-US"/>
        </w:rPr>
        <w:t>Euroopa Ravimiameti nõudel;</w:t>
      </w:r>
    </w:p>
    <w:p w14:paraId="5B1EA5B7" w14:textId="77777777" w:rsidR="00A27A6F" w:rsidRDefault="002C0949">
      <w:pPr>
        <w:numPr>
          <w:ilvl w:val="0"/>
          <w:numId w:val="14"/>
        </w:numPr>
        <w:tabs>
          <w:tab w:val="clear" w:pos="567"/>
        </w:tabs>
        <w:spacing w:line="240" w:lineRule="auto"/>
        <w:ind w:right="-1"/>
        <w:rPr>
          <w:szCs w:val="24"/>
          <w:lang w:eastAsia="en-US"/>
        </w:rPr>
      </w:pPr>
      <w:r>
        <w:rPr>
          <w:szCs w:val="24"/>
          <w:lang w:eastAsia="en-US"/>
        </w:rPr>
        <w:t>kui muudetakse riskijuhtimissüsteemi, eriti kui saadakse uut teavet, mis võib oluliselt mõjutada riski/kasu suhet, või kui saavutatakse oluline (ravimiohutuse või riski minimeerimise) eesmärk.</w:t>
      </w:r>
    </w:p>
    <w:p w14:paraId="41C85165" w14:textId="77777777" w:rsidR="00A27A6F" w:rsidRDefault="002C0949">
      <w:pPr>
        <w:numPr>
          <w:ilvl w:val="0"/>
          <w:numId w:val="14"/>
        </w:numPr>
        <w:tabs>
          <w:tab w:val="clear" w:pos="567"/>
        </w:tabs>
        <w:spacing w:line="240" w:lineRule="auto"/>
        <w:ind w:right="-1"/>
        <w:rPr>
          <w:szCs w:val="24"/>
          <w:lang w:eastAsia="en-US"/>
        </w:rPr>
      </w:pPr>
      <w:r>
        <w:rPr>
          <w:szCs w:val="22"/>
        </w:rPr>
        <w:br w:type="page"/>
      </w:r>
    </w:p>
    <w:p w14:paraId="3CE76975" w14:textId="77777777" w:rsidR="00A27A6F" w:rsidRDefault="00A27A6F">
      <w:pPr>
        <w:spacing w:line="240" w:lineRule="auto"/>
        <w:ind w:right="-1"/>
        <w:rPr>
          <w:u w:val="single"/>
        </w:rPr>
      </w:pPr>
    </w:p>
    <w:p w14:paraId="14C57836" w14:textId="77777777" w:rsidR="00A27A6F" w:rsidRDefault="00A27A6F">
      <w:pPr>
        <w:spacing w:line="240" w:lineRule="auto"/>
        <w:rPr>
          <w:szCs w:val="22"/>
        </w:rPr>
      </w:pPr>
    </w:p>
    <w:p w14:paraId="76A166C3" w14:textId="77777777" w:rsidR="00A27A6F" w:rsidRDefault="00A27A6F">
      <w:pPr>
        <w:spacing w:line="240" w:lineRule="auto"/>
        <w:rPr>
          <w:szCs w:val="22"/>
        </w:rPr>
      </w:pPr>
    </w:p>
    <w:p w14:paraId="28F03B0E" w14:textId="77777777" w:rsidR="00A27A6F" w:rsidRDefault="00A27A6F">
      <w:pPr>
        <w:spacing w:line="240" w:lineRule="auto"/>
        <w:rPr>
          <w:szCs w:val="22"/>
        </w:rPr>
      </w:pPr>
    </w:p>
    <w:p w14:paraId="23165770" w14:textId="77777777" w:rsidR="00A27A6F" w:rsidRDefault="00A27A6F">
      <w:pPr>
        <w:spacing w:line="240" w:lineRule="auto"/>
        <w:rPr>
          <w:szCs w:val="22"/>
        </w:rPr>
      </w:pPr>
    </w:p>
    <w:p w14:paraId="2B2524E0" w14:textId="77777777" w:rsidR="00A27A6F" w:rsidRDefault="00A27A6F">
      <w:pPr>
        <w:spacing w:line="240" w:lineRule="auto"/>
      </w:pPr>
    </w:p>
    <w:p w14:paraId="4B048043" w14:textId="77777777" w:rsidR="00A27A6F" w:rsidRDefault="00A27A6F">
      <w:pPr>
        <w:spacing w:line="240" w:lineRule="auto"/>
      </w:pPr>
    </w:p>
    <w:p w14:paraId="06B970D8" w14:textId="77777777" w:rsidR="00A27A6F" w:rsidRDefault="00A27A6F">
      <w:pPr>
        <w:spacing w:line="240" w:lineRule="auto"/>
        <w:ind w:right="-1"/>
        <w:rPr>
          <w:u w:val="single"/>
        </w:rPr>
      </w:pPr>
    </w:p>
    <w:p w14:paraId="132AD488" w14:textId="77777777" w:rsidR="00A27A6F" w:rsidRDefault="00A27A6F">
      <w:pPr>
        <w:spacing w:line="240" w:lineRule="auto"/>
        <w:rPr>
          <w:szCs w:val="22"/>
        </w:rPr>
      </w:pPr>
    </w:p>
    <w:p w14:paraId="6D281283" w14:textId="77777777" w:rsidR="00A27A6F" w:rsidRDefault="00A27A6F">
      <w:pPr>
        <w:spacing w:line="240" w:lineRule="auto"/>
        <w:rPr>
          <w:szCs w:val="22"/>
        </w:rPr>
      </w:pPr>
    </w:p>
    <w:p w14:paraId="355B12C4" w14:textId="77777777" w:rsidR="00A27A6F" w:rsidRDefault="00A27A6F">
      <w:pPr>
        <w:spacing w:line="240" w:lineRule="auto"/>
        <w:rPr>
          <w:szCs w:val="22"/>
        </w:rPr>
      </w:pPr>
    </w:p>
    <w:p w14:paraId="01EBC7B1" w14:textId="77777777" w:rsidR="00A27A6F" w:rsidRDefault="00A27A6F">
      <w:pPr>
        <w:spacing w:line="240" w:lineRule="auto"/>
        <w:rPr>
          <w:szCs w:val="22"/>
        </w:rPr>
      </w:pPr>
    </w:p>
    <w:p w14:paraId="4D5886A6" w14:textId="77777777" w:rsidR="00A27A6F" w:rsidRDefault="00A27A6F">
      <w:pPr>
        <w:spacing w:line="240" w:lineRule="auto"/>
        <w:rPr>
          <w:szCs w:val="22"/>
        </w:rPr>
      </w:pPr>
    </w:p>
    <w:p w14:paraId="583274BC" w14:textId="77777777" w:rsidR="00A27A6F" w:rsidRDefault="00A27A6F">
      <w:pPr>
        <w:spacing w:line="240" w:lineRule="auto"/>
      </w:pPr>
    </w:p>
    <w:p w14:paraId="22B52664" w14:textId="77777777" w:rsidR="00A27A6F" w:rsidRDefault="00A27A6F">
      <w:pPr>
        <w:spacing w:line="240" w:lineRule="auto"/>
      </w:pPr>
    </w:p>
    <w:p w14:paraId="1A8E98DB" w14:textId="77777777" w:rsidR="00A27A6F" w:rsidRDefault="00A27A6F">
      <w:pPr>
        <w:spacing w:line="240" w:lineRule="auto"/>
      </w:pPr>
    </w:p>
    <w:p w14:paraId="6B8ACAD2" w14:textId="77777777" w:rsidR="00A27A6F" w:rsidRDefault="00A27A6F">
      <w:pPr>
        <w:spacing w:line="240" w:lineRule="auto"/>
      </w:pPr>
    </w:p>
    <w:p w14:paraId="4693BC25" w14:textId="77777777" w:rsidR="00A27A6F" w:rsidRDefault="00A27A6F">
      <w:pPr>
        <w:spacing w:line="240" w:lineRule="auto"/>
      </w:pPr>
    </w:p>
    <w:p w14:paraId="2CA5B9F9" w14:textId="77777777" w:rsidR="00A27A6F" w:rsidRDefault="00A27A6F">
      <w:pPr>
        <w:spacing w:line="240" w:lineRule="auto"/>
      </w:pPr>
    </w:p>
    <w:p w14:paraId="6CDC59D3" w14:textId="77777777" w:rsidR="00A27A6F" w:rsidRDefault="00A27A6F">
      <w:pPr>
        <w:spacing w:line="240" w:lineRule="auto"/>
      </w:pPr>
    </w:p>
    <w:p w14:paraId="5C6EE1B8" w14:textId="77777777" w:rsidR="00A27A6F" w:rsidRDefault="00A27A6F">
      <w:pPr>
        <w:spacing w:line="240" w:lineRule="auto"/>
      </w:pPr>
    </w:p>
    <w:p w14:paraId="24D6499B" w14:textId="77777777" w:rsidR="00A27A6F" w:rsidRDefault="00A27A6F">
      <w:pPr>
        <w:spacing w:line="240" w:lineRule="auto"/>
      </w:pPr>
    </w:p>
    <w:p w14:paraId="4BD27927" w14:textId="77777777" w:rsidR="00A27A6F" w:rsidRDefault="00A27A6F">
      <w:pPr>
        <w:spacing w:line="240" w:lineRule="auto"/>
      </w:pPr>
    </w:p>
    <w:p w14:paraId="647EAFB2" w14:textId="77777777" w:rsidR="00A27A6F" w:rsidRDefault="002C0949">
      <w:pPr>
        <w:spacing w:line="240" w:lineRule="auto"/>
        <w:jc w:val="center"/>
        <w:rPr>
          <w:b/>
          <w:szCs w:val="22"/>
        </w:rPr>
      </w:pPr>
      <w:r>
        <w:rPr>
          <w:b/>
          <w:szCs w:val="22"/>
        </w:rPr>
        <w:t>III LISA</w:t>
      </w:r>
    </w:p>
    <w:p w14:paraId="6B273A65" w14:textId="77777777" w:rsidR="00A27A6F" w:rsidRDefault="00A27A6F">
      <w:pPr>
        <w:spacing w:line="240" w:lineRule="auto"/>
        <w:jc w:val="center"/>
        <w:rPr>
          <w:b/>
          <w:szCs w:val="22"/>
        </w:rPr>
      </w:pPr>
    </w:p>
    <w:p w14:paraId="5AF822C2" w14:textId="77777777" w:rsidR="00A27A6F" w:rsidRDefault="002C0949">
      <w:pPr>
        <w:spacing w:line="240" w:lineRule="auto"/>
        <w:jc w:val="center"/>
        <w:rPr>
          <w:b/>
          <w:szCs w:val="22"/>
        </w:rPr>
      </w:pPr>
      <w:r>
        <w:rPr>
          <w:b/>
          <w:szCs w:val="22"/>
        </w:rPr>
        <w:t>PAKENDI MÄRGISTUS JA INFOLEHT</w:t>
      </w:r>
    </w:p>
    <w:p w14:paraId="7C5A663B" w14:textId="77777777" w:rsidR="00A27A6F" w:rsidRDefault="002C0949">
      <w:pPr>
        <w:spacing w:line="240" w:lineRule="auto"/>
        <w:rPr>
          <w:b/>
          <w:szCs w:val="22"/>
        </w:rPr>
      </w:pPr>
      <w:r>
        <w:rPr>
          <w:b/>
          <w:szCs w:val="22"/>
        </w:rPr>
        <w:br w:type="page"/>
      </w:r>
    </w:p>
    <w:p w14:paraId="3310EC02" w14:textId="77777777" w:rsidR="00A27A6F" w:rsidRDefault="00A27A6F">
      <w:pPr>
        <w:spacing w:line="240" w:lineRule="auto"/>
        <w:rPr>
          <w:szCs w:val="22"/>
          <w:lang w:eastAsia="en-US"/>
        </w:rPr>
      </w:pPr>
    </w:p>
    <w:p w14:paraId="2B3AC4E5" w14:textId="77777777" w:rsidR="00A27A6F" w:rsidRDefault="00A27A6F">
      <w:pPr>
        <w:spacing w:line="240" w:lineRule="auto"/>
        <w:rPr>
          <w:szCs w:val="22"/>
          <w:lang w:eastAsia="en-US"/>
        </w:rPr>
      </w:pPr>
    </w:p>
    <w:p w14:paraId="08A05990" w14:textId="77777777" w:rsidR="00A27A6F" w:rsidRDefault="00A27A6F">
      <w:pPr>
        <w:spacing w:line="240" w:lineRule="auto"/>
        <w:rPr>
          <w:szCs w:val="22"/>
          <w:lang w:eastAsia="en-US"/>
        </w:rPr>
      </w:pPr>
    </w:p>
    <w:p w14:paraId="0A98B106" w14:textId="77777777" w:rsidR="00A27A6F" w:rsidRDefault="00A27A6F">
      <w:pPr>
        <w:spacing w:line="240" w:lineRule="auto"/>
        <w:rPr>
          <w:szCs w:val="22"/>
          <w:lang w:eastAsia="en-US"/>
        </w:rPr>
      </w:pPr>
    </w:p>
    <w:p w14:paraId="1ECBE024" w14:textId="77777777" w:rsidR="00A27A6F" w:rsidRDefault="00A27A6F">
      <w:pPr>
        <w:spacing w:line="240" w:lineRule="auto"/>
        <w:rPr>
          <w:szCs w:val="22"/>
          <w:lang w:eastAsia="en-US"/>
        </w:rPr>
      </w:pPr>
    </w:p>
    <w:p w14:paraId="0E6277F5" w14:textId="77777777" w:rsidR="00A27A6F" w:rsidRDefault="00A27A6F">
      <w:pPr>
        <w:spacing w:line="240" w:lineRule="auto"/>
        <w:rPr>
          <w:szCs w:val="22"/>
          <w:lang w:eastAsia="en-US"/>
        </w:rPr>
      </w:pPr>
    </w:p>
    <w:p w14:paraId="72A0B24A" w14:textId="77777777" w:rsidR="00A27A6F" w:rsidRDefault="00A27A6F">
      <w:pPr>
        <w:spacing w:line="240" w:lineRule="auto"/>
        <w:rPr>
          <w:szCs w:val="22"/>
          <w:lang w:eastAsia="en-US"/>
        </w:rPr>
      </w:pPr>
    </w:p>
    <w:p w14:paraId="19E4BB3E" w14:textId="77777777" w:rsidR="00A27A6F" w:rsidRDefault="00A27A6F">
      <w:pPr>
        <w:spacing w:line="240" w:lineRule="auto"/>
        <w:rPr>
          <w:szCs w:val="22"/>
          <w:lang w:eastAsia="en-US"/>
        </w:rPr>
      </w:pPr>
    </w:p>
    <w:p w14:paraId="76F004D3" w14:textId="77777777" w:rsidR="00A27A6F" w:rsidRDefault="00A27A6F">
      <w:pPr>
        <w:spacing w:line="240" w:lineRule="auto"/>
        <w:rPr>
          <w:szCs w:val="22"/>
          <w:lang w:eastAsia="en-US"/>
        </w:rPr>
      </w:pPr>
    </w:p>
    <w:p w14:paraId="70F6018B" w14:textId="77777777" w:rsidR="00A27A6F" w:rsidRDefault="00A27A6F">
      <w:pPr>
        <w:spacing w:line="240" w:lineRule="auto"/>
        <w:rPr>
          <w:szCs w:val="22"/>
          <w:lang w:eastAsia="en-US"/>
        </w:rPr>
      </w:pPr>
    </w:p>
    <w:p w14:paraId="28A62B1B" w14:textId="77777777" w:rsidR="00A27A6F" w:rsidRDefault="00A27A6F">
      <w:pPr>
        <w:spacing w:line="240" w:lineRule="auto"/>
        <w:rPr>
          <w:szCs w:val="22"/>
          <w:lang w:eastAsia="en-US"/>
        </w:rPr>
      </w:pPr>
    </w:p>
    <w:p w14:paraId="09D07D29" w14:textId="77777777" w:rsidR="00A27A6F" w:rsidRDefault="00A27A6F">
      <w:pPr>
        <w:spacing w:line="240" w:lineRule="auto"/>
        <w:rPr>
          <w:szCs w:val="22"/>
          <w:lang w:eastAsia="en-US"/>
        </w:rPr>
      </w:pPr>
    </w:p>
    <w:p w14:paraId="1E5E32E9" w14:textId="77777777" w:rsidR="00A27A6F" w:rsidRDefault="00A27A6F">
      <w:pPr>
        <w:spacing w:line="240" w:lineRule="auto"/>
        <w:rPr>
          <w:szCs w:val="22"/>
          <w:lang w:eastAsia="en-US"/>
        </w:rPr>
      </w:pPr>
    </w:p>
    <w:p w14:paraId="1ED3E425" w14:textId="77777777" w:rsidR="00A27A6F" w:rsidRDefault="00A27A6F">
      <w:pPr>
        <w:spacing w:line="240" w:lineRule="auto"/>
        <w:rPr>
          <w:szCs w:val="22"/>
          <w:lang w:eastAsia="en-US"/>
        </w:rPr>
      </w:pPr>
    </w:p>
    <w:p w14:paraId="41E42E91" w14:textId="77777777" w:rsidR="00A27A6F" w:rsidRDefault="00A27A6F">
      <w:pPr>
        <w:spacing w:line="240" w:lineRule="auto"/>
        <w:rPr>
          <w:szCs w:val="22"/>
          <w:lang w:eastAsia="en-US"/>
        </w:rPr>
      </w:pPr>
    </w:p>
    <w:p w14:paraId="69DB4352" w14:textId="77777777" w:rsidR="00A27A6F" w:rsidRDefault="00A27A6F">
      <w:pPr>
        <w:spacing w:line="240" w:lineRule="auto"/>
        <w:rPr>
          <w:szCs w:val="22"/>
          <w:lang w:eastAsia="en-US"/>
        </w:rPr>
      </w:pPr>
    </w:p>
    <w:p w14:paraId="1BB2880B" w14:textId="77777777" w:rsidR="00A27A6F" w:rsidRDefault="00A27A6F">
      <w:pPr>
        <w:spacing w:line="240" w:lineRule="auto"/>
        <w:rPr>
          <w:szCs w:val="22"/>
          <w:lang w:eastAsia="en-US"/>
        </w:rPr>
      </w:pPr>
    </w:p>
    <w:p w14:paraId="2B19CD03" w14:textId="77777777" w:rsidR="00A27A6F" w:rsidRDefault="00A27A6F">
      <w:pPr>
        <w:spacing w:line="240" w:lineRule="auto"/>
        <w:rPr>
          <w:szCs w:val="22"/>
          <w:lang w:eastAsia="en-US"/>
        </w:rPr>
      </w:pPr>
    </w:p>
    <w:p w14:paraId="17DABCB7" w14:textId="77777777" w:rsidR="00A27A6F" w:rsidRDefault="00A27A6F">
      <w:pPr>
        <w:spacing w:line="240" w:lineRule="auto"/>
        <w:rPr>
          <w:szCs w:val="22"/>
          <w:lang w:eastAsia="en-US"/>
        </w:rPr>
      </w:pPr>
    </w:p>
    <w:p w14:paraId="3D867D0A" w14:textId="77777777" w:rsidR="00A27A6F" w:rsidRDefault="00A27A6F">
      <w:pPr>
        <w:spacing w:line="240" w:lineRule="auto"/>
        <w:rPr>
          <w:szCs w:val="22"/>
          <w:lang w:eastAsia="en-US"/>
        </w:rPr>
      </w:pPr>
    </w:p>
    <w:p w14:paraId="6B77CA30" w14:textId="77777777" w:rsidR="00A27A6F" w:rsidRDefault="00A27A6F">
      <w:pPr>
        <w:spacing w:line="240" w:lineRule="auto"/>
        <w:rPr>
          <w:szCs w:val="22"/>
          <w:lang w:eastAsia="en-US"/>
        </w:rPr>
      </w:pPr>
    </w:p>
    <w:p w14:paraId="6D94804E" w14:textId="77777777" w:rsidR="00A27A6F" w:rsidRDefault="00A27A6F">
      <w:pPr>
        <w:spacing w:line="240" w:lineRule="auto"/>
        <w:rPr>
          <w:szCs w:val="22"/>
          <w:lang w:eastAsia="en-US"/>
        </w:rPr>
      </w:pPr>
    </w:p>
    <w:p w14:paraId="750B2DB0" w14:textId="77777777" w:rsidR="00A27A6F" w:rsidRDefault="00A27A6F">
      <w:pPr>
        <w:spacing w:line="240" w:lineRule="auto"/>
        <w:rPr>
          <w:szCs w:val="22"/>
          <w:lang w:eastAsia="en-US"/>
        </w:rPr>
      </w:pPr>
    </w:p>
    <w:p w14:paraId="48E4B4CB" w14:textId="77777777" w:rsidR="00A27A6F" w:rsidRDefault="002C0949">
      <w:pPr>
        <w:pStyle w:val="TitleA"/>
        <w:outlineLvl w:val="0"/>
        <w:rPr>
          <w:lang w:val="et-EE"/>
        </w:rPr>
      </w:pPr>
      <w:r>
        <w:rPr>
          <w:lang w:val="et-EE"/>
        </w:rPr>
        <w:t>A. PAKENDI MÄRGISTUS</w:t>
      </w:r>
    </w:p>
    <w:p w14:paraId="08F8B354" w14:textId="77777777" w:rsidR="00A27A6F" w:rsidRDefault="002C0949">
      <w:pPr>
        <w:spacing w:line="240" w:lineRule="auto"/>
        <w:jc w:val="center"/>
        <w:outlineLvl w:val="0"/>
        <w:rPr>
          <w:szCs w:val="22"/>
        </w:rPr>
      </w:pPr>
      <w:r>
        <w:rPr>
          <w:szCs w:val="22"/>
        </w:rPr>
        <w:br w:type="page"/>
      </w:r>
    </w:p>
    <w:p w14:paraId="4804605A" w14:textId="77777777" w:rsidR="00A27A6F" w:rsidRDefault="002C0949">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VÄLISPAKENDIL PEAVAD OLEMA JÄRGMISED ANDMED</w:t>
      </w:r>
    </w:p>
    <w:p w14:paraId="6AF1376E" w14:textId="77777777" w:rsidR="00A27A6F" w:rsidRDefault="00A27A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2E875E4" w14:textId="77777777" w:rsidR="00A27A6F" w:rsidRDefault="002C0949">
      <w:pPr>
        <w:pBdr>
          <w:top w:val="single" w:sz="4" w:space="1" w:color="auto"/>
          <w:left w:val="single" w:sz="4" w:space="4" w:color="auto"/>
          <w:bottom w:val="single" w:sz="4" w:space="1" w:color="auto"/>
          <w:right w:val="single" w:sz="4" w:space="4" w:color="auto"/>
        </w:pBdr>
        <w:spacing w:line="240" w:lineRule="auto"/>
        <w:rPr>
          <w:bCs/>
          <w:szCs w:val="22"/>
        </w:rPr>
      </w:pPr>
      <w:r>
        <w:rPr>
          <w:b/>
          <w:szCs w:val="22"/>
        </w:rPr>
        <w:t>KARP</w:t>
      </w:r>
    </w:p>
    <w:p w14:paraId="6AFF7A47" w14:textId="77777777" w:rsidR="00A27A6F" w:rsidRDefault="00A27A6F">
      <w:pPr>
        <w:spacing w:line="240" w:lineRule="auto"/>
      </w:pPr>
    </w:p>
    <w:p w14:paraId="6602D673" w14:textId="77777777" w:rsidR="00A27A6F" w:rsidRDefault="00A27A6F">
      <w:pPr>
        <w:spacing w:line="240" w:lineRule="auto"/>
        <w:rPr>
          <w:szCs w:val="22"/>
        </w:rPr>
      </w:pPr>
    </w:p>
    <w:p w14:paraId="15E9DFE8"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w:t>
      </w:r>
    </w:p>
    <w:p w14:paraId="483F90DC" w14:textId="77777777" w:rsidR="00A27A6F" w:rsidRDefault="00A27A6F">
      <w:pPr>
        <w:spacing w:line="240" w:lineRule="auto"/>
        <w:rPr>
          <w:szCs w:val="22"/>
        </w:rPr>
      </w:pPr>
    </w:p>
    <w:p w14:paraId="49A52FFF" w14:textId="77777777" w:rsidR="00A27A6F" w:rsidRDefault="002C0949">
      <w:pPr>
        <w:spacing w:line="240" w:lineRule="auto"/>
        <w:rPr>
          <w:szCs w:val="22"/>
        </w:rPr>
      </w:pPr>
      <w:r>
        <w:rPr>
          <w:szCs w:val="22"/>
        </w:rPr>
        <w:t>ALPROLIX 250 RÜ süstelahuse pulber ja lahusti</w:t>
      </w:r>
    </w:p>
    <w:p w14:paraId="07BF861A" w14:textId="77777777" w:rsidR="008334C8" w:rsidRDefault="008334C8">
      <w:pPr>
        <w:spacing w:line="240" w:lineRule="auto"/>
        <w:rPr>
          <w:shd w:val="clear" w:color="auto" w:fill="D9D9D9"/>
          <w:lang w:eastAsia="en-US"/>
        </w:rPr>
      </w:pPr>
    </w:p>
    <w:p w14:paraId="41639542" w14:textId="3A0D17E2" w:rsidR="00A27A6F" w:rsidRDefault="002C0949">
      <w:pPr>
        <w:spacing w:line="240" w:lineRule="auto"/>
        <w:rPr>
          <w:szCs w:val="22"/>
        </w:rPr>
      </w:pPr>
      <w:proofErr w:type="spellStart"/>
      <w:r>
        <w:rPr>
          <w:i/>
          <w:szCs w:val="22"/>
        </w:rPr>
        <w:t>eftrenonacogum</w:t>
      </w:r>
      <w:proofErr w:type="spellEnd"/>
      <w:r>
        <w:rPr>
          <w:i/>
          <w:szCs w:val="22"/>
        </w:rPr>
        <w:t xml:space="preserve"> alfa</w:t>
      </w:r>
      <w:r w:rsidR="00570306">
        <w:rPr>
          <w:i/>
          <w:szCs w:val="22"/>
        </w:rPr>
        <w:t xml:space="preserve"> </w:t>
      </w:r>
      <w:r w:rsidR="00570306">
        <w:rPr>
          <w:szCs w:val="22"/>
        </w:rPr>
        <w:t>(</w:t>
      </w:r>
      <w:proofErr w:type="spellStart"/>
      <w:r>
        <w:rPr>
          <w:szCs w:val="22"/>
        </w:rPr>
        <w:t>rekombinantne</w:t>
      </w:r>
      <w:proofErr w:type="spellEnd"/>
      <w:r>
        <w:rPr>
          <w:szCs w:val="22"/>
        </w:rPr>
        <w:t xml:space="preserve"> IX hüübimisfaktor, </w:t>
      </w:r>
      <w:proofErr w:type="spellStart"/>
      <w:r>
        <w:rPr>
          <w:szCs w:val="22"/>
        </w:rPr>
        <w:t>Fc</w:t>
      </w:r>
      <w:proofErr w:type="spellEnd"/>
      <w:r>
        <w:rPr>
          <w:szCs w:val="22"/>
        </w:rPr>
        <w:t> fusioonvalk</w:t>
      </w:r>
      <w:r w:rsidR="00570306">
        <w:rPr>
          <w:szCs w:val="22"/>
        </w:rPr>
        <w:t>)</w:t>
      </w:r>
    </w:p>
    <w:p w14:paraId="2461DDEB" w14:textId="77777777" w:rsidR="00A27A6F" w:rsidRDefault="00A27A6F">
      <w:pPr>
        <w:spacing w:line="240" w:lineRule="auto"/>
        <w:rPr>
          <w:szCs w:val="22"/>
        </w:rPr>
      </w:pPr>
    </w:p>
    <w:p w14:paraId="598B4B26" w14:textId="77777777" w:rsidR="00A27A6F" w:rsidRDefault="00A27A6F">
      <w:pPr>
        <w:spacing w:line="240" w:lineRule="auto"/>
        <w:rPr>
          <w:szCs w:val="22"/>
        </w:rPr>
      </w:pPr>
    </w:p>
    <w:p w14:paraId="4FCED548"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TOIMEAINE(TE) SISALDUS</w:t>
      </w:r>
    </w:p>
    <w:p w14:paraId="4CD91B40" w14:textId="77777777" w:rsidR="00A27A6F" w:rsidRDefault="00A27A6F">
      <w:pPr>
        <w:spacing w:line="240" w:lineRule="auto"/>
        <w:rPr>
          <w:szCs w:val="22"/>
        </w:rPr>
      </w:pPr>
    </w:p>
    <w:p w14:paraId="3FF735E6" w14:textId="77777777" w:rsidR="00A27A6F" w:rsidRDefault="002C0949">
      <w:pPr>
        <w:spacing w:line="240" w:lineRule="auto"/>
        <w:rPr>
          <w:szCs w:val="22"/>
        </w:rPr>
      </w:pPr>
      <w:r>
        <w:rPr>
          <w:szCs w:val="22"/>
        </w:rPr>
        <w:t xml:space="preserve">Pulber: 250 RÜ </w:t>
      </w:r>
      <w:proofErr w:type="spellStart"/>
      <w:r>
        <w:t>alfaeftrenonakogi</w:t>
      </w:r>
      <w:proofErr w:type="spellEnd"/>
      <w:r>
        <w:rPr>
          <w:szCs w:val="22"/>
        </w:rPr>
        <w:t xml:space="preserve"> (ligikaudu 50 RÜ/ml pärast manustamiskõlblikuks muutmist),</w:t>
      </w:r>
    </w:p>
    <w:p w14:paraId="1C5EA741" w14:textId="77777777" w:rsidR="00A27A6F" w:rsidRDefault="00A27A6F">
      <w:pPr>
        <w:spacing w:line="240" w:lineRule="auto"/>
        <w:rPr>
          <w:szCs w:val="22"/>
        </w:rPr>
      </w:pPr>
    </w:p>
    <w:p w14:paraId="7643206F" w14:textId="77777777" w:rsidR="00A27A6F" w:rsidRDefault="00A27A6F">
      <w:pPr>
        <w:spacing w:line="240" w:lineRule="auto"/>
        <w:rPr>
          <w:szCs w:val="22"/>
        </w:rPr>
      </w:pPr>
    </w:p>
    <w:p w14:paraId="08402888"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ABIAINED</w:t>
      </w:r>
    </w:p>
    <w:p w14:paraId="205F9398" w14:textId="77777777" w:rsidR="00A27A6F" w:rsidRDefault="00A27A6F">
      <w:pPr>
        <w:keepNext/>
        <w:keepLines/>
        <w:spacing w:line="240" w:lineRule="auto"/>
        <w:rPr>
          <w:szCs w:val="22"/>
        </w:rPr>
      </w:pPr>
    </w:p>
    <w:p w14:paraId="0DADEBD0" w14:textId="77777777" w:rsidR="00A27A6F" w:rsidRDefault="002C0949">
      <w:pPr>
        <w:keepNext/>
        <w:keepLines/>
        <w:autoSpaceDE w:val="0"/>
        <w:autoSpaceDN w:val="0"/>
        <w:adjustRightInd w:val="0"/>
        <w:spacing w:line="240" w:lineRule="auto"/>
      </w:pPr>
      <w:r>
        <w:rPr>
          <w:shd w:val="clear" w:color="auto" w:fill="D9D9D9"/>
          <w:lang w:eastAsia="en-US"/>
        </w:rPr>
        <w:t>Pulber:</w:t>
      </w:r>
    </w:p>
    <w:p w14:paraId="643C49E0" w14:textId="77777777" w:rsidR="00A27A6F" w:rsidRDefault="002C0949">
      <w:pPr>
        <w:autoSpaceDE w:val="0"/>
        <w:autoSpaceDN w:val="0"/>
        <w:adjustRightInd w:val="0"/>
        <w:spacing w:line="240" w:lineRule="auto"/>
      </w:pPr>
      <w:r>
        <w:t xml:space="preserve">sahharoos, </w:t>
      </w:r>
      <w:proofErr w:type="spellStart"/>
      <w:r>
        <w:t>histidiin</w:t>
      </w:r>
      <w:proofErr w:type="spellEnd"/>
      <w:r>
        <w:t xml:space="preserve">, mannitool, </w:t>
      </w:r>
      <w:proofErr w:type="spellStart"/>
      <w:r>
        <w:t>polüsorbaat</w:t>
      </w:r>
      <w:proofErr w:type="spellEnd"/>
      <w:r>
        <w:t> 20, naatriumhüdroksiid, vesinikkloriidhape</w:t>
      </w:r>
    </w:p>
    <w:p w14:paraId="77EB02DE" w14:textId="77777777" w:rsidR="00A27A6F" w:rsidRDefault="00A27A6F">
      <w:pPr>
        <w:autoSpaceDE w:val="0"/>
        <w:autoSpaceDN w:val="0"/>
        <w:adjustRightInd w:val="0"/>
        <w:spacing w:line="240" w:lineRule="auto"/>
      </w:pPr>
    </w:p>
    <w:p w14:paraId="0DD9FF74" w14:textId="77777777" w:rsidR="00A27A6F" w:rsidRDefault="002C0949">
      <w:pPr>
        <w:autoSpaceDE w:val="0"/>
        <w:autoSpaceDN w:val="0"/>
        <w:adjustRightInd w:val="0"/>
        <w:spacing w:line="240" w:lineRule="auto"/>
      </w:pPr>
      <w:r>
        <w:t>Lahusti:</w:t>
      </w:r>
    </w:p>
    <w:p w14:paraId="0000C70A" w14:textId="152242C7" w:rsidR="00A27A6F" w:rsidRDefault="00570306">
      <w:pPr>
        <w:spacing w:line="240" w:lineRule="auto"/>
        <w:rPr>
          <w:szCs w:val="22"/>
        </w:rPr>
      </w:pPr>
      <w:r>
        <w:rPr>
          <w:szCs w:val="22"/>
        </w:rPr>
        <w:t>N</w:t>
      </w:r>
      <w:r w:rsidR="002C0949">
        <w:rPr>
          <w:szCs w:val="22"/>
        </w:rPr>
        <w:t>aatriumkloriid</w:t>
      </w:r>
      <w:r>
        <w:rPr>
          <w:szCs w:val="22"/>
        </w:rPr>
        <w:t xml:space="preserve">, </w:t>
      </w:r>
      <w:r w:rsidR="002C0949">
        <w:rPr>
          <w:szCs w:val="22"/>
        </w:rPr>
        <w:t>süstevesi</w:t>
      </w:r>
    </w:p>
    <w:p w14:paraId="38E07185" w14:textId="77777777" w:rsidR="00A27A6F" w:rsidRDefault="00A27A6F">
      <w:pPr>
        <w:autoSpaceDE w:val="0"/>
        <w:autoSpaceDN w:val="0"/>
        <w:adjustRightInd w:val="0"/>
        <w:spacing w:line="240" w:lineRule="auto"/>
      </w:pPr>
    </w:p>
    <w:p w14:paraId="156FDF93" w14:textId="77777777" w:rsidR="00A27A6F" w:rsidRDefault="00A27A6F">
      <w:pPr>
        <w:autoSpaceDE w:val="0"/>
        <w:autoSpaceDN w:val="0"/>
        <w:adjustRightInd w:val="0"/>
        <w:spacing w:line="240" w:lineRule="auto"/>
      </w:pPr>
    </w:p>
    <w:p w14:paraId="7FE0CD03"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RAVIMVORM JA PAKENDI SUURUS</w:t>
      </w:r>
    </w:p>
    <w:p w14:paraId="6E25D849" w14:textId="77777777" w:rsidR="00A27A6F" w:rsidRDefault="00A27A6F">
      <w:pPr>
        <w:keepNext/>
        <w:spacing w:line="240" w:lineRule="auto"/>
      </w:pPr>
    </w:p>
    <w:p w14:paraId="3CE74D73" w14:textId="77777777" w:rsidR="00A27A6F" w:rsidRDefault="002C0949">
      <w:pPr>
        <w:keepNext/>
        <w:spacing w:line="240" w:lineRule="auto"/>
        <w:rPr>
          <w:shd w:val="clear" w:color="auto" w:fill="D9D9D9"/>
          <w:lang w:eastAsia="en-US"/>
        </w:rPr>
      </w:pPr>
      <w:r>
        <w:rPr>
          <w:shd w:val="clear" w:color="auto" w:fill="D9D9D9"/>
          <w:lang w:eastAsia="en-US"/>
        </w:rPr>
        <w:t>Süstelahuse pulber ja lahusti</w:t>
      </w:r>
    </w:p>
    <w:p w14:paraId="10930208" w14:textId="77777777" w:rsidR="00A27A6F" w:rsidRDefault="00A27A6F">
      <w:pPr>
        <w:keepNext/>
        <w:spacing w:line="240" w:lineRule="auto"/>
        <w:rPr>
          <w:szCs w:val="22"/>
        </w:rPr>
      </w:pPr>
    </w:p>
    <w:p w14:paraId="72C1AACB" w14:textId="5925D485" w:rsidR="00A27A6F" w:rsidRDefault="002C0949">
      <w:pPr>
        <w:spacing w:line="240" w:lineRule="auto"/>
        <w:rPr>
          <w:szCs w:val="22"/>
        </w:rPr>
      </w:pPr>
      <w:r>
        <w:rPr>
          <w:szCs w:val="22"/>
        </w:rPr>
        <w:t>Sisu: 1 </w:t>
      </w:r>
      <w:proofErr w:type="spellStart"/>
      <w:r>
        <w:rPr>
          <w:szCs w:val="22"/>
        </w:rPr>
        <w:t>pulbriviaal</w:t>
      </w:r>
      <w:proofErr w:type="spellEnd"/>
      <w:r>
        <w:rPr>
          <w:szCs w:val="22"/>
        </w:rPr>
        <w:t xml:space="preserve">, 5 ml lahustit </w:t>
      </w:r>
      <w:proofErr w:type="spellStart"/>
      <w:r>
        <w:rPr>
          <w:szCs w:val="22"/>
        </w:rPr>
        <w:t>süstlis</w:t>
      </w:r>
      <w:proofErr w:type="spellEnd"/>
      <w:r>
        <w:rPr>
          <w:szCs w:val="22"/>
        </w:rPr>
        <w:t>, 1 kolvivarras, 1 </w:t>
      </w:r>
      <w:proofErr w:type="spellStart"/>
      <w:r>
        <w:rPr>
          <w:szCs w:val="22"/>
        </w:rPr>
        <w:t>viaaliadapter</w:t>
      </w:r>
      <w:proofErr w:type="spellEnd"/>
      <w:r>
        <w:rPr>
          <w:szCs w:val="22"/>
        </w:rPr>
        <w:t>, 1 infusioonikomplekt, 2 alkoholis niisutatud vatitupsu, 2 plaastrit, 1 marli</w:t>
      </w:r>
    </w:p>
    <w:p w14:paraId="0AC22F4D" w14:textId="77777777" w:rsidR="00A27A6F" w:rsidRDefault="00A27A6F">
      <w:pPr>
        <w:spacing w:line="240" w:lineRule="auto"/>
        <w:rPr>
          <w:szCs w:val="22"/>
        </w:rPr>
      </w:pPr>
    </w:p>
    <w:p w14:paraId="569D52B2" w14:textId="77777777" w:rsidR="00A27A6F" w:rsidRDefault="00A27A6F">
      <w:pPr>
        <w:spacing w:line="240" w:lineRule="auto"/>
        <w:rPr>
          <w:szCs w:val="22"/>
        </w:rPr>
      </w:pPr>
    </w:p>
    <w:p w14:paraId="6C7A5991"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MANUSTAMISVIIS JA -TEE(D)</w:t>
      </w:r>
    </w:p>
    <w:p w14:paraId="2CCB06E3" w14:textId="77777777" w:rsidR="00A27A6F" w:rsidRDefault="00A27A6F">
      <w:pPr>
        <w:spacing w:line="240" w:lineRule="auto"/>
        <w:rPr>
          <w:szCs w:val="22"/>
        </w:rPr>
      </w:pPr>
    </w:p>
    <w:p w14:paraId="03D40C02" w14:textId="77777777" w:rsidR="00A27A6F" w:rsidRDefault="002C0949">
      <w:pPr>
        <w:spacing w:line="240" w:lineRule="auto"/>
        <w:rPr>
          <w:szCs w:val="22"/>
        </w:rPr>
      </w:pPr>
      <w:proofErr w:type="spellStart"/>
      <w:r>
        <w:rPr>
          <w:szCs w:val="22"/>
        </w:rPr>
        <w:t>Intravenoosne</w:t>
      </w:r>
      <w:proofErr w:type="spellEnd"/>
      <w:r>
        <w:rPr>
          <w:szCs w:val="22"/>
        </w:rPr>
        <w:t>, pärast manustamiskõlblikuks muutmist.</w:t>
      </w:r>
    </w:p>
    <w:p w14:paraId="78DD5E86" w14:textId="77777777" w:rsidR="00A27A6F" w:rsidRDefault="002C0949">
      <w:pPr>
        <w:spacing w:line="240" w:lineRule="auto"/>
        <w:rPr>
          <w:szCs w:val="22"/>
        </w:rPr>
      </w:pPr>
      <w:r>
        <w:rPr>
          <w:szCs w:val="22"/>
        </w:rPr>
        <w:t>Enne ravimi kasutamist lugege pakendi infolehte.</w:t>
      </w:r>
    </w:p>
    <w:p w14:paraId="5F80248D" w14:textId="77777777" w:rsidR="00A27A6F" w:rsidRDefault="00A27A6F">
      <w:pPr>
        <w:spacing w:line="240" w:lineRule="auto"/>
        <w:rPr>
          <w:szCs w:val="22"/>
        </w:rPr>
      </w:pPr>
    </w:p>
    <w:p w14:paraId="52072863" w14:textId="77777777" w:rsidR="00A27A6F" w:rsidRDefault="002C0949">
      <w:pPr>
        <w:spacing w:line="240" w:lineRule="auto"/>
        <w:rPr>
          <w:szCs w:val="22"/>
        </w:rPr>
      </w:pPr>
      <w:proofErr w:type="spellStart"/>
      <w:r>
        <w:rPr>
          <w:szCs w:val="22"/>
        </w:rPr>
        <w:t>ALPROLIX’i</w:t>
      </w:r>
      <w:proofErr w:type="spellEnd"/>
      <w:r>
        <w:rPr>
          <w:szCs w:val="22"/>
        </w:rPr>
        <w:t xml:space="preserve"> ettevalmistamise ja manustamise juhendvideoga tutvumiseks skaneerige QR-kood oma nutitelefoniga või vaadake videot veebisaidil</w:t>
      </w:r>
    </w:p>
    <w:p w14:paraId="77A53EC5" w14:textId="77777777" w:rsidR="00A27A6F" w:rsidRDefault="00A27A6F">
      <w:pPr>
        <w:spacing w:line="240" w:lineRule="auto"/>
        <w:rPr>
          <w:szCs w:val="22"/>
        </w:rPr>
      </w:pPr>
    </w:p>
    <w:p w14:paraId="1965FF7C" w14:textId="57E64D83" w:rsidR="00A27A6F" w:rsidRDefault="002C0949">
      <w:pPr>
        <w:spacing w:line="240" w:lineRule="auto"/>
        <w:rPr>
          <w:szCs w:val="22"/>
        </w:rPr>
      </w:pPr>
      <w:r>
        <w:rPr>
          <w:shd w:val="clear" w:color="auto" w:fill="D9D9D9"/>
        </w:rPr>
        <w:t>Lisatakse QR-kood +</w:t>
      </w:r>
      <w:r>
        <w:t xml:space="preserve"> </w:t>
      </w:r>
      <w:hyperlink r:id="rId29" w:history="1">
        <w:r>
          <w:rPr>
            <w:rStyle w:val="Hyperlink"/>
          </w:rPr>
          <w:t>http://www.alprolix-instructions.com</w:t>
        </w:r>
      </w:hyperlink>
      <w:r>
        <w:rPr>
          <w:szCs w:val="22"/>
        </w:rPr>
        <w:t xml:space="preserve"> </w:t>
      </w:r>
    </w:p>
    <w:p w14:paraId="7906EB85" w14:textId="77777777" w:rsidR="00A27A6F" w:rsidRDefault="00A27A6F">
      <w:pPr>
        <w:spacing w:line="240" w:lineRule="auto"/>
        <w:rPr>
          <w:szCs w:val="22"/>
        </w:rPr>
      </w:pPr>
    </w:p>
    <w:p w14:paraId="1986455B" w14:textId="77777777" w:rsidR="00A27A6F" w:rsidRDefault="00A27A6F">
      <w:pPr>
        <w:spacing w:line="240" w:lineRule="auto"/>
        <w:rPr>
          <w:szCs w:val="22"/>
        </w:rPr>
      </w:pPr>
    </w:p>
    <w:p w14:paraId="4F1F673C"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ERIHOIATUS, ET RAVIMIT TULEB HOIDA LASTE EEST VARJATUD JA KÄTTESAAMATUS KOHAS</w:t>
      </w:r>
    </w:p>
    <w:p w14:paraId="02C844F6" w14:textId="77777777" w:rsidR="00A27A6F" w:rsidRDefault="00A27A6F">
      <w:pPr>
        <w:spacing w:line="240" w:lineRule="auto"/>
        <w:rPr>
          <w:szCs w:val="22"/>
        </w:rPr>
      </w:pPr>
    </w:p>
    <w:p w14:paraId="580A54E0" w14:textId="77777777" w:rsidR="00A27A6F" w:rsidRDefault="002C0949">
      <w:pPr>
        <w:spacing w:line="240" w:lineRule="auto"/>
        <w:rPr>
          <w:szCs w:val="22"/>
        </w:rPr>
      </w:pPr>
      <w:r>
        <w:rPr>
          <w:szCs w:val="22"/>
        </w:rPr>
        <w:t>Hoida laste eest varjatud ja kättesaamatus kohas.</w:t>
      </w:r>
    </w:p>
    <w:p w14:paraId="1F670878" w14:textId="77777777" w:rsidR="00A27A6F" w:rsidRDefault="00A27A6F">
      <w:pPr>
        <w:spacing w:line="240" w:lineRule="auto"/>
        <w:rPr>
          <w:szCs w:val="22"/>
        </w:rPr>
      </w:pPr>
    </w:p>
    <w:p w14:paraId="4EBCAE12" w14:textId="77777777" w:rsidR="00A27A6F" w:rsidRDefault="00A27A6F">
      <w:pPr>
        <w:spacing w:line="240" w:lineRule="auto"/>
        <w:rPr>
          <w:szCs w:val="22"/>
        </w:rPr>
      </w:pPr>
    </w:p>
    <w:p w14:paraId="376ED782"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7.</w:t>
      </w:r>
      <w:r>
        <w:rPr>
          <w:b/>
          <w:szCs w:val="22"/>
        </w:rPr>
        <w:tab/>
        <w:t>TEISED ERIHOIATUSED (VAJADUSEL)</w:t>
      </w:r>
    </w:p>
    <w:p w14:paraId="324E7071" w14:textId="77777777" w:rsidR="00A27A6F" w:rsidRDefault="00A27A6F">
      <w:pPr>
        <w:spacing w:line="240" w:lineRule="auto"/>
        <w:rPr>
          <w:szCs w:val="22"/>
        </w:rPr>
      </w:pPr>
    </w:p>
    <w:p w14:paraId="063C6D34" w14:textId="77777777" w:rsidR="00A27A6F" w:rsidRDefault="00A27A6F">
      <w:pPr>
        <w:spacing w:line="240" w:lineRule="auto"/>
      </w:pPr>
    </w:p>
    <w:p w14:paraId="573628AC"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8.</w:t>
      </w:r>
      <w:r>
        <w:rPr>
          <w:b/>
          <w:szCs w:val="22"/>
        </w:rPr>
        <w:tab/>
        <w:t>KÕLBLIKKUSAEG</w:t>
      </w:r>
    </w:p>
    <w:p w14:paraId="53C344F2" w14:textId="77777777" w:rsidR="00A27A6F" w:rsidRDefault="00A27A6F">
      <w:pPr>
        <w:spacing w:line="240" w:lineRule="auto"/>
      </w:pPr>
    </w:p>
    <w:p w14:paraId="0538D86D" w14:textId="77777777" w:rsidR="00A27A6F" w:rsidRDefault="002C0949">
      <w:pPr>
        <w:spacing w:line="240" w:lineRule="auto"/>
      </w:pPr>
      <w:r>
        <w:t>EXP</w:t>
      </w:r>
    </w:p>
    <w:p w14:paraId="70D37F46" w14:textId="77777777" w:rsidR="00A27A6F" w:rsidRDefault="00A27A6F">
      <w:pPr>
        <w:spacing w:line="240" w:lineRule="auto"/>
      </w:pPr>
    </w:p>
    <w:p w14:paraId="7CC68AAD" w14:textId="77777777" w:rsidR="00A27A6F" w:rsidRDefault="002C0949">
      <w:pPr>
        <w:spacing w:line="240" w:lineRule="auto"/>
      </w:pPr>
      <w:r>
        <w:t>Kasutada 6 tunni jooksul pärast manustamiskõlblikuks muutmist.</w:t>
      </w:r>
    </w:p>
    <w:p w14:paraId="67C2FE90" w14:textId="77777777" w:rsidR="00A27A6F" w:rsidRDefault="00A27A6F">
      <w:pPr>
        <w:spacing w:line="240" w:lineRule="auto"/>
      </w:pPr>
    </w:p>
    <w:p w14:paraId="3EACD3EC" w14:textId="77777777" w:rsidR="00A27A6F" w:rsidRDefault="00A27A6F">
      <w:pPr>
        <w:spacing w:line="240" w:lineRule="auto"/>
        <w:rPr>
          <w:szCs w:val="22"/>
        </w:rPr>
      </w:pPr>
    </w:p>
    <w:p w14:paraId="074AD702"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9.</w:t>
      </w:r>
      <w:r>
        <w:rPr>
          <w:b/>
          <w:szCs w:val="22"/>
        </w:rPr>
        <w:tab/>
        <w:t>SÄILITAMISE ERITINGIMUSED</w:t>
      </w:r>
    </w:p>
    <w:p w14:paraId="5D272C22" w14:textId="77777777" w:rsidR="00A27A6F" w:rsidRDefault="00A27A6F">
      <w:pPr>
        <w:spacing w:line="240" w:lineRule="auto"/>
        <w:rPr>
          <w:szCs w:val="22"/>
        </w:rPr>
      </w:pPr>
    </w:p>
    <w:p w14:paraId="42D50E56" w14:textId="77777777" w:rsidR="00A27A6F" w:rsidRDefault="002C0949">
      <w:pPr>
        <w:spacing w:line="240" w:lineRule="auto"/>
        <w:rPr>
          <w:szCs w:val="22"/>
        </w:rPr>
      </w:pPr>
      <w:r>
        <w:rPr>
          <w:szCs w:val="22"/>
        </w:rPr>
        <w:t xml:space="preserve">Hoida </w:t>
      </w:r>
      <w:proofErr w:type="spellStart"/>
      <w:r>
        <w:rPr>
          <w:szCs w:val="22"/>
        </w:rPr>
        <w:t>viaali</w:t>
      </w:r>
      <w:proofErr w:type="spellEnd"/>
      <w:r>
        <w:rPr>
          <w:szCs w:val="22"/>
        </w:rPr>
        <w:t xml:space="preserve"> </w:t>
      </w:r>
      <w:proofErr w:type="spellStart"/>
      <w:r>
        <w:rPr>
          <w:szCs w:val="22"/>
        </w:rPr>
        <w:t>välispakendis</w:t>
      </w:r>
      <w:proofErr w:type="spellEnd"/>
      <w:r>
        <w:rPr>
          <w:szCs w:val="22"/>
        </w:rPr>
        <w:t xml:space="preserve"> valguse eest kaitstult.</w:t>
      </w:r>
    </w:p>
    <w:p w14:paraId="0293C7FF" w14:textId="77777777" w:rsidR="00A27A6F" w:rsidRDefault="002C0949">
      <w:pPr>
        <w:spacing w:line="240" w:lineRule="auto"/>
        <w:rPr>
          <w:szCs w:val="22"/>
        </w:rPr>
      </w:pPr>
      <w:r>
        <w:rPr>
          <w:szCs w:val="22"/>
        </w:rPr>
        <w:t>Hoida külmkapis.</w:t>
      </w:r>
    </w:p>
    <w:p w14:paraId="7A6C3170" w14:textId="77777777" w:rsidR="00A27A6F" w:rsidRDefault="002C0949">
      <w:pPr>
        <w:spacing w:line="240" w:lineRule="auto"/>
        <w:rPr>
          <w:szCs w:val="22"/>
        </w:rPr>
      </w:pPr>
      <w:r>
        <w:rPr>
          <w:szCs w:val="22"/>
        </w:rPr>
        <w:t>Mitte lasta külmuda.</w:t>
      </w:r>
    </w:p>
    <w:p w14:paraId="23B1918C" w14:textId="77777777" w:rsidR="00A27A6F" w:rsidRDefault="002C0949">
      <w:pPr>
        <w:spacing w:line="240" w:lineRule="auto"/>
        <w:rPr>
          <w:szCs w:val="22"/>
        </w:rPr>
      </w:pPr>
      <w:r>
        <w:rPr>
          <w:szCs w:val="22"/>
        </w:rPr>
        <w:t>Võib säilitada toatemperatuuril (kuni 30°C) ühe, 6 kuulise ajaperioodi jooksul. Pärast toatemperatuuril hoidmist ei tohi uuesti külmkappi panna.</w:t>
      </w:r>
    </w:p>
    <w:p w14:paraId="6E297C00" w14:textId="77777777" w:rsidR="00A27A6F" w:rsidRDefault="002C0949">
      <w:pPr>
        <w:spacing w:line="240" w:lineRule="auto"/>
        <w:rPr>
          <w:szCs w:val="22"/>
        </w:rPr>
      </w:pPr>
      <w:r>
        <w:rPr>
          <w:szCs w:val="22"/>
        </w:rPr>
        <w:t>Külmkapist väljavõtmise kuupäev:</w:t>
      </w:r>
    </w:p>
    <w:p w14:paraId="48870B87" w14:textId="77777777" w:rsidR="00A27A6F" w:rsidRDefault="00A27A6F">
      <w:pPr>
        <w:spacing w:line="240" w:lineRule="auto"/>
        <w:rPr>
          <w:szCs w:val="22"/>
        </w:rPr>
      </w:pPr>
    </w:p>
    <w:p w14:paraId="7FD219DF" w14:textId="77777777" w:rsidR="00A27A6F" w:rsidRDefault="00A27A6F">
      <w:pPr>
        <w:spacing w:line="240" w:lineRule="auto"/>
        <w:ind w:left="567" w:hanging="567"/>
        <w:rPr>
          <w:szCs w:val="22"/>
        </w:rPr>
      </w:pPr>
    </w:p>
    <w:p w14:paraId="3A378C6E"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10.</w:t>
      </w:r>
      <w:r>
        <w:rPr>
          <w:b/>
          <w:szCs w:val="22"/>
        </w:rPr>
        <w:tab/>
        <w:t>ERINÕUDED KASUTAMATA JÄÄNUD RAVIMPREPARAADI VÕI SELLEST TEKKINUD JÄÄTMEMATERJALI HÄVITAMISEKS, VASTAVALT VAJADUSELE</w:t>
      </w:r>
    </w:p>
    <w:p w14:paraId="00131ABA" w14:textId="77777777" w:rsidR="00A27A6F" w:rsidRDefault="00A27A6F">
      <w:pPr>
        <w:spacing w:line="240" w:lineRule="auto"/>
        <w:rPr>
          <w:szCs w:val="22"/>
        </w:rPr>
      </w:pPr>
    </w:p>
    <w:p w14:paraId="77F4FEF9" w14:textId="77777777" w:rsidR="00A27A6F" w:rsidRDefault="00A27A6F">
      <w:pPr>
        <w:spacing w:line="240" w:lineRule="auto"/>
        <w:rPr>
          <w:szCs w:val="22"/>
        </w:rPr>
      </w:pPr>
    </w:p>
    <w:p w14:paraId="0CE69983"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11.</w:t>
      </w:r>
      <w:r>
        <w:rPr>
          <w:b/>
          <w:szCs w:val="22"/>
        </w:rPr>
        <w:tab/>
        <w:t>MÜÜGILOA HOIDJA NIMI JA AADRESS</w:t>
      </w:r>
    </w:p>
    <w:p w14:paraId="059BEBDE" w14:textId="77777777" w:rsidR="00A27A6F" w:rsidRDefault="00A27A6F">
      <w:pPr>
        <w:keepNext/>
        <w:spacing w:line="240" w:lineRule="auto"/>
        <w:rPr>
          <w:szCs w:val="22"/>
        </w:rPr>
      </w:pPr>
    </w:p>
    <w:p w14:paraId="49B45CBE" w14:textId="77777777" w:rsidR="00A27A6F" w:rsidRDefault="002C0949">
      <w:pPr>
        <w:keepNext/>
        <w:spacing w:line="240" w:lineRule="auto"/>
      </w:pPr>
      <w:r>
        <w:t xml:space="preserve">Swedish </w:t>
      </w:r>
      <w:proofErr w:type="spellStart"/>
      <w:r>
        <w:t>Orphan</w:t>
      </w:r>
      <w:proofErr w:type="spellEnd"/>
      <w:r>
        <w:t xml:space="preserve"> </w:t>
      </w:r>
      <w:proofErr w:type="spellStart"/>
      <w:r>
        <w:t>Biovitrum</w:t>
      </w:r>
      <w:proofErr w:type="spellEnd"/>
      <w:r>
        <w:t xml:space="preserve"> AB (</w:t>
      </w:r>
      <w:proofErr w:type="spellStart"/>
      <w:r>
        <w:t>publ</w:t>
      </w:r>
      <w:proofErr w:type="spellEnd"/>
      <w:r>
        <w:t>)</w:t>
      </w:r>
    </w:p>
    <w:p w14:paraId="2756CE99" w14:textId="77777777" w:rsidR="00A27A6F" w:rsidRDefault="002C0949">
      <w:pPr>
        <w:keepNext/>
        <w:spacing w:line="240" w:lineRule="auto"/>
      </w:pPr>
      <w:r>
        <w:t>SE-112 76 Stockholm</w:t>
      </w:r>
    </w:p>
    <w:p w14:paraId="48409ACC" w14:textId="77777777" w:rsidR="00A27A6F" w:rsidRDefault="002C0949">
      <w:pPr>
        <w:spacing w:line="240" w:lineRule="auto"/>
      </w:pPr>
      <w:r>
        <w:t>Rootsi</w:t>
      </w:r>
    </w:p>
    <w:p w14:paraId="717F6E6E" w14:textId="77777777" w:rsidR="00A27A6F" w:rsidRDefault="00A27A6F">
      <w:pPr>
        <w:spacing w:line="240" w:lineRule="auto"/>
        <w:rPr>
          <w:szCs w:val="22"/>
        </w:rPr>
      </w:pPr>
    </w:p>
    <w:p w14:paraId="40BC687F" w14:textId="77777777" w:rsidR="00A27A6F" w:rsidRDefault="00A27A6F">
      <w:pPr>
        <w:spacing w:line="240" w:lineRule="auto"/>
        <w:rPr>
          <w:szCs w:val="22"/>
        </w:rPr>
      </w:pPr>
    </w:p>
    <w:p w14:paraId="1701B7C4"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12.</w:t>
      </w:r>
      <w:r>
        <w:rPr>
          <w:b/>
          <w:szCs w:val="22"/>
        </w:rPr>
        <w:tab/>
        <w:t>MÜÜGILOA NUMBER (NUMBRID)</w:t>
      </w:r>
    </w:p>
    <w:p w14:paraId="37F395B2" w14:textId="77777777" w:rsidR="00A27A6F" w:rsidRDefault="00A27A6F">
      <w:pPr>
        <w:spacing w:line="240" w:lineRule="auto"/>
        <w:rPr>
          <w:szCs w:val="22"/>
        </w:rPr>
      </w:pPr>
    </w:p>
    <w:p w14:paraId="16C2B00C" w14:textId="77777777" w:rsidR="00A27A6F" w:rsidRDefault="002C0949">
      <w:pPr>
        <w:spacing w:line="240" w:lineRule="auto"/>
        <w:rPr>
          <w:szCs w:val="22"/>
        </w:rPr>
      </w:pPr>
      <w:r>
        <w:rPr>
          <w:szCs w:val="22"/>
        </w:rPr>
        <w:t>EU/1/16/1098/001</w:t>
      </w:r>
    </w:p>
    <w:p w14:paraId="3ACB8ED7" w14:textId="77777777" w:rsidR="00A27A6F" w:rsidRDefault="00A27A6F">
      <w:pPr>
        <w:spacing w:line="240" w:lineRule="auto"/>
        <w:rPr>
          <w:szCs w:val="22"/>
        </w:rPr>
      </w:pPr>
    </w:p>
    <w:p w14:paraId="2E33A553" w14:textId="77777777" w:rsidR="00A27A6F" w:rsidRDefault="00A27A6F">
      <w:pPr>
        <w:spacing w:line="240" w:lineRule="auto"/>
        <w:rPr>
          <w:szCs w:val="22"/>
        </w:rPr>
      </w:pPr>
    </w:p>
    <w:p w14:paraId="0E5A251E"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13.</w:t>
      </w:r>
      <w:r>
        <w:rPr>
          <w:b/>
          <w:szCs w:val="22"/>
        </w:rPr>
        <w:tab/>
        <w:t>PARTII NUMBER</w:t>
      </w:r>
    </w:p>
    <w:p w14:paraId="334E99B6" w14:textId="77777777" w:rsidR="00A27A6F" w:rsidRDefault="00A27A6F">
      <w:pPr>
        <w:spacing w:line="240" w:lineRule="auto"/>
        <w:rPr>
          <w:i/>
          <w:szCs w:val="22"/>
        </w:rPr>
      </w:pPr>
    </w:p>
    <w:p w14:paraId="696B9C3A" w14:textId="77777777" w:rsidR="00A27A6F" w:rsidRDefault="002C0949">
      <w:pPr>
        <w:spacing w:line="240" w:lineRule="auto"/>
        <w:rPr>
          <w:szCs w:val="22"/>
        </w:rPr>
      </w:pPr>
      <w:r>
        <w:rPr>
          <w:szCs w:val="22"/>
        </w:rPr>
        <w:t>Lot</w:t>
      </w:r>
    </w:p>
    <w:p w14:paraId="6055575A" w14:textId="77777777" w:rsidR="00A27A6F" w:rsidRDefault="00A27A6F">
      <w:pPr>
        <w:spacing w:line="240" w:lineRule="auto"/>
        <w:rPr>
          <w:szCs w:val="22"/>
        </w:rPr>
      </w:pPr>
    </w:p>
    <w:p w14:paraId="45050251" w14:textId="77777777" w:rsidR="00A27A6F" w:rsidRDefault="00A27A6F">
      <w:pPr>
        <w:spacing w:line="240" w:lineRule="auto"/>
        <w:rPr>
          <w:szCs w:val="22"/>
        </w:rPr>
      </w:pPr>
    </w:p>
    <w:p w14:paraId="6C36C978"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14.</w:t>
      </w:r>
      <w:r>
        <w:rPr>
          <w:b/>
          <w:szCs w:val="22"/>
        </w:rPr>
        <w:tab/>
        <w:t>RAVIMI VÄLJASTAMISTINGIMUSED</w:t>
      </w:r>
    </w:p>
    <w:p w14:paraId="0CDBFDF4" w14:textId="77777777" w:rsidR="00A27A6F" w:rsidRDefault="00A27A6F">
      <w:pPr>
        <w:spacing w:line="240" w:lineRule="auto"/>
        <w:rPr>
          <w:i/>
          <w:szCs w:val="22"/>
        </w:rPr>
      </w:pPr>
    </w:p>
    <w:p w14:paraId="6EAA28C5" w14:textId="77777777" w:rsidR="00A27A6F" w:rsidRDefault="00A27A6F">
      <w:pPr>
        <w:spacing w:line="240" w:lineRule="auto"/>
        <w:rPr>
          <w:szCs w:val="22"/>
        </w:rPr>
      </w:pPr>
    </w:p>
    <w:p w14:paraId="10EAF113"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15.</w:t>
      </w:r>
      <w:r>
        <w:rPr>
          <w:b/>
          <w:szCs w:val="22"/>
        </w:rPr>
        <w:tab/>
        <w:t>KASUTUSJUHEND</w:t>
      </w:r>
    </w:p>
    <w:p w14:paraId="202F21C6" w14:textId="77777777" w:rsidR="00A27A6F" w:rsidRDefault="00A27A6F">
      <w:pPr>
        <w:spacing w:line="240" w:lineRule="auto"/>
      </w:pPr>
    </w:p>
    <w:p w14:paraId="4B2F616D" w14:textId="77777777" w:rsidR="00A27A6F" w:rsidRDefault="00A27A6F">
      <w:pPr>
        <w:spacing w:line="240" w:lineRule="auto"/>
      </w:pPr>
    </w:p>
    <w:p w14:paraId="73B96AC9"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lastRenderedPageBreak/>
        <w:t>16.</w:t>
      </w:r>
      <w:r>
        <w:rPr>
          <w:b/>
          <w:szCs w:val="22"/>
        </w:rPr>
        <w:tab/>
        <w:t>TEAVE BRAILLE’ KIRJAS (PUNKTKIRJAS)</w:t>
      </w:r>
    </w:p>
    <w:p w14:paraId="2B429935" w14:textId="77777777" w:rsidR="00A27A6F" w:rsidRDefault="00A27A6F">
      <w:pPr>
        <w:spacing w:line="240" w:lineRule="auto"/>
      </w:pPr>
    </w:p>
    <w:p w14:paraId="34FC4738" w14:textId="77777777" w:rsidR="00A27A6F" w:rsidRDefault="002C0949">
      <w:pPr>
        <w:spacing w:line="240" w:lineRule="auto"/>
      </w:pPr>
      <w:r>
        <w:t>ALPROLIX 250</w:t>
      </w:r>
    </w:p>
    <w:p w14:paraId="7062528E" w14:textId="77777777" w:rsidR="00A27A6F" w:rsidRDefault="00A27A6F">
      <w:pPr>
        <w:spacing w:line="240" w:lineRule="auto"/>
        <w:rPr>
          <w:szCs w:val="22"/>
          <w:shd w:val="clear" w:color="auto" w:fill="CCCCCC"/>
        </w:rPr>
      </w:pPr>
    </w:p>
    <w:p w14:paraId="07060EA5" w14:textId="77777777" w:rsidR="00A27A6F" w:rsidRDefault="00A27A6F">
      <w:pPr>
        <w:spacing w:line="240" w:lineRule="auto"/>
        <w:rPr>
          <w:szCs w:val="22"/>
          <w:shd w:val="clear" w:color="auto" w:fill="CCCCCC"/>
        </w:rPr>
      </w:pPr>
    </w:p>
    <w:p w14:paraId="0E6C8991"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17.</w:t>
      </w:r>
      <w:r>
        <w:rPr>
          <w:b/>
          <w:szCs w:val="22"/>
        </w:rPr>
        <w:tab/>
        <w:t>AINULAADNE IDENTIFIKAATOR – 2D-vöötkood</w:t>
      </w:r>
    </w:p>
    <w:p w14:paraId="74E626EF" w14:textId="77777777" w:rsidR="00A27A6F" w:rsidRDefault="00A27A6F">
      <w:pPr>
        <w:keepNext/>
        <w:tabs>
          <w:tab w:val="clear" w:pos="567"/>
        </w:tabs>
        <w:spacing w:line="240" w:lineRule="auto"/>
      </w:pPr>
    </w:p>
    <w:p w14:paraId="3C70A5EC" w14:textId="77777777" w:rsidR="00A27A6F" w:rsidRDefault="002C0949">
      <w:pPr>
        <w:spacing w:line="240" w:lineRule="auto"/>
        <w:rPr>
          <w:szCs w:val="22"/>
          <w:shd w:val="clear" w:color="auto" w:fill="CCCCCC"/>
        </w:rPr>
      </w:pPr>
      <w:r>
        <w:rPr>
          <w:shd w:val="clear" w:color="auto" w:fill="BFBFBF"/>
        </w:rPr>
        <w:t>Lisatud on 2D-vöötkood, mis sisaldab ainulaadset identifikaatorit.</w:t>
      </w:r>
    </w:p>
    <w:p w14:paraId="489A1564" w14:textId="77777777" w:rsidR="00A27A6F" w:rsidRDefault="00A27A6F">
      <w:pPr>
        <w:spacing w:line="240" w:lineRule="auto"/>
        <w:rPr>
          <w:szCs w:val="22"/>
          <w:shd w:val="clear" w:color="auto" w:fill="CCCCCC"/>
        </w:rPr>
      </w:pPr>
    </w:p>
    <w:p w14:paraId="5A33822E" w14:textId="77777777" w:rsidR="00A27A6F" w:rsidRDefault="00A27A6F">
      <w:pPr>
        <w:tabs>
          <w:tab w:val="clear" w:pos="567"/>
        </w:tabs>
        <w:spacing w:line="240" w:lineRule="auto"/>
      </w:pPr>
    </w:p>
    <w:p w14:paraId="05160B49"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18.</w:t>
      </w:r>
      <w:r>
        <w:rPr>
          <w:b/>
          <w:szCs w:val="22"/>
        </w:rPr>
        <w:tab/>
        <w:t>AINULAADNE IDENTIFIKAATOR – INIMLOETAVAD ANDMED</w:t>
      </w:r>
    </w:p>
    <w:p w14:paraId="39BBAA90" w14:textId="77777777" w:rsidR="00A27A6F" w:rsidRDefault="00A27A6F">
      <w:pPr>
        <w:keepNext/>
        <w:tabs>
          <w:tab w:val="clear" w:pos="567"/>
        </w:tabs>
        <w:spacing w:line="240" w:lineRule="auto"/>
      </w:pPr>
    </w:p>
    <w:p w14:paraId="6F8B353E" w14:textId="6AF9C64C" w:rsidR="00A27A6F" w:rsidRDefault="002C0949">
      <w:pPr>
        <w:keepNext/>
        <w:rPr>
          <w:szCs w:val="22"/>
        </w:rPr>
      </w:pPr>
      <w:r>
        <w:t>PC</w:t>
      </w:r>
    </w:p>
    <w:p w14:paraId="4A86910C" w14:textId="0B3940F5" w:rsidR="00A27A6F" w:rsidRDefault="002C0949">
      <w:pPr>
        <w:keepNext/>
        <w:rPr>
          <w:szCs w:val="22"/>
        </w:rPr>
      </w:pPr>
      <w:r>
        <w:t>SN</w:t>
      </w:r>
    </w:p>
    <w:p w14:paraId="27774736" w14:textId="2E7DA77C" w:rsidR="00A27A6F" w:rsidRDefault="002C0949">
      <w:pPr>
        <w:rPr>
          <w:szCs w:val="22"/>
        </w:rPr>
      </w:pPr>
      <w:r>
        <w:t>NN</w:t>
      </w:r>
    </w:p>
    <w:p w14:paraId="25F3B1E5" w14:textId="77777777" w:rsidR="00A27A6F" w:rsidRDefault="00A27A6F">
      <w:pPr>
        <w:rPr>
          <w:szCs w:val="22"/>
        </w:rPr>
      </w:pPr>
    </w:p>
    <w:p w14:paraId="10FC586A" w14:textId="77777777" w:rsidR="00A27A6F" w:rsidRDefault="00A27A6F">
      <w:pPr>
        <w:spacing w:line="240" w:lineRule="auto"/>
        <w:rPr>
          <w:szCs w:val="22"/>
          <w:shd w:val="clear" w:color="auto" w:fill="CCCCCC"/>
        </w:rPr>
      </w:pPr>
    </w:p>
    <w:p w14:paraId="3BD89327" w14:textId="77777777" w:rsidR="00A27A6F" w:rsidRDefault="002C0949">
      <w:pPr>
        <w:spacing w:line="240" w:lineRule="auto"/>
        <w:rPr>
          <w:szCs w:val="22"/>
        </w:rPr>
      </w:pPr>
      <w:r>
        <w:rPr>
          <w:szCs w:val="22"/>
          <w:shd w:val="clear" w:color="auto" w:fill="CCCCCC"/>
        </w:rPr>
        <w:br w:type="page"/>
      </w:r>
    </w:p>
    <w:p w14:paraId="7E92254B" w14:textId="77777777" w:rsidR="00A27A6F" w:rsidRDefault="002C0949">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MINIMAALSED ANDMED, MIS PEAVAD OLEMA VÄIKESEL VAHETUL SISEPAKENDIL</w:t>
      </w:r>
    </w:p>
    <w:p w14:paraId="47AD9E30" w14:textId="77777777" w:rsidR="00A27A6F" w:rsidRDefault="00A27A6F">
      <w:pPr>
        <w:pBdr>
          <w:top w:val="single" w:sz="4" w:space="1" w:color="auto"/>
          <w:left w:val="single" w:sz="4" w:space="4" w:color="auto"/>
          <w:bottom w:val="single" w:sz="4" w:space="1" w:color="auto"/>
          <w:right w:val="single" w:sz="4" w:space="4" w:color="auto"/>
        </w:pBdr>
        <w:spacing w:line="240" w:lineRule="auto"/>
        <w:rPr>
          <w:b/>
          <w:szCs w:val="22"/>
        </w:rPr>
      </w:pPr>
    </w:p>
    <w:p w14:paraId="6A9A7FA9" w14:textId="77777777" w:rsidR="00A27A6F" w:rsidRDefault="002C0949">
      <w:pPr>
        <w:pBdr>
          <w:top w:val="single" w:sz="4" w:space="1" w:color="auto"/>
          <w:left w:val="single" w:sz="4" w:space="4" w:color="auto"/>
          <w:bottom w:val="single" w:sz="4" w:space="1" w:color="auto"/>
          <w:right w:val="single" w:sz="4" w:space="4" w:color="auto"/>
        </w:pBdr>
        <w:spacing w:line="240" w:lineRule="auto"/>
        <w:rPr>
          <w:b/>
          <w:szCs w:val="22"/>
        </w:rPr>
      </w:pPr>
      <w:r w:rsidRPr="0095071A">
        <w:rPr>
          <w:b/>
          <w:szCs w:val="22"/>
        </w:rPr>
        <w:t>VIAALI SILT</w:t>
      </w:r>
    </w:p>
    <w:p w14:paraId="442069A2" w14:textId="77777777" w:rsidR="00A27A6F" w:rsidRDefault="00A27A6F">
      <w:pPr>
        <w:spacing w:line="240" w:lineRule="auto"/>
        <w:rPr>
          <w:szCs w:val="22"/>
        </w:rPr>
      </w:pPr>
    </w:p>
    <w:p w14:paraId="2A8153A1" w14:textId="77777777" w:rsidR="00A27A6F" w:rsidRDefault="00A27A6F">
      <w:pPr>
        <w:spacing w:line="240" w:lineRule="auto"/>
        <w:rPr>
          <w:szCs w:val="22"/>
        </w:rPr>
      </w:pPr>
    </w:p>
    <w:p w14:paraId="3E7210EB"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 JA MANUSTAMISTEE(D)</w:t>
      </w:r>
    </w:p>
    <w:p w14:paraId="38FFE183" w14:textId="77777777" w:rsidR="00A27A6F" w:rsidRDefault="00A27A6F">
      <w:pPr>
        <w:spacing w:line="240" w:lineRule="auto"/>
        <w:ind w:left="567" w:hanging="567"/>
        <w:rPr>
          <w:szCs w:val="22"/>
        </w:rPr>
      </w:pPr>
    </w:p>
    <w:p w14:paraId="4B7B25C5" w14:textId="77777777" w:rsidR="00A27A6F" w:rsidRDefault="002C0949">
      <w:pPr>
        <w:spacing w:line="240" w:lineRule="auto"/>
        <w:rPr>
          <w:szCs w:val="22"/>
        </w:rPr>
      </w:pPr>
      <w:r>
        <w:rPr>
          <w:szCs w:val="22"/>
        </w:rPr>
        <w:t>ALPROLIX 250 RÜ süstelahuse pulber</w:t>
      </w:r>
    </w:p>
    <w:p w14:paraId="1286A037" w14:textId="747FBD4B" w:rsidR="00A27A6F" w:rsidRDefault="00A27A6F">
      <w:pPr>
        <w:spacing w:line="240" w:lineRule="auto"/>
        <w:rPr>
          <w:szCs w:val="22"/>
        </w:rPr>
      </w:pPr>
    </w:p>
    <w:p w14:paraId="51BD1ECB" w14:textId="77777777" w:rsidR="00A27A6F" w:rsidRDefault="002C0949">
      <w:pPr>
        <w:spacing w:line="240" w:lineRule="auto"/>
        <w:rPr>
          <w:i/>
          <w:szCs w:val="22"/>
        </w:rPr>
      </w:pPr>
      <w:proofErr w:type="spellStart"/>
      <w:r>
        <w:rPr>
          <w:i/>
          <w:szCs w:val="22"/>
        </w:rPr>
        <w:t>eftrenonacogum</w:t>
      </w:r>
      <w:proofErr w:type="spellEnd"/>
      <w:r>
        <w:rPr>
          <w:i/>
          <w:szCs w:val="22"/>
        </w:rPr>
        <w:t xml:space="preserve"> alfa</w:t>
      </w:r>
    </w:p>
    <w:p w14:paraId="5F533027" w14:textId="77777777" w:rsidR="00A27A6F" w:rsidRDefault="002C0949">
      <w:pPr>
        <w:spacing w:line="240" w:lineRule="auto"/>
        <w:rPr>
          <w:szCs w:val="22"/>
        </w:rPr>
      </w:pPr>
      <w:proofErr w:type="spellStart"/>
      <w:r>
        <w:rPr>
          <w:szCs w:val="22"/>
        </w:rPr>
        <w:t>rekombinantne</w:t>
      </w:r>
      <w:proofErr w:type="spellEnd"/>
      <w:r>
        <w:rPr>
          <w:szCs w:val="22"/>
        </w:rPr>
        <w:t xml:space="preserve"> IX hüübimisfaktor</w:t>
      </w:r>
    </w:p>
    <w:p w14:paraId="156B4347" w14:textId="77777777" w:rsidR="00A27A6F" w:rsidRDefault="002C0949">
      <w:pPr>
        <w:spacing w:line="240" w:lineRule="auto"/>
        <w:rPr>
          <w:szCs w:val="22"/>
        </w:rPr>
      </w:pPr>
      <w:proofErr w:type="spellStart"/>
      <w:r>
        <w:rPr>
          <w:szCs w:val="22"/>
        </w:rPr>
        <w:t>i.v</w:t>
      </w:r>
      <w:proofErr w:type="spellEnd"/>
      <w:r>
        <w:rPr>
          <w:szCs w:val="22"/>
        </w:rPr>
        <w:t>.</w:t>
      </w:r>
    </w:p>
    <w:p w14:paraId="4F00BEFA" w14:textId="77777777" w:rsidR="00A27A6F" w:rsidRDefault="00A27A6F">
      <w:pPr>
        <w:spacing w:line="240" w:lineRule="auto"/>
        <w:rPr>
          <w:szCs w:val="22"/>
        </w:rPr>
      </w:pPr>
    </w:p>
    <w:p w14:paraId="6AAB61E5" w14:textId="77777777" w:rsidR="00A27A6F" w:rsidRDefault="00A27A6F">
      <w:pPr>
        <w:spacing w:line="240" w:lineRule="auto"/>
        <w:rPr>
          <w:szCs w:val="22"/>
        </w:rPr>
      </w:pPr>
    </w:p>
    <w:p w14:paraId="4BD78FAB"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MANUSTAMISVIIS</w:t>
      </w:r>
    </w:p>
    <w:p w14:paraId="27AF682B" w14:textId="77777777" w:rsidR="00A27A6F" w:rsidRDefault="00A27A6F">
      <w:pPr>
        <w:spacing w:line="240" w:lineRule="auto"/>
        <w:rPr>
          <w:szCs w:val="22"/>
        </w:rPr>
      </w:pPr>
    </w:p>
    <w:p w14:paraId="0F3BF352" w14:textId="77777777" w:rsidR="00A27A6F" w:rsidRDefault="00A27A6F">
      <w:pPr>
        <w:spacing w:line="240" w:lineRule="auto"/>
        <w:rPr>
          <w:szCs w:val="22"/>
        </w:rPr>
      </w:pPr>
    </w:p>
    <w:p w14:paraId="09F23F06"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KÕLBLIKKUSAEG</w:t>
      </w:r>
    </w:p>
    <w:p w14:paraId="2D687F6E" w14:textId="77777777" w:rsidR="00A27A6F" w:rsidRDefault="00A27A6F">
      <w:pPr>
        <w:spacing w:line="240" w:lineRule="auto"/>
      </w:pPr>
    </w:p>
    <w:p w14:paraId="1CED65EC" w14:textId="77777777" w:rsidR="00A27A6F" w:rsidRDefault="002C0949">
      <w:pPr>
        <w:spacing w:line="240" w:lineRule="auto"/>
      </w:pPr>
      <w:r>
        <w:t>EXP</w:t>
      </w:r>
    </w:p>
    <w:p w14:paraId="5A6BC2BC" w14:textId="77777777" w:rsidR="00A27A6F" w:rsidRDefault="00A27A6F">
      <w:pPr>
        <w:spacing w:line="240" w:lineRule="auto"/>
      </w:pPr>
    </w:p>
    <w:p w14:paraId="731A8262" w14:textId="77777777" w:rsidR="00A27A6F" w:rsidRDefault="00A27A6F">
      <w:pPr>
        <w:spacing w:line="240" w:lineRule="auto"/>
      </w:pPr>
    </w:p>
    <w:p w14:paraId="5B08CC81"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PARTII NUMBER</w:t>
      </w:r>
    </w:p>
    <w:p w14:paraId="7B9A6812" w14:textId="77777777" w:rsidR="00A27A6F" w:rsidRDefault="00A27A6F">
      <w:pPr>
        <w:spacing w:line="240" w:lineRule="auto"/>
        <w:ind w:right="113"/>
      </w:pPr>
    </w:p>
    <w:p w14:paraId="6D977A5D" w14:textId="77777777" w:rsidR="00A27A6F" w:rsidRDefault="002C0949">
      <w:pPr>
        <w:spacing w:line="240" w:lineRule="auto"/>
        <w:ind w:right="113"/>
      </w:pPr>
      <w:r>
        <w:t>Lot</w:t>
      </w:r>
    </w:p>
    <w:p w14:paraId="673E3D7D" w14:textId="77777777" w:rsidR="00A27A6F" w:rsidRDefault="00A27A6F">
      <w:pPr>
        <w:spacing w:line="240" w:lineRule="auto"/>
        <w:ind w:right="113"/>
      </w:pPr>
    </w:p>
    <w:p w14:paraId="59C9E06A" w14:textId="77777777" w:rsidR="00A27A6F" w:rsidRDefault="00A27A6F">
      <w:pPr>
        <w:spacing w:line="240" w:lineRule="auto"/>
        <w:ind w:right="113"/>
      </w:pPr>
    </w:p>
    <w:p w14:paraId="30B333F3"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PAKENDI SISU KAALU, MAHU VÕI ÜHIKUTE JÄRGI</w:t>
      </w:r>
    </w:p>
    <w:p w14:paraId="65DCCB44" w14:textId="77777777" w:rsidR="00A27A6F" w:rsidRDefault="00A27A6F">
      <w:pPr>
        <w:spacing w:line="240" w:lineRule="auto"/>
        <w:ind w:right="113"/>
        <w:rPr>
          <w:szCs w:val="22"/>
        </w:rPr>
      </w:pPr>
    </w:p>
    <w:p w14:paraId="626ECF4F" w14:textId="77777777" w:rsidR="00A27A6F" w:rsidRDefault="002C0949">
      <w:pPr>
        <w:spacing w:line="240" w:lineRule="auto"/>
        <w:ind w:right="113"/>
        <w:rPr>
          <w:rFonts w:eastAsia="Calibri"/>
          <w:shd w:val="clear" w:color="auto" w:fill="D9D9D9"/>
          <w:lang w:eastAsia="en-US"/>
        </w:rPr>
      </w:pPr>
      <w:r>
        <w:rPr>
          <w:rFonts w:eastAsia="Calibri"/>
          <w:shd w:val="clear" w:color="auto" w:fill="D9D9D9"/>
          <w:lang w:eastAsia="en-US"/>
        </w:rPr>
        <w:t>250 RÜ</w:t>
      </w:r>
    </w:p>
    <w:p w14:paraId="1336C628" w14:textId="77777777" w:rsidR="00A27A6F" w:rsidRDefault="00A27A6F">
      <w:pPr>
        <w:spacing w:line="240" w:lineRule="auto"/>
        <w:ind w:right="113"/>
        <w:rPr>
          <w:szCs w:val="22"/>
        </w:rPr>
      </w:pPr>
    </w:p>
    <w:p w14:paraId="375CAB52" w14:textId="77777777" w:rsidR="00A27A6F" w:rsidRDefault="00A27A6F">
      <w:pPr>
        <w:spacing w:line="240" w:lineRule="auto"/>
        <w:ind w:right="113"/>
        <w:rPr>
          <w:szCs w:val="22"/>
        </w:rPr>
      </w:pPr>
    </w:p>
    <w:p w14:paraId="79254ADE"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MUU</w:t>
      </w:r>
    </w:p>
    <w:p w14:paraId="26B61DF0" w14:textId="77777777" w:rsidR="00A27A6F" w:rsidRDefault="00A27A6F">
      <w:pPr>
        <w:spacing w:line="240" w:lineRule="auto"/>
        <w:ind w:right="113"/>
        <w:rPr>
          <w:szCs w:val="22"/>
        </w:rPr>
      </w:pPr>
    </w:p>
    <w:p w14:paraId="33A73A42" w14:textId="77777777" w:rsidR="00A27A6F" w:rsidRDefault="002C0949">
      <w:pPr>
        <w:spacing w:line="240" w:lineRule="auto"/>
        <w:ind w:right="113"/>
        <w:rPr>
          <w:b/>
          <w:szCs w:val="22"/>
        </w:rPr>
      </w:pPr>
      <w:r>
        <w:rPr>
          <w:b/>
        </w:rPr>
        <w:br w:type="page"/>
      </w:r>
    </w:p>
    <w:p w14:paraId="1C68C3B0"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VÄLISPAKENDIL PEAVAD OLEMA JÄRGMISED ANDMED</w:t>
      </w:r>
    </w:p>
    <w:p w14:paraId="7A27FB0B"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AD6D978"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Cs/>
          <w:szCs w:val="22"/>
        </w:rPr>
      </w:pPr>
      <w:r>
        <w:rPr>
          <w:b/>
          <w:szCs w:val="22"/>
        </w:rPr>
        <w:t>KARP</w:t>
      </w:r>
    </w:p>
    <w:p w14:paraId="4F61AFD4" w14:textId="77777777" w:rsidR="008334C8" w:rsidRDefault="008334C8" w:rsidP="008334C8">
      <w:pPr>
        <w:spacing w:line="240" w:lineRule="auto"/>
      </w:pPr>
    </w:p>
    <w:p w14:paraId="71A32CC2" w14:textId="77777777" w:rsidR="008334C8" w:rsidRDefault="008334C8" w:rsidP="008334C8">
      <w:pPr>
        <w:spacing w:line="240" w:lineRule="auto"/>
        <w:rPr>
          <w:szCs w:val="22"/>
        </w:rPr>
      </w:pPr>
    </w:p>
    <w:p w14:paraId="1BF8F907"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w:t>
      </w:r>
    </w:p>
    <w:p w14:paraId="39764069" w14:textId="77777777" w:rsidR="008334C8" w:rsidRDefault="008334C8" w:rsidP="008334C8">
      <w:pPr>
        <w:spacing w:line="240" w:lineRule="auto"/>
        <w:rPr>
          <w:szCs w:val="22"/>
        </w:rPr>
      </w:pPr>
    </w:p>
    <w:p w14:paraId="3356CB85" w14:textId="77777777" w:rsidR="008334C8" w:rsidRDefault="008334C8" w:rsidP="008334C8">
      <w:pPr>
        <w:spacing w:line="240" w:lineRule="auto"/>
        <w:rPr>
          <w:shd w:val="clear" w:color="auto" w:fill="D9D9D9"/>
          <w:lang w:eastAsia="en-US"/>
        </w:rPr>
      </w:pPr>
      <w:r w:rsidRPr="008334C8">
        <w:rPr>
          <w:lang w:eastAsia="en-US"/>
        </w:rPr>
        <w:t>ALPROLIX 500 RÜ süstelahuse pulber ja lahusti</w:t>
      </w:r>
    </w:p>
    <w:p w14:paraId="76EA81B0" w14:textId="77777777" w:rsidR="008334C8" w:rsidRDefault="008334C8" w:rsidP="008334C8">
      <w:pPr>
        <w:spacing w:line="240" w:lineRule="auto"/>
        <w:rPr>
          <w:shd w:val="clear" w:color="auto" w:fill="D9D9D9"/>
          <w:lang w:eastAsia="en-US"/>
        </w:rPr>
      </w:pPr>
    </w:p>
    <w:p w14:paraId="76C9D461" w14:textId="6630833A" w:rsidR="00570306" w:rsidRDefault="00570306" w:rsidP="00570306">
      <w:pPr>
        <w:spacing w:line="240" w:lineRule="auto"/>
        <w:rPr>
          <w:szCs w:val="22"/>
        </w:rPr>
      </w:pPr>
      <w:proofErr w:type="spellStart"/>
      <w:r>
        <w:rPr>
          <w:i/>
          <w:szCs w:val="22"/>
        </w:rPr>
        <w:t>eftrenonacogum</w:t>
      </w:r>
      <w:proofErr w:type="spellEnd"/>
      <w:r>
        <w:rPr>
          <w:i/>
          <w:szCs w:val="22"/>
        </w:rPr>
        <w:t xml:space="preserve"> alfa </w:t>
      </w:r>
      <w:r>
        <w:rPr>
          <w:szCs w:val="22"/>
        </w:rPr>
        <w:t>(</w:t>
      </w:r>
      <w:proofErr w:type="spellStart"/>
      <w:r>
        <w:rPr>
          <w:szCs w:val="22"/>
        </w:rPr>
        <w:t>rekombinantne</w:t>
      </w:r>
      <w:proofErr w:type="spellEnd"/>
      <w:r>
        <w:rPr>
          <w:szCs w:val="22"/>
        </w:rPr>
        <w:t xml:space="preserve"> IX hüübimisfaktor, </w:t>
      </w:r>
      <w:proofErr w:type="spellStart"/>
      <w:r>
        <w:rPr>
          <w:szCs w:val="22"/>
        </w:rPr>
        <w:t>Fc</w:t>
      </w:r>
      <w:proofErr w:type="spellEnd"/>
      <w:r>
        <w:rPr>
          <w:szCs w:val="22"/>
        </w:rPr>
        <w:t> fusioonvalk)</w:t>
      </w:r>
    </w:p>
    <w:p w14:paraId="0ACECC7C" w14:textId="77777777" w:rsidR="008334C8" w:rsidRDefault="008334C8" w:rsidP="008334C8">
      <w:pPr>
        <w:spacing w:line="240" w:lineRule="auto"/>
        <w:rPr>
          <w:szCs w:val="22"/>
        </w:rPr>
      </w:pPr>
    </w:p>
    <w:p w14:paraId="3A875A09" w14:textId="77777777" w:rsidR="008334C8" w:rsidRDefault="008334C8" w:rsidP="008334C8">
      <w:pPr>
        <w:spacing w:line="240" w:lineRule="auto"/>
        <w:rPr>
          <w:szCs w:val="22"/>
        </w:rPr>
      </w:pPr>
    </w:p>
    <w:p w14:paraId="7595CC74"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TOIMEAINE(TE) SISALDUS</w:t>
      </w:r>
    </w:p>
    <w:p w14:paraId="0ED17F65" w14:textId="77777777" w:rsidR="008334C8" w:rsidRDefault="008334C8" w:rsidP="008334C8">
      <w:pPr>
        <w:spacing w:line="240" w:lineRule="auto"/>
        <w:rPr>
          <w:szCs w:val="22"/>
        </w:rPr>
      </w:pPr>
    </w:p>
    <w:p w14:paraId="29F4400D" w14:textId="77777777" w:rsidR="008334C8" w:rsidRDefault="008334C8" w:rsidP="008334C8">
      <w:pPr>
        <w:spacing w:line="240" w:lineRule="auto"/>
        <w:rPr>
          <w:shd w:val="clear" w:color="auto" w:fill="D9D9D9"/>
          <w:lang w:eastAsia="en-US"/>
        </w:rPr>
      </w:pPr>
      <w:r w:rsidRPr="008334C8">
        <w:rPr>
          <w:lang w:eastAsia="en-US"/>
        </w:rPr>
        <w:t xml:space="preserve">Pulber: 500 RÜ </w:t>
      </w:r>
      <w:proofErr w:type="spellStart"/>
      <w:r w:rsidRPr="008334C8">
        <w:rPr>
          <w:lang w:eastAsia="en-US"/>
        </w:rPr>
        <w:t>alfaeftrenonakogi</w:t>
      </w:r>
      <w:proofErr w:type="spellEnd"/>
      <w:r w:rsidRPr="008334C8">
        <w:rPr>
          <w:lang w:eastAsia="en-US"/>
        </w:rPr>
        <w:t xml:space="preserve"> (ligikaudu 100 RÜ/ml pärast manustamiskõlblikuks muutmist)</w:t>
      </w:r>
      <w:r>
        <w:rPr>
          <w:lang w:eastAsia="en-US"/>
        </w:rPr>
        <w:t>,</w:t>
      </w:r>
    </w:p>
    <w:p w14:paraId="00684F7F" w14:textId="77777777" w:rsidR="008334C8" w:rsidRDefault="008334C8" w:rsidP="008334C8">
      <w:pPr>
        <w:spacing w:line="240" w:lineRule="auto"/>
        <w:rPr>
          <w:szCs w:val="22"/>
        </w:rPr>
      </w:pPr>
    </w:p>
    <w:p w14:paraId="3CBE6985" w14:textId="77777777" w:rsidR="008334C8" w:rsidRDefault="008334C8" w:rsidP="008334C8">
      <w:pPr>
        <w:spacing w:line="240" w:lineRule="auto"/>
        <w:rPr>
          <w:szCs w:val="22"/>
        </w:rPr>
      </w:pPr>
    </w:p>
    <w:p w14:paraId="6FE2D780"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ABIAINED</w:t>
      </w:r>
    </w:p>
    <w:p w14:paraId="6C723CF6" w14:textId="77777777" w:rsidR="008334C8" w:rsidRDefault="008334C8" w:rsidP="008334C8">
      <w:pPr>
        <w:keepNext/>
        <w:keepLines/>
        <w:spacing w:line="240" w:lineRule="auto"/>
        <w:rPr>
          <w:szCs w:val="22"/>
        </w:rPr>
      </w:pPr>
    </w:p>
    <w:p w14:paraId="7599A61F" w14:textId="77777777" w:rsidR="008334C8" w:rsidRDefault="008334C8" w:rsidP="008334C8">
      <w:pPr>
        <w:keepNext/>
        <w:keepLines/>
        <w:autoSpaceDE w:val="0"/>
        <w:autoSpaceDN w:val="0"/>
        <w:adjustRightInd w:val="0"/>
        <w:spacing w:line="240" w:lineRule="auto"/>
      </w:pPr>
      <w:r>
        <w:rPr>
          <w:shd w:val="clear" w:color="auto" w:fill="D9D9D9"/>
          <w:lang w:eastAsia="en-US"/>
        </w:rPr>
        <w:t>Pulber:</w:t>
      </w:r>
    </w:p>
    <w:p w14:paraId="2286DDBD" w14:textId="77777777" w:rsidR="008334C8" w:rsidRDefault="008334C8" w:rsidP="008334C8">
      <w:pPr>
        <w:autoSpaceDE w:val="0"/>
        <w:autoSpaceDN w:val="0"/>
        <w:adjustRightInd w:val="0"/>
        <w:spacing w:line="240" w:lineRule="auto"/>
      </w:pPr>
      <w:r>
        <w:t xml:space="preserve">sahharoos, </w:t>
      </w:r>
      <w:proofErr w:type="spellStart"/>
      <w:r>
        <w:t>histidiin</w:t>
      </w:r>
      <w:proofErr w:type="spellEnd"/>
      <w:r>
        <w:t xml:space="preserve">, mannitool, </w:t>
      </w:r>
      <w:proofErr w:type="spellStart"/>
      <w:r>
        <w:t>polüsorbaat</w:t>
      </w:r>
      <w:proofErr w:type="spellEnd"/>
      <w:r>
        <w:t> 20, naatriumhüdroksiid, vesinikkloriidhape</w:t>
      </w:r>
    </w:p>
    <w:p w14:paraId="2AF5537C" w14:textId="77777777" w:rsidR="008334C8" w:rsidRDefault="008334C8" w:rsidP="008334C8">
      <w:pPr>
        <w:autoSpaceDE w:val="0"/>
        <w:autoSpaceDN w:val="0"/>
        <w:adjustRightInd w:val="0"/>
        <w:spacing w:line="240" w:lineRule="auto"/>
      </w:pPr>
    </w:p>
    <w:p w14:paraId="5A135A37" w14:textId="77777777" w:rsidR="00570306" w:rsidRDefault="00570306" w:rsidP="00570306">
      <w:pPr>
        <w:autoSpaceDE w:val="0"/>
        <w:autoSpaceDN w:val="0"/>
        <w:adjustRightInd w:val="0"/>
        <w:spacing w:line="240" w:lineRule="auto"/>
      </w:pPr>
      <w:r>
        <w:t>Lahusti:</w:t>
      </w:r>
    </w:p>
    <w:p w14:paraId="3CE60352" w14:textId="11CF23B1" w:rsidR="00570306" w:rsidRDefault="00570306" w:rsidP="00570306">
      <w:pPr>
        <w:spacing w:line="240" w:lineRule="auto"/>
        <w:rPr>
          <w:szCs w:val="22"/>
        </w:rPr>
      </w:pPr>
      <w:r>
        <w:rPr>
          <w:szCs w:val="22"/>
        </w:rPr>
        <w:t>Naatriumkloriid, süstevesi</w:t>
      </w:r>
    </w:p>
    <w:p w14:paraId="23C1CAAD" w14:textId="77777777" w:rsidR="008334C8" w:rsidRDefault="008334C8" w:rsidP="008334C8">
      <w:pPr>
        <w:autoSpaceDE w:val="0"/>
        <w:autoSpaceDN w:val="0"/>
        <w:adjustRightInd w:val="0"/>
        <w:spacing w:line="240" w:lineRule="auto"/>
      </w:pPr>
    </w:p>
    <w:p w14:paraId="5C89150E" w14:textId="77777777" w:rsidR="008334C8" w:rsidRDefault="008334C8" w:rsidP="008334C8">
      <w:pPr>
        <w:autoSpaceDE w:val="0"/>
        <w:autoSpaceDN w:val="0"/>
        <w:adjustRightInd w:val="0"/>
        <w:spacing w:line="240" w:lineRule="auto"/>
      </w:pPr>
    </w:p>
    <w:p w14:paraId="11F99B7F"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RAVIMVORM JA PAKENDI SUURUS</w:t>
      </w:r>
    </w:p>
    <w:p w14:paraId="2FCF0FB5" w14:textId="77777777" w:rsidR="008334C8" w:rsidRDefault="008334C8" w:rsidP="008334C8">
      <w:pPr>
        <w:keepNext/>
        <w:spacing w:line="240" w:lineRule="auto"/>
      </w:pPr>
    </w:p>
    <w:p w14:paraId="359A71EA" w14:textId="77777777" w:rsidR="008334C8" w:rsidRDefault="008334C8" w:rsidP="008334C8">
      <w:pPr>
        <w:keepNext/>
        <w:spacing w:line="240" w:lineRule="auto"/>
        <w:rPr>
          <w:shd w:val="clear" w:color="auto" w:fill="D9D9D9"/>
          <w:lang w:eastAsia="en-US"/>
        </w:rPr>
      </w:pPr>
      <w:r>
        <w:rPr>
          <w:shd w:val="clear" w:color="auto" w:fill="D9D9D9"/>
          <w:lang w:eastAsia="en-US"/>
        </w:rPr>
        <w:t>Süstelahuse pulber ja lahusti</w:t>
      </w:r>
    </w:p>
    <w:p w14:paraId="0110EBB6" w14:textId="77777777" w:rsidR="008334C8" w:rsidRDefault="008334C8" w:rsidP="008334C8">
      <w:pPr>
        <w:keepNext/>
        <w:spacing w:line="240" w:lineRule="auto"/>
        <w:rPr>
          <w:szCs w:val="22"/>
        </w:rPr>
      </w:pPr>
    </w:p>
    <w:p w14:paraId="012F6675" w14:textId="77777777" w:rsidR="008334C8" w:rsidRDefault="008334C8" w:rsidP="008334C8">
      <w:pPr>
        <w:spacing w:line="240" w:lineRule="auto"/>
        <w:rPr>
          <w:szCs w:val="22"/>
        </w:rPr>
      </w:pPr>
      <w:r>
        <w:rPr>
          <w:szCs w:val="22"/>
        </w:rPr>
        <w:t>Sisu: 1 </w:t>
      </w:r>
      <w:proofErr w:type="spellStart"/>
      <w:r>
        <w:rPr>
          <w:szCs w:val="22"/>
        </w:rPr>
        <w:t>pulbriviaal</w:t>
      </w:r>
      <w:proofErr w:type="spellEnd"/>
      <w:r>
        <w:rPr>
          <w:szCs w:val="22"/>
        </w:rPr>
        <w:t xml:space="preserve">, 5 ml lahustit </w:t>
      </w:r>
      <w:proofErr w:type="spellStart"/>
      <w:r>
        <w:rPr>
          <w:szCs w:val="22"/>
        </w:rPr>
        <w:t>süstlis</w:t>
      </w:r>
      <w:proofErr w:type="spellEnd"/>
      <w:r>
        <w:rPr>
          <w:szCs w:val="22"/>
        </w:rPr>
        <w:t>, 1 kolvivarras, 1 </w:t>
      </w:r>
      <w:proofErr w:type="spellStart"/>
      <w:r>
        <w:rPr>
          <w:szCs w:val="22"/>
        </w:rPr>
        <w:t>viaaliadapter</w:t>
      </w:r>
      <w:proofErr w:type="spellEnd"/>
      <w:r>
        <w:rPr>
          <w:szCs w:val="22"/>
        </w:rPr>
        <w:t>, 1 infusioonikomplekt, 2 alkoholis niisutatud vatitupsu, 2 plaastrit, 1 marli</w:t>
      </w:r>
    </w:p>
    <w:p w14:paraId="127A58F8" w14:textId="77777777" w:rsidR="008334C8" w:rsidRDefault="008334C8" w:rsidP="008334C8">
      <w:pPr>
        <w:spacing w:line="240" w:lineRule="auto"/>
        <w:rPr>
          <w:szCs w:val="22"/>
        </w:rPr>
      </w:pPr>
    </w:p>
    <w:p w14:paraId="7AB3E57C" w14:textId="77777777" w:rsidR="008334C8" w:rsidRDefault="008334C8" w:rsidP="008334C8">
      <w:pPr>
        <w:spacing w:line="240" w:lineRule="auto"/>
        <w:rPr>
          <w:szCs w:val="22"/>
        </w:rPr>
      </w:pPr>
    </w:p>
    <w:p w14:paraId="6277D139"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MANUSTAMISVIIS JA -TEE(D)</w:t>
      </w:r>
    </w:p>
    <w:p w14:paraId="29A27404" w14:textId="77777777" w:rsidR="008334C8" w:rsidRDefault="008334C8" w:rsidP="008334C8">
      <w:pPr>
        <w:spacing w:line="240" w:lineRule="auto"/>
        <w:rPr>
          <w:szCs w:val="22"/>
        </w:rPr>
      </w:pPr>
    </w:p>
    <w:p w14:paraId="58497E0A" w14:textId="77777777" w:rsidR="008334C8" w:rsidRDefault="008334C8" w:rsidP="008334C8">
      <w:pPr>
        <w:spacing w:line="240" w:lineRule="auto"/>
        <w:rPr>
          <w:szCs w:val="22"/>
        </w:rPr>
      </w:pPr>
      <w:proofErr w:type="spellStart"/>
      <w:r>
        <w:rPr>
          <w:szCs w:val="22"/>
        </w:rPr>
        <w:t>Intravenoosne</w:t>
      </w:r>
      <w:proofErr w:type="spellEnd"/>
      <w:r>
        <w:rPr>
          <w:szCs w:val="22"/>
        </w:rPr>
        <w:t>, pärast manustamiskõlblikuks muutmist.</w:t>
      </w:r>
    </w:p>
    <w:p w14:paraId="16753581" w14:textId="77777777" w:rsidR="008334C8" w:rsidRDefault="008334C8" w:rsidP="008334C8">
      <w:pPr>
        <w:spacing w:line="240" w:lineRule="auto"/>
        <w:rPr>
          <w:szCs w:val="22"/>
        </w:rPr>
      </w:pPr>
      <w:r>
        <w:rPr>
          <w:szCs w:val="22"/>
        </w:rPr>
        <w:t>Enne ravimi kasutamist lugege pakendi infolehte.</w:t>
      </w:r>
    </w:p>
    <w:p w14:paraId="2992509C" w14:textId="77777777" w:rsidR="008334C8" w:rsidRDefault="008334C8" w:rsidP="008334C8">
      <w:pPr>
        <w:spacing w:line="240" w:lineRule="auto"/>
        <w:rPr>
          <w:szCs w:val="22"/>
        </w:rPr>
      </w:pPr>
    </w:p>
    <w:p w14:paraId="6D2B33BB" w14:textId="77777777" w:rsidR="008334C8" w:rsidRDefault="008334C8" w:rsidP="008334C8">
      <w:pPr>
        <w:spacing w:line="240" w:lineRule="auto"/>
        <w:rPr>
          <w:szCs w:val="22"/>
        </w:rPr>
      </w:pPr>
      <w:proofErr w:type="spellStart"/>
      <w:r>
        <w:rPr>
          <w:szCs w:val="22"/>
        </w:rPr>
        <w:t>ALPROLIX’i</w:t>
      </w:r>
      <w:proofErr w:type="spellEnd"/>
      <w:r>
        <w:rPr>
          <w:szCs w:val="22"/>
        </w:rPr>
        <w:t xml:space="preserve"> ettevalmistamise ja manustamise juhendvideoga tutvumiseks skaneerige QR-kood oma nutitelefoniga või vaadake videot veebisaidil</w:t>
      </w:r>
    </w:p>
    <w:p w14:paraId="2D6C7C94" w14:textId="77777777" w:rsidR="008334C8" w:rsidRDefault="008334C8" w:rsidP="008334C8">
      <w:pPr>
        <w:spacing w:line="240" w:lineRule="auto"/>
        <w:rPr>
          <w:szCs w:val="22"/>
        </w:rPr>
      </w:pPr>
    </w:p>
    <w:p w14:paraId="35F4061E" w14:textId="347917A1" w:rsidR="008334C8" w:rsidRDefault="008334C8" w:rsidP="008334C8">
      <w:pPr>
        <w:spacing w:line="240" w:lineRule="auto"/>
        <w:rPr>
          <w:szCs w:val="22"/>
        </w:rPr>
      </w:pPr>
      <w:r>
        <w:rPr>
          <w:shd w:val="clear" w:color="auto" w:fill="D9D9D9"/>
        </w:rPr>
        <w:t>Lisatakse QR-kood +</w:t>
      </w:r>
      <w:r>
        <w:t xml:space="preserve"> </w:t>
      </w:r>
      <w:hyperlink r:id="rId30" w:history="1">
        <w:r>
          <w:rPr>
            <w:rStyle w:val="Hyperlink"/>
          </w:rPr>
          <w:t>http://www.alprolix-instructions.com</w:t>
        </w:r>
      </w:hyperlink>
      <w:r>
        <w:rPr>
          <w:szCs w:val="22"/>
        </w:rPr>
        <w:t xml:space="preserve"> </w:t>
      </w:r>
    </w:p>
    <w:p w14:paraId="6D9B8A42" w14:textId="77777777" w:rsidR="008334C8" w:rsidRDefault="008334C8" w:rsidP="008334C8">
      <w:pPr>
        <w:spacing w:line="240" w:lineRule="auto"/>
        <w:rPr>
          <w:szCs w:val="22"/>
        </w:rPr>
      </w:pPr>
    </w:p>
    <w:p w14:paraId="0313EC42" w14:textId="77777777" w:rsidR="008334C8" w:rsidRDefault="008334C8" w:rsidP="008334C8">
      <w:pPr>
        <w:spacing w:line="240" w:lineRule="auto"/>
        <w:rPr>
          <w:szCs w:val="22"/>
        </w:rPr>
      </w:pPr>
    </w:p>
    <w:p w14:paraId="2E5B513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ERIHOIATUS, ET RAVIMIT TULEB HOIDA LASTE EEST VARJATUD JA KÄTTESAAMATUS KOHAS</w:t>
      </w:r>
    </w:p>
    <w:p w14:paraId="00471EB3" w14:textId="77777777" w:rsidR="008334C8" w:rsidRDefault="008334C8" w:rsidP="008334C8">
      <w:pPr>
        <w:spacing w:line="240" w:lineRule="auto"/>
        <w:rPr>
          <w:szCs w:val="22"/>
        </w:rPr>
      </w:pPr>
    </w:p>
    <w:p w14:paraId="4371653C" w14:textId="77777777" w:rsidR="008334C8" w:rsidRDefault="008334C8" w:rsidP="008334C8">
      <w:pPr>
        <w:spacing w:line="240" w:lineRule="auto"/>
        <w:rPr>
          <w:szCs w:val="22"/>
        </w:rPr>
      </w:pPr>
      <w:r>
        <w:rPr>
          <w:szCs w:val="22"/>
        </w:rPr>
        <w:t>Hoida laste eest varjatud ja kättesaamatus kohas.</w:t>
      </w:r>
    </w:p>
    <w:p w14:paraId="70458F14" w14:textId="77777777" w:rsidR="008334C8" w:rsidRDefault="008334C8" w:rsidP="008334C8">
      <w:pPr>
        <w:spacing w:line="240" w:lineRule="auto"/>
        <w:rPr>
          <w:szCs w:val="22"/>
        </w:rPr>
      </w:pPr>
    </w:p>
    <w:p w14:paraId="378EEA27" w14:textId="77777777" w:rsidR="008334C8" w:rsidRDefault="008334C8" w:rsidP="008334C8">
      <w:pPr>
        <w:spacing w:line="240" w:lineRule="auto"/>
        <w:rPr>
          <w:szCs w:val="22"/>
        </w:rPr>
      </w:pPr>
    </w:p>
    <w:p w14:paraId="00B9A5A0"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7.</w:t>
      </w:r>
      <w:r>
        <w:rPr>
          <w:b/>
          <w:szCs w:val="22"/>
        </w:rPr>
        <w:tab/>
        <w:t>TEISED ERIHOIATUSED (VAJADUSEL)</w:t>
      </w:r>
    </w:p>
    <w:p w14:paraId="6D139B3A" w14:textId="77777777" w:rsidR="008334C8" w:rsidRDefault="008334C8" w:rsidP="008334C8">
      <w:pPr>
        <w:spacing w:line="240" w:lineRule="auto"/>
        <w:rPr>
          <w:szCs w:val="22"/>
        </w:rPr>
      </w:pPr>
    </w:p>
    <w:p w14:paraId="2436F171" w14:textId="77777777" w:rsidR="008334C8" w:rsidRDefault="008334C8" w:rsidP="008334C8">
      <w:pPr>
        <w:spacing w:line="240" w:lineRule="auto"/>
      </w:pPr>
    </w:p>
    <w:p w14:paraId="6AD93452"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8.</w:t>
      </w:r>
      <w:r>
        <w:rPr>
          <w:b/>
          <w:szCs w:val="22"/>
        </w:rPr>
        <w:tab/>
        <w:t>KÕLBLIKKUSAEG</w:t>
      </w:r>
    </w:p>
    <w:p w14:paraId="29B91771" w14:textId="77777777" w:rsidR="008334C8" w:rsidRDefault="008334C8" w:rsidP="008334C8">
      <w:pPr>
        <w:spacing w:line="240" w:lineRule="auto"/>
      </w:pPr>
    </w:p>
    <w:p w14:paraId="3CC50206" w14:textId="77777777" w:rsidR="008334C8" w:rsidRDefault="008334C8" w:rsidP="008334C8">
      <w:pPr>
        <w:spacing w:line="240" w:lineRule="auto"/>
      </w:pPr>
      <w:r>
        <w:t>EXP</w:t>
      </w:r>
    </w:p>
    <w:p w14:paraId="6CEB6DF4" w14:textId="77777777" w:rsidR="008334C8" w:rsidRDefault="008334C8" w:rsidP="008334C8">
      <w:pPr>
        <w:spacing w:line="240" w:lineRule="auto"/>
      </w:pPr>
    </w:p>
    <w:p w14:paraId="1EE61850" w14:textId="77777777" w:rsidR="008334C8" w:rsidRDefault="008334C8" w:rsidP="008334C8">
      <w:pPr>
        <w:spacing w:line="240" w:lineRule="auto"/>
      </w:pPr>
      <w:r>
        <w:t>Kasutada 6 tunni jooksul pärast manustamiskõlblikuks muutmist.</w:t>
      </w:r>
    </w:p>
    <w:p w14:paraId="7C3F7379" w14:textId="77777777" w:rsidR="008334C8" w:rsidRDefault="008334C8" w:rsidP="008334C8">
      <w:pPr>
        <w:spacing w:line="240" w:lineRule="auto"/>
      </w:pPr>
    </w:p>
    <w:p w14:paraId="293DF4ED" w14:textId="77777777" w:rsidR="008334C8" w:rsidRDefault="008334C8" w:rsidP="008334C8">
      <w:pPr>
        <w:spacing w:line="240" w:lineRule="auto"/>
        <w:rPr>
          <w:szCs w:val="22"/>
        </w:rPr>
      </w:pPr>
    </w:p>
    <w:p w14:paraId="48E9E74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9.</w:t>
      </w:r>
      <w:r>
        <w:rPr>
          <w:b/>
          <w:szCs w:val="22"/>
        </w:rPr>
        <w:tab/>
        <w:t>SÄILITAMISE ERITINGIMUSED</w:t>
      </w:r>
    </w:p>
    <w:p w14:paraId="5059D3E6" w14:textId="77777777" w:rsidR="008334C8" w:rsidRDefault="008334C8" w:rsidP="008334C8">
      <w:pPr>
        <w:spacing w:line="240" w:lineRule="auto"/>
        <w:rPr>
          <w:szCs w:val="22"/>
        </w:rPr>
      </w:pPr>
    </w:p>
    <w:p w14:paraId="2123013D" w14:textId="77777777" w:rsidR="008334C8" w:rsidRDefault="008334C8" w:rsidP="008334C8">
      <w:pPr>
        <w:spacing w:line="240" w:lineRule="auto"/>
        <w:rPr>
          <w:szCs w:val="22"/>
        </w:rPr>
      </w:pPr>
      <w:r>
        <w:rPr>
          <w:szCs w:val="22"/>
        </w:rPr>
        <w:t xml:space="preserve">Hoida </w:t>
      </w:r>
      <w:proofErr w:type="spellStart"/>
      <w:r>
        <w:rPr>
          <w:szCs w:val="22"/>
        </w:rPr>
        <w:t>viaali</w:t>
      </w:r>
      <w:proofErr w:type="spellEnd"/>
      <w:r>
        <w:rPr>
          <w:szCs w:val="22"/>
        </w:rPr>
        <w:t xml:space="preserve"> </w:t>
      </w:r>
      <w:proofErr w:type="spellStart"/>
      <w:r>
        <w:rPr>
          <w:szCs w:val="22"/>
        </w:rPr>
        <w:t>välispakendis</w:t>
      </w:r>
      <w:proofErr w:type="spellEnd"/>
      <w:r>
        <w:rPr>
          <w:szCs w:val="22"/>
        </w:rPr>
        <w:t xml:space="preserve"> valguse eest kaitstult.</w:t>
      </w:r>
    </w:p>
    <w:p w14:paraId="56F33D1A" w14:textId="77777777" w:rsidR="008334C8" w:rsidRDefault="008334C8" w:rsidP="008334C8">
      <w:pPr>
        <w:spacing w:line="240" w:lineRule="auto"/>
        <w:rPr>
          <w:szCs w:val="22"/>
        </w:rPr>
      </w:pPr>
      <w:r>
        <w:rPr>
          <w:szCs w:val="22"/>
        </w:rPr>
        <w:t>Hoida külmkapis.</w:t>
      </w:r>
    </w:p>
    <w:p w14:paraId="4C7BF446" w14:textId="77777777" w:rsidR="008334C8" w:rsidRDefault="008334C8" w:rsidP="008334C8">
      <w:pPr>
        <w:spacing w:line="240" w:lineRule="auto"/>
        <w:rPr>
          <w:szCs w:val="22"/>
        </w:rPr>
      </w:pPr>
      <w:r>
        <w:rPr>
          <w:szCs w:val="22"/>
        </w:rPr>
        <w:t>Mitte lasta külmuda.</w:t>
      </w:r>
    </w:p>
    <w:p w14:paraId="4A56F580" w14:textId="77777777" w:rsidR="008334C8" w:rsidRDefault="008334C8" w:rsidP="008334C8">
      <w:pPr>
        <w:spacing w:line="240" w:lineRule="auto"/>
        <w:rPr>
          <w:szCs w:val="22"/>
        </w:rPr>
      </w:pPr>
      <w:r>
        <w:rPr>
          <w:szCs w:val="22"/>
        </w:rPr>
        <w:t>Võib säilitada toatemperatuuril (kuni 30°C) ühe, 6 kuulise ajaperioodi jooksul. Pärast toatemperatuuril hoidmist ei tohi uuesti külmkappi panna.</w:t>
      </w:r>
    </w:p>
    <w:p w14:paraId="051501B3" w14:textId="77777777" w:rsidR="008334C8" w:rsidRDefault="008334C8" w:rsidP="008334C8">
      <w:pPr>
        <w:spacing w:line="240" w:lineRule="auto"/>
        <w:rPr>
          <w:szCs w:val="22"/>
        </w:rPr>
      </w:pPr>
      <w:r>
        <w:rPr>
          <w:szCs w:val="22"/>
        </w:rPr>
        <w:t>Külmkapist väljavõtmise kuupäev:</w:t>
      </w:r>
    </w:p>
    <w:p w14:paraId="11EEED79" w14:textId="77777777" w:rsidR="008334C8" w:rsidRDefault="008334C8" w:rsidP="008334C8">
      <w:pPr>
        <w:spacing w:line="240" w:lineRule="auto"/>
        <w:rPr>
          <w:szCs w:val="22"/>
        </w:rPr>
      </w:pPr>
    </w:p>
    <w:p w14:paraId="1618EC56" w14:textId="77777777" w:rsidR="008334C8" w:rsidRDefault="008334C8" w:rsidP="008334C8">
      <w:pPr>
        <w:spacing w:line="240" w:lineRule="auto"/>
        <w:ind w:left="567" w:hanging="567"/>
        <w:rPr>
          <w:szCs w:val="22"/>
        </w:rPr>
      </w:pPr>
    </w:p>
    <w:p w14:paraId="552F6D9E"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10.</w:t>
      </w:r>
      <w:r>
        <w:rPr>
          <w:b/>
          <w:szCs w:val="22"/>
        </w:rPr>
        <w:tab/>
        <w:t>ERINÕUDED KASUTAMATA JÄÄNUD RAVIMPREPARAADI VÕI SELLEST TEKKINUD JÄÄTMEMATERJALI HÄVITAMISEKS, VASTAVALT VAJADUSELE</w:t>
      </w:r>
    </w:p>
    <w:p w14:paraId="178D2017" w14:textId="77777777" w:rsidR="008334C8" w:rsidRDefault="008334C8" w:rsidP="008334C8">
      <w:pPr>
        <w:spacing w:line="240" w:lineRule="auto"/>
        <w:rPr>
          <w:szCs w:val="22"/>
        </w:rPr>
      </w:pPr>
    </w:p>
    <w:p w14:paraId="1C14D618" w14:textId="77777777" w:rsidR="008334C8" w:rsidRDefault="008334C8" w:rsidP="008334C8">
      <w:pPr>
        <w:spacing w:line="240" w:lineRule="auto"/>
        <w:rPr>
          <w:szCs w:val="22"/>
        </w:rPr>
      </w:pPr>
    </w:p>
    <w:p w14:paraId="666611FC"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11.</w:t>
      </w:r>
      <w:r>
        <w:rPr>
          <w:b/>
          <w:szCs w:val="22"/>
        </w:rPr>
        <w:tab/>
        <w:t>MÜÜGILOA HOIDJA NIMI JA AADRESS</w:t>
      </w:r>
    </w:p>
    <w:p w14:paraId="74CCE462" w14:textId="77777777" w:rsidR="008334C8" w:rsidRDefault="008334C8" w:rsidP="008334C8">
      <w:pPr>
        <w:keepNext/>
        <w:spacing w:line="240" w:lineRule="auto"/>
        <w:rPr>
          <w:szCs w:val="22"/>
        </w:rPr>
      </w:pPr>
    </w:p>
    <w:p w14:paraId="73627CC2" w14:textId="77777777" w:rsidR="008334C8" w:rsidRDefault="008334C8" w:rsidP="008334C8">
      <w:pPr>
        <w:keepNext/>
        <w:spacing w:line="240" w:lineRule="auto"/>
      </w:pPr>
      <w:r>
        <w:t xml:space="preserve">Swedish </w:t>
      </w:r>
      <w:proofErr w:type="spellStart"/>
      <w:r>
        <w:t>Orphan</w:t>
      </w:r>
      <w:proofErr w:type="spellEnd"/>
      <w:r>
        <w:t xml:space="preserve"> </w:t>
      </w:r>
      <w:proofErr w:type="spellStart"/>
      <w:r>
        <w:t>Biovitrum</w:t>
      </w:r>
      <w:proofErr w:type="spellEnd"/>
      <w:r>
        <w:t xml:space="preserve"> AB (</w:t>
      </w:r>
      <w:proofErr w:type="spellStart"/>
      <w:r>
        <w:t>publ</w:t>
      </w:r>
      <w:proofErr w:type="spellEnd"/>
      <w:r>
        <w:t>)</w:t>
      </w:r>
    </w:p>
    <w:p w14:paraId="245913BE" w14:textId="77777777" w:rsidR="008334C8" w:rsidRDefault="008334C8" w:rsidP="008334C8">
      <w:pPr>
        <w:keepNext/>
        <w:spacing w:line="240" w:lineRule="auto"/>
      </w:pPr>
      <w:r>
        <w:t>SE-112 76 Stockholm</w:t>
      </w:r>
    </w:p>
    <w:p w14:paraId="08571DD8" w14:textId="77777777" w:rsidR="008334C8" w:rsidRDefault="008334C8" w:rsidP="008334C8">
      <w:pPr>
        <w:spacing w:line="240" w:lineRule="auto"/>
      </w:pPr>
      <w:r>
        <w:t>Rootsi</w:t>
      </w:r>
    </w:p>
    <w:p w14:paraId="11209554" w14:textId="77777777" w:rsidR="008334C8" w:rsidRDefault="008334C8" w:rsidP="008334C8">
      <w:pPr>
        <w:spacing w:line="240" w:lineRule="auto"/>
        <w:rPr>
          <w:szCs w:val="22"/>
        </w:rPr>
      </w:pPr>
    </w:p>
    <w:p w14:paraId="2A0D7149" w14:textId="77777777" w:rsidR="008334C8" w:rsidRDefault="008334C8" w:rsidP="008334C8">
      <w:pPr>
        <w:spacing w:line="240" w:lineRule="auto"/>
        <w:rPr>
          <w:szCs w:val="22"/>
        </w:rPr>
      </w:pPr>
    </w:p>
    <w:p w14:paraId="60BFD91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12.</w:t>
      </w:r>
      <w:r>
        <w:rPr>
          <w:b/>
          <w:szCs w:val="22"/>
        </w:rPr>
        <w:tab/>
        <w:t>MÜÜGILOA NUMBER (NUMBRID)</w:t>
      </w:r>
    </w:p>
    <w:p w14:paraId="3AF7D31F" w14:textId="77777777" w:rsidR="008334C8" w:rsidRDefault="008334C8" w:rsidP="008334C8">
      <w:pPr>
        <w:spacing w:line="240" w:lineRule="auto"/>
        <w:rPr>
          <w:szCs w:val="22"/>
        </w:rPr>
      </w:pPr>
    </w:p>
    <w:p w14:paraId="36DB8510" w14:textId="77777777" w:rsidR="008334C8" w:rsidRDefault="008334C8" w:rsidP="008334C8">
      <w:pPr>
        <w:spacing w:line="240" w:lineRule="auto"/>
        <w:rPr>
          <w:szCs w:val="22"/>
        </w:rPr>
      </w:pPr>
      <w:r w:rsidRPr="008334C8">
        <w:rPr>
          <w:szCs w:val="22"/>
        </w:rPr>
        <w:t>EU/1/16/1098/002</w:t>
      </w:r>
    </w:p>
    <w:p w14:paraId="258AC530" w14:textId="77777777" w:rsidR="008334C8" w:rsidRDefault="008334C8" w:rsidP="008334C8">
      <w:pPr>
        <w:spacing w:line="240" w:lineRule="auto"/>
        <w:rPr>
          <w:szCs w:val="22"/>
        </w:rPr>
      </w:pPr>
    </w:p>
    <w:p w14:paraId="57BB7AA2" w14:textId="77777777" w:rsidR="008334C8" w:rsidRDefault="008334C8" w:rsidP="008334C8">
      <w:pPr>
        <w:spacing w:line="240" w:lineRule="auto"/>
        <w:rPr>
          <w:szCs w:val="22"/>
        </w:rPr>
      </w:pPr>
    </w:p>
    <w:p w14:paraId="4E5C7B88"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13.</w:t>
      </w:r>
      <w:r>
        <w:rPr>
          <w:b/>
          <w:szCs w:val="22"/>
        </w:rPr>
        <w:tab/>
        <w:t>PARTII NUMBER</w:t>
      </w:r>
    </w:p>
    <w:p w14:paraId="4CFBF2B6" w14:textId="77777777" w:rsidR="008334C8" w:rsidRDefault="008334C8" w:rsidP="008334C8">
      <w:pPr>
        <w:spacing w:line="240" w:lineRule="auto"/>
        <w:rPr>
          <w:i/>
          <w:szCs w:val="22"/>
        </w:rPr>
      </w:pPr>
    </w:p>
    <w:p w14:paraId="789B15F1" w14:textId="77777777" w:rsidR="008334C8" w:rsidRDefault="008334C8" w:rsidP="008334C8">
      <w:pPr>
        <w:spacing w:line="240" w:lineRule="auto"/>
        <w:rPr>
          <w:szCs w:val="22"/>
        </w:rPr>
      </w:pPr>
      <w:r>
        <w:rPr>
          <w:szCs w:val="22"/>
        </w:rPr>
        <w:t>Lot</w:t>
      </w:r>
    </w:p>
    <w:p w14:paraId="70A5B8FB" w14:textId="77777777" w:rsidR="008334C8" w:rsidRDefault="008334C8" w:rsidP="008334C8">
      <w:pPr>
        <w:spacing w:line="240" w:lineRule="auto"/>
        <w:rPr>
          <w:szCs w:val="22"/>
        </w:rPr>
      </w:pPr>
    </w:p>
    <w:p w14:paraId="20B66DE5" w14:textId="77777777" w:rsidR="008334C8" w:rsidRDefault="008334C8" w:rsidP="008334C8">
      <w:pPr>
        <w:spacing w:line="240" w:lineRule="auto"/>
        <w:rPr>
          <w:szCs w:val="22"/>
        </w:rPr>
      </w:pPr>
    </w:p>
    <w:p w14:paraId="11A2B5A6"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14.</w:t>
      </w:r>
      <w:r>
        <w:rPr>
          <w:b/>
          <w:szCs w:val="22"/>
        </w:rPr>
        <w:tab/>
        <w:t>RAVIMI VÄLJASTAMISTINGIMUSED</w:t>
      </w:r>
    </w:p>
    <w:p w14:paraId="2A1F5169" w14:textId="77777777" w:rsidR="008334C8" w:rsidRDefault="008334C8" w:rsidP="008334C8">
      <w:pPr>
        <w:spacing w:line="240" w:lineRule="auto"/>
        <w:rPr>
          <w:i/>
          <w:szCs w:val="22"/>
        </w:rPr>
      </w:pPr>
    </w:p>
    <w:p w14:paraId="0E82F427" w14:textId="77777777" w:rsidR="008334C8" w:rsidRDefault="008334C8" w:rsidP="008334C8">
      <w:pPr>
        <w:spacing w:line="240" w:lineRule="auto"/>
        <w:rPr>
          <w:szCs w:val="22"/>
        </w:rPr>
      </w:pPr>
    </w:p>
    <w:p w14:paraId="50DD28D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15.</w:t>
      </w:r>
      <w:r>
        <w:rPr>
          <w:b/>
          <w:szCs w:val="22"/>
        </w:rPr>
        <w:tab/>
        <w:t>KASUTUSJUHEND</w:t>
      </w:r>
    </w:p>
    <w:p w14:paraId="4F740A62" w14:textId="77777777" w:rsidR="008334C8" w:rsidRDefault="008334C8" w:rsidP="008334C8">
      <w:pPr>
        <w:spacing w:line="240" w:lineRule="auto"/>
      </w:pPr>
    </w:p>
    <w:p w14:paraId="31BF2260" w14:textId="77777777" w:rsidR="008334C8" w:rsidRDefault="008334C8" w:rsidP="008334C8">
      <w:pPr>
        <w:spacing w:line="240" w:lineRule="auto"/>
      </w:pPr>
    </w:p>
    <w:p w14:paraId="0C968F60"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lastRenderedPageBreak/>
        <w:t>16.</w:t>
      </w:r>
      <w:r>
        <w:rPr>
          <w:b/>
          <w:szCs w:val="22"/>
        </w:rPr>
        <w:tab/>
        <w:t>TEAVE BRAILLE’ KIRJAS (PUNKTKIRJAS)</w:t>
      </w:r>
    </w:p>
    <w:p w14:paraId="070708D4" w14:textId="77777777" w:rsidR="008334C8" w:rsidRDefault="008334C8" w:rsidP="008334C8">
      <w:pPr>
        <w:spacing w:line="240" w:lineRule="auto"/>
      </w:pPr>
    </w:p>
    <w:p w14:paraId="4EB688F0" w14:textId="77777777" w:rsidR="008334C8" w:rsidRDefault="008334C8" w:rsidP="008334C8">
      <w:pPr>
        <w:spacing w:line="240" w:lineRule="auto"/>
        <w:rPr>
          <w:lang w:eastAsia="en-US"/>
        </w:rPr>
      </w:pPr>
      <w:r w:rsidRPr="008334C8">
        <w:rPr>
          <w:lang w:eastAsia="en-US"/>
        </w:rPr>
        <w:t>ALPROLIX 500</w:t>
      </w:r>
    </w:p>
    <w:p w14:paraId="3D6F1FB5" w14:textId="77777777" w:rsidR="008334C8" w:rsidRDefault="008334C8" w:rsidP="008334C8">
      <w:pPr>
        <w:spacing w:line="240" w:lineRule="auto"/>
        <w:rPr>
          <w:szCs w:val="22"/>
          <w:shd w:val="clear" w:color="auto" w:fill="CCCCCC"/>
        </w:rPr>
      </w:pPr>
    </w:p>
    <w:p w14:paraId="6B204223" w14:textId="77777777" w:rsidR="008334C8" w:rsidRDefault="008334C8" w:rsidP="008334C8">
      <w:pPr>
        <w:spacing w:line="240" w:lineRule="auto"/>
        <w:rPr>
          <w:szCs w:val="22"/>
          <w:shd w:val="clear" w:color="auto" w:fill="CCCCCC"/>
        </w:rPr>
      </w:pPr>
    </w:p>
    <w:p w14:paraId="4F961B52"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17.</w:t>
      </w:r>
      <w:r>
        <w:rPr>
          <w:b/>
          <w:szCs w:val="22"/>
        </w:rPr>
        <w:tab/>
        <w:t>AINULAADNE IDENTIFIKAATOR – 2D-vöötkood</w:t>
      </w:r>
    </w:p>
    <w:p w14:paraId="4CA2F420" w14:textId="77777777" w:rsidR="008334C8" w:rsidRDefault="008334C8" w:rsidP="008334C8">
      <w:pPr>
        <w:keepNext/>
        <w:tabs>
          <w:tab w:val="clear" w:pos="567"/>
        </w:tabs>
        <w:spacing w:line="240" w:lineRule="auto"/>
      </w:pPr>
    </w:p>
    <w:p w14:paraId="227C5993" w14:textId="77777777" w:rsidR="008334C8" w:rsidRDefault="008334C8" w:rsidP="008334C8">
      <w:pPr>
        <w:spacing w:line="240" w:lineRule="auto"/>
        <w:rPr>
          <w:szCs w:val="22"/>
          <w:shd w:val="clear" w:color="auto" w:fill="CCCCCC"/>
        </w:rPr>
      </w:pPr>
      <w:r>
        <w:rPr>
          <w:shd w:val="clear" w:color="auto" w:fill="BFBFBF"/>
        </w:rPr>
        <w:t>Lisatud on 2D-vöötkood, mis sisaldab ainulaadset identifikaatorit.</w:t>
      </w:r>
    </w:p>
    <w:p w14:paraId="1785301A" w14:textId="77777777" w:rsidR="008334C8" w:rsidRDefault="008334C8" w:rsidP="008334C8">
      <w:pPr>
        <w:spacing w:line="240" w:lineRule="auto"/>
        <w:rPr>
          <w:szCs w:val="22"/>
          <w:shd w:val="clear" w:color="auto" w:fill="CCCCCC"/>
        </w:rPr>
      </w:pPr>
    </w:p>
    <w:p w14:paraId="6B9304CC" w14:textId="77777777" w:rsidR="008334C8" w:rsidRDefault="008334C8" w:rsidP="008334C8">
      <w:pPr>
        <w:tabs>
          <w:tab w:val="clear" w:pos="567"/>
        </w:tabs>
        <w:spacing w:line="240" w:lineRule="auto"/>
      </w:pPr>
    </w:p>
    <w:p w14:paraId="022BFE86"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18.</w:t>
      </w:r>
      <w:r>
        <w:rPr>
          <w:b/>
          <w:szCs w:val="22"/>
        </w:rPr>
        <w:tab/>
        <w:t>AINULAADNE IDENTIFIKAATOR – INIMLOETAVAD ANDMED</w:t>
      </w:r>
    </w:p>
    <w:p w14:paraId="6CD00A42" w14:textId="77777777" w:rsidR="008334C8" w:rsidRDefault="008334C8" w:rsidP="008334C8">
      <w:pPr>
        <w:keepNext/>
        <w:tabs>
          <w:tab w:val="clear" w:pos="567"/>
        </w:tabs>
        <w:spacing w:line="240" w:lineRule="auto"/>
      </w:pPr>
    </w:p>
    <w:p w14:paraId="0C1E106F" w14:textId="7EAF0DAC" w:rsidR="00570306" w:rsidRDefault="00570306" w:rsidP="00570306">
      <w:pPr>
        <w:keepNext/>
        <w:rPr>
          <w:szCs w:val="22"/>
        </w:rPr>
      </w:pPr>
      <w:r>
        <w:t>PC</w:t>
      </w:r>
    </w:p>
    <w:p w14:paraId="786930BD" w14:textId="1CAC811D" w:rsidR="00570306" w:rsidRDefault="00570306" w:rsidP="00570306">
      <w:pPr>
        <w:keepNext/>
        <w:rPr>
          <w:szCs w:val="22"/>
        </w:rPr>
      </w:pPr>
      <w:r>
        <w:t>SN</w:t>
      </w:r>
    </w:p>
    <w:p w14:paraId="767FA843" w14:textId="20E1F24E" w:rsidR="00570306" w:rsidRDefault="00570306" w:rsidP="00570306">
      <w:pPr>
        <w:rPr>
          <w:szCs w:val="22"/>
        </w:rPr>
      </w:pPr>
      <w:r>
        <w:t>NN</w:t>
      </w:r>
    </w:p>
    <w:p w14:paraId="18ED9C7E" w14:textId="77777777" w:rsidR="008334C8" w:rsidRDefault="008334C8" w:rsidP="008334C8">
      <w:pPr>
        <w:rPr>
          <w:szCs w:val="22"/>
        </w:rPr>
      </w:pPr>
    </w:p>
    <w:p w14:paraId="6E99575A" w14:textId="77777777" w:rsidR="008334C8" w:rsidRDefault="008334C8" w:rsidP="008334C8">
      <w:pPr>
        <w:spacing w:line="240" w:lineRule="auto"/>
        <w:rPr>
          <w:szCs w:val="22"/>
          <w:shd w:val="clear" w:color="auto" w:fill="CCCCCC"/>
        </w:rPr>
      </w:pPr>
    </w:p>
    <w:p w14:paraId="0BB8FFC6" w14:textId="77777777" w:rsidR="008334C8" w:rsidRDefault="008334C8" w:rsidP="008334C8">
      <w:pPr>
        <w:spacing w:line="240" w:lineRule="auto"/>
        <w:rPr>
          <w:szCs w:val="22"/>
        </w:rPr>
      </w:pPr>
      <w:r>
        <w:rPr>
          <w:szCs w:val="22"/>
          <w:shd w:val="clear" w:color="auto" w:fill="CCCCCC"/>
        </w:rPr>
        <w:br w:type="page"/>
      </w:r>
    </w:p>
    <w:p w14:paraId="53390DF2"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MINIMAALSED ANDMED, MIS PEAVAD OLEMA VÄIKESEL VAHETUL SISEPAKENDIL</w:t>
      </w:r>
    </w:p>
    <w:p w14:paraId="4ED8CD89"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p>
    <w:p w14:paraId="6E51EBB1"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t>VIAALI SILT</w:t>
      </w:r>
    </w:p>
    <w:p w14:paraId="57CBC6DB" w14:textId="77777777" w:rsidR="008334C8" w:rsidRDefault="008334C8" w:rsidP="008334C8">
      <w:pPr>
        <w:spacing w:line="240" w:lineRule="auto"/>
        <w:rPr>
          <w:szCs w:val="22"/>
        </w:rPr>
      </w:pPr>
    </w:p>
    <w:p w14:paraId="3F98AC94" w14:textId="77777777" w:rsidR="008334C8" w:rsidRDefault="008334C8" w:rsidP="008334C8">
      <w:pPr>
        <w:spacing w:line="240" w:lineRule="auto"/>
        <w:rPr>
          <w:szCs w:val="22"/>
        </w:rPr>
      </w:pPr>
    </w:p>
    <w:p w14:paraId="5F218E9E"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 JA MANUSTAMISTEE(D)</w:t>
      </w:r>
    </w:p>
    <w:p w14:paraId="25692FF9" w14:textId="77777777" w:rsidR="008334C8" w:rsidRDefault="008334C8" w:rsidP="008334C8">
      <w:pPr>
        <w:spacing w:line="240" w:lineRule="auto"/>
        <w:ind w:left="567" w:hanging="567"/>
        <w:rPr>
          <w:szCs w:val="22"/>
        </w:rPr>
      </w:pPr>
    </w:p>
    <w:p w14:paraId="5DDFC87B" w14:textId="77777777" w:rsidR="008334C8" w:rsidRDefault="008334C8" w:rsidP="008334C8">
      <w:pPr>
        <w:spacing w:line="240" w:lineRule="auto"/>
        <w:rPr>
          <w:shd w:val="clear" w:color="auto" w:fill="D9D9D9"/>
          <w:lang w:eastAsia="en-US"/>
        </w:rPr>
      </w:pPr>
      <w:r w:rsidRPr="008334C8">
        <w:rPr>
          <w:lang w:eastAsia="en-US"/>
        </w:rPr>
        <w:t>ALPROLIX 500 RÜ süstelahuse pulber</w:t>
      </w:r>
    </w:p>
    <w:p w14:paraId="14212F0A" w14:textId="77777777" w:rsidR="008334C8" w:rsidRDefault="008334C8" w:rsidP="008334C8">
      <w:pPr>
        <w:spacing w:line="240" w:lineRule="auto"/>
        <w:rPr>
          <w:szCs w:val="22"/>
        </w:rPr>
      </w:pPr>
    </w:p>
    <w:p w14:paraId="58165FCF" w14:textId="77777777" w:rsidR="008334C8" w:rsidRDefault="008334C8" w:rsidP="008334C8">
      <w:pPr>
        <w:spacing w:line="240" w:lineRule="auto"/>
        <w:rPr>
          <w:i/>
          <w:szCs w:val="22"/>
        </w:rPr>
      </w:pPr>
      <w:proofErr w:type="spellStart"/>
      <w:r>
        <w:rPr>
          <w:i/>
          <w:szCs w:val="22"/>
        </w:rPr>
        <w:t>eftrenonacogum</w:t>
      </w:r>
      <w:proofErr w:type="spellEnd"/>
      <w:r>
        <w:rPr>
          <w:i/>
          <w:szCs w:val="22"/>
        </w:rPr>
        <w:t xml:space="preserve"> alfa</w:t>
      </w:r>
    </w:p>
    <w:p w14:paraId="6D66657C" w14:textId="77777777" w:rsidR="008334C8" w:rsidRDefault="008334C8" w:rsidP="008334C8">
      <w:pPr>
        <w:spacing w:line="240" w:lineRule="auto"/>
        <w:rPr>
          <w:szCs w:val="22"/>
        </w:rPr>
      </w:pPr>
      <w:proofErr w:type="spellStart"/>
      <w:r>
        <w:rPr>
          <w:szCs w:val="22"/>
        </w:rPr>
        <w:t>rekombinantne</w:t>
      </w:r>
      <w:proofErr w:type="spellEnd"/>
      <w:r>
        <w:rPr>
          <w:szCs w:val="22"/>
        </w:rPr>
        <w:t xml:space="preserve"> IX hüübimisfaktor</w:t>
      </w:r>
    </w:p>
    <w:p w14:paraId="0C50255C" w14:textId="77777777" w:rsidR="008334C8" w:rsidRDefault="008334C8" w:rsidP="008334C8">
      <w:pPr>
        <w:spacing w:line="240" w:lineRule="auto"/>
        <w:rPr>
          <w:szCs w:val="22"/>
        </w:rPr>
      </w:pPr>
      <w:proofErr w:type="spellStart"/>
      <w:r>
        <w:rPr>
          <w:szCs w:val="22"/>
        </w:rPr>
        <w:t>i.v</w:t>
      </w:r>
      <w:proofErr w:type="spellEnd"/>
      <w:r>
        <w:rPr>
          <w:szCs w:val="22"/>
        </w:rPr>
        <w:t>.</w:t>
      </w:r>
    </w:p>
    <w:p w14:paraId="79B5EFB1" w14:textId="77777777" w:rsidR="008334C8" w:rsidRDefault="008334C8" w:rsidP="008334C8">
      <w:pPr>
        <w:spacing w:line="240" w:lineRule="auto"/>
        <w:rPr>
          <w:szCs w:val="22"/>
        </w:rPr>
      </w:pPr>
    </w:p>
    <w:p w14:paraId="53B95F1F" w14:textId="77777777" w:rsidR="008334C8" w:rsidRDefault="008334C8" w:rsidP="008334C8">
      <w:pPr>
        <w:spacing w:line="240" w:lineRule="auto"/>
        <w:rPr>
          <w:szCs w:val="22"/>
        </w:rPr>
      </w:pPr>
    </w:p>
    <w:p w14:paraId="098311FD"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MANUSTAMISVIIS</w:t>
      </w:r>
    </w:p>
    <w:p w14:paraId="0455D5B4" w14:textId="77777777" w:rsidR="008334C8" w:rsidRDefault="008334C8" w:rsidP="008334C8">
      <w:pPr>
        <w:spacing w:line="240" w:lineRule="auto"/>
        <w:rPr>
          <w:szCs w:val="22"/>
        </w:rPr>
      </w:pPr>
    </w:p>
    <w:p w14:paraId="6BF4161B" w14:textId="77777777" w:rsidR="008334C8" w:rsidRDefault="008334C8" w:rsidP="008334C8">
      <w:pPr>
        <w:spacing w:line="240" w:lineRule="auto"/>
        <w:rPr>
          <w:szCs w:val="22"/>
        </w:rPr>
      </w:pPr>
    </w:p>
    <w:p w14:paraId="0E010119"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KÕLBLIKKUSAEG</w:t>
      </w:r>
    </w:p>
    <w:p w14:paraId="5793D626" w14:textId="77777777" w:rsidR="008334C8" w:rsidRDefault="008334C8" w:rsidP="008334C8">
      <w:pPr>
        <w:spacing w:line="240" w:lineRule="auto"/>
      </w:pPr>
    </w:p>
    <w:p w14:paraId="5D8B673D" w14:textId="77777777" w:rsidR="008334C8" w:rsidRDefault="008334C8" w:rsidP="008334C8">
      <w:pPr>
        <w:spacing w:line="240" w:lineRule="auto"/>
      </w:pPr>
      <w:r>
        <w:t>EXP</w:t>
      </w:r>
    </w:p>
    <w:p w14:paraId="48047D88" w14:textId="77777777" w:rsidR="008334C8" w:rsidRDefault="008334C8" w:rsidP="008334C8">
      <w:pPr>
        <w:spacing w:line="240" w:lineRule="auto"/>
      </w:pPr>
    </w:p>
    <w:p w14:paraId="6F50933C" w14:textId="77777777" w:rsidR="008334C8" w:rsidRDefault="008334C8" w:rsidP="008334C8">
      <w:pPr>
        <w:spacing w:line="240" w:lineRule="auto"/>
      </w:pPr>
    </w:p>
    <w:p w14:paraId="012D53EB"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PARTII NUMBER</w:t>
      </w:r>
    </w:p>
    <w:p w14:paraId="42F9203C" w14:textId="77777777" w:rsidR="008334C8" w:rsidRDefault="008334C8" w:rsidP="008334C8">
      <w:pPr>
        <w:spacing w:line="240" w:lineRule="auto"/>
        <w:ind w:right="113"/>
      </w:pPr>
    </w:p>
    <w:p w14:paraId="6A566AAC" w14:textId="77777777" w:rsidR="008334C8" w:rsidRDefault="008334C8" w:rsidP="008334C8">
      <w:pPr>
        <w:spacing w:line="240" w:lineRule="auto"/>
        <w:ind w:right="113"/>
      </w:pPr>
      <w:r>
        <w:t>Lot</w:t>
      </w:r>
    </w:p>
    <w:p w14:paraId="10473BBA" w14:textId="77777777" w:rsidR="008334C8" w:rsidRDefault="008334C8" w:rsidP="008334C8">
      <w:pPr>
        <w:spacing w:line="240" w:lineRule="auto"/>
        <w:ind w:right="113"/>
      </w:pPr>
    </w:p>
    <w:p w14:paraId="17CB0FFC" w14:textId="77777777" w:rsidR="008334C8" w:rsidRDefault="008334C8" w:rsidP="008334C8">
      <w:pPr>
        <w:spacing w:line="240" w:lineRule="auto"/>
        <w:ind w:right="113"/>
      </w:pPr>
    </w:p>
    <w:p w14:paraId="6430FFFA"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PAKENDI SISU KAALU, MAHU VÕI ÜHIKUTE JÄRGI</w:t>
      </w:r>
    </w:p>
    <w:p w14:paraId="46D8F3F5" w14:textId="77777777" w:rsidR="008334C8" w:rsidRDefault="008334C8" w:rsidP="008334C8">
      <w:pPr>
        <w:spacing w:line="240" w:lineRule="auto"/>
        <w:ind w:right="113"/>
        <w:rPr>
          <w:szCs w:val="22"/>
        </w:rPr>
      </w:pPr>
    </w:p>
    <w:p w14:paraId="044246B7" w14:textId="77777777" w:rsidR="008334C8" w:rsidRDefault="008334C8" w:rsidP="008334C8">
      <w:pPr>
        <w:spacing w:line="240" w:lineRule="auto"/>
        <w:ind w:right="113"/>
        <w:rPr>
          <w:rFonts w:eastAsia="Calibri"/>
          <w:shd w:val="clear" w:color="auto" w:fill="D9D9D9"/>
          <w:lang w:eastAsia="en-US"/>
        </w:rPr>
      </w:pPr>
      <w:r>
        <w:rPr>
          <w:rFonts w:eastAsia="Calibri"/>
          <w:shd w:val="clear" w:color="auto" w:fill="D9D9D9"/>
          <w:lang w:eastAsia="en-US"/>
        </w:rPr>
        <w:t>500 RÜ</w:t>
      </w:r>
    </w:p>
    <w:p w14:paraId="039C0932" w14:textId="77777777" w:rsidR="008334C8" w:rsidRDefault="008334C8" w:rsidP="008334C8">
      <w:pPr>
        <w:spacing w:line="240" w:lineRule="auto"/>
        <w:ind w:right="113"/>
        <w:rPr>
          <w:szCs w:val="22"/>
        </w:rPr>
      </w:pPr>
    </w:p>
    <w:p w14:paraId="1419882D" w14:textId="77777777" w:rsidR="008334C8" w:rsidRDefault="008334C8" w:rsidP="008334C8">
      <w:pPr>
        <w:spacing w:line="240" w:lineRule="auto"/>
        <w:ind w:right="113"/>
        <w:rPr>
          <w:szCs w:val="22"/>
        </w:rPr>
      </w:pPr>
    </w:p>
    <w:p w14:paraId="3289E4FD"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MUU</w:t>
      </w:r>
    </w:p>
    <w:p w14:paraId="6F22920D" w14:textId="77777777" w:rsidR="008334C8" w:rsidRDefault="008334C8" w:rsidP="008334C8">
      <w:pPr>
        <w:spacing w:line="240" w:lineRule="auto"/>
        <w:ind w:right="113"/>
        <w:rPr>
          <w:szCs w:val="22"/>
        </w:rPr>
      </w:pPr>
    </w:p>
    <w:p w14:paraId="1C49FC41" w14:textId="77777777" w:rsidR="008334C8" w:rsidRDefault="008334C8" w:rsidP="008334C8">
      <w:pPr>
        <w:spacing w:line="240" w:lineRule="auto"/>
        <w:ind w:right="113"/>
        <w:rPr>
          <w:b/>
          <w:szCs w:val="22"/>
        </w:rPr>
      </w:pPr>
      <w:r>
        <w:rPr>
          <w:b/>
        </w:rPr>
        <w:br w:type="page"/>
      </w:r>
    </w:p>
    <w:p w14:paraId="72926146"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VÄLISPAKENDIL PEAVAD OLEMA JÄRGMISED ANDMED</w:t>
      </w:r>
    </w:p>
    <w:p w14:paraId="74AAAE1E"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2E6A01F"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Cs/>
          <w:szCs w:val="22"/>
        </w:rPr>
      </w:pPr>
      <w:r>
        <w:rPr>
          <w:b/>
          <w:szCs w:val="22"/>
        </w:rPr>
        <w:t>KARP</w:t>
      </w:r>
    </w:p>
    <w:p w14:paraId="74999C67" w14:textId="77777777" w:rsidR="008334C8" w:rsidRDefault="008334C8" w:rsidP="008334C8">
      <w:pPr>
        <w:spacing w:line="240" w:lineRule="auto"/>
      </w:pPr>
    </w:p>
    <w:p w14:paraId="4411FEC6" w14:textId="77777777" w:rsidR="008334C8" w:rsidRDefault="008334C8" w:rsidP="008334C8">
      <w:pPr>
        <w:spacing w:line="240" w:lineRule="auto"/>
        <w:rPr>
          <w:szCs w:val="22"/>
        </w:rPr>
      </w:pPr>
    </w:p>
    <w:p w14:paraId="0167C66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w:t>
      </w:r>
    </w:p>
    <w:p w14:paraId="05321F8E" w14:textId="77777777" w:rsidR="008334C8" w:rsidRDefault="008334C8" w:rsidP="008334C8">
      <w:pPr>
        <w:spacing w:line="240" w:lineRule="auto"/>
        <w:rPr>
          <w:szCs w:val="22"/>
        </w:rPr>
      </w:pPr>
    </w:p>
    <w:p w14:paraId="548C4691" w14:textId="77777777" w:rsidR="008334C8" w:rsidRDefault="008334C8" w:rsidP="008334C8">
      <w:pPr>
        <w:spacing w:line="240" w:lineRule="auto"/>
        <w:rPr>
          <w:shd w:val="clear" w:color="auto" w:fill="D9D9D9"/>
          <w:lang w:eastAsia="en-US"/>
        </w:rPr>
      </w:pPr>
      <w:r w:rsidRPr="008334C8">
        <w:rPr>
          <w:lang w:eastAsia="en-US"/>
        </w:rPr>
        <w:t>ALPROLIX 1000 RÜ süstelahuse pulber ja lahusti</w:t>
      </w:r>
    </w:p>
    <w:p w14:paraId="2AF593AA" w14:textId="77777777" w:rsidR="008334C8" w:rsidRDefault="008334C8" w:rsidP="008334C8">
      <w:pPr>
        <w:spacing w:line="240" w:lineRule="auto"/>
        <w:rPr>
          <w:shd w:val="clear" w:color="auto" w:fill="D9D9D9"/>
          <w:lang w:eastAsia="en-US"/>
        </w:rPr>
      </w:pPr>
    </w:p>
    <w:p w14:paraId="5E1F7FD5" w14:textId="33D30757" w:rsidR="00570306" w:rsidRDefault="00570306" w:rsidP="00570306">
      <w:pPr>
        <w:spacing w:line="240" w:lineRule="auto"/>
        <w:rPr>
          <w:szCs w:val="22"/>
        </w:rPr>
      </w:pPr>
      <w:proofErr w:type="spellStart"/>
      <w:r>
        <w:rPr>
          <w:i/>
          <w:szCs w:val="22"/>
        </w:rPr>
        <w:t>eftrenonacogum</w:t>
      </w:r>
      <w:proofErr w:type="spellEnd"/>
      <w:r>
        <w:rPr>
          <w:i/>
          <w:szCs w:val="22"/>
        </w:rPr>
        <w:t xml:space="preserve"> alfa </w:t>
      </w:r>
      <w:r>
        <w:rPr>
          <w:szCs w:val="22"/>
        </w:rPr>
        <w:t>(</w:t>
      </w:r>
      <w:proofErr w:type="spellStart"/>
      <w:r>
        <w:rPr>
          <w:szCs w:val="22"/>
        </w:rPr>
        <w:t>rekombinantne</w:t>
      </w:r>
      <w:proofErr w:type="spellEnd"/>
      <w:r>
        <w:rPr>
          <w:szCs w:val="22"/>
        </w:rPr>
        <w:t xml:space="preserve"> IX hüübimisfaktor, </w:t>
      </w:r>
      <w:proofErr w:type="spellStart"/>
      <w:r>
        <w:rPr>
          <w:szCs w:val="22"/>
        </w:rPr>
        <w:t>Fc</w:t>
      </w:r>
      <w:proofErr w:type="spellEnd"/>
      <w:r>
        <w:rPr>
          <w:szCs w:val="22"/>
        </w:rPr>
        <w:t> fusioonvalk)</w:t>
      </w:r>
    </w:p>
    <w:p w14:paraId="6ECBCFB2" w14:textId="77777777" w:rsidR="008334C8" w:rsidRDefault="008334C8" w:rsidP="008334C8">
      <w:pPr>
        <w:spacing w:line="240" w:lineRule="auto"/>
        <w:rPr>
          <w:szCs w:val="22"/>
        </w:rPr>
      </w:pPr>
    </w:p>
    <w:p w14:paraId="1BEBC8F1" w14:textId="77777777" w:rsidR="008334C8" w:rsidRDefault="008334C8" w:rsidP="008334C8">
      <w:pPr>
        <w:spacing w:line="240" w:lineRule="auto"/>
        <w:rPr>
          <w:szCs w:val="22"/>
        </w:rPr>
      </w:pPr>
    </w:p>
    <w:p w14:paraId="3F8880F8"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TOIMEAINE(TE) SISALDUS</w:t>
      </w:r>
    </w:p>
    <w:p w14:paraId="72C88581" w14:textId="77777777" w:rsidR="008334C8" w:rsidRDefault="008334C8" w:rsidP="008334C8">
      <w:pPr>
        <w:spacing w:line="240" w:lineRule="auto"/>
        <w:rPr>
          <w:szCs w:val="22"/>
        </w:rPr>
      </w:pPr>
    </w:p>
    <w:p w14:paraId="31036A95" w14:textId="77777777" w:rsidR="008334C8" w:rsidRDefault="008334C8" w:rsidP="008334C8">
      <w:pPr>
        <w:spacing w:line="240" w:lineRule="auto"/>
        <w:rPr>
          <w:shd w:val="clear" w:color="auto" w:fill="D9D9D9"/>
          <w:lang w:eastAsia="en-US"/>
        </w:rPr>
      </w:pPr>
      <w:r w:rsidRPr="008334C8">
        <w:rPr>
          <w:lang w:eastAsia="en-US"/>
        </w:rPr>
        <w:t xml:space="preserve">Pulber: 1000 RÜ </w:t>
      </w:r>
      <w:proofErr w:type="spellStart"/>
      <w:r w:rsidRPr="008334C8">
        <w:rPr>
          <w:lang w:eastAsia="en-US"/>
        </w:rPr>
        <w:t>alfaeftrenonakogi</w:t>
      </w:r>
      <w:proofErr w:type="spellEnd"/>
      <w:r w:rsidRPr="008334C8">
        <w:rPr>
          <w:lang w:eastAsia="en-US"/>
        </w:rPr>
        <w:t xml:space="preserve"> (ligikaudu 200 RÜ/ml pärast manustamiskõlblikuks muutmist)</w:t>
      </w:r>
      <w:r>
        <w:rPr>
          <w:lang w:eastAsia="en-US"/>
        </w:rPr>
        <w:t>,</w:t>
      </w:r>
    </w:p>
    <w:p w14:paraId="7B452496" w14:textId="77777777" w:rsidR="008334C8" w:rsidRDefault="008334C8" w:rsidP="008334C8">
      <w:pPr>
        <w:spacing w:line="240" w:lineRule="auto"/>
        <w:rPr>
          <w:szCs w:val="22"/>
        </w:rPr>
      </w:pPr>
    </w:p>
    <w:p w14:paraId="26997A64" w14:textId="77777777" w:rsidR="008334C8" w:rsidRDefault="008334C8" w:rsidP="008334C8">
      <w:pPr>
        <w:spacing w:line="240" w:lineRule="auto"/>
        <w:rPr>
          <w:szCs w:val="22"/>
        </w:rPr>
      </w:pPr>
    </w:p>
    <w:p w14:paraId="68F91762"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ABIAINED</w:t>
      </w:r>
    </w:p>
    <w:p w14:paraId="3702E843" w14:textId="77777777" w:rsidR="008334C8" w:rsidRDefault="008334C8" w:rsidP="008334C8">
      <w:pPr>
        <w:keepNext/>
        <w:keepLines/>
        <w:spacing w:line="240" w:lineRule="auto"/>
        <w:rPr>
          <w:szCs w:val="22"/>
        </w:rPr>
      </w:pPr>
    </w:p>
    <w:p w14:paraId="05952E22" w14:textId="77777777" w:rsidR="008334C8" w:rsidRDefault="008334C8" w:rsidP="008334C8">
      <w:pPr>
        <w:keepNext/>
        <w:keepLines/>
        <w:autoSpaceDE w:val="0"/>
        <w:autoSpaceDN w:val="0"/>
        <w:adjustRightInd w:val="0"/>
        <w:spacing w:line="240" w:lineRule="auto"/>
      </w:pPr>
      <w:r>
        <w:rPr>
          <w:shd w:val="clear" w:color="auto" w:fill="D9D9D9"/>
          <w:lang w:eastAsia="en-US"/>
        </w:rPr>
        <w:t>Pulber:</w:t>
      </w:r>
    </w:p>
    <w:p w14:paraId="47176F05" w14:textId="77777777" w:rsidR="008334C8" w:rsidRDefault="008334C8" w:rsidP="008334C8">
      <w:pPr>
        <w:autoSpaceDE w:val="0"/>
        <w:autoSpaceDN w:val="0"/>
        <w:adjustRightInd w:val="0"/>
        <w:spacing w:line="240" w:lineRule="auto"/>
      </w:pPr>
      <w:r>
        <w:t xml:space="preserve">sahharoos, </w:t>
      </w:r>
      <w:proofErr w:type="spellStart"/>
      <w:r>
        <w:t>histidiin</w:t>
      </w:r>
      <w:proofErr w:type="spellEnd"/>
      <w:r>
        <w:t xml:space="preserve">, mannitool, </w:t>
      </w:r>
      <w:proofErr w:type="spellStart"/>
      <w:r>
        <w:t>polüsorbaat</w:t>
      </w:r>
      <w:proofErr w:type="spellEnd"/>
      <w:r>
        <w:t> 20, naatriumhüdroksiid, vesinikkloriidhape</w:t>
      </w:r>
    </w:p>
    <w:p w14:paraId="690AF425" w14:textId="77777777" w:rsidR="008334C8" w:rsidRDefault="008334C8" w:rsidP="008334C8">
      <w:pPr>
        <w:autoSpaceDE w:val="0"/>
        <w:autoSpaceDN w:val="0"/>
        <w:adjustRightInd w:val="0"/>
        <w:spacing w:line="240" w:lineRule="auto"/>
      </w:pPr>
    </w:p>
    <w:p w14:paraId="4031DAEF" w14:textId="77777777" w:rsidR="00570306" w:rsidRDefault="00570306" w:rsidP="00570306">
      <w:pPr>
        <w:autoSpaceDE w:val="0"/>
        <w:autoSpaceDN w:val="0"/>
        <w:adjustRightInd w:val="0"/>
        <w:spacing w:line="240" w:lineRule="auto"/>
      </w:pPr>
      <w:r>
        <w:t>Lahusti:</w:t>
      </w:r>
    </w:p>
    <w:p w14:paraId="1284BC25" w14:textId="6DB77855" w:rsidR="00570306" w:rsidRDefault="00570306" w:rsidP="00570306">
      <w:pPr>
        <w:spacing w:line="240" w:lineRule="auto"/>
        <w:rPr>
          <w:szCs w:val="22"/>
        </w:rPr>
      </w:pPr>
      <w:r>
        <w:rPr>
          <w:szCs w:val="22"/>
        </w:rPr>
        <w:t>Naatriumkloriid, süstevesi</w:t>
      </w:r>
    </w:p>
    <w:p w14:paraId="074B3CC2" w14:textId="77777777" w:rsidR="008334C8" w:rsidRDefault="008334C8" w:rsidP="008334C8">
      <w:pPr>
        <w:autoSpaceDE w:val="0"/>
        <w:autoSpaceDN w:val="0"/>
        <w:adjustRightInd w:val="0"/>
        <w:spacing w:line="240" w:lineRule="auto"/>
      </w:pPr>
    </w:p>
    <w:p w14:paraId="6C668F2D" w14:textId="77777777" w:rsidR="008334C8" w:rsidRDefault="008334C8" w:rsidP="008334C8">
      <w:pPr>
        <w:autoSpaceDE w:val="0"/>
        <w:autoSpaceDN w:val="0"/>
        <w:adjustRightInd w:val="0"/>
        <w:spacing w:line="240" w:lineRule="auto"/>
      </w:pPr>
    </w:p>
    <w:p w14:paraId="358FB419"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RAVIMVORM JA PAKENDI SUURUS</w:t>
      </w:r>
    </w:p>
    <w:p w14:paraId="64FCFB92" w14:textId="77777777" w:rsidR="008334C8" w:rsidRDefault="008334C8" w:rsidP="008334C8">
      <w:pPr>
        <w:keepNext/>
        <w:spacing w:line="240" w:lineRule="auto"/>
      </w:pPr>
    </w:p>
    <w:p w14:paraId="584BFDBC" w14:textId="77777777" w:rsidR="008334C8" w:rsidRDefault="008334C8" w:rsidP="008334C8">
      <w:pPr>
        <w:keepNext/>
        <w:spacing w:line="240" w:lineRule="auto"/>
        <w:rPr>
          <w:shd w:val="clear" w:color="auto" w:fill="D9D9D9"/>
          <w:lang w:eastAsia="en-US"/>
        </w:rPr>
      </w:pPr>
      <w:r>
        <w:rPr>
          <w:shd w:val="clear" w:color="auto" w:fill="D9D9D9"/>
          <w:lang w:eastAsia="en-US"/>
        </w:rPr>
        <w:t>Süstelahuse pulber ja lahusti</w:t>
      </w:r>
    </w:p>
    <w:p w14:paraId="7651EC23" w14:textId="77777777" w:rsidR="008334C8" w:rsidRDefault="008334C8" w:rsidP="008334C8">
      <w:pPr>
        <w:keepNext/>
        <w:spacing w:line="240" w:lineRule="auto"/>
        <w:rPr>
          <w:szCs w:val="22"/>
        </w:rPr>
      </w:pPr>
    </w:p>
    <w:p w14:paraId="3FDCE88F" w14:textId="77777777" w:rsidR="008334C8" w:rsidRDefault="008334C8" w:rsidP="008334C8">
      <w:pPr>
        <w:spacing w:line="240" w:lineRule="auto"/>
        <w:rPr>
          <w:szCs w:val="22"/>
        </w:rPr>
      </w:pPr>
      <w:r>
        <w:rPr>
          <w:szCs w:val="22"/>
        </w:rPr>
        <w:t>Sisu: 1 </w:t>
      </w:r>
      <w:proofErr w:type="spellStart"/>
      <w:r>
        <w:rPr>
          <w:szCs w:val="22"/>
        </w:rPr>
        <w:t>pulbriviaal</w:t>
      </w:r>
      <w:proofErr w:type="spellEnd"/>
      <w:r>
        <w:rPr>
          <w:szCs w:val="22"/>
        </w:rPr>
        <w:t xml:space="preserve">, 5 ml lahustit </w:t>
      </w:r>
      <w:proofErr w:type="spellStart"/>
      <w:r>
        <w:rPr>
          <w:szCs w:val="22"/>
        </w:rPr>
        <w:t>süstlis</w:t>
      </w:r>
      <w:proofErr w:type="spellEnd"/>
      <w:r>
        <w:rPr>
          <w:szCs w:val="22"/>
        </w:rPr>
        <w:t>, 1 kolvivarras, 1 </w:t>
      </w:r>
      <w:proofErr w:type="spellStart"/>
      <w:r>
        <w:rPr>
          <w:szCs w:val="22"/>
        </w:rPr>
        <w:t>viaaliadapter</w:t>
      </w:r>
      <w:proofErr w:type="spellEnd"/>
      <w:r>
        <w:rPr>
          <w:szCs w:val="22"/>
        </w:rPr>
        <w:t>, 1 infusioonikomplekt, 2 alkoholis niisutatud vatitupsu, 2 plaastrit, 1 marli</w:t>
      </w:r>
    </w:p>
    <w:p w14:paraId="18D29AE1" w14:textId="77777777" w:rsidR="008334C8" w:rsidRDefault="008334C8" w:rsidP="008334C8">
      <w:pPr>
        <w:spacing w:line="240" w:lineRule="auto"/>
        <w:rPr>
          <w:szCs w:val="22"/>
        </w:rPr>
      </w:pPr>
    </w:p>
    <w:p w14:paraId="628C76EA" w14:textId="77777777" w:rsidR="008334C8" w:rsidRDefault="008334C8" w:rsidP="008334C8">
      <w:pPr>
        <w:spacing w:line="240" w:lineRule="auto"/>
        <w:rPr>
          <w:szCs w:val="22"/>
        </w:rPr>
      </w:pPr>
    </w:p>
    <w:p w14:paraId="41BACC4B"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MANUSTAMISVIIS JA -TEE(D)</w:t>
      </w:r>
    </w:p>
    <w:p w14:paraId="363C388E" w14:textId="77777777" w:rsidR="008334C8" w:rsidRDefault="008334C8" w:rsidP="008334C8">
      <w:pPr>
        <w:spacing w:line="240" w:lineRule="auto"/>
        <w:rPr>
          <w:szCs w:val="22"/>
        </w:rPr>
      </w:pPr>
    </w:p>
    <w:p w14:paraId="3F527B39" w14:textId="77777777" w:rsidR="008334C8" w:rsidRDefault="008334C8" w:rsidP="008334C8">
      <w:pPr>
        <w:spacing w:line="240" w:lineRule="auto"/>
        <w:rPr>
          <w:szCs w:val="22"/>
        </w:rPr>
      </w:pPr>
      <w:proofErr w:type="spellStart"/>
      <w:r>
        <w:rPr>
          <w:szCs w:val="22"/>
        </w:rPr>
        <w:t>Intravenoosne</w:t>
      </w:r>
      <w:proofErr w:type="spellEnd"/>
      <w:r>
        <w:rPr>
          <w:szCs w:val="22"/>
        </w:rPr>
        <w:t>, pärast manustamiskõlblikuks muutmist.</w:t>
      </w:r>
    </w:p>
    <w:p w14:paraId="5A4E192A" w14:textId="77777777" w:rsidR="008334C8" w:rsidRDefault="008334C8" w:rsidP="008334C8">
      <w:pPr>
        <w:spacing w:line="240" w:lineRule="auto"/>
        <w:rPr>
          <w:szCs w:val="22"/>
        </w:rPr>
      </w:pPr>
      <w:r>
        <w:rPr>
          <w:szCs w:val="22"/>
        </w:rPr>
        <w:t>Enne ravimi kasutamist lugege pakendi infolehte.</w:t>
      </w:r>
    </w:p>
    <w:p w14:paraId="012849D6" w14:textId="77777777" w:rsidR="008334C8" w:rsidRDefault="008334C8" w:rsidP="008334C8">
      <w:pPr>
        <w:spacing w:line="240" w:lineRule="auto"/>
        <w:rPr>
          <w:szCs w:val="22"/>
        </w:rPr>
      </w:pPr>
    </w:p>
    <w:p w14:paraId="01A54799" w14:textId="77777777" w:rsidR="008334C8" w:rsidRDefault="008334C8" w:rsidP="008334C8">
      <w:pPr>
        <w:spacing w:line="240" w:lineRule="auto"/>
        <w:rPr>
          <w:szCs w:val="22"/>
        </w:rPr>
      </w:pPr>
      <w:proofErr w:type="spellStart"/>
      <w:r>
        <w:rPr>
          <w:szCs w:val="22"/>
        </w:rPr>
        <w:t>ALPROLIX’i</w:t>
      </w:r>
      <w:proofErr w:type="spellEnd"/>
      <w:r>
        <w:rPr>
          <w:szCs w:val="22"/>
        </w:rPr>
        <w:t xml:space="preserve"> ettevalmistamise ja manustamise juhendvideoga tutvumiseks skaneerige QR-kood oma nutitelefoniga või vaadake videot veebisaidil</w:t>
      </w:r>
    </w:p>
    <w:p w14:paraId="3CB87C8B" w14:textId="77777777" w:rsidR="008334C8" w:rsidRDefault="008334C8" w:rsidP="008334C8">
      <w:pPr>
        <w:spacing w:line="240" w:lineRule="auto"/>
        <w:rPr>
          <w:szCs w:val="22"/>
        </w:rPr>
      </w:pPr>
    </w:p>
    <w:p w14:paraId="0C8EBC2C" w14:textId="741D06B2" w:rsidR="008334C8" w:rsidRDefault="008334C8" w:rsidP="008334C8">
      <w:pPr>
        <w:spacing w:line="240" w:lineRule="auto"/>
        <w:rPr>
          <w:szCs w:val="22"/>
        </w:rPr>
      </w:pPr>
      <w:r>
        <w:rPr>
          <w:shd w:val="clear" w:color="auto" w:fill="D9D9D9"/>
        </w:rPr>
        <w:t>Lisatakse QR-kood +</w:t>
      </w:r>
      <w:r>
        <w:t xml:space="preserve"> </w:t>
      </w:r>
      <w:hyperlink r:id="rId31" w:history="1">
        <w:r>
          <w:rPr>
            <w:rStyle w:val="Hyperlink"/>
          </w:rPr>
          <w:t>http://www.alprolix-instructions.com</w:t>
        </w:r>
      </w:hyperlink>
      <w:r>
        <w:rPr>
          <w:szCs w:val="22"/>
        </w:rPr>
        <w:t xml:space="preserve"> </w:t>
      </w:r>
    </w:p>
    <w:p w14:paraId="5AD59CC7" w14:textId="77777777" w:rsidR="008334C8" w:rsidRDefault="008334C8" w:rsidP="008334C8">
      <w:pPr>
        <w:spacing w:line="240" w:lineRule="auto"/>
        <w:rPr>
          <w:szCs w:val="22"/>
        </w:rPr>
      </w:pPr>
    </w:p>
    <w:p w14:paraId="4FEC725B" w14:textId="77777777" w:rsidR="008334C8" w:rsidRDefault="008334C8" w:rsidP="008334C8">
      <w:pPr>
        <w:spacing w:line="240" w:lineRule="auto"/>
        <w:rPr>
          <w:szCs w:val="22"/>
        </w:rPr>
      </w:pPr>
    </w:p>
    <w:p w14:paraId="3CEBF4C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ERIHOIATUS, ET RAVIMIT TULEB HOIDA LASTE EEST VARJATUD JA KÄTTESAAMATUS KOHAS</w:t>
      </w:r>
    </w:p>
    <w:p w14:paraId="43199F4D" w14:textId="77777777" w:rsidR="008334C8" w:rsidRDefault="008334C8" w:rsidP="008334C8">
      <w:pPr>
        <w:spacing w:line="240" w:lineRule="auto"/>
        <w:rPr>
          <w:szCs w:val="22"/>
        </w:rPr>
      </w:pPr>
    </w:p>
    <w:p w14:paraId="49012B3B" w14:textId="77777777" w:rsidR="008334C8" w:rsidRDefault="008334C8" w:rsidP="008334C8">
      <w:pPr>
        <w:spacing w:line="240" w:lineRule="auto"/>
        <w:rPr>
          <w:szCs w:val="22"/>
        </w:rPr>
      </w:pPr>
      <w:r>
        <w:rPr>
          <w:szCs w:val="22"/>
        </w:rPr>
        <w:t>Hoida laste eest varjatud ja kättesaamatus kohas.</w:t>
      </w:r>
    </w:p>
    <w:p w14:paraId="4CE4639B" w14:textId="77777777" w:rsidR="008334C8" w:rsidRDefault="008334C8" w:rsidP="008334C8">
      <w:pPr>
        <w:spacing w:line="240" w:lineRule="auto"/>
        <w:rPr>
          <w:szCs w:val="22"/>
        </w:rPr>
      </w:pPr>
    </w:p>
    <w:p w14:paraId="70CDFDBC" w14:textId="77777777" w:rsidR="008334C8" w:rsidRDefault="008334C8" w:rsidP="008334C8">
      <w:pPr>
        <w:spacing w:line="240" w:lineRule="auto"/>
        <w:rPr>
          <w:szCs w:val="22"/>
        </w:rPr>
      </w:pPr>
    </w:p>
    <w:p w14:paraId="298BF9A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7.</w:t>
      </w:r>
      <w:r>
        <w:rPr>
          <w:b/>
          <w:szCs w:val="22"/>
        </w:rPr>
        <w:tab/>
        <w:t>TEISED ERIHOIATUSED (VAJADUSEL)</w:t>
      </w:r>
    </w:p>
    <w:p w14:paraId="79F4515A" w14:textId="77777777" w:rsidR="008334C8" w:rsidRDefault="008334C8" w:rsidP="008334C8">
      <w:pPr>
        <w:spacing w:line="240" w:lineRule="auto"/>
        <w:rPr>
          <w:szCs w:val="22"/>
        </w:rPr>
      </w:pPr>
    </w:p>
    <w:p w14:paraId="2CE1EEEB" w14:textId="77777777" w:rsidR="008334C8" w:rsidRDefault="008334C8" w:rsidP="008334C8">
      <w:pPr>
        <w:spacing w:line="240" w:lineRule="auto"/>
      </w:pPr>
    </w:p>
    <w:p w14:paraId="729785B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8.</w:t>
      </w:r>
      <w:r>
        <w:rPr>
          <w:b/>
          <w:szCs w:val="22"/>
        </w:rPr>
        <w:tab/>
        <w:t>KÕLBLIKKUSAEG</w:t>
      </w:r>
    </w:p>
    <w:p w14:paraId="39F176E0" w14:textId="77777777" w:rsidR="008334C8" w:rsidRDefault="008334C8" w:rsidP="008334C8">
      <w:pPr>
        <w:spacing w:line="240" w:lineRule="auto"/>
      </w:pPr>
    </w:p>
    <w:p w14:paraId="7F6A4E9B" w14:textId="77777777" w:rsidR="008334C8" w:rsidRDefault="008334C8" w:rsidP="008334C8">
      <w:pPr>
        <w:spacing w:line="240" w:lineRule="auto"/>
      </w:pPr>
      <w:r>
        <w:t>EXP</w:t>
      </w:r>
    </w:p>
    <w:p w14:paraId="2C568B58" w14:textId="77777777" w:rsidR="008334C8" w:rsidRDefault="008334C8" w:rsidP="008334C8">
      <w:pPr>
        <w:spacing w:line="240" w:lineRule="auto"/>
      </w:pPr>
    </w:p>
    <w:p w14:paraId="0F2C6C57" w14:textId="77777777" w:rsidR="008334C8" w:rsidRDefault="008334C8" w:rsidP="008334C8">
      <w:pPr>
        <w:spacing w:line="240" w:lineRule="auto"/>
      </w:pPr>
      <w:r>
        <w:t>Kasutada 6 tunni jooksul pärast manustamiskõlblikuks muutmist.</w:t>
      </w:r>
    </w:p>
    <w:p w14:paraId="3644F004" w14:textId="77777777" w:rsidR="008334C8" w:rsidRDefault="008334C8" w:rsidP="008334C8">
      <w:pPr>
        <w:spacing w:line="240" w:lineRule="auto"/>
      </w:pPr>
    </w:p>
    <w:p w14:paraId="0DB89BF4" w14:textId="77777777" w:rsidR="008334C8" w:rsidRDefault="008334C8" w:rsidP="008334C8">
      <w:pPr>
        <w:spacing w:line="240" w:lineRule="auto"/>
        <w:rPr>
          <w:szCs w:val="22"/>
        </w:rPr>
      </w:pPr>
    </w:p>
    <w:p w14:paraId="7E439297"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9.</w:t>
      </w:r>
      <w:r>
        <w:rPr>
          <w:b/>
          <w:szCs w:val="22"/>
        </w:rPr>
        <w:tab/>
        <w:t>SÄILITAMISE ERITINGIMUSED</w:t>
      </w:r>
    </w:p>
    <w:p w14:paraId="015B987B" w14:textId="77777777" w:rsidR="008334C8" w:rsidRDefault="008334C8" w:rsidP="008334C8">
      <w:pPr>
        <w:spacing w:line="240" w:lineRule="auto"/>
        <w:rPr>
          <w:szCs w:val="22"/>
        </w:rPr>
      </w:pPr>
    </w:p>
    <w:p w14:paraId="31F55045" w14:textId="77777777" w:rsidR="008334C8" w:rsidRDefault="008334C8" w:rsidP="008334C8">
      <w:pPr>
        <w:spacing w:line="240" w:lineRule="auto"/>
        <w:rPr>
          <w:szCs w:val="22"/>
        </w:rPr>
      </w:pPr>
      <w:r>
        <w:rPr>
          <w:szCs w:val="22"/>
        </w:rPr>
        <w:t xml:space="preserve">Hoida </w:t>
      </w:r>
      <w:proofErr w:type="spellStart"/>
      <w:r>
        <w:rPr>
          <w:szCs w:val="22"/>
        </w:rPr>
        <w:t>viaali</w:t>
      </w:r>
      <w:proofErr w:type="spellEnd"/>
      <w:r>
        <w:rPr>
          <w:szCs w:val="22"/>
        </w:rPr>
        <w:t xml:space="preserve"> </w:t>
      </w:r>
      <w:proofErr w:type="spellStart"/>
      <w:r>
        <w:rPr>
          <w:szCs w:val="22"/>
        </w:rPr>
        <w:t>välispakendis</w:t>
      </w:r>
      <w:proofErr w:type="spellEnd"/>
      <w:r>
        <w:rPr>
          <w:szCs w:val="22"/>
        </w:rPr>
        <w:t xml:space="preserve"> valguse eest kaitstult.</w:t>
      </w:r>
    </w:p>
    <w:p w14:paraId="2B1539A4" w14:textId="77777777" w:rsidR="008334C8" w:rsidRDefault="008334C8" w:rsidP="008334C8">
      <w:pPr>
        <w:spacing w:line="240" w:lineRule="auto"/>
        <w:rPr>
          <w:szCs w:val="22"/>
        </w:rPr>
      </w:pPr>
      <w:r>
        <w:rPr>
          <w:szCs w:val="22"/>
        </w:rPr>
        <w:t>Hoida külmkapis.</w:t>
      </w:r>
    </w:p>
    <w:p w14:paraId="68510DFF" w14:textId="77777777" w:rsidR="008334C8" w:rsidRDefault="008334C8" w:rsidP="008334C8">
      <w:pPr>
        <w:spacing w:line="240" w:lineRule="auto"/>
        <w:rPr>
          <w:szCs w:val="22"/>
        </w:rPr>
      </w:pPr>
      <w:r>
        <w:rPr>
          <w:szCs w:val="22"/>
        </w:rPr>
        <w:t>Mitte lasta külmuda.</w:t>
      </w:r>
    </w:p>
    <w:p w14:paraId="0892E7CA" w14:textId="77777777" w:rsidR="008334C8" w:rsidRDefault="008334C8" w:rsidP="008334C8">
      <w:pPr>
        <w:spacing w:line="240" w:lineRule="auto"/>
        <w:rPr>
          <w:szCs w:val="22"/>
        </w:rPr>
      </w:pPr>
      <w:r>
        <w:rPr>
          <w:szCs w:val="22"/>
        </w:rPr>
        <w:t>Võib säilitada toatemperatuuril (kuni 30°C) ühe, 6 kuulise ajaperioodi jooksul. Pärast toatemperatuuril hoidmist ei tohi uuesti külmkappi panna.</w:t>
      </w:r>
    </w:p>
    <w:p w14:paraId="06D2DAA5" w14:textId="77777777" w:rsidR="008334C8" w:rsidRDefault="008334C8" w:rsidP="008334C8">
      <w:pPr>
        <w:spacing w:line="240" w:lineRule="auto"/>
        <w:rPr>
          <w:szCs w:val="22"/>
        </w:rPr>
      </w:pPr>
      <w:r>
        <w:rPr>
          <w:szCs w:val="22"/>
        </w:rPr>
        <w:t>Külmkapist väljavõtmise kuupäev:</w:t>
      </w:r>
    </w:p>
    <w:p w14:paraId="621AB080" w14:textId="77777777" w:rsidR="008334C8" w:rsidRDefault="008334C8" w:rsidP="008334C8">
      <w:pPr>
        <w:spacing w:line="240" w:lineRule="auto"/>
        <w:rPr>
          <w:szCs w:val="22"/>
        </w:rPr>
      </w:pPr>
    </w:p>
    <w:p w14:paraId="34F2000F" w14:textId="77777777" w:rsidR="008334C8" w:rsidRDefault="008334C8" w:rsidP="008334C8">
      <w:pPr>
        <w:spacing w:line="240" w:lineRule="auto"/>
        <w:ind w:left="567" w:hanging="567"/>
        <w:rPr>
          <w:szCs w:val="22"/>
        </w:rPr>
      </w:pPr>
    </w:p>
    <w:p w14:paraId="42F905F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10.</w:t>
      </w:r>
      <w:r>
        <w:rPr>
          <w:b/>
          <w:szCs w:val="22"/>
        </w:rPr>
        <w:tab/>
        <w:t>ERINÕUDED KASUTAMATA JÄÄNUD RAVIMPREPARAADI VÕI SELLEST TEKKINUD JÄÄTMEMATERJALI HÄVITAMISEKS, VASTAVALT VAJADUSELE</w:t>
      </w:r>
    </w:p>
    <w:p w14:paraId="66665EEB" w14:textId="77777777" w:rsidR="008334C8" w:rsidRDefault="008334C8" w:rsidP="008334C8">
      <w:pPr>
        <w:spacing w:line="240" w:lineRule="auto"/>
        <w:rPr>
          <w:szCs w:val="22"/>
        </w:rPr>
      </w:pPr>
    </w:p>
    <w:p w14:paraId="00545230" w14:textId="77777777" w:rsidR="008334C8" w:rsidRDefault="008334C8" w:rsidP="008334C8">
      <w:pPr>
        <w:spacing w:line="240" w:lineRule="auto"/>
        <w:rPr>
          <w:szCs w:val="22"/>
        </w:rPr>
      </w:pPr>
    </w:p>
    <w:p w14:paraId="3DE1B5BB"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11.</w:t>
      </w:r>
      <w:r>
        <w:rPr>
          <w:b/>
          <w:szCs w:val="22"/>
        </w:rPr>
        <w:tab/>
        <w:t>MÜÜGILOA HOIDJA NIMI JA AADRESS</w:t>
      </w:r>
    </w:p>
    <w:p w14:paraId="1705ACEA" w14:textId="77777777" w:rsidR="008334C8" w:rsidRDefault="008334C8" w:rsidP="008334C8">
      <w:pPr>
        <w:keepNext/>
        <w:spacing w:line="240" w:lineRule="auto"/>
        <w:rPr>
          <w:szCs w:val="22"/>
        </w:rPr>
      </w:pPr>
    </w:p>
    <w:p w14:paraId="4FC75709" w14:textId="77777777" w:rsidR="008334C8" w:rsidRDefault="008334C8" w:rsidP="008334C8">
      <w:pPr>
        <w:keepNext/>
        <w:spacing w:line="240" w:lineRule="auto"/>
      </w:pPr>
      <w:r>
        <w:t xml:space="preserve">Swedish </w:t>
      </w:r>
      <w:proofErr w:type="spellStart"/>
      <w:r>
        <w:t>Orphan</w:t>
      </w:r>
      <w:proofErr w:type="spellEnd"/>
      <w:r>
        <w:t xml:space="preserve"> </w:t>
      </w:r>
      <w:proofErr w:type="spellStart"/>
      <w:r>
        <w:t>Biovitrum</w:t>
      </w:r>
      <w:proofErr w:type="spellEnd"/>
      <w:r>
        <w:t xml:space="preserve"> AB (</w:t>
      </w:r>
      <w:proofErr w:type="spellStart"/>
      <w:r>
        <w:t>publ</w:t>
      </w:r>
      <w:proofErr w:type="spellEnd"/>
      <w:r>
        <w:t>)</w:t>
      </w:r>
    </w:p>
    <w:p w14:paraId="2D62DFCB" w14:textId="77777777" w:rsidR="008334C8" w:rsidRDefault="008334C8" w:rsidP="008334C8">
      <w:pPr>
        <w:keepNext/>
        <w:spacing w:line="240" w:lineRule="auto"/>
      </w:pPr>
      <w:r>
        <w:t>SE-112 76 Stockholm</w:t>
      </w:r>
    </w:p>
    <w:p w14:paraId="45303B53" w14:textId="77777777" w:rsidR="008334C8" w:rsidRDefault="008334C8" w:rsidP="008334C8">
      <w:pPr>
        <w:spacing w:line="240" w:lineRule="auto"/>
      </w:pPr>
      <w:r>
        <w:t>Rootsi</w:t>
      </w:r>
    </w:p>
    <w:p w14:paraId="6660AB0D" w14:textId="77777777" w:rsidR="008334C8" w:rsidRDefault="008334C8" w:rsidP="008334C8">
      <w:pPr>
        <w:spacing w:line="240" w:lineRule="auto"/>
        <w:rPr>
          <w:szCs w:val="22"/>
        </w:rPr>
      </w:pPr>
    </w:p>
    <w:p w14:paraId="258F1200" w14:textId="77777777" w:rsidR="008334C8" w:rsidRDefault="008334C8" w:rsidP="008334C8">
      <w:pPr>
        <w:spacing w:line="240" w:lineRule="auto"/>
        <w:rPr>
          <w:szCs w:val="22"/>
        </w:rPr>
      </w:pPr>
    </w:p>
    <w:p w14:paraId="7CB262A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12.</w:t>
      </w:r>
      <w:r>
        <w:rPr>
          <w:b/>
          <w:szCs w:val="22"/>
        </w:rPr>
        <w:tab/>
        <w:t>MÜÜGILOA NUMBER (NUMBRID)</w:t>
      </w:r>
    </w:p>
    <w:p w14:paraId="627F02D8" w14:textId="77777777" w:rsidR="008334C8" w:rsidRDefault="008334C8" w:rsidP="008334C8">
      <w:pPr>
        <w:spacing w:line="240" w:lineRule="auto"/>
        <w:rPr>
          <w:szCs w:val="22"/>
        </w:rPr>
      </w:pPr>
    </w:p>
    <w:p w14:paraId="3502B01B" w14:textId="77777777" w:rsidR="008334C8" w:rsidRDefault="008334C8" w:rsidP="008334C8">
      <w:pPr>
        <w:spacing w:line="240" w:lineRule="auto"/>
        <w:rPr>
          <w:szCs w:val="22"/>
        </w:rPr>
      </w:pPr>
      <w:r w:rsidRPr="008334C8">
        <w:rPr>
          <w:szCs w:val="22"/>
        </w:rPr>
        <w:t>EU/1/16/1098/003</w:t>
      </w:r>
    </w:p>
    <w:p w14:paraId="5BB36E16" w14:textId="77777777" w:rsidR="008334C8" w:rsidRDefault="008334C8" w:rsidP="008334C8">
      <w:pPr>
        <w:spacing w:line="240" w:lineRule="auto"/>
        <w:rPr>
          <w:szCs w:val="22"/>
        </w:rPr>
      </w:pPr>
    </w:p>
    <w:p w14:paraId="0D931A30" w14:textId="77777777" w:rsidR="008334C8" w:rsidRDefault="008334C8" w:rsidP="008334C8">
      <w:pPr>
        <w:spacing w:line="240" w:lineRule="auto"/>
        <w:rPr>
          <w:szCs w:val="22"/>
        </w:rPr>
      </w:pPr>
    </w:p>
    <w:p w14:paraId="5F604EE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13.</w:t>
      </w:r>
      <w:r>
        <w:rPr>
          <w:b/>
          <w:szCs w:val="22"/>
        </w:rPr>
        <w:tab/>
        <w:t>PARTII NUMBER</w:t>
      </w:r>
    </w:p>
    <w:p w14:paraId="0CBF8E85" w14:textId="77777777" w:rsidR="008334C8" w:rsidRDefault="008334C8" w:rsidP="008334C8">
      <w:pPr>
        <w:spacing w:line="240" w:lineRule="auto"/>
        <w:rPr>
          <w:i/>
          <w:szCs w:val="22"/>
        </w:rPr>
      </w:pPr>
    </w:p>
    <w:p w14:paraId="2BCB4A4D" w14:textId="77777777" w:rsidR="008334C8" w:rsidRDefault="008334C8" w:rsidP="008334C8">
      <w:pPr>
        <w:spacing w:line="240" w:lineRule="auto"/>
        <w:rPr>
          <w:szCs w:val="22"/>
        </w:rPr>
      </w:pPr>
      <w:r>
        <w:rPr>
          <w:szCs w:val="22"/>
        </w:rPr>
        <w:t>Lot</w:t>
      </w:r>
    </w:p>
    <w:p w14:paraId="30EE387A" w14:textId="77777777" w:rsidR="008334C8" w:rsidRDefault="008334C8" w:rsidP="008334C8">
      <w:pPr>
        <w:spacing w:line="240" w:lineRule="auto"/>
        <w:rPr>
          <w:szCs w:val="22"/>
        </w:rPr>
      </w:pPr>
    </w:p>
    <w:p w14:paraId="3DF96541" w14:textId="77777777" w:rsidR="008334C8" w:rsidRDefault="008334C8" w:rsidP="008334C8">
      <w:pPr>
        <w:spacing w:line="240" w:lineRule="auto"/>
        <w:rPr>
          <w:szCs w:val="22"/>
        </w:rPr>
      </w:pPr>
    </w:p>
    <w:p w14:paraId="23AE4CA6"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14.</w:t>
      </w:r>
      <w:r>
        <w:rPr>
          <w:b/>
          <w:szCs w:val="22"/>
        </w:rPr>
        <w:tab/>
        <w:t>RAVIMI VÄLJASTAMISTINGIMUSED</w:t>
      </w:r>
    </w:p>
    <w:p w14:paraId="70BF5491" w14:textId="77777777" w:rsidR="008334C8" w:rsidRDefault="008334C8" w:rsidP="008334C8">
      <w:pPr>
        <w:spacing w:line="240" w:lineRule="auto"/>
        <w:rPr>
          <w:i/>
          <w:szCs w:val="22"/>
        </w:rPr>
      </w:pPr>
    </w:p>
    <w:p w14:paraId="771C3DD3" w14:textId="77777777" w:rsidR="008334C8" w:rsidRDefault="008334C8" w:rsidP="008334C8">
      <w:pPr>
        <w:spacing w:line="240" w:lineRule="auto"/>
        <w:rPr>
          <w:szCs w:val="22"/>
        </w:rPr>
      </w:pPr>
    </w:p>
    <w:p w14:paraId="117CD14C"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15.</w:t>
      </w:r>
      <w:r>
        <w:rPr>
          <w:b/>
          <w:szCs w:val="22"/>
        </w:rPr>
        <w:tab/>
        <w:t>KASUTUSJUHEND</w:t>
      </w:r>
    </w:p>
    <w:p w14:paraId="7C761E02" w14:textId="77777777" w:rsidR="008334C8" w:rsidRDefault="008334C8" w:rsidP="008334C8">
      <w:pPr>
        <w:spacing w:line="240" w:lineRule="auto"/>
      </w:pPr>
    </w:p>
    <w:p w14:paraId="5A6A24EA" w14:textId="77777777" w:rsidR="008334C8" w:rsidRDefault="008334C8" w:rsidP="008334C8">
      <w:pPr>
        <w:spacing w:line="240" w:lineRule="auto"/>
      </w:pPr>
    </w:p>
    <w:p w14:paraId="35171E5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lastRenderedPageBreak/>
        <w:t>16.</w:t>
      </w:r>
      <w:r>
        <w:rPr>
          <w:b/>
          <w:szCs w:val="22"/>
        </w:rPr>
        <w:tab/>
        <w:t>TEAVE BRAILLE’ KIRJAS (PUNKTKIRJAS)</w:t>
      </w:r>
    </w:p>
    <w:p w14:paraId="52F2E630" w14:textId="77777777" w:rsidR="008334C8" w:rsidRDefault="008334C8" w:rsidP="008334C8">
      <w:pPr>
        <w:spacing w:line="240" w:lineRule="auto"/>
      </w:pPr>
    </w:p>
    <w:p w14:paraId="4AED5C2E" w14:textId="77777777" w:rsidR="008334C8" w:rsidRDefault="008334C8" w:rsidP="008334C8">
      <w:pPr>
        <w:spacing w:line="240" w:lineRule="auto"/>
        <w:rPr>
          <w:lang w:eastAsia="en-US"/>
        </w:rPr>
      </w:pPr>
      <w:r w:rsidRPr="008334C8">
        <w:rPr>
          <w:lang w:eastAsia="en-US"/>
        </w:rPr>
        <w:t>ALPROLIX 1000</w:t>
      </w:r>
    </w:p>
    <w:p w14:paraId="7D850BDB" w14:textId="77777777" w:rsidR="008334C8" w:rsidRDefault="008334C8" w:rsidP="008334C8">
      <w:pPr>
        <w:spacing w:line="240" w:lineRule="auto"/>
        <w:rPr>
          <w:szCs w:val="22"/>
          <w:shd w:val="clear" w:color="auto" w:fill="CCCCCC"/>
        </w:rPr>
      </w:pPr>
    </w:p>
    <w:p w14:paraId="7424CE49" w14:textId="77777777" w:rsidR="008334C8" w:rsidRDefault="008334C8" w:rsidP="008334C8">
      <w:pPr>
        <w:spacing w:line="240" w:lineRule="auto"/>
        <w:rPr>
          <w:szCs w:val="22"/>
          <w:shd w:val="clear" w:color="auto" w:fill="CCCCCC"/>
        </w:rPr>
      </w:pPr>
    </w:p>
    <w:p w14:paraId="430ABEEE"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17.</w:t>
      </w:r>
      <w:r>
        <w:rPr>
          <w:b/>
          <w:szCs w:val="22"/>
        </w:rPr>
        <w:tab/>
        <w:t>AINULAADNE IDENTIFIKAATOR – 2D-vöötkood</w:t>
      </w:r>
    </w:p>
    <w:p w14:paraId="0E4B8668" w14:textId="77777777" w:rsidR="008334C8" w:rsidRDefault="008334C8" w:rsidP="008334C8">
      <w:pPr>
        <w:keepNext/>
        <w:tabs>
          <w:tab w:val="clear" w:pos="567"/>
        </w:tabs>
        <w:spacing w:line="240" w:lineRule="auto"/>
      </w:pPr>
    </w:p>
    <w:p w14:paraId="02700460" w14:textId="77777777" w:rsidR="008334C8" w:rsidRDefault="008334C8" w:rsidP="008334C8">
      <w:pPr>
        <w:spacing w:line="240" w:lineRule="auto"/>
        <w:rPr>
          <w:szCs w:val="22"/>
          <w:shd w:val="clear" w:color="auto" w:fill="CCCCCC"/>
        </w:rPr>
      </w:pPr>
      <w:r>
        <w:rPr>
          <w:shd w:val="clear" w:color="auto" w:fill="BFBFBF"/>
        </w:rPr>
        <w:t>Lisatud on 2D-vöötkood, mis sisaldab ainulaadset identifikaatorit.</w:t>
      </w:r>
    </w:p>
    <w:p w14:paraId="1E647A05" w14:textId="77777777" w:rsidR="008334C8" w:rsidRDefault="008334C8" w:rsidP="008334C8">
      <w:pPr>
        <w:spacing w:line="240" w:lineRule="auto"/>
        <w:rPr>
          <w:szCs w:val="22"/>
          <w:shd w:val="clear" w:color="auto" w:fill="CCCCCC"/>
        </w:rPr>
      </w:pPr>
    </w:p>
    <w:p w14:paraId="0FA9CC91" w14:textId="77777777" w:rsidR="008334C8" w:rsidRDefault="008334C8" w:rsidP="008334C8">
      <w:pPr>
        <w:tabs>
          <w:tab w:val="clear" w:pos="567"/>
        </w:tabs>
        <w:spacing w:line="240" w:lineRule="auto"/>
      </w:pPr>
    </w:p>
    <w:p w14:paraId="00198A6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18.</w:t>
      </w:r>
      <w:r>
        <w:rPr>
          <w:b/>
          <w:szCs w:val="22"/>
        </w:rPr>
        <w:tab/>
        <w:t>AINULAADNE IDENTIFIKAATOR – INIMLOETAVAD ANDMED</w:t>
      </w:r>
    </w:p>
    <w:p w14:paraId="6EDE6B73" w14:textId="77777777" w:rsidR="008334C8" w:rsidRDefault="008334C8" w:rsidP="008334C8">
      <w:pPr>
        <w:keepNext/>
        <w:tabs>
          <w:tab w:val="clear" w:pos="567"/>
        </w:tabs>
        <w:spacing w:line="240" w:lineRule="auto"/>
      </w:pPr>
    </w:p>
    <w:p w14:paraId="3B34F771" w14:textId="002A6200" w:rsidR="00570306" w:rsidRDefault="00570306" w:rsidP="00570306">
      <w:pPr>
        <w:keepNext/>
        <w:rPr>
          <w:szCs w:val="22"/>
        </w:rPr>
      </w:pPr>
      <w:r>
        <w:t>PC</w:t>
      </w:r>
    </w:p>
    <w:p w14:paraId="7A058E27" w14:textId="74FE5544" w:rsidR="00570306" w:rsidRDefault="00570306" w:rsidP="00570306">
      <w:pPr>
        <w:keepNext/>
        <w:rPr>
          <w:szCs w:val="22"/>
        </w:rPr>
      </w:pPr>
      <w:r>
        <w:t>SN</w:t>
      </w:r>
    </w:p>
    <w:p w14:paraId="422B61C8" w14:textId="5C1A058B" w:rsidR="00570306" w:rsidRDefault="00570306" w:rsidP="00570306">
      <w:pPr>
        <w:rPr>
          <w:szCs w:val="22"/>
        </w:rPr>
      </w:pPr>
      <w:r>
        <w:t>NN</w:t>
      </w:r>
    </w:p>
    <w:p w14:paraId="1FC663B7" w14:textId="77777777" w:rsidR="008334C8" w:rsidRDefault="008334C8" w:rsidP="008334C8">
      <w:pPr>
        <w:rPr>
          <w:szCs w:val="22"/>
        </w:rPr>
      </w:pPr>
    </w:p>
    <w:p w14:paraId="18EC1BD4" w14:textId="77777777" w:rsidR="008334C8" w:rsidRDefault="008334C8" w:rsidP="008334C8">
      <w:pPr>
        <w:spacing w:line="240" w:lineRule="auto"/>
        <w:rPr>
          <w:szCs w:val="22"/>
          <w:shd w:val="clear" w:color="auto" w:fill="CCCCCC"/>
        </w:rPr>
      </w:pPr>
    </w:p>
    <w:p w14:paraId="34F45E45" w14:textId="77777777" w:rsidR="008334C8" w:rsidRDefault="008334C8" w:rsidP="008334C8">
      <w:pPr>
        <w:spacing w:line="240" w:lineRule="auto"/>
        <w:rPr>
          <w:szCs w:val="22"/>
        </w:rPr>
      </w:pPr>
      <w:r>
        <w:rPr>
          <w:szCs w:val="22"/>
          <w:shd w:val="clear" w:color="auto" w:fill="CCCCCC"/>
        </w:rPr>
        <w:br w:type="page"/>
      </w:r>
    </w:p>
    <w:p w14:paraId="1DD15722"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MINIMAALSED ANDMED, MIS PEAVAD OLEMA VÄIKESEL VAHETUL SISEPAKENDIL</w:t>
      </w:r>
    </w:p>
    <w:p w14:paraId="03087392"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p>
    <w:p w14:paraId="76464EB3"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t>VIAALI SILT</w:t>
      </w:r>
    </w:p>
    <w:p w14:paraId="02461EBF" w14:textId="77777777" w:rsidR="008334C8" w:rsidRDefault="008334C8" w:rsidP="008334C8">
      <w:pPr>
        <w:spacing w:line="240" w:lineRule="auto"/>
        <w:rPr>
          <w:szCs w:val="22"/>
        </w:rPr>
      </w:pPr>
    </w:p>
    <w:p w14:paraId="57163737" w14:textId="77777777" w:rsidR="008334C8" w:rsidRDefault="008334C8" w:rsidP="008334C8">
      <w:pPr>
        <w:spacing w:line="240" w:lineRule="auto"/>
        <w:rPr>
          <w:szCs w:val="22"/>
        </w:rPr>
      </w:pPr>
    </w:p>
    <w:p w14:paraId="0A510ACF"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 JA MANUSTAMISTEE(D)</w:t>
      </w:r>
    </w:p>
    <w:p w14:paraId="621858CD" w14:textId="77777777" w:rsidR="008334C8" w:rsidRDefault="008334C8" w:rsidP="008334C8">
      <w:pPr>
        <w:spacing w:line="240" w:lineRule="auto"/>
        <w:ind w:left="567" w:hanging="567"/>
        <w:rPr>
          <w:szCs w:val="22"/>
        </w:rPr>
      </w:pPr>
    </w:p>
    <w:p w14:paraId="0D186A82" w14:textId="77777777" w:rsidR="008334C8" w:rsidRDefault="008334C8" w:rsidP="008334C8">
      <w:pPr>
        <w:spacing w:line="240" w:lineRule="auto"/>
        <w:rPr>
          <w:shd w:val="clear" w:color="auto" w:fill="D9D9D9"/>
          <w:lang w:eastAsia="en-US"/>
        </w:rPr>
      </w:pPr>
      <w:r w:rsidRPr="008334C8">
        <w:rPr>
          <w:lang w:eastAsia="en-US"/>
        </w:rPr>
        <w:t>ALPROLIX 1000 RÜ süstelahuse pulber</w:t>
      </w:r>
    </w:p>
    <w:p w14:paraId="52AD6B88" w14:textId="77777777" w:rsidR="008334C8" w:rsidRDefault="008334C8" w:rsidP="008334C8">
      <w:pPr>
        <w:spacing w:line="240" w:lineRule="auto"/>
        <w:rPr>
          <w:szCs w:val="22"/>
        </w:rPr>
      </w:pPr>
    </w:p>
    <w:p w14:paraId="620314B3" w14:textId="77777777" w:rsidR="008334C8" w:rsidRDefault="008334C8" w:rsidP="008334C8">
      <w:pPr>
        <w:spacing w:line="240" w:lineRule="auto"/>
        <w:rPr>
          <w:i/>
          <w:szCs w:val="22"/>
        </w:rPr>
      </w:pPr>
      <w:proofErr w:type="spellStart"/>
      <w:r>
        <w:rPr>
          <w:i/>
          <w:szCs w:val="22"/>
        </w:rPr>
        <w:t>eftrenonacogum</w:t>
      </w:r>
      <w:proofErr w:type="spellEnd"/>
      <w:r>
        <w:rPr>
          <w:i/>
          <w:szCs w:val="22"/>
        </w:rPr>
        <w:t xml:space="preserve"> alfa</w:t>
      </w:r>
    </w:p>
    <w:p w14:paraId="2B3DFE21" w14:textId="77777777" w:rsidR="008334C8" w:rsidRDefault="008334C8" w:rsidP="008334C8">
      <w:pPr>
        <w:spacing w:line="240" w:lineRule="auto"/>
        <w:rPr>
          <w:szCs w:val="22"/>
        </w:rPr>
      </w:pPr>
      <w:proofErr w:type="spellStart"/>
      <w:r>
        <w:rPr>
          <w:szCs w:val="22"/>
        </w:rPr>
        <w:t>rekombinantne</w:t>
      </w:r>
      <w:proofErr w:type="spellEnd"/>
      <w:r>
        <w:rPr>
          <w:szCs w:val="22"/>
        </w:rPr>
        <w:t xml:space="preserve"> IX hüübimisfaktor</w:t>
      </w:r>
    </w:p>
    <w:p w14:paraId="044B0F6F" w14:textId="77777777" w:rsidR="008334C8" w:rsidRDefault="008334C8" w:rsidP="008334C8">
      <w:pPr>
        <w:spacing w:line="240" w:lineRule="auto"/>
        <w:rPr>
          <w:szCs w:val="22"/>
        </w:rPr>
      </w:pPr>
      <w:proofErr w:type="spellStart"/>
      <w:r>
        <w:rPr>
          <w:szCs w:val="22"/>
        </w:rPr>
        <w:t>i.v</w:t>
      </w:r>
      <w:proofErr w:type="spellEnd"/>
      <w:r>
        <w:rPr>
          <w:szCs w:val="22"/>
        </w:rPr>
        <w:t>.</w:t>
      </w:r>
    </w:p>
    <w:p w14:paraId="4E9BC7D3" w14:textId="77777777" w:rsidR="008334C8" w:rsidRDefault="008334C8" w:rsidP="008334C8">
      <w:pPr>
        <w:spacing w:line="240" w:lineRule="auto"/>
        <w:rPr>
          <w:szCs w:val="22"/>
        </w:rPr>
      </w:pPr>
    </w:p>
    <w:p w14:paraId="494DD3D3" w14:textId="77777777" w:rsidR="008334C8" w:rsidRDefault="008334C8" w:rsidP="008334C8">
      <w:pPr>
        <w:spacing w:line="240" w:lineRule="auto"/>
        <w:rPr>
          <w:szCs w:val="22"/>
        </w:rPr>
      </w:pPr>
    </w:p>
    <w:p w14:paraId="49C42E4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MANUSTAMISVIIS</w:t>
      </w:r>
    </w:p>
    <w:p w14:paraId="062F3CF9" w14:textId="77777777" w:rsidR="008334C8" w:rsidRDefault="008334C8" w:rsidP="008334C8">
      <w:pPr>
        <w:spacing w:line="240" w:lineRule="auto"/>
        <w:rPr>
          <w:szCs w:val="22"/>
        </w:rPr>
      </w:pPr>
    </w:p>
    <w:p w14:paraId="5D42C943" w14:textId="77777777" w:rsidR="008334C8" w:rsidRDefault="008334C8" w:rsidP="008334C8">
      <w:pPr>
        <w:spacing w:line="240" w:lineRule="auto"/>
        <w:rPr>
          <w:szCs w:val="22"/>
        </w:rPr>
      </w:pPr>
    </w:p>
    <w:p w14:paraId="6630010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KÕLBLIKKUSAEG</w:t>
      </w:r>
    </w:p>
    <w:p w14:paraId="5AA37241" w14:textId="77777777" w:rsidR="008334C8" w:rsidRDefault="008334C8" w:rsidP="008334C8">
      <w:pPr>
        <w:spacing w:line="240" w:lineRule="auto"/>
      </w:pPr>
    </w:p>
    <w:p w14:paraId="4B632139" w14:textId="77777777" w:rsidR="008334C8" w:rsidRDefault="008334C8" w:rsidP="008334C8">
      <w:pPr>
        <w:spacing w:line="240" w:lineRule="auto"/>
      </w:pPr>
      <w:r>
        <w:t>EXP</w:t>
      </w:r>
    </w:p>
    <w:p w14:paraId="34FE59FB" w14:textId="77777777" w:rsidR="008334C8" w:rsidRDefault="008334C8" w:rsidP="008334C8">
      <w:pPr>
        <w:spacing w:line="240" w:lineRule="auto"/>
      </w:pPr>
    </w:p>
    <w:p w14:paraId="1CCEB698" w14:textId="77777777" w:rsidR="008334C8" w:rsidRDefault="008334C8" w:rsidP="008334C8">
      <w:pPr>
        <w:spacing w:line="240" w:lineRule="auto"/>
      </w:pPr>
    </w:p>
    <w:p w14:paraId="413FB8D7"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PARTII NUMBER</w:t>
      </w:r>
    </w:p>
    <w:p w14:paraId="44A2DEDB" w14:textId="77777777" w:rsidR="008334C8" w:rsidRDefault="008334C8" w:rsidP="008334C8">
      <w:pPr>
        <w:spacing w:line="240" w:lineRule="auto"/>
        <w:ind w:right="113"/>
      </w:pPr>
    </w:p>
    <w:p w14:paraId="374C4DBA" w14:textId="77777777" w:rsidR="008334C8" w:rsidRDefault="008334C8" w:rsidP="008334C8">
      <w:pPr>
        <w:spacing w:line="240" w:lineRule="auto"/>
        <w:ind w:right="113"/>
      </w:pPr>
      <w:r>
        <w:t>Lot</w:t>
      </w:r>
    </w:p>
    <w:p w14:paraId="054EAE11" w14:textId="77777777" w:rsidR="008334C8" w:rsidRDefault="008334C8" w:rsidP="008334C8">
      <w:pPr>
        <w:spacing w:line="240" w:lineRule="auto"/>
        <w:ind w:right="113"/>
      </w:pPr>
    </w:p>
    <w:p w14:paraId="36787F51" w14:textId="77777777" w:rsidR="008334C8" w:rsidRDefault="008334C8" w:rsidP="008334C8">
      <w:pPr>
        <w:spacing w:line="240" w:lineRule="auto"/>
        <w:ind w:right="113"/>
      </w:pPr>
    </w:p>
    <w:p w14:paraId="47B928A8"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PAKENDI SISU KAALU, MAHU VÕI ÜHIKUTE JÄRGI</w:t>
      </w:r>
    </w:p>
    <w:p w14:paraId="255993E4" w14:textId="77777777" w:rsidR="008334C8" w:rsidRDefault="008334C8" w:rsidP="008334C8">
      <w:pPr>
        <w:spacing w:line="240" w:lineRule="auto"/>
        <w:ind w:right="113"/>
        <w:rPr>
          <w:szCs w:val="22"/>
        </w:rPr>
      </w:pPr>
    </w:p>
    <w:p w14:paraId="6386802F" w14:textId="77777777" w:rsidR="008334C8" w:rsidRDefault="008334C8" w:rsidP="008334C8">
      <w:pPr>
        <w:spacing w:line="240" w:lineRule="auto"/>
        <w:ind w:right="113"/>
        <w:rPr>
          <w:rFonts w:eastAsia="Calibri"/>
          <w:shd w:val="clear" w:color="auto" w:fill="D9D9D9"/>
          <w:lang w:eastAsia="en-US"/>
        </w:rPr>
      </w:pPr>
      <w:r>
        <w:rPr>
          <w:rFonts w:eastAsia="Calibri"/>
          <w:shd w:val="clear" w:color="auto" w:fill="D9D9D9"/>
          <w:lang w:eastAsia="en-US"/>
        </w:rPr>
        <w:t>1000 RÜ</w:t>
      </w:r>
    </w:p>
    <w:p w14:paraId="30D4DCB7" w14:textId="77777777" w:rsidR="008334C8" w:rsidRDefault="008334C8" w:rsidP="008334C8">
      <w:pPr>
        <w:spacing w:line="240" w:lineRule="auto"/>
        <w:ind w:right="113"/>
        <w:rPr>
          <w:szCs w:val="22"/>
        </w:rPr>
      </w:pPr>
    </w:p>
    <w:p w14:paraId="71241ED6" w14:textId="77777777" w:rsidR="008334C8" w:rsidRDefault="008334C8" w:rsidP="008334C8">
      <w:pPr>
        <w:spacing w:line="240" w:lineRule="auto"/>
        <w:ind w:right="113"/>
        <w:rPr>
          <w:szCs w:val="22"/>
        </w:rPr>
      </w:pPr>
    </w:p>
    <w:p w14:paraId="11BFE717"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MUU</w:t>
      </w:r>
    </w:p>
    <w:p w14:paraId="0A110DD6" w14:textId="77777777" w:rsidR="008334C8" w:rsidRDefault="008334C8" w:rsidP="008334C8">
      <w:pPr>
        <w:spacing w:line="240" w:lineRule="auto"/>
        <w:ind w:right="113"/>
        <w:rPr>
          <w:szCs w:val="22"/>
        </w:rPr>
      </w:pPr>
    </w:p>
    <w:p w14:paraId="4B4C9239" w14:textId="77777777" w:rsidR="008334C8" w:rsidRDefault="008334C8" w:rsidP="008334C8">
      <w:pPr>
        <w:spacing w:line="240" w:lineRule="auto"/>
        <w:ind w:right="113"/>
        <w:rPr>
          <w:b/>
          <w:szCs w:val="22"/>
        </w:rPr>
      </w:pPr>
      <w:r>
        <w:rPr>
          <w:b/>
        </w:rPr>
        <w:br w:type="page"/>
      </w:r>
    </w:p>
    <w:p w14:paraId="15FCF6FA"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VÄLISPAKENDIL PEAVAD OLEMA JÄRGMISED ANDMED</w:t>
      </w:r>
    </w:p>
    <w:p w14:paraId="249B8A3F"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E1359EA"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Cs/>
          <w:szCs w:val="22"/>
        </w:rPr>
      </w:pPr>
      <w:r>
        <w:rPr>
          <w:b/>
          <w:szCs w:val="22"/>
        </w:rPr>
        <w:t>KARP</w:t>
      </w:r>
    </w:p>
    <w:p w14:paraId="476D6DB4" w14:textId="77777777" w:rsidR="008334C8" w:rsidRDefault="008334C8" w:rsidP="008334C8">
      <w:pPr>
        <w:spacing w:line="240" w:lineRule="auto"/>
      </w:pPr>
    </w:p>
    <w:p w14:paraId="4C166A6E" w14:textId="77777777" w:rsidR="008334C8" w:rsidRDefault="008334C8" w:rsidP="008334C8">
      <w:pPr>
        <w:spacing w:line="240" w:lineRule="auto"/>
        <w:rPr>
          <w:szCs w:val="22"/>
        </w:rPr>
      </w:pPr>
    </w:p>
    <w:p w14:paraId="12FDE836"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w:t>
      </w:r>
    </w:p>
    <w:p w14:paraId="31C228D3" w14:textId="77777777" w:rsidR="008334C8" w:rsidRDefault="008334C8" w:rsidP="008334C8">
      <w:pPr>
        <w:spacing w:line="240" w:lineRule="auto"/>
        <w:rPr>
          <w:szCs w:val="22"/>
        </w:rPr>
      </w:pPr>
    </w:p>
    <w:p w14:paraId="371DF919" w14:textId="77777777" w:rsidR="008334C8" w:rsidRDefault="008334C8" w:rsidP="008334C8">
      <w:pPr>
        <w:spacing w:line="240" w:lineRule="auto"/>
        <w:rPr>
          <w:shd w:val="clear" w:color="auto" w:fill="D9D9D9"/>
          <w:lang w:eastAsia="en-US"/>
        </w:rPr>
      </w:pPr>
      <w:r w:rsidRPr="008334C8">
        <w:rPr>
          <w:lang w:eastAsia="en-US"/>
        </w:rPr>
        <w:t>ALPROLIX 2000 RÜ süstelahuse pulber ja lahusti</w:t>
      </w:r>
    </w:p>
    <w:p w14:paraId="732E9317" w14:textId="77777777" w:rsidR="008334C8" w:rsidRDefault="008334C8" w:rsidP="008334C8">
      <w:pPr>
        <w:spacing w:line="240" w:lineRule="auto"/>
        <w:rPr>
          <w:shd w:val="clear" w:color="auto" w:fill="D9D9D9"/>
          <w:lang w:eastAsia="en-US"/>
        </w:rPr>
      </w:pPr>
    </w:p>
    <w:p w14:paraId="4C5859A8" w14:textId="7A1D03ED" w:rsidR="00570306" w:rsidRDefault="00570306" w:rsidP="00570306">
      <w:pPr>
        <w:spacing w:line="240" w:lineRule="auto"/>
        <w:rPr>
          <w:szCs w:val="22"/>
        </w:rPr>
      </w:pPr>
      <w:proofErr w:type="spellStart"/>
      <w:r>
        <w:rPr>
          <w:i/>
          <w:szCs w:val="22"/>
        </w:rPr>
        <w:t>eftrenonacogum</w:t>
      </w:r>
      <w:proofErr w:type="spellEnd"/>
      <w:r>
        <w:rPr>
          <w:i/>
          <w:szCs w:val="22"/>
        </w:rPr>
        <w:t xml:space="preserve"> alfa </w:t>
      </w:r>
      <w:r>
        <w:rPr>
          <w:szCs w:val="22"/>
        </w:rPr>
        <w:t>(</w:t>
      </w:r>
      <w:proofErr w:type="spellStart"/>
      <w:r>
        <w:rPr>
          <w:szCs w:val="22"/>
        </w:rPr>
        <w:t>rekombinantne</w:t>
      </w:r>
      <w:proofErr w:type="spellEnd"/>
      <w:r>
        <w:rPr>
          <w:szCs w:val="22"/>
        </w:rPr>
        <w:t xml:space="preserve"> IX hüübimisfaktor, </w:t>
      </w:r>
      <w:proofErr w:type="spellStart"/>
      <w:r>
        <w:rPr>
          <w:szCs w:val="22"/>
        </w:rPr>
        <w:t>Fc</w:t>
      </w:r>
      <w:proofErr w:type="spellEnd"/>
      <w:r>
        <w:rPr>
          <w:szCs w:val="22"/>
        </w:rPr>
        <w:t> fusioonvalk)</w:t>
      </w:r>
    </w:p>
    <w:p w14:paraId="7145FF94" w14:textId="77777777" w:rsidR="008334C8" w:rsidRDefault="008334C8" w:rsidP="008334C8">
      <w:pPr>
        <w:spacing w:line="240" w:lineRule="auto"/>
        <w:rPr>
          <w:szCs w:val="22"/>
        </w:rPr>
      </w:pPr>
    </w:p>
    <w:p w14:paraId="256AD11F" w14:textId="77777777" w:rsidR="008334C8" w:rsidRDefault="008334C8" w:rsidP="008334C8">
      <w:pPr>
        <w:spacing w:line="240" w:lineRule="auto"/>
        <w:rPr>
          <w:szCs w:val="22"/>
        </w:rPr>
      </w:pPr>
    </w:p>
    <w:p w14:paraId="0DE54B96"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TOIMEAINE(TE) SISALDUS</w:t>
      </w:r>
    </w:p>
    <w:p w14:paraId="30916B3F" w14:textId="77777777" w:rsidR="008334C8" w:rsidRDefault="008334C8" w:rsidP="008334C8">
      <w:pPr>
        <w:spacing w:line="240" w:lineRule="auto"/>
        <w:rPr>
          <w:szCs w:val="22"/>
        </w:rPr>
      </w:pPr>
    </w:p>
    <w:p w14:paraId="2C161C85" w14:textId="77777777" w:rsidR="008334C8" w:rsidRDefault="008334C8" w:rsidP="008334C8">
      <w:pPr>
        <w:spacing w:line="240" w:lineRule="auto"/>
        <w:rPr>
          <w:shd w:val="clear" w:color="auto" w:fill="D9D9D9"/>
          <w:lang w:eastAsia="en-US"/>
        </w:rPr>
      </w:pPr>
      <w:r w:rsidRPr="008334C8">
        <w:rPr>
          <w:lang w:eastAsia="en-US"/>
        </w:rPr>
        <w:t xml:space="preserve">Pulber: 2000 RÜ </w:t>
      </w:r>
      <w:proofErr w:type="spellStart"/>
      <w:r w:rsidRPr="008334C8">
        <w:rPr>
          <w:lang w:eastAsia="en-US"/>
        </w:rPr>
        <w:t>alfaeftrenonakogi</w:t>
      </w:r>
      <w:proofErr w:type="spellEnd"/>
      <w:r w:rsidRPr="008334C8">
        <w:rPr>
          <w:lang w:eastAsia="en-US"/>
        </w:rPr>
        <w:t xml:space="preserve"> (ligikaudu 400 RÜ/ml pärast manustamiskõlblikuks muutmist)</w:t>
      </w:r>
      <w:r>
        <w:rPr>
          <w:lang w:eastAsia="en-US"/>
        </w:rPr>
        <w:t>,</w:t>
      </w:r>
    </w:p>
    <w:p w14:paraId="485B656A" w14:textId="77777777" w:rsidR="008334C8" w:rsidRDefault="008334C8" w:rsidP="008334C8">
      <w:pPr>
        <w:spacing w:line="240" w:lineRule="auto"/>
        <w:rPr>
          <w:szCs w:val="22"/>
        </w:rPr>
      </w:pPr>
    </w:p>
    <w:p w14:paraId="754E6CE5" w14:textId="77777777" w:rsidR="008334C8" w:rsidRDefault="008334C8" w:rsidP="008334C8">
      <w:pPr>
        <w:spacing w:line="240" w:lineRule="auto"/>
        <w:rPr>
          <w:szCs w:val="22"/>
        </w:rPr>
      </w:pPr>
    </w:p>
    <w:p w14:paraId="5CB481C7"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ABIAINED</w:t>
      </w:r>
    </w:p>
    <w:p w14:paraId="13E3A169" w14:textId="77777777" w:rsidR="008334C8" w:rsidRDefault="008334C8" w:rsidP="008334C8">
      <w:pPr>
        <w:keepNext/>
        <w:keepLines/>
        <w:spacing w:line="240" w:lineRule="auto"/>
        <w:rPr>
          <w:szCs w:val="22"/>
        </w:rPr>
      </w:pPr>
    </w:p>
    <w:p w14:paraId="1EB40520" w14:textId="77777777" w:rsidR="008334C8" w:rsidRDefault="008334C8" w:rsidP="008334C8">
      <w:pPr>
        <w:keepNext/>
        <w:keepLines/>
        <w:autoSpaceDE w:val="0"/>
        <w:autoSpaceDN w:val="0"/>
        <w:adjustRightInd w:val="0"/>
        <w:spacing w:line="240" w:lineRule="auto"/>
      </w:pPr>
      <w:r>
        <w:rPr>
          <w:shd w:val="clear" w:color="auto" w:fill="D9D9D9"/>
          <w:lang w:eastAsia="en-US"/>
        </w:rPr>
        <w:t>Pulber:</w:t>
      </w:r>
    </w:p>
    <w:p w14:paraId="7B355724" w14:textId="77777777" w:rsidR="008334C8" w:rsidRDefault="008334C8" w:rsidP="008334C8">
      <w:pPr>
        <w:autoSpaceDE w:val="0"/>
        <w:autoSpaceDN w:val="0"/>
        <w:adjustRightInd w:val="0"/>
        <w:spacing w:line="240" w:lineRule="auto"/>
      </w:pPr>
      <w:r>
        <w:t xml:space="preserve">sahharoos, </w:t>
      </w:r>
      <w:proofErr w:type="spellStart"/>
      <w:r>
        <w:t>histidiin</w:t>
      </w:r>
      <w:proofErr w:type="spellEnd"/>
      <w:r>
        <w:t xml:space="preserve">, mannitool, </w:t>
      </w:r>
      <w:proofErr w:type="spellStart"/>
      <w:r>
        <w:t>polüsorbaat</w:t>
      </w:r>
      <w:proofErr w:type="spellEnd"/>
      <w:r>
        <w:t> 20, naatriumhüdroksiid, vesinikkloriidhape</w:t>
      </w:r>
    </w:p>
    <w:p w14:paraId="485CFAF6" w14:textId="77777777" w:rsidR="008334C8" w:rsidRDefault="008334C8" w:rsidP="008334C8">
      <w:pPr>
        <w:autoSpaceDE w:val="0"/>
        <w:autoSpaceDN w:val="0"/>
        <w:adjustRightInd w:val="0"/>
        <w:spacing w:line="240" w:lineRule="auto"/>
      </w:pPr>
    </w:p>
    <w:p w14:paraId="36ECDCCD" w14:textId="77777777" w:rsidR="00570306" w:rsidRDefault="00570306" w:rsidP="00570306">
      <w:pPr>
        <w:autoSpaceDE w:val="0"/>
        <w:autoSpaceDN w:val="0"/>
        <w:adjustRightInd w:val="0"/>
        <w:spacing w:line="240" w:lineRule="auto"/>
      </w:pPr>
      <w:r>
        <w:t>Lahusti:</w:t>
      </w:r>
    </w:p>
    <w:p w14:paraId="1023A119" w14:textId="3B441901" w:rsidR="00570306" w:rsidRDefault="00570306" w:rsidP="00570306">
      <w:pPr>
        <w:spacing w:line="240" w:lineRule="auto"/>
        <w:rPr>
          <w:szCs w:val="22"/>
        </w:rPr>
      </w:pPr>
      <w:r>
        <w:rPr>
          <w:szCs w:val="22"/>
        </w:rPr>
        <w:t>Naatriumkloriid, süstevesi</w:t>
      </w:r>
    </w:p>
    <w:p w14:paraId="35C2C648" w14:textId="77777777" w:rsidR="008334C8" w:rsidRDefault="008334C8" w:rsidP="008334C8">
      <w:pPr>
        <w:autoSpaceDE w:val="0"/>
        <w:autoSpaceDN w:val="0"/>
        <w:adjustRightInd w:val="0"/>
        <w:spacing w:line="240" w:lineRule="auto"/>
      </w:pPr>
    </w:p>
    <w:p w14:paraId="0C3D894F" w14:textId="77777777" w:rsidR="008334C8" w:rsidRDefault="008334C8" w:rsidP="008334C8">
      <w:pPr>
        <w:autoSpaceDE w:val="0"/>
        <w:autoSpaceDN w:val="0"/>
        <w:adjustRightInd w:val="0"/>
        <w:spacing w:line="240" w:lineRule="auto"/>
      </w:pPr>
    </w:p>
    <w:p w14:paraId="2FC94450"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RAVIMVORM JA PAKENDI SUURUS</w:t>
      </w:r>
    </w:p>
    <w:p w14:paraId="574E75C5" w14:textId="77777777" w:rsidR="008334C8" w:rsidRDefault="008334C8" w:rsidP="008334C8">
      <w:pPr>
        <w:keepNext/>
        <w:spacing w:line="240" w:lineRule="auto"/>
      </w:pPr>
    </w:p>
    <w:p w14:paraId="7808F60E" w14:textId="77777777" w:rsidR="008334C8" w:rsidRDefault="008334C8" w:rsidP="008334C8">
      <w:pPr>
        <w:keepNext/>
        <w:spacing w:line="240" w:lineRule="auto"/>
        <w:rPr>
          <w:shd w:val="clear" w:color="auto" w:fill="D9D9D9"/>
          <w:lang w:eastAsia="en-US"/>
        </w:rPr>
      </w:pPr>
      <w:r>
        <w:rPr>
          <w:shd w:val="clear" w:color="auto" w:fill="D9D9D9"/>
          <w:lang w:eastAsia="en-US"/>
        </w:rPr>
        <w:t>Süstelahuse pulber ja lahusti</w:t>
      </w:r>
    </w:p>
    <w:p w14:paraId="0AD48215" w14:textId="77777777" w:rsidR="008334C8" w:rsidRDefault="008334C8" w:rsidP="008334C8">
      <w:pPr>
        <w:keepNext/>
        <w:spacing w:line="240" w:lineRule="auto"/>
        <w:rPr>
          <w:szCs w:val="22"/>
        </w:rPr>
      </w:pPr>
    </w:p>
    <w:p w14:paraId="158F1102" w14:textId="77777777" w:rsidR="008334C8" w:rsidRDefault="008334C8" w:rsidP="008334C8">
      <w:pPr>
        <w:spacing w:line="240" w:lineRule="auto"/>
        <w:rPr>
          <w:szCs w:val="22"/>
        </w:rPr>
      </w:pPr>
      <w:r>
        <w:rPr>
          <w:szCs w:val="22"/>
        </w:rPr>
        <w:t>Sisu: 1 </w:t>
      </w:r>
      <w:proofErr w:type="spellStart"/>
      <w:r>
        <w:rPr>
          <w:szCs w:val="22"/>
        </w:rPr>
        <w:t>pulbriviaal</w:t>
      </w:r>
      <w:proofErr w:type="spellEnd"/>
      <w:r>
        <w:rPr>
          <w:szCs w:val="22"/>
        </w:rPr>
        <w:t xml:space="preserve">, 5 ml lahustit </w:t>
      </w:r>
      <w:proofErr w:type="spellStart"/>
      <w:r>
        <w:rPr>
          <w:szCs w:val="22"/>
        </w:rPr>
        <w:t>süstlis</w:t>
      </w:r>
      <w:proofErr w:type="spellEnd"/>
      <w:r>
        <w:rPr>
          <w:szCs w:val="22"/>
        </w:rPr>
        <w:t>, 1 kolvivarras, 1 </w:t>
      </w:r>
      <w:proofErr w:type="spellStart"/>
      <w:r>
        <w:rPr>
          <w:szCs w:val="22"/>
        </w:rPr>
        <w:t>viaaliadapter</w:t>
      </w:r>
      <w:proofErr w:type="spellEnd"/>
      <w:r>
        <w:rPr>
          <w:szCs w:val="22"/>
        </w:rPr>
        <w:t>, 1 infusioonikomplekt, 2 alkoholis niisutatud vatitupsu, 2 plaastrit, 1 marli</w:t>
      </w:r>
    </w:p>
    <w:p w14:paraId="2C8C481A" w14:textId="77777777" w:rsidR="008334C8" w:rsidRDefault="008334C8" w:rsidP="008334C8">
      <w:pPr>
        <w:spacing w:line="240" w:lineRule="auto"/>
        <w:rPr>
          <w:szCs w:val="22"/>
        </w:rPr>
      </w:pPr>
    </w:p>
    <w:p w14:paraId="1CB6E723" w14:textId="77777777" w:rsidR="008334C8" w:rsidRDefault="008334C8" w:rsidP="008334C8">
      <w:pPr>
        <w:spacing w:line="240" w:lineRule="auto"/>
        <w:rPr>
          <w:szCs w:val="22"/>
        </w:rPr>
      </w:pPr>
    </w:p>
    <w:p w14:paraId="2FCDED74"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MANUSTAMISVIIS JA -TEE(D)</w:t>
      </w:r>
    </w:p>
    <w:p w14:paraId="0A1B366A" w14:textId="77777777" w:rsidR="008334C8" w:rsidRDefault="008334C8" w:rsidP="008334C8">
      <w:pPr>
        <w:spacing w:line="240" w:lineRule="auto"/>
        <w:rPr>
          <w:szCs w:val="22"/>
        </w:rPr>
      </w:pPr>
    </w:p>
    <w:p w14:paraId="5103279F" w14:textId="77777777" w:rsidR="008334C8" w:rsidRDefault="008334C8" w:rsidP="008334C8">
      <w:pPr>
        <w:spacing w:line="240" w:lineRule="auto"/>
        <w:rPr>
          <w:szCs w:val="22"/>
        </w:rPr>
      </w:pPr>
      <w:proofErr w:type="spellStart"/>
      <w:r>
        <w:rPr>
          <w:szCs w:val="22"/>
        </w:rPr>
        <w:t>Intravenoosne</w:t>
      </w:r>
      <w:proofErr w:type="spellEnd"/>
      <w:r>
        <w:rPr>
          <w:szCs w:val="22"/>
        </w:rPr>
        <w:t>, pärast manustamiskõlblikuks muutmist.</w:t>
      </w:r>
    </w:p>
    <w:p w14:paraId="0113D190" w14:textId="77777777" w:rsidR="008334C8" w:rsidRDefault="008334C8" w:rsidP="008334C8">
      <w:pPr>
        <w:spacing w:line="240" w:lineRule="auto"/>
        <w:rPr>
          <w:szCs w:val="22"/>
        </w:rPr>
      </w:pPr>
      <w:r>
        <w:rPr>
          <w:szCs w:val="22"/>
        </w:rPr>
        <w:t>Enne ravimi kasutamist lugege pakendi infolehte.</w:t>
      </w:r>
    </w:p>
    <w:p w14:paraId="705B29C5" w14:textId="77777777" w:rsidR="008334C8" w:rsidRDefault="008334C8" w:rsidP="008334C8">
      <w:pPr>
        <w:spacing w:line="240" w:lineRule="auto"/>
        <w:rPr>
          <w:szCs w:val="22"/>
        </w:rPr>
      </w:pPr>
    </w:p>
    <w:p w14:paraId="745E6E10" w14:textId="77777777" w:rsidR="008334C8" w:rsidRDefault="008334C8" w:rsidP="008334C8">
      <w:pPr>
        <w:spacing w:line="240" w:lineRule="auto"/>
        <w:rPr>
          <w:szCs w:val="22"/>
        </w:rPr>
      </w:pPr>
      <w:proofErr w:type="spellStart"/>
      <w:r>
        <w:rPr>
          <w:szCs w:val="22"/>
        </w:rPr>
        <w:t>ALPROLIX’i</w:t>
      </w:r>
      <w:proofErr w:type="spellEnd"/>
      <w:r>
        <w:rPr>
          <w:szCs w:val="22"/>
        </w:rPr>
        <w:t xml:space="preserve"> ettevalmistamise ja manustamise juhendvideoga tutvumiseks skaneerige QR-kood oma nutitelefoniga või vaadake videot veebisaidil</w:t>
      </w:r>
    </w:p>
    <w:p w14:paraId="65B15F29" w14:textId="77777777" w:rsidR="008334C8" w:rsidRDefault="008334C8" w:rsidP="008334C8">
      <w:pPr>
        <w:spacing w:line="240" w:lineRule="auto"/>
        <w:rPr>
          <w:szCs w:val="22"/>
        </w:rPr>
      </w:pPr>
    </w:p>
    <w:p w14:paraId="609C91C4" w14:textId="174E75E4" w:rsidR="008334C8" w:rsidRDefault="008334C8" w:rsidP="008334C8">
      <w:pPr>
        <w:spacing w:line="240" w:lineRule="auto"/>
        <w:rPr>
          <w:szCs w:val="22"/>
        </w:rPr>
      </w:pPr>
      <w:r>
        <w:rPr>
          <w:shd w:val="clear" w:color="auto" w:fill="D9D9D9"/>
        </w:rPr>
        <w:t>Lisatakse QR-kood +</w:t>
      </w:r>
      <w:r>
        <w:t xml:space="preserve"> </w:t>
      </w:r>
      <w:hyperlink r:id="rId32" w:history="1">
        <w:r>
          <w:rPr>
            <w:rStyle w:val="Hyperlink"/>
          </w:rPr>
          <w:t>http://www.alprolix-instructions.com</w:t>
        </w:r>
      </w:hyperlink>
      <w:r>
        <w:rPr>
          <w:szCs w:val="22"/>
        </w:rPr>
        <w:t xml:space="preserve"> </w:t>
      </w:r>
    </w:p>
    <w:p w14:paraId="7190FF4A" w14:textId="77777777" w:rsidR="008334C8" w:rsidRDefault="008334C8" w:rsidP="008334C8">
      <w:pPr>
        <w:spacing w:line="240" w:lineRule="auto"/>
        <w:rPr>
          <w:szCs w:val="22"/>
        </w:rPr>
      </w:pPr>
    </w:p>
    <w:p w14:paraId="629EBA15" w14:textId="77777777" w:rsidR="008334C8" w:rsidRDefault="008334C8" w:rsidP="008334C8">
      <w:pPr>
        <w:spacing w:line="240" w:lineRule="auto"/>
        <w:rPr>
          <w:szCs w:val="22"/>
        </w:rPr>
      </w:pPr>
    </w:p>
    <w:p w14:paraId="7E55AFBC"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ERIHOIATUS, ET RAVIMIT TULEB HOIDA LASTE EEST VARJATUD JA KÄTTESAAMATUS KOHAS</w:t>
      </w:r>
    </w:p>
    <w:p w14:paraId="3843C605" w14:textId="77777777" w:rsidR="008334C8" w:rsidRDefault="008334C8" w:rsidP="008334C8">
      <w:pPr>
        <w:spacing w:line="240" w:lineRule="auto"/>
        <w:rPr>
          <w:szCs w:val="22"/>
        </w:rPr>
      </w:pPr>
    </w:p>
    <w:p w14:paraId="1B107813" w14:textId="77777777" w:rsidR="008334C8" w:rsidRDefault="008334C8" w:rsidP="008334C8">
      <w:pPr>
        <w:spacing w:line="240" w:lineRule="auto"/>
        <w:rPr>
          <w:szCs w:val="22"/>
        </w:rPr>
      </w:pPr>
      <w:r>
        <w:rPr>
          <w:szCs w:val="22"/>
        </w:rPr>
        <w:t>Hoida laste eest varjatud ja kättesaamatus kohas.</w:t>
      </w:r>
    </w:p>
    <w:p w14:paraId="61DB249A" w14:textId="77777777" w:rsidR="008334C8" w:rsidRDefault="008334C8" w:rsidP="008334C8">
      <w:pPr>
        <w:spacing w:line="240" w:lineRule="auto"/>
        <w:rPr>
          <w:szCs w:val="22"/>
        </w:rPr>
      </w:pPr>
    </w:p>
    <w:p w14:paraId="2F180E86" w14:textId="77777777" w:rsidR="008334C8" w:rsidRDefault="008334C8" w:rsidP="008334C8">
      <w:pPr>
        <w:spacing w:line="240" w:lineRule="auto"/>
        <w:rPr>
          <w:szCs w:val="22"/>
        </w:rPr>
      </w:pPr>
    </w:p>
    <w:p w14:paraId="48F1F7B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7.</w:t>
      </w:r>
      <w:r>
        <w:rPr>
          <w:b/>
          <w:szCs w:val="22"/>
        </w:rPr>
        <w:tab/>
        <w:t>TEISED ERIHOIATUSED (VAJADUSEL)</w:t>
      </w:r>
    </w:p>
    <w:p w14:paraId="05B8AA1B" w14:textId="77777777" w:rsidR="008334C8" w:rsidRDefault="008334C8" w:rsidP="008334C8">
      <w:pPr>
        <w:spacing w:line="240" w:lineRule="auto"/>
        <w:rPr>
          <w:szCs w:val="22"/>
        </w:rPr>
      </w:pPr>
    </w:p>
    <w:p w14:paraId="18628F00" w14:textId="77777777" w:rsidR="008334C8" w:rsidRDefault="008334C8" w:rsidP="008334C8">
      <w:pPr>
        <w:spacing w:line="240" w:lineRule="auto"/>
      </w:pPr>
    </w:p>
    <w:p w14:paraId="1814A787"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8.</w:t>
      </w:r>
      <w:r>
        <w:rPr>
          <w:b/>
          <w:szCs w:val="22"/>
        </w:rPr>
        <w:tab/>
        <w:t>KÕLBLIKKUSAEG</w:t>
      </w:r>
    </w:p>
    <w:p w14:paraId="6B6BA62E" w14:textId="77777777" w:rsidR="008334C8" w:rsidRDefault="008334C8" w:rsidP="008334C8">
      <w:pPr>
        <w:spacing w:line="240" w:lineRule="auto"/>
      </w:pPr>
    </w:p>
    <w:p w14:paraId="1BD31F22" w14:textId="77777777" w:rsidR="008334C8" w:rsidRDefault="008334C8" w:rsidP="008334C8">
      <w:pPr>
        <w:spacing w:line="240" w:lineRule="auto"/>
      </w:pPr>
      <w:r>
        <w:t>EXP</w:t>
      </w:r>
    </w:p>
    <w:p w14:paraId="0D5E2EE6" w14:textId="77777777" w:rsidR="008334C8" w:rsidRDefault="008334C8" w:rsidP="008334C8">
      <w:pPr>
        <w:spacing w:line="240" w:lineRule="auto"/>
      </w:pPr>
    </w:p>
    <w:p w14:paraId="7139F555" w14:textId="77777777" w:rsidR="008334C8" w:rsidRDefault="008334C8" w:rsidP="008334C8">
      <w:pPr>
        <w:spacing w:line="240" w:lineRule="auto"/>
      </w:pPr>
      <w:r>
        <w:t>Kasutada 6 tunni jooksul pärast manustamiskõlblikuks muutmist.</w:t>
      </w:r>
    </w:p>
    <w:p w14:paraId="5785BE88" w14:textId="77777777" w:rsidR="008334C8" w:rsidRDefault="008334C8" w:rsidP="008334C8">
      <w:pPr>
        <w:spacing w:line="240" w:lineRule="auto"/>
      </w:pPr>
    </w:p>
    <w:p w14:paraId="40EB3C9A" w14:textId="77777777" w:rsidR="008334C8" w:rsidRDefault="008334C8" w:rsidP="008334C8">
      <w:pPr>
        <w:spacing w:line="240" w:lineRule="auto"/>
        <w:rPr>
          <w:szCs w:val="22"/>
        </w:rPr>
      </w:pPr>
    </w:p>
    <w:p w14:paraId="1B80A794"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9.</w:t>
      </w:r>
      <w:r>
        <w:rPr>
          <w:b/>
          <w:szCs w:val="22"/>
        </w:rPr>
        <w:tab/>
        <w:t>SÄILITAMISE ERITINGIMUSED</w:t>
      </w:r>
    </w:p>
    <w:p w14:paraId="31A9A51E" w14:textId="77777777" w:rsidR="008334C8" w:rsidRDefault="008334C8" w:rsidP="008334C8">
      <w:pPr>
        <w:spacing w:line="240" w:lineRule="auto"/>
        <w:rPr>
          <w:szCs w:val="22"/>
        </w:rPr>
      </w:pPr>
    </w:p>
    <w:p w14:paraId="54304D42" w14:textId="77777777" w:rsidR="008334C8" w:rsidRDefault="008334C8" w:rsidP="008334C8">
      <w:pPr>
        <w:spacing w:line="240" w:lineRule="auto"/>
        <w:rPr>
          <w:szCs w:val="22"/>
        </w:rPr>
      </w:pPr>
      <w:r>
        <w:rPr>
          <w:szCs w:val="22"/>
        </w:rPr>
        <w:t xml:space="preserve">Hoida </w:t>
      </w:r>
      <w:proofErr w:type="spellStart"/>
      <w:r>
        <w:rPr>
          <w:szCs w:val="22"/>
        </w:rPr>
        <w:t>viaali</w:t>
      </w:r>
      <w:proofErr w:type="spellEnd"/>
      <w:r>
        <w:rPr>
          <w:szCs w:val="22"/>
        </w:rPr>
        <w:t xml:space="preserve"> </w:t>
      </w:r>
      <w:proofErr w:type="spellStart"/>
      <w:r>
        <w:rPr>
          <w:szCs w:val="22"/>
        </w:rPr>
        <w:t>välispakendis</w:t>
      </w:r>
      <w:proofErr w:type="spellEnd"/>
      <w:r>
        <w:rPr>
          <w:szCs w:val="22"/>
        </w:rPr>
        <w:t xml:space="preserve"> valguse eest kaitstult.</w:t>
      </w:r>
    </w:p>
    <w:p w14:paraId="5C10C341" w14:textId="77777777" w:rsidR="008334C8" w:rsidRDefault="008334C8" w:rsidP="008334C8">
      <w:pPr>
        <w:spacing w:line="240" w:lineRule="auto"/>
        <w:rPr>
          <w:szCs w:val="22"/>
        </w:rPr>
      </w:pPr>
      <w:r>
        <w:rPr>
          <w:szCs w:val="22"/>
        </w:rPr>
        <w:t>Hoida külmkapis.</w:t>
      </w:r>
    </w:p>
    <w:p w14:paraId="0A1F6C22" w14:textId="77777777" w:rsidR="008334C8" w:rsidRDefault="008334C8" w:rsidP="008334C8">
      <w:pPr>
        <w:spacing w:line="240" w:lineRule="auto"/>
        <w:rPr>
          <w:szCs w:val="22"/>
        </w:rPr>
      </w:pPr>
      <w:r>
        <w:rPr>
          <w:szCs w:val="22"/>
        </w:rPr>
        <w:t>Mitte lasta külmuda.</w:t>
      </w:r>
    </w:p>
    <w:p w14:paraId="72840DD2" w14:textId="77777777" w:rsidR="008334C8" w:rsidRDefault="008334C8" w:rsidP="008334C8">
      <w:pPr>
        <w:spacing w:line="240" w:lineRule="auto"/>
        <w:rPr>
          <w:szCs w:val="22"/>
        </w:rPr>
      </w:pPr>
      <w:r>
        <w:rPr>
          <w:szCs w:val="22"/>
        </w:rPr>
        <w:t>Võib säilitada toatemperatuuril (kuni 30°C) ühe, 6 kuulise ajaperioodi jooksul. Pärast toatemperatuuril hoidmist ei tohi uuesti külmkappi panna.</w:t>
      </w:r>
    </w:p>
    <w:p w14:paraId="4F131757" w14:textId="77777777" w:rsidR="008334C8" w:rsidRDefault="008334C8" w:rsidP="008334C8">
      <w:pPr>
        <w:spacing w:line="240" w:lineRule="auto"/>
        <w:rPr>
          <w:szCs w:val="22"/>
        </w:rPr>
      </w:pPr>
      <w:r>
        <w:rPr>
          <w:szCs w:val="22"/>
        </w:rPr>
        <w:t>Külmkapist väljavõtmise kuupäev:</w:t>
      </w:r>
    </w:p>
    <w:p w14:paraId="2A734DBB" w14:textId="77777777" w:rsidR="008334C8" w:rsidRDefault="008334C8" w:rsidP="008334C8">
      <w:pPr>
        <w:spacing w:line="240" w:lineRule="auto"/>
        <w:rPr>
          <w:szCs w:val="22"/>
        </w:rPr>
      </w:pPr>
    </w:p>
    <w:p w14:paraId="2479D2B5" w14:textId="77777777" w:rsidR="008334C8" w:rsidRDefault="008334C8" w:rsidP="008334C8">
      <w:pPr>
        <w:spacing w:line="240" w:lineRule="auto"/>
        <w:ind w:left="567" w:hanging="567"/>
        <w:rPr>
          <w:szCs w:val="22"/>
        </w:rPr>
      </w:pPr>
    </w:p>
    <w:p w14:paraId="7095201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10.</w:t>
      </w:r>
      <w:r>
        <w:rPr>
          <w:b/>
          <w:szCs w:val="22"/>
        </w:rPr>
        <w:tab/>
        <w:t>ERINÕUDED KASUTAMATA JÄÄNUD RAVIMPREPARAADI VÕI SELLEST TEKKINUD JÄÄTMEMATERJALI HÄVITAMISEKS, VASTAVALT VAJADUSELE</w:t>
      </w:r>
    </w:p>
    <w:p w14:paraId="23FC6D31" w14:textId="77777777" w:rsidR="008334C8" w:rsidRDefault="008334C8" w:rsidP="008334C8">
      <w:pPr>
        <w:spacing w:line="240" w:lineRule="auto"/>
        <w:rPr>
          <w:szCs w:val="22"/>
        </w:rPr>
      </w:pPr>
    </w:p>
    <w:p w14:paraId="25F5C70C" w14:textId="77777777" w:rsidR="008334C8" w:rsidRDefault="008334C8" w:rsidP="008334C8">
      <w:pPr>
        <w:spacing w:line="240" w:lineRule="auto"/>
        <w:rPr>
          <w:szCs w:val="22"/>
        </w:rPr>
      </w:pPr>
    </w:p>
    <w:p w14:paraId="60E1CD7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11.</w:t>
      </w:r>
      <w:r>
        <w:rPr>
          <w:b/>
          <w:szCs w:val="22"/>
        </w:rPr>
        <w:tab/>
        <w:t>MÜÜGILOA HOIDJA NIMI JA AADRESS</w:t>
      </w:r>
    </w:p>
    <w:p w14:paraId="5193E0E3" w14:textId="77777777" w:rsidR="008334C8" w:rsidRDefault="008334C8" w:rsidP="008334C8">
      <w:pPr>
        <w:keepNext/>
        <w:spacing w:line="240" w:lineRule="auto"/>
        <w:rPr>
          <w:szCs w:val="22"/>
        </w:rPr>
      </w:pPr>
    </w:p>
    <w:p w14:paraId="31274712" w14:textId="77777777" w:rsidR="008334C8" w:rsidRDefault="008334C8" w:rsidP="008334C8">
      <w:pPr>
        <w:keepNext/>
        <w:spacing w:line="240" w:lineRule="auto"/>
      </w:pPr>
      <w:r>
        <w:t xml:space="preserve">Swedish </w:t>
      </w:r>
      <w:proofErr w:type="spellStart"/>
      <w:r>
        <w:t>Orphan</w:t>
      </w:r>
      <w:proofErr w:type="spellEnd"/>
      <w:r>
        <w:t xml:space="preserve"> </w:t>
      </w:r>
      <w:proofErr w:type="spellStart"/>
      <w:r>
        <w:t>Biovitrum</w:t>
      </w:r>
      <w:proofErr w:type="spellEnd"/>
      <w:r>
        <w:t xml:space="preserve"> AB (</w:t>
      </w:r>
      <w:proofErr w:type="spellStart"/>
      <w:r>
        <w:t>publ</w:t>
      </w:r>
      <w:proofErr w:type="spellEnd"/>
      <w:r>
        <w:t>)</w:t>
      </w:r>
    </w:p>
    <w:p w14:paraId="4ADE58E0" w14:textId="77777777" w:rsidR="008334C8" w:rsidRDefault="008334C8" w:rsidP="008334C8">
      <w:pPr>
        <w:keepNext/>
        <w:spacing w:line="240" w:lineRule="auto"/>
      </w:pPr>
      <w:r>
        <w:t>SE-112 76 Stockholm</w:t>
      </w:r>
    </w:p>
    <w:p w14:paraId="4F047353" w14:textId="77777777" w:rsidR="008334C8" w:rsidRDefault="008334C8" w:rsidP="008334C8">
      <w:pPr>
        <w:spacing w:line="240" w:lineRule="auto"/>
      </w:pPr>
      <w:r>
        <w:t>Rootsi</w:t>
      </w:r>
    </w:p>
    <w:p w14:paraId="78C90AD8" w14:textId="77777777" w:rsidR="008334C8" w:rsidRDefault="008334C8" w:rsidP="008334C8">
      <w:pPr>
        <w:spacing w:line="240" w:lineRule="auto"/>
        <w:rPr>
          <w:szCs w:val="22"/>
        </w:rPr>
      </w:pPr>
    </w:p>
    <w:p w14:paraId="53B1FC8D" w14:textId="77777777" w:rsidR="008334C8" w:rsidRDefault="008334C8" w:rsidP="008334C8">
      <w:pPr>
        <w:spacing w:line="240" w:lineRule="auto"/>
        <w:rPr>
          <w:szCs w:val="22"/>
        </w:rPr>
      </w:pPr>
    </w:p>
    <w:p w14:paraId="6E327F44"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12.</w:t>
      </w:r>
      <w:r>
        <w:rPr>
          <w:b/>
          <w:szCs w:val="22"/>
        </w:rPr>
        <w:tab/>
        <w:t>MÜÜGILOA NUMBER (NUMBRID)</w:t>
      </w:r>
    </w:p>
    <w:p w14:paraId="22494FF0" w14:textId="77777777" w:rsidR="008334C8" w:rsidRDefault="008334C8" w:rsidP="008334C8">
      <w:pPr>
        <w:spacing w:line="240" w:lineRule="auto"/>
        <w:rPr>
          <w:szCs w:val="22"/>
        </w:rPr>
      </w:pPr>
    </w:p>
    <w:p w14:paraId="7745F0B1" w14:textId="77777777" w:rsidR="008334C8" w:rsidRDefault="008334C8" w:rsidP="008334C8">
      <w:pPr>
        <w:spacing w:line="240" w:lineRule="auto"/>
        <w:rPr>
          <w:szCs w:val="22"/>
        </w:rPr>
      </w:pPr>
      <w:r w:rsidRPr="008334C8">
        <w:rPr>
          <w:szCs w:val="22"/>
        </w:rPr>
        <w:t>EU/1/16/1098/004</w:t>
      </w:r>
    </w:p>
    <w:p w14:paraId="2CCA238D" w14:textId="77777777" w:rsidR="008334C8" w:rsidRDefault="008334C8" w:rsidP="008334C8">
      <w:pPr>
        <w:spacing w:line="240" w:lineRule="auto"/>
        <w:rPr>
          <w:szCs w:val="22"/>
        </w:rPr>
      </w:pPr>
    </w:p>
    <w:p w14:paraId="61C29583" w14:textId="77777777" w:rsidR="008334C8" w:rsidRDefault="008334C8" w:rsidP="008334C8">
      <w:pPr>
        <w:spacing w:line="240" w:lineRule="auto"/>
        <w:rPr>
          <w:szCs w:val="22"/>
        </w:rPr>
      </w:pPr>
    </w:p>
    <w:p w14:paraId="00EEB2C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13.</w:t>
      </w:r>
      <w:r>
        <w:rPr>
          <w:b/>
          <w:szCs w:val="22"/>
        </w:rPr>
        <w:tab/>
        <w:t>PARTII NUMBER</w:t>
      </w:r>
    </w:p>
    <w:p w14:paraId="604C9318" w14:textId="77777777" w:rsidR="008334C8" w:rsidRDefault="008334C8" w:rsidP="008334C8">
      <w:pPr>
        <w:spacing w:line="240" w:lineRule="auto"/>
        <w:rPr>
          <w:i/>
          <w:szCs w:val="22"/>
        </w:rPr>
      </w:pPr>
    </w:p>
    <w:p w14:paraId="74B3D8A8" w14:textId="77777777" w:rsidR="008334C8" w:rsidRDefault="008334C8" w:rsidP="008334C8">
      <w:pPr>
        <w:spacing w:line="240" w:lineRule="auto"/>
        <w:rPr>
          <w:szCs w:val="22"/>
        </w:rPr>
      </w:pPr>
      <w:r>
        <w:rPr>
          <w:szCs w:val="22"/>
        </w:rPr>
        <w:t>Lot</w:t>
      </w:r>
    </w:p>
    <w:p w14:paraId="328BA1A3" w14:textId="77777777" w:rsidR="008334C8" w:rsidRDefault="008334C8" w:rsidP="008334C8">
      <w:pPr>
        <w:spacing w:line="240" w:lineRule="auto"/>
        <w:rPr>
          <w:szCs w:val="22"/>
        </w:rPr>
      </w:pPr>
    </w:p>
    <w:p w14:paraId="31C4C6C1" w14:textId="77777777" w:rsidR="008334C8" w:rsidRDefault="008334C8" w:rsidP="008334C8">
      <w:pPr>
        <w:spacing w:line="240" w:lineRule="auto"/>
        <w:rPr>
          <w:szCs w:val="22"/>
        </w:rPr>
      </w:pPr>
    </w:p>
    <w:p w14:paraId="65099A1A"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14.</w:t>
      </w:r>
      <w:r>
        <w:rPr>
          <w:b/>
          <w:szCs w:val="22"/>
        </w:rPr>
        <w:tab/>
        <w:t>RAVIMI VÄLJASTAMISTINGIMUSED</w:t>
      </w:r>
    </w:p>
    <w:p w14:paraId="3C69B5EE" w14:textId="77777777" w:rsidR="008334C8" w:rsidRDefault="008334C8" w:rsidP="008334C8">
      <w:pPr>
        <w:spacing w:line="240" w:lineRule="auto"/>
        <w:rPr>
          <w:i/>
          <w:szCs w:val="22"/>
        </w:rPr>
      </w:pPr>
    </w:p>
    <w:p w14:paraId="3E75472C" w14:textId="77777777" w:rsidR="008334C8" w:rsidRDefault="008334C8" w:rsidP="008334C8">
      <w:pPr>
        <w:spacing w:line="240" w:lineRule="auto"/>
        <w:rPr>
          <w:szCs w:val="22"/>
        </w:rPr>
      </w:pPr>
    </w:p>
    <w:p w14:paraId="3438496A"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15.</w:t>
      </w:r>
      <w:r>
        <w:rPr>
          <w:b/>
          <w:szCs w:val="22"/>
        </w:rPr>
        <w:tab/>
        <w:t>KASUTUSJUHEND</w:t>
      </w:r>
    </w:p>
    <w:p w14:paraId="6E652698" w14:textId="77777777" w:rsidR="008334C8" w:rsidRDefault="008334C8" w:rsidP="008334C8">
      <w:pPr>
        <w:spacing w:line="240" w:lineRule="auto"/>
      </w:pPr>
    </w:p>
    <w:p w14:paraId="3986932D" w14:textId="77777777" w:rsidR="008334C8" w:rsidRDefault="008334C8" w:rsidP="008334C8">
      <w:pPr>
        <w:spacing w:line="240" w:lineRule="auto"/>
      </w:pPr>
    </w:p>
    <w:p w14:paraId="7AC8E5DC"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lastRenderedPageBreak/>
        <w:t>16.</w:t>
      </w:r>
      <w:r>
        <w:rPr>
          <w:b/>
          <w:szCs w:val="22"/>
        </w:rPr>
        <w:tab/>
        <w:t>TEAVE BRAILLE’ KIRJAS (PUNKTKIRJAS)</w:t>
      </w:r>
    </w:p>
    <w:p w14:paraId="082711D3" w14:textId="77777777" w:rsidR="008334C8" w:rsidRDefault="008334C8" w:rsidP="008334C8">
      <w:pPr>
        <w:spacing w:line="240" w:lineRule="auto"/>
      </w:pPr>
    </w:p>
    <w:p w14:paraId="0C5F140B" w14:textId="77777777" w:rsidR="008334C8" w:rsidRDefault="008334C8" w:rsidP="008334C8">
      <w:pPr>
        <w:spacing w:line="240" w:lineRule="auto"/>
        <w:rPr>
          <w:lang w:eastAsia="en-US"/>
        </w:rPr>
      </w:pPr>
      <w:r w:rsidRPr="008334C8">
        <w:rPr>
          <w:lang w:eastAsia="en-US"/>
        </w:rPr>
        <w:t>ALPROLIX 2000</w:t>
      </w:r>
    </w:p>
    <w:p w14:paraId="4FD66B1D" w14:textId="77777777" w:rsidR="008334C8" w:rsidRDefault="008334C8" w:rsidP="008334C8">
      <w:pPr>
        <w:spacing w:line="240" w:lineRule="auto"/>
        <w:rPr>
          <w:szCs w:val="22"/>
          <w:shd w:val="clear" w:color="auto" w:fill="CCCCCC"/>
        </w:rPr>
      </w:pPr>
    </w:p>
    <w:p w14:paraId="6FD80861" w14:textId="77777777" w:rsidR="008334C8" w:rsidRDefault="008334C8" w:rsidP="008334C8">
      <w:pPr>
        <w:spacing w:line="240" w:lineRule="auto"/>
        <w:rPr>
          <w:szCs w:val="22"/>
          <w:shd w:val="clear" w:color="auto" w:fill="CCCCCC"/>
        </w:rPr>
      </w:pPr>
    </w:p>
    <w:p w14:paraId="4DC6711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17.</w:t>
      </w:r>
      <w:r>
        <w:rPr>
          <w:b/>
          <w:szCs w:val="22"/>
        </w:rPr>
        <w:tab/>
        <w:t>AINULAADNE IDENTIFIKAATOR – 2D-vöötkood</w:t>
      </w:r>
    </w:p>
    <w:p w14:paraId="50EC6E85" w14:textId="77777777" w:rsidR="008334C8" w:rsidRDefault="008334C8" w:rsidP="008334C8">
      <w:pPr>
        <w:keepNext/>
        <w:tabs>
          <w:tab w:val="clear" w:pos="567"/>
        </w:tabs>
        <w:spacing w:line="240" w:lineRule="auto"/>
      </w:pPr>
    </w:p>
    <w:p w14:paraId="1958B9E3" w14:textId="77777777" w:rsidR="008334C8" w:rsidRDefault="008334C8" w:rsidP="008334C8">
      <w:pPr>
        <w:spacing w:line="240" w:lineRule="auto"/>
        <w:rPr>
          <w:szCs w:val="22"/>
          <w:shd w:val="clear" w:color="auto" w:fill="CCCCCC"/>
        </w:rPr>
      </w:pPr>
      <w:r>
        <w:rPr>
          <w:shd w:val="clear" w:color="auto" w:fill="BFBFBF"/>
        </w:rPr>
        <w:t>Lisatud on 2D-vöötkood, mis sisaldab ainulaadset identifikaatorit.</w:t>
      </w:r>
    </w:p>
    <w:p w14:paraId="7BDFFD92" w14:textId="77777777" w:rsidR="008334C8" w:rsidRDefault="008334C8" w:rsidP="008334C8">
      <w:pPr>
        <w:spacing w:line="240" w:lineRule="auto"/>
        <w:rPr>
          <w:szCs w:val="22"/>
          <w:shd w:val="clear" w:color="auto" w:fill="CCCCCC"/>
        </w:rPr>
      </w:pPr>
    </w:p>
    <w:p w14:paraId="5B0FCE83" w14:textId="77777777" w:rsidR="008334C8" w:rsidRDefault="008334C8" w:rsidP="008334C8">
      <w:pPr>
        <w:tabs>
          <w:tab w:val="clear" w:pos="567"/>
        </w:tabs>
        <w:spacing w:line="240" w:lineRule="auto"/>
      </w:pPr>
    </w:p>
    <w:p w14:paraId="087256D4"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18.</w:t>
      </w:r>
      <w:r>
        <w:rPr>
          <w:b/>
          <w:szCs w:val="22"/>
        </w:rPr>
        <w:tab/>
        <w:t>AINULAADNE IDENTIFIKAATOR – INIMLOETAVAD ANDMED</w:t>
      </w:r>
    </w:p>
    <w:p w14:paraId="2579B153" w14:textId="77777777" w:rsidR="008334C8" w:rsidRDefault="008334C8" w:rsidP="008334C8">
      <w:pPr>
        <w:keepNext/>
        <w:tabs>
          <w:tab w:val="clear" w:pos="567"/>
        </w:tabs>
        <w:spacing w:line="240" w:lineRule="auto"/>
      </w:pPr>
    </w:p>
    <w:p w14:paraId="396CA49D" w14:textId="247E48D5" w:rsidR="00570306" w:rsidRDefault="00570306" w:rsidP="00570306">
      <w:pPr>
        <w:keepNext/>
        <w:rPr>
          <w:szCs w:val="22"/>
        </w:rPr>
      </w:pPr>
      <w:r>
        <w:t>PC</w:t>
      </w:r>
    </w:p>
    <w:p w14:paraId="17F3ED4F" w14:textId="1BBCCA4E" w:rsidR="00570306" w:rsidRDefault="00570306" w:rsidP="00570306">
      <w:pPr>
        <w:keepNext/>
        <w:rPr>
          <w:szCs w:val="22"/>
        </w:rPr>
      </w:pPr>
      <w:r>
        <w:t>SN</w:t>
      </w:r>
    </w:p>
    <w:p w14:paraId="03E3B41D" w14:textId="34A9CB48" w:rsidR="00570306" w:rsidRDefault="00570306" w:rsidP="00570306">
      <w:pPr>
        <w:rPr>
          <w:szCs w:val="22"/>
        </w:rPr>
      </w:pPr>
      <w:r>
        <w:t>NN</w:t>
      </w:r>
    </w:p>
    <w:p w14:paraId="4684F11B" w14:textId="77777777" w:rsidR="008334C8" w:rsidRDefault="008334C8" w:rsidP="008334C8">
      <w:pPr>
        <w:rPr>
          <w:szCs w:val="22"/>
        </w:rPr>
      </w:pPr>
    </w:p>
    <w:p w14:paraId="75227E1C" w14:textId="77777777" w:rsidR="008334C8" w:rsidRDefault="008334C8" w:rsidP="008334C8">
      <w:pPr>
        <w:spacing w:line="240" w:lineRule="auto"/>
        <w:rPr>
          <w:szCs w:val="22"/>
          <w:shd w:val="clear" w:color="auto" w:fill="CCCCCC"/>
        </w:rPr>
      </w:pPr>
    </w:p>
    <w:p w14:paraId="474CE831" w14:textId="77777777" w:rsidR="008334C8" w:rsidRDefault="008334C8" w:rsidP="008334C8">
      <w:pPr>
        <w:spacing w:line="240" w:lineRule="auto"/>
        <w:rPr>
          <w:szCs w:val="22"/>
        </w:rPr>
      </w:pPr>
      <w:r>
        <w:rPr>
          <w:szCs w:val="22"/>
          <w:shd w:val="clear" w:color="auto" w:fill="CCCCCC"/>
        </w:rPr>
        <w:br w:type="page"/>
      </w:r>
    </w:p>
    <w:p w14:paraId="6C74688E"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MINIMAALSED ANDMED, MIS PEAVAD OLEMA VÄIKESEL VAHETUL SISEPAKENDIL</w:t>
      </w:r>
    </w:p>
    <w:p w14:paraId="48DBF7BC"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p>
    <w:p w14:paraId="39BBD3B8"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t>VIAALI SILT</w:t>
      </w:r>
    </w:p>
    <w:p w14:paraId="75B60D50" w14:textId="77777777" w:rsidR="008334C8" w:rsidRDefault="008334C8" w:rsidP="008334C8">
      <w:pPr>
        <w:spacing w:line="240" w:lineRule="auto"/>
        <w:rPr>
          <w:szCs w:val="22"/>
        </w:rPr>
      </w:pPr>
    </w:p>
    <w:p w14:paraId="64299D3D" w14:textId="77777777" w:rsidR="008334C8" w:rsidRDefault="008334C8" w:rsidP="008334C8">
      <w:pPr>
        <w:spacing w:line="240" w:lineRule="auto"/>
        <w:rPr>
          <w:szCs w:val="22"/>
        </w:rPr>
      </w:pPr>
    </w:p>
    <w:p w14:paraId="2B820BA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 JA MANUSTAMISTEE(D)</w:t>
      </w:r>
    </w:p>
    <w:p w14:paraId="370594A8" w14:textId="77777777" w:rsidR="008334C8" w:rsidRDefault="008334C8" w:rsidP="008334C8">
      <w:pPr>
        <w:spacing w:line="240" w:lineRule="auto"/>
        <w:ind w:left="567" w:hanging="567"/>
        <w:rPr>
          <w:szCs w:val="22"/>
        </w:rPr>
      </w:pPr>
    </w:p>
    <w:p w14:paraId="400A3548" w14:textId="77777777" w:rsidR="008334C8" w:rsidRDefault="008334C8" w:rsidP="008334C8">
      <w:pPr>
        <w:spacing w:line="240" w:lineRule="auto"/>
        <w:rPr>
          <w:shd w:val="clear" w:color="auto" w:fill="D9D9D9"/>
          <w:lang w:eastAsia="en-US"/>
        </w:rPr>
      </w:pPr>
      <w:r w:rsidRPr="008334C8">
        <w:rPr>
          <w:lang w:eastAsia="en-US"/>
        </w:rPr>
        <w:t>ALPROLIX 2000 RÜ süstelahuse pulber</w:t>
      </w:r>
    </w:p>
    <w:p w14:paraId="5890BF0C" w14:textId="77777777" w:rsidR="008334C8" w:rsidRDefault="008334C8" w:rsidP="008334C8">
      <w:pPr>
        <w:spacing w:line="240" w:lineRule="auto"/>
        <w:rPr>
          <w:szCs w:val="22"/>
        </w:rPr>
      </w:pPr>
    </w:p>
    <w:p w14:paraId="43FE2200" w14:textId="77777777" w:rsidR="008334C8" w:rsidRDefault="008334C8" w:rsidP="008334C8">
      <w:pPr>
        <w:spacing w:line="240" w:lineRule="auto"/>
        <w:rPr>
          <w:i/>
          <w:szCs w:val="22"/>
        </w:rPr>
      </w:pPr>
      <w:r>
        <w:rPr>
          <w:i/>
          <w:szCs w:val="22"/>
        </w:rPr>
        <w:t>eftrenonacogum alfa</w:t>
      </w:r>
    </w:p>
    <w:p w14:paraId="076B3065" w14:textId="77777777" w:rsidR="008334C8" w:rsidRDefault="008334C8" w:rsidP="008334C8">
      <w:pPr>
        <w:spacing w:line="240" w:lineRule="auto"/>
        <w:rPr>
          <w:szCs w:val="22"/>
        </w:rPr>
      </w:pPr>
      <w:r>
        <w:rPr>
          <w:szCs w:val="22"/>
        </w:rPr>
        <w:t>rekombinantne IX hüübimisfaktor</w:t>
      </w:r>
    </w:p>
    <w:p w14:paraId="362C56BA" w14:textId="77777777" w:rsidR="008334C8" w:rsidRDefault="008334C8" w:rsidP="008334C8">
      <w:pPr>
        <w:spacing w:line="240" w:lineRule="auto"/>
        <w:rPr>
          <w:szCs w:val="22"/>
        </w:rPr>
      </w:pPr>
      <w:r>
        <w:rPr>
          <w:szCs w:val="22"/>
        </w:rPr>
        <w:t>i.v.</w:t>
      </w:r>
    </w:p>
    <w:p w14:paraId="5E07F4B6" w14:textId="77777777" w:rsidR="008334C8" w:rsidRDefault="008334C8" w:rsidP="008334C8">
      <w:pPr>
        <w:spacing w:line="240" w:lineRule="auto"/>
        <w:rPr>
          <w:szCs w:val="22"/>
        </w:rPr>
      </w:pPr>
    </w:p>
    <w:p w14:paraId="7243CD78" w14:textId="77777777" w:rsidR="008334C8" w:rsidRDefault="008334C8" w:rsidP="008334C8">
      <w:pPr>
        <w:spacing w:line="240" w:lineRule="auto"/>
        <w:rPr>
          <w:szCs w:val="22"/>
        </w:rPr>
      </w:pPr>
    </w:p>
    <w:p w14:paraId="2E2E6F41"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MANUSTAMISVIIS</w:t>
      </w:r>
    </w:p>
    <w:p w14:paraId="466ED16D" w14:textId="77777777" w:rsidR="008334C8" w:rsidRDefault="008334C8" w:rsidP="008334C8">
      <w:pPr>
        <w:spacing w:line="240" w:lineRule="auto"/>
        <w:rPr>
          <w:szCs w:val="22"/>
        </w:rPr>
      </w:pPr>
    </w:p>
    <w:p w14:paraId="24652102" w14:textId="77777777" w:rsidR="008334C8" w:rsidRDefault="008334C8" w:rsidP="008334C8">
      <w:pPr>
        <w:spacing w:line="240" w:lineRule="auto"/>
        <w:rPr>
          <w:szCs w:val="22"/>
        </w:rPr>
      </w:pPr>
    </w:p>
    <w:p w14:paraId="56B01E78"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KÕLBLIKKUSAEG</w:t>
      </w:r>
    </w:p>
    <w:p w14:paraId="3D8DCC24" w14:textId="77777777" w:rsidR="008334C8" w:rsidRDefault="008334C8" w:rsidP="008334C8">
      <w:pPr>
        <w:spacing w:line="240" w:lineRule="auto"/>
      </w:pPr>
    </w:p>
    <w:p w14:paraId="03DD6629" w14:textId="77777777" w:rsidR="008334C8" w:rsidRDefault="008334C8" w:rsidP="008334C8">
      <w:pPr>
        <w:spacing w:line="240" w:lineRule="auto"/>
      </w:pPr>
      <w:r>
        <w:t>EXP</w:t>
      </w:r>
    </w:p>
    <w:p w14:paraId="5FA4E7A4" w14:textId="77777777" w:rsidR="008334C8" w:rsidRDefault="008334C8" w:rsidP="008334C8">
      <w:pPr>
        <w:spacing w:line="240" w:lineRule="auto"/>
      </w:pPr>
    </w:p>
    <w:p w14:paraId="545779FC" w14:textId="77777777" w:rsidR="008334C8" w:rsidRDefault="008334C8" w:rsidP="008334C8">
      <w:pPr>
        <w:spacing w:line="240" w:lineRule="auto"/>
      </w:pPr>
    </w:p>
    <w:p w14:paraId="3AEF989B"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PARTII NUMBER</w:t>
      </w:r>
    </w:p>
    <w:p w14:paraId="14BE46E8" w14:textId="77777777" w:rsidR="008334C8" w:rsidRDefault="008334C8" w:rsidP="008334C8">
      <w:pPr>
        <w:spacing w:line="240" w:lineRule="auto"/>
        <w:ind w:right="113"/>
      </w:pPr>
    </w:p>
    <w:p w14:paraId="62B2E887" w14:textId="77777777" w:rsidR="008334C8" w:rsidRDefault="008334C8" w:rsidP="008334C8">
      <w:pPr>
        <w:spacing w:line="240" w:lineRule="auto"/>
        <w:ind w:right="113"/>
      </w:pPr>
      <w:r>
        <w:t>Lot</w:t>
      </w:r>
    </w:p>
    <w:p w14:paraId="048F705E" w14:textId="77777777" w:rsidR="008334C8" w:rsidRDefault="008334C8" w:rsidP="008334C8">
      <w:pPr>
        <w:spacing w:line="240" w:lineRule="auto"/>
        <w:ind w:right="113"/>
      </w:pPr>
    </w:p>
    <w:p w14:paraId="0DD67A27" w14:textId="77777777" w:rsidR="008334C8" w:rsidRDefault="008334C8" w:rsidP="008334C8">
      <w:pPr>
        <w:spacing w:line="240" w:lineRule="auto"/>
        <w:ind w:right="113"/>
      </w:pPr>
    </w:p>
    <w:p w14:paraId="7818DFE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PAKENDI SISU KAALU, MAHU VÕI ÜHIKUTE JÄRGI</w:t>
      </w:r>
    </w:p>
    <w:p w14:paraId="6D5210BB" w14:textId="77777777" w:rsidR="008334C8" w:rsidRDefault="008334C8" w:rsidP="008334C8">
      <w:pPr>
        <w:spacing w:line="240" w:lineRule="auto"/>
        <w:ind w:right="113"/>
        <w:rPr>
          <w:szCs w:val="22"/>
        </w:rPr>
      </w:pPr>
    </w:p>
    <w:p w14:paraId="04DA22DC" w14:textId="77777777" w:rsidR="008334C8" w:rsidRDefault="008334C8" w:rsidP="008334C8">
      <w:pPr>
        <w:spacing w:line="240" w:lineRule="auto"/>
        <w:ind w:right="113"/>
        <w:rPr>
          <w:rFonts w:eastAsia="Calibri"/>
          <w:shd w:val="clear" w:color="auto" w:fill="D9D9D9"/>
          <w:lang w:eastAsia="en-US"/>
        </w:rPr>
      </w:pPr>
      <w:r>
        <w:rPr>
          <w:rFonts w:eastAsia="Calibri"/>
          <w:shd w:val="clear" w:color="auto" w:fill="D9D9D9"/>
          <w:lang w:eastAsia="en-US"/>
        </w:rPr>
        <w:t>2000 RÜ</w:t>
      </w:r>
    </w:p>
    <w:p w14:paraId="12B01914" w14:textId="77777777" w:rsidR="008334C8" w:rsidRDefault="008334C8" w:rsidP="008334C8">
      <w:pPr>
        <w:spacing w:line="240" w:lineRule="auto"/>
        <w:ind w:right="113"/>
        <w:rPr>
          <w:szCs w:val="22"/>
        </w:rPr>
      </w:pPr>
    </w:p>
    <w:p w14:paraId="08BEDD53" w14:textId="77777777" w:rsidR="008334C8" w:rsidRDefault="008334C8" w:rsidP="008334C8">
      <w:pPr>
        <w:spacing w:line="240" w:lineRule="auto"/>
        <w:ind w:right="113"/>
        <w:rPr>
          <w:szCs w:val="22"/>
        </w:rPr>
      </w:pPr>
    </w:p>
    <w:p w14:paraId="1D3D7074"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MUU</w:t>
      </w:r>
    </w:p>
    <w:p w14:paraId="590FC790" w14:textId="77777777" w:rsidR="008334C8" w:rsidRDefault="008334C8" w:rsidP="008334C8">
      <w:pPr>
        <w:spacing w:line="240" w:lineRule="auto"/>
        <w:ind w:right="113"/>
        <w:rPr>
          <w:szCs w:val="22"/>
        </w:rPr>
      </w:pPr>
    </w:p>
    <w:p w14:paraId="4D67CCB5" w14:textId="77777777" w:rsidR="008334C8" w:rsidRDefault="008334C8" w:rsidP="008334C8">
      <w:pPr>
        <w:spacing w:line="240" w:lineRule="auto"/>
        <w:ind w:right="113"/>
        <w:rPr>
          <w:b/>
          <w:szCs w:val="22"/>
        </w:rPr>
      </w:pPr>
      <w:r>
        <w:rPr>
          <w:b/>
        </w:rPr>
        <w:br w:type="page"/>
      </w:r>
    </w:p>
    <w:p w14:paraId="186562E9"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VÄLISPAKENDIL PEAVAD OLEMA JÄRGMISED ANDMED</w:t>
      </w:r>
    </w:p>
    <w:p w14:paraId="049043BD"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D835AE4"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Cs/>
          <w:szCs w:val="22"/>
        </w:rPr>
      </w:pPr>
      <w:r>
        <w:rPr>
          <w:b/>
          <w:szCs w:val="22"/>
        </w:rPr>
        <w:t>KARP</w:t>
      </w:r>
    </w:p>
    <w:p w14:paraId="23429D45" w14:textId="77777777" w:rsidR="008334C8" w:rsidRDefault="008334C8" w:rsidP="008334C8">
      <w:pPr>
        <w:spacing w:line="240" w:lineRule="auto"/>
      </w:pPr>
    </w:p>
    <w:p w14:paraId="4D981BA2" w14:textId="77777777" w:rsidR="008334C8" w:rsidRDefault="008334C8" w:rsidP="008334C8">
      <w:pPr>
        <w:spacing w:line="240" w:lineRule="auto"/>
        <w:rPr>
          <w:szCs w:val="22"/>
        </w:rPr>
      </w:pPr>
    </w:p>
    <w:p w14:paraId="5F68FF3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w:t>
      </w:r>
    </w:p>
    <w:p w14:paraId="5A133033" w14:textId="77777777" w:rsidR="008334C8" w:rsidRDefault="008334C8" w:rsidP="008334C8">
      <w:pPr>
        <w:spacing w:line="240" w:lineRule="auto"/>
        <w:rPr>
          <w:szCs w:val="22"/>
        </w:rPr>
      </w:pPr>
    </w:p>
    <w:p w14:paraId="1E117C75" w14:textId="77777777" w:rsidR="008334C8" w:rsidRDefault="008334C8" w:rsidP="008334C8">
      <w:pPr>
        <w:spacing w:line="240" w:lineRule="auto"/>
        <w:rPr>
          <w:shd w:val="clear" w:color="auto" w:fill="D9D9D9"/>
          <w:lang w:eastAsia="en-US"/>
        </w:rPr>
      </w:pPr>
      <w:r w:rsidRPr="008334C8">
        <w:rPr>
          <w:lang w:eastAsia="en-US"/>
        </w:rPr>
        <w:t>ALPROLIX 3000 RÜ süstelahuse pulber ja lahusti</w:t>
      </w:r>
    </w:p>
    <w:p w14:paraId="1FE0461C" w14:textId="77777777" w:rsidR="008334C8" w:rsidRDefault="008334C8" w:rsidP="008334C8">
      <w:pPr>
        <w:spacing w:line="240" w:lineRule="auto"/>
        <w:rPr>
          <w:shd w:val="clear" w:color="auto" w:fill="D9D9D9"/>
          <w:lang w:eastAsia="en-US"/>
        </w:rPr>
      </w:pPr>
    </w:p>
    <w:p w14:paraId="46544FEA" w14:textId="6202C7DE" w:rsidR="00570306" w:rsidRDefault="00570306" w:rsidP="00570306">
      <w:pPr>
        <w:spacing w:line="240" w:lineRule="auto"/>
        <w:rPr>
          <w:szCs w:val="22"/>
        </w:rPr>
      </w:pPr>
      <w:proofErr w:type="spellStart"/>
      <w:r>
        <w:rPr>
          <w:i/>
          <w:szCs w:val="22"/>
        </w:rPr>
        <w:t>eftrenonacogum</w:t>
      </w:r>
      <w:proofErr w:type="spellEnd"/>
      <w:r>
        <w:rPr>
          <w:i/>
          <w:szCs w:val="22"/>
        </w:rPr>
        <w:t xml:space="preserve"> alfa </w:t>
      </w:r>
      <w:r>
        <w:rPr>
          <w:szCs w:val="22"/>
        </w:rPr>
        <w:t>(</w:t>
      </w:r>
      <w:proofErr w:type="spellStart"/>
      <w:r>
        <w:rPr>
          <w:szCs w:val="22"/>
        </w:rPr>
        <w:t>rekombinantne</w:t>
      </w:r>
      <w:proofErr w:type="spellEnd"/>
      <w:r>
        <w:rPr>
          <w:szCs w:val="22"/>
        </w:rPr>
        <w:t xml:space="preserve"> IX hüübimisfaktor, </w:t>
      </w:r>
      <w:proofErr w:type="spellStart"/>
      <w:r>
        <w:rPr>
          <w:szCs w:val="22"/>
        </w:rPr>
        <w:t>Fc</w:t>
      </w:r>
      <w:proofErr w:type="spellEnd"/>
      <w:r>
        <w:rPr>
          <w:szCs w:val="22"/>
        </w:rPr>
        <w:t> fusioonvalk)</w:t>
      </w:r>
    </w:p>
    <w:p w14:paraId="7337E66E" w14:textId="77777777" w:rsidR="008334C8" w:rsidRDefault="008334C8" w:rsidP="008334C8">
      <w:pPr>
        <w:spacing w:line="240" w:lineRule="auto"/>
        <w:rPr>
          <w:szCs w:val="22"/>
        </w:rPr>
      </w:pPr>
    </w:p>
    <w:p w14:paraId="42900764" w14:textId="77777777" w:rsidR="008334C8" w:rsidRDefault="008334C8" w:rsidP="008334C8">
      <w:pPr>
        <w:spacing w:line="240" w:lineRule="auto"/>
        <w:rPr>
          <w:szCs w:val="22"/>
        </w:rPr>
      </w:pPr>
    </w:p>
    <w:p w14:paraId="2A7863DE"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TOIMEAINE(TE) SISALDUS</w:t>
      </w:r>
    </w:p>
    <w:p w14:paraId="679BFBA3" w14:textId="77777777" w:rsidR="008334C8" w:rsidRDefault="008334C8" w:rsidP="008334C8">
      <w:pPr>
        <w:spacing w:line="240" w:lineRule="auto"/>
        <w:rPr>
          <w:szCs w:val="22"/>
        </w:rPr>
      </w:pPr>
    </w:p>
    <w:p w14:paraId="0B414084" w14:textId="77777777" w:rsidR="008334C8" w:rsidRDefault="008334C8" w:rsidP="008334C8">
      <w:pPr>
        <w:spacing w:line="240" w:lineRule="auto"/>
        <w:rPr>
          <w:shd w:val="clear" w:color="auto" w:fill="D9D9D9"/>
          <w:lang w:eastAsia="en-US"/>
        </w:rPr>
      </w:pPr>
      <w:r w:rsidRPr="008334C8">
        <w:rPr>
          <w:lang w:eastAsia="en-US"/>
        </w:rPr>
        <w:t xml:space="preserve">Pulber: 3000 RÜ </w:t>
      </w:r>
      <w:proofErr w:type="spellStart"/>
      <w:r w:rsidRPr="008334C8">
        <w:rPr>
          <w:lang w:eastAsia="en-US"/>
        </w:rPr>
        <w:t>alfaeftrenonakogi</w:t>
      </w:r>
      <w:proofErr w:type="spellEnd"/>
      <w:r w:rsidRPr="008334C8">
        <w:rPr>
          <w:lang w:eastAsia="en-US"/>
        </w:rPr>
        <w:t xml:space="preserve"> (ligikaudu 600 RÜ/ml pärast manustamiskõlblikuks muutmist)</w:t>
      </w:r>
      <w:r>
        <w:rPr>
          <w:lang w:eastAsia="en-US"/>
        </w:rPr>
        <w:t>,</w:t>
      </w:r>
    </w:p>
    <w:p w14:paraId="6154ACF7" w14:textId="77777777" w:rsidR="008334C8" w:rsidRDefault="008334C8" w:rsidP="008334C8">
      <w:pPr>
        <w:spacing w:line="240" w:lineRule="auto"/>
        <w:rPr>
          <w:szCs w:val="22"/>
        </w:rPr>
      </w:pPr>
    </w:p>
    <w:p w14:paraId="087C7599" w14:textId="77777777" w:rsidR="008334C8" w:rsidRDefault="008334C8" w:rsidP="008334C8">
      <w:pPr>
        <w:spacing w:line="240" w:lineRule="auto"/>
        <w:rPr>
          <w:szCs w:val="22"/>
        </w:rPr>
      </w:pPr>
    </w:p>
    <w:p w14:paraId="29B81758"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ABIAINED</w:t>
      </w:r>
    </w:p>
    <w:p w14:paraId="16645D9E" w14:textId="77777777" w:rsidR="008334C8" w:rsidRDefault="008334C8" w:rsidP="008334C8">
      <w:pPr>
        <w:keepNext/>
        <w:keepLines/>
        <w:spacing w:line="240" w:lineRule="auto"/>
        <w:rPr>
          <w:szCs w:val="22"/>
        </w:rPr>
      </w:pPr>
    </w:p>
    <w:p w14:paraId="2368374A" w14:textId="77777777" w:rsidR="008334C8" w:rsidRDefault="008334C8" w:rsidP="008334C8">
      <w:pPr>
        <w:keepNext/>
        <w:keepLines/>
        <w:autoSpaceDE w:val="0"/>
        <w:autoSpaceDN w:val="0"/>
        <w:adjustRightInd w:val="0"/>
        <w:spacing w:line="240" w:lineRule="auto"/>
      </w:pPr>
      <w:r>
        <w:rPr>
          <w:shd w:val="clear" w:color="auto" w:fill="D9D9D9"/>
          <w:lang w:eastAsia="en-US"/>
        </w:rPr>
        <w:t>Pulber:</w:t>
      </w:r>
    </w:p>
    <w:p w14:paraId="701DD0E5" w14:textId="77777777" w:rsidR="008334C8" w:rsidRDefault="008334C8" w:rsidP="008334C8">
      <w:pPr>
        <w:autoSpaceDE w:val="0"/>
        <w:autoSpaceDN w:val="0"/>
        <w:adjustRightInd w:val="0"/>
        <w:spacing w:line="240" w:lineRule="auto"/>
      </w:pPr>
      <w:r>
        <w:t>sahharoos, histidiin, mannitool, polüsorbaat 20, naatriumhüdroksiid, vesinikkloriidhape</w:t>
      </w:r>
    </w:p>
    <w:p w14:paraId="42E3D82D" w14:textId="77777777" w:rsidR="008334C8" w:rsidRDefault="008334C8" w:rsidP="008334C8">
      <w:pPr>
        <w:autoSpaceDE w:val="0"/>
        <w:autoSpaceDN w:val="0"/>
        <w:adjustRightInd w:val="0"/>
        <w:spacing w:line="240" w:lineRule="auto"/>
      </w:pPr>
    </w:p>
    <w:p w14:paraId="5A73F1B1" w14:textId="77777777" w:rsidR="00570306" w:rsidRDefault="00570306" w:rsidP="00570306">
      <w:pPr>
        <w:autoSpaceDE w:val="0"/>
        <w:autoSpaceDN w:val="0"/>
        <w:adjustRightInd w:val="0"/>
        <w:spacing w:line="240" w:lineRule="auto"/>
      </w:pPr>
      <w:r>
        <w:t>Lahusti:</w:t>
      </w:r>
    </w:p>
    <w:p w14:paraId="3F9AB879" w14:textId="7B5F1575" w:rsidR="00570306" w:rsidRDefault="00570306" w:rsidP="00570306">
      <w:pPr>
        <w:spacing w:line="240" w:lineRule="auto"/>
        <w:rPr>
          <w:szCs w:val="22"/>
        </w:rPr>
      </w:pPr>
      <w:r>
        <w:rPr>
          <w:szCs w:val="22"/>
        </w:rPr>
        <w:t>Naatriumkloriid, süstevesi</w:t>
      </w:r>
    </w:p>
    <w:p w14:paraId="13E77AC5" w14:textId="77777777" w:rsidR="008334C8" w:rsidRDefault="008334C8" w:rsidP="008334C8">
      <w:pPr>
        <w:autoSpaceDE w:val="0"/>
        <w:autoSpaceDN w:val="0"/>
        <w:adjustRightInd w:val="0"/>
        <w:spacing w:line="240" w:lineRule="auto"/>
      </w:pPr>
    </w:p>
    <w:p w14:paraId="325DA604" w14:textId="77777777" w:rsidR="008334C8" w:rsidRDefault="008334C8" w:rsidP="008334C8">
      <w:pPr>
        <w:autoSpaceDE w:val="0"/>
        <w:autoSpaceDN w:val="0"/>
        <w:adjustRightInd w:val="0"/>
        <w:spacing w:line="240" w:lineRule="auto"/>
      </w:pPr>
    </w:p>
    <w:p w14:paraId="4DB6C81C"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RAVIMVORM JA PAKENDI SUURUS</w:t>
      </w:r>
    </w:p>
    <w:p w14:paraId="7827C025" w14:textId="77777777" w:rsidR="008334C8" w:rsidRDefault="008334C8" w:rsidP="008334C8">
      <w:pPr>
        <w:keepNext/>
        <w:spacing w:line="240" w:lineRule="auto"/>
      </w:pPr>
    </w:p>
    <w:p w14:paraId="280353D0" w14:textId="77777777" w:rsidR="008334C8" w:rsidRDefault="008334C8" w:rsidP="008334C8">
      <w:pPr>
        <w:keepNext/>
        <w:spacing w:line="240" w:lineRule="auto"/>
        <w:rPr>
          <w:shd w:val="clear" w:color="auto" w:fill="D9D9D9"/>
          <w:lang w:eastAsia="en-US"/>
        </w:rPr>
      </w:pPr>
      <w:r>
        <w:rPr>
          <w:shd w:val="clear" w:color="auto" w:fill="D9D9D9"/>
          <w:lang w:eastAsia="en-US"/>
        </w:rPr>
        <w:t>Süstelahuse pulber ja lahusti</w:t>
      </w:r>
    </w:p>
    <w:p w14:paraId="22B31C85" w14:textId="77777777" w:rsidR="008334C8" w:rsidRDefault="008334C8" w:rsidP="008334C8">
      <w:pPr>
        <w:keepNext/>
        <w:spacing w:line="240" w:lineRule="auto"/>
        <w:rPr>
          <w:szCs w:val="22"/>
        </w:rPr>
      </w:pPr>
    </w:p>
    <w:p w14:paraId="4C59D882" w14:textId="77777777" w:rsidR="008334C8" w:rsidRDefault="008334C8" w:rsidP="008334C8">
      <w:pPr>
        <w:spacing w:line="240" w:lineRule="auto"/>
        <w:rPr>
          <w:szCs w:val="22"/>
        </w:rPr>
      </w:pPr>
      <w:r>
        <w:rPr>
          <w:szCs w:val="22"/>
        </w:rPr>
        <w:t>Sisu: 1 pulbriviaal, 5 ml lahustit süstlis, 1 kolvivarras, 1 viaaliadapter, 1 infusioonikomplekt, 2 alkoholis niisutatud vatitupsu, 2 plaastrit, 1 marli</w:t>
      </w:r>
    </w:p>
    <w:p w14:paraId="2DD3C3ED" w14:textId="77777777" w:rsidR="008334C8" w:rsidRDefault="008334C8" w:rsidP="008334C8">
      <w:pPr>
        <w:spacing w:line="240" w:lineRule="auto"/>
        <w:rPr>
          <w:szCs w:val="22"/>
        </w:rPr>
      </w:pPr>
    </w:p>
    <w:p w14:paraId="301026A0" w14:textId="77777777" w:rsidR="008334C8" w:rsidRDefault="008334C8" w:rsidP="008334C8">
      <w:pPr>
        <w:spacing w:line="240" w:lineRule="auto"/>
        <w:rPr>
          <w:szCs w:val="22"/>
        </w:rPr>
      </w:pPr>
    </w:p>
    <w:p w14:paraId="76A6A58F"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MANUSTAMISVIIS JA -TEE(D)</w:t>
      </w:r>
    </w:p>
    <w:p w14:paraId="722A4C31" w14:textId="77777777" w:rsidR="008334C8" w:rsidRDefault="008334C8" w:rsidP="008334C8">
      <w:pPr>
        <w:spacing w:line="240" w:lineRule="auto"/>
        <w:rPr>
          <w:szCs w:val="22"/>
        </w:rPr>
      </w:pPr>
    </w:p>
    <w:p w14:paraId="5BB9EDB5" w14:textId="77777777" w:rsidR="008334C8" w:rsidRDefault="008334C8" w:rsidP="008334C8">
      <w:pPr>
        <w:spacing w:line="240" w:lineRule="auto"/>
        <w:rPr>
          <w:szCs w:val="22"/>
        </w:rPr>
      </w:pPr>
      <w:r>
        <w:rPr>
          <w:szCs w:val="22"/>
        </w:rPr>
        <w:t>Intravenoosne, pärast manustamiskõlblikuks muutmist.</w:t>
      </w:r>
    </w:p>
    <w:p w14:paraId="06E126FA" w14:textId="77777777" w:rsidR="008334C8" w:rsidRDefault="008334C8" w:rsidP="008334C8">
      <w:pPr>
        <w:spacing w:line="240" w:lineRule="auto"/>
        <w:rPr>
          <w:szCs w:val="22"/>
        </w:rPr>
      </w:pPr>
      <w:r>
        <w:rPr>
          <w:szCs w:val="22"/>
        </w:rPr>
        <w:t>Enne ravimi kasutamist lugege pakendi infolehte.</w:t>
      </w:r>
    </w:p>
    <w:p w14:paraId="06A0FFB8" w14:textId="77777777" w:rsidR="008334C8" w:rsidRDefault="008334C8" w:rsidP="008334C8">
      <w:pPr>
        <w:spacing w:line="240" w:lineRule="auto"/>
        <w:rPr>
          <w:szCs w:val="22"/>
        </w:rPr>
      </w:pPr>
    </w:p>
    <w:p w14:paraId="697EE07A" w14:textId="77777777" w:rsidR="008334C8" w:rsidRDefault="008334C8" w:rsidP="008334C8">
      <w:pPr>
        <w:spacing w:line="240" w:lineRule="auto"/>
        <w:rPr>
          <w:szCs w:val="22"/>
        </w:rPr>
      </w:pPr>
      <w:r>
        <w:rPr>
          <w:szCs w:val="22"/>
        </w:rPr>
        <w:t>ALPROLIX’i ettevalmistamise ja manustamise juhendvideoga tutvumiseks skaneerige QR-kood oma nutitelefoniga või vaadake videot veebisaidil</w:t>
      </w:r>
    </w:p>
    <w:p w14:paraId="43768FB9" w14:textId="77777777" w:rsidR="008334C8" w:rsidRDefault="008334C8" w:rsidP="008334C8">
      <w:pPr>
        <w:spacing w:line="240" w:lineRule="auto"/>
        <w:rPr>
          <w:szCs w:val="22"/>
        </w:rPr>
      </w:pPr>
    </w:p>
    <w:p w14:paraId="36747929" w14:textId="244E9180" w:rsidR="008334C8" w:rsidRDefault="008334C8" w:rsidP="008334C8">
      <w:pPr>
        <w:spacing w:line="240" w:lineRule="auto"/>
        <w:rPr>
          <w:szCs w:val="22"/>
        </w:rPr>
      </w:pPr>
      <w:r>
        <w:rPr>
          <w:shd w:val="clear" w:color="auto" w:fill="D9D9D9"/>
        </w:rPr>
        <w:t>Lisatakse QR-kood +</w:t>
      </w:r>
      <w:r>
        <w:t xml:space="preserve"> </w:t>
      </w:r>
      <w:hyperlink r:id="rId33" w:history="1">
        <w:r>
          <w:rPr>
            <w:rStyle w:val="Hyperlink"/>
          </w:rPr>
          <w:t>http://www.alprolix-instructions.com</w:t>
        </w:r>
      </w:hyperlink>
      <w:r>
        <w:rPr>
          <w:szCs w:val="22"/>
        </w:rPr>
        <w:t xml:space="preserve"> </w:t>
      </w:r>
    </w:p>
    <w:p w14:paraId="2D58E247" w14:textId="77777777" w:rsidR="008334C8" w:rsidRDefault="008334C8" w:rsidP="008334C8">
      <w:pPr>
        <w:spacing w:line="240" w:lineRule="auto"/>
        <w:rPr>
          <w:szCs w:val="22"/>
        </w:rPr>
      </w:pPr>
    </w:p>
    <w:p w14:paraId="45ED831A" w14:textId="77777777" w:rsidR="008334C8" w:rsidRDefault="008334C8" w:rsidP="008334C8">
      <w:pPr>
        <w:spacing w:line="240" w:lineRule="auto"/>
        <w:rPr>
          <w:szCs w:val="22"/>
        </w:rPr>
      </w:pPr>
    </w:p>
    <w:p w14:paraId="43CB56F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ERIHOIATUS, ET RAVIMIT TULEB HOIDA LASTE EEST VARJATUD JA KÄTTESAAMATUS KOHAS</w:t>
      </w:r>
    </w:p>
    <w:p w14:paraId="6AD3DF06" w14:textId="77777777" w:rsidR="008334C8" w:rsidRDefault="008334C8" w:rsidP="008334C8">
      <w:pPr>
        <w:spacing w:line="240" w:lineRule="auto"/>
        <w:rPr>
          <w:szCs w:val="22"/>
        </w:rPr>
      </w:pPr>
    </w:p>
    <w:p w14:paraId="5D1FEA34" w14:textId="77777777" w:rsidR="008334C8" w:rsidRDefault="008334C8" w:rsidP="008334C8">
      <w:pPr>
        <w:spacing w:line="240" w:lineRule="auto"/>
        <w:rPr>
          <w:szCs w:val="22"/>
        </w:rPr>
      </w:pPr>
      <w:r>
        <w:rPr>
          <w:szCs w:val="22"/>
        </w:rPr>
        <w:t>Hoida laste eest varjatud ja kättesaamatus kohas.</w:t>
      </w:r>
    </w:p>
    <w:p w14:paraId="2C68C501" w14:textId="77777777" w:rsidR="008334C8" w:rsidRDefault="008334C8" w:rsidP="008334C8">
      <w:pPr>
        <w:spacing w:line="240" w:lineRule="auto"/>
        <w:rPr>
          <w:szCs w:val="22"/>
        </w:rPr>
      </w:pPr>
    </w:p>
    <w:p w14:paraId="4A5A715C" w14:textId="77777777" w:rsidR="008334C8" w:rsidRDefault="008334C8" w:rsidP="008334C8">
      <w:pPr>
        <w:spacing w:line="240" w:lineRule="auto"/>
        <w:rPr>
          <w:szCs w:val="22"/>
        </w:rPr>
      </w:pPr>
    </w:p>
    <w:p w14:paraId="0ABBA088"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7.</w:t>
      </w:r>
      <w:r>
        <w:rPr>
          <w:b/>
          <w:szCs w:val="22"/>
        </w:rPr>
        <w:tab/>
        <w:t>TEISED ERIHOIATUSED (VAJADUSEL)</w:t>
      </w:r>
    </w:p>
    <w:p w14:paraId="5B0A272B" w14:textId="77777777" w:rsidR="008334C8" w:rsidRDefault="008334C8" w:rsidP="008334C8">
      <w:pPr>
        <w:spacing w:line="240" w:lineRule="auto"/>
        <w:rPr>
          <w:szCs w:val="22"/>
        </w:rPr>
      </w:pPr>
    </w:p>
    <w:p w14:paraId="2F8D8B71" w14:textId="77777777" w:rsidR="008334C8" w:rsidRDefault="008334C8" w:rsidP="008334C8">
      <w:pPr>
        <w:spacing w:line="240" w:lineRule="auto"/>
      </w:pPr>
    </w:p>
    <w:p w14:paraId="642B3A53"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8.</w:t>
      </w:r>
      <w:r>
        <w:rPr>
          <w:b/>
          <w:szCs w:val="22"/>
        </w:rPr>
        <w:tab/>
        <w:t>KÕLBLIKKUSAEG</w:t>
      </w:r>
    </w:p>
    <w:p w14:paraId="69697EE8" w14:textId="77777777" w:rsidR="008334C8" w:rsidRDefault="008334C8" w:rsidP="008334C8">
      <w:pPr>
        <w:spacing w:line="240" w:lineRule="auto"/>
      </w:pPr>
    </w:p>
    <w:p w14:paraId="0F3674AF" w14:textId="77777777" w:rsidR="008334C8" w:rsidRDefault="008334C8" w:rsidP="008334C8">
      <w:pPr>
        <w:spacing w:line="240" w:lineRule="auto"/>
      </w:pPr>
      <w:r>
        <w:t>EXP</w:t>
      </w:r>
    </w:p>
    <w:p w14:paraId="37270E5A" w14:textId="77777777" w:rsidR="008334C8" w:rsidRDefault="008334C8" w:rsidP="008334C8">
      <w:pPr>
        <w:spacing w:line="240" w:lineRule="auto"/>
      </w:pPr>
    </w:p>
    <w:p w14:paraId="705E760C" w14:textId="77777777" w:rsidR="008334C8" w:rsidRDefault="008334C8" w:rsidP="008334C8">
      <w:pPr>
        <w:spacing w:line="240" w:lineRule="auto"/>
      </w:pPr>
      <w:r>
        <w:t>Kasutada 6 tunni jooksul pärast manustamiskõlblikuks muutmist.</w:t>
      </w:r>
    </w:p>
    <w:p w14:paraId="72E3A504" w14:textId="77777777" w:rsidR="008334C8" w:rsidRDefault="008334C8" w:rsidP="008334C8">
      <w:pPr>
        <w:spacing w:line="240" w:lineRule="auto"/>
      </w:pPr>
    </w:p>
    <w:p w14:paraId="223E71A2" w14:textId="77777777" w:rsidR="008334C8" w:rsidRDefault="008334C8" w:rsidP="008334C8">
      <w:pPr>
        <w:spacing w:line="240" w:lineRule="auto"/>
        <w:rPr>
          <w:szCs w:val="22"/>
        </w:rPr>
      </w:pPr>
    </w:p>
    <w:p w14:paraId="509A0BF9"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9.</w:t>
      </w:r>
      <w:r>
        <w:rPr>
          <w:b/>
          <w:szCs w:val="22"/>
        </w:rPr>
        <w:tab/>
        <w:t>SÄILITAMISE ERITINGIMUSED</w:t>
      </w:r>
    </w:p>
    <w:p w14:paraId="40CA2B2B" w14:textId="77777777" w:rsidR="008334C8" w:rsidRDefault="008334C8" w:rsidP="008334C8">
      <w:pPr>
        <w:spacing w:line="240" w:lineRule="auto"/>
        <w:rPr>
          <w:szCs w:val="22"/>
        </w:rPr>
      </w:pPr>
    </w:p>
    <w:p w14:paraId="26E6F70D" w14:textId="77777777" w:rsidR="008334C8" w:rsidRDefault="008334C8" w:rsidP="008334C8">
      <w:pPr>
        <w:spacing w:line="240" w:lineRule="auto"/>
        <w:rPr>
          <w:szCs w:val="22"/>
        </w:rPr>
      </w:pPr>
      <w:r>
        <w:rPr>
          <w:szCs w:val="22"/>
        </w:rPr>
        <w:t>Hoida viaali välispakendis valguse eest kaitstult.</w:t>
      </w:r>
    </w:p>
    <w:p w14:paraId="05A06CD1" w14:textId="77777777" w:rsidR="008334C8" w:rsidRDefault="008334C8" w:rsidP="008334C8">
      <w:pPr>
        <w:spacing w:line="240" w:lineRule="auto"/>
        <w:rPr>
          <w:szCs w:val="22"/>
        </w:rPr>
      </w:pPr>
      <w:r>
        <w:rPr>
          <w:szCs w:val="22"/>
        </w:rPr>
        <w:t>Hoida külmkapis.</w:t>
      </w:r>
    </w:p>
    <w:p w14:paraId="767B3F27" w14:textId="77777777" w:rsidR="008334C8" w:rsidRDefault="008334C8" w:rsidP="008334C8">
      <w:pPr>
        <w:spacing w:line="240" w:lineRule="auto"/>
        <w:rPr>
          <w:szCs w:val="22"/>
        </w:rPr>
      </w:pPr>
      <w:r>
        <w:rPr>
          <w:szCs w:val="22"/>
        </w:rPr>
        <w:t>Mitte lasta külmuda.</w:t>
      </w:r>
    </w:p>
    <w:p w14:paraId="7132A1F8" w14:textId="77777777" w:rsidR="008334C8" w:rsidRDefault="008334C8" w:rsidP="008334C8">
      <w:pPr>
        <w:spacing w:line="240" w:lineRule="auto"/>
        <w:rPr>
          <w:szCs w:val="22"/>
        </w:rPr>
      </w:pPr>
      <w:r>
        <w:rPr>
          <w:szCs w:val="22"/>
        </w:rPr>
        <w:t>Võib säilitada toatemperatuuril (kuni 30°C) ühe, 6 kuulise ajaperioodi jooksul. Pärast toatemperatuuril hoidmist ei tohi uuesti külmkappi panna.</w:t>
      </w:r>
    </w:p>
    <w:p w14:paraId="3E7C8907" w14:textId="77777777" w:rsidR="008334C8" w:rsidRDefault="008334C8" w:rsidP="008334C8">
      <w:pPr>
        <w:spacing w:line="240" w:lineRule="auto"/>
        <w:rPr>
          <w:szCs w:val="22"/>
        </w:rPr>
      </w:pPr>
      <w:r>
        <w:rPr>
          <w:szCs w:val="22"/>
        </w:rPr>
        <w:t>Külmkapist väljavõtmise kuupäev:</w:t>
      </w:r>
    </w:p>
    <w:p w14:paraId="4AA1949A" w14:textId="77777777" w:rsidR="008334C8" w:rsidRDefault="008334C8" w:rsidP="008334C8">
      <w:pPr>
        <w:spacing w:line="240" w:lineRule="auto"/>
        <w:rPr>
          <w:szCs w:val="22"/>
        </w:rPr>
      </w:pPr>
    </w:p>
    <w:p w14:paraId="33CEC797" w14:textId="77777777" w:rsidR="008334C8" w:rsidRDefault="008334C8" w:rsidP="008334C8">
      <w:pPr>
        <w:spacing w:line="240" w:lineRule="auto"/>
        <w:ind w:left="567" w:hanging="567"/>
        <w:rPr>
          <w:szCs w:val="22"/>
        </w:rPr>
      </w:pPr>
    </w:p>
    <w:p w14:paraId="1ECBB80F"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10.</w:t>
      </w:r>
      <w:r>
        <w:rPr>
          <w:b/>
          <w:szCs w:val="22"/>
        </w:rPr>
        <w:tab/>
        <w:t>ERINÕUDED KASUTAMATA JÄÄNUD RAVIMPREPARAADI VÕI SELLEST TEKKINUD JÄÄTMEMATERJALI HÄVITAMISEKS, VASTAVALT VAJADUSELE</w:t>
      </w:r>
    </w:p>
    <w:p w14:paraId="0860E6E0" w14:textId="77777777" w:rsidR="008334C8" w:rsidRDefault="008334C8" w:rsidP="008334C8">
      <w:pPr>
        <w:spacing w:line="240" w:lineRule="auto"/>
        <w:rPr>
          <w:szCs w:val="22"/>
        </w:rPr>
      </w:pPr>
    </w:p>
    <w:p w14:paraId="0885E789" w14:textId="77777777" w:rsidR="008334C8" w:rsidRDefault="008334C8" w:rsidP="008334C8">
      <w:pPr>
        <w:spacing w:line="240" w:lineRule="auto"/>
        <w:rPr>
          <w:szCs w:val="22"/>
        </w:rPr>
      </w:pPr>
    </w:p>
    <w:p w14:paraId="1410232D"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11.</w:t>
      </w:r>
      <w:r>
        <w:rPr>
          <w:b/>
          <w:szCs w:val="22"/>
        </w:rPr>
        <w:tab/>
        <w:t>MÜÜGILOA HOIDJA NIMI JA AADRESS</w:t>
      </w:r>
    </w:p>
    <w:p w14:paraId="4A2235DC" w14:textId="77777777" w:rsidR="008334C8" w:rsidRDefault="008334C8" w:rsidP="008334C8">
      <w:pPr>
        <w:keepNext/>
        <w:spacing w:line="240" w:lineRule="auto"/>
        <w:rPr>
          <w:szCs w:val="22"/>
        </w:rPr>
      </w:pPr>
    </w:p>
    <w:p w14:paraId="1D7921D3" w14:textId="77777777" w:rsidR="008334C8" w:rsidRDefault="008334C8" w:rsidP="008334C8">
      <w:pPr>
        <w:keepNext/>
        <w:spacing w:line="240" w:lineRule="auto"/>
      </w:pPr>
      <w:r>
        <w:t>Swedish Orphan Biovitrum AB (publ)</w:t>
      </w:r>
    </w:p>
    <w:p w14:paraId="4B135A84" w14:textId="77777777" w:rsidR="008334C8" w:rsidRDefault="008334C8" w:rsidP="008334C8">
      <w:pPr>
        <w:keepNext/>
        <w:spacing w:line="240" w:lineRule="auto"/>
      </w:pPr>
      <w:r>
        <w:t>SE-112 76 Stockholm</w:t>
      </w:r>
    </w:p>
    <w:p w14:paraId="40846301" w14:textId="77777777" w:rsidR="008334C8" w:rsidRDefault="008334C8" w:rsidP="008334C8">
      <w:pPr>
        <w:spacing w:line="240" w:lineRule="auto"/>
      </w:pPr>
      <w:r>
        <w:t>Rootsi</w:t>
      </w:r>
    </w:p>
    <w:p w14:paraId="31D6EA2A" w14:textId="77777777" w:rsidR="008334C8" w:rsidRDefault="008334C8" w:rsidP="008334C8">
      <w:pPr>
        <w:spacing w:line="240" w:lineRule="auto"/>
        <w:rPr>
          <w:szCs w:val="22"/>
        </w:rPr>
      </w:pPr>
    </w:p>
    <w:p w14:paraId="1CE22E11" w14:textId="77777777" w:rsidR="008334C8" w:rsidRDefault="008334C8" w:rsidP="008334C8">
      <w:pPr>
        <w:spacing w:line="240" w:lineRule="auto"/>
        <w:rPr>
          <w:szCs w:val="22"/>
        </w:rPr>
      </w:pPr>
    </w:p>
    <w:p w14:paraId="2C0E0FBA"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12.</w:t>
      </w:r>
      <w:r>
        <w:rPr>
          <w:b/>
          <w:szCs w:val="22"/>
        </w:rPr>
        <w:tab/>
        <w:t>MÜÜGILOA NUMBER (NUMBRID)</w:t>
      </w:r>
    </w:p>
    <w:p w14:paraId="327E2C56" w14:textId="77777777" w:rsidR="008334C8" w:rsidRDefault="008334C8" w:rsidP="008334C8">
      <w:pPr>
        <w:spacing w:line="240" w:lineRule="auto"/>
        <w:rPr>
          <w:szCs w:val="22"/>
        </w:rPr>
      </w:pPr>
    </w:p>
    <w:p w14:paraId="54BFEB4E" w14:textId="77777777" w:rsidR="008334C8" w:rsidRDefault="008334C8" w:rsidP="008334C8">
      <w:pPr>
        <w:spacing w:line="240" w:lineRule="auto"/>
        <w:rPr>
          <w:szCs w:val="22"/>
        </w:rPr>
      </w:pPr>
      <w:r w:rsidRPr="008334C8">
        <w:rPr>
          <w:szCs w:val="22"/>
        </w:rPr>
        <w:t>EU/1/16/1098/005</w:t>
      </w:r>
    </w:p>
    <w:p w14:paraId="61B2EE58" w14:textId="77777777" w:rsidR="008334C8" w:rsidRDefault="008334C8" w:rsidP="008334C8">
      <w:pPr>
        <w:spacing w:line="240" w:lineRule="auto"/>
        <w:rPr>
          <w:szCs w:val="22"/>
        </w:rPr>
      </w:pPr>
    </w:p>
    <w:p w14:paraId="286E8C19" w14:textId="77777777" w:rsidR="008334C8" w:rsidRDefault="008334C8" w:rsidP="008334C8">
      <w:pPr>
        <w:spacing w:line="240" w:lineRule="auto"/>
        <w:rPr>
          <w:szCs w:val="22"/>
        </w:rPr>
      </w:pPr>
    </w:p>
    <w:p w14:paraId="340164AA"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13.</w:t>
      </w:r>
      <w:r>
        <w:rPr>
          <w:b/>
          <w:szCs w:val="22"/>
        </w:rPr>
        <w:tab/>
        <w:t>PARTII NUMBER</w:t>
      </w:r>
    </w:p>
    <w:p w14:paraId="347F8F79" w14:textId="77777777" w:rsidR="008334C8" w:rsidRDefault="008334C8" w:rsidP="008334C8">
      <w:pPr>
        <w:spacing w:line="240" w:lineRule="auto"/>
        <w:rPr>
          <w:i/>
          <w:szCs w:val="22"/>
        </w:rPr>
      </w:pPr>
    </w:p>
    <w:p w14:paraId="1CAFD3E6" w14:textId="77777777" w:rsidR="008334C8" w:rsidRDefault="008334C8" w:rsidP="008334C8">
      <w:pPr>
        <w:spacing w:line="240" w:lineRule="auto"/>
        <w:rPr>
          <w:szCs w:val="22"/>
        </w:rPr>
      </w:pPr>
      <w:r>
        <w:rPr>
          <w:szCs w:val="22"/>
        </w:rPr>
        <w:t>Lot</w:t>
      </w:r>
    </w:p>
    <w:p w14:paraId="2060E836" w14:textId="77777777" w:rsidR="008334C8" w:rsidRDefault="008334C8" w:rsidP="008334C8">
      <w:pPr>
        <w:spacing w:line="240" w:lineRule="auto"/>
        <w:rPr>
          <w:szCs w:val="22"/>
        </w:rPr>
      </w:pPr>
    </w:p>
    <w:p w14:paraId="40B9284C" w14:textId="77777777" w:rsidR="008334C8" w:rsidRDefault="008334C8" w:rsidP="008334C8">
      <w:pPr>
        <w:spacing w:line="240" w:lineRule="auto"/>
        <w:rPr>
          <w:szCs w:val="22"/>
        </w:rPr>
      </w:pPr>
    </w:p>
    <w:p w14:paraId="1A4BCCCB"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14.</w:t>
      </w:r>
      <w:r>
        <w:rPr>
          <w:b/>
          <w:szCs w:val="22"/>
        </w:rPr>
        <w:tab/>
        <w:t>RAVIMI VÄLJASTAMISTINGIMUSED</w:t>
      </w:r>
    </w:p>
    <w:p w14:paraId="68FC51C6" w14:textId="77777777" w:rsidR="008334C8" w:rsidRDefault="008334C8" w:rsidP="008334C8">
      <w:pPr>
        <w:spacing w:line="240" w:lineRule="auto"/>
        <w:rPr>
          <w:i/>
          <w:szCs w:val="22"/>
        </w:rPr>
      </w:pPr>
    </w:p>
    <w:p w14:paraId="32DA0474" w14:textId="77777777" w:rsidR="008334C8" w:rsidRDefault="008334C8" w:rsidP="008334C8">
      <w:pPr>
        <w:spacing w:line="240" w:lineRule="auto"/>
        <w:rPr>
          <w:szCs w:val="22"/>
        </w:rPr>
      </w:pPr>
    </w:p>
    <w:p w14:paraId="70E9A2B7"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15.</w:t>
      </w:r>
      <w:r>
        <w:rPr>
          <w:b/>
          <w:szCs w:val="22"/>
        </w:rPr>
        <w:tab/>
        <w:t>KASUTUSJUHEND</w:t>
      </w:r>
    </w:p>
    <w:p w14:paraId="4E1438BF" w14:textId="77777777" w:rsidR="008334C8" w:rsidRDefault="008334C8" w:rsidP="008334C8">
      <w:pPr>
        <w:spacing w:line="240" w:lineRule="auto"/>
      </w:pPr>
    </w:p>
    <w:p w14:paraId="78D1D15F" w14:textId="77777777" w:rsidR="008334C8" w:rsidRDefault="008334C8" w:rsidP="008334C8">
      <w:pPr>
        <w:spacing w:line="240" w:lineRule="auto"/>
      </w:pPr>
    </w:p>
    <w:p w14:paraId="245A2F7C"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lastRenderedPageBreak/>
        <w:t>16.</w:t>
      </w:r>
      <w:r>
        <w:rPr>
          <w:b/>
          <w:szCs w:val="22"/>
        </w:rPr>
        <w:tab/>
        <w:t>TEAVE BRAILLE’ KIRJAS (PUNKTKIRJAS)</w:t>
      </w:r>
    </w:p>
    <w:p w14:paraId="32DC7932" w14:textId="77777777" w:rsidR="008334C8" w:rsidRDefault="008334C8" w:rsidP="008334C8">
      <w:pPr>
        <w:spacing w:line="240" w:lineRule="auto"/>
      </w:pPr>
    </w:p>
    <w:p w14:paraId="29974B43" w14:textId="77777777" w:rsidR="008334C8" w:rsidRDefault="008334C8" w:rsidP="008334C8">
      <w:pPr>
        <w:spacing w:line="240" w:lineRule="auto"/>
        <w:rPr>
          <w:lang w:eastAsia="en-US"/>
        </w:rPr>
      </w:pPr>
      <w:r w:rsidRPr="008334C8">
        <w:rPr>
          <w:lang w:eastAsia="en-US"/>
        </w:rPr>
        <w:t>ALPROLIX 3000</w:t>
      </w:r>
    </w:p>
    <w:p w14:paraId="2C2F056F" w14:textId="77777777" w:rsidR="008334C8" w:rsidRDefault="008334C8" w:rsidP="008334C8">
      <w:pPr>
        <w:spacing w:line="240" w:lineRule="auto"/>
        <w:rPr>
          <w:szCs w:val="22"/>
          <w:shd w:val="clear" w:color="auto" w:fill="CCCCCC"/>
        </w:rPr>
      </w:pPr>
    </w:p>
    <w:p w14:paraId="22F040BA" w14:textId="77777777" w:rsidR="008334C8" w:rsidRDefault="008334C8" w:rsidP="008334C8">
      <w:pPr>
        <w:spacing w:line="240" w:lineRule="auto"/>
        <w:rPr>
          <w:szCs w:val="22"/>
          <w:shd w:val="clear" w:color="auto" w:fill="CCCCCC"/>
        </w:rPr>
      </w:pPr>
    </w:p>
    <w:p w14:paraId="75EFEB65"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17.</w:t>
      </w:r>
      <w:r>
        <w:rPr>
          <w:b/>
          <w:szCs w:val="22"/>
        </w:rPr>
        <w:tab/>
        <w:t>AINULAADNE IDENTIFIKAATOR – 2D-vöötkood</w:t>
      </w:r>
    </w:p>
    <w:p w14:paraId="10267B01" w14:textId="77777777" w:rsidR="008334C8" w:rsidRDefault="008334C8" w:rsidP="008334C8">
      <w:pPr>
        <w:keepNext/>
        <w:tabs>
          <w:tab w:val="clear" w:pos="567"/>
        </w:tabs>
        <w:spacing w:line="240" w:lineRule="auto"/>
      </w:pPr>
    </w:p>
    <w:p w14:paraId="2F498BD6" w14:textId="77777777" w:rsidR="008334C8" w:rsidRDefault="008334C8" w:rsidP="008334C8">
      <w:pPr>
        <w:spacing w:line="240" w:lineRule="auto"/>
        <w:rPr>
          <w:szCs w:val="22"/>
          <w:shd w:val="clear" w:color="auto" w:fill="CCCCCC"/>
        </w:rPr>
      </w:pPr>
      <w:r>
        <w:rPr>
          <w:shd w:val="clear" w:color="auto" w:fill="BFBFBF"/>
        </w:rPr>
        <w:t>Lisatud on 2D-vöötkood, mis sisaldab ainulaadset identifikaatorit.</w:t>
      </w:r>
    </w:p>
    <w:p w14:paraId="33866C9B" w14:textId="77777777" w:rsidR="008334C8" w:rsidRDefault="008334C8" w:rsidP="008334C8">
      <w:pPr>
        <w:spacing w:line="240" w:lineRule="auto"/>
        <w:rPr>
          <w:szCs w:val="22"/>
          <w:shd w:val="clear" w:color="auto" w:fill="CCCCCC"/>
        </w:rPr>
      </w:pPr>
    </w:p>
    <w:p w14:paraId="4701444F" w14:textId="77777777" w:rsidR="008334C8" w:rsidRDefault="008334C8" w:rsidP="008334C8">
      <w:pPr>
        <w:tabs>
          <w:tab w:val="clear" w:pos="567"/>
        </w:tabs>
        <w:spacing w:line="240" w:lineRule="auto"/>
      </w:pPr>
    </w:p>
    <w:p w14:paraId="16A667EA"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18.</w:t>
      </w:r>
      <w:r>
        <w:rPr>
          <w:b/>
          <w:szCs w:val="22"/>
        </w:rPr>
        <w:tab/>
        <w:t>AINULAADNE IDENTIFIKAATOR – INIMLOETAVAD ANDMED</w:t>
      </w:r>
    </w:p>
    <w:p w14:paraId="08ED2DFD" w14:textId="77777777" w:rsidR="008334C8" w:rsidRDefault="008334C8" w:rsidP="008334C8">
      <w:pPr>
        <w:keepNext/>
        <w:tabs>
          <w:tab w:val="clear" w:pos="567"/>
        </w:tabs>
        <w:spacing w:line="240" w:lineRule="auto"/>
      </w:pPr>
    </w:p>
    <w:p w14:paraId="44B12A5E" w14:textId="32A337AA" w:rsidR="00570306" w:rsidRDefault="00570306" w:rsidP="00570306">
      <w:pPr>
        <w:keepNext/>
        <w:rPr>
          <w:szCs w:val="22"/>
        </w:rPr>
      </w:pPr>
      <w:r>
        <w:t>PC</w:t>
      </w:r>
    </w:p>
    <w:p w14:paraId="5BB323E6" w14:textId="3A9B4216" w:rsidR="00570306" w:rsidRDefault="00570306" w:rsidP="00570306">
      <w:pPr>
        <w:keepNext/>
        <w:rPr>
          <w:szCs w:val="22"/>
        </w:rPr>
      </w:pPr>
      <w:r>
        <w:t>SN</w:t>
      </w:r>
    </w:p>
    <w:p w14:paraId="027520E6" w14:textId="71430AD9" w:rsidR="00570306" w:rsidRDefault="00570306" w:rsidP="00570306">
      <w:pPr>
        <w:rPr>
          <w:szCs w:val="22"/>
        </w:rPr>
      </w:pPr>
      <w:r>
        <w:t>NN</w:t>
      </w:r>
    </w:p>
    <w:p w14:paraId="2102238E" w14:textId="77777777" w:rsidR="008334C8" w:rsidRDefault="008334C8" w:rsidP="008334C8">
      <w:pPr>
        <w:rPr>
          <w:szCs w:val="22"/>
        </w:rPr>
      </w:pPr>
    </w:p>
    <w:p w14:paraId="6A1AC0AC" w14:textId="77777777" w:rsidR="008334C8" w:rsidRDefault="008334C8" w:rsidP="008334C8">
      <w:pPr>
        <w:spacing w:line="240" w:lineRule="auto"/>
        <w:rPr>
          <w:szCs w:val="22"/>
          <w:shd w:val="clear" w:color="auto" w:fill="CCCCCC"/>
        </w:rPr>
      </w:pPr>
    </w:p>
    <w:p w14:paraId="1F5E73C5" w14:textId="77777777" w:rsidR="008334C8" w:rsidRDefault="008334C8" w:rsidP="008334C8">
      <w:pPr>
        <w:spacing w:line="240" w:lineRule="auto"/>
        <w:rPr>
          <w:szCs w:val="22"/>
        </w:rPr>
      </w:pPr>
      <w:r>
        <w:rPr>
          <w:szCs w:val="22"/>
          <w:shd w:val="clear" w:color="auto" w:fill="CCCCCC"/>
        </w:rPr>
        <w:br w:type="page"/>
      </w:r>
    </w:p>
    <w:p w14:paraId="058C104E"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MINIMAALSED ANDMED, MIS PEAVAD OLEMA VÄIKESEL VAHETUL SISEPAKENDIL</w:t>
      </w:r>
    </w:p>
    <w:p w14:paraId="695A3B9A"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p>
    <w:p w14:paraId="45AD76C9" w14:textId="77777777" w:rsidR="008334C8" w:rsidRDefault="008334C8" w:rsidP="008334C8">
      <w:pPr>
        <w:pBdr>
          <w:top w:val="single" w:sz="4" w:space="1" w:color="auto"/>
          <w:left w:val="single" w:sz="4" w:space="4" w:color="auto"/>
          <w:bottom w:val="single" w:sz="4" w:space="1" w:color="auto"/>
          <w:right w:val="single" w:sz="4" w:space="4" w:color="auto"/>
        </w:pBdr>
        <w:spacing w:line="240" w:lineRule="auto"/>
        <w:rPr>
          <w:b/>
          <w:szCs w:val="22"/>
        </w:rPr>
      </w:pPr>
      <w:r>
        <w:rPr>
          <w:b/>
          <w:szCs w:val="22"/>
        </w:rPr>
        <w:t>VIAALI SILT</w:t>
      </w:r>
    </w:p>
    <w:p w14:paraId="2AB2CFD1" w14:textId="77777777" w:rsidR="008334C8" w:rsidRDefault="008334C8" w:rsidP="008334C8">
      <w:pPr>
        <w:spacing w:line="240" w:lineRule="auto"/>
        <w:rPr>
          <w:szCs w:val="22"/>
        </w:rPr>
      </w:pPr>
    </w:p>
    <w:p w14:paraId="28DB53C1" w14:textId="77777777" w:rsidR="008334C8" w:rsidRDefault="008334C8" w:rsidP="008334C8">
      <w:pPr>
        <w:spacing w:line="240" w:lineRule="auto"/>
        <w:rPr>
          <w:szCs w:val="22"/>
        </w:rPr>
      </w:pPr>
    </w:p>
    <w:p w14:paraId="0128C9E4"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 JA MANUSTAMISTEE(D)</w:t>
      </w:r>
    </w:p>
    <w:p w14:paraId="14D5DAD7" w14:textId="77777777" w:rsidR="008334C8" w:rsidRDefault="008334C8" w:rsidP="008334C8">
      <w:pPr>
        <w:spacing w:line="240" w:lineRule="auto"/>
        <w:ind w:left="567" w:hanging="567"/>
        <w:rPr>
          <w:szCs w:val="22"/>
        </w:rPr>
      </w:pPr>
    </w:p>
    <w:p w14:paraId="21C9EFD1" w14:textId="77777777" w:rsidR="008334C8" w:rsidRDefault="008334C8" w:rsidP="008334C8">
      <w:pPr>
        <w:spacing w:line="240" w:lineRule="auto"/>
        <w:rPr>
          <w:shd w:val="clear" w:color="auto" w:fill="D9D9D9"/>
          <w:lang w:eastAsia="en-US"/>
        </w:rPr>
      </w:pPr>
      <w:r w:rsidRPr="008334C8">
        <w:rPr>
          <w:lang w:eastAsia="en-US"/>
        </w:rPr>
        <w:t>ALPROLIX 3000 RÜ süstelahuse pulber</w:t>
      </w:r>
    </w:p>
    <w:p w14:paraId="5B01F4F3" w14:textId="77777777" w:rsidR="008334C8" w:rsidRDefault="008334C8" w:rsidP="008334C8">
      <w:pPr>
        <w:spacing w:line="240" w:lineRule="auto"/>
        <w:rPr>
          <w:szCs w:val="22"/>
        </w:rPr>
      </w:pPr>
    </w:p>
    <w:p w14:paraId="751EE7D0" w14:textId="77777777" w:rsidR="008334C8" w:rsidRDefault="008334C8" w:rsidP="008334C8">
      <w:pPr>
        <w:spacing w:line="240" w:lineRule="auto"/>
        <w:rPr>
          <w:i/>
          <w:szCs w:val="22"/>
        </w:rPr>
      </w:pPr>
      <w:r>
        <w:rPr>
          <w:i/>
          <w:szCs w:val="22"/>
        </w:rPr>
        <w:t>eftrenonacogum alfa</w:t>
      </w:r>
    </w:p>
    <w:p w14:paraId="3DB01917" w14:textId="77777777" w:rsidR="008334C8" w:rsidRDefault="008334C8" w:rsidP="008334C8">
      <w:pPr>
        <w:spacing w:line="240" w:lineRule="auto"/>
        <w:rPr>
          <w:szCs w:val="22"/>
        </w:rPr>
      </w:pPr>
      <w:r>
        <w:rPr>
          <w:szCs w:val="22"/>
        </w:rPr>
        <w:t>rekombinantne IX hüübimisfaktor</w:t>
      </w:r>
    </w:p>
    <w:p w14:paraId="27BF4B04" w14:textId="77777777" w:rsidR="008334C8" w:rsidRDefault="008334C8" w:rsidP="008334C8">
      <w:pPr>
        <w:spacing w:line="240" w:lineRule="auto"/>
        <w:rPr>
          <w:szCs w:val="22"/>
        </w:rPr>
      </w:pPr>
      <w:r>
        <w:rPr>
          <w:szCs w:val="22"/>
        </w:rPr>
        <w:t>i.v.</w:t>
      </w:r>
    </w:p>
    <w:p w14:paraId="70ADB31D" w14:textId="77777777" w:rsidR="008334C8" w:rsidRDefault="008334C8" w:rsidP="008334C8">
      <w:pPr>
        <w:spacing w:line="240" w:lineRule="auto"/>
        <w:rPr>
          <w:szCs w:val="22"/>
        </w:rPr>
      </w:pPr>
    </w:p>
    <w:p w14:paraId="52BD577F" w14:textId="77777777" w:rsidR="008334C8" w:rsidRDefault="008334C8" w:rsidP="008334C8">
      <w:pPr>
        <w:spacing w:line="240" w:lineRule="auto"/>
        <w:rPr>
          <w:szCs w:val="22"/>
        </w:rPr>
      </w:pPr>
    </w:p>
    <w:p w14:paraId="44D275A2"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MANUSTAMISVIIS</w:t>
      </w:r>
    </w:p>
    <w:p w14:paraId="58F7A12A" w14:textId="77777777" w:rsidR="008334C8" w:rsidRDefault="008334C8" w:rsidP="008334C8">
      <w:pPr>
        <w:spacing w:line="240" w:lineRule="auto"/>
        <w:rPr>
          <w:szCs w:val="22"/>
        </w:rPr>
      </w:pPr>
    </w:p>
    <w:p w14:paraId="2EEEB5E1" w14:textId="77777777" w:rsidR="008334C8" w:rsidRDefault="008334C8" w:rsidP="008334C8">
      <w:pPr>
        <w:spacing w:line="240" w:lineRule="auto"/>
        <w:rPr>
          <w:szCs w:val="22"/>
        </w:rPr>
      </w:pPr>
    </w:p>
    <w:p w14:paraId="16C4489D"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KÕLBLIKKUSAEG</w:t>
      </w:r>
    </w:p>
    <w:p w14:paraId="03227AA4" w14:textId="77777777" w:rsidR="008334C8" w:rsidRDefault="008334C8" w:rsidP="008334C8">
      <w:pPr>
        <w:spacing w:line="240" w:lineRule="auto"/>
      </w:pPr>
    </w:p>
    <w:p w14:paraId="5CC7A39E" w14:textId="77777777" w:rsidR="008334C8" w:rsidRDefault="008334C8" w:rsidP="008334C8">
      <w:pPr>
        <w:spacing w:line="240" w:lineRule="auto"/>
      </w:pPr>
      <w:r>
        <w:t>EXP</w:t>
      </w:r>
    </w:p>
    <w:p w14:paraId="71DCCD86" w14:textId="77777777" w:rsidR="008334C8" w:rsidRDefault="008334C8" w:rsidP="008334C8">
      <w:pPr>
        <w:spacing w:line="240" w:lineRule="auto"/>
      </w:pPr>
    </w:p>
    <w:p w14:paraId="3EC57874" w14:textId="77777777" w:rsidR="008334C8" w:rsidRDefault="008334C8" w:rsidP="008334C8">
      <w:pPr>
        <w:spacing w:line="240" w:lineRule="auto"/>
      </w:pPr>
    </w:p>
    <w:p w14:paraId="38AACDD6"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PARTII NUMBER</w:t>
      </w:r>
    </w:p>
    <w:p w14:paraId="0BA76077" w14:textId="77777777" w:rsidR="008334C8" w:rsidRDefault="008334C8" w:rsidP="008334C8">
      <w:pPr>
        <w:spacing w:line="240" w:lineRule="auto"/>
        <w:ind w:right="113"/>
      </w:pPr>
    </w:p>
    <w:p w14:paraId="2F2C60EA" w14:textId="77777777" w:rsidR="008334C8" w:rsidRDefault="008334C8" w:rsidP="008334C8">
      <w:pPr>
        <w:spacing w:line="240" w:lineRule="auto"/>
        <w:ind w:right="113"/>
      </w:pPr>
      <w:r>
        <w:t>Lot</w:t>
      </w:r>
    </w:p>
    <w:p w14:paraId="548EC6E0" w14:textId="77777777" w:rsidR="008334C8" w:rsidRDefault="008334C8" w:rsidP="008334C8">
      <w:pPr>
        <w:spacing w:line="240" w:lineRule="auto"/>
        <w:ind w:right="113"/>
      </w:pPr>
    </w:p>
    <w:p w14:paraId="04705F5D" w14:textId="77777777" w:rsidR="008334C8" w:rsidRDefault="008334C8" w:rsidP="008334C8">
      <w:pPr>
        <w:spacing w:line="240" w:lineRule="auto"/>
        <w:ind w:right="113"/>
      </w:pPr>
    </w:p>
    <w:p w14:paraId="66071A0C"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PAKENDI SISU KAALU, MAHU VÕI ÜHIKUTE JÄRGI</w:t>
      </w:r>
    </w:p>
    <w:p w14:paraId="397F1F18" w14:textId="77777777" w:rsidR="008334C8" w:rsidRDefault="008334C8" w:rsidP="008334C8">
      <w:pPr>
        <w:spacing w:line="240" w:lineRule="auto"/>
        <w:ind w:right="113"/>
        <w:rPr>
          <w:szCs w:val="22"/>
        </w:rPr>
      </w:pPr>
    </w:p>
    <w:p w14:paraId="2C984977" w14:textId="77777777" w:rsidR="008334C8" w:rsidRDefault="008334C8" w:rsidP="008334C8">
      <w:pPr>
        <w:spacing w:line="240" w:lineRule="auto"/>
        <w:ind w:right="113"/>
        <w:rPr>
          <w:rFonts w:eastAsia="Calibri"/>
          <w:shd w:val="clear" w:color="auto" w:fill="D9D9D9"/>
          <w:lang w:eastAsia="en-US"/>
        </w:rPr>
      </w:pPr>
      <w:r>
        <w:rPr>
          <w:rFonts w:eastAsia="Calibri"/>
          <w:shd w:val="clear" w:color="auto" w:fill="D9D9D9"/>
          <w:lang w:eastAsia="en-US"/>
        </w:rPr>
        <w:t>3000 RÜ</w:t>
      </w:r>
    </w:p>
    <w:p w14:paraId="69471FD6" w14:textId="77777777" w:rsidR="008334C8" w:rsidRDefault="008334C8" w:rsidP="008334C8">
      <w:pPr>
        <w:spacing w:line="240" w:lineRule="auto"/>
        <w:ind w:right="113"/>
        <w:rPr>
          <w:szCs w:val="22"/>
        </w:rPr>
      </w:pPr>
    </w:p>
    <w:p w14:paraId="689D4B20" w14:textId="77777777" w:rsidR="008334C8" w:rsidRDefault="008334C8" w:rsidP="008334C8">
      <w:pPr>
        <w:spacing w:line="240" w:lineRule="auto"/>
        <w:ind w:right="113"/>
        <w:rPr>
          <w:szCs w:val="22"/>
        </w:rPr>
      </w:pPr>
    </w:p>
    <w:p w14:paraId="75580A86" w14:textId="77777777" w:rsidR="008334C8" w:rsidRDefault="008334C8" w:rsidP="008334C8">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MUU</w:t>
      </w:r>
    </w:p>
    <w:p w14:paraId="4D98B934" w14:textId="77777777" w:rsidR="008334C8" w:rsidRDefault="008334C8" w:rsidP="008334C8">
      <w:pPr>
        <w:spacing w:line="240" w:lineRule="auto"/>
        <w:ind w:right="113"/>
        <w:rPr>
          <w:szCs w:val="22"/>
        </w:rPr>
      </w:pPr>
    </w:p>
    <w:p w14:paraId="7705E9E9" w14:textId="77777777" w:rsidR="008334C8" w:rsidRDefault="008334C8" w:rsidP="008334C8">
      <w:pPr>
        <w:spacing w:line="240" w:lineRule="auto"/>
        <w:ind w:right="113"/>
        <w:rPr>
          <w:b/>
          <w:szCs w:val="22"/>
        </w:rPr>
      </w:pPr>
      <w:r>
        <w:rPr>
          <w:b/>
        </w:rPr>
        <w:br w:type="page"/>
      </w:r>
    </w:p>
    <w:p w14:paraId="3172C70D" w14:textId="77777777" w:rsidR="00A27A6F" w:rsidRDefault="002C0949">
      <w:pPr>
        <w:pBdr>
          <w:top w:val="single" w:sz="4" w:space="1" w:color="auto"/>
          <w:left w:val="single" w:sz="4" w:space="4" w:color="auto"/>
          <w:bottom w:val="single" w:sz="4" w:space="1" w:color="auto"/>
          <w:right w:val="single" w:sz="4" w:space="4" w:color="auto"/>
        </w:pBdr>
        <w:spacing w:line="240" w:lineRule="auto"/>
        <w:rPr>
          <w:b/>
          <w:szCs w:val="22"/>
        </w:rPr>
      </w:pPr>
      <w:r>
        <w:rPr>
          <w:b/>
          <w:szCs w:val="22"/>
        </w:rPr>
        <w:lastRenderedPageBreak/>
        <w:t>MINIMAALSED ANDMED, MIS PEAVAD OLEMA VÄIKESEL VAHETUL SISEPAKENDIL</w:t>
      </w:r>
    </w:p>
    <w:p w14:paraId="1B4B05BB" w14:textId="77777777" w:rsidR="00A27A6F" w:rsidRDefault="00A27A6F">
      <w:pPr>
        <w:pBdr>
          <w:top w:val="single" w:sz="4" w:space="1" w:color="auto"/>
          <w:left w:val="single" w:sz="4" w:space="4" w:color="auto"/>
          <w:bottom w:val="single" w:sz="4" w:space="1" w:color="auto"/>
          <w:right w:val="single" w:sz="4" w:space="4" w:color="auto"/>
        </w:pBdr>
        <w:spacing w:line="240" w:lineRule="auto"/>
        <w:rPr>
          <w:b/>
          <w:szCs w:val="22"/>
        </w:rPr>
      </w:pPr>
    </w:p>
    <w:p w14:paraId="28279FC4" w14:textId="77777777" w:rsidR="00A27A6F" w:rsidRDefault="002C0949">
      <w:pPr>
        <w:pBdr>
          <w:top w:val="single" w:sz="4" w:space="1" w:color="auto"/>
          <w:left w:val="single" w:sz="4" w:space="4" w:color="auto"/>
          <w:bottom w:val="single" w:sz="4" w:space="1" w:color="auto"/>
          <w:right w:val="single" w:sz="4" w:space="4" w:color="auto"/>
        </w:pBdr>
        <w:spacing w:line="240" w:lineRule="auto"/>
        <w:rPr>
          <w:b/>
          <w:szCs w:val="22"/>
        </w:rPr>
      </w:pPr>
      <w:r>
        <w:rPr>
          <w:b/>
          <w:szCs w:val="22"/>
        </w:rPr>
        <w:t>SÜSTLI SILT</w:t>
      </w:r>
    </w:p>
    <w:p w14:paraId="1328EAF6" w14:textId="77777777" w:rsidR="00A27A6F" w:rsidRDefault="00A27A6F">
      <w:pPr>
        <w:spacing w:line="240" w:lineRule="auto"/>
        <w:rPr>
          <w:szCs w:val="22"/>
        </w:rPr>
      </w:pPr>
    </w:p>
    <w:p w14:paraId="23CAA128" w14:textId="77777777" w:rsidR="00A27A6F" w:rsidRDefault="00A27A6F">
      <w:pPr>
        <w:spacing w:line="240" w:lineRule="auto"/>
        <w:rPr>
          <w:szCs w:val="22"/>
        </w:rPr>
      </w:pPr>
    </w:p>
    <w:p w14:paraId="2F954171"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1.</w:t>
      </w:r>
      <w:r>
        <w:rPr>
          <w:b/>
          <w:szCs w:val="22"/>
        </w:rPr>
        <w:tab/>
        <w:t>RAVIMPREPARAADI NIMETUS JA MANUSTAMISTEE(D)</w:t>
      </w:r>
    </w:p>
    <w:p w14:paraId="0BFC5196" w14:textId="77777777" w:rsidR="00A27A6F" w:rsidRDefault="00A27A6F">
      <w:pPr>
        <w:spacing w:line="240" w:lineRule="auto"/>
        <w:ind w:left="567" w:hanging="567"/>
        <w:rPr>
          <w:szCs w:val="22"/>
        </w:rPr>
      </w:pPr>
    </w:p>
    <w:p w14:paraId="69D2B08C" w14:textId="77777777" w:rsidR="00A27A6F" w:rsidRDefault="002C0949">
      <w:pPr>
        <w:spacing w:line="240" w:lineRule="auto"/>
        <w:rPr>
          <w:szCs w:val="22"/>
        </w:rPr>
      </w:pPr>
      <w:r>
        <w:rPr>
          <w:szCs w:val="22"/>
        </w:rPr>
        <w:t>ALPROLIX lahusti</w:t>
      </w:r>
    </w:p>
    <w:p w14:paraId="52CBC885" w14:textId="77777777" w:rsidR="00A27A6F" w:rsidRDefault="002C0949">
      <w:pPr>
        <w:spacing w:line="240" w:lineRule="auto"/>
        <w:rPr>
          <w:szCs w:val="22"/>
        </w:rPr>
      </w:pPr>
      <w:r>
        <w:rPr>
          <w:szCs w:val="22"/>
        </w:rPr>
        <w:t>naatriumkloriid</w:t>
      </w:r>
    </w:p>
    <w:p w14:paraId="6ED8721A" w14:textId="77777777" w:rsidR="00A27A6F" w:rsidRDefault="002C0949">
      <w:pPr>
        <w:spacing w:line="240" w:lineRule="auto"/>
        <w:rPr>
          <w:szCs w:val="22"/>
        </w:rPr>
      </w:pPr>
      <w:r>
        <w:rPr>
          <w:szCs w:val="22"/>
        </w:rPr>
        <w:t>süstevesi</w:t>
      </w:r>
    </w:p>
    <w:p w14:paraId="009E3CD8" w14:textId="77777777" w:rsidR="00A27A6F" w:rsidRDefault="00A27A6F">
      <w:pPr>
        <w:spacing w:line="240" w:lineRule="auto"/>
        <w:rPr>
          <w:szCs w:val="22"/>
        </w:rPr>
      </w:pPr>
    </w:p>
    <w:p w14:paraId="5190E570" w14:textId="77777777" w:rsidR="00A27A6F" w:rsidRDefault="00A27A6F">
      <w:pPr>
        <w:spacing w:line="240" w:lineRule="auto"/>
        <w:rPr>
          <w:szCs w:val="22"/>
        </w:rPr>
      </w:pPr>
    </w:p>
    <w:p w14:paraId="3EBED1A8"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2.</w:t>
      </w:r>
      <w:r>
        <w:rPr>
          <w:b/>
          <w:szCs w:val="22"/>
        </w:rPr>
        <w:tab/>
        <w:t>MANUSTAMISVIIS</w:t>
      </w:r>
    </w:p>
    <w:p w14:paraId="397DE26A" w14:textId="77777777" w:rsidR="00A27A6F" w:rsidRDefault="00A27A6F">
      <w:pPr>
        <w:spacing w:line="240" w:lineRule="auto"/>
        <w:rPr>
          <w:szCs w:val="22"/>
        </w:rPr>
      </w:pPr>
    </w:p>
    <w:p w14:paraId="2D63C1D1" w14:textId="77777777" w:rsidR="00A27A6F" w:rsidRDefault="00A27A6F">
      <w:pPr>
        <w:spacing w:line="240" w:lineRule="auto"/>
        <w:rPr>
          <w:szCs w:val="22"/>
        </w:rPr>
      </w:pPr>
    </w:p>
    <w:p w14:paraId="670F4970"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3.</w:t>
      </w:r>
      <w:r>
        <w:rPr>
          <w:b/>
          <w:szCs w:val="22"/>
        </w:rPr>
        <w:tab/>
        <w:t>KÕLBLIKKUSAEG</w:t>
      </w:r>
    </w:p>
    <w:p w14:paraId="508137B6" w14:textId="77777777" w:rsidR="00A27A6F" w:rsidRDefault="00A27A6F">
      <w:pPr>
        <w:spacing w:line="240" w:lineRule="auto"/>
      </w:pPr>
    </w:p>
    <w:p w14:paraId="08431BC9" w14:textId="77777777" w:rsidR="00A27A6F" w:rsidRDefault="002C0949">
      <w:pPr>
        <w:spacing w:line="240" w:lineRule="auto"/>
      </w:pPr>
      <w:r>
        <w:t>EXP</w:t>
      </w:r>
    </w:p>
    <w:p w14:paraId="118D9942" w14:textId="77777777" w:rsidR="00A27A6F" w:rsidRDefault="00A27A6F">
      <w:pPr>
        <w:spacing w:line="240" w:lineRule="auto"/>
      </w:pPr>
    </w:p>
    <w:p w14:paraId="003D250A" w14:textId="77777777" w:rsidR="00A27A6F" w:rsidRDefault="00A27A6F">
      <w:pPr>
        <w:spacing w:line="240" w:lineRule="auto"/>
      </w:pPr>
    </w:p>
    <w:p w14:paraId="44C29C9E"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4.</w:t>
      </w:r>
      <w:r>
        <w:rPr>
          <w:b/>
          <w:szCs w:val="22"/>
        </w:rPr>
        <w:tab/>
        <w:t>PARTII NUMBER</w:t>
      </w:r>
    </w:p>
    <w:p w14:paraId="78FF24C6" w14:textId="77777777" w:rsidR="00A27A6F" w:rsidRDefault="00A27A6F">
      <w:pPr>
        <w:spacing w:line="240" w:lineRule="auto"/>
        <w:ind w:right="113"/>
      </w:pPr>
    </w:p>
    <w:p w14:paraId="6F32C42D" w14:textId="77777777" w:rsidR="00A27A6F" w:rsidRDefault="002C0949">
      <w:pPr>
        <w:spacing w:line="240" w:lineRule="auto"/>
        <w:ind w:right="113"/>
      </w:pPr>
      <w:r>
        <w:t>Lot</w:t>
      </w:r>
    </w:p>
    <w:p w14:paraId="099CE31E" w14:textId="77777777" w:rsidR="00A27A6F" w:rsidRDefault="00A27A6F">
      <w:pPr>
        <w:spacing w:line="240" w:lineRule="auto"/>
        <w:ind w:right="113"/>
      </w:pPr>
    </w:p>
    <w:p w14:paraId="62C1B79C" w14:textId="77777777" w:rsidR="00A27A6F" w:rsidRDefault="00A27A6F">
      <w:pPr>
        <w:spacing w:line="240" w:lineRule="auto"/>
        <w:ind w:right="113"/>
      </w:pPr>
    </w:p>
    <w:p w14:paraId="3CADC0FA"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5.</w:t>
      </w:r>
      <w:r>
        <w:rPr>
          <w:b/>
          <w:szCs w:val="22"/>
        </w:rPr>
        <w:tab/>
        <w:t>PAKENDI SISU KAALU, MAHU VÕI ÜHIKUTE JÄRGI</w:t>
      </w:r>
    </w:p>
    <w:p w14:paraId="70D10079" w14:textId="77777777" w:rsidR="00A27A6F" w:rsidRDefault="00A27A6F">
      <w:pPr>
        <w:spacing w:line="240" w:lineRule="auto"/>
        <w:ind w:right="113"/>
        <w:rPr>
          <w:szCs w:val="22"/>
        </w:rPr>
      </w:pPr>
    </w:p>
    <w:p w14:paraId="1D0C1101" w14:textId="77777777" w:rsidR="00A27A6F" w:rsidRDefault="002C0949">
      <w:pPr>
        <w:spacing w:line="240" w:lineRule="auto"/>
        <w:ind w:right="113"/>
        <w:rPr>
          <w:szCs w:val="22"/>
        </w:rPr>
      </w:pPr>
      <w:r>
        <w:rPr>
          <w:szCs w:val="22"/>
        </w:rPr>
        <w:t>5 ml</w:t>
      </w:r>
    </w:p>
    <w:p w14:paraId="72F50E54" w14:textId="77777777" w:rsidR="00A27A6F" w:rsidRDefault="00A27A6F">
      <w:pPr>
        <w:spacing w:line="240" w:lineRule="auto"/>
        <w:ind w:right="113"/>
        <w:rPr>
          <w:szCs w:val="22"/>
        </w:rPr>
      </w:pPr>
    </w:p>
    <w:p w14:paraId="3E33AAD8" w14:textId="77777777" w:rsidR="00A27A6F" w:rsidRDefault="00A27A6F">
      <w:pPr>
        <w:spacing w:line="240" w:lineRule="auto"/>
        <w:ind w:right="113"/>
        <w:rPr>
          <w:szCs w:val="22"/>
        </w:rPr>
      </w:pPr>
    </w:p>
    <w:p w14:paraId="5F2E03E6" w14:textId="77777777" w:rsidR="00A27A6F" w:rsidRDefault="002C0949">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Pr>
          <w:b/>
          <w:szCs w:val="22"/>
        </w:rPr>
        <w:t>6.</w:t>
      </w:r>
      <w:r>
        <w:rPr>
          <w:b/>
          <w:szCs w:val="22"/>
        </w:rPr>
        <w:tab/>
        <w:t>MUU</w:t>
      </w:r>
    </w:p>
    <w:p w14:paraId="035869D2" w14:textId="77777777" w:rsidR="00A27A6F" w:rsidRDefault="00A27A6F">
      <w:pPr>
        <w:spacing w:line="240" w:lineRule="auto"/>
        <w:ind w:right="113"/>
        <w:rPr>
          <w:szCs w:val="22"/>
        </w:rPr>
      </w:pPr>
    </w:p>
    <w:p w14:paraId="71E059E7" w14:textId="77777777" w:rsidR="00A27A6F" w:rsidRDefault="00A27A6F">
      <w:pPr>
        <w:spacing w:line="240" w:lineRule="auto"/>
        <w:ind w:right="113"/>
        <w:rPr>
          <w:szCs w:val="22"/>
        </w:rPr>
      </w:pPr>
    </w:p>
    <w:p w14:paraId="46E5F119" w14:textId="77777777" w:rsidR="00A27A6F" w:rsidRDefault="002C0949">
      <w:pPr>
        <w:spacing w:line="240" w:lineRule="auto"/>
        <w:rPr>
          <w:b/>
          <w:szCs w:val="22"/>
        </w:rPr>
      </w:pPr>
      <w:r>
        <w:rPr>
          <w:szCs w:val="22"/>
        </w:rPr>
        <w:br w:type="page"/>
      </w:r>
    </w:p>
    <w:p w14:paraId="7E5F216C" w14:textId="77777777" w:rsidR="00A27A6F" w:rsidRDefault="00A27A6F">
      <w:pPr>
        <w:spacing w:line="240" w:lineRule="auto"/>
        <w:rPr>
          <w:szCs w:val="22"/>
          <w:lang w:eastAsia="en-US"/>
        </w:rPr>
      </w:pPr>
    </w:p>
    <w:p w14:paraId="2292282B" w14:textId="77777777" w:rsidR="00A27A6F" w:rsidRDefault="00A27A6F">
      <w:pPr>
        <w:spacing w:line="240" w:lineRule="auto"/>
        <w:rPr>
          <w:szCs w:val="22"/>
          <w:lang w:eastAsia="en-US"/>
        </w:rPr>
      </w:pPr>
    </w:p>
    <w:p w14:paraId="5C1BBDE1" w14:textId="77777777" w:rsidR="00A27A6F" w:rsidRDefault="00A27A6F">
      <w:pPr>
        <w:spacing w:line="240" w:lineRule="auto"/>
        <w:rPr>
          <w:szCs w:val="22"/>
          <w:lang w:eastAsia="en-US"/>
        </w:rPr>
      </w:pPr>
    </w:p>
    <w:p w14:paraId="2F504CC9" w14:textId="77777777" w:rsidR="00A27A6F" w:rsidRDefault="00A27A6F">
      <w:pPr>
        <w:spacing w:line="240" w:lineRule="auto"/>
        <w:rPr>
          <w:szCs w:val="22"/>
          <w:lang w:eastAsia="en-US"/>
        </w:rPr>
      </w:pPr>
    </w:p>
    <w:p w14:paraId="369E9203" w14:textId="77777777" w:rsidR="00A27A6F" w:rsidRDefault="00A27A6F">
      <w:pPr>
        <w:spacing w:line="240" w:lineRule="auto"/>
        <w:rPr>
          <w:szCs w:val="22"/>
          <w:lang w:eastAsia="en-US"/>
        </w:rPr>
      </w:pPr>
    </w:p>
    <w:p w14:paraId="7C545281" w14:textId="77777777" w:rsidR="00A27A6F" w:rsidRDefault="00A27A6F">
      <w:pPr>
        <w:spacing w:line="240" w:lineRule="auto"/>
        <w:rPr>
          <w:szCs w:val="22"/>
          <w:lang w:eastAsia="en-US"/>
        </w:rPr>
      </w:pPr>
    </w:p>
    <w:p w14:paraId="49EE21C3" w14:textId="77777777" w:rsidR="00A27A6F" w:rsidRDefault="00A27A6F">
      <w:pPr>
        <w:spacing w:line="240" w:lineRule="auto"/>
        <w:rPr>
          <w:szCs w:val="22"/>
          <w:lang w:eastAsia="en-US"/>
        </w:rPr>
      </w:pPr>
    </w:p>
    <w:p w14:paraId="4F921C44" w14:textId="77777777" w:rsidR="00A27A6F" w:rsidRDefault="00A27A6F">
      <w:pPr>
        <w:spacing w:line="240" w:lineRule="auto"/>
        <w:rPr>
          <w:szCs w:val="22"/>
          <w:lang w:eastAsia="en-US"/>
        </w:rPr>
      </w:pPr>
    </w:p>
    <w:p w14:paraId="33534228" w14:textId="77777777" w:rsidR="00A27A6F" w:rsidRDefault="00A27A6F">
      <w:pPr>
        <w:spacing w:line="240" w:lineRule="auto"/>
        <w:rPr>
          <w:szCs w:val="22"/>
          <w:lang w:eastAsia="en-US"/>
        </w:rPr>
      </w:pPr>
    </w:p>
    <w:p w14:paraId="1C1DD020" w14:textId="77777777" w:rsidR="00A27A6F" w:rsidRDefault="00A27A6F">
      <w:pPr>
        <w:spacing w:line="240" w:lineRule="auto"/>
        <w:rPr>
          <w:szCs w:val="22"/>
          <w:lang w:eastAsia="en-US"/>
        </w:rPr>
      </w:pPr>
    </w:p>
    <w:p w14:paraId="3EC61C10" w14:textId="77777777" w:rsidR="00A27A6F" w:rsidRDefault="00A27A6F">
      <w:pPr>
        <w:spacing w:line="240" w:lineRule="auto"/>
        <w:rPr>
          <w:szCs w:val="22"/>
          <w:lang w:eastAsia="en-US"/>
        </w:rPr>
      </w:pPr>
    </w:p>
    <w:p w14:paraId="512F73BE" w14:textId="77777777" w:rsidR="00A27A6F" w:rsidRDefault="00A27A6F">
      <w:pPr>
        <w:spacing w:line="240" w:lineRule="auto"/>
        <w:rPr>
          <w:szCs w:val="22"/>
          <w:lang w:eastAsia="en-US"/>
        </w:rPr>
      </w:pPr>
    </w:p>
    <w:p w14:paraId="24782960" w14:textId="77777777" w:rsidR="00A27A6F" w:rsidRDefault="00A27A6F">
      <w:pPr>
        <w:spacing w:line="240" w:lineRule="auto"/>
        <w:rPr>
          <w:szCs w:val="22"/>
          <w:lang w:eastAsia="en-US"/>
        </w:rPr>
      </w:pPr>
    </w:p>
    <w:p w14:paraId="30D80A30" w14:textId="77777777" w:rsidR="00A27A6F" w:rsidRDefault="00A27A6F">
      <w:pPr>
        <w:spacing w:line="240" w:lineRule="auto"/>
        <w:rPr>
          <w:szCs w:val="22"/>
          <w:lang w:eastAsia="en-US"/>
        </w:rPr>
      </w:pPr>
    </w:p>
    <w:p w14:paraId="6B0BA3C2" w14:textId="77777777" w:rsidR="00A27A6F" w:rsidRDefault="00A27A6F">
      <w:pPr>
        <w:spacing w:line="240" w:lineRule="auto"/>
        <w:rPr>
          <w:szCs w:val="22"/>
          <w:lang w:eastAsia="en-US"/>
        </w:rPr>
      </w:pPr>
    </w:p>
    <w:p w14:paraId="38963EE4" w14:textId="77777777" w:rsidR="00A27A6F" w:rsidRDefault="00A27A6F">
      <w:pPr>
        <w:spacing w:line="240" w:lineRule="auto"/>
        <w:rPr>
          <w:szCs w:val="22"/>
          <w:lang w:eastAsia="en-US"/>
        </w:rPr>
      </w:pPr>
    </w:p>
    <w:p w14:paraId="76F77C94" w14:textId="77777777" w:rsidR="00A27A6F" w:rsidRDefault="00A27A6F">
      <w:pPr>
        <w:spacing w:line="240" w:lineRule="auto"/>
        <w:rPr>
          <w:szCs w:val="22"/>
          <w:lang w:eastAsia="en-US"/>
        </w:rPr>
      </w:pPr>
    </w:p>
    <w:p w14:paraId="0F732C1C" w14:textId="77777777" w:rsidR="00A27A6F" w:rsidRDefault="00A27A6F">
      <w:pPr>
        <w:spacing w:line="240" w:lineRule="auto"/>
        <w:rPr>
          <w:szCs w:val="22"/>
          <w:lang w:eastAsia="en-US"/>
        </w:rPr>
      </w:pPr>
    </w:p>
    <w:p w14:paraId="506FE8D7" w14:textId="77777777" w:rsidR="00A27A6F" w:rsidRDefault="00A27A6F">
      <w:pPr>
        <w:spacing w:line="240" w:lineRule="auto"/>
        <w:rPr>
          <w:szCs w:val="22"/>
          <w:lang w:eastAsia="en-US"/>
        </w:rPr>
      </w:pPr>
    </w:p>
    <w:p w14:paraId="7044628F" w14:textId="77777777" w:rsidR="00A27A6F" w:rsidRDefault="00A27A6F">
      <w:pPr>
        <w:spacing w:line="240" w:lineRule="auto"/>
        <w:rPr>
          <w:szCs w:val="22"/>
          <w:lang w:eastAsia="en-US"/>
        </w:rPr>
      </w:pPr>
    </w:p>
    <w:p w14:paraId="0A85FBB8" w14:textId="77777777" w:rsidR="00A27A6F" w:rsidRDefault="00A27A6F">
      <w:pPr>
        <w:spacing w:line="240" w:lineRule="auto"/>
        <w:rPr>
          <w:szCs w:val="22"/>
          <w:lang w:eastAsia="en-US"/>
        </w:rPr>
      </w:pPr>
    </w:p>
    <w:p w14:paraId="51166762" w14:textId="77777777" w:rsidR="00A27A6F" w:rsidRDefault="00A27A6F">
      <w:pPr>
        <w:spacing w:line="240" w:lineRule="auto"/>
        <w:rPr>
          <w:szCs w:val="22"/>
          <w:lang w:eastAsia="en-US"/>
        </w:rPr>
      </w:pPr>
    </w:p>
    <w:p w14:paraId="6388F483" w14:textId="77777777" w:rsidR="00A27A6F" w:rsidRDefault="00A27A6F">
      <w:pPr>
        <w:spacing w:line="240" w:lineRule="auto"/>
        <w:rPr>
          <w:szCs w:val="22"/>
          <w:lang w:eastAsia="en-US"/>
        </w:rPr>
      </w:pPr>
    </w:p>
    <w:p w14:paraId="18194499" w14:textId="77777777" w:rsidR="00A27A6F" w:rsidRDefault="002C0949">
      <w:pPr>
        <w:pStyle w:val="TitleA"/>
        <w:outlineLvl w:val="0"/>
        <w:rPr>
          <w:lang w:val="et-EE"/>
        </w:rPr>
      </w:pPr>
      <w:r>
        <w:rPr>
          <w:lang w:val="et-EE"/>
        </w:rPr>
        <w:t>B. PAKENDI INFOLEHT</w:t>
      </w:r>
    </w:p>
    <w:p w14:paraId="1C69507D" w14:textId="77777777" w:rsidR="00A27A6F" w:rsidRDefault="002C0949">
      <w:pPr>
        <w:spacing w:line="240" w:lineRule="auto"/>
        <w:jc w:val="center"/>
        <w:rPr>
          <w:rFonts w:eastAsia="Calibri"/>
          <w:b/>
        </w:rPr>
      </w:pPr>
      <w:r>
        <w:rPr>
          <w:b/>
        </w:rPr>
        <w:br w:type="page"/>
      </w:r>
      <w:r>
        <w:rPr>
          <w:rFonts w:eastAsia="Calibri"/>
          <w:b/>
        </w:rPr>
        <w:lastRenderedPageBreak/>
        <w:t>Pakendi infoleht: teave kasutajale</w:t>
      </w:r>
    </w:p>
    <w:p w14:paraId="0F419A03" w14:textId="77777777" w:rsidR="00A27A6F" w:rsidRDefault="00A27A6F">
      <w:pPr>
        <w:spacing w:line="240" w:lineRule="auto"/>
        <w:jc w:val="center"/>
        <w:outlineLvl w:val="0"/>
        <w:rPr>
          <w:b/>
        </w:rPr>
      </w:pPr>
    </w:p>
    <w:p w14:paraId="62BE2D52" w14:textId="77777777" w:rsidR="00A27A6F" w:rsidRDefault="002C0949">
      <w:pPr>
        <w:spacing w:line="240" w:lineRule="auto"/>
        <w:jc w:val="center"/>
        <w:rPr>
          <w:rFonts w:eastAsia="Calibri"/>
          <w:b/>
        </w:rPr>
      </w:pPr>
      <w:r>
        <w:rPr>
          <w:rFonts w:eastAsia="Calibri"/>
          <w:b/>
        </w:rPr>
        <w:t>ALPROLIX 250 RÜ süstelahuse pulber ja lahusti</w:t>
      </w:r>
    </w:p>
    <w:p w14:paraId="34DD8086" w14:textId="77777777" w:rsidR="00A27A6F" w:rsidRDefault="002C0949">
      <w:pPr>
        <w:spacing w:line="240" w:lineRule="auto"/>
        <w:jc w:val="center"/>
        <w:rPr>
          <w:rFonts w:eastAsia="Calibri"/>
          <w:b/>
        </w:rPr>
      </w:pPr>
      <w:r>
        <w:rPr>
          <w:rFonts w:eastAsia="Calibri"/>
          <w:b/>
        </w:rPr>
        <w:t>ALPROLIX 500 RÜ süstelahuse pulber ja lahusti</w:t>
      </w:r>
    </w:p>
    <w:p w14:paraId="30987770" w14:textId="77777777" w:rsidR="00A27A6F" w:rsidRDefault="002C0949">
      <w:pPr>
        <w:spacing w:line="240" w:lineRule="auto"/>
        <w:jc w:val="center"/>
        <w:rPr>
          <w:rFonts w:eastAsia="Calibri"/>
          <w:b/>
        </w:rPr>
      </w:pPr>
      <w:r>
        <w:rPr>
          <w:rFonts w:eastAsia="Calibri"/>
          <w:b/>
        </w:rPr>
        <w:t>ALPROLIX 1000 RÜ süstelahuse pulber ja lahusti</w:t>
      </w:r>
    </w:p>
    <w:p w14:paraId="642AC699" w14:textId="77777777" w:rsidR="00A27A6F" w:rsidRDefault="002C0949">
      <w:pPr>
        <w:spacing w:line="240" w:lineRule="auto"/>
        <w:jc w:val="center"/>
        <w:rPr>
          <w:rFonts w:eastAsia="Calibri"/>
          <w:b/>
        </w:rPr>
      </w:pPr>
      <w:r>
        <w:rPr>
          <w:rFonts w:eastAsia="Calibri"/>
          <w:b/>
        </w:rPr>
        <w:t>ALPROLIX 2000 RÜ süstelahuse pulber ja lahusti</w:t>
      </w:r>
    </w:p>
    <w:p w14:paraId="5811BD4A" w14:textId="77777777" w:rsidR="00A27A6F" w:rsidRDefault="002C0949">
      <w:pPr>
        <w:spacing w:line="240" w:lineRule="auto"/>
        <w:jc w:val="center"/>
        <w:rPr>
          <w:rFonts w:eastAsia="Calibri"/>
          <w:b/>
        </w:rPr>
      </w:pPr>
      <w:r>
        <w:rPr>
          <w:rFonts w:eastAsia="Calibri"/>
          <w:b/>
        </w:rPr>
        <w:t>ALPROLIX 3000 RÜ süstelahuse pulber ja lahusti</w:t>
      </w:r>
    </w:p>
    <w:p w14:paraId="3B979454" w14:textId="77777777" w:rsidR="00A27A6F" w:rsidRDefault="00A27A6F">
      <w:pPr>
        <w:spacing w:line="240" w:lineRule="auto"/>
        <w:jc w:val="center"/>
        <w:rPr>
          <w:rFonts w:eastAsia="Calibri"/>
          <w:b/>
        </w:rPr>
      </w:pPr>
    </w:p>
    <w:p w14:paraId="41222931" w14:textId="5F6FCC27" w:rsidR="00A27A6F" w:rsidRDefault="002C0949">
      <w:pPr>
        <w:spacing w:line="240" w:lineRule="auto"/>
        <w:jc w:val="center"/>
        <w:rPr>
          <w:rFonts w:eastAsia="Calibri"/>
        </w:rPr>
      </w:pPr>
      <w:r>
        <w:rPr>
          <w:rFonts w:eastAsia="Calibri"/>
        </w:rPr>
        <w:t>alfaeftrenonakog (</w:t>
      </w:r>
      <w:r>
        <w:rPr>
          <w:i/>
          <w:szCs w:val="22"/>
        </w:rPr>
        <w:t>eftrenonacogum alfa</w:t>
      </w:r>
      <w:r>
        <w:rPr>
          <w:szCs w:val="22"/>
        </w:rPr>
        <w:t xml:space="preserve">) </w:t>
      </w:r>
      <w:r w:rsidR="00570306">
        <w:rPr>
          <w:szCs w:val="22"/>
        </w:rPr>
        <w:t>(</w:t>
      </w:r>
      <w:r>
        <w:rPr>
          <w:rFonts w:eastAsia="Calibri"/>
        </w:rPr>
        <w:t>rekombinantne IX hüübimisfaktor, Fc fusioonvalk</w:t>
      </w:r>
      <w:r w:rsidR="00570306">
        <w:rPr>
          <w:rFonts w:eastAsia="Calibri"/>
        </w:rPr>
        <w:t>)</w:t>
      </w:r>
    </w:p>
    <w:p w14:paraId="56930C00" w14:textId="77777777" w:rsidR="00A27A6F" w:rsidRDefault="00A27A6F">
      <w:pPr>
        <w:spacing w:line="240" w:lineRule="auto"/>
        <w:jc w:val="center"/>
        <w:rPr>
          <w:rFonts w:eastAsia="Calibri"/>
        </w:rPr>
      </w:pPr>
    </w:p>
    <w:p w14:paraId="75945002" w14:textId="77777777" w:rsidR="00A27A6F" w:rsidRDefault="002C0949">
      <w:pPr>
        <w:spacing w:line="240" w:lineRule="auto"/>
        <w:rPr>
          <w:b/>
        </w:rPr>
      </w:pPr>
      <w:r>
        <w:rPr>
          <w:b/>
        </w:rPr>
        <w:t>Enne ravimi kasutamist lugege hoolikalt infolehte, sest siin on teile vajalikku teavet.</w:t>
      </w:r>
    </w:p>
    <w:p w14:paraId="55CE5031" w14:textId="77777777" w:rsidR="00A27A6F" w:rsidRDefault="002C0949">
      <w:pPr>
        <w:pStyle w:val="ListParagraph"/>
        <w:numPr>
          <w:ilvl w:val="0"/>
          <w:numId w:val="84"/>
        </w:numPr>
        <w:ind w:left="567" w:hanging="567"/>
        <w:rPr>
          <w:sz w:val="22"/>
          <w:szCs w:val="22"/>
        </w:rPr>
      </w:pPr>
      <w:r>
        <w:rPr>
          <w:sz w:val="22"/>
          <w:szCs w:val="22"/>
        </w:rPr>
        <w:t>Hoidke infoleht alles, et seda vajadusel uuesti lugeda.</w:t>
      </w:r>
    </w:p>
    <w:p w14:paraId="66E73E31" w14:textId="77777777" w:rsidR="00A27A6F" w:rsidRDefault="002C0949">
      <w:pPr>
        <w:pStyle w:val="ListParagraph"/>
        <w:numPr>
          <w:ilvl w:val="0"/>
          <w:numId w:val="84"/>
        </w:numPr>
        <w:ind w:left="567" w:hanging="567"/>
        <w:rPr>
          <w:sz w:val="22"/>
          <w:szCs w:val="22"/>
        </w:rPr>
      </w:pPr>
      <w:r>
        <w:rPr>
          <w:sz w:val="22"/>
          <w:szCs w:val="22"/>
        </w:rPr>
        <w:t>Kui teil on lisaküsimusi, pidage nõu oma arsti, apteekri või meditsiiniõega.</w:t>
      </w:r>
    </w:p>
    <w:p w14:paraId="5049C833" w14:textId="77777777" w:rsidR="00A27A6F" w:rsidRDefault="002C0949">
      <w:pPr>
        <w:pStyle w:val="ListParagraph"/>
        <w:numPr>
          <w:ilvl w:val="0"/>
          <w:numId w:val="84"/>
        </w:numPr>
        <w:ind w:left="567" w:hanging="567"/>
        <w:rPr>
          <w:sz w:val="22"/>
          <w:szCs w:val="22"/>
        </w:rPr>
      </w:pPr>
      <w:r>
        <w:rPr>
          <w:sz w:val="22"/>
          <w:szCs w:val="22"/>
        </w:rPr>
        <w:t>Ravim on välja kirjutatud üksnes teile. Ärge andke seda kellelegi teisele. Ravim võib olla neile kahjulik, isegi kui haigusnähud on sarnased.</w:t>
      </w:r>
    </w:p>
    <w:p w14:paraId="399223AB" w14:textId="77777777" w:rsidR="00A27A6F" w:rsidRDefault="002C0949">
      <w:pPr>
        <w:pStyle w:val="ListParagraph"/>
        <w:numPr>
          <w:ilvl w:val="0"/>
          <w:numId w:val="84"/>
        </w:numPr>
        <w:ind w:left="567" w:hanging="567"/>
        <w:rPr>
          <w:sz w:val="22"/>
          <w:szCs w:val="22"/>
        </w:rPr>
      </w:pPr>
      <w:r>
        <w:rPr>
          <w:sz w:val="22"/>
          <w:szCs w:val="22"/>
        </w:rPr>
        <w:t>Kui teil tekib ükskõik milline kõrvaltoime, pidage nõu oma arsti, apteekri või meditsiiniõega. Kõrvaltoime võib olla ka selline, mida selles infolehes ei ole nimetatud. Vt lõik 4.</w:t>
      </w:r>
    </w:p>
    <w:p w14:paraId="366F3A7A" w14:textId="77777777" w:rsidR="00A27A6F" w:rsidRDefault="00A27A6F">
      <w:pPr>
        <w:spacing w:line="240" w:lineRule="auto"/>
        <w:rPr>
          <w:b/>
          <w:szCs w:val="22"/>
        </w:rPr>
      </w:pPr>
    </w:p>
    <w:p w14:paraId="64232E9D" w14:textId="77777777" w:rsidR="00A27A6F" w:rsidRDefault="002C0949">
      <w:pPr>
        <w:spacing w:line="240" w:lineRule="auto"/>
        <w:rPr>
          <w:b/>
          <w:szCs w:val="22"/>
        </w:rPr>
      </w:pPr>
      <w:r>
        <w:rPr>
          <w:b/>
          <w:szCs w:val="22"/>
        </w:rPr>
        <w:t>Infolehe sisukord</w:t>
      </w:r>
    </w:p>
    <w:p w14:paraId="34C02423" w14:textId="77777777" w:rsidR="00A27A6F" w:rsidRDefault="00A27A6F">
      <w:pPr>
        <w:spacing w:line="240" w:lineRule="auto"/>
        <w:rPr>
          <w:b/>
          <w:szCs w:val="22"/>
        </w:rPr>
      </w:pPr>
    </w:p>
    <w:p w14:paraId="4A372A28" w14:textId="77777777" w:rsidR="00A27A6F" w:rsidRDefault="002C0949">
      <w:pPr>
        <w:spacing w:line="240" w:lineRule="auto"/>
        <w:rPr>
          <w:szCs w:val="22"/>
        </w:rPr>
      </w:pPr>
      <w:r>
        <w:rPr>
          <w:szCs w:val="22"/>
        </w:rPr>
        <w:t>1.</w:t>
      </w:r>
      <w:r>
        <w:rPr>
          <w:szCs w:val="22"/>
        </w:rPr>
        <w:tab/>
        <w:t>Mis ravim on ALPROLIX ja milleks seda kasutatakse</w:t>
      </w:r>
    </w:p>
    <w:p w14:paraId="41591965" w14:textId="77777777" w:rsidR="00A27A6F" w:rsidRDefault="002C0949">
      <w:pPr>
        <w:spacing w:line="240" w:lineRule="auto"/>
        <w:rPr>
          <w:szCs w:val="22"/>
        </w:rPr>
      </w:pPr>
      <w:r>
        <w:rPr>
          <w:szCs w:val="22"/>
        </w:rPr>
        <w:t>2.</w:t>
      </w:r>
      <w:r>
        <w:rPr>
          <w:szCs w:val="22"/>
        </w:rPr>
        <w:tab/>
        <w:t>Mida on vaja teada enne ALPROLIX’i kasutamist</w:t>
      </w:r>
    </w:p>
    <w:p w14:paraId="123021DE" w14:textId="77777777" w:rsidR="00A27A6F" w:rsidRDefault="002C0949">
      <w:pPr>
        <w:spacing w:line="240" w:lineRule="auto"/>
        <w:rPr>
          <w:szCs w:val="22"/>
        </w:rPr>
      </w:pPr>
      <w:r>
        <w:rPr>
          <w:szCs w:val="22"/>
        </w:rPr>
        <w:t>3.</w:t>
      </w:r>
      <w:r>
        <w:rPr>
          <w:szCs w:val="22"/>
        </w:rPr>
        <w:tab/>
        <w:t>Kuidas ALPROLIX’i kasutada</w:t>
      </w:r>
    </w:p>
    <w:p w14:paraId="5B9003E2" w14:textId="77777777" w:rsidR="00A27A6F" w:rsidRDefault="002C0949">
      <w:pPr>
        <w:spacing w:line="240" w:lineRule="auto"/>
        <w:rPr>
          <w:szCs w:val="22"/>
        </w:rPr>
      </w:pPr>
      <w:r>
        <w:rPr>
          <w:szCs w:val="22"/>
        </w:rPr>
        <w:t>4.</w:t>
      </w:r>
      <w:r>
        <w:rPr>
          <w:szCs w:val="22"/>
        </w:rPr>
        <w:tab/>
        <w:t>Võimalikud kõrvaltoimed</w:t>
      </w:r>
    </w:p>
    <w:p w14:paraId="3EF1E4D2" w14:textId="77777777" w:rsidR="00A27A6F" w:rsidRDefault="002C0949">
      <w:pPr>
        <w:spacing w:line="240" w:lineRule="auto"/>
        <w:rPr>
          <w:szCs w:val="22"/>
        </w:rPr>
      </w:pPr>
      <w:r>
        <w:rPr>
          <w:szCs w:val="22"/>
        </w:rPr>
        <w:t>5.</w:t>
      </w:r>
      <w:r>
        <w:rPr>
          <w:szCs w:val="22"/>
        </w:rPr>
        <w:tab/>
        <w:t>Kuidas ALPROLIX’i säilitada</w:t>
      </w:r>
    </w:p>
    <w:p w14:paraId="60E41F75" w14:textId="77777777" w:rsidR="00A27A6F" w:rsidRDefault="002C0949">
      <w:pPr>
        <w:spacing w:line="240" w:lineRule="auto"/>
        <w:rPr>
          <w:szCs w:val="22"/>
        </w:rPr>
      </w:pPr>
      <w:r>
        <w:rPr>
          <w:szCs w:val="22"/>
        </w:rPr>
        <w:t>6.</w:t>
      </w:r>
      <w:r>
        <w:rPr>
          <w:szCs w:val="22"/>
        </w:rPr>
        <w:tab/>
        <w:t>Pakendi sisu ja muu teave</w:t>
      </w:r>
    </w:p>
    <w:p w14:paraId="2A97BD2C" w14:textId="77777777" w:rsidR="00A27A6F" w:rsidRDefault="002C0949">
      <w:pPr>
        <w:spacing w:line="240" w:lineRule="auto"/>
        <w:rPr>
          <w:szCs w:val="22"/>
        </w:rPr>
      </w:pPr>
      <w:r>
        <w:rPr>
          <w:szCs w:val="22"/>
        </w:rPr>
        <w:t>7.</w:t>
      </w:r>
      <w:r>
        <w:rPr>
          <w:szCs w:val="22"/>
        </w:rPr>
        <w:tab/>
        <w:t>Juhised ette valmistamiseks ja manustamiseks</w:t>
      </w:r>
    </w:p>
    <w:p w14:paraId="1A410985" w14:textId="77777777" w:rsidR="00A27A6F" w:rsidRDefault="00A27A6F">
      <w:pPr>
        <w:numPr>
          <w:ilvl w:val="12"/>
          <w:numId w:val="0"/>
        </w:numPr>
        <w:spacing w:line="240" w:lineRule="auto"/>
        <w:ind w:right="-2"/>
        <w:rPr>
          <w:bCs/>
          <w:szCs w:val="22"/>
        </w:rPr>
      </w:pPr>
    </w:p>
    <w:p w14:paraId="4C16E033" w14:textId="77777777" w:rsidR="00A27A6F" w:rsidRDefault="00A27A6F">
      <w:pPr>
        <w:pStyle w:val="ListParagraph"/>
        <w:ind w:left="567" w:hanging="567"/>
        <w:rPr>
          <w:bCs/>
          <w:sz w:val="22"/>
          <w:szCs w:val="22"/>
        </w:rPr>
      </w:pPr>
    </w:p>
    <w:p w14:paraId="24A3D6CD" w14:textId="77777777" w:rsidR="00A27A6F" w:rsidRDefault="002C0949">
      <w:pPr>
        <w:pStyle w:val="ListParagraph"/>
        <w:keepNext/>
        <w:keepLines/>
        <w:ind w:left="567" w:hanging="567"/>
        <w:rPr>
          <w:b/>
          <w:sz w:val="22"/>
          <w:szCs w:val="22"/>
        </w:rPr>
      </w:pPr>
      <w:r>
        <w:rPr>
          <w:b/>
          <w:sz w:val="22"/>
          <w:szCs w:val="22"/>
        </w:rPr>
        <w:t>1.</w:t>
      </w:r>
      <w:r>
        <w:rPr>
          <w:b/>
          <w:sz w:val="22"/>
          <w:szCs w:val="22"/>
        </w:rPr>
        <w:tab/>
        <w:t>Mis ravim on ALPROLIX ja milleks seda kasutatakse</w:t>
      </w:r>
    </w:p>
    <w:p w14:paraId="3C743AE2" w14:textId="77777777" w:rsidR="00A27A6F" w:rsidRDefault="00A27A6F">
      <w:pPr>
        <w:pStyle w:val="ListParagraph"/>
        <w:keepNext/>
        <w:keepLines/>
        <w:ind w:left="0"/>
        <w:rPr>
          <w:b/>
          <w:sz w:val="22"/>
          <w:szCs w:val="22"/>
        </w:rPr>
      </w:pPr>
    </w:p>
    <w:p w14:paraId="5203C3B9" w14:textId="77777777" w:rsidR="00A27A6F" w:rsidRDefault="002C0949">
      <w:pPr>
        <w:spacing w:line="240" w:lineRule="auto"/>
        <w:rPr>
          <w:rFonts w:eastAsia="Calibri"/>
          <w:szCs w:val="22"/>
        </w:rPr>
      </w:pPr>
      <w:r>
        <w:rPr>
          <w:szCs w:val="22"/>
        </w:rPr>
        <w:t>ALPROLIX sisaldab toimeainet alfaeftrenonakogi, rekombinantset IX hüübimisfaktorit, Fc fusioonvalku.</w:t>
      </w:r>
      <w:r>
        <w:rPr>
          <w:rFonts w:eastAsia="Calibri"/>
          <w:szCs w:val="22"/>
        </w:rPr>
        <w:t xml:space="preserve"> IX faktor on kehas loomulikult toodetav valk, mis on vajalik verehüüvete moodustamiseks ja verejooksude peatamiseks.</w:t>
      </w:r>
    </w:p>
    <w:p w14:paraId="75785EF4" w14:textId="77777777" w:rsidR="00A27A6F" w:rsidRDefault="00A27A6F">
      <w:pPr>
        <w:spacing w:line="240" w:lineRule="auto"/>
        <w:rPr>
          <w:rFonts w:eastAsia="Calibri"/>
          <w:szCs w:val="22"/>
        </w:rPr>
      </w:pPr>
    </w:p>
    <w:p w14:paraId="25DFB32C" w14:textId="77777777" w:rsidR="00A27A6F" w:rsidRDefault="002C0949">
      <w:pPr>
        <w:spacing w:line="240" w:lineRule="auto"/>
        <w:rPr>
          <w:szCs w:val="22"/>
        </w:rPr>
      </w:pPr>
      <w:r>
        <w:rPr>
          <w:szCs w:val="22"/>
        </w:rPr>
        <w:t>ALPROLIX on ravim, mida kasutatakse veritsemise ennetamiseks ja raviks B</w:t>
      </w:r>
      <w:r>
        <w:rPr>
          <w:szCs w:val="22"/>
        </w:rPr>
        <w:noBreakHyphen/>
        <w:t>hemofiiliaga (kaasasündinud veritsushäire, mis on tingitud IX faktori puudulikkusest) patsientide kõigis vanuserühmades.</w:t>
      </w:r>
    </w:p>
    <w:p w14:paraId="11E974A1" w14:textId="77777777" w:rsidR="00A27A6F" w:rsidRDefault="00A27A6F">
      <w:pPr>
        <w:spacing w:line="240" w:lineRule="auto"/>
        <w:rPr>
          <w:szCs w:val="22"/>
        </w:rPr>
      </w:pPr>
    </w:p>
    <w:p w14:paraId="442C0F91" w14:textId="77777777" w:rsidR="00A27A6F" w:rsidRDefault="002C0949">
      <w:pPr>
        <w:spacing w:line="240" w:lineRule="auto"/>
        <w:rPr>
          <w:szCs w:val="22"/>
        </w:rPr>
      </w:pPr>
      <w:r>
        <w:rPr>
          <w:szCs w:val="22"/>
        </w:rPr>
        <w:t>ALPROLIX’i valmistamisel kasutatakse rekombinantset tehnoloogiat, kusjuures tootmisprotsessist jäetakse välja kõik inim- või loomset päritolu komponendid.</w:t>
      </w:r>
    </w:p>
    <w:p w14:paraId="695E07AA" w14:textId="77777777" w:rsidR="00A27A6F" w:rsidRDefault="00A27A6F">
      <w:pPr>
        <w:spacing w:line="240" w:lineRule="auto"/>
        <w:rPr>
          <w:szCs w:val="22"/>
        </w:rPr>
      </w:pPr>
    </w:p>
    <w:p w14:paraId="5758E45D" w14:textId="77777777" w:rsidR="00A27A6F" w:rsidRDefault="002C0949">
      <w:pPr>
        <w:keepNext/>
        <w:spacing w:line="240" w:lineRule="auto"/>
        <w:rPr>
          <w:b/>
          <w:szCs w:val="22"/>
        </w:rPr>
      </w:pPr>
      <w:r>
        <w:rPr>
          <w:b/>
          <w:szCs w:val="22"/>
        </w:rPr>
        <w:t>Kuidas ALPROLIX toimib</w:t>
      </w:r>
    </w:p>
    <w:p w14:paraId="083DBB4D" w14:textId="48058F87" w:rsidR="00A27A6F" w:rsidRDefault="002C0949">
      <w:pPr>
        <w:spacing w:line="240" w:lineRule="auto"/>
        <w:rPr>
          <w:rFonts w:eastAsia="Calibri"/>
          <w:szCs w:val="22"/>
        </w:rPr>
      </w:pPr>
      <w:r>
        <w:rPr>
          <w:szCs w:val="22"/>
        </w:rPr>
        <w:t>B</w:t>
      </w:r>
      <w:r>
        <w:rPr>
          <w:szCs w:val="22"/>
        </w:rPr>
        <w:noBreakHyphen/>
        <w:t xml:space="preserve">hemofiiliat põdevatel patsientidel on IX faktor puudu või ei toimi korralikult. </w:t>
      </w:r>
      <w:r w:rsidR="005A6951">
        <w:rPr>
          <w:szCs w:val="22"/>
        </w:rPr>
        <w:t xml:space="preserve">Seda ravimit </w:t>
      </w:r>
      <w:r>
        <w:rPr>
          <w:szCs w:val="22"/>
        </w:rPr>
        <w:t xml:space="preserve">kasutatakse puuduva või puuduliku IX faktori asendamiseks. ALPROLIX tõstab IX faktori sisaldust veres ning korrigeerib ajutiselt veritsuskalduvuse. </w:t>
      </w:r>
      <w:r w:rsidR="005A6951">
        <w:rPr>
          <w:szCs w:val="22"/>
        </w:rPr>
        <w:t>Ravim</w:t>
      </w:r>
      <w:r>
        <w:rPr>
          <w:szCs w:val="22"/>
        </w:rPr>
        <w:t xml:space="preserve">is sisalduv </w:t>
      </w:r>
      <w:proofErr w:type="spellStart"/>
      <w:r>
        <w:rPr>
          <w:szCs w:val="22"/>
        </w:rPr>
        <w:t>Fc</w:t>
      </w:r>
      <w:proofErr w:type="spellEnd"/>
      <w:r>
        <w:rPr>
          <w:szCs w:val="22"/>
        </w:rPr>
        <w:t> fusioonvalk pikendab ravimi toimimisaega.</w:t>
      </w:r>
    </w:p>
    <w:p w14:paraId="43472195" w14:textId="77777777" w:rsidR="00A27A6F" w:rsidRDefault="00A27A6F">
      <w:pPr>
        <w:numPr>
          <w:ilvl w:val="12"/>
          <w:numId w:val="0"/>
        </w:numPr>
        <w:spacing w:line="240" w:lineRule="auto"/>
        <w:ind w:right="-2"/>
        <w:rPr>
          <w:bCs/>
          <w:szCs w:val="22"/>
        </w:rPr>
      </w:pPr>
    </w:p>
    <w:p w14:paraId="1AE03C34" w14:textId="77777777" w:rsidR="00A27A6F" w:rsidRDefault="00A27A6F">
      <w:pPr>
        <w:pStyle w:val="ListParagraph"/>
        <w:ind w:left="567" w:hanging="567"/>
        <w:rPr>
          <w:bCs/>
          <w:sz w:val="22"/>
          <w:szCs w:val="22"/>
        </w:rPr>
      </w:pPr>
    </w:p>
    <w:p w14:paraId="27726006" w14:textId="77777777" w:rsidR="00A27A6F" w:rsidRDefault="002C0949">
      <w:pPr>
        <w:pStyle w:val="ListParagraph"/>
        <w:keepNext/>
        <w:ind w:left="567" w:hanging="567"/>
        <w:rPr>
          <w:b/>
          <w:sz w:val="22"/>
          <w:szCs w:val="22"/>
        </w:rPr>
      </w:pPr>
      <w:r>
        <w:rPr>
          <w:b/>
          <w:sz w:val="22"/>
          <w:szCs w:val="22"/>
        </w:rPr>
        <w:lastRenderedPageBreak/>
        <w:t>2.</w:t>
      </w:r>
      <w:r>
        <w:rPr>
          <w:b/>
          <w:sz w:val="22"/>
          <w:szCs w:val="22"/>
        </w:rPr>
        <w:tab/>
        <w:t>Mida on vaja teada enne ALPROLIX’i kasutamist</w:t>
      </w:r>
    </w:p>
    <w:p w14:paraId="69DA8471" w14:textId="77777777" w:rsidR="00A27A6F" w:rsidRDefault="00A27A6F">
      <w:pPr>
        <w:keepNext/>
        <w:spacing w:line="240" w:lineRule="auto"/>
        <w:rPr>
          <w:b/>
          <w:szCs w:val="22"/>
        </w:rPr>
      </w:pPr>
    </w:p>
    <w:p w14:paraId="7F17E114" w14:textId="45E6A385" w:rsidR="00A27A6F" w:rsidRDefault="002C0949">
      <w:pPr>
        <w:keepNext/>
        <w:spacing w:line="240" w:lineRule="auto"/>
        <w:rPr>
          <w:b/>
          <w:szCs w:val="22"/>
        </w:rPr>
      </w:pPr>
      <w:r>
        <w:rPr>
          <w:b/>
          <w:szCs w:val="22"/>
        </w:rPr>
        <w:t xml:space="preserve">ALPROLIX’i </w:t>
      </w:r>
      <w:r>
        <w:rPr>
          <w:b/>
        </w:rPr>
        <w:t>ei tohi kasutada</w:t>
      </w:r>
    </w:p>
    <w:p w14:paraId="5222AA09" w14:textId="77777777" w:rsidR="00A27A6F" w:rsidRDefault="002C0949">
      <w:pPr>
        <w:numPr>
          <w:ilvl w:val="0"/>
          <w:numId w:val="43"/>
        </w:numPr>
        <w:spacing w:line="240" w:lineRule="auto"/>
        <w:ind w:left="567" w:hanging="567"/>
        <w:rPr>
          <w:szCs w:val="22"/>
        </w:rPr>
      </w:pPr>
      <w:r>
        <w:rPr>
          <w:szCs w:val="22"/>
        </w:rPr>
        <w:t>kui olete alfaeftrenonakogi või selle ravimi mis tahes koostisosade (loetletud lõigus 6) suhtes allergiline.</w:t>
      </w:r>
    </w:p>
    <w:p w14:paraId="16E1F928" w14:textId="77777777" w:rsidR="00A27A6F" w:rsidRDefault="00A27A6F">
      <w:pPr>
        <w:spacing w:line="240" w:lineRule="auto"/>
        <w:rPr>
          <w:szCs w:val="22"/>
        </w:rPr>
      </w:pPr>
    </w:p>
    <w:p w14:paraId="76203DDB" w14:textId="77777777" w:rsidR="00A27A6F" w:rsidRDefault="002C0949">
      <w:pPr>
        <w:keepNext/>
        <w:spacing w:line="240" w:lineRule="auto"/>
        <w:rPr>
          <w:b/>
          <w:szCs w:val="22"/>
        </w:rPr>
      </w:pPr>
      <w:r>
        <w:rPr>
          <w:b/>
          <w:szCs w:val="22"/>
        </w:rPr>
        <w:t>Hoiatused ja ettevaatusabinõud</w:t>
      </w:r>
    </w:p>
    <w:p w14:paraId="4DF201F4" w14:textId="77777777" w:rsidR="00A27A6F" w:rsidRDefault="002C0949">
      <w:pPr>
        <w:keepNext/>
        <w:keepLines/>
        <w:spacing w:line="240" w:lineRule="auto"/>
        <w:rPr>
          <w:szCs w:val="22"/>
        </w:rPr>
      </w:pPr>
      <w:r>
        <w:rPr>
          <w:szCs w:val="22"/>
        </w:rPr>
        <w:t>Enne ALPROLIX’i kasutamist pidage nõu oma arsti, apteekri või meditsiiniõega.</w:t>
      </w:r>
    </w:p>
    <w:p w14:paraId="5841D02C" w14:textId="77777777" w:rsidR="00A27A6F" w:rsidRDefault="00A27A6F">
      <w:pPr>
        <w:keepNext/>
        <w:keepLines/>
        <w:spacing w:line="240" w:lineRule="auto"/>
        <w:rPr>
          <w:szCs w:val="22"/>
        </w:rPr>
      </w:pPr>
    </w:p>
    <w:p w14:paraId="6FDBFC5A" w14:textId="699253D3" w:rsidR="00A27A6F" w:rsidRDefault="002C0949">
      <w:pPr>
        <w:numPr>
          <w:ilvl w:val="0"/>
          <w:numId w:val="43"/>
        </w:numPr>
        <w:spacing w:line="240" w:lineRule="auto"/>
        <w:ind w:left="567" w:hanging="567"/>
        <w:rPr>
          <w:szCs w:val="22"/>
        </w:rPr>
      </w:pPr>
      <w:r>
        <w:rPr>
          <w:szCs w:val="22"/>
        </w:rPr>
        <w:t>ALPROLIX’i kasutamisel võib harva esineda anafülaktilist reaktsiooni (äge ootamatu allergiline reaktsioon). Allergilise reaktsiooni nähtude hulka võivad muu hulgas kuuluda üldine sügelus, nõgestõbi, pitsitustunne rindkeres, hingamisraskused ja madal vererõhk. Juhul kui teil ilmneb ükskõik milline neist sümptomitest, katkestage viivitamatult süstimine ja pöörduge oma arsti poole.</w:t>
      </w:r>
      <w:r w:rsidR="005A6951">
        <w:rPr>
          <w:szCs w:val="22"/>
        </w:rPr>
        <w:t xml:space="preserve"> </w:t>
      </w:r>
      <w:r w:rsidR="00CF5F77">
        <w:t xml:space="preserve">IX faktori preparaatide kasutamisega kaasnevate allergiliste reaktsioonide tekkeriski tõttu </w:t>
      </w:r>
      <w:r w:rsidR="005A6951">
        <w:rPr>
          <w:szCs w:val="22"/>
        </w:rPr>
        <w:t xml:space="preserve">tuleb teile ALPROLIX’i </w:t>
      </w:r>
      <w:r w:rsidR="00CF5F77">
        <w:rPr>
          <w:szCs w:val="22"/>
        </w:rPr>
        <w:t xml:space="preserve">esimesed </w:t>
      </w:r>
      <w:r w:rsidR="005A6951">
        <w:rPr>
          <w:szCs w:val="22"/>
        </w:rPr>
        <w:t>annused manustada</w:t>
      </w:r>
      <w:r w:rsidR="00057292">
        <w:rPr>
          <w:szCs w:val="22"/>
        </w:rPr>
        <w:t xml:space="preserve"> meditsiinilise järelevalve all</w:t>
      </w:r>
      <w:r w:rsidR="00731639">
        <w:rPr>
          <w:szCs w:val="22"/>
        </w:rPr>
        <w:t xml:space="preserve">, </w:t>
      </w:r>
      <w:r w:rsidR="00CF5F77">
        <w:rPr>
          <w:szCs w:val="22"/>
        </w:rPr>
        <w:t xml:space="preserve">nii </w:t>
      </w:r>
      <w:r w:rsidR="00731639">
        <w:rPr>
          <w:szCs w:val="22"/>
        </w:rPr>
        <w:t xml:space="preserve">et teile saaks allergiliste reaktsioonide korral </w:t>
      </w:r>
      <w:r w:rsidR="00CF5F77">
        <w:rPr>
          <w:szCs w:val="22"/>
        </w:rPr>
        <w:t xml:space="preserve">anda </w:t>
      </w:r>
      <w:r w:rsidR="00731639">
        <w:rPr>
          <w:szCs w:val="22"/>
        </w:rPr>
        <w:t>nõuetekohast meditsiinilist abi.</w:t>
      </w:r>
    </w:p>
    <w:p w14:paraId="656CF6C3" w14:textId="77777777" w:rsidR="00A27A6F" w:rsidRDefault="00A27A6F">
      <w:pPr>
        <w:spacing w:line="240" w:lineRule="auto"/>
        <w:ind w:left="567" w:hanging="567"/>
        <w:rPr>
          <w:szCs w:val="22"/>
        </w:rPr>
      </w:pPr>
    </w:p>
    <w:p w14:paraId="2043909A" w14:textId="77777777" w:rsidR="00A27A6F" w:rsidRDefault="002C0949">
      <w:pPr>
        <w:numPr>
          <w:ilvl w:val="0"/>
          <w:numId w:val="43"/>
        </w:numPr>
        <w:spacing w:line="240" w:lineRule="auto"/>
        <w:ind w:left="567" w:hanging="567"/>
        <w:rPr>
          <w:szCs w:val="22"/>
        </w:rPr>
      </w:pPr>
      <w:r>
        <w:rPr>
          <w:szCs w:val="22"/>
        </w:rPr>
        <w:t>Juhul kui arvate, et teile määratud annus ei ole veritsuse kontrollimiseks piisav, pidage nõu oma arstiga. Sellel võib olla mitmeid põhjuseid. Näiteks IX faktori vastaste antikehade (teatakse ka inhibiitoritena) teke on B</w:t>
      </w:r>
      <w:r>
        <w:rPr>
          <w:szCs w:val="22"/>
        </w:rPr>
        <w:noBreakHyphen/>
        <w:t>hemofiiliaga isikute ravimisel teadaolev tüsistus. Antikehad takistavad ravi toimimist. Selle selgitab välja teie arst. Veritsuse peatamiseks ei tohi ALPROLIX’i koguannust suurendada enne, kui olete oma arstiga nõu pidanud.</w:t>
      </w:r>
    </w:p>
    <w:p w14:paraId="5B0F1DCA" w14:textId="77777777" w:rsidR="00A27A6F" w:rsidRDefault="00A27A6F">
      <w:pPr>
        <w:tabs>
          <w:tab w:val="clear" w:pos="567"/>
          <w:tab w:val="left" w:pos="0"/>
        </w:tabs>
        <w:spacing w:line="240" w:lineRule="auto"/>
        <w:rPr>
          <w:u w:val="single"/>
        </w:rPr>
      </w:pPr>
    </w:p>
    <w:p w14:paraId="6DF6B0E9" w14:textId="77777777" w:rsidR="00A27A6F" w:rsidRDefault="002C0949">
      <w:pPr>
        <w:spacing w:line="240" w:lineRule="auto"/>
      </w:pPr>
      <w:r>
        <w:t>IX faktori inhibiitoritega patsientidel võib IX faktori edaspidisel kasutamisel esineda suurenenud anafülaksia risk. Seetõttu tuleb teid eespool kirjeldatud allergiliste reaktsioonide tekkimisel analüüsida inhibiitorite olemasolu suhtes.</w:t>
      </w:r>
    </w:p>
    <w:p w14:paraId="2BEDD561" w14:textId="77777777" w:rsidR="00A27A6F" w:rsidRDefault="00A27A6F">
      <w:pPr>
        <w:spacing w:line="240" w:lineRule="auto"/>
        <w:rPr>
          <w:b/>
        </w:rPr>
      </w:pPr>
    </w:p>
    <w:p w14:paraId="5E1FB218" w14:textId="77777777" w:rsidR="00A27A6F" w:rsidRDefault="002C0949">
      <w:pPr>
        <w:pStyle w:val="ListParagraph"/>
        <w:ind w:left="0"/>
        <w:rPr>
          <w:sz w:val="22"/>
          <w:szCs w:val="22"/>
        </w:rPr>
      </w:pPr>
      <w:r>
        <w:rPr>
          <w:sz w:val="22"/>
          <w:szCs w:val="22"/>
        </w:rPr>
        <w:t>IX faktori preparaadid võivad suurendada soovimatute verehüüvete riski teie organismis, eriti kui teil esineb veerehüüvete tekkeriski soodustavaid tegureid. Võimalike soovimatute verehüüvete sümptomite hulka võivad muu hulgas kuuluda piki veeni leviv valu ja/või tundlikkus, käsivarre või jala ootamatu turse või äkiline õhupuudus või hingamisraskus.</w:t>
      </w:r>
    </w:p>
    <w:p w14:paraId="010023FB" w14:textId="2DA6C6FB" w:rsidR="00A27A6F" w:rsidRDefault="00A27A6F">
      <w:pPr>
        <w:tabs>
          <w:tab w:val="clear" w:pos="567"/>
          <w:tab w:val="left" w:pos="0"/>
        </w:tabs>
        <w:spacing w:line="240" w:lineRule="auto"/>
        <w:rPr>
          <w:u w:val="single"/>
        </w:rPr>
      </w:pPr>
    </w:p>
    <w:p w14:paraId="722C524A" w14:textId="14F621DB" w:rsidR="00CF5F77" w:rsidRDefault="00CF5F77" w:rsidP="000E6A08">
      <w:pPr>
        <w:keepNext/>
        <w:tabs>
          <w:tab w:val="clear" w:pos="567"/>
          <w:tab w:val="left" w:pos="0"/>
        </w:tabs>
        <w:spacing w:line="240" w:lineRule="auto"/>
        <w:rPr>
          <w:u w:val="single"/>
        </w:rPr>
      </w:pPr>
      <w:r>
        <w:rPr>
          <w:u w:val="single"/>
        </w:rPr>
        <w:t>Kardiovaskulaarsed kõrvaltoimed</w:t>
      </w:r>
    </w:p>
    <w:p w14:paraId="417D840F" w14:textId="49838BE2" w:rsidR="00CF5F77" w:rsidRPr="000E6A08" w:rsidRDefault="00CF5F77">
      <w:pPr>
        <w:tabs>
          <w:tab w:val="clear" w:pos="567"/>
          <w:tab w:val="left" w:pos="0"/>
        </w:tabs>
        <w:spacing w:line="240" w:lineRule="auto"/>
      </w:pPr>
      <w:r w:rsidRPr="000E6A08">
        <w:t>Kui teile on öeldud, et teil on südamehaigus või südamehaiguse tekkerisk, olge IX faktorit sisaldavate ravimite manustamisel väga ettevaatlik ja pidage nõu oma arstiga.</w:t>
      </w:r>
    </w:p>
    <w:p w14:paraId="58B5978B" w14:textId="77777777" w:rsidR="00CF5F77" w:rsidRDefault="00CF5F77">
      <w:pPr>
        <w:tabs>
          <w:tab w:val="clear" w:pos="567"/>
          <w:tab w:val="left" w:pos="0"/>
        </w:tabs>
        <w:spacing w:line="240" w:lineRule="auto"/>
        <w:rPr>
          <w:u w:val="single"/>
        </w:rPr>
      </w:pPr>
    </w:p>
    <w:p w14:paraId="7D70FED0" w14:textId="77777777" w:rsidR="00A27A6F" w:rsidRDefault="002C0949">
      <w:pPr>
        <w:keepNext/>
        <w:tabs>
          <w:tab w:val="clear" w:pos="567"/>
          <w:tab w:val="left" w:pos="0"/>
        </w:tabs>
        <w:spacing w:line="240" w:lineRule="auto"/>
        <w:rPr>
          <w:u w:val="single"/>
        </w:rPr>
      </w:pPr>
      <w:r>
        <w:rPr>
          <w:u w:val="single"/>
        </w:rPr>
        <w:t>Kateetriga seotud tüsistused</w:t>
      </w:r>
    </w:p>
    <w:p w14:paraId="72EC7F53" w14:textId="77777777" w:rsidR="00A27A6F" w:rsidRDefault="002C0949">
      <w:pPr>
        <w:tabs>
          <w:tab w:val="clear" w:pos="567"/>
          <w:tab w:val="left" w:pos="0"/>
        </w:tabs>
        <w:spacing w:line="240" w:lineRule="auto"/>
        <w:rPr>
          <w:szCs w:val="22"/>
        </w:rPr>
      </w:pPr>
      <w:r>
        <w:t>Juhul kui peate kasutama tsentraalveeni kateetrit, tuleb arvestada tsentraalveeni kateetriga seotud tüsistuste, sh lokaalse infektsiooni, bakterite verre sattumise ja kateetrikoha verehüüvete tekke riskiga.</w:t>
      </w:r>
    </w:p>
    <w:p w14:paraId="75DD9201" w14:textId="77777777" w:rsidR="00A27A6F" w:rsidRDefault="00A27A6F">
      <w:pPr>
        <w:spacing w:line="240" w:lineRule="auto"/>
        <w:rPr>
          <w:szCs w:val="22"/>
        </w:rPr>
      </w:pPr>
    </w:p>
    <w:p w14:paraId="50371E22" w14:textId="77777777" w:rsidR="00A27A6F" w:rsidRDefault="002C0949">
      <w:pPr>
        <w:keepNext/>
        <w:spacing w:line="240" w:lineRule="auto"/>
        <w:rPr>
          <w:u w:val="single"/>
        </w:rPr>
      </w:pPr>
      <w:r>
        <w:rPr>
          <w:u w:val="single"/>
        </w:rPr>
        <w:t>Dokumentatsioon</w:t>
      </w:r>
    </w:p>
    <w:p w14:paraId="6D8BDC3C" w14:textId="77777777" w:rsidR="00A27A6F" w:rsidRDefault="002C0949">
      <w:pPr>
        <w:spacing w:line="240" w:lineRule="auto"/>
      </w:pPr>
      <w:r>
        <w:t>Iga kord, kui teile ALPROLIX’i manustatakse, on tungivalt soovitatav ravimi nimi ja partii number üles märkida.</w:t>
      </w:r>
    </w:p>
    <w:p w14:paraId="298CDA7E" w14:textId="77777777" w:rsidR="00A27A6F" w:rsidRDefault="00A27A6F">
      <w:pPr>
        <w:spacing w:line="240" w:lineRule="auto"/>
        <w:rPr>
          <w:b/>
          <w:szCs w:val="22"/>
        </w:rPr>
      </w:pPr>
    </w:p>
    <w:p w14:paraId="1BA6CE72" w14:textId="77777777" w:rsidR="00A27A6F" w:rsidRDefault="002C0949">
      <w:pPr>
        <w:keepNext/>
        <w:spacing w:line="240" w:lineRule="auto"/>
        <w:rPr>
          <w:b/>
          <w:szCs w:val="22"/>
        </w:rPr>
      </w:pPr>
      <w:r>
        <w:rPr>
          <w:b/>
          <w:szCs w:val="22"/>
        </w:rPr>
        <w:t>Muud ravimid ja ALPROLIX</w:t>
      </w:r>
    </w:p>
    <w:p w14:paraId="694AA781" w14:textId="77777777" w:rsidR="00A27A6F" w:rsidRDefault="002C0949">
      <w:pPr>
        <w:spacing w:line="240" w:lineRule="auto"/>
        <w:rPr>
          <w:szCs w:val="22"/>
        </w:rPr>
      </w:pPr>
      <w:r>
        <w:rPr>
          <w:szCs w:val="22"/>
        </w:rPr>
        <w:t>Teatage oma arstile või apteekrile, kui te kasutate või olete hiljuti kasutanud või kavatsete kasutada mis tahes muid ravimeid.</w:t>
      </w:r>
    </w:p>
    <w:p w14:paraId="7008F3A0" w14:textId="77777777" w:rsidR="00A27A6F" w:rsidRDefault="00A27A6F">
      <w:pPr>
        <w:spacing w:line="240" w:lineRule="auto"/>
        <w:rPr>
          <w:szCs w:val="22"/>
        </w:rPr>
      </w:pPr>
    </w:p>
    <w:p w14:paraId="22773351" w14:textId="77777777" w:rsidR="00A27A6F" w:rsidRDefault="002C0949">
      <w:pPr>
        <w:keepNext/>
        <w:spacing w:line="240" w:lineRule="auto"/>
        <w:rPr>
          <w:b/>
          <w:szCs w:val="22"/>
        </w:rPr>
      </w:pPr>
      <w:r>
        <w:rPr>
          <w:b/>
          <w:szCs w:val="22"/>
        </w:rPr>
        <w:t>Rasedus ja imetamine</w:t>
      </w:r>
    </w:p>
    <w:p w14:paraId="51F87D5F" w14:textId="77777777" w:rsidR="00A27A6F" w:rsidRDefault="002C0949">
      <w:pPr>
        <w:spacing w:line="240" w:lineRule="auto"/>
        <w:rPr>
          <w:szCs w:val="22"/>
        </w:rPr>
      </w:pPr>
      <w:r>
        <w:rPr>
          <w:szCs w:val="22"/>
        </w:rPr>
        <w:t>Kui te olete rase, imetate või arvate end olevat rase või kavatsete rasestuda, pidage enne selle ravimi kasutamist nõu oma arsti või apteekriga.</w:t>
      </w:r>
    </w:p>
    <w:p w14:paraId="44EE8246" w14:textId="77777777" w:rsidR="00A27A6F" w:rsidRDefault="00A27A6F">
      <w:pPr>
        <w:spacing w:line="240" w:lineRule="auto"/>
        <w:rPr>
          <w:szCs w:val="22"/>
        </w:rPr>
      </w:pPr>
    </w:p>
    <w:p w14:paraId="0D088C54" w14:textId="77777777" w:rsidR="00A27A6F" w:rsidRDefault="002C0949">
      <w:pPr>
        <w:keepNext/>
        <w:spacing w:line="240" w:lineRule="auto"/>
        <w:rPr>
          <w:b/>
          <w:szCs w:val="22"/>
        </w:rPr>
      </w:pPr>
      <w:r>
        <w:rPr>
          <w:b/>
          <w:szCs w:val="22"/>
        </w:rPr>
        <w:t>Autojuhtimine ja masinatega töötamine</w:t>
      </w:r>
    </w:p>
    <w:p w14:paraId="1BFC1E47" w14:textId="77777777" w:rsidR="00A27A6F" w:rsidRDefault="002C0949">
      <w:pPr>
        <w:spacing w:line="240" w:lineRule="auto"/>
        <w:rPr>
          <w:szCs w:val="22"/>
        </w:rPr>
      </w:pPr>
      <w:r>
        <w:rPr>
          <w:szCs w:val="22"/>
        </w:rPr>
        <w:t>ALPROLIX ei mõjuta autojuhtimise ja masinate käsitsemise võimet.</w:t>
      </w:r>
    </w:p>
    <w:p w14:paraId="32224044" w14:textId="77777777" w:rsidR="00A27A6F" w:rsidRDefault="00A27A6F">
      <w:pPr>
        <w:spacing w:line="240" w:lineRule="auto"/>
        <w:rPr>
          <w:szCs w:val="22"/>
        </w:rPr>
      </w:pPr>
    </w:p>
    <w:p w14:paraId="67084C90" w14:textId="77777777" w:rsidR="00A27A6F" w:rsidRDefault="002C0949">
      <w:pPr>
        <w:keepNext/>
        <w:spacing w:line="240" w:lineRule="auto"/>
        <w:rPr>
          <w:b/>
          <w:szCs w:val="22"/>
        </w:rPr>
      </w:pPr>
      <w:r>
        <w:rPr>
          <w:b/>
          <w:szCs w:val="22"/>
        </w:rPr>
        <w:t>ALPROLIX sisaldab naatriumi</w:t>
      </w:r>
    </w:p>
    <w:p w14:paraId="446E24AD" w14:textId="143B0B0A" w:rsidR="00A27A6F" w:rsidRDefault="002C0949">
      <w:pPr>
        <w:spacing w:line="240" w:lineRule="auto"/>
        <w:rPr>
          <w:szCs w:val="22"/>
        </w:rPr>
      </w:pPr>
      <w:r>
        <w:rPr>
          <w:szCs w:val="22"/>
        </w:rPr>
        <w:t>Ravim sisaldab vähem kui 1 mmol (23 mg) naatriumi viaalis, see tähendab põhimõtteliselt „naatriumivaba“.</w:t>
      </w:r>
      <w:r w:rsidR="00833798">
        <w:rPr>
          <w:szCs w:val="22"/>
        </w:rPr>
        <w:t xml:space="preserve"> Kui raviks kasutatakse rohkem kui ühte viaali, tuleb arvestada kogu naatriumisisaldusega.</w:t>
      </w:r>
    </w:p>
    <w:p w14:paraId="5081DE0F" w14:textId="77777777" w:rsidR="00A27A6F" w:rsidRDefault="00A27A6F">
      <w:pPr>
        <w:spacing w:line="240" w:lineRule="auto"/>
        <w:rPr>
          <w:szCs w:val="22"/>
        </w:rPr>
      </w:pPr>
    </w:p>
    <w:p w14:paraId="2130BDCB" w14:textId="77777777" w:rsidR="00A27A6F" w:rsidRDefault="00A27A6F">
      <w:pPr>
        <w:spacing w:line="240" w:lineRule="auto"/>
        <w:rPr>
          <w:szCs w:val="22"/>
        </w:rPr>
      </w:pPr>
    </w:p>
    <w:p w14:paraId="65EDCE24" w14:textId="77777777" w:rsidR="00A27A6F" w:rsidRDefault="002C0949">
      <w:pPr>
        <w:pStyle w:val="ListParagraph"/>
        <w:keepNext/>
        <w:ind w:left="567" w:hanging="567"/>
        <w:rPr>
          <w:b/>
          <w:sz w:val="22"/>
          <w:szCs w:val="22"/>
        </w:rPr>
      </w:pPr>
      <w:r>
        <w:rPr>
          <w:b/>
          <w:sz w:val="22"/>
          <w:szCs w:val="22"/>
        </w:rPr>
        <w:t>3.</w:t>
      </w:r>
      <w:r>
        <w:rPr>
          <w:b/>
          <w:sz w:val="22"/>
          <w:szCs w:val="22"/>
        </w:rPr>
        <w:tab/>
        <w:t>Kuidas ALPROLIX’i kasutada</w:t>
      </w:r>
    </w:p>
    <w:p w14:paraId="6F0A1A29" w14:textId="77777777" w:rsidR="00A27A6F" w:rsidRDefault="00A27A6F">
      <w:pPr>
        <w:spacing w:line="240" w:lineRule="auto"/>
        <w:rPr>
          <w:szCs w:val="22"/>
        </w:rPr>
      </w:pPr>
    </w:p>
    <w:p w14:paraId="719A83FD" w14:textId="186009AF" w:rsidR="00A27A6F" w:rsidRDefault="002C0949">
      <w:pPr>
        <w:spacing w:line="240" w:lineRule="auto"/>
        <w:rPr>
          <w:szCs w:val="22"/>
        </w:rPr>
      </w:pPr>
      <w:proofErr w:type="spellStart"/>
      <w:r w:rsidRPr="00356F66">
        <w:rPr>
          <w:szCs w:val="22"/>
        </w:rPr>
        <w:t>ALPROLIX</w:t>
      </w:r>
      <w:r w:rsidR="00727472" w:rsidRPr="00356F66">
        <w:rPr>
          <w:szCs w:val="22"/>
        </w:rPr>
        <w:t>’iga</w:t>
      </w:r>
      <w:proofErr w:type="spellEnd"/>
      <w:r w:rsidR="00727472" w:rsidRPr="00356F66">
        <w:rPr>
          <w:szCs w:val="22"/>
        </w:rPr>
        <w:t xml:space="preserve"> </w:t>
      </w:r>
      <w:r w:rsidRPr="00356F66">
        <w:rPr>
          <w:szCs w:val="22"/>
        </w:rPr>
        <w:t>ravi alustab</w:t>
      </w:r>
      <w:r>
        <w:rPr>
          <w:szCs w:val="22"/>
        </w:rPr>
        <w:t xml:space="preserve"> arst, kellel on kogemusi hemofiiliahaigete ravis. Kasutage seda ravimit alati täpselt nii, nagu arst on teile selgitanud (vt lõik 7). Kui te ei ole milleski kindel, pidage nõu oma arsti, apteekri või meditsiiniõega.</w:t>
      </w:r>
    </w:p>
    <w:p w14:paraId="4FC66CBB" w14:textId="77777777" w:rsidR="00A27A6F" w:rsidRDefault="00A27A6F">
      <w:pPr>
        <w:spacing w:line="240" w:lineRule="auto"/>
        <w:rPr>
          <w:szCs w:val="22"/>
        </w:rPr>
      </w:pPr>
    </w:p>
    <w:p w14:paraId="0A462A76" w14:textId="014484B3" w:rsidR="00A27A6F" w:rsidRDefault="002C0949">
      <w:pPr>
        <w:spacing w:line="240" w:lineRule="auto"/>
        <w:rPr>
          <w:szCs w:val="22"/>
        </w:rPr>
      </w:pPr>
      <w:r>
        <w:t xml:space="preserve">ALPROLIX’i manustatakse veenisüstena. </w:t>
      </w:r>
      <w:r w:rsidR="00CF5F77">
        <w:t xml:space="preserve">Seda </w:t>
      </w:r>
      <w:r>
        <w:t xml:space="preserve">võite manustate teie ise või keegi teine pärast asjakohast väljaõpet. </w:t>
      </w:r>
      <w:r>
        <w:rPr>
          <w:szCs w:val="22"/>
        </w:rPr>
        <w:t>Teie arst otsustab, millise annuse (rahvusvahelistes ühikutes ehk RÜ) te saate. Annus sõltub teie individuaalsest IX faktori asendusravi vajadusest ja sellest, kas ravimit kasutatakse veritsuse ärahoidmiseks või raviks. Juhul kui arvate, et teile määratud annus ei ole veritsuse kontrollimiseks piisav, pidage nõu oma arstiga.</w:t>
      </w:r>
    </w:p>
    <w:p w14:paraId="40D7B341" w14:textId="77777777" w:rsidR="00A27A6F" w:rsidRDefault="00A27A6F">
      <w:pPr>
        <w:spacing w:line="240" w:lineRule="auto"/>
        <w:rPr>
          <w:szCs w:val="22"/>
        </w:rPr>
      </w:pPr>
    </w:p>
    <w:p w14:paraId="2E049BE8" w14:textId="3CA377E2" w:rsidR="00A27A6F" w:rsidRDefault="002C0949">
      <w:pPr>
        <w:spacing w:line="240" w:lineRule="auto"/>
        <w:rPr>
          <w:szCs w:val="22"/>
        </w:rPr>
      </w:pPr>
      <w:r>
        <w:rPr>
          <w:szCs w:val="22"/>
        </w:rPr>
        <w:t xml:space="preserve">Süstimise sagedus sõltub sellest, kui hästi </w:t>
      </w:r>
      <w:r w:rsidR="00844BF2">
        <w:rPr>
          <w:szCs w:val="22"/>
        </w:rPr>
        <w:t xml:space="preserve">ravim </w:t>
      </w:r>
      <w:r>
        <w:rPr>
          <w:szCs w:val="22"/>
        </w:rPr>
        <w:t>teie puhul toimib. Arst viib läbi asjakohased laboratoorsed analüüsid veendumaks, et teie veri sisaldab piisavalt IX faktorit.</w:t>
      </w:r>
    </w:p>
    <w:p w14:paraId="01DDDE37" w14:textId="77777777" w:rsidR="00A27A6F" w:rsidRDefault="00A27A6F">
      <w:pPr>
        <w:spacing w:line="240" w:lineRule="auto"/>
        <w:rPr>
          <w:szCs w:val="22"/>
        </w:rPr>
      </w:pPr>
    </w:p>
    <w:p w14:paraId="37A289AC" w14:textId="77777777" w:rsidR="00A27A6F" w:rsidRDefault="002C0949">
      <w:pPr>
        <w:keepNext/>
        <w:spacing w:line="240" w:lineRule="auto"/>
        <w:rPr>
          <w:b/>
        </w:rPr>
      </w:pPr>
      <w:r>
        <w:rPr>
          <w:b/>
        </w:rPr>
        <w:t>Veritsuse ravi</w:t>
      </w:r>
    </w:p>
    <w:p w14:paraId="71884CF9" w14:textId="77777777" w:rsidR="00A27A6F" w:rsidRDefault="002C0949">
      <w:pPr>
        <w:spacing w:line="240" w:lineRule="auto"/>
      </w:pPr>
      <w:r>
        <w:t>ALPROLIX’i annuse määramisel lähtutakse teie kehakaalust ja IX faktori soovitavast sisaldusest. IX faktori soovitava sisalduse puhul lähtutakse veritsuse raskusastmest ja asukohast.</w:t>
      </w:r>
    </w:p>
    <w:p w14:paraId="14FDD3DC" w14:textId="77777777" w:rsidR="00A27A6F" w:rsidRDefault="00A27A6F">
      <w:pPr>
        <w:spacing w:line="240" w:lineRule="auto"/>
        <w:rPr>
          <w:b/>
        </w:rPr>
      </w:pPr>
    </w:p>
    <w:p w14:paraId="68B56BDF" w14:textId="77777777" w:rsidR="00A27A6F" w:rsidRDefault="002C0949">
      <w:pPr>
        <w:keepNext/>
        <w:spacing w:line="240" w:lineRule="auto"/>
        <w:rPr>
          <w:b/>
        </w:rPr>
      </w:pPr>
      <w:r>
        <w:rPr>
          <w:b/>
        </w:rPr>
        <w:t>Veritsuse ennetamine</w:t>
      </w:r>
    </w:p>
    <w:p w14:paraId="12F838C2" w14:textId="77777777" w:rsidR="00A27A6F" w:rsidRDefault="002C0949">
      <w:pPr>
        <w:keepNext/>
        <w:spacing w:line="240" w:lineRule="auto"/>
      </w:pPr>
      <w:r>
        <w:t>Kui te kasutate ALPROLIX’i veritsuse ennetamiseks, arvestab arst välja teie annuse.</w:t>
      </w:r>
    </w:p>
    <w:p w14:paraId="57A62FC9" w14:textId="77777777" w:rsidR="00A27A6F" w:rsidRDefault="00A27A6F">
      <w:pPr>
        <w:keepNext/>
        <w:spacing w:line="240" w:lineRule="auto"/>
      </w:pPr>
    </w:p>
    <w:p w14:paraId="1D840C89" w14:textId="77777777" w:rsidR="00A27A6F" w:rsidRDefault="002C0949">
      <w:pPr>
        <w:pStyle w:val="ListParagraph"/>
        <w:ind w:left="0"/>
        <w:rPr>
          <w:sz w:val="22"/>
          <w:szCs w:val="20"/>
        </w:rPr>
      </w:pPr>
      <w:r>
        <w:rPr>
          <w:sz w:val="22"/>
          <w:szCs w:val="20"/>
        </w:rPr>
        <w:t>ALPROLIX’i tavaannus on 50 RÜ kehakaalu kg kohta manustatuna üks kord nädalas või 100 RÜ kehakaalu kg kohta manustatuna iga 10 päeva järel. Arst võib annust või intervalli kohandada. Mõnel juhul, eriti noorematel patsientidel, võivad olla vajalikud lühemad annustevahelised intervallid või suuremad annused.</w:t>
      </w:r>
    </w:p>
    <w:p w14:paraId="6DE1A76D" w14:textId="77777777" w:rsidR="00A27A6F" w:rsidRDefault="00A27A6F">
      <w:pPr>
        <w:spacing w:line="240" w:lineRule="auto"/>
      </w:pPr>
    </w:p>
    <w:p w14:paraId="04E101A1" w14:textId="77777777" w:rsidR="00A27A6F" w:rsidRDefault="002C0949">
      <w:pPr>
        <w:keepNext/>
        <w:spacing w:line="240" w:lineRule="auto"/>
        <w:rPr>
          <w:b/>
        </w:rPr>
      </w:pPr>
      <w:r>
        <w:rPr>
          <w:b/>
        </w:rPr>
        <w:t>Kasutamine lastel ja noorukitel</w:t>
      </w:r>
    </w:p>
    <w:p w14:paraId="470828DF" w14:textId="77777777" w:rsidR="00A27A6F" w:rsidRDefault="002C0949">
      <w:pPr>
        <w:spacing w:line="240" w:lineRule="auto"/>
      </w:pPr>
      <w:r>
        <w:t>ALPROLIX’it võib kasutada igas vanuses lastel ja noorukitel. Alla 12 aasta vanustel lastel võib osutuda vajalikuks sagedasem süstimine või suuremad annused; tavaannus on 50…60 RÜ kehakaalu kg kohta manustatuna üks kord iga 7 päeva järel.</w:t>
      </w:r>
    </w:p>
    <w:p w14:paraId="1F14D35F" w14:textId="77777777" w:rsidR="00A27A6F" w:rsidRDefault="00A27A6F">
      <w:pPr>
        <w:spacing w:line="240" w:lineRule="auto"/>
      </w:pPr>
    </w:p>
    <w:p w14:paraId="7CFDAD9D" w14:textId="77777777" w:rsidR="00A27A6F" w:rsidRDefault="002C0949">
      <w:pPr>
        <w:keepNext/>
        <w:spacing w:line="240" w:lineRule="auto"/>
        <w:rPr>
          <w:b/>
        </w:rPr>
      </w:pPr>
      <w:r>
        <w:rPr>
          <w:b/>
        </w:rPr>
        <w:t>Kui te kasutate ALPROLIX’it rohkem, kui ette nähtud</w:t>
      </w:r>
    </w:p>
    <w:p w14:paraId="2AFA5287" w14:textId="77777777" w:rsidR="00A27A6F" w:rsidRDefault="002C0949">
      <w:pPr>
        <w:spacing w:line="240" w:lineRule="auto"/>
      </w:pPr>
      <w:r>
        <w:t>Pidage esimesel võimalusel nõu oma arstiga. Kasutage ALPROLIX’it alati täpselt nii, nagu arst on teile selgitanud. Kui te ei ole milleski kindel, pidage nõu oma arsti, apteekri või meditsiiniõega.</w:t>
      </w:r>
    </w:p>
    <w:p w14:paraId="603CCD7F" w14:textId="77777777" w:rsidR="00A27A6F" w:rsidRDefault="00A27A6F">
      <w:pPr>
        <w:spacing w:line="240" w:lineRule="auto"/>
      </w:pPr>
    </w:p>
    <w:p w14:paraId="17A473C8" w14:textId="77777777" w:rsidR="00A27A6F" w:rsidRDefault="002C0949">
      <w:pPr>
        <w:keepNext/>
        <w:spacing w:line="240" w:lineRule="auto"/>
        <w:rPr>
          <w:b/>
        </w:rPr>
      </w:pPr>
      <w:r>
        <w:rPr>
          <w:b/>
        </w:rPr>
        <w:t>Kui te unustate ALPROLIX’it kasutada</w:t>
      </w:r>
    </w:p>
    <w:p w14:paraId="1AFA6FB0" w14:textId="77777777" w:rsidR="00A27A6F" w:rsidRDefault="002C0949">
      <w:pPr>
        <w:spacing w:line="240" w:lineRule="auto"/>
      </w:pPr>
      <w:r>
        <w:t>Ärge võtke kahekordset annust, kui annus jäi eelmisel korral võtmata. Võtke annus niipea kui see teile meenub ning jätkake seejärel normaalse manustamisgraafikuga. Kui te ei ole kindel, mida teha, pidage nõu oma arsti, apteekri või meditsiiniõega.</w:t>
      </w:r>
    </w:p>
    <w:p w14:paraId="149B76FA" w14:textId="77777777" w:rsidR="00A27A6F" w:rsidRDefault="00A27A6F">
      <w:pPr>
        <w:spacing w:line="240" w:lineRule="auto"/>
      </w:pPr>
    </w:p>
    <w:p w14:paraId="2B30059A" w14:textId="77777777" w:rsidR="00A27A6F" w:rsidRDefault="002C0949">
      <w:pPr>
        <w:keepNext/>
        <w:spacing w:line="240" w:lineRule="auto"/>
        <w:rPr>
          <w:b/>
        </w:rPr>
      </w:pPr>
      <w:r>
        <w:rPr>
          <w:b/>
        </w:rPr>
        <w:lastRenderedPageBreak/>
        <w:t>Kui te lõpetate ALPROLIX’i kasutamise</w:t>
      </w:r>
    </w:p>
    <w:p w14:paraId="6C53A1EF" w14:textId="77777777" w:rsidR="00A27A6F" w:rsidRDefault="002C0949">
      <w:pPr>
        <w:spacing w:line="240" w:lineRule="auto"/>
      </w:pPr>
      <w:r>
        <w:t>Ärge lõpetage ALPROLIX’i kasutamist ilma eelnevalt arstiga konsulteerimata. ALPROLIX’i kasutamise lõpetamisel ei pruugi te olla enam kaitstud veritsuse tekke eest või teie veritsus ei pruugi peatuda.</w:t>
      </w:r>
    </w:p>
    <w:p w14:paraId="5F78487B" w14:textId="77777777" w:rsidR="00A27A6F" w:rsidRDefault="00A27A6F">
      <w:pPr>
        <w:spacing w:line="240" w:lineRule="auto"/>
      </w:pPr>
    </w:p>
    <w:p w14:paraId="24817DDD" w14:textId="77777777" w:rsidR="00A27A6F" w:rsidRDefault="002C0949">
      <w:pPr>
        <w:spacing w:line="240" w:lineRule="auto"/>
      </w:pPr>
      <w:r>
        <w:t>Kui teil on lisaküsimusi selle ravimi kasutamise kohta, pidage nõu oma arsti, apteekri või meditsiiniõega.</w:t>
      </w:r>
    </w:p>
    <w:p w14:paraId="16C63F56" w14:textId="77777777" w:rsidR="00A27A6F" w:rsidRDefault="00A27A6F">
      <w:pPr>
        <w:spacing w:line="240" w:lineRule="auto"/>
      </w:pPr>
    </w:p>
    <w:p w14:paraId="4E78749F" w14:textId="77777777" w:rsidR="00A27A6F" w:rsidRDefault="00A27A6F">
      <w:pPr>
        <w:spacing w:line="240" w:lineRule="auto"/>
      </w:pPr>
    </w:p>
    <w:p w14:paraId="7E1EE24E" w14:textId="77777777" w:rsidR="00A27A6F" w:rsidRDefault="002C0949">
      <w:pPr>
        <w:pStyle w:val="ListParagraph"/>
        <w:keepNext/>
        <w:ind w:left="567" w:hanging="567"/>
        <w:rPr>
          <w:b/>
          <w:sz w:val="22"/>
        </w:rPr>
      </w:pPr>
      <w:r>
        <w:rPr>
          <w:b/>
          <w:sz w:val="22"/>
        </w:rPr>
        <w:t>4.</w:t>
      </w:r>
      <w:r>
        <w:rPr>
          <w:b/>
          <w:sz w:val="22"/>
        </w:rPr>
        <w:tab/>
        <w:t>Võimalikud kõrvaltoimed</w:t>
      </w:r>
    </w:p>
    <w:p w14:paraId="01DCD5C8" w14:textId="77777777" w:rsidR="00A27A6F" w:rsidRDefault="00A27A6F">
      <w:pPr>
        <w:keepNext/>
        <w:spacing w:line="240" w:lineRule="auto"/>
      </w:pPr>
    </w:p>
    <w:p w14:paraId="10020E7C" w14:textId="77777777" w:rsidR="00A27A6F" w:rsidRDefault="002C0949">
      <w:pPr>
        <w:spacing w:line="240" w:lineRule="auto"/>
      </w:pPr>
      <w:r>
        <w:t>Nagu kõik ravimid, võib ka see ravim põhjustada kõrvaltoimeid, kuigi kõigil neid ei teki.</w:t>
      </w:r>
    </w:p>
    <w:p w14:paraId="39F260B3" w14:textId="77777777" w:rsidR="00A27A6F" w:rsidRDefault="00A27A6F">
      <w:pPr>
        <w:spacing w:line="240" w:lineRule="auto"/>
      </w:pPr>
    </w:p>
    <w:p w14:paraId="22747F9B" w14:textId="77777777" w:rsidR="00A27A6F" w:rsidRDefault="002C0949">
      <w:pPr>
        <w:spacing w:line="240" w:lineRule="auto"/>
      </w:pPr>
      <w:r>
        <w:t>Ägeda ootamatu allergilise reaktsiooni (anafülaktiline reaktsioon) tekkimisel tuleb süstimine viivitamatult peatada. Juhul kui teil ilmneb ükskõik milliseid järgmistest allergilise reaktsiooni sümptomitest, peate viivitamatult pöörduma oma arsti poole: näo turse, nahalööve, üldine sügelus, nõgestõbi, pitsitustunne rindkeres, hingamisraskused, põletus- ja torkimistunne süstekohal, külmavärinad, õhetus, peavalu, üldine halb enesetunne, iiveldus, rahutus, kiired südamelöögid ja madal vererõhk.</w:t>
      </w:r>
    </w:p>
    <w:p w14:paraId="6A502935" w14:textId="77777777" w:rsidR="00A27A6F" w:rsidRDefault="00A27A6F">
      <w:pPr>
        <w:spacing w:line="240" w:lineRule="auto"/>
      </w:pPr>
    </w:p>
    <w:p w14:paraId="2049D689" w14:textId="77777777" w:rsidR="00A27A6F" w:rsidRDefault="002C0949">
      <w:pPr>
        <w:numPr>
          <w:ilvl w:val="12"/>
          <w:numId w:val="0"/>
        </w:numPr>
        <w:spacing w:line="240" w:lineRule="auto"/>
        <w:ind w:right="-2"/>
      </w:pPr>
      <w:r>
        <w:t>Lastel, keda ei ole eelnevalt ravitud IX faktorit sisaldavate ravimitega, võivad inhibiitorid (vt lõik 2) tekkida sageli (kuni ühel patsiendil 10</w:t>
      </w:r>
      <w:r>
        <w:noBreakHyphen/>
        <w:t>st). Sellisel juhul ei pruugi ravim enam korralikult toimida ja teie lapse veritsus võib muutuda püsivaks. Sellisel juhul peate kohe pöörduma oma arsti poole.</w:t>
      </w:r>
    </w:p>
    <w:p w14:paraId="4BB7F80C" w14:textId="77777777" w:rsidR="00A27A6F" w:rsidRDefault="00A27A6F">
      <w:pPr>
        <w:numPr>
          <w:ilvl w:val="12"/>
          <w:numId w:val="0"/>
        </w:numPr>
        <w:spacing w:line="240" w:lineRule="auto"/>
        <w:ind w:right="-2"/>
      </w:pPr>
    </w:p>
    <w:p w14:paraId="6BB3B9A0" w14:textId="77777777" w:rsidR="00A27A6F" w:rsidRDefault="002C0949">
      <w:pPr>
        <w:spacing w:line="240" w:lineRule="auto"/>
      </w:pPr>
      <w:r>
        <w:t>Selle ravimiga võivad kaasneda järgmised kõrvaltoimed.</w:t>
      </w:r>
    </w:p>
    <w:p w14:paraId="68E52416" w14:textId="77777777" w:rsidR="00A27A6F" w:rsidRDefault="00A27A6F">
      <w:pPr>
        <w:numPr>
          <w:ilvl w:val="12"/>
          <w:numId w:val="0"/>
        </w:numPr>
        <w:spacing w:line="240" w:lineRule="auto"/>
        <w:ind w:right="-2"/>
        <w:rPr>
          <w:b/>
        </w:rPr>
      </w:pPr>
    </w:p>
    <w:p w14:paraId="39A64EA9" w14:textId="77777777" w:rsidR="00A27A6F" w:rsidRDefault="002C0949">
      <w:pPr>
        <w:numPr>
          <w:ilvl w:val="12"/>
          <w:numId w:val="0"/>
        </w:numPr>
        <w:spacing w:line="240" w:lineRule="auto"/>
        <w:ind w:right="-2"/>
      </w:pPr>
      <w:r>
        <w:rPr>
          <w:b/>
        </w:rPr>
        <w:t>Sageli esinevad kõrvaltoimed (võivad esineda kuni ühel inimesel 10</w:t>
      </w:r>
      <w:r>
        <w:rPr>
          <w:b/>
        </w:rPr>
        <w:noBreakHyphen/>
        <w:t xml:space="preserve">st): </w:t>
      </w:r>
      <w:r>
        <w:t>peavalu, tuimus või torkimistunne suus, valu küljes, millega kaasneb veri uriinis (obstruktiivne uropaatia) ja punetus süstekohas.</w:t>
      </w:r>
    </w:p>
    <w:p w14:paraId="3C248E19" w14:textId="32E44122" w:rsidR="00A27A6F" w:rsidRDefault="002C0949">
      <w:pPr>
        <w:numPr>
          <w:ilvl w:val="12"/>
          <w:numId w:val="0"/>
        </w:numPr>
        <w:spacing w:line="240" w:lineRule="auto"/>
        <w:ind w:right="-2"/>
      </w:pPr>
      <w:r>
        <w:t>Lastel, keda ei ole eelnevalt ravitud IX faktorit sisaldavate ravimitega: IX faktori inhibiitorid ja ülitundlikkus.</w:t>
      </w:r>
    </w:p>
    <w:p w14:paraId="616C33B7" w14:textId="77777777" w:rsidR="00A27A6F" w:rsidRDefault="00A27A6F">
      <w:pPr>
        <w:numPr>
          <w:ilvl w:val="12"/>
          <w:numId w:val="0"/>
        </w:numPr>
        <w:spacing w:line="240" w:lineRule="auto"/>
        <w:ind w:right="-2"/>
        <w:rPr>
          <w:bCs/>
        </w:rPr>
      </w:pPr>
    </w:p>
    <w:p w14:paraId="0F08DD22" w14:textId="77777777" w:rsidR="00A27A6F" w:rsidRDefault="002C0949">
      <w:pPr>
        <w:numPr>
          <w:ilvl w:val="12"/>
          <w:numId w:val="0"/>
        </w:numPr>
        <w:spacing w:line="240" w:lineRule="auto"/>
        <w:ind w:right="-2"/>
      </w:pPr>
      <w:r>
        <w:rPr>
          <w:b/>
          <w:bCs/>
        </w:rPr>
        <w:t>Aeg-ajalt esinevad kõrvaltoimed (võivad esineda kuni ühel inimesel 100</w:t>
      </w:r>
      <w:r>
        <w:rPr>
          <w:b/>
          <w:bCs/>
        </w:rPr>
        <w:noBreakHyphen/>
        <w:t>st):</w:t>
      </w:r>
      <w:r>
        <w:t xml:space="preserve"> pearinglus, maitsetundlikkuse muutused, halb hingeõhk, väsimustunne, valu süstekohas, kiired südamelöögid, veri uriinis (hematuuria), valu küljes (neeruvoolmed), madal vererõhk ja söögiisu vähenemine.</w:t>
      </w:r>
    </w:p>
    <w:p w14:paraId="6218192C" w14:textId="77777777" w:rsidR="00A27A6F" w:rsidRDefault="00A27A6F">
      <w:pPr>
        <w:numPr>
          <w:ilvl w:val="12"/>
          <w:numId w:val="0"/>
        </w:numPr>
        <w:spacing w:line="240" w:lineRule="auto"/>
        <w:ind w:right="-2"/>
      </w:pPr>
    </w:p>
    <w:p w14:paraId="518A9330" w14:textId="79A38E37" w:rsidR="00A27A6F" w:rsidRDefault="002C0949">
      <w:pPr>
        <w:keepNext/>
        <w:spacing w:line="240" w:lineRule="auto"/>
        <w:rPr>
          <w:b/>
        </w:rPr>
      </w:pPr>
      <w:r>
        <w:rPr>
          <w:b/>
        </w:rPr>
        <w:t>Kõrvaltoimetest teatamine</w:t>
      </w:r>
    </w:p>
    <w:p w14:paraId="4C3D68FC" w14:textId="1A62CEBC" w:rsidR="00A27A6F" w:rsidRDefault="002C0949">
      <w:pPr>
        <w:spacing w:line="240" w:lineRule="auto"/>
      </w:pPr>
      <w:r>
        <w:t xml:space="preserve">Kui teil tekib ükskõik milline kõrvaltoime, pidage nõu oma arsti, apteekri või meditsiiniõega. Kõrvaltoime võib olla ka selline, mida selles infolehes ei ole nimetatud. Kõrvaltoimetest võite ka ise teatada </w:t>
      </w:r>
      <w:r>
        <w:rPr>
          <w:shd w:val="clear" w:color="auto" w:fill="D9D9D9"/>
        </w:rPr>
        <w:t xml:space="preserve">riikliku teavitussüsteemi (vt </w:t>
      </w:r>
      <w:hyperlink r:id="rId34">
        <w:r>
          <w:rPr>
            <w:rStyle w:val="Hyperlink"/>
            <w:szCs w:val="22"/>
            <w:shd w:val="clear" w:color="auto" w:fill="D9D9D9"/>
          </w:rPr>
          <w:t>V lisa)</w:t>
        </w:r>
      </w:hyperlink>
      <w:r>
        <w:t xml:space="preserve"> kaudu. Teatades aitate saada rohkem infot ravimi ohutusest.</w:t>
      </w:r>
    </w:p>
    <w:p w14:paraId="6AF16F80" w14:textId="77777777" w:rsidR="00A27A6F" w:rsidRDefault="00A27A6F">
      <w:pPr>
        <w:numPr>
          <w:ilvl w:val="12"/>
          <w:numId w:val="0"/>
        </w:numPr>
        <w:spacing w:line="240" w:lineRule="auto"/>
        <w:ind w:right="-2"/>
        <w:rPr>
          <w:b/>
        </w:rPr>
      </w:pPr>
    </w:p>
    <w:p w14:paraId="4B4F672D" w14:textId="77777777" w:rsidR="00A27A6F" w:rsidRDefault="00A27A6F">
      <w:pPr>
        <w:numPr>
          <w:ilvl w:val="12"/>
          <w:numId w:val="0"/>
        </w:numPr>
        <w:spacing w:line="240" w:lineRule="auto"/>
        <w:ind w:right="-2"/>
        <w:rPr>
          <w:b/>
        </w:rPr>
      </w:pPr>
    </w:p>
    <w:p w14:paraId="403615EB" w14:textId="77777777" w:rsidR="00A27A6F" w:rsidRDefault="002C0949">
      <w:pPr>
        <w:pStyle w:val="ListParagraph"/>
        <w:keepNext/>
        <w:ind w:left="567" w:hanging="567"/>
        <w:rPr>
          <w:b/>
          <w:sz w:val="22"/>
          <w:szCs w:val="22"/>
        </w:rPr>
      </w:pPr>
      <w:r>
        <w:rPr>
          <w:b/>
          <w:sz w:val="22"/>
          <w:szCs w:val="22"/>
        </w:rPr>
        <w:t>5.</w:t>
      </w:r>
      <w:r>
        <w:rPr>
          <w:b/>
          <w:sz w:val="22"/>
          <w:szCs w:val="22"/>
        </w:rPr>
        <w:tab/>
        <w:t>Kuidas ALPROLIX’it säilitada</w:t>
      </w:r>
    </w:p>
    <w:p w14:paraId="75F3B9C6" w14:textId="77777777" w:rsidR="00A27A6F" w:rsidRDefault="00A27A6F">
      <w:pPr>
        <w:keepNext/>
        <w:spacing w:line="240" w:lineRule="auto"/>
      </w:pPr>
    </w:p>
    <w:p w14:paraId="222AE63B" w14:textId="77777777" w:rsidR="00A27A6F" w:rsidRDefault="002C0949">
      <w:pPr>
        <w:spacing w:line="240" w:lineRule="auto"/>
      </w:pPr>
      <w:r>
        <w:t>Hoidke seda ravimit laste eest varjatud ja kättesaamatus kohas.</w:t>
      </w:r>
    </w:p>
    <w:p w14:paraId="1F50475A" w14:textId="77777777" w:rsidR="00570306" w:rsidRDefault="00570306" w:rsidP="00570306">
      <w:pPr>
        <w:spacing w:line="240" w:lineRule="auto"/>
      </w:pPr>
    </w:p>
    <w:p w14:paraId="65CE0CA1" w14:textId="77777777" w:rsidR="00570306" w:rsidRDefault="00570306" w:rsidP="00570306">
      <w:pPr>
        <w:spacing w:line="240" w:lineRule="auto"/>
      </w:pPr>
      <w:r>
        <w:t>Ärge kasutage seda ravimit pärast kõlblikkusaega, mis on märgitud karbil ja viaali sildil pärast märget „EXP”. Kõlblikkusaeg viitab selle kuu viimasele päevale. Ärge kasutage seda ravimit, kui seda on hoitud toatemperatuuril kauem kui 6 kuud.</w:t>
      </w:r>
    </w:p>
    <w:p w14:paraId="62CF1E4D" w14:textId="77777777" w:rsidR="00A27A6F" w:rsidRDefault="00A27A6F">
      <w:pPr>
        <w:spacing w:line="240" w:lineRule="auto"/>
      </w:pPr>
    </w:p>
    <w:p w14:paraId="3ECA6B01" w14:textId="77777777" w:rsidR="00A27A6F" w:rsidRDefault="002C0949">
      <w:pPr>
        <w:spacing w:line="240" w:lineRule="auto"/>
      </w:pPr>
      <w:r>
        <w:t xml:space="preserve">Hoida külmkapis (2°C…8°C). Mitte </w:t>
      </w:r>
      <w:r>
        <w:rPr>
          <w:szCs w:val="22"/>
        </w:rPr>
        <w:t xml:space="preserve">lasta külmuda. </w:t>
      </w:r>
      <w:r>
        <w:t>Hoida originaalpakendis valguse eest kaitstult.</w:t>
      </w:r>
    </w:p>
    <w:p w14:paraId="7677E8F1" w14:textId="77777777" w:rsidR="00A27A6F" w:rsidRDefault="00A27A6F">
      <w:pPr>
        <w:spacing w:line="240" w:lineRule="auto"/>
      </w:pPr>
    </w:p>
    <w:p w14:paraId="71304EBF" w14:textId="77777777" w:rsidR="00A27A6F" w:rsidRDefault="002C0949">
      <w:pPr>
        <w:spacing w:line="240" w:lineRule="auto"/>
      </w:pPr>
      <w:r>
        <w:lastRenderedPageBreak/>
        <w:t>Alternatiivselt võib ALPROLIX’it säilitada toatemperatuuril (kuni 30°C) ühe ajaperioodi jooksul, mis ei ületa 6 kuud. Palun märkige karbile kuupäev, mil ALPROLIX külmutuskapist välja võetakse ja toetemperatuurile viiakse. Pärast toatemperatuuril hoidmist ei tohi ravimit uuesti külmkappi panna.</w:t>
      </w:r>
    </w:p>
    <w:p w14:paraId="512FB1FE" w14:textId="77777777" w:rsidR="00A27A6F" w:rsidRDefault="00A27A6F">
      <w:pPr>
        <w:spacing w:line="240" w:lineRule="auto"/>
      </w:pPr>
    </w:p>
    <w:p w14:paraId="2DCC2BE0" w14:textId="383901C5" w:rsidR="00A27A6F" w:rsidRPr="00356F66" w:rsidRDefault="002C0949">
      <w:pPr>
        <w:spacing w:line="240" w:lineRule="auto"/>
      </w:pPr>
      <w:r w:rsidRPr="00356F66">
        <w:t>ALPROLIX tuleb kohe pärast selle ette valmistamist ära kasutada. Juhul kui te ei saa ettevalmistatud lahust kohe kasutada, tuleb see ära kasutada 6 tunni jooksul, kui seda on hoitud toatemperatuuril. Ärge pange lahust pärast ettevalmistamist külmkappi. Hoidke lahust otsese päikesevalguse eest.</w:t>
      </w:r>
    </w:p>
    <w:p w14:paraId="0CBBF89C" w14:textId="77777777" w:rsidR="00A27A6F" w:rsidRPr="00356F66" w:rsidRDefault="00A27A6F">
      <w:pPr>
        <w:spacing w:line="240" w:lineRule="auto"/>
      </w:pPr>
    </w:p>
    <w:p w14:paraId="223D300C" w14:textId="7E05C2FF" w:rsidR="00A27A6F" w:rsidRDefault="002C0949">
      <w:pPr>
        <w:spacing w:line="240" w:lineRule="auto"/>
      </w:pPr>
      <w:r w:rsidRPr="00356F66">
        <w:t xml:space="preserve">Ettevalmistatud lahus on läbipaistev või kergelt </w:t>
      </w:r>
      <w:r w:rsidR="00844BF2" w:rsidRPr="00356F66">
        <w:t>pärlmutterjas (</w:t>
      </w:r>
      <w:r w:rsidRPr="00356F66">
        <w:t>küütlev</w:t>
      </w:r>
      <w:r w:rsidR="00844BF2" w:rsidRPr="00356F66">
        <w:t>)</w:t>
      </w:r>
      <w:r w:rsidRPr="00356F66">
        <w:t xml:space="preserve"> ja värvitu. Ärge kasutage seda ravimit, kui täheldate, et see on hägune või sisaldab nähtavaid osakesi.</w:t>
      </w:r>
    </w:p>
    <w:p w14:paraId="2068F8C1" w14:textId="77777777" w:rsidR="00A27A6F" w:rsidRDefault="00A27A6F">
      <w:pPr>
        <w:spacing w:line="240" w:lineRule="auto"/>
      </w:pPr>
    </w:p>
    <w:p w14:paraId="761BC705" w14:textId="77777777" w:rsidR="00A27A6F" w:rsidRDefault="002C0949">
      <w:pPr>
        <w:spacing w:line="240" w:lineRule="auto"/>
      </w:pPr>
      <w:r>
        <w:t>See preparaat on ühekordseks kasutamiseks.</w:t>
      </w:r>
    </w:p>
    <w:p w14:paraId="22AF12E3" w14:textId="77777777" w:rsidR="00A27A6F" w:rsidRDefault="00A27A6F">
      <w:pPr>
        <w:spacing w:line="240" w:lineRule="auto"/>
      </w:pPr>
    </w:p>
    <w:p w14:paraId="317462E9" w14:textId="0FEC95E1" w:rsidR="00A27A6F" w:rsidRDefault="002C0949">
      <w:pPr>
        <w:spacing w:line="240" w:lineRule="auto"/>
      </w:pPr>
      <w:r>
        <w:t>Kasutamata jäänud lahus tuleb asjakohaselt hävitada. Ärge visake ravimeid kanalisatsiooni ega olmejäätmete hulka. Küsige oma apteekrilt, kuidas hävitada ravimeid, mida te enam ei kasuta. Need meetmed aitavad kaitsta keskkonda.</w:t>
      </w:r>
    </w:p>
    <w:p w14:paraId="59035351" w14:textId="77777777" w:rsidR="00A27A6F" w:rsidRDefault="00A27A6F">
      <w:pPr>
        <w:spacing w:line="240" w:lineRule="auto"/>
      </w:pPr>
    </w:p>
    <w:p w14:paraId="6FA03FFC" w14:textId="77777777" w:rsidR="00A27A6F" w:rsidRDefault="00A27A6F">
      <w:pPr>
        <w:numPr>
          <w:ilvl w:val="12"/>
          <w:numId w:val="0"/>
        </w:numPr>
        <w:spacing w:line="240" w:lineRule="auto"/>
        <w:ind w:right="-2"/>
        <w:rPr>
          <w:bCs/>
        </w:rPr>
      </w:pPr>
    </w:p>
    <w:p w14:paraId="71C3A686" w14:textId="77777777" w:rsidR="00A27A6F" w:rsidRDefault="002C0949">
      <w:pPr>
        <w:pStyle w:val="ListParagraph"/>
        <w:keepNext/>
        <w:ind w:left="567" w:hanging="567"/>
        <w:rPr>
          <w:b/>
          <w:sz w:val="22"/>
        </w:rPr>
      </w:pPr>
      <w:r>
        <w:rPr>
          <w:b/>
          <w:sz w:val="22"/>
        </w:rPr>
        <w:t>6.</w:t>
      </w:r>
      <w:r>
        <w:rPr>
          <w:b/>
          <w:sz w:val="22"/>
        </w:rPr>
        <w:tab/>
        <w:t>Pakendi sisu ja muu teave</w:t>
      </w:r>
    </w:p>
    <w:p w14:paraId="79D845CE" w14:textId="77777777" w:rsidR="00A27A6F" w:rsidRDefault="00A27A6F">
      <w:pPr>
        <w:keepNext/>
        <w:spacing w:line="240" w:lineRule="auto"/>
        <w:rPr>
          <w:b/>
        </w:rPr>
      </w:pPr>
    </w:p>
    <w:p w14:paraId="78FAFC06" w14:textId="77777777" w:rsidR="00A27A6F" w:rsidRDefault="002C0949">
      <w:pPr>
        <w:keepNext/>
        <w:spacing w:line="240" w:lineRule="auto"/>
        <w:rPr>
          <w:b/>
        </w:rPr>
      </w:pPr>
      <w:r>
        <w:rPr>
          <w:b/>
        </w:rPr>
        <w:t>Mida ALPROLIX sisaldab</w:t>
      </w:r>
    </w:p>
    <w:p w14:paraId="4FA36CB0" w14:textId="77777777" w:rsidR="00A27A6F" w:rsidRDefault="002C0949">
      <w:pPr>
        <w:keepNext/>
        <w:spacing w:line="240" w:lineRule="auto"/>
        <w:rPr>
          <w:u w:val="single"/>
        </w:rPr>
      </w:pPr>
      <w:r>
        <w:rPr>
          <w:u w:val="single"/>
        </w:rPr>
        <w:t>Pulber:</w:t>
      </w:r>
    </w:p>
    <w:p w14:paraId="4B8D752D" w14:textId="77777777" w:rsidR="00A27A6F" w:rsidRDefault="002C0949">
      <w:pPr>
        <w:numPr>
          <w:ilvl w:val="0"/>
          <w:numId w:val="44"/>
        </w:numPr>
        <w:spacing w:line="240" w:lineRule="auto"/>
        <w:ind w:left="567" w:hanging="567"/>
      </w:pPr>
      <w:r>
        <w:t>Toimeaine on alfaeftrenonakog (rekombinantne IX hüübimisfaktor, Fc fusioonvalk). Üks ALPROLIX’i viaal sisaldab nominaalselt 250, 500, 1000, 2000 või 3000 RÜ alfaeftrenonakogi.</w:t>
      </w:r>
    </w:p>
    <w:p w14:paraId="0CD52601" w14:textId="77777777" w:rsidR="00A27A6F" w:rsidRDefault="002C0949">
      <w:pPr>
        <w:numPr>
          <w:ilvl w:val="0"/>
          <w:numId w:val="44"/>
        </w:numPr>
        <w:spacing w:line="240" w:lineRule="auto"/>
        <w:ind w:left="567" w:hanging="567"/>
      </w:pPr>
      <w:r>
        <w:t>Teised koostisosad on sahharoos, histidiin, mannitool, polüsorbaat 20, naatriumhüdroksiid ja vesinikkloriidhape. Kui olete kontrollitud naatriumisisaldusega dieedil, vt lõik 2.</w:t>
      </w:r>
    </w:p>
    <w:p w14:paraId="681FA1FE" w14:textId="77777777" w:rsidR="00A27A6F" w:rsidRDefault="00A27A6F">
      <w:pPr>
        <w:spacing w:line="240" w:lineRule="auto"/>
        <w:rPr>
          <w:u w:val="single"/>
        </w:rPr>
      </w:pPr>
    </w:p>
    <w:p w14:paraId="20967EDE" w14:textId="77777777" w:rsidR="00A27A6F" w:rsidRDefault="002C0949">
      <w:pPr>
        <w:keepNext/>
        <w:spacing w:line="240" w:lineRule="auto"/>
        <w:rPr>
          <w:u w:val="single"/>
        </w:rPr>
      </w:pPr>
      <w:r>
        <w:rPr>
          <w:u w:val="single"/>
        </w:rPr>
        <w:t>Lahusti:</w:t>
      </w:r>
    </w:p>
    <w:p w14:paraId="488DCC36" w14:textId="59543A56" w:rsidR="00A27A6F" w:rsidRDefault="002C0949">
      <w:pPr>
        <w:spacing w:line="240" w:lineRule="auto"/>
      </w:pPr>
      <w:r>
        <w:t xml:space="preserve">5 ml </w:t>
      </w:r>
      <w:r>
        <w:rPr>
          <w:szCs w:val="22"/>
        </w:rPr>
        <w:t>naatriumkloriid</w:t>
      </w:r>
      <w:r>
        <w:t xml:space="preserve"> ja </w:t>
      </w:r>
      <w:r w:rsidRPr="00356F66">
        <w:t>süstevesi</w:t>
      </w:r>
      <w:r w:rsidR="00842121" w:rsidRPr="00356F66">
        <w:t>.</w:t>
      </w:r>
    </w:p>
    <w:p w14:paraId="02E00AFD" w14:textId="77777777" w:rsidR="00A27A6F" w:rsidRDefault="00A27A6F">
      <w:pPr>
        <w:spacing w:line="240" w:lineRule="auto"/>
      </w:pPr>
    </w:p>
    <w:p w14:paraId="68123771" w14:textId="77777777" w:rsidR="00A27A6F" w:rsidRDefault="002C0949">
      <w:pPr>
        <w:keepNext/>
        <w:spacing w:line="240" w:lineRule="auto"/>
        <w:rPr>
          <w:b/>
        </w:rPr>
      </w:pPr>
      <w:r>
        <w:rPr>
          <w:b/>
        </w:rPr>
        <w:t>Kuidas ALPROLIX välja näeb ja pakendi sisu</w:t>
      </w:r>
    </w:p>
    <w:p w14:paraId="1DE5D85A" w14:textId="76A7D3DB" w:rsidR="00A27A6F" w:rsidRDefault="002C0949">
      <w:pPr>
        <w:numPr>
          <w:ilvl w:val="12"/>
          <w:numId w:val="0"/>
        </w:numPr>
        <w:spacing w:line="240" w:lineRule="auto"/>
        <w:ind w:right="-2"/>
        <w:rPr>
          <w:rFonts w:eastAsia="SimSun"/>
          <w:lang w:eastAsia="en-GB"/>
        </w:rPr>
      </w:pPr>
      <w:r>
        <w:t xml:space="preserve">ALPROLIX’it tarnitakse süstelahuse pulbri ja lahustina. Pulber on valge </w:t>
      </w:r>
      <w:r w:rsidRPr="00356F66">
        <w:t xml:space="preserve">kuni valkjas pulber või </w:t>
      </w:r>
      <w:r w:rsidR="001A654B" w:rsidRPr="00356F66">
        <w:t>paakunud pulber</w:t>
      </w:r>
      <w:r w:rsidRPr="00356F66">
        <w:t xml:space="preserve">. </w:t>
      </w:r>
      <w:r w:rsidR="00FD5BFE" w:rsidRPr="00356F66">
        <w:t>L</w:t>
      </w:r>
      <w:r w:rsidRPr="00356F66">
        <w:t>ahuse v</w:t>
      </w:r>
      <w:r>
        <w:t xml:space="preserve">almistamiseks ettenähtud lahusti on läbipaistev värvitu lahus. </w:t>
      </w:r>
      <w:r>
        <w:rPr>
          <w:rFonts w:eastAsia="SimSun"/>
        </w:rPr>
        <w:t>Pärast ettevalmistamist on lahus läbipaistev või kergelt küütlev ja värvitu.</w:t>
      </w:r>
    </w:p>
    <w:p w14:paraId="15A9A733" w14:textId="77777777" w:rsidR="00A27A6F" w:rsidRDefault="00A27A6F">
      <w:pPr>
        <w:numPr>
          <w:ilvl w:val="12"/>
          <w:numId w:val="0"/>
        </w:numPr>
        <w:spacing w:line="240" w:lineRule="auto"/>
        <w:ind w:right="-2"/>
        <w:rPr>
          <w:rFonts w:eastAsia="SimSun"/>
          <w:lang w:eastAsia="en-GB"/>
        </w:rPr>
      </w:pPr>
    </w:p>
    <w:p w14:paraId="28801357" w14:textId="77777777" w:rsidR="00A27A6F" w:rsidRDefault="002C0949">
      <w:pPr>
        <w:spacing w:line="240" w:lineRule="auto"/>
      </w:pPr>
      <w:r>
        <w:t>Üks ALPROLIX’i pakend sisaldab: 1 pulbriviaali, 5 ml lahustit süstlis, 1 kolvivarrast, 1 viaaliadapterit, 1 infusioonikomplekti, 2 alkoholis niisutatud vatitupsu, 2 plaastrit ja 1 marlilappi.</w:t>
      </w:r>
    </w:p>
    <w:p w14:paraId="5472B2D7" w14:textId="77777777" w:rsidR="00A27A6F" w:rsidRDefault="00A27A6F">
      <w:pPr>
        <w:spacing w:line="240" w:lineRule="auto"/>
      </w:pPr>
    </w:p>
    <w:p w14:paraId="4F43D1D3" w14:textId="77777777" w:rsidR="00A27A6F" w:rsidRDefault="002C0949">
      <w:pPr>
        <w:keepNext/>
        <w:spacing w:line="240" w:lineRule="auto"/>
        <w:rPr>
          <w:b/>
        </w:rPr>
      </w:pPr>
      <w:r>
        <w:rPr>
          <w:b/>
        </w:rPr>
        <w:t>Müügiloa hoidja ja tootja</w:t>
      </w:r>
    </w:p>
    <w:p w14:paraId="77D55ED2" w14:textId="77777777" w:rsidR="00A27A6F" w:rsidRDefault="002C0949">
      <w:pPr>
        <w:keepNext/>
        <w:spacing w:line="240" w:lineRule="auto"/>
      </w:pPr>
      <w:r>
        <w:t>Swedish Orphan Biovitrum AB (publ)</w:t>
      </w:r>
    </w:p>
    <w:p w14:paraId="4FA38FF4" w14:textId="77777777" w:rsidR="00A27A6F" w:rsidRDefault="002C0949">
      <w:pPr>
        <w:keepNext/>
        <w:spacing w:line="240" w:lineRule="auto"/>
      </w:pPr>
      <w:r>
        <w:t>SE-112 76 Stockholm</w:t>
      </w:r>
    </w:p>
    <w:p w14:paraId="50D6729C" w14:textId="77777777" w:rsidR="00A27A6F" w:rsidRDefault="002C0949">
      <w:pPr>
        <w:spacing w:line="240" w:lineRule="auto"/>
      </w:pPr>
      <w:r>
        <w:t>Rootsi</w:t>
      </w:r>
    </w:p>
    <w:p w14:paraId="4DF7A4E3" w14:textId="77777777" w:rsidR="00A27A6F" w:rsidRDefault="002C0949">
      <w:pPr>
        <w:numPr>
          <w:ilvl w:val="12"/>
          <w:numId w:val="0"/>
        </w:numPr>
        <w:tabs>
          <w:tab w:val="clear" w:pos="567"/>
        </w:tabs>
        <w:spacing w:line="240" w:lineRule="auto"/>
        <w:ind w:right="-2"/>
      </w:pPr>
      <w:r>
        <w:t>Telefon: +46 8 697 20 00</w:t>
      </w:r>
    </w:p>
    <w:p w14:paraId="307D669E" w14:textId="77777777" w:rsidR="00A27A6F" w:rsidRDefault="00A27A6F">
      <w:pPr>
        <w:spacing w:line="240" w:lineRule="auto"/>
      </w:pPr>
    </w:p>
    <w:p w14:paraId="55D6802E" w14:textId="77777777" w:rsidR="00A27A6F" w:rsidRDefault="00A27A6F">
      <w:pPr>
        <w:spacing w:line="240" w:lineRule="auto"/>
      </w:pPr>
    </w:p>
    <w:p w14:paraId="21005B2D" w14:textId="37AB4613" w:rsidR="00A27A6F" w:rsidRDefault="002C0949">
      <w:pPr>
        <w:keepNext/>
        <w:spacing w:line="240" w:lineRule="auto"/>
        <w:rPr>
          <w:b/>
        </w:rPr>
      </w:pPr>
      <w:r>
        <w:rPr>
          <w:b/>
        </w:rPr>
        <w:t xml:space="preserve">Infoleht on viimati uuendatud </w:t>
      </w:r>
    </w:p>
    <w:p w14:paraId="25B6877E" w14:textId="77777777" w:rsidR="00A27A6F" w:rsidRDefault="00A27A6F">
      <w:pPr>
        <w:keepNext/>
        <w:spacing w:line="240" w:lineRule="auto"/>
        <w:rPr>
          <w:b/>
        </w:rPr>
      </w:pPr>
    </w:p>
    <w:p w14:paraId="6678C4D0" w14:textId="323626E1" w:rsidR="00A27A6F" w:rsidRDefault="002C0949">
      <w:pPr>
        <w:numPr>
          <w:ilvl w:val="12"/>
          <w:numId w:val="0"/>
        </w:numPr>
        <w:spacing w:line="240" w:lineRule="auto"/>
        <w:ind w:right="-2"/>
        <w:rPr>
          <w:szCs w:val="24"/>
        </w:rPr>
      </w:pPr>
      <w:r>
        <w:t xml:space="preserve">Täpne teave selle ravimi kohta on Euroopa Ravimiameti kodulehel: </w:t>
      </w:r>
      <w:hyperlink r:id="rId35" w:history="1">
        <w:r>
          <w:rPr>
            <w:rStyle w:val="Hyperlink"/>
          </w:rPr>
          <w:t>http://www.ema.europa.eu</w:t>
        </w:r>
      </w:hyperlink>
      <w:r>
        <w:t>.</w:t>
      </w:r>
      <w:r>
        <w:rPr>
          <w:szCs w:val="24"/>
        </w:rPr>
        <w:t xml:space="preserve"> Samuti on seal viited teistele kodulehtedele harvaesinevate haiguste ja ravi kohta.</w:t>
      </w:r>
    </w:p>
    <w:p w14:paraId="422349D0" w14:textId="77777777" w:rsidR="00A27A6F" w:rsidRDefault="00A27A6F">
      <w:pPr>
        <w:spacing w:line="240" w:lineRule="auto"/>
      </w:pPr>
    </w:p>
    <w:p w14:paraId="5ED379C4" w14:textId="77777777" w:rsidR="00A27A6F" w:rsidRDefault="002C0949">
      <w:pPr>
        <w:spacing w:line="240" w:lineRule="auto"/>
      </w:pPr>
      <w:r>
        <w:t>Lõik 7 „Juhised ettevalmistamiseks ja manustamiseks“ asub infolehe pöördel.</w:t>
      </w:r>
    </w:p>
    <w:p w14:paraId="71F33FCC" w14:textId="77777777" w:rsidR="00A27A6F" w:rsidRDefault="00A27A6F">
      <w:pPr>
        <w:spacing w:line="240" w:lineRule="auto"/>
      </w:pPr>
    </w:p>
    <w:p w14:paraId="1BE36F05" w14:textId="77777777" w:rsidR="00A27A6F" w:rsidRDefault="00A27A6F">
      <w:pPr>
        <w:spacing w:line="240" w:lineRule="auto"/>
      </w:pPr>
    </w:p>
    <w:p w14:paraId="7F26DAAB" w14:textId="77777777" w:rsidR="00A27A6F" w:rsidRDefault="002C0949">
      <w:pPr>
        <w:keepNext/>
        <w:spacing w:line="240" w:lineRule="auto"/>
        <w:ind w:right="-2"/>
        <w:rPr>
          <w:b/>
        </w:rPr>
      </w:pPr>
      <w:r>
        <w:rPr>
          <w:b/>
        </w:rPr>
        <w:t>7.</w:t>
      </w:r>
      <w:r>
        <w:rPr>
          <w:b/>
        </w:rPr>
        <w:tab/>
        <w:t>Juhised ettevalmistamiseks ja manustamiseks</w:t>
      </w:r>
    </w:p>
    <w:p w14:paraId="109FD9BF" w14:textId="77777777" w:rsidR="00A27A6F" w:rsidRDefault="00A27A6F">
      <w:pPr>
        <w:keepNext/>
        <w:spacing w:line="240" w:lineRule="auto"/>
        <w:rPr>
          <w:b/>
        </w:rPr>
      </w:pPr>
    </w:p>
    <w:p w14:paraId="5F711F2B" w14:textId="77777777" w:rsidR="00A27A6F" w:rsidRDefault="002C0949">
      <w:pPr>
        <w:keepNext/>
        <w:spacing w:line="240" w:lineRule="auto"/>
      </w:pPr>
      <w:r>
        <w:t>Järgmised protseduurid kirjeldavad ALPROLIX’i ettevalmistamist ja manustamist.</w:t>
      </w:r>
    </w:p>
    <w:p w14:paraId="11C5A9F6" w14:textId="77777777" w:rsidR="00A27A6F" w:rsidRDefault="00A27A6F">
      <w:pPr>
        <w:keepNext/>
        <w:spacing w:line="240" w:lineRule="auto"/>
        <w:rPr>
          <w:b/>
        </w:rPr>
      </w:pPr>
    </w:p>
    <w:p w14:paraId="67160713" w14:textId="77777777" w:rsidR="00A27A6F" w:rsidRDefault="002C0949">
      <w:pPr>
        <w:keepNext/>
        <w:spacing w:line="240" w:lineRule="auto"/>
      </w:pPr>
      <w:r>
        <w:t>ALPROLIX’it manustatakse intravenoosse (i.v.) süstena pärast süstelahuse pulbri lahustamist süstlis tarnitud lahustiga. ALPROLIX’i pakend sisaldab:</w:t>
      </w:r>
    </w:p>
    <w:p w14:paraId="531A5365" w14:textId="77777777" w:rsidR="00A27A6F" w:rsidRDefault="00A27A6F">
      <w:pPr>
        <w:keepNext/>
        <w:spacing w:line="240" w:lineRule="auto"/>
      </w:pPr>
    </w:p>
    <w:p w14:paraId="33FE2E52" w14:textId="77777777" w:rsidR="00A27A6F" w:rsidRDefault="00A27A6F">
      <w:pPr>
        <w:keepNext/>
        <w:numPr>
          <w:ilvl w:val="12"/>
          <w:numId w:val="0"/>
        </w:numPr>
        <w:spacing w:line="240" w:lineRule="auto"/>
        <w:rPr>
          <w:b/>
        </w:rPr>
      </w:pPr>
    </w:p>
    <w:p w14:paraId="3943D775" w14:textId="77777777" w:rsidR="00A27A6F" w:rsidRDefault="002C0949">
      <w:pPr>
        <w:keepNext/>
        <w:numPr>
          <w:ilvl w:val="12"/>
          <w:numId w:val="0"/>
        </w:numPr>
        <w:spacing w:line="240" w:lineRule="auto"/>
        <w:rPr>
          <w:b/>
        </w:rPr>
      </w:pPr>
      <w:r>
        <w:rPr>
          <w:noProof/>
          <w:lang w:val="en-GB" w:eastAsia="en-GB"/>
        </w:rPr>
        <w:drawing>
          <wp:anchor distT="0" distB="0" distL="114300" distR="114300" simplePos="0" relativeHeight="251671040" behindDoc="0" locked="0" layoutInCell="1" allowOverlap="1" wp14:anchorId="3E4A148D" wp14:editId="3B033A31">
            <wp:simplePos x="0" y="0"/>
            <wp:positionH relativeFrom="column">
              <wp:posOffset>245745</wp:posOffset>
            </wp:positionH>
            <wp:positionV relativeFrom="paragraph">
              <wp:posOffset>14605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45440" behindDoc="0" locked="0" layoutInCell="1" allowOverlap="1" wp14:anchorId="05DC42E5" wp14:editId="6DFEFD8A">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308B2D4" w14:textId="77777777" w:rsidR="0081738A" w:rsidRDefault="0081738A">
                            <w:pPr>
                              <w:rPr>
                                <w:sz w:val="20"/>
                                <w:lang w:val="en-US"/>
                              </w:rPr>
                            </w:pPr>
                            <w:r>
                              <w:rPr>
                                <w:sz w:val="20"/>
                              </w:rPr>
                              <w:t>A) 1 pulbriviaal</w:t>
                            </w:r>
                            <w:r>
                              <w:rPr>
                                <w:sz w:val="20"/>
                              </w:rPr>
                              <w:br/>
                              <w:t>B) 5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r>
                              <w:rPr>
                                <w:sz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42E5" id="_x0000_s1027" type="#_x0000_t202" style="position:absolute;margin-left:293.25pt;margin-top:1.15pt;width:173.85pt;height:11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4308B2D4" w14:textId="77777777" w:rsidR="0081738A" w:rsidRDefault="0081738A">
                      <w:pPr>
                        <w:rPr>
                          <w:sz w:val="20"/>
                          <w:lang w:val="en-US"/>
                        </w:rPr>
                      </w:pPr>
                      <w:r>
                        <w:rPr>
                          <w:sz w:val="20"/>
                        </w:rPr>
                        <w:t xml:space="preserve">A) </w:t>
                      </w:r>
                      <w:r>
                        <w:rPr>
                          <w:sz w:val="20"/>
                        </w:rPr>
                        <w:t>1 pulbriviaal</w:t>
                      </w:r>
                      <w:r>
                        <w:rPr>
                          <w:sz w:val="20"/>
                        </w:rPr>
                        <w:br/>
                        <w:t>B) 5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r>
                        <w:rPr>
                          <w:sz w:val="20"/>
                        </w:rPr>
                        <w:br/>
                      </w:r>
                    </w:p>
                  </w:txbxContent>
                </v:textbox>
              </v:shape>
            </w:pict>
          </mc:Fallback>
        </mc:AlternateContent>
      </w:r>
    </w:p>
    <w:p w14:paraId="7AAD6AE8" w14:textId="77777777" w:rsidR="00A27A6F" w:rsidRDefault="00A27A6F">
      <w:pPr>
        <w:keepNext/>
        <w:numPr>
          <w:ilvl w:val="12"/>
          <w:numId w:val="0"/>
        </w:numPr>
        <w:spacing w:line="240" w:lineRule="auto"/>
        <w:rPr>
          <w:b/>
        </w:rPr>
      </w:pPr>
    </w:p>
    <w:p w14:paraId="69EB4A74" w14:textId="77777777" w:rsidR="00A27A6F" w:rsidRDefault="00A27A6F">
      <w:pPr>
        <w:keepNext/>
        <w:numPr>
          <w:ilvl w:val="12"/>
          <w:numId w:val="0"/>
        </w:numPr>
        <w:spacing w:line="240" w:lineRule="auto"/>
        <w:rPr>
          <w:b/>
        </w:rPr>
      </w:pPr>
    </w:p>
    <w:p w14:paraId="02942DDE" w14:textId="77777777" w:rsidR="00A27A6F" w:rsidRDefault="00A27A6F">
      <w:pPr>
        <w:keepNext/>
        <w:numPr>
          <w:ilvl w:val="12"/>
          <w:numId w:val="0"/>
        </w:numPr>
        <w:spacing w:line="240" w:lineRule="auto"/>
        <w:ind w:right="-2"/>
        <w:rPr>
          <w:b/>
        </w:rPr>
      </w:pPr>
    </w:p>
    <w:p w14:paraId="09B05C71" w14:textId="77777777" w:rsidR="00A27A6F" w:rsidRDefault="00A27A6F">
      <w:pPr>
        <w:keepNext/>
        <w:numPr>
          <w:ilvl w:val="12"/>
          <w:numId w:val="0"/>
        </w:numPr>
        <w:spacing w:line="240" w:lineRule="auto"/>
        <w:ind w:right="-2"/>
        <w:rPr>
          <w:b/>
        </w:rPr>
      </w:pPr>
    </w:p>
    <w:p w14:paraId="4DD716C5" w14:textId="77777777" w:rsidR="00A27A6F" w:rsidRDefault="00A27A6F">
      <w:pPr>
        <w:numPr>
          <w:ilvl w:val="12"/>
          <w:numId w:val="0"/>
        </w:numPr>
        <w:spacing w:line="240" w:lineRule="auto"/>
        <w:ind w:right="-2"/>
        <w:rPr>
          <w:b/>
        </w:rPr>
      </w:pPr>
    </w:p>
    <w:p w14:paraId="4F916B7B" w14:textId="77777777" w:rsidR="00A27A6F" w:rsidRDefault="00A27A6F">
      <w:pPr>
        <w:numPr>
          <w:ilvl w:val="12"/>
          <w:numId w:val="0"/>
        </w:numPr>
        <w:spacing w:line="240" w:lineRule="auto"/>
        <w:ind w:right="-2"/>
        <w:rPr>
          <w:b/>
        </w:rPr>
      </w:pPr>
    </w:p>
    <w:p w14:paraId="18D53C21" w14:textId="77777777" w:rsidR="00A27A6F" w:rsidRDefault="00A27A6F">
      <w:pPr>
        <w:numPr>
          <w:ilvl w:val="12"/>
          <w:numId w:val="0"/>
        </w:numPr>
        <w:spacing w:line="240" w:lineRule="auto"/>
        <w:ind w:right="-2"/>
        <w:rPr>
          <w:b/>
        </w:rPr>
      </w:pPr>
    </w:p>
    <w:p w14:paraId="47708DC9" w14:textId="77777777" w:rsidR="00A27A6F" w:rsidRDefault="00A27A6F">
      <w:pPr>
        <w:numPr>
          <w:ilvl w:val="12"/>
          <w:numId w:val="0"/>
        </w:numPr>
        <w:spacing w:line="240" w:lineRule="auto"/>
        <w:ind w:right="-2"/>
        <w:rPr>
          <w:b/>
        </w:rPr>
      </w:pPr>
    </w:p>
    <w:p w14:paraId="43FC4304" w14:textId="77777777" w:rsidR="00A27A6F" w:rsidRDefault="00A27A6F">
      <w:pPr>
        <w:numPr>
          <w:ilvl w:val="12"/>
          <w:numId w:val="0"/>
        </w:numPr>
        <w:spacing w:line="240" w:lineRule="auto"/>
        <w:ind w:right="-2"/>
        <w:rPr>
          <w:b/>
        </w:rPr>
      </w:pPr>
    </w:p>
    <w:p w14:paraId="3FA3D8FA" w14:textId="77777777" w:rsidR="00A27A6F" w:rsidRDefault="002C0949">
      <w:pPr>
        <w:spacing w:line="240" w:lineRule="auto"/>
      </w:pPr>
      <w:r>
        <w:t>ALPROLIX’it ei tohi segada teiste süstelahuste ega infusioonilahustega.</w:t>
      </w:r>
    </w:p>
    <w:p w14:paraId="0BC7D793" w14:textId="77777777" w:rsidR="00A27A6F" w:rsidRDefault="00A27A6F">
      <w:pPr>
        <w:numPr>
          <w:ilvl w:val="12"/>
          <w:numId w:val="0"/>
        </w:numPr>
        <w:spacing w:line="240" w:lineRule="auto"/>
        <w:ind w:right="-2"/>
      </w:pPr>
    </w:p>
    <w:p w14:paraId="0CA5D355" w14:textId="77777777" w:rsidR="00A27A6F" w:rsidRDefault="002C0949">
      <w:pPr>
        <w:numPr>
          <w:ilvl w:val="12"/>
          <w:numId w:val="0"/>
        </w:numPr>
        <w:spacing w:line="240" w:lineRule="auto"/>
        <w:ind w:right="-2"/>
        <w:rPr>
          <w:b/>
        </w:rPr>
      </w:pPr>
      <w:r>
        <w:t>Enne pakendi avamist peske käed.</w:t>
      </w:r>
    </w:p>
    <w:p w14:paraId="50A92ECE" w14:textId="77777777" w:rsidR="00A27A6F" w:rsidRDefault="00A27A6F">
      <w:pPr>
        <w:numPr>
          <w:ilvl w:val="12"/>
          <w:numId w:val="0"/>
        </w:numPr>
        <w:spacing w:line="240" w:lineRule="auto"/>
        <w:ind w:right="-2"/>
        <w:rPr>
          <w:b/>
        </w:rPr>
      </w:pPr>
    </w:p>
    <w:p w14:paraId="05758741" w14:textId="77777777" w:rsidR="00A27A6F" w:rsidRDefault="002C0949">
      <w:pPr>
        <w:keepNext/>
        <w:keepLines/>
        <w:numPr>
          <w:ilvl w:val="12"/>
          <w:numId w:val="0"/>
        </w:numPr>
        <w:spacing w:line="240" w:lineRule="auto"/>
        <w:ind w:right="-2"/>
        <w:rPr>
          <w:b/>
        </w:rPr>
      </w:pPr>
      <w:r>
        <w:rPr>
          <w:b/>
        </w:rPr>
        <w:lastRenderedPageBreak/>
        <w:t>Ettevalmistamine:</w:t>
      </w:r>
    </w:p>
    <w:p w14:paraId="08D28A1B" w14:textId="77777777" w:rsidR="00A27A6F" w:rsidRDefault="00A27A6F">
      <w:pPr>
        <w:keepNext/>
        <w:keepLines/>
        <w:numPr>
          <w:ilvl w:val="12"/>
          <w:numId w:val="0"/>
        </w:numPr>
        <w:spacing w:line="240" w:lineRule="auto"/>
        <w:ind w:right="-2"/>
        <w:rPr>
          <w:b/>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A27A6F" w14:paraId="36EF35F8" w14:textId="77777777" w:rsidTr="00356F66">
        <w:tc>
          <w:tcPr>
            <w:tcW w:w="9450" w:type="dxa"/>
            <w:gridSpan w:val="2"/>
            <w:shd w:val="clear" w:color="auto" w:fill="auto"/>
          </w:tcPr>
          <w:p w14:paraId="1008D7D9" w14:textId="77777777" w:rsidR="00A27A6F" w:rsidRDefault="002C0949">
            <w:pPr>
              <w:keepNext/>
              <w:spacing w:line="240" w:lineRule="auto"/>
              <w:ind w:left="562" w:hanging="562"/>
            </w:pPr>
            <w:r>
              <w:t>1.</w:t>
            </w:r>
            <w:r>
              <w:tab/>
              <w:t>Kontrollige pakendile märgitud nime ja tugevust veendumaks, et see sisaldab õiget ravimit. Kontrollige ALPROLIX’i karbile märgitud kõlblikkusaega. Ärge kasutage, kui ravimi kõlblikkusaeg on möödas.</w:t>
            </w:r>
          </w:p>
          <w:p w14:paraId="3E4D4F7D" w14:textId="77777777" w:rsidR="00A27A6F" w:rsidRDefault="00A27A6F">
            <w:pPr>
              <w:keepNext/>
              <w:spacing w:line="240" w:lineRule="auto"/>
              <w:rPr>
                <w:b/>
              </w:rPr>
            </w:pPr>
          </w:p>
        </w:tc>
      </w:tr>
      <w:tr w:rsidR="00A27A6F" w14:paraId="414F3360" w14:textId="77777777" w:rsidTr="00356F66">
        <w:tc>
          <w:tcPr>
            <w:tcW w:w="9450" w:type="dxa"/>
            <w:gridSpan w:val="2"/>
            <w:tcBorders>
              <w:bottom w:val="single" w:sz="4" w:space="0" w:color="auto"/>
            </w:tcBorders>
            <w:shd w:val="clear" w:color="auto" w:fill="auto"/>
          </w:tcPr>
          <w:p w14:paraId="11F6307B" w14:textId="77777777" w:rsidR="00A27A6F" w:rsidRDefault="002C0949">
            <w:pPr>
              <w:keepNext/>
              <w:spacing w:line="240" w:lineRule="auto"/>
              <w:ind w:left="562" w:hanging="562"/>
            </w:pPr>
            <w:r>
              <w:t>2.</w:t>
            </w:r>
            <w:r>
              <w:tab/>
              <w:t>Juhul kui ALPROLIX’it on hoitud külmkapis, tuleb ALPROLIX’i viaalil (A) ja süstlal lahusega (B) lasta enne kasutamist toatemperatuurini soojeneda. Ärge kasutage välist soojusallikat.</w:t>
            </w:r>
          </w:p>
          <w:p w14:paraId="2CAE99CE" w14:textId="77777777" w:rsidR="00A27A6F" w:rsidRDefault="00A27A6F">
            <w:pPr>
              <w:keepNext/>
              <w:spacing w:line="240" w:lineRule="auto"/>
            </w:pPr>
          </w:p>
        </w:tc>
      </w:tr>
      <w:tr w:rsidR="00A27A6F" w14:paraId="7DA62631" w14:textId="77777777" w:rsidTr="00356F66">
        <w:tc>
          <w:tcPr>
            <w:tcW w:w="5154" w:type="dxa"/>
            <w:tcBorders>
              <w:bottom w:val="single" w:sz="4" w:space="0" w:color="auto"/>
              <w:right w:val="nil"/>
            </w:tcBorders>
            <w:shd w:val="clear" w:color="auto" w:fill="auto"/>
          </w:tcPr>
          <w:p w14:paraId="1672C4EA" w14:textId="1F776176" w:rsidR="00A27A6F" w:rsidRDefault="002C0949">
            <w:pPr>
              <w:keepNext/>
              <w:spacing w:line="240" w:lineRule="auto"/>
              <w:ind w:left="562" w:hanging="562"/>
            </w:pPr>
            <w:r>
              <w:t>3.</w:t>
            </w:r>
            <w:r>
              <w:tab/>
              <w:t xml:space="preserve">Asetage viaal puhtale lamedale pinnale. Eemaldage </w:t>
            </w:r>
            <w:proofErr w:type="spellStart"/>
            <w:r>
              <w:t>viaali</w:t>
            </w:r>
            <w:proofErr w:type="spellEnd"/>
            <w:r>
              <w:t xml:space="preserve"> eemaldatav plastkate.</w:t>
            </w:r>
          </w:p>
          <w:p w14:paraId="4BF91315" w14:textId="77777777" w:rsidR="00A27A6F" w:rsidRDefault="00A27A6F">
            <w:pPr>
              <w:keepNext/>
              <w:spacing w:line="240" w:lineRule="auto"/>
              <w:ind w:left="562" w:hanging="562"/>
            </w:pPr>
          </w:p>
          <w:p w14:paraId="2D5DF0CF" w14:textId="77777777" w:rsidR="00A27A6F" w:rsidRDefault="00A27A6F">
            <w:pPr>
              <w:keepNext/>
              <w:spacing w:line="240" w:lineRule="auto"/>
            </w:pPr>
          </w:p>
          <w:p w14:paraId="07EC096C" w14:textId="77777777" w:rsidR="00A27A6F" w:rsidRDefault="00A27A6F">
            <w:pPr>
              <w:keepNext/>
              <w:spacing w:line="240" w:lineRule="auto"/>
            </w:pPr>
          </w:p>
          <w:p w14:paraId="05322E02" w14:textId="77777777" w:rsidR="00A27A6F" w:rsidRDefault="00A27A6F">
            <w:pPr>
              <w:keepNext/>
              <w:spacing w:line="240" w:lineRule="auto"/>
            </w:pPr>
          </w:p>
          <w:p w14:paraId="711BB7EC" w14:textId="77777777" w:rsidR="00A27A6F" w:rsidRDefault="00A27A6F">
            <w:pPr>
              <w:keepNext/>
              <w:spacing w:line="240" w:lineRule="auto"/>
            </w:pPr>
          </w:p>
          <w:p w14:paraId="4F6BD796" w14:textId="77777777" w:rsidR="00A27A6F" w:rsidRDefault="00A27A6F">
            <w:pPr>
              <w:keepNext/>
              <w:spacing w:line="240" w:lineRule="auto"/>
            </w:pPr>
          </w:p>
          <w:p w14:paraId="773A8342" w14:textId="77777777" w:rsidR="00A27A6F" w:rsidRDefault="00A27A6F">
            <w:pPr>
              <w:keepNext/>
              <w:spacing w:line="240" w:lineRule="auto"/>
            </w:pPr>
          </w:p>
          <w:p w14:paraId="1ACA7F27" w14:textId="77777777" w:rsidR="00A27A6F" w:rsidRDefault="00A27A6F">
            <w:pPr>
              <w:keepNext/>
              <w:spacing w:line="240" w:lineRule="auto"/>
            </w:pPr>
          </w:p>
        </w:tc>
        <w:tc>
          <w:tcPr>
            <w:tcW w:w="4296" w:type="dxa"/>
            <w:tcBorders>
              <w:left w:val="nil"/>
              <w:bottom w:val="single" w:sz="4" w:space="0" w:color="auto"/>
            </w:tcBorders>
            <w:shd w:val="clear" w:color="auto" w:fill="auto"/>
          </w:tcPr>
          <w:p w14:paraId="657CBE87" w14:textId="77777777" w:rsidR="00A27A6F" w:rsidRDefault="002C0949">
            <w:pPr>
              <w:keepNext/>
              <w:spacing w:line="240" w:lineRule="auto"/>
              <w:rPr>
                <w:rFonts w:eastAsia="Calibri"/>
              </w:rPr>
            </w:pPr>
            <w:r>
              <w:rPr>
                <w:noProof/>
                <w:lang w:val="en-GB" w:eastAsia="en-GB"/>
              </w:rPr>
              <w:drawing>
                <wp:anchor distT="0" distB="0" distL="114300" distR="114300" simplePos="0" relativeHeight="251649024" behindDoc="0" locked="0" layoutInCell="1" allowOverlap="1" wp14:anchorId="6A5199BB" wp14:editId="57838BD9">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1C81623E" w14:textId="77777777" w:rsidTr="00356F66">
        <w:tc>
          <w:tcPr>
            <w:tcW w:w="5154" w:type="dxa"/>
            <w:tcBorders>
              <w:right w:val="nil"/>
            </w:tcBorders>
            <w:shd w:val="clear" w:color="auto" w:fill="auto"/>
          </w:tcPr>
          <w:p w14:paraId="6A142E3E" w14:textId="41E2AABB" w:rsidR="00A27A6F" w:rsidRDefault="002C0949">
            <w:pPr>
              <w:spacing w:line="240" w:lineRule="auto"/>
              <w:ind w:left="562" w:hanging="562"/>
            </w:pPr>
            <w:r>
              <w:t>4.</w:t>
            </w:r>
            <w:r>
              <w:tab/>
              <w:t>P</w:t>
            </w:r>
            <w:r>
              <w:rPr>
                <w:szCs w:val="22"/>
              </w:rPr>
              <w:t>uhastage</w:t>
            </w:r>
            <w:r>
              <w:t xml:space="preserve"> viaali korki, kasutades selleks ühte pakis olevatest alkoholis niisutatud vatitupsudest (F) ja laske õhu käes kuivada. Pärast puh</w:t>
            </w:r>
            <w:r>
              <w:rPr>
                <w:szCs w:val="22"/>
              </w:rPr>
              <w:t>astamist</w:t>
            </w:r>
            <w:r>
              <w:t xml:space="preserve"> ärge puutuge enam viaali korki ega laske sellel millegi vastu puutuda.</w:t>
            </w:r>
          </w:p>
          <w:p w14:paraId="233EF7E3" w14:textId="77777777" w:rsidR="00A27A6F" w:rsidRDefault="00A27A6F">
            <w:pPr>
              <w:spacing w:line="240" w:lineRule="auto"/>
            </w:pPr>
          </w:p>
          <w:p w14:paraId="41B88081" w14:textId="77777777" w:rsidR="00A27A6F" w:rsidRDefault="00A27A6F">
            <w:pPr>
              <w:spacing w:line="240" w:lineRule="auto"/>
            </w:pPr>
          </w:p>
          <w:p w14:paraId="5E26A1D0" w14:textId="77777777" w:rsidR="00A27A6F" w:rsidRDefault="00A27A6F">
            <w:pPr>
              <w:spacing w:line="240" w:lineRule="auto"/>
            </w:pPr>
          </w:p>
          <w:p w14:paraId="0B1A974F" w14:textId="77777777" w:rsidR="00A27A6F" w:rsidRDefault="00A27A6F">
            <w:pPr>
              <w:spacing w:line="240" w:lineRule="auto"/>
            </w:pPr>
          </w:p>
        </w:tc>
        <w:tc>
          <w:tcPr>
            <w:tcW w:w="4296" w:type="dxa"/>
            <w:tcBorders>
              <w:left w:val="nil"/>
            </w:tcBorders>
            <w:shd w:val="clear" w:color="auto" w:fill="auto"/>
          </w:tcPr>
          <w:p w14:paraId="162B7703" w14:textId="77777777" w:rsidR="00A27A6F" w:rsidRDefault="002C0949">
            <w:pPr>
              <w:spacing w:line="240" w:lineRule="auto"/>
              <w:rPr>
                <w:b/>
              </w:rPr>
            </w:pPr>
            <w:r>
              <w:rPr>
                <w:noProof/>
                <w:lang w:val="en-GB" w:eastAsia="en-GB"/>
              </w:rPr>
              <w:drawing>
                <wp:anchor distT="0" distB="0" distL="114300" distR="114300" simplePos="0" relativeHeight="251651072" behindDoc="0" locked="0" layoutInCell="1" allowOverlap="1" wp14:anchorId="6C98F9C4" wp14:editId="43B2D0A9">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4D1F3D42" w14:textId="77777777" w:rsidTr="00356F66">
        <w:tc>
          <w:tcPr>
            <w:tcW w:w="9450" w:type="dxa"/>
            <w:gridSpan w:val="2"/>
            <w:tcBorders>
              <w:bottom w:val="single" w:sz="4" w:space="0" w:color="auto"/>
            </w:tcBorders>
            <w:shd w:val="clear" w:color="auto" w:fill="auto"/>
          </w:tcPr>
          <w:p w14:paraId="2AA2A82F" w14:textId="77777777" w:rsidR="00A27A6F" w:rsidRDefault="002C0949">
            <w:pPr>
              <w:spacing w:line="240" w:lineRule="auto"/>
              <w:ind w:left="562" w:hanging="562"/>
            </w:pPr>
            <w:r>
              <w:t>5.</w:t>
            </w:r>
            <w:r>
              <w:tab/>
              <w:t>Eemaldage läbipaistvalt plastist viaaliadapterilt (D) seda kaitsev paberkate. Ärge eemaldage adapterit selle kaitsekorgilt. Ärge puutuge viaaliadapteri pakendi sisekülge.</w:t>
            </w:r>
          </w:p>
          <w:p w14:paraId="3D1AEDBD" w14:textId="77777777" w:rsidR="00A27A6F" w:rsidRDefault="00A27A6F">
            <w:pPr>
              <w:spacing w:line="240" w:lineRule="auto"/>
              <w:rPr>
                <w:b/>
              </w:rPr>
            </w:pPr>
          </w:p>
        </w:tc>
      </w:tr>
      <w:tr w:rsidR="00A27A6F" w14:paraId="42B601C2" w14:textId="77777777" w:rsidTr="00356F66">
        <w:tc>
          <w:tcPr>
            <w:tcW w:w="5154" w:type="dxa"/>
            <w:tcBorders>
              <w:bottom w:val="single" w:sz="4" w:space="0" w:color="auto"/>
              <w:right w:val="nil"/>
            </w:tcBorders>
            <w:shd w:val="clear" w:color="auto" w:fill="auto"/>
          </w:tcPr>
          <w:p w14:paraId="427DDF66" w14:textId="77777777" w:rsidR="00A27A6F" w:rsidRDefault="002C0949">
            <w:pPr>
              <w:spacing w:line="240" w:lineRule="auto"/>
              <w:ind w:left="567" w:hanging="567"/>
            </w:pPr>
            <w:r>
              <w:t>6.</w:t>
            </w:r>
            <w:r>
              <w:tab/>
              <w:t>Asetage viaal tasasele pinnale. Hoidke viaaliadapterit selle kaitsekorgis ja asetage see täpselt viaali otsa. Suruge kuni adapter klõpsab oma kohale viaali otsas nii, et adapteri teravik läbistab viaali punnkorgi.</w:t>
            </w:r>
          </w:p>
          <w:p w14:paraId="71F01E66" w14:textId="77777777" w:rsidR="00A27A6F" w:rsidRDefault="00A27A6F">
            <w:pPr>
              <w:spacing w:line="240" w:lineRule="auto"/>
            </w:pPr>
          </w:p>
        </w:tc>
        <w:tc>
          <w:tcPr>
            <w:tcW w:w="4296" w:type="dxa"/>
            <w:tcBorders>
              <w:left w:val="nil"/>
              <w:bottom w:val="single" w:sz="4" w:space="0" w:color="auto"/>
            </w:tcBorders>
            <w:shd w:val="clear" w:color="auto" w:fill="auto"/>
          </w:tcPr>
          <w:p w14:paraId="23CB20CC" w14:textId="77777777" w:rsidR="00A27A6F" w:rsidRDefault="002C0949">
            <w:pPr>
              <w:spacing w:line="240" w:lineRule="auto"/>
            </w:pPr>
            <w:r>
              <w:rPr>
                <w:noProof/>
                <w:lang w:val="en-GB" w:eastAsia="en-GB"/>
              </w:rPr>
              <w:drawing>
                <wp:inline distT="0" distB="0" distL="0" distR="0" wp14:anchorId="3DFBB1FF" wp14:editId="7BE84BDD">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A27A6F" w14:paraId="59CFB3C5" w14:textId="77777777" w:rsidTr="00356F66">
        <w:tc>
          <w:tcPr>
            <w:tcW w:w="5154" w:type="dxa"/>
            <w:tcBorders>
              <w:bottom w:val="single" w:sz="4" w:space="0" w:color="auto"/>
              <w:right w:val="nil"/>
            </w:tcBorders>
            <w:shd w:val="clear" w:color="auto" w:fill="auto"/>
          </w:tcPr>
          <w:p w14:paraId="5B6E4C89" w14:textId="77777777" w:rsidR="00A27A6F" w:rsidRDefault="002C0949">
            <w:pPr>
              <w:spacing w:line="240" w:lineRule="auto"/>
              <w:ind w:left="562" w:hanging="562"/>
            </w:pPr>
            <w:r>
              <w:lastRenderedPageBreak/>
              <w:t>7.</w:t>
            </w:r>
            <w:r>
              <w:tab/>
              <w:t>Kinnitage kolvivarras (C) lahustisüstlale, sisestades kolvivarda tipu süstla kolvi avasse. Pöörake kolvivarrast tugevalt päripäeva, kuni see on kindlalt süstla kolvile kinnitatud.</w:t>
            </w:r>
          </w:p>
        </w:tc>
        <w:tc>
          <w:tcPr>
            <w:tcW w:w="4296" w:type="dxa"/>
            <w:tcBorders>
              <w:left w:val="nil"/>
              <w:bottom w:val="single" w:sz="4" w:space="0" w:color="auto"/>
            </w:tcBorders>
            <w:shd w:val="clear" w:color="auto" w:fill="auto"/>
          </w:tcPr>
          <w:p w14:paraId="317B148A" w14:textId="77777777" w:rsidR="00A27A6F" w:rsidRDefault="002C0949">
            <w:pPr>
              <w:spacing w:line="240" w:lineRule="auto"/>
              <w:rPr>
                <w:b/>
              </w:rPr>
            </w:pPr>
            <w:r>
              <w:rPr>
                <w:noProof/>
                <w:lang w:val="en-GB" w:eastAsia="en-GB"/>
              </w:rPr>
              <w:drawing>
                <wp:anchor distT="0" distB="0" distL="114300" distR="114300" simplePos="0" relativeHeight="251653120" behindDoc="0" locked="0" layoutInCell="1" allowOverlap="1" wp14:anchorId="19B36163" wp14:editId="11ABCF6F">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04BB47CD" w14:textId="77777777" w:rsidTr="00356F66">
        <w:tc>
          <w:tcPr>
            <w:tcW w:w="5154" w:type="dxa"/>
            <w:tcBorders>
              <w:bottom w:val="single" w:sz="4" w:space="0" w:color="auto"/>
              <w:right w:val="nil"/>
            </w:tcBorders>
            <w:shd w:val="clear" w:color="auto" w:fill="auto"/>
          </w:tcPr>
          <w:p w14:paraId="10306AE8" w14:textId="77777777" w:rsidR="00A27A6F" w:rsidRDefault="002C0949">
            <w:pPr>
              <w:spacing w:line="240" w:lineRule="auto"/>
              <w:ind w:left="562" w:hanging="562"/>
            </w:pPr>
            <w:r>
              <w:t>8.</w:t>
            </w:r>
            <w:r>
              <w:tab/>
              <w:t>Murdke lahustisüstlalt valge plastist turvakork, painutades perforatsioonikohast, kuni see lahti murdub. Pange kork kõrvale, lamedale pinnale, ülaosa allpool. Ärge puutuge korgi sisepinda ega süstla otsa.</w:t>
            </w:r>
          </w:p>
          <w:p w14:paraId="2C81EDB2" w14:textId="77777777" w:rsidR="00A27A6F" w:rsidRDefault="00A27A6F">
            <w:pPr>
              <w:spacing w:line="240" w:lineRule="auto"/>
            </w:pPr>
          </w:p>
        </w:tc>
        <w:tc>
          <w:tcPr>
            <w:tcW w:w="4296" w:type="dxa"/>
            <w:tcBorders>
              <w:left w:val="nil"/>
              <w:bottom w:val="single" w:sz="4" w:space="0" w:color="auto"/>
            </w:tcBorders>
            <w:shd w:val="clear" w:color="auto" w:fill="auto"/>
          </w:tcPr>
          <w:p w14:paraId="0F888DF9" w14:textId="77777777" w:rsidR="00A27A6F" w:rsidRDefault="002C0949">
            <w:pPr>
              <w:spacing w:line="240" w:lineRule="auto"/>
              <w:rPr>
                <w:b/>
              </w:rPr>
            </w:pPr>
            <w:r>
              <w:rPr>
                <w:noProof/>
                <w:lang w:val="en-GB" w:eastAsia="en-GB"/>
              </w:rPr>
              <w:drawing>
                <wp:anchor distT="0" distB="0" distL="114300" distR="114300" simplePos="0" relativeHeight="251655168" behindDoc="0" locked="0" layoutInCell="1" allowOverlap="1" wp14:anchorId="07419F35" wp14:editId="7B856B79">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00A691AC" w14:textId="77777777" w:rsidTr="00356F66">
        <w:tc>
          <w:tcPr>
            <w:tcW w:w="5154" w:type="dxa"/>
            <w:tcBorders>
              <w:bottom w:val="single" w:sz="4" w:space="0" w:color="auto"/>
              <w:right w:val="nil"/>
            </w:tcBorders>
            <w:shd w:val="clear" w:color="auto" w:fill="auto"/>
          </w:tcPr>
          <w:p w14:paraId="1FBE3BBF" w14:textId="77777777" w:rsidR="00A27A6F" w:rsidRDefault="002C0949">
            <w:pPr>
              <w:spacing w:line="240" w:lineRule="auto"/>
            </w:pPr>
            <w:r>
              <w:t>9.</w:t>
            </w:r>
            <w:r>
              <w:tab/>
              <w:t>Eemaldage adapterilt kaitsekork ja visake ära.</w:t>
            </w:r>
          </w:p>
        </w:tc>
        <w:tc>
          <w:tcPr>
            <w:tcW w:w="4296" w:type="dxa"/>
            <w:tcBorders>
              <w:left w:val="nil"/>
              <w:bottom w:val="single" w:sz="4" w:space="0" w:color="auto"/>
            </w:tcBorders>
            <w:shd w:val="clear" w:color="auto" w:fill="auto"/>
          </w:tcPr>
          <w:p w14:paraId="6006D1AC" w14:textId="77777777" w:rsidR="00A27A6F" w:rsidRDefault="002C0949">
            <w:pPr>
              <w:spacing w:line="240" w:lineRule="auto"/>
              <w:rPr>
                <w:b/>
              </w:rPr>
            </w:pPr>
            <w:r>
              <w:rPr>
                <w:noProof/>
                <w:lang w:val="en-GB" w:eastAsia="en-GB"/>
              </w:rPr>
              <w:drawing>
                <wp:anchor distT="0" distB="0" distL="114300" distR="114300" simplePos="0" relativeHeight="251657216" behindDoc="0" locked="0" layoutInCell="1" allowOverlap="1" wp14:anchorId="4878FC24" wp14:editId="646DBC3B">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168A0D7C" w14:textId="77777777" w:rsidTr="00356F66">
        <w:trPr>
          <w:trHeight w:val="2411"/>
        </w:trPr>
        <w:tc>
          <w:tcPr>
            <w:tcW w:w="5154" w:type="dxa"/>
            <w:tcBorders>
              <w:bottom w:val="single" w:sz="4" w:space="0" w:color="auto"/>
              <w:right w:val="nil"/>
            </w:tcBorders>
            <w:shd w:val="clear" w:color="auto" w:fill="auto"/>
          </w:tcPr>
          <w:p w14:paraId="112F3354" w14:textId="77777777" w:rsidR="00A27A6F" w:rsidRDefault="002C0949">
            <w:pPr>
              <w:spacing w:line="240" w:lineRule="auto"/>
              <w:ind w:left="562" w:hanging="562"/>
            </w:pPr>
            <w:r>
              <w:t xml:space="preserve">10. </w:t>
            </w:r>
            <w:r>
              <w:tab/>
              <w:t>Kinnitage lahustisüstal viaaliadapterile, sisestades süstla otsa adapteri avasse. Suruge tugevasti süstlale ja pöörake seda päripäeva, kuni see on kindlalt kinnitatud.</w:t>
            </w:r>
          </w:p>
        </w:tc>
        <w:tc>
          <w:tcPr>
            <w:tcW w:w="4296" w:type="dxa"/>
            <w:tcBorders>
              <w:left w:val="nil"/>
              <w:bottom w:val="single" w:sz="4" w:space="0" w:color="auto"/>
            </w:tcBorders>
            <w:shd w:val="clear" w:color="auto" w:fill="auto"/>
          </w:tcPr>
          <w:p w14:paraId="5AD0C7B3" w14:textId="77777777" w:rsidR="00A27A6F" w:rsidRDefault="002C0949">
            <w:pPr>
              <w:spacing w:line="240" w:lineRule="auto"/>
              <w:rPr>
                <w:rFonts w:eastAsia="Calibri"/>
              </w:rPr>
            </w:pPr>
            <w:r>
              <w:rPr>
                <w:noProof/>
                <w:lang w:val="en-GB" w:eastAsia="en-GB"/>
              </w:rPr>
              <w:drawing>
                <wp:anchor distT="0" distB="0" distL="114300" distR="114300" simplePos="0" relativeHeight="251659264" behindDoc="0" locked="0" layoutInCell="1" allowOverlap="1" wp14:anchorId="60DB0464" wp14:editId="4D444BD1">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7B0E8AF1" w14:textId="77777777" w:rsidTr="00356F66">
        <w:tc>
          <w:tcPr>
            <w:tcW w:w="5154" w:type="dxa"/>
            <w:tcBorders>
              <w:bottom w:val="single" w:sz="4" w:space="0" w:color="auto"/>
              <w:right w:val="nil"/>
            </w:tcBorders>
            <w:shd w:val="clear" w:color="auto" w:fill="auto"/>
          </w:tcPr>
          <w:p w14:paraId="6F21F5B2" w14:textId="736D5143" w:rsidR="00A27A6F" w:rsidRDefault="002C0949" w:rsidP="00C92342">
            <w:pPr>
              <w:spacing w:line="240" w:lineRule="auto"/>
              <w:ind w:left="567" w:hanging="567"/>
            </w:pPr>
            <w:r>
              <w:t>11.</w:t>
            </w:r>
            <w:r>
              <w:tab/>
              <w:t>Vajutage aeglaselt kolvivarrele ja süstige kogu lahusti ALPROLIX’i viaali.</w:t>
            </w:r>
          </w:p>
        </w:tc>
        <w:tc>
          <w:tcPr>
            <w:tcW w:w="4296" w:type="dxa"/>
            <w:tcBorders>
              <w:left w:val="nil"/>
              <w:bottom w:val="single" w:sz="4" w:space="0" w:color="auto"/>
            </w:tcBorders>
            <w:shd w:val="clear" w:color="auto" w:fill="auto"/>
          </w:tcPr>
          <w:p w14:paraId="04DBB07E" w14:textId="77777777" w:rsidR="00A27A6F" w:rsidRDefault="002C0949">
            <w:pPr>
              <w:spacing w:line="240" w:lineRule="auto"/>
              <w:rPr>
                <w:rFonts w:eastAsia="Calibri"/>
              </w:rPr>
            </w:pPr>
            <w:r>
              <w:rPr>
                <w:noProof/>
                <w:lang w:val="en-GB" w:eastAsia="en-GB"/>
              </w:rPr>
              <w:drawing>
                <wp:anchor distT="0" distB="0" distL="114300" distR="114300" simplePos="0" relativeHeight="251661312" behindDoc="0" locked="0" layoutInCell="1" allowOverlap="1" wp14:anchorId="501D6272" wp14:editId="1256A13C">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0B1B7BA6" w14:textId="77777777" w:rsidTr="00356F66">
        <w:tc>
          <w:tcPr>
            <w:tcW w:w="5154" w:type="dxa"/>
            <w:tcBorders>
              <w:right w:val="nil"/>
            </w:tcBorders>
            <w:shd w:val="clear" w:color="auto" w:fill="auto"/>
          </w:tcPr>
          <w:p w14:paraId="77F53017" w14:textId="245A42C0" w:rsidR="00A27A6F" w:rsidRDefault="002C0949">
            <w:pPr>
              <w:spacing w:line="240" w:lineRule="auto"/>
              <w:ind w:left="562" w:hanging="562"/>
            </w:pPr>
            <w:r>
              <w:lastRenderedPageBreak/>
              <w:t>12.</w:t>
            </w:r>
            <w:r>
              <w:tab/>
              <w:t>Hoides süstalt ikka veel adapterile kinnitatuna ning kolvivart allasurutud asendis, keerutage õrnalt viaali, kuni pulber on lahustunud.</w:t>
            </w:r>
          </w:p>
          <w:p w14:paraId="1442DBF8" w14:textId="77777777" w:rsidR="00A27A6F" w:rsidRDefault="002C0949">
            <w:pPr>
              <w:spacing w:line="240" w:lineRule="auto"/>
              <w:ind w:left="562" w:hanging="562"/>
            </w:pPr>
            <w:r>
              <w:tab/>
              <w:t>Ärge raputage.</w:t>
            </w:r>
          </w:p>
        </w:tc>
        <w:tc>
          <w:tcPr>
            <w:tcW w:w="4296" w:type="dxa"/>
            <w:tcBorders>
              <w:left w:val="nil"/>
            </w:tcBorders>
            <w:shd w:val="clear" w:color="auto" w:fill="auto"/>
          </w:tcPr>
          <w:p w14:paraId="63FD6513" w14:textId="77777777" w:rsidR="00A27A6F" w:rsidRDefault="002C0949">
            <w:pPr>
              <w:spacing w:line="240" w:lineRule="auto"/>
              <w:rPr>
                <w:rFonts w:eastAsia="Calibri"/>
              </w:rPr>
            </w:pPr>
            <w:r>
              <w:rPr>
                <w:noProof/>
                <w:lang w:val="en-GB" w:eastAsia="en-GB"/>
              </w:rPr>
              <w:drawing>
                <wp:anchor distT="0" distB="0" distL="114300" distR="114300" simplePos="0" relativeHeight="251663360" behindDoc="0" locked="0" layoutInCell="1" allowOverlap="1" wp14:anchorId="20742AE7" wp14:editId="239EAAEC">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2D548EFF" w14:textId="77777777" w:rsidTr="00356F66">
        <w:tc>
          <w:tcPr>
            <w:tcW w:w="9450" w:type="dxa"/>
            <w:gridSpan w:val="2"/>
            <w:tcBorders>
              <w:bottom w:val="single" w:sz="4" w:space="0" w:color="auto"/>
            </w:tcBorders>
            <w:shd w:val="clear" w:color="auto" w:fill="auto"/>
          </w:tcPr>
          <w:p w14:paraId="38633871" w14:textId="37B16064" w:rsidR="00A27A6F" w:rsidRDefault="002C0949">
            <w:pPr>
              <w:spacing w:line="240" w:lineRule="auto"/>
              <w:ind w:left="562" w:hanging="562"/>
            </w:pPr>
            <w:r>
              <w:t>13.</w:t>
            </w:r>
            <w:r>
              <w:tab/>
              <w:t xml:space="preserve">Enne manustamist tuleb valmislahust visuaalselt kontrollida. Lahus peab olema läbipaistev või kergelt </w:t>
            </w:r>
            <w:r w:rsidR="00FD5BFE">
              <w:t>pärlmutterjas (</w:t>
            </w:r>
            <w:r>
              <w:t>küütlev</w:t>
            </w:r>
            <w:r w:rsidR="00FD5BFE">
              <w:t>)</w:t>
            </w:r>
            <w:r>
              <w:t xml:space="preserve"> ja värvitu. Ärge kasutage lahust, kui see on hägune või sisaldab nähtavaid osakesi.</w:t>
            </w:r>
          </w:p>
          <w:p w14:paraId="5179162D" w14:textId="77777777" w:rsidR="00A27A6F" w:rsidRDefault="00A27A6F">
            <w:pPr>
              <w:spacing w:line="240" w:lineRule="auto"/>
              <w:rPr>
                <w:rFonts w:eastAsia="Calibri"/>
              </w:rPr>
            </w:pPr>
          </w:p>
        </w:tc>
      </w:tr>
      <w:tr w:rsidR="00A27A6F" w14:paraId="0C7F7877" w14:textId="77777777" w:rsidTr="00356F66">
        <w:tc>
          <w:tcPr>
            <w:tcW w:w="5154" w:type="dxa"/>
            <w:tcBorders>
              <w:bottom w:val="single" w:sz="4" w:space="0" w:color="auto"/>
              <w:right w:val="nil"/>
            </w:tcBorders>
            <w:shd w:val="clear" w:color="auto" w:fill="auto"/>
          </w:tcPr>
          <w:p w14:paraId="1FFE8D87" w14:textId="7C9E55E1" w:rsidR="00A27A6F" w:rsidRDefault="002C0949">
            <w:pPr>
              <w:spacing w:line="240" w:lineRule="auto"/>
              <w:ind w:left="562" w:hanging="562"/>
            </w:pPr>
            <w:r>
              <w:t>14.</w:t>
            </w:r>
            <w:r>
              <w:tab/>
              <w:t>Veendudes, et süstla kolvivarras on ikka veel allasurutud asendis, pöörake viaal ümber. Tõmmake aeglaselt kolvivarrast allapoole ning tõmmake kogu lahus läbi viaaliadaptri süstlasse.</w:t>
            </w:r>
          </w:p>
          <w:p w14:paraId="6151950B" w14:textId="77777777" w:rsidR="00833798" w:rsidRDefault="00833798" w:rsidP="00833798">
            <w:pPr>
              <w:spacing w:line="240" w:lineRule="auto"/>
              <w:ind w:left="562" w:firstLine="27"/>
            </w:pPr>
          </w:p>
          <w:p w14:paraId="096340A7" w14:textId="77777777" w:rsidR="00833798" w:rsidRDefault="00833798" w:rsidP="00833798">
            <w:pPr>
              <w:keepNext/>
              <w:keepLines/>
              <w:spacing w:line="240" w:lineRule="auto"/>
              <w:ind w:left="589"/>
            </w:pPr>
            <w:r>
              <w:t xml:space="preserve">Märkus. Juhul kui kasutate süste kohta rohkem kui ühte ALPROLIX’i viaali, tuleb iga viaal eraldi ette valmistada, järgides ülaltoodud samme (1 kuni 13). Lahustisüstel tuleb eemaldada ning viaaliadapter oma kohale jätta. Iga individuaalse viaali ettevalmistatud sisu süstlasse tõmbamiseks võib kasutada ühte suurt </w:t>
            </w:r>
            <w:r>
              <w:rPr>
                <w:i/>
              </w:rPr>
              <w:t>luer-lock</w:t>
            </w:r>
            <w:r>
              <w:t xml:space="preserve"> süstalt.</w:t>
            </w:r>
          </w:p>
          <w:p w14:paraId="03883310" w14:textId="77777777" w:rsidR="00A27A6F" w:rsidRDefault="00A27A6F">
            <w:pPr>
              <w:spacing w:line="240" w:lineRule="auto"/>
            </w:pPr>
          </w:p>
        </w:tc>
        <w:tc>
          <w:tcPr>
            <w:tcW w:w="4296" w:type="dxa"/>
            <w:tcBorders>
              <w:left w:val="nil"/>
              <w:bottom w:val="single" w:sz="4" w:space="0" w:color="auto"/>
            </w:tcBorders>
            <w:shd w:val="clear" w:color="auto" w:fill="auto"/>
          </w:tcPr>
          <w:p w14:paraId="1B1B9713" w14:textId="77777777" w:rsidR="00A27A6F" w:rsidRDefault="002C0949">
            <w:pPr>
              <w:spacing w:line="240" w:lineRule="auto"/>
              <w:rPr>
                <w:rFonts w:eastAsia="Calibri"/>
              </w:rPr>
            </w:pPr>
            <w:r>
              <w:rPr>
                <w:noProof/>
                <w:lang w:val="en-GB" w:eastAsia="en-GB"/>
              </w:rPr>
              <w:drawing>
                <wp:anchor distT="0" distB="0" distL="114300" distR="114300" simplePos="0" relativeHeight="251665408" behindDoc="0" locked="0" layoutInCell="1" allowOverlap="1" wp14:anchorId="190FF2C2" wp14:editId="13E0B9D9">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32CF8C05" w14:textId="77777777" w:rsidTr="00356F66">
        <w:trPr>
          <w:trHeight w:val="2324"/>
        </w:trPr>
        <w:tc>
          <w:tcPr>
            <w:tcW w:w="5154" w:type="dxa"/>
            <w:tcBorders>
              <w:right w:val="nil"/>
            </w:tcBorders>
            <w:shd w:val="clear" w:color="auto" w:fill="auto"/>
          </w:tcPr>
          <w:p w14:paraId="113D286D" w14:textId="77777777" w:rsidR="00A27A6F" w:rsidRDefault="002C0949">
            <w:pPr>
              <w:spacing w:line="240" w:lineRule="auto"/>
              <w:ind w:left="562" w:hanging="562"/>
            </w:pPr>
            <w:r>
              <w:t>15.</w:t>
            </w:r>
            <w:r>
              <w:tab/>
              <w:t>Eemaldage süstal viaaliadapterist, tõmmates seda õrnalt ning pöörates viaali vastupäeva.</w:t>
            </w:r>
          </w:p>
          <w:p w14:paraId="7244A41A" w14:textId="77777777" w:rsidR="00A27A6F" w:rsidRDefault="00A27A6F">
            <w:pPr>
              <w:spacing w:line="240" w:lineRule="auto"/>
            </w:pPr>
          </w:p>
        </w:tc>
        <w:tc>
          <w:tcPr>
            <w:tcW w:w="4296" w:type="dxa"/>
            <w:tcBorders>
              <w:left w:val="nil"/>
            </w:tcBorders>
            <w:shd w:val="clear" w:color="auto" w:fill="auto"/>
          </w:tcPr>
          <w:p w14:paraId="4E5876BA" w14:textId="77777777" w:rsidR="00A27A6F" w:rsidRDefault="002C0949">
            <w:pPr>
              <w:spacing w:line="240" w:lineRule="auto"/>
              <w:rPr>
                <w:rFonts w:eastAsia="Calibri"/>
              </w:rPr>
            </w:pPr>
            <w:r>
              <w:rPr>
                <w:noProof/>
                <w:lang w:val="en-GB" w:eastAsia="en-GB"/>
              </w:rPr>
              <w:drawing>
                <wp:anchor distT="0" distB="0" distL="114300" distR="114300" simplePos="0" relativeHeight="251667456" behindDoc="0" locked="0" layoutInCell="1" allowOverlap="1" wp14:anchorId="2F46643E" wp14:editId="3A807105">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54699C93" w14:textId="77777777" w:rsidTr="00356F66">
        <w:tc>
          <w:tcPr>
            <w:tcW w:w="9450" w:type="dxa"/>
            <w:gridSpan w:val="2"/>
            <w:shd w:val="clear" w:color="auto" w:fill="auto"/>
          </w:tcPr>
          <w:p w14:paraId="2BDA4A56" w14:textId="77777777" w:rsidR="00A27A6F" w:rsidRDefault="002C0949">
            <w:pPr>
              <w:spacing w:line="240" w:lineRule="auto"/>
            </w:pPr>
            <w:r>
              <w:t>16.</w:t>
            </w:r>
            <w:r>
              <w:tab/>
              <w:t>Visake viaal ja adapter ära.</w:t>
            </w:r>
          </w:p>
          <w:p w14:paraId="7062836E" w14:textId="77777777" w:rsidR="00A27A6F" w:rsidRDefault="00A27A6F">
            <w:pPr>
              <w:spacing w:line="240" w:lineRule="auto"/>
            </w:pPr>
          </w:p>
          <w:p w14:paraId="0E590A06" w14:textId="77777777" w:rsidR="00A27A6F" w:rsidRDefault="002C0949">
            <w:pPr>
              <w:numPr>
                <w:ilvl w:val="12"/>
                <w:numId w:val="0"/>
              </w:numPr>
              <w:spacing w:line="240" w:lineRule="auto"/>
              <w:ind w:right="-2"/>
            </w:pPr>
            <w:r>
              <w:t>Märkus. Juhul kui lahust ei kasutata kohe, tuleb süstlakork ettevaatlikult süstla otsa tagasi panna. Ärge puutuge süstla otsa ega korgi sisepinda.</w:t>
            </w:r>
          </w:p>
          <w:p w14:paraId="08E253C9" w14:textId="77777777" w:rsidR="00A27A6F" w:rsidRDefault="00A27A6F">
            <w:pPr>
              <w:numPr>
                <w:ilvl w:val="12"/>
                <w:numId w:val="0"/>
              </w:numPr>
              <w:spacing w:line="240" w:lineRule="auto"/>
              <w:ind w:right="-2"/>
            </w:pPr>
          </w:p>
          <w:p w14:paraId="6DB5040F" w14:textId="77777777" w:rsidR="00A27A6F" w:rsidRDefault="002C0949">
            <w:pPr>
              <w:numPr>
                <w:ilvl w:val="12"/>
                <w:numId w:val="0"/>
              </w:numPr>
              <w:spacing w:line="240" w:lineRule="auto"/>
              <w:ind w:right="-2"/>
              <w:rPr>
                <w:rFonts w:eastAsia="Calibri"/>
              </w:rPr>
            </w:pPr>
            <w:r>
              <w:t>Pärast ette valmistamist võib ALPROLIX’it enne manustamist hoida kuni 6 tundi toatemperatuuril. Pärast seda tuleb ettevalmistatud ALPROLIX ära visata. Hoidke otsese päikesevalguse eest kaitstult.</w:t>
            </w:r>
          </w:p>
        </w:tc>
      </w:tr>
    </w:tbl>
    <w:p w14:paraId="72A8873F" w14:textId="77777777" w:rsidR="00A27A6F" w:rsidRDefault="00A27A6F">
      <w:pPr>
        <w:spacing w:line="240" w:lineRule="auto"/>
        <w:rPr>
          <w:b/>
        </w:rPr>
      </w:pPr>
    </w:p>
    <w:p w14:paraId="46595F8B" w14:textId="77777777" w:rsidR="00A27A6F" w:rsidRDefault="002C0949">
      <w:pPr>
        <w:keepNext/>
        <w:spacing w:line="240" w:lineRule="auto"/>
        <w:rPr>
          <w:b/>
        </w:rPr>
      </w:pPr>
      <w:r>
        <w:rPr>
          <w:b/>
        </w:rPr>
        <w:lastRenderedPageBreak/>
        <w:t>Manustamine (intravenoosne süste):</w:t>
      </w:r>
    </w:p>
    <w:p w14:paraId="6DB32173" w14:textId="77777777" w:rsidR="00A27A6F" w:rsidRDefault="00A27A6F">
      <w:pPr>
        <w:pStyle w:val="ListParagraph"/>
        <w:keepNext/>
        <w:ind w:left="0"/>
        <w:rPr>
          <w:sz w:val="22"/>
          <w:szCs w:val="22"/>
        </w:rPr>
      </w:pPr>
    </w:p>
    <w:p w14:paraId="0C171D56" w14:textId="77777777" w:rsidR="00A27A6F" w:rsidRDefault="002C0949">
      <w:pPr>
        <w:pStyle w:val="ListParagraph"/>
        <w:keepNext/>
        <w:ind w:left="0"/>
        <w:rPr>
          <w:sz w:val="22"/>
          <w:szCs w:val="22"/>
        </w:rPr>
      </w:pPr>
      <w:r>
        <w:rPr>
          <w:sz w:val="22"/>
          <w:szCs w:val="22"/>
        </w:rPr>
        <w:t>ALPROLIX’i manustamiseks tuleb kasutada pakendisse kaasa pandud infusioonikomplekti (E).</w:t>
      </w:r>
    </w:p>
    <w:p w14:paraId="6DCD16B9" w14:textId="77777777" w:rsidR="00A27A6F" w:rsidRDefault="00A27A6F">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27A6F" w14:paraId="74DEC1AD" w14:textId="77777777">
        <w:tc>
          <w:tcPr>
            <w:tcW w:w="6678" w:type="dxa"/>
            <w:tcBorders>
              <w:right w:val="nil"/>
            </w:tcBorders>
            <w:shd w:val="clear" w:color="auto" w:fill="auto"/>
          </w:tcPr>
          <w:p w14:paraId="6FEDB708" w14:textId="77777777" w:rsidR="00A27A6F" w:rsidRDefault="002C0949">
            <w:pPr>
              <w:spacing w:line="240" w:lineRule="auto"/>
              <w:ind w:left="567" w:hanging="567"/>
            </w:pPr>
            <w:r>
              <w:rPr>
                <w:szCs w:val="22"/>
              </w:rPr>
              <w:t>1.</w:t>
            </w:r>
            <w:r>
              <w:rPr>
                <w:szCs w:val="22"/>
              </w:rPr>
              <w:tab/>
              <w:t>Avage infusioonikomplekti pakend ja eemaldage voolikusüsteemi otsas olev kork. Kinnitage ette valmistatud ALPROLIX’i lahust sisaldav süstal infusioonikomplekti voolikusüsteemi otsa, pöörates seda päripäeva.</w:t>
            </w:r>
          </w:p>
        </w:tc>
        <w:tc>
          <w:tcPr>
            <w:tcW w:w="2609" w:type="dxa"/>
            <w:tcBorders>
              <w:left w:val="nil"/>
            </w:tcBorders>
            <w:shd w:val="clear" w:color="auto" w:fill="auto"/>
          </w:tcPr>
          <w:p w14:paraId="0D93A99E" w14:textId="77777777" w:rsidR="00A27A6F" w:rsidRDefault="002C0949">
            <w:pPr>
              <w:pStyle w:val="ListParagraph"/>
              <w:ind w:left="0"/>
              <w:rPr>
                <w:sz w:val="22"/>
              </w:rPr>
            </w:pPr>
            <w:r>
              <w:rPr>
                <w:noProof/>
                <w:lang w:val="en-GB" w:eastAsia="en-GB"/>
              </w:rPr>
              <w:drawing>
                <wp:anchor distT="0" distB="0" distL="114300" distR="114300" simplePos="0" relativeHeight="251666944" behindDoc="0" locked="0" layoutInCell="1" allowOverlap="1" wp14:anchorId="6C7CA621" wp14:editId="04FE2D9D">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08124D5E" w14:textId="77777777">
        <w:trPr>
          <w:trHeight w:val="3185"/>
        </w:trPr>
        <w:tc>
          <w:tcPr>
            <w:tcW w:w="9287" w:type="dxa"/>
            <w:gridSpan w:val="2"/>
            <w:shd w:val="clear" w:color="auto" w:fill="auto"/>
          </w:tcPr>
          <w:p w14:paraId="20B8FB4B" w14:textId="77777777" w:rsidR="00A27A6F" w:rsidRDefault="002C0949">
            <w:pPr>
              <w:spacing w:line="240" w:lineRule="auto"/>
              <w:ind w:left="567" w:hanging="567"/>
              <w:rPr>
                <w:szCs w:val="22"/>
              </w:rPr>
            </w:pPr>
            <w:r>
              <w:rPr>
                <w:noProof/>
                <w:lang w:val="en-GB" w:eastAsia="en-GB"/>
              </w:rPr>
              <w:drawing>
                <wp:anchor distT="0" distB="0" distL="114300" distR="114300" simplePos="0" relativeHeight="251667968" behindDoc="0" locked="0" layoutInCell="1" allowOverlap="1" wp14:anchorId="2628899F" wp14:editId="7C346B54">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2.</w:t>
            </w:r>
            <w:r>
              <w:rPr>
                <w:szCs w:val="22"/>
              </w:rPr>
              <w:tab/>
              <w:t>Vajadusel kasutage žgutti ja valmistage süstekoht ette, puhastades nahka hoolikalt teise pakendis oleva alkoholis niisutatud vatitupsuga.</w:t>
            </w:r>
          </w:p>
          <w:p w14:paraId="738D2005" w14:textId="77777777" w:rsidR="00A27A6F" w:rsidRDefault="00A27A6F">
            <w:pPr>
              <w:pStyle w:val="ListParagraph"/>
              <w:ind w:left="0"/>
              <w:rPr>
                <w:sz w:val="22"/>
                <w:szCs w:val="22"/>
              </w:rPr>
            </w:pPr>
          </w:p>
        </w:tc>
      </w:tr>
      <w:tr w:rsidR="00A27A6F" w14:paraId="376962C4" w14:textId="77777777">
        <w:tc>
          <w:tcPr>
            <w:tcW w:w="9287" w:type="dxa"/>
            <w:gridSpan w:val="2"/>
            <w:shd w:val="clear" w:color="auto" w:fill="auto"/>
          </w:tcPr>
          <w:p w14:paraId="412EB1D7" w14:textId="77777777" w:rsidR="00A27A6F" w:rsidRDefault="002C0949">
            <w:pPr>
              <w:pStyle w:val="ListParagraph"/>
              <w:ind w:hanging="720"/>
              <w:rPr>
                <w:sz w:val="22"/>
              </w:rPr>
            </w:pPr>
            <w:r>
              <w:rPr>
                <w:sz w:val="22"/>
                <w:szCs w:val="22"/>
              </w:rPr>
              <w:t>3.</w:t>
            </w:r>
            <w:r>
              <w:rPr>
                <w:sz w:val="22"/>
                <w:szCs w:val="22"/>
              </w:rPr>
              <w:tab/>
              <w:t xml:space="preserve">Eemaldage kogu infusioonikomplektis olev õhk, vajutades selleks kolvivardale, kuni vedelik jõuab infusioonikomplekti nõelani. </w:t>
            </w:r>
            <w:r>
              <w:rPr>
                <w:sz w:val="22"/>
              </w:rPr>
              <w:t xml:space="preserve">Ärge suruge lahust läbi nõela. </w:t>
            </w:r>
            <w:r>
              <w:rPr>
                <w:sz w:val="22"/>
                <w:szCs w:val="22"/>
              </w:rPr>
              <w:t>Eemaldage nõelalt läbipaistev plastist kaitsekate.</w:t>
            </w:r>
          </w:p>
        </w:tc>
      </w:tr>
      <w:tr w:rsidR="00A27A6F" w14:paraId="2B3DDB4F" w14:textId="77777777">
        <w:tc>
          <w:tcPr>
            <w:tcW w:w="9287" w:type="dxa"/>
            <w:gridSpan w:val="2"/>
            <w:tcBorders>
              <w:bottom w:val="single" w:sz="4" w:space="0" w:color="auto"/>
            </w:tcBorders>
            <w:shd w:val="clear" w:color="auto" w:fill="auto"/>
          </w:tcPr>
          <w:p w14:paraId="60FED4FD" w14:textId="77777777" w:rsidR="00A27A6F" w:rsidRDefault="002C0949">
            <w:pPr>
              <w:pStyle w:val="ListParagraph"/>
              <w:ind w:hanging="720"/>
              <w:rPr>
                <w:sz w:val="22"/>
                <w:szCs w:val="22"/>
              </w:rPr>
            </w:pPr>
            <w:r>
              <w:rPr>
                <w:sz w:val="22"/>
                <w:szCs w:val="22"/>
              </w:rPr>
              <w:t>4.</w:t>
            </w:r>
            <w:r>
              <w:rPr>
                <w:sz w:val="22"/>
                <w:szCs w:val="22"/>
              </w:rPr>
              <w:tab/>
              <w:t>Sisestage infusioonikomplekti nõel veeni vastavalt arsti või meditsiiniõe juhistele ja eemaldage žgutt. Soovi korral võite kasutada ühte pakendis olevatest plaastritest (G) ja hoida selle abil nõela tiibu süstekohas paigal. Ettevalmistatud ravimit tuleb süstida intravenoosselt mitme minuti jooksul. Arst võib soovituslikku manustamiskiirust muuta, et see teile mugavam oleks.</w:t>
            </w:r>
          </w:p>
        </w:tc>
      </w:tr>
      <w:tr w:rsidR="00A27A6F" w14:paraId="727DE76B" w14:textId="77777777">
        <w:trPr>
          <w:trHeight w:val="2672"/>
        </w:trPr>
        <w:tc>
          <w:tcPr>
            <w:tcW w:w="6678" w:type="dxa"/>
            <w:tcBorders>
              <w:right w:val="nil"/>
            </w:tcBorders>
            <w:shd w:val="clear" w:color="auto" w:fill="auto"/>
          </w:tcPr>
          <w:p w14:paraId="7F1320AA" w14:textId="77777777" w:rsidR="00A27A6F" w:rsidRDefault="002C0949">
            <w:pPr>
              <w:pStyle w:val="ListParagraph"/>
              <w:ind w:hanging="720"/>
              <w:rPr>
                <w:sz w:val="22"/>
                <w:szCs w:val="22"/>
              </w:rPr>
            </w:pPr>
            <w:r>
              <w:rPr>
                <w:sz w:val="22"/>
                <w:szCs w:val="22"/>
              </w:rPr>
              <w:t>5.</w:t>
            </w:r>
            <w:r>
              <w:rPr>
                <w:sz w:val="22"/>
                <w:szCs w:val="22"/>
              </w:rPr>
              <w:tab/>
              <w:t>Pärast süstimise lõpetamist ja nõela väljavõtmist peate nõelakaitsme lahti painutama ja nõelale kinnitama.</w:t>
            </w:r>
          </w:p>
        </w:tc>
        <w:tc>
          <w:tcPr>
            <w:tcW w:w="2609" w:type="dxa"/>
            <w:tcBorders>
              <w:left w:val="nil"/>
            </w:tcBorders>
            <w:shd w:val="clear" w:color="auto" w:fill="auto"/>
          </w:tcPr>
          <w:p w14:paraId="1BD91817" w14:textId="77777777" w:rsidR="00A27A6F" w:rsidRDefault="002C0949">
            <w:pPr>
              <w:pStyle w:val="ListParagraph"/>
              <w:ind w:left="0"/>
              <w:rPr>
                <w:sz w:val="22"/>
                <w:szCs w:val="22"/>
              </w:rPr>
            </w:pPr>
            <w:r>
              <w:rPr>
                <w:noProof/>
                <w:lang w:val="en-GB" w:eastAsia="en-GB"/>
              </w:rPr>
              <w:drawing>
                <wp:anchor distT="0" distB="0" distL="114300" distR="114300" simplePos="0" relativeHeight="251668992" behindDoc="0" locked="0" layoutInCell="1" allowOverlap="1" wp14:anchorId="02067C2A" wp14:editId="4DD61A78">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27A6F" w14:paraId="758DEC44" w14:textId="77777777">
        <w:trPr>
          <w:trHeight w:val="854"/>
        </w:trPr>
        <w:tc>
          <w:tcPr>
            <w:tcW w:w="9287" w:type="dxa"/>
            <w:gridSpan w:val="2"/>
            <w:shd w:val="clear" w:color="auto" w:fill="auto"/>
          </w:tcPr>
          <w:p w14:paraId="6323F57F" w14:textId="77777777" w:rsidR="00A27A6F" w:rsidRDefault="002C0949">
            <w:pPr>
              <w:spacing w:line="240" w:lineRule="auto"/>
              <w:ind w:left="567" w:hanging="567"/>
              <w:rPr>
                <w:rFonts w:eastAsia="Calibri"/>
                <w:szCs w:val="22"/>
              </w:rPr>
            </w:pPr>
            <w:r>
              <w:rPr>
                <w:szCs w:val="22"/>
              </w:rPr>
              <w:t>6.</w:t>
            </w:r>
            <w:r>
              <w:rPr>
                <w:szCs w:val="22"/>
              </w:rPr>
              <w:tab/>
              <w:t>Palun visake kasutatud nõel, kogu ülejäänud lahus, süstal ja tühi viaal ohutult selleks ettenähtud meditsiiniliste jäätmete mahutisse. Need materjalid võivad olla teistele kahjulikud, kui neid korralikult ei hävitata. Ärge kasutage komplekti korduvalt.</w:t>
            </w:r>
          </w:p>
        </w:tc>
      </w:tr>
    </w:tbl>
    <w:p w14:paraId="60ADD274" w14:textId="77777777" w:rsidR="00A27A6F" w:rsidRDefault="00A27A6F">
      <w:pPr>
        <w:tabs>
          <w:tab w:val="clear" w:pos="567"/>
          <w:tab w:val="left" w:pos="709"/>
        </w:tabs>
        <w:autoSpaceDE w:val="0"/>
        <w:autoSpaceDN w:val="0"/>
        <w:adjustRightInd w:val="0"/>
        <w:spacing w:line="240" w:lineRule="auto"/>
        <w:ind w:right="-23"/>
        <w:rPr>
          <w:color w:val="000000"/>
          <w:szCs w:val="22"/>
        </w:rPr>
      </w:pPr>
    </w:p>
    <w:sectPr w:rsidR="00A27A6F">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1CFD" w16cex:dateUtc="2020-11-20T08:46:00Z"/>
  <w16cex:commentExtensible w16cex:durableId="23621D89" w16cex:dateUtc="2020-11-20T08:48:00Z"/>
  <w16cex:commentExtensible w16cex:durableId="23621F2E" w16cex:dateUtc="2020-11-20T08:55:00Z"/>
  <w16cex:commentExtensible w16cex:durableId="23625265" w16cex:dateUtc="2020-11-20T12:34:00Z"/>
  <w16cex:commentExtensible w16cex:durableId="2362536C" w16cex:dateUtc="2020-11-20T12:38:00Z"/>
  <w16cex:commentExtensible w16cex:durableId="236253DA" w16cex:dateUtc="2020-11-20T12:40:00Z"/>
  <w16cex:commentExtensible w16cex:durableId="23625449" w16cex:dateUtc="2020-11-20T12:42:00Z"/>
  <w16cex:commentExtensible w16cex:durableId="2362545C" w16cex:dateUtc="2020-11-20T12: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B90B7" w14:textId="77777777" w:rsidR="004B47D7" w:rsidRDefault="004B47D7">
      <w:r>
        <w:separator/>
      </w:r>
    </w:p>
  </w:endnote>
  <w:endnote w:type="continuationSeparator" w:id="0">
    <w:p w14:paraId="28C932C1" w14:textId="77777777" w:rsidR="004B47D7" w:rsidRDefault="004B47D7">
      <w:r>
        <w:continuationSeparator/>
      </w:r>
    </w:p>
  </w:endnote>
  <w:endnote w:type="continuationNotice" w:id="1">
    <w:p w14:paraId="08115140" w14:textId="77777777" w:rsidR="004B47D7" w:rsidRDefault="004B47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1CC9E" w14:textId="279A9948" w:rsidR="0081738A" w:rsidRDefault="0081738A">
    <w:pPr>
      <w:pStyle w:val="Footer"/>
      <w:jc w:val="center"/>
    </w:pPr>
    <w:r>
      <w:fldChar w:fldCharType="begin"/>
    </w:r>
    <w:r>
      <w:instrText xml:space="preserve"> PAGE   \* MERGEFORMAT </w:instrText>
    </w:r>
    <w:r>
      <w:fldChar w:fldCharType="separate"/>
    </w:r>
    <w:r w:rsidR="00480E61">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06D62" w14:textId="77777777" w:rsidR="004B47D7" w:rsidRDefault="004B47D7">
      <w:r>
        <w:separator/>
      </w:r>
    </w:p>
  </w:footnote>
  <w:footnote w:type="continuationSeparator" w:id="0">
    <w:p w14:paraId="40C03ADA" w14:textId="77777777" w:rsidR="004B47D7" w:rsidRDefault="004B47D7">
      <w:r>
        <w:continuationSeparator/>
      </w:r>
    </w:p>
  </w:footnote>
  <w:footnote w:type="continuationNotice" w:id="1">
    <w:p w14:paraId="44A1DF9B" w14:textId="77777777" w:rsidR="004B47D7" w:rsidRDefault="004B47D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281468"/>
    <w:multiLevelType w:val="hybridMultilevel"/>
    <w:tmpl w:val="2710D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0" w15:restartNumberingAfterBreak="0">
    <w:nsid w:val="138219AD"/>
    <w:multiLevelType w:val="hybridMultilevel"/>
    <w:tmpl w:val="782EE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A23233E"/>
    <w:multiLevelType w:val="hybridMultilevel"/>
    <w:tmpl w:val="796CC07A"/>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27"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2"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3"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8"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26E4FF5"/>
    <w:multiLevelType w:val="hybridMultilevel"/>
    <w:tmpl w:val="7E8EA624"/>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8"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5"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3"/>
  </w:num>
  <w:num w:numId="6">
    <w:abstractNumId w:val="39"/>
  </w:num>
  <w:num w:numId="7">
    <w:abstractNumId w:val="22"/>
  </w:num>
  <w:num w:numId="8">
    <w:abstractNumId w:val="29"/>
  </w:num>
  <w:num w:numId="9">
    <w:abstractNumId w:val="52"/>
  </w:num>
  <w:num w:numId="10">
    <w:abstractNumId w:val="1"/>
  </w:num>
  <w:num w:numId="11">
    <w:abstractNumId w:val="45"/>
  </w:num>
  <w:num w:numId="12">
    <w:abstractNumId w:val="25"/>
  </w:num>
  <w:num w:numId="13">
    <w:abstractNumId w:val="17"/>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47"/>
  </w:num>
  <w:num w:numId="17">
    <w:abstractNumId w:val="32"/>
  </w:num>
  <w:num w:numId="18">
    <w:abstractNumId w:val="37"/>
  </w:num>
  <w:num w:numId="19">
    <w:abstractNumId w:val="53"/>
  </w:num>
  <w:num w:numId="20">
    <w:abstractNumId w:val="41"/>
  </w:num>
  <w:num w:numId="21">
    <w:abstractNumId w:val="49"/>
  </w:num>
  <w:num w:numId="22">
    <w:abstractNumId w:val="44"/>
  </w:num>
  <w:num w:numId="23">
    <w:abstractNumId w:val="21"/>
  </w:num>
  <w:num w:numId="24">
    <w:abstractNumId w:val="49"/>
  </w:num>
  <w:num w:numId="25">
    <w:abstractNumId w:val="6"/>
  </w:num>
  <w:num w:numId="26">
    <w:abstractNumId w:val="35"/>
  </w:num>
  <w:num w:numId="27">
    <w:abstractNumId w:val="15"/>
  </w:num>
  <w:num w:numId="28">
    <w:abstractNumId w:val="55"/>
  </w:num>
  <w:num w:numId="29">
    <w:abstractNumId w:val="28"/>
  </w:num>
  <w:num w:numId="30">
    <w:abstractNumId w:val="48"/>
  </w:num>
  <w:num w:numId="31">
    <w:abstractNumId w:val="24"/>
  </w:num>
  <w:num w:numId="32">
    <w:abstractNumId w:val="16"/>
  </w:num>
  <w:num w:numId="33">
    <w:abstractNumId w:val="46"/>
  </w:num>
  <w:num w:numId="34">
    <w:abstractNumId w:val="2"/>
  </w:num>
  <w:num w:numId="35">
    <w:abstractNumId w:val="3"/>
  </w:num>
  <w:num w:numId="36">
    <w:abstractNumId w:val="56"/>
  </w:num>
  <w:num w:numId="37">
    <w:abstractNumId w:val="38"/>
  </w:num>
  <w:num w:numId="38">
    <w:abstractNumId w:val="51"/>
  </w:num>
  <w:num w:numId="39">
    <w:abstractNumId w:val="5"/>
  </w:num>
  <w:num w:numId="40">
    <w:abstractNumId w:val="8"/>
  </w:num>
  <w:num w:numId="41">
    <w:abstractNumId w:val="19"/>
  </w:num>
  <w:num w:numId="42">
    <w:abstractNumId w:val="50"/>
  </w:num>
  <w:num w:numId="43">
    <w:abstractNumId w:val="12"/>
  </w:num>
  <w:num w:numId="44">
    <w:abstractNumId w:val="34"/>
  </w:num>
  <w:num w:numId="45">
    <w:abstractNumId w:val="18"/>
  </w:num>
  <w:num w:numId="46">
    <w:abstractNumId w:val="0"/>
    <w:lvlOverride w:ilvl="0">
      <w:lvl w:ilvl="0">
        <w:start w:val="1"/>
        <w:numFmt w:val="bullet"/>
        <w:lvlText w:val="-"/>
        <w:legacy w:legacy="1" w:legacySpace="0" w:legacyIndent="360"/>
        <w:lvlJc w:val="left"/>
        <w:pPr>
          <w:ind w:left="360" w:hanging="360"/>
        </w:pPr>
      </w:lvl>
    </w:lvlOverride>
  </w:num>
  <w:num w:numId="47">
    <w:abstractNumId w:val="49"/>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49"/>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49"/>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49"/>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49"/>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49"/>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49"/>
  </w:num>
  <w:num w:numId="66">
    <w:abstractNumId w:val="6"/>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3"/>
  </w:num>
  <w:num w:numId="71">
    <w:abstractNumId w:val="11"/>
  </w:num>
  <w:num w:numId="72">
    <w:abstractNumId w:val="36"/>
  </w:num>
  <w:num w:numId="73">
    <w:abstractNumId w:val="20"/>
  </w:num>
  <w:num w:numId="74">
    <w:abstractNumId w:val="23"/>
  </w:num>
  <w:num w:numId="75">
    <w:abstractNumId w:val="30"/>
  </w:num>
  <w:num w:numId="76">
    <w:abstractNumId w:val="31"/>
  </w:num>
  <w:num w:numId="77">
    <w:abstractNumId w:val="33"/>
  </w:num>
  <w:num w:numId="78">
    <w:abstractNumId w:val="27"/>
  </w:num>
  <w:num w:numId="79">
    <w:abstractNumId w:val="26"/>
  </w:num>
  <w:num w:numId="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
  </w:num>
  <w:num w:numId="82">
    <w:abstractNumId w:val="54"/>
  </w:num>
  <w:num w:numId="83">
    <w:abstractNumId w:val="10"/>
  </w:num>
  <w:num w:numId="84">
    <w:abstractNumId w:val="4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A27A6F"/>
    <w:rsid w:val="00057292"/>
    <w:rsid w:val="00077AA3"/>
    <w:rsid w:val="00084152"/>
    <w:rsid w:val="000975CA"/>
    <w:rsid w:val="000A5DBE"/>
    <w:rsid w:val="000E6A08"/>
    <w:rsid w:val="00102D7A"/>
    <w:rsid w:val="00151E7C"/>
    <w:rsid w:val="00176709"/>
    <w:rsid w:val="00193E42"/>
    <w:rsid w:val="001A654B"/>
    <w:rsid w:val="001D326D"/>
    <w:rsid w:val="002320F0"/>
    <w:rsid w:val="00236F95"/>
    <w:rsid w:val="00275EF1"/>
    <w:rsid w:val="0028427F"/>
    <w:rsid w:val="002C0949"/>
    <w:rsid w:val="002F18D9"/>
    <w:rsid w:val="00356F66"/>
    <w:rsid w:val="003700D5"/>
    <w:rsid w:val="003A5067"/>
    <w:rsid w:val="003A6778"/>
    <w:rsid w:val="003C7AEF"/>
    <w:rsid w:val="003E00A0"/>
    <w:rsid w:val="00413CF1"/>
    <w:rsid w:val="00460016"/>
    <w:rsid w:val="00480E61"/>
    <w:rsid w:val="004855F3"/>
    <w:rsid w:val="004B47D7"/>
    <w:rsid w:val="005135A6"/>
    <w:rsid w:val="00563D30"/>
    <w:rsid w:val="00570306"/>
    <w:rsid w:val="0059543E"/>
    <w:rsid w:val="005A6951"/>
    <w:rsid w:val="005E6424"/>
    <w:rsid w:val="00651C90"/>
    <w:rsid w:val="00683293"/>
    <w:rsid w:val="0069270A"/>
    <w:rsid w:val="006F2560"/>
    <w:rsid w:val="006F7E16"/>
    <w:rsid w:val="00727472"/>
    <w:rsid w:val="00731639"/>
    <w:rsid w:val="00734514"/>
    <w:rsid w:val="007D2584"/>
    <w:rsid w:val="0081738A"/>
    <w:rsid w:val="008334C8"/>
    <w:rsid w:val="00833798"/>
    <w:rsid w:val="00842121"/>
    <w:rsid w:val="00844BF2"/>
    <w:rsid w:val="00873BFB"/>
    <w:rsid w:val="008C5051"/>
    <w:rsid w:val="0095071A"/>
    <w:rsid w:val="00957082"/>
    <w:rsid w:val="009A7AEB"/>
    <w:rsid w:val="009E3D5E"/>
    <w:rsid w:val="009F49A8"/>
    <w:rsid w:val="00A27A6F"/>
    <w:rsid w:val="00A3411C"/>
    <w:rsid w:val="00A63BDD"/>
    <w:rsid w:val="00A77BB3"/>
    <w:rsid w:val="00A938BF"/>
    <w:rsid w:val="00AB1D0F"/>
    <w:rsid w:val="00AE17F4"/>
    <w:rsid w:val="00AF105A"/>
    <w:rsid w:val="00B6773C"/>
    <w:rsid w:val="00B7173E"/>
    <w:rsid w:val="00BB07DA"/>
    <w:rsid w:val="00BB418B"/>
    <w:rsid w:val="00C249EC"/>
    <w:rsid w:val="00C92342"/>
    <w:rsid w:val="00CE3EBF"/>
    <w:rsid w:val="00CF5F77"/>
    <w:rsid w:val="00D7215B"/>
    <w:rsid w:val="00D75E29"/>
    <w:rsid w:val="00DB15F9"/>
    <w:rsid w:val="00ED19AB"/>
    <w:rsid w:val="00EE3BDA"/>
    <w:rsid w:val="00EF2ADE"/>
    <w:rsid w:val="00F313CC"/>
    <w:rsid w:val="00F436BD"/>
    <w:rsid w:val="00F55015"/>
    <w:rsid w:val="00F70A76"/>
    <w:rsid w:val="00F80981"/>
    <w:rsid w:val="00F970BA"/>
    <w:rsid w:val="00FC4F63"/>
    <w:rsid w:val="00FD5BFE"/>
    <w:rsid w:val="00FF4E95"/>
    <w:rsid w:val="00FF72C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AB7B25"/>
  <w15:docId w15:val="{E6BC7B7A-E93A-4BEE-A6B0-7A7CE8D7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val="et-EE" w:eastAsia="et-EE"/>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basedOn w:val="Normal"/>
    <w:link w:val="CommentTextChar"/>
    <w:uiPriority w:val="99"/>
    <w:rPr>
      <w:sz w:val="20"/>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line="240" w:lineRule="auto"/>
      <w:jc w:val="both"/>
    </w:p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Pr>
      <w:rFonts w:ascii="Courier New" w:eastAsia="Verdana" w:hAnsi="Courier New"/>
      <w:i/>
      <w:color w:val="339966"/>
      <w:sz w:val="22"/>
      <w:szCs w:val="18"/>
    </w:rPr>
  </w:style>
  <w:style w:type="paragraph" w:customStyle="1" w:styleId="NormalAgency">
    <w:name w:val="Normal (Agency)"/>
    <w:link w:val="NormalAgencyChar"/>
    <w:rPr>
      <w:rFonts w:ascii="Verdana" w:eastAsia="Verdana" w:hAnsi="Verdana" w:cs="Verdana"/>
      <w:sz w:val="18"/>
      <w:szCs w:val="18"/>
      <w:lang w:val="et-EE" w:eastAsia="et-EE"/>
    </w:rPr>
  </w:style>
  <w:style w:type="table" w:customStyle="1" w:styleId="TablegridAgencyblack">
    <w:name w:val="Table grid (Agency) black"/>
    <w:basedOn w:val="TableNormal"/>
    <w:semiHidden/>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cs="Verdana"/>
      <w:sz w:val="18"/>
      <w:szCs w:val="18"/>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uiPriority w:val="99"/>
    <w:rPr>
      <w:rFonts w:eastAsia="Times New Roman"/>
    </w:rPr>
  </w:style>
  <w:style w:type="character" w:customStyle="1" w:styleId="CommentSubjectChar">
    <w:name w:val="Comment Subject Char"/>
    <w:link w:val="CommentSubject"/>
    <w:rPr>
      <w:rFonts w:eastAsia="Times New Roman"/>
      <w:b/>
      <w:bCs/>
    </w:rPr>
  </w:style>
  <w:style w:type="paragraph" w:customStyle="1" w:styleId="Default">
    <w:name w:val="Default"/>
    <w:pPr>
      <w:autoSpaceDE w:val="0"/>
      <w:autoSpaceDN w:val="0"/>
      <w:adjustRightInd w:val="0"/>
    </w:pPr>
    <w:rPr>
      <w:rFonts w:eastAsia="Calibri"/>
      <w:color w:val="000000"/>
      <w:sz w:val="24"/>
      <w:szCs w:val="24"/>
      <w:lang w:val="et-EE" w:eastAsia="et-EE"/>
    </w:rPr>
  </w:style>
  <w:style w:type="character" w:customStyle="1" w:styleId="Heading2Char">
    <w:name w:val="Heading 2 Char"/>
    <w:link w:val="Heading2"/>
    <w:uiPriority w:val="9"/>
    <w:rPr>
      <w:rFonts w:eastAsia="Times New Roman"/>
      <w:b/>
      <w:bCs/>
      <w:sz w:val="36"/>
      <w:szCs w:val="36"/>
    </w:rPr>
  </w:style>
  <w:style w:type="character" w:customStyle="1" w:styleId="FooterChar">
    <w:name w:val="Footer Char"/>
    <w:link w:val="Footer"/>
    <w:uiPriority w:val="99"/>
    <w:rPr>
      <w:rFonts w:ascii="Arial" w:eastAsia="Times New Roman" w:hAnsi="Arial"/>
      <w:noProof/>
      <w:sz w:val="16"/>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rPr>
  </w:style>
  <w:style w:type="character" w:customStyle="1" w:styleId="HeaderChar">
    <w:name w:val="Header Char"/>
    <w:link w:val="Header"/>
    <w:uiPriority w:val="99"/>
    <w:rPr>
      <w:rFonts w:ascii="Arial" w:eastAsia="Times New Roman" w:hAnsi="Arial"/>
    </w:rPr>
  </w:style>
  <w:style w:type="paragraph" w:customStyle="1" w:styleId="C-TableText">
    <w:name w:val="C-Table Text"/>
    <w:link w:val="C-TableTextChar"/>
    <w:pPr>
      <w:spacing w:before="60" w:after="60"/>
    </w:pPr>
    <w:rPr>
      <w:rFonts w:eastAsia="Times New Roman"/>
      <w:sz w:val="22"/>
      <w:lang w:val="et-EE" w:eastAsia="et-EE"/>
    </w:rPr>
  </w:style>
  <w:style w:type="paragraph" w:customStyle="1" w:styleId="C-TableHeader">
    <w:name w:val="C-Table Header"/>
    <w:next w:val="C-TableText"/>
    <w:link w:val="C-TableHeaderChar"/>
    <w:pPr>
      <w:keepNext/>
      <w:spacing w:before="60" w:after="60"/>
    </w:pPr>
    <w:rPr>
      <w:rFonts w:eastAsia="Times New Roman"/>
      <w:b/>
      <w:sz w:val="22"/>
      <w:lang w:val="et-EE" w:eastAsia="et-EE"/>
    </w:rPr>
  </w:style>
  <w:style w:type="character" w:customStyle="1" w:styleId="C-TableTextChar">
    <w:name w:val="C-Table Text Char"/>
    <w:link w:val="C-TableText"/>
    <w:locked/>
    <w:rPr>
      <w:rFonts w:eastAsia="Times New Roman"/>
      <w:sz w:val="22"/>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t-EE" w:eastAsia="et-EE"/>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Pr>
      <w:rFonts w:ascii="Calibri" w:eastAsia="Calibri" w:hAnsi="Calibri"/>
      <w:sz w:val="22"/>
      <w:szCs w:val="22"/>
    </w:rPr>
  </w:style>
  <w:style w:type="paragraph" w:styleId="Revision">
    <w:name w:val="Revision"/>
    <w:hidden/>
    <w:uiPriority w:val="99"/>
    <w:semiHidden/>
    <w:rPr>
      <w:rFonts w:eastAsia="Times New Roman"/>
      <w:sz w:val="22"/>
      <w:lang w:val="et-EE" w:eastAsia="et-EE"/>
    </w:rPr>
  </w:style>
  <w:style w:type="paragraph" w:customStyle="1" w:styleId="C-BodyText">
    <w:name w:val="C-Body Text"/>
    <w:link w:val="C-BodyTextChar"/>
    <w:pPr>
      <w:spacing w:before="120" w:after="120" w:line="280" w:lineRule="atLeast"/>
    </w:pPr>
    <w:rPr>
      <w:rFonts w:eastAsia="Times New Roman"/>
      <w:sz w:val="24"/>
      <w:lang w:val="et-EE" w:eastAsia="et-EE"/>
    </w:rPr>
  </w:style>
  <w:style w:type="character" w:customStyle="1" w:styleId="C-BodyTextChar">
    <w:name w:val="C-Body Text Char"/>
    <w:link w:val="C-BodyText"/>
    <w:rPr>
      <w:rFonts w:eastAsia="Times New Roman"/>
      <w:sz w:val="24"/>
    </w:rPr>
  </w:style>
  <w:style w:type="paragraph" w:customStyle="1" w:styleId="DocID">
    <w:name w:val="DocID"/>
    <w:basedOn w:val="BodyText"/>
    <w:next w:val="Footer"/>
    <w:link w:val="DocIDChar"/>
    <w:pPr>
      <w:widowControl w:val="0"/>
    </w:pPr>
    <w:rPr>
      <w:rFonts w:ascii="Arial" w:hAnsi="Arial" w:cs="Arial"/>
      <w:i w:val="0"/>
      <w:color w:val="000000"/>
      <w:sz w:val="16"/>
    </w:rPr>
  </w:style>
  <w:style w:type="character" w:customStyle="1" w:styleId="DocIDChar">
    <w:name w:val="DocID Char"/>
    <w:link w:val="DocID"/>
    <w:rPr>
      <w:rFonts w:ascii="Arial" w:eastAsia="Times New Roman" w:hAnsi="Arial" w:cs="Arial"/>
      <w:color w:val="000000"/>
      <w:sz w:val="16"/>
    </w:rPr>
  </w:style>
  <w:style w:type="character" w:customStyle="1" w:styleId="C-TableHeaderChar">
    <w:name w:val="C-Table Header Char"/>
    <w:link w:val="C-TableHeader"/>
    <w:locked/>
    <w:rPr>
      <w:rFonts w:eastAsia="Times New Roman"/>
      <w:b/>
      <w:sz w:val="22"/>
    </w:rPr>
  </w:style>
  <w:style w:type="paragraph" w:customStyle="1" w:styleId="TitleA">
    <w:name w:val="Title A"/>
    <w:basedOn w:val="Normal"/>
    <w:qFormat/>
    <w:pPr>
      <w:tabs>
        <w:tab w:val="clear" w:pos="567"/>
      </w:tabs>
      <w:spacing w:line="240" w:lineRule="auto"/>
      <w:jc w:val="center"/>
    </w:pPr>
    <w:rPr>
      <w:b/>
      <w:lang w:val="en-GB" w:eastAsia="en-US"/>
    </w:rPr>
  </w:style>
  <w:style w:type="paragraph" w:customStyle="1" w:styleId="TitleB">
    <w:name w:val="Title B"/>
    <w:basedOn w:val="Normal"/>
    <w:qFormat/>
    <w:pPr>
      <w:tabs>
        <w:tab w:val="clear" w:pos="567"/>
      </w:tabs>
      <w:spacing w:line="240" w:lineRule="auto"/>
      <w:ind w:left="567" w:hanging="567"/>
    </w:pPr>
    <w:rPr>
      <w:b/>
      <w:lang w:val="en-GB" w:eastAsia="en-US"/>
    </w:rPr>
  </w:style>
  <w:style w:type="character" w:customStyle="1" w:styleId="caption-h">
    <w:name w:val="caption-h"/>
  </w:style>
  <w:style w:type="character" w:customStyle="1" w:styleId="Mainimine1">
    <w:name w:val="Mainimine1"/>
    <w:uiPriority w:val="99"/>
    <w:semiHidden/>
    <w:unhideWhenUsed/>
    <w:rPr>
      <w:color w:val="2B579A"/>
      <w:shd w:val="clear" w:color="auto" w:fill="E6E6E6"/>
    </w:rPr>
  </w:style>
  <w:style w:type="character" w:styleId="LineNumber">
    <w:name w:val="line numbe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23214013">
      <w:bodyDiv w:val="1"/>
      <w:marLeft w:val="0"/>
      <w:marRight w:val="0"/>
      <w:marTop w:val="0"/>
      <w:marBottom w:val="0"/>
      <w:divBdr>
        <w:top w:val="none" w:sz="0" w:space="0" w:color="auto"/>
        <w:left w:val="none" w:sz="0" w:space="0" w:color="auto"/>
        <w:bottom w:val="none" w:sz="0" w:space="0" w:color="auto"/>
        <w:right w:val="none" w:sz="0" w:space="0" w:color="auto"/>
      </w:divBdr>
    </w:div>
    <w:div w:id="26957383">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34220766">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046267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367338195">
      <w:bodyDiv w:val="1"/>
      <w:marLeft w:val="0"/>
      <w:marRight w:val="0"/>
      <w:marTop w:val="0"/>
      <w:marBottom w:val="0"/>
      <w:divBdr>
        <w:top w:val="none" w:sz="0" w:space="0" w:color="auto"/>
        <w:left w:val="none" w:sz="0" w:space="0" w:color="auto"/>
        <w:bottom w:val="none" w:sz="0" w:space="0" w:color="auto"/>
        <w:right w:val="none" w:sz="0" w:space="0" w:color="auto"/>
      </w:divBdr>
    </w:div>
    <w:div w:id="439376059">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533463135">
      <w:bodyDiv w:val="1"/>
      <w:marLeft w:val="0"/>
      <w:marRight w:val="0"/>
      <w:marTop w:val="0"/>
      <w:marBottom w:val="0"/>
      <w:divBdr>
        <w:top w:val="none" w:sz="0" w:space="0" w:color="auto"/>
        <w:left w:val="none" w:sz="0" w:space="0" w:color="auto"/>
        <w:bottom w:val="none" w:sz="0" w:space="0" w:color="auto"/>
        <w:right w:val="none" w:sz="0" w:space="0" w:color="auto"/>
      </w:divBdr>
    </w:div>
    <w:div w:id="587078966">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38725096">
      <w:bodyDiv w:val="1"/>
      <w:marLeft w:val="0"/>
      <w:marRight w:val="0"/>
      <w:marTop w:val="0"/>
      <w:marBottom w:val="0"/>
      <w:divBdr>
        <w:top w:val="none" w:sz="0" w:space="0" w:color="auto"/>
        <w:left w:val="none" w:sz="0" w:space="0" w:color="auto"/>
        <w:bottom w:val="none" w:sz="0" w:space="0" w:color="auto"/>
        <w:right w:val="none" w:sz="0" w:space="0" w:color="auto"/>
      </w:divBdr>
    </w:div>
    <w:div w:id="666785543">
      <w:bodyDiv w:val="1"/>
      <w:marLeft w:val="0"/>
      <w:marRight w:val="0"/>
      <w:marTop w:val="0"/>
      <w:marBottom w:val="0"/>
      <w:divBdr>
        <w:top w:val="none" w:sz="0" w:space="0" w:color="auto"/>
        <w:left w:val="none" w:sz="0" w:space="0" w:color="auto"/>
        <w:bottom w:val="none" w:sz="0" w:space="0" w:color="auto"/>
        <w:right w:val="none" w:sz="0" w:space="0" w:color="auto"/>
      </w:divBdr>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80615439">
      <w:bodyDiv w:val="1"/>
      <w:marLeft w:val="0"/>
      <w:marRight w:val="0"/>
      <w:marTop w:val="0"/>
      <w:marBottom w:val="0"/>
      <w:divBdr>
        <w:top w:val="none" w:sz="0" w:space="0" w:color="auto"/>
        <w:left w:val="none" w:sz="0" w:space="0" w:color="auto"/>
        <w:bottom w:val="none" w:sz="0" w:space="0" w:color="auto"/>
        <w:right w:val="none" w:sz="0" w:space="0" w:color="auto"/>
      </w:divBdr>
    </w:div>
    <w:div w:id="782727853">
      <w:bodyDiv w:val="1"/>
      <w:marLeft w:val="0"/>
      <w:marRight w:val="0"/>
      <w:marTop w:val="0"/>
      <w:marBottom w:val="0"/>
      <w:divBdr>
        <w:top w:val="none" w:sz="0" w:space="0" w:color="auto"/>
        <w:left w:val="none" w:sz="0" w:space="0" w:color="auto"/>
        <w:bottom w:val="none" w:sz="0" w:space="0" w:color="auto"/>
        <w:right w:val="none" w:sz="0" w:space="0" w:color="auto"/>
      </w:divBdr>
    </w:div>
    <w:div w:id="810680783">
      <w:bodyDiv w:val="1"/>
      <w:marLeft w:val="0"/>
      <w:marRight w:val="0"/>
      <w:marTop w:val="0"/>
      <w:marBottom w:val="0"/>
      <w:divBdr>
        <w:top w:val="none" w:sz="0" w:space="0" w:color="auto"/>
        <w:left w:val="none" w:sz="0" w:space="0" w:color="auto"/>
        <w:bottom w:val="none" w:sz="0" w:space="0" w:color="auto"/>
        <w:right w:val="none" w:sz="0" w:space="0" w:color="auto"/>
      </w:divBdr>
    </w:div>
    <w:div w:id="828860244">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0681653">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59511936">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0105760">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47871391">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2918885">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149402810">
      <w:bodyDiv w:val="1"/>
      <w:marLeft w:val="0"/>
      <w:marRight w:val="0"/>
      <w:marTop w:val="0"/>
      <w:marBottom w:val="0"/>
      <w:divBdr>
        <w:top w:val="none" w:sz="0" w:space="0" w:color="auto"/>
        <w:left w:val="none" w:sz="0" w:space="0" w:color="auto"/>
        <w:bottom w:val="none" w:sz="0" w:space="0" w:color="auto"/>
        <w:right w:val="none" w:sz="0" w:space="0" w:color="auto"/>
      </w:divBdr>
    </w:div>
    <w:div w:id="1166826681">
      <w:bodyDiv w:val="1"/>
      <w:marLeft w:val="0"/>
      <w:marRight w:val="0"/>
      <w:marTop w:val="0"/>
      <w:marBottom w:val="0"/>
      <w:divBdr>
        <w:top w:val="none" w:sz="0" w:space="0" w:color="auto"/>
        <w:left w:val="none" w:sz="0" w:space="0" w:color="auto"/>
        <w:bottom w:val="none" w:sz="0" w:space="0" w:color="auto"/>
        <w:right w:val="none" w:sz="0" w:space="0" w:color="auto"/>
      </w:divBdr>
    </w:div>
    <w:div w:id="1193610794">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17088475">
      <w:bodyDiv w:val="1"/>
      <w:marLeft w:val="0"/>
      <w:marRight w:val="0"/>
      <w:marTop w:val="0"/>
      <w:marBottom w:val="0"/>
      <w:divBdr>
        <w:top w:val="none" w:sz="0" w:space="0" w:color="auto"/>
        <w:left w:val="none" w:sz="0" w:space="0" w:color="auto"/>
        <w:bottom w:val="none" w:sz="0" w:space="0" w:color="auto"/>
        <w:right w:val="none" w:sz="0" w:space="0" w:color="auto"/>
      </w:divBdr>
    </w:div>
    <w:div w:id="1427924891">
      <w:bodyDiv w:val="1"/>
      <w:marLeft w:val="0"/>
      <w:marRight w:val="0"/>
      <w:marTop w:val="0"/>
      <w:marBottom w:val="0"/>
      <w:divBdr>
        <w:top w:val="none" w:sz="0" w:space="0" w:color="auto"/>
        <w:left w:val="none" w:sz="0" w:space="0" w:color="auto"/>
        <w:bottom w:val="none" w:sz="0" w:space="0" w:color="auto"/>
        <w:right w:val="none" w:sz="0" w:space="0" w:color="auto"/>
      </w:divBdr>
    </w:div>
    <w:div w:id="1431121293">
      <w:bodyDiv w:val="1"/>
      <w:marLeft w:val="0"/>
      <w:marRight w:val="0"/>
      <w:marTop w:val="0"/>
      <w:marBottom w:val="0"/>
      <w:divBdr>
        <w:top w:val="none" w:sz="0" w:space="0" w:color="auto"/>
        <w:left w:val="none" w:sz="0" w:space="0" w:color="auto"/>
        <w:bottom w:val="none" w:sz="0" w:space="0" w:color="auto"/>
        <w:right w:val="none" w:sz="0" w:space="0" w:color="auto"/>
      </w:divBdr>
    </w:div>
    <w:div w:id="1501388645">
      <w:bodyDiv w:val="1"/>
      <w:marLeft w:val="0"/>
      <w:marRight w:val="0"/>
      <w:marTop w:val="0"/>
      <w:marBottom w:val="0"/>
      <w:divBdr>
        <w:top w:val="none" w:sz="0" w:space="0" w:color="auto"/>
        <w:left w:val="none" w:sz="0" w:space="0" w:color="auto"/>
        <w:bottom w:val="none" w:sz="0" w:space="0" w:color="auto"/>
        <w:right w:val="none" w:sz="0" w:space="0" w:color="auto"/>
      </w:divBdr>
    </w:div>
    <w:div w:id="1520853567">
      <w:bodyDiv w:val="1"/>
      <w:marLeft w:val="0"/>
      <w:marRight w:val="0"/>
      <w:marTop w:val="0"/>
      <w:marBottom w:val="0"/>
      <w:divBdr>
        <w:top w:val="none" w:sz="0" w:space="0" w:color="auto"/>
        <w:left w:val="none" w:sz="0" w:space="0" w:color="auto"/>
        <w:bottom w:val="none" w:sz="0" w:space="0" w:color="auto"/>
        <w:right w:val="none" w:sz="0" w:space="0" w:color="auto"/>
      </w:divBdr>
    </w:div>
    <w:div w:id="1533222444">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56838540">
      <w:bodyDiv w:val="1"/>
      <w:marLeft w:val="0"/>
      <w:marRight w:val="0"/>
      <w:marTop w:val="0"/>
      <w:marBottom w:val="0"/>
      <w:divBdr>
        <w:top w:val="none" w:sz="0" w:space="0" w:color="auto"/>
        <w:left w:val="none" w:sz="0" w:space="0" w:color="auto"/>
        <w:bottom w:val="none" w:sz="0" w:space="0" w:color="auto"/>
        <w:right w:val="none" w:sz="0" w:space="0" w:color="auto"/>
      </w:divBdr>
    </w:div>
    <w:div w:id="1673098874">
      <w:bodyDiv w:val="1"/>
      <w:marLeft w:val="0"/>
      <w:marRight w:val="0"/>
      <w:marTop w:val="0"/>
      <w:marBottom w:val="0"/>
      <w:divBdr>
        <w:top w:val="none" w:sz="0" w:space="0" w:color="auto"/>
        <w:left w:val="none" w:sz="0" w:space="0" w:color="auto"/>
        <w:bottom w:val="none" w:sz="0" w:space="0" w:color="auto"/>
        <w:right w:val="none" w:sz="0" w:space="0" w:color="auto"/>
      </w:divBdr>
    </w:div>
    <w:div w:id="1683583548">
      <w:bodyDiv w:val="1"/>
      <w:marLeft w:val="0"/>
      <w:marRight w:val="0"/>
      <w:marTop w:val="0"/>
      <w:marBottom w:val="0"/>
      <w:divBdr>
        <w:top w:val="none" w:sz="0" w:space="0" w:color="auto"/>
        <w:left w:val="none" w:sz="0" w:space="0" w:color="auto"/>
        <w:bottom w:val="none" w:sz="0" w:space="0" w:color="auto"/>
        <w:right w:val="none" w:sz="0" w:space="0" w:color="auto"/>
      </w:divBdr>
    </w:div>
    <w:div w:id="1689479242">
      <w:bodyDiv w:val="1"/>
      <w:marLeft w:val="0"/>
      <w:marRight w:val="0"/>
      <w:marTop w:val="0"/>
      <w:marBottom w:val="0"/>
      <w:divBdr>
        <w:top w:val="none" w:sz="0" w:space="0" w:color="auto"/>
        <w:left w:val="none" w:sz="0" w:space="0" w:color="auto"/>
        <w:bottom w:val="none" w:sz="0" w:space="0" w:color="auto"/>
        <w:right w:val="none" w:sz="0" w:space="0" w:color="auto"/>
      </w:divBdr>
    </w:div>
    <w:div w:id="1732926949">
      <w:bodyDiv w:val="1"/>
      <w:marLeft w:val="0"/>
      <w:marRight w:val="0"/>
      <w:marTop w:val="0"/>
      <w:marBottom w:val="0"/>
      <w:divBdr>
        <w:top w:val="none" w:sz="0" w:space="0" w:color="auto"/>
        <w:left w:val="none" w:sz="0" w:space="0" w:color="auto"/>
        <w:bottom w:val="none" w:sz="0" w:space="0" w:color="auto"/>
        <w:right w:val="none" w:sz="0" w:space="0" w:color="auto"/>
      </w:divBdr>
    </w:div>
    <w:div w:id="1742943333">
      <w:bodyDiv w:val="1"/>
      <w:marLeft w:val="0"/>
      <w:marRight w:val="0"/>
      <w:marTop w:val="0"/>
      <w:marBottom w:val="0"/>
      <w:divBdr>
        <w:top w:val="none" w:sz="0" w:space="0" w:color="auto"/>
        <w:left w:val="none" w:sz="0" w:space="0" w:color="auto"/>
        <w:bottom w:val="none" w:sz="0" w:space="0" w:color="auto"/>
        <w:right w:val="none" w:sz="0" w:space="0" w:color="auto"/>
      </w:divBdr>
    </w:div>
    <w:div w:id="1781492030">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77904550">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27172272">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08427296">
      <w:bodyDiv w:val="1"/>
      <w:marLeft w:val="0"/>
      <w:marRight w:val="0"/>
      <w:marTop w:val="0"/>
      <w:marBottom w:val="0"/>
      <w:divBdr>
        <w:top w:val="none" w:sz="0" w:space="0" w:color="auto"/>
        <w:left w:val="none" w:sz="0" w:space="0" w:color="auto"/>
        <w:bottom w:val="none" w:sz="0" w:space="0" w:color="auto"/>
        <w:right w:val="none" w:sz="0" w:space="0" w:color="auto"/>
      </w:divBdr>
    </w:div>
    <w:div w:id="214492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45"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B1C21-21ED-41CA-B432-C2070323B869}">
  <ds:schemaRefs>
    <ds:schemaRef ds:uri="http://schemas.microsoft.com/sharepoint/v3/contenttype/forms"/>
  </ds:schemaRefs>
</ds:datastoreItem>
</file>

<file path=customXml/itemProps2.xml><?xml version="1.0" encoding="utf-8"?>
<ds:datastoreItem xmlns:ds="http://schemas.openxmlformats.org/officeDocument/2006/customXml" ds:itemID="{04A94859-68A9-4E5F-B307-FFC3D16411A0}">
  <ds:schemaRefs>
    <ds:schemaRef ds:uri="http://schemas.microsoft.com/office/2006/metadata/longProperties"/>
  </ds:schemaRefs>
</ds:datastoreItem>
</file>

<file path=customXml/itemProps3.xml><?xml version="1.0" encoding="utf-8"?>
<ds:datastoreItem xmlns:ds="http://schemas.openxmlformats.org/officeDocument/2006/customXml" ds:itemID="{68D99970-73E4-4463-A552-63D083E0FAA4}">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4.xml><?xml version="1.0" encoding="utf-8"?>
<ds:datastoreItem xmlns:ds="http://schemas.openxmlformats.org/officeDocument/2006/customXml" ds:itemID="{5B02EDA8-884D-4744-9925-A3145D969C78}"/>
</file>

<file path=customXml/itemProps5.xml><?xml version="1.0" encoding="utf-8"?>
<ds:datastoreItem xmlns:ds="http://schemas.openxmlformats.org/officeDocument/2006/customXml" ds:itemID="{577689CA-0901-439D-ABE4-7A926BA3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8539</Words>
  <Characters>63737</Characters>
  <Application>Microsoft Office Word</Application>
  <DocSecurity>0</DocSecurity>
  <Lines>531</Lines>
  <Paragraphs>144</Paragraphs>
  <ScaleCrop>false</ScaleCrop>
  <HeadingPairs>
    <vt:vector size="8" baseType="variant">
      <vt:variant>
        <vt:lpstr>Title</vt:lpstr>
      </vt:variant>
      <vt:variant>
        <vt:i4>1</vt:i4>
      </vt:variant>
      <vt:variant>
        <vt:lpstr>Pealkiri</vt:lpstr>
      </vt:variant>
      <vt:variant>
        <vt:i4>1</vt:i4>
      </vt:variant>
      <vt:variant>
        <vt:lpstr>Titel</vt:lpstr>
      </vt:variant>
      <vt:variant>
        <vt:i4>1</vt:i4>
      </vt:variant>
      <vt:variant>
        <vt:lpstr>Názov</vt:lpstr>
      </vt:variant>
      <vt:variant>
        <vt:i4>1</vt:i4>
      </vt:variant>
    </vt:vector>
  </HeadingPairs>
  <TitlesOfParts>
    <vt:vector size="4" baseType="lpstr">
      <vt:lpstr>ALPROLIX, INN-eftrenonacog alfa</vt:lpstr>
      <vt:lpstr>ALPROLIX, INN-eftrenonacog alfa</vt:lpstr>
      <vt:lpstr>ALPROLIX, INN-eftrenonacog alfa</vt:lpstr>
      <vt:lpstr>ELOCTA, INN-efmoroctocog alfa</vt:lpstr>
    </vt:vector>
  </TitlesOfParts>
  <Company>Swedish Orphan Biovitrum</Company>
  <LinksUpToDate>false</LinksUpToDate>
  <CharactersWithSpaces>72132</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100</cp:revision>
  <cp:lastPrinted>2014-10-01T00:04:00Z</cp:lastPrinted>
  <dcterms:created xsi:type="dcterms:W3CDTF">2020-11-23T12:13:00Z</dcterms:created>
  <dcterms:modified xsi:type="dcterms:W3CDTF">2021-05-24T20:24:00Z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_AdHocReviewCycleID">
    <vt:i4>2079622666</vt:i4>
  </property>
  <property fmtid="{D5CDD505-2E9C-101B-9397-08002B2CF9AE}" pid="52" name="_NewReviewCycle">
    <vt:lpwstr/>
  </property>
  <property fmtid="{D5CDD505-2E9C-101B-9397-08002B2CF9AE}" pid="53" name="_EmailSubject">
    <vt:lpwstr>Alprolix - EMEA/H/C/004142/R/0032 - Post-opinion linguistic review – &lt;ET&gt; comments</vt:lpwstr>
  </property>
  <property fmtid="{D5CDD505-2E9C-101B-9397-08002B2CF9AE}" pid="54" name="_AuthorEmail">
    <vt:lpwstr>qrd@ravimiamet.ee</vt:lpwstr>
  </property>
  <property fmtid="{D5CDD505-2E9C-101B-9397-08002B2CF9AE}" pid="55" name="_AuthorEmailDisplayName">
    <vt:lpwstr>QRD_mail</vt:lpwstr>
  </property>
  <property fmtid="{D5CDD505-2E9C-101B-9397-08002B2CF9AE}" pid="56" name="_ReviewingToolsShownOnce">
    <vt:lpwstr/>
  </property>
  <property fmtid="{D5CDD505-2E9C-101B-9397-08002B2CF9AE}" pid="57" name="MSIP_Label_0eea11ca-d417-4147-80ed-01a58412c458_Enabled">
    <vt:lpwstr>true</vt:lpwstr>
  </property>
  <property fmtid="{D5CDD505-2E9C-101B-9397-08002B2CF9AE}" pid="58" name="MSIP_Label_0eea11ca-d417-4147-80ed-01a58412c458_SetDate">
    <vt:lpwstr>2021-05-24T20:24:19Z</vt:lpwstr>
  </property>
  <property fmtid="{D5CDD505-2E9C-101B-9397-08002B2CF9AE}" pid="59" name="MSIP_Label_0eea11ca-d417-4147-80ed-01a58412c458_Method">
    <vt:lpwstr>Standard</vt:lpwstr>
  </property>
  <property fmtid="{D5CDD505-2E9C-101B-9397-08002B2CF9AE}" pid="60" name="MSIP_Label_0eea11ca-d417-4147-80ed-01a58412c458_Name">
    <vt:lpwstr>0eea11ca-d417-4147-80ed-01a58412c458</vt:lpwstr>
  </property>
  <property fmtid="{D5CDD505-2E9C-101B-9397-08002B2CF9AE}" pid="61" name="MSIP_Label_0eea11ca-d417-4147-80ed-01a58412c458_SiteId">
    <vt:lpwstr>bc9dc15c-61bc-4f03-b60b-e5b6d8922839</vt:lpwstr>
  </property>
  <property fmtid="{D5CDD505-2E9C-101B-9397-08002B2CF9AE}" pid="62" name="MSIP_Label_0eea11ca-d417-4147-80ed-01a58412c458_ActionId">
    <vt:lpwstr>f2967ce3-ac55-4a7e-bef9-ad712569dbbb</vt:lpwstr>
  </property>
  <property fmtid="{D5CDD505-2E9C-101B-9397-08002B2CF9AE}" pid="63" name="MSIP_Label_0eea11ca-d417-4147-80ed-01a58412c458_ContentBits">
    <vt:lpwstr>2</vt:lpwstr>
  </property>
  <property fmtid="{D5CDD505-2E9C-101B-9397-08002B2CF9AE}" pid="64" name="ContentTypeId">
    <vt:lpwstr>0x010100726F91DD1AE57B44B1BCEB7F1056F5D0</vt:lpwstr>
  </property>
</Properties>
</file>