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12D5C" w14:textId="77777777" w:rsidR="00E74F5A" w:rsidRPr="004311F9" w:rsidRDefault="00E74F5A" w:rsidP="00DC4CB1">
      <w:pPr>
        <w:spacing w:line="240" w:lineRule="auto"/>
        <w:rPr>
          <w:rFonts w:eastAsia="Times New Roman"/>
          <w:szCs w:val="24"/>
          <w:lang w:val="hu-HU"/>
        </w:rPr>
      </w:pPr>
      <w:bookmarkStart w:id="0" w:name="_GoBack"/>
      <w:bookmarkEnd w:id="0"/>
    </w:p>
    <w:p w14:paraId="67E5E8C7" w14:textId="77777777" w:rsidR="00E74F5A" w:rsidRPr="004311F9" w:rsidRDefault="00E74F5A" w:rsidP="00DC4CB1">
      <w:pPr>
        <w:spacing w:line="240" w:lineRule="auto"/>
        <w:rPr>
          <w:rFonts w:eastAsia="Times New Roman"/>
          <w:szCs w:val="24"/>
          <w:lang w:val="hu-HU"/>
        </w:rPr>
      </w:pPr>
    </w:p>
    <w:p w14:paraId="7A2009A2" w14:textId="77777777" w:rsidR="00E74F5A" w:rsidRPr="004311F9" w:rsidRDefault="00E74F5A" w:rsidP="00DC4CB1">
      <w:pPr>
        <w:spacing w:line="240" w:lineRule="auto"/>
        <w:rPr>
          <w:rFonts w:eastAsia="Times New Roman"/>
          <w:szCs w:val="24"/>
          <w:lang w:val="hu-HU"/>
        </w:rPr>
      </w:pPr>
    </w:p>
    <w:p w14:paraId="3A1E88E8" w14:textId="77777777" w:rsidR="00E74F5A" w:rsidRPr="004311F9" w:rsidRDefault="00E74F5A" w:rsidP="00DC4CB1">
      <w:pPr>
        <w:spacing w:line="240" w:lineRule="auto"/>
        <w:rPr>
          <w:rFonts w:eastAsia="Times New Roman"/>
          <w:szCs w:val="24"/>
          <w:lang w:val="hu-HU"/>
        </w:rPr>
      </w:pPr>
    </w:p>
    <w:p w14:paraId="40770C44" w14:textId="77777777" w:rsidR="00E74F5A" w:rsidRPr="004311F9" w:rsidRDefault="00E74F5A" w:rsidP="00DC4CB1">
      <w:pPr>
        <w:spacing w:line="240" w:lineRule="auto"/>
        <w:rPr>
          <w:rFonts w:eastAsia="Times New Roman"/>
          <w:szCs w:val="24"/>
          <w:lang w:val="hu-HU"/>
        </w:rPr>
      </w:pPr>
    </w:p>
    <w:p w14:paraId="321E5A54" w14:textId="77777777" w:rsidR="00E74F5A" w:rsidRPr="004311F9" w:rsidRDefault="00E74F5A" w:rsidP="00DC4CB1">
      <w:pPr>
        <w:spacing w:line="240" w:lineRule="auto"/>
        <w:rPr>
          <w:rFonts w:eastAsia="Times New Roman"/>
          <w:szCs w:val="24"/>
          <w:lang w:val="hu-HU"/>
        </w:rPr>
      </w:pPr>
    </w:p>
    <w:p w14:paraId="517C293F" w14:textId="77777777" w:rsidR="00E74F5A" w:rsidRPr="004311F9" w:rsidRDefault="00E74F5A" w:rsidP="00DC4CB1">
      <w:pPr>
        <w:spacing w:line="240" w:lineRule="auto"/>
        <w:rPr>
          <w:rFonts w:eastAsia="Times New Roman"/>
          <w:szCs w:val="24"/>
          <w:lang w:val="hu-HU"/>
        </w:rPr>
      </w:pPr>
    </w:p>
    <w:p w14:paraId="234742D6" w14:textId="77777777" w:rsidR="00E74F5A" w:rsidRPr="004311F9" w:rsidRDefault="00E74F5A" w:rsidP="00DC4CB1">
      <w:pPr>
        <w:spacing w:line="240" w:lineRule="auto"/>
        <w:rPr>
          <w:rFonts w:eastAsia="Times New Roman"/>
          <w:szCs w:val="24"/>
          <w:lang w:val="hu-HU"/>
        </w:rPr>
      </w:pPr>
    </w:p>
    <w:p w14:paraId="7FDBC343" w14:textId="77777777" w:rsidR="00E74F5A" w:rsidRPr="004311F9" w:rsidRDefault="00E74F5A" w:rsidP="00DC4CB1">
      <w:pPr>
        <w:spacing w:line="240" w:lineRule="auto"/>
        <w:rPr>
          <w:rFonts w:eastAsia="Times New Roman"/>
          <w:szCs w:val="24"/>
          <w:lang w:val="hu-HU"/>
        </w:rPr>
      </w:pPr>
    </w:p>
    <w:p w14:paraId="2CDED209" w14:textId="77777777" w:rsidR="00E74F5A" w:rsidRPr="004311F9" w:rsidRDefault="00E74F5A" w:rsidP="00DC4CB1">
      <w:pPr>
        <w:spacing w:line="240" w:lineRule="auto"/>
        <w:rPr>
          <w:rFonts w:eastAsia="Times New Roman"/>
          <w:szCs w:val="24"/>
          <w:lang w:val="hu-HU"/>
        </w:rPr>
      </w:pPr>
    </w:p>
    <w:p w14:paraId="7B2C5DEF" w14:textId="77777777" w:rsidR="00E74F5A" w:rsidRPr="004311F9" w:rsidRDefault="00E74F5A" w:rsidP="00DC4CB1">
      <w:pPr>
        <w:spacing w:line="240" w:lineRule="auto"/>
        <w:rPr>
          <w:rFonts w:eastAsia="Times New Roman"/>
          <w:szCs w:val="24"/>
          <w:lang w:val="hu-HU"/>
        </w:rPr>
      </w:pPr>
    </w:p>
    <w:p w14:paraId="701CA2A4" w14:textId="77777777" w:rsidR="00E74F5A" w:rsidRPr="004311F9" w:rsidRDefault="00E74F5A" w:rsidP="00DC4CB1">
      <w:pPr>
        <w:spacing w:line="240" w:lineRule="auto"/>
        <w:rPr>
          <w:rFonts w:eastAsia="Times New Roman"/>
          <w:szCs w:val="24"/>
          <w:lang w:val="hu-HU"/>
        </w:rPr>
      </w:pPr>
    </w:p>
    <w:p w14:paraId="1598617F" w14:textId="77777777" w:rsidR="00E74F5A" w:rsidRPr="004311F9" w:rsidRDefault="00E74F5A" w:rsidP="00DC4CB1">
      <w:pPr>
        <w:spacing w:line="240" w:lineRule="auto"/>
        <w:rPr>
          <w:rFonts w:eastAsia="Times New Roman"/>
          <w:szCs w:val="24"/>
          <w:lang w:val="hu-HU"/>
        </w:rPr>
      </w:pPr>
    </w:p>
    <w:p w14:paraId="11E0F89E" w14:textId="77777777" w:rsidR="00E74F5A" w:rsidRPr="004311F9" w:rsidRDefault="00E74F5A" w:rsidP="00DC4CB1">
      <w:pPr>
        <w:spacing w:line="240" w:lineRule="auto"/>
        <w:rPr>
          <w:rFonts w:eastAsia="Times New Roman"/>
          <w:szCs w:val="24"/>
          <w:lang w:val="hu-HU"/>
        </w:rPr>
      </w:pPr>
    </w:p>
    <w:p w14:paraId="7EAE70B4" w14:textId="77777777" w:rsidR="00E74F5A" w:rsidRPr="004311F9" w:rsidRDefault="00E74F5A" w:rsidP="00DC4CB1">
      <w:pPr>
        <w:spacing w:line="240" w:lineRule="auto"/>
        <w:rPr>
          <w:rFonts w:eastAsia="Times New Roman"/>
          <w:szCs w:val="24"/>
          <w:lang w:val="hu-HU"/>
        </w:rPr>
      </w:pPr>
    </w:p>
    <w:p w14:paraId="0526A926" w14:textId="77777777" w:rsidR="00E74F5A" w:rsidRPr="004311F9" w:rsidRDefault="00E74F5A" w:rsidP="00DC4CB1">
      <w:pPr>
        <w:spacing w:line="240" w:lineRule="auto"/>
        <w:rPr>
          <w:rFonts w:eastAsia="Times New Roman"/>
          <w:szCs w:val="24"/>
          <w:lang w:val="hu-HU"/>
        </w:rPr>
      </w:pPr>
    </w:p>
    <w:p w14:paraId="3733BEBE" w14:textId="77777777" w:rsidR="00E74F5A" w:rsidRPr="004311F9" w:rsidRDefault="00E74F5A" w:rsidP="00DC4CB1">
      <w:pPr>
        <w:spacing w:line="240" w:lineRule="auto"/>
        <w:rPr>
          <w:rFonts w:eastAsia="Times New Roman"/>
          <w:szCs w:val="24"/>
          <w:lang w:val="hu-HU"/>
        </w:rPr>
      </w:pPr>
    </w:p>
    <w:p w14:paraId="572951BE" w14:textId="77777777" w:rsidR="00E74F5A" w:rsidRPr="004311F9" w:rsidRDefault="00E74F5A" w:rsidP="00DC4CB1">
      <w:pPr>
        <w:spacing w:line="240" w:lineRule="auto"/>
        <w:rPr>
          <w:rFonts w:eastAsia="Times New Roman"/>
          <w:szCs w:val="24"/>
          <w:lang w:val="hu-HU"/>
        </w:rPr>
      </w:pPr>
    </w:p>
    <w:p w14:paraId="6731D43E" w14:textId="77777777" w:rsidR="00E74F5A" w:rsidRPr="004311F9" w:rsidRDefault="00E74F5A" w:rsidP="00DC4CB1">
      <w:pPr>
        <w:spacing w:line="240" w:lineRule="auto"/>
        <w:rPr>
          <w:rFonts w:eastAsia="Times New Roman"/>
          <w:szCs w:val="24"/>
          <w:lang w:val="hu-HU"/>
        </w:rPr>
      </w:pPr>
    </w:p>
    <w:p w14:paraId="7DA82FC7" w14:textId="77777777" w:rsidR="00E74F5A" w:rsidRPr="004311F9" w:rsidRDefault="00E74F5A" w:rsidP="00DC4CB1">
      <w:pPr>
        <w:spacing w:line="240" w:lineRule="auto"/>
        <w:rPr>
          <w:rFonts w:eastAsia="Times New Roman"/>
          <w:szCs w:val="24"/>
          <w:lang w:val="hu-HU"/>
        </w:rPr>
      </w:pPr>
    </w:p>
    <w:p w14:paraId="383DDCA8" w14:textId="77777777" w:rsidR="00E74F5A" w:rsidRPr="004311F9" w:rsidRDefault="00E74F5A" w:rsidP="00DC4CB1">
      <w:pPr>
        <w:spacing w:line="240" w:lineRule="auto"/>
        <w:rPr>
          <w:rFonts w:eastAsia="Times New Roman"/>
          <w:szCs w:val="24"/>
          <w:lang w:val="hu-HU"/>
        </w:rPr>
      </w:pPr>
    </w:p>
    <w:p w14:paraId="3846DA25" w14:textId="77777777" w:rsidR="00E74F5A" w:rsidRPr="004311F9" w:rsidRDefault="00E74F5A" w:rsidP="00DC4CB1">
      <w:pPr>
        <w:spacing w:line="240" w:lineRule="auto"/>
        <w:rPr>
          <w:rFonts w:eastAsia="Times New Roman"/>
          <w:szCs w:val="24"/>
          <w:lang w:val="hu-HU"/>
        </w:rPr>
      </w:pPr>
    </w:p>
    <w:p w14:paraId="112B915D" w14:textId="77777777" w:rsidR="00E74F5A" w:rsidRPr="004311F9" w:rsidRDefault="00E74F5A" w:rsidP="00224CF7">
      <w:pPr>
        <w:rPr>
          <w:rFonts w:eastAsia="Times New Roman"/>
          <w:bCs/>
          <w:szCs w:val="24"/>
          <w:lang w:val="hu-HU"/>
        </w:rPr>
      </w:pPr>
    </w:p>
    <w:p w14:paraId="4F74610B" w14:textId="77777777" w:rsidR="00E74F5A" w:rsidRPr="004311F9" w:rsidRDefault="00E74F5A" w:rsidP="00224CF7">
      <w:pPr>
        <w:jc w:val="center"/>
        <w:rPr>
          <w:b/>
          <w:szCs w:val="24"/>
          <w:lang w:val="hu-HU"/>
        </w:rPr>
      </w:pPr>
      <w:r w:rsidRPr="004311F9">
        <w:rPr>
          <w:b/>
          <w:szCs w:val="24"/>
          <w:lang w:val="hu-HU"/>
        </w:rPr>
        <w:t>I. MELLÉKLET</w:t>
      </w:r>
    </w:p>
    <w:p w14:paraId="3EBBCF0B" w14:textId="77777777" w:rsidR="00E74F5A" w:rsidRPr="004311F9" w:rsidRDefault="00E74F5A" w:rsidP="00224CF7">
      <w:pPr>
        <w:jc w:val="center"/>
        <w:rPr>
          <w:rFonts w:eastAsia="Times New Roman"/>
          <w:b/>
          <w:szCs w:val="24"/>
          <w:lang w:val="hu-HU"/>
        </w:rPr>
      </w:pPr>
    </w:p>
    <w:p w14:paraId="4602AFFD" w14:textId="77777777" w:rsidR="00E74F5A" w:rsidRPr="004311F9" w:rsidRDefault="00E74F5A" w:rsidP="00224CF7">
      <w:pPr>
        <w:pStyle w:val="TitleA"/>
        <w:rPr>
          <w:lang w:val="hu-HU"/>
        </w:rPr>
      </w:pPr>
      <w:r w:rsidRPr="004311F9">
        <w:rPr>
          <w:lang w:val="hu-HU"/>
        </w:rPr>
        <w:t>ALKALMAZÁSI ELŐÍRÁS</w:t>
      </w:r>
    </w:p>
    <w:p w14:paraId="70265253" w14:textId="77777777" w:rsidR="00E74F5A" w:rsidRPr="004311F9" w:rsidRDefault="00E74F5A" w:rsidP="00224CF7">
      <w:pPr>
        <w:rPr>
          <w:rFonts w:eastAsia="Times New Roman"/>
          <w:bCs/>
          <w:szCs w:val="24"/>
          <w:lang w:val="hu-HU"/>
        </w:rPr>
      </w:pPr>
    </w:p>
    <w:p w14:paraId="3BBD2891" w14:textId="1A13B986" w:rsidR="00E74F5A" w:rsidRPr="004311F9" w:rsidRDefault="00E74F5A" w:rsidP="00DC4CB1">
      <w:pPr>
        <w:pStyle w:val="HeadingSmPC"/>
        <w:keepNext/>
        <w:spacing w:line="240" w:lineRule="auto"/>
        <w:rPr>
          <w:noProof w:val="0"/>
          <w:szCs w:val="24"/>
        </w:rPr>
      </w:pPr>
      <w:r w:rsidRPr="004311F9">
        <w:rPr>
          <w:szCs w:val="24"/>
        </w:rPr>
        <w:br w:type="page"/>
      </w:r>
      <w:r w:rsidRPr="004311F9">
        <w:rPr>
          <w:noProof w:val="0"/>
          <w:szCs w:val="24"/>
        </w:rPr>
        <w:lastRenderedPageBreak/>
        <w:t>1.</w:t>
      </w:r>
      <w:r w:rsidRPr="004311F9">
        <w:rPr>
          <w:noProof w:val="0"/>
          <w:szCs w:val="24"/>
        </w:rPr>
        <w:tab/>
        <w:t>A GYÓGYSZER NEVE</w:t>
      </w:r>
    </w:p>
    <w:p w14:paraId="62CA297A" w14:textId="77777777" w:rsidR="00E74F5A" w:rsidRPr="004311F9" w:rsidRDefault="00E74F5A" w:rsidP="00DC4CB1">
      <w:pPr>
        <w:keepNext/>
        <w:spacing w:line="240" w:lineRule="auto"/>
        <w:rPr>
          <w:rFonts w:eastAsia="Times New Roman"/>
          <w:i/>
          <w:szCs w:val="24"/>
          <w:lang w:val="hu-HU"/>
        </w:rPr>
      </w:pPr>
    </w:p>
    <w:p w14:paraId="00A60F41" w14:textId="77777777" w:rsidR="00E74F5A" w:rsidRPr="004311F9" w:rsidRDefault="00E74F5A" w:rsidP="00DC4CB1">
      <w:pPr>
        <w:spacing w:line="240" w:lineRule="auto"/>
        <w:rPr>
          <w:szCs w:val="24"/>
          <w:lang w:val="hu-HU"/>
        </w:rPr>
      </w:pPr>
      <w:r w:rsidRPr="004311F9">
        <w:rPr>
          <w:szCs w:val="24"/>
          <w:lang w:val="hu-HU"/>
        </w:rPr>
        <w:t>ALPROLIX 250 NE por és oldószer oldatos injekcióhoz</w:t>
      </w:r>
    </w:p>
    <w:p w14:paraId="7DA3F399" w14:textId="77777777" w:rsidR="00E74F5A" w:rsidRPr="004311F9" w:rsidRDefault="00E74F5A" w:rsidP="00DC4CB1">
      <w:pPr>
        <w:spacing w:line="240" w:lineRule="auto"/>
        <w:rPr>
          <w:rFonts w:eastAsia="Times New Roman"/>
          <w:szCs w:val="24"/>
          <w:lang w:val="hu-HU"/>
        </w:rPr>
      </w:pPr>
    </w:p>
    <w:p w14:paraId="15C51D43" w14:textId="77777777" w:rsidR="00E74F5A" w:rsidRPr="004311F9" w:rsidRDefault="00E74F5A" w:rsidP="00DC4CB1">
      <w:pPr>
        <w:spacing w:line="240" w:lineRule="auto"/>
        <w:rPr>
          <w:szCs w:val="24"/>
          <w:lang w:val="hu-HU"/>
        </w:rPr>
      </w:pPr>
      <w:r w:rsidRPr="004311F9">
        <w:rPr>
          <w:szCs w:val="24"/>
          <w:lang w:val="hu-HU"/>
        </w:rPr>
        <w:t>ALPROLIX 500 NE por és oldószer oldatos injekcióhoz</w:t>
      </w:r>
    </w:p>
    <w:p w14:paraId="460048EA" w14:textId="77777777" w:rsidR="00E74F5A" w:rsidRPr="004311F9" w:rsidRDefault="00E74F5A" w:rsidP="00DC4CB1">
      <w:pPr>
        <w:spacing w:line="240" w:lineRule="auto"/>
        <w:rPr>
          <w:rFonts w:eastAsia="Times New Roman"/>
          <w:szCs w:val="24"/>
          <w:lang w:val="hu-HU"/>
        </w:rPr>
      </w:pPr>
    </w:p>
    <w:p w14:paraId="13FA0DFB" w14:textId="77777777" w:rsidR="00E74F5A" w:rsidRPr="004311F9" w:rsidRDefault="00E74F5A" w:rsidP="00DC4CB1">
      <w:pPr>
        <w:spacing w:line="240" w:lineRule="auto"/>
        <w:rPr>
          <w:szCs w:val="24"/>
          <w:lang w:val="hu-HU"/>
        </w:rPr>
      </w:pPr>
      <w:r w:rsidRPr="004311F9">
        <w:rPr>
          <w:szCs w:val="24"/>
          <w:lang w:val="hu-HU"/>
        </w:rPr>
        <w:t>ALPROLIX 1000 NE por és oldószer oldatos injekcióhoz</w:t>
      </w:r>
    </w:p>
    <w:p w14:paraId="7AF708E8" w14:textId="77777777" w:rsidR="00E74F5A" w:rsidRPr="004311F9" w:rsidRDefault="00E74F5A" w:rsidP="00DC4CB1">
      <w:pPr>
        <w:spacing w:line="240" w:lineRule="auto"/>
        <w:rPr>
          <w:rFonts w:eastAsia="Times New Roman"/>
          <w:szCs w:val="24"/>
          <w:lang w:val="hu-HU"/>
        </w:rPr>
      </w:pPr>
    </w:p>
    <w:p w14:paraId="721DAB5B" w14:textId="77777777" w:rsidR="00E74F5A" w:rsidRPr="004311F9" w:rsidRDefault="00E74F5A" w:rsidP="00DC4CB1">
      <w:pPr>
        <w:spacing w:line="240" w:lineRule="auto"/>
        <w:rPr>
          <w:szCs w:val="24"/>
          <w:lang w:val="hu-HU"/>
        </w:rPr>
      </w:pPr>
      <w:r w:rsidRPr="004311F9">
        <w:rPr>
          <w:szCs w:val="24"/>
          <w:lang w:val="hu-HU"/>
        </w:rPr>
        <w:t>ALPROLIX 2000 NE por és oldószer oldatos injekcióhoz</w:t>
      </w:r>
    </w:p>
    <w:p w14:paraId="7743C4A8" w14:textId="77777777" w:rsidR="00E74F5A" w:rsidRPr="004311F9" w:rsidRDefault="00E74F5A" w:rsidP="00DC4CB1">
      <w:pPr>
        <w:spacing w:line="240" w:lineRule="auto"/>
        <w:rPr>
          <w:rFonts w:eastAsia="Times New Roman"/>
          <w:szCs w:val="24"/>
          <w:lang w:val="hu-HU"/>
        </w:rPr>
      </w:pPr>
    </w:p>
    <w:p w14:paraId="7DDC51F2" w14:textId="77777777" w:rsidR="00E74F5A" w:rsidRPr="004311F9" w:rsidRDefault="00E74F5A" w:rsidP="00DC4CB1">
      <w:pPr>
        <w:spacing w:line="240" w:lineRule="auto"/>
        <w:rPr>
          <w:szCs w:val="24"/>
          <w:lang w:val="hu-HU"/>
        </w:rPr>
      </w:pPr>
      <w:r w:rsidRPr="004311F9">
        <w:rPr>
          <w:szCs w:val="24"/>
          <w:lang w:val="hu-HU"/>
        </w:rPr>
        <w:t>ALPROLIX 3000 NE por és oldószer oldatos injekcióhoz</w:t>
      </w:r>
    </w:p>
    <w:p w14:paraId="0840A6EE" w14:textId="77777777" w:rsidR="00E74F5A" w:rsidRPr="004311F9" w:rsidRDefault="00E74F5A" w:rsidP="00DC4CB1">
      <w:pPr>
        <w:spacing w:line="240" w:lineRule="auto"/>
        <w:rPr>
          <w:rFonts w:eastAsia="Times New Roman"/>
          <w:i/>
          <w:szCs w:val="24"/>
          <w:lang w:val="hu-HU"/>
        </w:rPr>
      </w:pPr>
    </w:p>
    <w:p w14:paraId="3350AF3C" w14:textId="77777777" w:rsidR="00E74F5A" w:rsidRPr="004311F9" w:rsidRDefault="00E74F5A" w:rsidP="00DC4CB1">
      <w:pPr>
        <w:spacing w:line="240" w:lineRule="auto"/>
        <w:rPr>
          <w:rFonts w:eastAsia="Times New Roman"/>
          <w:i/>
          <w:szCs w:val="24"/>
          <w:lang w:val="hu-HU"/>
        </w:rPr>
      </w:pPr>
    </w:p>
    <w:p w14:paraId="395F622B" w14:textId="77777777" w:rsidR="00E74F5A" w:rsidRPr="004311F9" w:rsidRDefault="00E74F5A" w:rsidP="00DC4CB1">
      <w:pPr>
        <w:keepNext/>
        <w:suppressAutoHyphens/>
        <w:spacing w:line="240" w:lineRule="auto"/>
        <w:ind w:left="567" w:hanging="567"/>
        <w:rPr>
          <w:szCs w:val="24"/>
          <w:lang w:val="hu-HU"/>
        </w:rPr>
      </w:pPr>
      <w:r w:rsidRPr="004311F9">
        <w:rPr>
          <w:b/>
          <w:szCs w:val="24"/>
          <w:lang w:val="hu-HU"/>
        </w:rPr>
        <w:t>2.</w:t>
      </w:r>
      <w:r w:rsidRPr="004311F9">
        <w:rPr>
          <w:b/>
          <w:szCs w:val="24"/>
          <w:lang w:val="hu-HU"/>
        </w:rPr>
        <w:tab/>
        <w:t>MINŐSÉGI ÉS MENNYISÉGI ÖSSZETÉTEL</w:t>
      </w:r>
    </w:p>
    <w:p w14:paraId="1B45EF81" w14:textId="77777777" w:rsidR="00E74F5A" w:rsidRPr="004311F9" w:rsidRDefault="00E74F5A" w:rsidP="00DC4CB1">
      <w:pPr>
        <w:keepNext/>
        <w:spacing w:line="240" w:lineRule="auto"/>
        <w:rPr>
          <w:rFonts w:eastAsia="Times New Roman"/>
          <w:i/>
          <w:szCs w:val="24"/>
          <w:lang w:val="hu-HU"/>
        </w:rPr>
      </w:pPr>
    </w:p>
    <w:p w14:paraId="6501E035" w14:textId="77777777" w:rsidR="00E74F5A" w:rsidRPr="004311F9" w:rsidRDefault="00E74F5A" w:rsidP="00DC4CB1">
      <w:pPr>
        <w:keepNext/>
        <w:keepLines/>
        <w:spacing w:line="240" w:lineRule="auto"/>
        <w:rPr>
          <w:szCs w:val="24"/>
          <w:u w:val="single"/>
          <w:lang w:val="hu-HU"/>
        </w:rPr>
      </w:pPr>
      <w:r w:rsidRPr="004311F9">
        <w:rPr>
          <w:szCs w:val="24"/>
          <w:u w:val="single"/>
          <w:lang w:val="hu-HU"/>
        </w:rPr>
        <w:t>ALPROLIX 250 NE por és oldószer oldatos injekcióhoz</w:t>
      </w:r>
    </w:p>
    <w:p w14:paraId="140341E0" w14:textId="01C10A0C" w:rsidR="00E74F5A" w:rsidRPr="004311F9" w:rsidRDefault="00E74F5A" w:rsidP="00DC4CB1">
      <w:pPr>
        <w:spacing w:line="240" w:lineRule="auto"/>
        <w:rPr>
          <w:szCs w:val="24"/>
          <w:lang w:val="hu-HU"/>
        </w:rPr>
      </w:pPr>
      <w:r w:rsidRPr="004311F9">
        <w:rPr>
          <w:szCs w:val="24"/>
          <w:lang w:val="hu-HU"/>
        </w:rPr>
        <w:t xml:space="preserve">Névleges tartalma 250 NE </w:t>
      </w:r>
      <w:r w:rsidR="00AA7375" w:rsidRPr="004311F9">
        <w:rPr>
          <w:szCs w:val="24"/>
          <w:lang w:val="hu-HU"/>
        </w:rPr>
        <w:t>humán IX</w:t>
      </w:r>
      <w:r w:rsidR="00AA7375" w:rsidRPr="004311F9">
        <w:rPr>
          <w:szCs w:val="24"/>
          <w:lang w:val="hu-HU"/>
        </w:rPr>
        <w:noBreakHyphen/>
        <w:t>es</w:t>
      </w:r>
      <w:r w:rsidR="008A4074" w:rsidRPr="004311F9">
        <w:rPr>
          <w:szCs w:val="24"/>
          <w:lang w:val="hu-HU"/>
        </w:rPr>
        <w:t> </w:t>
      </w:r>
      <w:r w:rsidR="00AA7375" w:rsidRPr="004311F9">
        <w:rPr>
          <w:szCs w:val="24"/>
          <w:lang w:val="hu-HU"/>
        </w:rPr>
        <w:t xml:space="preserve">alvadási faktor (rDNS), azaz </w:t>
      </w:r>
      <w:r w:rsidRPr="004311F9">
        <w:rPr>
          <w:szCs w:val="24"/>
          <w:lang w:val="hu-HU"/>
        </w:rPr>
        <w:t>eftrenonakog</w:t>
      </w:r>
      <w:r w:rsidRPr="004311F9">
        <w:rPr>
          <w:szCs w:val="24"/>
          <w:lang w:val="hu-HU"/>
        </w:rPr>
        <w:noBreakHyphen/>
        <w:t>alfa</w:t>
      </w:r>
      <w:r w:rsidRPr="004311F9">
        <w:rPr>
          <w:lang w:val="hu-HU"/>
        </w:rPr>
        <w:t xml:space="preserve"> (</w:t>
      </w:r>
      <w:r w:rsidRPr="004311F9">
        <w:rPr>
          <w:szCs w:val="24"/>
          <w:lang w:val="hu-HU"/>
        </w:rPr>
        <w:t>eftrenonacogum alfa</w:t>
      </w:r>
      <w:r w:rsidRPr="004311F9">
        <w:rPr>
          <w:lang w:val="hu-HU"/>
        </w:rPr>
        <w:t>)</w:t>
      </w:r>
      <w:r w:rsidRPr="004311F9">
        <w:rPr>
          <w:szCs w:val="24"/>
          <w:lang w:val="hu-HU"/>
        </w:rPr>
        <w:t xml:space="preserve"> injekciós üvegenként. </w:t>
      </w:r>
      <w:r w:rsidR="00AA7375" w:rsidRPr="004311F9">
        <w:rPr>
          <w:szCs w:val="24"/>
          <w:lang w:val="hu-HU"/>
        </w:rPr>
        <w:t>Feloldást követően az ALPROLIX</w:t>
      </w:r>
      <w:r w:rsidRPr="004311F9">
        <w:rPr>
          <w:szCs w:val="24"/>
          <w:lang w:val="hu-HU"/>
        </w:rPr>
        <w:t xml:space="preserve"> körülbelül </w:t>
      </w:r>
      <w:r w:rsidR="00AA7375" w:rsidRPr="004311F9">
        <w:rPr>
          <w:szCs w:val="24"/>
          <w:lang w:val="hu-HU"/>
        </w:rPr>
        <w:t>250 NE (</w:t>
      </w:r>
      <w:r w:rsidRPr="004311F9">
        <w:rPr>
          <w:szCs w:val="24"/>
          <w:lang w:val="hu-HU"/>
        </w:rPr>
        <w:t>50 NE</w:t>
      </w:r>
      <w:r w:rsidR="00AA7375" w:rsidRPr="004311F9">
        <w:rPr>
          <w:szCs w:val="24"/>
          <w:lang w:val="hu-HU"/>
        </w:rPr>
        <w:t>/ml)</w:t>
      </w:r>
      <w:r w:rsidRPr="004311F9">
        <w:rPr>
          <w:szCs w:val="24"/>
          <w:lang w:val="hu-HU"/>
        </w:rPr>
        <w:t xml:space="preserve"> </w:t>
      </w:r>
      <w:r w:rsidR="00AA7375" w:rsidRPr="004311F9">
        <w:rPr>
          <w:szCs w:val="24"/>
          <w:lang w:val="hu-HU"/>
        </w:rPr>
        <w:t>humán IX</w:t>
      </w:r>
      <w:r w:rsidR="00AA7375" w:rsidRPr="004311F9">
        <w:rPr>
          <w:szCs w:val="24"/>
          <w:lang w:val="hu-HU"/>
        </w:rPr>
        <w:noBreakHyphen/>
        <w:t>es</w:t>
      </w:r>
      <w:r w:rsidR="008A4074" w:rsidRPr="004311F9">
        <w:rPr>
          <w:szCs w:val="24"/>
          <w:lang w:val="hu-HU"/>
        </w:rPr>
        <w:t> </w:t>
      </w:r>
      <w:r w:rsidR="00AA7375" w:rsidRPr="004311F9">
        <w:rPr>
          <w:szCs w:val="24"/>
          <w:lang w:val="hu-HU"/>
        </w:rPr>
        <w:t>alvadási faktort (rDNS) (</w:t>
      </w:r>
      <w:r w:rsidRPr="004311F9">
        <w:rPr>
          <w:szCs w:val="24"/>
          <w:lang w:val="hu-HU"/>
        </w:rPr>
        <w:t>eftrenonakog</w:t>
      </w:r>
      <w:r w:rsidRPr="004311F9">
        <w:rPr>
          <w:szCs w:val="24"/>
          <w:lang w:val="hu-HU"/>
        </w:rPr>
        <w:noBreakHyphen/>
        <w:t>alfát</w:t>
      </w:r>
      <w:r w:rsidR="00AA7375" w:rsidRPr="004311F9">
        <w:rPr>
          <w:szCs w:val="24"/>
          <w:lang w:val="hu-HU"/>
        </w:rPr>
        <w:t>)</w:t>
      </w:r>
      <w:r w:rsidRPr="004311F9">
        <w:rPr>
          <w:szCs w:val="24"/>
          <w:lang w:val="hu-HU"/>
        </w:rPr>
        <w:t xml:space="preserve"> tartalmaz milliliterenként.</w:t>
      </w:r>
    </w:p>
    <w:p w14:paraId="5C02E213" w14:textId="77777777" w:rsidR="00E74F5A" w:rsidRPr="004311F9" w:rsidRDefault="00E74F5A" w:rsidP="00DC4CB1">
      <w:pPr>
        <w:spacing w:line="240" w:lineRule="auto"/>
        <w:rPr>
          <w:rFonts w:eastAsia="Times New Roman"/>
          <w:szCs w:val="24"/>
          <w:lang w:val="hu-HU"/>
        </w:rPr>
      </w:pPr>
    </w:p>
    <w:p w14:paraId="75A7D97A" w14:textId="77777777" w:rsidR="00E74F5A" w:rsidRPr="004311F9" w:rsidRDefault="00E74F5A" w:rsidP="00DC4CB1">
      <w:pPr>
        <w:keepNext/>
        <w:keepLines/>
        <w:spacing w:line="240" w:lineRule="auto"/>
        <w:rPr>
          <w:szCs w:val="24"/>
          <w:u w:val="single"/>
          <w:lang w:val="hu-HU"/>
        </w:rPr>
      </w:pPr>
      <w:r w:rsidRPr="004311F9">
        <w:rPr>
          <w:szCs w:val="24"/>
          <w:u w:val="single"/>
          <w:lang w:val="hu-HU"/>
        </w:rPr>
        <w:t>ALPROLIX 500 NE por és oldószer oldatos injekcióhoz</w:t>
      </w:r>
    </w:p>
    <w:p w14:paraId="434F10B6" w14:textId="65AB22F5" w:rsidR="00E74F5A" w:rsidRPr="004311F9" w:rsidRDefault="00E74F5A" w:rsidP="00DC4CB1">
      <w:pPr>
        <w:spacing w:line="240" w:lineRule="auto"/>
        <w:rPr>
          <w:szCs w:val="24"/>
          <w:lang w:val="hu-HU"/>
        </w:rPr>
      </w:pPr>
      <w:r w:rsidRPr="004311F9">
        <w:rPr>
          <w:szCs w:val="24"/>
          <w:lang w:val="hu-HU"/>
        </w:rPr>
        <w:t xml:space="preserve">Névleges tartalma 500 NE </w:t>
      </w:r>
      <w:r w:rsidR="00AA7375" w:rsidRPr="004311F9">
        <w:rPr>
          <w:szCs w:val="24"/>
          <w:lang w:val="hu-HU"/>
        </w:rPr>
        <w:t>humán IX</w:t>
      </w:r>
      <w:r w:rsidR="00AA7375" w:rsidRPr="004311F9">
        <w:rPr>
          <w:szCs w:val="24"/>
          <w:lang w:val="hu-HU"/>
        </w:rPr>
        <w:noBreakHyphen/>
        <w:t>es</w:t>
      </w:r>
      <w:r w:rsidR="008A4074" w:rsidRPr="004311F9">
        <w:rPr>
          <w:szCs w:val="24"/>
          <w:lang w:val="hu-HU"/>
        </w:rPr>
        <w:t> </w:t>
      </w:r>
      <w:r w:rsidR="00AA7375" w:rsidRPr="004311F9">
        <w:rPr>
          <w:szCs w:val="24"/>
          <w:lang w:val="hu-HU"/>
        </w:rPr>
        <w:t xml:space="preserve">alvadási faktor (rDNS), azaz </w:t>
      </w:r>
      <w:r w:rsidRPr="004311F9">
        <w:rPr>
          <w:szCs w:val="24"/>
          <w:lang w:val="hu-HU"/>
        </w:rPr>
        <w:t>eftrenonakog</w:t>
      </w:r>
      <w:r w:rsidRPr="004311F9">
        <w:rPr>
          <w:szCs w:val="24"/>
          <w:lang w:val="hu-HU"/>
        </w:rPr>
        <w:noBreakHyphen/>
        <w:t xml:space="preserve">alfa </w:t>
      </w:r>
      <w:r w:rsidRPr="004311F9">
        <w:rPr>
          <w:lang w:val="hu-HU"/>
        </w:rPr>
        <w:t>(</w:t>
      </w:r>
      <w:r w:rsidRPr="004311F9">
        <w:rPr>
          <w:szCs w:val="24"/>
          <w:lang w:val="hu-HU"/>
        </w:rPr>
        <w:t>eftrenonacogum alfa</w:t>
      </w:r>
      <w:r w:rsidRPr="004311F9">
        <w:rPr>
          <w:lang w:val="hu-HU"/>
        </w:rPr>
        <w:t>)</w:t>
      </w:r>
      <w:r w:rsidRPr="004311F9">
        <w:rPr>
          <w:szCs w:val="24"/>
          <w:lang w:val="hu-HU"/>
        </w:rPr>
        <w:t xml:space="preserve"> injekciós üvegenként. Feloldást követően az </w:t>
      </w:r>
      <w:r w:rsidR="00AA7375" w:rsidRPr="004311F9">
        <w:rPr>
          <w:szCs w:val="24"/>
          <w:lang w:val="hu-HU"/>
        </w:rPr>
        <w:t>ALPROLIX</w:t>
      </w:r>
      <w:r w:rsidRPr="004311F9">
        <w:rPr>
          <w:szCs w:val="24"/>
          <w:lang w:val="hu-HU"/>
        </w:rPr>
        <w:t xml:space="preserve"> körülbelül </w:t>
      </w:r>
      <w:r w:rsidR="00AA7375" w:rsidRPr="004311F9">
        <w:rPr>
          <w:szCs w:val="24"/>
          <w:lang w:val="hu-HU"/>
        </w:rPr>
        <w:t>500 NE (</w:t>
      </w:r>
      <w:r w:rsidRPr="004311F9">
        <w:rPr>
          <w:szCs w:val="24"/>
          <w:lang w:val="hu-HU"/>
        </w:rPr>
        <w:t>100 NE</w:t>
      </w:r>
      <w:r w:rsidR="00AA7375" w:rsidRPr="004311F9">
        <w:rPr>
          <w:szCs w:val="24"/>
          <w:lang w:val="hu-HU"/>
        </w:rPr>
        <w:t>/ml)</w:t>
      </w:r>
      <w:r w:rsidRPr="004311F9">
        <w:rPr>
          <w:szCs w:val="24"/>
          <w:lang w:val="hu-HU"/>
        </w:rPr>
        <w:t xml:space="preserve"> </w:t>
      </w:r>
      <w:r w:rsidR="00AA7375" w:rsidRPr="004311F9">
        <w:rPr>
          <w:szCs w:val="24"/>
          <w:lang w:val="hu-HU"/>
        </w:rPr>
        <w:t>humán IX</w:t>
      </w:r>
      <w:r w:rsidR="00AA7375" w:rsidRPr="004311F9">
        <w:rPr>
          <w:szCs w:val="24"/>
          <w:lang w:val="hu-HU"/>
        </w:rPr>
        <w:noBreakHyphen/>
        <w:t>es</w:t>
      </w:r>
      <w:r w:rsidR="008A4074" w:rsidRPr="004311F9">
        <w:rPr>
          <w:szCs w:val="24"/>
          <w:lang w:val="hu-HU"/>
        </w:rPr>
        <w:t> </w:t>
      </w:r>
      <w:r w:rsidR="00AA7375" w:rsidRPr="004311F9">
        <w:rPr>
          <w:szCs w:val="24"/>
          <w:lang w:val="hu-HU"/>
        </w:rPr>
        <w:t>alvadási faktort (rDNS) (</w:t>
      </w:r>
      <w:r w:rsidRPr="004311F9">
        <w:rPr>
          <w:szCs w:val="24"/>
          <w:lang w:val="hu-HU"/>
        </w:rPr>
        <w:t>eftrenonakog</w:t>
      </w:r>
      <w:r w:rsidRPr="004311F9">
        <w:rPr>
          <w:szCs w:val="24"/>
          <w:lang w:val="hu-HU"/>
        </w:rPr>
        <w:noBreakHyphen/>
        <w:t>alfát</w:t>
      </w:r>
      <w:r w:rsidR="00AA7375" w:rsidRPr="004311F9">
        <w:rPr>
          <w:szCs w:val="24"/>
          <w:lang w:val="hu-HU"/>
        </w:rPr>
        <w:t>)</w:t>
      </w:r>
      <w:r w:rsidRPr="004311F9">
        <w:rPr>
          <w:szCs w:val="24"/>
          <w:lang w:val="hu-HU"/>
        </w:rPr>
        <w:t xml:space="preserve"> tartalmaz milliliterenként.</w:t>
      </w:r>
    </w:p>
    <w:p w14:paraId="4B40E577" w14:textId="77777777" w:rsidR="00E74F5A" w:rsidRPr="004311F9" w:rsidRDefault="00E74F5A" w:rsidP="00DC4CB1">
      <w:pPr>
        <w:spacing w:line="240" w:lineRule="auto"/>
        <w:rPr>
          <w:rFonts w:eastAsia="Times New Roman"/>
          <w:szCs w:val="24"/>
          <w:lang w:val="hu-HU"/>
        </w:rPr>
      </w:pPr>
    </w:p>
    <w:p w14:paraId="13AFEDC9" w14:textId="77777777" w:rsidR="00E74F5A" w:rsidRPr="004311F9" w:rsidRDefault="00E74F5A" w:rsidP="00DC4CB1">
      <w:pPr>
        <w:keepNext/>
        <w:keepLines/>
        <w:spacing w:line="240" w:lineRule="auto"/>
        <w:rPr>
          <w:szCs w:val="24"/>
          <w:u w:val="single"/>
          <w:lang w:val="hu-HU"/>
        </w:rPr>
      </w:pPr>
      <w:r w:rsidRPr="004311F9">
        <w:rPr>
          <w:szCs w:val="24"/>
          <w:u w:val="single"/>
          <w:lang w:val="hu-HU"/>
        </w:rPr>
        <w:t>ALPROLIX 1000 NE por és oldószer oldatos injekcióhoz</w:t>
      </w:r>
    </w:p>
    <w:p w14:paraId="5F41EC8B" w14:textId="25414032" w:rsidR="00E74F5A" w:rsidRPr="004311F9" w:rsidRDefault="00E74F5A" w:rsidP="00DC4CB1">
      <w:pPr>
        <w:spacing w:line="240" w:lineRule="auto"/>
        <w:rPr>
          <w:szCs w:val="24"/>
          <w:lang w:val="hu-HU"/>
        </w:rPr>
      </w:pPr>
      <w:r w:rsidRPr="004311F9">
        <w:rPr>
          <w:szCs w:val="24"/>
          <w:lang w:val="hu-HU"/>
        </w:rPr>
        <w:t xml:space="preserve">Névleges tartalma </w:t>
      </w:r>
      <w:r w:rsidR="008A69E5">
        <w:rPr>
          <w:szCs w:val="24"/>
          <w:lang w:val="hu-HU"/>
        </w:rPr>
        <w:t>100</w:t>
      </w:r>
      <w:r w:rsidRPr="004311F9">
        <w:rPr>
          <w:szCs w:val="24"/>
          <w:lang w:val="hu-HU"/>
        </w:rPr>
        <w:t xml:space="preserve">0 NE </w:t>
      </w:r>
      <w:r w:rsidR="00AA7375" w:rsidRPr="004311F9">
        <w:rPr>
          <w:szCs w:val="24"/>
          <w:lang w:val="hu-HU"/>
        </w:rPr>
        <w:t>humán IX</w:t>
      </w:r>
      <w:r w:rsidR="00AA7375" w:rsidRPr="004311F9">
        <w:rPr>
          <w:szCs w:val="24"/>
          <w:lang w:val="hu-HU"/>
        </w:rPr>
        <w:noBreakHyphen/>
        <w:t>es</w:t>
      </w:r>
      <w:r w:rsidR="008A4074" w:rsidRPr="004311F9">
        <w:rPr>
          <w:szCs w:val="24"/>
          <w:lang w:val="hu-HU"/>
        </w:rPr>
        <w:t> </w:t>
      </w:r>
      <w:r w:rsidR="00AA7375" w:rsidRPr="004311F9">
        <w:rPr>
          <w:szCs w:val="24"/>
          <w:lang w:val="hu-HU"/>
        </w:rPr>
        <w:t xml:space="preserve">alvadási faktor (rDNS), azaz </w:t>
      </w:r>
      <w:r w:rsidRPr="004311F9">
        <w:rPr>
          <w:szCs w:val="24"/>
          <w:lang w:val="hu-HU"/>
        </w:rPr>
        <w:t>eftrenonakog</w:t>
      </w:r>
      <w:r w:rsidRPr="004311F9">
        <w:rPr>
          <w:szCs w:val="24"/>
          <w:lang w:val="hu-HU"/>
        </w:rPr>
        <w:noBreakHyphen/>
        <w:t xml:space="preserve">alfa </w:t>
      </w:r>
      <w:r w:rsidRPr="004311F9">
        <w:rPr>
          <w:lang w:val="hu-HU"/>
        </w:rPr>
        <w:t>(</w:t>
      </w:r>
      <w:r w:rsidRPr="004311F9">
        <w:rPr>
          <w:szCs w:val="24"/>
          <w:lang w:val="hu-HU"/>
        </w:rPr>
        <w:t>eftrenonacogum alfa</w:t>
      </w:r>
      <w:r w:rsidRPr="004311F9">
        <w:rPr>
          <w:lang w:val="hu-HU"/>
        </w:rPr>
        <w:t xml:space="preserve">) </w:t>
      </w:r>
      <w:r w:rsidRPr="004311F9">
        <w:rPr>
          <w:szCs w:val="24"/>
          <w:lang w:val="hu-HU"/>
        </w:rPr>
        <w:t xml:space="preserve">injekciós üvegenként. Feloldást követően az </w:t>
      </w:r>
      <w:r w:rsidR="00AA7375" w:rsidRPr="004311F9">
        <w:rPr>
          <w:szCs w:val="24"/>
          <w:lang w:val="hu-HU"/>
        </w:rPr>
        <w:t>ALPROLIX</w:t>
      </w:r>
      <w:r w:rsidRPr="004311F9">
        <w:rPr>
          <w:szCs w:val="24"/>
          <w:lang w:val="hu-HU"/>
        </w:rPr>
        <w:t xml:space="preserve"> körülbelül </w:t>
      </w:r>
      <w:r w:rsidR="008A69E5">
        <w:rPr>
          <w:szCs w:val="24"/>
          <w:lang w:val="hu-HU"/>
        </w:rPr>
        <w:t>1000 </w:t>
      </w:r>
      <w:r w:rsidR="00C96867" w:rsidRPr="004311F9">
        <w:rPr>
          <w:szCs w:val="24"/>
          <w:lang w:val="hu-HU"/>
        </w:rPr>
        <w:t>NE (</w:t>
      </w:r>
      <w:r w:rsidRPr="004311F9">
        <w:rPr>
          <w:szCs w:val="24"/>
          <w:lang w:val="hu-HU"/>
        </w:rPr>
        <w:t>200 NE</w:t>
      </w:r>
      <w:r w:rsidR="00C96867" w:rsidRPr="004311F9">
        <w:rPr>
          <w:szCs w:val="24"/>
          <w:lang w:val="hu-HU"/>
        </w:rPr>
        <w:t>/ml)</w:t>
      </w:r>
      <w:r w:rsidRPr="004311F9">
        <w:rPr>
          <w:szCs w:val="24"/>
          <w:lang w:val="hu-HU"/>
        </w:rPr>
        <w:t xml:space="preserve"> </w:t>
      </w:r>
      <w:r w:rsidR="00C96867" w:rsidRPr="004311F9">
        <w:rPr>
          <w:szCs w:val="24"/>
          <w:lang w:val="hu-HU"/>
        </w:rPr>
        <w:t>humán IX</w:t>
      </w:r>
      <w:r w:rsidR="00C96867" w:rsidRPr="004311F9">
        <w:rPr>
          <w:szCs w:val="24"/>
          <w:lang w:val="hu-HU"/>
        </w:rPr>
        <w:noBreakHyphen/>
        <w:t>es</w:t>
      </w:r>
      <w:r w:rsidR="008A4074" w:rsidRPr="004311F9">
        <w:rPr>
          <w:szCs w:val="24"/>
          <w:lang w:val="hu-HU"/>
        </w:rPr>
        <w:t> </w:t>
      </w:r>
      <w:r w:rsidR="00C96867" w:rsidRPr="004311F9">
        <w:rPr>
          <w:szCs w:val="24"/>
          <w:lang w:val="hu-HU"/>
        </w:rPr>
        <w:t>alvadási faktort (rDNS) (</w:t>
      </w:r>
      <w:r w:rsidRPr="004311F9">
        <w:rPr>
          <w:szCs w:val="24"/>
          <w:lang w:val="hu-HU"/>
        </w:rPr>
        <w:t>eftrenonakog</w:t>
      </w:r>
      <w:r w:rsidRPr="004311F9">
        <w:rPr>
          <w:szCs w:val="24"/>
          <w:lang w:val="hu-HU"/>
        </w:rPr>
        <w:noBreakHyphen/>
        <w:t>alfát</w:t>
      </w:r>
      <w:r w:rsidR="00C96867" w:rsidRPr="004311F9">
        <w:rPr>
          <w:szCs w:val="24"/>
          <w:lang w:val="hu-HU"/>
        </w:rPr>
        <w:t>)</w:t>
      </w:r>
      <w:r w:rsidRPr="004311F9">
        <w:rPr>
          <w:szCs w:val="24"/>
          <w:lang w:val="hu-HU"/>
        </w:rPr>
        <w:t xml:space="preserve"> tartalmaz milliliterenként.</w:t>
      </w:r>
    </w:p>
    <w:p w14:paraId="7F1C76FF" w14:textId="77777777" w:rsidR="00E74F5A" w:rsidRPr="004311F9" w:rsidRDefault="00E74F5A" w:rsidP="00DC4CB1">
      <w:pPr>
        <w:spacing w:line="240" w:lineRule="auto"/>
        <w:rPr>
          <w:rFonts w:eastAsia="Times New Roman"/>
          <w:szCs w:val="24"/>
          <w:lang w:val="hu-HU"/>
        </w:rPr>
      </w:pPr>
    </w:p>
    <w:p w14:paraId="020E0110" w14:textId="77777777" w:rsidR="00E74F5A" w:rsidRPr="004311F9" w:rsidRDefault="00E74F5A" w:rsidP="00DC4CB1">
      <w:pPr>
        <w:keepNext/>
        <w:keepLines/>
        <w:spacing w:line="240" w:lineRule="auto"/>
        <w:rPr>
          <w:szCs w:val="24"/>
          <w:u w:val="single"/>
          <w:lang w:val="hu-HU"/>
        </w:rPr>
      </w:pPr>
      <w:r w:rsidRPr="004311F9">
        <w:rPr>
          <w:szCs w:val="24"/>
          <w:u w:val="single"/>
          <w:lang w:val="hu-HU"/>
        </w:rPr>
        <w:t>ALPROLIX 2000 NE por és oldószer oldatos injekcióhoz</w:t>
      </w:r>
    </w:p>
    <w:p w14:paraId="6E4B6FFE" w14:textId="1FDFF3DC" w:rsidR="00E74F5A" w:rsidRPr="004311F9" w:rsidRDefault="00E74F5A" w:rsidP="00DC4CB1">
      <w:pPr>
        <w:spacing w:line="240" w:lineRule="auto"/>
        <w:rPr>
          <w:szCs w:val="24"/>
          <w:lang w:val="hu-HU"/>
        </w:rPr>
      </w:pPr>
      <w:r w:rsidRPr="004311F9">
        <w:rPr>
          <w:szCs w:val="24"/>
          <w:lang w:val="hu-HU"/>
        </w:rPr>
        <w:t xml:space="preserve">Névleges tartalma </w:t>
      </w:r>
      <w:r w:rsidR="008A69E5">
        <w:rPr>
          <w:szCs w:val="24"/>
          <w:lang w:val="hu-HU"/>
        </w:rPr>
        <w:t>2</w:t>
      </w:r>
      <w:r w:rsidRPr="004311F9">
        <w:rPr>
          <w:szCs w:val="24"/>
          <w:lang w:val="hu-HU"/>
        </w:rPr>
        <w:t xml:space="preserve">000 NE </w:t>
      </w:r>
      <w:r w:rsidR="00C96867" w:rsidRPr="004311F9">
        <w:rPr>
          <w:szCs w:val="24"/>
          <w:lang w:val="hu-HU"/>
        </w:rPr>
        <w:t>humán IX</w:t>
      </w:r>
      <w:r w:rsidR="00C96867" w:rsidRPr="004311F9">
        <w:rPr>
          <w:szCs w:val="24"/>
          <w:lang w:val="hu-HU"/>
        </w:rPr>
        <w:noBreakHyphen/>
        <w:t>es</w:t>
      </w:r>
      <w:r w:rsidR="008A4074" w:rsidRPr="004311F9">
        <w:rPr>
          <w:szCs w:val="24"/>
          <w:lang w:val="hu-HU"/>
        </w:rPr>
        <w:t> </w:t>
      </w:r>
      <w:r w:rsidR="00C96867" w:rsidRPr="004311F9">
        <w:rPr>
          <w:szCs w:val="24"/>
          <w:lang w:val="hu-HU"/>
        </w:rPr>
        <w:t xml:space="preserve">alvadási faktor (rDNS), azaz </w:t>
      </w:r>
      <w:r w:rsidRPr="004311F9">
        <w:rPr>
          <w:szCs w:val="24"/>
          <w:lang w:val="hu-HU"/>
        </w:rPr>
        <w:t>eftrenonakog</w:t>
      </w:r>
      <w:r w:rsidRPr="004311F9">
        <w:rPr>
          <w:szCs w:val="24"/>
          <w:lang w:val="hu-HU"/>
        </w:rPr>
        <w:noBreakHyphen/>
        <w:t xml:space="preserve">alfa </w:t>
      </w:r>
      <w:r w:rsidRPr="004311F9">
        <w:rPr>
          <w:lang w:val="hu-HU"/>
        </w:rPr>
        <w:t>(</w:t>
      </w:r>
      <w:r w:rsidRPr="004311F9">
        <w:rPr>
          <w:szCs w:val="24"/>
          <w:lang w:val="hu-HU"/>
        </w:rPr>
        <w:t>eftrenonacogum alfa</w:t>
      </w:r>
      <w:r w:rsidRPr="004311F9">
        <w:rPr>
          <w:lang w:val="hu-HU"/>
        </w:rPr>
        <w:t>)</w:t>
      </w:r>
      <w:r w:rsidRPr="004311F9">
        <w:rPr>
          <w:szCs w:val="24"/>
          <w:lang w:val="hu-HU"/>
        </w:rPr>
        <w:t xml:space="preserve"> injekciós üvegenként. Feloldást követően az </w:t>
      </w:r>
      <w:r w:rsidR="00C96867" w:rsidRPr="004311F9">
        <w:rPr>
          <w:szCs w:val="24"/>
          <w:lang w:val="hu-HU"/>
        </w:rPr>
        <w:t>ALPROLIX</w:t>
      </w:r>
      <w:r w:rsidRPr="004311F9">
        <w:rPr>
          <w:szCs w:val="24"/>
          <w:lang w:val="hu-HU"/>
        </w:rPr>
        <w:t xml:space="preserve"> körülbelül </w:t>
      </w:r>
      <w:r w:rsidR="00C96867" w:rsidRPr="004311F9">
        <w:rPr>
          <w:szCs w:val="24"/>
          <w:lang w:val="hu-HU"/>
        </w:rPr>
        <w:t>2000 NE (</w:t>
      </w:r>
      <w:r w:rsidRPr="004311F9">
        <w:rPr>
          <w:szCs w:val="24"/>
          <w:lang w:val="hu-HU"/>
        </w:rPr>
        <w:t>400 NE</w:t>
      </w:r>
      <w:r w:rsidR="00C96867" w:rsidRPr="004311F9">
        <w:rPr>
          <w:szCs w:val="24"/>
          <w:lang w:val="hu-HU"/>
        </w:rPr>
        <w:t>/ml)</w:t>
      </w:r>
      <w:r w:rsidRPr="004311F9">
        <w:rPr>
          <w:szCs w:val="24"/>
          <w:lang w:val="hu-HU"/>
        </w:rPr>
        <w:t xml:space="preserve"> </w:t>
      </w:r>
      <w:r w:rsidR="00C96867" w:rsidRPr="004311F9">
        <w:rPr>
          <w:szCs w:val="24"/>
          <w:lang w:val="hu-HU"/>
        </w:rPr>
        <w:t>humán IX</w:t>
      </w:r>
      <w:r w:rsidR="00C96867" w:rsidRPr="004311F9">
        <w:rPr>
          <w:szCs w:val="24"/>
          <w:lang w:val="hu-HU"/>
        </w:rPr>
        <w:noBreakHyphen/>
        <w:t>es</w:t>
      </w:r>
      <w:r w:rsidR="008A4074" w:rsidRPr="004311F9">
        <w:rPr>
          <w:szCs w:val="24"/>
          <w:lang w:val="hu-HU"/>
        </w:rPr>
        <w:t> </w:t>
      </w:r>
      <w:r w:rsidR="00C96867" w:rsidRPr="004311F9">
        <w:rPr>
          <w:szCs w:val="24"/>
          <w:lang w:val="hu-HU"/>
        </w:rPr>
        <w:t>alvadási faktort (rDNS) (</w:t>
      </w:r>
      <w:r w:rsidRPr="004311F9">
        <w:rPr>
          <w:szCs w:val="24"/>
          <w:lang w:val="hu-HU"/>
        </w:rPr>
        <w:t>eftrenonakog</w:t>
      </w:r>
      <w:r w:rsidRPr="004311F9">
        <w:rPr>
          <w:szCs w:val="24"/>
          <w:lang w:val="hu-HU"/>
        </w:rPr>
        <w:noBreakHyphen/>
        <w:t>alfát</w:t>
      </w:r>
      <w:r w:rsidR="00C96867" w:rsidRPr="004311F9">
        <w:rPr>
          <w:szCs w:val="24"/>
          <w:lang w:val="hu-HU"/>
        </w:rPr>
        <w:t>)</w:t>
      </w:r>
      <w:r w:rsidRPr="004311F9">
        <w:rPr>
          <w:szCs w:val="24"/>
          <w:lang w:val="hu-HU"/>
        </w:rPr>
        <w:t xml:space="preserve"> tartalmaz milliliterenként.</w:t>
      </w:r>
    </w:p>
    <w:p w14:paraId="5F14516B" w14:textId="77777777" w:rsidR="00E74F5A" w:rsidRPr="004311F9" w:rsidRDefault="00E74F5A" w:rsidP="00DC4CB1">
      <w:pPr>
        <w:spacing w:line="240" w:lineRule="auto"/>
        <w:rPr>
          <w:rFonts w:eastAsia="Times New Roman"/>
          <w:szCs w:val="24"/>
          <w:lang w:val="hu-HU"/>
        </w:rPr>
      </w:pPr>
    </w:p>
    <w:p w14:paraId="2984673D" w14:textId="77777777" w:rsidR="00E74F5A" w:rsidRPr="004311F9" w:rsidRDefault="00E74F5A" w:rsidP="00DC4CB1">
      <w:pPr>
        <w:keepNext/>
        <w:keepLines/>
        <w:spacing w:line="240" w:lineRule="auto"/>
        <w:rPr>
          <w:szCs w:val="24"/>
          <w:u w:val="single"/>
          <w:lang w:val="hu-HU"/>
        </w:rPr>
      </w:pPr>
      <w:r w:rsidRPr="004311F9">
        <w:rPr>
          <w:szCs w:val="24"/>
          <w:u w:val="single"/>
          <w:lang w:val="hu-HU"/>
        </w:rPr>
        <w:t>ALPROLIX 3000 NE por és oldószer oldatos injekcióhoz</w:t>
      </w:r>
    </w:p>
    <w:p w14:paraId="5779622E" w14:textId="70993373" w:rsidR="00E74F5A" w:rsidRPr="004311F9" w:rsidRDefault="00E74F5A" w:rsidP="00DC4CB1">
      <w:pPr>
        <w:spacing w:line="240" w:lineRule="auto"/>
        <w:rPr>
          <w:szCs w:val="24"/>
          <w:lang w:val="hu-HU"/>
        </w:rPr>
      </w:pPr>
      <w:r w:rsidRPr="004311F9">
        <w:rPr>
          <w:szCs w:val="24"/>
          <w:lang w:val="hu-HU"/>
        </w:rPr>
        <w:t xml:space="preserve">Névleges tartalma </w:t>
      </w:r>
      <w:r w:rsidR="008A69E5">
        <w:rPr>
          <w:szCs w:val="24"/>
          <w:lang w:val="hu-HU"/>
        </w:rPr>
        <w:t>30</w:t>
      </w:r>
      <w:r w:rsidRPr="004311F9">
        <w:rPr>
          <w:szCs w:val="24"/>
          <w:lang w:val="hu-HU"/>
        </w:rPr>
        <w:t xml:space="preserve">00 NE </w:t>
      </w:r>
      <w:r w:rsidR="00C96867" w:rsidRPr="004311F9">
        <w:rPr>
          <w:szCs w:val="24"/>
          <w:lang w:val="hu-HU"/>
        </w:rPr>
        <w:t>humán IX</w:t>
      </w:r>
      <w:r w:rsidR="00C96867" w:rsidRPr="004311F9">
        <w:rPr>
          <w:szCs w:val="24"/>
          <w:lang w:val="hu-HU"/>
        </w:rPr>
        <w:noBreakHyphen/>
        <w:t>es</w:t>
      </w:r>
      <w:r w:rsidR="008A4074" w:rsidRPr="004311F9">
        <w:rPr>
          <w:szCs w:val="24"/>
          <w:lang w:val="hu-HU"/>
        </w:rPr>
        <w:t> </w:t>
      </w:r>
      <w:r w:rsidR="00C96867" w:rsidRPr="004311F9">
        <w:rPr>
          <w:szCs w:val="24"/>
          <w:lang w:val="hu-HU"/>
        </w:rPr>
        <w:t xml:space="preserve">alvadási faktor (rDNS), azaz </w:t>
      </w:r>
      <w:r w:rsidRPr="004311F9">
        <w:rPr>
          <w:szCs w:val="24"/>
          <w:lang w:val="hu-HU"/>
        </w:rPr>
        <w:t>eftrenonakog</w:t>
      </w:r>
      <w:r w:rsidRPr="004311F9">
        <w:rPr>
          <w:szCs w:val="24"/>
          <w:lang w:val="hu-HU"/>
        </w:rPr>
        <w:noBreakHyphen/>
        <w:t xml:space="preserve">alfa </w:t>
      </w:r>
      <w:r w:rsidRPr="004311F9">
        <w:rPr>
          <w:lang w:val="hu-HU"/>
        </w:rPr>
        <w:t>(</w:t>
      </w:r>
      <w:r w:rsidRPr="004311F9">
        <w:rPr>
          <w:szCs w:val="24"/>
          <w:lang w:val="hu-HU"/>
        </w:rPr>
        <w:t>eftrenonacogum alfa</w:t>
      </w:r>
      <w:r w:rsidRPr="004311F9">
        <w:rPr>
          <w:lang w:val="hu-HU"/>
        </w:rPr>
        <w:t xml:space="preserve">) </w:t>
      </w:r>
      <w:r w:rsidRPr="004311F9">
        <w:rPr>
          <w:szCs w:val="24"/>
          <w:lang w:val="hu-HU"/>
        </w:rPr>
        <w:t xml:space="preserve">injekciós üvegenként. Feloldást követően az </w:t>
      </w:r>
      <w:r w:rsidR="00DD5025" w:rsidRPr="004311F9">
        <w:rPr>
          <w:szCs w:val="24"/>
          <w:lang w:val="hu-HU"/>
        </w:rPr>
        <w:t>ALPROLIX</w:t>
      </w:r>
      <w:r w:rsidRPr="004311F9">
        <w:rPr>
          <w:szCs w:val="24"/>
          <w:lang w:val="hu-HU"/>
        </w:rPr>
        <w:t xml:space="preserve"> körülbelül </w:t>
      </w:r>
      <w:r w:rsidR="00DD5025" w:rsidRPr="004311F9">
        <w:rPr>
          <w:szCs w:val="24"/>
          <w:lang w:val="hu-HU"/>
        </w:rPr>
        <w:t>3000 NE (</w:t>
      </w:r>
      <w:r w:rsidRPr="004311F9">
        <w:rPr>
          <w:szCs w:val="24"/>
          <w:lang w:val="hu-HU"/>
        </w:rPr>
        <w:t>600 NE</w:t>
      </w:r>
      <w:r w:rsidR="00DD5025" w:rsidRPr="004311F9">
        <w:rPr>
          <w:szCs w:val="24"/>
          <w:lang w:val="hu-HU"/>
        </w:rPr>
        <w:t>/ml)</w:t>
      </w:r>
      <w:r w:rsidRPr="004311F9">
        <w:rPr>
          <w:szCs w:val="24"/>
          <w:lang w:val="hu-HU"/>
        </w:rPr>
        <w:t xml:space="preserve"> </w:t>
      </w:r>
      <w:r w:rsidR="00DD5025" w:rsidRPr="004311F9">
        <w:rPr>
          <w:szCs w:val="24"/>
          <w:lang w:val="hu-HU"/>
        </w:rPr>
        <w:t>humán IX</w:t>
      </w:r>
      <w:r w:rsidR="00DD5025" w:rsidRPr="004311F9">
        <w:rPr>
          <w:szCs w:val="24"/>
          <w:lang w:val="hu-HU"/>
        </w:rPr>
        <w:noBreakHyphen/>
        <w:t>es</w:t>
      </w:r>
      <w:r w:rsidR="008A4074" w:rsidRPr="004311F9">
        <w:rPr>
          <w:szCs w:val="24"/>
          <w:lang w:val="hu-HU"/>
        </w:rPr>
        <w:t> </w:t>
      </w:r>
      <w:r w:rsidR="00DD5025" w:rsidRPr="004311F9">
        <w:rPr>
          <w:szCs w:val="24"/>
          <w:lang w:val="hu-HU"/>
        </w:rPr>
        <w:t>alvadási faktort (rDNS) (</w:t>
      </w:r>
      <w:r w:rsidRPr="004311F9">
        <w:rPr>
          <w:szCs w:val="24"/>
          <w:lang w:val="hu-HU"/>
        </w:rPr>
        <w:t>eftrenonakog</w:t>
      </w:r>
      <w:r w:rsidRPr="004311F9">
        <w:rPr>
          <w:szCs w:val="24"/>
          <w:lang w:val="hu-HU"/>
        </w:rPr>
        <w:noBreakHyphen/>
        <w:t>alfát</w:t>
      </w:r>
      <w:r w:rsidR="00DD5025" w:rsidRPr="004311F9">
        <w:rPr>
          <w:szCs w:val="24"/>
          <w:lang w:val="hu-HU"/>
        </w:rPr>
        <w:t>)</w:t>
      </w:r>
      <w:r w:rsidRPr="004311F9">
        <w:rPr>
          <w:szCs w:val="24"/>
          <w:lang w:val="hu-HU"/>
        </w:rPr>
        <w:t xml:space="preserve"> tartalmaz milliliterenként.</w:t>
      </w:r>
    </w:p>
    <w:p w14:paraId="66B86270" w14:textId="77777777" w:rsidR="00E74F5A" w:rsidRPr="004311F9" w:rsidRDefault="00E74F5A" w:rsidP="00DC4CB1">
      <w:pPr>
        <w:pStyle w:val="Default"/>
        <w:rPr>
          <w:rFonts w:eastAsia="Times New Roman"/>
          <w:color w:val="auto"/>
          <w:sz w:val="22"/>
          <w:lang w:val="hu-HU"/>
        </w:rPr>
      </w:pPr>
    </w:p>
    <w:p w14:paraId="4AA559D3" w14:textId="4EC50F52" w:rsidR="00E74F5A" w:rsidRPr="004311F9" w:rsidRDefault="00E74F5A" w:rsidP="00DC4CB1">
      <w:pPr>
        <w:pStyle w:val="Default"/>
        <w:rPr>
          <w:color w:val="auto"/>
          <w:sz w:val="22"/>
          <w:lang w:val="hu-HU"/>
        </w:rPr>
      </w:pPr>
      <w:r w:rsidRPr="004311F9">
        <w:rPr>
          <w:color w:val="auto"/>
          <w:sz w:val="22"/>
          <w:lang w:val="hu-HU"/>
        </w:rPr>
        <w:t>Az aktivitást (</w:t>
      </w:r>
      <w:r w:rsidR="00DD5025" w:rsidRPr="004311F9">
        <w:rPr>
          <w:color w:val="auto"/>
          <w:sz w:val="22"/>
          <w:lang w:val="hu-HU"/>
        </w:rPr>
        <w:t>NE</w:t>
      </w:r>
      <w:r w:rsidRPr="004311F9">
        <w:rPr>
          <w:color w:val="auto"/>
          <w:sz w:val="22"/>
          <w:lang w:val="hu-HU"/>
        </w:rPr>
        <w:t xml:space="preserve">) az Európai Gyógyszerkönyv szerinti egyfázisú alvadási teszttel határozzák meg. Az ALPROLIX fajlagos aktivitása </w:t>
      </w:r>
      <w:r w:rsidRPr="004311F9">
        <w:rPr>
          <w:color w:val="auto"/>
          <w:sz w:val="22"/>
          <w:szCs w:val="22"/>
          <w:lang w:val="hu-HU"/>
        </w:rPr>
        <w:t>55</w:t>
      </w:r>
      <w:r w:rsidRPr="004311F9">
        <w:rPr>
          <w:color w:val="auto"/>
          <w:sz w:val="22"/>
          <w:szCs w:val="22"/>
          <w:lang w:val="hu-HU"/>
        </w:rPr>
        <w:noBreakHyphen/>
        <w:t>84 </w:t>
      </w:r>
      <w:r w:rsidRPr="004311F9">
        <w:rPr>
          <w:color w:val="auto"/>
          <w:sz w:val="22"/>
          <w:lang w:val="hu-HU"/>
        </w:rPr>
        <w:t>NE/mg fehérje.</w:t>
      </w:r>
    </w:p>
    <w:p w14:paraId="4473C626" w14:textId="77777777" w:rsidR="00E74F5A" w:rsidRPr="004311F9" w:rsidRDefault="00E74F5A" w:rsidP="00DC4CB1">
      <w:pPr>
        <w:spacing w:line="240" w:lineRule="auto"/>
        <w:rPr>
          <w:rFonts w:eastAsia="Times New Roman"/>
          <w:szCs w:val="24"/>
          <w:lang w:val="hu-HU"/>
        </w:rPr>
      </w:pPr>
    </w:p>
    <w:p w14:paraId="2885791F" w14:textId="77777777" w:rsidR="00E74F5A" w:rsidRPr="004311F9" w:rsidRDefault="00E74F5A" w:rsidP="00DC4CB1">
      <w:pPr>
        <w:spacing w:line="240" w:lineRule="auto"/>
        <w:rPr>
          <w:szCs w:val="24"/>
          <w:lang w:val="hu-HU"/>
        </w:rPr>
      </w:pPr>
      <w:r w:rsidRPr="004311F9">
        <w:rPr>
          <w:szCs w:val="24"/>
          <w:lang w:val="hu-HU"/>
        </w:rPr>
        <w:t>Az eftrenonakog</w:t>
      </w:r>
      <w:r w:rsidRPr="004311F9">
        <w:rPr>
          <w:szCs w:val="24"/>
          <w:lang w:val="hu-HU"/>
        </w:rPr>
        <w:noBreakHyphen/>
        <w:t>alfa (rekombináns humán IX</w:t>
      </w:r>
      <w:r w:rsidRPr="004311F9">
        <w:rPr>
          <w:szCs w:val="24"/>
          <w:lang w:val="hu-HU"/>
        </w:rPr>
        <w:noBreakHyphen/>
        <w:t>es alvadási faktor, Fc fúziós fehérje (</w:t>
      </w:r>
      <w:r w:rsidRPr="004311F9">
        <w:rPr>
          <w:rFonts w:eastAsia="Times New Roman"/>
          <w:lang w:val="hu-HU"/>
        </w:rPr>
        <w:t>rFIXFc</w:t>
      </w:r>
      <w:r w:rsidRPr="004311F9">
        <w:rPr>
          <w:szCs w:val="24"/>
          <w:lang w:val="hu-HU"/>
        </w:rPr>
        <w:t xml:space="preserve">)) </w:t>
      </w:r>
      <w:r w:rsidRPr="004311F9">
        <w:rPr>
          <w:rFonts w:eastAsia="Times New Roman"/>
          <w:lang w:val="hu-HU"/>
        </w:rPr>
        <w:t>867 </w:t>
      </w:r>
      <w:r w:rsidRPr="004311F9">
        <w:rPr>
          <w:szCs w:val="24"/>
          <w:lang w:val="hu-HU"/>
        </w:rPr>
        <w:t>aminosavból áll. Nagy tisztasági fokú alvadási faktor készítmény, melynek előállítása rekombináns DNS</w:t>
      </w:r>
      <w:r w:rsidRPr="004311F9">
        <w:rPr>
          <w:szCs w:val="24"/>
          <w:lang w:val="hu-HU"/>
        </w:rPr>
        <w:noBreakHyphen/>
        <w:t>technológiával történik humán embrionális vese (HEK) sejtvonalban, anélkül, hogy a sejtkultúrában, a tisztítás során vagy a készítmény végső formulálásakor humán vagy állati eredetű fehérjét adnának hozzá.</w:t>
      </w:r>
    </w:p>
    <w:p w14:paraId="23846185" w14:textId="77777777" w:rsidR="00E74F5A" w:rsidRPr="004311F9" w:rsidRDefault="00E74F5A" w:rsidP="00DC4CB1">
      <w:pPr>
        <w:spacing w:line="240" w:lineRule="auto"/>
        <w:rPr>
          <w:rFonts w:eastAsia="Times New Roman"/>
          <w:szCs w:val="24"/>
          <w:lang w:val="hu-HU"/>
        </w:rPr>
      </w:pPr>
    </w:p>
    <w:p w14:paraId="289DFB31" w14:textId="78E992E2" w:rsidR="00E74F5A" w:rsidRPr="004311F9" w:rsidRDefault="00E74F5A" w:rsidP="00DC4CB1">
      <w:pPr>
        <w:keepNext/>
        <w:tabs>
          <w:tab w:val="clear" w:pos="567"/>
        </w:tabs>
        <w:autoSpaceDE w:val="0"/>
        <w:autoSpaceDN w:val="0"/>
        <w:adjustRightInd w:val="0"/>
        <w:spacing w:line="240" w:lineRule="auto"/>
        <w:rPr>
          <w:szCs w:val="24"/>
          <w:lang w:val="hu-HU"/>
        </w:rPr>
      </w:pPr>
      <w:r w:rsidRPr="004311F9">
        <w:rPr>
          <w:szCs w:val="24"/>
          <w:u w:val="single"/>
          <w:lang w:val="hu-HU"/>
        </w:rPr>
        <w:t>Ismert hatású segédanyag</w:t>
      </w:r>
    </w:p>
    <w:p w14:paraId="4FBA5267" w14:textId="77777777" w:rsidR="00E74F5A" w:rsidRPr="004311F9" w:rsidRDefault="00E74F5A" w:rsidP="007809AC">
      <w:pPr>
        <w:tabs>
          <w:tab w:val="clear" w:pos="567"/>
        </w:tabs>
        <w:autoSpaceDE w:val="0"/>
        <w:autoSpaceDN w:val="0"/>
        <w:adjustRightInd w:val="0"/>
        <w:spacing w:line="240" w:lineRule="auto"/>
        <w:rPr>
          <w:szCs w:val="24"/>
          <w:u w:val="single"/>
          <w:lang w:val="hu-HU"/>
        </w:rPr>
      </w:pPr>
      <w:r w:rsidRPr="004311F9">
        <w:rPr>
          <w:szCs w:val="24"/>
          <w:lang w:val="hu-HU"/>
        </w:rPr>
        <w:t>0,3 mmol (6,4 mg) nátriumot tartalmaz injekciós üvegenként.</w:t>
      </w:r>
    </w:p>
    <w:p w14:paraId="39F81DD3" w14:textId="77777777" w:rsidR="00E74F5A" w:rsidRPr="004311F9" w:rsidRDefault="00E74F5A" w:rsidP="007809AC">
      <w:pPr>
        <w:spacing w:line="240" w:lineRule="auto"/>
        <w:rPr>
          <w:rFonts w:eastAsia="Times New Roman"/>
          <w:szCs w:val="24"/>
          <w:lang w:val="hu-HU"/>
        </w:rPr>
      </w:pPr>
    </w:p>
    <w:p w14:paraId="7E9CEA69" w14:textId="77777777" w:rsidR="00E74F5A" w:rsidRPr="004311F9" w:rsidRDefault="00E74F5A" w:rsidP="00DC4CB1">
      <w:pPr>
        <w:spacing w:line="240" w:lineRule="auto"/>
        <w:rPr>
          <w:szCs w:val="24"/>
          <w:lang w:val="hu-HU"/>
        </w:rPr>
      </w:pPr>
      <w:r w:rsidRPr="004311F9">
        <w:rPr>
          <w:szCs w:val="24"/>
          <w:lang w:val="hu-HU"/>
        </w:rPr>
        <w:t>A segédanyagok teljes listáját lásd a 6.1 pontban.</w:t>
      </w:r>
    </w:p>
    <w:p w14:paraId="64D9B847" w14:textId="77777777" w:rsidR="00E74F5A" w:rsidRPr="004311F9" w:rsidRDefault="00E74F5A" w:rsidP="00DC4CB1">
      <w:pPr>
        <w:spacing w:line="240" w:lineRule="auto"/>
        <w:rPr>
          <w:rFonts w:eastAsia="Times New Roman"/>
          <w:szCs w:val="24"/>
          <w:lang w:val="hu-HU"/>
        </w:rPr>
      </w:pPr>
    </w:p>
    <w:p w14:paraId="0F7F58A2" w14:textId="77777777" w:rsidR="00E74F5A" w:rsidRPr="004311F9" w:rsidRDefault="00E74F5A" w:rsidP="00DC4CB1">
      <w:pPr>
        <w:spacing w:line="240" w:lineRule="auto"/>
        <w:rPr>
          <w:rFonts w:eastAsia="Times New Roman"/>
          <w:szCs w:val="24"/>
          <w:lang w:val="hu-HU"/>
        </w:rPr>
      </w:pPr>
    </w:p>
    <w:p w14:paraId="2377F45A" w14:textId="77777777" w:rsidR="00E74F5A" w:rsidRPr="004311F9" w:rsidRDefault="00E74F5A" w:rsidP="00DC4CB1">
      <w:pPr>
        <w:keepNext/>
        <w:spacing w:line="240" w:lineRule="auto"/>
        <w:rPr>
          <w:szCs w:val="24"/>
          <w:lang w:val="hu-HU"/>
        </w:rPr>
      </w:pPr>
      <w:r w:rsidRPr="004311F9">
        <w:rPr>
          <w:b/>
          <w:szCs w:val="24"/>
          <w:lang w:val="hu-HU"/>
        </w:rPr>
        <w:t>3.</w:t>
      </w:r>
      <w:r w:rsidRPr="004311F9">
        <w:rPr>
          <w:b/>
          <w:szCs w:val="24"/>
          <w:lang w:val="hu-HU"/>
        </w:rPr>
        <w:tab/>
        <w:t>GYÓGYSZERFORMA</w:t>
      </w:r>
    </w:p>
    <w:p w14:paraId="4BE5EEB2" w14:textId="77777777" w:rsidR="00E74F5A" w:rsidRPr="004311F9" w:rsidRDefault="00E74F5A" w:rsidP="00DC4CB1">
      <w:pPr>
        <w:keepNext/>
        <w:spacing w:line="240" w:lineRule="auto"/>
        <w:rPr>
          <w:rFonts w:eastAsia="Times New Roman"/>
          <w:szCs w:val="24"/>
          <w:lang w:val="hu-HU"/>
        </w:rPr>
      </w:pPr>
    </w:p>
    <w:p w14:paraId="4F02FFE0" w14:textId="77777777" w:rsidR="00E74F5A" w:rsidRPr="004311F9" w:rsidRDefault="00E74F5A" w:rsidP="00DC4CB1">
      <w:pPr>
        <w:pStyle w:val="Default"/>
        <w:rPr>
          <w:color w:val="auto"/>
          <w:sz w:val="22"/>
          <w:lang w:val="hu-HU"/>
        </w:rPr>
      </w:pPr>
      <w:r w:rsidRPr="004311F9">
        <w:rPr>
          <w:color w:val="auto"/>
          <w:sz w:val="22"/>
          <w:lang w:val="hu-HU"/>
        </w:rPr>
        <w:t>Por és oldószer oldatos injekcióhoz.</w:t>
      </w:r>
    </w:p>
    <w:p w14:paraId="5F37A83D" w14:textId="77777777" w:rsidR="00E74F5A" w:rsidRPr="004311F9" w:rsidRDefault="00E74F5A" w:rsidP="00DC4CB1">
      <w:pPr>
        <w:pStyle w:val="Default"/>
        <w:rPr>
          <w:color w:val="auto"/>
          <w:sz w:val="22"/>
          <w:lang w:val="hu-HU"/>
        </w:rPr>
      </w:pPr>
      <w:r w:rsidRPr="004311F9">
        <w:rPr>
          <w:color w:val="auto"/>
          <w:sz w:val="22"/>
          <w:lang w:val="hu-HU"/>
        </w:rPr>
        <w:t>Por: liofilizált, fehér vagy törtfehér por vagy pogácsa.</w:t>
      </w:r>
    </w:p>
    <w:p w14:paraId="753E0B3E" w14:textId="33B4CDA1" w:rsidR="00E74F5A" w:rsidRPr="004311F9" w:rsidRDefault="00E74F5A" w:rsidP="00DC4CB1">
      <w:pPr>
        <w:tabs>
          <w:tab w:val="clear" w:pos="567"/>
        </w:tabs>
        <w:autoSpaceDE w:val="0"/>
        <w:autoSpaceDN w:val="0"/>
        <w:adjustRightInd w:val="0"/>
        <w:spacing w:line="240" w:lineRule="auto"/>
        <w:rPr>
          <w:szCs w:val="24"/>
          <w:lang w:val="hu-HU"/>
        </w:rPr>
      </w:pPr>
      <w:r w:rsidRPr="004311F9">
        <w:rPr>
          <w:szCs w:val="24"/>
          <w:lang w:val="hu-HU"/>
        </w:rPr>
        <w:t>Oldószer: tiszta vagy színtelen</w:t>
      </w:r>
      <w:r w:rsidR="00DD5025" w:rsidRPr="004311F9">
        <w:rPr>
          <w:szCs w:val="24"/>
          <w:lang w:val="hu-HU"/>
        </w:rPr>
        <w:t xml:space="preserve"> oldat</w:t>
      </w:r>
      <w:r w:rsidRPr="004311F9">
        <w:rPr>
          <w:szCs w:val="24"/>
          <w:lang w:val="hu-HU"/>
        </w:rPr>
        <w:t>.</w:t>
      </w:r>
    </w:p>
    <w:p w14:paraId="4A1EA245" w14:textId="1443FB06" w:rsidR="00DD5025" w:rsidRPr="004311F9" w:rsidRDefault="00DD5025" w:rsidP="00DC4CB1">
      <w:pPr>
        <w:tabs>
          <w:tab w:val="clear" w:pos="567"/>
        </w:tabs>
        <w:autoSpaceDE w:val="0"/>
        <w:autoSpaceDN w:val="0"/>
        <w:adjustRightInd w:val="0"/>
        <w:spacing w:line="240" w:lineRule="auto"/>
        <w:rPr>
          <w:szCs w:val="24"/>
          <w:lang w:val="hu-HU"/>
        </w:rPr>
      </w:pPr>
    </w:p>
    <w:p w14:paraId="0F01D360" w14:textId="24016E39" w:rsidR="00DD5025" w:rsidRPr="004311F9" w:rsidRDefault="00DD5025" w:rsidP="00DC4CB1">
      <w:pPr>
        <w:tabs>
          <w:tab w:val="clear" w:pos="567"/>
        </w:tabs>
        <w:autoSpaceDE w:val="0"/>
        <w:autoSpaceDN w:val="0"/>
        <w:adjustRightInd w:val="0"/>
        <w:spacing w:line="240" w:lineRule="auto"/>
        <w:rPr>
          <w:szCs w:val="24"/>
          <w:lang w:val="hu-HU"/>
        </w:rPr>
      </w:pPr>
      <w:r w:rsidRPr="004311F9">
        <w:rPr>
          <w:szCs w:val="24"/>
          <w:lang w:val="hu-HU"/>
        </w:rPr>
        <w:t>pH: 6,5</w:t>
      </w:r>
      <w:r w:rsidR="001A0CB4" w:rsidRPr="004311F9">
        <w:rPr>
          <w:szCs w:val="24"/>
          <w:lang w:val="hu-HU"/>
        </w:rPr>
        <w:noBreakHyphen/>
      </w:r>
      <w:r w:rsidRPr="004311F9">
        <w:rPr>
          <w:szCs w:val="24"/>
          <w:lang w:val="hu-HU"/>
        </w:rPr>
        <w:t>7,5.</w:t>
      </w:r>
    </w:p>
    <w:p w14:paraId="1CA4CAC9" w14:textId="7146E376" w:rsidR="00DD5025" w:rsidRPr="004311F9" w:rsidRDefault="00DD5025" w:rsidP="00DC4CB1">
      <w:pPr>
        <w:tabs>
          <w:tab w:val="clear" w:pos="567"/>
        </w:tabs>
        <w:autoSpaceDE w:val="0"/>
        <w:autoSpaceDN w:val="0"/>
        <w:adjustRightInd w:val="0"/>
        <w:spacing w:line="240" w:lineRule="auto"/>
        <w:rPr>
          <w:szCs w:val="24"/>
          <w:lang w:val="hu-HU"/>
        </w:rPr>
      </w:pPr>
      <w:r w:rsidRPr="004311F9">
        <w:rPr>
          <w:szCs w:val="24"/>
          <w:lang w:val="hu-HU"/>
        </w:rPr>
        <w:t>Ozmolalitás: 255</w:t>
      </w:r>
      <w:r w:rsidR="001A0CB4" w:rsidRPr="004311F9">
        <w:rPr>
          <w:szCs w:val="24"/>
          <w:lang w:val="hu-HU"/>
        </w:rPr>
        <w:noBreakHyphen/>
      </w:r>
      <w:r w:rsidRPr="004311F9">
        <w:rPr>
          <w:szCs w:val="24"/>
          <w:lang w:val="hu-HU"/>
        </w:rPr>
        <w:t>345 mOsm/kg.</w:t>
      </w:r>
    </w:p>
    <w:p w14:paraId="6842369E" w14:textId="77777777" w:rsidR="00E74F5A" w:rsidRPr="004311F9" w:rsidRDefault="00E74F5A" w:rsidP="00DC4CB1">
      <w:pPr>
        <w:spacing w:line="240" w:lineRule="auto"/>
        <w:rPr>
          <w:rFonts w:eastAsia="Times New Roman"/>
          <w:szCs w:val="24"/>
          <w:lang w:val="hu-HU"/>
        </w:rPr>
      </w:pPr>
    </w:p>
    <w:p w14:paraId="4F363738" w14:textId="77777777" w:rsidR="00E74F5A" w:rsidRPr="004311F9" w:rsidRDefault="00E74F5A" w:rsidP="00DC4CB1">
      <w:pPr>
        <w:suppressAutoHyphens/>
        <w:spacing w:line="240" w:lineRule="auto"/>
        <w:ind w:left="567" w:hanging="567"/>
        <w:rPr>
          <w:rFonts w:eastAsia="Times New Roman"/>
          <w:b/>
          <w:caps/>
          <w:szCs w:val="24"/>
          <w:lang w:val="hu-HU"/>
        </w:rPr>
      </w:pPr>
    </w:p>
    <w:p w14:paraId="6DF147CB" w14:textId="77777777" w:rsidR="00E74F5A" w:rsidRPr="004311F9" w:rsidRDefault="00E74F5A" w:rsidP="00DC4CB1">
      <w:pPr>
        <w:keepNext/>
        <w:spacing w:line="240" w:lineRule="auto"/>
        <w:rPr>
          <w:caps/>
          <w:szCs w:val="24"/>
          <w:lang w:val="hu-HU"/>
        </w:rPr>
      </w:pPr>
      <w:r w:rsidRPr="004311F9">
        <w:rPr>
          <w:b/>
          <w:caps/>
          <w:szCs w:val="24"/>
          <w:lang w:val="hu-HU"/>
        </w:rPr>
        <w:t>4.</w:t>
      </w:r>
      <w:r w:rsidRPr="004311F9">
        <w:rPr>
          <w:b/>
          <w:caps/>
          <w:szCs w:val="24"/>
          <w:lang w:val="hu-HU"/>
        </w:rPr>
        <w:tab/>
      </w:r>
      <w:r w:rsidRPr="004311F9">
        <w:rPr>
          <w:b/>
          <w:szCs w:val="24"/>
          <w:lang w:val="hu-HU"/>
        </w:rPr>
        <w:t>KLINIKAI JELLEMZŐK</w:t>
      </w:r>
    </w:p>
    <w:p w14:paraId="5C5C1887" w14:textId="77777777" w:rsidR="00E74F5A" w:rsidRPr="004311F9" w:rsidRDefault="00E74F5A" w:rsidP="00DC4CB1">
      <w:pPr>
        <w:keepNext/>
        <w:spacing w:line="240" w:lineRule="auto"/>
        <w:rPr>
          <w:rFonts w:eastAsia="Times New Roman"/>
          <w:szCs w:val="24"/>
          <w:lang w:val="hu-HU"/>
        </w:rPr>
      </w:pPr>
    </w:p>
    <w:p w14:paraId="5425CE88" w14:textId="77777777" w:rsidR="00E74F5A" w:rsidRPr="004311F9" w:rsidRDefault="00E74F5A" w:rsidP="00DC4CB1">
      <w:pPr>
        <w:keepNext/>
        <w:spacing w:line="240" w:lineRule="auto"/>
        <w:rPr>
          <w:szCs w:val="24"/>
          <w:lang w:val="hu-HU"/>
        </w:rPr>
      </w:pPr>
      <w:r w:rsidRPr="004311F9">
        <w:rPr>
          <w:b/>
          <w:szCs w:val="24"/>
          <w:lang w:val="hu-HU"/>
        </w:rPr>
        <w:t>4.1</w:t>
      </w:r>
      <w:r w:rsidRPr="004311F9">
        <w:rPr>
          <w:b/>
          <w:szCs w:val="24"/>
          <w:lang w:val="hu-HU"/>
        </w:rPr>
        <w:tab/>
        <w:t>Terápiás javallatok</w:t>
      </w:r>
    </w:p>
    <w:p w14:paraId="497108EE" w14:textId="77777777" w:rsidR="00E74F5A" w:rsidRPr="004311F9" w:rsidRDefault="00E74F5A" w:rsidP="00DC4CB1">
      <w:pPr>
        <w:keepNext/>
        <w:spacing w:line="240" w:lineRule="auto"/>
        <w:rPr>
          <w:rFonts w:eastAsia="Times New Roman"/>
          <w:szCs w:val="24"/>
          <w:lang w:val="hu-HU"/>
        </w:rPr>
      </w:pPr>
    </w:p>
    <w:p w14:paraId="10705DEB" w14:textId="77777777" w:rsidR="00E74F5A" w:rsidRPr="004311F9" w:rsidRDefault="00E74F5A" w:rsidP="00DC4CB1">
      <w:pPr>
        <w:spacing w:line="240" w:lineRule="auto"/>
        <w:rPr>
          <w:szCs w:val="24"/>
          <w:lang w:val="hu-HU"/>
        </w:rPr>
      </w:pPr>
      <w:r w:rsidRPr="004311F9">
        <w:rPr>
          <w:szCs w:val="24"/>
          <w:lang w:val="hu-HU"/>
        </w:rPr>
        <w:t>Vérzések kezelésére és megelőzésére haemophilia B</w:t>
      </w:r>
      <w:r w:rsidRPr="004311F9">
        <w:rPr>
          <w:szCs w:val="24"/>
          <w:lang w:val="hu-HU"/>
        </w:rPr>
        <w:noBreakHyphen/>
        <w:t>ben (veleszületett IX</w:t>
      </w:r>
      <w:r w:rsidRPr="004311F9">
        <w:rPr>
          <w:szCs w:val="24"/>
          <w:lang w:val="hu-HU"/>
        </w:rPr>
        <w:noBreakHyphen/>
        <w:t>es faktorhiány) szenvedő betegeknél.</w:t>
      </w:r>
    </w:p>
    <w:p w14:paraId="41CFB07A" w14:textId="77777777" w:rsidR="00E74F5A" w:rsidRPr="004311F9" w:rsidRDefault="00E74F5A" w:rsidP="00DC4CB1">
      <w:pPr>
        <w:spacing w:line="240" w:lineRule="auto"/>
        <w:rPr>
          <w:rFonts w:eastAsia="Times New Roman"/>
          <w:szCs w:val="24"/>
          <w:lang w:val="hu-HU"/>
        </w:rPr>
      </w:pPr>
    </w:p>
    <w:p w14:paraId="57B20353" w14:textId="77777777" w:rsidR="00E74F5A" w:rsidRPr="004311F9" w:rsidRDefault="00E74F5A" w:rsidP="00DC4CB1">
      <w:pPr>
        <w:spacing w:line="240" w:lineRule="auto"/>
        <w:rPr>
          <w:szCs w:val="24"/>
          <w:lang w:val="hu-HU"/>
        </w:rPr>
      </w:pPr>
      <w:r w:rsidRPr="004311F9">
        <w:rPr>
          <w:szCs w:val="24"/>
          <w:lang w:val="hu-HU"/>
        </w:rPr>
        <w:t>Az ALPROLIX valamennyi korcsoportban alkalmazható.</w:t>
      </w:r>
    </w:p>
    <w:p w14:paraId="63365A2C" w14:textId="77777777" w:rsidR="00E74F5A" w:rsidRPr="004311F9" w:rsidRDefault="00E74F5A" w:rsidP="00DC4CB1">
      <w:pPr>
        <w:spacing w:line="240" w:lineRule="auto"/>
        <w:rPr>
          <w:rFonts w:eastAsia="Times New Roman"/>
          <w:szCs w:val="24"/>
          <w:lang w:val="hu-HU"/>
        </w:rPr>
      </w:pPr>
    </w:p>
    <w:p w14:paraId="372E2DB7" w14:textId="77777777" w:rsidR="00E74F5A" w:rsidRPr="004311F9" w:rsidRDefault="00E74F5A" w:rsidP="00DC4CB1">
      <w:pPr>
        <w:keepNext/>
        <w:spacing w:line="240" w:lineRule="auto"/>
        <w:rPr>
          <w:b/>
          <w:szCs w:val="24"/>
          <w:lang w:val="hu-HU"/>
        </w:rPr>
      </w:pPr>
      <w:r w:rsidRPr="004311F9">
        <w:rPr>
          <w:b/>
          <w:szCs w:val="24"/>
          <w:lang w:val="hu-HU"/>
        </w:rPr>
        <w:t>4.2</w:t>
      </w:r>
      <w:r w:rsidRPr="004311F9">
        <w:rPr>
          <w:b/>
          <w:szCs w:val="24"/>
          <w:lang w:val="hu-HU"/>
        </w:rPr>
        <w:tab/>
        <w:t>Adagolás és alkalmazás</w:t>
      </w:r>
    </w:p>
    <w:p w14:paraId="019C9642" w14:textId="77777777" w:rsidR="00E74F5A" w:rsidRPr="004311F9" w:rsidRDefault="00E74F5A" w:rsidP="00DC4CB1">
      <w:pPr>
        <w:keepNext/>
        <w:spacing w:line="240" w:lineRule="auto"/>
        <w:rPr>
          <w:rFonts w:eastAsia="Times New Roman"/>
          <w:b/>
          <w:szCs w:val="24"/>
          <w:lang w:val="hu-HU"/>
        </w:rPr>
      </w:pPr>
    </w:p>
    <w:p w14:paraId="6F3D0E1B" w14:textId="77777777" w:rsidR="00E74F5A" w:rsidRPr="004311F9" w:rsidRDefault="00E74F5A" w:rsidP="00DC4CB1">
      <w:pPr>
        <w:autoSpaceDE w:val="0"/>
        <w:autoSpaceDN w:val="0"/>
        <w:adjustRightInd w:val="0"/>
        <w:spacing w:line="240" w:lineRule="auto"/>
        <w:rPr>
          <w:szCs w:val="24"/>
          <w:lang w:val="hu-HU"/>
        </w:rPr>
      </w:pPr>
      <w:r w:rsidRPr="004311F9">
        <w:rPr>
          <w:szCs w:val="24"/>
          <w:lang w:val="hu-HU"/>
        </w:rPr>
        <w:t>A kezelést a haemophilia kezelésében jártas orvosnak kell felügyelnie.</w:t>
      </w:r>
    </w:p>
    <w:p w14:paraId="1453217E" w14:textId="77777777" w:rsidR="00E74F5A" w:rsidRPr="004311F9" w:rsidRDefault="00E74F5A" w:rsidP="00DC4CB1">
      <w:pPr>
        <w:autoSpaceDE w:val="0"/>
        <w:autoSpaceDN w:val="0"/>
        <w:adjustRightInd w:val="0"/>
        <w:spacing w:line="240" w:lineRule="auto"/>
        <w:rPr>
          <w:rFonts w:eastAsia="Times New Roman"/>
          <w:szCs w:val="24"/>
          <w:lang w:val="hu-HU"/>
        </w:rPr>
      </w:pPr>
    </w:p>
    <w:p w14:paraId="0244A3CB" w14:textId="77777777" w:rsidR="00E74F5A" w:rsidRPr="004311F9" w:rsidRDefault="00E74F5A" w:rsidP="00DC4CB1">
      <w:pPr>
        <w:keepNext/>
        <w:spacing w:line="240" w:lineRule="auto"/>
        <w:rPr>
          <w:szCs w:val="24"/>
          <w:u w:val="single"/>
          <w:lang w:val="hu-HU"/>
        </w:rPr>
      </w:pPr>
      <w:r w:rsidRPr="004311F9">
        <w:rPr>
          <w:szCs w:val="24"/>
          <w:u w:val="single"/>
          <w:lang w:val="hu-HU"/>
        </w:rPr>
        <w:t>A kezelés monitorozása</w:t>
      </w:r>
    </w:p>
    <w:p w14:paraId="1E4C6044" w14:textId="77777777" w:rsidR="00E74F5A" w:rsidRPr="004311F9" w:rsidRDefault="00E74F5A" w:rsidP="00DC4CB1">
      <w:pPr>
        <w:spacing w:line="240" w:lineRule="auto"/>
        <w:rPr>
          <w:szCs w:val="24"/>
          <w:lang w:val="hu-HU"/>
        </w:rPr>
      </w:pPr>
      <w:r w:rsidRPr="004311F9">
        <w:rPr>
          <w:szCs w:val="24"/>
          <w:lang w:val="hu-HU"/>
        </w:rPr>
        <w:t>A kezelés alatt a IX</w:t>
      </w:r>
      <w:r w:rsidRPr="004311F9">
        <w:rPr>
          <w:szCs w:val="24"/>
          <w:lang w:val="hu-HU"/>
        </w:rPr>
        <w:noBreakHyphen/>
        <w:t>es faktor szintjének megfelelő meghatározása javasolt, ami irányt mutat a beadandó adagra és az injekciók ismétlésének gyakoriságára. Az egyes betegek IX</w:t>
      </w:r>
      <w:r w:rsidRPr="004311F9">
        <w:rPr>
          <w:szCs w:val="24"/>
          <w:lang w:val="hu-HU"/>
        </w:rPr>
        <w:noBreakHyphen/>
        <w:t>es faktorra adott válasza különbözhet, ami eltérő felezési időben és visszanyerésben nyilvánulhat meg. A normálisnál alacsonyabb testtömegű vagy túlsúlyos betegeknél szükséges lehet a testtömeg alapján meghatározott adag módosítása. Különösen nagyobb műtéti beavatkozásoknál elengedhetetlen a szubsztitúciós kezelés véralvadási próbával végzett precíz ellenőrzése (a plazma IX</w:t>
      </w:r>
      <w:r w:rsidRPr="004311F9">
        <w:rPr>
          <w:szCs w:val="24"/>
          <w:lang w:val="hu-HU"/>
        </w:rPr>
        <w:noBreakHyphen/>
        <w:t>es faktor aktivitása).</w:t>
      </w:r>
    </w:p>
    <w:p w14:paraId="7315C90C" w14:textId="77777777" w:rsidR="00E74F5A" w:rsidRPr="004311F9" w:rsidRDefault="00E74F5A" w:rsidP="00DC4CB1">
      <w:pPr>
        <w:spacing w:line="240" w:lineRule="auto"/>
        <w:rPr>
          <w:rFonts w:eastAsia="Times New Roman"/>
          <w:i/>
          <w:szCs w:val="24"/>
          <w:u w:val="single"/>
          <w:lang w:val="hu-HU"/>
        </w:rPr>
      </w:pPr>
    </w:p>
    <w:p w14:paraId="25CED8FB" w14:textId="77777777" w:rsidR="00E74F5A" w:rsidRPr="004311F9" w:rsidRDefault="00E74F5A" w:rsidP="00DC4CB1">
      <w:pPr>
        <w:spacing w:line="240" w:lineRule="auto"/>
        <w:rPr>
          <w:rFonts w:eastAsia="Times New Roman"/>
          <w:szCs w:val="24"/>
          <w:lang w:val="hu-HU"/>
        </w:rPr>
      </w:pPr>
      <w:r w:rsidRPr="004311F9">
        <w:rPr>
          <w:szCs w:val="24"/>
          <w:lang w:val="hu-HU"/>
        </w:rPr>
        <w:t>Amennyiben a beteg vérmintáiban jelenlévő IX</w:t>
      </w:r>
      <w:r w:rsidRPr="004311F9">
        <w:rPr>
          <w:szCs w:val="24"/>
          <w:lang w:val="hu-HU"/>
        </w:rPr>
        <w:noBreakHyphen/>
        <w:t xml:space="preserve">es </w:t>
      </w:r>
      <w:r w:rsidRPr="004311F9">
        <w:rPr>
          <w:rFonts w:eastAsia="Times New Roman"/>
          <w:szCs w:val="24"/>
          <w:lang w:val="hu-HU"/>
        </w:rPr>
        <w:t xml:space="preserve">faktor aktivitás meghatározásához </w:t>
      </w:r>
      <w:r w:rsidRPr="004311F9">
        <w:rPr>
          <w:rFonts w:eastAsia="Times New Roman"/>
          <w:i/>
          <w:szCs w:val="24"/>
          <w:lang w:val="hu-HU"/>
        </w:rPr>
        <w:t>in vitro</w:t>
      </w:r>
      <w:r w:rsidRPr="004311F9">
        <w:rPr>
          <w:szCs w:val="24"/>
          <w:lang w:val="hu-HU"/>
        </w:rPr>
        <w:t xml:space="preserve"> tromboplasztin időn (aPTI) alapuló </w:t>
      </w:r>
      <w:r w:rsidRPr="004311F9">
        <w:rPr>
          <w:rFonts w:eastAsia="Times New Roman"/>
          <w:szCs w:val="24"/>
          <w:lang w:val="hu-HU"/>
        </w:rPr>
        <w:t>egyfázisú</w:t>
      </w:r>
      <w:r w:rsidRPr="004311F9">
        <w:rPr>
          <w:szCs w:val="24"/>
          <w:lang w:val="hu-HU"/>
        </w:rPr>
        <w:t xml:space="preserve"> alvadási tesztet alkalmaznak, a plazma IX</w:t>
      </w:r>
      <w:r w:rsidRPr="004311F9">
        <w:rPr>
          <w:szCs w:val="24"/>
          <w:lang w:val="hu-HU"/>
        </w:rPr>
        <w:noBreakHyphen/>
        <w:t>es faktor aktivitási eredményeit jelentősen befolyásolhatja mind a teszt során alkalmazott aPTI</w:t>
      </w:r>
      <w:r w:rsidRPr="004311F9">
        <w:rPr>
          <w:szCs w:val="24"/>
          <w:lang w:val="hu-HU"/>
        </w:rPr>
        <w:noBreakHyphen/>
        <w:t>reagens típusa, mind a referencia standard. Ez különösen akkor fontos, ha változik a vizsgálatot végző laboratórium és/vagy a teszt során alkalmazott reagens.</w:t>
      </w:r>
    </w:p>
    <w:p w14:paraId="0B66E656" w14:textId="77777777" w:rsidR="00E74F5A" w:rsidRPr="004311F9" w:rsidRDefault="00E74F5A" w:rsidP="00DC4CB1">
      <w:pPr>
        <w:autoSpaceDE w:val="0"/>
        <w:autoSpaceDN w:val="0"/>
        <w:adjustRightInd w:val="0"/>
        <w:spacing w:line="240" w:lineRule="auto"/>
        <w:rPr>
          <w:rFonts w:eastAsia="Times New Roman"/>
          <w:szCs w:val="24"/>
          <w:lang w:val="hu-HU"/>
        </w:rPr>
      </w:pPr>
      <w:r w:rsidRPr="004311F9">
        <w:rPr>
          <w:szCs w:val="24"/>
          <w:lang w:val="hu-HU"/>
        </w:rPr>
        <w:t xml:space="preserve">A kaolin alapú aPTI reagenst alkalmazó egyfázisú alvadási teszttel végzett meghatározások nagy valószínűséggel az aktivitási </w:t>
      </w:r>
      <w:r w:rsidRPr="004311F9">
        <w:rPr>
          <w:rFonts w:eastAsia="Times New Roman"/>
          <w:szCs w:val="24"/>
          <w:lang w:val="hu-HU"/>
        </w:rPr>
        <w:t>szint alulbecslését eredményezik.</w:t>
      </w:r>
    </w:p>
    <w:p w14:paraId="059F19DB" w14:textId="77777777" w:rsidR="00E74F5A" w:rsidRPr="004311F9" w:rsidRDefault="00E74F5A" w:rsidP="00DC4CB1">
      <w:pPr>
        <w:autoSpaceDE w:val="0"/>
        <w:autoSpaceDN w:val="0"/>
        <w:adjustRightInd w:val="0"/>
        <w:spacing w:line="240" w:lineRule="auto"/>
        <w:rPr>
          <w:rFonts w:eastAsia="Times New Roman"/>
          <w:szCs w:val="24"/>
          <w:lang w:val="hu-HU"/>
        </w:rPr>
      </w:pPr>
    </w:p>
    <w:p w14:paraId="43AFAB45" w14:textId="77777777" w:rsidR="00E74F5A" w:rsidRPr="004311F9" w:rsidRDefault="00E74F5A" w:rsidP="009D013A">
      <w:pPr>
        <w:keepNext/>
        <w:keepLines/>
        <w:spacing w:line="240" w:lineRule="auto"/>
        <w:rPr>
          <w:szCs w:val="24"/>
          <w:u w:val="single"/>
          <w:lang w:val="hu-HU"/>
        </w:rPr>
      </w:pPr>
      <w:r w:rsidRPr="004311F9">
        <w:rPr>
          <w:szCs w:val="24"/>
          <w:u w:val="single"/>
          <w:lang w:val="hu-HU"/>
        </w:rPr>
        <w:lastRenderedPageBreak/>
        <w:t>Adagolás</w:t>
      </w:r>
    </w:p>
    <w:p w14:paraId="454A3F32" w14:textId="77777777" w:rsidR="00E74F5A" w:rsidRPr="004311F9" w:rsidRDefault="00E74F5A" w:rsidP="009D013A">
      <w:pPr>
        <w:keepNext/>
        <w:keepLines/>
        <w:autoSpaceDE w:val="0"/>
        <w:autoSpaceDN w:val="0"/>
        <w:adjustRightInd w:val="0"/>
        <w:spacing w:line="240" w:lineRule="auto"/>
        <w:rPr>
          <w:szCs w:val="24"/>
          <w:lang w:val="hu-HU"/>
        </w:rPr>
      </w:pPr>
      <w:r w:rsidRPr="004311F9">
        <w:rPr>
          <w:szCs w:val="24"/>
          <w:lang w:val="hu-HU"/>
        </w:rPr>
        <w:t>Az adag és a szubsztitúciós kezelés ideje a IX</w:t>
      </w:r>
      <w:r w:rsidRPr="004311F9">
        <w:rPr>
          <w:szCs w:val="24"/>
          <w:lang w:val="hu-HU"/>
        </w:rPr>
        <w:noBreakHyphen/>
        <w:t>es faktorhiány súlyosságától, a vérzés helyétől és kiterjedésétől, valamint a beteg klinikai állapotától függ.</w:t>
      </w:r>
    </w:p>
    <w:p w14:paraId="4C6745CB" w14:textId="77777777" w:rsidR="00E74F5A" w:rsidRPr="004311F9" w:rsidRDefault="00E74F5A" w:rsidP="009D013A">
      <w:pPr>
        <w:keepNext/>
        <w:keepLines/>
        <w:spacing w:line="240" w:lineRule="auto"/>
        <w:rPr>
          <w:rFonts w:eastAsia="Times New Roman"/>
          <w:i/>
          <w:szCs w:val="24"/>
          <w:lang w:val="hu-HU"/>
        </w:rPr>
      </w:pPr>
    </w:p>
    <w:p w14:paraId="30ED546A" w14:textId="7CAA26E8" w:rsidR="00E74F5A" w:rsidRPr="004311F9" w:rsidRDefault="00E74F5A" w:rsidP="009D013A">
      <w:pPr>
        <w:keepNext/>
        <w:keepLines/>
        <w:autoSpaceDE w:val="0"/>
        <w:autoSpaceDN w:val="0"/>
        <w:adjustRightInd w:val="0"/>
        <w:spacing w:line="240" w:lineRule="auto"/>
        <w:rPr>
          <w:szCs w:val="24"/>
          <w:lang w:val="hu-HU"/>
        </w:rPr>
      </w:pPr>
      <w:r w:rsidRPr="004311F9">
        <w:rPr>
          <w:szCs w:val="24"/>
          <w:lang w:val="hu-HU"/>
        </w:rPr>
        <w:t>A IX faktorból beadandó egységek számát nemzetközi egységben (NE) fejezik ki, melyet a WHO jelenlegi, IX</w:t>
      </w:r>
      <w:r w:rsidRPr="004311F9">
        <w:rPr>
          <w:szCs w:val="24"/>
          <w:lang w:val="hu-HU"/>
        </w:rPr>
        <w:noBreakHyphen/>
        <w:t>es véralvadási faktorkészítményekre vonatkozó standardjához viszonyítva határoznak meg. A plazma IX</w:t>
      </w:r>
      <w:r w:rsidRPr="004311F9">
        <w:rPr>
          <w:szCs w:val="24"/>
          <w:lang w:val="hu-HU"/>
        </w:rPr>
        <w:noBreakHyphen/>
        <w:t>es faktor aktivitását százalékban (a normál emberi plazmához viszonyítva) vagy nemzetközi egységben (a plazma IX</w:t>
      </w:r>
      <w:r w:rsidRPr="004311F9">
        <w:rPr>
          <w:szCs w:val="24"/>
          <w:lang w:val="hu-HU"/>
        </w:rPr>
        <w:noBreakHyphen/>
        <w:t>es faktorra vonatkozó nemzetközi standardjához viszonyítva) fejezik ki.</w:t>
      </w:r>
    </w:p>
    <w:p w14:paraId="1BCC2DEB" w14:textId="77777777" w:rsidR="00E74F5A" w:rsidRPr="004311F9" w:rsidRDefault="00E74F5A" w:rsidP="00DC4CB1">
      <w:pPr>
        <w:autoSpaceDE w:val="0"/>
        <w:autoSpaceDN w:val="0"/>
        <w:adjustRightInd w:val="0"/>
        <w:spacing w:line="240" w:lineRule="auto"/>
        <w:rPr>
          <w:rFonts w:eastAsia="Times New Roman"/>
          <w:szCs w:val="24"/>
          <w:lang w:val="hu-HU"/>
        </w:rPr>
      </w:pPr>
    </w:p>
    <w:p w14:paraId="030A47D2" w14:textId="77777777" w:rsidR="00E74F5A" w:rsidRPr="004311F9" w:rsidRDefault="00E74F5A" w:rsidP="00DC4CB1">
      <w:pPr>
        <w:autoSpaceDE w:val="0"/>
        <w:autoSpaceDN w:val="0"/>
        <w:adjustRightInd w:val="0"/>
        <w:spacing w:line="240" w:lineRule="auto"/>
        <w:rPr>
          <w:szCs w:val="24"/>
          <w:lang w:val="hu-HU"/>
        </w:rPr>
      </w:pPr>
      <w:r w:rsidRPr="004311F9">
        <w:rPr>
          <w:szCs w:val="24"/>
          <w:lang w:val="hu-HU"/>
        </w:rPr>
        <w:t>Egy nemzetközi egység (NE) rekombináns IX Fc faktor aktivitás megfelel a normál humán plazma egy milliliterében lévő IX</w:t>
      </w:r>
      <w:r w:rsidRPr="004311F9">
        <w:rPr>
          <w:szCs w:val="24"/>
          <w:lang w:val="hu-HU"/>
        </w:rPr>
        <w:noBreakHyphen/>
        <w:t>es faktor mennyiségnek.</w:t>
      </w:r>
    </w:p>
    <w:p w14:paraId="3C7206A6" w14:textId="77777777" w:rsidR="00E74F5A" w:rsidRPr="004311F9" w:rsidRDefault="00E74F5A" w:rsidP="00DC4CB1">
      <w:pPr>
        <w:autoSpaceDE w:val="0"/>
        <w:autoSpaceDN w:val="0"/>
        <w:adjustRightInd w:val="0"/>
        <w:spacing w:line="240" w:lineRule="auto"/>
        <w:rPr>
          <w:rFonts w:eastAsia="Times New Roman"/>
          <w:szCs w:val="24"/>
          <w:lang w:val="hu-HU"/>
        </w:rPr>
      </w:pPr>
    </w:p>
    <w:p w14:paraId="7D75F375" w14:textId="77777777" w:rsidR="00E74F5A" w:rsidRPr="004311F9" w:rsidRDefault="00E74F5A" w:rsidP="00DC4CB1">
      <w:pPr>
        <w:keepNext/>
        <w:autoSpaceDE w:val="0"/>
        <w:autoSpaceDN w:val="0"/>
        <w:adjustRightInd w:val="0"/>
        <w:spacing w:line="240" w:lineRule="auto"/>
        <w:ind w:left="357" w:hanging="357"/>
        <w:rPr>
          <w:i/>
          <w:szCs w:val="24"/>
          <w:u w:val="single"/>
          <w:lang w:val="hu-HU"/>
        </w:rPr>
      </w:pPr>
      <w:r w:rsidRPr="004311F9">
        <w:rPr>
          <w:i/>
          <w:szCs w:val="24"/>
          <w:u w:val="single"/>
          <w:lang w:val="hu-HU"/>
        </w:rPr>
        <w:t>Szükség szerinti kezelés</w:t>
      </w:r>
    </w:p>
    <w:p w14:paraId="3109C897" w14:textId="77777777" w:rsidR="00E74F5A" w:rsidRPr="004311F9" w:rsidRDefault="00E74F5A" w:rsidP="00DC4CB1">
      <w:pPr>
        <w:autoSpaceDE w:val="0"/>
        <w:autoSpaceDN w:val="0"/>
        <w:adjustRightInd w:val="0"/>
        <w:spacing w:line="240" w:lineRule="auto"/>
        <w:rPr>
          <w:szCs w:val="24"/>
          <w:lang w:val="hu-HU"/>
        </w:rPr>
      </w:pPr>
      <w:r w:rsidRPr="004311F9">
        <w:rPr>
          <w:szCs w:val="24"/>
          <w:lang w:val="hu-HU"/>
        </w:rPr>
        <w:t>A rekombináns IX Fc faktor szükséges adagjának kiszámítása azon az empirikus megfigyelésen alapul, miszerint 1 nemzetközi egység (NE) IX</w:t>
      </w:r>
      <w:r w:rsidRPr="004311F9">
        <w:rPr>
          <w:szCs w:val="24"/>
          <w:lang w:val="hu-HU"/>
        </w:rPr>
        <w:noBreakHyphen/>
        <w:t>es faktor/testtömeg kg a normál aktivitás 1%</w:t>
      </w:r>
      <w:r w:rsidRPr="004311F9">
        <w:rPr>
          <w:szCs w:val="24"/>
          <w:lang w:val="hu-HU"/>
        </w:rPr>
        <w:noBreakHyphen/>
        <w:t>ával emeli a plazma IX</w:t>
      </w:r>
      <w:r w:rsidRPr="004311F9">
        <w:rPr>
          <w:szCs w:val="24"/>
          <w:lang w:val="hu-HU"/>
        </w:rPr>
        <w:noBreakHyphen/>
        <w:t>es faktor aktivitását (NE/dl). A szükséges adag a következő képlet alapján határozható meg:</w:t>
      </w:r>
    </w:p>
    <w:p w14:paraId="5F6110B6" w14:textId="77777777" w:rsidR="00E74F5A" w:rsidRPr="004311F9" w:rsidRDefault="00E74F5A" w:rsidP="00DC4CB1">
      <w:pPr>
        <w:autoSpaceDE w:val="0"/>
        <w:autoSpaceDN w:val="0"/>
        <w:adjustRightInd w:val="0"/>
        <w:spacing w:line="240" w:lineRule="auto"/>
        <w:rPr>
          <w:rFonts w:eastAsia="Times New Roman"/>
          <w:szCs w:val="24"/>
          <w:lang w:val="hu-HU"/>
        </w:rPr>
      </w:pPr>
    </w:p>
    <w:p w14:paraId="29CAF760" w14:textId="77777777" w:rsidR="00E74F5A" w:rsidRPr="004311F9" w:rsidRDefault="00E74F5A" w:rsidP="00DC4CB1">
      <w:pPr>
        <w:autoSpaceDE w:val="0"/>
        <w:autoSpaceDN w:val="0"/>
        <w:adjustRightInd w:val="0"/>
        <w:spacing w:line="240" w:lineRule="auto"/>
        <w:rPr>
          <w:szCs w:val="24"/>
          <w:lang w:val="hu-HU"/>
        </w:rPr>
      </w:pPr>
      <w:r w:rsidRPr="004311F9">
        <w:rPr>
          <w:szCs w:val="24"/>
          <w:lang w:val="hu-HU"/>
        </w:rPr>
        <w:t>Szükséges egységek száma = testtömeg (kg) × IX</w:t>
      </w:r>
      <w:r w:rsidRPr="004311F9">
        <w:rPr>
          <w:szCs w:val="24"/>
          <w:lang w:val="hu-HU"/>
        </w:rPr>
        <w:noBreakHyphen/>
        <w:t xml:space="preserve">es faktoraktivitás kívánt emelkedése (%) (NE/dl) × </w:t>
      </w:r>
      <w:r w:rsidRPr="004311F9">
        <w:rPr>
          <w:lang w:val="hu-HU"/>
        </w:rPr>
        <w:t xml:space="preserve">{a megfigyelt visszanyerés reciproka </w:t>
      </w:r>
      <w:r w:rsidRPr="004311F9">
        <w:rPr>
          <w:szCs w:val="24"/>
          <w:lang w:val="hu-HU"/>
        </w:rPr>
        <w:t>(NE/kg per NE/dl)</w:t>
      </w:r>
      <w:r w:rsidRPr="004311F9">
        <w:rPr>
          <w:bCs/>
          <w:lang w:val="hu-HU"/>
        </w:rPr>
        <w:t>}</w:t>
      </w:r>
    </w:p>
    <w:p w14:paraId="6A80EEDF" w14:textId="77777777" w:rsidR="00E74F5A" w:rsidRPr="004311F9" w:rsidRDefault="00E74F5A" w:rsidP="00DC4CB1">
      <w:pPr>
        <w:autoSpaceDE w:val="0"/>
        <w:autoSpaceDN w:val="0"/>
        <w:adjustRightInd w:val="0"/>
        <w:spacing w:line="240" w:lineRule="auto"/>
        <w:rPr>
          <w:rFonts w:eastAsia="Times New Roman"/>
          <w:szCs w:val="24"/>
          <w:lang w:val="hu-HU"/>
        </w:rPr>
      </w:pPr>
    </w:p>
    <w:p w14:paraId="6F58C869" w14:textId="77777777" w:rsidR="00E74F5A" w:rsidRPr="004311F9" w:rsidRDefault="00E74F5A" w:rsidP="00DC4CB1">
      <w:pPr>
        <w:autoSpaceDE w:val="0"/>
        <w:autoSpaceDN w:val="0"/>
        <w:adjustRightInd w:val="0"/>
        <w:spacing w:line="240" w:lineRule="auto"/>
        <w:rPr>
          <w:bCs/>
          <w:szCs w:val="24"/>
          <w:lang w:val="hu-HU"/>
        </w:rPr>
      </w:pPr>
      <w:r w:rsidRPr="004311F9">
        <w:rPr>
          <w:szCs w:val="24"/>
          <w:lang w:val="hu-HU"/>
        </w:rPr>
        <w:t>A beadandó mennyiséget és az alkalmazás gyakoriságát mindig az egyedi esetben megfigyelt klinikai hatékonyságra való tekintettel kell meghatározni. Amennyiben a vérzéscsillapításhoz ismételt dózis szükséges, az ALPROLIX elnyújtott felezési idejét figyelembe kell venni (lásd 5.2 pont). A csúcsaktivitásig eltelő idő várhatóan nem hosszabbodik meg.</w:t>
      </w:r>
    </w:p>
    <w:p w14:paraId="3C0D5776" w14:textId="77777777" w:rsidR="00E74F5A" w:rsidRPr="004311F9" w:rsidRDefault="00E74F5A" w:rsidP="00DC4CB1">
      <w:pPr>
        <w:spacing w:line="240" w:lineRule="auto"/>
        <w:rPr>
          <w:rFonts w:eastAsia="Times New Roman"/>
          <w:bCs/>
          <w:szCs w:val="24"/>
          <w:lang w:val="hu-HU"/>
        </w:rPr>
      </w:pPr>
    </w:p>
    <w:p w14:paraId="66E11252" w14:textId="77777777" w:rsidR="00E74F5A" w:rsidRPr="004311F9" w:rsidRDefault="00E74F5A" w:rsidP="00DC4CB1">
      <w:pPr>
        <w:spacing w:line="240" w:lineRule="auto"/>
        <w:rPr>
          <w:szCs w:val="24"/>
          <w:lang w:val="hu-HU"/>
        </w:rPr>
      </w:pPr>
      <w:r w:rsidRPr="004311F9">
        <w:rPr>
          <w:szCs w:val="24"/>
          <w:lang w:val="hu-HU"/>
        </w:rPr>
        <w:t>A következő vérzések esetén a IX</w:t>
      </w:r>
      <w:r w:rsidRPr="004311F9">
        <w:rPr>
          <w:szCs w:val="24"/>
          <w:lang w:val="hu-HU"/>
        </w:rPr>
        <w:noBreakHyphen/>
        <w:t>es faktor aktivitás nem eshet a megadott plazma aktivitási szint alá (a normálérték %</w:t>
      </w:r>
      <w:r w:rsidRPr="004311F9">
        <w:rPr>
          <w:szCs w:val="24"/>
          <w:lang w:val="hu-HU"/>
        </w:rPr>
        <w:noBreakHyphen/>
        <w:t>ában vagy NE/dl</w:t>
      </w:r>
      <w:r w:rsidRPr="004311F9">
        <w:rPr>
          <w:szCs w:val="24"/>
          <w:lang w:val="hu-HU"/>
        </w:rPr>
        <w:noBreakHyphen/>
        <w:t>ben) a vonatkozó időszakban. Az 1. táblázat adagolási útmutatóként használható vérzések és műtéti beavatkozások során:</w:t>
      </w:r>
    </w:p>
    <w:p w14:paraId="6388C66D" w14:textId="77777777" w:rsidR="00E74F5A" w:rsidRPr="004311F9" w:rsidRDefault="00E74F5A" w:rsidP="00DC4CB1">
      <w:pPr>
        <w:spacing w:line="240" w:lineRule="auto"/>
        <w:rPr>
          <w:rFonts w:eastAsia="Times New Roman"/>
          <w:bCs/>
          <w:szCs w:val="24"/>
          <w:lang w:val="hu-HU"/>
        </w:rPr>
      </w:pPr>
    </w:p>
    <w:p w14:paraId="1131405B" w14:textId="2DDB2045" w:rsidR="00E74F5A" w:rsidRPr="004311F9" w:rsidRDefault="00E74F5A" w:rsidP="00F74D15">
      <w:pPr>
        <w:keepNext/>
        <w:tabs>
          <w:tab w:val="clear" w:pos="567"/>
          <w:tab w:val="left" w:pos="1134"/>
        </w:tabs>
        <w:autoSpaceDE w:val="0"/>
        <w:autoSpaceDN w:val="0"/>
        <w:adjustRightInd w:val="0"/>
        <w:spacing w:line="240" w:lineRule="auto"/>
        <w:ind w:left="1021" w:hanging="1021"/>
        <w:rPr>
          <w:szCs w:val="24"/>
          <w:lang w:val="hu-HU"/>
        </w:rPr>
      </w:pPr>
      <w:r w:rsidRPr="004311F9">
        <w:rPr>
          <w:szCs w:val="24"/>
          <w:lang w:val="hu-HU"/>
        </w:rPr>
        <w:lastRenderedPageBreak/>
        <w:t>1. táblázat: Útmutató az ALPROLIX vérzések kezelése és műtéti beavatkozások során történő adagolásához</w:t>
      </w:r>
    </w:p>
    <w:tbl>
      <w:tblPr>
        <w:tblW w:w="9639" w:type="dxa"/>
        <w:tblInd w:w="108" w:type="dxa"/>
        <w:tblBorders>
          <w:insideH w:val="single" w:sz="4" w:space="0" w:color="auto"/>
        </w:tblBorders>
        <w:tblLayout w:type="fixed"/>
        <w:tblLook w:val="00A0" w:firstRow="1" w:lastRow="0" w:firstColumn="1" w:lastColumn="0" w:noHBand="0" w:noVBand="0"/>
      </w:tblPr>
      <w:tblGrid>
        <w:gridCol w:w="2835"/>
        <w:gridCol w:w="2410"/>
        <w:gridCol w:w="4394"/>
      </w:tblGrid>
      <w:tr w:rsidR="00E74F5A" w:rsidRPr="008537D8" w14:paraId="630D713C" w14:textId="77777777" w:rsidTr="005325DB">
        <w:trPr>
          <w:trHeight w:val="915"/>
        </w:trPr>
        <w:tc>
          <w:tcPr>
            <w:tcW w:w="2835" w:type="dxa"/>
            <w:vAlign w:val="center"/>
          </w:tcPr>
          <w:p w14:paraId="297EA718" w14:textId="77777777" w:rsidR="00E74F5A" w:rsidRPr="004311F9" w:rsidRDefault="00E74F5A" w:rsidP="005325DB">
            <w:pPr>
              <w:keepNext/>
              <w:spacing w:line="240" w:lineRule="auto"/>
              <w:outlineLvl w:val="1"/>
              <w:rPr>
                <w:szCs w:val="24"/>
                <w:lang w:val="hu-HU"/>
              </w:rPr>
            </w:pPr>
            <w:r w:rsidRPr="004311F9">
              <w:rPr>
                <w:b/>
                <w:szCs w:val="24"/>
                <w:lang w:val="hu-HU"/>
              </w:rPr>
              <w:t>A vérzés mértéke / műtéti beavatkozás típusa</w:t>
            </w:r>
          </w:p>
        </w:tc>
        <w:tc>
          <w:tcPr>
            <w:tcW w:w="2410" w:type="dxa"/>
            <w:vAlign w:val="center"/>
          </w:tcPr>
          <w:p w14:paraId="7ADD1ADB" w14:textId="77777777" w:rsidR="00E74F5A" w:rsidRPr="004311F9" w:rsidRDefault="00E74F5A" w:rsidP="005325DB">
            <w:pPr>
              <w:keepNext/>
              <w:spacing w:line="240" w:lineRule="auto"/>
              <w:outlineLvl w:val="1"/>
              <w:rPr>
                <w:szCs w:val="24"/>
                <w:lang w:val="hu-HU"/>
              </w:rPr>
            </w:pPr>
            <w:r w:rsidRPr="004311F9">
              <w:rPr>
                <w:b/>
                <w:szCs w:val="24"/>
                <w:lang w:val="hu-HU"/>
              </w:rPr>
              <w:t>A szükséges IX</w:t>
            </w:r>
            <w:r w:rsidRPr="004311F9">
              <w:rPr>
                <w:b/>
                <w:szCs w:val="24"/>
                <w:lang w:val="hu-HU"/>
              </w:rPr>
              <w:noBreakHyphen/>
              <w:t xml:space="preserve">es faktor aktivitási szint (%) (NE/dl) </w:t>
            </w:r>
          </w:p>
        </w:tc>
        <w:tc>
          <w:tcPr>
            <w:tcW w:w="4394" w:type="dxa"/>
            <w:vAlign w:val="center"/>
          </w:tcPr>
          <w:p w14:paraId="0F5C4D48" w14:textId="77777777" w:rsidR="00E74F5A" w:rsidRPr="004311F9" w:rsidRDefault="00E74F5A" w:rsidP="005325DB">
            <w:pPr>
              <w:keepNext/>
              <w:spacing w:line="240" w:lineRule="auto"/>
              <w:outlineLvl w:val="1"/>
              <w:rPr>
                <w:szCs w:val="24"/>
                <w:lang w:val="hu-HU"/>
              </w:rPr>
            </w:pPr>
            <w:r w:rsidRPr="004311F9">
              <w:rPr>
                <w:b/>
                <w:szCs w:val="24"/>
                <w:lang w:val="hu-HU"/>
              </w:rPr>
              <w:t>Az adagolás gyakorisága (óra) / A kezelés időtartama (nap)</w:t>
            </w:r>
          </w:p>
        </w:tc>
      </w:tr>
      <w:tr w:rsidR="00E74F5A" w:rsidRPr="004311F9" w14:paraId="6110C463" w14:textId="77777777" w:rsidTr="005325DB">
        <w:trPr>
          <w:trHeight w:val="309"/>
        </w:trPr>
        <w:tc>
          <w:tcPr>
            <w:tcW w:w="2835" w:type="dxa"/>
            <w:tcBorders>
              <w:bottom w:val="nil"/>
            </w:tcBorders>
          </w:tcPr>
          <w:p w14:paraId="15BDFFD6" w14:textId="77777777" w:rsidR="00E74F5A" w:rsidRPr="004311F9" w:rsidRDefault="00E74F5A" w:rsidP="00DC4CB1">
            <w:pPr>
              <w:keepNext/>
              <w:spacing w:line="240" w:lineRule="auto"/>
              <w:outlineLvl w:val="1"/>
              <w:rPr>
                <w:szCs w:val="24"/>
                <w:lang w:val="hu-HU"/>
              </w:rPr>
            </w:pPr>
            <w:r w:rsidRPr="004311F9">
              <w:rPr>
                <w:szCs w:val="24"/>
                <w:u w:val="single"/>
                <w:lang w:val="hu-HU"/>
              </w:rPr>
              <w:t>Vérzés</w:t>
            </w:r>
          </w:p>
        </w:tc>
        <w:tc>
          <w:tcPr>
            <w:tcW w:w="2410" w:type="dxa"/>
            <w:tcBorders>
              <w:bottom w:val="nil"/>
            </w:tcBorders>
          </w:tcPr>
          <w:p w14:paraId="350C83F1" w14:textId="77777777" w:rsidR="00E74F5A" w:rsidRPr="004311F9" w:rsidRDefault="00E74F5A" w:rsidP="00DC4CB1">
            <w:pPr>
              <w:keepNext/>
              <w:spacing w:line="240" w:lineRule="auto"/>
              <w:outlineLvl w:val="1"/>
              <w:rPr>
                <w:rFonts w:eastAsia="Times New Roman"/>
                <w:szCs w:val="24"/>
                <w:lang w:val="hu-HU"/>
              </w:rPr>
            </w:pPr>
          </w:p>
        </w:tc>
        <w:tc>
          <w:tcPr>
            <w:tcW w:w="4394" w:type="dxa"/>
            <w:tcBorders>
              <w:bottom w:val="nil"/>
            </w:tcBorders>
          </w:tcPr>
          <w:p w14:paraId="3C2E8E2A" w14:textId="77777777" w:rsidR="00E74F5A" w:rsidRPr="004311F9" w:rsidRDefault="00E74F5A" w:rsidP="00DC4CB1">
            <w:pPr>
              <w:keepNext/>
              <w:spacing w:line="240" w:lineRule="auto"/>
              <w:outlineLvl w:val="1"/>
              <w:rPr>
                <w:rFonts w:eastAsia="Times New Roman"/>
                <w:szCs w:val="24"/>
                <w:lang w:val="hu-HU"/>
              </w:rPr>
            </w:pPr>
          </w:p>
        </w:tc>
      </w:tr>
      <w:tr w:rsidR="00E74F5A" w:rsidRPr="008537D8" w14:paraId="18C5EF8D" w14:textId="77777777" w:rsidTr="005325DB">
        <w:tc>
          <w:tcPr>
            <w:tcW w:w="2835" w:type="dxa"/>
            <w:tcBorders>
              <w:top w:val="nil"/>
              <w:bottom w:val="nil"/>
            </w:tcBorders>
          </w:tcPr>
          <w:p w14:paraId="5B4AEFB7" w14:textId="673DBAB0" w:rsidR="00E74F5A" w:rsidRPr="004311F9" w:rsidRDefault="00E74F5A" w:rsidP="00DC4CB1">
            <w:pPr>
              <w:keepNext/>
              <w:spacing w:line="240" w:lineRule="auto"/>
              <w:outlineLvl w:val="1"/>
              <w:rPr>
                <w:szCs w:val="24"/>
                <w:lang w:val="hu-HU"/>
              </w:rPr>
            </w:pPr>
            <w:r w:rsidRPr="004311F9">
              <w:rPr>
                <w:szCs w:val="24"/>
                <w:lang w:val="hu-HU"/>
              </w:rPr>
              <w:t>Kezdődő haemarthros</w:t>
            </w:r>
            <w:r w:rsidR="00AC5E5E" w:rsidRPr="004311F9">
              <w:rPr>
                <w:szCs w:val="24"/>
                <w:lang w:val="hu-HU"/>
              </w:rPr>
              <w:t>is</w:t>
            </w:r>
            <w:r w:rsidRPr="004311F9">
              <w:rPr>
                <w:szCs w:val="24"/>
                <w:lang w:val="hu-HU"/>
              </w:rPr>
              <w:t>, izom</w:t>
            </w:r>
            <w:r w:rsidRPr="004311F9">
              <w:rPr>
                <w:szCs w:val="24"/>
                <w:lang w:val="hu-HU"/>
              </w:rPr>
              <w:noBreakHyphen/>
              <w:t xml:space="preserve"> vagy szájüregi vérzés</w:t>
            </w:r>
          </w:p>
        </w:tc>
        <w:tc>
          <w:tcPr>
            <w:tcW w:w="2410" w:type="dxa"/>
            <w:tcBorders>
              <w:top w:val="nil"/>
              <w:bottom w:val="nil"/>
            </w:tcBorders>
          </w:tcPr>
          <w:p w14:paraId="64DB32F1" w14:textId="77777777" w:rsidR="00E74F5A" w:rsidRPr="004311F9" w:rsidRDefault="00E74F5A" w:rsidP="00DC4CB1">
            <w:pPr>
              <w:keepNext/>
              <w:spacing w:line="240" w:lineRule="auto"/>
              <w:outlineLvl w:val="1"/>
              <w:rPr>
                <w:rFonts w:eastAsia="Times New Roman"/>
                <w:szCs w:val="24"/>
                <w:lang w:val="hu-HU"/>
              </w:rPr>
            </w:pPr>
            <w:r w:rsidRPr="004311F9">
              <w:rPr>
                <w:rFonts w:eastAsia="Times New Roman"/>
                <w:szCs w:val="24"/>
                <w:lang w:val="hu-HU"/>
              </w:rPr>
              <w:t>20</w:t>
            </w:r>
            <w:r w:rsidRPr="004311F9">
              <w:rPr>
                <w:rFonts w:eastAsia="Times New Roman"/>
                <w:szCs w:val="24"/>
                <w:lang w:val="hu-HU"/>
              </w:rPr>
              <w:noBreakHyphen/>
              <w:t>40</w:t>
            </w:r>
          </w:p>
        </w:tc>
        <w:tc>
          <w:tcPr>
            <w:tcW w:w="4394" w:type="dxa"/>
            <w:tcBorders>
              <w:top w:val="nil"/>
              <w:bottom w:val="nil"/>
            </w:tcBorders>
          </w:tcPr>
          <w:p w14:paraId="483E443B" w14:textId="77777777" w:rsidR="00E74F5A" w:rsidRPr="004311F9" w:rsidRDefault="00E74F5A" w:rsidP="00DC4CB1">
            <w:pPr>
              <w:spacing w:line="240" w:lineRule="auto"/>
              <w:rPr>
                <w:szCs w:val="24"/>
                <w:lang w:val="hu-HU"/>
              </w:rPr>
            </w:pPr>
            <w:r w:rsidRPr="004311F9">
              <w:rPr>
                <w:szCs w:val="24"/>
                <w:lang w:val="hu-HU"/>
              </w:rPr>
              <w:t>Az injekciót 48 óránként kell ismételni, amíg a fájdalom alapján ítélve a vérzés meg nem szűnik, vagy gyógyulás be nem következik.</w:t>
            </w:r>
          </w:p>
          <w:p w14:paraId="17CC6EDE" w14:textId="77777777" w:rsidR="00E74F5A" w:rsidRPr="004311F9" w:rsidRDefault="00E74F5A" w:rsidP="00DC4CB1">
            <w:pPr>
              <w:keepNext/>
              <w:spacing w:line="240" w:lineRule="auto"/>
              <w:outlineLvl w:val="1"/>
              <w:rPr>
                <w:rFonts w:eastAsia="Times New Roman"/>
                <w:szCs w:val="24"/>
                <w:lang w:val="hu-HU"/>
              </w:rPr>
            </w:pPr>
          </w:p>
        </w:tc>
      </w:tr>
      <w:tr w:rsidR="00E74F5A" w:rsidRPr="008537D8" w14:paraId="00CFE002" w14:textId="77777777" w:rsidTr="005325DB">
        <w:tc>
          <w:tcPr>
            <w:tcW w:w="2835" w:type="dxa"/>
            <w:tcBorders>
              <w:top w:val="nil"/>
              <w:bottom w:val="nil"/>
            </w:tcBorders>
          </w:tcPr>
          <w:p w14:paraId="7C83B0D6" w14:textId="7A622023" w:rsidR="00E74F5A" w:rsidRPr="004311F9" w:rsidRDefault="00E74F5A" w:rsidP="00DC4CB1">
            <w:pPr>
              <w:keepNext/>
              <w:spacing w:line="240" w:lineRule="auto"/>
              <w:outlineLvl w:val="1"/>
              <w:rPr>
                <w:szCs w:val="24"/>
                <w:lang w:val="hu-HU"/>
              </w:rPr>
            </w:pPr>
            <w:r w:rsidRPr="004311F9">
              <w:rPr>
                <w:szCs w:val="24"/>
                <w:lang w:val="hu-HU"/>
              </w:rPr>
              <w:t>Kiterjedtebb haemarthros</w:t>
            </w:r>
            <w:r w:rsidR="00F14169" w:rsidRPr="004311F9">
              <w:rPr>
                <w:szCs w:val="24"/>
                <w:lang w:val="hu-HU"/>
              </w:rPr>
              <w:t>is</w:t>
            </w:r>
            <w:r w:rsidRPr="004311F9">
              <w:rPr>
                <w:szCs w:val="24"/>
                <w:lang w:val="hu-HU"/>
              </w:rPr>
              <w:t>, izomvérzés vagy haematoma</w:t>
            </w:r>
          </w:p>
        </w:tc>
        <w:tc>
          <w:tcPr>
            <w:tcW w:w="2410" w:type="dxa"/>
            <w:tcBorders>
              <w:top w:val="nil"/>
              <w:bottom w:val="nil"/>
            </w:tcBorders>
          </w:tcPr>
          <w:p w14:paraId="6323FFEB" w14:textId="77777777" w:rsidR="00E74F5A" w:rsidRPr="004311F9" w:rsidRDefault="00E74F5A" w:rsidP="00DC4CB1">
            <w:pPr>
              <w:keepNext/>
              <w:spacing w:line="240" w:lineRule="auto"/>
              <w:outlineLvl w:val="1"/>
              <w:rPr>
                <w:rFonts w:eastAsia="Times New Roman"/>
                <w:szCs w:val="24"/>
                <w:lang w:val="hu-HU"/>
              </w:rPr>
            </w:pPr>
            <w:r w:rsidRPr="004311F9">
              <w:rPr>
                <w:rFonts w:eastAsia="Times New Roman"/>
                <w:szCs w:val="24"/>
                <w:lang w:val="hu-HU"/>
              </w:rPr>
              <w:t>30</w:t>
            </w:r>
            <w:r w:rsidRPr="004311F9">
              <w:rPr>
                <w:rFonts w:eastAsia="Times New Roman"/>
                <w:szCs w:val="24"/>
                <w:lang w:val="hu-HU"/>
              </w:rPr>
              <w:noBreakHyphen/>
              <w:t>60</w:t>
            </w:r>
          </w:p>
        </w:tc>
        <w:tc>
          <w:tcPr>
            <w:tcW w:w="4394" w:type="dxa"/>
            <w:tcBorders>
              <w:top w:val="nil"/>
              <w:bottom w:val="nil"/>
            </w:tcBorders>
          </w:tcPr>
          <w:p w14:paraId="771DD613" w14:textId="77777777" w:rsidR="00E74F5A" w:rsidRPr="004311F9" w:rsidRDefault="00E74F5A" w:rsidP="00DC4CB1">
            <w:pPr>
              <w:spacing w:line="240" w:lineRule="auto"/>
              <w:rPr>
                <w:szCs w:val="24"/>
                <w:lang w:val="hu-HU"/>
              </w:rPr>
            </w:pPr>
            <w:r w:rsidRPr="004311F9">
              <w:rPr>
                <w:szCs w:val="24"/>
                <w:lang w:val="hu-HU"/>
              </w:rPr>
              <w:t>Az injekciót 24</w:t>
            </w:r>
            <w:r w:rsidRPr="004311F9">
              <w:rPr>
                <w:szCs w:val="24"/>
                <w:lang w:val="hu-HU"/>
              </w:rPr>
              <w:noBreakHyphen/>
              <w:t>48 óránként, a fájdalom és az akut mozgáskorlátozottság megszűnéséig kell ismételni.</w:t>
            </w:r>
          </w:p>
          <w:p w14:paraId="4EAA92D5" w14:textId="77777777" w:rsidR="00E74F5A" w:rsidRPr="004311F9" w:rsidRDefault="00E74F5A" w:rsidP="00DC4CB1">
            <w:pPr>
              <w:keepNext/>
              <w:spacing w:line="240" w:lineRule="auto"/>
              <w:outlineLvl w:val="1"/>
              <w:rPr>
                <w:rFonts w:eastAsia="Times New Roman"/>
                <w:szCs w:val="24"/>
                <w:lang w:val="hu-HU"/>
              </w:rPr>
            </w:pPr>
          </w:p>
        </w:tc>
      </w:tr>
      <w:tr w:rsidR="00E74F5A" w:rsidRPr="008537D8" w14:paraId="0B8BC02B" w14:textId="77777777" w:rsidTr="005325DB">
        <w:tc>
          <w:tcPr>
            <w:tcW w:w="2835" w:type="dxa"/>
            <w:tcBorders>
              <w:top w:val="nil"/>
            </w:tcBorders>
          </w:tcPr>
          <w:p w14:paraId="41D14C0C" w14:textId="77777777" w:rsidR="00E74F5A" w:rsidRPr="004311F9" w:rsidRDefault="00E74F5A" w:rsidP="00DC4CB1">
            <w:pPr>
              <w:keepNext/>
              <w:spacing w:line="240" w:lineRule="auto"/>
              <w:outlineLvl w:val="1"/>
              <w:rPr>
                <w:szCs w:val="24"/>
                <w:lang w:val="hu-HU"/>
              </w:rPr>
            </w:pPr>
            <w:r w:rsidRPr="004311F9">
              <w:rPr>
                <w:szCs w:val="24"/>
                <w:lang w:val="hu-HU"/>
              </w:rPr>
              <w:t>Életveszélyes vérzések</w:t>
            </w:r>
          </w:p>
        </w:tc>
        <w:tc>
          <w:tcPr>
            <w:tcW w:w="2410" w:type="dxa"/>
            <w:tcBorders>
              <w:top w:val="nil"/>
            </w:tcBorders>
          </w:tcPr>
          <w:p w14:paraId="155F3F5B" w14:textId="77777777" w:rsidR="00E74F5A" w:rsidRPr="004311F9" w:rsidRDefault="00E74F5A" w:rsidP="00DC4CB1">
            <w:pPr>
              <w:keepNext/>
              <w:spacing w:line="240" w:lineRule="auto"/>
              <w:outlineLvl w:val="1"/>
              <w:rPr>
                <w:rFonts w:eastAsia="Times New Roman"/>
                <w:szCs w:val="24"/>
                <w:lang w:val="hu-HU"/>
              </w:rPr>
            </w:pPr>
            <w:r w:rsidRPr="004311F9">
              <w:rPr>
                <w:rFonts w:eastAsia="Times New Roman"/>
                <w:szCs w:val="24"/>
                <w:lang w:val="hu-HU"/>
              </w:rPr>
              <w:t>60</w:t>
            </w:r>
            <w:r w:rsidRPr="004311F9">
              <w:rPr>
                <w:rFonts w:eastAsia="Times New Roman"/>
                <w:szCs w:val="24"/>
                <w:lang w:val="hu-HU"/>
              </w:rPr>
              <w:noBreakHyphen/>
              <w:t>100</w:t>
            </w:r>
          </w:p>
        </w:tc>
        <w:tc>
          <w:tcPr>
            <w:tcW w:w="4394" w:type="dxa"/>
            <w:tcBorders>
              <w:top w:val="nil"/>
            </w:tcBorders>
          </w:tcPr>
          <w:p w14:paraId="020E4095" w14:textId="77777777" w:rsidR="00E74F5A" w:rsidRPr="004311F9" w:rsidRDefault="00E74F5A" w:rsidP="00DC4CB1">
            <w:pPr>
              <w:spacing w:line="240" w:lineRule="auto"/>
              <w:rPr>
                <w:szCs w:val="24"/>
                <w:lang w:val="hu-HU"/>
              </w:rPr>
            </w:pPr>
            <w:r w:rsidRPr="004311F9">
              <w:rPr>
                <w:szCs w:val="24"/>
                <w:lang w:val="hu-HU"/>
              </w:rPr>
              <w:t>Az injekciót 8</w:t>
            </w:r>
            <w:r w:rsidRPr="004311F9">
              <w:rPr>
                <w:szCs w:val="24"/>
                <w:lang w:val="hu-HU"/>
              </w:rPr>
              <w:noBreakHyphen/>
              <w:t>24 óránként kell ismételni, amíg a veszély meg nem szűnik.</w:t>
            </w:r>
          </w:p>
          <w:p w14:paraId="77D04248" w14:textId="77777777" w:rsidR="00E74F5A" w:rsidRPr="004311F9" w:rsidRDefault="00E74F5A" w:rsidP="00DC4CB1">
            <w:pPr>
              <w:keepNext/>
              <w:spacing w:line="240" w:lineRule="auto"/>
              <w:outlineLvl w:val="1"/>
              <w:rPr>
                <w:rFonts w:eastAsia="Times New Roman"/>
                <w:szCs w:val="24"/>
                <w:lang w:val="hu-HU"/>
              </w:rPr>
            </w:pPr>
          </w:p>
        </w:tc>
      </w:tr>
      <w:tr w:rsidR="00E74F5A" w:rsidRPr="004311F9" w14:paraId="2445B365" w14:textId="77777777" w:rsidTr="005325DB">
        <w:trPr>
          <w:trHeight w:val="325"/>
        </w:trPr>
        <w:tc>
          <w:tcPr>
            <w:tcW w:w="2835" w:type="dxa"/>
            <w:tcBorders>
              <w:bottom w:val="nil"/>
            </w:tcBorders>
          </w:tcPr>
          <w:p w14:paraId="0B57ED58" w14:textId="77777777" w:rsidR="00E74F5A" w:rsidRPr="004311F9" w:rsidRDefault="00E74F5A" w:rsidP="00DC4CB1">
            <w:pPr>
              <w:keepNext/>
              <w:spacing w:line="240" w:lineRule="auto"/>
              <w:outlineLvl w:val="1"/>
              <w:rPr>
                <w:szCs w:val="24"/>
                <w:lang w:val="hu-HU"/>
              </w:rPr>
            </w:pPr>
            <w:r w:rsidRPr="004311F9">
              <w:rPr>
                <w:szCs w:val="24"/>
                <w:u w:val="single"/>
                <w:lang w:val="hu-HU"/>
              </w:rPr>
              <w:t>Műtét</w:t>
            </w:r>
          </w:p>
        </w:tc>
        <w:tc>
          <w:tcPr>
            <w:tcW w:w="2410" w:type="dxa"/>
            <w:tcBorders>
              <w:bottom w:val="nil"/>
            </w:tcBorders>
          </w:tcPr>
          <w:p w14:paraId="4738F387" w14:textId="77777777" w:rsidR="00E74F5A" w:rsidRPr="004311F9" w:rsidRDefault="00E74F5A" w:rsidP="00DC4CB1">
            <w:pPr>
              <w:keepNext/>
              <w:spacing w:line="240" w:lineRule="auto"/>
              <w:outlineLvl w:val="1"/>
              <w:rPr>
                <w:rFonts w:eastAsia="Times New Roman"/>
                <w:szCs w:val="24"/>
                <w:lang w:val="hu-HU"/>
              </w:rPr>
            </w:pPr>
          </w:p>
        </w:tc>
        <w:tc>
          <w:tcPr>
            <w:tcW w:w="4394" w:type="dxa"/>
            <w:tcBorders>
              <w:bottom w:val="nil"/>
            </w:tcBorders>
          </w:tcPr>
          <w:p w14:paraId="6EE36279" w14:textId="77777777" w:rsidR="00E74F5A" w:rsidRPr="004311F9" w:rsidRDefault="00E74F5A" w:rsidP="00DC4CB1">
            <w:pPr>
              <w:keepNext/>
              <w:spacing w:line="240" w:lineRule="auto"/>
              <w:outlineLvl w:val="1"/>
              <w:rPr>
                <w:rFonts w:eastAsia="Times New Roman"/>
                <w:szCs w:val="24"/>
                <w:lang w:val="hu-HU"/>
              </w:rPr>
            </w:pPr>
          </w:p>
        </w:tc>
      </w:tr>
      <w:tr w:rsidR="00E74F5A" w:rsidRPr="008537D8" w14:paraId="6B7C5DA5" w14:textId="77777777" w:rsidTr="005325DB">
        <w:tc>
          <w:tcPr>
            <w:tcW w:w="2835" w:type="dxa"/>
            <w:tcBorders>
              <w:top w:val="nil"/>
              <w:bottom w:val="single" w:sz="4" w:space="0" w:color="auto"/>
            </w:tcBorders>
          </w:tcPr>
          <w:p w14:paraId="20FFF1D9" w14:textId="77777777" w:rsidR="00E74F5A" w:rsidRPr="004311F9" w:rsidRDefault="00E74F5A" w:rsidP="00DC4CB1">
            <w:pPr>
              <w:keepNext/>
              <w:spacing w:line="240" w:lineRule="auto"/>
              <w:outlineLvl w:val="1"/>
              <w:rPr>
                <w:szCs w:val="24"/>
                <w:lang w:val="hu-HU"/>
              </w:rPr>
            </w:pPr>
            <w:r w:rsidRPr="004311F9">
              <w:rPr>
                <w:szCs w:val="24"/>
                <w:lang w:val="hu-HU"/>
              </w:rPr>
              <w:t>Kisebb műtétek, beleértve a foghúzást is</w:t>
            </w:r>
          </w:p>
        </w:tc>
        <w:tc>
          <w:tcPr>
            <w:tcW w:w="2410" w:type="dxa"/>
            <w:tcBorders>
              <w:top w:val="nil"/>
              <w:bottom w:val="single" w:sz="4" w:space="0" w:color="auto"/>
            </w:tcBorders>
          </w:tcPr>
          <w:p w14:paraId="15EDE89A" w14:textId="77777777" w:rsidR="00E74F5A" w:rsidRPr="004311F9" w:rsidRDefault="00E74F5A" w:rsidP="00DC4CB1">
            <w:pPr>
              <w:keepNext/>
              <w:spacing w:line="240" w:lineRule="auto"/>
              <w:outlineLvl w:val="1"/>
              <w:rPr>
                <w:rFonts w:eastAsia="Times New Roman"/>
                <w:szCs w:val="24"/>
                <w:lang w:val="hu-HU"/>
              </w:rPr>
            </w:pPr>
            <w:r w:rsidRPr="004311F9">
              <w:rPr>
                <w:rFonts w:eastAsia="Times New Roman"/>
                <w:szCs w:val="24"/>
                <w:lang w:val="hu-HU"/>
              </w:rPr>
              <w:t>30</w:t>
            </w:r>
            <w:r w:rsidRPr="004311F9">
              <w:rPr>
                <w:rFonts w:eastAsia="Times New Roman"/>
                <w:szCs w:val="24"/>
                <w:lang w:val="hu-HU"/>
              </w:rPr>
              <w:noBreakHyphen/>
              <w:t>60</w:t>
            </w:r>
          </w:p>
        </w:tc>
        <w:tc>
          <w:tcPr>
            <w:tcW w:w="4394" w:type="dxa"/>
            <w:tcBorders>
              <w:top w:val="nil"/>
              <w:bottom w:val="single" w:sz="4" w:space="0" w:color="auto"/>
            </w:tcBorders>
          </w:tcPr>
          <w:p w14:paraId="63011C75" w14:textId="77777777" w:rsidR="00E74F5A" w:rsidRPr="004311F9" w:rsidRDefault="00E74F5A" w:rsidP="00DC4CB1">
            <w:pPr>
              <w:spacing w:line="240" w:lineRule="auto"/>
              <w:rPr>
                <w:szCs w:val="24"/>
                <w:lang w:val="hu-HU"/>
              </w:rPr>
            </w:pPr>
            <w:r w:rsidRPr="004311F9">
              <w:rPr>
                <w:szCs w:val="24"/>
                <w:lang w:val="hu-HU"/>
              </w:rPr>
              <w:t>Az injekciót 24 óra elteltével szükség esetén ismételni kell, amíg gyógyulás be nem következik</w:t>
            </w:r>
            <w:r w:rsidRPr="004311F9">
              <w:rPr>
                <w:vertAlign w:val="superscript"/>
                <w:lang w:val="hu-HU"/>
              </w:rPr>
              <w:t>1</w:t>
            </w:r>
            <w:r w:rsidRPr="004311F9">
              <w:rPr>
                <w:szCs w:val="24"/>
                <w:lang w:val="hu-HU"/>
              </w:rPr>
              <w:t>.</w:t>
            </w:r>
          </w:p>
          <w:p w14:paraId="3CAD9D67" w14:textId="77777777" w:rsidR="00E74F5A" w:rsidRPr="004311F9" w:rsidRDefault="00E74F5A" w:rsidP="00DC4CB1">
            <w:pPr>
              <w:keepNext/>
              <w:spacing w:line="240" w:lineRule="auto"/>
              <w:outlineLvl w:val="1"/>
              <w:rPr>
                <w:rFonts w:eastAsia="Times New Roman"/>
                <w:szCs w:val="24"/>
                <w:lang w:val="hu-HU"/>
              </w:rPr>
            </w:pPr>
          </w:p>
        </w:tc>
      </w:tr>
      <w:tr w:rsidR="00E74F5A" w:rsidRPr="008537D8" w14:paraId="23AA76E9" w14:textId="77777777" w:rsidTr="005325DB">
        <w:tc>
          <w:tcPr>
            <w:tcW w:w="2835" w:type="dxa"/>
            <w:tcBorders>
              <w:top w:val="single" w:sz="4" w:space="0" w:color="auto"/>
              <w:bottom w:val="single" w:sz="4" w:space="0" w:color="auto"/>
            </w:tcBorders>
          </w:tcPr>
          <w:p w14:paraId="1D216BFE" w14:textId="77777777" w:rsidR="00E74F5A" w:rsidRPr="004311F9" w:rsidRDefault="00E74F5A" w:rsidP="00DC4CB1">
            <w:pPr>
              <w:keepNext/>
              <w:spacing w:line="240" w:lineRule="auto"/>
              <w:outlineLvl w:val="1"/>
              <w:rPr>
                <w:szCs w:val="24"/>
                <w:lang w:val="hu-HU"/>
              </w:rPr>
            </w:pPr>
            <w:r w:rsidRPr="004311F9">
              <w:rPr>
                <w:szCs w:val="24"/>
                <w:u w:val="single"/>
                <w:lang w:val="hu-HU"/>
              </w:rPr>
              <w:t>Nagy műtétek</w:t>
            </w:r>
          </w:p>
        </w:tc>
        <w:tc>
          <w:tcPr>
            <w:tcW w:w="2410" w:type="dxa"/>
            <w:tcBorders>
              <w:top w:val="single" w:sz="4" w:space="0" w:color="auto"/>
              <w:bottom w:val="single" w:sz="4" w:space="0" w:color="auto"/>
            </w:tcBorders>
          </w:tcPr>
          <w:p w14:paraId="2638BC3A" w14:textId="77777777" w:rsidR="00E74F5A" w:rsidRPr="004311F9" w:rsidRDefault="00E74F5A" w:rsidP="00DC4CB1">
            <w:pPr>
              <w:keepNext/>
              <w:spacing w:line="240" w:lineRule="auto"/>
              <w:outlineLvl w:val="1"/>
              <w:rPr>
                <w:rFonts w:eastAsia="Times New Roman"/>
                <w:szCs w:val="24"/>
                <w:lang w:val="hu-HU"/>
              </w:rPr>
            </w:pPr>
            <w:r w:rsidRPr="004311F9">
              <w:rPr>
                <w:rFonts w:eastAsia="Times New Roman"/>
                <w:szCs w:val="24"/>
                <w:lang w:val="hu-HU"/>
              </w:rPr>
              <w:t>80</w:t>
            </w:r>
            <w:r w:rsidRPr="004311F9">
              <w:rPr>
                <w:rFonts w:eastAsia="Times New Roman"/>
                <w:szCs w:val="24"/>
                <w:lang w:val="hu-HU"/>
              </w:rPr>
              <w:noBreakHyphen/>
              <w:t>100</w:t>
            </w:r>
          </w:p>
          <w:p w14:paraId="6999C573" w14:textId="77777777" w:rsidR="00E74F5A" w:rsidRPr="004311F9" w:rsidRDefault="00E74F5A" w:rsidP="00DC4CB1">
            <w:pPr>
              <w:keepNext/>
              <w:spacing w:line="240" w:lineRule="auto"/>
              <w:outlineLvl w:val="1"/>
              <w:rPr>
                <w:szCs w:val="24"/>
                <w:lang w:val="hu-HU"/>
              </w:rPr>
            </w:pPr>
            <w:r w:rsidRPr="004311F9">
              <w:rPr>
                <w:szCs w:val="24"/>
                <w:lang w:val="hu-HU"/>
              </w:rPr>
              <w:t>(a pre</w:t>
            </w:r>
            <w:r w:rsidRPr="004311F9">
              <w:rPr>
                <w:szCs w:val="24"/>
                <w:lang w:val="hu-HU"/>
              </w:rPr>
              <w:noBreakHyphen/>
              <w:t xml:space="preserve"> és a posztoperatív időszakban)</w:t>
            </w:r>
          </w:p>
        </w:tc>
        <w:tc>
          <w:tcPr>
            <w:tcW w:w="4394" w:type="dxa"/>
            <w:tcBorders>
              <w:top w:val="single" w:sz="4" w:space="0" w:color="auto"/>
              <w:bottom w:val="single" w:sz="4" w:space="0" w:color="auto"/>
            </w:tcBorders>
          </w:tcPr>
          <w:p w14:paraId="4B38B873" w14:textId="77777777" w:rsidR="00E74F5A" w:rsidRPr="004311F9" w:rsidRDefault="00E74F5A" w:rsidP="00DC4CB1">
            <w:pPr>
              <w:spacing w:line="240" w:lineRule="auto"/>
              <w:rPr>
                <w:rFonts w:eastAsia="Times New Roman"/>
                <w:szCs w:val="24"/>
                <w:lang w:val="hu-HU"/>
              </w:rPr>
            </w:pPr>
            <w:r w:rsidRPr="004311F9">
              <w:rPr>
                <w:rFonts w:eastAsia="Times New Roman"/>
                <w:szCs w:val="24"/>
                <w:lang w:val="hu-HU"/>
              </w:rPr>
              <w:t>Az injekciót 8</w:t>
            </w:r>
            <w:r w:rsidRPr="004311F9">
              <w:rPr>
                <w:rFonts w:eastAsia="Times New Roman"/>
                <w:szCs w:val="24"/>
                <w:lang w:val="hu-HU"/>
              </w:rPr>
              <w:noBreakHyphen/>
            </w:r>
            <w:r w:rsidRPr="004311F9">
              <w:rPr>
                <w:szCs w:val="24"/>
                <w:lang w:val="hu-HU"/>
              </w:rPr>
              <w:t>24 óránként, szükség szerint kell ismételni a megfelelő sebgyógyulásig, majd legalább még további 7 napig kell folytatni a terápiát, hogy a IX</w:t>
            </w:r>
            <w:r w:rsidRPr="004311F9">
              <w:rPr>
                <w:szCs w:val="24"/>
                <w:lang w:val="hu-HU"/>
              </w:rPr>
              <w:noBreakHyphen/>
              <w:t>es faktor aktivitás 30</w:t>
            </w:r>
            <w:r w:rsidRPr="004311F9">
              <w:rPr>
                <w:szCs w:val="24"/>
                <w:lang w:val="hu-HU"/>
              </w:rPr>
              <w:noBreakHyphen/>
              <w:t>60%</w:t>
            </w:r>
            <w:r w:rsidRPr="004311F9">
              <w:rPr>
                <w:szCs w:val="24"/>
                <w:lang w:val="hu-HU"/>
              </w:rPr>
              <w:noBreakHyphen/>
              <w:t>os szinten (NE/dl) maradjon.</w:t>
            </w:r>
          </w:p>
          <w:p w14:paraId="5A08EE4A" w14:textId="77777777" w:rsidR="00E74F5A" w:rsidRPr="004311F9" w:rsidRDefault="00E74F5A" w:rsidP="00DC4CB1">
            <w:pPr>
              <w:keepNext/>
              <w:spacing w:line="240" w:lineRule="auto"/>
              <w:outlineLvl w:val="1"/>
              <w:rPr>
                <w:rFonts w:eastAsia="Times New Roman"/>
                <w:szCs w:val="24"/>
                <w:lang w:val="hu-HU"/>
              </w:rPr>
            </w:pPr>
          </w:p>
        </w:tc>
      </w:tr>
    </w:tbl>
    <w:p w14:paraId="5DA07CF1" w14:textId="77777777" w:rsidR="00E74F5A" w:rsidRPr="004311F9" w:rsidRDefault="00E74F5A" w:rsidP="00DC4CB1">
      <w:pPr>
        <w:spacing w:line="240" w:lineRule="auto"/>
        <w:rPr>
          <w:sz w:val="18"/>
          <w:szCs w:val="18"/>
          <w:lang w:val="hu-HU"/>
        </w:rPr>
      </w:pPr>
      <w:r w:rsidRPr="004311F9">
        <w:rPr>
          <w:sz w:val="18"/>
          <w:szCs w:val="18"/>
          <w:vertAlign w:val="superscript"/>
          <w:lang w:val="hu-HU"/>
        </w:rPr>
        <w:t xml:space="preserve">1 </w:t>
      </w:r>
      <w:r w:rsidRPr="004311F9">
        <w:rPr>
          <w:sz w:val="18"/>
          <w:szCs w:val="18"/>
          <w:lang w:val="hu-HU"/>
        </w:rPr>
        <w:t>Bizonyos betegeknél és bizonyos körülmények között az adagolási intervallum legfeljebb 48 órára meghosszabbítható (a farmakokinetikai adatokat illetően lásd 5.2 pont).</w:t>
      </w:r>
    </w:p>
    <w:p w14:paraId="70E62182" w14:textId="77777777" w:rsidR="00E74F5A" w:rsidRPr="004311F9" w:rsidRDefault="00E74F5A" w:rsidP="00DC4CB1">
      <w:pPr>
        <w:spacing w:line="240" w:lineRule="auto"/>
        <w:rPr>
          <w:rFonts w:eastAsia="Times New Roman"/>
          <w:szCs w:val="24"/>
          <w:u w:val="single"/>
          <w:lang w:val="hu-HU"/>
        </w:rPr>
      </w:pPr>
    </w:p>
    <w:p w14:paraId="47A07103" w14:textId="77777777" w:rsidR="00E74F5A" w:rsidRPr="004311F9" w:rsidRDefault="00E74F5A" w:rsidP="00DC4CB1">
      <w:pPr>
        <w:pStyle w:val="Default"/>
        <w:keepNext/>
        <w:rPr>
          <w:rFonts w:eastAsia="Times New Roman"/>
          <w:i/>
          <w:color w:val="auto"/>
          <w:sz w:val="22"/>
          <w:u w:val="single"/>
          <w:lang w:val="hu-HU"/>
        </w:rPr>
      </w:pPr>
      <w:r w:rsidRPr="004311F9">
        <w:rPr>
          <w:rFonts w:eastAsia="Times New Roman"/>
          <w:i/>
          <w:color w:val="auto"/>
          <w:sz w:val="22"/>
          <w:u w:val="single"/>
          <w:lang w:val="hu-HU"/>
        </w:rPr>
        <w:t>Profilaxis</w:t>
      </w:r>
    </w:p>
    <w:p w14:paraId="711C526F" w14:textId="1FEF2130" w:rsidR="00E74F5A" w:rsidRPr="004311F9" w:rsidRDefault="00E74F5A" w:rsidP="007809AC">
      <w:pPr>
        <w:keepNext/>
        <w:spacing w:line="240" w:lineRule="auto"/>
        <w:rPr>
          <w:szCs w:val="24"/>
          <w:lang w:val="hu-HU"/>
        </w:rPr>
      </w:pPr>
      <w:r w:rsidRPr="004311F9">
        <w:rPr>
          <w:szCs w:val="24"/>
          <w:lang w:val="hu-HU"/>
        </w:rPr>
        <w:t>Vérzés hosszú távú profilaxisának céljára az ajánlott kezdő adagolási re</w:t>
      </w:r>
      <w:r w:rsidR="00272C20" w:rsidRPr="004311F9">
        <w:rPr>
          <w:szCs w:val="24"/>
          <w:lang w:val="hu-HU"/>
        </w:rPr>
        <w:t>ndek</w:t>
      </w:r>
      <w:r w:rsidRPr="004311F9">
        <w:rPr>
          <w:szCs w:val="24"/>
          <w:lang w:val="hu-HU"/>
        </w:rPr>
        <w:t>:</w:t>
      </w:r>
    </w:p>
    <w:p w14:paraId="66935E10" w14:textId="77777777" w:rsidR="00E74F5A" w:rsidRPr="004311F9" w:rsidRDefault="00E74F5A" w:rsidP="00DC4CB1">
      <w:pPr>
        <w:numPr>
          <w:ilvl w:val="0"/>
          <w:numId w:val="17"/>
        </w:numPr>
        <w:spacing w:line="240" w:lineRule="auto"/>
        <w:ind w:left="567" w:hanging="567"/>
        <w:rPr>
          <w:szCs w:val="24"/>
          <w:lang w:val="hu-HU"/>
        </w:rPr>
      </w:pPr>
      <w:r w:rsidRPr="004311F9">
        <w:rPr>
          <w:szCs w:val="24"/>
          <w:lang w:val="hu-HU"/>
        </w:rPr>
        <w:t xml:space="preserve">50 NE/kg </w:t>
      </w:r>
      <w:r w:rsidRPr="004311F9">
        <w:rPr>
          <w:rFonts w:eastAsia="Times New Roman"/>
          <w:lang w:val="hu-HU" w:eastAsia="en-US"/>
        </w:rPr>
        <w:t>hetente</w:t>
      </w:r>
      <w:r w:rsidRPr="004311F9">
        <w:rPr>
          <w:szCs w:val="24"/>
          <w:lang w:val="hu-HU"/>
        </w:rPr>
        <w:t xml:space="preserve"> egyszer, és az adagot az egyéni válasz alapján módosítani kell, vagy</w:t>
      </w:r>
    </w:p>
    <w:p w14:paraId="3E8C81D3" w14:textId="77777777" w:rsidR="00E74F5A" w:rsidRPr="004311F9" w:rsidRDefault="00E74F5A" w:rsidP="00DC4CB1">
      <w:pPr>
        <w:numPr>
          <w:ilvl w:val="0"/>
          <w:numId w:val="17"/>
        </w:numPr>
        <w:spacing w:line="240" w:lineRule="auto"/>
        <w:ind w:left="567" w:hanging="567"/>
        <w:rPr>
          <w:szCs w:val="24"/>
          <w:lang w:val="hu-HU"/>
        </w:rPr>
      </w:pPr>
      <w:r w:rsidRPr="004311F9">
        <w:rPr>
          <w:szCs w:val="24"/>
          <w:lang w:val="hu-HU"/>
        </w:rPr>
        <w:t>100 NE/kg 10 naponta, és az adagolási intervallumot az egyéni válasz alapján módosítani kell. Néhány beteg, akinek a 10 naponta egyszeri adagolás megfelelő, kezelhető 14 napos vagy hosszabb időközönként.</w:t>
      </w:r>
    </w:p>
    <w:p w14:paraId="2F5D58B7" w14:textId="77777777" w:rsidR="00E74F5A" w:rsidRPr="004311F9" w:rsidRDefault="00E74F5A" w:rsidP="00DC4CB1">
      <w:pPr>
        <w:spacing w:line="240" w:lineRule="auto"/>
        <w:rPr>
          <w:szCs w:val="24"/>
          <w:lang w:val="hu-HU"/>
        </w:rPr>
      </w:pPr>
    </w:p>
    <w:p w14:paraId="2B212EE3" w14:textId="77777777" w:rsidR="00E74F5A" w:rsidRPr="004311F9" w:rsidRDefault="00E74F5A" w:rsidP="00DC4CB1">
      <w:pPr>
        <w:spacing w:line="240" w:lineRule="auto"/>
        <w:rPr>
          <w:szCs w:val="24"/>
          <w:lang w:val="hu-HU"/>
        </w:rPr>
      </w:pPr>
      <w:r w:rsidRPr="004311F9">
        <w:rPr>
          <w:szCs w:val="24"/>
          <w:lang w:val="hu-HU"/>
        </w:rPr>
        <w:t>A profilaxis céljára ajánlott legmagasabb adag 100 NE/kg.</w:t>
      </w:r>
    </w:p>
    <w:p w14:paraId="33107C1A" w14:textId="77777777" w:rsidR="00E74F5A" w:rsidRPr="004311F9" w:rsidRDefault="00E74F5A" w:rsidP="00DC4CB1">
      <w:pPr>
        <w:spacing w:line="240" w:lineRule="auto"/>
        <w:rPr>
          <w:rFonts w:eastAsia="Times New Roman"/>
          <w:szCs w:val="24"/>
          <w:u w:val="single"/>
          <w:lang w:val="hu-HU"/>
        </w:rPr>
      </w:pPr>
    </w:p>
    <w:p w14:paraId="1A75CFC8" w14:textId="22096390" w:rsidR="00E74F5A" w:rsidRPr="004311F9" w:rsidRDefault="00E74F5A" w:rsidP="00DC4CB1">
      <w:pPr>
        <w:keepNext/>
        <w:autoSpaceDE w:val="0"/>
        <w:autoSpaceDN w:val="0"/>
        <w:adjustRightInd w:val="0"/>
        <w:spacing w:line="240" w:lineRule="auto"/>
        <w:rPr>
          <w:i/>
          <w:szCs w:val="24"/>
          <w:u w:val="single"/>
          <w:lang w:val="hu-HU"/>
        </w:rPr>
      </w:pPr>
      <w:r w:rsidRPr="004311F9">
        <w:rPr>
          <w:i/>
          <w:szCs w:val="24"/>
          <w:u w:val="single"/>
          <w:lang w:val="hu-HU"/>
        </w:rPr>
        <w:t>Idő</w:t>
      </w:r>
      <w:r w:rsidR="00272C20" w:rsidRPr="004311F9">
        <w:rPr>
          <w:i/>
          <w:szCs w:val="24"/>
          <w:u w:val="single"/>
          <w:lang w:val="hu-HU"/>
        </w:rPr>
        <w:t>sek</w:t>
      </w:r>
    </w:p>
    <w:p w14:paraId="34B0F96F" w14:textId="5D3D46E1" w:rsidR="00E74F5A" w:rsidRPr="004311F9" w:rsidRDefault="00E74F5A" w:rsidP="00DC4CB1">
      <w:pPr>
        <w:spacing w:line="240" w:lineRule="auto"/>
        <w:rPr>
          <w:szCs w:val="24"/>
          <w:lang w:val="hu-HU"/>
        </w:rPr>
      </w:pPr>
      <w:r w:rsidRPr="004311F9">
        <w:rPr>
          <w:szCs w:val="24"/>
          <w:lang w:val="hu-HU"/>
        </w:rPr>
        <w:t xml:space="preserve">65 éves és idősebb betegeknél </w:t>
      </w:r>
      <w:r w:rsidR="00272C20" w:rsidRPr="004311F9">
        <w:rPr>
          <w:szCs w:val="24"/>
          <w:lang w:val="hu-HU"/>
        </w:rPr>
        <w:t>korlátozott tapasztalat áll rendelkezésre</w:t>
      </w:r>
      <w:r w:rsidRPr="004311F9">
        <w:rPr>
          <w:szCs w:val="24"/>
          <w:lang w:val="hu-HU"/>
        </w:rPr>
        <w:t>.</w:t>
      </w:r>
    </w:p>
    <w:p w14:paraId="045DDFA2" w14:textId="77777777" w:rsidR="00E74F5A" w:rsidRPr="004311F9" w:rsidRDefault="00E74F5A" w:rsidP="00DC4CB1">
      <w:pPr>
        <w:spacing w:line="240" w:lineRule="auto"/>
        <w:rPr>
          <w:rFonts w:eastAsia="Times New Roman"/>
          <w:szCs w:val="24"/>
          <w:lang w:val="hu-HU"/>
        </w:rPr>
      </w:pPr>
    </w:p>
    <w:p w14:paraId="20590832" w14:textId="77777777" w:rsidR="00E74F5A" w:rsidRPr="004311F9" w:rsidRDefault="00E74F5A" w:rsidP="00DC4CB1">
      <w:pPr>
        <w:keepNext/>
        <w:autoSpaceDE w:val="0"/>
        <w:autoSpaceDN w:val="0"/>
        <w:adjustRightInd w:val="0"/>
        <w:spacing w:line="240" w:lineRule="auto"/>
        <w:rPr>
          <w:i/>
          <w:szCs w:val="24"/>
          <w:u w:val="single"/>
          <w:lang w:val="hu-HU"/>
        </w:rPr>
      </w:pPr>
      <w:r w:rsidRPr="004311F9">
        <w:rPr>
          <w:i/>
          <w:szCs w:val="24"/>
          <w:u w:val="single"/>
          <w:lang w:val="hu-HU"/>
        </w:rPr>
        <w:t>Gyermekek és serdülők</w:t>
      </w:r>
    </w:p>
    <w:p w14:paraId="129C1E70" w14:textId="77777777" w:rsidR="00E74F5A" w:rsidRPr="004311F9" w:rsidRDefault="00E74F5A" w:rsidP="00DC4CB1">
      <w:pPr>
        <w:spacing w:line="240" w:lineRule="auto"/>
        <w:rPr>
          <w:szCs w:val="24"/>
          <w:lang w:val="hu-HU"/>
        </w:rPr>
      </w:pPr>
      <w:r w:rsidRPr="004311F9">
        <w:rPr>
          <w:szCs w:val="24"/>
          <w:lang w:val="hu-HU"/>
        </w:rPr>
        <w:t>A 12 év alatti gyermekeknél magasabb adagokra vagy gyakoribb adagolásra lehet szükség, és az ajánlott kezdő adag 50</w:t>
      </w:r>
      <w:r w:rsidRPr="004311F9">
        <w:rPr>
          <w:szCs w:val="24"/>
          <w:lang w:val="hu-HU"/>
        </w:rPr>
        <w:noBreakHyphen/>
        <w:t>60 NE/kg 7 naponta. 12 éves és idősebb serdülőknél az ajánlott adag megegyezik a felnőttekével. Lásd 5.1 és 5.2 pont.</w:t>
      </w:r>
    </w:p>
    <w:p w14:paraId="0A4871FA" w14:textId="77777777" w:rsidR="00E74F5A" w:rsidRPr="004311F9" w:rsidRDefault="00E74F5A" w:rsidP="00DC4CB1">
      <w:pPr>
        <w:spacing w:line="240" w:lineRule="auto"/>
        <w:rPr>
          <w:szCs w:val="24"/>
          <w:lang w:val="hu-HU"/>
        </w:rPr>
      </w:pPr>
      <w:r w:rsidRPr="004311F9">
        <w:rPr>
          <w:szCs w:val="24"/>
          <w:lang w:val="hu-HU"/>
        </w:rPr>
        <w:t>A profilaxis céljára ajánlott legmagasabb adag 100 NE/kg.</w:t>
      </w:r>
    </w:p>
    <w:p w14:paraId="18493BA5" w14:textId="77777777" w:rsidR="00E74F5A" w:rsidRPr="004311F9" w:rsidRDefault="00E74F5A" w:rsidP="00DC4CB1">
      <w:pPr>
        <w:spacing w:line="240" w:lineRule="auto"/>
        <w:rPr>
          <w:rFonts w:eastAsia="Times New Roman"/>
          <w:szCs w:val="24"/>
          <w:u w:val="single"/>
          <w:lang w:val="hu-HU"/>
        </w:rPr>
      </w:pPr>
    </w:p>
    <w:p w14:paraId="4C81E8C8" w14:textId="77777777" w:rsidR="00E74F5A" w:rsidRPr="004311F9" w:rsidRDefault="00E74F5A" w:rsidP="00DC4CB1">
      <w:pPr>
        <w:keepNext/>
        <w:autoSpaceDE w:val="0"/>
        <w:autoSpaceDN w:val="0"/>
        <w:adjustRightInd w:val="0"/>
        <w:spacing w:line="240" w:lineRule="auto"/>
        <w:rPr>
          <w:szCs w:val="24"/>
          <w:u w:val="single"/>
          <w:lang w:val="hu-HU"/>
        </w:rPr>
      </w:pPr>
      <w:r w:rsidRPr="004311F9">
        <w:rPr>
          <w:szCs w:val="24"/>
          <w:u w:val="single"/>
          <w:lang w:val="hu-HU"/>
        </w:rPr>
        <w:lastRenderedPageBreak/>
        <w:t>Az alkalmazás módja</w:t>
      </w:r>
    </w:p>
    <w:p w14:paraId="2ECC1135" w14:textId="41DABBFE" w:rsidR="00E74F5A" w:rsidRPr="004311F9" w:rsidRDefault="00E74F5A" w:rsidP="00DC4CB1">
      <w:pPr>
        <w:spacing w:line="240" w:lineRule="auto"/>
        <w:rPr>
          <w:rFonts w:eastAsia="Times New Roman"/>
          <w:szCs w:val="24"/>
          <w:u w:val="single"/>
          <w:lang w:val="hu-HU"/>
        </w:rPr>
      </w:pPr>
      <w:r w:rsidRPr="004311F9">
        <w:rPr>
          <w:rFonts w:eastAsia="Times New Roman"/>
          <w:szCs w:val="24"/>
          <w:lang w:val="hu-HU"/>
        </w:rPr>
        <w:t>Intravénás alkalmazás</w:t>
      </w:r>
      <w:r w:rsidR="00BF200F" w:rsidRPr="004311F9">
        <w:rPr>
          <w:rFonts w:eastAsia="Times New Roman"/>
          <w:szCs w:val="24"/>
          <w:lang w:val="hu-HU"/>
        </w:rPr>
        <w:t>ra</w:t>
      </w:r>
      <w:r w:rsidRPr="004311F9">
        <w:rPr>
          <w:rFonts w:eastAsia="Times New Roman"/>
          <w:szCs w:val="24"/>
          <w:lang w:val="hu-HU"/>
        </w:rPr>
        <w:t>.</w:t>
      </w:r>
    </w:p>
    <w:p w14:paraId="65BCDBD8" w14:textId="77777777" w:rsidR="00E74F5A" w:rsidRPr="004311F9" w:rsidRDefault="00E74F5A" w:rsidP="00DC4CB1">
      <w:pPr>
        <w:pStyle w:val="Default"/>
        <w:rPr>
          <w:rFonts w:eastAsia="Times New Roman"/>
          <w:iCs/>
          <w:color w:val="auto"/>
          <w:sz w:val="22"/>
          <w:lang w:val="hu-HU"/>
        </w:rPr>
      </w:pPr>
    </w:p>
    <w:p w14:paraId="194AD326" w14:textId="77777777" w:rsidR="00E74F5A" w:rsidRPr="004311F9" w:rsidRDefault="00E74F5A" w:rsidP="00DC4CB1">
      <w:pPr>
        <w:pStyle w:val="Default"/>
        <w:rPr>
          <w:rFonts w:eastAsia="Times New Roman"/>
          <w:color w:val="auto"/>
          <w:sz w:val="22"/>
          <w:lang w:val="hu-HU"/>
        </w:rPr>
      </w:pPr>
      <w:r w:rsidRPr="004311F9">
        <w:rPr>
          <w:color w:val="auto"/>
          <w:sz w:val="22"/>
          <w:lang w:val="hu-HU"/>
        </w:rPr>
        <w:t>Öninjekciózás vagy gondozó általi beadás esetén megfelelő oktatás szükséges.</w:t>
      </w:r>
    </w:p>
    <w:p w14:paraId="66931EEF" w14:textId="77777777" w:rsidR="00E74F5A" w:rsidRPr="004311F9" w:rsidRDefault="00E74F5A" w:rsidP="00DC4CB1">
      <w:pPr>
        <w:pStyle w:val="Default"/>
        <w:rPr>
          <w:rFonts w:eastAsia="Times New Roman"/>
          <w:color w:val="auto"/>
          <w:sz w:val="22"/>
          <w:lang w:val="hu-HU"/>
        </w:rPr>
      </w:pPr>
    </w:p>
    <w:p w14:paraId="3516B7A0" w14:textId="77777777" w:rsidR="00E74F5A" w:rsidRPr="004311F9" w:rsidRDefault="00E74F5A" w:rsidP="00DC4CB1">
      <w:pPr>
        <w:pStyle w:val="Default"/>
        <w:rPr>
          <w:rFonts w:eastAsia="Times New Roman"/>
          <w:i/>
          <w:color w:val="auto"/>
          <w:sz w:val="22"/>
          <w:lang w:val="hu-HU"/>
        </w:rPr>
      </w:pPr>
      <w:r w:rsidRPr="004311F9">
        <w:rPr>
          <w:rFonts w:eastAsia="Times New Roman"/>
          <w:color w:val="auto"/>
          <w:sz w:val="22"/>
          <w:lang w:val="hu-HU"/>
        </w:rPr>
        <w:t>Az ALPROLIX</w:t>
      </w:r>
      <w:r w:rsidRPr="004311F9">
        <w:rPr>
          <w:rFonts w:eastAsia="Times New Roman"/>
          <w:color w:val="auto"/>
          <w:sz w:val="22"/>
          <w:lang w:val="hu-HU"/>
        </w:rPr>
        <w:noBreakHyphen/>
        <w:t>ot intravénásan kell befecskendezni, néhány perc alatt. A beadás sebességét úgy kell meghatározni, hogy az a betegnek kényelmes legyen, és nem haladhatja meg a 10 ml/percet.</w:t>
      </w:r>
    </w:p>
    <w:p w14:paraId="438F582E" w14:textId="77777777" w:rsidR="00E74F5A" w:rsidRPr="004311F9" w:rsidRDefault="00E74F5A" w:rsidP="00DC4CB1">
      <w:pPr>
        <w:autoSpaceDE w:val="0"/>
        <w:autoSpaceDN w:val="0"/>
        <w:adjustRightInd w:val="0"/>
        <w:spacing w:line="240" w:lineRule="auto"/>
        <w:rPr>
          <w:rFonts w:eastAsia="Times New Roman"/>
          <w:szCs w:val="24"/>
          <w:lang w:val="hu-HU"/>
        </w:rPr>
      </w:pPr>
    </w:p>
    <w:p w14:paraId="6D36BB7E" w14:textId="77777777" w:rsidR="00E74F5A" w:rsidRPr="004311F9" w:rsidRDefault="00E74F5A" w:rsidP="00DC4CB1">
      <w:pPr>
        <w:autoSpaceDE w:val="0"/>
        <w:autoSpaceDN w:val="0"/>
        <w:adjustRightInd w:val="0"/>
        <w:spacing w:line="240" w:lineRule="auto"/>
        <w:rPr>
          <w:szCs w:val="24"/>
          <w:lang w:val="hu-HU"/>
        </w:rPr>
      </w:pPr>
      <w:r w:rsidRPr="004311F9">
        <w:rPr>
          <w:szCs w:val="24"/>
          <w:lang w:val="hu-HU"/>
        </w:rPr>
        <w:t>A gyógyszer alkalmazás előtti feloldására vonatkozó utasításokat lásd a 6.6 pontban.</w:t>
      </w:r>
    </w:p>
    <w:p w14:paraId="67C3C85B" w14:textId="77777777" w:rsidR="00E74F5A" w:rsidRPr="004311F9" w:rsidRDefault="00E74F5A" w:rsidP="00DC4CB1">
      <w:pPr>
        <w:spacing w:line="240" w:lineRule="auto"/>
        <w:rPr>
          <w:rFonts w:eastAsia="Times New Roman"/>
          <w:szCs w:val="24"/>
          <w:lang w:val="hu-HU"/>
        </w:rPr>
      </w:pPr>
    </w:p>
    <w:p w14:paraId="5CEA475D" w14:textId="77777777" w:rsidR="00E74F5A" w:rsidRPr="004311F9" w:rsidRDefault="00E74F5A" w:rsidP="00DC4CB1">
      <w:pPr>
        <w:keepNext/>
        <w:autoSpaceDE w:val="0"/>
        <w:autoSpaceDN w:val="0"/>
        <w:adjustRightInd w:val="0"/>
        <w:spacing w:line="240" w:lineRule="auto"/>
        <w:rPr>
          <w:szCs w:val="24"/>
          <w:lang w:val="hu-HU"/>
        </w:rPr>
      </w:pPr>
      <w:r w:rsidRPr="004311F9">
        <w:rPr>
          <w:b/>
          <w:szCs w:val="24"/>
          <w:lang w:val="hu-HU"/>
        </w:rPr>
        <w:t>4.3</w:t>
      </w:r>
      <w:r w:rsidRPr="004311F9">
        <w:rPr>
          <w:b/>
          <w:szCs w:val="24"/>
          <w:lang w:val="hu-HU"/>
        </w:rPr>
        <w:tab/>
        <w:t>Ellenjavallatok</w:t>
      </w:r>
    </w:p>
    <w:p w14:paraId="22C0A1BD" w14:textId="77777777" w:rsidR="00E74F5A" w:rsidRPr="004311F9" w:rsidRDefault="00E74F5A" w:rsidP="00DC4CB1">
      <w:pPr>
        <w:keepNext/>
        <w:autoSpaceDE w:val="0"/>
        <w:autoSpaceDN w:val="0"/>
        <w:adjustRightInd w:val="0"/>
        <w:spacing w:line="240" w:lineRule="auto"/>
        <w:rPr>
          <w:rFonts w:eastAsia="Times New Roman"/>
          <w:szCs w:val="24"/>
          <w:lang w:val="hu-HU"/>
        </w:rPr>
      </w:pPr>
    </w:p>
    <w:p w14:paraId="5309992A" w14:textId="26A396D5" w:rsidR="00E74F5A" w:rsidRPr="004311F9" w:rsidRDefault="00E74F5A" w:rsidP="00DC4CB1">
      <w:pPr>
        <w:spacing w:line="240" w:lineRule="auto"/>
        <w:rPr>
          <w:szCs w:val="24"/>
          <w:lang w:val="hu-HU"/>
        </w:rPr>
      </w:pPr>
      <w:r w:rsidRPr="004311F9">
        <w:rPr>
          <w:szCs w:val="24"/>
          <w:lang w:val="hu-HU"/>
        </w:rPr>
        <w:t>A készítmény hatóanyagával vagy a 6.1 pontban felsorolt bármely segédanyagával szembeni túlérzékenység.</w:t>
      </w:r>
    </w:p>
    <w:p w14:paraId="3245C15E" w14:textId="77777777" w:rsidR="00E74F5A" w:rsidRPr="004311F9" w:rsidRDefault="00E74F5A" w:rsidP="00DC4CB1">
      <w:pPr>
        <w:spacing w:line="240" w:lineRule="auto"/>
        <w:rPr>
          <w:rFonts w:eastAsia="Times New Roman"/>
          <w:szCs w:val="24"/>
          <w:lang w:val="hu-HU"/>
        </w:rPr>
      </w:pPr>
    </w:p>
    <w:p w14:paraId="3917F636" w14:textId="77777777" w:rsidR="00E74F5A" w:rsidRPr="004311F9" w:rsidRDefault="00E74F5A" w:rsidP="00DC4CB1">
      <w:pPr>
        <w:keepNext/>
        <w:autoSpaceDE w:val="0"/>
        <w:autoSpaceDN w:val="0"/>
        <w:adjustRightInd w:val="0"/>
        <w:spacing w:line="240" w:lineRule="auto"/>
        <w:ind w:left="567" w:hanging="567"/>
        <w:rPr>
          <w:b/>
          <w:szCs w:val="24"/>
          <w:lang w:val="hu-HU"/>
        </w:rPr>
      </w:pPr>
      <w:r w:rsidRPr="004311F9">
        <w:rPr>
          <w:b/>
          <w:szCs w:val="24"/>
          <w:lang w:val="hu-HU"/>
        </w:rPr>
        <w:t>4.4</w:t>
      </w:r>
      <w:r w:rsidRPr="004311F9">
        <w:rPr>
          <w:b/>
          <w:szCs w:val="24"/>
          <w:lang w:val="hu-HU"/>
        </w:rPr>
        <w:tab/>
        <w:t>Különleges figyelmeztetések és az alkalmazással kapcsolatos óvintézkedések</w:t>
      </w:r>
    </w:p>
    <w:p w14:paraId="674D3EE5" w14:textId="77777777" w:rsidR="00E74F5A" w:rsidRPr="004311F9" w:rsidRDefault="00E74F5A" w:rsidP="00DC4CB1">
      <w:pPr>
        <w:keepNext/>
        <w:autoSpaceDE w:val="0"/>
        <w:autoSpaceDN w:val="0"/>
        <w:adjustRightInd w:val="0"/>
        <w:spacing w:line="240" w:lineRule="auto"/>
        <w:ind w:left="567" w:hanging="567"/>
        <w:rPr>
          <w:rFonts w:eastAsia="Times New Roman"/>
          <w:b/>
          <w:szCs w:val="24"/>
          <w:lang w:val="hu-HU"/>
        </w:rPr>
      </w:pPr>
    </w:p>
    <w:p w14:paraId="7C938B02" w14:textId="77777777" w:rsidR="005325DB" w:rsidRPr="004311F9" w:rsidRDefault="005325DB" w:rsidP="005325DB">
      <w:pPr>
        <w:keepNext/>
        <w:spacing w:line="240" w:lineRule="auto"/>
        <w:ind w:left="567" w:hanging="567"/>
        <w:rPr>
          <w:szCs w:val="22"/>
          <w:u w:val="single"/>
          <w:lang w:val="hu-HU"/>
        </w:rPr>
      </w:pPr>
      <w:r w:rsidRPr="004311F9">
        <w:rPr>
          <w:szCs w:val="22"/>
          <w:u w:val="single"/>
          <w:lang w:val="hu-HU"/>
        </w:rPr>
        <w:t>Nyomonkövethetőség</w:t>
      </w:r>
    </w:p>
    <w:p w14:paraId="4348C33D" w14:textId="77777777" w:rsidR="005325DB" w:rsidRPr="004311F9" w:rsidRDefault="005325DB" w:rsidP="005325DB">
      <w:pPr>
        <w:tabs>
          <w:tab w:val="clear" w:pos="567"/>
        </w:tabs>
        <w:spacing w:line="240" w:lineRule="auto"/>
        <w:rPr>
          <w:szCs w:val="22"/>
          <w:lang w:val="hu-HU"/>
        </w:rPr>
      </w:pPr>
      <w:r w:rsidRPr="004311F9">
        <w:rPr>
          <w:szCs w:val="22"/>
          <w:lang w:val="hu-HU"/>
        </w:rPr>
        <w:t>A biológiai készítmények nyomonkövethetőségének javítása érdekében, az alkalmazott készítmény nevét és gyártási tételszámát egyértelműen kell feltüntetni.</w:t>
      </w:r>
    </w:p>
    <w:p w14:paraId="5976CA35" w14:textId="77777777" w:rsidR="005325DB" w:rsidRPr="004311F9" w:rsidRDefault="005325DB" w:rsidP="005325DB">
      <w:pPr>
        <w:tabs>
          <w:tab w:val="clear" w:pos="567"/>
          <w:tab w:val="left" w:pos="7530"/>
        </w:tabs>
        <w:spacing w:line="240" w:lineRule="auto"/>
        <w:rPr>
          <w:rFonts w:eastAsia="Times New Roman"/>
          <w:szCs w:val="24"/>
          <w:lang w:val="hu-HU"/>
        </w:rPr>
      </w:pPr>
    </w:p>
    <w:p w14:paraId="1972C9C2" w14:textId="77777777" w:rsidR="00E74F5A" w:rsidRPr="004311F9" w:rsidRDefault="00E74F5A" w:rsidP="00DC4CB1">
      <w:pPr>
        <w:keepNext/>
        <w:autoSpaceDE w:val="0"/>
        <w:autoSpaceDN w:val="0"/>
        <w:adjustRightInd w:val="0"/>
        <w:spacing w:line="240" w:lineRule="auto"/>
        <w:ind w:left="567" w:hanging="567"/>
        <w:rPr>
          <w:szCs w:val="24"/>
          <w:lang w:val="hu-HU"/>
        </w:rPr>
      </w:pPr>
      <w:r w:rsidRPr="004311F9">
        <w:rPr>
          <w:szCs w:val="24"/>
          <w:u w:val="single"/>
          <w:lang w:val="hu-HU"/>
        </w:rPr>
        <w:t>Túlérzékenység</w:t>
      </w:r>
    </w:p>
    <w:p w14:paraId="63B2E6E6" w14:textId="77777777" w:rsidR="00E74F5A" w:rsidRPr="004311F9" w:rsidRDefault="00E74F5A" w:rsidP="00DC4CB1">
      <w:pPr>
        <w:spacing w:line="240" w:lineRule="auto"/>
        <w:rPr>
          <w:szCs w:val="24"/>
          <w:lang w:val="hu-HU"/>
        </w:rPr>
      </w:pPr>
      <w:r w:rsidRPr="004311F9">
        <w:rPr>
          <w:szCs w:val="24"/>
          <w:lang w:val="hu-HU"/>
        </w:rPr>
        <w:t>Az ALPROLIX alkalmazása kapcsán allergiás típusú túlérzékenységi reakciókat jelentettek. Amennyiben túlérzékenység tünetei jelentkeznek, azt kell tanácsolni a betegeknek, hogy azonnal hagyják abba a gyógyszer alkalmazását, és forduljanak kezelőorvosukhoz. A betegeket tájékoztatni kell a túlérzékenységi reakciók korai tüneteiről, mint a csalánkiütés, generalizált urticaria, mellkasi szorító érzés, sípoló légzés, hypotonia és anaphylaxia.</w:t>
      </w:r>
    </w:p>
    <w:p w14:paraId="6150F412" w14:textId="77777777" w:rsidR="00E74F5A" w:rsidRPr="004311F9" w:rsidRDefault="00E74F5A" w:rsidP="00DC4CB1">
      <w:pPr>
        <w:spacing w:line="240" w:lineRule="auto"/>
        <w:rPr>
          <w:rFonts w:eastAsia="Times New Roman"/>
          <w:szCs w:val="24"/>
          <w:lang w:val="hu-HU"/>
        </w:rPr>
      </w:pPr>
    </w:p>
    <w:p w14:paraId="79B053AB" w14:textId="77777777" w:rsidR="00E74F5A" w:rsidRPr="004311F9" w:rsidRDefault="00E74F5A" w:rsidP="00DC4CB1">
      <w:pPr>
        <w:spacing w:line="240" w:lineRule="auto"/>
        <w:rPr>
          <w:szCs w:val="24"/>
          <w:lang w:val="hu-HU"/>
        </w:rPr>
      </w:pPr>
      <w:r w:rsidRPr="004311F9">
        <w:rPr>
          <w:szCs w:val="24"/>
          <w:lang w:val="hu-HU"/>
        </w:rPr>
        <w:t>Anaphylaxiás sokk esetén a sokk kezelésére vonatkozó hagyományos orvosi kezelést kell alkalmazni.</w:t>
      </w:r>
    </w:p>
    <w:p w14:paraId="7C86ADFF" w14:textId="77777777" w:rsidR="00E74F5A" w:rsidRPr="004311F9" w:rsidRDefault="00E74F5A" w:rsidP="00DC4CB1">
      <w:pPr>
        <w:spacing w:line="240" w:lineRule="auto"/>
        <w:rPr>
          <w:rFonts w:eastAsia="Times New Roman"/>
          <w:szCs w:val="24"/>
          <w:u w:val="single"/>
          <w:lang w:val="hu-HU"/>
        </w:rPr>
      </w:pPr>
    </w:p>
    <w:p w14:paraId="55CDF89C" w14:textId="77777777" w:rsidR="00E74F5A" w:rsidRPr="004311F9" w:rsidRDefault="00E74F5A" w:rsidP="00DC4CB1">
      <w:pPr>
        <w:keepNext/>
        <w:spacing w:line="240" w:lineRule="auto"/>
        <w:rPr>
          <w:szCs w:val="24"/>
          <w:u w:val="single"/>
          <w:lang w:val="hu-HU"/>
        </w:rPr>
      </w:pPr>
      <w:r w:rsidRPr="004311F9">
        <w:rPr>
          <w:szCs w:val="24"/>
          <w:u w:val="single"/>
          <w:lang w:val="hu-HU"/>
        </w:rPr>
        <w:t>Inhibitorok</w:t>
      </w:r>
    </w:p>
    <w:p w14:paraId="59C764F1" w14:textId="77777777" w:rsidR="00E74F5A" w:rsidRPr="004311F9" w:rsidRDefault="00E74F5A" w:rsidP="00DC4CB1">
      <w:pPr>
        <w:spacing w:line="240" w:lineRule="auto"/>
        <w:rPr>
          <w:lang w:val="hu-HU"/>
        </w:rPr>
      </w:pPr>
      <w:r w:rsidRPr="004311F9">
        <w:rPr>
          <w:lang w:val="hu-HU"/>
        </w:rPr>
        <w:t>A humán IX</w:t>
      </w:r>
      <w:r w:rsidRPr="004311F9">
        <w:rPr>
          <w:lang w:val="hu-HU"/>
        </w:rPr>
        <w:noBreakHyphen/>
        <w:t>es véralvadási faktor készítményekkel végzett ismételt kezelés után ellenőrizni kell a betegeknél a neutralizáló antitestek (inhibitorok) esetleges kialakulását, melyet a megfelelő biológiai vizsgálat segítségével, Bethesda</w:t>
      </w:r>
      <w:r w:rsidRPr="004311F9">
        <w:rPr>
          <w:lang w:val="hu-HU"/>
        </w:rPr>
        <w:noBreakHyphen/>
        <w:t>egységben (BE) kell számszerűsíteni.</w:t>
      </w:r>
    </w:p>
    <w:p w14:paraId="51785D72" w14:textId="77777777" w:rsidR="00E74F5A" w:rsidRPr="004311F9" w:rsidRDefault="00E74F5A" w:rsidP="00DC4CB1">
      <w:pPr>
        <w:spacing w:line="240" w:lineRule="auto"/>
        <w:rPr>
          <w:lang w:val="hu-HU"/>
        </w:rPr>
      </w:pPr>
    </w:p>
    <w:p w14:paraId="11A5CDD6" w14:textId="77777777" w:rsidR="00E74F5A" w:rsidRPr="004311F9" w:rsidRDefault="00E74F5A" w:rsidP="00DC4CB1">
      <w:pPr>
        <w:spacing w:line="240" w:lineRule="auto"/>
        <w:rPr>
          <w:lang w:val="hu-HU"/>
        </w:rPr>
      </w:pPr>
      <w:r w:rsidRPr="004311F9">
        <w:rPr>
          <w:lang w:val="hu-HU"/>
        </w:rPr>
        <w:t>A szakirodalomban olvashatók olyan beszámolók, melyek szerint korreláció áll fenn a IX</w:t>
      </w:r>
      <w:r w:rsidRPr="004311F9">
        <w:rPr>
          <w:lang w:val="hu-HU"/>
        </w:rPr>
        <w:noBreakHyphen/>
        <w:t>es faktor</w:t>
      </w:r>
      <w:r w:rsidRPr="004311F9">
        <w:rPr>
          <w:lang w:val="hu-HU"/>
        </w:rPr>
        <w:noBreakHyphen/>
        <w:t>inhibitor előfordulása és az allergiás reakciók között. Ezért az allergiás reakciókat tapasztaló betegeknél meg kell vizsgálni az inhibitor jelenlétét. Figyelembe kell venni, hogy azok a betegek, akiknél előfordul IX</w:t>
      </w:r>
      <w:r w:rsidRPr="004311F9">
        <w:rPr>
          <w:lang w:val="hu-HU"/>
        </w:rPr>
        <w:noBreakHyphen/>
        <w:t>es faktor</w:t>
      </w:r>
      <w:r w:rsidRPr="004311F9">
        <w:rPr>
          <w:lang w:val="hu-HU"/>
        </w:rPr>
        <w:noBreakHyphen/>
        <w:t>inhibitor, újabb IX</w:t>
      </w:r>
      <w:r w:rsidRPr="004311F9">
        <w:rPr>
          <w:lang w:val="hu-HU"/>
        </w:rPr>
        <w:noBreakHyphen/>
        <w:t>es faktor</w:t>
      </w:r>
      <w:r w:rsidRPr="004311F9">
        <w:rPr>
          <w:lang w:val="hu-HU"/>
        </w:rPr>
        <w:noBreakHyphen/>
        <w:t>expozíciónál az anaphylaxia nagyobb kockázatának lehetnek kitéve.</w:t>
      </w:r>
    </w:p>
    <w:p w14:paraId="20D6420B" w14:textId="77777777" w:rsidR="00E74F5A" w:rsidRPr="004311F9" w:rsidRDefault="00E74F5A" w:rsidP="00DC4CB1">
      <w:pPr>
        <w:spacing w:line="240" w:lineRule="auto"/>
        <w:rPr>
          <w:lang w:val="hu-HU"/>
        </w:rPr>
      </w:pPr>
    </w:p>
    <w:p w14:paraId="56B0556B" w14:textId="77777777" w:rsidR="00E74F5A" w:rsidRPr="004311F9" w:rsidRDefault="00E74F5A" w:rsidP="00DC4CB1">
      <w:pPr>
        <w:spacing w:line="240" w:lineRule="auto"/>
        <w:rPr>
          <w:lang w:val="hu-HU"/>
        </w:rPr>
      </w:pPr>
      <w:r w:rsidRPr="004311F9">
        <w:rPr>
          <w:lang w:val="hu-HU"/>
        </w:rPr>
        <w:t>Az allergiás reakciók IX</w:t>
      </w:r>
      <w:r w:rsidRPr="004311F9">
        <w:rPr>
          <w:lang w:val="hu-HU"/>
        </w:rPr>
        <w:noBreakHyphen/>
        <w:t>es faktor készítmények alkalmazásakor fennálló kockázata miatt a IX</w:t>
      </w:r>
      <w:r w:rsidRPr="004311F9">
        <w:rPr>
          <w:lang w:val="hu-HU"/>
        </w:rPr>
        <w:noBreakHyphen/>
        <w:t>es faktor első beadását a kezelőorvos döntése alapján orvosi megfigyelés alatt kell végezni, ahol az allergiás reakciók megfelelő ellátása biztosítható.</w:t>
      </w:r>
    </w:p>
    <w:p w14:paraId="45C9D744" w14:textId="77777777" w:rsidR="00E74F5A" w:rsidRPr="004311F9" w:rsidRDefault="00E74F5A" w:rsidP="00DC4CB1">
      <w:pPr>
        <w:spacing w:line="240" w:lineRule="auto"/>
        <w:rPr>
          <w:lang w:val="hu-HU"/>
        </w:rPr>
      </w:pPr>
    </w:p>
    <w:p w14:paraId="6B542D08" w14:textId="77777777" w:rsidR="00E74F5A" w:rsidRPr="004311F9" w:rsidRDefault="00E74F5A" w:rsidP="00DC4CB1">
      <w:pPr>
        <w:keepNext/>
        <w:keepLines/>
        <w:spacing w:line="240" w:lineRule="auto"/>
        <w:rPr>
          <w:u w:val="single"/>
          <w:lang w:val="hu-HU"/>
        </w:rPr>
      </w:pPr>
      <w:r w:rsidRPr="004311F9">
        <w:rPr>
          <w:u w:val="single"/>
          <w:lang w:val="hu-HU"/>
        </w:rPr>
        <w:t>Thromboembolia</w:t>
      </w:r>
    </w:p>
    <w:p w14:paraId="17508A3D" w14:textId="77777777" w:rsidR="00E74F5A" w:rsidRPr="004311F9" w:rsidRDefault="00E74F5A" w:rsidP="00DC4CB1">
      <w:pPr>
        <w:spacing w:line="240" w:lineRule="auto"/>
        <w:rPr>
          <w:lang w:val="hu-HU"/>
        </w:rPr>
      </w:pPr>
      <w:r w:rsidRPr="004311F9">
        <w:rPr>
          <w:lang w:val="hu-HU"/>
        </w:rPr>
        <w:t>Ha a készítményt májbetegségben szenvedő betegnek, újszülötteknek, thromboticus jelenségek vagy disszeminált intravascularis coagulatio (DIC) kockázatának kitett betegeknek, illetve műtét után adják be, a thromboticus szövődmények potenciális kockázata miatt meg kell kezdeni a thromboticus és consumptiós coagulopathia korai jeleinek klinikai monitorozását a megfelelő biológiai tesztek elvégzésével. Ezekben a helyzetekben az ALPROLIX</w:t>
      </w:r>
      <w:r w:rsidRPr="004311F9">
        <w:rPr>
          <w:lang w:val="hu-HU"/>
        </w:rPr>
        <w:noBreakHyphen/>
        <w:t>kezelés előnyeit a szövődmények kockázataival szemben kell mérlegelni.</w:t>
      </w:r>
    </w:p>
    <w:p w14:paraId="07D4033B" w14:textId="77777777" w:rsidR="00E74F5A" w:rsidRPr="004311F9" w:rsidRDefault="00E74F5A" w:rsidP="00DC4CB1">
      <w:pPr>
        <w:spacing w:line="240" w:lineRule="auto"/>
        <w:rPr>
          <w:rFonts w:eastAsia="Times New Roman"/>
          <w:szCs w:val="24"/>
          <w:lang w:val="hu-HU"/>
        </w:rPr>
      </w:pPr>
    </w:p>
    <w:p w14:paraId="6B8CA355" w14:textId="77777777" w:rsidR="00E74F5A" w:rsidRPr="004311F9" w:rsidRDefault="00E74F5A" w:rsidP="00DC4CB1">
      <w:pPr>
        <w:keepNext/>
        <w:keepLines/>
        <w:spacing w:line="240" w:lineRule="auto"/>
        <w:rPr>
          <w:rFonts w:eastAsia="Times New Roman"/>
          <w:szCs w:val="24"/>
          <w:u w:val="single"/>
          <w:lang w:val="hu-HU"/>
        </w:rPr>
      </w:pPr>
      <w:r w:rsidRPr="004311F9">
        <w:rPr>
          <w:rFonts w:eastAsia="Times New Roman"/>
          <w:szCs w:val="24"/>
          <w:u w:val="single"/>
          <w:lang w:val="hu-HU"/>
        </w:rPr>
        <w:t>Cardiovascularis történések</w:t>
      </w:r>
    </w:p>
    <w:p w14:paraId="0D62D6DD" w14:textId="6CDE294A" w:rsidR="00E74F5A" w:rsidRPr="004311F9" w:rsidRDefault="00E74F5A" w:rsidP="00DC4CB1">
      <w:pPr>
        <w:spacing w:line="240" w:lineRule="auto"/>
        <w:rPr>
          <w:rFonts w:eastAsia="Times New Roman"/>
          <w:szCs w:val="24"/>
          <w:lang w:val="hu-HU"/>
        </w:rPr>
      </w:pPr>
      <w:r w:rsidRPr="004311F9">
        <w:rPr>
          <w:szCs w:val="24"/>
          <w:lang w:val="hu-HU"/>
        </w:rPr>
        <w:t>Eleve fennálló cardiovascularis kockázati tényezőkkel rendelkező betegeknél a IX</w:t>
      </w:r>
      <w:r w:rsidRPr="004311F9">
        <w:rPr>
          <w:szCs w:val="24"/>
          <w:lang w:val="hu-HU"/>
        </w:rPr>
        <w:noBreakHyphen/>
        <w:t>es faktor</w:t>
      </w:r>
      <w:r w:rsidR="000E3E83" w:rsidRPr="004311F9">
        <w:rPr>
          <w:szCs w:val="24"/>
          <w:lang w:val="hu-HU"/>
        </w:rPr>
        <w:t xml:space="preserve"> készítményekkel</w:t>
      </w:r>
      <w:r w:rsidRPr="004311F9">
        <w:rPr>
          <w:szCs w:val="24"/>
          <w:lang w:val="hu-HU"/>
        </w:rPr>
        <w:t xml:space="preserve"> végzett szubsztitúciós</w:t>
      </w:r>
      <w:r w:rsidRPr="004311F9">
        <w:rPr>
          <w:rFonts w:eastAsia="Times New Roman"/>
          <w:szCs w:val="24"/>
          <w:lang w:val="hu-HU"/>
        </w:rPr>
        <w:t xml:space="preserve"> kezelés fokozhatja a cardiovascularis kockázatot.</w:t>
      </w:r>
    </w:p>
    <w:p w14:paraId="23D98DD1" w14:textId="77777777" w:rsidR="00E74F5A" w:rsidRPr="004311F9" w:rsidRDefault="00E74F5A" w:rsidP="00DC4CB1">
      <w:pPr>
        <w:spacing w:line="240" w:lineRule="auto"/>
        <w:rPr>
          <w:rFonts w:eastAsia="Times New Roman"/>
          <w:szCs w:val="24"/>
          <w:lang w:val="hu-HU"/>
        </w:rPr>
      </w:pPr>
    </w:p>
    <w:p w14:paraId="6C2240DF" w14:textId="77777777" w:rsidR="00E74F5A" w:rsidRPr="004311F9" w:rsidRDefault="00E74F5A" w:rsidP="00DC4CB1">
      <w:pPr>
        <w:keepNext/>
        <w:keepLines/>
        <w:spacing w:line="240" w:lineRule="auto"/>
        <w:rPr>
          <w:szCs w:val="24"/>
          <w:u w:val="single"/>
          <w:lang w:val="hu-HU"/>
        </w:rPr>
      </w:pPr>
      <w:r w:rsidRPr="004311F9">
        <w:rPr>
          <w:szCs w:val="24"/>
          <w:u w:val="single"/>
          <w:lang w:val="hu-HU"/>
        </w:rPr>
        <w:t>Katéterrel kapcsolatos szövődmények</w:t>
      </w:r>
    </w:p>
    <w:p w14:paraId="791FA2D2" w14:textId="77777777" w:rsidR="00E74F5A" w:rsidRPr="004311F9" w:rsidRDefault="00E74F5A" w:rsidP="00DC4CB1">
      <w:pPr>
        <w:spacing w:line="240" w:lineRule="auto"/>
        <w:rPr>
          <w:szCs w:val="24"/>
          <w:lang w:val="hu-HU"/>
        </w:rPr>
      </w:pPr>
      <w:r w:rsidRPr="004311F9">
        <w:rPr>
          <w:szCs w:val="24"/>
          <w:lang w:val="hu-HU"/>
        </w:rPr>
        <w:t>Amennyiben centrális vénás katéter alkalmazása szükséges, akkor mérlegelni kell a centrális vénás katéterrel kapcsolatos szövődmények, köztük a lokális fertőzés, a bacteriaemia és a katéter helyén kialakuló thrombosis kockázatát.</w:t>
      </w:r>
    </w:p>
    <w:p w14:paraId="4DB63D36" w14:textId="77777777" w:rsidR="00E74F5A" w:rsidRPr="004311F9" w:rsidRDefault="00E74F5A" w:rsidP="00DC4CB1">
      <w:pPr>
        <w:spacing w:line="240" w:lineRule="auto"/>
        <w:rPr>
          <w:rFonts w:eastAsia="Times New Roman"/>
          <w:szCs w:val="24"/>
          <w:lang w:val="hu-HU"/>
        </w:rPr>
      </w:pPr>
    </w:p>
    <w:p w14:paraId="667E8DAA" w14:textId="77777777" w:rsidR="00E74F5A" w:rsidRPr="004311F9" w:rsidRDefault="00E74F5A" w:rsidP="00DC4CB1">
      <w:pPr>
        <w:pStyle w:val="Default"/>
        <w:keepNext/>
        <w:rPr>
          <w:rFonts w:eastAsia="Times New Roman"/>
          <w:color w:val="auto"/>
          <w:sz w:val="22"/>
          <w:u w:val="single"/>
          <w:lang w:val="hu-HU"/>
        </w:rPr>
      </w:pPr>
      <w:r w:rsidRPr="004311F9">
        <w:rPr>
          <w:color w:val="auto"/>
          <w:sz w:val="22"/>
          <w:u w:val="single"/>
          <w:lang w:val="hu-HU"/>
        </w:rPr>
        <w:t>Gyermekek és serdülők</w:t>
      </w:r>
    </w:p>
    <w:p w14:paraId="200D9DAF" w14:textId="77777777" w:rsidR="00E74F5A" w:rsidRPr="004311F9" w:rsidRDefault="00E74F5A" w:rsidP="00DC4CB1">
      <w:pPr>
        <w:spacing w:line="240" w:lineRule="auto"/>
        <w:rPr>
          <w:szCs w:val="24"/>
          <w:lang w:val="hu-HU"/>
        </w:rPr>
      </w:pPr>
      <w:r w:rsidRPr="004311F9">
        <w:rPr>
          <w:szCs w:val="24"/>
          <w:lang w:val="hu-HU"/>
        </w:rPr>
        <w:t>A felsorolt figyelmeztetések és óvintézkedések felnőttekre és gyermekekre egyaránt vonatkoznak.</w:t>
      </w:r>
    </w:p>
    <w:p w14:paraId="4566FDC4" w14:textId="77777777" w:rsidR="00E74F5A" w:rsidRPr="004311F9" w:rsidRDefault="00E74F5A" w:rsidP="00DC4CB1">
      <w:pPr>
        <w:spacing w:line="240" w:lineRule="auto"/>
        <w:rPr>
          <w:rFonts w:eastAsia="Times New Roman"/>
          <w:szCs w:val="24"/>
          <w:lang w:val="hu-HU"/>
        </w:rPr>
      </w:pPr>
    </w:p>
    <w:p w14:paraId="1B223514" w14:textId="77777777" w:rsidR="00E74F5A" w:rsidRPr="004311F9" w:rsidRDefault="00E74F5A" w:rsidP="00DC4CB1">
      <w:pPr>
        <w:keepNext/>
        <w:autoSpaceDE w:val="0"/>
        <w:autoSpaceDN w:val="0"/>
        <w:adjustRightInd w:val="0"/>
        <w:spacing w:line="240" w:lineRule="auto"/>
        <w:rPr>
          <w:szCs w:val="24"/>
          <w:u w:val="single"/>
          <w:lang w:val="hu-HU"/>
        </w:rPr>
      </w:pPr>
      <w:r w:rsidRPr="004311F9">
        <w:rPr>
          <w:szCs w:val="24"/>
          <w:u w:val="single"/>
          <w:lang w:val="hu-HU"/>
        </w:rPr>
        <w:t>A segédanyagokkal kapcsolatos megfontolások</w:t>
      </w:r>
    </w:p>
    <w:p w14:paraId="0A5AF0D3" w14:textId="0A042AA3" w:rsidR="00E74F5A" w:rsidRPr="004311F9" w:rsidRDefault="00E74F5A" w:rsidP="00DC4CB1">
      <w:pPr>
        <w:spacing w:line="240" w:lineRule="auto"/>
        <w:rPr>
          <w:rFonts w:eastAsia="Times New Roman"/>
          <w:szCs w:val="24"/>
          <w:lang w:val="hu-HU"/>
        </w:rPr>
      </w:pPr>
      <w:r w:rsidRPr="004311F9">
        <w:rPr>
          <w:rFonts w:eastAsia="Times New Roman"/>
          <w:szCs w:val="24"/>
          <w:lang w:val="hu-HU"/>
        </w:rPr>
        <w:t xml:space="preserve">A készítmény kevesebb mint 1 mmol </w:t>
      </w:r>
      <w:r w:rsidRPr="004311F9">
        <w:rPr>
          <w:lang w:val="hu-HU"/>
        </w:rPr>
        <w:t>(23 mg) nátriumot tartalmaz injekciós üvegenként, azaz gyakorlatilag „nátriummentes”.</w:t>
      </w:r>
      <w:r w:rsidR="001A2EB4">
        <w:rPr>
          <w:lang w:val="hu-HU"/>
        </w:rPr>
        <w:t xml:space="preserve"> </w:t>
      </w:r>
      <w:r w:rsidR="001A2EB4">
        <w:rPr>
          <w:szCs w:val="22"/>
          <w:lang w:val="hu-HU"/>
        </w:rPr>
        <w:t xml:space="preserve">Ha a kezeléshez egynél több </w:t>
      </w:r>
      <w:r w:rsidR="001A2EB4" w:rsidRPr="00B03A0C">
        <w:rPr>
          <w:szCs w:val="22"/>
          <w:lang w:val="hu-HU"/>
        </w:rPr>
        <w:t>injekciós üveg</w:t>
      </w:r>
      <w:r w:rsidR="001A2EB4">
        <w:rPr>
          <w:szCs w:val="22"/>
          <w:lang w:val="hu-HU"/>
        </w:rPr>
        <w:t>re van szükség, figyelembe kell venni a teljes nátriumtartalmat.</w:t>
      </w:r>
    </w:p>
    <w:p w14:paraId="5DD576BD" w14:textId="77777777" w:rsidR="00E74F5A" w:rsidRPr="004311F9" w:rsidRDefault="00E74F5A" w:rsidP="00224CF7">
      <w:pPr>
        <w:spacing w:line="240" w:lineRule="auto"/>
        <w:rPr>
          <w:rFonts w:eastAsia="Times New Roman"/>
          <w:szCs w:val="24"/>
          <w:lang w:val="hu-HU"/>
        </w:rPr>
      </w:pPr>
    </w:p>
    <w:p w14:paraId="61391151" w14:textId="77777777" w:rsidR="00E74F5A" w:rsidRPr="004311F9" w:rsidRDefault="00E74F5A" w:rsidP="003D4563">
      <w:pPr>
        <w:keepNext/>
        <w:autoSpaceDE w:val="0"/>
        <w:autoSpaceDN w:val="0"/>
        <w:adjustRightInd w:val="0"/>
        <w:spacing w:line="240" w:lineRule="auto"/>
        <w:ind w:left="567" w:hanging="567"/>
        <w:rPr>
          <w:b/>
          <w:szCs w:val="24"/>
          <w:lang w:val="hu-HU"/>
        </w:rPr>
      </w:pPr>
      <w:r w:rsidRPr="004311F9">
        <w:rPr>
          <w:b/>
          <w:szCs w:val="24"/>
          <w:lang w:val="hu-HU"/>
        </w:rPr>
        <w:t>4.5</w:t>
      </w:r>
      <w:r w:rsidRPr="004311F9">
        <w:rPr>
          <w:b/>
          <w:szCs w:val="24"/>
          <w:lang w:val="hu-HU"/>
        </w:rPr>
        <w:tab/>
        <w:t>Gyógyszerkölcsönhatások és egyéb interakciók</w:t>
      </w:r>
    </w:p>
    <w:p w14:paraId="655A3667" w14:textId="77777777" w:rsidR="00E74F5A" w:rsidRPr="004311F9" w:rsidRDefault="00E74F5A" w:rsidP="00DC4CB1">
      <w:pPr>
        <w:keepNext/>
        <w:spacing w:line="240" w:lineRule="auto"/>
        <w:rPr>
          <w:rFonts w:eastAsia="Times New Roman"/>
          <w:szCs w:val="24"/>
          <w:lang w:val="hu-HU"/>
        </w:rPr>
      </w:pPr>
    </w:p>
    <w:p w14:paraId="50E5EF6C" w14:textId="77777777" w:rsidR="00E74F5A" w:rsidRPr="004311F9" w:rsidRDefault="00E74F5A" w:rsidP="00DC4CB1">
      <w:pPr>
        <w:spacing w:line="240" w:lineRule="auto"/>
        <w:rPr>
          <w:szCs w:val="24"/>
          <w:lang w:val="hu-HU"/>
        </w:rPr>
      </w:pPr>
      <w:r w:rsidRPr="004311F9">
        <w:rPr>
          <w:szCs w:val="24"/>
          <w:lang w:val="hu-HU"/>
        </w:rPr>
        <w:t xml:space="preserve">Az </w:t>
      </w:r>
      <w:r w:rsidRPr="004311F9">
        <w:rPr>
          <w:lang w:val="hu-HU"/>
        </w:rPr>
        <w:t>ALPROLIX</w:t>
      </w:r>
      <w:r w:rsidRPr="004311F9">
        <w:rPr>
          <w:szCs w:val="24"/>
          <w:lang w:val="hu-HU"/>
        </w:rPr>
        <w:t xml:space="preserve"> és egyéb gyógyszerek közötti interakciókról nem számoltak be. Interakciós vizsgálatokat nem végeztek.</w:t>
      </w:r>
    </w:p>
    <w:p w14:paraId="201EF28E" w14:textId="77777777" w:rsidR="00E74F5A" w:rsidRPr="004311F9" w:rsidRDefault="00E74F5A" w:rsidP="00DC4CB1">
      <w:pPr>
        <w:spacing w:line="240" w:lineRule="auto"/>
        <w:rPr>
          <w:rFonts w:eastAsia="Times New Roman"/>
          <w:szCs w:val="24"/>
          <w:lang w:val="hu-HU"/>
        </w:rPr>
      </w:pPr>
    </w:p>
    <w:p w14:paraId="5E4BEFC6" w14:textId="77777777" w:rsidR="00E74F5A" w:rsidRPr="004311F9" w:rsidRDefault="00E74F5A" w:rsidP="003D4563">
      <w:pPr>
        <w:keepNext/>
        <w:autoSpaceDE w:val="0"/>
        <w:autoSpaceDN w:val="0"/>
        <w:adjustRightInd w:val="0"/>
        <w:spacing w:line="240" w:lineRule="auto"/>
        <w:ind w:left="567" w:hanging="567"/>
        <w:rPr>
          <w:b/>
          <w:szCs w:val="24"/>
          <w:lang w:val="hu-HU"/>
        </w:rPr>
      </w:pPr>
      <w:r w:rsidRPr="004311F9">
        <w:rPr>
          <w:b/>
          <w:szCs w:val="24"/>
          <w:lang w:val="hu-HU"/>
        </w:rPr>
        <w:t>4.6</w:t>
      </w:r>
      <w:r w:rsidRPr="004311F9">
        <w:rPr>
          <w:b/>
          <w:szCs w:val="24"/>
          <w:lang w:val="hu-HU"/>
        </w:rPr>
        <w:tab/>
        <w:t>Termékenység, terhesség és szoptatás</w:t>
      </w:r>
    </w:p>
    <w:p w14:paraId="223A75FE" w14:textId="77777777" w:rsidR="00E74F5A" w:rsidRPr="004311F9" w:rsidRDefault="00E74F5A" w:rsidP="00DC4CB1">
      <w:pPr>
        <w:keepNext/>
        <w:spacing w:line="240" w:lineRule="auto"/>
        <w:rPr>
          <w:rFonts w:eastAsia="Times New Roman"/>
          <w:szCs w:val="24"/>
          <w:lang w:val="hu-HU"/>
        </w:rPr>
      </w:pPr>
    </w:p>
    <w:p w14:paraId="37CD5CCD" w14:textId="77777777" w:rsidR="00E74F5A" w:rsidRPr="004311F9" w:rsidRDefault="00E74F5A" w:rsidP="00DC4CB1">
      <w:pPr>
        <w:pStyle w:val="Default"/>
        <w:keepNext/>
        <w:autoSpaceDE/>
        <w:autoSpaceDN/>
        <w:adjustRightInd/>
        <w:rPr>
          <w:rFonts w:eastAsia="Times New Roman"/>
          <w:color w:val="auto"/>
          <w:sz w:val="22"/>
          <w:u w:val="single"/>
          <w:lang w:val="hu-HU"/>
        </w:rPr>
      </w:pPr>
      <w:r w:rsidRPr="004311F9">
        <w:rPr>
          <w:rFonts w:eastAsia="Times New Roman"/>
          <w:color w:val="auto"/>
          <w:sz w:val="22"/>
          <w:u w:val="single"/>
          <w:lang w:val="hu-HU"/>
        </w:rPr>
        <w:t>Terhesség és szoptatás</w:t>
      </w:r>
    </w:p>
    <w:p w14:paraId="5C6E01E8" w14:textId="77777777" w:rsidR="00E74F5A" w:rsidRPr="004311F9" w:rsidRDefault="00E74F5A" w:rsidP="00DC4CB1">
      <w:pPr>
        <w:pStyle w:val="Default"/>
        <w:rPr>
          <w:rFonts w:eastAsia="Times New Roman"/>
          <w:color w:val="auto"/>
          <w:sz w:val="22"/>
          <w:lang w:val="hu-HU"/>
        </w:rPr>
      </w:pPr>
      <w:r w:rsidRPr="004311F9">
        <w:rPr>
          <w:color w:val="auto"/>
          <w:sz w:val="22"/>
          <w:lang w:val="hu-HU"/>
        </w:rPr>
        <w:t>Az ALPROLIX</w:t>
      </w:r>
      <w:r w:rsidRPr="004311F9">
        <w:rPr>
          <w:color w:val="auto"/>
          <w:sz w:val="22"/>
          <w:lang w:val="hu-HU"/>
        </w:rPr>
        <w:noBreakHyphen/>
        <w:t xml:space="preserve">szal reprodukciós állatkísérleteket nem végeztek. Egereknél vizsgálták a placentán történő átjutást (lásd 5.3 pont). </w:t>
      </w:r>
      <w:r w:rsidRPr="004311F9">
        <w:rPr>
          <w:rFonts w:eastAsia="Times New Roman"/>
          <w:color w:val="auto"/>
          <w:sz w:val="22"/>
          <w:lang w:val="hu-HU"/>
        </w:rPr>
        <w:t xml:space="preserve">A haemophilia B </w:t>
      </w:r>
      <w:r w:rsidRPr="004311F9">
        <w:rPr>
          <w:color w:val="auto"/>
          <w:sz w:val="22"/>
          <w:lang w:val="hu-HU"/>
        </w:rPr>
        <w:t>nők körében ritka előfordulása miatt a IX</w:t>
      </w:r>
      <w:r w:rsidRPr="004311F9">
        <w:rPr>
          <w:color w:val="auto"/>
          <w:sz w:val="22"/>
          <w:lang w:val="hu-HU"/>
        </w:rPr>
        <w:noBreakHyphen/>
        <w:t xml:space="preserve">es faktor terhesség és </w:t>
      </w:r>
      <w:r w:rsidRPr="004311F9">
        <w:rPr>
          <w:rFonts w:eastAsia="Times New Roman"/>
          <w:color w:val="auto"/>
          <w:sz w:val="22"/>
          <w:lang w:val="hu-HU"/>
        </w:rPr>
        <w:t xml:space="preserve">szoptatás alatti alkalmazásával kapcsolatban nem áll rendelkezésre tapasztalat. </w:t>
      </w:r>
      <w:r w:rsidRPr="004311F9">
        <w:rPr>
          <w:color w:val="auto"/>
          <w:sz w:val="22"/>
          <w:lang w:val="hu-HU"/>
        </w:rPr>
        <w:t>Ezért IX</w:t>
      </w:r>
      <w:r w:rsidRPr="004311F9">
        <w:rPr>
          <w:color w:val="auto"/>
          <w:sz w:val="22"/>
          <w:lang w:val="hu-HU"/>
        </w:rPr>
        <w:noBreakHyphen/>
        <w:t>es faktort terhesség és szoptatás alatt csak abban az esetben szabad alkalmazni, ha az egyértelműen javallott.</w:t>
      </w:r>
    </w:p>
    <w:p w14:paraId="034C0E88" w14:textId="77777777" w:rsidR="00E74F5A" w:rsidRPr="004311F9" w:rsidRDefault="00E74F5A" w:rsidP="00DC4CB1">
      <w:pPr>
        <w:pStyle w:val="Default"/>
        <w:rPr>
          <w:rFonts w:eastAsia="Times New Roman"/>
          <w:color w:val="auto"/>
          <w:sz w:val="22"/>
          <w:u w:val="single"/>
          <w:lang w:val="hu-HU"/>
        </w:rPr>
      </w:pPr>
    </w:p>
    <w:p w14:paraId="17D62471" w14:textId="77777777" w:rsidR="00E74F5A" w:rsidRPr="004311F9" w:rsidRDefault="00E74F5A" w:rsidP="00DC4CB1">
      <w:pPr>
        <w:pStyle w:val="Default"/>
        <w:keepNext/>
        <w:rPr>
          <w:rFonts w:eastAsia="Times New Roman"/>
          <w:color w:val="auto"/>
          <w:sz w:val="22"/>
          <w:u w:val="single"/>
          <w:lang w:val="hu-HU"/>
        </w:rPr>
      </w:pPr>
      <w:r w:rsidRPr="004311F9">
        <w:rPr>
          <w:rFonts w:eastAsia="Times New Roman"/>
          <w:color w:val="auto"/>
          <w:sz w:val="22"/>
          <w:u w:val="single"/>
          <w:lang w:val="hu-HU"/>
        </w:rPr>
        <w:t>Termékenység</w:t>
      </w:r>
    </w:p>
    <w:p w14:paraId="0D40BCE7" w14:textId="77777777" w:rsidR="00E74F5A" w:rsidRPr="004311F9" w:rsidRDefault="00E74F5A" w:rsidP="00DC4CB1">
      <w:pPr>
        <w:spacing w:line="240" w:lineRule="auto"/>
        <w:rPr>
          <w:szCs w:val="24"/>
          <w:lang w:val="hu-HU"/>
        </w:rPr>
      </w:pPr>
      <w:r w:rsidRPr="004311F9">
        <w:rPr>
          <w:szCs w:val="24"/>
          <w:lang w:val="hu-HU"/>
        </w:rPr>
        <w:t>Termékenységre vonatkozó adatok nem állnak rendelkezésre. Állatokon termékenységi vizsgálatokat nem végeztek az ALPROLIX</w:t>
      </w:r>
      <w:r w:rsidRPr="004311F9">
        <w:rPr>
          <w:szCs w:val="24"/>
          <w:lang w:val="hu-HU"/>
        </w:rPr>
        <w:noBreakHyphen/>
        <w:t>szal.</w:t>
      </w:r>
    </w:p>
    <w:p w14:paraId="079B96BB" w14:textId="77777777" w:rsidR="00E74F5A" w:rsidRPr="004311F9" w:rsidRDefault="00E74F5A" w:rsidP="00DC4CB1">
      <w:pPr>
        <w:spacing w:line="240" w:lineRule="auto"/>
        <w:rPr>
          <w:rFonts w:eastAsia="Times New Roman"/>
          <w:i/>
          <w:szCs w:val="24"/>
          <w:lang w:val="hu-HU"/>
        </w:rPr>
      </w:pPr>
    </w:p>
    <w:p w14:paraId="76F228DF" w14:textId="77777777" w:rsidR="00E74F5A" w:rsidRPr="004311F9" w:rsidRDefault="00E74F5A" w:rsidP="003D4563">
      <w:pPr>
        <w:keepNext/>
        <w:autoSpaceDE w:val="0"/>
        <w:autoSpaceDN w:val="0"/>
        <w:adjustRightInd w:val="0"/>
        <w:spacing w:line="240" w:lineRule="auto"/>
        <w:ind w:left="567" w:hanging="567"/>
        <w:rPr>
          <w:b/>
          <w:szCs w:val="24"/>
          <w:lang w:val="hu-HU"/>
        </w:rPr>
      </w:pPr>
      <w:r w:rsidRPr="004311F9">
        <w:rPr>
          <w:b/>
          <w:szCs w:val="24"/>
          <w:lang w:val="hu-HU"/>
        </w:rPr>
        <w:t>4.7</w:t>
      </w:r>
      <w:r w:rsidRPr="004311F9">
        <w:rPr>
          <w:b/>
          <w:szCs w:val="24"/>
          <w:lang w:val="hu-HU"/>
        </w:rPr>
        <w:tab/>
        <w:t>A készítmény hatásai a gépjárművezetéshez és a gépek kezeléséhez szükséges képességekre</w:t>
      </w:r>
    </w:p>
    <w:p w14:paraId="4316E1E8" w14:textId="77777777" w:rsidR="00E74F5A" w:rsidRPr="004311F9" w:rsidRDefault="00E74F5A" w:rsidP="00DC4CB1">
      <w:pPr>
        <w:keepNext/>
        <w:spacing w:line="240" w:lineRule="auto"/>
        <w:rPr>
          <w:rFonts w:eastAsia="Times New Roman"/>
          <w:szCs w:val="24"/>
          <w:lang w:val="hu-HU"/>
        </w:rPr>
      </w:pPr>
    </w:p>
    <w:p w14:paraId="5FE55486" w14:textId="77777777" w:rsidR="00E74F5A" w:rsidRPr="004311F9" w:rsidRDefault="00E74F5A" w:rsidP="00DC4CB1">
      <w:pPr>
        <w:spacing w:line="240" w:lineRule="auto"/>
        <w:rPr>
          <w:szCs w:val="24"/>
          <w:lang w:val="hu-HU"/>
        </w:rPr>
      </w:pPr>
      <w:r w:rsidRPr="004311F9">
        <w:rPr>
          <w:szCs w:val="24"/>
          <w:lang w:val="hu-HU"/>
        </w:rPr>
        <w:t>Az ALPROLIX nem befolyásolja a gépjárművezetéshez és a gépek kezeléséhez szükséges képességeket.</w:t>
      </w:r>
    </w:p>
    <w:p w14:paraId="7BE89150" w14:textId="77777777" w:rsidR="00E74F5A" w:rsidRPr="004311F9" w:rsidRDefault="00E74F5A" w:rsidP="00DC4CB1">
      <w:pPr>
        <w:spacing w:line="240" w:lineRule="auto"/>
        <w:rPr>
          <w:rFonts w:eastAsia="Times New Roman"/>
          <w:szCs w:val="24"/>
          <w:lang w:val="hu-HU"/>
        </w:rPr>
      </w:pPr>
    </w:p>
    <w:p w14:paraId="241B94D6" w14:textId="77777777" w:rsidR="00E74F5A" w:rsidRPr="004311F9" w:rsidRDefault="00E74F5A" w:rsidP="003D4563">
      <w:pPr>
        <w:keepNext/>
        <w:autoSpaceDE w:val="0"/>
        <w:autoSpaceDN w:val="0"/>
        <w:adjustRightInd w:val="0"/>
        <w:spacing w:line="240" w:lineRule="auto"/>
        <w:ind w:left="567" w:hanging="567"/>
        <w:rPr>
          <w:b/>
          <w:szCs w:val="24"/>
          <w:lang w:val="hu-HU"/>
        </w:rPr>
      </w:pPr>
      <w:r w:rsidRPr="004311F9">
        <w:rPr>
          <w:b/>
          <w:szCs w:val="24"/>
          <w:lang w:val="hu-HU"/>
        </w:rPr>
        <w:t>4.8</w:t>
      </w:r>
      <w:r w:rsidRPr="004311F9">
        <w:rPr>
          <w:b/>
          <w:szCs w:val="24"/>
          <w:lang w:val="hu-HU"/>
        </w:rPr>
        <w:tab/>
        <w:t>Nemkívánatos hatások, mellékhatások</w:t>
      </w:r>
    </w:p>
    <w:p w14:paraId="5129A970" w14:textId="77777777" w:rsidR="00E74F5A" w:rsidRPr="004311F9" w:rsidRDefault="00E74F5A" w:rsidP="00DC4CB1">
      <w:pPr>
        <w:pStyle w:val="Default"/>
        <w:keepNext/>
        <w:autoSpaceDE/>
        <w:autoSpaceDN/>
        <w:adjustRightInd/>
        <w:rPr>
          <w:rFonts w:eastAsia="Times New Roman"/>
          <w:color w:val="auto"/>
          <w:sz w:val="22"/>
          <w:u w:val="single"/>
          <w:lang w:val="hu-HU"/>
        </w:rPr>
      </w:pPr>
    </w:p>
    <w:p w14:paraId="46560368" w14:textId="77777777" w:rsidR="00E74F5A" w:rsidRPr="004311F9" w:rsidRDefault="00E74F5A" w:rsidP="00DC4CB1">
      <w:pPr>
        <w:pStyle w:val="Default"/>
        <w:keepNext/>
        <w:autoSpaceDE/>
        <w:autoSpaceDN/>
        <w:adjustRightInd/>
        <w:rPr>
          <w:rFonts w:eastAsia="Times New Roman"/>
          <w:color w:val="auto"/>
          <w:sz w:val="22"/>
          <w:u w:val="single"/>
          <w:lang w:val="hu-HU"/>
        </w:rPr>
      </w:pPr>
      <w:r w:rsidRPr="004311F9">
        <w:rPr>
          <w:rFonts w:eastAsia="Times New Roman"/>
          <w:color w:val="auto"/>
          <w:sz w:val="22"/>
          <w:u w:val="single"/>
          <w:lang w:val="hu-HU"/>
        </w:rPr>
        <w:t>A biztonságossági profil összefoglalása</w:t>
      </w:r>
    </w:p>
    <w:p w14:paraId="6CCD7ED3" w14:textId="77777777" w:rsidR="00E74F5A" w:rsidRPr="004311F9" w:rsidRDefault="00E74F5A" w:rsidP="00DC4CB1">
      <w:pPr>
        <w:autoSpaceDE w:val="0"/>
        <w:autoSpaceDN w:val="0"/>
        <w:adjustRightInd w:val="0"/>
        <w:spacing w:line="240" w:lineRule="auto"/>
        <w:rPr>
          <w:szCs w:val="24"/>
          <w:lang w:val="hu-HU"/>
        </w:rPr>
      </w:pPr>
      <w:r w:rsidRPr="004311F9">
        <w:rPr>
          <w:szCs w:val="24"/>
          <w:lang w:val="hu-HU"/>
        </w:rPr>
        <w:t xml:space="preserve">Ritkán túlérzékenységi vagy allergiás reakciókat (köztük angiooedemát, az infúzió beadási helyén jelentkező égő és csípő érzést, hidegrázást, kipirulást, generalizált urticariát, fejfájást, csalánkiütést, hypotoniát, letargiát, hányingert, nyugtalanságot, tachycardiát, mellkasi szorító érzést, bizsergést, hányást, sípoló légzést) figyeltek meg, amelyek egyes esetekben súlyos anaphylaxiáig (a sokkot is beleértve) progrediálhatnak. </w:t>
      </w:r>
      <w:r w:rsidRPr="004311F9">
        <w:rPr>
          <w:lang w:val="hu-HU"/>
        </w:rPr>
        <w:t>Egyes esetekben ezek a reakciók súlyos anaphylaxiáig progrediáltak, ami a IX</w:t>
      </w:r>
      <w:r w:rsidRPr="004311F9">
        <w:rPr>
          <w:lang w:val="hu-HU"/>
        </w:rPr>
        <w:noBreakHyphen/>
        <w:t>es faktor</w:t>
      </w:r>
      <w:r w:rsidRPr="004311F9">
        <w:rPr>
          <w:lang w:val="hu-HU"/>
        </w:rPr>
        <w:noBreakHyphen/>
        <w:t>inhibitorok kialakulásával szoros időbeli összefüggést mutatott (lásd még 4.4 pont). Azoknál a haemophilia B</w:t>
      </w:r>
      <w:r w:rsidRPr="004311F9">
        <w:rPr>
          <w:lang w:val="hu-HU"/>
        </w:rPr>
        <w:noBreakHyphen/>
        <w:t>ben szenvedő betegeknél, akiknél IX</w:t>
      </w:r>
      <w:r w:rsidRPr="004311F9">
        <w:rPr>
          <w:lang w:val="hu-HU"/>
        </w:rPr>
        <w:noBreakHyphen/>
        <w:t>es faktor</w:t>
      </w:r>
      <w:r w:rsidRPr="004311F9">
        <w:rPr>
          <w:lang w:val="hu-HU"/>
        </w:rPr>
        <w:noBreakHyphen/>
        <w:t>inhibitorok és korábbi allergiás reakciók fordultak elő, immuntolerancia</w:t>
      </w:r>
      <w:r w:rsidRPr="004311F9">
        <w:rPr>
          <w:lang w:val="hu-HU"/>
        </w:rPr>
        <w:noBreakHyphen/>
        <w:t>indukció megkísérlését követően kialakult nephrosis szindrómáról számoltak be.</w:t>
      </w:r>
    </w:p>
    <w:p w14:paraId="228760E3" w14:textId="77777777" w:rsidR="00E74F5A" w:rsidRPr="004311F9" w:rsidRDefault="00E74F5A" w:rsidP="00DC4CB1">
      <w:pPr>
        <w:autoSpaceDE w:val="0"/>
        <w:autoSpaceDN w:val="0"/>
        <w:adjustRightInd w:val="0"/>
        <w:spacing w:line="240" w:lineRule="auto"/>
        <w:rPr>
          <w:rFonts w:eastAsia="Times New Roman"/>
          <w:szCs w:val="24"/>
          <w:lang w:val="hu-HU"/>
        </w:rPr>
      </w:pPr>
    </w:p>
    <w:p w14:paraId="3E9C9E3C" w14:textId="77777777" w:rsidR="00E74F5A" w:rsidRPr="004311F9" w:rsidRDefault="00E74F5A" w:rsidP="00DC4CB1">
      <w:pPr>
        <w:autoSpaceDE w:val="0"/>
        <w:autoSpaceDN w:val="0"/>
        <w:adjustRightInd w:val="0"/>
        <w:spacing w:line="240" w:lineRule="auto"/>
        <w:rPr>
          <w:szCs w:val="24"/>
          <w:lang w:val="hu-HU"/>
        </w:rPr>
      </w:pPr>
      <w:r w:rsidRPr="004311F9">
        <w:rPr>
          <w:szCs w:val="24"/>
          <w:lang w:val="hu-HU"/>
        </w:rPr>
        <w:t>Haemophilia B</w:t>
      </w:r>
      <w:r w:rsidRPr="004311F9">
        <w:rPr>
          <w:szCs w:val="24"/>
          <w:lang w:val="hu-HU"/>
        </w:rPr>
        <w:noBreakHyphen/>
        <w:t>ben szenvedő betegeknél a IX</w:t>
      </w:r>
      <w:r w:rsidRPr="004311F9">
        <w:rPr>
          <w:szCs w:val="24"/>
          <w:lang w:val="hu-HU"/>
        </w:rPr>
        <w:noBreakHyphen/>
        <w:t>es faktort neutralizáló antitestek (inhibitorok) alakulhatnak ki. Az inhibitorok megjelenése nem kielégítő klinikai válasz formájában nyilvánulhat meg. Ilyen esetekben ajánlott felvenni a kapcsolatot a haemophilia kezelésére szakosodott valamelyik központtal.</w:t>
      </w:r>
    </w:p>
    <w:p w14:paraId="196F3F5D" w14:textId="77777777" w:rsidR="00E74F5A" w:rsidRPr="004311F9" w:rsidRDefault="00E74F5A" w:rsidP="00DC4CB1">
      <w:pPr>
        <w:autoSpaceDE w:val="0"/>
        <w:autoSpaceDN w:val="0"/>
        <w:adjustRightInd w:val="0"/>
        <w:spacing w:line="240" w:lineRule="auto"/>
        <w:jc w:val="both"/>
        <w:rPr>
          <w:rFonts w:eastAsia="Times New Roman"/>
          <w:szCs w:val="24"/>
          <w:lang w:val="hu-HU"/>
        </w:rPr>
      </w:pPr>
    </w:p>
    <w:p w14:paraId="5BDE84E9" w14:textId="77777777" w:rsidR="00E74F5A" w:rsidRPr="004311F9" w:rsidRDefault="00E74F5A" w:rsidP="00DC4CB1">
      <w:pPr>
        <w:autoSpaceDE w:val="0"/>
        <w:autoSpaceDN w:val="0"/>
        <w:adjustRightInd w:val="0"/>
        <w:spacing w:line="240" w:lineRule="auto"/>
        <w:rPr>
          <w:lang w:val="hu-HU"/>
        </w:rPr>
      </w:pPr>
      <w:r w:rsidRPr="004311F9">
        <w:rPr>
          <w:lang w:val="hu-HU"/>
        </w:rPr>
        <w:t>IX</w:t>
      </w:r>
      <w:r w:rsidRPr="004311F9">
        <w:rPr>
          <w:lang w:val="hu-HU"/>
        </w:rPr>
        <w:noBreakHyphen/>
        <w:t>es faktor készítmények alkalmazását követően fennáll a thromboemboliás események potenciális kockázata, ami alacsony tisztasági fokú készítményeknél magasabb. Alacsony tisztasági fokú IX</w:t>
      </w:r>
      <w:r w:rsidRPr="004311F9">
        <w:rPr>
          <w:lang w:val="hu-HU"/>
        </w:rPr>
        <w:noBreakHyphen/>
        <w:t>es faktor készítmények alkalmazása myocardialis infarctus, disszeminált intravascularis coagulatio, vénás thrombosis és pulmonalis embolia eseteivel volt összefüggésbe hozható. Nagy tisztasági fokú IX</w:t>
      </w:r>
      <w:r w:rsidRPr="004311F9">
        <w:rPr>
          <w:lang w:val="hu-HU"/>
        </w:rPr>
        <w:noBreakHyphen/>
        <w:t>es faktor alkalmazása ritkán jár thromboemboliás szövődményekkel.</w:t>
      </w:r>
    </w:p>
    <w:p w14:paraId="029DCC58" w14:textId="77777777" w:rsidR="00E74F5A" w:rsidRPr="004311F9" w:rsidRDefault="00E74F5A" w:rsidP="00DC4CB1">
      <w:pPr>
        <w:autoSpaceDE w:val="0"/>
        <w:autoSpaceDN w:val="0"/>
        <w:adjustRightInd w:val="0"/>
        <w:spacing w:line="240" w:lineRule="auto"/>
        <w:jc w:val="both"/>
        <w:rPr>
          <w:rFonts w:eastAsia="Times New Roman"/>
          <w:szCs w:val="24"/>
          <w:lang w:val="hu-HU"/>
        </w:rPr>
      </w:pPr>
    </w:p>
    <w:p w14:paraId="7AB4FC72" w14:textId="77777777" w:rsidR="00E74F5A" w:rsidRPr="004311F9" w:rsidRDefault="00E74F5A" w:rsidP="00DC4CB1">
      <w:pPr>
        <w:pStyle w:val="Default"/>
        <w:keepNext/>
        <w:autoSpaceDE/>
        <w:autoSpaceDN/>
        <w:adjustRightInd/>
        <w:rPr>
          <w:rFonts w:eastAsia="Times New Roman"/>
          <w:color w:val="auto"/>
          <w:sz w:val="22"/>
          <w:u w:val="single"/>
          <w:lang w:val="hu-HU"/>
        </w:rPr>
      </w:pPr>
      <w:r w:rsidRPr="004311F9">
        <w:rPr>
          <w:rFonts w:eastAsia="Times New Roman"/>
          <w:color w:val="auto"/>
          <w:sz w:val="22"/>
          <w:u w:val="single"/>
          <w:lang w:val="hu-HU"/>
        </w:rPr>
        <w:t>A mellékhatások táblázatos felsorolása</w:t>
      </w:r>
    </w:p>
    <w:p w14:paraId="0C458F44" w14:textId="7FBA41AD" w:rsidR="00E74F5A" w:rsidRPr="004311F9" w:rsidRDefault="00E74F5A" w:rsidP="00DC4CB1">
      <w:pPr>
        <w:autoSpaceDE w:val="0"/>
        <w:autoSpaceDN w:val="0"/>
        <w:adjustRightInd w:val="0"/>
        <w:spacing w:line="240" w:lineRule="auto"/>
        <w:rPr>
          <w:szCs w:val="24"/>
          <w:lang w:val="hu-HU"/>
        </w:rPr>
      </w:pPr>
      <w:r w:rsidRPr="004311F9">
        <w:rPr>
          <w:szCs w:val="24"/>
          <w:lang w:val="hu-HU"/>
        </w:rPr>
        <w:t xml:space="preserve">Korábban kezelt betegek: </w:t>
      </w:r>
      <w:r w:rsidR="000E3E83" w:rsidRPr="004311F9">
        <w:rPr>
          <w:szCs w:val="24"/>
          <w:lang w:val="hu-HU"/>
        </w:rPr>
        <w:t>Ö</w:t>
      </w:r>
      <w:r w:rsidRPr="004311F9">
        <w:rPr>
          <w:szCs w:val="24"/>
          <w:lang w:val="hu-HU"/>
        </w:rPr>
        <w:t>sszesen 153, súlyos haemophilia B</w:t>
      </w:r>
      <w:r w:rsidRPr="004311F9">
        <w:rPr>
          <w:szCs w:val="24"/>
          <w:lang w:val="hu-HU"/>
        </w:rPr>
        <w:noBreakHyphen/>
        <w:t>ben szenvedő beteg</w:t>
      </w:r>
      <w:r w:rsidR="000E3E83" w:rsidRPr="004311F9">
        <w:rPr>
          <w:szCs w:val="24"/>
          <w:lang w:val="hu-HU"/>
        </w:rPr>
        <w:t>et</w:t>
      </w:r>
      <w:r w:rsidRPr="004311F9">
        <w:rPr>
          <w:szCs w:val="24"/>
          <w:lang w:val="hu-HU"/>
        </w:rPr>
        <w:t xml:space="preserve"> figyelt</w:t>
      </w:r>
      <w:r w:rsidR="000E3E83" w:rsidRPr="004311F9">
        <w:rPr>
          <w:szCs w:val="24"/>
          <w:lang w:val="hu-HU"/>
        </w:rPr>
        <w:t>e</w:t>
      </w:r>
      <w:r w:rsidRPr="004311F9">
        <w:rPr>
          <w:szCs w:val="24"/>
          <w:lang w:val="hu-HU"/>
        </w:rPr>
        <w:t>k meg III. fázisú klinikai vizsgálatokban és egy kiterjesztett vizsgálatban. A mellékhatásokat összesen 561 betegéven át monitorozták. Az expozíciós napok száma összesen 26 106 volt, a vizsgálati alanyonkénti expozíciós napok mediánja pedig 165 (tartomány: 1</w:t>
      </w:r>
      <w:r w:rsidRPr="004311F9">
        <w:rPr>
          <w:szCs w:val="24"/>
          <w:lang w:val="hu-HU"/>
        </w:rPr>
        <w:noBreakHyphen/>
        <w:t>528).</w:t>
      </w:r>
    </w:p>
    <w:p w14:paraId="6395D2D5" w14:textId="77777777" w:rsidR="00E74F5A" w:rsidRPr="004311F9" w:rsidRDefault="00E74F5A" w:rsidP="00DC4CB1">
      <w:pPr>
        <w:autoSpaceDE w:val="0"/>
        <w:autoSpaceDN w:val="0"/>
        <w:adjustRightInd w:val="0"/>
        <w:spacing w:line="240" w:lineRule="auto"/>
        <w:rPr>
          <w:szCs w:val="24"/>
          <w:lang w:val="hu-HU"/>
        </w:rPr>
      </w:pPr>
    </w:p>
    <w:p w14:paraId="05C618E3" w14:textId="721C31A4" w:rsidR="00E74F5A" w:rsidRPr="004311F9" w:rsidRDefault="00E74F5A" w:rsidP="00721344">
      <w:pPr>
        <w:keepNext/>
        <w:spacing w:line="240" w:lineRule="auto"/>
        <w:rPr>
          <w:szCs w:val="24"/>
          <w:u w:val="single"/>
          <w:lang w:val="hu-HU"/>
        </w:rPr>
      </w:pPr>
      <w:r w:rsidRPr="004311F9">
        <w:rPr>
          <w:szCs w:val="24"/>
          <w:lang w:val="hu-HU"/>
        </w:rPr>
        <w:t>Korábban nem kezelt betegek:</w:t>
      </w:r>
      <w:r w:rsidRPr="004311F9">
        <w:rPr>
          <w:szCs w:val="24"/>
          <w:u w:val="single"/>
          <w:lang w:val="hu-HU"/>
        </w:rPr>
        <w:t xml:space="preserve"> </w:t>
      </w:r>
      <w:r w:rsidR="000E3E83" w:rsidRPr="004311F9">
        <w:rPr>
          <w:szCs w:val="24"/>
          <w:lang w:val="hu-HU"/>
        </w:rPr>
        <w:t>Ö</w:t>
      </w:r>
      <w:r w:rsidR="005F393D" w:rsidRPr="004311F9">
        <w:rPr>
          <w:szCs w:val="24"/>
          <w:lang w:val="hu-HU"/>
        </w:rPr>
        <w:t>sszesen 3</w:t>
      </w:r>
      <w:r w:rsidRPr="004311F9">
        <w:rPr>
          <w:szCs w:val="24"/>
          <w:lang w:val="hu-HU"/>
        </w:rPr>
        <w:t>3, súlyos haemophilia B</w:t>
      </w:r>
      <w:r w:rsidRPr="004311F9">
        <w:rPr>
          <w:szCs w:val="24"/>
          <w:lang w:val="hu-HU"/>
        </w:rPr>
        <w:noBreakHyphen/>
        <w:t>ben szenvedő beteg</w:t>
      </w:r>
      <w:r w:rsidR="000E3E83" w:rsidRPr="004311F9">
        <w:rPr>
          <w:szCs w:val="24"/>
          <w:lang w:val="hu-HU"/>
        </w:rPr>
        <w:t>et</w:t>
      </w:r>
      <w:r w:rsidRPr="004311F9">
        <w:rPr>
          <w:szCs w:val="24"/>
          <w:lang w:val="hu-HU"/>
        </w:rPr>
        <w:t xml:space="preserve"> figyelt</w:t>
      </w:r>
      <w:r w:rsidR="000E3E83" w:rsidRPr="004311F9">
        <w:rPr>
          <w:szCs w:val="24"/>
          <w:lang w:val="hu-HU"/>
        </w:rPr>
        <w:t>e</w:t>
      </w:r>
      <w:r w:rsidRPr="004311F9">
        <w:rPr>
          <w:szCs w:val="24"/>
          <w:lang w:val="hu-HU"/>
        </w:rPr>
        <w:t>k meg egy klinikai vizsgálatban. A mellékhatásokat összesen 57,51 betegéven át monitorozták. Az expozíciós napok száma összesen 2233 volt, a vizsgálati alanyonkénti expozíciós napok mediánja pedig 76 (tartomány: 1</w:t>
      </w:r>
      <w:r w:rsidRPr="004311F9">
        <w:rPr>
          <w:szCs w:val="24"/>
          <w:lang w:val="hu-HU"/>
        </w:rPr>
        <w:noBreakHyphen/>
        <w:t>137).</w:t>
      </w:r>
    </w:p>
    <w:p w14:paraId="1BB57856" w14:textId="77777777" w:rsidR="00E74F5A" w:rsidRPr="004311F9" w:rsidRDefault="00E74F5A" w:rsidP="00DC4CB1">
      <w:pPr>
        <w:pStyle w:val="Default"/>
        <w:rPr>
          <w:rFonts w:eastAsia="Times New Roman"/>
          <w:color w:val="auto"/>
          <w:sz w:val="22"/>
          <w:lang w:val="hu-HU"/>
        </w:rPr>
      </w:pPr>
    </w:p>
    <w:p w14:paraId="1BD633BE" w14:textId="77777777" w:rsidR="00E74F5A" w:rsidRPr="004311F9" w:rsidRDefault="00E74F5A" w:rsidP="00DC4CB1">
      <w:pPr>
        <w:pStyle w:val="Default"/>
        <w:rPr>
          <w:rFonts w:eastAsia="Times New Roman"/>
          <w:color w:val="auto"/>
          <w:sz w:val="22"/>
          <w:lang w:val="hu-HU"/>
        </w:rPr>
      </w:pPr>
      <w:r w:rsidRPr="004311F9">
        <w:rPr>
          <w:color w:val="auto"/>
          <w:sz w:val="22"/>
          <w:lang w:val="hu-HU"/>
        </w:rPr>
        <w:t>Az alábbiakban bemutatott 2. táblázat a MedDRA szervrendszerek szerinti csoportosításának (szervrendszer és preferált kifejezések) megfelelően készült.</w:t>
      </w:r>
    </w:p>
    <w:p w14:paraId="038BB1DB" w14:textId="77777777" w:rsidR="00E74F5A" w:rsidRPr="004311F9" w:rsidRDefault="00E74F5A" w:rsidP="00DC4CB1">
      <w:pPr>
        <w:pStyle w:val="Default"/>
        <w:rPr>
          <w:rFonts w:eastAsia="Times New Roman"/>
          <w:color w:val="auto"/>
          <w:sz w:val="22"/>
          <w:lang w:val="hu-HU"/>
        </w:rPr>
      </w:pPr>
    </w:p>
    <w:p w14:paraId="2132CA05" w14:textId="35BEF5AE" w:rsidR="00E74F5A" w:rsidRPr="004311F9" w:rsidRDefault="00E74F5A" w:rsidP="00DC4CB1">
      <w:pPr>
        <w:pStyle w:val="Default"/>
        <w:rPr>
          <w:rFonts w:eastAsia="Times New Roman"/>
          <w:color w:val="auto"/>
          <w:sz w:val="22"/>
          <w:lang w:val="hu-HU"/>
        </w:rPr>
      </w:pPr>
      <w:r w:rsidRPr="004311F9">
        <w:rPr>
          <w:color w:val="auto"/>
          <w:sz w:val="22"/>
          <w:lang w:val="hu-HU"/>
        </w:rPr>
        <w:t xml:space="preserve">A gyakoriságokat a következő megállapodás </w:t>
      </w:r>
      <w:r w:rsidRPr="004311F9">
        <w:rPr>
          <w:rFonts w:eastAsia="Times New Roman"/>
          <w:color w:val="auto"/>
          <w:sz w:val="22"/>
          <w:lang w:val="hu-HU"/>
        </w:rPr>
        <w:t>szerint értékelték: nagyon gyakori (≥1/10); gyakori (≥1/100 </w:t>
      </w:r>
      <w:r w:rsidRPr="004311F9">
        <w:rPr>
          <w:rFonts w:eastAsia="Times New Roman"/>
          <w:color w:val="auto"/>
          <w:sz w:val="22"/>
          <w:lang w:val="hu-HU"/>
        </w:rPr>
        <w:noBreakHyphen/>
        <w:t> &lt;1/10); nem gyakori (≥1/1000 </w:t>
      </w:r>
      <w:r w:rsidRPr="004311F9">
        <w:rPr>
          <w:rFonts w:eastAsia="Times New Roman"/>
          <w:color w:val="auto"/>
          <w:sz w:val="22"/>
          <w:lang w:val="hu-HU"/>
        </w:rPr>
        <w:noBreakHyphen/>
        <w:t> &lt;1/100); ritka (≥1/10 000 </w:t>
      </w:r>
      <w:r w:rsidRPr="004311F9">
        <w:rPr>
          <w:rFonts w:eastAsia="Times New Roman"/>
          <w:color w:val="auto"/>
          <w:sz w:val="22"/>
          <w:lang w:val="hu-HU"/>
        </w:rPr>
        <w:noBreakHyphen/>
        <w:t> &lt;1/1000); nagyon ritka (&lt;1/10 000), nem ismert (a</w:t>
      </w:r>
      <w:r w:rsidR="001B4BA0" w:rsidRPr="004311F9">
        <w:rPr>
          <w:rFonts w:eastAsia="Times New Roman"/>
          <w:color w:val="auto"/>
          <w:sz w:val="22"/>
          <w:lang w:val="hu-HU"/>
        </w:rPr>
        <w:t xml:space="preserve"> gyakorisága a</w:t>
      </w:r>
      <w:r w:rsidRPr="004311F9">
        <w:rPr>
          <w:rFonts w:eastAsia="Times New Roman"/>
          <w:color w:val="auto"/>
          <w:sz w:val="22"/>
          <w:lang w:val="hu-HU"/>
        </w:rPr>
        <w:t xml:space="preserve"> rendelkezésre álló adatokból nem állapítható meg).</w:t>
      </w:r>
      <w:r w:rsidR="000E3E83" w:rsidRPr="004311F9">
        <w:rPr>
          <w:rFonts w:eastAsia="Times New Roman"/>
          <w:color w:val="auto"/>
          <w:sz w:val="22"/>
          <w:lang w:val="hu-HU"/>
        </w:rPr>
        <w:t xml:space="preserve"> A táblázatban a klinikai vizsgálatok során jelentett és a forgalomba hozatalt követően azonosított mellékhatások szerepelnek.</w:t>
      </w:r>
    </w:p>
    <w:p w14:paraId="347CE2C8" w14:textId="77777777" w:rsidR="00E74F5A" w:rsidRPr="004311F9" w:rsidRDefault="00E74F5A" w:rsidP="00DC4CB1">
      <w:pPr>
        <w:pStyle w:val="Default"/>
        <w:rPr>
          <w:rFonts w:eastAsia="Times New Roman"/>
          <w:color w:val="auto"/>
          <w:sz w:val="22"/>
          <w:lang w:val="hu-HU"/>
        </w:rPr>
      </w:pPr>
    </w:p>
    <w:p w14:paraId="05B96291" w14:textId="01BC3860" w:rsidR="00E74F5A" w:rsidRPr="004311F9" w:rsidRDefault="00E74F5A" w:rsidP="00DC4CB1">
      <w:pPr>
        <w:keepNext/>
        <w:keepLines/>
        <w:spacing w:line="240" w:lineRule="auto"/>
        <w:rPr>
          <w:szCs w:val="24"/>
          <w:lang w:val="hu-HU"/>
        </w:rPr>
      </w:pPr>
      <w:r w:rsidRPr="004311F9">
        <w:rPr>
          <w:szCs w:val="24"/>
          <w:lang w:val="hu-HU"/>
        </w:rPr>
        <w:lastRenderedPageBreak/>
        <w:t>2. táblázat: Az ALPROLIX alkalmazásakor jelentett mellékhatások</w:t>
      </w:r>
    </w:p>
    <w:tbl>
      <w:tblPr>
        <w:tblW w:w="5000" w:type="pct"/>
        <w:tblCellMar>
          <w:left w:w="0" w:type="dxa"/>
          <w:right w:w="0" w:type="dxa"/>
        </w:tblCellMar>
        <w:tblLook w:val="00A0" w:firstRow="1" w:lastRow="0" w:firstColumn="1" w:lastColumn="0" w:noHBand="0" w:noVBand="0"/>
      </w:tblPr>
      <w:tblGrid>
        <w:gridCol w:w="4242"/>
        <w:gridCol w:w="3120"/>
        <w:gridCol w:w="1978"/>
      </w:tblGrid>
      <w:tr w:rsidR="00E74F5A" w:rsidRPr="004311F9" w14:paraId="1D8567B8" w14:textId="77777777" w:rsidTr="005325DB">
        <w:trPr>
          <w:tblHeader/>
        </w:trPr>
        <w:tc>
          <w:tcPr>
            <w:tcW w:w="227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4070C59" w14:textId="77777777" w:rsidR="00E74F5A" w:rsidRPr="004311F9" w:rsidRDefault="00E74F5A" w:rsidP="00DC4CB1">
            <w:pPr>
              <w:keepNext/>
              <w:keepLines/>
              <w:spacing w:line="240" w:lineRule="auto"/>
              <w:rPr>
                <w:szCs w:val="24"/>
                <w:lang w:val="hu-HU"/>
              </w:rPr>
            </w:pPr>
            <w:r w:rsidRPr="004311F9">
              <w:rPr>
                <w:b/>
                <w:szCs w:val="24"/>
                <w:lang w:val="hu-HU"/>
              </w:rPr>
              <w:t>MedDRA szervrendszer</w:t>
            </w:r>
          </w:p>
        </w:tc>
        <w:tc>
          <w:tcPr>
            <w:tcW w:w="1670"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D718A9A" w14:textId="77777777" w:rsidR="00E74F5A" w:rsidRPr="004311F9" w:rsidRDefault="00E74F5A" w:rsidP="00DC4CB1">
            <w:pPr>
              <w:keepNext/>
              <w:keepLines/>
              <w:spacing w:line="240" w:lineRule="auto"/>
              <w:rPr>
                <w:szCs w:val="24"/>
                <w:lang w:val="hu-HU"/>
              </w:rPr>
            </w:pPr>
            <w:r w:rsidRPr="004311F9">
              <w:rPr>
                <w:b/>
                <w:szCs w:val="24"/>
                <w:lang w:val="hu-HU"/>
              </w:rPr>
              <w:t>Mellékhatások</w:t>
            </w:r>
          </w:p>
        </w:tc>
        <w:tc>
          <w:tcPr>
            <w:tcW w:w="1059" w:type="pct"/>
            <w:tcBorders>
              <w:top w:val="single" w:sz="8" w:space="0" w:color="000000"/>
              <w:left w:val="single" w:sz="8" w:space="0" w:color="000000"/>
              <w:bottom w:val="single" w:sz="8" w:space="0" w:color="000000"/>
              <w:right w:val="single" w:sz="8" w:space="0" w:color="000000"/>
            </w:tcBorders>
          </w:tcPr>
          <w:p w14:paraId="57DEE85F" w14:textId="77777777" w:rsidR="00E74F5A" w:rsidRPr="004311F9" w:rsidRDefault="00E74F5A" w:rsidP="00DC4CB1">
            <w:pPr>
              <w:keepNext/>
              <w:keepLines/>
              <w:spacing w:line="240" w:lineRule="auto"/>
              <w:ind w:left="232"/>
              <w:rPr>
                <w:szCs w:val="24"/>
                <w:lang w:val="hu-HU"/>
              </w:rPr>
            </w:pPr>
            <w:r w:rsidRPr="004311F9">
              <w:rPr>
                <w:b/>
                <w:szCs w:val="24"/>
                <w:lang w:val="hu-HU"/>
              </w:rPr>
              <w:t>Gyakorisági kategória</w:t>
            </w:r>
          </w:p>
        </w:tc>
      </w:tr>
      <w:tr w:rsidR="00E74F5A" w:rsidRPr="004311F9" w14:paraId="07F5B561" w14:textId="77777777" w:rsidTr="005325DB">
        <w:tc>
          <w:tcPr>
            <w:tcW w:w="227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1E8C434" w14:textId="77777777" w:rsidR="00E74F5A" w:rsidRPr="004311F9" w:rsidRDefault="00E74F5A" w:rsidP="00DC4CB1">
            <w:pPr>
              <w:keepNext/>
              <w:keepLines/>
              <w:spacing w:line="240" w:lineRule="auto"/>
              <w:rPr>
                <w:lang w:val="hu-HU"/>
              </w:rPr>
            </w:pPr>
            <w:r w:rsidRPr="004311F9">
              <w:rPr>
                <w:lang w:val="hu-HU"/>
              </w:rPr>
              <w:t>Vérképzőszervi és nyirokrendszeri betegségek és tünetek</w:t>
            </w:r>
          </w:p>
        </w:tc>
        <w:tc>
          <w:tcPr>
            <w:tcW w:w="1670"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9BBC7DE" w14:textId="77777777" w:rsidR="00E74F5A" w:rsidRPr="004311F9" w:rsidRDefault="00E74F5A" w:rsidP="00DC4CB1">
            <w:pPr>
              <w:keepNext/>
              <w:keepLines/>
              <w:spacing w:line="240" w:lineRule="auto"/>
              <w:rPr>
                <w:szCs w:val="24"/>
                <w:lang w:val="hu-HU"/>
              </w:rPr>
            </w:pPr>
            <w:r w:rsidRPr="004311F9">
              <w:rPr>
                <w:szCs w:val="24"/>
                <w:lang w:val="hu-HU"/>
              </w:rPr>
              <w:t>IX</w:t>
            </w:r>
            <w:r w:rsidRPr="004311F9">
              <w:rPr>
                <w:rFonts w:eastAsia="Times New Roman"/>
                <w:lang w:val="hu-HU"/>
              </w:rPr>
              <w:noBreakHyphen/>
              <w:t xml:space="preserve">es </w:t>
            </w:r>
            <w:r w:rsidRPr="004311F9">
              <w:rPr>
                <w:szCs w:val="24"/>
                <w:lang w:val="hu-HU"/>
              </w:rPr>
              <w:t>faktor</w:t>
            </w:r>
            <w:r w:rsidR="00EE1B55" w:rsidRPr="004311F9">
              <w:rPr>
                <w:rFonts w:eastAsia="Times New Roman"/>
                <w:lang w:val="hu-HU"/>
              </w:rPr>
              <w:t xml:space="preserve"> </w:t>
            </w:r>
            <w:r w:rsidRPr="004311F9">
              <w:rPr>
                <w:szCs w:val="24"/>
                <w:lang w:val="hu-HU"/>
              </w:rPr>
              <w:t>gátlás</w:t>
            </w:r>
            <w:r w:rsidR="00EE1B55" w:rsidRPr="004311F9">
              <w:rPr>
                <w:szCs w:val="24"/>
                <w:lang w:val="hu-HU"/>
              </w:rPr>
              <w:t>a</w:t>
            </w:r>
          </w:p>
        </w:tc>
        <w:tc>
          <w:tcPr>
            <w:tcW w:w="1059" w:type="pct"/>
            <w:tcBorders>
              <w:top w:val="single" w:sz="8" w:space="0" w:color="000000"/>
              <w:left w:val="single" w:sz="8" w:space="0" w:color="000000"/>
              <w:bottom w:val="single" w:sz="8" w:space="0" w:color="000000"/>
              <w:right w:val="single" w:sz="8" w:space="0" w:color="000000"/>
            </w:tcBorders>
          </w:tcPr>
          <w:p w14:paraId="33EF8CB4" w14:textId="1204F381" w:rsidR="00E74F5A" w:rsidRPr="004311F9" w:rsidRDefault="00E74F5A" w:rsidP="005325DB">
            <w:pPr>
              <w:keepNext/>
              <w:keepLines/>
              <w:spacing w:line="240" w:lineRule="auto"/>
              <w:ind w:left="232"/>
              <w:rPr>
                <w:szCs w:val="24"/>
                <w:lang w:val="hu-HU"/>
              </w:rPr>
            </w:pPr>
            <w:r w:rsidRPr="004311F9">
              <w:rPr>
                <w:szCs w:val="24"/>
                <w:lang w:val="hu-HU"/>
              </w:rPr>
              <w:t>Gyakori</w:t>
            </w:r>
            <w:r w:rsidR="00135010" w:rsidRPr="004311F9">
              <w:rPr>
                <w:szCs w:val="24"/>
                <w:vertAlign w:val="superscript"/>
                <w:lang w:val="hu-HU"/>
              </w:rPr>
              <w:t>1</w:t>
            </w:r>
          </w:p>
        </w:tc>
      </w:tr>
      <w:tr w:rsidR="00E74F5A" w:rsidRPr="004311F9" w14:paraId="25D0F6FF" w14:textId="77777777" w:rsidTr="005325DB">
        <w:tc>
          <w:tcPr>
            <w:tcW w:w="227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83BF17F" w14:textId="77777777" w:rsidR="00E74F5A" w:rsidRPr="004311F9" w:rsidRDefault="00E74F5A" w:rsidP="00DC4CB1">
            <w:pPr>
              <w:keepNext/>
              <w:keepLines/>
              <w:spacing w:line="240" w:lineRule="auto"/>
              <w:rPr>
                <w:lang w:val="hu-HU"/>
              </w:rPr>
            </w:pPr>
            <w:r w:rsidRPr="004311F9">
              <w:rPr>
                <w:lang w:val="hu-HU"/>
              </w:rPr>
              <w:t>Immunrendszeri betegségek és tünetek</w:t>
            </w:r>
          </w:p>
        </w:tc>
        <w:tc>
          <w:tcPr>
            <w:tcW w:w="1670"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2E38FDB" w14:textId="77777777" w:rsidR="00E74F5A" w:rsidRPr="004311F9" w:rsidRDefault="00E74F5A" w:rsidP="00DC4CB1">
            <w:pPr>
              <w:keepNext/>
              <w:keepLines/>
              <w:spacing w:line="240" w:lineRule="auto"/>
              <w:rPr>
                <w:szCs w:val="24"/>
                <w:lang w:val="hu-HU"/>
              </w:rPr>
            </w:pPr>
            <w:r w:rsidRPr="004311F9">
              <w:rPr>
                <w:szCs w:val="24"/>
                <w:lang w:val="hu-HU"/>
              </w:rPr>
              <w:t>Túlérzékenység</w:t>
            </w:r>
          </w:p>
          <w:p w14:paraId="2EAC9C3C" w14:textId="522690B9" w:rsidR="00700C00" w:rsidRPr="004311F9" w:rsidRDefault="00700C00" w:rsidP="00DC4CB1">
            <w:pPr>
              <w:keepNext/>
              <w:keepLines/>
              <w:spacing w:line="240" w:lineRule="auto"/>
              <w:rPr>
                <w:szCs w:val="24"/>
                <w:lang w:val="hu-HU"/>
              </w:rPr>
            </w:pPr>
            <w:r w:rsidRPr="004311F9">
              <w:rPr>
                <w:szCs w:val="24"/>
                <w:lang w:val="hu-HU"/>
              </w:rPr>
              <w:t>Anaphylaxiás reakció</w:t>
            </w:r>
          </w:p>
        </w:tc>
        <w:tc>
          <w:tcPr>
            <w:tcW w:w="1059" w:type="pct"/>
            <w:tcBorders>
              <w:top w:val="single" w:sz="8" w:space="0" w:color="000000"/>
              <w:left w:val="single" w:sz="8" w:space="0" w:color="000000"/>
              <w:bottom w:val="single" w:sz="8" w:space="0" w:color="000000"/>
              <w:right w:val="single" w:sz="8" w:space="0" w:color="000000"/>
            </w:tcBorders>
          </w:tcPr>
          <w:p w14:paraId="0FA0806C" w14:textId="521C83EE" w:rsidR="00E74F5A" w:rsidRPr="004311F9" w:rsidRDefault="00E74F5A" w:rsidP="005325DB">
            <w:pPr>
              <w:keepNext/>
              <w:keepLines/>
              <w:spacing w:line="240" w:lineRule="auto"/>
              <w:ind w:left="232"/>
              <w:rPr>
                <w:szCs w:val="24"/>
                <w:vertAlign w:val="superscript"/>
                <w:lang w:val="hu-HU"/>
              </w:rPr>
            </w:pPr>
            <w:r w:rsidRPr="004311F9">
              <w:rPr>
                <w:szCs w:val="24"/>
                <w:lang w:val="hu-HU"/>
              </w:rPr>
              <w:t>Gyakori</w:t>
            </w:r>
            <w:r w:rsidR="00135010" w:rsidRPr="004311F9">
              <w:rPr>
                <w:szCs w:val="24"/>
                <w:vertAlign w:val="superscript"/>
                <w:lang w:val="hu-HU"/>
              </w:rPr>
              <w:t>1</w:t>
            </w:r>
          </w:p>
          <w:p w14:paraId="2EF27075" w14:textId="7A84A5B5" w:rsidR="00700C00" w:rsidRPr="004311F9" w:rsidRDefault="00700C00" w:rsidP="005325DB">
            <w:pPr>
              <w:keepNext/>
              <w:keepLines/>
              <w:spacing w:line="240" w:lineRule="auto"/>
              <w:ind w:left="232"/>
              <w:rPr>
                <w:szCs w:val="24"/>
                <w:lang w:val="hu-HU"/>
              </w:rPr>
            </w:pPr>
            <w:r w:rsidRPr="008A69E5">
              <w:rPr>
                <w:szCs w:val="24"/>
                <w:lang w:val="hu-HU"/>
              </w:rPr>
              <w:t>Nem ismert</w:t>
            </w:r>
          </w:p>
        </w:tc>
      </w:tr>
      <w:tr w:rsidR="00E74F5A" w:rsidRPr="004311F9" w14:paraId="62129EDB" w14:textId="77777777" w:rsidTr="005325DB">
        <w:tc>
          <w:tcPr>
            <w:tcW w:w="227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CA05AD8" w14:textId="77777777" w:rsidR="00E74F5A" w:rsidRPr="004311F9" w:rsidRDefault="00E74F5A" w:rsidP="00DC4CB1">
            <w:pPr>
              <w:keepNext/>
              <w:keepLines/>
              <w:spacing w:line="240" w:lineRule="auto"/>
              <w:rPr>
                <w:szCs w:val="24"/>
                <w:lang w:val="hu-HU"/>
              </w:rPr>
            </w:pPr>
            <w:r w:rsidRPr="004311F9">
              <w:rPr>
                <w:lang w:val="hu-HU"/>
              </w:rPr>
              <w:t>Anyagcsere- és táplálkozási betegségek és tünetek</w:t>
            </w:r>
          </w:p>
        </w:tc>
        <w:tc>
          <w:tcPr>
            <w:tcW w:w="1670"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EC9F1E1" w14:textId="77777777" w:rsidR="00E74F5A" w:rsidRPr="004311F9" w:rsidRDefault="00E74F5A" w:rsidP="00DC4CB1">
            <w:pPr>
              <w:keepNext/>
              <w:keepLines/>
              <w:spacing w:line="240" w:lineRule="auto"/>
              <w:rPr>
                <w:szCs w:val="24"/>
                <w:lang w:val="hu-HU"/>
              </w:rPr>
            </w:pPr>
            <w:r w:rsidRPr="004311F9">
              <w:rPr>
                <w:szCs w:val="24"/>
                <w:lang w:val="hu-HU"/>
              </w:rPr>
              <w:t>Csökkent étvágy</w:t>
            </w:r>
          </w:p>
        </w:tc>
        <w:tc>
          <w:tcPr>
            <w:tcW w:w="1059" w:type="pct"/>
            <w:tcBorders>
              <w:top w:val="single" w:sz="8" w:space="0" w:color="000000"/>
              <w:left w:val="single" w:sz="8" w:space="0" w:color="000000"/>
              <w:bottom w:val="single" w:sz="8" w:space="0" w:color="000000"/>
              <w:right w:val="single" w:sz="8" w:space="0" w:color="000000"/>
            </w:tcBorders>
          </w:tcPr>
          <w:p w14:paraId="7450FD4E" w14:textId="77777777" w:rsidR="00E74F5A" w:rsidRPr="004311F9" w:rsidRDefault="00E74F5A" w:rsidP="00DC4CB1">
            <w:pPr>
              <w:keepNext/>
              <w:keepLines/>
              <w:spacing w:line="240" w:lineRule="auto"/>
              <w:ind w:left="232"/>
              <w:rPr>
                <w:szCs w:val="24"/>
                <w:lang w:val="hu-HU"/>
              </w:rPr>
            </w:pPr>
            <w:r w:rsidRPr="004311F9">
              <w:rPr>
                <w:szCs w:val="24"/>
                <w:lang w:val="hu-HU"/>
              </w:rPr>
              <w:t>Nem gyakori</w:t>
            </w:r>
          </w:p>
        </w:tc>
      </w:tr>
      <w:tr w:rsidR="00E74F5A" w:rsidRPr="008537D8" w14:paraId="3B39C969" w14:textId="77777777" w:rsidTr="005325DB">
        <w:tc>
          <w:tcPr>
            <w:tcW w:w="227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F652BC5" w14:textId="77777777" w:rsidR="00E74F5A" w:rsidRPr="004311F9" w:rsidRDefault="00E74F5A" w:rsidP="00DC4CB1">
            <w:pPr>
              <w:keepNext/>
              <w:keepLines/>
              <w:spacing w:line="240" w:lineRule="auto"/>
              <w:rPr>
                <w:szCs w:val="24"/>
                <w:lang w:val="hu-HU"/>
              </w:rPr>
            </w:pPr>
            <w:r w:rsidRPr="004311F9">
              <w:rPr>
                <w:szCs w:val="24"/>
                <w:lang w:val="hu-HU"/>
              </w:rPr>
              <w:t>Idegrendszeri betegségek és tünetek</w:t>
            </w:r>
          </w:p>
        </w:tc>
        <w:tc>
          <w:tcPr>
            <w:tcW w:w="1670"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74D1A34" w14:textId="77777777" w:rsidR="00E74F5A" w:rsidRPr="004311F9" w:rsidRDefault="00E74F5A" w:rsidP="00DC4CB1">
            <w:pPr>
              <w:keepNext/>
              <w:keepLines/>
              <w:spacing w:line="240" w:lineRule="auto"/>
              <w:rPr>
                <w:szCs w:val="24"/>
                <w:lang w:val="hu-HU"/>
              </w:rPr>
            </w:pPr>
            <w:r w:rsidRPr="004311F9">
              <w:rPr>
                <w:szCs w:val="24"/>
                <w:lang w:val="hu-HU"/>
              </w:rPr>
              <w:t>Fejfájás</w:t>
            </w:r>
          </w:p>
          <w:p w14:paraId="13F31DA0" w14:textId="77777777" w:rsidR="00E74F5A" w:rsidRPr="004311F9" w:rsidRDefault="00E74F5A" w:rsidP="00DC4CB1">
            <w:pPr>
              <w:keepNext/>
              <w:keepLines/>
              <w:spacing w:line="240" w:lineRule="auto"/>
              <w:rPr>
                <w:szCs w:val="24"/>
                <w:lang w:val="hu-HU"/>
              </w:rPr>
            </w:pPr>
            <w:r w:rsidRPr="004311F9">
              <w:rPr>
                <w:szCs w:val="24"/>
                <w:lang w:val="hu-HU"/>
              </w:rPr>
              <w:t>Szédülés</w:t>
            </w:r>
          </w:p>
          <w:p w14:paraId="70C449B4" w14:textId="77777777" w:rsidR="00E74F5A" w:rsidRPr="004311F9" w:rsidRDefault="00E74F5A" w:rsidP="00DC4CB1">
            <w:pPr>
              <w:keepNext/>
              <w:keepLines/>
              <w:spacing w:line="240" w:lineRule="auto"/>
              <w:rPr>
                <w:szCs w:val="24"/>
                <w:lang w:val="hu-HU"/>
              </w:rPr>
            </w:pPr>
            <w:r w:rsidRPr="004311F9">
              <w:rPr>
                <w:szCs w:val="24"/>
                <w:lang w:val="hu-HU"/>
              </w:rPr>
              <w:t>Dysgeusia</w:t>
            </w:r>
          </w:p>
        </w:tc>
        <w:tc>
          <w:tcPr>
            <w:tcW w:w="1059" w:type="pct"/>
            <w:tcBorders>
              <w:top w:val="single" w:sz="8" w:space="0" w:color="000000"/>
              <w:left w:val="single" w:sz="8" w:space="0" w:color="000000"/>
              <w:bottom w:val="single" w:sz="8" w:space="0" w:color="000000"/>
              <w:right w:val="single" w:sz="8" w:space="0" w:color="000000"/>
            </w:tcBorders>
          </w:tcPr>
          <w:p w14:paraId="354C82A4" w14:textId="77777777" w:rsidR="00E74F5A" w:rsidRPr="004311F9" w:rsidRDefault="00E74F5A" w:rsidP="00DC4CB1">
            <w:pPr>
              <w:keepNext/>
              <w:keepLines/>
              <w:spacing w:line="240" w:lineRule="auto"/>
              <w:ind w:left="232"/>
              <w:rPr>
                <w:szCs w:val="24"/>
                <w:lang w:val="hu-HU"/>
              </w:rPr>
            </w:pPr>
            <w:r w:rsidRPr="004311F9">
              <w:rPr>
                <w:szCs w:val="24"/>
                <w:lang w:val="hu-HU"/>
              </w:rPr>
              <w:t>Gyakori</w:t>
            </w:r>
          </w:p>
          <w:p w14:paraId="533C97FB" w14:textId="77777777" w:rsidR="00E74F5A" w:rsidRPr="004311F9" w:rsidRDefault="00E74F5A" w:rsidP="00DC4CB1">
            <w:pPr>
              <w:keepNext/>
              <w:keepLines/>
              <w:spacing w:line="240" w:lineRule="auto"/>
              <w:ind w:left="232"/>
              <w:rPr>
                <w:szCs w:val="24"/>
                <w:lang w:val="hu-HU"/>
              </w:rPr>
            </w:pPr>
            <w:r w:rsidRPr="004311F9">
              <w:rPr>
                <w:szCs w:val="24"/>
                <w:lang w:val="hu-HU"/>
              </w:rPr>
              <w:t>Nem gyakori</w:t>
            </w:r>
          </w:p>
          <w:p w14:paraId="569F602F" w14:textId="77777777" w:rsidR="00E74F5A" w:rsidRPr="004311F9" w:rsidRDefault="00E74F5A" w:rsidP="00DC4CB1">
            <w:pPr>
              <w:keepNext/>
              <w:keepLines/>
              <w:spacing w:line="240" w:lineRule="auto"/>
              <w:ind w:left="232"/>
              <w:rPr>
                <w:szCs w:val="24"/>
                <w:lang w:val="hu-HU"/>
              </w:rPr>
            </w:pPr>
            <w:r w:rsidRPr="004311F9">
              <w:rPr>
                <w:szCs w:val="24"/>
                <w:lang w:val="hu-HU"/>
              </w:rPr>
              <w:t>Nem gyakori</w:t>
            </w:r>
          </w:p>
        </w:tc>
      </w:tr>
      <w:tr w:rsidR="00E74F5A" w:rsidRPr="004311F9" w14:paraId="48AAB1E0" w14:textId="77777777" w:rsidTr="005325DB">
        <w:tc>
          <w:tcPr>
            <w:tcW w:w="227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2F08EEC" w14:textId="77777777" w:rsidR="00E74F5A" w:rsidRPr="004311F9" w:rsidRDefault="00E74F5A" w:rsidP="00DC4CB1">
            <w:pPr>
              <w:keepNext/>
              <w:keepLines/>
              <w:spacing w:line="240" w:lineRule="auto"/>
              <w:rPr>
                <w:szCs w:val="24"/>
                <w:lang w:val="hu-HU"/>
              </w:rPr>
            </w:pPr>
            <w:r w:rsidRPr="004311F9">
              <w:rPr>
                <w:szCs w:val="24"/>
                <w:lang w:val="hu-HU"/>
              </w:rPr>
              <w:t>Szívbetegségek és a szívvel kapcsolatos tünetek</w:t>
            </w:r>
          </w:p>
        </w:tc>
        <w:tc>
          <w:tcPr>
            <w:tcW w:w="1670"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1A7BC0A" w14:textId="77777777" w:rsidR="00E74F5A" w:rsidRPr="004311F9" w:rsidRDefault="00E74F5A" w:rsidP="00DC4CB1">
            <w:pPr>
              <w:keepNext/>
              <w:keepLines/>
              <w:spacing w:line="240" w:lineRule="auto"/>
              <w:rPr>
                <w:szCs w:val="24"/>
                <w:lang w:val="hu-HU"/>
              </w:rPr>
            </w:pPr>
            <w:r w:rsidRPr="004311F9">
              <w:rPr>
                <w:szCs w:val="24"/>
                <w:lang w:val="hu-HU"/>
              </w:rPr>
              <w:t>Palpitatio</w:t>
            </w:r>
          </w:p>
        </w:tc>
        <w:tc>
          <w:tcPr>
            <w:tcW w:w="1059" w:type="pct"/>
            <w:tcBorders>
              <w:top w:val="single" w:sz="8" w:space="0" w:color="000000"/>
              <w:left w:val="single" w:sz="8" w:space="0" w:color="000000"/>
              <w:bottom w:val="single" w:sz="8" w:space="0" w:color="000000"/>
              <w:right w:val="single" w:sz="8" w:space="0" w:color="000000"/>
            </w:tcBorders>
          </w:tcPr>
          <w:p w14:paraId="2AE5B057" w14:textId="77777777" w:rsidR="00E74F5A" w:rsidRPr="004311F9" w:rsidRDefault="00E74F5A" w:rsidP="00DC4CB1">
            <w:pPr>
              <w:keepNext/>
              <w:keepLines/>
              <w:spacing w:line="240" w:lineRule="auto"/>
              <w:ind w:left="232"/>
              <w:rPr>
                <w:szCs w:val="24"/>
                <w:lang w:val="hu-HU"/>
              </w:rPr>
            </w:pPr>
            <w:r w:rsidRPr="004311F9">
              <w:rPr>
                <w:szCs w:val="24"/>
                <w:lang w:val="hu-HU"/>
              </w:rPr>
              <w:t>Nem gyakori</w:t>
            </w:r>
          </w:p>
        </w:tc>
      </w:tr>
      <w:tr w:rsidR="00E74F5A" w:rsidRPr="004311F9" w14:paraId="6CA4E775" w14:textId="77777777" w:rsidTr="005325DB">
        <w:tc>
          <w:tcPr>
            <w:tcW w:w="227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776C806" w14:textId="77777777" w:rsidR="00E74F5A" w:rsidRPr="004311F9" w:rsidRDefault="00E74F5A" w:rsidP="00DC4CB1">
            <w:pPr>
              <w:keepNext/>
              <w:keepLines/>
              <w:spacing w:line="240" w:lineRule="auto"/>
              <w:rPr>
                <w:szCs w:val="24"/>
                <w:lang w:val="hu-HU"/>
              </w:rPr>
            </w:pPr>
            <w:r w:rsidRPr="004311F9">
              <w:rPr>
                <w:szCs w:val="24"/>
                <w:lang w:val="hu-HU"/>
              </w:rPr>
              <w:t>Érbetegségek és tünetek</w:t>
            </w:r>
          </w:p>
        </w:tc>
        <w:tc>
          <w:tcPr>
            <w:tcW w:w="1670"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2E46C5E" w14:textId="77777777" w:rsidR="00E74F5A" w:rsidRPr="004311F9" w:rsidRDefault="00E74F5A" w:rsidP="00DC4CB1">
            <w:pPr>
              <w:keepNext/>
              <w:keepLines/>
              <w:spacing w:line="240" w:lineRule="auto"/>
              <w:rPr>
                <w:szCs w:val="24"/>
                <w:lang w:val="hu-HU"/>
              </w:rPr>
            </w:pPr>
            <w:r w:rsidRPr="004311F9">
              <w:rPr>
                <w:szCs w:val="24"/>
                <w:lang w:val="hu-HU"/>
              </w:rPr>
              <w:t>Hypotonia</w:t>
            </w:r>
          </w:p>
        </w:tc>
        <w:tc>
          <w:tcPr>
            <w:tcW w:w="1059" w:type="pct"/>
            <w:tcBorders>
              <w:top w:val="single" w:sz="8" w:space="0" w:color="000000"/>
              <w:left w:val="single" w:sz="8" w:space="0" w:color="000000"/>
              <w:bottom w:val="single" w:sz="8" w:space="0" w:color="000000"/>
              <w:right w:val="single" w:sz="8" w:space="0" w:color="000000"/>
            </w:tcBorders>
          </w:tcPr>
          <w:p w14:paraId="101E11FE" w14:textId="77777777" w:rsidR="00E74F5A" w:rsidRPr="004311F9" w:rsidRDefault="00E74F5A" w:rsidP="00DC4CB1">
            <w:pPr>
              <w:keepNext/>
              <w:keepLines/>
              <w:spacing w:line="240" w:lineRule="auto"/>
              <w:ind w:left="232"/>
              <w:rPr>
                <w:szCs w:val="24"/>
                <w:lang w:val="hu-HU"/>
              </w:rPr>
            </w:pPr>
            <w:r w:rsidRPr="004311F9">
              <w:rPr>
                <w:szCs w:val="24"/>
                <w:lang w:val="hu-HU"/>
              </w:rPr>
              <w:t>Nem gyakori</w:t>
            </w:r>
          </w:p>
        </w:tc>
      </w:tr>
      <w:tr w:rsidR="00E74F5A" w:rsidRPr="004311F9" w14:paraId="1A808B7E" w14:textId="77777777" w:rsidTr="005325DB">
        <w:tc>
          <w:tcPr>
            <w:tcW w:w="227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D506E77" w14:textId="77777777" w:rsidR="00E74F5A" w:rsidRPr="004311F9" w:rsidRDefault="00E74F5A" w:rsidP="00DC4CB1">
            <w:pPr>
              <w:keepNext/>
              <w:keepLines/>
              <w:spacing w:line="240" w:lineRule="auto"/>
              <w:rPr>
                <w:szCs w:val="24"/>
                <w:lang w:val="hu-HU"/>
              </w:rPr>
            </w:pPr>
            <w:r w:rsidRPr="004311F9">
              <w:rPr>
                <w:szCs w:val="24"/>
                <w:lang w:val="hu-HU"/>
              </w:rPr>
              <w:t>Emésztőrendszeri betegségek és tünetek</w:t>
            </w:r>
          </w:p>
        </w:tc>
        <w:tc>
          <w:tcPr>
            <w:tcW w:w="1670"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1AA818D" w14:textId="77777777" w:rsidR="00E74F5A" w:rsidRPr="004311F9" w:rsidRDefault="00E74F5A" w:rsidP="00DC4CB1">
            <w:pPr>
              <w:keepNext/>
              <w:keepLines/>
              <w:spacing w:line="240" w:lineRule="auto"/>
              <w:rPr>
                <w:szCs w:val="24"/>
                <w:lang w:val="hu-HU"/>
              </w:rPr>
            </w:pPr>
            <w:r w:rsidRPr="004311F9">
              <w:rPr>
                <w:szCs w:val="24"/>
                <w:lang w:val="hu-HU"/>
              </w:rPr>
              <w:t>Oralis paraesthesia</w:t>
            </w:r>
          </w:p>
          <w:p w14:paraId="6538F282" w14:textId="77777777" w:rsidR="00E74F5A" w:rsidRPr="004311F9" w:rsidRDefault="00E74F5A" w:rsidP="00DC4CB1">
            <w:pPr>
              <w:keepNext/>
              <w:keepLines/>
              <w:spacing w:line="240" w:lineRule="auto"/>
              <w:rPr>
                <w:szCs w:val="24"/>
                <w:lang w:val="hu-HU"/>
              </w:rPr>
            </w:pPr>
            <w:r w:rsidRPr="004311F9">
              <w:rPr>
                <w:szCs w:val="24"/>
                <w:lang w:val="hu-HU"/>
              </w:rPr>
              <w:t>Szájszag</w:t>
            </w:r>
          </w:p>
        </w:tc>
        <w:tc>
          <w:tcPr>
            <w:tcW w:w="1059" w:type="pct"/>
            <w:tcBorders>
              <w:top w:val="single" w:sz="8" w:space="0" w:color="000000"/>
              <w:left w:val="single" w:sz="8" w:space="0" w:color="000000"/>
              <w:bottom w:val="single" w:sz="8" w:space="0" w:color="000000"/>
              <w:right w:val="single" w:sz="8" w:space="0" w:color="000000"/>
            </w:tcBorders>
          </w:tcPr>
          <w:p w14:paraId="54BC61D5" w14:textId="77777777" w:rsidR="00E74F5A" w:rsidRPr="004311F9" w:rsidRDefault="00E74F5A" w:rsidP="00DC4CB1">
            <w:pPr>
              <w:keepNext/>
              <w:keepLines/>
              <w:spacing w:line="240" w:lineRule="auto"/>
              <w:ind w:left="232"/>
              <w:rPr>
                <w:szCs w:val="24"/>
                <w:lang w:val="hu-HU"/>
              </w:rPr>
            </w:pPr>
            <w:r w:rsidRPr="004311F9">
              <w:rPr>
                <w:szCs w:val="24"/>
                <w:lang w:val="hu-HU"/>
              </w:rPr>
              <w:t>Gyakori</w:t>
            </w:r>
          </w:p>
          <w:p w14:paraId="5A0204D7" w14:textId="77777777" w:rsidR="00E74F5A" w:rsidRPr="004311F9" w:rsidRDefault="00E74F5A" w:rsidP="00DC4CB1">
            <w:pPr>
              <w:keepNext/>
              <w:keepLines/>
              <w:spacing w:line="240" w:lineRule="auto"/>
              <w:ind w:left="232"/>
              <w:rPr>
                <w:szCs w:val="24"/>
                <w:lang w:val="hu-HU"/>
              </w:rPr>
            </w:pPr>
            <w:r w:rsidRPr="004311F9">
              <w:rPr>
                <w:szCs w:val="24"/>
                <w:lang w:val="hu-HU"/>
              </w:rPr>
              <w:t>Nem gyakori</w:t>
            </w:r>
          </w:p>
        </w:tc>
      </w:tr>
      <w:tr w:rsidR="00E74F5A" w:rsidRPr="008537D8" w14:paraId="772BEEDC" w14:textId="77777777" w:rsidTr="005325DB">
        <w:tc>
          <w:tcPr>
            <w:tcW w:w="227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0741D04" w14:textId="77777777" w:rsidR="00E74F5A" w:rsidRPr="004311F9" w:rsidRDefault="00E74F5A" w:rsidP="00DC4CB1">
            <w:pPr>
              <w:keepNext/>
              <w:keepLines/>
              <w:spacing w:line="240" w:lineRule="auto"/>
              <w:rPr>
                <w:szCs w:val="24"/>
                <w:lang w:val="hu-HU"/>
              </w:rPr>
            </w:pPr>
            <w:r w:rsidRPr="004311F9">
              <w:rPr>
                <w:szCs w:val="24"/>
                <w:lang w:val="hu-HU"/>
              </w:rPr>
              <w:t>Vese- és húgyúti betegségek és tünetek</w:t>
            </w:r>
          </w:p>
        </w:tc>
        <w:tc>
          <w:tcPr>
            <w:tcW w:w="1670"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189FDCB" w14:textId="77777777" w:rsidR="00E74F5A" w:rsidRPr="004311F9" w:rsidRDefault="00E74F5A" w:rsidP="00DC4CB1">
            <w:pPr>
              <w:keepNext/>
              <w:keepLines/>
              <w:spacing w:line="240" w:lineRule="auto"/>
              <w:rPr>
                <w:szCs w:val="24"/>
                <w:lang w:val="hu-HU"/>
              </w:rPr>
            </w:pPr>
            <w:r w:rsidRPr="004311F9">
              <w:rPr>
                <w:szCs w:val="24"/>
                <w:lang w:val="hu-HU"/>
              </w:rPr>
              <w:t>Obstruktív uropathia</w:t>
            </w:r>
          </w:p>
          <w:p w14:paraId="75DA1854" w14:textId="77777777" w:rsidR="00E74F5A" w:rsidRPr="004311F9" w:rsidRDefault="00E74F5A" w:rsidP="00DC4CB1">
            <w:pPr>
              <w:keepNext/>
              <w:keepLines/>
              <w:spacing w:line="240" w:lineRule="auto"/>
              <w:rPr>
                <w:szCs w:val="24"/>
                <w:lang w:val="hu-HU"/>
              </w:rPr>
            </w:pPr>
            <w:r w:rsidRPr="004311F9">
              <w:rPr>
                <w:szCs w:val="24"/>
                <w:lang w:val="hu-HU"/>
              </w:rPr>
              <w:t>Haematuria</w:t>
            </w:r>
          </w:p>
          <w:p w14:paraId="4AE44893" w14:textId="77777777" w:rsidR="00E74F5A" w:rsidRPr="004311F9" w:rsidRDefault="00E74F5A" w:rsidP="00DC4CB1">
            <w:pPr>
              <w:keepNext/>
              <w:keepLines/>
              <w:spacing w:line="240" w:lineRule="auto"/>
              <w:rPr>
                <w:szCs w:val="24"/>
                <w:lang w:val="hu-HU"/>
              </w:rPr>
            </w:pPr>
            <w:r w:rsidRPr="004311F9">
              <w:rPr>
                <w:szCs w:val="24"/>
                <w:lang w:val="hu-HU"/>
              </w:rPr>
              <w:t>Vesekólika</w:t>
            </w:r>
          </w:p>
        </w:tc>
        <w:tc>
          <w:tcPr>
            <w:tcW w:w="1059" w:type="pct"/>
            <w:tcBorders>
              <w:top w:val="single" w:sz="8" w:space="0" w:color="000000"/>
              <w:left w:val="single" w:sz="8" w:space="0" w:color="000000"/>
              <w:bottom w:val="single" w:sz="8" w:space="0" w:color="000000"/>
              <w:right w:val="single" w:sz="8" w:space="0" w:color="000000"/>
            </w:tcBorders>
          </w:tcPr>
          <w:p w14:paraId="32C10532" w14:textId="77777777" w:rsidR="00E74F5A" w:rsidRPr="004311F9" w:rsidRDefault="00E74F5A" w:rsidP="00DC4CB1">
            <w:pPr>
              <w:keepNext/>
              <w:keepLines/>
              <w:spacing w:line="240" w:lineRule="auto"/>
              <w:ind w:left="232"/>
              <w:rPr>
                <w:szCs w:val="24"/>
                <w:lang w:val="hu-HU"/>
              </w:rPr>
            </w:pPr>
            <w:r w:rsidRPr="004311F9">
              <w:rPr>
                <w:szCs w:val="24"/>
                <w:lang w:val="hu-HU"/>
              </w:rPr>
              <w:t>Gyakori</w:t>
            </w:r>
          </w:p>
          <w:p w14:paraId="31F1282E" w14:textId="77777777" w:rsidR="00E74F5A" w:rsidRPr="004311F9" w:rsidRDefault="00E74F5A" w:rsidP="00DC4CB1">
            <w:pPr>
              <w:keepNext/>
              <w:keepLines/>
              <w:spacing w:line="240" w:lineRule="auto"/>
              <w:ind w:left="232"/>
              <w:rPr>
                <w:szCs w:val="24"/>
                <w:lang w:val="hu-HU"/>
              </w:rPr>
            </w:pPr>
            <w:r w:rsidRPr="004311F9">
              <w:rPr>
                <w:szCs w:val="24"/>
                <w:lang w:val="hu-HU"/>
              </w:rPr>
              <w:t>Nem gyakori</w:t>
            </w:r>
          </w:p>
          <w:p w14:paraId="0B9F3E76" w14:textId="77777777" w:rsidR="00E74F5A" w:rsidRPr="004311F9" w:rsidRDefault="00E74F5A" w:rsidP="00DC4CB1">
            <w:pPr>
              <w:keepNext/>
              <w:keepLines/>
              <w:spacing w:line="240" w:lineRule="auto"/>
              <w:ind w:left="232"/>
              <w:rPr>
                <w:szCs w:val="24"/>
                <w:lang w:val="hu-HU"/>
              </w:rPr>
            </w:pPr>
            <w:r w:rsidRPr="004311F9">
              <w:rPr>
                <w:szCs w:val="24"/>
                <w:lang w:val="hu-HU"/>
              </w:rPr>
              <w:t>Nem gyakori</w:t>
            </w:r>
          </w:p>
        </w:tc>
      </w:tr>
      <w:tr w:rsidR="00E74F5A" w:rsidRPr="008537D8" w14:paraId="3C21F215" w14:textId="77777777" w:rsidTr="005325DB">
        <w:tc>
          <w:tcPr>
            <w:tcW w:w="227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B775E63" w14:textId="77777777" w:rsidR="00E74F5A" w:rsidRPr="004311F9" w:rsidRDefault="00E74F5A" w:rsidP="00BB5413">
            <w:pPr>
              <w:keepNext/>
              <w:spacing w:line="240" w:lineRule="auto"/>
              <w:rPr>
                <w:szCs w:val="24"/>
                <w:lang w:val="hu-HU"/>
              </w:rPr>
            </w:pPr>
            <w:r w:rsidRPr="004311F9">
              <w:rPr>
                <w:szCs w:val="24"/>
                <w:lang w:val="hu-HU"/>
              </w:rPr>
              <w:t>Általános tünetek, az alkalmazás helyén fellépő reakciók</w:t>
            </w:r>
          </w:p>
        </w:tc>
        <w:tc>
          <w:tcPr>
            <w:tcW w:w="1670"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50EECEE" w14:textId="77777777" w:rsidR="005325DB" w:rsidRPr="004311F9" w:rsidRDefault="005325DB" w:rsidP="00BB5413">
            <w:pPr>
              <w:keepNext/>
              <w:spacing w:line="240" w:lineRule="auto"/>
              <w:rPr>
                <w:szCs w:val="24"/>
                <w:lang w:val="hu-HU"/>
              </w:rPr>
            </w:pPr>
            <w:r w:rsidRPr="004311F9">
              <w:rPr>
                <w:szCs w:val="24"/>
                <w:lang w:val="hu-HU"/>
              </w:rPr>
              <w:t>Bőrpír az injekció beadásának helyén</w:t>
            </w:r>
          </w:p>
          <w:p w14:paraId="5D6CEE87" w14:textId="72198530" w:rsidR="00E74F5A" w:rsidRPr="004311F9" w:rsidRDefault="00E74F5A" w:rsidP="00BB5413">
            <w:pPr>
              <w:keepNext/>
              <w:spacing w:line="240" w:lineRule="auto"/>
              <w:rPr>
                <w:szCs w:val="24"/>
                <w:lang w:val="hu-HU"/>
              </w:rPr>
            </w:pPr>
            <w:r w:rsidRPr="004311F9">
              <w:rPr>
                <w:szCs w:val="24"/>
                <w:lang w:val="hu-HU"/>
              </w:rPr>
              <w:t>Fáradékonyság</w:t>
            </w:r>
          </w:p>
          <w:p w14:paraId="3B9AE168" w14:textId="73AED085" w:rsidR="00E74F5A" w:rsidRPr="004311F9" w:rsidRDefault="00E74F5A" w:rsidP="00BB5413">
            <w:pPr>
              <w:keepNext/>
              <w:spacing w:line="240" w:lineRule="auto"/>
              <w:rPr>
                <w:szCs w:val="24"/>
                <w:lang w:val="hu-HU"/>
              </w:rPr>
            </w:pPr>
            <w:r w:rsidRPr="004311F9">
              <w:rPr>
                <w:szCs w:val="24"/>
                <w:lang w:val="hu-HU"/>
              </w:rPr>
              <w:t>Fájdalom az infúzió beadásának helyén</w:t>
            </w:r>
          </w:p>
        </w:tc>
        <w:tc>
          <w:tcPr>
            <w:tcW w:w="1059" w:type="pct"/>
            <w:tcBorders>
              <w:top w:val="single" w:sz="8" w:space="0" w:color="000000"/>
              <w:left w:val="single" w:sz="8" w:space="0" w:color="000000"/>
              <w:bottom w:val="single" w:sz="8" w:space="0" w:color="000000"/>
              <w:right w:val="single" w:sz="8" w:space="0" w:color="000000"/>
            </w:tcBorders>
          </w:tcPr>
          <w:p w14:paraId="7DE336EF" w14:textId="77777777" w:rsidR="005325DB" w:rsidRPr="004311F9" w:rsidRDefault="005325DB" w:rsidP="00BB5413">
            <w:pPr>
              <w:keepNext/>
              <w:spacing w:line="240" w:lineRule="auto"/>
              <w:ind w:left="232"/>
              <w:rPr>
                <w:szCs w:val="24"/>
                <w:lang w:val="hu-HU"/>
              </w:rPr>
            </w:pPr>
            <w:r w:rsidRPr="004311F9">
              <w:rPr>
                <w:szCs w:val="24"/>
                <w:lang w:val="hu-HU"/>
              </w:rPr>
              <w:t>Gyakori</w:t>
            </w:r>
          </w:p>
          <w:p w14:paraId="1B887147" w14:textId="77777777" w:rsidR="005325DB" w:rsidRPr="004311F9" w:rsidRDefault="005325DB" w:rsidP="00BB5413">
            <w:pPr>
              <w:keepNext/>
              <w:spacing w:line="240" w:lineRule="auto"/>
              <w:ind w:left="232"/>
              <w:rPr>
                <w:szCs w:val="24"/>
                <w:lang w:val="hu-HU"/>
              </w:rPr>
            </w:pPr>
          </w:p>
          <w:p w14:paraId="3FC6256D" w14:textId="10760AC9" w:rsidR="00E74F5A" w:rsidRPr="004311F9" w:rsidRDefault="00E74F5A" w:rsidP="00BB5413">
            <w:pPr>
              <w:keepNext/>
              <w:spacing w:line="240" w:lineRule="auto"/>
              <w:ind w:left="232"/>
              <w:rPr>
                <w:szCs w:val="24"/>
                <w:lang w:val="hu-HU"/>
              </w:rPr>
            </w:pPr>
            <w:r w:rsidRPr="004311F9">
              <w:rPr>
                <w:szCs w:val="24"/>
                <w:lang w:val="hu-HU"/>
              </w:rPr>
              <w:t>Nem gyakori</w:t>
            </w:r>
          </w:p>
          <w:p w14:paraId="66573F3D" w14:textId="79D163F7" w:rsidR="00E74F5A" w:rsidRPr="004311F9" w:rsidRDefault="00E74F5A" w:rsidP="00BB5413">
            <w:pPr>
              <w:keepNext/>
              <w:spacing w:line="240" w:lineRule="auto"/>
              <w:ind w:left="232"/>
              <w:rPr>
                <w:szCs w:val="24"/>
                <w:lang w:val="hu-HU"/>
              </w:rPr>
            </w:pPr>
            <w:r w:rsidRPr="004311F9">
              <w:rPr>
                <w:szCs w:val="24"/>
                <w:lang w:val="hu-HU"/>
              </w:rPr>
              <w:t>Nem gyakori</w:t>
            </w:r>
          </w:p>
        </w:tc>
      </w:tr>
    </w:tbl>
    <w:p w14:paraId="5D960EE8" w14:textId="069509BE" w:rsidR="00E74F5A" w:rsidRPr="004311F9" w:rsidRDefault="00E74F5A" w:rsidP="003B750D">
      <w:pPr>
        <w:autoSpaceDE w:val="0"/>
        <w:autoSpaceDN w:val="0"/>
        <w:adjustRightInd w:val="0"/>
        <w:spacing w:line="240" w:lineRule="auto"/>
        <w:rPr>
          <w:sz w:val="20"/>
          <w:lang w:val="hu-HU"/>
        </w:rPr>
      </w:pPr>
      <w:r w:rsidRPr="004311F9">
        <w:rPr>
          <w:sz w:val="20"/>
          <w:vertAlign w:val="superscript"/>
          <w:lang w:val="hu-HU"/>
        </w:rPr>
        <w:t>1</w:t>
      </w:r>
      <w:r w:rsidRPr="004311F9">
        <w:rPr>
          <w:sz w:val="20"/>
          <w:lang w:val="hu-HU"/>
        </w:rPr>
        <w:t xml:space="preserve"> A gyakoriság a korábban nem kezelt be</w:t>
      </w:r>
      <w:r w:rsidR="005F393D" w:rsidRPr="004311F9">
        <w:rPr>
          <w:sz w:val="20"/>
          <w:lang w:val="hu-HU"/>
        </w:rPr>
        <w:t xml:space="preserve">tegeknél történt </w:t>
      </w:r>
      <w:r w:rsidR="00700C00" w:rsidRPr="004311F9">
        <w:rPr>
          <w:sz w:val="20"/>
          <w:lang w:val="hu-HU"/>
        </w:rPr>
        <w:t xml:space="preserve">vizsgálaton </w:t>
      </w:r>
      <w:r w:rsidRPr="004311F9">
        <w:rPr>
          <w:sz w:val="20"/>
          <w:lang w:val="hu-HU"/>
        </w:rPr>
        <w:t>alapul.</w:t>
      </w:r>
      <w:r w:rsidR="00700C00" w:rsidRPr="004311F9">
        <w:rPr>
          <w:sz w:val="20"/>
          <w:lang w:val="hu-HU"/>
        </w:rPr>
        <w:t xml:space="preserve"> </w:t>
      </w:r>
      <w:r w:rsidRPr="004311F9">
        <w:rPr>
          <w:sz w:val="20"/>
          <w:lang w:val="hu-HU"/>
        </w:rPr>
        <w:t>Mind a IX</w:t>
      </w:r>
      <w:r w:rsidRPr="004311F9">
        <w:rPr>
          <w:rFonts w:eastAsia="Times New Roman"/>
          <w:sz w:val="20"/>
          <w:lang w:val="hu-HU"/>
        </w:rPr>
        <w:noBreakHyphen/>
        <w:t xml:space="preserve">es </w:t>
      </w:r>
      <w:r w:rsidRPr="004311F9">
        <w:rPr>
          <w:sz w:val="20"/>
          <w:lang w:val="hu-HU"/>
        </w:rPr>
        <w:t>faktor</w:t>
      </w:r>
      <w:r w:rsidR="00EE1B55" w:rsidRPr="004311F9">
        <w:rPr>
          <w:rFonts w:eastAsia="Times New Roman"/>
          <w:sz w:val="20"/>
          <w:lang w:val="hu-HU"/>
        </w:rPr>
        <w:t xml:space="preserve"> </w:t>
      </w:r>
      <w:r w:rsidRPr="004311F9">
        <w:rPr>
          <w:sz w:val="20"/>
          <w:lang w:val="hu-HU"/>
        </w:rPr>
        <w:t>gátlás</w:t>
      </w:r>
      <w:r w:rsidR="00EE1B55" w:rsidRPr="004311F9">
        <w:rPr>
          <w:sz w:val="20"/>
          <w:lang w:val="hu-HU"/>
        </w:rPr>
        <w:t>a</w:t>
      </w:r>
      <w:r w:rsidRPr="004311F9">
        <w:rPr>
          <w:sz w:val="20"/>
          <w:lang w:val="hu-HU"/>
        </w:rPr>
        <w:t>, mind a túlérzékenység egyetlen, korábban nem kezelt betegnél fordult elő</w:t>
      </w:r>
      <w:r w:rsidR="00074E6E" w:rsidRPr="004311F9">
        <w:rPr>
          <w:sz w:val="20"/>
          <w:lang w:val="hu-HU"/>
        </w:rPr>
        <w:t xml:space="preserve"> a IV. vizsgálatban</w:t>
      </w:r>
      <w:r w:rsidRPr="004311F9">
        <w:rPr>
          <w:sz w:val="20"/>
          <w:lang w:val="hu-HU"/>
        </w:rPr>
        <w:t>. Lásd</w:t>
      </w:r>
      <w:r w:rsidR="005F393D" w:rsidRPr="004311F9">
        <w:rPr>
          <w:sz w:val="20"/>
          <w:lang w:val="hu-HU"/>
        </w:rPr>
        <w:t xml:space="preserve"> a</w:t>
      </w:r>
      <w:r w:rsidRPr="004311F9">
        <w:rPr>
          <w:sz w:val="20"/>
          <w:lang w:val="hu-HU"/>
        </w:rPr>
        <w:t xml:space="preserve"> kiválasztott mellékhatások leírását.</w:t>
      </w:r>
    </w:p>
    <w:p w14:paraId="60C6AFB3" w14:textId="77777777" w:rsidR="00E74F5A" w:rsidRPr="004311F9" w:rsidRDefault="00E74F5A" w:rsidP="00F74D15">
      <w:pPr>
        <w:pStyle w:val="Default"/>
        <w:rPr>
          <w:rFonts w:eastAsia="Times New Roman"/>
          <w:color w:val="auto"/>
          <w:sz w:val="22"/>
          <w:u w:val="single"/>
          <w:lang w:val="hu-HU"/>
        </w:rPr>
      </w:pPr>
    </w:p>
    <w:p w14:paraId="0954323D" w14:textId="77777777" w:rsidR="00E74F5A" w:rsidRPr="004311F9" w:rsidRDefault="005F393D" w:rsidP="00335696">
      <w:pPr>
        <w:pStyle w:val="Default"/>
        <w:keepNext/>
        <w:rPr>
          <w:rFonts w:eastAsia="Times New Roman"/>
          <w:color w:val="auto"/>
          <w:sz w:val="22"/>
          <w:u w:val="single"/>
          <w:lang w:val="hu-HU"/>
        </w:rPr>
      </w:pPr>
      <w:r w:rsidRPr="004311F9">
        <w:rPr>
          <w:rFonts w:eastAsia="Times New Roman"/>
          <w:color w:val="auto"/>
          <w:sz w:val="22"/>
          <w:u w:val="single"/>
          <w:lang w:val="hu-HU"/>
        </w:rPr>
        <w:t>K</w:t>
      </w:r>
      <w:r w:rsidR="00E74F5A" w:rsidRPr="004311F9">
        <w:rPr>
          <w:rFonts w:eastAsia="Times New Roman"/>
          <w:color w:val="auto"/>
          <w:sz w:val="22"/>
          <w:u w:val="single"/>
          <w:lang w:val="hu-HU"/>
        </w:rPr>
        <w:t>iválasztott mellékhatások leírása</w:t>
      </w:r>
    </w:p>
    <w:p w14:paraId="7E180E38" w14:textId="237AC2BF" w:rsidR="00E74F5A" w:rsidRPr="004311F9" w:rsidRDefault="00E74F5A" w:rsidP="00DC4CB1">
      <w:pPr>
        <w:pStyle w:val="Default"/>
        <w:rPr>
          <w:rFonts w:eastAsia="Times New Roman"/>
          <w:color w:val="auto"/>
          <w:sz w:val="22"/>
          <w:lang w:val="hu-HU"/>
        </w:rPr>
      </w:pPr>
      <w:r w:rsidRPr="004311F9">
        <w:rPr>
          <w:rFonts w:eastAsia="Times New Roman"/>
          <w:color w:val="auto"/>
          <w:sz w:val="22"/>
          <w:lang w:val="hu-HU"/>
        </w:rPr>
        <w:t>A klinikai vizsgálati program során egy (korábban nem kezelt) betegnél a IV. vizsgálatban alakult ki a túlérzékenységhez társult alacsony IX</w:t>
      </w:r>
      <w:r w:rsidRPr="004311F9">
        <w:rPr>
          <w:rFonts w:eastAsia="Times New Roman"/>
          <w:color w:val="auto"/>
          <w:sz w:val="22"/>
          <w:lang w:val="hu-HU"/>
        </w:rPr>
        <w:noBreakHyphen/>
        <w:t>es faktor</w:t>
      </w:r>
      <w:r w:rsidRPr="004311F9">
        <w:rPr>
          <w:rFonts w:eastAsia="Times New Roman"/>
          <w:color w:val="auto"/>
          <w:sz w:val="22"/>
          <w:lang w:val="hu-HU"/>
        </w:rPr>
        <w:noBreakHyphen/>
        <w:t>inhibitor titer (lásd 5.1 pont).</w:t>
      </w:r>
      <w:r w:rsidR="005325DB" w:rsidRPr="004311F9">
        <w:rPr>
          <w:rFonts w:eastAsia="Times New Roman"/>
          <w:color w:val="auto"/>
          <w:sz w:val="22"/>
          <w:lang w:val="hu-HU"/>
        </w:rPr>
        <w:t xml:space="preserve"> </w:t>
      </w:r>
      <w:r w:rsidR="005325DB" w:rsidRPr="004311F9">
        <w:rPr>
          <w:rFonts w:eastAsia="Times New Roman"/>
          <w:color w:val="auto"/>
          <w:sz w:val="22"/>
          <w:lang w:val="hu-HU"/>
        </w:rPr>
        <w:t>A forgalomba hozatal után IX</w:t>
      </w:r>
      <w:r w:rsidR="005325DB" w:rsidRPr="004311F9">
        <w:rPr>
          <w:rFonts w:eastAsia="Times New Roman"/>
          <w:color w:val="auto"/>
          <w:sz w:val="22"/>
          <w:lang w:val="hu-HU"/>
        </w:rPr>
        <w:noBreakHyphen/>
        <w:t>es faktor</w:t>
      </w:r>
      <w:r w:rsidR="005325DB" w:rsidRPr="004311F9">
        <w:rPr>
          <w:rFonts w:eastAsia="Times New Roman"/>
          <w:color w:val="auto"/>
          <w:sz w:val="22"/>
          <w:lang w:val="hu-HU"/>
        </w:rPr>
        <w:noBreakHyphen/>
        <w:t>inhibitorok kialakulását és túlérzékenységet (az anaphylaxiát is beleértve) figyeltek meg.</w:t>
      </w:r>
    </w:p>
    <w:p w14:paraId="7BE68628" w14:textId="77777777" w:rsidR="00E74F5A" w:rsidRPr="004311F9" w:rsidRDefault="00E74F5A" w:rsidP="00DC4CB1">
      <w:pPr>
        <w:pStyle w:val="Default"/>
        <w:rPr>
          <w:rFonts w:eastAsia="Times New Roman"/>
          <w:color w:val="auto"/>
          <w:sz w:val="22"/>
          <w:u w:val="single"/>
          <w:lang w:val="hu-HU"/>
        </w:rPr>
      </w:pPr>
    </w:p>
    <w:p w14:paraId="55B5AAA2" w14:textId="77777777" w:rsidR="00E74F5A" w:rsidRPr="004311F9" w:rsidRDefault="00E74F5A" w:rsidP="00DC4CB1">
      <w:pPr>
        <w:pStyle w:val="Default"/>
        <w:keepNext/>
        <w:rPr>
          <w:rFonts w:eastAsia="Times New Roman"/>
          <w:color w:val="auto"/>
          <w:sz w:val="22"/>
          <w:u w:val="single"/>
          <w:lang w:val="hu-HU"/>
        </w:rPr>
      </w:pPr>
      <w:r w:rsidRPr="004311F9">
        <w:rPr>
          <w:color w:val="auto"/>
          <w:sz w:val="22"/>
          <w:u w:val="single"/>
          <w:lang w:val="hu-HU"/>
        </w:rPr>
        <w:t>Gyermekek és serdülők</w:t>
      </w:r>
    </w:p>
    <w:p w14:paraId="355FFDAA" w14:textId="77777777" w:rsidR="00E74F5A" w:rsidRPr="004311F9" w:rsidRDefault="00E74F5A" w:rsidP="00DC4CB1">
      <w:pPr>
        <w:autoSpaceDE w:val="0"/>
        <w:autoSpaceDN w:val="0"/>
        <w:adjustRightInd w:val="0"/>
        <w:spacing w:line="240" w:lineRule="auto"/>
        <w:rPr>
          <w:szCs w:val="24"/>
          <w:lang w:val="hu-HU"/>
        </w:rPr>
      </w:pPr>
      <w:r w:rsidRPr="004311F9">
        <w:rPr>
          <w:szCs w:val="24"/>
          <w:lang w:val="hu-HU"/>
        </w:rPr>
        <w:t>Gyermekeknél a mellékhatások gyakorisága, típusa és súlyossága várhatóan hasonló a felnőtteknél tapasztaltakhoz. A gyermekekről rendelkezésre álló biztonságossági adatbázis méretét és életkori jellemzőit illetően lásd az 5.1 pontot.</w:t>
      </w:r>
    </w:p>
    <w:p w14:paraId="3E93436A" w14:textId="77777777" w:rsidR="00E74F5A" w:rsidRPr="004311F9" w:rsidRDefault="00E74F5A" w:rsidP="00DC4CB1">
      <w:pPr>
        <w:autoSpaceDE w:val="0"/>
        <w:autoSpaceDN w:val="0"/>
        <w:adjustRightInd w:val="0"/>
        <w:spacing w:line="240" w:lineRule="auto"/>
        <w:rPr>
          <w:rFonts w:eastAsia="Times New Roman"/>
          <w:b/>
          <w:i/>
          <w:szCs w:val="24"/>
          <w:lang w:val="hu-HU"/>
        </w:rPr>
      </w:pPr>
    </w:p>
    <w:p w14:paraId="328E1F7D" w14:textId="77777777" w:rsidR="00E74F5A" w:rsidRPr="004311F9" w:rsidRDefault="00E74F5A" w:rsidP="00DC4CB1">
      <w:pPr>
        <w:keepNext/>
        <w:autoSpaceDE w:val="0"/>
        <w:autoSpaceDN w:val="0"/>
        <w:adjustRightInd w:val="0"/>
        <w:spacing w:line="240" w:lineRule="auto"/>
        <w:rPr>
          <w:szCs w:val="24"/>
          <w:u w:val="single"/>
          <w:lang w:val="hu-HU"/>
        </w:rPr>
      </w:pPr>
      <w:r w:rsidRPr="004311F9">
        <w:rPr>
          <w:szCs w:val="24"/>
          <w:u w:val="single"/>
          <w:lang w:val="hu-HU"/>
        </w:rPr>
        <w:t>Feltételezett mellékhatások bejelentése</w:t>
      </w:r>
    </w:p>
    <w:p w14:paraId="115ABA0E" w14:textId="77777777" w:rsidR="00E74F5A" w:rsidRPr="004311F9" w:rsidRDefault="00E74F5A" w:rsidP="00DC4CB1">
      <w:pPr>
        <w:autoSpaceDE w:val="0"/>
        <w:autoSpaceDN w:val="0"/>
        <w:adjustRightInd w:val="0"/>
        <w:spacing w:line="240" w:lineRule="auto"/>
        <w:rPr>
          <w:rFonts w:eastAsia="Times New Roman"/>
          <w:szCs w:val="24"/>
          <w:lang w:val="hu-HU"/>
        </w:rPr>
      </w:pPr>
      <w:r w:rsidRPr="004311F9">
        <w:rPr>
          <w:szCs w:val="24"/>
          <w:lang w:val="hu-HU"/>
        </w:rPr>
        <w:t>A gyógyszer engedélyezését követően lényeges a feltételezett mellékhatások bejelentése, mert ez fontos eszköze annak, hogy a gyógyszer előny/kockázat p</w:t>
      </w:r>
      <w:r w:rsidRPr="004311F9">
        <w:rPr>
          <w:rFonts w:eastAsia="Times New Roman"/>
          <w:szCs w:val="24"/>
          <w:lang w:val="hu-HU"/>
        </w:rPr>
        <w:t xml:space="preserve">rofilját folyamatosan figyelemmel lehessen kísérni. Az egészségügyi szakembereket kérjük, hogy jelentsék be a feltételezett mellékhatásokat a hatóság részére az </w:t>
      </w:r>
      <w:hyperlink r:id="rId8" w:history="1">
        <w:r w:rsidRPr="004311F9">
          <w:rPr>
            <w:rFonts w:eastAsia="Times New Roman"/>
            <w:color w:val="0000FF"/>
            <w:szCs w:val="22"/>
            <w:u w:val="single"/>
            <w:shd w:val="clear" w:color="auto" w:fill="BFBFBF"/>
            <w:lang w:val="hu-HU" w:eastAsia="en-US"/>
          </w:rPr>
          <w:t>V. függelékben</w:t>
        </w:r>
      </w:hyperlink>
      <w:r w:rsidRPr="004311F9">
        <w:rPr>
          <w:shd w:val="clear" w:color="auto" w:fill="BFBFBF"/>
          <w:lang w:val="hu-HU" w:eastAsia="en-US"/>
        </w:rPr>
        <w:t xml:space="preserve"> található elérhetőségek valamelyikén keresztül</w:t>
      </w:r>
      <w:r w:rsidRPr="004311F9">
        <w:rPr>
          <w:rFonts w:eastAsia="Times New Roman"/>
          <w:szCs w:val="24"/>
          <w:lang w:val="hu-HU"/>
        </w:rPr>
        <w:t>.</w:t>
      </w:r>
    </w:p>
    <w:p w14:paraId="60A0750A" w14:textId="77777777" w:rsidR="00E74F5A" w:rsidRPr="004311F9" w:rsidRDefault="00E74F5A" w:rsidP="00DC4CB1">
      <w:pPr>
        <w:spacing w:line="240" w:lineRule="auto"/>
        <w:rPr>
          <w:rFonts w:eastAsia="Times New Roman"/>
          <w:szCs w:val="24"/>
          <w:lang w:val="hu-HU"/>
        </w:rPr>
      </w:pPr>
    </w:p>
    <w:p w14:paraId="06B6E531" w14:textId="77777777" w:rsidR="00E74F5A" w:rsidRPr="004311F9" w:rsidRDefault="00E74F5A" w:rsidP="00DC4CB1">
      <w:pPr>
        <w:keepNext/>
        <w:autoSpaceDE w:val="0"/>
        <w:autoSpaceDN w:val="0"/>
        <w:adjustRightInd w:val="0"/>
        <w:spacing w:line="240" w:lineRule="auto"/>
        <w:rPr>
          <w:szCs w:val="24"/>
          <w:lang w:val="hu-HU"/>
        </w:rPr>
      </w:pPr>
      <w:r w:rsidRPr="004311F9">
        <w:rPr>
          <w:b/>
          <w:szCs w:val="24"/>
          <w:lang w:val="hu-HU"/>
        </w:rPr>
        <w:t>4.9</w:t>
      </w:r>
      <w:r w:rsidRPr="004311F9">
        <w:rPr>
          <w:b/>
          <w:szCs w:val="24"/>
          <w:lang w:val="hu-HU"/>
        </w:rPr>
        <w:tab/>
        <w:t>Túladagolás</w:t>
      </w:r>
    </w:p>
    <w:p w14:paraId="31833323" w14:textId="77777777" w:rsidR="00E74F5A" w:rsidRPr="004311F9" w:rsidRDefault="00E74F5A" w:rsidP="00DC4CB1">
      <w:pPr>
        <w:keepNext/>
        <w:autoSpaceDE w:val="0"/>
        <w:autoSpaceDN w:val="0"/>
        <w:adjustRightInd w:val="0"/>
        <w:spacing w:line="240" w:lineRule="auto"/>
        <w:rPr>
          <w:rFonts w:eastAsia="Times New Roman"/>
          <w:szCs w:val="24"/>
          <w:lang w:val="hu-HU"/>
        </w:rPr>
      </w:pPr>
    </w:p>
    <w:p w14:paraId="114D913F" w14:textId="77777777" w:rsidR="00E74F5A" w:rsidRPr="004311F9" w:rsidRDefault="00E74F5A" w:rsidP="00DC4CB1">
      <w:pPr>
        <w:spacing w:line="240" w:lineRule="auto"/>
        <w:rPr>
          <w:i/>
          <w:szCs w:val="24"/>
          <w:lang w:val="hu-HU"/>
        </w:rPr>
      </w:pPr>
      <w:r w:rsidRPr="004311F9">
        <w:rPr>
          <w:szCs w:val="24"/>
          <w:lang w:val="hu-HU"/>
        </w:rPr>
        <w:t>Az ajánlottnál nagyobb ALPROLIX</w:t>
      </w:r>
      <w:r w:rsidRPr="004311F9">
        <w:rPr>
          <w:szCs w:val="24"/>
          <w:lang w:val="hu-HU"/>
        </w:rPr>
        <w:noBreakHyphen/>
        <w:t>adagok hatásait nem jellemezték.</w:t>
      </w:r>
    </w:p>
    <w:p w14:paraId="67C9D4F5" w14:textId="77777777" w:rsidR="00E74F5A" w:rsidRPr="004311F9" w:rsidRDefault="00E74F5A" w:rsidP="00DC4CB1">
      <w:pPr>
        <w:spacing w:line="240" w:lineRule="auto"/>
        <w:rPr>
          <w:rFonts w:eastAsia="Times New Roman"/>
          <w:szCs w:val="24"/>
          <w:lang w:val="hu-HU"/>
        </w:rPr>
      </w:pPr>
    </w:p>
    <w:p w14:paraId="44FBA840" w14:textId="77777777" w:rsidR="00E74F5A" w:rsidRPr="004311F9" w:rsidRDefault="00E74F5A" w:rsidP="00DC4CB1">
      <w:pPr>
        <w:suppressAutoHyphens/>
        <w:spacing w:line="240" w:lineRule="auto"/>
        <w:ind w:left="567" w:hanging="567"/>
        <w:rPr>
          <w:rFonts w:eastAsia="Times New Roman"/>
          <w:b/>
          <w:szCs w:val="24"/>
          <w:lang w:val="hu-HU"/>
        </w:rPr>
      </w:pPr>
    </w:p>
    <w:p w14:paraId="057272A6" w14:textId="77777777" w:rsidR="00E74F5A" w:rsidRPr="004311F9" w:rsidRDefault="00E74F5A" w:rsidP="00DC4CB1">
      <w:pPr>
        <w:keepNext/>
        <w:autoSpaceDE w:val="0"/>
        <w:autoSpaceDN w:val="0"/>
        <w:adjustRightInd w:val="0"/>
        <w:spacing w:line="240" w:lineRule="auto"/>
        <w:rPr>
          <w:szCs w:val="24"/>
          <w:lang w:val="hu-HU"/>
        </w:rPr>
      </w:pPr>
      <w:r w:rsidRPr="004311F9">
        <w:rPr>
          <w:b/>
          <w:szCs w:val="24"/>
          <w:lang w:val="hu-HU"/>
        </w:rPr>
        <w:lastRenderedPageBreak/>
        <w:t>5.</w:t>
      </w:r>
      <w:r w:rsidRPr="004311F9">
        <w:rPr>
          <w:b/>
          <w:szCs w:val="24"/>
          <w:lang w:val="hu-HU"/>
        </w:rPr>
        <w:tab/>
        <w:t>FARMAKOLÓGIAI TULAJDONSÁGOK</w:t>
      </w:r>
    </w:p>
    <w:p w14:paraId="12A50427" w14:textId="77777777" w:rsidR="00E74F5A" w:rsidRPr="004311F9" w:rsidRDefault="00E74F5A" w:rsidP="00DC4CB1">
      <w:pPr>
        <w:keepNext/>
        <w:autoSpaceDE w:val="0"/>
        <w:autoSpaceDN w:val="0"/>
        <w:adjustRightInd w:val="0"/>
        <w:spacing w:line="240" w:lineRule="auto"/>
        <w:rPr>
          <w:rFonts w:eastAsia="Times New Roman"/>
          <w:szCs w:val="24"/>
          <w:lang w:val="hu-HU"/>
        </w:rPr>
      </w:pPr>
    </w:p>
    <w:p w14:paraId="5F9D0855" w14:textId="77777777" w:rsidR="00E74F5A" w:rsidRPr="004311F9" w:rsidRDefault="00E74F5A" w:rsidP="00DC4CB1">
      <w:pPr>
        <w:keepNext/>
        <w:autoSpaceDE w:val="0"/>
        <w:autoSpaceDN w:val="0"/>
        <w:adjustRightInd w:val="0"/>
        <w:spacing w:line="240" w:lineRule="auto"/>
        <w:rPr>
          <w:szCs w:val="24"/>
          <w:lang w:val="hu-HU"/>
        </w:rPr>
      </w:pPr>
      <w:r w:rsidRPr="004311F9">
        <w:rPr>
          <w:b/>
          <w:szCs w:val="24"/>
          <w:lang w:val="hu-HU"/>
        </w:rPr>
        <w:t>5.1</w:t>
      </w:r>
      <w:r w:rsidRPr="004311F9">
        <w:rPr>
          <w:b/>
          <w:szCs w:val="24"/>
          <w:lang w:val="hu-HU"/>
        </w:rPr>
        <w:tab/>
        <w:t>Farmakodinámiás tulajdonságok</w:t>
      </w:r>
    </w:p>
    <w:p w14:paraId="26559F9D" w14:textId="77777777" w:rsidR="00E74F5A" w:rsidRPr="004311F9" w:rsidRDefault="00E74F5A" w:rsidP="00DC4CB1">
      <w:pPr>
        <w:keepNext/>
        <w:autoSpaceDE w:val="0"/>
        <w:autoSpaceDN w:val="0"/>
        <w:adjustRightInd w:val="0"/>
        <w:spacing w:line="240" w:lineRule="auto"/>
        <w:rPr>
          <w:rFonts w:eastAsia="Times New Roman"/>
          <w:szCs w:val="24"/>
          <w:lang w:val="hu-HU"/>
        </w:rPr>
      </w:pPr>
    </w:p>
    <w:p w14:paraId="3DD911BE" w14:textId="77777777" w:rsidR="00E74F5A" w:rsidRPr="004311F9" w:rsidRDefault="00E74F5A" w:rsidP="00224CF7">
      <w:pPr>
        <w:spacing w:line="240" w:lineRule="auto"/>
        <w:rPr>
          <w:rFonts w:eastAsia="Times New Roman"/>
          <w:szCs w:val="24"/>
          <w:lang w:val="hu-HU"/>
        </w:rPr>
      </w:pPr>
      <w:r w:rsidRPr="004311F9">
        <w:rPr>
          <w:rFonts w:eastAsia="Times New Roman"/>
          <w:szCs w:val="24"/>
          <w:lang w:val="hu-HU"/>
        </w:rPr>
        <w:t>Farmakoterápiás csoport: vérzés elleni szerek, IX</w:t>
      </w:r>
      <w:r w:rsidRPr="004311F9">
        <w:rPr>
          <w:rFonts w:eastAsia="Times New Roman"/>
          <w:szCs w:val="24"/>
          <w:lang w:val="hu-HU"/>
        </w:rPr>
        <w:noBreakHyphen/>
        <w:t>es véralvadási faktor, ATC kód: B02BD04</w:t>
      </w:r>
    </w:p>
    <w:p w14:paraId="4B8A7958" w14:textId="77777777" w:rsidR="00E74F5A" w:rsidRPr="004311F9" w:rsidRDefault="00E74F5A" w:rsidP="00DC4CB1">
      <w:pPr>
        <w:spacing w:line="240" w:lineRule="auto"/>
        <w:rPr>
          <w:rFonts w:eastAsia="Times New Roman"/>
          <w:szCs w:val="24"/>
          <w:lang w:val="hu-HU"/>
        </w:rPr>
      </w:pPr>
    </w:p>
    <w:p w14:paraId="1A5DFE36" w14:textId="77777777" w:rsidR="00E74F5A" w:rsidRPr="004311F9" w:rsidRDefault="00E74F5A" w:rsidP="00DC4CB1">
      <w:pPr>
        <w:keepNext/>
        <w:autoSpaceDE w:val="0"/>
        <w:autoSpaceDN w:val="0"/>
        <w:adjustRightInd w:val="0"/>
        <w:spacing w:line="240" w:lineRule="auto"/>
        <w:rPr>
          <w:szCs w:val="24"/>
          <w:u w:val="single"/>
          <w:lang w:val="hu-HU"/>
        </w:rPr>
      </w:pPr>
      <w:r w:rsidRPr="004311F9">
        <w:rPr>
          <w:szCs w:val="24"/>
          <w:u w:val="single"/>
          <w:lang w:val="hu-HU"/>
        </w:rPr>
        <w:t>Hatásmechanizmus</w:t>
      </w:r>
    </w:p>
    <w:p w14:paraId="18D7114C" w14:textId="216F0024" w:rsidR="005325DB" w:rsidRPr="004311F9" w:rsidRDefault="00E74F5A" w:rsidP="00DC4CB1">
      <w:pPr>
        <w:autoSpaceDE w:val="0"/>
        <w:autoSpaceDN w:val="0"/>
        <w:adjustRightInd w:val="0"/>
        <w:spacing w:line="240" w:lineRule="auto"/>
        <w:rPr>
          <w:szCs w:val="24"/>
          <w:lang w:val="hu-HU"/>
        </w:rPr>
      </w:pPr>
      <w:r w:rsidRPr="004311F9">
        <w:rPr>
          <w:lang w:val="hu-HU"/>
        </w:rPr>
        <w:t>A IX</w:t>
      </w:r>
      <w:r w:rsidRPr="004311F9">
        <w:rPr>
          <w:lang w:val="hu-HU"/>
        </w:rPr>
        <w:noBreakHyphen/>
        <w:t xml:space="preserve">es faktor egy egyláncú glikoprotein, melynek molekulatömege körülbelül </w:t>
      </w:r>
      <w:r w:rsidR="005325DB" w:rsidRPr="004311F9">
        <w:rPr>
          <w:lang w:val="hu-HU"/>
        </w:rPr>
        <w:t>55</w:t>
      </w:r>
      <w:r w:rsidRPr="004311F9">
        <w:rPr>
          <w:lang w:val="hu-HU"/>
        </w:rPr>
        <w:t> 000 Dalton. K</w:t>
      </w:r>
      <w:r w:rsidRPr="004311F9">
        <w:rPr>
          <w:lang w:val="hu-HU"/>
        </w:rPr>
        <w:noBreakHyphen/>
        <w:t>vitamin függő véralvadási faktor. A IX</w:t>
      </w:r>
      <w:r w:rsidRPr="004311F9">
        <w:rPr>
          <w:lang w:val="hu-HU"/>
        </w:rPr>
        <w:noBreakHyphen/>
        <w:t>es faktort a XIa faktor aktiválja az intrinzik alvadási útvonalon, illetve a VII</w:t>
      </w:r>
      <w:r w:rsidRPr="004311F9">
        <w:rPr>
          <w:lang w:val="hu-HU"/>
        </w:rPr>
        <w:noBreakHyphen/>
        <w:t>es faktor/szöveti faktor komplex az extrinzik útvonalon. Az aktivált IX</w:t>
      </w:r>
      <w:r w:rsidRPr="004311F9">
        <w:rPr>
          <w:lang w:val="hu-HU"/>
        </w:rPr>
        <w:noBreakHyphen/>
        <w:t>es faktor az aktivált VIII</w:t>
      </w:r>
      <w:r w:rsidRPr="004311F9">
        <w:rPr>
          <w:lang w:val="hu-HU"/>
        </w:rPr>
        <w:noBreakHyphen/>
        <w:t>as faktorral együtt aktiválja a X</w:t>
      </w:r>
      <w:r w:rsidRPr="004311F9">
        <w:rPr>
          <w:lang w:val="hu-HU"/>
        </w:rPr>
        <w:noBreakHyphen/>
        <w:t xml:space="preserve">es faktort. </w:t>
      </w:r>
      <w:r w:rsidRPr="004311F9">
        <w:rPr>
          <w:szCs w:val="24"/>
          <w:lang w:val="hu-HU"/>
        </w:rPr>
        <w:t>Az aktivált X</w:t>
      </w:r>
      <w:r w:rsidRPr="004311F9">
        <w:rPr>
          <w:szCs w:val="24"/>
          <w:lang w:val="hu-HU"/>
        </w:rPr>
        <w:noBreakHyphen/>
        <w:t xml:space="preserve">es faktor a protrombint trombinná alakítja át. A trombin ezután a fibrinogént fibrinné alakítja, és kialakul a véralvadék. </w:t>
      </w:r>
    </w:p>
    <w:p w14:paraId="22EE1DE8" w14:textId="3A652A8A" w:rsidR="00E74F5A" w:rsidRPr="004311F9" w:rsidRDefault="00E74F5A" w:rsidP="00DC4CB1">
      <w:pPr>
        <w:autoSpaceDE w:val="0"/>
        <w:autoSpaceDN w:val="0"/>
        <w:adjustRightInd w:val="0"/>
        <w:spacing w:line="240" w:lineRule="auto"/>
        <w:rPr>
          <w:szCs w:val="24"/>
          <w:lang w:val="hu-HU"/>
        </w:rPr>
      </w:pPr>
      <w:r w:rsidRPr="004311F9">
        <w:rPr>
          <w:szCs w:val="24"/>
          <w:lang w:val="hu-HU"/>
        </w:rPr>
        <w:t xml:space="preserve">A haemophilia B </w:t>
      </w:r>
      <w:r w:rsidR="00074E6E" w:rsidRPr="004311F9">
        <w:rPr>
          <w:szCs w:val="24"/>
          <w:lang w:val="hu-HU"/>
        </w:rPr>
        <w:t>nemhez</w:t>
      </w:r>
      <w:r w:rsidRPr="004311F9">
        <w:rPr>
          <w:szCs w:val="24"/>
          <w:lang w:val="hu-HU"/>
        </w:rPr>
        <w:t xml:space="preserve"> kötött, örökletes véralvadási zavar, amely a IX</w:t>
      </w:r>
      <w:r w:rsidRPr="004311F9">
        <w:rPr>
          <w:szCs w:val="24"/>
          <w:lang w:val="hu-HU"/>
        </w:rPr>
        <w:noBreakHyphen/>
        <w:t>es faktor csökkent szintje következtében alakul ki, és spontán módon vagy balesetek, illetve műtéti trauma hatására kialakuló vérzésekhez vezet az ízületekben, izmokban vagy a belső szervekben. A szubsztitúciós kezelés hatására emelkedik a plazma IX</w:t>
      </w:r>
      <w:r w:rsidRPr="004311F9">
        <w:rPr>
          <w:szCs w:val="24"/>
          <w:lang w:val="hu-HU"/>
        </w:rPr>
        <w:noBreakHyphen/>
        <w:t>es faktor szintje, ami lehetővé teszi a faktorhiány és a fokozott vérzéshajlam átmeneti korrigálását.</w:t>
      </w:r>
    </w:p>
    <w:p w14:paraId="23FE2147" w14:textId="77777777" w:rsidR="00E74F5A" w:rsidRPr="004311F9" w:rsidRDefault="00E74F5A" w:rsidP="00DC4CB1">
      <w:pPr>
        <w:autoSpaceDE w:val="0"/>
        <w:autoSpaceDN w:val="0"/>
        <w:adjustRightInd w:val="0"/>
        <w:spacing w:line="240" w:lineRule="auto"/>
        <w:rPr>
          <w:rFonts w:eastAsia="Times New Roman"/>
          <w:szCs w:val="24"/>
          <w:lang w:val="hu-HU"/>
        </w:rPr>
      </w:pPr>
    </w:p>
    <w:p w14:paraId="674F6C05" w14:textId="77777777" w:rsidR="00E74F5A" w:rsidRPr="004311F9" w:rsidRDefault="00E74F5A" w:rsidP="00DC4CB1">
      <w:pPr>
        <w:autoSpaceDE w:val="0"/>
        <w:autoSpaceDN w:val="0"/>
        <w:adjustRightInd w:val="0"/>
        <w:spacing w:line="240" w:lineRule="auto"/>
        <w:rPr>
          <w:szCs w:val="24"/>
          <w:lang w:val="hu-HU"/>
        </w:rPr>
      </w:pPr>
      <w:r w:rsidRPr="004311F9">
        <w:rPr>
          <w:szCs w:val="24"/>
          <w:lang w:val="hu-HU"/>
        </w:rPr>
        <w:t>Az ALPROLIX (eftrenonakog</w:t>
      </w:r>
      <w:r w:rsidRPr="004311F9">
        <w:rPr>
          <w:szCs w:val="24"/>
          <w:lang w:val="hu-HU"/>
        </w:rPr>
        <w:noBreakHyphen/>
        <w:t>alfa) egy hosszú hatástartamú, teljes mértékben rekombináns fúziós fehérje, amely rekombináns DNS</w:t>
      </w:r>
      <w:r w:rsidRPr="004311F9">
        <w:rPr>
          <w:szCs w:val="24"/>
          <w:lang w:val="hu-HU"/>
        </w:rPr>
        <w:noBreakHyphen/>
        <w:t>technológiával előállított humán G1 immunglobulin Fc</w:t>
      </w:r>
      <w:r w:rsidRPr="004311F9">
        <w:rPr>
          <w:szCs w:val="24"/>
          <w:lang w:val="hu-HU"/>
        </w:rPr>
        <w:noBreakHyphen/>
        <w:t>doménjéhez kovalensen kötött humán IX</w:t>
      </w:r>
      <w:r w:rsidRPr="004311F9">
        <w:rPr>
          <w:szCs w:val="24"/>
          <w:lang w:val="hu-HU"/>
        </w:rPr>
        <w:noBreakHyphen/>
        <w:t>es véralvadási faktort tartalmaz.</w:t>
      </w:r>
    </w:p>
    <w:p w14:paraId="6CEFE3BD" w14:textId="77777777" w:rsidR="00E74F5A" w:rsidRPr="004311F9" w:rsidRDefault="00E74F5A" w:rsidP="00DC4CB1">
      <w:pPr>
        <w:autoSpaceDE w:val="0"/>
        <w:autoSpaceDN w:val="0"/>
        <w:adjustRightInd w:val="0"/>
        <w:spacing w:line="240" w:lineRule="auto"/>
        <w:rPr>
          <w:szCs w:val="24"/>
          <w:lang w:val="hu-HU"/>
        </w:rPr>
      </w:pPr>
    </w:p>
    <w:p w14:paraId="4A00C764" w14:textId="77777777" w:rsidR="00E74F5A" w:rsidRPr="004311F9" w:rsidRDefault="00E74F5A" w:rsidP="00DC4CB1">
      <w:pPr>
        <w:autoSpaceDE w:val="0"/>
        <w:autoSpaceDN w:val="0"/>
        <w:adjustRightInd w:val="0"/>
        <w:spacing w:line="240" w:lineRule="auto"/>
        <w:rPr>
          <w:szCs w:val="24"/>
          <w:lang w:val="hu-HU"/>
        </w:rPr>
      </w:pPr>
      <w:r w:rsidRPr="004311F9">
        <w:rPr>
          <w:szCs w:val="24"/>
          <w:lang w:val="hu-HU"/>
        </w:rPr>
        <w:t>A humán G1 immunglobulin Fc</w:t>
      </w:r>
      <w:r w:rsidRPr="004311F9">
        <w:rPr>
          <w:szCs w:val="24"/>
          <w:lang w:val="hu-HU"/>
        </w:rPr>
        <w:noBreakHyphen/>
        <w:t>régiója a neonatalis Fc</w:t>
      </w:r>
      <w:r w:rsidRPr="004311F9">
        <w:rPr>
          <w:szCs w:val="24"/>
          <w:lang w:val="hu-HU"/>
        </w:rPr>
        <w:noBreakHyphen/>
        <w:t>receptorhoz kötődik. Ez a receptor élethosszig expresszálódik annak a természetes módon jelenlévő útvonalnak a részeként, amely megvédi az immunglobulinokat a lizoszomális lebontással szemben, visszajuttatva ezeket a fehérjéket a keringésbe, ennek eredményeképpen e fehérjék plazmabeli felezési ideje hosszú.</w:t>
      </w:r>
    </w:p>
    <w:p w14:paraId="1AEE1961" w14:textId="77777777" w:rsidR="00E74F5A" w:rsidRPr="004311F9" w:rsidRDefault="00E74F5A" w:rsidP="00DC4CB1">
      <w:pPr>
        <w:autoSpaceDE w:val="0"/>
        <w:autoSpaceDN w:val="0"/>
        <w:adjustRightInd w:val="0"/>
        <w:spacing w:line="240" w:lineRule="auto"/>
        <w:rPr>
          <w:rFonts w:eastAsia="Times New Roman"/>
          <w:szCs w:val="24"/>
          <w:lang w:val="hu-HU"/>
        </w:rPr>
      </w:pPr>
    </w:p>
    <w:p w14:paraId="3B504DBE" w14:textId="77777777" w:rsidR="00E74F5A" w:rsidRPr="004311F9" w:rsidRDefault="00E74F5A" w:rsidP="00DC4CB1">
      <w:pPr>
        <w:keepNext/>
        <w:autoSpaceDE w:val="0"/>
        <w:autoSpaceDN w:val="0"/>
        <w:adjustRightInd w:val="0"/>
        <w:spacing w:line="240" w:lineRule="auto"/>
        <w:rPr>
          <w:szCs w:val="24"/>
          <w:u w:val="single"/>
          <w:lang w:val="hu-HU"/>
        </w:rPr>
      </w:pPr>
      <w:r w:rsidRPr="004311F9">
        <w:rPr>
          <w:szCs w:val="24"/>
          <w:u w:val="single"/>
          <w:lang w:val="hu-HU"/>
        </w:rPr>
        <w:t>Klinikai hatásosság és biztonságosság</w:t>
      </w:r>
    </w:p>
    <w:p w14:paraId="12C35202" w14:textId="0D855AA8" w:rsidR="00E74F5A" w:rsidRPr="004311F9" w:rsidRDefault="00E74F5A" w:rsidP="00DC4CB1">
      <w:pPr>
        <w:autoSpaceDE w:val="0"/>
        <w:autoSpaceDN w:val="0"/>
        <w:adjustRightInd w:val="0"/>
        <w:spacing w:line="240" w:lineRule="auto"/>
        <w:rPr>
          <w:szCs w:val="24"/>
          <w:lang w:val="hu-HU"/>
        </w:rPr>
      </w:pPr>
      <w:r w:rsidRPr="004311F9">
        <w:rPr>
          <w:szCs w:val="24"/>
          <w:lang w:val="hu-HU"/>
        </w:rPr>
        <w:t>Az ALPROLIX biztonságosságát, hatásosságát és farmakokinetikáját 2 multinacionális, nyílt elrendezésű, pivotális vizsgálatban értékelték korábban kezelt betegek esetén; egy felnőttek és serdülők bevonásával végzett III. fázisú vizsgálatban, a továbbiakban: I. vizsgálat, valamint egy III. fázisú gyermekgyógyászati vizsgálatban, a továbbiakban: II. vizsgálat (lásd: Gyermekek és serdülők). Az ALPROLIX biztonságosságát és hatásosságát ugyancsak értékelték korábban nem kezelt, súlyos haemophilia B</w:t>
      </w:r>
      <w:r w:rsidRPr="004311F9">
        <w:rPr>
          <w:szCs w:val="24"/>
          <w:lang w:val="hu-HU"/>
        </w:rPr>
        <w:noBreakHyphen/>
        <w:t>ben szenvedő betegek esetén (IV. vizsgálat), lásd Gyermek</w:t>
      </w:r>
      <w:r w:rsidR="00C10C19" w:rsidRPr="004311F9">
        <w:rPr>
          <w:szCs w:val="24"/>
          <w:lang w:val="hu-HU"/>
        </w:rPr>
        <w:t>ek és serdülők</w:t>
      </w:r>
      <w:r w:rsidRPr="004311F9">
        <w:rPr>
          <w:szCs w:val="24"/>
          <w:lang w:val="hu-HU"/>
        </w:rPr>
        <w:t>.</w:t>
      </w:r>
    </w:p>
    <w:p w14:paraId="6A2DE45A" w14:textId="77777777" w:rsidR="00E74F5A" w:rsidRPr="004311F9" w:rsidRDefault="00E74F5A" w:rsidP="00DC4CB1">
      <w:pPr>
        <w:autoSpaceDE w:val="0"/>
        <w:autoSpaceDN w:val="0"/>
        <w:adjustRightInd w:val="0"/>
        <w:spacing w:line="240" w:lineRule="auto"/>
        <w:rPr>
          <w:rFonts w:eastAsia="Times New Roman"/>
          <w:szCs w:val="24"/>
          <w:lang w:val="hu-HU"/>
        </w:rPr>
      </w:pPr>
    </w:p>
    <w:p w14:paraId="7D9E316D" w14:textId="77777777" w:rsidR="00E74F5A" w:rsidRPr="004311F9" w:rsidRDefault="00E74F5A" w:rsidP="00DC4CB1">
      <w:pPr>
        <w:autoSpaceDE w:val="0"/>
        <w:autoSpaceDN w:val="0"/>
        <w:adjustRightInd w:val="0"/>
        <w:spacing w:line="240" w:lineRule="auto"/>
        <w:rPr>
          <w:lang w:val="hu-HU"/>
        </w:rPr>
      </w:pPr>
      <w:r w:rsidRPr="004311F9">
        <w:rPr>
          <w:szCs w:val="24"/>
          <w:lang w:val="hu-HU"/>
        </w:rPr>
        <w:t>Az I. vizsgálatban 2 prophylacticus kezelési rend (</w:t>
      </w:r>
      <w:r w:rsidRPr="004311F9">
        <w:rPr>
          <w:lang w:val="hu-HU"/>
        </w:rPr>
        <w:t xml:space="preserve">fix heti adagolási gyakoriság 50 NE/kg adásával és </w:t>
      </w:r>
      <w:r w:rsidRPr="004311F9">
        <w:rPr>
          <w:szCs w:val="24"/>
          <w:lang w:val="hu-HU"/>
        </w:rPr>
        <w:t xml:space="preserve">egyénre szabott </w:t>
      </w:r>
      <w:r w:rsidRPr="004311F9">
        <w:rPr>
          <w:lang w:val="hu-HU"/>
        </w:rPr>
        <w:t>adagolási intervallum 10 naponta 100 NE/kg adásával</w:t>
      </w:r>
      <w:r w:rsidRPr="004311F9">
        <w:rPr>
          <w:szCs w:val="24"/>
          <w:lang w:val="hu-HU"/>
        </w:rPr>
        <w:t>) hatásosságát hasonlították össze a szükség szerinti kezelés hatásosságával. A vizsgálatba összesen 123, korábban kezelt, súlyos haemophilia B</w:t>
      </w:r>
      <w:r w:rsidRPr="004311F9">
        <w:rPr>
          <w:szCs w:val="24"/>
          <w:lang w:val="hu-HU"/>
        </w:rPr>
        <w:noBreakHyphen/>
        <w:t xml:space="preserve">ben szenvedő </w:t>
      </w:r>
      <w:r w:rsidRPr="004311F9">
        <w:rPr>
          <w:lang w:val="hu-HU"/>
        </w:rPr>
        <w:t>(≤2%</w:t>
      </w:r>
      <w:r w:rsidRPr="004311F9">
        <w:rPr>
          <w:lang w:val="hu-HU"/>
        </w:rPr>
        <w:noBreakHyphen/>
        <w:t>os endogén IX</w:t>
      </w:r>
      <w:r w:rsidRPr="004311F9">
        <w:rPr>
          <w:lang w:val="hu-HU"/>
        </w:rPr>
        <w:noBreakHyphen/>
        <w:t xml:space="preserve">es faktor aktivitás) </w:t>
      </w:r>
      <w:r w:rsidRPr="004311F9">
        <w:rPr>
          <w:szCs w:val="24"/>
          <w:lang w:val="hu-HU"/>
        </w:rPr>
        <w:t>férfibeteget (12</w:t>
      </w:r>
      <w:r w:rsidRPr="004311F9">
        <w:rPr>
          <w:szCs w:val="24"/>
          <w:lang w:val="hu-HU"/>
        </w:rPr>
        <w:noBreakHyphen/>
        <w:t xml:space="preserve">től 71 éves korig) vontak be. Az összes beteg </w:t>
      </w:r>
      <w:r w:rsidRPr="004311F9">
        <w:rPr>
          <w:lang w:val="hu-HU"/>
        </w:rPr>
        <w:t>ALPROLIX</w:t>
      </w:r>
      <w:r w:rsidRPr="004311F9">
        <w:rPr>
          <w:lang w:val="hu-HU"/>
        </w:rPr>
        <w:noBreakHyphen/>
        <w:t>szal végzett kezelésben részesült, és utánkövetés történt 77 hétig.</w:t>
      </w:r>
    </w:p>
    <w:p w14:paraId="38DB0F8B" w14:textId="77777777" w:rsidR="00E74F5A" w:rsidRPr="004311F9" w:rsidRDefault="00E74F5A" w:rsidP="00DC4CB1">
      <w:pPr>
        <w:autoSpaceDE w:val="0"/>
        <w:autoSpaceDN w:val="0"/>
        <w:adjustRightInd w:val="0"/>
        <w:spacing w:line="240" w:lineRule="auto"/>
        <w:rPr>
          <w:szCs w:val="24"/>
          <w:lang w:val="hu-HU"/>
        </w:rPr>
      </w:pPr>
    </w:p>
    <w:p w14:paraId="46F02588" w14:textId="3EB0DEC7" w:rsidR="00E74F5A" w:rsidRPr="004311F9" w:rsidRDefault="00E74F5A" w:rsidP="00DC4CB1">
      <w:pPr>
        <w:autoSpaceDE w:val="0"/>
        <w:autoSpaceDN w:val="0"/>
        <w:adjustRightInd w:val="0"/>
        <w:spacing w:line="240" w:lineRule="auto"/>
        <w:rPr>
          <w:szCs w:val="24"/>
          <w:lang w:val="hu-HU"/>
        </w:rPr>
      </w:pPr>
      <w:r w:rsidRPr="004311F9">
        <w:rPr>
          <w:szCs w:val="24"/>
          <w:lang w:val="hu-HU"/>
        </w:rPr>
        <w:t>Az I. vizsgálatot befejező 123 vizsgálati alany közül 93</w:t>
      </w:r>
      <w:r w:rsidRPr="004311F9">
        <w:rPr>
          <w:szCs w:val="24"/>
          <w:lang w:val="hu-HU"/>
        </w:rPr>
        <w:noBreakHyphen/>
        <w:t>at vontak be a III. vizsgálatba (kiterjesztett vizsgálat), így az összesített medián utánkövetési idő 6,5 év volt.</w:t>
      </w:r>
    </w:p>
    <w:p w14:paraId="6E990F28" w14:textId="00E75D5B" w:rsidR="00BC0D45" w:rsidRPr="004311F9" w:rsidRDefault="00BC0D45" w:rsidP="00DC4CB1">
      <w:pPr>
        <w:autoSpaceDE w:val="0"/>
        <w:autoSpaceDN w:val="0"/>
        <w:adjustRightInd w:val="0"/>
        <w:spacing w:line="240" w:lineRule="auto"/>
        <w:rPr>
          <w:szCs w:val="24"/>
          <w:lang w:val="hu-HU"/>
        </w:rPr>
      </w:pPr>
    </w:p>
    <w:p w14:paraId="236A7CE7" w14:textId="77777777" w:rsidR="00135010" w:rsidRPr="004311F9" w:rsidRDefault="00BC0D45" w:rsidP="00DC4CB1">
      <w:pPr>
        <w:autoSpaceDE w:val="0"/>
        <w:autoSpaceDN w:val="0"/>
        <w:adjustRightInd w:val="0"/>
        <w:spacing w:line="240" w:lineRule="auto"/>
        <w:rPr>
          <w:lang w:val="hu-HU"/>
        </w:rPr>
      </w:pPr>
      <w:r w:rsidRPr="004311F9">
        <w:rPr>
          <w:lang w:val="hu-HU"/>
        </w:rPr>
        <w:t>Megjegyzendő, hogy a különböző faktor koncentrátumok mellett, illetve a különböző klinikai vizsgálatokban kapott éves vérzési gyakoriság (Annualised Bleeding Rates, ABR) értékek nem hasonlíthatók össze</w:t>
      </w:r>
      <w:r w:rsidR="00135010" w:rsidRPr="004311F9">
        <w:rPr>
          <w:lang w:val="hu-HU"/>
        </w:rPr>
        <w:t>.</w:t>
      </w:r>
    </w:p>
    <w:p w14:paraId="05DCAAAD" w14:textId="77777777" w:rsidR="00E74F5A" w:rsidRPr="004311F9" w:rsidRDefault="00E74F5A" w:rsidP="00DC4CB1">
      <w:pPr>
        <w:autoSpaceDE w:val="0"/>
        <w:autoSpaceDN w:val="0"/>
        <w:adjustRightInd w:val="0"/>
        <w:spacing w:line="240" w:lineRule="auto"/>
        <w:rPr>
          <w:rFonts w:eastAsia="Times New Roman"/>
          <w:szCs w:val="24"/>
          <w:lang w:val="hu-HU"/>
        </w:rPr>
      </w:pPr>
    </w:p>
    <w:p w14:paraId="7D8C6145" w14:textId="561DB238" w:rsidR="00E74F5A" w:rsidRPr="004311F9" w:rsidRDefault="00E74F5A" w:rsidP="00DC4CB1">
      <w:pPr>
        <w:keepNext/>
        <w:spacing w:line="240" w:lineRule="auto"/>
        <w:rPr>
          <w:lang w:val="hu-HU"/>
        </w:rPr>
      </w:pPr>
      <w:r w:rsidRPr="004311F9">
        <w:rPr>
          <w:i/>
          <w:u w:val="single"/>
          <w:lang w:val="hu-HU"/>
        </w:rPr>
        <w:t>Fix heti adagolási gyakorisággal, illetve egyénre szabott adagolási intervallumokkal végzett prophylaxis</w:t>
      </w:r>
    </w:p>
    <w:p w14:paraId="2ED2F723" w14:textId="77777777" w:rsidR="005325DB" w:rsidRPr="004311F9" w:rsidRDefault="00E74F5A" w:rsidP="00DC4CB1">
      <w:pPr>
        <w:spacing w:line="240" w:lineRule="auto"/>
        <w:rPr>
          <w:lang w:val="hu-HU"/>
        </w:rPr>
      </w:pPr>
      <w:r w:rsidRPr="004311F9">
        <w:rPr>
          <w:lang w:val="hu-HU"/>
        </w:rPr>
        <w:t>Az I. vizsgálatban a fix heti adagolásban részesülő kar vizsgálati alanyainál a heti adag mediánja 45,17 NE/kg (interkvartilis tartomány [interquartile range, IQR]: 38,1</w:t>
      </w:r>
      <w:r w:rsidRPr="004311F9">
        <w:rPr>
          <w:lang w:val="hu-HU"/>
        </w:rPr>
        <w:noBreakHyphen/>
        <w:t xml:space="preserve">53,7) volt. A vonatkozó ABR </w:t>
      </w:r>
      <w:r w:rsidRPr="004311F9">
        <w:rPr>
          <w:lang w:val="hu-HU"/>
        </w:rPr>
        <w:lastRenderedPageBreak/>
        <w:t>mediánja azoknál a vizsgálati alanyoknál, akiknél a hatásosság értékelhető volt, 2,95 (IQR: 1,01</w:t>
      </w:r>
      <w:r w:rsidRPr="004311F9">
        <w:rPr>
          <w:lang w:val="hu-HU"/>
        </w:rPr>
        <w:noBreakHyphen/>
        <w:t>4,35) volt, és a III. vizsgálat alatt mindvégig hasonló maradt (1,85 (IQR: 0,76</w:t>
      </w:r>
      <w:r w:rsidRPr="004311F9">
        <w:rPr>
          <w:lang w:val="hu-HU"/>
        </w:rPr>
        <w:noBreakHyphen/>
        <w:t xml:space="preserve">4,0)). </w:t>
      </w:r>
    </w:p>
    <w:p w14:paraId="3AA50EAD" w14:textId="77777777" w:rsidR="005325DB" w:rsidRPr="004311F9" w:rsidRDefault="005325DB" w:rsidP="00DC4CB1">
      <w:pPr>
        <w:spacing w:line="240" w:lineRule="auto"/>
        <w:rPr>
          <w:lang w:val="hu-HU"/>
        </w:rPr>
      </w:pPr>
    </w:p>
    <w:p w14:paraId="0D7C9DA3" w14:textId="2F4D117F" w:rsidR="00E74F5A" w:rsidRPr="004311F9" w:rsidRDefault="00E74F5A" w:rsidP="00DC4CB1">
      <w:pPr>
        <w:spacing w:line="240" w:lineRule="auto"/>
        <w:rPr>
          <w:lang w:val="hu-HU"/>
        </w:rPr>
      </w:pPr>
      <w:r w:rsidRPr="004311F9">
        <w:rPr>
          <w:lang w:val="hu-HU"/>
        </w:rPr>
        <w:t>A III. vizsgálatban a spontán ízületi vérzések medián száma 0,38 (IQR: 0,00</w:t>
      </w:r>
      <w:r w:rsidRPr="004311F9">
        <w:rPr>
          <w:lang w:val="hu-HU"/>
        </w:rPr>
        <w:noBreakHyphen/>
        <w:t xml:space="preserve">1,43) volt a vizsgálati alanyoknál. </w:t>
      </w:r>
    </w:p>
    <w:p w14:paraId="00B83C94" w14:textId="77777777" w:rsidR="00E74F5A" w:rsidRPr="004311F9" w:rsidRDefault="00E74F5A" w:rsidP="00DC4CB1">
      <w:pPr>
        <w:spacing w:line="240" w:lineRule="auto"/>
        <w:rPr>
          <w:lang w:val="hu-HU"/>
        </w:rPr>
      </w:pPr>
    </w:p>
    <w:p w14:paraId="36F89C62" w14:textId="02FE92E4" w:rsidR="00E74F5A" w:rsidRPr="004311F9" w:rsidRDefault="00E74F5A" w:rsidP="00DC4CB1">
      <w:pPr>
        <w:spacing w:line="240" w:lineRule="auto"/>
        <w:rPr>
          <w:lang w:val="hu-HU"/>
        </w:rPr>
      </w:pPr>
      <w:r w:rsidRPr="004311F9">
        <w:rPr>
          <w:lang w:val="hu-HU"/>
        </w:rPr>
        <w:t>A egyénre szabott adagolási intervallumú prophylaxist alkalmazó karra bevont vizsgálati alanyoknál az adagolási intervallum mediánja 12,53 nap (IQR: 10,4</w:t>
      </w:r>
      <w:r w:rsidRPr="004311F9">
        <w:rPr>
          <w:lang w:val="hu-HU"/>
        </w:rPr>
        <w:noBreakHyphen/>
        <w:t>13,4) volt az I. vizsgálatban. A vonatkozó medián ABR 1,38 (IQR: 0,00</w:t>
      </w:r>
      <w:r w:rsidRPr="004311F9">
        <w:rPr>
          <w:lang w:val="hu-HU"/>
        </w:rPr>
        <w:noBreakHyphen/>
        <w:t xml:space="preserve">3,43) volt, és a III. vizsgálatban mindvégig hasonló maradt (1,85 </w:t>
      </w:r>
      <w:r w:rsidR="004B4085" w:rsidRPr="004311F9">
        <w:rPr>
          <w:lang w:val="hu-HU"/>
        </w:rPr>
        <w:t>[</w:t>
      </w:r>
      <w:r w:rsidRPr="004311F9">
        <w:rPr>
          <w:lang w:val="hu-HU"/>
        </w:rPr>
        <w:t>IQR: 0,76</w:t>
      </w:r>
      <w:r w:rsidRPr="004311F9">
        <w:rPr>
          <w:lang w:val="hu-HU"/>
        </w:rPr>
        <w:noBreakHyphen/>
        <w:t>4,0</w:t>
      </w:r>
      <w:r w:rsidR="004B4085" w:rsidRPr="004311F9">
        <w:rPr>
          <w:lang w:val="hu-HU"/>
        </w:rPr>
        <w:t>]</w:t>
      </w:r>
      <w:r w:rsidRPr="004311F9">
        <w:rPr>
          <w:lang w:val="hu-HU"/>
        </w:rPr>
        <w:t>).</w:t>
      </w:r>
    </w:p>
    <w:p w14:paraId="7A94324B" w14:textId="77777777" w:rsidR="00E74F5A" w:rsidRPr="004311F9" w:rsidRDefault="00E74F5A" w:rsidP="00DC4CB1">
      <w:pPr>
        <w:spacing w:line="240" w:lineRule="auto"/>
        <w:rPr>
          <w:lang w:val="hu-HU"/>
        </w:rPr>
      </w:pPr>
      <w:r w:rsidRPr="004311F9">
        <w:rPr>
          <w:lang w:val="hu-HU"/>
        </w:rPr>
        <w:t>Az adagolási intervallumok és a faktorfelhasználás a III. vizsgálatban mindkét prophylacticus kezelési rend esetében hasonló volt, mint az I. vizsgálatban.</w:t>
      </w:r>
    </w:p>
    <w:p w14:paraId="225A529F" w14:textId="77777777" w:rsidR="00E74F5A" w:rsidRPr="004311F9" w:rsidRDefault="00E74F5A" w:rsidP="00DC4CB1">
      <w:pPr>
        <w:spacing w:line="240" w:lineRule="auto"/>
        <w:rPr>
          <w:szCs w:val="22"/>
          <w:lang w:val="hu-HU"/>
        </w:rPr>
      </w:pPr>
    </w:p>
    <w:p w14:paraId="7E205C79" w14:textId="77777777" w:rsidR="00E74F5A" w:rsidRPr="004311F9" w:rsidRDefault="00E74F5A" w:rsidP="00DC4CB1">
      <w:pPr>
        <w:spacing w:line="240" w:lineRule="auto"/>
        <w:rPr>
          <w:lang w:val="hu-HU"/>
        </w:rPr>
      </w:pPr>
      <w:r w:rsidRPr="004311F9">
        <w:rPr>
          <w:szCs w:val="24"/>
          <w:lang w:val="hu-HU"/>
        </w:rPr>
        <w:t>Az egyénre szabott prophylaxis ideje alatt a vizsgálati alanyok 42%</w:t>
      </w:r>
      <w:r w:rsidRPr="004311F9">
        <w:rPr>
          <w:szCs w:val="24"/>
          <w:lang w:val="hu-HU"/>
        </w:rPr>
        <w:noBreakHyphen/>
        <w:t>ánál, a heti prophylaxis alatt pedig a vizsgálati alanyok 23,0%</w:t>
      </w:r>
      <w:r w:rsidRPr="004311F9">
        <w:rPr>
          <w:szCs w:val="24"/>
          <w:lang w:val="hu-HU"/>
        </w:rPr>
        <w:noBreakHyphen/>
        <w:t xml:space="preserve">ánál nem tapasztaltak vérzést. Az </w:t>
      </w:r>
      <w:r w:rsidRPr="004311F9">
        <w:rPr>
          <w:lang w:val="hu-HU"/>
        </w:rPr>
        <w:t>egyénre szabott adagolási intervallumú prophylaxist alkalmazó csoportban alacsonyabb volt a kiinduláskor ≥1 target ízülettel rendelkezők aránya, mint a heti adagolási gyakoriságú prophylaxist alkalmazóknál (27,6% vs. 57,1%).</w:t>
      </w:r>
    </w:p>
    <w:p w14:paraId="3A888F6F" w14:textId="288D17B8" w:rsidR="00E74F5A" w:rsidRPr="004311F9" w:rsidRDefault="00E74F5A" w:rsidP="00DC4CB1">
      <w:pPr>
        <w:spacing w:line="240" w:lineRule="auto"/>
        <w:rPr>
          <w:szCs w:val="24"/>
          <w:lang w:val="hu-HU"/>
        </w:rPr>
      </w:pPr>
    </w:p>
    <w:p w14:paraId="23F36A5F" w14:textId="77777777" w:rsidR="00E74F5A" w:rsidRPr="004311F9" w:rsidRDefault="00E74F5A" w:rsidP="00DC4CB1">
      <w:pPr>
        <w:spacing w:line="240" w:lineRule="auto"/>
        <w:rPr>
          <w:rFonts w:eastAsia="Times New Roman"/>
          <w:szCs w:val="24"/>
          <w:lang w:val="hu-HU"/>
        </w:rPr>
      </w:pPr>
    </w:p>
    <w:p w14:paraId="5132F670" w14:textId="71EAD709" w:rsidR="005325DB" w:rsidRPr="004311F9" w:rsidRDefault="00E74F5A" w:rsidP="00DC4CB1">
      <w:pPr>
        <w:shd w:val="clear" w:color="auto" w:fill="FFFFFF"/>
        <w:tabs>
          <w:tab w:val="clear" w:pos="567"/>
        </w:tabs>
        <w:spacing w:line="240" w:lineRule="auto"/>
        <w:rPr>
          <w:szCs w:val="24"/>
          <w:lang w:val="hu-HU"/>
        </w:rPr>
      </w:pPr>
      <w:r w:rsidRPr="004311F9">
        <w:rPr>
          <w:i/>
          <w:szCs w:val="24"/>
          <w:u w:val="single"/>
          <w:lang w:val="hu-HU"/>
        </w:rPr>
        <w:t>Vérzés kezelése</w:t>
      </w:r>
    </w:p>
    <w:p w14:paraId="4C447835" w14:textId="01D7DC81" w:rsidR="00E74F5A" w:rsidRPr="004311F9" w:rsidRDefault="00E74F5A" w:rsidP="00DC4CB1">
      <w:pPr>
        <w:shd w:val="clear" w:color="auto" w:fill="FFFFFF"/>
        <w:tabs>
          <w:tab w:val="clear" w:pos="567"/>
        </w:tabs>
        <w:spacing w:line="240" w:lineRule="auto"/>
        <w:rPr>
          <w:lang w:val="hu-HU"/>
        </w:rPr>
      </w:pPr>
      <w:r w:rsidRPr="004311F9">
        <w:rPr>
          <w:szCs w:val="24"/>
          <w:lang w:val="hu-HU"/>
        </w:rPr>
        <w:t>Az I. vizsgálat során megfigyelt 636 vérzéses esemény 90,4%</w:t>
      </w:r>
      <w:r w:rsidRPr="004311F9">
        <w:rPr>
          <w:szCs w:val="24"/>
          <w:lang w:val="hu-HU"/>
        </w:rPr>
        <w:noBreakHyphen/>
        <w:t>a volt uralható 1 injekcióval, és összességében 97,3%</w:t>
      </w:r>
      <w:r w:rsidRPr="004311F9">
        <w:rPr>
          <w:szCs w:val="24"/>
          <w:lang w:val="hu-HU"/>
        </w:rPr>
        <w:noBreakHyphen/>
        <w:t xml:space="preserve">a volt uralható 2 vagy kevesebb injekcióval. A vérzések kezelésére alkalmazott átlagos injekciónkénti adag mediánja </w:t>
      </w:r>
      <w:r w:rsidRPr="004311F9">
        <w:rPr>
          <w:lang w:val="hu-HU"/>
        </w:rPr>
        <w:t xml:space="preserve">46,07 </w:t>
      </w:r>
      <w:r w:rsidRPr="004311F9">
        <w:rPr>
          <w:szCs w:val="24"/>
          <w:lang w:val="hu-HU"/>
        </w:rPr>
        <w:t>(</w:t>
      </w:r>
      <w:r w:rsidRPr="004311F9">
        <w:rPr>
          <w:lang w:val="hu-HU"/>
        </w:rPr>
        <w:t>IQR</w:t>
      </w:r>
      <w:r w:rsidRPr="004311F9">
        <w:rPr>
          <w:szCs w:val="24"/>
          <w:lang w:val="hu-HU"/>
        </w:rPr>
        <w:t xml:space="preserve">: </w:t>
      </w:r>
      <w:r w:rsidRPr="004311F9">
        <w:rPr>
          <w:lang w:val="hu-HU"/>
        </w:rPr>
        <w:t>32,86-57,03</w:t>
      </w:r>
      <w:r w:rsidRPr="004311F9">
        <w:rPr>
          <w:szCs w:val="24"/>
          <w:lang w:val="hu-HU"/>
        </w:rPr>
        <w:t xml:space="preserve">) NE/kg volt. </w:t>
      </w:r>
      <w:r w:rsidRPr="004311F9">
        <w:rPr>
          <w:lang w:val="hu-HU"/>
        </w:rPr>
        <w:t>A vérzések kezelésére alkalmazott teljes adag mediánja 51,47 NE/kg (IQR: 35,21</w:t>
      </w:r>
      <w:r w:rsidRPr="004311F9">
        <w:rPr>
          <w:lang w:val="hu-HU"/>
        </w:rPr>
        <w:noBreakHyphen/>
        <w:t>61,73) volt a heti adagolási gyakoriságú prophylaxist alkalmazó karon, 49,62 NE/kg (IQR: 35,71</w:t>
      </w:r>
      <w:r w:rsidRPr="004311F9">
        <w:rPr>
          <w:lang w:val="hu-HU"/>
        </w:rPr>
        <w:noBreakHyphen/>
        <w:t>94,82) az egyénre szabott adagolási intervallumú prophylaxist alkalmazó karon, és 46,58 NE/kg (IQR: 33,33</w:t>
      </w:r>
      <w:r w:rsidRPr="004311F9">
        <w:rPr>
          <w:lang w:val="hu-HU"/>
        </w:rPr>
        <w:noBreakHyphen/>
        <w:t>59,41) a szükség szerinti kezelést alkalmazó karon.</w:t>
      </w:r>
    </w:p>
    <w:p w14:paraId="79C45DD8" w14:textId="77777777" w:rsidR="00E74F5A" w:rsidRPr="004311F9" w:rsidRDefault="00E74F5A" w:rsidP="00DC4CB1">
      <w:pPr>
        <w:shd w:val="clear" w:color="auto" w:fill="FFFFFF"/>
        <w:tabs>
          <w:tab w:val="clear" w:pos="567"/>
        </w:tabs>
        <w:spacing w:line="240" w:lineRule="auto"/>
        <w:rPr>
          <w:i/>
          <w:szCs w:val="22"/>
          <w:lang w:val="hu-HU"/>
        </w:rPr>
      </w:pPr>
    </w:p>
    <w:p w14:paraId="7D512A71" w14:textId="5948652F" w:rsidR="00E74F5A" w:rsidRPr="004311F9" w:rsidRDefault="00E74F5A" w:rsidP="00BB43B9">
      <w:pPr>
        <w:pStyle w:val="ListParagraph1"/>
        <w:keepNext/>
        <w:ind w:left="0"/>
        <w:rPr>
          <w:sz w:val="22"/>
          <w:lang w:val="hu-HU"/>
        </w:rPr>
      </w:pPr>
      <w:r w:rsidRPr="004311F9">
        <w:rPr>
          <w:rFonts w:eastAsia="Times New Roman"/>
          <w:i/>
          <w:sz w:val="22"/>
          <w:u w:val="single"/>
          <w:lang w:val="hu-HU"/>
        </w:rPr>
        <w:t>Periopera</w:t>
      </w:r>
      <w:r w:rsidRPr="004311F9">
        <w:rPr>
          <w:i/>
          <w:sz w:val="22"/>
          <w:u w:val="single"/>
          <w:lang w:val="hu-HU"/>
        </w:rPr>
        <w:t>tív kezelés (műtéti prophylaxis)</w:t>
      </w:r>
    </w:p>
    <w:p w14:paraId="2DD61E5F" w14:textId="77777777" w:rsidR="00E74F5A" w:rsidRPr="004311F9" w:rsidRDefault="00E74F5A" w:rsidP="00BB43B9">
      <w:pPr>
        <w:pStyle w:val="ListParagraph1"/>
        <w:ind w:left="0"/>
        <w:rPr>
          <w:kern w:val="24"/>
          <w:sz w:val="22"/>
          <w:lang w:val="hu-HU"/>
        </w:rPr>
      </w:pPr>
      <w:r w:rsidRPr="004311F9">
        <w:rPr>
          <w:sz w:val="22"/>
          <w:lang w:val="hu-HU"/>
        </w:rPr>
        <w:t xml:space="preserve">Összesen 35 nagy műtéti beavatkozást végeztek és értékeltek az I. vizsgálatban és a III. vizsgálatban részt vevő 22 vizsgálati alanynál (21 felnőtt és serdülőkorú és 1 gyermekkorú, 12 év alatti beteg). A 35 nagy műtéti beavatkozás közül 28 műtétnél (80,0%) volt szükség egyszeri preoperatív </w:t>
      </w:r>
      <w:r w:rsidRPr="004311F9">
        <w:rPr>
          <w:rFonts w:eastAsia="Times New Roman"/>
          <w:sz w:val="22"/>
          <w:lang w:val="hu-HU"/>
        </w:rPr>
        <w:t xml:space="preserve">adag alkalmazására </w:t>
      </w:r>
      <w:r w:rsidRPr="004311F9">
        <w:rPr>
          <w:sz w:val="22"/>
          <w:lang w:val="hu-HU"/>
        </w:rPr>
        <w:t>a műtét alatti haemostasis fenntartására.</w:t>
      </w:r>
      <w:r w:rsidRPr="004311F9">
        <w:rPr>
          <w:rFonts w:eastAsia="Times New Roman"/>
          <w:kern w:val="24"/>
          <w:sz w:val="22"/>
          <w:lang w:val="hu-HU"/>
        </w:rPr>
        <w:t xml:space="preserve"> </w:t>
      </w:r>
      <w:r w:rsidRPr="004311F9">
        <w:rPr>
          <w:sz w:val="22"/>
          <w:lang w:val="hu-HU"/>
        </w:rPr>
        <w:t xml:space="preserve">A műtét alatti haemostasis fenntartására alkalmazott átlagos injekciónkénti </w:t>
      </w:r>
      <w:r w:rsidRPr="004311F9">
        <w:rPr>
          <w:rFonts w:eastAsia="Times New Roman"/>
          <w:sz w:val="22"/>
          <w:lang w:val="hu-HU"/>
        </w:rPr>
        <w:t xml:space="preserve">adag </w:t>
      </w:r>
      <w:r w:rsidRPr="004311F9">
        <w:rPr>
          <w:sz w:val="22"/>
          <w:lang w:val="hu-HU"/>
        </w:rPr>
        <w:t>mediánja 94,7 NE/kg (tartomány: 49</w:t>
      </w:r>
      <w:r w:rsidRPr="004311F9">
        <w:rPr>
          <w:sz w:val="22"/>
          <w:lang w:val="hu-HU"/>
        </w:rPr>
        <w:noBreakHyphen/>
        <w:t>152 NE/kg) volt. A műtét napján alkalmazott össz</w:t>
      </w:r>
      <w:r w:rsidRPr="004311F9">
        <w:rPr>
          <w:rFonts w:eastAsia="Times New Roman"/>
          <w:sz w:val="22"/>
          <w:lang w:val="hu-HU"/>
        </w:rPr>
        <w:t xml:space="preserve">adag </w:t>
      </w:r>
      <w:r w:rsidRPr="004311F9">
        <w:rPr>
          <w:kern w:val="24"/>
          <w:sz w:val="22"/>
          <w:lang w:val="hu-HU"/>
        </w:rPr>
        <w:t>49 és 341 NE/kg között mozgott, a 14 napos perioperatív időszakban alkalmazott összadag pedig 60 és 1947 NE/kg között volt.</w:t>
      </w:r>
    </w:p>
    <w:p w14:paraId="0A57FCF4" w14:textId="77777777" w:rsidR="00E74F5A" w:rsidRPr="004311F9" w:rsidRDefault="00E74F5A" w:rsidP="00DC4CB1">
      <w:pPr>
        <w:shd w:val="clear" w:color="auto" w:fill="FFFFFF"/>
        <w:tabs>
          <w:tab w:val="clear" w:pos="567"/>
        </w:tabs>
        <w:spacing w:line="240" w:lineRule="auto"/>
        <w:rPr>
          <w:szCs w:val="22"/>
          <w:lang w:val="hu-HU"/>
        </w:rPr>
      </w:pPr>
    </w:p>
    <w:p w14:paraId="6C8FD955" w14:textId="77777777" w:rsidR="00E74F5A" w:rsidRPr="004311F9" w:rsidRDefault="00E74F5A" w:rsidP="00DC4CB1">
      <w:pPr>
        <w:shd w:val="clear" w:color="auto" w:fill="FFFFFF"/>
        <w:tabs>
          <w:tab w:val="clear" w:pos="567"/>
        </w:tabs>
        <w:spacing w:line="240" w:lineRule="auto"/>
        <w:rPr>
          <w:szCs w:val="22"/>
          <w:lang w:val="hu-HU"/>
        </w:rPr>
      </w:pPr>
      <w:r w:rsidRPr="004311F9">
        <w:rPr>
          <w:szCs w:val="22"/>
          <w:lang w:val="hu-HU"/>
        </w:rPr>
        <w:t>A haemostaticus választ a nagy műtétek 100%</w:t>
      </w:r>
      <w:r w:rsidRPr="004311F9">
        <w:rPr>
          <w:szCs w:val="22"/>
          <w:lang w:val="hu-HU"/>
        </w:rPr>
        <w:noBreakHyphen/>
        <w:t>ában kiválónak vagy jónak értékelték.</w:t>
      </w:r>
    </w:p>
    <w:p w14:paraId="659170A9" w14:textId="77777777" w:rsidR="00E74F5A" w:rsidRPr="004311F9" w:rsidRDefault="00E74F5A" w:rsidP="00DC4CB1">
      <w:pPr>
        <w:shd w:val="clear" w:color="auto" w:fill="FFFFFF"/>
        <w:tabs>
          <w:tab w:val="clear" w:pos="567"/>
        </w:tabs>
        <w:spacing w:line="240" w:lineRule="auto"/>
        <w:rPr>
          <w:i/>
          <w:szCs w:val="22"/>
          <w:lang w:val="hu-HU"/>
        </w:rPr>
      </w:pPr>
    </w:p>
    <w:p w14:paraId="179BFB0F" w14:textId="77777777" w:rsidR="00E74F5A" w:rsidRPr="004311F9" w:rsidRDefault="00E74F5A" w:rsidP="00DC4CB1">
      <w:pPr>
        <w:keepNext/>
        <w:spacing w:line="240" w:lineRule="auto"/>
        <w:rPr>
          <w:bCs/>
          <w:iCs/>
          <w:szCs w:val="22"/>
          <w:u w:val="single"/>
          <w:lang w:val="hu-HU"/>
        </w:rPr>
      </w:pPr>
      <w:r w:rsidRPr="004311F9">
        <w:rPr>
          <w:bCs/>
          <w:iCs/>
          <w:szCs w:val="22"/>
          <w:u w:val="single"/>
          <w:lang w:val="hu-HU"/>
        </w:rPr>
        <w:t>Gyermekek és serdülők</w:t>
      </w:r>
    </w:p>
    <w:p w14:paraId="55FB24FF" w14:textId="77777777" w:rsidR="00E74F5A" w:rsidRPr="004311F9" w:rsidRDefault="00E74F5A" w:rsidP="00224CF7">
      <w:pPr>
        <w:keepNext/>
        <w:spacing w:line="240" w:lineRule="auto"/>
        <w:rPr>
          <w:bCs/>
          <w:iCs/>
          <w:szCs w:val="22"/>
          <w:lang w:val="hu-HU"/>
        </w:rPr>
      </w:pPr>
    </w:p>
    <w:p w14:paraId="1EC72D78" w14:textId="77777777" w:rsidR="00E74F5A" w:rsidRPr="004311F9" w:rsidRDefault="00E74F5A" w:rsidP="00224CF7">
      <w:pPr>
        <w:spacing w:line="240" w:lineRule="auto"/>
        <w:rPr>
          <w:bCs/>
          <w:iCs/>
          <w:szCs w:val="22"/>
          <w:lang w:val="hu-HU"/>
        </w:rPr>
      </w:pPr>
      <w:r w:rsidRPr="004311F9">
        <w:rPr>
          <w:bCs/>
          <w:iCs/>
          <w:szCs w:val="22"/>
          <w:lang w:val="hu-HU"/>
        </w:rPr>
        <w:t>A II. vizsgálatba összesen 30, súlyos haemophilia B</w:t>
      </w:r>
      <w:r w:rsidRPr="004311F9">
        <w:rPr>
          <w:bCs/>
          <w:iCs/>
          <w:szCs w:val="22"/>
          <w:lang w:val="hu-HU"/>
        </w:rPr>
        <w:noBreakHyphen/>
        <w:t>ben szenvedő (≤2%</w:t>
      </w:r>
      <w:r w:rsidRPr="004311F9">
        <w:rPr>
          <w:bCs/>
          <w:iCs/>
          <w:szCs w:val="22"/>
          <w:lang w:val="hu-HU"/>
        </w:rPr>
        <w:noBreakHyphen/>
        <w:t>os endogén IX</w:t>
      </w:r>
      <w:r w:rsidRPr="004311F9">
        <w:rPr>
          <w:bCs/>
          <w:iCs/>
          <w:szCs w:val="22"/>
          <w:lang w:val="hu-HU"/>
        </w:rPr>
        <w:noBreakHyphen/>
        <w:t>es faktor aktivitás), korábban már kezelt gyermek-, illetve serdülőkorú fiú beteget vontak be. A betegek 12 évesnél fiatalabbak voltak (15 beteg volt 6 év alatti, és 15 beteg volt 6 és &lt;12 év közötti). Az összes beteg ALPROLIX</w:t>
      </w:r>
      <w:r w:rsidRPr="004311F9">
        <w:rPr>
          <w:bCs/>
          <w:iCs/>
          <w:szCs w:val="22"/>
          <w:lang w:val="hu-HU"/>
        </w:rPr>
        <w:noBreakHyphen/>
        <w:t>szal végzett kezelésben részesült, és utánkövetés történt 52 hétig.</w:t>
      </w:r>
    </w:p>
    <w:p w14:paraId="5A281E79" w14:textId="77777777" w:rsidR="00E74F5A" w:rsidRPr="004311F9" w:rsidRDefault="00E74F5A" w:rsidP="00DC4CB1">
      <w:pPr>
        <w:spacing w:line="240" w:lineRule="auto"/>
        <w:rPr>
          <w:bCs/>
          <w:iCs/>
          <w:szCs w:val="22"/>
          <w:lang w:val="hu-HU"/>
        </w:rPr>
      </w:pPr>
    </w:p>
    <w:p w14:paraId="5025E58B" w14:textId="77777777" w:rsidR="00E74F5A" w:rsidRPr="004311F9" w:rsidRDefault="00E74F5A" w:rsidP="00DC4CB1">
      <w:pPr>
        <w:spacing w:line="240" w:lineRule="auto"/>
        <w:rPr>
          <w:lang w:val="hu-HU"/>
        </w:rPr>
      </w:pPr>
      <w:r w:rsidRPr="004311F9">
        <w:rPr>
          <w:lang w:val="hu-HU"/>
        </w:rPr>
        <w:t>Mind a 30 betegnél prophylacticus adagolási rend szerint alkalmazták az ALPROLIX</w:t>
      </w:r>
      <w:r w:rsidRPr="004311F9">
        <w:rPr>
          <w:lang w:val="hu-HU"/>
        </w:rPr>
        <w:noBreakHyphen/>
        <w:t>ot, melyet 7 hetente adott 50</w:t>
      </w:r>
      <w:r w:rsidRPr="004311F9">
        <w:rPr>
          <w:lang w:val="hu-HU"/>
        </w:rPr>
        <w:noBreakHyphen/>
        <w:t>60 NE/kg</w:t>
      </w:r>
      <w:r w:rsidRPr="004311F9">
        <w:rPr>
          <w:lang w:val="hu-HU"/>
        </w:rPr>
        <w:noBreakHyphen/>
        <w:t>mal kezdtek, majd az adagot legfeljebb 100 NE/kg</w:t>
      </w:r>
      <w:r w:rsidRPr="004311F9">
        <w:rPr>
          <w:lang w:val="hu-HU"/>
        </w:rPr>
        <w:noBreakHyphen/>
        <w:t>ra, az adagolási gyakoriságot pedig legalább heti egyszeri, legfeljebb heti kétszeri adagolásra emelték. A II. vizsgálatot befejező 30 beteg közül 27 beteget vontak be a III. vizsgálatba (kiterjesztett vizsgálat). A II. és a III. vizsgálatban együttvéve 2,88 év volt a részvétel medián időtartama, az expozíciós napok számának mediánja pedig 166.</w:t>
      </w:r>
    </w:p>
    <w:p w14:paraId="58E3DA50" w14:textId="77777777" w:rsidR="00E74F5A" w:rsidRPr="004311F9" w:rsidRDefault="00E74F5A" w:rsidP="00DC4CB1">
      <w:pPr>
        <w:spacing w:line="240" w:lineRule="auto"/>
        <w:rPr>
          <w:lang w:val="hu-HU"/>
        </w:rPr>
      </w:pPr>
    </w:p>
    <w:p w14:paraId="383B2094" w14:textId="47D3C6C9" w:rsidR="00E74F5A" w:rsidRPr="004311F9" w:rsidRDefault="00E74F5A" w:rsidP="00DC4CB1">
      <w:pPr>
        <w:spacing w:line="240" w:lineRule="auto"/>
        <w:rPr>
          <w:lang w:val="hu-HU"/>
        </w:rPr>
      </w:pPr>
      <w:r w:rsidRPr="004311F9">
        <w:rPr>
          <w:lang w:val="hu-HU"/>
        </w:rPr>
        <w:lastRenderedPageBreak/>
        <w:t>A IV. vizsgálatba 33, korábban nem kezelt, súlyos haemophilia B</w:t>
      </w:r>
      <w:r w:rsidRPr="004311F9">
        <w:rPr>
          <w:szCs w:val="24"/>
          <w:lang w:val="hu-HU"/>
        </w:rPr>
        <w:noBreakHyphen/>
        <w:t xml:space="preserve">ben </w:t>
      </w:r>
      <w:r w:rsidR="00C10C19" w:rsidRPr="004311F9">
        <w:rPr>
          <w:szCs w:val="24"/>
          <w:lang w:val="hu-HU"/>
        </w:rPr>
        <w:t>(</w:t>
      </w:r>
      <w:r w:rsidR="00C10C19" w:rsidRPr="004311F9">
        <w:rPr>
          <w:lang w:val="hu-HU"/>
        </w:rPr>
        <w:t>≤2% endogén FIX</w:t>
      </w:r>
      <w:r w:rsidR="00C10C19" w:rsidRPr="004311F9">
        <w:rPr>
          <w:szCs w:val="24"/>
          <w:lang w:val="hu-HU"/>
        </w:rPr>
        <w:noBreakHyphen/>
      </w:r>
      <w:r w:rsidR="00C10C19" w:rsidRPr="004311F9">
        <w:rPr>
          <w:lang w:val="hu-HU"/>
        </w:rPr>
        <w:t xml:space="preserve">aktivitás) </w:t>
      </w:r>
      <w:r w:rsidRPr="004311F9">
        <w:rPr>
          <w:szCs w:val="24"/>
          <w:lang w:val="hu-HU"/>
        </w:rPr>
        <w:t xml:space="preserve">szenvedő </w:t>
      </w:r>
      <w:r w:rsidR="00751835" w:rsidRPr="004311F9">
        <w:rPr>
          <w:szCs w:val="24"/>
          <w:lang w:val="hu-HU"/>
        </w:rPr>
        <w:t>beteget</w:t>
      </w:r>
      <w:r w:rsidRPr="004311F9">
        <w:rPr>
          <w:szCs w:val="24"/>
          <w:lang w:val="hu-HU"/>
        </w:rPr>
        <w:t xml:space="preserve"> választottak be</w:t>
      </w:r>
      <w:r w:rsidRPr="004311F9">
        <w:rPr>
          <w:lang w:val="hu-HU"/>
        </w:rPr>
        <w:t>. A beválasztáskor</w:t>
      </w:r>
      <w:r w:rsidR="00BB00B3" w:rsidRPr="004311F9">
        <w:rPr>
          <w:lang w:val="hu-HU"/>
        </w:rPr>
        <w:t xml:space="preserve"> az</w:t>
      </w:r>
      <w:r w:rsidRPr="004311F9">
        <w:rPr>
          <w:lang w:val="hu-HU"/>
        </w:rPr>
        <w:t xml:space="preserve"> átlagéletkor 0,6 év volt (tartomány: 0,08</w:t>
      </w:r>
      <w:r w:rsidRPr="004311F9">
        <w:rPr>
          <w:szCs w:val="24"/>
          <w:lang w:val="hu-HU"/>
        </w:rPr>
        <w:noBreakHyphen/>
        <w:t>2 év); a betegek 78,8%</w:t>
      </w:r>
      <w:r w:rsidRPr="004311F9">
        <w:rPr>
          <w:szCs w:val="24"/>
          <w:lang w:val="hu-HU"/>
        </w:rPr>
        <w:noBreakHyphen/>
        <w:t>a 1 évnél fiatalabb volt. Az ALPROLIX adagolás heteinek mediánja összességében 83,01 volt (tartomány: 6,7</w:t>
      </w:r>
      <w:r w:rsidRPr="004311F9">
        <w:rPr>
          <w:szCs w:val="24"/>
          <w:lang w:val="hu-HU"/>
        </w:rPr>
        <w:noBreakHyphen/>
        <w:t>226,7 hét), illetve az expozíciós napok számának mediánja összességében 76 nap volt (tartomány: 1</w:t>
      </w:r>
      <w:r w:rsidRPr="004311F9">
        <w:rPr>
          <w:szCs w:val="24"/>
          <w:lang w:val="hu-HU"/>
        </w:rPr>
        <w:noBreakHyphen/>
        <w:t>137 nap).</w:t>
      </w:r>
    </w:p>
    <w:p w14:paraId="4F5DAEB9" w14:textId="77777777" w:rsidR="00E74F5A" w:rsidRPr="004311F9" w:rsidRDefault="00E74F5A" w:rsidP="00DC4CB1">
      <w:pPr>
        <w:spacing w:line="240" w:lineRule="auto"/>
        <w:rPr>
          <w:lang w:val="hu-HU"/>
        </w:rPr>
      </w:pPr>
    </w:p>
    <w:p w14:paraId="5804CAB1" w14:textId="495EB216" w:rsidR="00E74F5A" w:rsidRPr="004311F9" w:rsidRDefault="00E74F5A" w:rsidP="00DC4CB1">
      <w:pPr>
        <w:keepNext/>
        <w:spacing w:line="240" w:lineRule="auto"/>
        <w:rPr>
          <w:lang w:val="hu-HU"/>
        </w:rPr>
      </w:pPr>
      <w:r w:rsidRPr="004311F9">
        <w:rPr>
          <w:i/>
          <w:u w:val="single"/>
          <w:lang w:val="hu-HU"/>
        </w:rPr>
        <w:t>Egyénre szabott adagolással végzett prophylaxis</w:t>
      </w:r>
    </w:p>
    <w:p w14:paraId="4AE0E030" w14:textId="77777777" w:rsidR="00E74F5A" w:rsidRPr="004311F9" w:rsidRDefault="00E74F5A" w:rsidP="00DC4CB1">
      <w:pPr>
        <w:spacing w:line="240" w:lineRule="auto"/>
        <w:rPr>
          <w:lang w:val="hu-HU"/>
        </w:rPr>
      </w:pPr>
      <w:r w:rsidRPr="004311F9">
        <w:rPr>
          <w:lang w:val="hu-HU"/>
        </w:rPr>
        <w:t>A II. vizsgálatban az ALPROLIX átlagos heti dózisainak mediánja a 6 év alatti vizsgálati alanyoknál 59,40 NE/kg volt (interkvartilis tartomány, 52,95</w:t>
      </w:r>
      <w:r w:rsidRPr="004311F9">
        <w:rPr>
          <w:lang w:val="hu-HU"/>
        </w:rPr>
        <w:noBreakHyphen/>
        <w:t>64,78 NE/kg), a 6 és &lt;12 év közötti vizsgálati alanyoknál pedig 57,78 NE/kg (interkvartilis tartomány, 51,67</w:t>
      </w:r>
      <w:r w:rsidRPr="004311F9">
        <w:rPr>
          <w:lang w:val="hu-HU"/>
        </w:rPr>
        <w:noBreakHyphen/>
        <w:t>65,01 NE/kg). Az adagolási intervallum mediánja összességében 6,99 nap volt (interkvartilis tartomány, 6,94</w:t>
      </w:r>
      <w:r w:rsidRPr="004311F9">
        <w:rPr>
          <w:lang w:val="hu-HU"/>
        </w:rPr>
        <w:noBreakHyphen/>
        <w:t>7,03), és a korcsoportok között nem volt különbség a medián adagolási intervallumban. Egy beteg kivételével, akinél az utolsó felírt adag 100 NE/kg volt 5 naponta, a többi 29 beteg utolsó felírt adagja legfeljebb 70 NE/kg volt 7 naponta. A gyermek</w:t>
      </w:r>
      <w:r w:rsidRPr="004311F9">
        <w:rPr>
          <w:lang w:val="hu-HU"/>
        </w:rPr>
        <w:noBreakHyphen/>
        <w:t xml:space="preserve"> és serdülőkorú betegek 33%</w:t>
      </w:r>
      <w:r w:rsidRPr="004311F9">
        <w:rPr>
          <w:lang w:val="hu-HU"/>
        </w:rPr>
        <w:noBreakHyphen/>
        <w:t>ánál nem tapasztaltak vérzést. Az adagolási intervallumok és a faktorfelhasználás a III. vizsgálatban hasonló volt, mint a II. vizsgálatban.</w:t>
      </w:r>
    </w:p>
    <w:p w14:paraId="30055CE4" w14:textId="77777777" w:rsidR="00E74F5A" w:rsidRPr="004311F9" w:rsidRDefault="00E74F5A" w:rsidP="00DC4CB1">
      <w:pPr>
        <w:spacing w:line="240" w:lineRule="auto"/>
        <w:rPr>
          <w:lang w:val="hu-HU"/>
        </w:rPr>
      </w:pPr>
    </w:p>
    <w:p w14:paraId="58C96D4B" w14:textId="77777777" w:rsidR="00E74F5A" w:rsidRPr="004311F9" w:rsidRDefault="00E74F5A" w:rsidP="00DC4CB1">
      <w:pPr>
        <w:spacing w:line="240" w:lineRule="auto"/>
        <w:rPr>
          <w:lang w:val="hu-HU"/>
        </w:rPr>
      </w:pPr>
      <w:r w:rsidRPr="004311F9">
        <w:rPr>
          <w:lang w:val="hu-HU"/>
        </w:rPr>
        <w:t xml:space="preserve">Az </w:t>
      </w:r>
      <w:r w:rsidRPr="004311F9">
        <w:rPr>
          <w:szCs w:val="22"/>
          <w:lang w:val="hu-HU"/>
        </w:rPr>
        <w:t>éves vérzési gyakoriság mediánja</w:t>
      </w:r>
      <w:r w:rsidRPr="004311F9">
        <w:rPr>
          <w:b/>
          <w:szCs w:val="22"/>
          <w:lang w:val="hu-HU"/>
        </w:rPr>
        <w:t xml:space="preserve"> </w:t>
      </w:r>
      <w:r w:rsidRPr="004311F9">
        <w:rPr>
          <w:lang w:val="hu-HU"/>
        </w:rPr>
        <w:t>azoknál a 12 év alatti vizsgálati alanyoknál, akiknél a hatásosság értékelhető volt, 1,97 (interkvartilis tartomány: 0,00</w:t>
      </w:r>
      <w:r w:rsidRPr="004311F9">
        <w:rPr>
          <w:lang w:val="hu-HU"/>
        </w:rPr>
        <w:noBreakHyphen/>
        <w:t>3,13) volt a II. vizsgálatban, és a III. vizsgálatban (kiterjesztett vizsgálat) mindvégig hasonló maradt.</w:t>
      </w:r>
    </w:p>
    <w:p w14:paraId="4272C79D" w14:textId="77777777" w:rsidR="00E74F5A" w:rsidRPr="004311F9" w:rsidRDefault="00E74F5A" w:rsidP="00DC4CB1">
      <w:pPr>
        <w:spacing w:line="240" w:lineRule="auto"/>
        <w:rPr>
          <w:lang w:val="hu-HU"/>
        </w:rPr>
      </w:pPr>
    </w:p>
    <w:p w14:paraId="4860A50E" w14:textId="1368D9C2" w:rsidR="00E74F5A" w:rsidRPr="004311F9" w:rsidRDefault="00E74F5A" w:rsidP="00335696">
      <w:pPr>
        <w:spacing w:line="240" w:lineRule="auto"/>
        <w:rPr>
          <w:lang w:val="hu-HU"/>
        </w:rPr>
      </w:pPr>
      <w:r w:rsidRPr="004311F9">
        <w:rPr>
          <w:lang w:val="hu-HU"/>
        </w:rPr>
        <w:t>A korábban nem kezelt betegek esetén (IV. vizsgálat) az ALPROLIX átlagos heti dózisainak mediánja 57,96 NE/kg volt (interkvartilis tartomány: 52,45</w:t>
      </w:r>
      <w:r w:rsidRPr="004311F9">
        <w:rPr>
          <w:szCs w:val="24"/>
          <w:lang w:val="hu-HU"/>
        </w:rPr>
        <w:noBreakHyphen/>
        <w:t>65,06 NE/kg) és az átlagos adagolási intervallumok mediánja 7 nap volt (interkvartilis tartomány: 6,95</w:t>
      </w:r>
      <w:r w:rsidRPr="004311F9">
        <w:rPr>
          <w:szCs w:val="24"/>
          <w:lang w:val="hu-HU"/>
        </w:rPr>
        <w:noBreakHyphen/>
        <w:t xml:space="preserve">7,12 nap). Az adagolási intervallumok és a faktorfelhasználás a IV. vizsgálatban hasonló maradt a II. és III. vizsgálatokkal összehasonlítva. A </w:t>
      </w:r>
      <w:r w:rsidRPr="004311F9">
        <w:rPr>
          <w:lang w:val="hu-HU"/>
        </w:rPr>
        <w:t>prophylacticus</w:t>
      </w:r>
      <w:r w:rsidRPr="004311F9">
        <w:rPr>
          <w:szCs w:val="24"/>
          <w:lang w:val="hu-HU"/>
        </w:rPr>
        <w:t xml:space="preserve"> kezelésben részesülő korábban nem kezelt betegek esetén 8 beteg (28,6%) nem tapasztalt vérzéses epizódokat. A </w:t>
      </w:r>
      <w:r w:rsidRPr="004311F9">
        <w:rPr>
          <w:lang w:val="hu-HU"/>
        </w:rPr>
        <w:t xml:space="preserve">prophylacticus adagolási rendben </w:t>
      </w:r>
      <w:r w:rsidRPr="004311F9">
        <w:rPr>
          <w:szCs w:val="24"/>
          <w:lang w:val="hu-HU"/>
        </w:rPr>
        <w:t>részesülő betegeknél a medián ABR összességében 1,24 volt (interkvartilis tartomány: 0,0</w:t>
      </w:r>
      <w:r w:rsidRPr="004311F9">
        <w:rPr>
          <w:szCs w:val="24"/>
          <w:lang w:val="hu-HU"/>
        </w:rPr>
        <w:noBreakHyphen/>
        <w:t>2,49).</w:t>
      </w:r>
    </w:p>
    <w:p w14:paraId="3EA8EDD1" w14:textId="77777777" w:rsidR="00E74F5A" w:rsidRPr="004311F9" w:rsidRDefault="00E74F5A" w:rsidP="00DC4CB1">
      <w:pPr>
        <w:spacing w:line="240" w:lineRule="auto"/>
        <w:rPr>
          <w:lang w:val="hu-HU"/>
        </w:rPr>
      </w:pPr>
    </w:p>
    <w:p w14:paraId="36534B81" w14:textId="50E2D30D" w:rsidR="005325DB" w:rsidRPr="004311F9" w:rsidRDefault="00E74F5A" w:rsidP="00DC4CB1">
      <w:pPr>
        <w:autoSpaceDE w:val="0"/>
        <w:autoSpaceDN w:val="0"/>
        <w:adjustRightInd w:val="0"/>
        <w:spacing w:line="240" w:lineRule="auto"/>
        <w:rPr>
          <w:i/>
          <w:u w:val="single"/>
          <w:lang w:val="hu-HU"/>
        </w:rPr>
      </w:pPr>
      <w:r w:rsidRPr="004311F9">
        <w:rPr>
          <w:i/>
          <w:u w:val="single"/>
          <w:lang w:val="hu-HU"/>
        </w:rPr>
        <w:t>Vérzések kezelése</w:t>
      </w:r>
    </w:p>
    <w:p w14:paraId="71B83BB2" w14:textId="7BE25E94" w:rsidR="00E74F5A" w:rsidRPr="004311F9" w:rsidRDefault="00E74F5A" w:rsidP="00DC4CB1">
      <w:pPr>
        <w:autoSpaceDE w:val="0"/>
        <w:autoSpaceDN w:val="0"/>
        <w:adjustRightInd w:val="0"/>
        <w:spacing w:line="240" w:lineRule="auto"/>
        <w:rPr>
          <w:lang w:val="hu-HU"/>
        </w:rPr>
      </w:pPr>
      <w:r w:rsidRPr="004311F9">
        <w:rPr>
          <w:lang w:val="hu-HU"/>
        </w:rPr>
        <w:t>A II. vizsgálat során megfigyelt 60 vérzés 75%</w:t>
      </w:r>
      <w:r w:rsidRPr="004311F9">
        <w:rPr>
          <w:lang w:val="hu-HU"/>
        </w:rPr>
        <w:noBreakHyphen/>
        <w:t>át lehetett csillapítani 1 injekcióval, és összesítve a vérzések 91,7%</w:t>
      </w:r>
      <w:r w:rsidRPr="004311F9">
        <w:rPr>
          <w:lang w:val="hu-HU"/>
        </w:rPr>
        <w:noBreakHyphen/>
        <w:t>a volt csillapítható 2 vagy kevesebb injekcióval. A vérzések kezelésére alkalmazott átlagos injekciónkénti adag mediánja 63,51 NE/kg (interkvartilis tartomány, 48,92</w:t>
      </w:r>
      <w:r w:rsidRPr="004311F9">
        <w:rPr>
          <w:lang w:val="hu-HU"/>
        </w:rPr>
        <w:noBreakHyphen/>
        <w:t>99,44) volt. A vérzések kezelésére alkalmazott teljes adag mediánja 68,22 NE/kg (interkvartilis tartomány, 50,89</w:t>
      </w:r>
      <w:r w:rsidRPr="004311F9">
        <w:rPr>
          <w:lang w:val="hu-HU"/>
        </w:rPr>
        <w:noBreakHyphen/>
        <w:t>126,19).</w:t>
      </w:r>
    </w:p>
    <w:p w14:paraId="43D71486" w14:textId="77777777" w:rsidR="00E74F5A" w:rsidRPr="004311F9" w:rsidRDefault="00E74F5A" w:rsidP="00DC4CB1">
      <w:pPr>
        <w:autoSpaceDE w:val="0"/>
        <w:autoSpaceDN w:val="0"/>
        <w:adjustRightInd w:val="0"/>
        <w:spacing w:line="240" w:lineRule="auto"/>
        <w:rPr>
          <w:lang w:val="hu-HU"/>
        </w:rPr>
      </w:pPr>
    </w:p>
    <w:p w14:paraId="2D3B3212" w14:textId="77777777" w:rsidR="00E74F5A" w:rsidRPr="004311F9" w:rsidRDefault="00E74F5A" w:rsidP="00F24684">
      <w:pPr>
        <w:autoSpaceDE w:val="0"/>
        <w:autoSpaceDN w:val="0"/>
        <w:adjustRightInd w:val="0"/>
        <w:spacing w:line="240" w:lineRule="auto"/>
        <w:rPr>
          <w:lang w:val="hu-HU"/>
        </w:rPr>
      </w:pPr>
      <w:r w:rsidRPr="004311F9">
        <w:rPr>
          <w:szCs w:val="24"/>
          <w:lang w:val="hu-HU"/>
        </w:rPr>
        <w:t xml:space="preserve">A </w:t>
      </w:r>
      <w:r w:rsidRPr="004311F9">
        <w:rPr>
          <w:lang w:val="hu-HU"/>
        </w:rPr>
        <w:t>prophylacticus</w:t>
      </w:r>
      <w:r w:rsidRPr="004311F9">
        <w:rPr>
          <w:szCs w:val="24"/>
          <w:lang w:val="hu-HU"/>
        </w:rPr>
        <w:t xml:space="preserve"> kezelésben részesülő korábban nem kezelt betegek esetén a IV. vizsgálatban megfigyelt 58 vérzéses eseményből 87,9%</w:t>
      </w:r>
      <w:r w:rsidRPr="004311F9">
        <w:rPr>
          <w:szCs w:val="24"/>
          <w:lang w:val="hu-HU"/>
        </w:rPr>
        <w:noBreakHyphen/>
        <w:t>a csillapítható volt 1 injekcióval, és összesítve a vérzéses epizódok 96,6%</w:t>
      </w:r>
      <w:r w:rsidRPr="004311F9">
        <w:rPr>
          <w:szCs w:val="24"/>
          <w:lang w:val="hu-HU"/>
        </w:rPr>
        <w:noBreakHyphen/>
        <w:t xml:space="preserve">a </w:t>
      </w:r>
      <w:r w:rsidRPr="004311F9">
        <w:rPr>
          <w:lang w:val="hu-HU"/>
        </w:rPr>
        <w:t xml:space="preserve">volt csillapítható 2 vagy kevesebb injekcióval. A vérzések kezelésére alkalmazott átlagos injekciónkénti adag mediánja 71,92 NE/kg (interkvartilis tartomány, </w:t>
      </w:r>
      <w:r w:rsidR="00F24684" w:rsidRPr="004311F9">
        <w:rPr>
          <w:lang w:val="hu-HU"/>
        </w:rPr>
        <w:t>52,45</w:t>
      </w:r>
      <w:r w:rsidR="00F24684" w:rsidRPr="004311F9">
        <w:rPr>
          <w:lang w:val="hu-HU"/>
        </w:rPr>
        <w:noBreakHyphen/>
        <w:t>100,81</w:t>
      </w:r>
      <w:r w:rsidRPr="004311F9">
        <w:rPr>
          <w:lang w:val="hu-HU"/>
        </w:rPr>
        <w:t>) volt. A vérzések kezelésére alkalmazott teljes adag mediánja 78,74 NE/kg (interkvartilis tartomány, 53,57</w:t>
      </w:r>
      <w:r w:rsidRPr="004311F9">
        <w:rPr>
          <w:lang w:val="hu-HU"/>
        </w:rPr>
        <w:noBreakHyphen/>
        <w:t>104,90).</w:t>
      </w:r>
    </w:p>
    <w:p w14:paraId="52FCAAC3" w14:textId="77777777" w:rsidR="00E74F5A" w:rsidRPr="004311F9" w:rsidRDefault="00E74F5A" w:rsidP="00DC4CB1">
      <w:pPr>
        <w:spacing w:line="240" w:lineRule="auto"/>
        <w:rPr>
          <w:rFonts w:eastAsia="Times New Roman"/>
          <w:szCs w:val="24"/>
          <w:u w:val="single"/>
          <w:lang w:val="hu-HU"/>
        </w:rPr>
      </w:pPr>
    </w:p>
    <w:p w14:paraId="422FECF5" w14:textId="77777777" w:rsidR="00E74F5A" w:rsidRPr="004311F9" w:rsidRDefault="00E74F5A" w:rsidP="00DC4CB1">
      <w:pPr>
        <w:keepNext/>
        <w:autoSpaceDE w:val="0"/>
        <w:autoSpaceDN w:val="0"/>
        <w:adjustRightInd w:val="0"/>
        <w:spacing w:line="240" w:lineRule="auto"/>
        <w:rPr>
          <w:b/>
          <w:szCs w:val="24"/>
          <w:lang w:val="hu-HU"/>
        </w:rPr>
      </w:pPr>
      <w:r w:rsidRPr="004311F9">
        <w:rPr>
          <w:b/>
          <w:szCs w:val="24"/>
          <w:lang w:val="hu-HU"/>
        </w:rPr>
        <w:t>5.2</w:t>
      </w:r>
      <w:r w:rsidRPr="004311F9">
        <w:rPr>
          <w:b/>
          <w:szCs w:val="24"/>
          <w:lang w:val="hu-HU"/>
        </w:rPr>
        <w:tab/>
        <w:t>Farmakokinetikai tulajdonságok</w:t>
      </w:r>
    </w:p>
    <w:p w14:paraId="43A23EFB" w14:textId="77777777" w:rsidR="00E74F5A" w:rsidRPr="004311F9" w:rsidRDefault="00E74F5A" w:rsidP="00DC4CB1">
      <w:pPr>
        <w:keepNext/>
        <w:autoSpaceDE w:val="0"/>
        <w:autoSpaceDN w:val="0"/>
        <w:adjustRightInd w:val="0"/>
        <w:spacing w:line="240" w:lineRule="auto"/>
        <w:rPr>
          <w:rFonts w:eastAsia="Times New Roman"/>
          <w:b/>
          <w:szCs w:val="24"/>
          <w:lang w:val="hu-HU"/>
        </w:rPr>
      </w:pPr>
    </w:p>
    <w:p w14:paraId="42570411" w14:textId="77777777" w:rsidR="00E74F5A" w:rsidRPr="004311F9" w:rsidRDefault="00E74F5A" w:rsidP="00DC4CB1">
      <w:pPr>
        <w:spacing w:line="240" w:lineRule="auto"/>
        <w:rPr>
          <w:szCs w:val="24"/>
          <w:lang w:val="hu-HU"/>
        </w:rPr>
      </w:pPr>
      <w:r w:rsidRPr="004311F9">
        <w:rPr>
          <w:szCs w:val="24"/>
          <w:lang w:val="hu-HU"/>
        </w:rPr>
        <w:t>Az ALPROLIX</w:t>
      </w:r>
      <w:r w:rsidRPr="004311F9">
        <w:rPr>
          <w:szCs w:val="24"/>
          <w:lang w:val="hu-HU"/>
        </w:rPr>
        <w:noBreakHyphen/>
        <w:t>szal az összes farmakokinetikai vizsgálatot korábban kezelt, súlyos haemophilia B</w:t>
      </w:r>
      <w:r w:rsidRPr="004311F9">
        <w:rPr>
          <w:szCs w:val="24"/>
          <w:lang w:val="hu-HU"/>
        </w:rPr>
        <w:noBreakHyphen/>
        <w:t>ben szenvedő betegek bevonásával végezték. A jelen pontban szereplő adatokat IX</w:t>
      </w:r>
      <w:r w:rsidRPr="004311F9">
        <w:rPr>
          <w:szCs w:val="24"/>
          <w:lang w:val="hu-HU"/>
        </w:rPr>
        <w:noBreakHyphen/>
        <w:t>es faktor tekintetében standard plazmával szemben kalibrált, szilícium</w:t>
      </w:r>
      <w:r w:rsidRPr="004311F9">
        <w:rPr>
          <w:szCs w:val="24"/>
          <w:lang w:val="hu-HU"/>
        </w:rPr>
        <w:noBreakHyphen/>
        <w:t>dioxid alapú aPTI reagenssel végzett egyfázisú alvadási próbák alkalmazásával kapták.</w:t>
      </w:r>
    </w:p>
    <w:p w14:paraId="1F43D4B2" w14:textId="77777777" w:rsidR="00E74F5A" w:rsidRPr="004311F9" w:rsidRDefault="00E74F5A" w:rsidP="00DC4CB1">
      <w:pPr>
        <w:spacing w:line="240" w:lineRule="auto"/>
        <w:rPr>
          <w:rFonts w:eastAsia="Times New Roman"/>
          <w:szCs w:val="24"/>
          <w:lang w:val="hu-HU"/>
        </w:rPr>
      </w:pPr>
    </w:p>
    <w:p w14:paraId="08438650" w14:textId="735A2B7A" w:rsidR="00E74F5A" w:rsidRPr="004311F9" w:rsidRDefault="00E74F5A" w:rsidP="00DC4CB1">
      <w:pPr>
        <w:spacing w:line="240" w:lineRule="auto"/>
        <w:rPr>
          <w:szCs w:val="24"/>
          <w:lang w:val="hu-HU"/>
        </w:rPr>
      </w:pPr>
      <w:r w:rsidRPr="004311F9">
        <w:rPr>
          <w:szCs w:val="24"/>
          <w:lang w:val="hu-HU"/>
        </w:rPr>
        <w:t>A farmakokinetikai jellemzőket 22, ALPROLIX</w:t>
      </w:r>
      <w:r w:rsidRPr="004311F9">
        <w:rPr>
          <w:szCs w:val="24"/>
          <w:lang w:val="hu-HU"/>
        </w:rPr>
        <w:noBreakHyphen/>
        <w:t>ot (rFIXFc) kapó (≥19 éves) vizsgálati alany esetében értékelték. A vizsgálati alanyok legalább 120 órás (5 napos) kimosási időszakot követően egyszeri, 50 NE/kg</w:t>
      </w:r>
      <w:r w:rsidRPr="004311F9">
        <w:rPr>
          <w:szCs w:val="24"/>
          <w:lang w:val="hu-HU"/>
        </w:rPr>
        <w:noBreakHyphen/>
        <w:t>os adag</w:t>
      </w:r>
      <w:r w:rsidR="00074E6E" w:rsidRPr="004311F9">
        <w:rPr>
          <w:szCs w:val="24"/>
          <w:lang w:val="hu-HU"/>
        </w:rPr>
        <w:t>o</w:t>
      </w:r>
      <w:r w:rsidRPr="004311F9">
        <w:rPr>
          <w:szCs w:val="24"/>
          <w:lang w:val="hu-HU"/>
        </w:rPr>
        <w:t>t kapt</w:t>
      </w:r>
      <w:r w:rsidR="00074E6E" w:rsidRPr="004311F9">
        <w:rPr>
          <w:szCs w:val="24"/>
          <w:lang w:val="hu-HU"/>
        </w:rPr>
        <w:t>a</w:t>
      </w:r>
      <w:r w:rsidRPr="004311F9">
        <w:rPr>
          <w:szCs w:val="24"/>
          <w:lang w:val="hu-HU"/>
        </w:rPr>
        <w:t>k. Farmakokinetikai mintákat vettek az adag beadása előtt, majd azt követően 11 időpontban, az adag beadása utáni 240. óráig (10 nap). Az ALPROLIX 50 NE/kg</w:t>
      </w:r>
      <w:r w:rsidRPr="004311F9">
        <w:rPr>
          <w:szCs w:val="24"/>
          <w:lang w:val="hu-HU"/>
        </w:rPr>
        <w:noBreakHyphen/>
        <w:t xml:space="preserve">os adagjának </w:t>
      </w:r>
      <w:r w:rsidRPr="004311F9">
        <w:rPr>
          <w:szCs w:val="24"/>
          <w:lang w:val="hu-HU"/>
        </w:rPr>
        <w:lastRenderedPageBreak/>
        <w:t>alkalmazása után nem</w:t>
      </w:r>
      <w:r w:rsidRPr="004311F9">
        <w:rPr>
          <w:szCs w:val="24"/>
          <w:lang w:val="hu-HU"/>
        </w:rPr>
        <w:noBreakHyphen/>
        <w:t>kompartmentális elemzéssel kapott farmakokinetikai paramétereket a 3. táblázat mutatja be.</w:t>
      </w:r>
    </w:p>
    <w:p w14:paraId="21844FC8" w14:textId="77777777" w:rsidR="00E74F5A" w:rsidRPr="004311F9" w:rsidRDefault="00E74F5A" w:rsidP="00DC4CB1">
      <w:pPr>
        <w:spacing w:line="240" w:lineRule="auto"/>
        <w:rPr>
          <w:rFonts w:eastAsia="Times New Roman"/>
          <w:szCs w:val="24"/>
          <w:lang w:val="hu-HU"/>
        </w:rPr>
      </w:pPr>
    </w:p>
    <w:p w14:paraId="6BF55F48" w14:textId="77777777" w:rsidR="00E74F5A" w:rsidRPr="004311F9" w:rsidRDefault="00E74F5A" w:rsidP="00DC4CB1">
      <w:pPr>
        <w:keepNext/>
        <w:shd w:val="clear" w:color="auto" w:fill="FFFFFF"/>
        <w:spacing w:line="240" w:lineRule="auto"/>
        <w:ind w:left="1276" w:hanging="1276"/>
        <w:rPr>
          <w:szCs w:val="24"/>
          <w:lang w:val="hu-HU"/>
        </w:rPr>
      </w:pPr>
      <w:r w:rsidRPr="004311F9">
        <w:rPr>
          <w:szCs w:val="24"/>
          <w:lang w:val="hu-HU"/>
        </w:rPr>
        <w:t xml:space="preserve">3. táblázat: Az ALPROLIX </w:t>
      </w:r>
      <w:r w:rsidRPr="004311F9">
        <w:rPr>
          <w:lang w:val="hu-HU"/>
        </w:rPr>
        <w:t>(50 NE/kg</w:t>
      </w:r>
      <w:r w:rsidRPr="004311F9">
        <w:rPr>
          <w:lang w:val="hu-HU"/>
        </w:rPr>
        <w:noBreakHyphen/>
        <w:t>os adag)</w:t>
      </w:r>
      <w:r w:rsidRPr="004311F9">
        <w:rPr>
          <w:szCs w:val="24"/>
          <w:lang w:val="hu-HU"/>
        </w:rPr>
        <w:t xml:space="preserve"> farmakokinetikai paraméterei</w:t>
      </w:r>
    </w:p>
    <w:tbl>
      <w:tblPr>
        <w:tblW w:w="8505" w:type="dxa"/>
        <w:tblLayout w:type="fixed"/>
        <w:tblCellMar>
          <w:left w:w="0" w:type="dxa"/>
          <w:right w:w="0" w:type="dxa"/>
        </w:tblCellMar>
        <w:tblLook w:val="00A0" w:firstRow="1" w:lastRow="0" w:firstColumn="1" w:lastColumn="0" w:noHBand="0" w:noVBand="0"/>
      </w:tblPr>
      <w:tblGrid>
        <w:gridCol w:w="4252"/>
        <w:gridCol w:w="4253"/>
      </w:tblGrid>
      <w:tr w:rsidR="00E74F5A" w:rsidRPr="004311F9" w14:paraId="5D4A854B" w14:textId="77777777" w:rsidTr="00F74D15">
        <w:tc>
          <w:tcPr>
            <w:tcW w:w="4252"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tcPr>
          <w:p w14:paraId="3F552CC4" w14:textId="77777777" w:rsidR="00E74F5A" w:rsidRPr="004311F9" w:rsidRDefault="00E74F5A" w:rsidP="00DC4CB1">
            <w:pPr>
              <w:keepNext/>
              <w:spacing w:line="240" w:lineRule="auto"/>
              <w:jc w:val="center"/>
              <w:rPr>
                <w:sz w:val="20"/>
                <w:lang w:val="hu-HU"/>
              </w:rPr>
            </w:pPr>
            <w:r w:rsidRPr="004311F9">
              <w:rPr>
                <w:b/>
                <w:sz w:val="20"/>
                <w:lang w:val="hu-HU"/>
              </w:rPr>
              <w:t>Farmakokinetikai paraméterek</w:t>
            </w:r>
            <w:r w:rsidRPr="004311F9">
              <w:rPr>
                <w:b/>
                <w:sz w:val="20"/>
                <w:vertAlign w:val="superscript"/>
                <w:lang w:val="hu-HU"/>
              </w:rPr>
              <w:t>1</w:t>
            </w:r>
          </w:p>
          <w:p w14:paraId="41A32C5A" w14:textId="77777777" w:rsidR="00E74F5A" w:rsidRPr="004311F9" w:rsidRDefault="00E74F5A" w:rsidP="00DC4CB1">
            <w:pPr>
              <w:keepNext/>
              <w:spacing w:line="240" w:lineRule="auto"/>
              <w:rPr>
                <w:rFonts w:eastAsia="Times New Roman"/>
                <w:sz w:val="20"/>
                <w:lang w:val="hu-HU"/>
              </w:rPr>
            </w:pPr>
          </w:p>
        </w:tc>
        <w:tc>
          <w:tcPr>
            <w:tcW w:w="4253"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BE947AC" w14:textId="77777777" w:rsidR="00E74F5A" w:rsidRPr="004311F9" w:rsidRDefault="00E74F5A" w:rsidP="00DC4CB1">
            <w:pPr>
              <w:keepNext/>
              <w:spacing w:line="240" w:lineRule="auto"/>
              <w:jc w:val="center"/>
              <w:rPr>
                <w:b/>
                <w:sz w:val="20"/>
                <w:lang w:val="hu-HU"/>
              </w:rPr>
            </w:pPr>
            <w:r w:rsidRPr="004311F9">
              <w:rPr>
                <w:b/>
                <w:sz w:val="20"/>
                <w:lang w:val="hu-HU"/>
              </w:rPr>
              <w:t>ALPROLIX</w:t>
            </w:r>
          </w:p>
          <w:p w14:paraId="2F6F5632" w14:textId="77777777" w:rsidR="00E74F5A" w:rsidRPr="004311F9" w:rsidRDefault="00E74F5A" w:rsidP="00DC4CB1">
            <w:pPr>
              <w:keepNext/>
              <w:spacing w:line="240" w:lineRule="auto"/>
              <w:jc w:val="center"/>
              <w:rPr>
                <w:sz w:val="20"/>
                <w:lang w:val="hu-HU"/>
              </w:rPr>
            </w:pPr>
            <w:r w:rsidRPr="004311F9">
              <w:rPr>
                <w:b/>
                <w:sz w:val="20"/>
                <w:lang w:val="hu-HU"/>
              </w:rPr>
              <w:t>(95%</w:t>
            </w:r>
            <w:r w:rsidRPr="004311F9">
              <w:rPr>
                <w:b/>
                <w:sz w:val="20"/>
                <w:lang w:val="hu-HU"/>
              </w:rPr>
              <w:noBreakHyphen/>
              <w:t>os CI)</w:t>
            </w:r>
          </w:p>
        </w:tc>
      </w:tr>
      <w:tr w:rsidR="00E74F5A" w:rsidRPr="004311F9" w14:paraId="3D2C1467" w14:textId="77777777" w:rsidTr="00F74D15">
        <w:tc>
          <w:tcPr>
            <w:tcW w:w="4252"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tcPr>
          <w:p w14:paraId="0EE872E1" w14:textId="77777777" w:rsidR="00E74F5A" w:rsidRPr="004311F9" w:rsidRDefault="00E74F5A" w:rsidP="00DC4CB1">
            <w:pPr>
              <w:keepNext/>
              <w:spacing w:line="240" w:lineRule="auto"/>
              <w:rPr>
                <w:rFonts w:eastAsia="Times New Roman"/>
                <w:sz w:val="20"/>
                <w:lang w:val="hu-HU"/>
              </w:rPr>
            </w:pPr>
          </w:p>
        </w:tc>
        <w:tc>
          <w:tcPr>
            <w:tcW w:w="4253"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68BD30C" w14:textId="77777777" w:rsidR="00E74F5A" w:rsidRPr="004311F9" w:rsidRDefault="00E74F5A" w:rsidP="00DC4CB1">
            <w:pPr>
              <w:keepNext/>
              <w:spacing w:line="240" w:lineRule="auto"/>
              <w:jc w:val="center"/>
              <w:rPr>
                <w:sz w:val="20"/>
                <w:lang w:val="hu-HU"/>
              </w:rPr>
            </w:pPr>
            <w:r w:rsidRPr="004311F9">
              <w:rPr>
                <w:sz w:val="20"/>
                <w:lang w:val="hu-HU"/>
              </w:rPr>
              <w:t>N = 22</w:t>
            </w:r>
          </w:p>
        </w:tc>
      </w:tr>
      <w:tr w:rsidR="00E74F5A" w:rsidRPr="004311F9" w14:paraId="656E1BE6" w14:textId="77777777" w:rsidTr="00F74D15">
        <w:tc>
          <w:tcPr>
            <w:tcW w:w="4252"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F17913A" w14:textId="77777777" w:rsidR="00E74F5A" w:rsidRPr="004311F9" w:rsidRDefault="00E74F5A" w:rsidP="00DC4CB1">
            <w:pPr>
              <w:keepNext/>
              <w:spacing w:line="240" w:lineRule="auto"/>
              <w:jc w:val="center"/>
              <w:rPr>
                <w:sz w:val="20"/>
                <w:lang w:val="hu-HU"/>
              </w:rPr>
            </w:pPr>
            <w:r w:rsidRPr="004311F9">
              <w:rPr>
                <w:kern w:val="24"/>
                <w:sz w:val="20"/>
                <w:lang w:val="hu-HU"/>
              </w:rPr>
              <w:t>Inkrementális visszanyerés (NE/dl per NE/kg)</w:t>
            </w:r>
          </w:p>
        </w:tc>
        <w:tc>
          <w:tcPr>
            <w:tcW w:w="4253"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62B47CC" w14:textId="77777777" w:rsidR="00E74F5A" w:rsidRPr="004311F9" w:rsidRDefault="00E74F5A" w:rsidP="00DC4CB1">
            <w:pPr>
              <w:keepNext/>
              <w:spacing w:line="240" w:lineRule="auto"/>
              <w:jc w:val="center"/>
              <w:rPr>
                <w:rFonts w:eastAsia="Times New Roman"/>
                <w:sz w:val="20"/>
                <w:lang w:val="hu-HU"/>
              </w:rPr>
            </w:pPr>
            <w:r w:rsidRPr="004311F9">
              <w:rPr>
                <w:sz w:val="20"/>
                <w:lang w:val="hu-HU"/>
              </w:rPr>
              <w:t>0,92</w:t>
            </w:r>
            <w:r w:rsidRPr="004311F9">
              <w:rPr>
                <w:sz w:val="20"/>
                <w:lang w:val="hu-HU"/>
              </w:rPr>
              <w:br/>
              <w:t>(0,77</w:t>
            </w:r>
            <w:r w:rsidRPr="004311F9">
              <w:rPr>
                <w:sz w:val="20"/>
                <w:lang w:val="hu-HU"/>
              </w:rPr>
              <w:noBreakHyphen/>
              <w:t>1,10)</w:t>
            </w:r>
          </w:p>
        </w:tc>
      </w:tr>
      <w:tr w:rsidR="00E74F5A" w:rsidRPr="004311F9" w14:paraId="28B4EEE5" w14:textId="77777777" w:rsidTr="00F74D15">
        <w:tc>
          <w:tcPr>
            <w:tcW w:w="4252"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C3128A3" w14:textId="77777777" w:rsidR="00E74F5A" w:rsidRPr="004311F9" w:rsidRDefault="00E74F5A" w:rsidP="00DC4CB1">
            <w:pPr>
              <w:keepNext/>
              <w:spacing w:line="240" w:lineRule="auto"/>
              <w:jc w:val="center"/>
              <w:rPr>
                <w:kern w:val="24"/>
                <w:sz w:val="20"/>
                <w:lang w:val="hu-HU"/>
              </w:rPr>
            </w:pPr>
            <w:r w:rsidRPr="004311F9">
              <w:rPr>
                <w:kern w:val="24"/>
                <w:sz w:val="20"/>
                <w:lang w:val="hu-HU"/>
              </w:rPr>
              <w:t>AUC/adag</w:t>
            </w:r>
          </w:p>
          <w:p w14:paraId="14F0C624" w14:textId="6542DB75" w:rsidR="00E74F5A" w:rsidRPr="004311F9" w:rsidRDefault="00E74F5A" w:rsidP="00DC4CB1">
            <w:pPr>
              <w:keepNext/>
              <w:spacing w:line="240" w:lineRule="auto"/>
              <w:jc w:val="center"/>
              <w:rPr>
                <w:sz w:val="20"/>
                <w:lang w:val="hu-HU"/>
              </w:rPr>
            </w:pPr>
            <w:r w:rsidRPr="004311F9">
              <w:rPr>
                <w:kern w:val="24"/>
                <w:sz w:val="20"/>
                <w:lang w:val="hu-HU"/>
              </w:rPr>
              <w:t>(NE</w:t>
            </w:r>
            <w:r w:rsidR="002B03FF">
              <w:rPr>
                <w:kern w:val="24"/>
                <w:sz w:val="20"/>
                <w:lang w:val="hu-HU"/>
              </w:rPr>
              <w:t>×</w:t>
            </w:r>
            <w:r w:rsidRPr="004311F9">
              <w:rPr>
                <w:kern w:val="24"/>
                <w:sz w:val="20"/>
                <w:lang w:val="hu-HU"/>
              </w:rPr>
              <w:t>h/dl per NE/kg)</w:t>
            </w:r>
          </w:p>
        </w:tc>
        <w:tc>
          <w:tcPr>
            <w:tcW w:w="4253"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3EE0D25" w14:textId="77777777" w:rsidR="00E74F5A" w:rsidRPr="004311F9" w:rsidRDefault="00E74F5A" w:rsidP="00DC4CB1">
            <w:pPr>
              <w:spacing w:line="240" w:lineRule="auto"/>
              <w:jc w:val="center"/>
              <w:rPr>
                <w:sz w:val="20"/>
                <w:lang w:val="hu-HU"/>
              </w:rPr>
            </w:pPr>
            <w:r w:rsidRPr="004311F9">
              <w:rPr>
                <w:sz w:val="20"/>
                <w:lang w:val="hu-HU"/>
              </w:rPr>
              <w:t>31,58</w:t>
            </w:r>
          </w:p>
          <w:p w14:paraId="0E7B3BE1" w14:textId="77777777" w:rsidR="00E74F5A" w:rsidRPr="004311F9" w:rsidRDefault="00E74F5A" w:rsidP="00DC4CB1">
            <w:pPr>
              <w:keepNext/>
              <w:spacing w:line="240" w:lineRule="auto"/>
              <w:jc w:val="center"/>
              <w:rPr>
                <w:rFonts w:eastAsia="Times New Roman"/>
                <w:kern w:val="24"/>
                <w:sz w:val="20"/>
                <w:lang w:val="hu-HU"/>
              </w:rPr>
            </w:pPr>
            <w:r w:rsidRPr="004311F9">
              <w:rPr>
                <w:sz w:val="20"/>
                <w:lang w:val="hu-HU"/>
              </w:rPr>
              <w:t>(28,46</w:t>
            </w:r>
            <w:r w:rsidRPr="004311F9">
              <w:rPr>
                <w:sz w:val="20"/>
                <w:lang w:val="hu-HU"/>
              </w:rPr>
              <w:noBreakHyphen/>
              <w:t>35,05)</w:t>
            </w:r>
          </w:p>
        </w:tc>
      </w:tr>
      <w:tr w:rsidR="00E74F5A" w:rsidRPr="004311F9" w14:paraId="4F8EC871" w14:textId="77777777" w:rsidTr="00F74D15">
        <w:tc>
          <w:tcPr>
            <w:tcW w:w="4252"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03D9DF5" w14:textId="77777777" w:rsidR="00E74F5A" w:rsidRPr="004311F9" w:rsidRDefault="00E74F5A" w:rsidP="00DC4CB1">
            <w:pPr>
              <w:keepNext/>
              <w:spacing w:line="240" w:lineRule="auto"/>
              <w:jc w:val="center"/>
              <w:rPr>
                <w:sz w:val="20"/>
                <w:lang w:val="hu-HU"/>
              </w:rPr>
            </w:pPr>
            <w:r w:rsidRPr="004311F9">
              <w:rPr>
                <w:kern w:val="24"/>
                <w:sz w:val="20"/>
                <w:lang w:val="hu-HU"/>
              </w:rPr>
              <w:t>C</w:t>
            </w:r>
            <w:r w:rsidRPr="004311F9">
              <w:rPr>
                <w:kern w:val="24"/>
                <w:sz w:val="20"/>
                <w:vertAlign w:val="subscript"/>
                <w:lang w:val="hu-HU"/>
              </w:rPr>
              <w:t>max</w:t>
            </w:r>
            <w:r w:rsidRPr="004311F9">
              <w:rPr>
                <w:kern w:val="24"/>
                <w:sz w:val="20"/>
                <w:lang w:val="hu-HU"/>
              </w:rPr>
              <w:t xml:space="preserve"> (NE/dl)</w:t>
            </w:r>
          </w:p>
        </w:tc>
        <w:tc>
          <w:tcPr>
            <w:tcW w:w="4253"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6E1A6E2" w14:textId="77777777" w:rsidR="00E74F5A" w:rsidRPr="004311F9" w:rsidRDefault="00E74F5A" w:rsidP="00DC4CB1">
            <w:pPr>
              <w:spacing w:line="240" w:lineRule="auto"/>
              <w:jc w:val="center"/>
              <w:rPr>
                <w:sz w:val="20"/>
                <w:lang w:val="hu-HU"/>
              </w:rPr>
            </w:pPr>
            <w:r w:rsidRPr="004311F9">
              <w:rPr>
                <w:sz w:val="20"/>
                <w:lang w:val="hu-HU"/>
              </w:rPr>
              <w:t>46,10</w:t>
            </w:r>
          </w:p>
          <w:p w14:paraId="69CBEEA3" w14:textId="77777777" w:rsidR="00E74F5A" w:rsidRPr="004311F9" w:rsidRDefault="00E74F5A" w:rsidP="00DC4CB1">
            <w:pPr>
              <w:keepNext/>
              <w:spacing w:line="240" w:lineRule="auto"/>
              <w:jc w:val="center"/>
              <w:rPr>
                <w:rFonts w:eastAsia="Times New Roman"/>
                <w:sz w:val="20"/>
                <w:lang w:val="hu-HU"/>
              </w:rPr>
            </w:pPr>
            <w:r w:rsidRPr="004311F9">
              <w:rPr>
                <w:sz w:val="20"/>
                <w:lang w:val="hu-HU"/>
              </w:rPr>
              <w:t>(38,56</w:t>
            </w:r>
            <w:r w:rsidRPr="004311F9">
              <w:rPr>
                <w:sz w:val="20"/>
                <w:lang w:val="hu-HU"/>
              </w:rPr>
              <w:noBreakHyphen/>
              <w:t>55,11)</w:t>
            </w:r>
          </w:p>
        </w:tc>
      </w:tr>
      <w:tr w:rsidR="00E74F5A" w:rsidRPr="004311F9" w14:paraId="6A2D2936" w14:textId="77777777" w:rsidTr="00F74D15">
        <w:tc>
          <w:tcPr>
            <w:tcW w:w="4252"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3AC801A" w14:textId="77777777" w:rsidR="00E74F5A" w:rsidRPr="004311F9" w:rsidRDefault="00E74F5A" w:rsidP="00DC4CB1">
            <w:pPr>
              <w:keepNext/>
              <w:spacing w:line="240" w:lineRule="auto"/>
              <w:jc w:val="center"/>
              <w:rPr>
                <w:sz w:val="20"/>
                <w:lang w:val="hu-HU"/>
              </w:rPr>
            </w:pPr>
            <w:r w:rsidRPr="004311F9">
              <w:rPr>
                <w:sz w:val="20"/>
                <w:lang w:val="hu-HU"/>
              </w:rPr>
              <w:t>CL (ml/h/kg)</w:t>
            </w:r>
          </w:p>
        </w:tc>
        <w:tc>
          <w:tcPr>
            <w:tcW w:w="4253"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BBB323E" w14:textId="77777777" w:rsidR="00E74F5A" w:rsidRPr="004311F9" w:rsidRDefault="00E74F5A" w:rsidP="00DC4CB1">
            <w:pPr>
              <w:spacing w:line="240" w:lineRule="auto"/>
              <w:jc w:val="center"/>
              <w:rPr>
                <w:sz w:val="20"/>
                <w:lang w:val="hu-HU"/>
              </w:rPr>
            </w:pPr>
            <w:r w:rsidRPr="004311F9">
              <w:rPr>
                <w:sz w:val="20"/>
                <w:lang w:val="hu-HU"/>
              </w:rPr>
              <w:t>3,17</w:t>
            </w:r>
          </w:p>
          <w:p w14:paraId="57837BB1" w14:textId="77777777" w:rsidR="00E74F5A" w:rsidRPr="004311F9" w:rsidRDefault="00E74F5A" w:rsidP="00DC4CB1">
            <w:pPr>
              <w:keepNext/>
              <w:spacing w:line="240" w:lineRule="auto"/>
              <w:jc w:val="center"/>
              <w:rPr>
                <w:rFonts w:eastAsia="Times New Roman"/>
                <w:sz w:val="20"/>
                <w:lang w:val="hu-HU"/>
              </w:rPr>
            </w:pPr>
            <w:r w:rsidRPr="004311F9">
              <w:rPr>
                <w:sz w:val="20"/>
                <w:lang w:val="hu-HU"/>
              </w:rPr>
              <w:t>(2,85</w:t>
            </w:r>
            <w:r w:rsidRPr="004311F9">
              <w:rPr>
                <w:sz w:val="20"/>
                <w:lang w:val="hu-HU"/>
              </w:rPr>
              <w:noBreakHyphen/>
              <w:t>3,51)</w:t>
            </w:r>
          </w:p>
        </w:tc>
      </w:tr>
      <w:tr w:rsidR="00E74F5A" w:rsidRPr="004311F9" w14:paraId="4959EB80" w14:textId="77777777" w:rsidTr="00F74D15">
        <w:tc>
          <w:tcPr>
            <w:tcW w:w="4252"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192FCBE" w14:textId="77777777" w:rsidR="00E74F5A" w:rsidRPr="004311F9" w:rsidRDefault="00E74F5A" w:rsidP="00DC4CB1">
            <w:pPr>
              <w:keepNext/>
              <w:spacing w:line="240" w:lineRule="auto"/>
              <w:jc w:val="center"/>
              <w:rPr>
                <w:sz w:val="20"/>
                <w:lang w:val="hu-HU"/>
              </w:rPr>
            </w:pPr>
            <w:r w:rsidRPr="004311F9">
              <w:rPr>
                <w:sz w:val="20"/>
                <w:lang w:val="hu-HU"/>
              </w:rPr>
              <w:t>t</w:t>
            </w:r>
            <w:r w:rsidRPr="004311F9">
              <w:rPr>
                <w:sz w:val="20"/>
                <w:vertAlign w:val="subscript"/>
                <w:lang w:val="hu-HU"/>
              </w:rPr>
              <w:t>½</w:t>
            </w:r>
            <w:r w:rsidRPr="004311F9">
              <w:rPr>
                <w:sz w:val="20"/>
                <w:lang w:val="hu-HU"/>
              </w:rPr>
              <w:t xml:space="preserve"> (h)</w:t>
            </w:r>
          </w:p>
        </w:tc>
        <w:tc>
          <w:tcPr>
            <w:tcW w:w="4253"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EF6F617" w14:textId="77777777" w:rsidR="00E74F5A" w:rsidRPr="004311F9" w:rsidRDefault="00E74F5A" w:rsidP="00DC4CB1">
            <w:pPr>
              <w:spacing w:line="240" w:lineRule="auto"/>
              <w:jc w:val="center"/>
              <w:rPr>
                <w:sz w:val="20"/>
                <w:lang w:val="hu-HU"/>
              </w:rPr>
            </w:pPr>
            <w:r w:rsidRPr="004311F9">
              <w:rPr>
                <w:sz w:val="20"/>
                <w:lang w:val="hu-HU"/>
              </w:rPr>
              <w:t>77,60</w:t>
            </w:r>
          </w:p>
          <w:p w14:paraId="434BADDE" w14:textId="77777777" w:rsidR="00E74F5A" w:rsidRPr="004311F9" w:rsidRDefault="00E74F5A" w:rsidP="00DC4CB1">
            <w:pPr>
              <w:keepNext/>
              <w:spacing w:line="240" w:lineRule="auto"/>
              <w:jc w:val="center"/>
              <w:rPr>
                <w:rFonts w:eastAsia="Times New Roman"/>
                <w:sz w:val="20"/>
                <w:lang w:val="hu-HU"/>
              </w:rPr>
            </w:pPr>
            <w:r w:rsidRPr="004311F9">
              <w:rPr>
                <w:sz w:val="20"/>
                <w:lang w:val="hu-HU"/>
              </w:rPr>
              <w:t>(70,05</w:t>
            </w:r>
            <w:r w:rsidRPr="004311F9">
              <w:rPr>
                <w:sz w:val="20"/>
                <w:lang w:val="hu-HU"/>
              </w:rPr>
              <w:noBreakHyphen/>
              <w:t>85,95)</w:t>
            </w:r>
          </w:p>
        </w:tc>
      </w:tr>
      <w:tr w:rsidR="00E74F5A" w:rsidRPr="004311F9" w14:paraId="569D9899" w14:textId="77777777" w:rsidTr="00F74D15">
        <w:tc>
          <w:tcPr>
            <w:tcW w:w="4252"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9AC5CC7" w14:textId="77777777" w:rsidR="00E74F5A" w:rsidRPr="004311F9" w:rsidRDefault="00E74F5A" w:rsidP="00DC4CB1">
            <w:pPr>
              <w:keepNext/>
              <w:spacing w:line="240" w:lineRule="auto"/>
              <w:jc w:val="center"/>
              <w:rPr>
                <w:kern w:val="24"/>
                <w:sz w:val="20"/>
                <w:lang w:val="hu-HU"/>
              </w:rPr>
            </w:pPr>
            <w:r w:rsidRPr="004311F9">
              <w:rPr>
                <w:bCs/>
                <w:sz w:val="20"/>
                <w:lang w:val="hu-HU"/>
              </w:rPr>
              <w:t>t</w:t>
            </w:r>
            <w:r w:rsidRPr="004311F9">
              <w:rPr>
                <w:bCs/>
                <w:sz w:val="20"/>
                <w:vertAlign w:val="subscript"/>
                <w:lang w:val="hu-HU"/>
              </w:rPr>
              <w:t>½α</w:t>
            </w:r>
            <w:r w:rsidRPr="004311F9">
              <w:rPr>
                <w:bCs/>
                <w:sz w:val="20"/>
                <w:lang w:val="hu-HU"/>
              </w:rPr>
              <w:t xml:space="preserve"> (h)</w:t>
            </w:r>
            <w:r w:rsidRPr="004311F9">
              <w:rPr>
                <w:bCs/>
                <w:sz w:val="20"/>
                <w:vertAlign w:val="superscript"/>
                <w:lang w:val="hu-HU"/>
              </w:rPr>
              <w:t>2</w:t>
            </w:r>
          </w:p>
        </w:tc>
        <w:tc>
          <w:tcPr>
            <w:tcW w:w="4253"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46FF884" w14:textId="77777777" w:rsidR="00E74F5A" w:rsidRPr="004311F9" w:rsidRDefault="00E74F5A" w:rsidP="00DC4CB1">
            <w:pPr>
              <w:keepNext/>
              <w:spacing w:line="240" w:lineRule="auto"/>
              <w:jc w:val="center"/>
              <w:rPr>
                <w:rFonts w:eastAsia="Times New Roman"/>
                <w:sz w:val="20"/>
                <w:lang w:val="hu-HU"/>
              </w:rPr>
            </w:pPr>
            <w:r w:rsidRPr="004311F9">
              <w:rPr>
                <w:sz w:val="20"/>
                <w:lang w:val="hu-HU"/>
              </w:rPr>
              <w:t>5,03</w:t>
            </w:r>
            <w:r w:rsidRPr="004311F9">
              <w:rPr>
                <w:sz w:val="20"/>
                <w:lang w:val="hu-HU"/>
              </w:rPr>
              <w:br/>
              <w:t>(3,20</w:t>
            </w:r>
            <w:r w:rsidRPr="004311F9">
              <w:rPr>
                <w:sz w:val="20"/>
                <w:lang w:val="hu-HU"/>
              </w:rPr>
              <w:noBreakHyphen/>
              <w:t>7,89)</w:t>
            </w:r>
          </w:p>
        </w:tc>
      </w:tr>
      <w:tr w:rsidR="00E74F5A" w:rsidRPr="004311F9" w14:paraId="31AAAAE4" w14:textId="77777777" w:rsidTr="00F74D15">
        <w:tc>
          <w:tcPr>
            <w:tcW w:w="4252"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6F40BB5" w14:textId="77777777" w:rsidR="00E74F5A" w:rsidRPr="004311F9" w:rsidRDefault="00E74F5A" w:rsidP="00DC4CB1">
            <w:pPr>
              <w:keepNext/>
              <w:spacing w:line="240" w:lineRule="auto"/>
              <w:jc w:val="center"/>
              <w:rPr>
                <w:kern w:val="24"/>
                <w:sz w:val="20"/>
                <w:lang w:val="hu-HU"/>
              </w:rPr>
            </w:pPr>
            <w:r w:rsidRPr="004311F9">
              <w:rPr>
                <w:bCs/>
                <w:sz w:val="20"/>
                <w:lang w:val="hu-HU"/>
              </w:rPr>
              <w:t>t</w:t>
            </w:r>
            <w:r w:rsidRPr="004311F9">
              <w:rPr>
                <w:bCs/>
                <w:sz w:val="20"/>
                <w:vertAlign w:val="subscript"/>
                <w:lang w:val="hu-HU"/>
              </w:rPr>
              <w:t>½β</w:t>
            </w:r>
            <w:r w:rsidRPr="004311F9">
              <w:rPr>
                <w:bCs/>
                <w:sz w:val="20"/>
                <w:lang w:val="hu-HU"/>
              </w:rPr>
              <w:t xml:space="preserve"> (h)</w:t>
            </w:r>
            <w:r w:rsidRPr="004311F9">
              <w:rPr>
                <w:bCs/>
                <w:sz w:val="20"/>
                <w:vertAlign w:val="superscript"/>
                <w:lang w:val="hu-HU"/>
              </w:rPr>
              <w:t>2</w:t>
            </w:r>
          </w:p>
        </w:tc>
        <w:tc>
          <w:tcPr>
            <w:tcW w:w="4253"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B720EB3" w14:textId="77777777" w:rsidR="00E74F5A" w:rsidRPr="004311F9" w:rsidRDefault="00E74F5A" w:rsidP="00DC4CB1">
            <w:pPr>
              <w:keepNext/>
              <w:spacing w:line="240" w:lineRule="auto"/>
              <w:jc w:val="center"/>
              <w:rPr>
                <w:rFonts w:eastAsia="Times New Roman"/>
                <w:sz w:val="20"/>
                <w:lang w:val="hu-HU"/>
              </w:rPr>
            </w:pPr>
            <w:r w:rsidRPr="004311F9">
              <w:rPr>
                <w:sz w:val="20"/>
                <w:lang w:val="hu-HU"/>
              </w:rPr>
              <w:t>82,12</w:t>
            </w:r>
            <w:r w:rsidRPr="004311F9">
              <w:rPr>
                <w:sz w:val="20"/>
                <w:lang w:val="hu-HU"/>
              </w:rPr>
              <w:br/>
              <w:t>(71,39</w:t>
            </w:r>
            <w:r w:rsidRPr="004311F9">
              <w:rPr>
                <w:sz w:val="20"/>
                <w:lang w:val="hu-HU"/>
              </w:rPr>
              <w:noBreakHyphen/>
              <w:t>94,46)</w:t>
            </w:r>
          </w:p>
        </w:tc>
      </w:tr>
      <w:tr w:rsidR="00E74F5A" w:rsidRPr="004311F9" w14:paraId="32DA61BC" w14:textId="77777777" w:rsidTr="00F74D15">
        <w:tc>
          <w:tcPr>
            <w:tcW w:w="4252"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B6AB9B4" w14:textId="77777777" w:rsidR="00E74F5A" w:rsidRPr="004311F9" w:rsidRDefault="00E74F5A" w:rsidP="00DC4CB1">
            <w:pPr>
              <w:keepNext/>
              <w:spacing w:line="240" w:lineRule="auto"/>
              <w:jc w:val="center"/>
              <w:rPr>
                <w:sz w:val="20"/>
                <w:lang w:val="hu-HU"/>
              </w:rPr>
            </w:pPr>
            <w:r w:rsidRPr="004311F9">
              <w:rPr>
                <w:kern w:val="24"/>
                <w:sz w:val="20"/>
                <w:lang w:val="hu-HU"/>
              </w:rPr>
              <w:t>MRT (h)</w:t>
            </w:r>
          </w:p>
        </w:tc>
        <w:tc>
          <w:tcPr>
            <w:tcW w:w="4253"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863162B" w14:textId="77777777" w:rsidR="00E74F5A" w:rsidRPr="004311F9" w:rsidRDefault="00E74F5A" w:rsidP="00DC4CB1">
            <w:pPr>
              <w:spacing w:line="240" w:lineRule="auto"/>
              <w:jc w:val="center"/>
              <w:rPr>
                <w:sz w:val="20"/>
                <w:lang w:val="hu-HU"/>
              </w:rPr>
            </w:pPr>
            <w:r w:rsidRPr="004311F9">
              <w:rPr>
                <w:sz w:val="20"/>
                <w:lang w:val="hu-HU"/>
              </w:rPr>
              <w:t>95,82</w:t>
            </w:r>
          </w:p>
          <w:p w14:paraId="1C563921" w14:textId="77777777" w:rsidR="00E74F5A" w:rsidRPr="004311F9" w:rsidRDefault="00E74F5A" w:rsidP="00DC4CB1">
            <w:pPr>
              <w:keepNext/>
              <w:spacing w:line="240" w:lineRule="auto"/>
              <w:jc w:val="center"/>
              <w:rPr>
                <w:rFonts w:eastAsia="Times New Roman"/>
                <w:sz w:val="20"/>
                <w:lang w:val="hu-HU"/>
              </w:rPr>
            </w:pPr>
            <w:r w:rsidRPr="004311F9">
              <w:rPr>
                <w:sz w:val="20"/>
                <w:lang w:val="hu-HU"/>
              </w:rPr>
              <w:t>(88,44</w:t>
            </w:r>
            <w:r w:rsidRPr="004311F9">
              <w:rPr>
                <w:sz w:val="20"/>
                <w:lang w:val="hu-HU"/>
              </w:rPr>
              <w:noBreakHyphen/>
              <w:t>106,21)</w:t>
            </w:r>
          </w:p>
        </w:tc>
      </w:tr>
      <w:tr w:rsidR="00E74F5A" w:rsidRPr="004311F9" w14:paraId="34556563" w14:textId="77777777" w:rsidTr="00F74D15">
        <w:tc>
          <w:tcPr>
            <w:tcW w:w="4252"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EE42C5B" w14:textId="77777777" w:rsidR="00E74F5A" w:rsidRPr="004311F9" w:rsidRDefault="00E74F5A" w:rsidP="00DC4CB1">
            <w:pPr>
              <w:keepNext/>
              <w:spacing w:line="240" w:lineRule="auto"/>
              <w:jc w:val="center"/>
              <w:rPr>
                <w:sz w:val="20"/>
                <w:lang w:val="hu-HU"/>
              </w:rPr>
            </w:pPr>
            <w:r w:rsidRPr="004311F9">
              <w:rPr>
                <w:sz w:val="20"/>
                <w:lang w:val="hu-HU"/>
              </w:rPr>
              <w:t>V</w:t>
            </w:r>
            <w:r w:rsidRPr="004311F9">
              <w:rPr>
                <w:sz w:val="20"/>
                <w:vertAlign w:val="subscript"/>
                <w:lang w:val="hu-HU"/>
              </w:rPr>
              <w:t>ss</w:t>
            </w:r>
            <w:r w:rsidRPr="004311F9">
              <w:rPr>
                <w:sz w:val="20"/>
                <w:lang w:val="hu-HU"/>
              </w:rPr>
              <w:t xml:space="preserve"> (ml/kg)</w:t>
            </w:r>
          </w:p>
        </w:tc>
        <w:tc>
          <w:tcPr>
            <w:tcW w:w="4253"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2868EB4" w14:textId="106AE57D" w:rsidR="00E74F5A" w:rsidRPr="004311F9" w:rsidRDefault="00E74F5A" w:rsidP="00DC4CB1">
            <w:pPr>
              <w:spacing w:line="240" w:lineRule="auto"/>
              <w:jc w:val="center"/>
              <w:rPr>
                <w:sz w:val="20"/>
                <w:lang w:val="hu-HU"/>
              </w:rPr>
            </w:pPr>
            <w:r w:rsidRPr="004311F9">
              <w:rPr>
                <w:sz w:val="20"/>
                <w:lang w:val="hu-HU"/>
              </w:rPr>
              <w:t>303,</w:t>
            </w:r>
            <w:r w:rsidR="004371F6" w:rsidRPr="004311F9">
              <w:rPr>
                <w:sz w:val="20"/>
                <w:lang w:val="hu-HU"/>
              </w:rPr>
              <w:t>4</w:t>
            </w:r>
          </w:p>
          <w:p w14:paraId="4F1D5BBE" w14:textId="77777777" w:rsidR="00E74F5A" w:rsidRPr="004311F9" w:rsidRDefault="00E74F5A" w:rsidP="00DC4CB1">
            <w:pPr>
              <w:keepNext/>
              <w:spacing w:line="240" w:lineRule="auto"/>
              <w:jc w:val="center"/>
              <w:rPr>
                <w:rFonts w:eastAsia="Times New Roman"/>
                <w:sz w:val="20"/>
                <w:lang w:val="hu-HU"/>
              </w:rPr>
            </w:pPr>
            <w:r w:rsidRPr="004311F9">
              <w:rPr>
                <w:sz w:val="20"/>
                <w:lang w:val="hu-HU"/>
              </w:rPr>
              <w:t>(275,1-334,6)</w:t>
            </w:r>
          </w:p>
        </w:tc>
      </w:tr>
      <w:tr w:rsidR="00E74F5A" w:rsidRPr="004311F9" w14:paraId="4E10A977" w14:textId="77777777" w:rsidTr="00F74D15">
        <w:tc>
          <w:tcPr>
            <w:tcW w:w="4252"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B1F46E1" w14:textId="77777777" w:rsidR="00E74F5A" w:rsidRPr="004311F9" w:rsidRDefault="00E74F5A" w:rsidP="00DC4CB1">
            <w:pPr>
              <w:keepNext/>
              <w:spacing w:line="240" w:lineRule="auto"/>
              <w:jc w:val="center"/>
              <w:rPr>
                <w:sz w:val="20"/>
                <w:lang w:val="hu-HU"/>
              </w:rPr>
            </w:pPr>
            <w:r w:rsidRPr="004311F9">
              <w:rPr>
                <w:bCs/>
                <w:kern w:val="24"/>
                <w:sz w:val="20"/>
                <w:lang w:val="hu-HU"/>
              </w:rPr>
              <w:t>1% eléréséhez szükséges idő (nap)</w:t>
            </w:r>
            <w:r w:rsidRPr="004311F9">
              <w:rPr>
                <w:bCs/>
                <w:kern w:val="24"/>
                <w:sz w:val="20"/>
                <w:vertAlign w:val="superscript"/>
                <w:lang w:val="hu-HU"/>
              </w:rPr>
              <w:t>2</w:t>
            </w:r>
          </w:p>
        </w:tc>
        <w:tc>
          <w:tcPr>
            <w:tcW w:w="4253"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9EEFD42" w14:textId="77777777" w:rsidR="00E74F5A" w:rsidRPr="004311F9" w:rsidRDefault="00E74F5A" w:rsidP="00DC4CB1">
            <w:pPr>
              <w:spacing w:line="240" w:lineRule="auto"/>
              <w:jc w:val="center"/>
              <w:rPr>
                <w:rFonts w:eastAsia="Times New Roman"/>
                <w:bCs/>
                <w:sz w:val="20"/>
                <w:lang w:val="hu-HU"/>
              </w:rPr>
            </w:pPr>
            <w:r w:rsidRPr="004311F9">
              <w:rPr>
                <w:rFonts w:eastAsia="Times New Roman"/>
                <w:bCs/>
                <w:sz w:val="20"/>
                <w:lang w:val="hu-HU"/>
              </w:rPr>
              <w:t xml:space="preserve">11,22 </w:t>
            </w:r>
          </w:p>
          <w:p w14:paraId="30768673" w14:textId="77777777" w:rsidR="00E74F5A" w:rsidRPr="004311F9" w:rsidRDefault="00E74F5A" w:rsidP="00DC4CB1">
            <w:pPr>
              <w:spacing w:line="240" w:lineRule="auto"/>
              <w:jc w:val="center"/>
              <w:rPr>
                <w:sz w:val="20"/>
                <w:lang w:val="hu-HU"/>
              </w:rPr>
            </w:pPr>
            <w:r w:rsidRPr="004311F9">
              <w:rPr>
                <w:rFonts w:eastAsia="Times New Roman"/>
                <w:bCs/>
                <w:sz w:val="20"/>
                <w:lang w:val="hu-HU"/>
              </w:rPr>
              <w:t>(10,20</w:t>
            </w:r>
            <w:r w:rsidRPr="004311F9">
              <w:rPr>
                <w:rFonts w:eastAsia="Times New Roman"/>
                <w:bCs/>
                <w:sz w:val="20"/>
                <w:lang w:val="hu-HU"/>
              </w:rPr>
              <w:noBreakHyphen/>
              <w:t>12,35)</w:t>
            </w:r>
          </w:p>
        </w:tc>
      </w:tr>
    </w:tbl>
    <w:p w14:paraId="70422334" w14:textId="77777777" w:rsidR="00E74F5A" w:rsidRPr="004311F9" w:rsidRDefault="00E74F5A" w:rsidP="00DC4CB1">
      <w:pPr>
        <w:autoSpaceDE w:val="0"/>
        <w:autoSpaceDN w:val="0"/>
        <w:adjustRightInd w:val="0"/>
        <w:spacing w:line="240" w:lineRule="auto"/>
        <w:rPr>
          <w:rFonts w:eastAsia="Times New Roman"/>
          <w:sz w:val="18"/>
          <w:szCs w:val="18"/>
          <w:lang w:val="hu-HU" w:eastAsia="en-US"/>
        </w:rPr>
      </w:pPr>
      <w:r w:rsidRPr="004311F9">
        <w:rPr>
          <w:sz w:val="18"/>
          <w:szCs w:val="18"/>
          <w:vertAlign w:val="superscript"/>
          <w:lang w:val="hu-HU"/>
        </w:rPr>
        <w:t>1</w:t>
      </w:r>
      <w:r w:rsidRPr="004311F9">
        <w:rPr>
          <w:sz w:val="18"/>
          <w:szCs w:val="18"/>
          <w:lang w:val="hu-HU"/>
        </w:rPr>
        <w:t xml:space="preserve"> </w:t>
      </w:r>
      <w:r w:rsidRPr="004311F9">
        <w:rPr>
          <w:sz w:val="18"/>
          <w:szCs w:val="18"/>
          <w:lang w:val="hu-HU" w:eastAsia="en-US"/>
        </w:rPr>
        <w:t>A táblázatban szereplő farmakokinetikai paraméterek mértani átlagok (95%</w:t>
      </w:r>
      <w:r w:rsidRPr="004311F9">
        <w:rPr>
          <w:sz w:val="18"/>
          <w:szCs w:val="18"/>
          <w:lang w:val="hu-HU" w:eastAsia="en-US"/>
        </w:rPr>
        <w:noBreakHyphen/>
        <w:t>os CI)</w:t>
      </w:r>
    </w:p>
    <w:p w14:paraId="344D6E17" w14:textId="77777777" w:rsidR="00E74F5A" w:rsidRPr="004311F9" w:rsidRDefault="00E74F5A" w:rsidP="00DC4CB1">
      <w:pPr>
        <w:autoSpaceDE w:val="0"/>
        <w:autoSpaceDN w:val="0"/>
        <w:adjustRightInd w:val="0"/>
        <w:spacing w:line="240" w:lineRule="auto"/>
        <w:rPr>
          <w:sz w:val="18"/>
          <w:szCs w:val="18"/>
          <w:lang w:val="hu-HU"/>
        </w:rPr>
      </w:pPr>
      <w:r w:rsidRPr="004311F9">
        <w:rPr>
          <w:sz w:val="18"/>
          <w:szCs w:val="18"/>
          <w:vertAlign w:val="superscript"/>
          <w:lang w:val="hu-HU"/>
        </w:rPr>
        <w:t>2</w:t>
      </w:r>
      <w:r w:rsidRPr="004311F9">
        <w:rPr>
          <w:sz w:val="18"/>
          <w:szCs w:val="18"/>
          <w:lang w:val="hu-HU"/>
        </w:rPr>
        <w:t xml:space="preserve"> Ezeket a farmakokinetikai paramétereket kompartmentális elemzéssel kapták</w:t>
      </w:r>
    </w:p>
    <w:p w14:paraId="198526EC" w14:textId="77777777" w:rsidR="00E74F5A" w:rsidRPr="004311F9" w:rsidRDefault="00E74F5A" w:rsidP="00DC4CB1">
      <w:pPr>
        <w:autoSpaceDE w:val="0"/>
        <w:autoSpaceDN w:val="0"/>
        <w:adjustRightInd w:val="0"/>
        <w:spacing w:line="240" w:lineRule="auto"/>
        <w:rPr>
          <w:rFonts w:eastAsia="Times New Roman"/>
          <w:sz w:val="18"/>
          <w:szCs w:val="18"/>
          <w:lang w:val="hu-HU" w:eastAsia="en-US"/>
        </w:rPr>
      </w:pPr>
      <w:r w:rsidRPr="004311F9">
        <w:rPr>
          <w:rFonts w:eastAsia="Times New Roman"/>
          <w:b/>
          <w:sz w:val="18"/>
          <w:szCs w:val="18"/>
          <w:lang w:val="hu-HU" w:eastAsia="en-US"/>
        </w:rPr>
        <w:t>Rövidítések:</w:t>
      </w:r>
      <w:r w:rsidRPr="004311F9">
        <w:rPr>
          <w:rFonts w:eastAsia="Times New Roman"/>
          <w:sz w:val="18"/>
          <w:szCs w:val="18"/>
          <w:lang w:val="hu-HU" w:eastAsia="en-US"/>
        </w:rPr>
        <w:t xml:space="preserve"> CI = konfidencia</w:t>
      </w:r>
      <w:r w:rsidRPr="004311F9">
        <w:rPr>
          <w:rFonts w:eastAsia="Times New Roman"/>
          <w:sz w:val="18"/>
          <w:szCs w:val="18"/>
          <w:lang w:val="hu-HU" w:eastAsia="en-US"/>
        </w:rPr>
        <w:noBreakHyphen/>
        <w:t xml:space="preserve">intervallum; Cmax= maximális aktivitás; AUC = az FIX </w:t>
      </w:r>
      <w:r w:rsidRPr="004311F9">
        <w:rPr>
          <w:sz w:val="18"/>
          <w:szCs w:val="18"/>
          <w:lang w:val="hu-HU" w:eastAsia="en-US"/>
        </w:rPr>
        <w:t>akitivitás</w:t>
      </w:r>
      <w:r w:rsidRPr="004311F9">
        <w:rPr>
          <w:sz w:val="18"/>
          <w:szCs w:val="18"/>
          <w:lang w:val="hu-HU" w:eastAsia="en-US"/>
        </w:rPr>
        <w:noBreakHyphen/>
        <w:t xml:space="preserve">idő görbe alatti terület; </w:t>
      </w:r>
      <w:r w:rsidRPr="004311F9">
        <w:rPr>
          <w:bCs/>
          <w:sz w:val="18"/>
          <w:szCs w:val="18"/>
          <w:lang w:val="hu-HU"/>
        </w:rPr>
        <w:t>t</w:t>
      </w:r>
      <w:r w:rsidRPr="004311F9">
        <w:rPr>
          <w:bCs/>
          <w:sz w:val="18"/>
          <w:szCs w:val="18"/>
          <w:vertAlign w:val="subscript"/>
          <w:lang w:val="hu-HU"/>
        </w:rPr>
        <w:t>½α</w:t>
      </w:r>
      <w:r w:rsidRPr="004311F9">
        <w:rPr>
          <w:b/>
          <w:bCs/>
          <w:sz w:val="18"/>
          <w:szCs w:val="18"/>
          <w:lang w:val="hu-HU"/>
        </w:rPr>
        <w:t xml:space="preserve"> </w:t>
      </w:r>
      <w:r w:rsidRPr="004311F9">
        <w:rPr>
          <w:sz w:val="18"/>
          <w:szCs w:val="18"/>
          <w:lang w:val="hu-HU"/>
        </w:rPr>
        <w:t xml:space="preserve">= eloszlási felezési idő; </w:t>
      </w:r>
      <w:r w:rsidRPr="004311F9">
        <w:rPr>
          <w:bCs/>
          <w:sz w:val="18"/>
          <w:szCs w:val="18"/>
          <w:lang w:val="hu-HU"/>
        </w:rPr>
        <w:t>t</w:t>
      </w:r>
      <w:r w:rsidRPr="004311F9">
        <w:rPr>
          <w:bCs/>
          <w:sz w:val="18"/>
          <w:szCs w:val="18"/>
          <w:vertAlign w:val="subscript"/>
          <w:lang w:val="hu-HU"/>
        </w:rPr>
        <w:t>½β</w:t>
      </w:r>
      <w:r w:rsidRPr="004311F9">
        <w:rPr>
          <w:b/>
          <w:bCs/>
          <w:sz w:val="18"/>
          <w:szCs w:val="18"/>
          <w:lang w:val="hu-HU"/>
        </w:rPr>
        <w:t xml:space="preserve"> </w:t>
      </w:r>
      <w:r w:rsidRPr="004311F9">
        <w:rPr>
          <w:sz w:val="18"/>
          <w:szCs w:val="18"/>
          <w:lang w:val="hu-HU"/>
        </w:rPr>
        <w:t xml:space="preserve">= eliminációs felezési idő, </w:t>
      </w:r>
      <w:r w:rsidRPr="004311F9">
        <w:rPr>
          <w:rFonts w:eastAsia="Times New Roman"/>
          <w:sz w:val="18"/>
          <w:szCs w:val="18"/>
          <w:lang w:val="hu-HU" w:eastAsia="en-US"/>
        </w:rPr>
        <w:t>t˝</w:t>
      </w:r>
      <w:r w:rsidRPr="004311F9">
        <w:rPr>
          <w:sz w:val="18"/>
          <w:szCs w:val="18"/>
          <w:lang w:val="hu-HU" w:eastAsia="en-US"/>
        </w:rPr>
        <w:t>˝= terminális felezési idő; CL = clearance; Vss = eloszlási térfogat dinamikus egyensúlyi állapotban; MRT = átlagos tartózkodási idő (mean residence time).</w:t>
      </w:r>
    </w:p>
    <w:p w14:paraId="2432F8EA" w14:textId="77777777" w:rsidR="00E74F5A" w:rsidRPr="004311F9" w:rsidRDefault="00E74F5A" w:rsidP="00DC4CB1">
      <w:pPr>
        <w:numPr>
          <w:ilvl w:val="12"/>
          <w:numId w:val="0"/>
        </w:numPr>
        <w:spacing w:line="240" w:lineRule="auto"/>
        <w:ind w:right="-2"/>
        <w:rPr>
          <w:rFonts w:eastAsia="Times New Roman"/>
          <w:szCs w:val="24"/>
          <w:lang w:val="hu-HU"/>
        </w:rPr>
      </w:pPr>
    </w:p>
    <w:p w14:paraId="5283DFEE" w14:textId="3D016A6E" w:rsidR="00E74F5A" w:rsidRPr="004311F9" w:rsidRDefault="00E74F5A" w:rsidP="00DC4CB1">
      <w:pPr>
        <w:numPr>
          <w:ilvl w:val="12"/>
          <w:numId w:val="0"/>
        </w:numPr>
        <w:spacing w:line="240" w:lineRule="auto"/>
        <w:ind w:right="-2"/>
        <w:rPr>
          <w:szCs w:val="22"/>
          <w:lang w:val="hu-HU"/>
        </w:rPr>
      </w:pPr>
      <w:r w:rsidRPr="004311F9">
        <w:rPr>
          <w:lang w:val="hu-HU"/>
        </w:rPr>
        <w:t>Az eliminációs felezési id</w:t>
      </w:r>
      <w:r w:rsidR="00074E6E" w:rsidRPr="004311F9">
        <w:rPr>
          <w:lang w:val="hu-HU"/>
        </w:rPr>
        <w:t>őt</w:t>
      </w:r>
      <w:r w:rsidRPr="004311F9">
        <w:rPr>
          <w:lang w:val="hu-HU"/>
        </w:rPr>
        <w:t xml:space="preserve"> (82 óra) az Fc</w:t>
      </w:r>
      <w:r w:rsidRPr="004311F9">
        <w:rPr>
          <w:lang w:val="hu-HU"/>
        </w:rPr>
        <w:noBreakHyphen/>
        <w:t>régió befolyásolja, amiről állatmodellek során kimutatták, hogy a neonatalis Fc</w:t>
      </w:r>
      <w:r w:rsidRPr="004311F9">
        <w:rPr>
          <w:lang w:val="hu-HU"/>
        </w:rPr>
        <w:noBreakHyphen/>
        <w:t>receptor körforgásában részt vevő anyagcsereutak mediálják.</w:t>
      </w:r>
    </w:p>
    <w:p w14:paraId="28328CC6" w14:textId="77777777" w:rsidR="00E74F5A" w:rsidRPr="004311F9" w:rsidRDefault="00E74F5A" w:rsidP="00224CF7">
      <w:pPr>
        <w:numPr>
          <w:ilvl w:val="12"/>
          <w:numId w:val="0"/>
        </w:numPr>
        <w:spacing w:line="240" w:lineRule="auto"/>
        <w:ind w:right="-2"/>
        <w:rPr>
          <w:rFonts w:eastAsia="Times New Roman"/>
          <w:szCs w:val="24"/>
          <w:lang w:val="hu-HU"/>
        </w:rPr>
      </w:pPr>
    </w:p>
    <w:p w14:paraId="364F3D34" w14:textId="24D63147" w:rsidR="00E74F5A" w:rsidRPr="004311F9" w:rsidRDefault="00E74F5A" w:rsidP="00DC4CB1">
      <w:pPr>
        <w:numPr>
          <w:ilvl w:val="12"/>
          <w:numId w:val="0"/>
        </w:numPr>
        <w:spacing w:line="240" w:lineRule="auto"/>
        <w:ind w:right="-2"/>
        <w:rPr>
          <w:lang w:val="hu-HU"/>
        </w:rPr>
      </w:pPr>
      <w:r w:rsidRPr="004311F9">
        <w:rPr>
          <w:lang w:val="hu-HU"/>
        </w:rPr>
        <w:t>Kidolgoztak egy populációs farmakokinetikai modellt a három klinikai vizsgálatban részt vevő 161, valamennyi korcsoportot (2</w:t>
      </w:r>
      <w:r w:rsidRPr="004311F9">
        <w:rPr>
          <w:lang w:val="hu-HU"/>
        </w:rPr>
        <w:noBreakHyphen/>
        <w:t>től 76 éves korig) képviselő, 12,5 kg és 186,7 kg közötti testtömegű vizsgálati alany IX</w:t>
      </w:r>
      <w:r w:rsidRPr="004311F9">
        <w:rPr>
          <w:lang w:val="hu-HU"/>
        </w:rPr>
        <w:noBreakHyphen/>
        <w:t>es faktor aktivitási adatai alapján (12 vizsgálati alany I/IIa fázisú, 123 vizsgálati alany I. fázisú és 26 vizsgálati alany II. fázisú vizsgálatban vett részt). A becsült clearance</w:t>
      </w:r>
      <w:r w:rsidRPr="004311F9">
        <w:rPr>
          <w:lang w:val="hu-HU"/>
        </w:rPr>
        <w:noBreakHyphen/>
        <w:t>értéke egy átlagos 70 kg</w:t>
      </w:r>
      <w:r w:rsidRPr="004311F9">
        <w:rPr>
          <w:lang w:val="hu-HU"/>
        </w:rPr>
        <w:noBreakHyphen/>
        <w:t>os testtömegű felnőtt esetében 2,30 dl/h, a dinamikus egyensúlyi állapotú eloszlási térfogata pedig 194,8 dl. Az alábbiakban mutatjuk be az ALPROLIX egyszeri adagjának súlyos haemophilia B</w:t>
      </w:r>
      <w:r w:rsidRPr="004311F9">
        <w:rPr>
          <w:lang w:val="hu-HU"/>
        </w:rPr>
        <w:noBreakHyphen/>
        <w:t>ben szenvedő betegeknél történő alkalmazását követően megfigyelt átlagos (SD) aktivitási idő profilt (lásd 4. táblázat).</w:t>
      </w:r>
    </w:p>
    <w:p w14:paraId="18EBD35A" w14:textId="77777777" w:rsidR="00E74F5A" w:rsidRPr="004311F9" w:rsidRDefault="00E74F5A" w:rsidP="00224CF7">
      <w:pPr>
        <w:numPr>
          <w:ilvl w:val="12"/>
          <w:numId w:val="0"/>
        </w:numPr>
        <w:spacing w:line="240" w:lineRule="auto"/>
        <w:ind w:right="-2"/>
        <w:rPr>
          <w:lang w:val="hu-HU"/>
        </w:rPr>
      </w:pPr>
    </w:p>
    <w:p w14:paraId="2A17E6E8" w14:textId="3E812C57" w:rsidR="00E74F5A" w:rsidRPr="004311F9" w:rsidRDefault="00E74F5A" w:rsidP="00224CF7">
      <w:pPr>
        <w:keepNext/>
        <w:spacing w:line="240" w:lineRule="auto"/>
        <w:ind w:left="1021" w:hanging="1021"/>
        <w:rPr>
          <w:rStyle w:val="caption-h"/>
          <w:lang w:val="hu-HU"/>
        </w:rPr>
      </w:pPr>
      <w:r w:rsidRPr="004311F9">
        <w:rPr>
          <w:rStyle w:val="caption-h"/>
          <w:lang w:val="hu-HU"/>
        </w:rPr>
        <w:lastRenderedPageBreak/>
        <w:t>4. táblázat: Az ALPROLIX</w:t>
      </w:r>
      <w:r w:rsidRPr="004311F9">
        <w:rPr>
          <w:rStyle w:val="caption-h"/>
          <w:vertAlign w:val="superscript"/>
          <w:lang w:val="hu-HU"/>
        </w:rPr>
        <w:t>1</w:t>
      </w:r>
      <w:r w:rsidRPr="004311F9">
        <w:rPr>
          <w:rStyle w:val="caption-h"/>
          <w:lang w:val="hu-HU"/>
        </w:rPr>
        <w:t xml:space="preserve"> </w:t>
      </w:r>
      <w:r w:rsidR="005325DB" w:rsidRPr="004311F9">
        <w:rPr>
          <w:szCs w:val="24"/>
          <w:lang w:val="hu-HU"/>
        </w:rPr>
        <w:t xml:space="preserve">(rFIXFc) </w:t>
      </w:r>
      <w:r w:rsidRPr="004311F9">
        <w:rPr>
          <w:rStyle w:val="caption-h"/>
          <w:lang w:val="hu-HU"/>
        </w:rPr>
        <w:t>egyszeri adagjának beadását követően 12 éves és idősebb betegeknél megfigyelt átlagos (SD) IX</w:t>
      </w:r>
      <w:r w:rsidRPr="004311F9">
        <w:rPr>
          <w:rStyle w:val="caption-h"/>
          <w:lang w:val="hu-HU"/>
        </w:rPr>
        <w:noBreakHyphen/>
        <w:t>es faktor aktivitás [NE/dl]</w:t>
      </w:r>
    </w:p>
    <w:tbl>
      <w:tblPr>
        <w:tblW w:w="5000" w:type="pct"/>
        <w:tblInd w:w="18" w:type="dxa"/>
        <w:tblLayout w:type="fixed"/>
        <w:tblLook w:val="00A0" w:firstRow="1" w:lastRow="0" w:firstColumn="1" w:lastColumn="0" w:noHBand="0" w:noVBand="0"/>
      </w:tblPr>
      <w:tblGrid>
        <w:gridCol w:w="767"/>
        <w:gridCol w:w="804"/>
        <w:gridCol w:w="748"/>
        <w:gridCol w:w="707"/>
        <w:gridCol w:w="707"/>
        <w:gridCol w:w="707"/>
        <w:gridCol w:w="707"/>
        <w:gridCol w:w="703"/>
        <w:gridCol w:w="703"/>
        <w:gridCol w:w="703"/>
        <w:gridCol w:w="705"/>
        <w:gridCol w:w="699"/>
        <w:gridCol w:w="690"/>
      </w:tblGrid>
      <w:tr w:rsidR="00E74F5A" w:rsidRPr="004311F9" w14:paraId="357161CB" w14:textId="77777777" w:rsidTr="0025345C">
        <w:trPr>
          <w:trHeight w:val="683"/>
        </w:trPr>
        <w:tc>
          <w:tcPr>
            <w:tcW w:w="410" w:type="pct"/>
            <w:tcBorders>
              <w:top w:val="single" w:sz="4" w:space="0" w:color="auto"/>
              <w:left w:val="single" w:sz="4" w:space="0" w:color="auto"/>
              <w:bottom w:val="single" w:sz="4" w:space="0" w:color="000000"/>
              <w:right w:val="single" w:sz="4" w:space="0" w:color="auto"/>
            </w:tcBorders>
            <w:vAlign w:val="center"/>
          </w:tcPr>
          <w:p w14:paraId="7202297F" w14:textId="77777777" w:rsidR="00E74F5A" w:rsidRPr="004311F9" w:rsidRDefault="00E74F5A" w:rsidP="00DC4CB1">
            <w:pPr>
              <w:keepNext/>
              <w:keepLines/>
              <w:spacing w:line="240" w:lineRule="auto"/>
              <w:jc w:val="center"/>
              <w:rPr>
                <w:b/>
                <w:bCs/>
                <w:sz w:val="16"/>
                <w:szCs w:val="16"/>
                <w:lang w:val="hu-HU"/>
              </w:rPr>
            </w:pPr>
            <w:r w:rsidRPr="004311F9">
              <w:rPr>
                <w:b/>
                <w:bCs/>
                <w:sz w:val="16"/>
                <w:szCs w:val="16"/>
                <w:lang w:val="hu-HU"/>
              </w:rPr>
              <w:t>Adag (NE/kg)</w:t>
            </w:r>
          </w:p>
        </w:tc>
        <w:tc>
          <w:tcPr>
            <w:tcW w:w="430" w:type="pct"/>
            <w:tcBorders>
              <w:top w:val="single" w:sz="4" w:space="0" w:color="auto"/>
              <w:left w:val="nil"/>
              <w:bottom w:val="single" w:sz="4" w:space="0" w:color="auto"/>
              <w:right w:val="nil"/>
            </w:tcBorders>
            <w:vAlign w:val="center"/>
          </w:tcPr>
          <w:p w14:paraId="57FED775" w14:textId="77777777" w:rsidR="00E74F5A" w:rsidRPr="004311F9" w:rsidRDefault="00E74F5A" w:rsidP="00DC4CB1">
            <w:pPr>
              <w:keepNext/>
              <w:keepLines/>
              <w:spacing w:line="240" w:lineRule="auto"/>
              <w:jc w:val="center"/>
              <w:rPr>
                <w:b/>
                <w:bCs/>
                <w:sz w:val="16"/>
                <w:szCs w:val="16"/>
                <w:vertAlign w:val="superscript"/>
                <w:lang w:val="hu-HU"/>
              </w:rPr>
            </w:pPr>
            <w:r w:rsidRPr="004311F9">
              <w:rPr>
                <w:b/>
                <w:bCs/>
                <w:sz w:val="16"/>
                <w:szCs w:val="16"/>
                <w:lang w:val="hu-HU"/>
              </w:rPr>
              <w:t xml:space="preserve">10 perc </w:t>
            </w:r>
          </w:p>
        </w:tc>
        <w:tc>
          <w:tcPr>
            <w:tcW w:w="400" w:type="pct"/>
            <w:tcBorders>
              <w:top w:val="single" w:sz="4" w:space="0" w:color="auto"/>
              <w:left w:val="single" w:sz="4" w:space="0" w:color="auto"/>
              <w:bottom w:val="single" w:sz="4" w:space="0" w:color="auto"/>
              <w:right w:val="single" w:sz="4" w:space="0" w:color="auto"/>
            </w:tcBorders>
            <w:vAlign w:val="center"/>
          </w:tcPr>
          <w:p w14:paraId="669C9A1D" w14:textId="77777777" w:rsidR="00E74F5A" w:rsidRPr="004311F9" w:rsidRDefault="00E74F5A" w:rsidP="00DC4CB1">
            <w:pPr>
              <w:keepNext/>
              <w:keepLines/>
              <w:spacing w:line="240" w:lineRule="auto"/>
              <w:jc w:val="center"/>
              <w:rPr>
                <w:b/>
                <w:bCs/>
                <w:sz w:val="16"/>
                <w:szCs w:val="16"/>
                <w:lang w:val="hu-HU"/>
              </w:rPr>
            </w:pPr>
            <w:r w:rsidRPr="004311F9">
              <w:rPr>
                <w:b/>
                <w:bCs/>
                <w:sz w:val="16"/>
                <w:szCs w:val="16"/>
                <w:lang w:val="hu-HU"/>
              </w:rPr>
              <w:t xml:space="preserve">1 h </w:t>
            </w:r>
          </w:p>
        </w:tc>
        <w:tc>
          <w:tcPr>
            <w:tcW w:w="378" w:type="pct"/>
            <w:tcBorders>
              <w:top w:val="single" w:sz="4" w:space="0" w:color="auto"/>
              <w:left w:val="nil"/>
              <w:bottom w:val="single" w:sz="4" w:space="0" w:color="auto"/>
              <w:right w:val="single" w:sz="4" w:space="0" w:color="auto"/>
            </w:tcBorders>
            <w:vAlign w:val="center"/>
          </w:tcPr>
          <w:p w14:paraId="20D138FB" w14:textId="77777777" w:rsidR="00E74F5A" w:rsidRPr="004311F9" w:rsidRDefault="00E74F5A" w:rsidP="00DC4CB1">
            <w:pPr>
              <w:keepNext/>
              <w:keepLines/>
              <w:spacing w:line="240" w:lineRule="auto"/>
              <w:jc w:val="center"/>
              <w:rPr>
                <w:b/>
                <w:bCs/>
                <w:sz w:val="16"/>
                <w:szCs w:val="16"/>
                <w:lang w:val="hu-HU"/>
              </w:rPr>
            </w:pPr>
            <w:r w:rsidRPr="004311F9">
              <w:rPr>
                <w:b/>
                <w:bCs/>
                <w:sz w:val="16"/>
                <w:szCs w:val="16"/>
                <w:lang w:val="hu-HU"/>
              </w:rPr>
              <w:t>3 h</w:t>
            </w:r>
          </w:p>
        </w:tc>
        <w:tc>
          <w:tcPr>
            <w:tcW w:w="378" w:type="pct"/>
            <w:tcBorders>
              <w:top w:val="single" w:sz="4" w:space="0" w:color="auto"/>
              <w:left w:val="nil"/>
              <w:bottom w:val="single" w:sz="4" w:space="0" w:color="auto"/>
              <w:right w:val="single" w:sz="4" w:space="0" w:color="auto"/>
            </w:tcBorders>
            <w:vAlign w:val="center"/>
          </w:tcPr>
          <w:p w14:paraId="1583C4FC" w14:textId="77777777" w:rsidR="00E74F5A" w:rsidRPr="004311F9" w:rsidRDefault="00E74F5A" w:rsidP="00DC4CB1">
            <w:pPr>
              <w:keepNext/>
              <w:keepLines/>
              <w:spacing w:line="240" w:lineRule="auto"/>
              <w:jc w:val="center"/>
              <w:rPr>
                <w:b/>
                <w:bCs/>
                <w:sz w:val="16"/>
                <w:szCs w:val="16"/>
                <w:lang w:val="hu-HU"/>
              </w:rPr>
            </w:pPr>
            <w:r w:rsidRPr="004311F9">
              <w:rPr>
                <w:b/>
                <w:bCs/>
                <w:sz w:val="16"/>
                <w:szCs w:val="16"/>
                <w:lang w:val="hu-HU"/>
              </w:rPr>
              <w:t>6 h</w:t>
            </w:r>
          </w:p>
        </w:tc>
        <w:tc>
          <w:tcPr>
            <w:tcW w:w="378" w:type="pct"/>
            <w:tcBorders>
              <w:top w:val="single" w:sz="4" w:space="0" w:color="auto"/>
              <w:left w:val="nil"/>
              <w:bottom w:val="single" w:sz="4" w:space="0" w:color="auto"/>
              <w:right w:val="single" w:sz="4" w:space="0" w:color="auto"/>
            </w:tcBorders>
            <w:vAlign w:val="center"/>
          </w:tcPr>
          <w:p w14:paraId="7B28BC2E" w14:textId="77777777" w:rsidR="00E74F5A" w:rsidRPr="004311F9" w:rsidRDefault="00E74F5A" w:rsidP="00DC4CB1">
            <w:pPr>
              <w:keepNext/>
              <w:keepLines/>
              <w:spacing w:line="240" w:lineRule="auto"/>
              <w:jc w:val="center"/>
              <w:rPr>
                <w:b/>
                <w:bCs/>
                <w:sz w:val="16"/>
                <w:szCs w:val="16"/>
                <w:lang w:val="hu-HU"/>
              </w:rPr>
            </w:pPr>
            <w:r w:rsidRPr="004311F9">
              <w:rPr>
                <w:b/>
                <w:bCs/>
                <w:sz w:val="16"/>
                <w:szCs w:val="16"/>
                <w:lang w:val="hu-HU"/>
              </w:rPr>
              <w:t>24 h</w:t>
            </w:r>
          </w:p>
        </w:tc>
        <w:tc>
          <w:tcPr>
            <w:tcW w:w="378" w:type="pct"/>
            <w:tcBorders>
              <w:top w:val="single" w:sz="4" w:space="0" w:color="auto"/>
              <w:left w:val="nil"/>
              <w:bottom w:val="single" w:sz="4" w:space="0" w:color="auto"/>
              <w:right w:val="single" w:sz="4" w:space="0" w:color="auto"/>
            </w:tcBorders>
            <w:vAlign w:val="center"/>
          </w:tcPr>
          <w:p w14:paraId="64C8193C" w14:textId="77777777" w:rsidR="00E74F5A" w:rsidRPr="004311F9" w:rsidRDefault="00E74F5A" w:rsidP="00DC4CB1">
            <w:pPr>
              <w:keepNext/>
              <w:keepLines/>
              <w:spacing w:line="240" w:lineRule="auto"/>
              <w:jc w:val="center"/>
              <w:rPr>
                <w:b/>
                <w:bCs/>
                <w:sz w:val="16"/>
                <w:szCs w:val="16"/>
                <w:lang w:val="hu-HU"/>
              </w:rPr>
            </w:pPr>
            <w:r w:rsidRPr="004311F9">
              <w:rPr>
                <w:b/>
                <w:bCs/>
                <w:sz w:val="16"/>
                <w:szCs w:val="16"/>
                <w:lang w:val="hu-HU"/>
              </w:rPr>
              <w:t>48 h</w:t>
            </w:r>
          </w:p>
        </w:tc>
        <w:tc>
          <w:tcPr>
            <w:tcW w:w="376" w:type="pct"/>
            <w:tcBorders>
              <w:top w:val="single" w:sz="4" w:space="0" w:color="auto"/>
              <w:left w:val="nil"/>
              <w:bottom w:val="single" w:sz="4" w:space="0" w:color="auto"/>
              <w:right w:val="single" w:sz="4" w:space="0" w:color="auto"/>
            </w:tcBorders>
            <w:vAlign w:val="center"/>
          </w:tcPr>
          <w:p w14:paraId="6B7CFB9F" w14:textId="77777777" w:rsidR="00E74F5A" w:rsidRPr="004311F9" w:rsidRDefault="00E74F5A" w:rsidP="00DC4CB1">
            <w:pPr>
              <w:keepNext/>
              <w:keepLines/>
              <w:spacing w:line="240" w:lineRule="auto"/>
              <w:jc w:val="center"/>
              <w:rPr>
                <w:b/>
                <w:bCs/>
                <w:sz w:val="16"/>
                <w:szCs w:val="16"/>
                <w:lang w:val="hu-HU"/>
              </w:rPr>
            </w:pPr>
            <w:r w:rsidRPr="004311F9">
              <w:rPr>
                <w:b/>
                <w:bCs/>
                <w:sz w:val="16"/>
                <w:szCs w:val="16"/>
                <w:lang w:val="hu-HU"/>
              </w:rPr>
              <w:t>96 h</w:t>
            </w:r>
          </w:p>
        </w:tc>
        <w:tc>
          <w:tcPr>
            <w:tcW w:w="376" w:type="pct"/>
            <w:tcBorders>
              <w:top w:val="single" w:sz="4" w:space="0" w:color="auto"/>
              <w:left w:val="nil"/>
              <w:bottom w:val="single" w:sz="4" w:space="0" w:color="auto"/>
              <w:right w:val="single" w:sz="4" w:space="0" w:color="auto"/>
            </w:tcBorders>
            <w:vAlign w:val="center"/>
          </w:tcPr>
          <w:p w14:paraId="34CDE106" w14:textId="77777777" w:rsidR="00E74F5A" w:rsidRPr="004311F9" w:rsidRDefault="00E74F5A" w:rsidP="00DC4CB1">
            <w:pPr>
              <w:keepNext/>
              <w:keepLines/>
              <w:spacing w:line="240" w:lineRule="auto"/>
              <w:jc w:val="center"/>
              <w:rPr>
                <w:b/>
                <w:bCs/>
                <w:sz w:val="16"/>
                <w:szCs w:val="16"/>
                <w:lang w:val="hu-HU"/>
              </w:rPr>
            </w:pPr>
            <w:r w:rsidRPr="004311F9">
              <w:rPr>
                <w:b/>
                <w:bCs/>
                <w:sz w:val="16"/>
                <w:szCs w:val="16"/>
                <w:lang w:val="hu-HU"/>
              </w:rPr>
              <w:t>144 h</w:t>
            </w:r>
          </w:p>
        </w:tc>
        <w:tc>
          <w:tcPr>
            <w:tcW w:w="376" w:type="pct"/>
            <w:tcBorders>
              <w:top w:val="single" w:sz="4" w:space="0" w:color="auto"/>
              <w:left w:val="nil"/>
              <w:bottom w:val="single" w:sz="4" w:space="0" w:color="auto"/>
              <w:right w:val="single" w:sz="4" w:space="0" w:color="auto"/>
            </w:tcBorders>
            <w:vAlign w:val="center"/>
          </w:tcPr>
          <w:p w14:paraId="593E6A23" w14:textId="77777777" w:rsidR="00E74F5A" w:rsidRPr="004311F9" w:rsidRDefault="00E74F5A" w:rsidP="00DC4CB1">
            <w:pPr>
              <w:keepNext/>
              <w:keepLines/>
              <w:spacing w:line="240" w:lineRule="auto"/>
              <w:jc w:val="center"/>
              <w:rPr>
                <w:b/>
                <w:bCs/>
                <w:sz w:val="16"/>
                <w:szCs w:val="16"/>
                <w:lang w:val="hu-HU"/>
              </w:rPr>
            </w:pPr>
            <w:r w:rsidRPr="004311F9">
              <w:rPr>
                <w:b/>
                <w:bCs/>
                <w:sz w:val="16"/>
                <w:szCs w:val="16"/>
                <w:lang w:val="hu-HU"/>
              </w:rPr>
              <w:t>168 h</w:t>
            </w:r>
          </w:p>
        </w:tc>
        <w:tc>
          <w:tcPr>
            <w:tcW w:w="377" w:type="pct"/>
            <w:tcBorders>
              <w:top w:val="single" w:sz="4" w:space="0" w:color="auto"/>
              <w:left w:val="nil"/>
              <w:bottom w:val="single" w:sz="4" w:space="0" w:color="auto"/>
              <w:right w:val="single" w:sz="4" w:space="0" w:color="auto"/>
            </w:tcBorders>
            <w:vAlign w:val="center"/>
          </w:tcPr>
          <w:p w14:paraId="4A7A9B14" w14:textId="77777777" w:rsidR="00E74F5A" w:rsidRPr="004311F9" w:rsidRDefault="00E74F5A" w:rsidP="00DC4CB1">
            <w:pPr>
              <w:keepNext/>
              <w:keepLines/>
              <w:spacing w:line="240" w:lineRule="auto"/>
              <w:jc w:val="center"/>
              <w:rPr>
                <w:b/>
                <w:bCs/>
                <w:sz w:val="16"/>
                <w:szCs w:val="16"/>
                <w:lang w:val="hu-HU"/>
              </w:rPr>
            </w:pPr>
            <w:r w:rsidRPr="004311F9">
              <w:rPr>
                <w:b/>
                <w:bCs/>
                <w:sz w:val="16"/>
                <w:szCs w:val="16"/>
                <w:lang w:val="hu-HU"/>
              </w:rPr>
              <w:t>192 h</w:t>
            </w:r>
          </w:p>
        </w:tc>
        <w:tc>
          <w:tcPr>
            <w:tcW w:w="374" w:type="pct"/>
            <w:tcBorders>
              <w:top w:val="single" w:sz="4" w:space="0" w:color="auto"/>
              <w:left w:val="nil"/>
              <w:bottom w:val="single" w:sz="4" w:space="0" w:color="auto"/>
              <w:right w:val="single" w:sz="4" w:space="0" w:color="auto"/>
            </w:tcBorders>
            <w:vAlign w:val="center"/>
          </w:tcPr>
          <w:p w14:paraId="5C9C2A5A" w14:textId="77777777" w:rsidR="00E74F5A" w:rsidRPr="004311F9" w:rsidRDefault="00E74F5A" w:rsidP="00DC4CB1">
            <w:pPr>
              <w:keepNext/>
              <w:keepLines/>
              <w:spacing w:line="240" w:lineRule="auto"/>
              <w:jc w:val="center"/>
              <w:rPr>
                <w:b/>
                <w:bCs/>
                <w:sz w:val="16"/>
                <w:szCs w:val="16"/>
                <w:lang w:val="hu-HU"/>
              </w:rPr>
            </w:pPr>
            <w:r w:rsidRPr="004311F9">
              <w:rPr>
                <w:b/>
                <w:bCs/>
                <w:sz w:val="16"/>
                <w:szCs w:val="16"/>
                <w:lang w:val="hu-HU"/>
              </w:rPr>
              <w:t>240 h</w:t>
            </w:r>
          </w:p>
        </w:tc>
        <w:tc>
          <w:tcPr>
            <w:tcW w:w="372" w:type="pct"/>
            <w:tcBorders>
              <w:top w:val="single" w:sz="4" w:space="0" w:color="auto"/>
              <w:left w:val="nil"/>
              <w:bottom w:val="single" w:sz="4" w:space="0" w:color="auto"/>
              <w:right w:val="single" w:sz="4" w:space="0" w:color="auto"/>
            </w:tcBorders>
            <w:vAlign w:val="center"/>
          </w:tcPr>
          <w:p w14:paraId="6E11A199" w14:textId="77777777" w:rsidR="00E74F5A" w:rsidRPr="004311F9" w:rsidRDefault="00E74F5A" w:rsidP="00DC4CB1">
            <w:pPr>
              <w:keepNext/>
              <w:keepLines/>
              <w:spacing w:line="240" w:lineRule="auto"/>
              <w:jc w:val="center"/>
              <w:rPr>
                <w:b/>
                <w:bCs/>
                <w:sz w:val="16"/>
                <w:szCs w:val="16"/>
                <w:lang w:val="hu-HU"/>
              </w:rPr>
            </w:pPr>
            <w:r w:rsidRPr="004311F9">
              <w:rPr>
                <w:b/>
                <w:bCs/>
                <w:sz w:val="16"/>
                <w:szCs w:val="16"/>
                <w:lang w:val="hu-HU"/>
              </w:rPr>
              <w:t>288 h</w:t>
            </w:r>
          </w:p>
        </w:tc>
      </w:tr>
      <w:tr w:rsidR="00E74F5A" w:rsidRPr="004311F9" w14:paraId="243E284F" w14:textId="77777777" w:rsidTr="0025345C">
        <w:trPr>
          <w:trHeight w:val="728"/>
        </w:trPr>
        <w:tc>
          <w:tcPr>
            <w:tcW w:w="410" w:type="pct"/>
            <w:tcBorders>
              <w:top w:val="nil"/>
              <w:left w:val="single" w:sz="4" w:space="0" w:color="auto"/>
              <w:bottom w:val="single" w:sz="4" w:space="0" w:color="auto"/>
              <w:right w:val="single" w:sz="4" w:space="0" w:color="auto"/>
            </w:tcBorders>
            <w:vAlign w:val="center"/>
          </w:tcPr>
          <w:p w14:paraId="59C18249" w14:textId="77777777" w:rsidR="00E74F5A" w:rsidRPr="004311F9" w:rsidRDefault="00E74F5A" w:rsidP="00DC4CB1">
            <w:pPr>
              <w:keepNext/>
              <w:keepLines/>
              <w:spacing w:line="240" w:lineRule="auto"/>
              <w:jc w:val="center"/>
              <w:rPr>
                <w:b/>
                <w:sz w:val="16"/>
                <w:szCs w:val="16"/>
                <w:lang w:val="hu-HU"/>
              </w:rPr>
            </w:pPr>
            <w:r w:rsidRPr="004311F9">
              <w:rPr>
                <w:b/>
                <w:sz w:val="16"/>
                <w:szCs w:val="16"/>
                <w:lang w:val="hu-HU"/>
              </w:rPr>
              <w:t>50</w:t>
            </w:r>
          </w:p>
        </w:tc>
        <w:tc>
          <w:tcPr>
            <w:tcW w:w="430" w:type="pct"/>
            <w:tcBorders>
              <w:top w:val="nil"/>
              <w:left w:val="nil"/>
              <w:bottom w:val="single" w:sz="4" w:space="0" w:color="auto"/>
              <w:right w:val="single" w:sz="4" w:space="0" w:color="auto"/>
            </w:tcBorders>
            <w:vAlign w:val="center"/>
          </w:tcPr>
          <w:p w14:paraId="6FB006AE" w14:textId="227DD7CD" w:rsidR="00E74F5A" w:rsidRPr="004311F9" w:rsidRDefault="00E74F5A" w:rsidP="00DC4CB1">
            <w:pPr>
              <w:keepNext/>
              <w:keepLines/>
              <w:spacing w:line="240" w:lineRule="auto"/>
              <w:jc w:val="center"/>
              <w:rPr>
                <w:sz w:val="16"/>
                <w:szCs w:val="16"/>
                <w:lang w:val="hu-HU"/>
              </w:rPr>
            </w:pPr>
            <w:r w:rsidRPr="004311F9">
              <w:rPr>
                <w:sz w:val="16"/>
                <w:szCs w:val="16"/>
                <w:lang w:val="hu-HU"/>
              </w:rPr>
              <w:t>52,9</w:t>
            </w:r>
          </w:p>
          <w:p w14:paraId="4EFD2B16" w14:textId="77777777" w:rsidR="00E74F5A" w:rsidRPr="004311F9" w:rsidRDefault="00E74F5A" w:rsidP="00DC4CB1">
            <w:pPr>
              <w:keepNext/>
              <w:keepLines/>
              <w:spacing w:line="240" w:lineRule="auto"/>
              <w:jc w:val="center"/>
              <w:rPr>
                <w:sz w:val="16"/>
                <w:szCs w:val="16"/>
                <w:lang w:val="hu-HU"/>
              </w:rPr>
            </w:pPr>
            <w:r w:rsidRPr="004311F9">
              <w:rPr>
                <w:sz w:val="16"/>
                <w:szCs w:val="16"/>
                <w:lang w:val="hu-HU"/>
              </w:rPr>
              <w:t>(30,6)</w:t>
            </w:r>
          </w:p>
        </w:tc>
        <w:tc>
          <w:tcPr>
            <w:tcW w:w="400" w:type="pct"/>
            <w:tcBorders>
              <w:top w:val="nil"/>
              <w:left w:val="nil"/>
              <w:bottom w:val="single" w:sz="4" w:space="0" w:color="auto"/>
              <w:right w:val="nil"/>
            </w:tcBorders>
            <w:vAlign w:val="center"/>
          </w:tcPr>
          <w:p w14:paraId="616AB7CB" w14:textId="77777777" w:rsidR="00E74F5A" w:rsidRPr="004311F9" w:rsidRDefault="00E74F5A" w:rsidP="00DC4CB1">
            <w:pPr>
              <w:keepNext/>
              <w:keepLines/>
              <w:spacing w:line="240" w:lineRule="auto"/>
              <w:jc w:val="center"/>
              <w:rPr>
                <w:sz w:val="16"/>
                <w:szCs w:val="16"/>
                <w:lang w:val="hu-HU"/>
              </w:rPr>
            </w:pPr>
            <w:r w:rsidRPr="004311F9">
              <w:rPr>
                <w:sz w:val="16"/>
                <w:szCs w:val="16"/>
                <w:lang w:val="hu-HU"/>
              </w:rPr>
              <w:t>34,5</w:t>
            </w:r>
          </w:p>
          <w:p w14:paraId="5619C78D" w14:textId="77777777" w:rsidR="00E74F5A" w:rsidRPr="004311F9" w:rsidRDefault="00E74F5A" w:rsidP="00DC4CB1">
            <w:pPr>
              <w:keepNext/>
              <w:keepLines/>
              <w:spacing w:line="240" w:lineRule="auto"/>
              <w:jc w:val="center"/>
              <w:rPr>
                <w:sz w:val="16"/>
                <w:szCs w:val="16"/>
                <w:lang w:val="hu-HU"/>
              </w:rPr>
            </w:pPr>
            <w:r w:rsidRPr="004311F9">
              <w:rPr>
                <w:sz w:val="16"/>
                <w:szCs w:val="16"/>
                <w:lang w:val="hu-HU"/>
              </w:rPr>
              <w:t>(7,3)</w:t>
            </w:r>
          </w:p>
        </w:tc>
        <w:tc>
          <w:tcPr>
            <w:tcW w:w="378" w:type="pct"/>
            <w:tcBorders>
              <w:top w:val="nil"/>
              <w:left w:val="single" w:sz="4" w:space="0" w:color="auto"/>
              <w:bottom w:val="single" w:sz="4" w:space="0" w:color="auto"/>
              <w:right w:val="single" w:sz="4" w:space="0" w:color="auto"/>
            </w:tcBorders>
            <w:vAlign w:val="center"/>
          </w:tcPr>
          <w:p w14:paraId="36096023" w14:textId="77777777" w:rsidR="00E74F5A" w:rsidRPr="004311F9" w:rsidRDefault="00E74F5A" w:rsidP="00DC4CB1">
            <w:pPr>
              <w:keepNext/>
              <w:keepLines/>
              <w:spacing w:line="240" w:lineRule="auto"/>
              <w:jc w:val="center"/>
              <w:rPr>
                <w:sz w:val="16"/>
                <w:szCs w:val="16"/>
                <w:lang w:val="hu-HU"/>
              </w:rPr>
            </w:pPr>
            <w:r w:rsidRPr="004311F9">
              <w:rPr>
                <w:sz w:val="16"/>
                <w:szCs w:val="16"/>
                <w:lang w:val="hu-HU"/>
              </w:rPr>
              <w:t>28,7</w:t>
            </w:r>
          </w:p>
          <w:p w14:paraId="20B9F87B" w14:textId="77777777" w:rsidR="00E74F5A" w:rsidRPr="004311F9" w:rsidRDefault="00E74F5A" w:rsidP="00DC4CB1">
            <w:pPr>
              <w:keepNext/>
              <w:keepLines/>
              <w:spacing w:line="240" w:lineRule="auto"/>
              <w:jc w:val="center"/>
              <w:rPr>
                <w:sz w:val="16"/>
                <w:szCs w:val="16"/>
                <w:lang w:val="hu-HU"/>
              </w:rPr>
            </w:pPr>
            <w:r w:rsidRPr="004311F9">
              <w:rPr>
                <w:sz w:val="16"/>
                <w:szCs w:val="16"/>
                <w:lang w:val="hu-HU"/>
              </w:rPr>
              <w:t>(6,7)</w:t>
            </w:r>
          </w:p>
        </w:tc>
        <w:tc>
          <w:tcPr>
            <w:tcW w:w="378" w:type="pct"/>
            <w:tcBorders>
              <w:top w:val="nil"/>
              <w:left w:val="nil"/>
              <w:bottom w:val="single" w:sz="4" w:space="0" w:color="auto"/>
              <w:right w:val="single" w:sz="4" w:space="0" w:color="auto"/>
            </w:tcBorders>
            <w:vAlign w:val="center"/>
          </w:tcPr>
          <w:p w14:paraId="197E5164" w14:textId="77777777" w:rsidR="00E74F5A" w:rsidRPr="004311F9" w:rsidRDefault="00E74F5A" w:rsidP="00DC4CB1">
            <w:pPr>
              <w:keepNext/>
              <w:keepLines/>
              <w:spacing w:line="240" w:lineRule="auto"/>
              <w:jc w:val="center"/>
              <w:rPr>
                <w:sz w:val="16"/>
                <w:szCs w:val="16"/>
                <w:lang w:val="hu-HU"/>
              </w:rPr>
            </w:pPr>
            <w:r w:rsidRPr="004311F9">
              <w:rPr>
                <w:sz w:val="16"/>
                <w:szCs w:val="16"/>
                <w:lang w:val="hu-HU"/>
              </w:rPr>
              <w:t>25,1</w:t>
            </w:r>
          </w:p>
          <w:p w14:paraId="1E05207A" w14:textId="77777777" w:rsidR="00E74F5A" w:rsidRPr="004311F9" w:rsidRDefault="00E74F5A" w:rsidP="00DC4CB1">
            <w:pPr>
              <w:keepNext/>
              <w:keepLines/>
              <w:spacing w:line="240" w:lineRule="auto"/>
              <w:jc w:val="center"/>
              <w:rPr>
                <w:sz w:val="16"/>
                <w:szCs w:val="16"/>
                <w:lang w:val="hu-HU"/>
              </w:rPr>
            </w:pPr>
            <w:r w:rsidRPr="004311F9">
              <w:rPr>
                <w:sz w:val="16"/>
                <w:szCs w:val="16"/>
                <w:lang w:val="hu-HU"/>
              </w:rPr>
              <w:t>(5,1)</w:t>
            </w:r>
          </w:p>
        </w:tc>
        <w:tc>
          <w:tcPr>
            <w:tcW w:w="378" w:type="pct"/>
            <w:tcBorders>
              <w:top w:val="nil"/>
              <w:left w:val="nil"/>
              <w:bottom w:val="single" w:sz="4" w:space="0" w:color="auto"/>
              <w:right w:val="single" w:sz="4" w:space="0" w:color="auto"/>
            </w:tcBorders>
            <w:vAlign w:val="center"/>
          </w:tcPr>
          <w:p w14:paraId="45BBB62C" w14:textId="77777777" w:rsidR="00E74F5A" w:rsidRPr="004311F9" w:rsidRDefault="00E74F5A" w:rsidP="00DC4CB1">
            <w:pPr>
              <w:keepNext/>
              <w:keepLines/>
              <w:spacing w:line="240" w:lineRule="auto"/>
              <w:jc w:val="center"/>
              <w:rPr>
                <w:sz w:val="16"/>
                <w:szCs w:val="16"/>
                <w:lang w:val="hu-HU"/>
              </w:rPr>
            </w:pPr>
            <w:r w:rsidRPr="004311F9">
              <w:rPr>
                <w:sz w:val="16"/>
                <w:szCs w:val="16"/>
                <w:lang w:val="hu-HU"/>
              </w:rPr>
              <w:t>15,1</w:t>
            </w:r>
          </w:p>
          <w:p w14:paraId="4D488542" w14:textId="77777777" w:rsidR="00E74F5A" w:rsidRPr="004311F9" w:rsidRDefault="00E74F5A" w:rsidP="00DC4CB1">
            <w:pPr>
              <w:keepNext/>
              <w:keepLines/>
              <w:spacing w:line="240" w:lineRule="auto"/>
              <w:jc w:val="center"/>
              <w:rPr>
                <w:sz w:val="16"/>
                <w:szCs w:val="16"/>
                <w:lang w:val="hu-HU"/>
              </w:rPr>
            </w:pPr>
            <w:r w:rsidRPr="004311F9">
              <w:rPr>
                <w:sz w:val="16"/>
                <w:szCs w:val="16"/>
                <w:lang w:val="hu-HU"/>
              </w:rPr>
              <w:t>(3,9)</w:t>
            </w:r>
          </w:p>
        </w:tc>
        <w:tc>
          <w:tcPr>
            <w:tcW w:w="378" w:type="pct"/>
            <w:tcBorders>
              <w:top w:val="nil"/>
              <w:left w:val="nil"/>
              <w:bottom w:val="single" w:sz="4" w:space="0" w:color="auto"/>
              <w:right w:val="single" w:sz="4" w:space="0" w:color="auto"/>
            </w:tcBorders>
            <w:vAlign w:val="center"/>
          </w:tcPr>
          <w:p w14:paraId="722D158E" w14:textId="77777777" w:rsidR="00E74F5A" w:rsidRPr="004311F9" w:rsidRDefault="00E74F5A" w:rsidP="00DC4CB1">
            <w:pPr>
              <w:keepNext/>
              <w:keepLines/>
              <w:spacing w:line="240" w:lineRule="auto"/>
              <w:jc w:val="center"/>
              <w:rPr>
                <w:sz w:val="16"/>
                <w:szCs w:val="16"/>
                <w:lang w:val="hu-HU"/>
              </w:rPr>
            </w:pPr>
            <w:r w:rsidRPr="004311F9">
              <w:rPr>
                <w:sz w:val="16"/>
                <w:szCs w:val="16"/>
                <w:lang w:val="hu-HU"/>
              </w:rPr>
              <w:t>9,7</w:t>
            </w:r>
          </w:p>
          <w:p w14:paraId="46A0EDF5" w14:textId="77777777" w:rsidR="00E74F5A" w:rsidRPr="004311F9" w:rsidRDefault="00E74F5A" w:rsidP="00DC4CB1">
            <w:pPr>
              <w:keepNext/>
              <w:keepLines/>
              <w:spacing w:line="240" w:lineRule="auto"/>
              <w:jc w:val="center"/>
              <w:rPr>
                <w:sz w:val="16"/>
                <w:szCs w:val="16"/>
                <w:lang w:val="hu-HU"/>
              </w:rPr>
            </w:pPr>
            <w:r w:rsidRPr="004311F9">
              <w:rPr>
                <w:sz w:val="16"/>
                <w:szCs w:val="16"/>
                <w:lang w:val="hu-HU"/>
              </w:rPr>
              <w:t>(3,0)</w:t>
            </w:r>
          </w:p>
        </w:tc>
        <w:tc>
          <w:tcPr>
            <w:tcW w:w="376" w:type="pct"/>
            <w:tcBorders>
              <w:top w:val="nil"/>
              <w:left w:val="nil"/>
              <w:bottom w:val="single" w:sz="4" w:space="0" w:color="auto"/>
              <w:right w:val="single" w:sz="4" w:space="0" w:color="auto"/>
            </w:tcBorders>
            <w:vAlign w:val="center"/>
          </w:tcPr>
          <w:p w14:paraId="26D5B622" w14:textId="77777777" w:rsidR="00E74F5A" w:rsidRPr="004311F9" w:rsidRDefault="00E74F5A" w:rsidP="00DC4CB1">
            <w:pPr>
              <w:keepNext/>
              <w:keepLines/>
              <w:spacing w:line="240" w:lineRule="auto"/>
              <w:jc w:val="center"/>
              <w:rPr>
                <w:sz w:val="16"/>
                <w:szCs w:val="16"/>
                <w:lang w:val="hu-HU"/>
              </w:rPr>
            </w:pPr>
            <w:r w:rsidRPr="004311F9">
              <w:rPr>
                <w:sz w:val="16"/>
                <w:szCs w:val="16"/>
                <w:lang w:val="hu-HU"/>
              </w:rPr>
              <w:t>5,0</w:t>
            </w:r>
          </w:p>
          <w:p w14:paraId="6FB8FFEE" w14:textId="77777777" w:rsidR="00E74F5A" w:rsidRPr="004311F9" w:rsidRDefault="00E74F5A" w:rsidP="00DC4CB1">
            <w:pPr>
              <w:keepNext/>
              <w:keepLines/>
              <w:spacing w:line="240" w:lineRule="auto"/>
              <w:jc w:val="center"/>
              <w:rPr>
                <w:sz w:val="16"/>
                <w:szCs w:val="16"/>
                <w:lang w:val="hu-HU"/>
              </w:rPr>
            </w:pPr>
            <w:r w:rsidRPr="004311F9">
              <w:rPr>
                <w:sz w:val="16"/>
                <w:szCs w:val="16"/>
                <w:lang w:val="hu-HU"/>
              </w:rPr>
              <w:t>(1,6)</w:t>
            </w:r>
          </w:p>
        </w:tc>
        <w:tc>
          <w:tcPr>
            <w:tcW w:w="376" w:type="pct"/>
            <w:tcBorders>
              <w:top w:val="nil"/>
              <w:left w:val="nil"/>
              <w:bottom w:val="single" w:sz="4" w:space="0" w:color="auto"/>
              <w:right w:val="single" w:sz="4" w:space="0" w:color="auto"/>
            </w:tcBorders>
            <w:vAlign w:val="center"/>
          </w:tcPr>
          <w:p w14:paraId="273F358A" w14:textId="77777777" w:rsidR="00E74F5A" w:rsidRPr="004311F9" w:rsidRDefault="00E74F5A" w:rsidP="00DC4CB1">
            <w:pPr>
              <w:keepNext/>
              <w:keepLines/>
              <w:spacing w:line="240" w:lineRule="auto"/>
              <w:jc w:val="center"/>
              <w:rPr>
                <w:sz w:val="16"/>
                <w:szCs w:val="16"/>
                <w:lang w:val="hu-HU"/>
              </w:rPr>
            </w:pPr>
            <w:r w:rsidRPr="004311F9">
              <w:rPr>
                <w:sz w:val="16"/>
                <w:szCs w:val="16"/>
                <w:lang w:val="hu-HU"/>
              </w:rPr>
              <w:t>3,4</w:t>
            </w:r>
          </w:p>
          <w:p w14:paraId="3EF5AE26" w14:textId="77777777" w:rsidR="00E74F5A" w:rsidRPr="004311F9" w:rsidRDefault="00E74F5A" w:rsidP="00DC4CB1">
            <w:pPr>
              <w:keepNext/>
              <w:keepLines/>
              <w:spacing w:line="240" w:lineRule="auto"/>
              <w:jc w:val="center"/>
              <w:rPr>
                <w:sz w:val="16"/>
                <w:szCs w:val="16"/>
                <w:lang w:val="hu-HU"/>
              </w:rPr>
            </w:pPr>
            <w:r w:rsidRPr="004311F9">
              <w:rPr>
                <w:sz w:val="16"/>
                <w:szCs w:val="16"/>
                <w:lang w:val="hu-HU"/>
              </w:rPr>
              <w:t>(1,1)</w:t>
            </w:r>
          </w:p>
        </w:tc>
        <w:tc>
          <w:tcPr>
            <w:tcW w:w="376" w:type="pct"/>
            <w:tcBorders>
              <w:top w:val="nil"/>
              <w:left w:val="nil"/>
              <w:bottom w:val="single" w:sz="4" w:space="0" w:color="auto"/>
              <w:right w:val="single" w:sz="4" w:space="0" w:color="auto"/>
            </w:tcBorders>
            <w:vAlign w:val="center"/>
          </w:tcPr>
          <w:p w14:paraId="7226B86D" w14:textId="77777777" w:rsidR="00E74F5A" w:rsidRPr="004311F9" w:rsidRDefault="00E74F5A" w:rsidP="00DC4CB1">
            <w:pPr>
              <w:keepNext/>
              <w:keepLines/>
              <w:spacing w:line="240" w:lineRule="auto"/>
              <w:jc w:val="center"/>
              <w:rPr>
                <w:sz w:val="16"/>
                <w:szCs w:val="16"/>
                <w:lang w:val="hu-HU"/>
              </w:rPr>
            </w:pPr>
            <w:r w:rsidRPr="004311F9">
              <w:rPr>
                <w:sz w:val="16"/>
                <w:szCs w:val="16"/>
                <w:lang w:val="hu-HU"/>
              </w:rPr>
              <w:t>3,2</w:t>
            </w:r>
          </w:p>
          <w:p w14:paraId="527E1885" w14:textId="77777777" w:rsidR="00E74F5A" w:rsidRPr="004311F9" w:rsidRDefault="00E74F5A" w:rsidP="00DC4CB1">
            <w:pPr>
              <w:keepNext/>
              <w:keepLines/>
              <w:spacing w:line="240" w:lineRule="auto"/>
              <w:jc w:val="center"/>
              <w:rPr>
                <w:sz w:val="16"/>
                <w:szCs w:val="16"/>
                <w:lang w:val="hu-HU"/>
              </w:rPr>
            </w:pPr>
            <w:r w:rsidRPr="004311F9">
              <w:rPr>
                <w:sz w:val="16"/>
                <w:szCs w:val="16"/>
                <w:lang w:val="hu-HU"/>
              </w:rPr>
              <w:t>(1,9)</w:t>
            </w:r>
          </w:p>
        </w:tc>
        <w:tc>
          <w:tcPr>
            <w:tcW w:w="377" w:type="pct"/>
            <w:tcBorders>
              <w:top w:val="nil"/>
              <w:left w:val="nil"/>
              <w:bottom w:val="single" w:sz="4" w:space="0" w:color="auto"/>
              <w:right w:val="single" w:sz="4" w:space="0" w:color="auto"/>
            </w:tcBorders>
            <w:vAlign w:val="center"/>
          </w:tcPr>
          <w:p w14:paraId="4A7F87F3" w14:textId="77777777" w:rsidR="00E74F5A" w:rsidRPr="004311F9" w:rsidRDefault="00E74F5A" w:rsidP="00DC4CB1">
            <w:pPr>
              <w:keepNext/>
              <w:keepLines/>
              <w:spacing w:line="240" w:lineRule="auto"/>
              <w:jc w:val="center"/>
              <w:rPr>
                <w:sz w:val="16"/>
                <w:szCs w:val="16"/>
                <w:lang w:val="hu-HU"/>
              </w:rPr>
            </w:pPr>
            <w:r w:rsidRPr="004311F9">
              <w:rPr>
                <w:sz w:val="16"/>
                <w:szCs w:val="16"/>
                <w:lang w:val="hu-HU"/>
              </w:rPr>
              <w:t>2,6</w:t>
            </w:r>
          </w:p>
          <w:p w14:paraId="198F42C2" w14:textId="77777777" w:rsidR="00E74F5A" w:rsidRPr="004311F9" w:rsidRDefault="00E74F5A" w:rsidP="00DC4CB1">
            <w:pPr>
              <w:keepNext/>
              <w:keepLines/>
              <w:spacing w:line="240" w:lineRule="auto"/>
              <w:jc w:val="center"/>
              <w:rPr>
                <w:sz w:val="16"/>
                <w:szCs w:val="16"/>
                <w:lang w:val="hu-HU"/>
              </w:rPr>
            </w:pPr>
            <w:r w:rsidRPr="004311F9">
              <w:rPr>
                <w:sz w:val="16"/>
                <w:szCs w:val="16"/>
                <w:lang w:val="hu-HU"/>
              </w:rPr>
              <w:t>(1,0)</w:t>
            </w:r>
          </w:p>
        </w:tc>
        <w:tc>
          <w:tcPr>
            <w:tcW w:w="374" w:type="pct"/>
            <w:tcBorders>
              <w:top w:val="nil"/>
              <w:left w:val="nil"/>
              <w:bottom w:val="single" w:sz="4" w:space="0" w:color="auto"/>
              <w:right w:val="single" w:sz="4" w:space="0" w:color="auto"/>
            </w:tcBorders>
            <w:vAlign w:val="center"/>
          </w:tcPr>
          <w:p w14:paraId="2800B8E9" w14:textId="77777777" w:rsidR="00E74F5A" w:rsidRPr="004311F9" w:rsidRDefault="00E74F5A" w:rsidP="00DC4CB1">
            <w:pPr>
              <w:keepNext/>
              <w:keepLines/>
              <w:spacing w:line="240" w:lineRule="auto"/>
              <w:jc w:val="center"/>
              <w:rPr>
                <w:sz w:val="16"/>
                <w:szCs w:val="16"/>
                <w:lang w:val="hu-HU"/>
              </w:rPr>
            </w:pPr>
            <w:r w:rsidRPr="004311F9">
              <w:rPr>
                <w:sz w:val="16"/>
                <w:szCs w:val="16"/>
                <w:lang w:val="hu-HU"/>
              </w:rPr>
              <w:t>2,1</w:t>
            </w:r>
          </w:p>
          <w:p w14:paraId="3EC29178" w14:textId="77777777" w:rsidR="00E74F5A" w:rsidRPr="004311F9" w:rsidRDefault="00E74F5A" w:rsidP="00DC4CB1">
            <w:pPr>
              <w:keepNext/>
              <w:keepLines/>
              <w:spacing w:line="240" w:lineRule="auto"/>
              <w:jc w:val="center"/>
              <w:rPr>
                <w:sz w:val="16"/>
                <w:szCs w:val="16"/>
                <w:lang w:val="hu-HU"/>
              </w:rPr>
            </w:pPr>
            <w:r w:rsidRPr="004311F9">
              <w:rPr>
                <w:sz w:val="16"/>
                <w:szCs w:val="16"/>
                <w:lang w:val="hu-HU"/>
              </w:rPr>
              <w:t>(0,9)</w:t>
            </w:r>
          </w:p>
        </w:tc>
        <w:tc>
          <w:tcPr>
            <w:tcW w:w="372" w:type="pct"/>
            <w:tcBorders>
              <w:top w:val="nil"/>
              <w:left w:val="nil"/>
              <w:bottom w:val="single" w:sz="4" w:space="0" w:color="auto"/>
              <w:right w:val="single" w:sz="4" w:space="0" w:color="auto"/>
            </w:tcBorders>
            <w:vAlign w:val="center"/>
          </w:tcPr>
          <w:p w14:paraId="495385BB" w14:textId="77777777" w:rsidR="00E74F5A" w:rsidRPr="004311F9" w:rsidRDefault="00E74F5A" w:rsidP="00DC4CB1">
            <w:pPr>
              <w:keepNext/>
              <w:keepLines/>
              <w:spacing w:line="240" w:lineRule="auto"/>
              <w:jc w:val="center"/>
              <w:rPr>
                <w:sz w:val="16"/>
                <w:szCs w:val="16"/>
                <w:lang w:val="hu-HU"/>
              </w:rPr>
            </w:pPr>
            <w:r w:rsidRPr="004311F9">
              <w:rPr>
                <w:sz w:val="16"/>
                <w:szCs w:val="16"/>
                <w:lang w:val="hu-HU"/>
              </w:rPr>
              <w:t>NA</w:t>
            </w:r>
          </w:p>
        </w:tc>
      </w:tr>
      <w:tr w:rsidR="00E74F5A" w:rsidRPr="004311F9" w14:paraId="32C8B61A" w14:textId="77777777" w:rsidTr="0025345C">
        <w:trPr>
          <w:trHeight w:val="521"/>
        </w:trPr>
        <w:tc>
          <w:tcPr>
            <w:tcW w:w="410" w:type="pct"/>
            <w:tcBorders>
              <w:top w:val="single" w:sz="4" w:space="0" w:color="auto"/>
              <w:left w:val="single" w:sz="4" w:space="0" w:color="auto"/>
              <w:bottom w:val="single" w:sz="4" w:space="0" w:color="auto"/>
              <w:right w:val="nil"/>
            </w:tcBorders>
            <w:vAlign w:val="center"/>
          </w:tcPr>
          <w:p w14:paraId="7F9D1C36" w14:textId="77777777" w:rsidR="00E74F5A" w:rsidRPr="004311F9" w:rsidRDefault="00E74F5A" w:rsidP="00DC4CB1">
            <w:pPr>
              <w:keepNext/>
              <w:keepLines/>
              <w:spacing w:line="240" w:lineRule="auto"/>
              <w:jc w:val="center"/>
              <w:rPr>
                <w:b/>
                <w:sz w:val="16"/>
                <w:szCs w:val="16"/>
                <w:lang w:val="hu-HU"/>
              </w:rPr>
            </w:pPr>
            <w:r w:rsidRPr="004311F9">
              <w:rPr>
                <w:b/>
                <w:sz w:val="16"/>
                <w:szCs w:val="16"/>
                <w:lang w:val="hu-HU"/>
              </w:rPr>
              <w:t>100</w:t>
            </w:r>
          </w:p>
        </w:tc>
        <w:tc>
          <w:tcPr>
            <w:tcW w:w="430" w:type="pct"/>
            <w:tcBorders>
              <w:top w:val="single" w:sz="4" w:space="0" w:color="auto"/>
              <w:left w:val="single" w:sz="4" w:space="0" w:color="auto"/>
              <w:bottom w:val="single" w:sz="4" w:space="0" w:color="auto"/>
              <w:right w:val="single" w:sz="4" w:space="0" w:color="auto"/>
            </w:tcBorders>
            <w:vAlign w:val="center"/>
          </w:tcPr>
          <w:p w14:paraId="495048B1" w14:textId="77777777" w:rsidR="00E74F5A" w:rsidRPr="004311F9" w:rsidRDefault="00E74F5A" w:rsidP="00DC4CB1">
            <w:pPr>
              <w:keepNext/>
              <w:keepLines/>
              <w:spacing w:line="240" w:lineRule="auto"/>
              <w:jc w:val="center"/>
              <w:rPr>
                <w:sz w:val="16"/>
                <w:szCs w:val="16"/>
                <w:lang w:val="hu-HU"/>
              </w:rPr>
            </w:pPr>
            <w:r w:rsidRPr="004311F9">
              <w:rPr>
                <w:sz w:val="16"/>
                <w:szCs w:val="16"/>
                <w:lang w:val="hu-HU"/>
              </w:rPr>
              <w:t>112</w:t>
            </w:r>
          </w:p>
          <w:p w14:paraId="2801788E" w14:textId="77777777" w:rsidR="00E74F5A" w:rsidRPr="004311F9" w:rsidRDefault="00E74F5A" w:rsidP="00DC4CB1">
            <w:pPr>
              <w:keepNext/>
              <w:keepLines/>
              <w:spacing w:line="240" w:lineRule="auto"/>
              <w:jc w:val="center"/>
              <w:rPr>
                <w:sz w:val="16"/>
                <w:szCs w:val="16"/>
                <w:lang w:val="hu-HU"/>
              </w:rPr>
            </w:pPr>
            <w:r w:rsidRPr="004311F9">
              <w:rPr>
                <w:sz w:val="16"/>
                <w:szCs w:val="16"/>
                <w:lang w:val="hu-HU"/>
              </w:rPr>
              <w:t>(24)</w:t>
            </w:r>
          </w:p>
        </w:tc>
        <w:tc>
          <w:tcPr>
            <w:tcW w:w="400" w:type="pct"/>
            <w:tcBorders>
              <w:top w:val="single" w:sz="4" w:space="0" w:color="auto"/>
              <w:left w:val="nil"/>
              <w:bottom w:val="single" w:sz="4" w:space="0" w:color="auto"/>
              <w:right w:val="single" w:sz="4" w:space="0" w:color="auto"/>
            </w:tcBorders>
            <w:vAlign w:val="center"/>
          </w:tcPr>
          <w:p w14:paraId="5B7AB9A6" w14:textId="77777777" w:rsidR="00E74F5A" w:rsidRPr="004311F9" w:rsidRDefault="00E74F5A" w:rsidP="00DC4CB1">
            <w:pPr>
              <w:keepNext/>
              <w:keepLines/>
              <w:spacing w:line="240" w:lineRule="auto"/>
              <w:jc w:val="center"/>
              <w:rPr>
                <w:sz w:val="16"/>
                <w:szCs w:val="16"/>
                <w:lang w:val="hu-HU"/>
              </w:rPr>
            </w:pPr>
            <w:r w:rsidRPr="004311F9">
              <w:rPr>
                <w:sz w:val="16"/>
                <w:szCs w:val="16"/>
                <w:lang w:val="hu-HU"/>
              </w:rPr>
              <w:t>NA</w:t>
            </w:r>
          </w:p>
        </w:tc>
        <w:tc>
          <w:tcPr>
            <w:tcW w:w="378" w:type="pct"/>
            <w:tcBorders>
              <w:top w:val="single" w:sz="4" w:space="0" w:color="auto"/>
              <w:left w:val="nil"/>
              <w:bottom w:val="single" w:sz="4" w:space="0" w:color="auto"/>
              <w:right w:val="single" w:sz="4" w:space="0" w:color="auto"/>
            </w:tcBorders>
            <w:vAlign w:val="center"/>
          </w:tcPr>
          <w:p w14:paraId="0E30FBE3" w14:textId="77777777" w:rsidR="00E74F5A" w:rsidRPr="004311F9" w:rsidRDefault="00E74F5A" w:rsidP="00DC4CB1">
            <w:pPr>
              <w:keepNext/>
              <w:keepLines/>
              <w:spacing w:line="240" w:lineRule="auto"/>
              <w:jc w:val="center"/>
              <w:rPr>
                <w:sz w:val="16"/>
                <w:szCs w:val="16"/>
                <w:lang w:val="hu-HU"/>
              </w:rPr>
            </w:pPr>
            <w:r w:rsidRPr="004311F9">
              <w:rPr>
                <w:sz w:val="16"/>
                <w:szCs w:val="16"/>
                <w:lang w:val="hu-HU"/>
              </w:rPr>
              <w:t>77,1</w:t>
            </w:r>
          </w:p>
          <w:p w14:paraId="083BDA22" w14:textId="77777777" w:rsidR="00E74F5A" w:rsidRPr="004311F9" w:rsidRDefault="00E74F5A" w:rsidP="00DC4CB1">
            <w:pPr>
              <w:keepNext/>
              <w:keepLines/>
              <w:spacing w:line="240" w:lineRule="auto"/>
              <w:jc w:val="center"/>
              <w:rPr>
                <w:sz w:val="16"/>
                <w:szCs w:val="16"/>
                <w:lang w:val="hu-HU"/>
              </w:rPr>
            </w:pPr>
            <w:r w:rsidRPr="004311F9">
              <w:rPr>
                <w:sz w:val="16"/>
                <w:szCs w:val="16"/>
                <w:lang w:val="hu-HU"/>
              </w:rPr>
              <w:t>(12,8)</w:t>
            </w:r>
          </w:p>
        </w:tc>
        <w:tc>
          <w:tcPr>
            <w:tcW w:w="378" w:type="pct"/>
            <w:tcBorders>
              <w:top w:val="single" w:sz="4" w:space="0" w:color="auto"/>
              <w:left w:val="nil"/>
              <w:bottom w:val="single" w:sz="4" w:space="0" w:color="auto"/>
              <w:right w:val="single" w:sz="4" w:space="0" w:color="auto"/>
            </w:tcBorders>
            <w:vAlign w:val="center"/>
          </w:tcPr>
          <w:p w14:paraId="7B2BF356" w14:textId="77777777" w:rsidR="00E74F5A" w:rsidRPr="004311F9" w:rsidRDefault="00E74F5A" w:rsidP="00DC4CB1">
            <w:pPr>
              <w:keepNext/>
              <w:keepLines/>
              <w:spacing w:line="240" w:lineRule="auto"/>
              <w:jc w:val="center"/>
              <w:rPr>
                <w:sz w:val="16"/>
                <w:szCs w:val="16"/>
                <w:lang w:val="hu-HU"/>
              </w:rPr>
            </w:pPr>
            <w:r w:rsidRPr="004311F9">
              <w:rPr>
                <w:sz w:val="16"/>
                <w:szCs w:val="16"/>
                <w:lang w:val="hu-HU"/>
              </w:rPr>
              <w:t>NA</w:t>
            </w:r>
          </w:p>
        </w:tc>
        <w:tc>
          <w:tcPr>
            <w:tcW w:w="378" w:type="pct"/>
            <w:tcBorders>
              <w:top w:val="single" w:sz="4" w:space="0" w:color="auto"/>
              <w:left w:val="nil"/>
              <w:bottom w:val="single" w:sz="4" w:space="0" w:color="auto"/>
              <w:right w:val="single" w:sz="4" w:space="0" w:color="auto"/>
            </w:tcBorders>
            <w:vAlign w:val="center"/>
          </w:tcPr>
          <w:p w14:paraId="602311CB" w14:textId="77777777" w:rsidR="00E74F5A" w:rsidRPr="004311F9" w:rsidRDefault="00E74F5A" w:rsidP="00DC4CB1">
            <w:pPr>
              <w:keepNext/>
              <w:keepLines/>
              <w:spacing w:line="240" w:lineRule="auto"/>
              <w:jc w:val="center"/>
              <w:rPr>
                <w:sz w:val="16"/>
                <w:szCs w:val="16"/>
                <w:lang w:val="hu-HU"/>
              </w:rPr>
            </w:pPr>
            <w:r w:rsidRPr="004311F9">
              <w:rPr>
                <w:sz w:val="16"/>
                <w:szCs w:val="16"/>
                <w:lang w:val="hu-HU"/>
              </w:rPr>
              <w:t>36,7</w:t>
            </w:r>
          </w:p>
          <w:p w14:paraId="3C6E73C9" w14:textId="77777777" w:rsidR="00E74F5A" w:rsidRPr="004311F9" w:rsidRDefault="00E74F5A" w:rsidP="00DC4CB1">
            <w:pPr>
              <w:keepNext/>
              <w:keepLines/>
              <w:spacing w:line="240" w:lineRule="auto"/>
              <w:jc w:val="center"/>
              <w:rPr>
                <w:sz w:val="16"/>
                <w:szCs w:val="16"/>
                <w:lang w:val="hu-HU"/>
              </w:rPr>
            </w:pPr>
            <w:r w:rsidRPr="004311F9">
              <w:rPr>
                <w:sz w:val="16"/>
                <w:szCs w:val="16"/>
                <w:lang w:val="hu-HU"/>
              </w:rPr>
              <w:t>(8,0)</w:t>
            </w:r>
          </w:p>
        </w:tc>
        <w:tc>
          <w:tcPr>
            <w:tcW w:w="378" w:type="pct"/>
            <w:tcBorders>
              <w:top w:val="single" w:sz="4" w:space="0" w:color="auto"/>
              <w:left w:val="nil"/>
              <w:bottom w:val="single" w:sz="4" w:space="0" w:color="auto"/>
              <w:right w:val="single" w:sz="4" w:space="0" w:color="auto"/>
            </w:tcBorders>
            <w:vAlign w:val="center"/>
          </w:tcPr>
          <w:p w14:paraId="745CB418" w14:textId="77777777" w:rsidR="00E74F5A" w:rsidRPr="004311F9" w:rsidRDefault="00E74F5A" w:rsidP="00DC4CB1">
            <w:pPr>
              <w:keepNext/>
              <w:keepLines/>
              <w:spacing w:line="240" w:lineRule="auto"/>
              <w:jc w:val="center"/>
              <w:rPr>
                <w:sz w:val="16"/>
                <w:szCs w:val="16"/>
                <w:lang w:val="hu-HU"/>
              </w:rPr>
            </w:pPr>
            <w:r w:rsidRPr="004311F9">
              <w:rPr>
                <w:sz w:val="16"/>
                <w:szCs w:val="16"/>
                <w:lang w:val="hu-HU"/>
              </w:rPr>
              <w:t xml:space="preserve">21,8 </w:t>
            </w:r>
          </w:p>
          <w:p w14:paraId="2375E0E6" w14:textId="77777777" w:rsidR="00E74F5A" w:rsidRPr="004311F9" w:rsidRDefault="00E74F5A" w:rsidP="00DC4CB1">
            <w:pPr>
              <w:keepNext/>
              <w:keepLines/>
              <w:spacing w:line="240" w:lineRule="auto"/>
              <w:jc w:val="center"/>
              <w:rPr>
                <w:sz w:val="16"/>
                <w:szCs w:val="16"/>
                <w:lang w:val="hu-HU"/>
              </w:rPr>
            </w:pPr>
            <w:r w:rsidRPr="004311F9">
              <w:rPr>
                <w:sz w:val="16"/>
                <w:szCs w:val="16"/>
                <w:lang w:val="hu-HU"/>
              </w:rPr>
              <w:t>(4,8)</w:t>
            </w:r>
          </w:p>
        </w:tc>
        <w:tc>
          <w:tcPr>
            <w:tcW w:w="376" w:type="pct"/>
            <w:tcBorders>
              <w:top w:val="single" w:sz="4" w:space="0" w:color="auto"/>
              <w:left w:val="nil"/>
              <w:bottom w:val="single" w:sz="4" w:space="0" w:color="auto"/>
              <w:right w:val="single" w:sz="4" w:space="0" w:color="auto"/>
            </w:tcBorders>
            <w:vAlign w:val="center"/>
          </w:tcPr>
          <w:p w14:paraId="7C41ABD8" w14:textId="77777777" w:rsidR="00E74F5A" w:rsidRPr="004311F9" w:rsidRDefault="00E74F5A" w:rsidP="00DC4CB1">
            <w:pPr>
              <w:keepNext/>
              <w:keepLines/>
              <w:spacing w:line="240" w:lineRule="auto"/>
              <w:jc w:val="center"/>
              <w:rPr>
                <w:sz w:val="16"/>
                <w:szCs w:val="16"/>
                <w:lang w:val="hu-HU"/>
              </w:rPr>
            </w:pPr>
            <w:r w:rsidRPr="004311F9">
              <w:rPr>
                <w:sz w:val="16"/>
                <w:szCs w:val="16"/>
                <w:lang w:val="hu-HU"/>
              </w:rPr>
              <w:t>10,1</w:t>
            </w:r>
          </w:p>
          <w:p w14:paraId="7E6A8AEE" w14:textId="77777777" w:rsidR="00E74F5A" w:rsidRPr="004311F9" w:rsidRDefault="00E74F5A" w:rsidP="00DC4CB1">
            <w:pPr>
              <w:keepNext/>
              <w:keepLines/>
              <w:spacing w:line="240" w:lineRule="auto"/>
              <w:jc w:val="center"/>
              <w:rPr>
                <w:sz w:val="16"/>
                <w:szCs w:val="16"/>
                <w:lang w:val="hu-HU"/>
              </w:rPr>
            </w:pPr>
            <w:r w:rsidRPr="004311F9">
              <w:rPr>
                <w:sz w:val="16"/>
                <w:szCs w:val="16"/>
                <w:lang w:val="hu-HU"/>
              </w:rPr>
              <w:t>(2,6)</w:t>
            </w:r>
          </w:p>
        </w:tc>
        <w:tc>
          <w:tcPr>
            <w:tcW w:w="376" w:type="pct"/>
            <w:tcBorders>
              <w:top w:val="single" w:sz="4" w:space="0" w:color="auto"/>
              <w:left w:val="nil"/>
              <w:bottom w:val="single" w:sz="4" w:space="0" w:color="auto"/>
              <w:right w:val="single" w:sz="4" w:space="0" w:color="auto"/>
            </w:tcBorders>
            <w:vAlign w:val="center"/>
          </w:tcPr>
          <w:p w14:paraId="5860CA44" w14:textId="77777777" w:rsidR="00E74F5A" w:rsidRPr="004311F9" w:rsidRDefault="00E74F5A" w:rsidP="00DC4CB1">
            <w:pPr>
              <w:keepNext/>
              <w:keepLines/>
              <w:spacing w:line="240" w:lineRule="auto"/>
              <w:jc w:val="center"/>
              <w:rPr>
                <w:sz w:val="16"/>
                <w:szCs w:val="16"/>
                <w:lang w:val="hu-HU"/>
              </w:rPr>
            </w:pPr>
            <w:r w:rsidRPr="004311F9">
              <w:rPr>
                <w:sz w:val="16"/>
                <w:szCs w:val="16"/>
                <w:lang w:val="hu-HU"/>
              </w:rPr>
              <w:t>NA</w:t>
            </w:r>
          </w:p>
        </w:tc>
        <w:tc>
          <w:tcPr>
            <w:tcW w:w="376" w:type="pct"/>
            <w:tcBorders>
              <w:top w:val="single" w:sz="4" w:space="0" w:color="auto"/>
              <w:left w:val="nil"/>
              <w:bottom w:val="single" w:sz="4" w:space="0" w:color="auto"/>
              <w:right w:val="single" w:sz="4" w:space="0" w:color="auto"/>
            </w:tcBorders>
            <w:vAlign w:val="center"/>
          </w:tcPr>
          <w:p w14:paraId="143C6BA5" w14:textId="77777777" w:rsidR="00E74F5A" w:rsidRPr="004311F9" w:rsidRDefault="00E74F5A" w:rsidP="00DC4CB1">
            <w:pPr>
              <w:keepNext/>
              <w:keepLines/>
              <w:spacing w:line="240" w:lineRule="auto"/>
              <w:jc w:val="center"/>
              <w:rPr>
                <w:sz w:val="16"/>
                <w:szCs w:val="16"/>
                <w:lang w:val="hu-HU"/>
              </w:rPr>
            </w:pPr>
            <w:r w:rsidRPr="004311F9">
              <w:rPr>
                <w:sz w:val="16"/>
                <w:szCs w:val="16"/>
                <w:lang w:val="hu-HU"/>
              </w:rPr>
              <w:t>4,81</w:t>
            </w:r>
          </w:p>
          <w:p w14:paraId="6CFA63B8" w14:textId="77777777" w:rsidR="00E74F5A" w:rsidRPr="004311F9" w:rsidRDefault="00E74F5A" w:rsidP="00DC4CB1">
            <w:pPr>
              <w:keepNext/>
              <w:keepLines/>
              <w:spacing w:line="240" w:lineRule="auto"/>
              <w:jc w:val="center"/>
              <w:rPr>
                <w:sz w:val="16"/>
                <w:szCs w:val="16"/>
                <w:lang w:val="hu-HU"/>
              </w:rPr>
            </w:pPr>
            <w:r w:rsidRPr="004311F9">
              <w:rPr>
                <w:sz w:val="16"/>
                <w:szCs w:val="16"/>
                <w:lang w:val="hu-HU"/>
              </w:rPr>
              <w:t>(1,67)</w:t>
            </w:r>
          </w:p>
        </w:tc>
        <w:tc>
          <w:tcPr>
            <w:tcW w:w="377" w:type="pct"/>
            <w:tcBorders>
              <w:top w:val="single" w:sz="4" w:space="0" w:color="auto"/>
              <w:left w:val="nil"/>
              <w:bottom w:val="single" w:sz="4" w:space="0" w:color="auto"/>
              <w:right w:val="single" w:sz="4" w:space="0" w:color="auto"/>
            </w:tcBorders>
            <w:vAlign w:val="center"/>
          </w:tcPr>
          <w:p w14:paraId="5CD06E52" w14:textId="77777777" w:rsidR="00E74F5A" w:rsidRPr="004311F9" w:rsidRDefault="00E74F5A" w:rsidP="00DC4CB1">
            <w:pPr>
              <w:keepNext/>
              <w:keepLines/>
              <w:spacing w:line="240" w:lineRule="auto"/>
              <w:jc w:val="center"/>
              <w:rPr>
                <w:sz w:val="16"/>
                <w:szCs w:val="16"/>
                <w:lang w:val="hu-HU"/>
              </w:rPr>
            </w:pPr>
            <w:r w:rsidRPr="004311F9">
              <w:rPr>
                <w:sz w:val="16"/>
                <w:szCs w:val="16"/>
                <w:lang w:val="hu-HU"/>
              </w:rPr>
              <w:t>NA</w:t>
            </w:r>
          </w:p>
        </w:tc>
        <w:tc>
          <w:tcPr>
            <w:tcW w:w="374" w:type="pct"/>
            <w:tcBorders>
              <w:top w:val="single" w:sz="4" w:space="0" w:color="auto"/>
              <w:left w:val="nil"/>
              <w:bottom w:val="single" w:sz="4" w:space="0" w:color="auto"/>
              <w:right w:val="single" w:sz="4" w:space="0" w:color="auto"/>
            </w:tcBorders>
            <w:vAlign w:val="center"/>
          </w:tcPr>
          <w:p w14:paraId="43252FF5" w14:textId="77777777" w:rsidR="00E74F5A" w:rsidRPr="004311F9" w:rsidRDefault="00E74F5A" w:rsidP="00DC4CB1">
            <w:pPr>
              <w:keepNext/>
              <w:keepLines/>
              <w:spacing w:line="240" w:lineRule="auto"/>
              <w:jc w:val="center"/>
              <w:rPr>
                <w:sz w:val="16"/>
                <w:szCs w:val="16"/>
                <w:lang w:val="hu-HU"/>
              </w:rPr>
            </w:pPr>
            <w:r w:rsidRPr="004311F9">
              <w:rPr>
                <w:sz w:val="16"/>
                <w:szCs w:val="16"/>
                <w:lang w:val="hu-HU"/>
              </w:rPr>
              <w:t>2,86</w:t>
            </w:r>
          </w:p>
          <w:p w14:paraId="04ADA0A0" w14:textId="77777777" w:rsidR="00E74F5A" w:rsidRPr="004311F9" w:rsidRDefault="00E74F5A" w:rsidP="00DC4CB1">
            <w:pPr>
              <w:keepNext/>
              <w:keepLines/>
              <w:spacing w:line="240" w:lineRule="auto"/>
              <w:jc w:val="center"/>
              <w:rPr>
                <w:sz w:val="16"/>
                <w:szCs w:val="16"/>
                <w:lang w:val="hu-HU"/>
              </w:rPr>
            </w:pPr>
            <w:r w:rsidRPr="004311F9">
              <w:rPr>
                <w:sz w:val="16"/>
                <w:szCs w:val="16"/>
                <w:lang w:val="hu-HU"/>
              </w:rPr>
              <w:t>(0,98)</w:t>
            </w:r>
          </w:p>
        </w:tc>
        <w:tc>
          <w:tcPr>
            <w:tcW w:w="372" w:type="pct"/>
            <w:tcBorders>
              <w:top w:val="single" w:sz="4" w:space="0" w:color="auto"/>
              <w:left w:val="nil"/>
              <w:bottom w:val="single" w:sz="4" w:space="0" w:color="auto"/>
              <w:right w:val="single" w:sz="4" w:space="0" w:color="auto"/>
            </w:tcBorders>
            <w:vAlign w:val="center"/>
          </w:tcPr>
          <w:p w14:paraId="13F7CCB4" w14:textId="77777777" w:rsidR="00E74F5A" w:rsidRPr="004311F9" w:rsidRDefault="00E74F5A" w:rsidP="00DC4CB1">
            <w:pPr>
              <w:keepNext/>
              <w:keepLines/>
              <w:spacing w:line="240" w:lineRule="auto"/>
              <w:jc w:val="center"/>
              <w:rPr>
                <w:sz w:val="16"/>
                <w:szCs w:val="16"/>
                <w:lang w:val="hu-HU"/>
              </w:rPr>
            </w:pPr>
            <w:r w:rsidRPr="004311F9">
              <w:rPr>
                <w:sz w:val="16"/>
                <w:szCs w:val="16"/>
                <w:lang w:val="hu-HU"/>
              </w:rPr>
              <w:t>2,30</w:t>
            </w:r>
          </w:p>
          <w:p w14:paraId="2474E02C" w14:textId="77777777" w:rsidR="00E74F5A" w:rsidRPr="004311F9" w:rsidRDefault="00E74F5A" w:rsidP="00DC4CB1">
            <w:pPr>
              <w:keepNext/>
              <w:keepLines/>
              <w:spacing w:line="240" w:lineRule="auto"/>
              <w:jc w:val="center"/>
              <w:rPr>
                <w:sz w:val="16"/>
                <w:szCs w:val="16"/>
                <w:lang w:val="hu-HU"/>
              </w:rPr>
            </w:pPr>
            <w:r w:rsidRPr="004311F9">
              <w:rPr>
                <w:sz w:val="16"/>
                <w:szCs w:val="16"/>
                <w:lang w:val="hu-HU"/>
              </w:rPr>
              <w:t>(0,94)</w:t>
            </w:r>
          </w:p>
        </w:tc>
      </w:tr>
    </w:tbl>
    <w:p w14:paraId="58FECD2C" w14:textId="77777777" w:rsidR="00E74F5A" w:rsidRPr="004311F9" w:rsidRDefault="00E74F5A" w:rsidP="00DC4CB1">
      <w:pPr>
        <w:spacing w:line="240" w:lineRule="auto"/>
        <w:rPr>
          <w:rFonts w:eastAsia="Times New Roman"/>
          <w:szCs w:val="24"/>
          <w:lang w:val="hu-HU"/>
        </w:rPr>
      </w:pPr>
      <w:r w:rsidRPr="004311F9">
        <w:rPr>
          <w:sz w:val="18"/>
          <w:szCs w:val="18"/>
          <w:vertAlign w:val="superscript"/>
          <w:lang w:val="hu-HU"/>
        </w:rPr>
        <w:t>1</w:t>
      </w:r>
      <w:r w:rsidRPr="004311F9">
        <w:rPr>
          <w:sz w:val="18"/>
          <w:szCs w:val="18"/>
          <w:lang w:val="hu-HU"/>
        </w:rPr>
        <w:t xml:space="preserve"> Lásd 4.2 pont; NA: Adat nem áll rendelkezésre</w:t>
      </w:r>
    </w:p>
    <w:p w14:paraId="421206FF" w14:textId="77777777" w:rsidR="00E74F5A" w:rsidRPr="004311F9" w:rsidRDefault="00E74F5A" w:rsidP="00616109">
      <w:pPr>
        <w:spacing w:line="240" w:lineRule="auto"/>
        <w:rPr>
          <w:szCs w:val="24"/>
          <w:u w:val="single"/>
          <w:lang w:val="hu-HU"/>
        </w:rPr>
      </w:pPr>
    </w:p>
    <w:p w14:paraId="48A341B3" w14:textId="77777777" w:rsidR="00E74F5A" w:rsidRPr="004311F9" w:rsidRDefault="00E74F5A" w:rsidP="00DC4CB1">
      <w:pPr>
        <w:keepNext/>
        <w:keepLines/>
        <w:spacing w:line="240" w:lineRule="auto"/>
        <w:rPr>
          <w:szCs w:val="24"/>
          <w:u w:val="single"/>
          <w:lang w:val="hu-HU"/>
        </w:rPr>
      </w:pPr>
      <w:r w:rsidRPr="004311F9">
        <w:rPr>
          <w:szCs w:val="24"/>
          <w:u w:val="single"/>
          <w:lang w:val="hu-HU"/>
        </w:rPr>
        <w:t>Gyermekek és serdülők</w:t>
      </w:r>
    </w:p>
    <w:p w14:paraId="3A1C3A6F" w14:textId="77777777" w:rsidR="00E74F5A" w:rsidRPr="004311F9" w:rsidRDefault="00E74F5A" w:rsidP="00DC4CB1">
      <w:pPr>
        <w:numPr>
          <w:ilvl w:val="12"/>
          <w:numId w:val="0"/>
        </w:numPr>
        <w:spacing w:line="240" w:lineRule="auto"/>
        <w:ind w:right="-2"/>
        <w:rPr>
          <w:b/>
          <w:szCs w:val="24"/>
          <w:lang w:val="hu-HU"/>
        </w:rPr>
      </w:pPr>
      <w:r w:rsidRPr="004311F9">
        <w:rPr>
          <w:szCs w:val="24"/>
          <w:lang w:val="hu-HU"/>
        </w:rPr>
        <w:t>Az ALPROLIX farmakokinetikai paramétereit serdülőknél az I. vizsgálatban (a farmakokinetikai mintavételt az adag beadása előtt végezték, majd az adag beadása után több időpontban, a 336. óráig (14 nap) végeztek értékelést), gyermekeknél pedig a II. vizsgálatban határozták meg (a farmakokinetikai mintavételt az adag beadása előtt végezték, majd az adag beadása után 7 időpontban, a 168. óráig (7 nap) végeztek értékelést). Az 5. táblázat mutatja be a 35, 18 év alatti vizsgálati alany gyermekgyógyászati adatai alapján kiszámított farmakokinetikai paramétereket.</w:t>
      </w:r>
    </w:p>
    <w:p w14:paraId="67FA75F6" w14:textId="77777777" w:rsidR="00E74F5A" w:rsidRPr="004311F9" w:rsidRDefault="00E74F5A" w:rsidP="00224CF7">
      <w:pPr>
        <w:numPr>
          <w:ilvl w:val="12"/>
          <w:numId w:val="0"/>
        </w:numPr>
        <w:spacing w:line="240" w:lineRule="auto"/>
        <w:ind w:right="-2"/>
        <w:rPr>
          <w:lang w:val="hu-HU"/>
        </w:rPr>
      </w:pPr>
    </w:p>
    <w:p w14:paraId="0E8C3CB5" w14:textId="77777777" w:rsidR="00E74F5A" w:rsidRPr="004311F9" w:rsidRDefault="00E74F5A" w:rsidP="00F74D15">
      <w:pPr>
        <w:keepNext/>
        <w:spacing w:line="240" w:lineRule="auto"/>
        <w:ind w:left="1021" w:hanging="1021"/>
        <w:rPr>
          <w:rStyle w:val="caption-h"/>
          <w:lang w:val="hu-HU"/>
        </w:rPr>
      </w:pPr>
      <w:r w:rsidRPr="004311F9">
        <w:rPr>
          <w:rStyle w:val="caption-h"/>
          <w:lang w:val="hu-HU"/>
        </w:rPr>
        <w:t>5. táblázat: Az ALPROLIX (rFIXFc) farmakokinetikai (PK) paramétereinek összehasonlítása korcsoportonként</w:t>
      </w:r>
    </w:p>
    <w:tbl>
      <w:tblPr>
        <w:tblW w:w="4714" w:type="pct"/>
        <w:tblCellMar>
          <w:top w:w="15" w:type="dxa"/>
          <w:left w:w="15" w:type="dxa"/>
          <w:bottom w:w="15" w:type="dxa"/>
          <w:right w:w="15" w:type="dxa"/>
        </w:tblCellMar>
        <w:tblLook w:val="00A0" w:firstRow="1" w:lastRow="0" w:firstColumn="1" w:lastColumn="0" w:noHBand="0" w:noVBand="0"/>
      </w:tblPr>
      <w:tblGrid>
        <w:gridCol w:w="2596"/>
        <w:gridCol w:w="2111"/>
        <w:gridCol w:w="2026"/>
        <w:gridCol w:w="2077"/>
      </w:tblGrid>
      <w:tr w:rsidR="00E74F5A" w:rsidRPr="004311F9" w14:paraId="123DFF1C" w14:textId="77777777" w:rsidTr="0025345C">
        <w:tc>
          <w:tcPr>
            <w:tcW w:w="1473" w:type="pct"/>
            <w:vMerge w:val="restart"/>
            <w:tcBorders>
              <w:top w:val="single" w:sz="6" w:space="0" w:color="auto"/>
              <w:left w:val="single" w:sz="6" w:space="0" w:color="auto"/>
              <w:right w:val="single" w:sz="6" w:space="0" w:color="auto"/>
            </w:tcBorders>
            <w:tcMar>
              <w:top w:w="0" w:type="dxa"/>
              <w:left w:w="108" w:type="dxa"/>
              <w:bottom w:w="0" w:type="dxa"/>
              <w:right w:w="108" w:type="dxa"/>
            </w:tcMar>
            <w:vAlign w:val="center"/>
          </w:tcPr>
          <w:p w14:paraId="3501932B" w14:textId="77777777" w:rsidR="00E74F5A" w:rsidRPr="004311F9" w:rsidRDefault="00E74F5A" w:rsidP="00DC4CB1">
            <w:pPr>
              <w:keepNext/>
              <w:spacing w:line="240" w:lineRule="auto"/>
              <w:jc w:val="center"/>
              <w:rPr>
                <w:b/>
                <w:bCs/>
                <w:sz w:val="20"/>
                <w:lang w:val="hu-HU"/>
              </w:rPr>
            </w:pPr>
            <w:r w:rsidRPr="004311F9">
              <w:rPr>
                <w:b/>
                <w:bCs/>
                <w:sz w:val="20"/>
                <w:lang w:val="hu-HU"/>
              </w:rPr>
              <w:t>PK paraméterek</w:t>
            </w:r>
            <w:r w:rsidRPr="004311F9">
              <w:rPr>
                <w:b/>
                <w:bCs/>
                <w:sz w:val="20"/>
                <w:vertAlign w:val="superscript"/>
                <w:lang w:val="hu-HU"/>
              </w:rPr>
              <w:t>1</w:t>
            </w:r>
          </w:p>
        </w:tc>
        <w:tc>
          <w:tcPr>
            <w:tcW w:w="2348" w:type="pct"/>
            <w:gridSpan w:val="2"/>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1877A0EE" w14:textId="77777777" w:rsidR="00E74F5A" w:rsidRPr="004311F9" w:rsidRDefault="00E74F5A" w:rsidP="00DC4CB1">
            <w:pPr>
              <w:keepNext/>
              <w:spacing w:line="240" w:lineRule="auto"/>
              <w:jc w:val="center"/>
              <w:rPr>
                <w:b/>
                <w:sz w:val="20"/>
                <w:lang w:val="hu-HU"/>
              </w:rPr>
            </w:pPr>
            <w:r w:rsidRPr="004311F9">
              <w:rPr>
                <w:b/>
                <w:sz w:val="20"/>
                <w:lang w:val="hu-HU"/>
              </w:rPr>
              <w:t>II. vizsgálat</w:t>
            </w:r>
          </w:p>
        </w:tc>
        <w:tc>
          <w:tcPr>
            <w:tcW w:w="117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406588CD" w14:textId="77777777" w:rsidR="00E74F5A" w:rsidRPr="004311F9" w:rsidRDefault="00E74F5A" w:rsidP="00DC4CB1">
            <w:pPr>
              <w:keepNext/>
              <w:spacing w:line="240" w:lineRule="auto"/>
              <w:jc w:val="center"/>
              <w:rPr>
                <w:b/>
                <w:sz w:val="20"/>
                <w:lang w:val="hu-HU"/>
              </w:rPr>
            </w:pPr>
            <w:r w:rsidRPr="004311F9">
              <w:rPr>
                <w:b/>
                <w:sz w:val="20"/>
                <w:lang w:val="hu-HU"/>
              </w:rPr>
              <w:t>I. vizsgálat</w:t>
            </w:r>
          </w:p>
        </w:tc>
      </w:tr>
      <w:tr w:rsidR="00E74F5A" w:rsidRPr="004311F9" w14:paraId="47A866B4" w14:textId="77777777" w:rsidTr="0025345C">
        <w:trPr>
          <w:trHeight w:val="498"/>
        </w:trPr>
        <w:tc>
          <w:tcPr>
            <w:tcW w:w="1473" w:type="pct"/>
            <w:vMerge/>
            <w:tcBorders>
              <w:left w:val="single" w:sz="6" w:space="0" w:color="auto"/>
              <w:right w:val="single" w:sz="6" w:space="0" w:color="auto"/>
            </w:tcBorders>
            <w:tcMar>
              <w:top w:w="0" w:type="dxa"/>
              <w:left w:w="108" w:type="dxa"/>
              <w:bottom w:w="0" w:type="dxa"/>
              <w:right w:w="108" w:type="dxa"/>
            </w:tcMar>
            <w:vAlign w:val="center"/>
          </w:tcPr>
          <w:p w14:paraId="6F709874" w14:textId="77777777" w:rsidR="00E74F5A" w:rsidRPr="004311F9" w:rsidRDefault="00E74F5A" w:rsidP="00DC4CB1">
            <w:pPr>
              <w:keepNext/>
              <w:spacing w:line="240" w:lineRule="auto"/>
              <w:jc w:val="center"/>
              <w:rPr>
                <w:b/>
                <w:bCs/>
                <w:sz w:val="20"/>
                <w:vertAlign w:val="superscript"/>
                <w:lang w:val="hu-HU"/>
              </w:rPr>
            </w:pPr>
          </w:p>
        </w:tc>
        <w:tc>
          <w:tcPr>
            <w:tcW w:w="1198"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4D959EB0" w14:textId="77777777" w:rsidR="00E74F5A" w:rsidRPr="004311F9" w:rsidRDefault="00E74F5A" w:rsidP="00DC4CB1">
            <w:pPr>
              <w:keepNext/>
              <w:spacing w:line="240" w:lineRule="auto"/>
              <w:jc w:val="center"/>
              <w:rPr>
                <w:b/>
                <w:sz w:val="20"/>
                <w:lang w:val="hu-HU"/>
              </w:rPr>
            </w:pPr>
            <w:r w:rsidRPr="004311F9">
              <w:rPr>
                <w:b/>
                <w:sz w:val="20"/>
                <w:lang w:val="hu-HU"/>
              </w:rPr>
              <w:t>&lt;6 év</w:t>
            </w:r>
          </w:p>
          <w:p w14:paraId="7FF5AC36" w14:textId="77777777" w:rsidR="00E74F5A" w:rsidRPr="004311F9" w:rsidRDefault="00E74F5A" w:rsidP="00DC4CB1">
            <w:pPr>
              <w:keepNext/>
              <w:spacing w:line="240" w:lineRule="auto"/>
              <w:jc w:val="center"/>
              <w:rPr>
                <w:b/>
                <w:sz w:val="20"/>
                <w:lang w:val="hu-HU"/>
              </w:rPr>
            </w:pPr>
            <w:r w:rsidRPr="004311F9">
              <w:rPr>
                <w:b/>
                <w:sz w:val="20"/>
                <w:lang w:val="hu-HU"/>
              </w:rPr>
              <w:t>(2, 4)</w:t>
            </w:r>
          </w:p>
        </w:tc>
        <w:tc>
          <w:tcPr>
            <w:tcW w:w="1150"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0EDC9180" w14:textId="77777777" w:rsidR="00E74F5A" w:rsidRPr="004311F9" w:rsidRDefault="00E74F5A" w:rsidP="00DC4CB1">
            <w:pPr>
              <w:keepNext/>
              <w:spacing w:line="240" w:lineRule="auto"/>
              <w:jc w:val="center"/>
              <w:rPr>
                <w:b/>
                <w:sz w:val="20"/>
                <w:lang w:val="hu-HU"/>
              </w:rPr>
            </w:pPr>
            <w:r w:rsidRPr="004311F9">
              <w:rPr>
                <w:b/>
                <w:sz w:val="20"/>
                <w:lang w:val="hu-HU"/>
              </w:rPr>
              <w:t>6</w:t>
            </w:r>
            <w:r w:rsidRPr="004311F9">
              <w:rPr>
                <w:b/>
                <w:sz w:val="20"/>
                <w:lang w:val="hu-HU"/>
              </w:rPr>
              <w:noBreakHyphen/>
              <w:t>&lt;12 év</w:t>
            </w:r>
          </w:p>
          <w:p w14:paraId="3EC694F8" w14:textId="77777777" w:rsidR="00E74F5A" w:rsidRPr="004311F9" w:rsidRDefault="00E74F5A" w:rsidP="00DC4CB1">
            <w:pPr>
              <w:keepNext/>
              <w:spacing w:line="240" w:lineRule="auto"/>
              <w:jc w:val="center"/>
              <w:rPr>
                <w:b/>
                <w:sz w:val="20"/>
                <w:lang w:val="hu-HU"/>
              </w:rPr>
            </w:pPr>
            <w:r w:rsidRPr="004311F9">
              <w:rPr>
                <w:b/>
                <w:sz w:val="20"/>
                <w:lang w:val="hu-HU"/>
              </w:rPr>
              <w:t>(6, 10)</w:t>
            </w:r>
          </w:p>
        </w:tc>
        <w:tc>
          <w:tcPr>
            <w:tcW w:w="117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634DD425" w14:textId="77777777" w:rsidR="00E74F5A" w:rsidRPr="004311F9" w:rsidRDefault="00E74F5A" w:rsidP="00DC4CB1">
            <w:pPr>
              <w:keepNext/>
              <w:spacing w:line="240" w:lineRule="auto"/>
              <w:jc w:val="center"/>
              <w:rPr>
                <w:b/>
                <w:sz w:val="20"/>
                <w:lang w:val="hu-HU"/>
              </w:rPr>
            </w:pPr>
            <w:r w:rsidRPr="004311F9">
              <w:rPr>
                <w:b/>
                <w:sz w:val="20"/>
                <w:lang w:val="hu-HU"/>
              </w:rPr>
              <w:t>12</w:t>
            </w:r>
            <w:r w:rsidRPr="004311F9">
              <w:rPr>
                <w:b/>
                <w:sz w:val="20"/>
                <w:lang w:val="hu-HU"/>
              </w:rPr>
              <w:noBreakHyphen/>
              <w:t>&lt;18 év</w:t>
            </w:r>
          </w:p>
          <w:p w14:paraId="3BD0786B" w14:textId="77777777" w:rsidR="00E74F5A" w:rsidRPr="004311F9" w:rsidRDefault="00E74F5A" w:rsidP="00DC4CB1">
            <w:pPr>
              <w:keepNext/>
              <w:spacing w:line="240" w:lineRule="auto"/>
              <w:jc w:val="center"/>
              <w:rPr>
                <w:b/>
                <w:sz w:val="20"/>
                <w:lang w:val="hu-HU"/>
              </w:rPr>
            </w:pPr>
            <w:r w:rsidRPr="004311F9">
              <w:rPr>
                <w:b/>
                <w:sz w:val="20"/>
                <w:lang w:val="hu-HU"/>
              </w:rPr>
              <w:t>(12, 17)</w:t>
            </w:r>
          </w:p>
        </w:tc>
      </w:tr>
      <w:tr w:rsidR="00E74F5A" w:rsidRPr="004311F9" w14:paraId="097F6F7B" w14:textId="77777777" w:rsidTr="0025345C">
        <w:trPr>
          <w:trHeight w:val="336"/>
        </w:trPr>
        <w:tc>
          <w:tcPr>
            <w:tcW w:w="1473" w:type="pct"/>
            <w:vMerge/>
            <w:tcBorders>
              <w:left w:val="single" w:sz="6" w:space="0" w:color="auto"/>
              <w:bottom w:val="single" w:sz="6" w:space="0" w:color="auto"/>
              <w:right w:val="single" w:sz="6" w:space="0" w:color="auto"/>
            </w:tcBorders>
            <w:tcMar>
              <w:top w:w="0" w:type="dxa"/>
              <w:left w:w="108" w:type="dxa"/>
              <w:bottom w:w="0" w:type="dxa"/>
              <w:right w:w="108" w:type="dxa"/>
            </w:tcMar>
            <w:vAlign w:val="center"/>
          </w:tcPr>
          <w:p w14:paraId="2278EC52" w14:textId="77777777" w:rsidR="00E74F5A" w:rsidRPr="004311F9" w:rsidRDefault="00E74F5A" w:rsidP="00DC4CB1">
            <w:pPr>
              <w:keepNext/>
              <w:spacing w:line="240" w:lineRule="auto"/>
              <w:jc w:val="center"/>
              <w:rPr>
                <w:b/>
                <w:bCs/>
                <w:sz w:val="20"/>
                <w:vertAlign w:val="superscript"/>
                <w:lang w:val="hu-HU"/>
              </w:rPr>
            </w:pPr>
          </w:p>
        </w:tc>
        <w:tc>
          <w:tcPr>
            <w:tcW w:w="1198"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140ED2F8" w14:textId="77777777" w:rsidR="00E74F5A" w:rsidRPr="004311F9" w:rsidRDefault="00E74F5A" w:rsidP="00DC4CB1">
            <w:pPr>
              <w:keepNext/>
              <w:spacing w:line="240" w:lineRule="auto"/>
              <w:jc w:val="center"/>
              <w:rPr>
                <w:b/>
                <w:sz w:val="20"/>
                <w:lang w:val="hu-HU"/>
              </w:rPr>
            </w:pPr>
            <w:r w:rsidRPr="004311F9">
              <w:rPr>
                <w:b/>
                <w:sz w:val="20"/>
                <w:lang w:val="hu-HU"/>
              </w:rPr>
              <w:t>N = 11</w:t>
            </w:r>
          </w:p>
        </w:tc>
        <w:tc>
          <w:tcPr>
            <w:tcW w:w="1150"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17C02B05" w14:textId="77777777" w:rsidR="00E74F5A" w:rsidRPr="004311F9" w:rsidRDefault="00E74F5A" w:rsidP="00DC4CB1">
            <w:pPr>
              <w:keepNext/>
              <w:spacing w:line="240" w:lineRule="auto"/>
              <w:jc w:val="center"/>
              <w:rPr>
                <w:b/>
                <w:sz w:val="20"/>
                <w:lang w:val="hu-HU"/>
              </w:rPr>
            </w:pPr>
            <w:r w:rsidRPr="004311F9">
              <w:rPr>
                <w:b/>
                <w:sz w:val="20"/>
                <w:lang w:val="hu-HU"/>
              </w:rPr>
              <w:t>N = 13</w:t>
            </w:r>
          </w:p>
        </w:tc>
        <w:tc>
          <w:tcPr>
            <w:tcW w:w="117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423F17C3" w14:textId="77777777" w:rsidR="00E74F5A" w:rsidRPr="004311F9" w:rsidRDefault="00E74F5A" w:rsidP="00DC4CB1">
            <w:pPr>
              <w:keepNext/>
              <w:spacing w:line="240" w:lineRule="auto"/>
              <w:jc w:val="center"/>
              <w:rPr>
                <w:b/>
                <w:sz w:val="20"/>
                <w:lang w:val="hu-HU"/>
              </w:rPr>
            </w:pPr>
            <w:r w:rsidRPr="004311F9">
              <w:rPr>
                <w:b/>
                <w:sz w:val="20"/>
                <w:lang w:val="hu-HU"/>
              </w:rPr>
              <w:t>N = 11</w:t>
            </w:r>
          </w:p>
        </w:tc>
      </w:tr>
      <w:tr w:rsidR="00E74F5A" w:rsidRPr="004311F9" w14:paraId="414FBBE9" w14:textId="77777777" w:rsidTr="0025345C">
        <w:tc>
          <w:tcPr>
            <w:tcW w:w="1473"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78E47AC7" w14:textId="77777777" w:rsidR="00E74F5A" w:rsidRPr="004311F9" w:rsidRDefault="00E74F5A" w:rsidP="00DC4CB1">
            <w:pPr>
              <w:keepNext/>
              <w:spacing w:line="240" w:lineRule="auto"/>
              <w:jc w:val="center"/>
              <w:rPr>
                <w:b/>
                <w:bCs/>
                <w:sz w:val="20"/>
                <w:lang w:val="hu-HU"/>
              </w:rPr>
            </w:pPr>
            <w:r w:rsidRPr="004311F9">
              <w:rPr>
                <w:b/>
                <w:bCs/>
                <w:sz w:val="20"/>
                <w:lang w:val="hu-HU"/>
              </w:rPr>
              <w:t>IR</w:t>
            </w:r>
          </w:p>
          <w:p w14:paraId="70470DDD" w14:textId="77777777" w:rsidR="00E74F5A" w:rsidRPr="004311F9" w:rsidRDefault="00E74F5A" w:rsidP="00DC4CB1">
            <w:pPr>
              <w:keepNext/>
              <w:spacing w:line="240" w:lineRule="auto"/>
              <w:jc w:val="center"/>
              <w:rPr>
                <w:sz w:val="20"/>
                <w:lang w:val="hu-HU"/>
              </w:rPr>
            </w:pPr>
            <w:r w:rsidRPr="004311F9">
              <w:rPr>
                <w:b/>
                <w:bCs/>
                <w:sz w:val="20"/>
                <w:lang w:val="hu-HU"/>
              </w:rPr>
              <w:t>(NE/dl per NE/kg)</w:t>
            </w:r>
          </w:p>
        </w:tc>
        <w:tc>
          <w:tcPr>
            <w:tcW w:w="1198"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70EBD4F0" w14:textId="77777777" w:rsidR="00E74F5A" w:rsidRPr="004311F9" w:rsidRDefault="00E74F5A" w:rsidP="00DC4CB1">
            <w:pPr>
              <w:keepNext/>
              <w:spacing w:line="240" w:lineRule="auto"/>
              <w:jc w:val="center"/>
              <w:rPr>
                <w:sz w:val="20"/>
                <w:lang w:val="hu-HU"/>
              </w:rPr>
            </w:pPr>
            <w:r w:rsidRPr="004311F9">
              <w:rPr>
                <w:sz w:val="20"/>
                <w:lang w:val="hu-HU"/>
              </w:rPr>
              <w:t>0,5989</w:t>
            </w:r>
            <w:r w:rsidRPr="004311F9">
              <w:rPr>
                <w:sz w:val="20"/>
                <w:lang w:val="hu-HU"/>
              </w:rPr>
              <w:br/>
              <w:t>(0,5152; 0,6752)</w:t>
            </w:r>
          </w:p>
        </w:tc>
        <w:tc>
          <w:tcPr>
            <w:tcW w:w="1150"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2254EC8E" w14:textId="77777777" w:rsidR="00E74F5A" w:rsidRPr="004311F9" w:rsidRDefault="00E74F5A" w:rsidP="00DC4CB1">
            <w:pPr>
              <w:keepNext/>
              <w:spacing w:line="240" w:lineRule="auto"/>
              <w:jc w:val="center"/>
              <w:rPr>
                <w:sz w:val="20"/>
                <w:lang w:val="hu-HU"/>
              </w:rPr>
            </w:pPr>
            <w:r w:rsidRPr="004311F9">
              <w:rPr>
                <w:sz w:val="20"/>
                <w:lang w:val="hu-HU"/>
              </w:rPr>
              <w:t>0,7170</w:t>
            </w:r>
            <w:r w:rsidRPr="004311F9">
              <w:rPr>
                <w:sz w:val="20"/>
                <w:lang w:val="hu-HU"/>
              </w:rPr>
              <w:br/>
              <w:t>(0,6115; 0,8407)</w:t>
            </w:r>
          </w:p>
        </w:tc>
        <w:tc>
          <w:tcPr>
            <w:tcW w:w="117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2F03D6AF" w14:textId="77777777" w:rsidR="00E74F5A" w:rsidRPr="004311F9" w:rsidRDefault="00E74F5A" w:rsidP="00DC4CB1">
            <w:pPr>
              <w:spacing w:line="240" w:lineRule="auto"/>
              <w:jc w:val="center"/>
              <w:rPr>
                <w:sz w:val="20"/>
                <w:lang w:val="hu-HU"/>
              </w:rPr>
            </w:pPr>
            <w:r w:rsidRPr="004311F9">
              <w:rPr>
                <w:sz w:val="20"/>
                <w:lang w:val="hu-HU"/>
              </w:rPr>
              <w:t>0,8470</w:t>
            </w:r>
            <w:r w:rsidRPr="004311F9">
              <w:rPr>
                <w:sz w:val="20"/>
                <w:lang w:val="hu-HU"/>
              </w:rPr>
              <w:br/>
              <w:t>(0,6767; 1,0600)</w:t>
            </w:r>
          </w:p>
        </w:tc>
      </w:tr>
      <w:tr w:rsidR="00E74F5A" w:rsidRPr="004311F9" w14:paraId="2E932F58" w14:textId="77777777" w:rsidTr="0025345C">
        <w:tc>
          <w:tcPr>
            <w:tcW w:w="1473"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2AE8A64C" w14:textId="77777777" w:rsidR="00E74F5A" w:rsidRPr="004311F9" w:rsidRDefault="00E74F5A" w:rsidP="00DC4CB1">
            <w:pPr>
              <w:keepNext/>
              <w:spacing w:line="240" w:lineRule="auto"/>
              <w:jc w:val="center"/>
              <w:rPr>
                <w:b/>
                <w:bCs/>
                <w:sz w:val="20"/>
                <w:lang w:val="hu-HU"/>
              </w:rPr>
            </w:pPr>
            <w:r w:rsidRPr="004311F9">
              <w:rPr>
                <w:b/>
                <w:bCs/>
                <w:sz w:val="20"/>
                <w:lang w:val="hu-HU"/>
              </w:rPr>
              <w:t>AUC/adag</w:t>
            </w:r>
          </w:p>
          <w:p w14:paraId="3A40847B" w14:textId="482D4516" w:rsidR="00E74F5A" w:rsidRPr="004311F9" w:rsidRDefault="00E74F5A" w:rsidP="002B03FF">
            <w:pPr>
              <w:keepNext/>
              <w:spacing w:line="240" w:lineRule="auto"/>
              <w:jc w:val="center"/>
              <w:rPr>
                <w:sz w:val="20"/>
                <w:lang w:val="hu-HU"/>
              </w:rPr>
            </w:pPr>
            <w:r w:rsidRPr="004311F9">
              <w:rPr>
                <w:b/>
                <w:bCs/>
                <w:sz w:val="20"/>
                <w:lang w:val="hu-HU"/>
              </w:rPr>
              <w:t>(NE</w:t>
            </w:r>
            <w:r w:rsidR="002B03FF">
              <w:rPr>
                <w:b/>
                <w:bCs/>
                <w:sz w:val="20"/>
                <w:lang w:val="hu-HU"/>
              </w:rPr>
              <w:t>×</w:t>
            </w:r>
            <w:r w:rsidRPr="004311F9">
              <w:rPr>
                <w:b/>
                <w:bCs/>
                <w:sz w:val="20"/>
                <w:lang w:val="hu-HU"/>
              </w:rPr>
              <w:t>h/dl per NE/kg)</w:t>
            </w:r>
          </w:p>
        </w:tc>
        <w:tc>
          <w:tcPr>
            <w:tcW w:w="1198"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5827387A" w14:textId="77777777" w:rsidR="00E74F5A" w:rsidRPr="004311F9" w:rsidRDefault="00E74F5A" w:rsidP="00DC4CB1">
            <w:pPr>
              <w:keepNext/>
              <w:spacing w:line="240" w:lineRule="auto"/>
              <w:jc w:val="center"/>
              <w:rPr>
                <w:sz w:val="20"/>
                <w:lang w:val="hu-HU"/>
              </w:rPr>
            </w:pPr>
            <w:r w:rsidRPr="004311F9">
              <w:rPr>
                <w:sz w:val="20"/>
                <w:lang w:val="hu-HU"/>
              </w:rPr>
              <w:t>22,71</w:t>
            </w:r>
            <w:r w:rsidRPr="004311F9">
              <w:rPr>
                <w:sz w:val="20"/>
                <w:lang w:val="hu-HU"/>
              </w:rPr>
              <w:br/>
              <w:t>(20,32; 25,38)</w:t>
            </w:r>
          </w:p>
        </w:tc>
        <w:tc>
          <w:tcPr>
            <w:tcW w:w="1150"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73AE7955" w14:textId="77777777" w:rsidR="00E74F5A" w:rsidRPr="004311F9" w:rsidRDefault="00E74F5A" w:rsidP="00DC4CB1">
            <w:pPr>
              <w:keepNext/>
              <w:spacing w:line="240" w:lineRule="auto"/>
              <w:jc w:val="center"/>
              <w:rPr>
                <w:sz w:val="20"/>
                <w:lang w:val="hu-HU"/>
              </w:rPr>
            </w:pPr>
            <w:r w:rsidRPr="004311F9">
              <w:rPr>
                <w:sz w:val="20"/>
                <w:lang w:val="hu-HU"/>
              </w:rPr>
              <w:t>28,53</w:t>
            </w:r>
            <w:r w:rsidRPr="004311F9">
              <w:rPr>
                <w:sz w:val="20"/>
                <w:lang w:val="hu-HU"/>
              </w:rPr>
              <w:br/>
              <w:t>(24,47; 33,27)</w:t>
            </w:r>
          </w:p>
        </w:tc>
        <w:tc>
          <w:tcPr>
            <w:tcW w:w="117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0771A9FE" w14:textId="77777777" w:rsidR="00E74F5A" w:rsidRPr="004311F9" w:rsidRDefault="00E74F5A" w:rsidP="00DC4CB1">
            <w:pPr>
              <w:spacing w:line="240" w:lineRule="auto"/>
              <w:jc w:val="center"/>
              <w:rPr>
                <w:sz w:val="20"/>
                <w:lang w:val="hu-HU"/>
              </w:rPr>
            </w:pPr>
            <w:r w:rsidRPr="004311F9">
              <w:rPr>
                <w:sz w:val="20"/>
                <w:lang w:val="hu-HU" w:eastAsia="ko-KR"/>
              </w:rPr>
              <w:t>29,50</w:t>
            </w:r>
            <w:r w:rsidRPr="004311F9">
              <w:rPr>
                <w:sz w:val="20"/>
                <w:lang w:val="hu-HU" w:eastAsia="ko-KR"/>
              </w:rPr>
              <w:br/>
              <w:t>(25,13; 34,63)</w:t>
            </w:r>
          </w:p>
        </w:tc>
      </w:tr>
      <w:tr w:rsidR="00E74F5A" w:rsidRPr="004311F9" w14:paraId="632CAE98" w14:textId="77777777" w:rsidTr="0025345C">
        <w:tc>
          <w:tcPr>
            <w:tcW w:w="1473"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5F8C140A" w14:textId="77777777" w:rsidR="00E74F5A" w:rsidRPr="004311F9" w:rsidRDefault="00E74F5A" w:rsidP="00DC4CB1">
            <w:pPr>
              <w:keepNext/>
              <w:spacing w:line="240" w:lineRule="auto"/>
              <w:jc w:val="center"/>
              <w:rPr>
                <w:sz w:val="20"/>
                <w:lang w:val="hu-HU"/>
              </w:rPr>
            </w:pPr>
            <w:r w:rsidRPr="004311F9">
              <w:rPr>
                <w:b/>
                <w:bCs/>
                <w:sz w:val="20"/>
                <w:lang w:val="hu-HU"/>
              </w:rPr>
              <w:t>t</w:t>
            </w:r>
            <w:r w:rsidRPr="004311F9">
              <w:rPr>
                <w:sz w:val="20"/>
                <w:vertAlign w:val="subscript"/>
                <w:lang w:val="hu-HU"/>
              </w:rPr>
              <w:t>½</w:t>
            </w:r>
            <w:r w:rsidRPr="004311F9">
              <w:rPr>
                <w:b/>
                <w:bCs/>
                <w:sz w:val="20"/>
                <w:lang w:val="hu-HU"/>
              </w:rPr>
              <w:t xml:space="preserve"> (h)</w:t>
            </w:r>
          </w:p>
        </w:tc>
        <w:tc>
          <w:tcPr>
            <w:tcW w:w="1198"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1BE9B201" w14:textId="77777777" w:rsidR="00E74F5A" w:rsidRPr="004311F9" w:rsidRDefault="00E74F5A" w:rsidP="00DC4CB1">
            <w:pPr>
              <w:keepNext/>
              <w:spacing w:line="240" w:lineRule="auto"/>
              <w:jc w:val="center"/>
              <w:rPr>
                <w:sz w:val="20"/>
                <w:lang w:val="hu-HU"/>
              </w:rPr>
            </w:pPr>
            <w:r w:rsidRPr="004311F9">
              <w:rPr>
                <w:sz w:val="20"/>
                <w:lang w:val="hu-HU"/>
              </w:rPr>
              <w:t>66,49</w:t>
            </w:r>
            <w:r w:rsidRPr="004311F9">
              <w:rPr>
                <w:sz w:val="20"/>
                <w:lang w:val="hu-HU"/>
              </w:rPr>
              <w:br/>
              <w:t>(55,86; 79,14)</w:t>
            </w:r>
          </w:p>
        </w:tc>
        <w:tc>
          <w:tcPr>
            <w:tcW w:w="1150"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6F5E9931" w14:textId="77777777" w:rsidR="00E74F5A" w:rsidRPr="004311F9" w:rsidRDefault="00E74F5A" w:rsidP="00DC4CB1">
            <w:pPr>
              <w:keepNext/>
              <w:spacing w:line="240" w:lineRule="auto"/>
              <w:jc w:val="center"/>
              <w:rPr>
                <w:sz w:val="20"/>
                <w:lang w:val="hu-HU"/>
              </w:rPr>
            </w:pPr>
            <w:r w:rsidRPr="004311F9">
              <w:rPr>
                <w:sz w:val="20"/>
                <w:lang w:val="hu-HU"/>
              </w:rPr>
              <w:t>70,34</w:t>
            </w:r>
            <w:r w:rsidRPr="004311F9">
              <w:rPr>
                <w:sz w:val="20"/>
                <w:lang w:val="hu-HU"/>
              </w:rPr>
              <w:br/>
              <w:t>(60,95; 81,17)</w:t>
            </w:r>
          </w:p>
        </w:tc>
        <w:tc>
          <w:tcPr>
            <w:tcW w:w="117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1B27DBEC" w14:textId="77777777" w:rsidR="00E74F5A" w:rsidRPr="004311F9" w:rsidRDefault="00E74F5A" w:rsidP="00DC4CB1">
            <w:pPr>
              <w:spacing w:line="240" w:lineRule="auto"/>
              <w:jc w:val="center"/>
              <w:rPr>
                <w:sz w:val="20"/>
                <w:lang w:val="hu-HU"/>
              </w:rPr>
            </w:pPr>
            <w:r w:rsidRPr="004311F9">
              <w:rPr>
                <w:sz w:val="20"/>
                <w:lang w:val="hu-HU" w:eastAsia="ko-KR"/>
              </w:rPr>
              <w:t>82,22</w:t>
            </w:r>
            <w:r w:rsidRPr="004311F9">
              <w:rPr>
                <w:sz w:val="20"/>
                <w:lang w:val="hu-HU" w:eastAsia="ko-KR"/>
              </w:rPr>
              <w:br/>
              <w:t>(72,30; 93,50)</w:t>
            </w:r>
          </w:p>
        </w:tc>
      </w:tr>
      <w:tr w:rsidR="00E74F5A" w:rsidRPr="004311F9" w14:paraId="5ABA1D08" w14:textId="77777777" w:rsidTr="0025345C">
        <w:tc>
          <w:tcPr>
            <w:tcW w:w="1473"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4432F075" w14:textId="77777777" w:rsidR="00E74F5A" w:rsidRPr="004311F9" w:rsidRDefault="00E74F5A" w:rsidP="00DC4CB1">
            <w:pPr>
              <w:keepNext/>
              <w:spacing w:line="240" w:lineRule="auto"/>
              <w:jc w:val="center"/>
              <w:rPr>
                <w:sz w:val="20"/>
                <w:lang w:val="hu-HU"/>
              </w:rPr>
            </w:pPr>
            <w:r w:rsidRPr="004311F9">
              <w:rPr>
                <w:b/>
                <w:bCs/>
                <w:sz w:val="20"/>
                <w:lang w:val="hu-HU"/>
              </w:rPr>
              <w:t>MRT (h)</w:t>
            </w:r>
          </w:p>
        </w:tc>
        <w:tc>
          <w:tcPr>
            <w:tcW w:w="1198"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713FA047" w14:textId="77777777" w:rsidR="00E74F5A" w:rsidRPr="004311F9" w:rsidRDefault="00E74F5A" w:rsidP="00DC4CB1">
            <w:pPr>
              <w:keepNext/>
              <w:spacing w:line="240" w:lineRule="auto"/>
              <w:jc w:val="center"/>
              <w:rPr>
                <w:sz w:val="20"/>
                <w:lang w:val="hu-HU"/>
              </w:rPr>
            </w:pPr>
            <w:r w:rsidRPr="004311F9">
              <w:rPr>
                <w:sz w:val="20"/>
                <w:lang w:val="hu-HU"/>
              </w:rPr>
              <w:t>83,65</w:t>
            </w:r>
            <w:r w:rsidRPr="004311F9">
              <w:rPr>
                <w:sz w:val="20"/>
                <w:lang w:val="hu-HU"/>
              </w:rPr>
              <w:br/>
              <w:t>(71,76; 97,51)</w:t>
            </w:r>
          </w:p>
        </w:tc>
        <w:tc>
          <w:tcPr>
            <w:tcW w:w="1150"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30F4B396" w14:textId="77777777" w:rsidR="00E74F5A" w:rsidRPr="004311F9" w:rsidRDefault="00E74F5A" w:rsidP="00DC4CB1">
            <w:pPr>
              <w:keepNext/>
              <w:spacing w:line="240" w:lineRule="auto"/>
              <w:jc w:val="center"/>
              <w:rPr>
                <w:sz w:val="20"/>
                <w:lang w:val="hu-HU"/>
              </w:rPr>
            </w:pPr>
            <w:r w:rsidRPr="004311F9">
              <w:rPr>
                <w:sz w:val="20"/>
                <w:lang w:val="hu-HU"/>
              </w:rPr>
              <w:t>82,46</w:t>
            </w:r>
            <w:r w:rsidRPr="004311F9">
              <w:rPr>
                <w:sz w:val="20"/>
                <w:lang w:val="hu-HU"/>
              </w:rPr>
              <w:br/>
              <w:t>(72,65; 93,60)</w:t>
            </w:r>
          </w:p>
        </w:tc>
        <w:tc>
          <w:tcPr>
            <w:tcW w:w="117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369A5BA2" w14:textId="77777777" w:rsidR="00E74F5A" w:rsidRPr="004311F9" w:rsidRDefault="00E74F5A" w:rsidP="00DC4CB1">
            <w:pPr>
              <w:spacing w:line="240" w:lineRule="auto"/>
              <w:jc w:val="center"/>
              <w:rPr>
                <w:sz w:val="20"/>
                <w:lang w:val="hu-HU"/>
              </w:rPr>
            </w:pPr>
            <w:r w:rsidRPr="004311F9">
              <w:rPr>
                <w:sz w:val="20"/>
                <w:lang w:val="hu-HU" w:eastAsia="ko-KR"/>
              </w:rPr>
              <w:t>93,46</w:t>
            </w:r>
            <w:r w:rsidRPr="004311F9">
              <w:rPr>
                <w:sz w:val="20"/>
                <w:lang w:val="hu-HU" w:eastAsia="ko-KR"/>
              </w:rPr>
              <w:br/>
              <w:t>(81,77; 106,81)</w:t>
            </w:r>
          </w:p>
        </w:tc>
      </w:tr>
      <w:tr w:rsidR="00E74F5A" w:rsidRPr="004311F9" w14:paraId="06970451" w14:textId="77777777" w:rsidTr="0025345C">
        <w:tc>
          <w:tcPr>
            <w:tcW w:w="1473"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30F8AB2D" w14:textId="77777777" w:rsidR="00E74F5A" w:rsidRPr="004311F9" w:rsidRDefault="00E74F5A" w:rsidP="00DC4CB1">
            <w:pPr>
              <w:keepNext/>
              <w:spacing w:line="240" w:lineRule="auto"/>
              <w:jc w:val="center"/>
              <w:rPr>
                <w:sz w:val="20"/>
                <w:lang w:val="hu-HU"/>
              </w:rPr>
            </w:pPr>
            <w:r w:rsidRPr="004311F9">
              <w:rPr>
                <w:b/>
                <w:bCs/>
                <w:sz w:val="20"/>
                <w:lang w:val="hu-HU"/>
              </w:rPr>
              <w:t>CL (ml/h/kg)</w:t>
            </w:r>
          </w:p>
        </w:tc>
        <w:tc>
          <w:tcPr>
            <w:tcW w:w="1198"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4ECBAD12" w14:textId="77777777" w:rsidR="00E74F5A" w:rsidRPr="004311F9" w:rsidRDefault="00E74F5A" w:rsidP="00DC4CB1">
            <w:pPr>
              <w:keepNext/>
              <w:spacing w:line="240" w:lineRule="auto"/>
              <w:jc w:val="center"/>
              <w:rPr>
                <w:sz w:val="20"/>
                <w:lang w:val="hu-HU"/>
              </w:rPr>
            </w:pPr>
            <w:r w:rsidRPr="004311F9">
              <w:rPr>
                <w:sz w:val="20"/>
                <w:lang w:val="hu-HU"/>
              </w:rPr>
              <w:t>4,365</w:t>
            </w:r>
            <w:r w:rsidRPr="004311F9">
              <w:rPr>
                <w:sz w:val="20"/>
                <w:lang w:val="hu-HU"/>
              </w:rPr>
              <w:br/>
              <w:t>(3,901; 4,885)</w:t>
            </w:r>
          </w:p>
        </w:tc>
        <w:tc>
          <w:tcPr>
            <w:tcW w:w="1150"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76BB6F91" w14:textId="77777777" w:rsidR="00E74F5A" w:rsidRPr="004311F9" w:rsidRDefault="00E74F5A" w:rsidP="00DC4CB1">
            <w:pPr>
              <w:keepNext/>
              <w:spacing w:line="240" w:lineRule="auto"/>
              <w:jc w:val="center"/>
              <w:rPr>
                <w:sz w:val="20"/>
                <w:lang w:val="hu-HU"/>
              </w:rPr>
            </w:pPr>
            <w:r w:rsidRPr="004311F9">
              <w:rPr>
                <w:sz w:val="20"/>
                <w:lang w:val="hu-HU"/>
              </w:rPr>
              <w:t>3,505</w:t>
            </w:r>
            <w:r w:rsidRPr="004311F9">
              <w:rPr>
                <w:sz w:val="20"/>
                <w:lang w:val="hu-HU"/>
              </w:rPr>
              <w:br/>
              <w:t>(3,006; 4,087)</w:t>
            </w:r>
          </w:p>
        </w:tc>
        <w:tc>
          <w:tcPr>
            <w:tcW w:w="117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0FB3FA53" w14:textId="77777777" w:rsidR="00E74F5A" w:rsidRPr="004311F9" w:rsidRDefault="00E74F5A" w:rsidP="00DC4CB1">
            <w:pPr>
              <w:spacing w:line="240" w:lineRule="auto"/>
              <w:jc w:val="center"/>
              <w:rPr>
                <w:sz w:val="20"/>
                <w:lang w:val="hu-HU"/>
              </w:rPr>
            </w:pPr>
            <w:r w:rsidRPr="004311F9">
              <w:rPr>
                <w:sz w:val="20"/>
                <w:lang w:val="hu-HU" w:eastAsia="ko-KR"/>
              </w:rPr>
              <w:t>3,390</w:t>
            </w:r>
            <w:r w:rsidRPr="004311F9">
              <w:rPr>
                <w:sz w:val="20"/>
                <w:lang w:val="hu-HU" w:eastAsia="ko-KR"/>
              </w:rPr>
              <w:br/>
              <w:t>(2,888; 3,979)</w:t>
            </w:r>
          </w:p>
        </w:tc>
      </w:tr>
      <w:tr w:rsidR="00E74F5A" w:rsidRPr="004311F9" w14:paraId="1638D0CC" w14:textId="77777777" w:rsidTr="0025345C">
        <w:tc>
          <w:tcPr>
            <w:tcW w:w="1473"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6A8D59CF" w14:textId="77777777" w:rsidR="00E74F5A" w:rsidRPr="004311F9" w:rsidRDefault="00E74F5A" w:rsidP="00DC4CB1">
            <w:pPr>
              <w:keepNext/>
              <w:spacing w:line="240" w:lineRule="auto"/>
              <w:jc w:val="center"/>
              <w:rPr>
                <w:sz w:val="20"/>
                <w:lang w:val="hu-HU"/>
              </w:rPr>
            </w:pPr>
            <w:r w:rsidRPr="004311F9">
              <w:rPr>
                <w:b/>
                <w:bCs/>
                <w:sz w:val="20"/>
                <w:lang w:val="hu-HU"/>
              </w:rPr>
              <w:t>V</w:t>
            </w:r>
            <w:r w:rsidRPr="004311F9">
              <w:rPr>
                <w:b/>
                <w:bCs/>
                <w:position w:val="-6"/>
                <w:sz w:val="20"/>
                <w:lang w:val="hu-HU"/>
              </w:rPr>
              <w:t>ss</w:t>
            </w:r>
            <w:r w:rsidRPr="004311F9">
              <w:rPr>
                <w:b/>
                <w:bCs/>
                <w:sz w:val="20"/>
                <w:lang w:val="hu-HU"/>
              </w:rPr>
              <w:t xml:space="preserve"> (ml/kg)</w:t>
            </w:r>
          </w:p>
        </w:tc>
        <w:tc>
          <w:tcPr>
            <w:tcW w:w="1198"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4BBB57DB" w14:textId="77777777" w:rsidR="00E74F5A" w:rsidRPr="004311F9" w:rsidRDefault="00E74F5A" w:rsidP="00DC4CB1">
            <w:pPr>
              <w:keepNext/>
              <w:spacing w:line="240" w:lineRule="auto"/>
              <w:jc w:val="center"/>
              <w:rPr>
                <w:sz w:val="20"/>
                <w:lang w:val="hu-HU"/>
              </w:rPr>
            </w:pPr>
            <w:r w:rsidRPr="004311F9">
              <w:rPr>
                <w:sz w:val="20"/>
                <w:lang w:val="hu-HU"/>
              </w:rPr>
              <w:t>365,1</w:t>
            </w:r>
            <w:r w:rsidRPr="004311F9">
              <w:rPr>
                <w:sz w:val="20"/>
                <w:lang w:val="hu-HU"/>
              </w:rPr>
              <w:br/>
              <w:t>(316,2; 421,6)</w:t>
            </w:r>
          </w:p>
        </w:tc>
        <w:tc>
          <w:tcPr>
            <w:tcW w:w="1150"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6D26377C" w14:textId="77777777" w:rsidR="00E74F5A" w:rsidRPr="004311F9" w:rsidRDefault="00E74F5A" w:rsidP="00DC4CB1">
            <w:pPr>
              <w:keepNext/>
              <w:spacing w:line="240" w:lineRule="auto"/>
              <w:jc w:val="center"/>
              <w:rPr>
                <w:sz w:val="20"/>
                <w:lang w:val="hu-HU"/>
              </w:rPr>
            </w:pPr>
            <w:r w:rsidRPr="004311F9">
              <w:rPr>
                <w:sz w:val="20"/>
                <w:lang w:val="hu-HU"/>
              </w:rPr>
              <w:t>289,0</w:t>
            </w:r>
            <w:r w:rsidRPr="004311F9">
              <w:rPr>
                <w:sz w:val="20"/>
                <w:lang w:val="hu-HU"/>
              </w:rPr>
              <w:br/>
              <w:t>(236,7; 352,9)</w:t>
            </w:r>
          </w:p>
        </w:tc>
        <w:tc>
          <w:tcPr>
            <w:tcW w:w="117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6E2B8276" w14:textId="77777777" w:rsidR="00E74F5A" w:rsidRPr="004311F9" w:rsidRDefault="00E74F5A" w:rsidP="00DC4CB1">
            <w:pPr>
              <w:spacing w:line="240" w:lineRule="auto"/>
              <w:jc w:val="center"/>
              <w:rPr>
                <w:sz w:val="20"/>
                <w:lang w:val="hu-HU"/>
              </w:rPr>
            </w:pPr>
            <w:r w:rsidRPr="004311F9">
              <w:rPr>
                <w:sz w:val="20"/>
                <w:lang w:val="hu-HU" w:eastAsia="ko-KR"/>
              </w:rPr>
              <w:t>316,8</w:t>
            </w:r>
            <w:r w:rsidRPr="004311F9">
              <w:rPr>
                <w:sz w:val="20"/>
                <w:lang w:val="hu-HU" w:eastAsia="ko-KR"/>
              </w:rPr>
              <w:br/>
              <w:t>(267,4; 375,5)</w:t>
            </w:r>
          </w:p>
        </w:tc>
      </w:tr>
      <w:tr w:rsidR="00E74F5A" w:rsidRPr="008537D8" w14:paraId="6EE6C125" w14:textId="77777777" w:rsidTr="0025345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Ex>
        <w:trPr>
          <w:cantSplit/>
          <w:trHeight w:val="244"/>
        </w:trPr>
        <w:tc>
          <w:tcPr>
            <w:tcW w:w="5000" w:type="pct"/>
            <w:gridSpan w:val="4"/>
            <w:tcBorders>
              <w:top w:val="nil"/>
              <w:left w:val="nil"/>
              <w:bottom w:val="nil"/>
              <w:right w:val="nil"/>
            </w:tcBorders>
          </w:tcPr>
          <w:p w14:paraId="1CAED331" w14:textId="77777777" w:rsidR="00E74F5A" w:rsidRPr="004311F9" w:rsidRDefault="00E74F5A" w:rsidP="00DC4CB1">
            <w:pPr>
              <w:numPr>
                <w:ilvl w:val="12"/>
                <w:numId w:val="0"/>
              </w:numPr>
              <w:spacing w:line="240" w:lineRule="auto"/>
              <w:ind w:right="-2"/>
              <w:rPr>
                <w:sz w:val="18"/>
                <w:szCs w:val="18"/>
                <w:lang w:val="hu-HU"/>
              </w:rPr>
            </w:pPr>
            <w:r w:rsidRPr="004311F9">
              <w:rPr>
                <w:sz w:val="18"/>
                <w:szCs w:val="18"/>
                <w:vertAlign w:val="superscript"/>
                <w:lang w:val="hu-HU"/>
              </w:rPr>
              <w:t>1</w:t>
            </w:r>
            <w:r w:rsidRPr="004311F9">
              <w:rPr>
                <w:b/>
                <w:sz w:val="18"/>
                <w:szCs w:val="18"/>
                <w:lang w:val="hu-HU"/>
              </w:rPr>
              <w:t xml:space="preserve"> </w:t>
            </w:r>
            <w:r w:rsidRPr="004311F9">
              <w:rPr>
                <w:sz w:val="18"/>
                <w:szCs w:val="18"/>
                <w:lang w:val="hu-HU"/>
              </w:rPr>
              <w:t>A nem</w:t>
            </w:r>
            <w:r w:rsidRPr="004311F9">
              <w:rPr>
                <w:sz w:val="18"/>
                <w:szCs w:val="18"/>
                <w:lang w:val="hu-HU"/>
              </w:rPr>
              <w:noBreakHyphen/>
              <w:t>kompartmentális elemzésből származó PK paraméterek mértani átlagok (95%</w:t>
            </w:r>
            <w:r w:rsidRPr="004311F9">
              <w:rPr>
                <w:sz w:val="18"/>
                <w:szCs w:val="18"/>
                <w:lang w:val="hu-HU"/>
              </w:rPr>
              <w:noBreakHyphen/>
              <w:t>os CI)</w:t>
            </w:r>
          </w:p>
          <w:p w14:paraId="79E8B14D" w14:textId="77777777" w:rsidR="00E74F5A" w:rsidRPr="004311F9" w:rsidRDefault="00E74F5A" w:rsidP="00DC4CB1">
            <w:pPr>
              <w:numPr>
                <w:ilvl w:val="12"/>
                <w:numId w:val="0"/>
              </w:numPr>
              <w:spacing w:line="240" w:lineRule="auto"/>
              <w:ind w:right="-2"/>
              <w:rPr>
                <w:b/>
                <w:sz w:val="18"/>
                <w:szCs w:val="18"/>
                <w:lang w:val="hu-HU"/>
              </w:rPr>
            </w:pPr>
            <w:r w:rsidRPr="004311F9">
              <w:rPr>
                <w:b/>
                <w:sz w:val="18"/>
                <w:szCs w:val="18"/>
                <w:lang w:val="hu-HU"/>
              </w:rPr>
              <w:t>Rövidítések</w:t>
            </w:r>
            <w:r w:rsidRPr="004311F9">
              <w:rPr>
                <w:sz w:val="18"/>
                <w:szCs w:val="18"/>
                <w:lang w:val="hu-HU"/>
              </w:rPr>
              <w:t>: CI = konfidencia</w:t>
            </w:r>
            <w:r w:rsidRPr="004311F9">
              <w:rPr>
                <w:sz w:val="18"/>
                <w:szCs w:val="18"/>
                <w:lang w:val="hu-HU"/>
              </w:rPr>
              <w:noBreakHyphen/>
              <w:t>intervallum; IR = inkrementális hasznosulás, AUC = az FIX akitivitás</w:t>
            </w:r>
            <w:r w:rsidRPr="004311F9">
              <w:rPr>
                <w:sz w:val="18"/>
                <w:szCs w:val="18"/>
                <w:lang w:val="hu-HU"/>
              </w:rPr>
              <w:noBreakHyphen/>
              <w:t>idő görbe alatti terület; t</w:t>
            </w:r>
            <w:r w:rsidRPr="004311F9">
              <w:rPr>
                <w:sz w:val="18"/>
                <w:szCs w:val="18"/>
                <w:vertAlign w:val="subscript"/>
                <w:lang w:val="hu-HU"/>
              </w:rPr>
              <w:t>˝ = </w:t>
            </w:r>
            <w:r w:rsidRPr="004311F9">
              <w:rPr>
                <w:sz w:val="18"/>
                <w:szCs w:val="18"/>
                <w:lang w:val="hu-HU"/>
              </w:rPr>
              <w:t>terminális felezési idő; MRT = átlagos tartózkodási idő (mean residence time); CL = clearance; V</w:t>
            </w:r>
            <w:r w:rsidRPr="004311F9">
              <w:rPr>
                <w:sz w:val="18"/>
                <w:szCs w:val="18"/>
                <w:vertAlign w:val="subscript"/>
                <w:lang w:val="hu-HU"/>
              </w:rPr>
              <w:t>ss</w:t>
            </w:r>
            <w:r w:rsidRPr="004311F9">
              <w:rPr>
                <w:sz w:val="18"/>
                <w:szCs w:val="18"/>
                <w:lang w:val="hu-HU"/>
              </w:rPr>
              <w:t> = eloszlási térfogat dinamikus egyensúlyi állapotban.</w:t>
            </w:r>
          </w:p>
        </w:tc>
      </w:tr>
    </w:tbl>
    <w:p w14:paraId="258C911E" w14:textId="77777777" w:rsidR="00E74F5A" w:rsidRPr="004311F9" w:rsidRDefault="00E74F5A" w:rsidP="00224CF7">
      <w:pPr>
        <w:spacing w:line="240" w:lineRule="auto"/>
        <w:rPr>
          <w:rFonts w:eastAsia="Times New Roman"/>
          <w:b/>
          <w:szCs w:val="24"/>
          <w:lang w:val="hu-HU"/>
        </w:rPr>
      </w:pPr>
    </w:p>
    <w:p w14:paraId="1CA7FC4D" w14:textId="77777777" w:rsidR="00E74F5A" w:rsidRPr="004311F9" w:rsidRDefault="00E74F5A" w:rsidP="00DC4CB1">
      <w:pPr>
        <w:keepNext/>
        <w:spacing w:line="240" w:lineRule="auto"/>
        <w:rPr>
          <w:szCs w:val="24"/>
          <w:lang w:val="hu-HU"/>
        </w:rPr>
      </w:pPr>
      <w:r w:rsidRPr="004311F9">
        <w:rPr>
          <w:b/>
          <w:szCs w:val="24"/>
          <w:lang w:val="hu-HU"/>
        </w:rPr>
        <w:t>5.3</w:t>
      </w:r>
      <w:r w:rsidRPr="004311F9">
        <w:rPr>
          <w:b/>
          <w:szCs w:val="24"/>
          <w:lang w:val="hu-HU"/>
        </w:rPr>
        <w:tab/>
        <w:t>A preklinikai biztonságossági vizsgálatok eredményei</w:t>
      </w:r>
    </w:p>
    <w:p w14:paraId="7386C5A0" w14:textId="77777777" w:rsidR="00E74F5A" w:rsidRPr="004311F9" w:rsidRDefault="00E74F5A" w:rsidP="00DC4CB1">
      <w:pPr>
        <w:keepNext/>
        <w:spacing w:line="240" w:lineRule="auto"/>
        <w:rPr>
          <w:rFonts w:eastAsia="Times New Roman"/>
          <w:szCs w:val="24"/>
          <w:lang w:val="hu-HU"/>
        </w:rPr>
      </w:pPr>
    </w:p>
    <w:p w14:paraId="1458790C" w14:textId="0BC04419" w:rsidR="00E74F5A" w:rsidRPr="004311F9" w:rsidRDefault="00E74F5A" w:rsidP="00DC4CB1">
      <w:pPr>
        <w:spacing w:line="240" w:lineRule="auto"/>
        <w:rPr>
          <w:szCs w:val="24"/>
          <w:lang w:val="hu-HU"/>
        </w:rPr>
      </w:pPr>
      <w:r w:rsidRPr="004311F9">
        <w:rPr>
          <w:szCs w:val="24"/>
          <w:lang w:val="hu-HU"/>
        </w:rPr>
        <w:t>A nyulaknál elvégzett trombogenitási tesztből (Wessler</w:t>
      </w:r>
      <w:r w:rsidRPr="004311F9">
        <w:rPr>
          <w:szCs w:val="24"/>
          <w:lang w:val="hu-HU"/>
        </w:rPr>
        <w:noBreakHyphen/>
        <w:t xml:space="preserve">féle stasis modell) és patkányokon, valamint majmokon végzett ismételt adagolású dózistoxicitási vizsgálatokból (melyek során a lokális toxicitást, a hím ivarszerveket és az elektrokardiográfiás paramétereket is értékelték) származó nem klinikai jellegű adatok azt igazolták, hogy a készítmény alkalmazásakor humán vonatkozásban különleges kockázat nem várható. A genotoxicitás, karcinogenitás, reprodukcióra és embriofoetalis fejlődésre kifejtett toxicitás értékelésére vizsgálatokat nem végeztek. Egy placentalis átjutást értékelő vizsgálatban igazolták, hogy az </w:t>
      </w:r>
      <w:r w:rsidR="00074E6E" w:rsidRPr="004311F9">
        <w:rPr>
          <w:szCs w:val="24"/>
          <w:lang w:val="hu-HU"/>
        </w:rPr>
        <w:t xml:space="preserve">eftrenonakog-alfa (rFIXFc) </w:t>
      </w:r>
      <w:r w:rsidRPr="004311F9">
        <w:rPr>
          <w:szCs w:val="24"/>
          <w:lang w:val="hu-HU"/>
        </w:rPr>
        <w:t>egereknél kis mennyiségben átjut a placentán.</w:t>
      </w:r>
    </w:p>
    <w:p w14:paraId="212886D2" w14:textId="77777777" w:rsidR="00E74F5A" w:rsidRPr="004311F9" w:rsidRDefault="00E74F5A" w:rsidP="00DC4CB1">
      <w:pPr>
        <w:spacing w:line="240" w:lineRule="auto"/>
        <w:rPr>
          <w:rFonts w:eastAsia="Times New Roman"/>
          <w:szCs w:val="24"/>
          <w:lang w:val="hu-HU"/>
        </w:rPr>
      </w:pPr>
    </w:p>
    <w:p w14:paraId="2AC8E861" w14:textId="77777777" w:rsidR="00E74F5A" w:rsidRPr="004311F9" w:rsidRDefault="00E74F5A" w:rsidP="00DC4CB1">
      <w:pPr>
        <w:spacing w:line="240" w:lineRule="auto"/>
        <w:rPr>
          <w:rFonts w:eastAsia="Times New Roman"/>
          <w:szCs w:val="24"/>
          <w:lang w:val="hu-HU"/>
        </w:rPr>
      </w:pPr>
    </w:p>
    <w:p w14:paraId="78878CA7" w14:textId="77777777" w:rsidR="00E74F5A" w:rsidRPr="004311F9" w:rsidRDefault="00E74F5A" w:rsidP="00DC4CB1">
      <w:pPr>
        <w:keepNext/>
        <w:spacing w:line="240" w:lineRule="auto"/>
        <w:rPr>
          <w:b/>
          <w:szCs w:val="24"/>
          <w:lang w:val="hu-HU"/>
        </w:rPr>
      </w:pPr>
      <w:r w:rsidRPr="004311F9">
        <w:rPr>
          <w:b/>
          <w:szCs w:val="24"/>
          <w:lang w:val="hu-HU"/>
        </w:rPr>
        <w:t>6.</w:t>
      </w:r>
      <w:r w:rsidRPr="004311F9">
        <w:rPr>
          <w:b/>
          <w:szCs w:val="24"/>
          <w:lang w:val="hu-HU"/>
        </w:rPr>
        <w:tab/>
        <w:t>GYÓGYSZERÉSZETI JELLEMZŐK</w:t>
      </w:r>
    </w:p>
    <w:p w14:paraId="032BE473" w14:textId="77777777" w:rsidR="00E74F5A" w:rsidRPr="004311F9" w:rsidRDefault="00E74F5A" w:rsidP="00DC4CB1">
      <w:pPr>
        <w:keepNext/>
        <w:spacing w:line="240" w:lineRule="auto"/>
        <w:rPr>
          <w:rFonts w:eastAsia="Times New Roman"/>
          <w:szCs w:val="24"/>
          <w:lang w:val="hu-HU"/>
        </w:rPr>
      </w:pPr>
    </w:p>
    <w:p w14:paraId="45E7B3F8" w14:textId="77777777" w:rsidR="00E74F5A" w:rsidRPr="004311F9" w:rsidRDefault="00E74F5A" w:rsidP="00DC4CB1">
      <w:pPr>
        <w:keepNext/>
        <w:spacing w:line="240" w:lineRule="auto"/>
        <w:rPr>
          <w:szCs w:val="24"/>
          <w:lang w:val="hu-HU"/>
        </w:rPr>
      </w:pPr>
      <w:r w:rsidRPr="004311F9">
        <w:rPr>
          <w:b/>
          <w:szCs w:val="24"/>
          <w:lang w:val="hu-HU"/>
        </w:rPr>
        <w:t>6.1</w:t>
      </w:r>
      <w:r w:rsidRPr="004311F9">
        <w:rPr>
          <w:b/>
          <w:szCs w:val="24"/>
          <w:lang w:val="hu-HU"/>
        </w:rPr>
        <w:tab/>
        <w:t>Segédanyagok felsorolása</w:t>
      </w:r>
    </w:p>
    <w:p w14:paraId="64F000AB" w14:textId="77777777" w:rsidR="00E74F5A" w:rsidRPr="004311F9" w:rsidRDefault="00E74F5A" w:rsidP="00DC4CB1">
      <w:pPr>
        <w:keepNext/>
        <w:spacing w:line="240" w:lineRule="auto"/>
        <w:rPr>
          <w:rFonts w:eastAsia="Times New Roman"/>
          <w:i/>
          <w:szCs w:val="24"/>
          <w:lang w:val="hu-HU"/>
        </w:rPr>
      </w:pPr>
    </w:p>
    <w:p w14:paraId="66568D37" w14:textId="77777777" w:rsidR="00E74F5A" w:rsidRPr="004311F9" w:rsidRDefault="00E74F5A" w:rsidP="00DC4CB1">
      <w:pPr>
        <w:keepNext/>
        <w:spacing w:line="240" w:lineRule="auto"/>
        <w:rPr>
          <w:szCs w:val="24"/>
          <w:u w:val="single"/>
          <w:lang w:val="hu-HU"/>
        </w:rPr>
      </w:pPr>
      <w:r w:rsidRPr="004311F9">
        <w:rPr>
          <w:szCs w:val="24"/>
          <w:u w:val="single"/>
          <w:lang w:val="hu-HU"/>
        </w:rPr>
        <w:t>Por</w:t>
      </w:r>
    </w:p>
    <w:p w14:paraId="217462CE" w14:textId="77777777" w:rsidR="00E74F5A" w:rsidRPr="004311F9" w:rsidRDefault="00E74F5A" w:rsidP="00DC4CB1">
      <w:pPr>
        <w:autoSpaceDE w:val="0"/>
        <w:autoSpaceDN w:val="0"/>
        <w:adjustRightInd w:val="0"/>
        <w:spacing w:line="240" w:lineRule="auto"/>
        <w:rPr>
          <w:szCs w:val="24"/>
          <w:lang w:val="hu-HU"/>
        </w:rPr>
      </w:pPr>
      <w:r w:rsidRPr="004311F9">
        <w:rPr>
          <w:szCs w:val="24"/>
          <w:lang w:val="hu-HU"/>
        </w:rPr>
        <w:t>Szacharóz</w:t>
      </w:r>
    </w:p>
    <w:p w14:paraId="08FF3AED" w14:textId="6A012428" w:rsidR="00E74F5A" w:rsidRPr="004311F9" w:rsidRDefault="008A332F" w:rsidP="00DC4CB1">
      <w:pPr>
        <w:autoSpaceDE w:val="0"/>
        <w:autoSpaceDN w:val="0"/>
        <w:adjustRightInd w:val="0"/>
        <w:spacing w:line="240" w:lineRule="auto"/>
        <w:rPr>
          <w:szCs w:val="24"/>
          <w:lang w:val="hu-HU"/>
        </w:rPr>
      </w:pPr>
      <w:r w:rsidRPr="004311F9">
        <w:rPr>
          <w:szCs w:val="24"/>
          <w:lang w:val="hu-HU"/>
        </w:rPr>
        <w:t>H</w:t>
      </w:r>
      <w:r w:rsidR="00E74F5A" w:rsidRPr="004311F9">
        <w:rPr>
          <w:szCs w:val="24"/>
          <w:lang w:val="hu-HU"/>
        </w:rPr>
        <w:t>isztidin</w:t>
      </w:r>
    </w:p>
    <w:p w14:paraId="42845184" w14:textId="77777777" w:rsidR="00E74F5A" w:rsidRPr="004311F9" w:rsidRDefault="00E74F5A" w:rsidP="00DC4CB1">
      <w:pPr>
        <w:autoSpaceDE w:val="0"/>
        <w:autoSpaceDN w:val="0"/>
        <w:adjustRightInd w:val="0"/>
        <w:spacing w:line="240" w:lineRule="auto"/>
        <w:rPr>
          <w:szCs w:val="24"/>
          <w:lang w:val="hu-HU"/>
        </w:rPr>
      </w:pPr>
      <w:r w:rsidRPr="004311F9">
        <w:rPr>
          <w:szCs w:val="24"/>
          <w:lang w:val="hu-HU"/>
        </w:rPr>
        <w:t>Mannit</w:t>
      </w:r>
    </w:p>
    <w:p w14:paraId="6938105D" w14:textId="77777777" w:rsidR="00E74F5A" w:rsidRPr="004311F9" w:rsidRDefault="00E74F5A" w:rsidP="00DC4CB1">
      <w:pPr>
        <w:autoSpaceDE w:val="0"/>
        <w:autoSpaceDN w:val="0"/>
        <w:adjustRightInd w:val="0"/>
        <w:spacing w:line="240" w:lineRule="auto"/>
        <w:rPr>
          <w:szCs w:val="24"/>
          <w:lang w:val="hu-HU"/>
        </w:rPr>
      </w:pPr>
      <w:r w:rsidRPr="004311F9">
        <w:rPr>
          <w:szCs w:val="24"/>
          <w:lang w:val="hu-HU"/>
        </w:rPr>
        <w:t>Poliszorbát 20</w:t>
      </w:r>
    </w:p>
    <w:p w14:paraId="26D8B0B4" w14:textId="77777777" w:rsidR="00E74F5A" w:rsidRPr="004311F9" w:rsidRDefault="00E74F5A" w:rsidP="00DC4CB1">
      <w:pPr>
        <w:autoSpaceDE w:val="0"/>
        <w:autoSpaceDN w:val="0"/>
        <w:adjustRightInd w:val="0"/>
        <w:spacing w:line="240" w:lineRule="auto"/>
        <w:rPr>
          <w:szCs w:val="24"/>
          <w:lang w:val="hu-HU"/>
        </w:rPr>
      </w:pPr>
      <w:r w:rsidRPr="004311F9">
        <w:rPr>
          <w:szCs w:val="24"/>
          <w:lang w:val="hu-HU"/>
        </w:rPr>
        <w:t>Nátrium</w:t>
      </w:r>
      <w:r w:rsidRPr="004311F9">
        <w:rPr>
          <w:szCs w:val="24"/>
          <w:lang w:val="hu-HU"/>
        </w:rPr>
        <w:noBreakHyphen/>
        <w:t>hidroxid (a pH beállításához)</w:t>
      </w:r>
    </w:p>
    <w:p w14:paraId="61FFB8F6" w14:textId="77777777" w:rsidR="00E74F5A" w:rsidRPr="004311F9" w:rsidRDefault="00E74F5A" w:rsidP="00DC4CB1">
      <w:pPr>
        <w:autoSpaceDE w:val="0"/>
        <w:autoSpaceDN w:val="0"/>
        <w:adjustRightInd w:val="0"/>
        <w:spacing w:line="240" w:lineRule="auto"/>
        <w:rPr>
          <w:szCs w:val="24"/>
          <w:lang w:val="hu-HU"/>
        </w:rPr>
      </w:pPr>
      <w:r w:rsidRPr="004311F9">
        <w:rPr>
          <w:szCs w:val="24"/>
          <w:lang w:val="hu-HU"/>
        </w:rPr>
        <w:t>Sósav (a pH beállításához)</w:t>
      </w:r>
    </w:p>
    <w:p w14:paraId="2A67B1D3" w14:textId="77777777" w:rsidR="00E74F5A" w:rsidRPr="004311F9" w:rsidRDefault="00E74F5A" w:rsidP="00DC4CB1">
      <w:pPr>
        <w:autoSpaceDE w:val="0"/>
        <w:autoSpaceDN w:val="0"/>
        <w:adjustRightInd w:val="0"/>
        <w:spacing w:line="240" w:lineRule="auto"/>
        <w:rPr>
          <w:rFonts w:eastAsia="Times New Roman"/>
          <w:szCs w:val="24"/>
          <w:lang w:val="hu-HU"/>
        </w:rPr>
      </w:pPr>
    </w:p>
    <w:p w14:paraId="671DBA2D" w14:textId="77777777" w:rsidR="00E74F5A" w:rsidRPr="004311F9" w:rsidRDefault="00E74F5A" w:rsidP="00DC4CB1">
      <w:pPr>
        <w:keepNext/>
        <w:spacing w:line="240" w:lineRule="auto"/>
        <w:rPr>
          <w:szCs w:val="24"/>
          <w:u w:val="single"/>
          <w:lang w:val="hu-HU"/>
        </w:rPr>
      </w:pPr>
      <w:r w:rsidRPr="004311F9">
        <w:rPr>
          <w:szCs w:val="24"/>
          <w:u w:val="single"/>
          <w:lang w:val="hu-HU"/>
        </w:rPr>
        <w:t>Oldószer</w:t>
      </w:r>
    </w:p>
    <w:p w14:paraId="7A7C37F8" w14:textId="77777777" w:rsidR="00E74F5A" w:rsidRPr="004311F9" w:rsidRDefault="00E74F5A" w:rsidP="00DC4CB1">
      <w:pPr>
        <w:autoSpaceDE w:val="0"/>
        <w:autoSpaceDN w:val="0"/>
        <w:adjustRightInd w:val="0"/>
        <w:spacing w:line="240" w:lineRule="auto"/>
        <w:rPr>
          <w:szCs w:val="24"/>
          <w:lang w:val="hu-HU"/>
        </w:rPr>
      </w:pPr>
      <w:r w:rsidRPr="004311F9">
        <w:rPr>
          <w:szCs w:val="24"/>
          <w:lang w:val="hu-HU"/>
        </w:rPr>
        <w:t>Nátrium</w:t>
      </w:r>
      <w:r w:rsidRPr="004311F9">
        <w:rPr>
          <w:szCs w:val="24"/>
          <w:lang w:val="hu-HU"/>
        </w:rPr>
        <w:noBreakHyphen/>
        <w:t>klorid</w:t>
      </w:r>
    </w:p>
    <w:p w14:paraId="0A7C2D51" w14:textId="77777777" w:rsidR="00E74F5A" w:rsidRPr="004311F9" w:rsidRDefault="00E74F5A" w:rsidP="00DC4CB1">
      <w:pPr>
        <w:autoSpaceDE w:val="0"/>
        <w:autoSpaceDN w:val="0"/>
        <w:adjustRightInd w:val="0"/>
        <w:spacing w:line="240" w:lineRule="auto"/>
        <w:rPr>
          <w:szCs w:val="24"/>
          <w:lang w:val="hu-HU"/>
        </w:rPr>
      </w:pPr>
      <w:r w:rsidRPr="004311F9">
        <w:rPr>
          <w:szCs w:val="24"/>
          <w:lang w:val="hu-HU"/>
        </w:rPr>
        <w:t>Injekcióhoz való víz</w:t>
      </w:r>
    </w:p>
    <w:p w14:paraId="58E33898" w14:textId="77777777" w:rsidR="00E74F5A" w:rsidRPr="004311F9" w:rsidRDefault="00E74F5A" w:rsidP="00DC4CB1">
      <w:pPr>
        <w:spacing w:line="240" w:lineRule="auto"/>
        <w:rPr>
          <w:rFonts w:eastAsia="Times New Roman"/>
          <w:szCs w:val="24"/>
          <w:lang w:val="hu-HU"/>
        </w:rPr>
      </w:pPr>
    </w:p>
    <w:p w14:paraId="1FFEF397" w14:textId="77777777" w:rsidR="00E74F5A" w:rsidRPr="004311F9" w:rsidRDefault="00E74F5A" w:rsidP="00DC4CB1">
      <w:pPr>
        <w:keepNext/>
        <w:spacing w:line="240" w:lineRule="auto"/>
        <w:rPr>
          <w:szCs w:val="24"/>
          <w:lang w:val="hu-HU"/>
        </w:rPr>
      </w:pPr>
      <w:r w:rsidRPr="004311F9">
        <w:rPr>
          <w:b/>
          <w:szCs w:val="24"/>
          <w:lang w:val="hu-HU"/>
        </w:rPr>
        <w:t>6.2</w:t>
      </w:r>
      <w:r w:rsidRPr="004311F9">
        <w:rPr>
          <w:b/>
          <w:szCs w:val="24"/>
          <w:lang w:val="hu-HU"/>
        </w:rPr>
        <w:tab/>
        <w:t>Inkompatibilitások</w:t>
      </w:r>
    </w:p>
    <w:p w14:paraId="12D3AF91" w14:textId="77777777" w:rsidR="00E74F5A" w:rsidRPr="004311F9" w:rsidRDefault="00E74F5A" w:rsidP="00DC4CB1">
      <w:pPr>
        <w:keepNext/>
        <w:spacing w:line="240" w:lineRule="auto"/>
        <w:rPr>
          <w:rFonts w:eastAsia="Times New Roman"/>
          <w:szCs w:val="24"/>
          <w:lang w:val="hu-HU"/>
        </w:rPr>
      </w:pPr>
    </w:p>
    <w:p w14:paraId="5E02FAA2" w14:textId="77777777" w:rsidR="00E74F5A" w:rsidRPr="004311F9" w:rsidRDefault="00E74F5A" w:rsidP="00DC4CB1">
      <w:pPr>
        <w:tabs>
          <w:tab w:val="clear" w:pos="567"/>
        </w:tabs>
        <w:autoSpaceDE w:val="0"/>
        <w:autoSpaceDN w:val="0"/>
        <w:adjustRightInd w:val="0"/>
        <w:spacing w:line="240" w:lineRule="auto"/>
        <w:rPr>
          <w:szCs w:val="24"/>
          <w:lang w:val="hu-HU"/>
        </w:rPr>
      </w:pPr>
      <w:r w:rsidRPr="004311F9">
        <w:rPr>
          <w:szCs w:val="24"/>
          <w:lang w:val="hu-HU"/>
        </w:rPr>
        <w:t>Kompatibilitási vizsgálatok hiányában ez a gyógyszer nem keverhető más gyógyszerekkel.</w:t>
      </w:r>
    </w:p>
    <w:p w14:paraId="3355F218" w14:textId="77777777" w:rsidR="00E74F5A" w:rsidRPr="004311F9" w:rsidRDefault="00E74F5A" w:rsidP="00DC4CB1">
      <w:pPr>
        <w:spacing w:line="240" w:lineRule="auto"/>
        <w:rPr>
          <w:rFonts w:eastAsia="Times New Roman"/>
          <w:szCs w:val="24"/>
          <w:lang w:val="hu-HU"/>
        </w:rPr>
      </w:pPr>
    </w:p>
    <w:p w14:paraId="03354303" w14:textId="77777777" w:rsidR="00E74F5A" w:rsidRPr="004311F9" w:rsidRDefault="00E74F5A" w:rsidP="00DC4CB1">
      <w:pPr>
        <w:spacing w:line="240" w:lineRule="auto"/>
        <w:rPr>
          <w:szCs w:val="24"/>
          <w:lang w:val="hu-HU"/>
        </w:rPr>
      </w:pPr>
      <w:r w:rsidRPr="004311F9">
        <w:rPr>
          <w:szCs w:val="24"/>
          <w:lang w:val="hu-HU"/>
        </w:rPr>
        <w:t>Csak a mellékelt infúziós szerelék használható, mert bizonyos injekciós felszerelések esetében a IX</w:t>
      </w:r>
      <w:r w:rsidRPr="004311F9">
        <w:rPr>
          <w:szCs w:val="24"/>
          <w:lang w:val="hu-HU"/>
        </w:rPr>
        <w:noBreakHyphen/>
        <w:t>es alvadási faktor belső felületekre történő adszorpciója következtében sikertelen lehet a kezelés.</w:t>
      </w:r>
    </w:p>
    <w:p w14:paraId="2D5877B9" w14:textId="77777777" w:rsidR="00E74F5A" w:rsidRPr="004311F9" w:rsidRDefault="00E74F5A" w:rsidP="00DC4CB1">
      <w:pPr>
        <w:spacing w:line="240" w:lineRule="auto"/>
        <w:rPr>
          <w:rFonts w:eastAsia="Times New Roman"/>
          <w:szCs w:val="24"/>
          <w:lang w:val="hu-HU"/>
        </w:rPr>
      </w:pPr>
    </w:p>
    <w:p w14:paraId="35F5BF70" w14:textId="77777777" w:rsidR="00E74F5A" w:rsidRPr="004311F9" w:rsidRDefault="00E74F5A" w:rsidP="00DC4CB1">
      <w:pPr>
        <w:keepNext/>
        <w:spacing w:line="240" w:lineRule="auto"/>
        <w:rPr>
          <w:szCs w:val="24"/>
          <w:lang w:val="hu-HU"/>
        </w:rPr>
      </w:pPr>
      <w:r w:rsidRPr="004311F9">
        <w:rPr>
          <w:b/>
          <w:szCs w:val="24"/>
          <w:lang w:val="hu-HU"/>
        </w:rPr>
        <w:t>6.3</w:t>
      </w:r>
      <w:r w:rsidRPr="004311F9">
        <w:rPr>
          <w:b/>
          <w:szCs w:val="24"/>
          <w:lang w:val="hu-HU"/>
        </w:rPr>
        <w:tab/>
        <w:t>Felhasználhatósági időtartam</w:t>
      </w:r>
    </w:p>
    <w:p w14:paraId="2FBE0441" w14:textId="77777777" w:rsidR="00E74F5A" w:rsidRPr="004311F9" w:rsidRDefault="00E74F5A" w:rsidP="00DC4CB1">
      <w:pPr>
        <w:keepNext/>
        <w:spacing w:line="240" w:lineRule="auto"/>
        <w:rPr>
          <w:rFonts w:eastAsia="Times New Roman"/>
          <w:szCs w:val="24"/>
          <w:lang w:val="hu-HU"/>
        </w:rPr>
      </w:pPr>
    </w:p>
    <w:p w14:paraId="27B5FFEA" w14:textId="77777777" w:rsidR="00E74F5A" w:rsidRPr="004311F9" w:rsidRDefault="00E74F5A" w:rsidP="00DC4CB1">
      <w:pPr>
        <w:keepNext/>
        <w:spacing w:line="240" w:lineRule="auto"/>
        <w:rPr>
          <w:szCs w:val="24"/>
          <w:u w:val="single"/>
          <w:lang w:val="hu-HU"/>
        </w:rPr>
      </w:pPr>
      <w:r w:rsidRPr="004311F9">
        <w:rPr>
          <w:szCs w:val="24"/>
          <w:u w:val="single"/>
          <w:lang w:val="hu-HU"/>
        </w:rPr>
        <w:t>Felbontatlan injekciós üveg</w:t>
      </w:r>
    </w:p>
    <w:p w14:paraId="0C2786BB" w14:textId="77777777" w:rsidR="00E74F5A" w:rsidRPr="004311F9" w:rsidRDefault="00E74F5A" w:rsidP="00DC4CB1">
      <w:pPr>
        <w:spacing w:line="240" w:lineRule="auto"/>
        <w:rPr>
          <w:szCs w:val="24"/>
          <w:lang w:val="hu-HU"/>
        </w:rPr>
      </w:pPr>
      <w:r w:rsidRPr="004311F9">
        <w:rPr>
          <w:szCs w:val="24"/>
          <w:lang w:val="hu-HU"/>
        </w:rPr>
        <w:t>4 év</w:t>
      </w:r>
    </w:p>
    <w:p w14:paraId="63687BCA" w14:textId="77777777" w:rsidR="00E74F5A" w:rsidRPr="004311F9" w:rsidRDefault="00E74F5A" w:rsidP="00DC4CB1">
      <w:pPr>
        <w:spacing w:line="240" w:lineRule="auto"/>
        <w:rPr>
          <w:rFonts w:eastAsia="Times New Roman"/>
          <w:szCs w:val="24"/>
          <w:lang w:val="hu-HU"/>
        </w:rPr>
      </w:pPr>
    </w:p>
    <w:p w14:paraId="3A61D5A4" w14:textId="16A4ABBA" w:rsidR="00E74F5A" w:rsidRPr="004311F9" w:rsidRDefault="00E74F5A" w:rsidP="00DC4CB1">
      <w:pPr>
        <w:spacing w:line="240" w:lineRule="auto"/>
        <w:rPr>
          <w:szCs w:val="24"/>
          <w:lang w:val="hu-HU"/>
        </w:rPr>
      </w:pPr>
      <w:r w:rsidRPr="004311F9">
        <w:rPr>
          <w:szCs w:val="24"/>
          <w:lang w:val="hu-HU"/>
        </w:rPr>
        <w:t>A felhasználhatósági időtartam alatt a készítmény szobahőmérsékleten (legfeljebb 30</w:t>
      </w:r>
      <w:r w:rsidR="00982B10" w:rsidRPr="004311F9">
        <w:rPr>
          <w:szCs w:val="24"/>
          <w:lang w:val="hu-HU"/>
        </w:rPr>
        <w:t> </w:t>
      </w:r>
      <w:r w:rsidRPr="004311F9">
        <w:rPr>
          <w:szCs w:val="24"/>
          <w:lang w:val="hu-HU"/>
        </w:rPr>
        <w:t>°C</w:t>
      </w:r>
      <w:r w:rsidRPr="004311F9">
        <w:rPr>
          <w:szCs w:val="24"/>
          <w:lang w:val="hu-HU"/>
        </w:rPr>
        <w:noBreakHyphen/>
        <w:t>on) tárolható 6 hónapot meg nem haladó, egyszeri időtartamban. A készítmény hűtőszekrényből való kivételének dátumát fel kell jegyezni a dobozra. Szobahőmérsékleten történt tárolás után a készítmény nem helyezhető vissza a hűtőszekrénybe.</w:t>
      </w:r>
      <w:r w:rsidRPr="004311F9">
        <w:rPr>
          <w:i/>
          <w:szCs w:val="24"/>
          <w:lang w:val="hu-HU"/>
        </w:rPr>
        <w:t xml:space="preserve"> </w:t>
      </w:r>
      <w:r w:rsidRPr="004311F9">
        <w:rPr>
          <w:szCs w:val="24"/>
          <w:lang w:val="hu-HU"/>
        </w:rPr>
        <w:t>A készítmény az injekciós üvegen feltüntetett lejárati időn túl, illetve a doboz hűtőszekrényből történő kivételétől számított hat hónapon túl – amelyik a korábbi időpont – nem alkalmazható.</w:t>
      </w:r>
    </w:p>
    <w:p w14:paraId="564DC593" w14:textId="77777777" w:rsidR="00E74F5A" w:rsidRPr="004311F9" w:rsidRDefault="00E74F5A" w:rsidP="00DC4CB1">
      <w:pPr>
        <w:spacing w:line="240" w:lineRule="auto"/>
        <w:rPr>
          <w:rFonts w:eastAsia="Times New Roman"/>
          <w:szCs w:val="24"/>
          <w:lang w:val="hu-HU"/>
        </w:rPr>
      </w:pPr>
    </w:p>
    <w:p w14:paraId="00A17FCF" w14:textId="77777777" w:rsidR="00E74F5A" w:rsidRPr="004311F9" w:rsidRDefault="00E74F5A" w:rsidP="00DC4CB1">
      <w:pPr>
        <w:keepNext/>
        <w:spacing w:line="240" w:lineRule="auto"/>
        <w:rPr>
          <w:szCs w:val="24"/>
          <w:u w:val="single"/>
          <w:lang w:val="hu-HU"/>
        </w:rPr>
      </w:pPr>
      <w:r w:rsidRPr="004311F9">
        <w:rPr>
          <w:szCs w:val="24"/>
          <w:u w:val="single"/>
          <w:lang w:val="hu-HU"/>
        </w:rPr>
        <w:t>Feloldás után</w:t>
      </w:r>
    </w:p>
    <w:p w14:paraId="4EB0CEC9" w14:textId="6CEA03A8" w:rsidR="00E74F5A" w:rsidRPr="004311F9" w:rsidRDefault="00E74F5A" w:rsidP="00DC4CB1">
      <w:pPr>
        <w:spacing w:line="240" w:lineRule="auto"/>
        <w:rPr>
          <w:szCs w:val="24"/>
          <w:lang w:val="hu-HU"/>
        </w:rPr>
      </w:pPr>
      <w:r w:rsidRPr="004311F9">
        <w:rPr>
          <w:szCs w:val="24"/>
          <w:lang w:val="hu-HU"/>
        </w:rPr>
        <w:t>A készítmény szobahőmérsékleten (legfeljebb 30</w:t>
      </w:r>
      <w:r w:rsidR="007251CD" w:rsidRPr="004311F9">
        <w:rPr>
          <w:szCs w:val="24"/>
          <w:lang w:val="hu-HU"/>
        </w:rPr>
        <w:t> </w:t>
      </w:r>
      <w:r w:rsidRPr="004311F9">
        <w:rPr>
          <w:szCs w:val="24"/>
          <w:lang w:val="hu-HU"/>
        </w:rPr>
        <w:t>°C</w:t>
      </w:r>
      <w:r w:rsidRPr="004311F9">
        <w:rPr>
          <w:szCs w:val="24"/>
          <w:lang w:val="hu-HU"/>
        </w:rPr>
        <w:noBreakHyphen/>
        <w:t>on) tárolva 6 órán át igazoltan megőrzi kémiai és fizikai stabilitását. Amennyiben a készítményt 6 órán belül nem használják fel, akkor ki kell dobni. Mikrobiológiai szempontból a készítményt a feloldás után azonnal fel kell használni. Amennyiben a készítmény nem kerül azonnal felhasználásra, a felhasználásig történő tárolás időtartamáért és körülményeiért a felhasználót terheli a felelősség. A készítmény közvetlen napfénytől védve tartandó.</w:t>
      </w:r>
    </w:p>
    <w:p w14:paraId="6FF9E3C3" w14:textId="77777777" w:rsidR="00E74F5A" w:rsidRPr="004311F9" w:rsidRDefault="00E74F5A" w:rsidP="00224CF7">
      <w:pPr>
        <w:spacing w:line="240" w:lineRule="auto"/>
        <w:rPr>
          <w:rFonts w:eastAsia="Times New Roman"/>
          <w:szCs w:val="24"/>
          <w:lang w:val="hu-HU"/>
        </w:rPr>
      </w:pPr>
    </w:p>
    <w:p w14:paraId="60A3A6F9" w14:textId="77777777" w:rsidR="00E74F5A" w:rsidRPr="004311F9" w:rsidRDefault="00E74F5A" w:rsidP="00DC4CB1">
      <w:pPr>
        <w:keepNext/>
        <w:spacing w:line="240" w:lineRule="auto"/>
        <w:rPr>
          <w:b/>
          <w:szCs w:val="24"/>
          <w:lang w:val="hu-HU"/>
        </w:rPr>
      </w:pPr>
      <w:r w:rsidRPr="004311F9">
        <w:rPr>
          <w:b/>
          <w:szCs w:val="24"/>
          <w:lang w:val="hu-HU"/>
        </w:rPr>
        <w:t>6.4</w:t>
      </w:r>
      <w:r w:rsidRPr="004311F9">
        <w:rPr>
          <w:b/>
          <w:szCs w:val="24"/>
          <w:lang w:val="hu-HU"/>
        </w:rPr>
        <w:tab/>
        <w:t>Különleges tárolási előírások</w:t>
      </w:r>
    </w:p>
    <w:p w14:paraId="01499778" w14:textId="77777777" w:rsidR="00E74F5A" w:rsidRPr="004311F9" w:rsidRDefault="00E74F5A" w:rsidP="00DC4CB1">
      <w:pPr>
        <w:keepNext/>
        <w:spacing w:line="240" w:lineRule="auto"/>
        <w:rPr>
          <w:rFonts w:eastAsia="Times New Roman"/>
          <w:szCs w:val="24"/>
          <w:lang w:val="hu-HU"/>
        </w:rPr>
      </w:pPr>
    </w:p>
    <w:p w14:paraId="7F44977A" w14:textId="52FA1796" w:rsidR="00E74F5A" w:rsidRPr="004311F9" w:rsidRDefault="00E74F5A" w:rsidP="00DC4CB1">
      <w:pPr>
        <w:spacing w:line="240" w:lineRule="auto"/>
        <w:rPr>
          <w:szCs w:val="24"/>
          <w:lang w:val="hu-HU"/>
        </w:rPr>
      </w:pPr>
      <w:r w:rsidRPr="004311F9">
        <w:rPr>
          <w:szCs w:val="24"/>
          <w:lang w:val="hu-HU"/>
        </w:rPr>
        <w:t>Hűtőszekrényben (2</w:t>
      </w:r>
      <w:r w:rsidR="007251CD" w:rsidRPr="004311F9">
        <w:rPr>
          <w:szCs w:val="24"/>
          <w:lang w:val="hu-HU"/>
        </w:rPr>
        <w:t> </w:t>
      </w:r>
      <w:r w:rsidRPr="004311F9">
        <w:rPr>
          <w:szCs w:val="24"/>
          <w:lang w:val="hu-HU"/>
        </w:rPr>
        <w:t>°C–8</w:t>
      </w:r>
      <w:r w:rsidR="007251CD" w:rsidRPr="004311F9">
        <w:rPr>
          <w:szCs w:val="24"/>
          <w:lang w:val="hu-HU"/>
        </w:rPr>
        <w:t> </w:t>
      </w:r>
      <w:r w:rsidRPr="004311F9">
        <w:rPr>
          <w:szCs w:val="24"/>
          <w:lang w:val="hu-HU"/>
        </w:rPr>
        <w:t>°C) tárolandó. Nem fagyasztható! Az injekciós üveget a fénytől való védelem érdekében tartsa a dobozában.</w:t>
      </w:r>
    </w:p>
    <w:p w14:paraId="05742F11" w14:textId="77777777" w:rsidR="00E74F5A" w:rsidRPr="004311F9" w:rsidRDefault="00E74F5A" w:rsidP="00DC4CB1">
      <w:pPr>
        <w:spacing w:line="240" w:lineRule="auto"/>
        <w:rPr>
          <w:rFonts w:eastAsia="Times New Roman"/>
          <w:szCs w:val="24"/>
          <w:lang w:val="hu-HU"/>
        </w:rPr>
      </w:pPr>
    </w:p>
    <w:p w14:paraId="553E550C" w14:textId="77777777" w:rsidR="00E74F5A" w:rsidRPr="004311F9" w:rsidRDefault="00E74F5A" w:rsidP="00DC4CB1">
      <w:pPr>
        <w:spacing w:line="240" w:lineRule="auto"/>
        <w:rPr>
          <w:i/>
          <w:szCs w:val="24"/>
          <w:lang w:val="hu-HU"/>
        </w:rPr>
      </w:pPr>
      <w:r w:rsidRPr="004311F9">
        <w:rPr>
          <w:szCs w:val="24"/>
          <w:lang w:val="hu-HU"/>
        </w:rPr>
        <w:t>A gyógyszer feloldás utáni tárolására vonatkozó előírásokat lásd a 6.3 pontban.</w:t>
      </w:r>
    </w:p>
    <w:p w14:paraId="53519E33" w14:textId="77777777" w:rsidR="00E74F5A" w:rsidRPr="004311F9" w:rsidRDefault="00E74F5A" w:rsidP="00DC4CB1">
      <w:pPr>
        <w:spacing w:line="240" w:lineRule="auto"/>
        <w:rPr>
          <w:rFonts w:eastAsia="Times New Roman"/>
          <w:szCs w:val="24"/>
          <w:lang w:val="hu-HU"/>
        </w:rPr>
      </w:pPr>
    </w:p>
    <w:p w14:paraId="7D2EF97E" w14:textId="77777777" w:rsidR="00E74F5A" w:rsidRPr="004311F9" w:rsidRDefault="00E74F5A" w:rsidP="00DC4CB1">
      <w:pPr>
        <w:keepNext/>
        <w:spacing w:line="240" w:lineRule="auto"/>
        <w:ind w:left="567" w:hanging="567"/>
        <w:rPr>
          <w:b/>
          <w:szCs w:val="24"/>
          <w:lang w:val="hu-HU"/>
        </w:rPr>
      </w:pPr>
      <w:r w:rsidRPr="004311F9">
        <w:rPr>
          <w:b/>
          <w:szCs w:val="24"/>
          <w:lang w:val="hu-HU"/>
        </w:rPr>
        <w:lastRenderedPageBreak/>
        <w:t>6.5</w:t>
      </w:r>
      <w:r w:rsidRPr="004311F9">
        <w:rPr>
          <w:b/>
          <w:szCs w:val="24"/>
          <w:lang w:val="hu-HU"/>
        </w:rPr>
        <w:tab/>
        <w:t>Csomagolás típusa és kiszerelése és speciális eszköz(ök) a használathoz, alkalmazáshoz</w:t>
      </w:r>
    </w:p>
    <w:p w14:paraId="0E26575B" w14:textId="77777777" w:rsidR="00E74F5A" w:rsidRPr="004311F9" w:rsidRDefault="00E74F5A" w:rsidP="00DC4CB1">
      <w:pPr>
        <w:keepNext/>
        <w:spacing w:line="240" w:lineRule="auto"/>
        <w:rPr>
          <w:rFonts w:eastAsia="Times New Roman"/>
          <w:b/>
          <w:szCs w:val="24"/>
          <w:lang w:val="hu-HU"/>
        </w:rPr>
      </w:pPr>
    </w:p>
    <w:p w14:paraId="6FF1E5D8" w14:textId="77777777" w:rsidR="00E74F5A" w:rsidRPr="004311F9" w:rsidRDefault="00E74F5A" w:rsidP="00DC4CB1">
      <w:pPr>
        <w:keepNext/>
        <w:spacing w:line="240" w:lineRule="auto"/>
        <w:rPr>
          <w:szCs w:val="24"/>
          <w:lang w:val="hu-HU"/>
        </w:rPr>
      </w:pPr>
      <w:r w:rsidRPr="004311F9">
        <w:rPr>
          <w:szCs w:val="24"/>
          <w:lang w:val="hu-HU"/>
        </w:rPr>
        <w:t>Tartalom csomagonként:</w:t>
      </w:r>
    </w:p>
    <w:p w14:paraId="2E0B7A9E" w14:textId="77777777" w:rsidR="00E74F5A" w:rsidRPr="004311F9" w:rsidRDefault="00E74F5A" w:rsidP="00DC4CB1">
      <w:pPr>
        <w:keepNext/>
        <w:numPr>
          <w:ilvl w:val="0"/>
          <w:numId w:val="1"/>
        </w:numPr>
        <w:tabs>
          <w:tab w:val="clear" w:pos="567"/>
        </w:tabs>
        <w:spacing w:line="240" w:lineRule="auto"/>
        <w:ind w:left="567" w:hanging="567"/>
        <w:rPr>
          <w:szCs w:val="24"/>
          <w:lang w:val="hu-HU"/>
        </w:rPr>
      </w:pPr>
      <w:r w:rsidRPr="004311F9">
        <w:rPr>
          <w:szCs w:val="24"/>
          <w:lang w:val="hu-HU"/>
        </w:rPr>
        <w:t>por, I</w:t>
      </w:r>
      <w:r w:rsidRPr="004311F9">
        <w:rPr>
          <w:szCs w:val="24"/>
          <w:lang w:val="hu-HU"/>
        </w:rPr>
        <w:noBreakHyphen/>
        <w:t>es típusú üvegből készült, klórbutil gumidugóval ellátott injekciós üvegben;</w:t>
      </w:r>
    </w:p>
    <w:p w14:paraId="096BCFA6" w14:textId="77777777" w:rsidR="00E74F5A" w:rsidRPr="004311F9" w:rsidRDefault="00E74F5A" w:rsidP="00DC4CB1">
      <w:pPr>
        <w:keepNext/>
        <w:numPr>
          <w:ilvl w:val="0"/>
          <w:numId w:val="1"/>
        </w:numPr>
        <w:tabs>
          <w:tab w:val="clear" w:pos="567"/>
        </w:tabs>
        <w:spacing w:line="240" w:lineRule="auto"/>
        <w:ind w:left="567" w:hanging="567"/>
        <w:rPr>
          <w:szCs w:val="24"/>
          <w:lang w:val="hu-HU"/>
        </w:rPr>
      </w:pPr>
      <w:r w:rsidRPr="004311F9">
        <w:rPr>
          <w:szCs w:val="24"/>
          <w:lang w:val="hu-HU"/>
        </w:rPr>
        <w:t>5 ml oldószer, I</w:t>
      </w:r>
      <w:r w:rsidRPr="004311F9">
        <w:rPr>
          <w:szCs w:val="24"/>
          <w:lang w:val="hu-HU"/>
        </w:rPr>
        <w:noBreakHyphen/>
        <w:t>es típusú üvegből készült, brómbutil, gumi dugattyúfejjel ellátott, előretöltött fecskendőben;</w:t>
      </w:r>
    </w:p>
    <w:p w14:paraId="0809DB64" w14:textId="77777777" w:rsidR="00E74F5A" w:rsidRPr="004311F9" w:rsidRDefault="00E74F5A" w:rsidP="00DC4CB1">
      <w:pPr>
        <w:keepNext/>
        <w:numPr>
          <w:ilvl w:val="0"/>
          <w:numId w:val="1"/>
        </w:numPr>
        <w:tabs>
          <w:tab w:val="clear" w:pos="567"/>
        </w:tabs>
        <w:spacing w:line="240" w:lineRule="auto"/>
        <w:ind w:left="567" w:hanging="567"/>
        <w:rPr>
          <w:szCs w:val="24"/>
          <w:lang w:val="hu-HU"/>
        </w:rPr>
      </w:pPr>
      <w:r w:rsidRPr="004311F9">
        <w:rPr>
          <w:szCs w:val="24"/>
          <w:lang w:val="hu-HU"/>
        </w:rPr>
        <w:t>dugattyúrúd;</w:t>
      </w:r>
    </w:p>
    <w:p w14:paraId="7D3234C3" w14:textId="77777777" w:rsidR="00E74F5A" w:rsidRPr="004311F9" w:rsidRDefault="00E74F5A" w:rsidP="00DC4CB1">
      <w:pPr>
        <w:keepNext/>
        <w:numPr>
          <w:ilvl w:val="0"/>
          <w:numId w:val="1"/>
        </w:numPr>
        <w:tabs>
          <w:tab w:val="clear" w:pos="567"/>
        </w:tabs>
        <w:spacing w:line="240" w:lineRule="auto"/>
        <w:ind w:left="567" w:hanging="567"/>
        <w:rPr>
          <w:szCs w:val="24"/>
          <w:lang w:val="hu-HU"/>
        </w:rPr>
      </w:pPr>
      <w:r w:rsidRPr="004311F9">
        <w:rPr>
          <w:szCs w:val="24"/>
          <w:lang w:val="hu-HU"/>
        </w:rPr>
        <w:t>steril injekciósüveg-adapter a feloldáshoz;</w:t>
      </w:r>
    </w:p>
    <w:p w14:paraId="0A1F07D7" w14:textId="77777777" w:rsidR="00E74F5A" w:rsidRPr="004311F9" w:rsidRDefault="00E74F5A" w:rsidP="00DC4CB1">
      <w:pPr>
        <w:keepNext/>
        <w:numPr>
          <w:ilvl w:val="0"/>
          <w:numId w:val="1"/>
        </w:numPr>
        <w:tabs>
          <w:tab w:val="clear" w:pos="567"/>
        </w:tabs>
        <w:spacing w:line="240" w:lineRule="auto"/>
        <w:ind w:left="567" w:hanging="567"/>
        <w:rPr>
          <w:szCs w:val="24"/>
          <w:lang w:val="hu-HU"/>
        </w:rPr>
      </w:pPr>
      <w:r w:rsidRPr="004311F9">
        <w:rPr>
          <w:szCs w:val="24"/>
          <w:lang w:val="hu-HU"/>
        </w:rPr>
        <w:t>steril infúziós szerelék;</w:t>
      </w:r>
    </w:p>
    <w:p w14:paraId="637C8544" w14:textId="77777777" w:rsidR="00E74F5A" w:rsidRPr="004311F9" w:rsidRDefault="00E74F5A" w:rsidP="00DC4CB1">
      <w:pPr>
        <w:numPr>
          <w:ilvl w:val="0"/>
          <w:numId w:val="1"/>
        </w:numPr>
        <w:tabs>
          <w:tab w:val="clear" w:pos="567"/>
        </w:tabs>
        <w:spacing w:line="240" w:lineRule="auto"/>
        <w:ind w:left="567" w:hanging="567"/>
        <w:rPr>
          <w:szCs w:val="24"/>
          <w:lang w:val="hu-HU"/>
        </w:rPr>
      </w:pPr>
      <w:r w:rsidRPr="004311F9">
        <w:rPr>
          <w:szCs w:val="24"/>
          <w:lang w:val="hu-HU"/>
        </w:rPr>
        <w:t>alkoholos törlő(k);</w:t>
      </w:r>
    </w:p>
    <w:p w14:paraId="3B116A74" w14:textId="77777777" w:rsidR="00E74F5A" w:rsidRPr="004311F9" w:rsidRDefault="00E74F5A" w:rsidP="00DC4CB1">
      <w:pPr>
        <w:numPr>
          <w:ilvl w:val="0"/>
          <w:numId w:val="1"/>
        </w:numPr>
        <w:tabs>
          <w:tab w:val="clear" w:pos="567"/>
        </w:tabs>
        <w:spacing w:line="240" w:lineRule="auto"/>
        <w:ind w:left="567" w:hanging="567"/>
        <w:rPr>
          <w:szCs w:val="24"/>
          <w:lang w:val="hu-HU"/>
        </w:rPr>
      </w:pPr>
      <w:r w:rsidRPr="004311F9">
        <w:rPr>
          <w:szCs w:val="24"/>
          <w:lang w:val="hu-HU"/>
        </w:rPr>
        <w:t>ragtapasz(ok);</w:t>
      </w:r>
    </w:p>
    <w:p w14:paraId="262DBB6F" w14:textId="77777777" w:rsidR="00E74F5A" w:rsidRPr="004311F9" w:rsidRDefault="00E74F5A" w:rsidP="00DC4CB1">
      <w:pPr>
        <w:numPr>
          <w:ilvl w:val="0"/>
          <w:numId w:val="1"/>
        </w:numPr>
        <w:tabs>
          <w:tab w:val="clear" w:pos="567"/>
        </w:tabs>
        <w:spacing w:line="240" w:lineRule="auto"/>
        <w:ind w:left="567" w:hanging="567"/>
        <w:rPr>
          <w:szCs w:val="24"/>
          <w:lang w:val="hu-HU"/>
        </w:rPr>
      </w:pPr>
      <w:r w:rsidRPr="004311F9">
        <w:rPr>
          <w:szCs w:val="24"/>
          <w:lang w:val="hu-HU"/>
        </w:rPr>
        <w:t>gézlap(ok).</w:t>
      </w:r>
    </w:p>
    <w:p w14:paraId="437C5C41" w14:textId="77777777" w:rsidR="00E74F5A" w:rsidRPr="004311F9" w:rsidRDefault="00E74F5A" w:rsidP="00DC4CB1">
      <w:pPr>
        <w:tabs>
          <w:tab w:val="clear" w:pos="567"/>
        </w:tabs>
        <w:spacing w:line="240" w:lineRule="auto"/>
        <w:rPr>
          <w:rFonts w:eastAsia="Times New Roman"/>
          <w:szCs w:val="24"/>
          <w:lang w:val="hu-HU"/>
        </w:rPr>
      </w:pPr>
    </w:p>
    <w:p w14:paraId="14EBF5AB" w14:textId="77777777" w:rsidR="00E74F5A" w:rsidRPr="004311F9" w:rsidRDefault="00E74F5A" w:rsidP="00DC4CB1">
      <w:pPr>
        <w:spacing w:line="240" w:lineRule="auto"/>
        <w:rPr>
          <w:szCs w:val="24"/>
          <w:lang w:val="hu-HU"/>
        </w:rPr>
      </w:pPr>
      <w:r w:rsidRPr="004311F9">
        <w:rPr>
          <w:szCs w:val="24"/>
          <w:lang w:val="hu-HU"/>
        </w:rPr>
        <w:t>1 db</w:t>
      </w:r>
      <w:r w:rsidRPr="004311F9">
        <w:rPr>
          <w:szCs w:val="24"/>
          <w:lang w:val="hu-HU"/>
        </w:rPr>
        <w:noBreakHyphen/>
        <w:t>ot tartalmazó kiszerelés.</w:t>
      </w:r>
    </w:p>
    <w:p w14:paraId="3B3C629C" w14:textId="77777777" w:rsidR="00E74F5A" w:rsidRPr="004311F9" w:rsidRDefault="00E74F5A" w:rsidP="00DC4CB1">
      <w:pPr>
        <w:spacing w:line="240" w:lineRule="auto"/>
        <w:rPr>
          <w:rFonts w:eastAsia="Times New Roman"/>
          <w:szCs w:val="24"/>
          <w:lang w:val="hu-HU"/>
        </w:rPr>
      </w:pPr>
    </w:p>
    <w:p w14:paraId="169FCB13" w14:textId="77777777" w:rsidR="00E74F5A" w:rsidRPr="004311F9" w:rsidRDefault="00E74F5A" w:rsidP="00224CF7">
      <w:pPr>
        <w:keepNext/>
        <w:spacing w:line="240" w:lineRule="auto"/>
        <w:ind w:left="567" w:hanging="567"/>
        <w:rPr>
          <w:b/>
          <w:szCs w:val="24"/>
          <w:lang w:val="hu-HU"/>
        </w:rPr>
      </w:pPr>
      <w:bookmarkStart w:id="1" w:name="OLE_LINK1"/>
      <w:r w:rsidRPr="004311F9">
        <w:rPr>
          <w:b/>
          <w:szCs w:val="24"/>
          <w:lang w:val="hu-HU"/>
        </w:rPr>
        <w:t>6.6</w:t>
      </w:r>
      <w:r w:rsidRPr="004311F9">
        <w:rPr>
          <w:b/>
          <w:szCs w:val="24"/>
          <w:lang w:val="hu-HU"/>
        </w:rPr>
        <w:tab/>
        <w:t>A megsemmisítésre vonatkozó különleges óvintézkedések és egyéb, a készítmény kezelésével kapcsolatos információk</w:t>
      </w:r>
    </w:p>
    <w:bookmarkEnd w:id="1"/>
    <w:p w14:paraId="0B3E478F" w14:textId="77777777" w:rsidR="00E74F5A" w:rsidRPr="004311F9" w:rsidRDefault="00E74F5A" w:rsidP="00DC4CB1">
      <w:pPr>
        <w:keepNext/>
        <w:tabs>
          <w:tab w:val="left" w:pos="8222"/>
        </w:tabs>
        <w:autoSpaceDE w:val="0"/>
        <w:autoSpaceDN w:val="0"/>
        <w:adjustRightInd w:val="0"/>
        <w:spacing w:line="240" w:lineRule="auto"/>
        <w:rPr>
          <w:rFonts w:eastAsia="Times New Roman"/>
          <w:szCs w:val="24"/>
          <w:lang w:val="hu-HU"/>
        </w:rPr>
      </w:pPr>
    </w:p>
    <w:p w14:paraId="6F4C0081" w14:textId="77777777" w:rsidR="00E74F5A" w:rsidRPr="004311F9" w:rsidRDefault="00E74F5A" w:rsidP="00DC4CB1">
      <w:pPr>
        <w:spacing w:line="240" w:lineRule="auto"/>
        <w:rPr>
          <w:rFonts w:eastAsia="Times New Roman"/>
          <w:szCs w:val="24"/>
          <w:lang w:val="hu-HU"/>
        </w:rPr>
      </w:pPr>
      <w:r w:rsidRPr="004311F9">
        <w:rPr>
          <w:rFonts w:eastAsia="Times New Roman"/>
          <w:szCs w:val="24"/>
          <w:lang w:val="hu-HU"/>
        </w:rPr>
        <w:t>Az injekcióhoz való port tartalmazó minden egyes injekciós üveg tartalmát fel kell olda</w:t>
      </w:r>
      <w:r w:rsidRPr="004311F9">
        <w:rPr>
          <w:szCs w:val="24"/>
          <w:lang w:val="hu-HU"/>
        </w:rPr>
        <w:t>ni a mellékelt előretöltött fecskendőből származó oldószerrel (nátrium</w:t>
      </w:r>
      <w:r w:rsidRPr="004311F9">
        <w:rPr>
          <w:szCs w:val="24"/>
          <w:lang w:val="hu-HU"/>
        </w:rPr>
        <w:noBreakHyphen/>
        <w:t>klorid oldat) egy steril, feloldáshoz való injekciós</w:t>
      </w:r>
      <w:r w:rsidRPr="004311F9">
        <w:rPr>
          <w:rFonts w:eastAsia="Times New Roman"/>
          <w:szCs w:val="24"/>
          <w:lang w:val="hu-HU"/>
        </w:rPr>
        <w:t>üveg-adapter használatával.</w:t>
      </w:r>
    </w:p>
    <w:p w14:paraId="51BC409C" w14:textId="77777777" w:rsidR="00E74F5A" w:rsidRPr="004311F9" w:rsidRDefault="00E74F5A" w:rsidP="00DC4CB1">
      <w:pPr>
        <w:spacing w:line="240" w:lineRule="auto"/>
        <w:rPr>
          <w:rFonts w:eastAsia="Times New Roman"/>
          <w:szCs w:val="24"/>
          <w:lang w:val="hu-HU"/>
        </w:rPr>
      </w:pPr>
    </w:p>
    <w:p w14:paraId="3E07824E" w14:textId="77777777" w:rsidR="00E74F5A" w:rsidRPr="004311F9" w:rsidRDefault="00E74F5A" w:rsidP="00DC4CB1">
      <w:pPr>
        <w:spacing w:line="240" w:lineRule="auto"/>
        <w:rPr>
          <w:szCs w:val="24"/>
          <w:lang w:val="hu-HU"/>
        </w:rPr>
      </w:pPr>
      <w:r w:rsidRPr="004311F9">
        <w:rPr>
          <w:szCs w:val="24"/>
          <w:lang w:val="hu-HU"/>
        </w:rPr>
        <w:t>Az injekciós üveget óvatosan, körkörös irányban kell mozgatni, amíg az összes por fel nem oldódik.</w:t>
      </w:r>
    </w:p>
    <w:p w14:paraId="411EB7D0" w14:textId="77777777" w:rsidR="00E74F5A" w:rsidRPr="004311F9" w:rsidRDefault="00E74F5A" w:rsidP="00DC4CB1">
      <w:pPr>
        <w:spacing w:line="240" w:lineRule="auto"/>
        <w:rPr>
          <w:rFonts w:eastAsia="Times New Roman"/>
          <w:szCs w:val="24"/>
          <w:lang w:val="hu-HU"/>
        </w:rPr>
      </w:pPr>
    </w:p>
    <w:p w14:paraId="51F18706" w14:textId="77777777" w:rsidR="00E74F5A" w:rsidRPr="004311F9" w:rsidRDefault="00E74F5A" w:rsidP="00DC4CB1">
      <w:pPr>
        <w:tabs>
          <w:tab w:val="clear" w:pos="567"/>
        </w:tabs>
        <w:autoSpaceDE w:val="0"/>
        <w:autoSpaceDN w:val="0"/>
        <w:adjustRightInd w:val="0"/>
        <w:spacing w:line="240" w:lineRule="auto"/>
        <w:rPr>
          <w:rFonts w:eastAsia="Times New Roman"/>
          <w:szCs w:val="24"/>
          <w:lang w:val="hu-HU"/>
        </w:rPr>
      </w:pPr>
      <w:r w:rsidRPr="004311F9">
        <w:rPr>
          <w:rFonts w:eastAsia="Times New Roman"/>
          <w:szCs w:val="24"/>
          <w:lang w:val="hu-HU"/>
        </w:rPr>
        <w:t xml:space="preserve">Az elkészített oldatnak tisztának vagy enyhén opálosnak és színtelennek kell lennie. </w:t>
      </w:r>
      <w:r w:rsidRPr="004311F9">
        <w:rPr>
          <w:szCs w:val="24"/>
          <w:lang w:val="hu-HU"/>
        </w:rPr>
        <w:t>Beadás előtt szemügyre kell venni a feloldott gyógyszert, és ellenőrizni kell, hogy van</w:t>
      </w:r>
      <w:r w:rsidRPr="004311F9">
        <w:rPr>
          <w:szCs w:val="24"/>
          <w:lang w:val="hu-HU"/>
        </w:rPr>
        <w:noBreakHyphen/>
        <w:t>e benne szemcsés anyag vagy látható</w:t>
      </w:r>
      <w:r w:rsidRPr="004311F9">
        <w:rPr>
          <w:szCs w:val="24"/>
          <w:lang w:val="hu-HU"/>
        </w:rPr>
        <w:noBreakHyphen/>
        <w:t xml:space="preserve">e elszíneződés. </w:t>
      </w:r>
      <w:r w:rsidRPr="004311F9">
        <w:rPr>
          <w:rFonts w:eastAsia="Times New Roman"/>
          <w:szCs w:val="24"/>
          <w:lang w:val="hu-HU"/>
        </w:rPr>
        <w:t>Zavaros vagy üledéket tartalmazó oldato</w:t>
      </w:r>
      <w:r w:rsidRPr="004311F9">
        <w:rPr>
          <w:szCs w:val="24"/>
          <w:lang w:val="hu-HU"/>
        </w:rPr>
        <w:t>t nem szabad felhasználni.</w:t>
      </w:r>
    </w:p>
    <w:p w14:paraId="39D5C28D" w14:textId="77777777" w:rsidR="00E74F5A" w:rsidRPr="004311F9" w:rsidRDefault="00E74F5A" w:rsidP="00DC4CB1">
      <w:pPr>
        <w:spacing w:line="240" w:lineRule="auto"/>
        <w:rPr>
          <w:rFonts w:eastAsia="Times New Roman"/>
          <w:szCs w:val="24"/>
          <w:lang w:val="hu-HU"/>
        </w:rPr>
      </w:pPr>
    </w:p>
    <w:p w14:paraId="58957F1A" w14:textId="77777777" w:rsidR="00E74F5A" w:rsidRPr="004311F9" w:rsidRDefault="00E74F5A" w:rsidP="00DC4CB1">
      <w:pPr>
        <w:spacing w:line="240" w:lineRule="auto"/>
        <w:rPr>
          <w:rFonts w:eastAsia="Times New Roman"/>
          <w:szCs w:val="24"/>
          <w:lang w:val="hu-HU"/>
        </w:rPr>
      </w:pPr>
      <w:r w:rsidRPr="004311F9">
        <w:rPr>
          <w:rFonts w:eastAsia="Times New Roman"/>
          <w:szCs w:val="24"/>
          <w:lang w:val="hu-HU"/>
        </w:rPr>
        <w:t>Ez a készítmény kizárólag egyszeri használatra szolgál.</w:t>
      </w:r>
    </w:p>
    <w:p w14:paraId="7A39E727" w14:textId="77777777" w:rsidR="00E74F5A" w:rsidRPr="004311F9" w:rsidRDefault="00E74F5A" w:rsidP="00DC4CB1">
      <w:pPr>
        <w:spacing w:line="240" w:lineRule="auto"/>
        <w:rPr>
          <w:rFonts w:eastAsia="Times New Roman"/>
          <w:szCs w:val="24"/>
          <w:lang w:val="hu-HU"/>
        </w:rPr>
      </w:pPr>
    </w:p>
    <w:p w14:paraId="1A65B3CA" w14:textId="77777777" w:rsidR="00E74F5A" w:rsidRPr="004311F9" w:rsidRDefault="00E74F5A" w:rsidP="00DC4CB1">
      <w:pPr>
        <w:spacing w:line="240" w:lineRule="auto"/>
        <w:rPr>
          <w:szCs w:val="24"/>
          <w:lang w:val="hu-HU"/>
        </w:rPr>
      </w:pPr>
      <w:r w:rsidRPr="004311F9">
        <w:rPr>
          <w:szCs w:val="24"/>
          <w:lang w:val="hu-HU"/>
        </w:rPr>
        <w:t>Bármilyen fel nem használt gyógyszer, illetve hulladékanyag megsemmisítését a gyógyszerekre vonatkozó előírások szerint kell végrehajtani.</w:t>
      </w:r>
    </w:p>
    <w:p w14:paraId="4AAF0028" w14:textId="77777777" w:rsidR="00E74F5A" w:rsidRPr="004311F9" w:rsidRDefault="00E74F5A" w:rsidP="00DC4CB1">
      <w:pPr>
        <w:spacing w:line="240" w:lineRule="auto"/>
        <w:rPr>
          <w:rFonts w:eastAsia="Times New Roman"/>
          <w:szCs w:val="24"/>
          <w:lang w:val="hu-HU"/>
        </w:rPr>
      </w:pPr>
    </w:p>
    <w:p w14:paraId="6DC099EA" w14:textId="372380E9" w:rsidR="005325DB" w:rsidRPr="004311F9" w:rsidRDefault="005325DB" w:rsidP="005325DB">
      <w:pPr>
        <w:keepNext/>
        <w:spacing w:line="240" w:lineRule="auto"/>
        <w:rPr>
          <w:szCs w:val="24"/>
          <w:u w:val="single"/>
          <w:lang w:val="hu-HU"/>
        </w:rPr>
      </w:pPr>
      <w:r w:rsidRPr="004311F9">
        <w:rPr>
          <w:szCs w:val="24"/>
          <w:u w:val="single"/>
          <w:lang w:val="hu-HU"/>
        </w:rPr>
        <w:t>Az elkészítésre és beadásra vonatkozó utasítások</w:t>
      </w:r>
    </w:p>
    <w:p w14:paraId="10DD94FB" w14:textId="77777777" w:rsidR="005325DB" w:rsidRPr="004311F9" w:rsidRDefault="005325DB" w:rsidP="005325DB">
      <w:pPr>
        <w:keepNext/>
        <w:spacing w:line="240" w:lineRule="auto"/>
        <w:rPr>
          <w:rFonts w:eastAsia="Times New Roman"/>
          <w:b/>
          <w:szCs w:val="24"/>
          <w:lang w:val="hu-HU"/>
        </w:rPr>
      </w:pPr>
    </w:p>
    <w:p w14:paraId="1FA920A6" w14:textId="77777777" w:rsidR="005325DB" w:rsidRPr="004311F9" w:rsidRDefault="005325DB" w:rsidP="005325DB">
      <w:pPr>
        <w:keepNext/>
        <w:spacing w:line="240" w:lineRule="auto"/>
        <w:rPr>
          <w:rFonts w:eastAsia="Times New Roman"/>
          <w:szCs w:val="24"/>
          <w:lang w:val="hu-HU"/>
        </w:rPr>
      </w:pPr>
      <w:r w:rsidRPr="004311F9">
        <w:rPr>
          <w:rFonts w:eastAsia="Times New Roman"/>
          <w:szCs w:val="24"/>
          <w:lang w:val="hu-HU"/>
        </w:rPr>
        <w:t>Az alábbi eljárás ismerteti az ALPROLIX elkészítését és beadását.</w:t>
      </w:r>
    </w:p>
    <w:p w14:paraId="36565460" w14:textId="77777777" w:rsidR="005325DB" w:rsidRPr="004311F9" w:rsidRDefault="005325DB" w:rsidP="005325DB">
      <w:pPr>
        <w:keepNext/>
        <w:spacing w:line="240" w:lineRule="auto"/>
        <w:rPr>
          <w:rFonts w:eastAsia="Times New Roman"/>
          <w:b/>
          <w:szCs w:val="24"/>
          <w:lang w:val="hu-HU"/>
        </w:rPr>
      </w:pPr>
    </w:p>
    <w:p w14:paraId="28EFB913" w14:textId="77777777" w:rsidR="005325DB" w:rsidRPr="004311F9" w:rsidRDefault="005325DB" w:rsidP="005325DB">
      <w:pPr>
        <w:keepNext/>
        <w:spacing w:line="240" w:lineRule="auto"/>
        <w:rPr>
          <w:szCs w:val="24"/>
          <w:lang w:val="hu-HU"/>
        </w:rPr>
      </w:pPr>
      <w:r w:rsidRPr="004311F9">
        <w:rPr>
          <w:szCs w:val="24"/>
          <w:lang w:val="hu-HU"/>
        </w:rPr>
        <w:t>Az ALPROLIX</w:t>
      </w:r>
      <w:r w:rsidRPr="004311F9">
        <w:rPr>
          <w:szCs w:val="24"/>
          <w:lang w:val="hu-HU"/>
        </w:rPr>
        <w:noBreakHyphen/>
        <w:t>ot intravénás (iv.) injekció formájában kell beadni, miután feloldották az injekcióhoz való port az előretöltött fecskendőben mellékelt oldószerrel. Az ALPROLIX csomag tartalma:</w:t>
      </w:r>
    </w:p>
    <w:p w14:paraId="0F9BCB59" w14:textId="77777777" w:rsidR="005325DB" w:rsidRPr="004311F9" w:rsidRDefault="005325DB" w:rsidP="005325DB">
      <w:pPr>
        <w:keepNext/>
        <w:spacing w:line="240" w:lineRule="auto"/>
        <w:rPr>
          <w:rFonts w:eastAsia="Times New Roman"/>
          <w:szCs w:val="24"/>
          <w:lang w:val="hu-HU"/>
        </w:rPr>
      </w:pPr>
    </w:p>
    <w:p w14:paraId="66D4C6B5" w14:textId="77777777" w:rsidR="005325DB" w:rsidRPr="004311F9" w:rsidRDefault="005325DB" w:rsidP="005325DB">
      <w:pPr>
        <w:keepNext/>
        <w:numPr>
          <w:ilvl w:val="12"/>
          <w:numId w:val="0"/>
        </w:numPr>
        <w:spacing w:line="240" w:lineRule="auto"/>
        <w:rPr>
          <w:rFonts w:eastAsia="Times New Roman"/>
          <w:b/>
          <w:szCs w:val="24"/>
          <w:lang w:val="hu-HU"/>
        </w:rPr>
      </w:pPr>
    </w:p>
    <w:p w14:paraId="0BD8027F" w14:textId="77777777" w:rsidR="005325DB" w:rsidRPr="004311F9" w:rsidRDefault="005325DB" w:rsidP="005325DB">
      <w:pPr>
        <w:keepNext/>
        <w:numPr>
          <w:ilvl w:val="12"/>
          <w:numId w:val="0"/>
        </w:numPr>
        <w:spacing w:line="240" w:lineRule="auto"/>
        <w:rPr>
          <w:rFonts w:eastAsia="Times New Roman"/>
          <w:b/>
          <w:szCs w:val="24"/>
          <w:lang w:val="hu-HU"/>
        </w:rPr>
      </w:pPr>
      <w:r w:rsidRPr="004311F9">
        <w:rPr>
          <w:noProof/>
          <w:lang w:val="hu-HU"/>
        </w:rPr>
        <mc:AlternateContent>
          <mc:Choice Requires="wps">
            <w:drawing>
              <wp:anchor distT="0" distB="0" distL="114300" distR="114300" simplePos="0" relativeHeight="251666944" behindDoc="0" locked="0" layoutInCell="1" allowOverlap="1" wp14:anchorId="50F5CF1E" wp14:editId="01179FF9">
                <wp:simplePos x="0" y="0"/>
                <wp:positionH relativeFrom="column">
                  <wp:posOffset>3560445</wp:posOffset>
                </wp:positionH>
                <wp:positionV relativeFrom="paragraph">
                  <wp:posOffset>14605</wp:posOffset>
                </wp:positionV>
                <wp:extent cx="2514600" cy="1469390"/>
                <wp:effectExtent l="0" t="0" r="19050" b="1651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469390"/>
                        </a:xfrm>
                        <a:prstGeom prst="rect">
                          <a:avLst/>
                        </a:prstGeom>
                        <a:solidFill>
                          <a:srgbClr val="FFFFFF"/>
                        </a:solidFill>
                        <a:ln w="9525">
                          <a:solidFill>
                            <a:srgbClr val="000000"/>
                          </a:solidFill>
                          <a:miter lim="800000"/>
                          <a:headEnd/>
                          <a:tailEnd/>
                        </a:ln>
                      </wps:spPr>
                      <wps:txbx>
                        <w:txbxContent>
                          <w:p w14:paraId="258BDC90" w14:textId="77777777" w:rsidR="001A2EB4" w:rsidRDefault="001A2EB4" w:rsidP="005325DB">
                            <w:pPr>
                              <w:rPr>
                                <w:sz w:val="20"/>
                                <w:lang w:val="en-US"/>
                              </w:rPr>
                            </w:pPr>
                            <w:r>
                              <w:rPr>
                                <w:sz w:val="20"/>
                                <w:lang w:val="en-US"/>
                              </w:rPr>
                              <w:t xml:space="preserve">A) </w:t>
                            </w:r>
                            <w:r>
                              <w:rPr>
                                <w:color w:val="000000"/>
                                <w:sz w:val="20"/>
                                <w:lang w:val="hu-HU"/>
                              </w:rPr>
                              <w:t>1 db port tartalmazó injekciós üveg</w:t>
                            </w:r>
                            <w:r>
                              <w:rPr>
                                <w:sz w:val="20"/>
                                <w:lang w:val="en-US"/>
                              </w:rPr>
                              <w:br/>
                              <w:t xml:space="preserve">B) </w:t>
                            </w:r>
                            <w:r>
                              <w:rPr>
                                <w:color w:val="000000"/>
                                <w:sz w:val="20"/>
                                <w:lang w:val="hu-HU"/>
                              </w:rPr>
                              <w:t>5 ml oldószer, előretöltött fecskendőben</w:t>
                            </w:r>
                            <w:r>
                              <w:rPr>
                                <w:sz w:val="20"/>
                                <w:lang w:val="en-US"/>
                              </w:rPr>
                              <w:br/>
                              <w:t xml:space="preserve">C) </w:t>
                            </w:r>
                            <w:r>
                              <w:rPr>
                                <w:color w:val="000000"/>
                                <w:sz w:val="20"/>
                                <w:lang w:val="hu-HU"/>
                              </w:rPr>
                              <w:t>1 db dugattyúrúd</w:t>
                            </w:r>
                            <w:r>
                              <w:rPr>
                                <w:sz w:val="20"/>
                                <w:lang w:val="en-US"/>
                              </w:rPr>
                              <w:br/>
                              <w:t xml:space="preserve">D) </w:t>
                            </w:r>
                            <w:r>
                              <w:rPr>
                                <w:color w:val="000000"/>
                                <w:sz w:val="20"/>
                                <w:lang w:val="hu-HU"/>
                              </w:rPr>
                              <w:t>1 db injekciósüveg</w:t>
                            </w:r>
                            <w:r>
                              <w:rPr>
                                <w:color w:val="000000"/>
                                <w:sz w:val="20"/>
                                <w:lang w:val="hu-HU"/>
                              </w:rPr>
                              <w:noBreakHyphen/>
                              <w:t>adapter</w:t>
                            </w:r>
                            <w:r>
                              <w:rPr>
                                <w:sz w:val="20"/>
                                <w:lang w:val="en-US"/>
                              </w:rPr>
                              <w:br/>
                              <w:t xml:space="preserve">E) </w:t>
                            </w:r>
                            <w:r>
                              <w:rPr>
                                <w:color w:val="000000"/>
                                <w:sz w:val="20"/>
                                <w:lang w:val="hu-HU"/>
                              </w:rPr>
                              <w:t>1 db infúziós szerelék</w:t>
                            </w:r>
                            <w:r>
                              <w:rPr>
                                <w:sz w:val="20"/>
                                <w:lang w:val="en-US"/>
                              </w:rPr>
                              <w:br/>
                              <w:t xml:space="preserve">F) </w:t>
                            </w:r>
                            <w:r>
                              <w:rPr>
                                <w:color w:val="000000"/>
                                <w:sz w:val="20"/>
                                <w:lang w:val="hu-HU"/>
                              </w:rPr>
                              <w:t>2 db alkoholos törlő</w:t>
                            </w:r>
                            <w:r>
                              <w:rPr>
                                <w:sz w:val="20"/>
                                <w:lang w:val="en-US"/>
                              </w:rPr>
                              <w:br/>
                              <w:t xml:space="preserve">G) </w:t>
                            </w:r>
                            <w:r>
                              <w:rPr>
                                <w:color w:val="000000"/>
                                <w:sz w:val="20"/>
                                <w:lang w:val="hu-HU"/>
                              </w:rPr>
                              <w:t>2 db ragtapasz</w:t>
                            </w:r>
                            <w:r>
                              <w:rPr>
                                <w:sz w:val="20"/>
                                <w:lang w:val="en-US"/>
                              </w:rPr>
                              <w:br/>
                              <w:t xml:space="preserve">H) </w:t>
                            </w:r>
                            <w:r>
                              <w:rPr>
                                <w:color w:val="000000"/>
                                <w:sz w:val="20"/>
                                <w:lang w:val="hu-HU"/>
                              </w:rPr>
                              <w:t>1 db gézlap</w:t>
                            </w:r>
                            <w:r>
                              <w:rPr>
                                <w:sz w:val="20"/>
                                <w:lang w:val="en-US"/>
                              </w:rPr>
                              <w:br/>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50F5CF1E" id="_x0000_t202" coordsize="21600,21600" o:spt="202" path="m,l,21600r21600,l21600,xe">
                <v:stroke joinstyle="miter"/>
                <v:path gradientshapeok="t" o:connecttype="rect"/>
              </v:shapetype>
              <v:shape id="Text Box 2" o:spid="_x0000_s1026" type="#_x0000_t202" style="position:absolute;margin-left:280.35pt;margin-top:1.15pt;width:198pt;height:115.7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">
                <v:textbox>
                  <w:txbxContent>
                    <w:p w14:paraId="258BDC90" w14:textId="77777777" w:rsidR="001A2EB4" w:rsidRDefault="001A2EB4" w:rsidP="005325DB">
                      <w:pPr>
                        <w:rPr>
                          <w:sz w:val="20"/>
                          <w:lang w:val="en-US"/>
                        </w:rPr>
                      </w:pPr>
                      <w:r>
                        <w:rPr>
                          <w:sz w:val="20"/>
                          <w:lang w:val="en-US"/>
                        </w:rPr>
                        <w:t xml:space="preserve">A) </w:t>
                      </w:r>
                      <w:r>
                        <w:rPr>
                          <w:color w:val="000000"/>
                          <w:sz w:val="20"/>
                          <w:lang w:val="hu-HU"/>
                        </w:rPr>
                        <w:t>1 db port tartalmazó injekciós üveg</w:t>
                      </w:r>
                      <w:r>
                        <w:rPr>
                          <w:sz w:val="20"/>
                          <w:lang w:val="en-US"/>
                        </w:rPr>
                        <w:br/>
                        <w:t xml:space="preserve">B) </w:t>
                      </w:r>
                      <w:r>
                        <w:rPr>
                          <w:color w:val="000000"/>
                          <w:sz w:val="20"/>
                          <w:lang w:val="hu-HU"/>
                        </w:rPr>
                        <w:t>5 ml oldószer, előretöltött fecskendőben</w:t>
                      </w:r>
                      <w:r>
                        <w:rPr>
                          <w:sz w:val="20"/>
                          <w:lang w:val="en-US"/>
                        </w:rPr>
                        <w:br/>
                        <w:t xml:space="preserve">C) </w:t>
                      </w:r>
                      <w:r>
                        <w:rPr>
                          <w:color w:val="000000"/>
                          <w:sz w:val="20"/>
                          <w:lang w:val="hu-HU"/>
                        </w:rPr>
                        <w:t>1 db dugattyúrúd</w:t>
                      </w:r>
                      <w:r>
                        <w:rPr>
                          <w:sz w:val="20"/>
                          <w:lang w:val="en-US"/>
                        </w:rPr>
                        <w:br/>
                        <w:t xml:space="preserve">D) </w:t>
                      </w:r>
                      <w:r>
                        <w:rPr>
                          <w:color w:val="000000"/>
                          <w:sz w:val="20"/>
                          <w:lang w:val="hu-HU"/>
                        </w:rPr>
                        <w:t>1 db injekciósüveg</w:t>
                      </w:r>
                      <w:r>
                        <w:rPr>
                          <w:color w:val="000000"/>
                          <w:sz w:val="20"/>
                          <w:lang w:val="hu-HU"/>
                        </w:rPr>
                        <w:noBreakHyphen/>
                        <w:t>adapter</w:t>
                      </w:r>
                      <w:r>
                        <w:rPr>
                          <w:sz w:val="20"/>
                          <w:lang w:val="en-US"/>
                        </w:rPr>
                        <w:br/>
                        <w:t xml:space="preserve">E) </w:t>
                      </w:r>
                      <w:r>
                        <w:rPr>
                          <w:color w:val="000000"/>
                          <w:sz w:val="20"/>
                          <w:lang w:val="hu-HU"/>
                        </w:rPr>
                        <w:t>1 db infúziós szerelék</w:t>
                      </w:r>
                      <w:r>
                        <w:rPr>
                          <w:sz w:val="20"/>
                          <w:lang w:val="en-US"/>
                        </w:rPr>
                        <w:br/>
                        <w:t xml:space="preserve">F) </w:t>
                      </w:r>
                      <w:r>
                        <w:rPr>
                          <w:color w:val="000000"/>
                          <w:sz w:val="20"/>
                          <w:lang w:val="hu-HU"/>
                        </w:rPr>
                        <w:t>2 db alkoholos törlő</w:t>
                      </w:r>
                      <w:r>
                        <w:rPr>
                          <w:sz w:val="20"/>
                          <w:lang w:val="en-US"/>
                        </w:rPr>
                        <w:br/>
                        <w:t xml:space="preserve">G) </w:t>
                      </w:r>
                      <w:r>
                        <w:rPr>
                          <w:color w:val="000000"/>
                          <w:sz w:val="20"/>
                          <w:lang w:val="hu-HU"/>
                        </w:rPr>
                        <w:t>2 db ragtapasz</w:t>
                      </w:r>
                      <w:r>
                        <w:rPr>
                          <w:sz w:val="20"/>
                          <w:lang w:val="en-US"/>
                        </w:rPr>
                        <w:br/>
                        <w:t xml:space="preserve">H) </w:t>
                      </w:r>
                      <w:r>
                        <w:rPr>
                          <w:color w:val="000000"/>
                          <w:sz w:val="20"/>
                          <w:lang w:val="hu-HU"/>
                        </w:rPr>
                        <w:t>1 db gézlap</w:t>
                      </w:r>
                      <w:r>
                        <w:rPr>
                          <w:sz w:val="20"/>
                          <w:lang w:val="en-US"/>
                        </w:rPr>
                        <w:br/>
                      </w:r>
                    </w:p>
                  </w:txbxContent>
                </v:textbox>
              </v:shape>
            </w:pict>
          </mc:Fallback>
        </mc:AlternateContent>
      </w:r>
    </w:p>
    <w:p w14:paraId="78E47576" w14:textId="77777777" w:rsidR="005325DB" w:rsidRPr="004311F9" w:rsidRDefault="005325DB" w:rsidP="005325DB">
      <w:pPr>
        <w:keepNext/>
        <w:numPr>
          <w:ilvl w:val="12"/>
          <w:numId w:val="0"/>
        </w:numPr>
        <w:spacing w:line="240" w:lineRule="auto"/>
        <w:rPr>
          <w:rFonts w:eastAsia="Times New Roman"/>
          <w:b/>
          <w:szCs w:val="24"/>
          <w:lang w:val="hu-HU"/>
        </w:rPr>
      </w:pPr>
      <w:r w:rsidRPr="004311F9">
        <w:rPr>
          <w:noProof/>
          <w:lang w:val="hu-HU"/>
        </w:rPr>
        <w:drawing>
          <wp:anchor distT="0" distB="0" distL="114300" distR="114300" simplePos="0" relativeHeight="251681280" behindDoc="0" locked="0" layoutInCell="1" allowOverlap="1" wp14:anchorId="0260C06B" wp14:editId="54C27BBF">
            <wp:simplePos x="0" y="0"/>
            <wp:positionH relativeFrom="column">
              <wp:posOffset>236220</wp:posOffset>
            </wp:positionH>
            <wp:positionV relativeFrom="paragraph">
              <wp:posOffset>12700</wp:posOffset>
            </wp:positionV>
            <wp:extent cx="2780030" cy="1310640"/>
            <wp:effectExtent l="0" t="0" r="1270" b="3810"/>
            <wp:wrapNone/>
            <wp:docPr id="1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pic:spPr>
                </pic:pic>
              </a:graphicData>
            </a:graphic>
            <wp14:sizeRelH relativeFrom="page">
              <wp14:pctWidth>0</wp14:pctWidth>
            </wp14:sizeRelH>
            <wp14:sizeRelV relativeFrom="page">
              <wp14:pctHeight>0</wp14:pctHeight>
            </wp14:sizeRelV>
          </wp:anchor>
        </w:drawing>
      </w:r>
    </w:p>
    <w:p w14:paraId="6F7B19F7" w14:textId="77777777" w:rsidR="005325DB" w:rsidRPr="004311F9" w:rsidRDefault="005325DB" w:rsidP="005325DB">
      <w:pPr>
        <w:keepNext/>
        <w:numPr>
          <w:ilvl w:val="12"/>
          <w:numId w:val="0"/>
        </w:numPr>
        <w:spacing w:line="240" w:lineRule="auto"/>
        <w:rPr>
          <w:rFonts w:eastAsia="Times New Roman"/>
          <w:b/>
          <w:szCs w:val="24"/>
          <w:lang w:val="hu-HU"/>
        </w:rPr>
      </w:pPr>
    </w:p>
    <w:p w14:paraId="609FFA5C" w14:textId="77777777" w:rsidR="005325DB" w:rsidRPr="004311F9" w:rsidRDefault="005325DB" w:rsidP="005325DB">
      <w:pPr>
        <w:keepNext/>
        <w:numPr>
          <w:ilvl w:val="12"/>
          <w:numId w:val="0"/>
        </w:numPr>
        <w:spacing w:line="240" w:lineRule="auto"/>
        <w:ind w:right="-2"/>
        <w:rPr>
          <w:rFonts w:eastAsia="Times New Roman"/>
          <w:b/>
          <w:szCs w:val="24"/>
          <w:lang w:val="hu-HU"/>
        </w:rPr>
      </w:pPr>
    </w:p>
    <w:p w14:paraId="74548F55" w14:textId="77777777" w:rsidR="005325DB" w:rsidRPr="004311F9" w:rsidRDefault="005325DB" w:rsidP="005325DB">
      <w:pPr>
        <w:keepNext/>
        <w:numPr>
          <w:ilvl w:val="12"/>
          <w:numId w:val="0"/>
        </w:numPr>
        <w:spacing w:line="240" w:lineRule="auto"/>
        <w:ind w:right="-2"/>
        <w:rPr>
          <w:rFonts w:eastAsia="Times New Roman"/>
          <w:b/>
          <w:szCs w:val="24"/>
          <w:lang w:val="hu-HU"/>
        </w:rPr>
      </w:pPr>
    </w:p>
    <w:p w14:paraId="6B0BB001" w14:textId="77777777" w:rsidR="005325DB" w:rsidRPr="004311F9" w:rsidRDefault="005325DB" w:rsidP="005325DB">
      <w:pPr>
        <w:numPr>
          <w:ilvl w:val="12"/>
          <w:numId w:val="0"/>
        </w:numPr>
        <w:spacing w:line="240" w:lineRule="auto"/>
        <w:ind w:right="-2"/>
        <w:rPr>
          <w:rFonts w:eastAsia="Times New Roman"/>
          <w:b/>
          <w:szCs w:val="24"/>
          <w:lang w:val="hu-HU"/>
        </w:rPr>
      </w:pPr>
    </w:p>
    <w:p w14:paraId="3A6C0795" w14:textId="77777777" w:rsidR="005325DB" w:rsidRPr="004311F9" w:rsidRDefault="005325DB" w:rsidP="005325DB">
      <w:pPr>
        <w:numPr>
          <w:ilvl w:val="12"/>
          <w:numId w:val="0"/>
        </w:numPr>
        <w:spacing w:line="240" w:lineRule="auto"/>
        <w:ind w:right="-2"/>
        <w:rPr>
          <w:rFonts w:eastAsia="Times New Roman"/>
          <w:b/>
          <w:szCs w:val="24"/>
          <w:lang w:val="hu-HU"/>
        </w:rPr>
      </w:pPr>
    </w:p>
    <w:p w14:paraId="5D6BA449" w14:textId="77777777" w:rsidR="005325DB" w:rsidRPr="004311F9" w:rsidRDefault="005325DB" w:rsidP="005325DB">
      <w:pPr>
        <w:numPr>
          <w:ilvl w:val="12"/>
          <w:numId w:val="0"/>
        </w:numPr>
        <w:spacing w:line="240" w:lineRule="auto"/>
        <w:ind w:right="-2"/>
        <w:rPr>
          <w:rFonts w:eastAsia="Times New Roman"/>
          <w:b/>
          <w:szCs w:val="24"/>
          <w:lang w:val="hu-HU"/>
        </w:rPr>
      </w:pPr>
    </w:p>
    <w:p w14:paraId="058A7777" w14:textId="77777777" w:rsidR="005325DB" w:rsidRPr="004311F9" w:rsidRDefault="005325DB" w:rsidP="005325DB">
      <w:pPr>
        <w:numPr>
          <w:ilvl w:val="12"/>
          <w:numId w:val="0"/>
        </w:numPr>
        <w:spacing w:line="240" w:lineRule="auto"/>
        <w:ind w:right="-2"/>
        <w:rPr>
          <w:rFonts w:eastAsia="Times New Roman"/>
          <w:b/>
          <w:szCs w:val="24"/>
          <w:lang w:val="hu-HU"/>
        </w:rPr>
      </w:pPr>
    </w:p>
    <w:p w14:paraId="2C15B5C5" w14:textId="77777777" w:rsidR="005325DB" w:rsidRPr="004311F9" w:rsidRDefault="005325DB" w:rsidP="005325DB">
      <w:pPr>
        <w:numPr>
          <w:ilvl w:val="12"/>
          <w:numId w:val="0"/>
        </w:numPr>
        <w:spacing w:line="240" w:lineRule="auto"/>
        <w:ind w:right="-2"/>
        <w:rPr>
          <w:rFonts w:eastAsia="Times New Roman"/>
          <w:b/>
          <w:szCs w:val="24"/>
          <w:lang w:val="hu-HU"/>
        </w:rPr>
      </w:pPr>
    </w:p>
    <w:p w14:paraId="57EB207B" w14:textId="77777777" w:rsidR="005325DB" w:rsidRPr="004311F9" w:rsidRDefault="005325DB" w:rsidP="005325DB">
      <w:pPr>
        <w:spacing w:line="240" w:lineRule="auto"/>
        <w:rPr>
          <w:szCs w:val="24"/>
          <w:lang w:val="hu-HU"/>
        </w:rPr>
      </w:pPr>
      <w:r w:rsidRPr="004311F9">
        <w:rPr>
          <w:szCs w:val="24"/>
          <w:lang w:val="hu-HU"/>
        </w:rPr>
        <w:lastRenderedPageBreak/>
        <w:t>Az ALPROLIX</w:t>
      </w:r>
      <w:r w:rsidRPr="004311F9">
        <w:rPr>
          <w:szCs w:val="24"/>
          <w:lang w:val="hu-HU"/>
        </w:rPr>
        <w:noBreakHyphen/>
        <w:t>ot nem szabad összekeverni más oldatos injekciókkal vagy infúziókkal.</w:t>
      </w:r>
    </w:p>
    <w:p w14:paraId="7249E752" w14:textId="77777777" w:rsidR="005325DB" w:rsidRPr="004311F9" w:rsidRDefault="005325DB" w:rsidP="005325DB">
      <w:pPr>
        <w:numPr>
          <w:ilvl w:val="12"/>
          <w:numId w:val="0"/>
        </w:numPr>
        <w:spacing w:line="240" w:lineRule="auto"/>
        <w:ind w:right="-2"/>
        <w:rPr>
          <w:rFonts w:eastAsia="Times New Roman"/>
          <w:szCs w:val="24"/>
          <w:lang w:val="hu-HU"/>
        </w:rPr>
      </w:pPr>
    </w:p>
    <w:p w14:paraId="183C306C" w14:textId="77777777" w:rsidR="005325DB" w:rsidRPr="004311F9" w:rsidRDefault="005325DB" w:rsidP="005325DB">
      <w:pPr>
        <w:numPr>
          <w:ilvl w:val="12"/>
          <w:numId w:val="0"/>
        </w:numPr>
        <w:spacing w:line="240" w:lineRule="auto"/>
        <w:ind w:right="-2"/>
        <w:rPr>
          <w:szCs w:val="24"/>
          <w:lang w:val="hu-HU"/>
        </w:rPr>
      </w:pPr>
      <w:r w:rsidRPr="004311F9">
        <w:rPr>
          <w:szCs w:val="24"/>
          <w:lang w:val="hu-HU"/>
        </w:rPr>
        <w:t>A csomag felnyitása előtt mosson kezet!</w:t>
      </w:r>
    </w:p>
    <w:p w14:paraId="581A6DFC" w14:textId="77777777" w:rsidR="005325DB" w:rsidRPr="004311F9" w:rsidRDefault="005325DB" w:rsidP="005325DB">
      <w:pPr>
        <w:numPr>
          <w:ilvl w:val="12"/>
          <w:numId w:val="0"/>
        </w:numPr>
        <w:spacing w:line="240" w:lineRule="auto"/>
        <w:ind w:right="-2"/>
        <w:rPr>
          <w:szCs w:val="24"/>
          <w:lang w:val="hu-HU"/>
        </w:rPr>
      </w:pPr>
    </w:p>
    <w:p w14:paraId="08FA32B8" w14:textId="77777777" w:rsidR="005325DB" w:rsidRPr="004311F9" w:rsidRDefault="005325DB" w:rsidP="005325DB">
      <w:pPr>
        <w:keepNext/>
        <w:keepLines/>
        <w:numPr>
          <w:ilvl w:val="12"/>
          <w:numId w:val="0"/>
        </w:numPr>
        <w:spacing w:line="240" w:lineRule="auto"/>
        <w:ind w:right="-2"/>
        <w:rPr>
          <w:b/>
          <w:szCs w:val="24"/>
          <w:lang w:val="hu-HU"/>
        </w:rPr>
      </w:pPr>
      <w:r w:rsidRPr="004311F9">
        <w:rPr>
          <w:b/>
          <w:szCs w:val="24"/>
          <w:lang w:val="hu-HU"/>
        </w:rPr>
        <w:t>Elkészítés:</w:t>
      </w:r>
    </w:p>
    <w:p w14:paraId="01786BFA" w14:textId="77777777" w:rsidR="005325DB" w:rsidRPr="004311F9" w:rsidRDefault="005325DB" w:rsidP="005325DB">
      <w:pPr>
        <w:keepNext/>
        <w:keepLines/>
        <w:numPr>
          <w:ilvl w:val="12"/>
          <w:numId w:val="0"/>
        </w:numPr>
        <w:spacing w:line="240" w:lineRule="auto"/>
        <w:ind w:right="-2"/>
        <w:rPr>
          <w:rFonts w:eastAsia="Times New Roman"/>
          <w:b/>
          <w:szCs w:val="24"/>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353"/>
        <w:gridCol w:w="3934"/>
      </w:tblGrid>
      <w:tr w:rsidR="005325DB" w:rsidRPr="008537D8" w14:paraId="21935CF1" w14:textId="77777777" w:rsidTr="005325DB">
        <w:tc>
          <w:tcPr>
            <w:tcW w:w="9287" w:type="dxa"/>
            <w:gridSpan w:val="2"/>
          </w:tcPr>
          <w:p w14:paraId="03D312F7" w14:textId="77777777" w:rsidR="005325DB" w:rsidRPr="004311F9" w:rsidRDefault="005325DB" w:rsidP="005325DB">
            <w:pPr>
              <w:keepNext/>
              <w:spacing w:line="240" w:lineRule="auto"/>
              <w:ind w:left="567" w:hanging="567"/>
              <w:rPr>
                <w:szCs w:val="24"/>
                <w:lang w:val="hu-HU"/>
              </w:rPr>
            </w:pPr>
            <w:r w:rsidRPr="004311F9">
              <w:rPr>
                <w:szCs w:val="24"/>
                <w:lang w:val="hu-HU"/>
              </w:rPr>
              <w:t>1.</w:t>
            </w:r>
            <w:r w:rsidRPr="004311F9">
              <w:rPr>
                <w:szCs w:val="24"/>
                <w:lang w:val="hu-HU"/>
              </w:rPr>
              <w:tab/>
              <w:t>Ellenőrizze a csomagon a nevet és a hatáserősséget, és győződjön meg róla, hogy a megfelelő gyógyszert tartalmazza. Ellenőrizze az ALPROLIX dobozán feltüntetett lejárati időt. Ha a gyógyszer lejárt, ne használja fel.</w:t>
            </w:r>
          </w:p>
          <w:p w14:paraId="538B4999" w14:textId="77777777" w:rsidR="005325DB" w:rsidRPr="004311F9" w:rsidRDefault="005325DB" w:rsidP="005325DB">
            <w:pPr>
              <w:keepNext/>
              <w:spacing w:line="240" w:lineRule="auto"/>
              <w:rPr>
                <w:rFonts w:eastAsia="Times New Roman"/>
                <w:b/>
                <w:szCs w:val="24"/>
                <w:lang w:val="hu-HU"/>
              </w:rPr>
            </w:pPr>
          </w:p>
        </w:tc>
      </w:tr>
      <w:tr w:rsidR="005325DB" w:rsidRPr="004311F9" w14:paraId="70426A7F" w14:textId="77777777" w:rsidTr="005325DB">
        <w:tc>
          <w:tcPr>
            <w:tcW w:w="9287" w:type="dxa"/>
            <w:gridSpan w:val="2"/>
          </w:tcPr>
          <w:p w14:paraId="2D61426C" w14:textId="77777777" w:rsidR="005325DB" w:rsidRPr="004311F9" w:rsidRDefault="005325DB" w:rsidP="005325DB">
            <w:pPr>
              <w:spacing w:line="240" w:lineRule="auto"/>
              <w:ind w:left="567" w:hanging="567"/>
              <w:rPr>
                <w:szCs w:val="24"/>
                <w:lang w:val="hu-HU"/>
              </w:rPr>
            </w:pPr>
            <w:r w:rsidRPr="004311F9">
              <w:rPr>
                <w:szCs w:val="24"/>
                <w:lang w:val="hu-HU"/>
              </w:rPr>
              <w:t>2.</w:t>
            </w:r>
            <w:r w:rsidRPr="004311F9">
              <w:rPr>
                <w:szCs w:val="24"/>
                <w:lang w:val="hu-HU"/>
              </w:rPr>
              <w:tab/>
              <w:t>Ha az ALPROLIX</w:t>
            </w:r>
            <w:r w:rsidRPr="004311F9">
              <w:rPr>
                <w:szCs w:val="24"/>
                <w:lang w:val="hu-HU"/>
              </w:rPr>
              <w:noBreakHyphen/>
              <w:t>ot hűtőszekrényben tárolták, hagyja, hogy az ALPROLIX injekciós üveg (A) és az oldószert tartalmazó fecskendő (B) az alkalmazás előtt szobahőmérsékletűre melegedjen. Külső hőforrást ne alkalmazzon.</w:t>
            </w:r>
          </w:p>
          <w:p w14:paraId="073DFDE8" w14:textId="77777777" w:rsidR="005325DB" w:rsidRPr="004311F9" w:rsidRDefault="005325DB" w:rsidP="005325DB">
            <w:pPr>
              <w:spacing w:line="240" w:lineRule="auto"/>
              <w:rPr>
                <w:rFonts w:eastAsia="Times New Roman"/>
                <w:szCs w:val="24"/>
                <w:lang w:val="hu-HU"/>
              </w:rPr>
            </w:pPr>
          </w:p>
        </w:tc>
      </w:tr>
      <w:tr w:rsidR="005325DB" w:rsidRPr="008537D8" w14:paraId="58AC1B73" w14:textId="77777777" w:rsidTr="005325DB">
        <w:tc>
          <w:tcPr>
            <w:tcW w:w="5353" w:type="dxa"/>
            <w:tcBorders>
              <w:right w:val="nil"/>
            </w:tcBorders>
          </w:tcPr>
          <w:p w14:paraId="3EFC7356" w14:textId="0078EB3C" w:rsidR="005325DB" w:rsidRPr="004311F9" w:rsidRDefault="005325DB" w:rsidP="005325DB">
            <w:pPr>
              <w:spacing w:line="240" w:lineRule="auto"/>
              <w:ind w:left="567" w:hanging="567"/>
              <w:rPr>
                <w:szCs w:val="24"/>
                <w:lang w:val="hu-HU"/>
              </w:rPr>
            </w:pPr>
            <w:r w:rsidRPr="004311F9">
              <w:rPr>
                <w:szCs w:val="24"/>
                <w:lang w:val="hu-HU"/>
              </w:rPr>
              <w:t>3.</w:t>
            </w:r>
            <w:r w:rsidRPr="004311F9">
              <w:rPr>
                <w:szCs w:val="24"/>
                <w:lang w:val="hu-HU"/>
              </w:rPr>
              <w:tab/>
              <w:t>Helyezze az injekciós üveget tiszta, lapos felületre. Vegye le a lepattintható műanyag kupakot az injekciós üvegről.</w:t>
            </w:r>
          </w:p>
          <w:p w14:paraId="75E184FA" w14:textId="77777777" w:rsidR="005325DB" w:rsidRPr="004311F9" w:rsidRDefault="005325DB" w:rsidP="005325DB">
            <w:pPr>
              <w:spacing w:line="240" w:lineRule="auto"/>
              <w:rPr>
                <w:rFonts w:eastAsia="Times New Roman"/>
                <w:szCs w:val="24"/>
                <w:lang w:val="hu-HU"/>
              </w:rPr>
            </w:pPr>
          </w:p>
          <w:p w14:paraId="67B769BF" w14:textId="77777777" w:rsidR="005325DB" w:rsidRPr="004311F9" w:rsidRDefault="005325DB" w:rsidP="005325DB">
            <w:pPr>
              <w:spacing w:line="240" w:lineRule="auto"/>
              <w:rPr>
                <w:rFonts w:eastAsia="Times New Roman"/>
                <w:szCs w:val="24"/>
                <w:lang w:val="hu-HU"/>
              </w:rPr>
            </w:pPr>
          </w:p>
          <w:p w14:paraId="0260B934" w14:textId="77777777" w:rsidR="005325DB" w:rsidRPr="004311F9" w:rsidRDefault="005325DB" w:rsidP="005325DB">
            <w:pPr>
              <w:spacing w:line="240" w:lineRule="auto"/>
              <w:rPr>
                <w:rFonts w:eastAsia="Times New Roman"/>
                <w:szCs w:val="24"/>
                <w:lang w:val="hu-HU"/>
              </w:rPr>
            </w:pPr>
          </w:p>
          <w:p w14:paraId="53ADBA2F" w14:textId="77777777" w:rsidR="005325DB" w:rsidRPr="004311F9" w:rsidRDefault="005325DB" w:rsidP="005325DB">
            <w:pPr>
              <w:spacing w:line="240" w:lineRule="auto"/>
              <w:rPr>
                <w:rFonts w:eastAsia="Times New Roman"/>
                <w:szCs w:val="24"/>
                <w:lang w:val="hu-HU"/>
              </w:rPr>
            </w:pPr>
          </w:p>
          <w:p w14:paraId="4ACC830E" w14:textId="77777777" w:rsidR="005325DB" w:rsidRPr="004311F9" w:rsidRDefault="005325DB" w:rsidP="005325DB">
            <w:pPr>
              <w:spacing w:line="240" w:lineRule="auto"/>
              <w:rPr>
                <w:rFonts w:eastAsia="Times New Roman"/>
                <w:szCs w:val="24"/>
                <w:lang w:val="hu-HU"/>
              </w:rPr>
            </w:pPr>
          </w:p>
          <w:p w14:paraId="22CC82BC" w14:textId="77777777" w:rsidR="005325DB" w:rsidRPr="004311F9" w:rsidRDefault="005325DB" w:rsidP="005325DB">
            <w:pPr>
              <w:spacing w:line="240" w:lineRule="auto"/>
              <w:rPr>
                <w:rFonts w:eastAsia="Times New Roman"/>
                <w:szCs w:val="24"/>
                <w:lang w:val="hu-HU"/>
              </w:rPr>
            </w:pPr>
          </w:p>
        </w:tc>
        <w:tc>
          <w:tcPr>
            <w:tcW w:w="3934" w:type="dxa"/>
            <w:tcBorders>
              <w:left w:val="nil"/>
            </w:tcBorders>
          </w:tcPr>
          <w:p w14:paraId="1AC02730" w14:textId="77777777" w:rsidR="005325DB" w:rsidRPr="004311F9" w:rsidRDefault="005325DB" w:rsidP="005325DB">
            <w:pPr>
              <w:spacing w:line="240" w:lineRule="auto"/>
              <w:rPr>
                <w:szCs w:val="24"/>
                <w:lang w:val="hu-HU"/>
              </w:rPr>
            </w:pPr>
            <w:r w:rsidRPr="004311F9">
              <w:rPr>
                <w:noProof/>
                <w:lang w:val="hu-HU"/>
              </w:rPr>
              <w:drawing>
                <wp:anchor distT="0" distB="0" distL="114300" distR="114300" simplePos="0" relativeHeight="251667968" behindDoc="0" locked="0" layoutInCell="1" allowOverlap="1" wp14:anchorId="4412408A" wp14:editId="0B42B9D0">
                  <wp:simplePos x="0" y="0"/>
                  <wp:positionH relativeFrom="column">
                    <wp:posOffset>12065</wp:posOffset>
                  </wp:positionH>
                  <wp:positionV relativeFrom="paragraph">
                    <wp:posOffset>48260</wp:posOffset>
                  </wp:positionV>
                  <wp:extent cx="1398905" cy="1526540"/>
                  <wp:effectExtent l="0" t="0" r="0" b="0"/>
                  <wp:wrapSquare wrapText="bothSides"/>
                  <wp:docPr id="20"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pic:spPr>
                      </pic:pic>
                    </a:graphicData>
                  </a:graphic>
                  <wp14:sizeRelH relativeFrom="page">
                    <wp14:pctWidth>0</wp14:pctWidth>
                  </wp14:sizeRelH>
                  <wp14:sizeRelV relativeFrom="page">
                    <wp14:pctHeight>0</wp14:pctHeight>
                  </wp14:sizeRelV>
                </wp:anchor>
              </w:drawing>
            </w:r>
          </w:p>
        </w:tc>
      </w:tr>
      <w:tr w:rsidR="005325DB" w:rsidRPr="008537D8" w14:paraId="4F64B7C2" w14:textId="77777777" w:rsidTr="005325DB">
        <w:tc>
          <w:tcPr>
            <w:tcW w:w="5353" w:type="dxa"/>
            <w:tcBorders>
              <w:right w:val="nil"/>
            </w:tcBorders>
          </w:tcPr>
          <w:p w14:paraId="5DA601C3" w14:textId="77777777" w:rsidR="005325DB" w:rsidRPr="004311F9" w:rsidRDefault="005325DB" w:rsidP="005325DB">
            <w:pPr>
              <w:spacing w:line="240" w:lineRule="auto"/>
              <w:ind w:left="567" w:hanging="567"/>
              <w:rPr>
                <w:szCs w:val="24"/>
                <w:lang w:val="hu-HU"/>
              </w:rPr>
            </w:pPr>
            <w:r w:rsidRPr="004311F9">
              <w:rPr>
                <w:szCs w:val="24"/>
                <w:lang w:val="hu-HU"/>
              </w:rPr>
              <w:t>4.</w:t>
            </w:r>
            <w:r w:rsidRPr="004311F9">
              <w:rPr>
                <w:szCs w:val="24"/>
                <w:lang w:val="hu-HU"/>
              </w:rPr>
              <w:tab/>
              <w:t>Törölje le az injekciós üveg tetejét a csomagban mellékelt alkoholos törlők (F) egyikével, és hagyja a levegőn megszáradni. Ne érintse meg az injekciós üveg tetejét, és ügyeljen, hogy a tető a letörlése után már ne érjen hozzá semmihez.</w:t>
            </w:r>
          </w:p>
          <w:p w14:paraId="449E80C3" w14:textId="77777777" w:rsidR="005325DB" w:rsidRPr="004311F9" w:rsidRDefault="005325DB" w:rsidP="005325DB">
            <w:pPr>
              <w:spacing w:line="240" w:lineRule="auto"/>
              <w:rPr>
                <w:rFonts w:eastAsia="Times New Roman"/>
                <w:szCs w:val="24"/>
                <w:lang w:val="hu-HU"/>
              </w:rPr>
            </w:pPr>
          </w:p>
          <w:p w14:paraId="0FBE9A66" w14:textId="77777777" w:rsidR="005325DB" w:rsidRPr="004311F9" w:rsidRDefault="005325DB" w:rsidP="005325DB">
            <w:pPr>
              <w:spacing w:line="240" w:lineRule="auto"/>
              <w:rPr>
                <w:rFonts w:eastAsia="Times New Roman"/>
                <w:szCs w:val="24"/>
                <w:lang w:val="hu-HU"/>
              </w:rPr>
            </w:pPr>
          </w:p>
          <w:p w14:paraId="1E360191" w14:textId="77777777" w:rsidR="005325DB" w:rsidRPr="004311F9" w:rsidRDefault="005325DB" w:rsidP="005325DB">
            <w:pPr>
              <w:spacing w:line="240" w:lineRule="auto"/>
              <w:rPr>
                <w:rFonts w:eastAsia="Times New Roman"/>
                <w:szCs w:val="24"/>
                <w:lang w:val="hu-HU"/>
              </w:rPr>
            </w:pPr>
          </w:p>
          <w:p w14:paraId="18E6C83B" w14:textId="77777777" w:rsidR="005325DB" w:rsidRPr="004311F9" w:rsidRDefault="005325DB" w:rsidP="005325DB">
            <w:pPr>
              <w:spacing w:line="240" w:lineRule="auto"/>
              <w:rPr>
                <w:rFonts w:eastAsia="Times New Roman"/>
                <w:szCs w:val="24"/>
                <w:lang w:val="hu-HU"/>
              </w:rPr>
            </w:pPr>
          </w:p>
        </w:tc>
        <w:tc>
          <w:tcPr>
            <w:tcW w:w="3934" w:type="dxa"/>
            <w:tcBorders>
              <w:left w:val="nil"/>
            </w:tcBorders>
          </w:tcPr>
          <w:p w14:paraId="689C4DE2" w14:textId="77777777" w:rsidR="005325DB" w:rsidRPr="004311F9" w:rsidRDefault="005325DB" w:rsidP="005325DB">
            <w:pPr>
              <w:spacing w:line="240" w:lineRule="auto"/>
              <w:rPr>
                <w:rFonts w:eastAsia="Times New Roman"/>
                <w:b/>
                <w:szCs w:val="24"/>
                <w:lang w:val="hu-HU"/>
              </w:rPr>
            </w:pPr>
            <w:r w:rsidRPr="004311F9">
              <w:rPr>
                <w:noProof/>
                <w:lang w:val="hu-HU"/>
              </w:rPr>
              <w:drawing>
                <wp:anchor distT="0" distB="0" distL="114300" distR="114300" simplePos="0" relativeHeight="251668992" behindDoc="0" locked="0" layoutInCell="1" allowOverlap="1" wp14:anchorId="19DF2593" wp14:editId="20B1370B">
                  <wp:simplePos x="0" y="0"/>
                  <wp:positionH relativeFrom="column">
                    <wp:posOffset>2540</wp:posOffset>
                  </wp:positionH>
                  <wp:positionV relativeFrom="paragraph">
                    <wp:posOffset>31750</wp:posOffset>
                  </wp:positionV>
                  <wp:extent cx="1308735" cy="1421765"/>
                  <wp:effectExtent l="0" t="0" r="5715" b="6985"/>
                  <wp:wrapSquare wrapText="bothSides"/>
                  <wp:docPr id="21"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pic:spPr>
                      </pic:pic>
                    </a:graphicData>
                  </a:graphic>
                  <wp14:sizeRelH relativeFrom="page">
                    <wp14:pctWidth>0</wp14:pctWidth>
                  </wp14:sizeRelH>
                  <wp14:sizeRelV relativeFrom="page">
                    <wp14:pctHeight>0</wp14:pctHeight>
                  </wp14:sizeRelV>
                </wp:anchor>
              </w:drawing>
            </w:r>
          </w:p>
        </w:tc>
      </w:tr>
      <w:tr w:rsidR="005325DB" w:rsidRPr="008537D8" w14:paraId="5C247AC2" w14:textId="77777777" w:rsidTr="005325DB">
        <w:tc>
          <w:tcPr>
            <w:tcW w:w="9287" w:type="dxa"/>
            <w:gridSpan w:val="2"/>
          </w:tcPr>
          <w:p w14:paraId="65EA7374" w14:textId="77777777" w:rsidR="005325DB" w:rsidRPr="004311F9" w:rsidRDefault="005325DB" w:rsidP="005325DB">
            <w:pPr>
              <w:spacing w:line="240" w:lineRule="auto"/>
              <w:ind w:left="567" w:hanging="567"/>
              <w:rPr>
                <w:szCs w:val="24"/>
                <w:lang w:val="hu-HU"/>
              </w:rPr>
            </w:pPr>
            <w:r w:rsidRPr="004311F9">
              <w:rPr>
                <w:szCs w:val="24"/>
                <w:lang w:val="hu-HU"/>
              </w:rPr>
              <w:t>5.</w:t>
            </w:r>
            <w:r w:rsidRPr="004311F9">
              <w:rPr>
                <w:szCs w:val="24"/>
                <w:lang w:val="hu-HU"/>
              </w:rPr>
              <w:tab/>
              <w:t>Húzza le a papír védőlapot az átlátszó műanyagból készült injekciósüveg</w:t>
            </w:r>
            <w:r w:rsidRPr="004311F9">
              <w:rPr>
                <w:szCs w:val="24"/>
                <w:lang w:val="hu-HU"/>
              </w:rPr>
              <w:noBreakHyphen/>
              <w:t>adapterről (D). Ne vegye ki az adaptert a védőkupakból. Ne érintse meg az injekciósüveg</w:t>
            </w:r>
            <w:r w:rsidRPr="004311F9">
              <w:rPr>
                <w:szCs w:val="24"/>
                <w:lang w:val="hu-HU"/>
              </w:rPr>
              <w:noBreakHyphen/>
              <w:t>adapter csomagolásának belsejét.</w:t>
            </w:r>
          </w:p>
          <w:p w14:paraId="6E5C0B25" w14:textId="77777777" w:rsidR="005325DB" w:rsidRPr="004311F9" w:rsidRDefault="005325DB" w:rsidP="005325DB">
            <w:pPr>
              <w:spacing w:line="240" w:lineRule="auto"/>
              <w:rPr>
                <w:rFonts w:eastAsia="Times New Roman"/>
                <w:b/>
                <w:szCs w:val="24"/>
                <w:lang w:val="hu-HU"/>
              </w:rPr>
            </w:pPr>
          </w:p>
        </w:tc>
      </w:tr>
      <w:tr w:rsidR="005325DB" w:rsidRPr="004311F9" w14:paraId="10A5CA36" w14:textId="77777777" w:rsidTr="005325DB">
        <w:tc>
          <w:tcPr>
            <w:tcW w:w="5353" w:type="dxa"/>
            <w:tcBorders>
              <w:right w:val="nil"/>
            </w:tcBorders>
          </w:tcPr>
          <w:p w14:paraId="7E86491A" w14:textId="77777777" w:rsidR="005325DB" w:rsidRPr="004311F9" w:rsidRDefault="005325DB" w:rsidP="005325DB">
            <w:pPr>
              <w:spacing w:line="240" w:lineRule="auto"/>
              <w:ind w:left="567" w:hanging="567"/>
              <w:rPr>
                <w:szCs w:val="24"/>
                <w:lang w:val="hu-HU"/>
              </w:rPr>
            </w:pPr>
            <w:r w:rsidRPr="004311F9">
              <w:rPr>
                <w:szCs w:val="24"/>
                <w:lang w:val="hu-HU"/>
              </w:rPr>
              <w:t>6.</w:t>
            </w:r>
            <w:r w:rsidRPr="004311F9">
              <w:rPr>
                <w:szCs w:val="24"/>
                <w:lang w:val="hu-HU"/>
              </w:rPr>
              <w:tab/>
              <w:t>Helyezze az injekciós üveget egy lapos felületre. Fogja meg a védőkupakjában lévő injekciósüveg-adaptert, és helyezze merőlegesen az injekciós üveg tetejére. Határozott mozdulattal nyomja le, amíg az adapter be nem pattan a helyére az injekciós üveg tetején, és az adapter tüskéje át nem szúrja az injekciós üveg dugóját.</w:t>
            </w:r>
          </w:p>
          <w:p w14:paraId="00AF687B" w14:textId="77777777" w:rsidR="005325DB" w:rsidRPr="004311F9" w:rsidRDefault="005325DB" w:rsidP="005325DB">
            <w:pPr>
              <w:spacing w:line="240" w:lineRule="auto"/>
              <w:ind w:left="567" w:hanging="567"/>
              <w:rPr>
                <w:rFonts w:eastAsia="Times New Roman"/>
                <w:szCs w:val="24"/>
                <w:lang w:val="hu-HU"/>
              </w:rPr>
            </w:pPr>
          </w:p>
          <w:p w14:paraId="6447D7E0" w14:textId="77777777" w:rsidR="005325DB" w:rsidRPr="004311F9" w:rsidRDefault="005325DB" w:rsidP="005325DB">
            <w:pPr>
              <w:spacing w:line="240" w:lineRule="auto"/>
              <w:rPr>
                <w:rFonts w:eastAsia="Times New Roman"/>
                <w:szCs w:val="24"/>
                <w:lang w:val="hu-HU"/>
              </w:rPr>
            </w:pPr>
          </w:p>
        </w:tc>
        <w:tc>
          <w:tcPr>
            <w:tcW w:w="3934" w:type="dxa"/>
            <w:tcBorders>
              <w:left w:val="nil"/>
            </w:tcBorders>
          </w:tcPr>
          <w:p w14:paraId="33319820" w14:textId="77777777" w:rsidR="005325DB" w:rsidRPr="004311F9" w:rsidRDefault="005325DB" w:rsidP="005325DB">
            <w:pPr>
              <w:spacing w:line="240" w:lineRule="auto"/>
              <w:rPr>
                <w:rFonts w:eastAsia="Times New Roman"/>
                <w:szCs w:val="24"/>
                <w:lang w:val="hu-HU"/>
              </w:rPr>
            </w:pPr>
            <w:r w:rsidRPr="004311F9">
              <w:rPr>
                <w:noProof/>
                <w:lang w:val="hu-HU"/>
              </w:rPr>
              <w:drawing>
                <wp:inline distT="0" distB="0" distL="0" distR="0" wp14:anchorId="49997524" wp14:editId="1F2FBF3F">
                  <wp:extent cx="2009775" cy="1504950"/>
                  <wp:effectExtent l="0" t="0" r="9525" b="0"/>
                  <wp:docPr id="22"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9775" cy="1504950"/>
                          </a:xfrm>
                          <a:prstGeom prst="rect">
                            <a:avLst/>
                          </a:prstGeom>
                          <a:noFill/>
                          <a:ln>
                            <a:noFill/>
                          </a:ln>
                        </pic:spPr>
                      </pic:pic>
                    </a:graphicData>
                  </a:graphic>
                </wp:inline>
              </w:drawing>
            </w:r>
          </w:p>
        </w:tc>
      </w:tr>
      <w:tr w:rsidR="005325DB" w:rsidRPr="008537D8" w14:paraId="0BE802D1" w14:textId="77777777" w:rsidTr="005325DB">
        <w:tc>
          <w:tcPr>
            <w:tcW w:w="5353" w:type="dxa"/>
            <w:tcBorders>
              <w:right w:val="nil"/>
            </w:tcBorders>
          </w:tcPr>
          <w:p w14:paraId="434B3124" w14:textId="77777777" w:rsidR="005325DB" w:rsidRPr="004311F9" w:rsidRDefault="005325DB" w:rsidP="005325DB">
            <w:pPr>
              <w:spacing w:line="240" w:lineRule="auto"/>
              <w:ind w:left="567" w:hanging="567"/>
              <w:rPr>
                <w:szCs w:val="24"/>
                <w:lang w:val="hu-HU"/>
              </w:rPr>
            </w:pPr>
            <w:r w:rsidRPr="004311F9">
              <w:rPr>
                <w:szCs w:val="24"/>
                <w:lang w:val="hu-HU"/>
              </w:rPr>
              <w:lastRenderedPageBreak/>
              <w:t>7.</w:t>
            </w:r>
            <w:r w:rsidRPr="004311F9">
              <w:rPr>
                <w:szCs w:val="24"/>
                <w:lang w:val="hu-HU"/>
              </w:rPr>
              <w:tab/>
              <w:t>Csatlakoztassa a dugattyúrudat (C) az oldószert tartalmazó fecskendőhöz, behelyezve a dugattyúrúd végét a fecskendő dugattyújának nyílásába. Határozott mozdulattal fordítsa el a dugattyúrudat az óramutató járásával megegyező irányba, amíg stabilan be nem illeszkedik a fecskendő dugattyújába.</w:t>
            </w:r>
          </w:p>
        </w:tc>
        <w:tc>
          <w:tcPr>
            <w:tcW w:w="3934" w:type="dxa"/>
            <w:tcBorders>
              <w:left w:val="nil"/>
            </w:tcBorders>
          </w:tcPr>
          <w:p w14:paraId="36A8FC68" w14:textId="77777777" w:rsidR="005325DB" w:rsidRPr="004311F9" w:rsidRDefault="005325DB" w:rsidP="005325DB">
            <w:pPr>
              <w:spacing w:line="240" w:lineRule="auto"/>
              <w:rPr>
                <w:rFonts w:eastAsia="Times New Roman"/>
                <w:b/>
                <w:szCs w:val="24"/>
                <w:lang w:val="hu-HU"/>
              </w:rPr>
            </w:pPr>
            <w:r w:rsidRPr="004311F9">
              <w:rPr>
                <w:noProof/>
                <w:lang w:val="hu-HU"/>
              </w:rPr>
              <w:drawing>
                <wp:anchor distT="0" distB="0" distL="114300" distR="114300" simplePos="0" relativeHeight="251670016" behindDoc="0" locked="0" layoutInCell="1" allowOverlap="1" wp14:anchorId="05C88D36" wp14:editId="79DE025E">
                  <wp:simplePos x="0" y="0"/>
                  <wp:positionH relativeFrom="column">
                    <wp:posOffset>0</wp:posOffset>
                  </wp:positionH>
                  <wp:positionV relativeFrom="paragraph">
                    <wp:posOffset>105410</wp:posOffset>
                  </wp:positionV>
                  <wp:extent cx="1267460" cy="1397000"/>
                  <wp:effectExtent l="0" t="0" r="8890" b="0"/>
                  <wp:wrapSquare wrapText="bothSides"/>
                  <wp:docPr id="23"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pic:spPr>
                      </pic:pic>
                    </a:graphicData>
                  </a:graphic>
                  <wp14:sizeRelH relativeFrom="page">
                    <wp14:pctWidth>0</wp14:pctWidth>
                  </wp14:sizeRelH>
                  <wp14:sizeRelV relativeFrom="page">
                    <wp14:pctHeight>0</wp14:pctHeight>
                  </wp14:sizeRelV>
                </wp:anchor>
              </w:drawing>
            </w:r>
          </w:p>
        </w:tc>
      </w:tr>
      <w:tr w:rsidR="005325DB" w:rsidRPr="008537D8" w14:paraId="56A677EE" w14:textId="77777777" w:rsidTr="005325DB">
        <w:tc>
          <w:tcPr>
            <w:tcW w:w="5353" w:type="dxa"/>
            <w:tcBorders>
              <w:right w:val="nil"/>
            </w:tcBorders>
          </w:tcPr>
          <w:p w14:paraId="5EC0C804" w14:textId="77777777" w:rsidR="005325DB" w:rsidRPr="004311F9" w:rsidRDefault="005325DB" w:rsidP="005325DB">
            <w:pPr>
              <w:spacing w:line="240" w:lineRule="auto"/>
              <w:ind w:left="567" w:hanging="567"/>
              <w:rPr>
                <w:szCs w:val="24"/>
                <w:lang w:val="hu-HU"/>
              </w:rPr>
            </w:pPr>
            <w:r w:rsidRPr="004311F9">
              <w:rPr>
                <w:szCs w:val="24"/>
                <w:lang w:val="hu-HU"/>
              </w:rPr>
              <w:t>8.</w:t>
            </w:r>
            <w:r w:rsidRPr="004311F9">
              <w:rPr>
                <w:szCs w:val="24"/>
                <w:lang w:val="hu-HU"/>
              </w:rPr>
              <w:tab/>
              <w:t>Törje le a fehér, garanciazáras műanyag kupakot az oldószert tartalmazó fecskendőről, addig hajlítva a perforált kupakot, amíg le nem pattan. Tegye félre a kupakot a tetejével lefelé egy lapos felületre. Ne érintse meg a kupak belsejét vagy a fecskendő hegyét.</w:t>
            </w:r>
          </w:p>
          <w:p w14:paraId="24C63538" w14:textId="77777777" w:rsidR="005325DB" w:rsidRPr="004311F9" w:rsidRDefault="005325DB" w:rsidP="005325DB">
            <w:pPr>
              <w:spacing w:line="240" w:lineRule="auto"/>
              <w:rPr>
                <w:rFonts w:eastAsia="Times New Roman"/>
                <w:szCs w:val="24"/>
                <w:lang w:val="hu-HU"/>
              </w:rPr>
            </w:pPr>
          </w:p>
        </w:tc>
        <w:tc>
          <w:tcPr>
            <w:tcW w:w="3934" w:type="dxa"/>
            <w:tcBorders>
              <w:left w:val="nil"/>
            </w:tcBorders>
          </w:tcPr>
          <w:p w14:paraId="62F4712B" w14:textId="77777777" w:rsidR="005325DB" w:rsidRPr="004311F9" w:rsidRDefault="005325DB" w:rsidP="005325DB">
            <w:pPr>
              <w:spacing w:line="240" w:lineRule="auto"/>
              <w:rPr>
                <w:rFonts w:eastAsia="Times New Roman"/>
                <w:b/>
                <w:szCs w:val="24"/>
                <w:lang w:val="hu-HU"/>
              </w:rPr>
            </w:pPr>
            <w:r w:rsidRPr="004311F9">
              <w:rPr>
                <w:noProof/>
                <w:lang w:val="hu-HU"/>
              </w:rPr>
              <w:drawing>
                <wp:anchor distT="0" distB="0" distL="114300" distR="114300" simplePos="0" relativeHeight="251671040" behindDoc="0" locked="0" layoutInCell="1" allowOverlap="1" wp14:anchorId="550DC15D" wp14:editId="0BBFF850">
                  <wp:simplePos x="0" y="0"/>
                  <wp:positionH relativeFrom="column">
                    <wp:posOffset>-7620</wp:posOffset>
                  </wp:positionH>
                  <wp:positionV relativeFrom="paragraph">
                    <wp:posOffset>42545</wp:posOffset>
                  </wp:positionV>
                  <wp:extent cx="1280795" cy="1388745"/>
                  <wp:effectExtent l="0" t="0" r="0" b="1905"/>
                  <wp:wrapSquare wrapText="bothSides"/>
                  <wp:docPr id="24"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pic:spPr>
                      </pic:pic>
                    </a:graphicData>
                  </a:graphic>
                  <wp14:sizeRelH relativeFrom="page">
                    <wp14:pctWidth>0</wp14:pctWidth>
                  </wp14:sizeRelH>
                  <wp14:sizeRelV relativeFrom="page">
                    <wp14:pctHeight>0</wp14:pctHeight>
                  </wp14:sizeRelV>
                </wp:anchor>
              </w:drawing>
            </w:r>
          </w:p>
        </w:tc>
      </w:tr>
      <w:tr w:rsidR="005325DB" w:rsidRPr="008537D8" w14:paraId="56FEBB11" w14:textId="77777777" w:rsidTr="005325DB">
        <w:tc>
          <w:tcPr>
            <w:tcW w:w="5353" w:type="dxa"/>
            <w:tcBorders>
              <w:right w:val="nil"/>
            </w:tcBorders>
          </w:tcPr>
          <w:p w14:paraId="4B53C239" w14:textId="77777777" w:rsidR="005325DB" w:rsidRPr="004311F9" w:rsidRDefault="005325DB" w:rsidP="005325DB">
            <w:pPr>
              <w:spacing w:line="240" w:lineRule="auto"/>
              <w:rPr>
                <w:szCs w:val="24"/>
                <w:lang w:val="hu-HU"/>
              </w:rPr>
            </w:pPr>
            <w:r w:rsidRPr="004311F9">
              <w:rPr>
                <w:szCs w:val="24"/>
                <w:lang w:val="hu-HU"/>
              </w:rPr>
              <w:t>9.</w:t>
            </w:r>
            <w:r w:rsidRPr="004311F9">
              <w:rPr>
                <w:szCs w:val="24"/>
                <w:lang w:val="hu-HU"/>
              </w:rPr>
              <w:tab/>
              <w:t>Emelje le a védőkupakot az adapterről, és dobja ki.</w:t>
            </w:r>
          </w:p>
        </w:tc>
        <w:tc>
          <w:tcPr>
            <w:tcW w:w="3934" w:type="dxa"/>
            <w:tcBorders>
              <w:left w:val="nil"/>
            </w:tcBorders>
          </w:tcPr>
          <w:p w14:paraId="674ED999" w14:textId="77777777" w:rsidR="005325DB" w:rsidRPr="004311F9" w:rsidRDefault="005325DB" w:rsidP="005325DB">
            <w:pPr>
              <w:spacing w:line="240" w:lineRule="auto"/>
              <w:rPr>
                <w:rFonts w:eastAsia="Times New Roman"/>
                <w:b/>
                <w:szCs w:val="24"/>
                <w:lang w:val="hu-HU"/>
              </w:rPr>
            </w:pPr>
            <w:r w:rsidRPr="004311F9">
              <w:rPr>
                <w:noProof/>
                <w:lang w:val="hu-HU"/>
              </w:rPr>
              <w:drawing>
                <wp:anchor distT="0" distB="0" distL="114300" distR="114300" simplePos="0" relativeHeight="251672064" behindDoc="0" locked="0" layoutInCell="1" allowOverlap="1" wp14:anchorId="5EA5BB46" wp14:editId="170E5EB3">
                  <wp:simplePos x="0" y="0"/>
                  <wp:positionH relativeFrom="column">
                    <wp:posOffset>-17780</wp:posOffset>
                  </wp:positionH>
                  <wp:positionV relativeFrom="paragraph">
                    <wp:posOffset>60960</wp:posOffset>
                  </wp:positionV>
                  <wp:extent cx="1285875" cy="1414145"/>
                  <wp:effectExtent l="0" t="0" r="9525" b="0"/>
                  <wp:wrapSquare wrapText="bothSides"/>
                  <wp:docPr id="25"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pic:spPr>
                      </pic:pic>
                    </a:graphicData>
                  </a:graphic>
                  <wp14:sizeRelH relativeFrom="page">
                    <wp14:pctWidth>0</wp14:pctWidth>
                  </wp14:sizeRelH>
                  <wp14:sizeRelV relativeFrom="page">
                    <wp14:pctHeight>0</wp14:pctHeight>
                  </wp14:sizeRelV>
                </wp:anchor>
              </w:drawing>
            </w:r>
          </w:p>
        </w:tc>
      </w:tr>
      <w:tr w:rsidR="005325DB" w:rsidRPr="008537D8" w14:paraId="354ACCA4" w14:textId="77777777" w:rsidTr="005325DB">
        <w:trPr>
          <w:trHeight w:val="2411"/>
        </w:trPr>
        <w:tc>
          <w:tcPr>
            <w:tcW w:w="5353" w:type="dxa"/>
            <w:tcBorders>
              <w:right w:val="nil"/>
            </w:tcBorders>
          </w:tcPr>
          <w:p w14:paraId="055B5804" w14:textId="77777777" w:rsidR="005325DB" w:rsidRPr="004311F9" w:rsidRDefault="005325DB" w:rsidP="005325DB">
            <w:pPr>
              <w:spacing w:line="240" w:lineRule="auto"/>
              <w:ind w:left="567" w:hanging="567"/>
              <w:rPr>
                <w:szCs w:val="24"/>
                <w:lang w:val="hu-HU"/>
              </w:rPr>
            </w:pPr>
            <w:r w:rsidRPr="004311F9">
              <w:rPr>
                <w:szCs w:val="24"/>
                <w:lang w:val="hu-HU"/>
              </w:rPr>
              <w:t xml:space="preserve">10. </w:t>
            </w:r>
            <w:r w:rsidRPr="004311F9">
              <w:rPr>
                <w:szCs w:val="24"/>
                <w:lang w:val="hu-HU"/>
              </w:rPr>
              <w:tab/>
              <w:t>Csatlakoztassa az oldószert tartalmazó fecskendőt az injekciósüveg-adapterre, behelyezve a fecskendő hegyét az adapter nyílásába. Erősen nyomja le, és fordítsa el a fecskendőt az óramutató járásával megegyező irányba, amíg stabilan nem csatlakozik.</w:t>
            </w:r>
          </w:p>
        </w:tc>
        <w:tc>
          <w:tcPr>
            <w:tcW w:w="3934" w:type="dxa"/>
            <w:tcBorders>
              <w:left w:val="nil"/>
            </w:tcBorders>
          </w:tcPr>
          <w:p w14:paraId="1C4C46F4" w14:textId="77777777" w:rsidR="005325DB" w:rsidRPr="004311F9" w:rsidRDefault="005325DB" w:rsidP="005325DB">
            <w:pPr>
              <w:spacing w:line="240" w:lineRule="auto"/>
              <w:rPr>
                <w:szCs w:val="24"/>
                <w:lang w:val="hu-HU"/>
              </w:rPr>
            </w:pPr>
            <w:r w:rsidRPr="004311F9">
              <w:rPr>
                <w:noProof/>
                <w:lang w:val="hu-HU"/>
              </w:rPr>
              <w:drawing>
                <wp:anchor distT="0" distB="0" distL="114300" distR="114300" simplePos="0" relativeHeight="251673088" behindDoc="0" locked="0" layoutInCell="1" allowOverlap="1" wp14:anchorId="1D53AC95" wp14:editId="2E108268">
                  <wp:simplePos x="0" y="0"/>
                  <wp:positionH relativeFrom="column">
                    <wp:posOffset>2540</wp:posOffset>
                  </wp:positionH>
                  <wp:positionV relativeFrom="paragraph">
                    <wp:posOffset>82550</wp:posOffset>
                  </wp:positionV>
                  <wp:extent cx="1308735" cy="1426210"/>
                  <wp:effectExtent l="0" t="0" r="5715" b="2540"/>
                  <wp:wrapSquare wrapText="bothSides"/>
                  <wp:docPr id="26"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pic:spPr>
                      </pic:pic>
                    </a:graphicData>
                  </a:graphic>
                  <wp14:sizeRelH relativeFrom="page">
                    <wp14:pctWidth>0</wp14:pctWidth>
                  </wp14:sizeRelH>
                  <wp14:sizeRelV relativeFrom="page">
                    <wp14:pctHeight>0</wp14:pctHeight>
                  </wp14:sizeRelV>
                </wp:anchor>
              </w:drawing>
            </w:r>
          </w:p>
        </w:tc>
      </w:tr>
      <w:tr w:rsidR="005325DB" w:rsidRPr="008537D8" w14:paraId="020B0DF8" w14:textId="77777777" w:rsidTr="005325DB">
        <w:tc>
          <w:tcPr>
            <w:tcW w:w="5353" w:type="dxa"/>
            <w:tcBorders>
              <w:right w:val="nil"/>
            </w:tcBorders>
          </w:tcPr>
          <w:p w14:paraId="11998CCB" w14:textId="77777777" w:rsidR="005325DB" w:rsidRPr="004311F9" w:rsidRDefault="005325DB" w:rsidP="005325DB">
            <w:pPr>
              <w:spacing w:line="240" w:lineRule="auto"/>
              <w:ind w:left="567" w:hanging="567"/>
              <w:rPr>
                <w:szCs w:val="24"/>
                <w:lang w:val="hu-HU"/>
              </w:rPr>
            </w:pPr>
            <w:r w:rsidRPr="004311F9">
              <w:rPr>
                <w:szCs w:val="24"/>
                <w:lang w:val="hu-HU"/>
              </w:rPr>
              <w:t>11.</w:t>
            </w:r>
            <w:r w:rsidRPr="004311F9">
              <w:rPr>
                <w:szCs w:val="24"/>
                <w:lang w:val="hu-HU"/>
              </w:rPr>
              <w:tab/>
              <w:t>Lassan nyomja le a dugattyúrudat, hogy az oldószer teljes mennyiséget befecskendezze az ALPROLIX injekciós üvegbe.</w:t>
            </w:r>
          </w:p>
        </w:tc>
        <w:tc>
          <w:tcPr>
            <w:tcW w:w="3934" w:type="dxa"/>
            <w:tcBorders>
              <w:left w:val="nil"/>
            </w:tcBorders>
          </w:tcPr>
          <w:p w14:paraId="4ABAF9B9" w14:textId="77777777" w:rsidR="005325DB" w:rsidRPr="004311F9" w:rsidRDefault="005325DB" w:rsidP="005325DB">
            <w:pPr>
              <w:spacing w:line="240" w:lineRule="auto"/>
              <w:rPr>
                <w:szCs w:val="24"/>
                <w:lang w:val="hu-HU"/>
              </w:rPr>
            </w:pPr>
            <w:r w:rsidRPr="004311F9">
              <w:rPr>
                <w:noProof/>
                <w:lang w:val="hu-HU"/>
              </w:rPr>
              <w:drawing>
                <wp:anchor distT="0" distB="0" distL="114300" distR="114300" simplePos="0" relativeHeight="251674112" behindDoc="0" locked="0" layoutInCell="1" allowOverlap="1" wp14:anchorId="4A67A50D" wp14:editId="0533B254">
                  <wp:simplePos x="0" y="0"/>
                  <wp:positionH relativeFrom="column">
                    <wp:posOffset>-17145</wp:posOffset>
                  </wp:positionH>
                  <wp:positionV relativeFrom="paragraph">
                    <wp:posOffset>63500</wp:posOffset>
                  </wp:positionV>
                  <wp:extent cx="1342390" cy="1383665"/>
                  <wp:effectExtent l="0" t="0" r="0" b="6985"/>
                  <wp:wrapSquare wrapText="bothSides"/>
                  <wp:docPr id="27"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pic:spPr>
                      </pic:pic>
                    </a:graphicData>
                  </a:graphic>
                  <wp14:sizeRelH relativeFrom="page">
                    <wp14:pctWidth>0</wp14:pctWidth>
                  </wp14:sizeRelH>
                  <wp14:sizeRelV relativeFrom="page">
                    <wp14:pctHeight>0</wp14:pctHeight>
                  </wp14:sizeRelV>
                </wp:anchor>
              </w:drawing>
            </w:r>
          </w:p>
        </w:tc>
      </w:tr>
      <w:tr w:rsidR="005325DB" w:rsidRPr="004311F9" w14:paraId="722A82CF" w14:textId="77777777" w:rsidTr="005325DB">
        <w:tc>
          <w:tcPr>
            <w:tcW w:w="5353" w:type="dxa"/>
            <w:tcBorders>
              <w:right w:val="nil"/>
            </w:tcBorders>
          </w:tcPr>
          <w:p w14:paraId="7D239BD0" w14:textId="77777777" w:rsidR="005325DB" w:rsidRPr="004311F9" w:rsidRDefault="005325DB" w:rsidP="005325DB">
            <w:pPr>
              <w:spacing w:line="240" w:lineRule="auto"/>
              <w:ind w:left="567" w:hanging="567"/>
              <w:rPr>
                <w:szCs w:val="24"/>
                <w:lang w:val="hu-HU"/>
              </w:rPr>
            </w:pPr>
            <w:r w:rsidRPr="004311F9">
              <w:rPr>
                <w:szCs w:val="24"/>
                <w:lang w:val="hu-HU"/>
              </w:rPr>
              <w:lastRenderedPageBreak/>
              <w:t>12.</w:t>
            </w:r>
            <w:r w:rsidRPr="004311F9">
              <w:rPr>
                <w:szCs w:val="24"/>
                <w:lang w:val="hu-HU"/>
              </w:rPr>
              <w:tab/>
              <w:t>Miközben a fecskendő továbbra is csatlakoztatva van az adapterhez, és a dugattyúrúd be van nyomva, óvatosan mozgassa körkörösen az injekciós üveget, amíg a por fel nem oldódik.</w:t>
            </w:r>
          </w:p>
          <w:p w14:paraId="5A1D67A9" w14:textId="77777777" w:rsidR="005325DB" w:rsidRPr="004311F9" w:rsidRDefault="005325DB" w:rsidP="005325DB">
            <w:pPr>
              <w:spacing w:line="240" w:lineRule="auto"/>
              <w:ind w:left="567"/>
              <w:rPr>
                <w:szCs w:val="24"/>
                <w:lang w:val="hu-HU"/>
              </w:rPr>
            </w:pPr>
            <w:r w:rsidRPr="004311F9">
              <w:rPr>
                <w:szCs w:val="24"/>
                <w:lang w:val="hu-HU"/>
              </w:rPr>
              <w:t>Ne rázza!</w:t>
            </w:r>
          </w:p>
        </w:tc>
        <w:tc>
          <w:tcPr>
            <w:tcW w:w="3934" w:type="dxa"/>
            <w:tcBorders>
              <w:left w:val="nil"/>
            </w:tcBorders>
          </w:tcPr>
          <w:p w14:paraId="351E9AEF" w14:textId="77777777" w:rsidR="005325DB" w:rsidRPr="004311F9" w:rsidRDefault="005325DB" w:rsidP="005325DB">
            <w:pPr>
              <w:spacing w:line="240" w:lineRule="auto"/>
              <w:rPr>
                <w:szCs w:val="24"/>
                <w:lang w:val="hu-HU"/>
              </w:rPr>
            </w:pPr>
            <w:r w:rsidRPr="004311F9">
              <w:rPr>
                <w:noProof/>
                <w:lang w:val="hu-HU"/>
              </w:rPr>
              <w:drawing>
                <wp:anchor distT="0" distB="0" distL="114300" distR="114300" simplePos="0" relativeHeight="251675136" behindDoc="0" locked="0" layoutInCell="1" allowOverlap="1" wp14:anchorId="2B4CE263" wp14:editId="3F95A756">
                  <wp:simplePos x="0" y="0"/>
                  <wp:positionH relativeFrom="column">
                    <wp:posOffset>2540</wp:posOffset>
                  </wp:positionH>
                  <wp:positionV relativeFrom="paragraph">
                    <wp:posOffset>80010</wp:posOffset>
                  </wp:positionV>
                  <wp:extent cx="1308735" cy="1499870"/>
                  <wp:effectExtent l="0" t="0" r="5715" b="5080"/>
                  <wp:wrapSquare wrapText="bothSides"/>
                  <wp:docPr id="28"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pic:spPr>
                      </pic:pic>
                    </a:graphicData>
                  </a:graphic>
                  <wp14:sizeRelH relativeFrom="page">
                    <wp14:pctWidth>0</wp14:pctWidth>
                  </wp14:sizeRelH>
                  <wp14:sizeRelV relativeFrom="page">
                    <wp14:pctHeight>0</wp14:pctHeight>
                  </wp14:sizeRelV>
                </wp:anchor>
              </w:drawing>
            </w:r>
          </w:p>
        </w:tc>
      </w:tr>
      <w:tr w:rsidR="005325DB" w:rsidRPr="008537D8" w14:paraId="01AFE4D7" w14:textId="77777777" w:rsidTr="005325DB">
        <w:tc>
          <w:tcPr>
            <w:tcW w:w="9287" w:type="dxa"/>
            <w:gridSpan w:val="2"/>
          </w:tcPr>
          <w:p w14:paraId="63E9440C" w14:textId="77777777" w:rsidR="005325DB" w:rsidRPr="004311F9" w:rsidRDefault="005325DB" w:rsidP="005325DB">
            <w:pPr>
              <w:spacing w:line="240" w:lineRule="auto"/>
              <w:ind w:left="567" w:hanging="567"/>
              <w:rPr>
                <w:szCs w:val="24"/>
                <w:lang w:val="hu-HU"/>
              </w:rPr>
            </w:pPr>
            <w:r w:rsidRPr="004311F9">
              <w:rPr>
                <w:szCs w:val="24"/>
                <w:lang w:val="hu-HU"/>
              </w:rPr>
              <w:t>13.</w:t>
            </w:r>
            <w:r w:rsidRPr="004311F9">
              <w:rPr>
                <w:szCs w:val="24"/>
                <w:lang w:val="hu-HU"/>
              </w:rPr>
              <w:tab/>
              <w:t>A keletkezett oldatot a beadása előtt szemügyre kell venni. Az oldatnak tisztának vagy enyhén opálosnak és színtelennek kell lennie. Ne használja fel az oldatot, ha zavaros vagy látható részecskéket tartalmaz.</w:t>
            </w:r>
          </w:p>
          <w:p w14:paraId="06E45C26" w14:textId="77777777" w:rsidR="005325DB" w:rsidRPr="004311F9" w:rsidRDefault="005325DB" w:rsidP="005325DB">
            <w:pPr>
              <w:spacing w:line="240" w:lineRule="auto"/>
              <w:rPr>
                <w:szCs w:val="24"/>
                <w:lang w:val="hu-HU"/>
              </w:rPr>
            </w:pPr>
          </w:p>
        </w:tc>
      </w:tr>
      <w:tr w:rsidR="005325DB" w:rsidRPr="008537D8" w14:paraId="10802E16" w14:textId="77777777" w:rsidTr="005325DB">
        <w:tc>
          <w:tcPr>
            <w:tcW w:w="5353" w:type="dxa"/>
            <w:tcBorders>
              <w:right w:val="nil"/>
            </w:tcBorders>
          </w:tcPr>
          <w:p w14:paraId="53EAC713" w14:textId="4E08041F" w:rsidR="005325DB" w:rsidRDefault="005325DB" w:rsidP="005325DB">
            <w:pPr>
              <w:spacing w:line="240" w:lineRule="auto"/>
              <w:ind w:left="567" w:hanging="567"/>
              <w:rPr>
                <w:szCs w:val="24"/>
                <w:lang w:val="hu-HU"/>
              </w:rPr>
            </w:pPr>
            <w:r w:rsidRPr="004311F9">
              <w:rPr>
                <w:szCs w:val="24"/>
                <w:lang w:val="hu-HU"/>
              </w:rPr>
              <w:t>14.</w:t>
            </w:r>
            <w:r w:rsidRPr="004311F9">
              <w:rPr>
                <w:szCs w:val="24"/>
                <w:lang w:val="hu-HU"/>
              </w:rPr>
              <w:tab/>
              <w:t>Fordítsa fel az injekciós üveget, ügyelve rá, hogy a fecskendő dugattyúrúdja továbbra is teljesen be legyen nyomva. Lassan húzza vissza a dugattyúrudat, hogy az oldat teljes mennyiségét felszívja az injekciós üveg adapterén keresztül a fecskendőbe.</w:t>
            </w:r>
          </w:p>
          <w:p w14:paraId="249303D0" w14:textId="77777777" w:rsidR="001A2EB4" w:rsidRPr="004311F9" w:rsidRDefault="001A2EB4" w:rsidP="001A2EB4">
            <w:pPr>
              <w:spacing w:line="240" w:lineRule="auto"/>
              <w:ind w:left="567" w:firstLine="22"/>
              <w:rPr>
                <w:szCs w:val="24"/>
                <w:lang w:val="hu-HU"/>
              </w:rPr>
            </w:pPr>
          </w:p>
          <w:p w14:paraId="368E9D3C" w14:textId="77777777" w:rsidR="001A2EB4" w:rsidRPr="004311F9" w:rsidRDefault="001A2EB4" w:rsidP="001A2EB4">
            <w:pPr>
              <w:spacing w:line="240" w:lineRule="auto"/>
              <w:ind w:left="589"/>
              <w:rPr>
                <w:szCs w:val="24"/>
                <w:lang w:val="hu-HU"/>
              </w:rPr>
            </w:pPr>
            <w:r w:rsidRPr="004311F9">
              <w:rPr>
                <w:szCs w:val="24"/>
                <w:lang w:val="hu-HU"/>
              </w:rPr>
              <w:t>Megjegyzés: Ha több ALPROLIX injekciós üveget használ fel egy injekcióhoz, akkor mindegyik injekciós üveget külön kell elkészítenie az előbbi utasításoknak megfelelően (1</w:t>
            </w:r>
            <w:r w:rsidRPr="004311F9">
              <w:rPr>
                <w:szCs w:val="24"/>
                <w:lang w:val="hu-HU"/>
              </w:rPr>
              <w:noBreakHyphen/>
              <w:t>13. lépés), és az oldószert tartalmazó fecskendőt le kell vennie, helyén hagyva az injekciósüveg-adaptert. Az egyes injekciós üvegek elkészített tartalmának visszaszívásához egy nagy Luer-csatlakozóval ellátott fecskendőt lehet használni.</w:t>
            </w:r>
          </w:p>
          <w:p w14:paraId="70E3FBDE" w14:textId="77777777" w:rsidR="005325DB" w:rsidRPr="004311F9" w:rsidRDefault="005325DB" w:rsidP="005325DB">
            <w:pPr>
              <w:spacing w:line="240" w:lineRule="auto"/>
              <w:rPr>
                <w:rFonts w:eastAsia="Times New Roman"/>
                <w:szCs w:val="24"/>
                <w:lang w:val="hu-HU"/>
              </w:rPr>
            </w:pPr>
          </w:p>
        </w:tc>
        <w:tc>
          <w:tcPr>
            <w:tcW w:w="3934" w:type="dxa"/>
            <w:tcBorders>
              <w:left w:val="nil"/>
            </w:tcBorders>
          </w:tcPr>
          <w:p w14:paraId="75426DEE" w14:textId="77777777" w:rsidR="005325DB" w:rsidRPr="004311F9" w:rsidRDefault="005325DB" w:rsidP="005325DB">
            <w:pPr>
              <w:spacing w:line="240" w:lineRule="auto"/>
              <w:rPr>
                <w:szCs w:val="24"/>
                <w:lang w:val="hu-HU"/>
              </w:rPr>
            </w:pPr>
            <w:r w:rsidRPr="004311F9">
              <w:rPr>
                <w:noProof/>
                <w:lang w:val="hu-HU"/>
              </w:rPr>
              <w:drawing>
                <wp:anchor distT="0" distB="0" distL="114300" distR="114300" simplePos="0" relativeHeight="251676160" behindDoc="0" locked="0" layoutInCell="1" allowOverlap="1" wp14:anchorId="6B4170FF" wp14:editId="4898CFE9">
                  <wp:simplePos x="0" y="0"/>
                  <wp:positionH relativeFrom="column">
                    <wp:posOffset>2540</wp:posOffset>
                  </wp:positionH>
                  <wp:positionV relativeFrom="paragraph">
                    <wp:posOffset>73025</wp:posOffset>
                  </wp:positionV>
                  <wp:extent cx="1362710" cy="1440815"/>
                  <wp:effectExtent l="0" t="0" r="8890" b="6985"/>
                  <wp:wrapSquare wrapText="bothSides"/>
                  <wp:docPr id="29"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pic:spPr>
                      </pic:pic>
                    </a:graphicData>
                  </a:graphic>
                  <wp14:sizeRelH relativeFrom="page">
                    <wp14:pctWidth>0</wp14:pctWidth>
                  </wp14:sizeRelH>
                  <wp14:sizeRelV relativeFrom="page">
                    <wp14:pctHeight>0</wp14:pctHeight>
                  </wp14:sizeRelV>
                </wp:anchor>
              </w:drawing>
            </w:r>
          </w:p>
        </w:tc>
      </w:tr>
      <w:tr w:rsidR="005325DB" w:rsidRPr="008537D8" w14:paraId="7CDEF86A" w14:textId="77777777" w:rsidTr="001A2EB4">
        <w:trPr>
          <w:trHeight w:val="2324"/>
        </w:trPr>
        <w:tc>
          <w:tcPr>
            <w:tcW w:w="5353" w:type="dxa"/>
            <w:tcBorders>
              <w:right w:val="nil"/>
            </w:tcBorders>
          </w:tcPr>
          <w:p w14:paraId="2074C7C1" w14:textId="77777777" w:rsidR="005325DB" w:rsidRPr="004311F9" w:rsidRDefault="005325DB" w:rsidP="005325DB">
            <w:pPr>
              <w:spacing w:line="240" w:lineRule="auto"/>
              <w:ind w:left="567" w:hanging="567"/>
              <w:rPr>
                <w:szCs w:val="24"/>
                <w:lang w:val="hu-HU"/>
              </w:rPr>
            </w:pPr>
            <w:r w:rsidRPr="004311F9">
              <w:rPr>
                <w:szCs w:val="24"/>
                <w:lang w:val="hu-HU"/>
              </w:rPr>
              <w:t>15.</w:t>
            </w:r>
            <w:r w:rsidRPr="004311F9">
              <w:rPr>
                <w:szCs w:val="24"/>
                <w:lang w:val="hu-HU"/>
              </w:rPr>
              <w:tab/>
              <w:t>Válassza le a fecskendőt az injekciósüveg-adapterről, óvatosan húzva, és az óramutató járásával ellentétes irányba fordítva az injekciós üveget.</w:t>
            </w:r>
          </w:p>
          <w:p w14:paraId="3B1FEEB6" w14:textId="77777777" w:rsidR="005325DB" w:rsidRPr="004311F9" w:rsidRDefault="005325DB" w:rsidP="005325DB">
            <w:pPr>
              <w:spacing w:line="240" w:lineRule="auto"/>
              <w:rPr>
                <w:szCs w:val="24"/>
                <w:lang w:val="hu-HU"/>
              </w:rPr>
            </w:pPr>
          </w:p>
        </w:tc>
        <w:tc>
          <w:tcPr>
            <w:tcW w:w="3934" w:type="dxa"/>
            <w:tcBorders>
              <w:left w:val="nil"/>
            </w:tcBorders>
          </w:tcPr>
          <w:p w14:paraId="53158D6A" w14:textId="77777777" w:rsidR="005325DB" w:rsidRPr="004311F9" w:rsidRDefault="005325DB" w:rsidP="005325DB">
            <w:pPr>
              <w:spacing w:line="240" w:lineRule="auto"/>
              <w:rPr>
                <w:szCs w:val="24"/>
                <w:lang w:val="hu-HU"/>
              </w:rPr>
            </w:pPr>
            <w:r w:rsidRPr="004311F9">
              <w:rPr>
                <w:noProof/>
                <w:lang w:val="hu-HU"/>
              </w:rPr>
              <w:drawing>
                <wp:anchor distT="0" distB="0" distL="114300" distR="114300" simplePos="0" relativeHeight="251677184" behindDoc="0" locked="0" layoutInCell="1" allowOverlap="1" wp14:anchorId="296CFF6D" wp14:editId="558FD402">
                  <wp:simplePos x="0" y="0"/>
                  <wp:positionH relativeFrom="column">
                    <wp:posOffset>21590</wp:posOffset>
                  </wp:positionH>
                  <wp:positionV relativeFrom="paragraph">
                    <wp:posOffset>46990</wp:posOffset>
                  </wp:positionV>
                  <wp:extent cx="1304925" cy="1358265"/>
                  <wp:effectExtent l="0" t="0" r="9525" b="0"/>
                  <wp:wrapSquare wrapText="bothSides"/>
                  <wp:docPr id="30"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pic:spPr>
                      </pic:pic>
                    </a:graphicData>
                  </a:graphic>
                  <wp14:sizeRelH relativeFrom="page">
                    <wp14:pctWidth>0</wp14:pctWidth>
                  </wp14:sizeRelH>
                  <wp14:sizeRelV relativeFrom="page">
                    <wp14:pctHeight>0</wp14:pctHeight>
                  </wp14:sizeRelV>
                </wp:anchor>
              </w:drawing>
            </w:r>
          </w:p>
        </w:tc>
      </w:tr>
      <w:tr w:rsidR="005325DB" w:rsidRPr="004311F9" w14:paraId="694535CF" w14:textId="77777777" w:rsidTr="005325DB">
        <w:tc>
          <w:tcPr>
            <w:tcW w:w="9287" w:type="dxa"/>
            <w:gridSpan w:val="2"/>
          </w:tcPr>
          <w:p w14:paraId="74BA5386" w14:textId="77777777" w:rsidR="005325DB" w:rsidRPr="004311F9" w:rsidRDefault="005325DB" w:rsidP="001A2EB4">
            <w:pPr>
              <w:keepNext/>
              <w:keepLines/>
              <w:spacing w:line="240" w:lineRule="auto"/>
              <w:rPr>
                <w:szCs w:val="24"/>
                <w:lang w:val="hu-HU"/>
              </w:rPr>
            </w:pPr>
            <w:r w:rsidRPr="004311F9">
              <w:rPr>
                <w:szCs w:val="24"/>
                <w:lang w:val="hu-HU"/>
              </w:rPr>
              <w:t>16.</w:t>
            </w:r>
            <w:r w:rsidRPr="004311F9">
              <w:rPr>
                <w:szCs w:val="24"/>
                <w:lang w:val="hu-HU"/>
              </w:rPr>
              <w:tab/>
              <w:t>Dobja ki az injekciós üveget és az adaptert.</w:t>
            </w:r>
          </w:p>
          <w:p w14:paraId="2B233B82" w14:textId="77777777" w:rsidR="005325DB" w:rsidRPr="004311F9" w:rsidRDefault="005325DB" w:rsidP="001A2EB4">
            <w:pPr>
              <w:keepNext/>
              <w:keepLines/>
              <w:spacing w:line="240" w:lineRule="auto"/>
              <w:rPr>
                <w:rFonts w:eastAsia="Times New Roman"/>
                <w:szCs w:val="24"/>
                <w:lang w:val="hu-HU"/>
              </w:rPr>
            </w:pPr>
          </w:p>
          <w:p w14:paraId="01AEBF93" w14:textId="77777777" w:rsidR="005325DB" w:rsidRPr="004311F9" w:rsidRDefault="005325DB" w:rsidP="001A2EB4">
            <w:pPr>
              <w:keepNext/>
              <w:keepLines/>
              <w:numPr>
                <w:ilvl w:val="12"/>
                <w:numId w:val="0"/>
              </w:numPr>
              <w:spacing w:line="240" w:lineRule="auto"/>
              <w:ind w:right="-2"/>
              <w:rPr>
                <w:szCs w:val="24"/>
                <w:lang w:val="hu-HU"/>
              </w:rPr>
            </w:pPr>
            <w:r w:rsidRPr="004311F9">
              <w:rPr>
                <w:szCs w:val="24"/>
                <w:lang w:val="hu-HU"/>
              </w:rPr>
              <w:t>Megjegyzés: Ha az oldatot nem használják fel azonnal, a fecskendő kupakját óvatosan vissza kell tenni a fecskendő hegyére. Ne érintse meg a fecskendő hegyét vagy a kupak belsejét.</w:t>
            </w:r>
          </w:p>
          <w:p w14:paraId="27F8199C" w14:textId="77777777" w:rsidR="005325DB" w:rsidRPr="004311F9" w:rsidRDefault="005325DB" w:rsidP="001A2EB4">
            <w:pPr>
              <w:keepNext/>
              <w:keepLines/>
              <w:numPr>
                <w:ilvl w:val="12"/>
                <w:numId w:val="0"/>
              </w:numPr>
              <w:spacing w:line="240" w:lineRule="auto"/>
              <w:ind w:right="-2"/>
              <w:rPr>
                <w:rFonts w:eastAsia="Times New Roman"/>
                <w:szCs w:val="24"/>
                <w:lang w:val="hu-HU"/>
              </w:rPr>
            </w:pPr>
          </w:p>
          <w:p w14:paraId="73FB39C8" w14:textId="77777777" w:rsidR="005325DB" w:rsidRPr="004311F9" w:rsidRDefault="005325DB" w:rsidP="001A2EB4">
            <w:pPr>
              <w:keepLines/>
              <w:numPr>
                <w:ilvl w:val="12"/>
                <w:numId w:val="0"/>
              </w:numPr>
              <w:spacing w:line="240" w:lineRule="auto"/>
              <w:ind w:right="-2"/>
              <w:rPr>
                <w:szCs w:val="24"/>
                <w:lang w:val="hu-HU"/>
              </w:rPr>
            </w:pPr>
            <w:r w:rsidRPr="004311F9">
              <w:rPr>
                <w:szCs w:val="24"/>
                <w:lang w:val="hu-HU"/>
              </w:rPr>
              <w:t>Elkészítése után az ALPROLIX szobahőmérsékleten, legfeljebb 6 órán át tárolható a beadása előtt. Ez idő után az elkészített ALPROLIX</w:t>
            </w:r>
            <w:r w:rsidRPr="004311F9">
              <w:rPr>
                <w:szCs w:val="24"/>
                <w:lang w:val="hu-HU"/>
              </w:rPr>
              <w:noBreakHyphen/>
              <w:t>ot ki kell dobni. Közvetlen napfénytől védve tartandó.</w:t>
            </w:r>
          </w:p>
          <w:p w14:paraId="07E4A2C6" w14:textId="77777777" w:rsidR="005325DB" w:rsidRPr="004311F9" w:rsidRDefault="005325DB" w:rsidP="001A2EB4">
            <w:pPr>
              <w:keepLines/>
              <w:spacing w:line="240" w:lineRule="auto"/>
              <w:rPr>
                <w:szCs w:val="24"/>
                <w:lang w:val="hu-HU"/>
              </w:rPr>
            </w:pPr>
          </w:p>
        </w:tc>
      </w:tr>
    </w:tbl>
    <w:p w14:paraId="1F2E22AA" w14:textId="77777777" w:rsidR="005325DB" w:rsidRPr="004311F9" w:rsidRDefault="005325DB" w:rsidP="005325DB">
      <w:pPr>
        <w:spacing w:line="240" w:lineRule="auto"/>
        <w:rPr>
          <w:rFonts w:eastAsia="Times New Roman"/>
          <w:b/>
          <w:szCs w:val="24"/>
          <w:lang w:val="hu-HU"/>
        </w:rPr>
      </w:pPr>
    </w:p>
    <w:p w14:paraId="47F48CC7" w14:textId="77777777" w:rsidR="005325DB" w:rsidRPr="004311F9" w:rsidRDefault="005325DB" w:rsidP="005325DB">
      <w:pPr>
        <w:keepNext/>
        <w:keepLines/>
        <w:spacing w:line="240" w:lineRule="auto"/>
        <w:rPr>
          <w:b/>
          <w:szCs w:val="24"/>
          <w:lang w:val="hu-HU"/>
        </w:rPr>
      </w:pPr>
      <w:r w:rsidRPr="004311F9">
        <w:rPr>
          <w:b/>
          <w:szCs w:val="24"/>
          <w:lang w:val="hu-HU"/>
        </w:rPr>
        <w:lastRenderedPageBreak/>
        <w:t>Beadás (intravénás injekció)</w:t>
      </w:r>
    </w:p>
    <w:p w14:paraId="0BC990E7" w14:textId="77777777" w:rsidR="005325DB" w:rsidRPr="004311F9" w:rsidRDefault="005325DB" w:rsidP="005325DB">
      <w:pPr>
        <w:pStyle w:val="ListParagraph1"/>
        <w:keepNext/>
        <w:keepLines/>
        <w:ind w:left="0"/>
        <w:rPr>
          <w:rFonts w:eastAsia="Times New Roman"/>
          <w:sz w:val="22"/>
          <w:lang w:val="hu-HU"/>
        </w:rPr>
      </w:pPr>
    </w:p>
    <w:p w14:paraId="4EC8A2E4" w14:textId="77777777" w:rsidR="005325DB" w:rsidRPr="004311F9" w:rsidRDefault="005325DB" w:rsidP="005325DB">
      <w:pPr>
        <w:pStyle w:val="ListParagraph1"/>
        <w:keepNext/>
        <w:keepLines/>
        <w:ind w:left="0"/>
        <w:rPr>
          <w:rFonts w:eastAsia="Times New Roman"/>
          <w:sz w:val="22"/>
          <w:lang w:val="hu-HU"/>
        </w:rPr>
      </w:pPr>
      <w:r w:rsidRPr="004311F9">
        <w:rPr>
          <w:rFonts w:eastAsia="Times New Roman"/>
          <w:sz w:val="22"/>
          <w:lang w:val="hu-HU"/>
        </w:rPr>
        <w:t>Az ALPROLIX</w:t>
      </w:r>
      <w:r w:rsidRPr="004311F9">
        <w:rPr>
          <w:rFonts w:eastAsia="Times New Roman"/>
          <w:sz w:val="22"/>
          <w:lang w:val="hu-HU"/>
        </w:rPr>
        <w:noBreakHyphen/>
        <w:t>ot a csomagban mellékelt infúziós szerelék (E) használatával kell beadni.</w:t>
      </w:r>
    </w:p>
    <w:p w14:paraId="021DEEC8" w14:textId="77777777" w:rsidR="005325DB" w:rsidRPr="004311F9" w:rsidRDefault="005325DB" w:rsidP="005325DB">
      <w:pPr>
        <w:pStyle w:val="ListParagraph1"/>
        <w:keepNext/>
        <w:keepLines/>
        <w:ind w:left="0"/>
        <w:rPr>
          <w:rFonts w:eastAsia="Times New Roman"/>
          <w:sz w:val="22"/>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678"/>
        <w:gridCol w:w="2609"/>
      </w:tblGrid>
      <w:tr w:rsidR="005325DB" w:rsidRPr="008537D8" w14:paraId="06C09F8B" w14:textId="77777777" w:rsidTr="005325DB">
        <w:tc>
          <w:tcPr>
            <w:tcW w:w="6678" w:type="dxa"/>
            <w:tcBorders>
              <w:right w:val="nil"/>
            </w:tcBorders>
          </w:tcPr>
          <w:p w14:paraId="515E1BFD" w14:textId="77777777" w:rsidR="005325DB" w:rsidRPr="004311F9" w:rsidRDefault="005325DB" w:rsidP="005325DB">
            <w:pPr>
              <w:pStyle w:val="ListParagraph1"/>
              <w:ind w:left="589" w:hanging="589"/>
              <w:rPr>
                <w:rFonts w:eastAsia="Times New Roman"/>
                <w:sz w:val="22"/>
                <w:lang w:val="hu-HU"/>
              </w:rPr>
            </w:pPr>
            <w:r w:rsidRPr="004311F9">
              <w:rPr>
                <w:rFonts w:eastAsia="Times New Roman"/>
                <w:sz w:val="22"/>
                <w:lang w:val="hu-HU"/>
              </w:rPr>
              <w:t>1.</w:t>
            </w:r>
            <w:r w:rsidRPr="004311F9">
              <w:rPr>
                <w:rFonts w:eastAsia="Times New Roman"/>
                <w:sz w:val="22"/>
                <w:lang w:val="hu-HU"/>
              </w:rPr>
              <w:tab/>
              <w:t xml:space="preserve">Nyissa ki az infúziós szerelék csomagolását, és vegye le a </w:t>
            </w:r>
            <w:r w:rsidRPr="004311F9">
              <w:rPr>
                <w:sz w:val="22"/>
                <w:lang w:val="hu-HU"/>
              </w:rPr>
              <w:t>védőkupakot a cső végéről. Csatlakoztassa az elkészített ALPROLIX oldatot tartalmazó fecskendőt az infúziós szerelék csövének végéhez, az óramutató járásával megegyező</w:t>
            </w:r>
            <w:r w:rsidRPr="004311F9">
              <w:rPr>
                <w:rFonts w:eastAsia="Times New Roman"/>
                <w:sz w:val="22"/>
                <w:lang w:val="hu-HU"/>
              </w:rPr>
              <w:t xml:space="preserve"> irányba csavarva </w:t>
            </w:r>
            <w:r w:rsidRPr="004311F9">
              <w:rPr>
                <w:sz w:val="22"/>
                <w:lang w:val="hu-HU"/>
              </w:rPr>
              <w:t>a fecskendőt.</w:t>
            </w:r>
          </w:p>
        </w:tc>
        <w:tc>
          <w:tcPr>
            <w:tcW w:w="2609" w:type="dxa"/>
            <w:tcBorders>
              <w:left w:val="nil"/>
            </w:tcBorders>
          </w:tcPr>
          <w:p w14:paraId="22648EA2" w14:textId="77777777" w:rsidR="005325DB" w:rsidRPr="004311F9" w:rsidRDefault="005325DB" w:rsidP="005325DB">
            <w:pPr>
              <w:pStyle w:val="ListParagraph1"/>
              <w:ind w:left="0"/>
              <w:rPr>
                <w:rFonts w:eastAsia="Times New Roman"/>
                <w:sz w:val="22"/>
                <w:lang w:val="hu-HU"/>
              </w:rPr>
            </w:pPr>
            <w:r w:rsidRPr="004311F9">
              <w:rPr>
                <w:noProof/>
                <w:lang w:val="hu-HU"/>
              </w:rPr>
              <w:drawing>
                <wp:anchor distT="0" distB="0" distL="114300" distR="114300" simplePos="0" relativeHeight="251678208" behindDoc="0" locked="0" layoutInCell="1" allowOverlap="1" wp14:anchorId="09C541A6" wp14:editId="6F742683">
                  <wp:simplePos x="0" y="0"/>
                  <wp:positionH relativeFrom="column">
                    <wp:posOffset>2540</wp:posOffset>
                  </wp:positionH>
                  <wp:positionV relativeFrom="paragraph">
                    <wp:posOffset>57785</wp:posOffset>
                  </wp:positionV>
                  <wp:extent cx="1374140" cy="1504950"/>
                  <wp:effectExtent l="0" t="0" r="0" b="0"/>
                  <wp:wrapSquare wrapText="bothSides"/>
                  <wp:docPr id="32"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pic:spPr>
                      </pic:pic>
                    </a:graphicData>
                  </a:graphic>
                  <wp14:sizeRelH relativeFrom="page">
                    <wp14:pctWidth>0</wp14:pctWidth>
                  </wp14:sizeRelH>
                  <wp14:sizeRelV relativeFrom="page">
                    <wp14:pctHeight>0</wp14:pctHeight>
                  </wp14:sizeRelV>
                </wp:anchor>
              </w:drawing>
            </w:r>
          </w:p>
        </w:tc>
      </w:tr>
      <w:tr w:rsidR="005325DB" w:rsidRPr="008537D8" w14:paraId="6B714666" w14:textId="77777777" w:rsidTr="005325DB">
        <w:trPr>
          <w:trHeight w:val="3185"/>
        </w:trPr>
        <w:tc>
          <w:tcPr>
            <w:tcW w:w="9287" w:type="dxa"/>
            <w:gridSpan w:val="2"/>
          </w:tcPr>
          <w:p w14:paraId="26B53DF0" w14:textId="77777777" w:rsidR="005325DB" w:rsidRPr="004311F9" w:rsidRDefault="005325DB" w:rsidP="005325DB">
            <w:pPr>
              <w:spacing w:line="240" w:lineRule="auto"/>
              <w:ind w:left="567" w:hanging="567"/>
              <w:rPr>
                <w:rFonts w:eastAsia="Times New Roman"/>
                <w:lang w:val="hu-HU"/>
              </w:rPr>
            </w:pPr>
            <w:r w:rsidRPr="004311F9">
              <w:rPr>
                <w:noProof/>
                <w:lang w:val="hu-HU"/>
              </w:rPr>
              <w:drawing>
                <wp:anchor distT="0" distB="0" distL="114300" distR="114300" simplePos="0" relativeHeight="251680256" behindDoc="0" locked="0" layoutInCell="1" allowOverlap="1" wp14:anchorId="55F66C0B" wp14:editId="699BD6F5">
                  <wp:simplePos x="0" y="0"/>
                  <wp:positionH relativeFrom="column">
                    <wp:posOffset>1299210</wp:posOffset>
                  </wp:positionH>
                  <wp:positionV relativeFrom="paragraph">
                    <wp:posOffset>470535</wp:posOffset>
                  </wp:positionV>
                  <wp:extent cx="2578735" cy="1436370"/>
                  <wp:effectExtent l="0" t="0" r="0" b="0"/>
                  <wp:wrapSquare wrapText="bothSides"/>
                  <wp:docPr id="33"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pic:spPr>
                      </pic:pic>
                    </a:graphicData>
                  </a:graphic>
                  <wp14:sizeRelH relativeFrom="page">
                    <wp14:pctWidth>0</wp14:pctWidth>
                  </wp14:sizeRelH>
                  <wp14:sizeRelV relativeFrom="page">
                    <wp14:pctHeight>0</wp14:pctHeight>
                  </wp14:sizeRelV>
                </wp:anchor>
              </w:drawing>
            </w:r>
            <w:r w:rsidRPr="004311F9">
              <w:rPr>
                <w:rFonts w:eastAsia="Times New Roman"/>
                <w:lang w:val="hu-HU"/>
              </w:rPr>
              <w:t>2.</w:t>
            </w:r>
            <w:r w:rsidRPr="004311F9">
              <w:rPr>
                <w:rFonts w:eastAsia="Times New Roman"/>
                <w:lang w:val="hu-HU"/>
              </w:rPr>
              <w:tab/>
              <w:t>Amennyiben szükséges, helyezzen fel leszorítást</w:t>
            </w:r>
            <w:r w:rsidRPr="004311F9">
              <w:rPr>
                <w:lang w:val="hu-HU"/>
              </w:rPr>
              <w:t xml:space="preserve">, és készítse elő az injekció beadásának helyét, jól letörölve a bőrt a csomagban </w:t>
            </w:r>
            <w:r w:rsidRPr="004311F9">
              <w:rPr>
                <w:rFonts w:eastAsia="Times New Roman"/>
                <w:lang w:val="hu-HU"/>
              </w:rPr>
              <w:t xml:space="preserve">mellékelt </w:t>
            </w:r>
            <w:r w:rsidRPr="004311F9">
              <w:rPr>
                <w:lang w:val="hu-HU"/>
              </w:rPr>
              <w:t>másik alkoholos törlővel.</w:t>
            </w:r>
          </w:p>
          <w:p w14:paraId="1215DAA2" w14:textId="77777777" w:rsidR="005325DB" w:rsidRPr="004311F9" w:rsidRDefault="005325DB" w:rsidP="005325DB">
            <w:pPr>
              <w:pStyle w:val="ListParagraph1"/>
              <w:ind w:left="0"/>
              <w:rPr>
                <w:rFonts w:eastAsia="Times New Roman"/>
                <w:sz w:val="22"/>
                <w:lang w:val="hu-HU"/>
              </w:rPr>
            </w:pPr>
          </w:p>
        </w:tc>
      </w:tr>
      <w:tr w:rsidR="005325DB" w:rsidRPr="008537D8" w14:paraId="4F037F9F" w14:textId="77777777" w:rsidTr="005325DB">
        <w:tc>
          <w:tcPr>
            <w:tcW w:w="9287" w:type="dxa"/>
            <w:gridSpan w:val="2"/>
          </w:tcPr>
          <w:p w14:paraId="73A6B72E" w14:textId="77777777" w:rsidR="005325DB" w:rsidRPr="004311F9" w:rsidRDefault="005325DB" w:rsidP="005325DB">
            <w:pPr>
              <w:pStyle w:val="ListParagraph1"/>
              <w:ind w:left="567" w:hanging="567"/>
              <w:rPr>
                <w:rFonts w:eastAsia="Times New Roman"/>
                <w:sz w:val="22"/>
                <w:lang w:val="hu-HU"/>
              </w:rPr>
            </w:pPr>
            <w:r w:rsidRPr="004311F9">
              <w:rPr>
                <w:rFonts w:eastAsia="Times New Roman"/>
                <w:sz w:val="22"/>
                <w:lang w:val="hu-HU"/>
              </w:rPr>
              <w:t>3.</w:t>
            </w:r>
            <w:r w:rsidRPr="004311F9">
              <w:rPr>
                <w:rFonts w:eastAsia="Times New Roman"/>
                <w:sz w:val="22"/>
                <w:lang w:val="hu-HU"/>
              </w:rPr>
              <w:tab/>
              <w:t xml:space="preserve">Az infúziós szerelék csövében esetlegesen megmaradt </w:t>
            </w:r>
            <w:r w:rsidRPr="004311F9">
              <w:rPr>
                <w:sz w:val="22"/>
                <w:lang w:val="hu-HU"/>
              </w:rPr>
              <w:t>levegőt</w:t>
            </w:r>
            <w:r w:rsidRPr="004311F9">
              <w:rPr>
                <w:rFonts w:eastAsia="Times New Roman"/>
                <w:sz w:val="22"/>
                <w:lang w:val="hu-HU"/>
              </w:rPr>
              <w:t xml:space="preserve"> távolítsa el úgy, hogy lassan lenyomja</w:t>
            </w:r>
            <w:r w:rsidRPr="004311F9">
              <w:rPr>
                <w:sz w:val="22"/>
                <w:lang w:val="hu-HU"/>
              </w:rPr>
              <w:t xml:space="preserve"> a dugattyúrudat, amíg a folyadék el nem éri az infúziós szerelék tűjét. Ne nyomja át az oldatot a tűn. Vegye le a tűről az átlátszó műanyag védő</w:t>
            </w:r>
            <w:r w:rsidRPr="004311F9">
              <w:rPr>
                <w:rFonts w:eastAsia="Times New Roman"/>
                <w:sz w:val="22"/>
                <w:lang w:val="hu-HU"/>
              </w:rPr>
              <w:t>borítást.</w:t>
            </w:r>
          </w:p>
          <w:p w14:paraId="5DCE50ED" w14:textId="77777777" w:rsidR="005325DB" w:rsidRPr="004311F9" w:rsidRDefault="005325DB" w:rsidP="005325DB">
            <w:pPr>
              <w:pStyle w:val="ListParagraph1"/>
              <w:ind w:left="567" w:hanging="567"/>
              <w:rPr>
                <w:rFonts w:eastAsia="Times New Roman"/>
                <w:sz w:val="22"/>
                <w:lang w:val="hu-HU"/>
              </w:rPr>
            </w:pPr>
          </w:p>
        </w:tc>
      </w:tr>
      <w:tr w:rsidR="005325DB" w:rsidRPr="008537D8" w14:paraId="764BD123" w14:textId="77777777" w:rsidTr="005325DB">
        <w:tc>
          <w:tcPr>
            <w:tcW w:w="9287" w:type="dxa"/>
            <w:gridSpan w:val="2"/>
          </w:tcPr>
          <w:p w14:paraId="5443C356" w14:textId="77777777" w:rsidR="005325DB" w:rsidRPr="004311F9" w:rsidRDefault="005325DB" w:rsidP="005325DB">
            <w:pPr>
              <w:pStyle w:val="ListParagraph1"/>
              <w:ind w:left="567" w:hanging="567"/>
              <w:rPr>
                <w:rFonts w:eastAsia="Times New Roman"/>
                <w:sz w:val="22"/>
                <w:lang w:val="hu-HU"/>
              </w:rPr>
            </w:pPr>
            <w:r w:rsidRPr="004311F9">
              <w:rPr>
                <w:rFonts w:eastAsia="Times New Roman"/>
                <w:sz w:val="22"/>
                <w:lang w:val="hu-HU"/>
              </w:rPr>
              <w:t>4.</w:t>
            </w:r>
            <w:r w:rsidRPr="004311F9">
              <w:rPr>
                <w:rFonts w:eastAsia="Times New Roman"/>
                <w:sz w:val="22"/>
                <w:lang w:val="hu-HU"/>
              </w:rPr>
              <w:tab/>
              <w:t>Szúrj</w:t>
            </w:r>
            <w:r w:rsidRPr="004311F9">
              <w:rPr>
                <w:sz w:val="22"/>
                <w:lang w:val="hu-HU"/>
              </w:rPr>
              <w:t xml:space="preserve">a be az infúziós szerelék tűjét a vénába, ahogyan kezelőorvosa vagy a gondozását végző egészségügyi szakember utasította, majd </w:t>
            </w:r>
            <w:r w:rsidRPr="004311F9">
              <w:rPr>
                <w:rFonts w:eastAsia="Times New Roman"/>
                <w:sz w:val="22"/>
                <w:lang w:val="hu-HU"/>
              </w:rPr>
              <w:t>engedje fel a leszorítást. Ha kívánja, használhatja a csomaghoz mellékelt ragtapaszok (G) egyikét arra, hog</w:t>
            </w:r>
            <w:r w:rsidRPr="004311F9">
              <w:rPr>
                <w:sz w:val="22"/>
                <w:lang w:val="hu-HU"/>
              </w:rPr>
              <w:t xml:space="preserve">y a helyén tartsa a tű műanyag szárnyait az injekció beadásának helyén. Az elkészített készítményt intravénásan kell befecskendezni, néhány perc alatt. Kezelőorvosa módosíthatja az injekció Önnek ajánlott beadási sebességét, hogy az kényelmesebb legyen az </w:t>
            </w:r>
            <w:r w:rsidRPr="004311F9">
              <w:rPr>
                <w:rFonts w:eastAsia="Times New Roman"/>
                <w:sz w:val="22"/>
                <w:lang w:val="hu-HU"/>
              </w:rPr>
              <w:t>Ön számára.</w:t>
            </w:r>
          </w:p>
          <w:p w14:paraId="46A9AC82" w14:textId="77777777" w:rsidR="005325DB" w:rsidRPr="004311F9" w:rsidRDefault="005325DB" w:rsidP="005325DB">
            <w:pPr>
              <w:pStyle w:val="ListParagraph1"/>
              <w:ind w:left="567" w:hanging="567"/>
              <w:rPr>
                <w:rFonts w:eastAsia="Times New Roman"/>
                <w:sz w:val="22"/>
                <w:lang w:val="hu-HU"/>
              </w:rPr>
            </w:pPr>
          </w:p>
        </w:tc>
      </w:tr>
      <w:tr w:rsidR="005325DB" w:rsidRPr="008537D8" w14:paraId="014FC903" w14:textId="77777777" w:rsidTr="005325DB">
        <w:trPr>
          <w:trHeight w:val="2672"/>
        </w:trPr>
        <w:tc>
          <w:tcPr>
            <w:tcW w:w="6678" w:type="dxa"/>
            <w:tcBorders>
              <w:right w:val="nil"/>
            </w:tcBorders>
          </w:tcPr>
          <w:p w14:paraId="55A32AB8" w14:textId="77777777" w:rsidR="005325DB" w:rsidRPr="004311F9" w:rsidRDefault="005325DB" w:rsidP="005325DB">
            <w:pPr>
              <w:pStyle w:val="ListParagraph1"/>
              <w:ind w:left="567" w:hanging="567"/>
              <w:rPr>
                <w:rFonts w:eastAsia="Times New Roman"/>
                <w:sz w:val="22"/>
                <w:lang w:val="hu-HU"/>
              </w:rPr>
            </w:pPr>
            <w:r w:rsidRPr="004311F9">
              <w:rPr>
                <w:sz w:val="22"/>
                <w:lang w:val="hu-HU"/>
              </w:rPr>
              <w:t>5.</w:t>
            </w:r>
            <w:r w:rsidRPr="004311F9">
              <w:rPr>
                <w:sz w:val="22"/>
                <w:lang w:val="hu-HU"/>
              </w:rPr>
              <w:tab/>
              <w:t>Az injekció beadásának befejezése és a tű kihúzása után hajtsa fel a tűvédőt, és pattintsa rá a tűre.</w:t>
            </w:r>
          </w:p>
        </w:tc>
        <w:tc>
          <w:tcPr>
            <w:tcW w:w="2609" w:type="dxa"/>
            <w:tcBorders>
              <w:left w:val="nil"/>
            </w:tcBorders>
          </w:tcPr>
          <w:p w14:paraId="6FAAAA2F" w14:textId="77777777" w:rsidR="005325DB" w:rsidRPr="004311F9" w:rsidRDefault="005325DB" w:rsidP="005325DB">
            <w:pPr>
              <w:pStyle w:val="ListParagraph1"/>
              <w:ind w:left="0"/>
              <w:rPr>
                <w:sz w:val="22"/>
                <w:lang w:val="hu-HU"/>
              </w:rPr>
            </w:pPr>
            <w:r w:rsidRPr="004311F9">
              <w:rPr>
                <w:noProof/>
                <w:lang w:val="hu-HU"/>
              </w:rPr>
              <w:drawing>
                <wp:anchor distT="0" distB="0" distL="114300" distR="114300" simplePos="0" relativeHeight="251679232" behindDoc="0" locked="0" layoutInCell="1" allowOverlap="1" wp14:anchorId="1A92639A" wp14:editId="7D03C250">
                  <wp:simplePos x="0" y="0"/>
                  <wp:positionH relativeFrom="column">
                    <wp:posOffset>2540</wp:posOffset>
                  </wp:positionH>
                  <wp:positionV relativeFrom="paragraph">
                    <wp:posOffset>126365</wp:posOffset>
                  </wp:positionV>
                  <wp:extent cx="1371600" cy="1492885"/>
                  <wp:effectExtent l="0" t="0" r="0" b="0"/>
                  <wp:wrapSquare wrapText="bothSides"/>
                  <wp:docPr id="34"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pic:spPr>
                      </pic:pic>
                    </a:graphicData>
                  </a:graphic>
                  <wp14:sizeRelH relativeFrom="page">
                    <wp14:pctWidth>0</wp14:pctWidth>
                  </wp14:sizeRelH>
                  <wp14:sizeRelV relativeFrom="page">
                    <wp14:pctHeight>0</wp14:pctHeight>
                  </wp14:sizeRelV>
                </wp:anchor>
              </w:drawing>
            </w:r>
          </w:p>
        </w:tc>
      </w:tr>
      <w:tr w:rsidR="005325DB" w:rsidRPr="004311F9" w14:paraId="455B5098" w14:textId="77777777" w:rsidTr="005325DB">
        <w:trPr>
          <w:trHeight w:val="274"/>
        </w:trPr>
        <w:tc>
          <w:tcPr>
            <w:tcW w:w="9287" w:type="dxa"/>
            <w:gridSpan w:val="2"/>
          </w:tcPr>
          <w:p w14:paraId="6CDF15FC" w14:textId="77777777" w:rsidR="005325DB" w:rsidRPr="004311F9" w:rsidRDefault="005325DB" w:rsidP="005325DB">
            <w:pPr>
              <w:keepNext/>
              <w:spacing w:line="240" w:lineRule="auto"/>
              <w:ind w:left="567" w:hanging="567"/>
              <w:rPr>
                <w:rFonts w:eastAsia="Times New Roman"/>
                <w:lang w:val="hu-HU"/>
              </w:rPr>
            </w:pPr>
            <w:r w:rsidRPr="004311F9">
              <w:rPr>
                <w:lang w:val="hu-HU"/>
              </w:rPr>
              <w:lastRenderedPageBreak/>
              <w:t>6.</w:t>
            </w:r>
            <w:r w:rsidRPr="004311F9">
              <w:rPr>
                <w:lang w:val="hu-HU"/>
              </w:rPr>
              <w:tab/>
              <w:t>Biztonságos módon dobja ki a tűt, a fel nem használt oldatot, a fecskendőt és az üres injekciós üveget orvosi hulladékok tárolására szolgáló megfelelő tartályba, mivel ezek az anyagok sérülést okozhatnak másoknak, ha kidobásuk nem megfelelő módon történik.</w:t>
            </w:r>
            <w:r w:rsidRPr="004311F9">
              <w:rPr>
                <w:rFonts w:eastAsia="Times New Roman"/>
                <w:lang w:val="hu-HU"/>
              </w:rPr>
              <w:t xml:space="preserve"> A szereléket ne használja fel újra.</w:t>
            </w:r>
          </w:p>
        </w:tc>
      </w:tr>
    </w:tbl>
    <w:p w14:paraId="5B2FB9C0" w14:textId="77777777" w:rsidR="005325DB" w:rsidRPr="004311F9" w:rsidRDefault="005325DB" w:rsidP="005325DB">
      <w:pPr>
        <w:widowControl w:val="0"/>
        <w:tabs>
          <w:tab w:val="clear" w:pos="567"/>
          <w:tab w:val="left" w:pos="709"/>
        </w:tabs>
        <w:autoSpaceDE w:val="0"/>
        <w:autoSpaceDN w:val="0"/>
        <w:adjustRightInd w:val="0"/>
        <w:spacing w:line="240" w:lineRule="auto"/>
        <w:ind w:right="-23"/>
        <w:rPr>
          <w:color w:val="000000"/>
          <w:szCs w:val="24"/>
          <w:lang w:val="hu-HU"/>
        </w:rPr>
      </w:pPr>
    </w:p>
    <w:p w14:paraId="36A5EC14" w14:textId="77777777" w:rsidR="00E74F5A" w:rsidRPr="004311F9" w:rsidRDefault="00E74F5A" w:rsidP="00DC4CB1">
      <w:pPr>
        <w:spacing w:line="240" w:lineRule="auto"/>
        <w:rPr>
          <w:rFonts w:eastAsia="Times New Roman"/>
          <w:szCs w:val="24"/>
          <w:lang w:val="hu-HU"/>
        </w:rPr>
      </w:pPr>
    </w:p>
    <w:p w14:paraId="165E842C" w14:textId="77777777" w:rsidR="00E74F5A" w:rsidRPr="004311F9" w:rsidRDefault="00E74F5A" w:rsidP="00DC4CB1">
      <w:pPr>
        <w:keepNext/>
        <w:spacing w:line="240" w:lineRule="auto"/>
        <w:ind w:left="567" w:hanging="567"/>
        <w:rPr>
          <w:szCs w:val="24"/>
          <w:lang w:val="hu-HU"/>
        </w:rPr>
      </w:pPr>
      <w:r w:rsidRPr="004311F9">
        <w:rPr>
          <w:b/>
          <w:szCs w:val="24"/>
          <w:lang w:val="hu-HU"/>
        </w:rPr>
        <w:t>7.</w:t>
      </w:r>
      <w:r w:rsidRPr="004311F9">
        <w:rPr>
          <w:b/>
          <w:szCs w:val="24"/>
          <w:lang w:val="hu-HU"/>
        </w:rPr>
        <w:tab/>
        <w:t>A FORGALOMBA HOZATALI ENGEDÉLY JOGOSULTJA</w:t>
      </w:r>
    </w:p>
    <w:p w14:paraId="43015BB5" w14:textId="77777777" w:rsidR="00E74F5A" w:rsidRPr="004311F9" w:rsidRDefault="00E74F5A" w:rsidP="00DC4CB1">
      <w:pPr>
        <w:keepNext/>
        <w:spacing w:line="240" w:lineRule="auto"/>
        <w:rPr>
          <w:rFonts w:eastAsia="Times New Roman"/>
          <w:szCs w:val="24"/>
          <w:lang w:val="hu-HU"/>
        </w:rPr>
      </w:pPr>
    </w:p>
    <w:p w14:paraId="262812C9" w14:textId="77777777" w:rsidR="00E74F5A" w:rsidRPr="004311F9" w:rsidRDefault="00E74F5A" w:rsidP="007A3A6E">
      <w:pPr>
        <w:keepNext/>
        <w:spacing w:line="240" w:lineRule="auto"/>
        <w:rPr>
          <w:szCs w:val="24"/>
          <w:lang w:val="hu-HU"/>
        </w:rPr>
      </w:pPr>
      <w:r w:rsidRPr="004311F9">
        <w:rPr>
          <w:szCs w:val="24"/>
          <w:lang w:val="hu-HU"/>
        </w:rPr>
        <w:t>Swedish Orphan Biovitrum AB (publ)</w:t>
      </w:r>
    </w:p>
    <w:p w14:paraId="6A656F4D" w14:textId="77777777" w:rsidR="00E74F5A" w:rsidRPr="004311F9" w:rsidRDefault="00E74F5A" w:rsidP="007A3A6E">
      <w:pPr>
        <w:keepNext/>
        <w:spacing w:line="240" w:lineRule="auto"/>
        <w:rPr>
          <w:szCs w:val="24"/>
          <w:lang w:val="hu-HU"/>
        </w:rPr>
      </w:pPr>
      <w:r w:rsidRPr="004311F9">
        <w:rPr>
          <w:szCs w:val="24"/>
          <w:lang w:val="hu-HU"/>
        </w:rPr>
        <w:t>SE</w:t>
      </w:r>
      <w:r w:rsidRPr="004311F9">
        <w:rPr>
          <w:szCs w:val="24"/>
          <w:lang w:val="hu-HU"/>
        </w:rPr>
        <w:noBreakHyphen/>
        <w:t>112 76 Stockholm</w:t>
      </w:r>
    </w:p>
    <w:p w14:paraId="506BC559" w14:textId="77777777" w:rsidR="00E74F5A" w:rsidRPr="004311F9" w:rsidRDefault="00E74F5A" w:rsidP="007A3A6E">
      <w:pPr>
        <w:spacing w:line="240" w:lineRule="auto"/>
        <w:rPr>
          <w:szCs w:val="24"/>
          <w:lang w:val="hu-HU"/>
        </w:rPr>
      </w:pPr>
      <w:r w:rsidRPr="004311F9">
        <w:rPr>
          <w:szCs w:val="24"/>
          <w:lang w:val="hu-HU"/>
        </w:rPr>
        <w:t>Svédország</w:t>
      </w:r>
    </w:p>
    <w:p w14:paraId="517EC225" w14:textId="77777777" w:rsidR="00E74F5A" w:rsidRPr="004311F9" w:rsidRDefault="00E74F5A" w:rsidP="00DC4CB1">
      <w:pPr>
        <w:spacing w:line="240" w:lineRule="auto"/>
        <w:rPr>
          <w:rFonts w:eastAsia="Times New Roman"/>
          <w:szCs w:val="24"/>
          <w:lang w:val="hu-HU"/>
        </w:rPr>
      </w:pPr>
    </w:p>
    <w:p w14:paraId="06EAE4FB" w14:textId="77777777" w:rsidR="00E74F5A" w:rsidRPr="004311F9" w:rsidRDefault="00E74F5A" w:rsidP="00DC4CB1">
      <w:pPr>
        <w:spacing w:line="240" w:lineRule="auto"/>
        <w:rPr>
          <w:rFonts w:eastAsia="Times New Roman"/>
          <w:szCs w:val="24"/>
          <w:lang w:val="hu-HU"/>
        </w:rPr>
      </w:pPr>
    </w:p>
    <w:p w14:paraId="7C5F14FF" w14:textId="77777777" w:rsidR="00E74F5A" w:rsidRPr="004311F9" w:rsidRDefault="00E74F5A" w:rsidP="00DC4CB1">
      <w:pPr>
        <w:keepNext/>
        <w:spacing w:line="240" w:lineRule="auto"/>
        <w:ind w:left="567" w:hanging="567"/>
        <w:rPr>
          <w:b/>
          <w:szCs w:val="24"/>
          <w:lang w:val="hu-HU"/>
        </w:rPr>
      </w:pPr>
      <w:r w:rsidRPr="004311F9">
        <w:rPr>
          <w:b/>
          <w:szCs w:val="24"/>
          <w:lang w:val="hu-HU"/>
        </w:rPr>
        <w:t>8.</w:t>
      </w:r>
      <w:r w:rsidRPr="004311F9">
        <w:rPr>
          <w:b/>
          <w:szCs w:val="24"/>
          <w:lang w:val="hu-HU"/>
        </w:rPr>
        <w:tab/>
        <w:t>A FORGALOMBA HOZATALI ENGEDÉLY SZÁMA(I)</w:t>
      </w:r>
    </w:p>
    <w:p w14:paraId="66B57418" w14:textId="77777777" w:rsidR="00E74F5A" w:rsidRPr="004311F9" w:rsidRDefault="00E74F5A" w:rsidP="004F06B3">
      <w:pPr>
        <w:keepNext/>
        <w:spacing w:line="240" w:lineRule="auto"/>
        <w:rPr>
          <w:szCs w:val="22"/>
          <w:lang w:val="hu-HU"/>
        </w:rPr>
      </w:pPr>
    </w:p>
    <w:p w14:paraId="5A33A77E" w14:textId="77777777" w:rsidR="00E74F5A" w:rsidRPr="004311F9" w:rsidRDefault="00E74F5A" w:rsidP="004F06B3">
      <w:pPr>
        <w:keepNext/>
        <w:spacing w:line="240" w:lineRule="auto"/>
        <w:rPr>
          <w:szCs w:val="22"/>
          <w:lang w:val="hu-HU"/>
        </w:rPr>
      </w:pPr>
      <w:r w:rsidRPr="004311F9">
        <w:rPr>
          <w:szCs w:val="22"/>
          <w:lang w:val="hu-HU"/>
        </w:rPr>
        <w:t>EU/1/16/1098/001</w:t>
      </w:r>
    </w:p>
    <w:p w14:paraId="0AAD6066" w14:textId="77777777" w:rsidR="00E74F5A" w:rsidRPr="004311F9" w:rsidRDefault="00E74F5A" w:rsidP="004F06B3">
      <w:pPr>
        <w:keepNext/>
        <w:spacing w:line="240" w:lineRule="auto"/>
        <w:rPr>
          <w:szCs w:val="22"/>
          <w:lang w:val="hu-HU"/>
        </w:rPr>
      </w:pPr>
      <w:r w:rsidRPr="004311F9">
        <w:rPr>
          <w:szCs w:val="22"/>
          <w:lang w:val="hu-HU"/>
        </w:rPr>
        <w:t>EU/1/16/1098/002</w:t>
      </w:r>
    </w:p>
    <w:p w14:paraId="3857D171" w14:textId="77777777" w:rsidR="00E74F5A" w:rsidRPr="004311F9" w:rsidRDefault="00E74F5A" w:rsidP="004F06B3">
      <w:pPr>
        <w:keepNext/>
        <w:spacing w:line="240" w:lineRule="auto"/>
        <w:rPr>
          <w:szCs w:val="22"/>
          <w:lang w:val="hu-HU"/>
        </w:rPr>
      </w:pPr>
      <w:r w:rsidRPr="004311F9">
        <w:rPr>
          <w:szCs w:val="22"/>
          <w:lang w:val="hu-HU"/>
        </w:rPr>
        <w:t>EU/1/16/1098/003</w:t>
      </w:r>
    </w:p>
    <w:p w14:paraId="1C0AB239" w14:textId="77777777" w:rsidR="00E74F5A" w:rsidRPr="004311F9" w:rsidRDefault="00E74F5A" w:rsidP="004F06B3">
      <w:pPr>
        <w:keepNext/>
        <w:spacing w:line="240" w:lineRule="auto"/>
        <w:rPr>
          <w:szCs w:val="22"/>
          <w:lang w:val="hu-HU"/>
        </w:rPr>
      </w:pPr>
      <w:r w:rsidRPr="004311F9">
        <w:rPr>
          <w:szCs w:val="22"/>
          <w:lang w:val="hu-HU"/>
        </w:rPr>
        <w:t>EU/1/16/1098/004</w:t>
      </w:r>
    </w:p>
    <w:p w14:paraId="6163E3D6" w14:textId="77777777" w:rsidR="00E74F5A" w:rsidRPr="004311F9" w:rsidRDefault="00E74F5A" w:rsidP="00DC4CB1">
      <w:pPr>
        <w:spacing w:line="240" w:lineRule="auto"/>
        <w:rPr>
          <w:szCs w:val="22"/>
          <w:lang w:val="hu-HU"/>
        </w:rPr>
      </w:pPr>
      <w:r w:rsidRPr="004311F9">
        <w:rPr>
          <w:szCs w:val="22"/>
          <w:lang w:val="hu-HU"/>
        </w:rPr>
        <w:t>EU/1/16/1098/005</w:t>
      </w:r>
    </w:p>
    <w:p w14:paraId="50286C3F" w14:textId="77777777" w:rsidR="00E74F5A" w:rsidRPr="004311F9" w:rsidRDefault="00E74F5A" w:rsidP="00DC4CB1">
      <w:pPr>
        <w:spacing w:line="240" w:lineRule="auto"/>
        <w:rPr>
          <w:szCs w:val="22"/>
          <w:lang w:val="hu-HU"/>
        </w:rPr>
      </w:pPr>
    </w:p>
    <w:p w14:paraId="39CD8F1E" w14:textId="77777777" w:rsidR="00E74F5A" w:rsidRPr="004311F9" w:rsidRDefault="00E74F5A" w:rsidP="00DC4CB1">
      <w:pPr>
        <w:spacing w:line="240" w:lineRule="auto"/>
        <w:rPr>
          <w:rFonts w:eastAsia="Times New Roman"/>
          <w:szCs w:val="24"/>
          <w:lang w:val="hu-HU"/>
        </w:rPr>
      </w:pPr>
    </w:p>
    <w:p w14:paraId="1DF850C3" w14:textId="77777777" w:rsidR="00E74F5A" w:rsidRPr="004311F9" w:rsidRDefault="00E74F5A" w:rsidP="00DC4CB1">
      <w:pPr>
        <w:keepNext/>
        <w:spacing w:line="240" w:lineRule="auto"/>
        <w:ind w:left="567" w:hanging="567"/>
        <w:rPr>
          <w:szCs w:val="24"/>
          <w:lang w:val="hu-HU"/>
        </w:rPr>
      </w:pPr>
      <w:r w:rsidRPr="004311F9">
        <w:rPr>
          <w:b/>
          <w:szCs w:val="24"/>
          <w:lang w:val="hu-HU"/>
        </w:rPr>
        <w:t>9.</w:t>
      </w:r>
      <w:r w:rsidRPr="004311F9">
        <w:rPr>
          <w:b/>
          <w:szCs w:val="24"/>
          <w:lang w:val="hu-HU"/>
        </w:rPr>
        <w:tab/>
        <w:t>A FORGALOMBA HOZATALI ENGEDÉLY ELSŐ KIADÁSÁNAK/ MEGÚJÍTÁSÁNAK DÁTUMA</w:t>
      </w:r>
    </w:p>
    <w:p w14:paraId="5A3EFAAA" w14:textId="77777777" w:rsidR="00E74F5A" w:rsidRPr="004311F9" w:rsidRDefault="00E74F5A" w:rsidP="00DC4CB1">
      <w:pPr>
        <w:keepNext/>
        <w:spacing w:line="240" w:lineRule="auto"/>
        <w:rPr>
          <w:rFonts w:eastAsia="Times New Roman"/>
          <w:i/>
          <w:szCs w:val="24"/>
          <w:lang w:val="hu-HU"/>
        </w:rPr>
      </w:pPr>
    </w:p>
    <w:p w14:paraId="3D2343F1" w14:textId="77777777" w:rsidR="00E74F5A" w:rsidRPr="004311F9" w:rsidRDefault="00E74F5A" w:rsidP="005325DB">
      <w:pPr>
        <w:keepNext/>
        <w:spacing w:line="240" w:lineRule="auto"/>
        <w:rPr>
          <w:i/>
          <w:szCs w:val="24"/>
          <w:lang w:val="hu-HU"/>
        </w:rPr>
      </w:pPr>
      <w:r w:rsidRPr="004311F9">
        <w:rPr>
          <w:szCs w:val="24"/>
          <w:lang w:val="hu-HU"/>
        </w:rPr>
        <w:t>A forgalomba hozatali engedély első kiadásának dátuma:</w:t>
      </w:r>
      <w:r w:rsidRPr="004311F9">
        <w:rPr>
          <w:lang w:val="hu-HU"/>
        </w:rPr>
        <w:t xml:space="preserve"> 2016. május 12.</w:t>
      </w:r>
    </w:p>
    <w:p w14:paraId="0CF25BE1" w14:textId="5261A0FF" w:rsidR="00E74F5A" w:rsidRPr="004311F9" w:rsidRDefault="005325DB" w:rsidP="00DC4CB1">
      <w:pPr>
        <w:spacing w:line="240" w:lineRule="auto"/>
        <w:rPr>
          <w:lang w:val="hu-HU"/>
        </w:rPr>
      </w:pPr>
      <w:r w:rsidRPr="004311F9">
        <w:rPr>
          <w:lang w:val="hu-HU"/>
        </w:rPr>
        <w:t>A forgalomba hozatali engedély legutóbbi megújításának dátuma:</w:t>
      </w:r>
    </w:p>
    <w:p w14:paraId="066A282A" w14:textId="77777777" w:rsidR="005325DB" w:rsidRPr="004311F9" w:rsidRDefault="005325DB" w:rsidP="00DC4CB1">
      <w:pPr>
        <w:spacing w:line="240" w:lineRule="auto"/>
        <w:rPr>
          <w:rFonts w:eastAsia="Times New Roman"/>
          <w:szCs w:val="24"/>
          <w:lang w:val="hu-HU"/>
        </w:rPr>
      </w:pPr>
    </w:p>
    <w:p w14:paraId="48BB8CB9" w14:textId="77777777" w:rsidR="00E74F5A" w:rsidRPr="004311F9" w:rsidRDefault="00E74F5A" w:rsidP="00DC4CB1">
      <w:pPr>
        <w:spacing w:line="240" w:lineRule="auto"/>
        <w:rPr>
          <w:rFonts w:eastAsia="Times New Roman"/>
          <w:szCs w:val="24"/>
          <w:lang w:val="hu-HU"/>
        </w:rPr>
      </w:pPr>
    </w:p>
    <w:p w14:paraId="5E1261B5" w14:textId="77777777" w:rsidR="00E74F5A" w:rsidRPr="004311F9" w:rsidRDefault="00E74F5A" w:rsidP="00DC4CB1">
      <w:pPr>
        <w:keepNext/>
        <w:spacing w:line="240" w:lineRule="auto"/>
        <w:ind w:left="567" w:hanging="567"/>
        <w:rPr>
          <w:b/>
          <w:szCs w:val="24"/>
          <w:lang w:val="hu-HU"/>
        </w:rPr>
      </w:pPr>
      <w:r w:rsidRPr="004311F9">
        <w:rPr>
          <w:b/>
          <w:szCs w:val="24"/>
          <w:lang w:val="hu-HU"/>
        </w:rPr>
        <w:t>10.</w:t>
      </w:r>
      <w:r w:rsidRPr="004311F9">
        <w:rPr>
          <w:b/>
          <w:szCs w:val="24"/>
          <w:lang w:val="hu-HU"/>
        </w:rPr>
        <w:tab/>
        <w:t>A SZÖVEG ELLENŐRZÉSÉNEK DÁTUMA</w:t>
      </w:r>
    </w:p>
    <w:p w14:paraId="023B480E" w14:textId="77777777" w:rsidR="00E74F5A" w:rsidRPr="004311F9" w:rsidRDefault="00E74F5A" w:rsidP="00DC4CB1">
      <w:pPr>
        <w:keepNext/>
        <w:numPr>
          <w:ilvl w:val="12"/>
          <w:numId w:val="0"/>
        </w:numPr>
        <w:spacing w:line="240" w:lineRule="auto"/>
        <w:rPr>
          <w:rFonts w:eastAsia="Times New Roman"/>
          <w:szCs w:val="24"/>
          <w:lang w:val="hu-HU"/>
        </w:rPr>
      </w:pPr>
    </w:p>
    <w:p w14:paraId="3747F8C2" w14:textId="5F67A524" w:rsidR="00E74F5A" w:rsidRPr="004311F9" w:rsidRDefault="00E74F5A" w:rsidP="00DC4CB1">
      <w:pPr>
        <w:numPr>
          <w:ilvl w:val="12"/>
          <w:numId w:val="0"/>
        </w:numPr>
        <w:spacing w:line="240" w:lineRule="auto"/>
        <w:ind w:right="-2"/>
        <w:rPr>
          <w:iCs/>
          <w:szCs w:val="22"/>
          <w:lang w:val="hu-HU"/>
        </w:rPr>
      </w:pPr>
    </w:p>
    <w:p w14:paraId="43B922D1" w14:textId="77777777" w:rsidR="00E74F5A" w:rsidRPr="004311F9" w:rsidRDefault="00E74F5A" w:rsidP="00DC4CB1">
      <w:pPr>
        <w:numPr>
          <w:ilvl w:val="12"/>
          <w:numId w:val="0"/>
        </w:numPr>
        <w:spacing w:line="240" w:lineRule="auto"/>
        <w:ind w:right="-2"/>
        <w:rPr>
          <w:szCs w:val="24"/>
          <w:lang w:val="hu-HU"/>
        </w:rPr>
      </w:pPr>
      <w:r w:rsidRPr="004311F9">
        <w:rPr>
          <w:szCs w:val="24"/>
          <w:lang w:val="hu-HU"/>
        </w:rPr>
        <w:t>A gyógyszerről részletes információ az Európai Gyógyszerügynökség internetes honlapján (</w:t>
      </w:r>
      <w:hyperlink r:id="rId24" w:history="1">
        <w:r w:rsidRPr="004311F9">
          <w:rPr>
            <w:rStyle w:val="Hyperlink"/>
            <w:lang w:val="hu-HU"/>
          </w:rPr>
          <w:t>http://www.ema.europa.eu</w:t>
        </w:r>
      </w:hyperlink>
      <w:r w:rsidRPr="004311F9">
        <w:rPr>
          <w:szCs w:val="24"/>
          <w:lang w:val="hu-HU"/>
        </w:rPr>
        <w:t>)</w:t>
      </w:r>
      <w:r w:rsidRPr="004311F9">
        <w:rPr>
          <w:i/>
          <w:szCs w:val="24"/>
          <w:lang w:val="hu-HU"/>
        </w:rPr>
        <w:t xml:space="preserve"> </w:t>
      </w:r>
      <w:r w:rsidRPr="004311F9">
        <w:rPr>
          <w:szCs w:val="24"/>
          <w:lang w:val="hu-HU"/>
        </w:rPr>
        <w:t>található</w:t>
      </w:r>
      <w:r w:rsidRPr="004311F9">
        <w:rPr>
          <w:i/>
          <w:szCs w:val="24"/>
          <w:lang w:val="hu-HU"/>
        </w:rPr>
        <w:t>.</w:t>
      </w:r>
    </w:p>
    <w:p w14:paraId="30798611" w14:textId="77777777" w:rsidR="00E74F5A" w:rsidRPr="004311F9" w:rsidRDefault="00E74F5A" w:rsidP="00DC4CB1">
      <w:pPr>
        <w:spacing w:line="240" w:lineRule="auto"/>
        <w:rPr>
          <w:rFonts w:eastAsia="Times New Roman"/>
          <w:szCs w:val="24"/>
          <w:lang w:val="hu-HU"/>
        </w:rPr>
      </w:pPr>
      <w:r w:rsidRPr="004311F9">
        <w:rPr>
          <w:rFonts w:eastAsia="Times New Roman"/>
          <w:szCs w:val="24"/>
          <w:lang w:val="hu-HU"/>
        </w:rPr>
        <w:br w:type="page"/>
      </w:r>
    </w:p>
    <w:p w14:paraId="4119015C" w14:textId="77777777" w:rsidR="00E74F5A" w:rsidRPr="004311F9" w:rsidRDefault="00E74F5A" w:rsidP="00DC4CB1">
      <w:pPr>
        <w:spacing w:line="240" w:lineRule="auto"/>
        <w:rPr>
          <w:rFonts w:eastAsia="Times New Roman"/>
          <w:szCs w:val="24"/>
          <w:lang w:val="hu-HU"/>
        </w:rPr>
      </w:pPr>
    </w:p>
    <w:p w14:paraId="7755EF53" w14:textId="77777777" w:rsidR="00E74F5A" w:rsidRPr="004311F9" w:rsidRDefault="00E74F5A" w:rsidP="00DC4CB1">
      <w:pPr>
        <w:spacing w:line="240" w:lineRule="auto"/>
        <w:rPr>
          <w:rFonts w:eastAsia="Times New Roman"/>
          <w:szCs w:val="24"/>
          <w:lang w:val="hu-HU"/>
        </w:rPr>
      </w:pPr>
    </w:p>
    <w:p w14:paraId="36CB393D" w14:textId="77777777" w:rsidR="00E74F5A" w:rsidRPr="004311F9" w:rsidRDefault="00E74F5A" w:rsidP="00DC4CB1">
      <w:pPr>
        <w:spacing w:line="240" w:lineRule="auto"/>
        <w:rPr>
          <w:rFonts w:eastAsia="Times New Roman"/>
          <w:szCs w:val="24"/>
          <w:lang w:val="hu-HU"/>
        </w:rPr>
      </w:pPr>
    </w:p>
    <w:p w14:paraId="2D5FBD31" w14:textId="77777777" w:rsidR="00E74F5A" w:rsidRPr="004311F9" w:rsidRDefault="00E74F5A" w:rsidP="00DC4CB1">
      <w:pPr>
        <w:spacing w:line="240" w:lineRule="auto"/>
        <w:rPr>
          <w:rFonts w:eastAsia="Times New Roman"/>
          <w:szCs w:val="24"/>
          <w:lang w:val="hu-HU"/>
        </w:rPr>
      </w:pPr>
    </w:p>
    <w:p w14:paraId="4CE9C715" w14:textId="77777777" w:rsidR="00E74F5A" w:rsidRPr="004311F9" w:rsidRDefault="00E74F5A" w:rsidP="00DC4CB1">
      <w:pPr>
        <w:spacing w:line="240" w:lineRule="auto"/>
        <w:rPr>
          <w:rFonts w:eastAsia="Times New Roman"/>
          <w:szCs w:val="24"/>
          <w:lang w:val="hu-HU"/>
        </w:rPr>
      </w:pPr>
    </w:p>
    <w:p w14:paraId="3F875901" w14:textId="77777777" w:rsidR="00E74F5A" w:rsidRPr="004311F9" w:rsidRDefault="00E74F5A" w:rsidP="00DC4CB1">
      <w:pPr>
        <w:spacing w:line="240" w:lineRule="auto"/>
        <w:rPr>
          <w:rFonts w:eastAsia="Times New Roman"/>
          <w:szCs w:val="24"/>
          <w:lang w:val="hu-HU"/>
        </w:rPr>
      </w:pPr>
    </w:p>
    <w:p w14:paraId="466E562D" w14:textId="77777777" w:rsidR="00E74F5A" w:rsidRPr="004311F9" w:rsidRDefault="00E74F5A" w:rsidP="00DC4CB1">
      <w:pPr>
        <w:spacing w:line="240" w:lineRule="auto"/>
        <w:rPr>
          <w:rFonts w:eastAsia="Times New Roman"/>
          <w:szCs w:val="24"/>
          <w:lang w:val="hu-HU"/>
        </w:rPr>
      </w:pPr>
    </w:p>
    <w:p w14:paraId="11ECDBE2" w14:textId="77777777" w:rsidR="00E74F5A" w:rsidRPr="004311F9" w:rsidRDefault="00E74F5A" w:rsidP="00DC4CB1">
      <w:pPr>
        <w:spacing w:line="240" w:lineRule="auto"/>
        <w:rPr>
          <w:rFonts w:eastAsia="Times New Roman"/>
          <w:szCs w:val="24"/>
          <w:lang w:val="hu-HU"/>
        </w:rPr>
      </w:pPr>
    </w:p>
    <w:p w14:paraId="46BC3748" w14:textId="77777777" w:rsidR="00E74F5A" w:rsidRPr="004311F9" w:rsidRDefault="00E74F5A" w:rsidP="00DC4CB1">
      <w:pPr>
        <w:spacing w:line="240" w:lineRule="auto"/>
        <w:rPr>
          <w:rFonts w:eastAsia="Times New Roman"/>
          <w:szCs w:val="24"/>
          <w:lang w:val="hu-HU"/>
        </w:rPr>
      </w:pPr>
    </w:p>
    <w:p w14:paraId="3DA19841" w14:textId="77777777" w:rsidR="00E74F5A" w:rsidRPr="004311F9" w:rsidRDefault="00E74F5A" w:rsidP="00DC4CB1">
      <w:pPr>
        <w:spacing w:line="240" w:lineRule="auto"/>
        <w:rPr>
          <w:rFonts w:eastAsia="Times New Roman"/>
          <w:szCs w:val="24"/>
          <w:lang w:val="hu-HU"/>
        </w:rPr>
      </w:pPr>
    </w:p>
    <w:p w14:paraId="7B5AB9F2" w14:textId="77777777" w:rsidR="00E74F5A" w:rsidRPr="004311F9" w:rsidRDefault="00E74F5A" w:rsidP="00DC4CB1">
      <w:pPr>
        <w:spacing w:line="240" w:lineRule="auto"/>
        <w:rPr>
          <w:rFonts w:eastAsia="Times New Roman"/>
          <w:szCs w:val="24"/>
          <w:lang w:val="hu-HU"/>
        </w:rPr>
      </w:pPr>
    </w:p>
    <w:p w14:paraId="629C6BED" w14:textId="77777777" w:rsidR="00E74F5A" w:rsidRPr="004311F9" w:rsidRDefault="00E74F5A" w:rsidP="00DC4CB1">
      <w:pPr>
        <w:spacing w:line="240" w:lineRule="auto"/>
        <w:rPr>
          <w:rFonts w:eastAsia="Times New Roman"/>
          <w:szCs w:val="24"/>
          <w:lang w:val="hu-HU"/>
        </w:rPr>
      </w:pPr>
    </w:p>
    <w:p w14:paraId="25E55C69" w14:textId="77777777" w:rsidR="00E74F5A" w:rsidRPr="004311F9" w:rsidRDefault="00E74F5A" w:rsidP="00DC4CB1">
      <w:pPr>
        <w:spacing w:line="240" w:lineRule="auto"/>
        <w:rPr>
          <w:rFonts w:eastAsia="Times New Roman"/>
          <w:szCs w:val="24"/>
          <w:lang w:val="hu-HU"/>
        </w:rPr>
      </w:pPr>
    </w:p>
    <w:p w14:paraId="6B16DE8A" w14:textId="77777777" w:rsidR="00E74F5A" w:rsidRPr="004311F9" w:rsidRDefault="00E74F5A" w:rsidP="00DC4CB1">
      <w:pPr>
        <w:spacing w:line="240" w:lineRule="auto"/>
        <w:rPr>
          <w:rFonts w:eastAsia="Times New Roman"/>
          <w:szCs w:val="24"/>
          <w:lang w:val="hu-HU"/>
        </w:rPr>
      </w:pPr>
    </w:p>
    <w:p w14:paraId="67644F63" w14:textId="77777777" w:rsidR="00E74F5A" w:rsidRPr="004311F9" w:rsidRDefault="00E74F5A" w:rsidP="00DC4CB1">
      <w:pPr>
        <w:spacing w:line="240" w:lineRule="auto"/>
        <w:rPr>
          <w:rFonts w:eastAsia="Times New Roman"/>
          <w:szCs w:val="24"/>
          <w:lang w:val="hu-HU"/>
        </w:rPr>
      </w:pPr>
    </w:p>
    <w:p w14:paraId="0E468187" w14:textId="77777777" w:rsidR="00E74F5A" w:rsidRPr="004311F9" w:rsidRDefault="00E74F5A" w:rsidP="00DC4CB1">
      <w:pPr>
        <w:spacing w:line="240" w:lineRule="auto"/>
        <w:rPr>
          <w:rFonts w:eastAsia="Times New Roman"/>
          <w:szCs w:val="24"/>
          <w:lang w:val="hu-HU"/>
        </w:rPr>
      </w:pPr>
    </w:p>
    <w:p w14:paraId="41E3D57C" w14:textId="77777777" w:rsidR="00E74F5A" w:rsidRPr="004311F9" w:rsidRDefault="00E74F5A" w:rsidP="00DC4CB1">
      <w:pPr>
        <w:spacing w:line="240" w:lineRule="auto"/>
        <w:rPr>
          <w:rFonts w:eastAsia="Times New Roman"/>
          <w:szCs w:val="24"/>
          <w:lang w:val="hu-HU"/>
        </w:rPr>
      </w:pPr>
    </w:p>
    <w:p w14:paraId="5C81CDC9" w14:textId="77777777" w:rsidR="00E74F5A" w:rsidRPr="004311F9" w:rsidRDefault="00E74F5A" w:rsidP="00DC4CB1">
      <w:pPr>
        <w:spacing w:line="240" w:lineRule="auto"/>
        <w:rPr>
          <w:rFonts w:eastAsia="Times New Roman"/>
          <w:szCs w:val="24"/>
          <w:lang w:val="hu-HU"/>
        </w:rPr>
      </w:pPr>
    </w:p>
    <w:p w14:paraId="7AC08CC1" w14:textId="77777777" w:rsidR="00E74F5A" w:rsidRPr="004311F9" w:rsidRDefault="00E74F5A" w:rsidP="00DC4CB1">
      <w:pPr>
        <w:spacing w:line="240" w:lineRule="auto"/>
        <w:rPr>
          <w:rFonts w:eastAsia="Times New Roman"/>
          <w:szCs w:val="24"/>
          <w:lang w:val="hu-HU"/>
        </w:rPr>
      </w:pPr>
    </w:p>
    <w:p w14:paraId="47E4C82A" w14:textId="77777777" w:rsidR="00E74F5A" w:rsidRPr="004311F9" w:rsidRDefault="00E74F5A" w:rsidP="00DC4CB1">
      <w:pPr>
        <w:spacing w:line="240" w:lineRule="auto"/>
        <w:rPr>
          <w:rFonts w:eastAsia="Times New Roman"/>
          <w:szCs w:val="24"/>
          <w:lang w:val="hu-HU"/>
        </w:rPr>
      </w:pPr>
    </w:p>
    <w:p w14:paraId="2EDFDD6F" w14:textId="77777777" w:rsidR="00E74F5A" w:rsidRPr="004311F9" w:rsidRDefault="00E74F5A" w:rsidP="00DC4CB1">
      <w:pPr>
        <w:spacing w:line="240" w:lineRule="auto"/>
        <w:rPr>
          <w:rFonts w:eastAsia="Times New Roman"/>
          <w:szCs w:val="24"/>
          <w:lang w:val="hu-HU"/>
        </w:rPr>
      </w:pPr>
    </w:p>
    <w:p w14:paraId="5D3EAD8F" w14:textId="388BE0E2" w:rsidR="00E74F5A" w:rsidRPr="004311F9" w:rsidRDefault="00E74F5A" w:rsidP="00DC4CB1">
      <w:pPr>
        <w:spacing w:line="240" w:lineRule="auto"/>
        <w:rPr>
          <w:rFonts w:eastAsia="Times New Roman"/>
          <w:szCs w:val="24"/>
          <w:lang w:val="hu-HU"/>
        </w:rPr>
      </w:pPr>
    </w:p>
    <w:p w14:paraId="693F165D" w14:textId="77777777" w:rsidR="00335696" w:rsidRPr="004311F9" w:rsidRDefault="00335696" w:rsidP="00DC4CB1">
      <w:pPr>
        <w:spacing w:line="240" w:lineRule="auto"/>
        <w:rPr>
          <w:rFonts w:eastAsia="Times New Roman"/>
          <w:szCs w:val="24"/>
          <w:lang w:val="hu-HU"/>
        </w:rPr>
      </w:pPr>
    </w:p>
    <w:p w14:paraId="489536AB" w14:textId="77777777" w:rsidR="00E74F5A" w:rsidRPr="004311F9" w:rsidRDefault="00E74F5A" w:rsidP="00306346">
      <w:pPr>
        <w:spacing w:line="240" w:lineRule="auto"/>
        <w:jc w:val="center"/>
        <w:rPr>
          <w:rFonts w:eastAsia="Times New Roman"/>
          <w:b/>
          <w:szCs w:val="24"/>
          <w:lang w:val="hu-HU"/>
        </w:rPr>
      </w:pPr>
      <w:r w:rsidRPr="004311F9">
        <w:rPr>
          <w:rFonts w:eastAsia="Times New Roman"/>
          <w:b/>
          <w:szCs w:val="24"/>
          <w:lang w:val="hu-HU"/>
        </w:rPr>
        <w:t>II. MELLÉKLET</w:t>
      </w:r>
    </w:p>
    <w:p w14:paraId="1F5F114B" w14:textId="77777777" w:rsidR="00E74F5A" w:rsidRPr="004311F9" w:rsidRDefault="00E74F5A" w:rsidP="00DC4CB1">
      <w:pPr>
        <w:spacing w:line="240" w:lineRule="auto"/>
        <w:ind w:right="1416"/>
        <w:rPr>
          <w:rFonts w:eastAsia="Times New Roman"/>
          <w:szCs w:val="24"/>
          <w:lang w:val="hu-HU"/>
        </w:rPr>
      </w:pPr>
    </w:p>
    <w:p w14:paraId="1D27358D" w14:textId="77777777" w:rsidR="00E74F5A" w:rsidRPr="004311F9" w:rsidRDefault="00E74F5A" w:rsidP="00DE21FD">
      <w:pPr>
        <w:spacing w:line="240" w:lineRule="auto"/>
        <w:ind w:left="1701" w:right="1416" w:hanging="708"/>
        <w:rPr>
          <w:rFonts w:eastAsia="Times New Roman"/>
          <w:b/>
          <w:szCs w:val="24"/>
          <w:lang w:val="hu-HU"/>
        </w:rPr>
      </w:pPr>
      <w:r w:rsidRPr="004311F9">
        <w:rPr>
          <w:rFonts w:eastAsia="Times New Roman"/>
          <w:b/>
          <w:szCs w:val="24"/>
          <w:lang w:val="hu-HU"/>
        </w:rPr>
        <w:t>A.</w:t>
      </w:r>
      <w:r w:rsidRPr="004311F9">
        <w:rPr>
          <w:rFonts w:eastAsia="Times New Roman"/>
          <w:b/>
          <w:szCs w:val="24"/>
          <w:lang w:val="hu-HU"/>
        </w:rPr>
        <w:tab/>
      </w:r>
      <w:r w:rsidRPr="004311F9">
        <w:rPr>
          <w:b/>
          <w:szCs w:val="24"/>
          <w:lang w:val="hu-HU"/>
        </w:rPr>
        <w:t>A BIOLÓGIAI EREDETŰ HATÓANYAG GYÁRTÓI ÉS A GYÁRTÁSI TÉTELEK VÉGFELSZABADÍTÁSÁÉRT FELELŐS GYÁRTÓ</w:t>
      </w:r>
    </w:p>
    <w:p w14:paraId="043E2AC2" w14:textId="77777777" w:rsidR="00E74F5A" w:rsidRPr="004311F9" w:rsidRDefault="00E74F5A" w:rsidP="00DC4CB1">
      <w:pPr>
        <w:spacing w:line="240" w:lineRule="auto"/>
        <w:ind w:right="1416"/>
        <w:rPr>
          <w:rFonts w:eastAsia="Times New Roman"/>
          <w:b/>
          <w:szCs w:val="24"/>
          <w:lang w:val="hu-HU"/>
        </w:rPr>
      </w:pPr>
    </w:p>
    <w:p w14:paraId="5FFB015B" w14:textId="77777777" w:rsidR="00E74F5A" w:rsidRPr="004311F9" w:rsidRDefault="00E74F5A" w:rsidP="00DC4CB1">
      <w:pPr>
        <w:spacing w:line="240" w:lineRule="auto"/>
        <w:ind w:left="1701" w:right="1416" w:hanging="708"/>
        <w:rPr>
          <w:rFonts w:eastAsia="Times New Roman"/>
          <w:b/>
          <w:szCs w:val="24"/>
          <w:lang w:val="hu-HU"/>
        </w:rPr>
      </w:pPr>
      <w:r w:rsidRPr="004311F9">
        <w:rPr>
          <w:rFonts w:eastAsia="Times New Roman"/>
          <w:b/>
          <w:szCs w:val="24"/>
          <w:lang w:val="hu-HU"/>
        </w:rPr>
        <w:t>B.</w:t>
      </w:r>
      <w:r w:rsidRPr="004311F9">
        <w:rPr>
          <w:rFonts w:eastAsia="Times New Roman"/>
          <w:b/>
          <w:szCs w:val="24"/>
          <w:lang w:val="hu-HU"/>
        </w:rPr>
        <w:tab/>
        <w:t xml:space="preserve">FELTÉTELEK VAGY KORLÁTOZÁSOK AZ ELLÁTÁS ÉS HASZNÁLAT KAPCSÁN </w:t>
      </w:r>
    </w:p>
    <w:p w14:paraId="3B6FF8B2" w14:textId="77777777" w:rsidR="00E74F5A" w:rsidRPr="004311F9" w:rsidRDefault="00E74F5A" w:rsidP="00DC4CB1">
      <w:pPr>
        <w:spacing w:line="240" w:lineRule="auto"/>
        <w:ind w:right="1416"/>
        <w:rPr>
          <w:rFonts w:eastAsia="Times New Roman"/>
          <w:b/>
          <w:szCs w:val="24"/>
          <w:lang w:val="hu-HU"/>
        </w:rPr>
      </w:pPr>
    </w:p>
    <w:p w14:paraId="51A48913" w14:textId="77777777" w:rsidR="00E74F5A" w:rsidRPr="004311F9" w:rsidRDefault="00E74F5A" w:rsidP="00DC4CB1">
      <w:pPr>
        <w:spacing w:line="240" w:lineRule="auto"/>
        <w:ind w:left="1701" w:right="1416" w:hanging="708"/>
        <w:rPr>
          <w:rFonts w:eastAsia="Times New Roman"/>
          <w:b/>
          <w:szCs w:val="24"/>
          <w:lang w:val="hu-HU"/>
        </w:rPr>
      </w:pPr>
      <w:r w:rsidRPr="004311F9">
        <w:rPr>
          <w:rFonts w:eastAsia="Times New Roman"/>
          <w:b/>
          <w:szCs w:val="24"/>
          <w:lang w:val="hu-HU"/>
        </w:rPr>
        <w:t>C.</w:t>
      </w:r>
      <w:r w:rsidRPr="004311F9">
        <w:rPr>
          <w:rFonts w:eastAsia="Times New Roman"/>
          <w:b/>
          <w:szCs w:val="24"/>
          <w:lang w:val="hu-HU"/>
        </w:rPr>
        <w:tab/>
        <w:t>A FORGALOMBA HOZATALI ENGEDÉLY EGYÉB FELTÉTELEI ÉS KÖVETELMÉNYEI</w:t>
      </w:r>
    </w:p>
    <w:p w14:paraId="302B7186" w14:textId="77777777" w:rsidR="00E74F5A" w:rsidRPr="004311F9" w:rsidRDefault="00E74F5A" w:rsidP="00DC4CB1">
      <w:pPr>
        <w:spacing w:line="240" w:lineRule="auto"/>
        <w:ind w:right="1416"/>
        <w:rPr>
          <w:rFonts w:eastAsia="Times New Roman"/>
          <w:b/>
          <w:szCs w:val="24"/>
          <w:lang w:val="hu-HU"/>
        </w:rPr>
      </w:pPr>
    </w:p>
    <w:p w14:paraId="0DAEF06F" w14:textId="77777777" w:rsidR="00E74F5A" w:rsidRPr="004311F9" w:rsidRDefault="00E74F5A" w:rsidP="00DC4CB1">
      <w:pPr>
        <w:spacing w:line="240" w:lineRule="auto"/>
        <w:ind w:left="1701" w:right="1416" w:hanging="708"/>
        <w:rPr>
          <w:rFonts w:eastAsia="Times New Roman"/>
          <w:b/>
          <w:szCs w:val="24"/>
          <w:lang w:val="hu-HU"/>
        </w:rPr>
      </w:pPr>
      <w:r w:rsidRPr="004311F9">
        <w:rPr>
          <w:rFonts w:eastAsia="Times New Roman"/>
          <w:b/>
          <w:szCs w:val="24"/>
          <w:lang w:val="hu-HU"/>
        </w:rPr>
        <w:t>D.</w:t>
      </w:r>
      <w:r w:rsidRPr="004311F9">
        <w:rPr>
          <w:rFonts w:eastAsia="Times New Roman"/>
          <w:b/>
          <w:szCs w:val="24"/>
          <w:lang w:val="hu-HU"/>
        </w:rPr>
        <w:tab/>
        <w:t>FELTÉTELEK VAGY KORLÁTOZÁSOK A GYÓGYSZER BIZTONSÁGOS ÉS HATÉKONY ALKALMAZÁSÁRA VONATKOZÓAN</w:t>
      </w:r>
    </w:p>
    <w:p w14:paraId="0B4A8222" w14:textId="77777777" w:rsidR="00E74F5A" w:rsidRPr="004311F9" w:rsidRDefault="00E74F5A" w:rsidP="00224CF7">
      <w:pPr>
        <w:pStyle w:val="TitleB"/>
        <w:keepNext/>
        <w:rPr>
          <w:lang w:val="hu-HU"/>
        </w:rPr>
      </w:pPr>
      <w:r w:rsidRPr="004311F9">
        <w:rPr>
          <w:lang w:val="hu-HU"/>
        </w:rPr>
        <w:br w:type="page"/>
      </w:r>
      <w:r w:rsidRPr="004311F9">
        <w:rPr>
          <w:lang w:val="hu-HU"/>
        </w:rPr>
        <w:lastRenderedPageBreak/>
        <w:t>A.</w:t>
      </w:r>
      <w:r w:rsidRPr="004311F9">
        <w:rPr>
          <w:lang w:val="hu-HU"/>
        </w:rPr>
        <w:tab/>
        <w:t>A BIOLÓGIAI EREDETŰ HATÓANYAG GYÁRTÓI ÉS A GYÁRTÁSI TÉTELEK VÉGFELSZABADÍTÁSÁÉRT FELELŐS GYÁRTÓ(K)</w:t>
      </w:r>
    </w:p>
    <w:p w14:paraId="446F017B" w14:textId="77777777" w:rsidR="00E74F5A" w:rsidRPr="004311F9" w:rsidRDefault="00E74F5A" w:rsidP="00224CF7">
      <w:pPr>
        <w:spacing w:line="240" w:lineRule="auto"/>
        <w:rPr>
          <w:lang w:val="hu-HU"/>
        </w:rPr>
      </w:pPr>
    </w:p>
    <w:p w14:paraId="7198AF30" w14:textId="77777777" w:rsidR="00E74F5A" w:rsidRPr="004311F9" w:rsidRDefault="00E74F5A" w:rsidP="00224CF7">
      <w:pPr>
        <w:spacing w:line="240" w:lineRule="auto"/>
        <w:rPr>
          <w:u w:val="single"/>
          <w:lang w:val="hu-HU"/>
        </w:rPr>
      </w:pPr>
      <w:r w:rsidRPr="004311F9">
        <w:rPr>
          <w:u w:val="single"/>
          <w:lang w:val="hu-HU"/>
        </w:rPr>
        <w:t>A biológiai eredetű hatóanyag gyártójának neve és címe</w:t>
      </w:r>
    </w:p>
    <w:p w14:paraId="0985A6AC" w14:textId="77777777" w:rsidR="00E74F5A" w:rsidRPr="004311F9" w:rsidRDefault="00E74F5A" w:rsidP="00224CF7">
      <w:pPr>
        <w:spacing w:line="240" w:lineRule="auto"/>
        <w:rPr>
          <w:lang w:val="hu-HU"/>
        </w:rPr>
      </w:pPr>
    </w:p>
    <w:p w14:paraId="6757CD0E" w14:textId="77777777" w:rsidR="00E74F5A" w:rsidRPr="004311F9" w:rsidRDefault="00E74F5A" w:rsidP="00224CF7">
      <w:pPr>
        <w:spacing w:line="240" w:lineRule="auto"/>
        <w:rPr>
          <w:szCs w:val="22"/>
          <w:lang w:val="hu-HU"/>
        </w:rPr>
      </w:pPr>
      <w:r w:rsidRPr="004311F9">
        <w:rPr>
          <w:szCs w:val="22"/>
          <w:lang w:val="hu-HU"/>
        </w:rPr>
        <w:t>Biogen Inc</w:t>
      </w:r>
    </w:p>
    <w:p w14:paraId="2E62713F" w14:textId="77777777" w:rsidR="00E74F5A" w:rsidRPr="004311F9" w:rsidRDefault="00E74F5A" w:rsidP="00224CF7">
      <w:pPr>
        <w:autoSpaceDE w:val="0"/>
        <w:autoSpaceDN w:val="0"/>
        <w:adjustRightInd w:val="0"/>
        <w:spacing w:line="240" w:lineRule="auto"/>
        <w:rPr>
          <w:lang w:val="hu-HU"/>
        </w:rPr>
      </w:pPr>
      <w:r w:rsidRPr="004311F9">
        <w:rPr>
          <w:lang w:val="hu-HU"/>
        </w:rPr>
        <w:t>5000 Davis Drive</w:t>
      </w:r>
    </w:p>
    <w:p w14:paraId="119F4B97" w14:textId="77777777" w:rsidR="00E74F5A" w:rsidRPr="004311F9" w:rsidRDefault="00E74F5A" w:rsidP="00224CF7">
      <w:pPr>
        <w:autoSpaceDE w:val="0"/>
        <w:autoSpaceDN w:val="0"/>
        <w:adjustRightInd w:val="0"/>
        <w:spacing w:line="240" w:lineRule="auto"/>
        <w:rPr>
          <w:lang w:val="hu-HU"/>
        </w:rPr>
      </w:pPr>
      <w:r w:rsidRPr="004311F9">
        <w:rPr>
          <w:lang w:val="hu-HU"/>
        </w:rPr>
        <w:t>Research Triangle Park</w:t>
      </w:r>
    </w:p>
    <w:p w14:paraId="2723A132" w14:textId="77777777" w:rsidR="00E74F5A" w:rsidRPr="004311F9" w:rsidRDefault="00E74F5A" w:rsidP="00224CF7">
      <w:pPr>
        <w:autoSpaceDE w:val="0"/>
        <w:autoSpaceDN w:val="0"/>
        <w:adjustRightInd w:val="0"/>
        <w:spacing w:line="240" w:lineRule="auto"/>
        <w:rPr>
          <w:lang w:val="hu-HU"/>
        </w:rPr>
      </w:pPr>
      <w:r w:rsidRPr="004311F9">
        <w:rPr>
          <w:lang w:val="hu-HU"/>
        </w:rPr>
        <w:t>North Carolina</w:t>
      </w:r>
    </w:p>
    <w:p w14:paraId="1CEBBDA1" w14:textId="77777777" w:rsidR="00E74F5A" w:rsidRPr="004311F9" w:rsidRDefault="00E74F5A" w:rsidP="00224CF7">
      <w:pPr>
        <w:autoSpaceDE w:val="0"/>
        <w:autoSpaceDN w:val="0"/>
        <w:adjustRightInd w:val="0"/>
        <w:spacing w:line="240" w:lineRule="auto"/>
        <w:rPr>
          <w:lang w:val="hu-HU"/>
        </w:rPr>
      </w:pPr>
      <w:r w:rsidRPr="004311F9">
        <w:rPr>
          <w:lang w:val="hu-HU"/>
        </w:rPr>
        <w:t>27709-4627</w:t>
      </w:r>
    </w:p>
    <w:p w14:paraId="1AD68163" w14:textId="77777777" w:rsidR="00E74F5A" w:rsidRPr="004311F9" w:rsidRDefault="00E74F5A" w:rsidP="00224CF7">
      <w:pPr>
        <w:spacing w:line="240" w:lineRule="auto"/>
        <w:rPr>
          <w:szCs w:val="22"/>
          <w:lang w:val="hu-HU"/>
        </w:rPr>
      </w:pPr>
      <w:r w:rsidRPr="004311F9">
        <w:rPr>
          <w:szCs w:val="22"/>
          <w:lang w:val="hu-HU"/>
        </w:rPr>
        <w:t>Amerikai Egyesült Államok</w:t>
      </w:r>
    </w:p>
    <w:p w14:paraId="322E79C6" w14:textId="77777777" w:rsidR="00E74F5A" w:rsidRPr="004311F9" w:rsidRDefault="00E74F5A" w:rsidP="00224CF7">
      <w:pPr>
        <w:spacing w:line="240" w:lineRule="auto"/>
        <w:rPr>
          <w:lang w:val="hu-HU"/>
        </w:rPr>
      </w:pPr>
    </w:p>
    <w:p w14:paraId="3C026D5B" w14:textId="77777777" w:rsidR="00E74F5A" w:rsidRPr="004311F9" w:rsidRDefault="00E74F5A" w:rsidP="00224CF7">
      <w:pPr>
        <w:spacing w:line="240" w:lineRule="auto"/>
        <w:rPr>
          <w:u w:val="single"/>
          <w:lang w:val="hu-HU"/>
        </w:rPr>
      </w:pPr>
      <w:r w:rsidRPr="004311F9">
        <w:rPr>
          <w:u w:val="single"/>
          <w:lang w:val="hu-HU"/>
        </w:rPr>
        <w:t>A gyártási tételek végfelszabadításáért felelős gyártó(k) neve és címe</w:t>
      </w:r>
    </w:p>
    <w:p w14:paraId="442A2063" w14:textId="77777777" w:rsidR="00E74F5A" w:rsidRPr="004311F9" w:rsidRDefault="00E74F5A" w:rsidP="00224CF7">
      <w:pPr>
        <w:spacing w:line="240" w:lineRule="auto"/>
        <w:rPr>
          <w:lang w:val="hu-HU"/>
        </w:rPr>
      </w:pPr>
    </w:p>
    <w:p w14:paraId="1F295820" w14:textId="77777777" w:rsidR="00E74F5A" w:rsidRPr="004311F9" w:rsidRDefault="00E74F5A" w:rsidP="00224CF7">
      <w:pPr>
        <w:spacing w:line="240" w:lineRule="auto"/>
        <w:rPr>
          <w:szCs w:val="22"/>
          <w:lang w:val="hu-HU"/>
        </w:rPr>
      </w:pPr>
      <w:r w:rsidRPr="004311F9">
        <w:rPr>
          <w:szCs w:val="22"/>
          <w:lang w:val="hu-HU"/>
        </w:rPr>
        <w:t>Swedish Orphan Biovitrum AB (publ)</w:t>
      </w:r>
    </w:p>
    <w:p w14:paraId="10267528" w14:textId="77777777" w:rsidR="00E74F5A" w:rsidRPr="004311F9" w:rsidRDefault="00E74F5A" w:rsidP="00224CF7">
      <w:pPr>
        <w:spacing w:line="240" w:lineRule="auto"/>
        <w:rPr>
          <w:szCs w:val="22"/>
          <w:lang w:val="hu-HU"/>
        </w:rPr>
      </w:pPr>
      <w:r w:rsidRPr="004311F9">
        <w:rPr>
          <w:szCs w:val="22"/>
          <w:lang w:val="hu-HU"/>
        </w:rPr>
        <w:t xml:space="preserve">Strandbergsgatan 49 </w:t>
      </w:r>
    </w:p>
    <w:p w14:paraId="2E69357B" w14:textId="77777777" w:rsidR="00E74F5A" w:rsidRPr="004311F9" w:rsidRDefault="00E74F5A" w:rsidP="00224CF7">
      <w:pPr>
        <w:spacing w:line="240" w:lineRule="auto"/>
        <w:rPr>
          <w:szCs w:val="22"/>
          <w:lang w:val="hu-HU"/>
        </w:rPr>
      </w:pPr>
      <w:r w:rsidRPr="004311F9">
        <w:rPr>
          <w:szCs w:val="22"/>
          <w:lang w:val="hu-HU"/>
        </w:rPr>
        <w:t>11276 Stockholm</w:t>
      </w:r>
    </w:p>
    <w:p w14:paraId="15358122" w14:textId="77777777" w:rsidR="00E74F5A" w:rsidRPr="004311F9" w:rsidRDefault="00E74F5A" w:rsidP="00224CF7">
      <w:pPr>
        <w:spacing w:line="240" w:lineRule="auto"/>
        <w:rPr>
          <w:szCs w:val="22"/>
          <w:lang w:val="hu-HU"/>
        </w:rPr>
      </w:pPr>
      <w:r w:rsidRPr="004311F9">
        <w:rPr>
          <w:szCs w:val="22"/>
          <w:lang w:val="hu-HU"/>
        </w:rPr>
        <w:t>Svédország</w:t>
      </w:r>
    </w:p>
    <w:p w14:paraId="40A7B9D6" w14:textId="77777777" w:rsidR="00E74F5A" w:rsidRPr="004311F9" w:rsidRDefault="00E74F5A" w:rsidP="00224CF7">
      <w:pPr>
        <w:spacing w:line="240" w:lineRule="auto"/>
        <w:rPr>
          <w:lang w:val="hu-HU"/>
        </w:rPr>
      </w:pPr>
    </w:p>
    <w:p w14:paraId="7D912154" w14:textId="77777777" w:rsidR="00E74F5A" w:rsidRPr="004311F9" w:rsidRDefault="00E74F5A" w:rsidP="00224CF7">
      <w:pPr>
        <w:spacing w:line="240" w:lineRule="auto"/>
        <w:rPr>
          <w:lang w:val="hu-HU"/>
        </w:rPr>
      </w:pPr>
    </w:p>
    <w:p w14:paraId="43B88482" w14:textId="77777777" w:rsidR="00E74F5A" w:rsidRPr="004311F9" w:rsidRDefault="00E74F5A" w:rsidP="00224CF7">
      <w:pPr>
        <w:pStyle w:val="TitleB"/>
        <w:keepNext/>
        <w:rPr>
          <w:lang w:val="hu-HU"/>
        </w:rPr>
      </w:pPr>
      <w:r w:rsidRPr="004311F9">
        <w:rPr>
          <w:lang w:val="hu-HU"/>
        </w:rPr>
        <w:t>B.</w:t>
      </w:r>
      <w:r w:rsidRPr="004311F9">
        <w:rPr>
          <w:lang w:val="hu-HU"/>
        </w:rPr>
        <w:tab/>
        <w:t xml:space="preserve">FELTÉTELEK VAGY KORLÁTOZÁSOK AZ ELLÁTÁS ÉS HASZNÁLAT KAPCSÁN </w:t>
      </w:r>
    </w:p>
    <w:p w14:paraId="18C045C5" w14:textId="77777777" w:rsidR="00E74F5A" w:rsidRPr="004311F9" w:rsidRDefault="00E74F5A" w:rsidP="00224CF7">
      <w:pPr>
        <w:spacing w:line="240" w:lineRule="auto"/>
        <w:ind w:left="567" w:hanging="567"/>
        <w:rPr>
          <w:b/>
          <w:bCs/>
          <w:lang w:val="hu-HU"/>
        </w:rPr>
      </w:pPr>
    </w:p>
    <w:p w14:paraId="2341688A" w14:textId="77777777" w:rsidR="00E74F5A" w:rsidRPr="004311F9" w:rsidRDefault="00E74F5A" w:rsidP="00224CF7">
      <w:pPr>
        <w:numPr>
          <w:ilvl w:val="12"/>
          <w:numId w:val="0"/>
        </w:numPr>
        <w:spacing w:line="240" w:lineRule="auto"/>
        <w:rPr>
          <w:lang w:val="hu-HU"/>
        </w:rPr>
      </w:pPr>
      <w:r w:rsidRPr="004311F9">
        <w:rPr>
          <w:lang w:val="hu-HU"/>
        </w:rPr>
        <w:t>Korlátozott érvényű orvosi rendelvényhez kötött gyógyszer (lásd I. Melléklet: Alkalmazási előírás, 4.2 pont).</w:t>
      </w:r>
    </w:p>
    <w:p w14:paraId="1F544509" w14:textId="77777777" w:rsidR="00E74F5A" w:rsidRPr="004311F9" w:rsidRDefault="00E74F5A" w:rsidP="00224CF7">
      <w:pPr>
        <w:numPr>
          <w:ilvl w:val="12"/>
          <w:numId w:val="0"/>
        </w:numPr>
        <w:spacing w:line="240" w:lineRule="auto"/>
        <w:rPr>
          <w:lang w:val="hu-HU"/>
        </w:rPr>
      </w:pPr>
    </w:p>
    <w:p w14:paraId="7EE92802" w14:textId="77777777" w:rsidR="00E74F5A" w:rsidRPr="004311F9" w:rsidRDefault="00E74F5A" w:rsidP="00224CF7">
      <w:pPr>
        <w:numPr>
          <w:ilvl w:val="12"/>
          <w:numId w:val="0"/>
        </w:numPr>
        <w:spacing w:line="240" w:lineRule="auto"/>
        <w:rPr>
          <w:lang w:val="hu-HU"/>
        </w:rPr>
      </w:pPr>
    </w:p>
    <w:p w14:paraId="51B0C857" w14:textId="77777777" w:rsidR="00E74F5A" w:rsidRPr="004311F9" w:rsidRDefault="00E74F5A" w:rsidP="00224CF7">
      <w:pPr>
        <w:pStyle w:val="TitleB"/>
        <w:rPr>
          <w:lang w:val="hu-HU"/>
        </w:rPr>
      </w:pPr>
      <w:r w:rsidRPr="004311F9">
        <w:rPr>
          <w:lang w:val="hu-HU"/>
        </w:rPr>
        <w:t>C.</w:t>
      </w:r>
      <w:r w:rsidRPr="004311F9">
        <w:rPr>
          <w:lang w:val="hu-HU"/>
        </w:rPr>
        <w:tab/>
        <w:t>A FORGALOMBA HOZATALI ENGEDÉLY EGYÉB FELTÉTELEI ÉS KÖVETELMÉNYEI</w:t>
      </w:r>
    </w:p>
    <w:p w14:paraId="060295F0" w14:textId="77777777" w:rsidR="00E74F5A" w:rsidRPr="004311F9" w:rsidRDefault="00E74F5A" w:rsidP="00224CF7">
      <w:pPr>
        <w:spacing w:line="240" w:lineRule="auto"/>
        <w:rPr>
          <w:b/>
          <w:bCs/>
          <w:lang w:val="hu-HU"/>
        </w:rPr>
      </w:pPr>
    </w:p>
    <w:p w14:paraId="2C3ED3FB" w14:textId="77777777" w:rsidR="00E74F5A" w:rsidRPr="004311F9" w:rsidRDefault="00E74F5A" w:rsidP="00224CF7">
      <w:pPr>
        <w:numPr>
          <w:ilvl w:val="0"/>
          <w:numId w:val="13"/>
        </w:numPr>
        <w:spacing w:line="240" w:lineRule="auto"/>
        <w:ind w:left="360"/>
        <w:rPr>
          <w:b/>
          <w:bCs/>
          <w:lang w:val="hu-HU"/>
        </w:rPr>
      </w:pPr>
      <w:r w:rsidRPr="004311F9">
        <w:rPr>
          <w:b/>
          <w:bCs/>
          <w:lang w:val="hu-HU"/>
        </w:rPr>
        <w:t xml:space="preserve">Időszakos gyógyszerbiztonsági jelentések </w:t>
      </w:r>
      <w:bookmarkStart w:id="2" w:name="_Hlk20317071"/>
      <w:r w:rsidRPr="004311F9">
        <w:rPr>
          <w:b/>
          <w:bCs/>
          <w:lang w:val="hu-HU"/>
        </w:rPr>
        <w:t>(</w:t>
      </w:r>
      <w:r w:rsidRPr="004311F9">
        <w:rPr>
          <w:b/>
          <w:lang w:val="hu-HU"/>
        </w:rPr>
        <w:t>Periodic safety update report, PSUR)</w:t>
      </w:r>
      <w:bookmarkEnd w:id="2"/>
    </w:p>
    <w:p w14:paraId="01571C14" w14:textId="77777777" w:rsidR="00E74F5A" w:rsidRPr="004311F9" w:rsidRDefault="00E74F5A" w:rsidP="00224CF7">
      <w:pPr>
        <w:spacing w:line="240" w:lineRule="auto"/>
        <w:rPr>
          <w:b/>
          <w:bCs/>
          <w:lang w:val="hu-HU"/>
        </w:rPr>
      </w:pPr>
    </w:p>
    <w:p w14:paraId="05DCE138" w14:textId="431C9FE5" w:rsidR="00E74F5A" w:rsidRPr="004311F9" w:rsidRDefault="00E74F5A" w:rsidP="00224CF7">
      <w:pPr>
        <w:tabs>
          <w:tab w:val="left" w:pos="0"/>
        </w:tabs>
        <w:spacing w:line="240" w:lineRule="auto"/>
        <w:rPr>
          <w:iCs/>
          <w:lang w:val="hu-HU"/>
        </w:rPr>
      </w:pPr>
      <w:r w:rsidRPr="004311F9">
        <w:rPr>
          <w:iCs/>
          <w:lang w:val="hu-HU"/>
        </w:rPr>
        <w:t xml:space="preserve">Erre a készítményre </w:t>
      </w:r>
      <w:bookmarkStart w:id="3" w:name="_Hlk20317101"/>
      <w:r w:rsidRPr="004311F9">
        <w:rPr>
          <w:iCs/>
          <w:lang w:val="hu-HU"/>
        </w:rPr>
        <w:t>a PSUR-okat</w:t>
      </w:r>
      <w:bookmarkEnd w:id="3"/>
      <w:r w:rsidRPr="004311F9">
        <w:rPr>
          <w:iCs/>
          <w:lang w:val="hu-HU"/>
        </w:rPr>
        <w:t xml:space="preserve"> a 2001/83/EK irányelv 107c. cikkének (7) bekezdésében megállapított és az európai internetes gyógyszerportálon nyilvánosságra hozott uniós referencia időpontok listája (EURD lista), illetve annak bármely későbbi frissített változata szerinti követelményeknek megfelelően kell benyújtani.</w:t>
      </w:r>
    </w:p>
    <w:p w14:paraId="6EAB6A28" w14:textId="77777777" w:rsidR="00E74F5A" w:rsidRPr="004311F9" w:rsidRDefault="00E74F5A" w:rsidP="00224CF7">
      <w:pPr>
        <w:spacing w:line="240" w:lineRule="auto"/>
        <w:rPr>
          <w:lang w:val="hu-HU"/>
        </w:rPr>
      </w:pPr>
    </w:p>
    <w:p w14:paraId="41147498" w14:textId="77777777" w:rsidR="00E74F5A" w:rsidRPr="004311F9" w:rsidRDefault="00E74F5A" w:rsidP="00224CF7">
      <w:pPr>
        <w:spacing w:line="240" w:lineRule="auto"/>
        <w:rPr>
          <w:lang w:val="hu-HU"/>
        </w:rPr>
      </w:pPr>
    </w:p>
    <w:p w14:paraId="48C9D2FF" w14:textId="77777777" w:rsidR="00E74F5A" w:rsidRPr="004311F9" w:rsidRDefault="00E74F5A" w:rsidP="00224CF7">
      <w:pPr>
        <w:pStyle w:val="TitleB"/>
        <w:keepNext/>
        <w:rPr>
          <w:lang w:val="hu-HU"/>
        </w:rPr>
      </w:pPr>
      <w:r w:rsidRPr="004311F9">
        <w:rPr>
          <w:lang w:val="hu-HU"/>
        </w:rPr>
        <w:t>D.</w:t>
      </w:r>
      <w:r w:rsidRPr="004311F9">
        <w:rPr>
          <w:lang w:val="hu-HU"/>
        </w:rPr>
        <w:tab/>
        <w:t>FELTÉTELEK VAGY KORLÁTOZÁSOK A GYÓGYSZER BIZTONSÁGOS ÉS HATÉKONY ALKALMAZÁSÁRA VONATKOZÓAN</w:t>
      </w:r>
    </w:p>
    <w:p w14:paraId="01B04A12" w14:textId="77777777" w:rsidR="00E74F5A" w:rsidRPr="004311F9" w:rsidRDefault="00E74F5A" w:rsidP="00224CF7">
      <w:pPr>
        <w:numPr>
          <w:ilvl w:val="12"/>
          <w:numId w:val="0"/>
        </w:numPr>
        <w:spacing w:line="240" w:lineRule="auto"/>
        <w:rPr>
          <w:lang w:val="hu-HU"/>
        </w:rPr>
      </w:pPr>
    </w:p>
    <w:p w14:paraId="63164850" w14:textId="77777777" w:rsidR="00E74F5A" w:rsidRPr="004311F9" w:rsidRDefault="00E74F5A" w:rsidP="00224CF7">
      <w:pPr>
        <w:numPr>
          <w:ilvl w:val="0"/>
          <w:numId w:val="13"/>
        </w:numPr>
        <w:spacing w:line="240" w:lineRule="auto"/>
        <w:ind w:left="360"/>
        <w:rPr>
          <w:b/>
          <w:bCs/>
          <w:lang w:val="hu-HU"/>
        </w:rPr>
      </w:pPr>
      <w:r w:rsidRPr="004311F9">
        <w:rPr>
          <w:b/>
          <w:bCs/>
          <w:lang w:val="hu-HU"/>
        </w:rPr>
        <w:t xml:space="preserve">Kockázatkezelési terv </w:t>
      </w:r>
    </w:p>
    <w:p w14:paraId="68E1129C" w14:textId="77777777" w:rsidR="00E74F5A" w:rsidRPr="004311F9" w:rsidRDefault="00E74F5A" w:rsidP="00224CF7">
      <w:pPr>
        <w:spacing w:line="240" w:lineRule="auto"/>
        <w:rPr>
          <w:b/>
          <w:bCs/>
          <w:lang w:val="hu-HU"/>
        </w:rPr>
      </w:pPr>
    </w:p>
    <w:p w14:paraId="1D93CA95" w14:textId="77777777" w:rsidR="00E74F5A" w:rsidRPr="004311F9" w:rsidRDefault="00E74F5A" w:rsidP="00224CF7">
      <w:pPr>
        <w:numPr>
          <w:ilvl w:val="12"/>
          <w:numId w:val="0"/>
        </w:numPr>
        <w:spacing w:line="240" w:lineRule="auto"/>
        <w:rPr>
          <w:lang w:val="hu-HU"/>
        </w:rPr>
      </w:pPr>
      <w:r w:rsidRPr="004311F9">
        <w:rPr>
          <w:lang w:val="hu-HU"/>
        </w:rPr>
        <w:t>A forgalomba hozatali engedély jogosultja (MAH) kötelezi magát, hogy a forgalomba hozatali engedély 1.8.2 moduljában leírt, jóváhagyott kockázatkezelési tervben, illetve annak jóváhagyott frissített verzióiban részletezett, kötelező farmakovigilanciai tevékenységeket és beavatkozásokat elvégzi.</w:t>
      </w:r>
    </w:p>
    <w:p w14:paraId="49CF7CC9" w14:textId="77777777" w:rsidR="00E74F5A" w:rsidRPr="004311F9" w:rsidRDefault="00E74F5A" w:rsidP="00224CF7">
      <w:pPr>
        <w:numPr>
          <w:ilvl w:val="12"/>
          <w:numId w:val="0"/>
        </w:numPr>
        <w:spacing w:line="240" w:lineRule="auto"/>
        <w:rPr>
          <w:lang w:val="hu-HU"/>
        </w:rPr>
      </w:pPr>
    </w:p>
    <w:p w14:paraId="37F30FE0" w14:textId="77777777" w:rsidR="00E74F5A" w:rsidRPr="004311F9" w:rsidRDefault="00E74F5A" w:rsidP="00224CF7">
      <w:pPr>
        <w:keepNext/>
        <w:numPr>
          <w:ilvl w:val="12"/>
          <w:numId w:val="0"/>
        </w:numPr>
        <w:spacing w:line="240" w:lineRule="auto"/>
        <w:rPr>
          <w:lang w:val="hu-HU"/>
        </w:rPr>
      </w:pPr>
      <w:r w:rsidRPr="004311F9">
        <w:rPr>
          <w:lang w:val="hu-HU"/>
        </w:rPr>
        <w:t>A frissített kockázatkezelési terv benyújtandó a következő esetekben:</w:t>
      </w:r>
    </w:p>
    <w:p w14:paraId="02B4CA96" w14:textId="77777777" w:rsidR="00E74F5A" w:rsidRPr="004311F9" w:rsidRDefault="00E74F5A" w:rsidP="009D013A">
      <w:pPr>
        <w:numPr>
          <w:ilvl w:val="0"/>
          <w:numId w:val="12"/>
        </w:numPr>
        <w:tabs>
          <w:tab w:val="clear" w:pos="567"/>
          <w:tab w:val="clear" w:pos="720"/>
        </w:tabs>
        <w:snapToGrid w:val="0"/>
        <w:spacing w:line="240" w:lineRule="auto"/>
        <w:ind w:left="567" w:hanging="207"/>
        <w:rPr>
          <w:lang w:val="hu-HU"/>
        </w:rPr>
      </w:pPr>
      <w:r w:rsidRPr="004311F9">
        <w:rPr>
          <w:lang w:val="hu-HU"/>
        </w:rPr>
        <w:t>ha az Európai Gyógyszerügynökség ezt indítványozza;</w:t>
      </w:r>
    </w:p>
    <w:p w14:paraId="6CCC9789" w14:textId="77777777" w:rsidR="00E74F5A" w:rsidRPr="004311F9" w:rsidRDefault="00E74F5A" w:rsidP="009D013A">
      <w:pPr>
        <w:numPr>
          <w:ilvl w:val="0"/>
          <w:numId w:val="12"/>
        </w:numPr>
        <w:tabs>
          <w:tab w:val="clear" w:pos="567"/>
          <w:tab w:val="clear" w:pos="720"/>
        </w:tabs>
        <w:snapToGrid w:val="0"/>
        <w:spacing w:line="240" w:lineRule="auto"/>
        <w:ind w:left="567" w:hanging="207"/>
        <w:rPr>
          <w:lang w:val="hu-HU"/>
        </w:rPr>
      </w:pPr>
      <w:r w:rsidRPr="004311F9">
        <w:rPr>
          <w:lang w:val="hu-HU"/>
        </w:rPr>
        <w:t xml:space="preserve">ha a kockázatkezelési rendszerben változás történik, főként azt követően, hogy olyan új információ érkezik, amely az előny/kockázat profil jelentős változásához vezethet, illetve (a biztonságos </w:t>
      </w:r>
      <w:r w:rsidRPr="004311F9">
        <w:rPr>
          <w:lang w:val="hu-HU"/>
        </w:rPr>
        <w:lastRenderedPageBreak/>
        <w:t>gyógyszeralkalmazásra vagy kockázat-minimalizálásra irányuló) újabb, meghatározó eredmények születnek.</w:t>
      </w:r>
    </w:p>
    <w:p w14:paraId="7FDE41B4" w14:textId="77777777" w:rsidR="00E74F5A" w:rsidRPr="004311F9" w:rsidRDefault="00E74F5A" w:rsidP="00DC4CB1">
      <w:pPr>
        <w:spacing w:line="240" w:lineRule="auto"/>
        <w:ind w:left="567" w:hanging="567"/>
        <w:rPr>
          <w:rFonts w:eastAsia="Times New Roman"/>
          <w:szCs w:val="24"/>
          <w:lang w:val="hu-HU"/>
        </w:rPr>
      </w:pPr>
      <w:r w:rsidRPr="004311F9">
        <w:rPr>
          <w:rFonts w:eastAsia="Times New Roman"/>
          <w:szCs w:val="24"/>
          <w:lang w:val="hu-HU"/>
        </w:rPr>
        <w:br w:type="page"/>
      </w:r>
    </w:p>
    <w:p w14:paraId="0C8B8C8E" w14:textId="77777777" w:rsidR="00E74F5A" w:rsidRPr="004311F9" w:rsidRDefault="00E74F5A" w:rsidP="00DC4CB1">
      <w:pPr>
        <w:spacing w:line="240" w:lineRule="auto"/>
        <w:ind w:right="-1"/>
        <w:rPr>
          <w:rFonts w:eastAsia="Times New Roman"/>
          <w:szCs w:val="24"/>
          <w:u w:val="single"/>
          <w:lang w:val="hu-HU"/>
        </w:rPr>
      </w:pPr>
    </w:p>
    <w:p w14:paraId="609BE84B" w14:textId="77777777" w:rsidR="00E74F5A" w:rsidRPr="004311F9" w:rsidRDefault="00E74F5A" w:rsidP="00DC4CB1">
      <w:pPr>
        <w:spacing w:line="240" w:lineRule="auto"/>
        <w:rPr>
          <w:rFonts w:eastAsia="Times New Roman"/>
          <w:szCs w:val="24"/>
          <w:lang w:val="hu-HU"/>
        </w:rPr>
      </w:pPr>
    </w:p>
    <w:p w14:paraId="582B74BD" w14:textId="77777777" w:rsidR="00E74F5A" w:rsidRPr="004311F9" w:rsidRDefault="00E74F5A" w:rsidP="00DC4CB1">
      <w:pPr>
        <w:spacing w:line="240" w:lineRule="auto"/>
        <w:rPr>
          <w:rFonts w:eastAsia="Times New Roman"/>
          <w:szCs w:val="24"/>
          <w:lang w:val="hu-HU"/>
        </w:rPr>
      </w:pPr>
    </w:p>
    <w:p w14:paraId="162A5B4B" w14:textId="77777777" w:rsidR="00E74F5A" w:rsidRPr="004311F9" w:rsidRDefault="00E74F5A" w:rsidP="00DC4CB1">
      <w:pPr>
        <w:spacing w:line="240" w:lineRule="auto"/>
        <w:rPr>
          <w:rFonts w:eastAsia="Times New Roman"/>
          <w:szCs w:val="24"/>
          <w:lang w:val="hu-HU"/>
        </w:rPr>
      </w:pPr>
    </w:p>
    <w:p w14:paraId="71FCFD8C" w14:textId="77777777" w:rsidR="00E74F5A" w:rsidRPr="004311F9" w:rsidRDefault="00E74F5A" w:rsidP="00DC4CB1">
      <w:pPr>
        <w:spacing w:line="240" w:lineRule="auto"/>
        <w:rPr>
          <w:rFonts w:eastAsia="Times New Roman"/>
          <w:szCs w:val="24"/>
          <w:lang w:val="hu-HU"/>
        </w:rPr>
      </w:pPr>
    </w:p>
    <w:p w14:paraId="1197D1A2" w14:textId="77777777" w:rsidR="00E74F5A" w:rsidRPr="004311F9" w:rsidRDefault="00E74F5A" w:rsidP="00DC4CB1">
      <w:pPr>
        <w:spacing w:line="240" w:lineRule="auto"/>
        <w:rPr>
          <w:rFonts w:eastAsia="Times New Roman"/>
          <w:szCs w:val="24"/>
          <w:lang w:val="hu-HU"/>
        </w:rPr>
      </w:pPr>
    </w:p>
    <w:p w14:paraId="0851EB61" w14:textId="77777777" w:rsidR="00E74F5A" w:rsidRPr="004311F9" w:rsidRDefault="00E74F5A" w:rsidP="00DC4CB1">
      <w:pPr>
        <w:spacing w:line="240" w:lineRule="auto"/>
        <w:rPr>
          <w:rFonts w:eastAsia="Times New Roman"/>
          <w:szCs w:val="24"/>
          <w:lang w:val="hu-HU"/>
        </w:rPr>
      </w:pPr>
    </w:p>
    <w:p w14:paraId="49BF8C34" w14:textId="77777777" w:rsidR="00E74F5A" w:rsidRPr="004311F9" w:rsidRDefault="00E74F5A" w:rsidP="00DC4CB1">
      <w:pPr>
        <w:spacing w:line="240" w:lineRule="auto"/>
        <w:ind w:right="-1"/>
        <w:rPr>
          <w:rFonts w:eastAsia="Times New Roman"/>
          <w:szCs w:val="24"/>
          <w:u w:val="single"/>
          <w:lang w:val="hu-HU"/>
        </w:rPr>
      </w:pPr>
    </w:p>
    <w:p w14:paraId="547287EC" w14:textId="77777777" w:rsidR="00E74F5A" w:rsidRPr="004311F9" w:rsidRDefault="00E74F5A" w:rsidP="00DC4CB1">
      <w:pPr>
        <w:spacing w:line="240" w:lineRule="auto"/>
        <w:rPr>
          <w:rFonts w:eastAsia="Times New Roman"/>
          <w:szCs w:val="24"/>
          <w:lang w:val="hu-HU"/>
        </w:rPr>
      </w:pPr>
    </w:p>
    <w:p w14:paraId="48D54B31" w14:textId="77777777" w:rsidR="00E74F5A" w:rsidRPr="004311F9" w:rsidRDefault="00E74F5A" w:rsidP="00DC4CB1">
      <w:pPr>
        <w:spacing w:line="240" w:lineRule="auto"/>
        <w:rPr>
          <w:rFonts w:eastAsia="Times New Roman"/>
          <w:szCs w:val="24"/>
          <w:lang w:val="hu-HU"/>
        </w:rPr>
      </w:pPr>
    </w:p>
    <w:p w14:paraId="39B26434" w14:textId="77777777" w:rsidR="00E74F5A" w:rsidRPr="004311F9" w:rsidRDefault="00E74F5A" w:rsidP="00DC4CB1">
      <w:pPr>
        <w:spacing w:line="240" w:lineRule="auto"/>
        <w:rPr>
          <w:rFonts w:eastAsia="Times New Roman"/>
          <w:szCs w:val="24"/>
          <w:lang w:val="hu-HU"/>
        </w:rPr>
      </w:pPr>
    </w:p>
    <w:p w14:paraId="0BBAEAB9" w14:textId="77777777" w:rsidR="00E74F5A" w:rsidRPr="004311F9" w:rsidRDefault="00E74F5A" w:rsidP="00DC4CB1">
      <w:pPr>
        <w:spacing w:line="240" w:lineRule="auto"/>
        <w:rPr>
          <w:rFonts w:eastAsia="Times New Roman"/>
          <w:szCs w:val="24"/>
          <w:lang w:val="hu-HU"/>
        </w:rPr>
      </w:pPr>
    </w:p>
    <w:p w14:paraId="1CCB67CB" w14:textId="77777777" w:rsidR="00E74F5A" w:rsidRPr="004311F9" w:rsidRDefault="00E74F5A" w:rsidP="00DC4CB1">
      <w:pPr>
        <w:spacing w:line="240" w:lineRule="auto"/>
        <w:rPr>
          <w:rFonts w:eastAsia="Times New Roman"/>
          <w:szCs w:val="24"/>
          <w:lang w:val="hu-HU"/>
        </w:rPr>
      </w:pPr>
    </w:p>
    <w:p w14:paraId="42598D25" w14:textId="77777777" w:rsidR="00E74F5A" w:rsidRPr="004311F9" w:rsidRDefault="00E74F5A" w:rsidP="00224CF7">
      <w:pPr>
        <w:spacing w:line="240" w:lineRule="auto"/>
        <w:rPr>
          <w:rFonts w:eastAsia="Times New Roman"/>
          <w:szCs w:val="24"/>
          <w:lang w:val="hu-HU"/>
        </w:rPr>
      </w:pPr>
    </w:p>
    <w:p w14:paraId="00889957" w14:textId="77777777" w:rsidR="00E74F5A" w:rsidRPr="004311F9" w:rsidRDefault="00E74F5A" w:rsidP="00224CF7">
      <w:pPr>
        <w:spacing w:line="240" w:lineRule="auto"/>
        <w:rPr>
          <w:rFonts w:eastAsia="Times New Roman"/>
          <w:szCs w:val="24"/>
          <w:lang w:val="hu-HU"/>
        </w:rPr>
      </w:pPr>
    </w:p>
    <w:p w14:paraId="136F4A5E" w14:textId="77777777" w:rsidR="00E74F5A" w:rsidRPr="004311F9" w:rsidRDefault="00E74F5A" w:rsidP="00224CF7">
      <w:pPr>
        <w:spacing w:line="240" w:lineRule="auto"/>
        <w:rPr>
          <w:rFonts w:eastAsia="Times New Roman"/>
          <w:szCs w:val="24"/>
          <w:lang w:val="hu-HU"/>
        </w:rPr>
      </w:pPr>
    </w:p>
    <w:p w14:paraId="2F84AEA0" w14:textId="77777777" w:rsidR="00E74F5A" w:rsidRPr="004311F9" w:rsidRDefault="00E74F5A" w:rsidP="00224CF7">
      <w:pPr>
        <w:spacing w:line="240" w:lineRule="auto"/>
        <w:rPr>
          <w:rFonts w:eastAsia="Times New Roman"/>
          <w:szCs w:val="24"/>
          <w:lang w:val="hu-HU"/>
        </w:rPr>
      </w:pPr>
    </w:p>
    <w:p w14:paraId="102BF121" w14:textId="77777777" w:rsidR="00E74F5A" w:rsidRPr="004311F9" w:rsidRDefault="00E74F5A" w:rsidP="00224CF7">
      <w:pPr>
        <w:spacing w:line="240" w:lineRule="auto"/>
        <w:rPr>
          <w:rFonts w:eastAsia="Times New Roman"/>
          <w:szCs w:val="24"/>
          <w:lang w:val="hu-HU"/>
        </w:rPr>
      </w:pPr>
    </w:p>
    <w:p w14:paraId="00CE3547" w14:textId="77777777" w:rsidR="00E74F5A" w:rsidRPr="004311F9" w:rsidRDefault="00E74F5A" w:rsidP="00224CF7">
      <w:pPr>
        <w:spacing w:line="240" w:lineRule="auto"/>
        <w:rPr>
          <w:rFonts w:eastAsia="Times New Roman"/>
          <w:szCs w:val="24"/>
          <w:lang w:val="hu-HU"/>
        </w:rPr>
      </w:pPr>
    </w:p>
    <w:p w14:paraId="01DE9C0F" w14:textId="77777777" w:rsidR="00E74F5A" w:rsidRPr="004311F9" w:rsidRDefault="00E74F5A" w:rsidP="00224CF7">
      <w:pPr>
        <w:spacing w:line="240" w:lineRule="auto"/>
        <w:rPr>
          <w:rFonts w:eastAsia="Times New Roman"/>
          <w:szCs w:val="24"/>
          <w:lang w:val="hu-HU"/>
        </w:rPr>
      </w:pPr>
    </w:p>
    <w:p w14:paraId="54158A35" w14:textId="77777777" w:rsidR="00E74F5A" w:rsidRPr="004311F9" w:rsidRDefault="00E74F5A" w:rsidP="00224CF7">
      <w:pPr>
        <w:spacing w:line="240" w:lineRule="auto"/>
        <w:rPr>
          <w:rFonts w:eastAsia="Times New Roman"/>
          <w:szCs w:val="24"/>
          <w:lang w:val="hu-HU"/>
        </w:rPr>
      </w:pPr>
    </w:p>
    <w:p w14:paraId="5963FB07" w14:textId="3449ECF1" w:rsidR="00E74F5A" w:rsidRPr="004311F9" w:rsidRDefault="00E74F5A" w:rsidP="00224CF7">
      <w:pPr>
        <w:spacing w:line="240" w:lineRule="auto"/>
        <w:rPr>
          <w:rFonts w:eastAsia="Times New Roman"/>
          <w:szCs w:val="24"/>
          <w:lang w:val="hu-HU"/>
        </w:rPr>
      </w:pPr>
    </w:p>
    <w:p w14:paraId="13139665" w14:textId="77777777" w:rsidR="00335696" w:rsidRPr="004311F9" w:rsidRDefault="00335696" w:rsidP="00224CF7">
      <w:pPr>
        <w:spacing w:line="240" w:lineRule="auto"/>
        <w:rPr>
          <w:rFonts w:eastAsia="Times New Roman"/>
          <w:szCs w:val="24"/>
          <w:lang w:val="hu-HU"/>
        </w:rPr>
      </w:pPr>
    </w:p>
    <w:p w14:paraId="6BA21455" w14:textId="77777777" w:rsidR="00E74F5A" w:rsidRPr="004311F9" w:rsidRDefault="00E74F5A" w:rsidP="00224CF7">
      <w:pPr>
        <w:jc w:val="center"/>
        <w:rPr>
          <w:b/>
          <w:szCs w:val="24"/>
          <w:lang w:val="hu-HU"/>
        </w:rPr>
      </w:pPr>
      <w:r w:rsidRPr="004311F9">
        <w:rPr>
          <w:b/>
          <w:szCs w:val="24"/>
          <w:lang w:val="hu-HU"/>
        </w:rPr>
        <w:t>III. MELLÉKLET</w:t>
      </w:r>
    </w:p>
    <w:p w14:paraId="43F2E416" w14:textId="77777777" w:rsidR="00E74F5A" w:rsidRPr="004311F9" w:rsidRDefault="00E74F5A" w:rsidP="00224CF7">
      <w:pPr>
        <w:jc w:val="center"/>
        <w:rPr>
          <w:rFonts w:eastAsia="Times New Roman"/>
          <w:b/>
          <w:szCs w:val="24"/>
          <w:lang w:val="hu-HU"/>
        </w:rPr>
      </w:pPr>
    </w:p>
    <w:p w14:paraId="5824E659" w14:textId="77777777" w:rsidR="00E74F5A" w:rsidRPr="004311F9" w:rsidRDefault="00E74F5A" w:rsidP="00224CF7">
      <w:pPr>
        <w:jc w:val="center"/>
        <w:rPr>
          <w:b/>
          <w:szCs w:val="24"/>
          <w:lang w:val="hu-HU"/>
        </w:rPr>
      </w:pPr>
      <w:r w:rsidRPr="004311F9">
        <w:rPr>
          <w:b/>
          <w:szCs w:val="24"/>
          <w:lang w:val="hu-HU"/>
        </w:rPr>
        <w:t>CÍMKESZÖVEG ÉS BETEGTÁJÉKOZTATÓ</w:t>
      </w:r>
    </w:p>
    <w:p w14:paraId="1AA5D3AE" w14:textId="77777777" w:rsidR="00E74F5A" w:rsidRPr="004311F9" w:rsidRDefault="00E74F5A" w:rsidP="00DC4CB1">
      <w:pPr>
        <w:spacing w:line="240" w:lineRule="auto"/>
        <w:rPr>
          <w:rFonts w:eastAsia="Times New Roman"/>
          <w:b/>
          <w:szCs w:val="24"/>
          <w:lang w:val="hu-HU"/>
        </w:rPr>
      </w:pPr>
      <w:r w:rsidRPr="004311F9">
        <w:rPr>
          <w:rFonts w:eastAsia="Times New Roman"/>
          <w:b/>
          <w:szCs w:val="24"/>
          <w:lang w:val="hu-HU"/>
        </w:rPr>
        <w:br w:type="page"/>
      </w:r>
    </w:p>
    <w:p w14:paraId="66B66A8A" w14:textId="77777777" w:rsidR="00E74F5A" w:rsidRPr="004311F9" w:rsidRDefault="00E74F5A" w:rsidP="00224CF7">
      <w:pPr>
        <w:rPr>
          <w:rFonts w:eastAsia="Times New Roman"/>
          <w:b/>
          <w:szCs w:val="24"/>
          <w:lang w:val="hu-HU"/>
        </w:rPr>
      </w:pPr>
    </w:p>
    <w:p w14:paraId="7F22100A" w14:textId="77777777" w:rsidR="00E74F5A" w:rsidRPr="004311F9" w:rsidRDefault="00E74F5A" w:rsidP="00224CF7">
      <w:pPr>
        <w:rPr>
          <w:rFonts w:eastAsia="Times New Roman"/>
          <w:b/>
          <w:szCs w:val="24"/>
          <w:lang w:val="hu-HU"/>
        </w:rPr>
      </w:pPr>
    </w:p>
    <w:p w14:paraId="58CE3CA7" w14:textId="77777777" w:rsidR="00E74F5A" w:rsidRPr="004311F9" w:rsidRDefault="00E74F5A" w:rsidP="00224CF7">
      <w:pPr>
        <w:rPr>
          <w:rFonts w:eastAsia="Times New Roman"/>
          <w:b/>
          <w:szCs w:val="24"/>
          <w:lang w:val="hu-HU"/>
        </w:rPr>
      </w:pPr>
    </w:p>
    <w:p w14:paraId="7AF9B798" w14:textId="77777777" w:rsidR="00E74F5A" w:rsidRPr="004311F9" w:rsidRDefault="00E74F5A" w:rsidP="00224CF7">
      <w:pPr>
        <w:rPr>
          <w:rFonts w:eastAsia="Times New Roman"/>
          <w:b/>
          <w:szCs w:val="24"/>
          <w:lang w:val="hu-HU"/>
        </w:rPr>
      </w:pPr>
    </w:p>
    <w:p w14:paraId="590535C2" w14:textId="77777777" w:rsidR="00E74F5A" w:rsidRPr="004311F9" w:rsidRDefault="00E74F5A" w:rsidP="00224CF7">
      <w:pPr>
        <w:rPr>
          <w:rFonts w:eastAsia="Times New Roman"/>
          <w:b/>
          <w:szCs w:val="24"/>
          <w:lang w:val="hu-HU"/>
        </w:rPr>
      </w:pPr>
    </w:p>
    <w:p w14:paraId="37EC30EA" w14:textId="77777777" w:rsidR="00E74F5A" w:rsidRPr="004311F9" w:rsidRDefault="00E74F5A" w:rsidP="00224CF7">
      <w:pPr>
        <w:rPr>
          <w:rFonts w:eastAsia="Times New Roman"/>
          <w:b/>
          <w:szCs w:val="24"/>
          <w:lang w:val="hu-HU"/>
        </w:rPr>
      </w:pPr>
    </w:p>
    <w:p w14:paraId="7B1D47E3" w14:textId="77777777" w:rsidR="00E74F5A" w:rsidRPr="004311F9" w:rsidRDefault="00E74F5A" w:rsidP="00224CF7">
      <w:pPr>
        <w:rPr>
          <w:rFonts w:eastAsia="Times New Roman"/>
          <w:b/>
          <w:szCs w:val="24"/>
          <w:lang w:val="hu-HU"/>
        </w:rPr>
      </w:pPr>
    </w:p>
    <w:p w14:paraId="2D5BC93A" w14:textId="77777777" w:rsidR="00E74F5A" w:rsidRPr="004311F9" w:rsidRDefault="00E74F5A" w:rsidP="00224CF7">
      <w:pPr>
        <w:rPr>
          <w:rFonts w:eastAsia="Times New Roman"/>
          <w:b/>
          <w:szCs w:val="24"/>
          <w:lang w:val="hu-HU"/>
        </w:rPr>
      </w:pPr>
    </w:p>
    <w:p w14:paraId="35436FFE" w14:textId="77777777" w:rsidR="00E74F5A" w:rsidRPr="004311F9" w:rsidRDefault="00E74F5A" w:rsidP="00224CF7">
      <w:pPr>
        <w:rPr>
          <w:rFonts w:eastAsia="Times New Roman"/>
          <w:b/>
          <w:szCs w:val="24"/>
          <w:lang w:val="hu-HU"/>
        </w:rPr>
      </w:pPr>
    </w:p>
    <w:p w14:paraId="772C2668" w14:textId="77777777" w:rsidR="00E74F5A" w:rsidRPr="004311F9" w:rsidRDefault="00E74F5A" w:rsidP="00224CF7">
      <w:pPr>
        <w:rPr>
          <w:rFonts w:eastAsia="Times New Roman"/>
          <w:b/>
          <w:szCs w:val="24"/>
          <w:lang w:val="hu-HU"/>
        </w:rPr>
      </w:pPr>
    </w:p>
    <w:p w14:paraId="73CA5A64" w14:textId="77777777" w:rsidR="00E74F5A" w:rsidRPr="004311F9" w:rsidRDefault="00E74F5A" w:rsidP="00224CF7">
      <w:pPr>
        <w:rPr>
          <w:rFonts w:eastAsia="Times New Roman"/>
          <w:b/>
          <w:szCs w:val="24"/>
          <w:lang w:val="hu-HU"/>
        </w:rPr>
      </w:pPr>
    </w:p>
    <w:p w14:paraId="34FA9CD9" w14:textId="77777777" w:rsidR="00E74F5A" w:rsidRPr="004311F9" w:rsidRDefault="00E74F5A" w:rsidP="00224CF7">
      <w:pPr>
        <w:rPr>
          <w:rFonts w:eastAsia="Times New Roman"/>
          <w:b/>
          <w:szCs w:val="24"/>
          <w:lang w:val="hu-HU"/>
        </w:rPr>
      </w:pPr>
    </w:p>
    <w:p w14:paraId="0D6007AD" w14:textId="77777777" w:rsidR="00E74F5A" w:rsidRPr="004311F9" w:rsidRDefault="00E74F5A" w:rsidP="00224CF7">
      <w:pPr>
        <w:rPr>
          <w:rFonts w:eastAsia="Times New Roman"/>
          <w:b/>
          <w:szCs w:val="24"/>
          <w:lang w:val="hu-HU"/>
        </w:rPr>
      </w:pPr>
    </w:p>
    <w:p w14:paraId="38133F54" w14:textId="77777777" w:rsidR="00E74F5A" w:rsidRPr="004311F9" w:rsidRDefault="00E74F5A" w:rsidP="00224CF7">
      <w:pPr>
        <w:rPr>
          <w:rFonts w:eastAsia="Times New Roman"/>
          <w:b/>
          <w:szCs w:val="24"/>
          <w:lang w:val="hu-HU"/>
        </w:rPr>
      </w:pPr>
    </w:p>
    <w:p w14:paraId="55715E4B" w14:textId="77777777" w:rsidR="00E74F5A" w:rsidRPr="004311F9" w:rsidRDefault="00E74F5A" w:rsidP="00224CF7">
      <w:pPr>
        <w:rPr>
          <w:rFonts w:eastAsia="Times New Roman"/>
          <w:b/>
          <w:szCs w:val="24"/>
          <w:lang w:val="hu-HU"/>
        </w:rPr>
      </w:pPr>
    </w:p>
    <w:p w14:paraId="793B48D8" w14:textId="77777777" w:rsidR="00E74F5A" w:rsidRPr="004311F9" w:rsidRDefault="00E74F5A" w:rsidP="00224CF7">
      <w:pPr>
        <w:rPr>
          <w:rFonts w:eastAsia="Times New Roman"/>
          <w:b/>
          <w:szCs w:val="24"/>
          <w:lang w:val="hu-HU"/>
        </w:rPr>
      </w:pPr>
    </w:p>
    <w:p w14:paraId="7266925B" w14:textId="77777777" w:rsidR="00E74F5A" w:rsidRPr="004311F9" w:rsidRDefault="00E74F5A" w:rsidP="00224CF7">
      <w:pPr>
        <w:rPr>
          <w:rFonts w:eastAsia="Times New Roman"/>
          <w:b/>
          <w:szCs w:val="24"/>
          <w:lang w:val="hu-HU"/>
        </w:rPr>
      </w:pPr>
    </w:p>
    <w:p w14:paraId="6409B20E" w14:textId="77777777" w:rsidR="00E74F5A" w:rsidRPr="004311F9" w:rsidRDefault="00E74F5A" w:rsidP="00224CF7">
      <w:pPr>
        <w:rPr>
          <w:rFonts w:eastAsia="Times New Roman"/>
          <w:b/>
          <w:szCs w:val="24"/>
          <w:lang w:val="hu-HU"/>
        </w:rPr>
      </w:pPr>
    </w:p>
    <w:p w14:paraId="6300ACCF" w14:textId="77777777" w:rsidR="00E74F5A" w:rsidRPr="004311F9" w:rsidRDefault="00E74F5A" w:rsidP="00224CF7">
      <w:pPr>
        <w:rPr>
          <w:rFonts w:eastAsia="Times New Roman"/>
          <w:b/>
          <w:szCs w:val="24"/>
          <w:lang w:val="hu-HU"/>
        </w:rPr>
      </w:pPr>
    </w:p>
    <w:p w14:paraId="2BF2665B" w14:textId="77777777" w:rsidR="00E74F5A" w:rsidRPr="004311F9" w:rsidRDefault="00E74F5A" w:rsidP="00224CF7">
      <w:pPr>
        <w:rPr>
          <w:rFonts w:eastAsia="Times New Roman"/>
          <w:b/>
          <w:szCs w:val="24"/>
          <w:lang w:val="hu-HU"/>
        </w:rPr>
      </w:pPr>
    </w:p>
    <w:p w14:paraId="0D4D6CC8" w14:textId="77777777" w:rsidR="00E74F5A" w:rsidRPr="004311F9" w:rsidRDefault="00E74F5A" w:rsidP="00224CF7">
      <w:pPr>
        <w:rPr>
          <w:rFonts w:eastAsia="Times New Roman"/>
          <w:b/>
          <w:szCs w:val="24"/>
          <w:lang w:val="hu-HU"/>
        </w:rPr>
      </w:pPr>
    </w:p>
    <w:p w14:paraId="6E52DF37" w14:textId="717D670C" w:rsidR="00E74F5A" w:rsidRPr="004311F9" w:rsidRDefault="00E74F5A" w:rsidP="00224CF7">
      <w:pPr>
        <w:rPr>
          <w:rFonts w:eastAsia="Times New Roman"/>
          <w:b/>
          <w:szCs w:val="24"/>
          <w:lang w:val="hu-HU"/>
        </w:rPr>
      </w:pPr>
    </w:p>
    <w:p w14:paraId="72E726B3" w14:textId="77777777" w:rsidR="00335696" w:rsidRPr="004311F9" w:rsidRDefault="00335696" w:rsidP="00224CF7">
      <w:pPr>
        <w:rPr>
          <w:rFonts w:eastAsia="Times New Roman"/>
          <w:b/>
          <w:szCs w:val="24"/>
          <w:lang w:val="hu-HU"/>
        </w:rPr>
      </w:pPr>
    </w:p>
    <w:p w14:paraId="7C4A2169" w14:textId="77777777" w:rsidR="00E74F5A" w:rsidRPr="004311F9" w:rsidRDefault="00E74F5A" w:rsidP="00DC4CB1">
      <w:pPr>
        <w:pStyle w:val="TitleA"/>
        <w:rPr>
          <w:lang w:val="hu-HU"/>
        </w:rPr>
      </w:pPr>
      <w:r w:rsidRPr="004311F9">
        <w:rPr>
          <w:lang w:val="hu-HU"/>
        </w:rPr>
        <w:t>A. CÍMKESZÖVEG</w:t>
      </w:r>
    </w:p>
    <w:p w14:paraId="42F0B0A8" w14:textId="77777777" w:rsidR="00E74F5A" w:rsidRPr="004311F9" w:rsidRDefault="00E74F5A" w:rsidP="00DC4CB1">
      <w:pPr>
        <w:pBdr>
          <w:top w:val="single" w:sz="4" w:space="1" w:color="auto"/>
          <w:left w:val="single" w:sz="4" w:space="4" w:color="auto"/>
          <w:bottom w:val="single" w:sz="4" w:space="1" w:color="auto"/>
          <w:right w:val="single" w:sz="4" w:space="4" w:color="auto"/>
        </w:pBdr>
        <w:spacing w:line="240" w:lineRule="auto"/>
        <w:rPr>
          <w:b/>
          <w:szCs w:val="24"/>
          <w:lang w:val="hu-HU"/>
        </w:rPr>
      </w:pPr>
      <w:r w:rsidRPr="004311F9">
        <w:rPr>
          <w:b/>
          <w:szCs w:val="24"/>
          <w:lang w:val="hu-HU"/>
        </w:rPr>
        <w:br w:type="page"/>
      </w:r>
      <w:r w:rsidRPr="004311F9">
        <w:rPr>
          <w:b/>
          <w:szCs w:val="24"/>
          <w:lang w:val="hu-HU"/>
        </w:rPr>
        <w:lastRenderedPageBreak/>
        <w:t>A KÜLSŐ CSOMAGOLÁSON FELTÜNTETENDŐ ADATOK</w:t>
      </w:r>
    </w:p>
    <w:p w14:paraId="26B5EC15" w14:textId="77777777" w:rsidR="00E74F5A" w:rsidRPr="004311F9" w:rsidRDefault="00E74F5A" w:rsidP="00DC4CB1">
      <w:pPr>
        <w:pBdr>
          <w:top w:val="single" w:sz="4" w:space="1" w:color="auto"/>
          <w:left w:val="single" w:sz="4" w:space="4" w:color="auto"/>
          <w:bottom w:val="single" w:sz="4" w:space="1" w:color="auto"/>
          <w:right w:val="single" w:sz="4" w:space="4" w:color="auto"/>
        </w:pBdr>
        <w:spacing w:line="240" w:lineRule="auto"/>
        <w:ind w:left="567" w:hanging="567"/>
        <w:rPr>
          <w:rFonts w:eastAsia="Times New Roman"/>
          <w:b/>
          <w:szCs w:val="24"/>
          <w:lang w:val="hu-HU"/>
        </w:rPr>
      </w:pPr>
    </w:p>
    <w:p w14:paraId="2C2EAD4F" w14:textId="77777777" w:rsidR="00E74F5A" w:rsidRPr="004311F9" w:rsidRDefault="00E74F5A" w:rsidP="00DC4CB1">
      <w:pPr>
        <w:pBdr>
          <w:top w:val="single" w:sz="4" w:space="1" w:color="auto"/>
          <w:left w:val="single" w:sz="4" w:space="4" w:color="auto"/>
          <w:bottom w:val="single" w:sz="4" w:space="1" w:color="auto"/>
          <w:right w:val="single" w:sz="4" w:space="4" w:color="auto"/>
        </w:pBdr>
        <w:spacing w:line="240" w:lineRule="auto"/>
        <w:rPr>
          <w:b/>
          <w:szCs w:val="24"/>
          <w:lang w:val="hu-HU"/>
        </w:rPr>
      </w:pPr>
      <w:r w:rsidRPr="004311F9">
        <w:rPr>
          <w:b/>
          <w:szCs w:val="24"/>
          <w:lang w:val="hu-HU"/>
        </w:rPr>
        <w:t>DOBOZ</w:t>
      </w:r>
    </w:p>
    <w:p w14:paraId="15BB74B6" w14:textId="77777777" w:rsidR="00E74F5A" w:rsidRPr="004311F9" w:rsidRDefault="00E74F5A" w:rsidP="00DC4CB1">
      <w:pPr>
        <w:spacing w:line="240" w:lineRule="auto"/>
        <w:rPr>
          <w:rFonts w:eastAsia="Times New Roman"/>
          <w:szCs w:val="24"/>
          <w:lang w:val="hu-HU"/>
        </w:rPr>
      </w:pPr>
    </w:p>
    <w:p w14:paraId="537928C2" w14:textId="77777777" w:rsidR="00E74F5A" w:rsidRPr="004311F9" w:rsidRDefault="00E74F5A" w:rsidP="00DC4CB1">
      <w:pPr>
        <w:spacing w:line="240" w:lineRule="auto"/>
        <w:rPr>
          <w:rFonts w:eastAsia="Times New Roman"/>
          <w:szCs w:val="24"/>
          <w:lang w:val="hu-HU"/>
        </w:rPr>
      </w:pPr>
    </w:p>
    <w:p w14:paraId="6A1D6E9E" w14:textId="77777777" w:rsidR="00E74F5A" w:rsidRPr="004311F9" w:rsidRDefault="00E74F5A" w:rsidP="003D4563">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1.</w:t>
      </w:r>
      <w:r w:rsidRPr="004311F9">
        <w:rPr>
          <w:b/>
          <w:szCs w:val="24"/>
          <w:lang w:val="hu-HU"/>
        </w:rPr>
        <w:tab/>
        <w:t>A GYÓGYSZER NEVE</w:t>
      </w:r>
    </w:p>
    <w:p w14:paraId="0629A2EE" w14:textId="77777777" w:rsidR="00E74F5A" w:rsidRPr="004311F9" w:rsidRDefault="00E74F5A" w:rsidP="00DC4CB1">
      <w:pPr>
        <w:spacing w:line="240" w:lineRule="auto"/>
        <w:rPr>
          <w:rFonts w:eastAsia="Times New Roman"/>
          <w:szCs w:val="24"/>
          <w:lang w:val="hu-HU"/>
        </w:rPr>
      </w:pPr>
    </w:p>
    <w:p w14:paraId="065C3DC9" w14:textId="77777777" w:rsidR="00E74F5A" w:rsidRPr="004311F9" w:rsidRDefault="00E74F5A" w:rsidP="00DC4CB1">
      <w:pPr>
        <w:spacing w:line="240" w:lineRule="auto"/>
        <w:rPr>
          <w:szCs w:val="24"/>
          <w:lang w:val="hu-HU"/>
        </w:rPr>
      </w:pPr>
      <w:r w:rsidRPr="004311F9">
        <w:rPr>
          <w:szCs w:val="24"/>
          <w:lang w:val="hu-HU"/>
        </w:rPr>
        <w:t>ALPROLIX 250 NE por és oldószer oldatos injekcióhoz</w:t>
      </w:r>
    </w:p>
    <w:p w14:paraId="41B761A6" w14:textId="77777777" w:rsidR="00E74F5A" w:rsidRPr="004311F9" w:rsidRDefault="00E74F5A" w:rsidP="00DC4CB1">
      <w:pPr>
        <w:spacing w:line="240" w:lineRule="auto"/>
        <w:rPr>
          <w:szCs w:val="22"/>
          <w:lang w:val="hu-HU"/>
        </w:rPr>
      </w:pPr>
    </w:p>
    <w:p w14:paraId="6C9930FF" w14:textId="10571FC1" w:rsidR="00E74F5A" w:rsidRPr="004311F9" w:rsidRDefault="00E74F5A" w:rsidP="00DC4CB1">
      <w:pPr>
        <w:spacing w:line="240" w:lineRule="auto"/>
        <w:rPr>
          <w:szCs w:val="24"/>
          <w:lang w:val="hu-HU"/>
        </w:rPr>
      </w:pPr>
      <w:r w:rsidRPr="004311F9">
        <w:rPr>
          <w:szCs w:val="22"/>
          <w:lang w:val="hu-HU"/>
        </w:rPr>
        <w:t xml:space="preserve">eftrenonacogum </w:t>
      </w:r>
      <w:r w:rsidRPr="004311F9">
        <w:rPr>
          <w:szCs w:val="24"/>
          <w:lang w:val="hu-HU"/>
        </w:rPr>
        <w:t>alfa</w:t>
      </w:r>
      <w:r w:rsidR="00FD6B4E" w:rsidRPr="004311F9">
        <w:rPr>
          <w:szCs w:val="24"/>
          <w:lang w:val="hu-HU"/>
        </w:rPr>
        <w:t xml:space="preserve"> (</w:t>
      </w:r>
      <w:r w:rsidRPr="004311F9">
        <w:rPr>
          <w:szCs w:val="24"/>
          <w:lang w:val="hu-HU"/>
        </w:rPr>
        <w:t>rekombináns IX</w:t>
      </w:r>
      <w:r w:rsidRPr="004311F9">
        <w:rPr>
          <w:szCs w:val="24"/>
          <w:lang w:val="hu-HU"/>
        </w:rPr>
        <w:noBreakHyphen/>
        <w:t>es alvadási faktor, Fc fúziós fehérje</w:t>
      </w:r>
      <w:r w:rsidR="00FD6B4E" w:rsidRPr="004311F9">
        <w:rPr>
          <w:szCs w:val="24"/>
          <w:lang w:val="hu-HU"/>
        </w:rPr>
        <w:t>)</w:t>
      </w:r>
    </w:p>
    <w:p w14:paraId="4BF9A9E9" w14:textId="77777777" w:rsidR="00E74F5A" w:rsidRPr="004311F9" w:rsidRDefault="00E74F5A" w:rsidP="00DC4CB1">
      <w:pPr>
        <w:spacing w:line="240" w:lineRule="auto"/>
        <w:rPr>
          <w:rFonts w:eastAsia="Times New Roman"/>
          <w:szCs w:val="24"/>
          <w:lang w:val="hu-HU"/>
        </w:rPr>
      </w:pPr>
    </w:p>
    <w:p w14:paraId="43F8327A" w14:textId="77777777" w:rsidR="00E74F5A" w:rsidRPr="004311F9" w:rsidRDefault="00E74F5A" w:rsidP="00DC4CB1">
      <w:pPr>
        <w:spacing w:line="240" w:lineRule="auto"/>
        <w:rPr>
          <w:rFonts w:eastAsia="Times New Roman"/>
          <w:szCs w:val="24"/>
          <w:lang w:val="hu-HU"/>
        </w:rPr>
      </w:pPr>
    </w:p>
    <w:p w14:paraId="23B53C34" w14:textId="77777777" w:rsidR="00E74F5A" w:rsidRPr="004311F9" w:rsidRDefault="00E74F5A" w:rsidP="003D4563">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2.</w:t>
      </w:r>
      <w:r w:rsidRPr="004311F9">
        <w:rPr>
          <w:b/>
          <w:szCs w:val="24"/>
          <w:lang w:val="hu-HU"/>
        </w:rPr>
        <w:tab/>
        <w:t>HATÓANYAG(OK) MEGNEVEZÉSE</w:t>
      </w:r>
    </w:p>
    <w:p w14:paraId="7AD34E1C" w14:textId="77777777" w:rsidR="00E74F5A" w:rsidRPr="004311F9" w:rsidRDefault="00E74F5A" w:rsidP="00DC4CB1">
      <w:pPr>
        <w:spacing w:line="240" w:lineRule="auto"/>
        <w:rPr>
          <w:rFonts w:eastAsia="Times New Roman"/>
          <w:szCs w:val="24"/>
          <w:lang w:val="hu-HU"/>
        </w:rPr>
      </w:pPr>
    </w:p>
    <w:p w14:paraId="1768835B" w14:textId="77777777" w:rsidR="00E74F5A" w:rsidRPr="004311F9" w:rsidRDefault="00E74F5A" w:rsidP="00DC4CB1">
      <w:pPr>
        <w:spacing w:line="240" w:lineRule="auto"/>
        <w:rPr>
          <w:szCs w:val="24"/>
          <w:lang w:val="hu-HU"/>
        </w:rPr>
      </w:pPr>
      <w:r w:rsidRPr="004311F9">
        <w:rPr>
          <w:szCs w:val="24"/>
          <w:lang w:val="hu-HU"/>
        </w:rPr>
        <w:t>Por: 250 NE eftrenonacogum alfa (feloldás után körülbelül 50 NE/ml),</w:t>
      </w:r>
    </w:p>
    <w:p w14:paraId="2B483BA2" w14:textId="77777777" w:rsidR="00E74F5A" w:rsidRPr="004311F9" w:rsidRDefault="00E74F5A" w:rsidP="00DC4CB1">
      <w:pPr>
        <w:spacing w:line="240" w:lineRule="auto"/>
        <w:rPr>
          <w:rFonts w:eastAsia="Times New Roman"/>
          <w:szCs w:val="24"/>
          <w:lang w:val="hu-HU"/>
        </w:rPr>
      </w:pPr>
    </w:p>
    <w:p w14:paraId="0D246EF4" w14:textId="77777777" w:rsidR="00E74F5A" w:rsidRPr="004311F9" w:rsidRDefault="00E74F5A" w:rsidP="00DC4CB1">
      <w:pPr>
        <w:spacing w:line="240" w:lineRule="auto"/>
        <w:rPr>
          <w:rFonts w:eastAsia="Times New Roman"/>
          <w:szCs w:val="24"/>
          <w:lang w:val="hu-HU"/>
        </w:rPr>
      </w:pPr>
    </w:p>
    <w:p w14:paraId="49C13A7E" w14:textId="77777777" w:rsidR="00E74F5A" w:rsidRPr="004311F9" w:rsidRDefault="00E74F5A" w:rsidP="003D4563">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3.</w:t>
      </w:r>
      <w:r w:rsidRPr="004311F9">
        <w:rPr>
          <w:b/>
          <w:szCs w:val="24"/>
          <w:lang w:val="hu-HU"/>
        </w:rPr>
        <w:tab/>
        <w:t>SEGÉDANYAGOK FELSOROLÁSA</w:t>
      </w:r>
    </w:p>
    <w:p w14:paraId="14EDC1ED" w14:textId="77777777" w:rsidR="00E74F5A" w:rsidRPr="004311F9" w:rsidRDefault="00E74F5A" w:rsidP="00DC4CB1">
      <w:pPr>
        <w:spacing w:line="240" w:lineRule="auto"/>
        <w:rPr>
          <w:rFonts w:eastAsia="Times New Roman"/>
          <w:szCs w:val="24"/>
          <w:lang w:val="hu-HU"/>
        </w:rPr>
      </w:pPr>
    </w:p>
    <w:p w14:paraId="003565E3" w14:textId="77777777" w:rsidR="00E74F5A" w:rsidRPr="004311F9" w:rsidRDefault="00E74F5A" w:rsidP="00DC4CB1">
      <w:pPr>
        <w:autoSpaceDE w:val="0"/>
        <w:autoSpaceDN w:val="0"/>
        <w:adjustRightInd w:val="0"/>
        <w:spacing w:line="240" w:lineRule="auto"/>
        <w:rPr>
          <w:szCs w:val="24"/>
          <w:lang w:val="hu-HU"/>
        </w:rPr>
      </w:pPr>
      <w:r w:rsidRPr="004311F9">
        <w:rPr>
          <w:rFonts w:eastAsia="Times New Roman"/>
          <w:shd w:val="clear" w:color="auto" w:fill="D9D9D9"/>
          <w:lang w:val="hu-HU" w:eastAsia="en-US"/>
        </w:rPr>
        <w:t>Por:</w:t>
      </w:r>
    </w:p>
    <w:p w14:paraId="1B925F34" w14:textId="2127D0C9" w:rsidR="00E74F5A" w:rsidRPr="004311F9" w:rsidRDefault="00E74F5A" w:rsidP="00DC4CB1">
      <w:pPr>
        <w:autoSpaceDE w:val="0"/>
        <w:autoSpaceDN w:val="0"/>
        <w:adjustRightInd w:val="0"/>
        <w:spacing w:line="240" w:lineRule="auto"/>
        <w:rPr>
          <w:szCs w:val="24"/>
          <w:lang w:val="hu-HU"/>
        </w:rPr>
      </w:pPr>
      <w:r w:rsidRPr="004311F9">
        <w:rPr>
          <w:szCs w:val="24"/>
          <w:lang w:val="hu-HU"/>
        </w:rPr>
        <w:t>szacharóz, hisztidin, mannit, poliszorbát 20, nátrium</w:t>
      </w:r>
      <w:r w:rsidRPr="004311F9">
        <w:rPr>
          <w:szCs w:val="24"/>
          <w:lang w:val="hu-HU"/>
        </w:rPr>
        <w:noBreakHyphen/>
        <w:t>hidroxid, sósav</w:t>
      </w:r>
    </w:p>
    <w:p w14:paraId="595B0809" w14:textId="77777777" w:rsidR="00E74F5A" w:rsidRPr="004311F9" w:rsidRDefault="00E74F5A" w:rsidP="00DC4CB1">
      <w:pPr>
        <w:autoSpaceDE w:val="0"/>
        <w:autoSpaceDN w:val="0"/>
        <w:adjustRightInd w:val="0"/>
        <w:spacing w:line="240" w:lineRule="auto"/>
        <w:rPr>
          <w:rFonts w:eastAsia="Times New Roman"/>
          <w:szCs w:val="24"/>
          <w:lang w:val="hu-HU"/>
        </w:rPr>
      </w:pPr>
    </w:p>
    <w:p w14:paraId="145027B3" w14:textId="77777777" w:rsidR="00E74F5A" w:rsidRPr="004311F9" w:rsidRDefault="00E74F5A" w:rsidP="00DC4CB1">
      <w:pPr>
        <w:keepNext/>
        <w:autoSpaceDE w:val="0"/>
        <w:autoSpaceDN w:val="0"/>
        <w:adjustRightInd w:val="0"/>
        <w:spacing w:line="240" w:lineRule="auto"/>
        <w:rPr>
          <w:szCs w:val="24"/>
          <w:lang w:val="hu-HU"/>
        </w:rPr>
      </w:pPr>
      <w:r w:rsidRPr="004311F9">
        <w:rPr>
          <w:szCs w:val="24"/>
          <w:lang w:val="hu-HU"/>
        </w:rPr>
        <w:t>Oldószer:</w:t>
      </w:r>
    </w:p>
    <w:p w14:paraId="10D6FF7E" w14:textId="0F8163FF" w:rsidR="00E74F5A" w:rsidRPr="004311F9" w:rsidRDefault="00E74F5A" w:rsidP="00DC4CB1">
      <w:pPr>
        <w:autoSpaceDE w:val="0"/>
        <w:autoSpaceDN w:val="0"/>
        <w:adjustRightInd w:val="0"/>
        <w:spacing w:line="240" w:lineRule="auto"/>
        <w:rPr>
          <w:szCs w:val="24"/>
          <w:lang w:val="hu-HU"/>
        </w:rPr>
      </w:pPr>
      <w:r w:rsidRPr="004311F9">
        <w:rPr>
          <w:szCs w:val="24"/>
          <w:lang w:val="hu-HU"/>
        </w:rPr>
        <w:t>nátrium</w:t>
      </w:r>
      <w:r w:rsidRPr="004311F9">
        <w:rPr>
          <w:szCs w:val="24"/>
          <w:lang w:val="hu-HU"/>
        </w:rPr>
        <w:noBreakHyphen/>
        <w:t>klorid</w:t>
      </w:r>
      <w:r w:rsidR="00FD6B4E" w:rsidRPr="004311F9">
        <w:rPr>
          <w:szCs w:val="24"/>
          <w:lang w:val="hu-HU"/>
        </w:rPr>
        <w:t xml:space="preserve">, </w:t>
      </w:r>
      <w:r w:rsidRPr="004311F9">
        <w:rPr>
          <w:szCs w:val="24"/>
          <w:lang w:val="hu-HU"/>
        </w:rPr>
        <w:t>injekcióhoz való víz</w:t>
      </w:r>
    </w:p>
    <w:p w14:paraId="23144537" w14:textId="77777777" w:rsidR="00E74F5A" w:rsidRPr="004311F9" w:rsidRDefault="00E74F5A" w:rsidP="00DC4CB1">
      <w:pPr>
        <w:autoSpaceDE w:val="0"/>
        <w:autoSpaceDN w:val="0"/>
        <w:adjustRightInd w:val="0"/>
        <w:spacing w:line="240" w:lineRule="auto"/>
        <w:rPr>
          <w:rFonts w:eastAsia="Times New Roman"/>
          <w:szCs w:val="24"/>
          <w:lang w:val="hu-HU"/>
        </w:rPr>
      </w:pPr>
    </w:p>
    <w:p w14:paraId="5BB00A8C" w14:textId="77777777" w:rsidR="00E74F5A" w:rsidRPr="004311F9" w:rsidRDefault="00E74F5A" w:rsidP="00DC4CB1">
      <w:pPr>
        <w:autoSpaceDE w:val="0"/>
        <w:autoSpaceDN w:val="0"/>
        <w:adjustRightInd w:val="0"/>
        <w:spacing w:line="240" w:lineRule="auto"/>
        <w:rPr>
          <w:rFonts w:eastAsia="Times New Roman"/>
          <w:szCs w:val="24"/>
          <w:lang w:val="hu-HU"/>
        </w:rPr>
      </w:pPr>
    </w:p>
    <w:p w14:paraId="0B918636" w14:textId="77777777" w:rsidR="00E74F5A" w:rsidRPr="004311F9" w:rsidRDefault="00E74F5A" w:rsidP="003D4563">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4.</w:t>
      </w:r>
      <w:r w:rsidRPr="004311F9">
        <w:rPr>
          <w:b/>
          <w:szCs w:val="24"/>
          <w:lang w:val="hu-HU"/>
        </w:rPr>
        <w:tab/>
        <w:t>GYÓGYSZERFORMA ÉS TARTALOM</w:t>
      </w:r>
    </w:p>
    <w:p w14:paraId="68D687ED" w14:textId="77777777" w:rsidR="00E74F5A" w:rsidRPr="004311F9" w:rsidRDefault="00E74F5A" w:rsidP="00DC4CB1">
      <w:pPr>
        <w:keepNext/>
        <w:spacing w:line="240" w:lineRule="auto"/>
        <w:rPr>
          <w:rFonts w:eastAsia="Times New Roman"/>
          <w:szCs w:val="24"/>
          <w:lang w:val="hu-HU"/>
        </w:rPr>
      </w:pPr>
    </w:p>
    <w:p w14:paraId="092985CA" w14:textId="77777777" w:rsidR="00E74F5A" w:rsidRPr="004311F9" w:rsidRDefault="00E74F5A" w:rsidP="00DC4CB1">
      <w:pPr>
        <w:keepNext/>
        <w:spacing w:line="240" w:lineRule="auto"/>
        <w:rPr>
          <w:rFonts w:eastAsia="Times New Roman"/>
          <w:lang w:val="hu-HU" w:eastAsia="en-US"/>
        </w:rPr>
      </w:pPr>
      <w:r w:rsidRPr="004311F9">
        <w:rPr>
          <w:rFonts w:eastAsia="Times New Roman"/>
          <w:shd w:val="clear" w:color="auto" w:fill="D9D9D9"/>
          <w:lang w:val="hu-HU" w:eastAsia="en-US"/>
        </w:rPr>
        <w:t>Por és oldószer oldatos injekcióhoz.</w:t>
      </w:r>
    </w:p>
    <w:p w14:paraId="18FE3F12" w14:textId="77777777" w:rsidR="00E74F5A" w:rsidRPr="004311F9" w:rsidRDefault="00E74F5A" w:rsidP="00DC4CB1">
      <w:pPr>
        <w:keepNext/>
        <w:spacing w:line="240" w:lineRule="auto"/>
        <w:rPr>
          <w:rFonts w:eastAsia="Times New Roman"/>
          <w:szCs w:val="24"/>
          <w:lang w:val="hu-HU"/>
        </w:rPr>
      </w:pPr>
    </w:p>
    <w:p w14:paraId="6CC66137" w14:textId="77777777" w:rsidR="00E74F5A" w:rsidRPr="004311F9" w:rsidRDefault="00E74F5A" w:rsidP="00DC4CB1">
      <w:pPr>
        <w:spacing w:line="240" w:lineRule="auto"/>
        <w:rPr>
          <w:szCs w:val="24"/>
          <w:lang w:val="hu-HU"/>
        </w:rPr>
      </w:pPr>
      <w:r w:rsidRPr="004311F9">
        <w:rPr>
          <w:szCs w:val="24"/>
          <w:lang w:val="hu-HU"/>
        </w:rPr>
        <w:t>Tartalom: 1 db port tartalmazó injekciós üveg, 5 ml oldószer előretöltött fecskendőben, 1 db dugattyúrúd, 1 db injekciós üveg adapter, 1 db infúziós szerelék, 2 db alkoholos törlő, 2 db ragtapasz, 1 db gézlap.</w:t>
      </w:r>
    </w:p>
    <w:p w14:paraId="118C665B" w14:textId="77777777" w:rsidR="00E74F5A" w:rsidRPr="004311F9" w:rsidRDefault="00E74F5A" w:rsidP="00DC4CB1">
      <w:pPr>
        <w:spacing w:line="240" w:lineRule="auto"/>
        <w:rPr>
          <w:rFonts w:eastAsia="Times New Roman"/>
          <w:szCs w:val="24"/>
          <w:lang w:val="hu-HU"/>
        </w:rPr>
      </w:pPr>
    </w:p>
    <w:p w14:paraId="523F6FC6" w14:textId="77777777" w:rsidR="00E74F5A" w:rsidRPr="004311F9" w:rsidRDefault="00E74F5A" w:rsidP="00DC4CB1">
      <w:pPr>
        <w:spacing w:line="240" w:lineRule="auto"/>
        <w:rPr>
          <w:rFonts w:eastAsia="Times New Roman"/>
          <w:szCs w:val="24"/>
          <w:lang w:val="hu-HU"/>
        </w:rPr>
      </w:pPr>
    </w:p>
    <w:p w14:paraId="66AFDA0A" w14:textId="77777777" w:rsidR="00E74F5A" w:rsidRPr="004311F9" w:rsidRDefault="00E74F5A" w:rsidP="003D4563">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5.</w:t>
      </w:r>
      <w:r w:rsidRPr="004311F9">
        <w:rPr>
          <w:b/>
          <w:szCs w:val="24"/>
          <w:lang w:val="hu-HU"/>
        </w:rPr>
        <w:tab/>
        <w:t>AZ ALKALMAZÁSSAL KAPCSOLATOS TUDNIVALÓK ÉS AZ ALKALMAZÁS MÓDJA(I)</w:t>
      </w:r>
    </w:p>
    <w:p w14:paraId="034CAD0B" w14:textId="77777777" w:rsidR="00E74F5A" w:rsidRPr="004311F9" w:rsidRDefault="00E74F5A" w:rsidP="00DC4CB1">
      <w:pPr>
        <w:spacing w:line="240" w:lineRule="auto"/>
        <w:rPr>
          <w:rFonts w:eastAsia="Times New Roman"/>
          <w:szCs w:val="24"/>
          <w:lang w:val="hu-HU"/>
        </w:rPr>
      </w:pPr>
    </w:p>
    <w:p w14:paraId="2F9738B1" w14:textId="77777777" w:rsidR="00E74F5A" w:rsidRPr="004311F9" w:rsidRDefault="00E74F5A" w:rsidP="00DC4CB1">
      <w:pPr>
        <w:spacing w:line="240" w:lineRule="auto"/>
        <w:rPr>
          <w:szCs w:val="24"/>
          <w:lang w:val="hu-HU"/>
        </w:rPr>
      </w:pPr>
      <w:r w:rsidRPr="004311F9">
        <w:rPr>
          <w:szCs w:val="24"/>
          <w:lang w:val="hu-HU"/>
        </w:rPr>
        <w:t>Feloldás után intravénás alkalmazás.</w:t>
      </w:r>
    </w:p>
    <w:p w14:paraId="5766B2E5" w14:textId="77777777" w:rsidR="00E74F5A" w:rsidRPr="004311F9" w:rsidRDefault="00E74F5A" w:rsidP="00DC4CB1">
      <w:pPr>
        <w:spacing w:line="240" w:lineRule="auto"/>
        <w:rPr>
          <w:szCs w:val="24"/>
          <w:lang w:val="hu-HU"/>
        </w:rPr>
      </w:pPr>
      <w:r w:rsidRPr="004311F9">
        <w:rPr>
          <w:szCs w:val="24"/>
          <w:lang w:val="hu-HU"/>
        </w:rPr>
        <w:t>Használat előtt olvassa el a mellékelt betegtájékoztatót!</w:t>
      </w:r>
    </w:p>
    <w:p w14:paraId="19E9EECF" w14:textId="77777777" w:rsidR="00E74F5A" w:rsidRPr="004311F9" w:rsidRDefault="00E74F5A" w:rsidP="00DC4CB1">
      <w:pPr>
        <w:spacing w:line="240" w:lineRule="auto"/>
        <w:rPr>
          <w:rFonts w:eastAsia="Times New Roman"/>
          <w:szCs w:val="24"/>
          <w:lang w:val="hu-HU"/>
        </w:rPr>
      </w:pPr>
    </w:p>
    <w:p w14:paraId="3E7B3917" w14:textId="77777777" w:rsidR="00E74F5A" w:rsidRPr="004311F9" w:rsidRDefault="00E74F5A" w:rsidP="00DC4CB1">
      <w:pPr>
        <w:spacing w:line="240" w:lineRule="auto"/>
        <w:rPr>
          <w:rFonts w:eastAsia="Times New Roman"/>
          <w:szCs w:val="24"/>
          <w:lang w:val="hu-HU"/>
        </w:rPr>
      </w:pPr>
      <w:r w:rsidRPr="004311F9">
        <w:rPr>
          <w:szCs w:val="24"/>
          <w:lang w:val="hu-HU"/>
        </w:rPr>
        <w:t>Az ALPROLIX elkészítésének és beadásának módjáról szóló oktatófilm elérhető a QR</w:t>
      </w:r>
      <w:r w:rsidRPr="004311F9">
        <w:rPr>
          <w:szCs w:val="24"/>
          <w:lang w:val="hu-HU"/>
        </w:rPr>
        <w:noBreakHyphen/>
        <w:t>kód okostelefonnal történő beolvasásával, vagy az internetes honlapon</w:t>
      </w:r>
    </w:p>
    <w:p w14:paraId="184A028C" w14:textId="77777777" w:rsidR="00E74F5A" w:rsidRPr="004311F9" w:rsidRDefault="00E74F5A" w:rsidP="00DC4CB1">
      <w:pPr>
        <w:spacing w:line="240" w:lineRule="auto"/>
        <w:rPr>
          <w:rFonts w:eastAsia="Times New Roman"/>
          <w:szCs w:val="24"/>
          <w:lang w:val="hu-HU"/>
        </w:rPr>
      </w:pPr>
    </w:p>
    <w:p w14:paraId="6A506A81" w14:textId="77777777" w:rsidR="00E74F5A" w:rsidRPr="004311F9" w:rsidRDefault="00E74F5A" w:rsidP="00DC4CB1">
      <w:pPr>
        <w:spacing w:line="240" w:lineRule="auto"/>
        <w:rPr>
          <w:sz w:val="23"/>
          <w:lang w:val="hu-HU"/>
        </w:rPr>
      </w:pPr>
      <w:r w:rsidRPr="004311F9">
        <w:rPr>
          <w:rFonts w:eastAsia="Times New Roman"/>
          <w:shd w:val="clear" w:color="auto" w:fill="D9D9D9"/>
          <w:lang w:val="hu-HU" w:eastAsia="en-US"/>
        </w:rPr>
        <w:t>Be kell illeszteni a QR</w:t>
      </w:r>
      <w:r w:rsidRPr="004311F9">
        <w:rPr>
          <w:rFonts w:eastAsia="Times New Roman"/>
          <w:shd w:val="clear" w:color="auto" w:fill="D9D9D9"/>
          <w:lang w:val="hu-HU" w:eastAsia="en-US"/>
        </w:rPr>
        <w:noBreakHyphen/>
        <w:t>kódot +</w:t>
      </w:r>
      <w:r w:rsidRPr="004311F9">
        <w:rPr>
          <w:lang w:val="hu-HU"/>
        </w:rPr>
        <w:t xml:space="preserve"> </w:t>
      </w:r>
      <w:hyperlink r:id="rId25" w:history="1">
        <w:r w:rsidRPr="004311F9">
          <w:rPr>
            <w:rStyle w:val="Hyperlink"/>
            <w:lang w:val="hu-HU"/>
          </w:rPr>
          <w:t>http://www.alprolix-instructions.com</w:t>
        </w:r>
      </w:hyperlink>
      <w:r w:rsidRPr="004311F9">
        <w:rPr>
          <w:lang w:val="hu-HU"/>
        </w:rPr>
        <w:t xml:space="preserve"> </w:t>
      </w:r>
    </w:p>
    <w:p w14:paraId="2A12D92A" w14:textId="77777777" w:rsidR="00E74F5A" w:rsidRPr="004311F9" w:rsidRDefault="00E74F5A" w:rsidP="00DC4CB1">
      <w:pPr>
        <w:spacing w:line="240" w:lineRule="auto"/>
        <w:rPr>
          <w:rFonts w:eastAsia="Times New Roman"/>
          <w:szCs w:val="24"/>
          <w:lang w:val="hu-HU"/>
        </w:rPr>
      </w:pPr>
    </w:p>
    <w:p w14:paraId="3021F53A" w14:textId="77777777" w:rsidR="00E74F5A" w:rsidRPr="004311F9" w:rsidRDefault="00E74F5A" w:rsidP="00DC4CB1">
      <w:pPr>
        <w:spacing w:line="240" w:lineRule="auto"/>
        <w:rPr>
          <w:rFonts w:eastAsia="Times New Roman"/>
          <w:szCs w:val="24"/>
          <w:lang w:val="hu-HU"/>
        </w:rPr>
      </w:pPr>
    </w:p>
    <w:p w14:paraId="21C98B2A" w14:textId="77777777" w:rsidR="00E74F5A" w:rsidRPr="004311F9" w:rsidRDefault="00E74F5A" w:rsidP="003D4563">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6.</w:t>
      </w:r>
      <w:r w:rsidRPr="004311F9">
        <w:rPr>
          <w:b/>
          <w:szCs w:val="24"/>
          <w:lang w:val="hu-HU"/>
        </w:rPr>
        <w:tab/>
        <w:t>KÜLÖN FIGYELMEZTETÉS, MELY SZERINT A GYÓGYSZERT GYERMEKEKTŐL ELZÁRVA KELL TARTANI</w:t>
      </w:r>
    </w:p>
    <w:p w14:paraId="4BEC7C9C" w14:textId="77777777" w:rsidR="00E74F5A" w:rsidRPr="004311F9" w:rsidRDefault="00E74F5A" w:rsidP="00DC4CB1">
      <w:pPr>
        <w:spacing w:line="240" w:lineRule="auto"/>
        <w:rPr>
          <w:rFonts w:eastAsia="Times New Roman"/>
          <w:szCs w:val="24"/>
          <w:lang w:val="hu-HU"/>
        </w:rPr>
      </w:pPr>
    </w:p>
    <w:p w14:paraId="4A7548E9" w14:textId="77777777" w:rsidR="00E74F5A" w:rsidRPr="004311F9" w:rsidRDefault="00E74F5A" w:rsidP="00224CF7">
      <w:pPr>
        <w:spacing w:line="240" w:lineRule="auto"/>
        <w:rPr>
          <w:rFonts w:eastAsia="Times New Roman"/>
          <w:szCs w:val="24"/>
          <w:lang w:val="hu-HU"/>
        </w:rPr>
      </w:pPr>
      <w:r w:rsidRPr="004311F9">
        <w:rPr>
          <w:szCs w:val="24"/>
          <w:lang w:val="hu-HU"/>
        </w:rPr>
        <w:lastRenderedPageBreak/>
        <w:t>A gyógyszer gyermekektől elzárva tartandó!</w:t>
      </w:r>
    </w:p>
    <w:p w14:paraId="107ADD20" w14:textId="77777777" w:rsidR="00E74F5A" w:rsidRPr="004311F9" w:rsidRDefault="00E74F5A" w:rsidP="00224CF7">
      <w:pPr>
        <w:spacing w:line="240" w:lineRule="auto"/>
        <w:rPr>
          <w:rFonts w:eastAsia="Times New Roman"/>
          <w:szCs w:val="24"/>
          <w:lang w:val="hu-HU"/>
        </w:rPr>
      </w:pPr>
    </w:p>
    <w:p w14:paraId="5481DD3B" w14:textId="77777777" w:rsidR="00E74F5A" w:rsidRPr="004311F9" w:rsidRDefault="00E74F5A" w:rsidP="00DC4CB1">
      <w:pPr>
        <w:spacing w:line="240" w:lineRule="auto"/>
        <w:rPr>
          <w:rFonts w:eastAsia="Times New Roman"/>
          <w:szCs w:val="24"/>
          <w:lang w:val="hu-HU"/>
        </w:rPr>
      </w:pPr>
    </w:p>
    <w:p w14:paraId="1510FAA6" w14:textId="77777777" w:rsidR="00E74F5A" w:rsidRPr="004311F9" w:rsidRDefault="00E74F5A" w:rsidP="003D4563">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7.</w:t>
      </w:r>
      <w:r w:rsidRPr="004311F9">
        <w:rPr>
          <w:b/>
          <w:szCs w:val="24"/>
          <w:lang w:val="hu-HU"/>
        </w:rPr>
        <w:tab/>
        <w:t>TOVÁBBI FIGYELMEZTETÉS(EK), AMENNYIBEN SZÜKSÉGES</w:t>
      </w:r>
    </w:p>
    <w:p w14:paraId="476C8074" w14:textId="77777777" w:rsidR="00E74F5A" w:rsidRPr="004311F9" w:rsidRDefault="00E74F5A" w:rsidP="00DC4CB1">
      <w:pPr>
        <w:spacing w:line="240" w:lineRule="auto"/>
        <w:rPr>
          <w:rFonts w:eastAsia="Times New Roman"/>
          <w:szCs w:val="24"/>
          <w:lang w:val="hu-HU"/>
        </w:rPr>
      </w:pPr>
    </w:p>
    <w:p w14:paraId="2888CD4A" w14:textId="77777777" w:rsidR="00E74F5A" w:rsidRPr="004311F9" w:rsidRDefault="00E74F5A" w:rsidP="00DC4CB1">
      <w:pPr>
        <w:spacing w:line="240" w:lineRule="auto"/>
        <w:rPr>
          <w:rFonts w:eastAsia="Times New Roman"/>
          <w:szCs w:val="24"/>
          <w:lang w:val="hu-HU"/>
        </w:rPr>
      </w:pPr>
    </w:p>
    <w:p w14:paraId="23385FFC" w14:textId="77777777" w:rsidR="00E74F5A" w:rsidRPr="004311F9" w:rsidRDefault="00E74F5A" w:rsidP="003D4563">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8.</w:t>
      </w:r>
      <w:r w:rsidRPr="004311F9">
        <w:rPr>
          <w:b/>
          <w:szCs w:val="24"/>
          <w:lang w:val="hu-HU"/>
        </w:rPr>
        <w:tab/>
        <w:t>LEJÁRATI IDŐ</w:t>
      </w:r>
    </w:p>
    <w:p w14:paraId="44C700B1" w14:textId="77777777" w:rsidR="00E74F5A" w:rsidRPr="004311F9" w:rsidRDefault="00E74F5A" w:rsidP="00DC4CB1">
      <w:pPr>
        <w:spacing w:line="240" w:lineRule="auto"/>
        <w:rPr>
          <w:rFonts w:eastAsia="Times New Roman"/>
          <w:szCs w:val="24"/>
          <w:lang w:val="hu-HU"/>
        </w:rPr>
      </w:pPr>
    </w:p>
    <w:p w14:paraId="21725E58" w14:textId="77777777" w:rsidR="00E74F5A" w:rsidRPr="004311F9" w:rsidRDefault="00E74F5A" w:rsidP="00DC4CB1">
      <w:pPr>
        <w:spacing w:line="240" w:lineRule="auto"/>
        <w:rPr>
          <w:szCs w:val="24"/>
          <w:lang w:val="hu-HU"/>
        </w:rPr>
      </w:pPr>
      <w:r w:rsidRPr="004311F9">
        <w:rPr>
          <w:szCs w:val="24"/>
          <w:lang w:val="hu-HU"/>
        </w:rPr>
        <w:t>EXP</w:t>
      </w:r>
    </w:p>
    <w:p w14:paraId="3B9A19DB" w14:textId="77777777" w:rsidR="00E74F5A" w:rsidRPr="004311F9" w:rsidRDefault="00E74F5A" w:rsidP="00DC4CB1">
      <w:pPr>
        <w:spacing w:line="240" w:lineRule="auto"/>
        <w:rPr>
          <w:rFonts w:eastAsia="Times New Roman"/>
          <w:szCs w:val="24"/>
          <w:lang w:val="hu-HU"/>
        </w:rPr>
      </w:pPr>
    </w:p>
    <w:p w14:paraId="21DEAFC4" w14:textId="77777777" w:rsidR="00E74F5A" w:rsidRPr="004311F9" w:rsidRDefault="00E74F5A" w:rsidP="00DC4CB1">
      <w:pPr>
        <w:spacing w:line="240" w:lineRule="auto"/>
        <w:rPr>
          <w:szCs w:val="24"/>
          <w:lang w:val="hu-HU"/>
        </w:rPr>
      </w:pPr>
      <w:r w:rsidRPr="004311F9">
        <w:rPr>
          <w:szCs w:val="24"/>
          <w:lang w:val="hu-HU"/>
        </w:rPr>
        <w:t>A feloldást követő 6 órán belül fel kell használni.</w:t>
      </w:r>
    </w:p>
    <w:p w14:paraId="7709B76F" w14:textId="77777777" w:rsidR="00E74F5A" w:rsidRPr="004311F9" w:rsidRDefault="00E74F5A" w:rsidP="00DC4CB1">
      <w:pPr>
        <w:spacing w:line="240" w:lineRule="auto"/>
        <w:rPr>
          <w:rFonts w:eastAsia="Times New Roman"/>
          <w:szCs w:val="24"/>
          <w:lang w:val="hu-HU"/>
        </w:rPr>
      </w:pPr>
    </w:p>
    <w:p w14:paraId="4ACF173B" w14:textId="77777777" w:rsidR="00E74F5A" w:rsidRPr="004311F9" w:rsidRDefault="00E74F5A" w:rsidP="00DC4CB1">
      <w:pPr>
        <w:spacing w:line="240" w:lineRule="auto"/>
        <w:rPr>
          <w:rFonts w:eastAsia="Times New Roman"/>
          <w:szCs w:val="24"/>
          <w:lang w:val="hu-HU"/>
        </w:rPr>
      </w:pPr>
    </w:p>
    <w:p w14:paraId="05BB20A8" w14:textId="77777777" w:rsidR="00E74F5A" w:rsidRPr="004311F9" w:rsidRDefault="00E74F5A" w:rsidP="003D4563">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9.</w:t>
      </w:r>
      <w:r w:rsidRPr="004311F9">
        <w:rPr>
          <w:b/>
          <w:szCs w:val="24"/>
          <w:lang w:val="hu-HU"/>
        </w:rPr>
        <w:tab/>
        <w:t>KÜLÖNLEGES TÁROLÁSI ELŐÍRÁSOK</w:t>
      </w:r>
    </w:p>
    <w:p w14:paraId="76E087EC" w14:textId="77777777" w:rsidR="00E74F5A" w:rsidRPr="004311F9" w:rsidRDefault="00E74F5A" w:rsidP="00DC4CB1">
      <w:pPr>
        <w:spacing w:line="240" w:lineRule="auto"/>
        <w:rPr>
          <w:rFonts w:eastAsia="Times New Roman"/>
          <w:szCs w:val="24"/>
          <w:lang w:val="hu-HU"/>
        </w:rPr>
      </w:pPr>
    </w:p>
    <w:p w14:paraId="1ECB6019" w14:textId="77777777" w:rsidR="00E74F5A" w:rsidRPr="004311F9" w:rsidRDefault="00E74F5A" w:rsidP="00DC4CB1">
      <w:pPr>
        <w:spacing w:line="240" w:lineRule="auto"/>
        <w:rPr>
          <w:szCs w:val="24"/>
          <w:lang w:val="hu-HU"/>
        </w:rPr>
      </w:pPr>
      <w:r w:rsidRPr="004311F9">
        <w:rPr>
          <w:szCs w:val="24"/>
          <w:lang w:val="hu-HU"/>
        </w:rPr>
        <w:t>Az injekciós üveget a fénytől való védelem érdekében tartsa a dobozában.</w:t>
      </w:r>
    </w:p>
    <w:p w14:paraId="7B326031" w14:textId="77777777" w:rsidR="00E74F5A" w:rsidRPr="004311F9" w:rsidRDefault="00E74F5A" w:rsidP="00DC4CB1">
      <w:pPr>
        <w:spacing w:line="240" w:lineRule="auto"/>
        <w:rPr>
          <w:szCs w:val="24"/>
          <w:lang w:val="hu-HU"/>
        </w:rPr>
      </w:pPr>
      <w:r w:rsidRPr="004311F9">
        <w:rPr>
          <w:szCs w:val="24"/>
          <w:lang w:val="hu-HU"/>
        </w:rPr>
        <w:t>Hűtőszekrényben tárolandó.</w:t>
      </w:r>
    </w:p>
    <w:p w14:paraId="56A13215" w14:textId="77777777" w:rsidR="00E74F5A" w:rsidRPr="004311F9" w:rsidRDefault="00E74F5A" w:rsidP="00DC4CB1">
      <w:pPr>
        <w:spacing w:line="240" w:lineRule="auto"/>
        <w:rPr>
          <w:szCs w:val="24"/>
          <w:lang w:val="hu-HU"/>
        </w:rPr>
      </w:pPr>
      <w:r w:rsidRPr="004311F9">
        <w:rPr>
          <w:szCs w:val="24"/>
          <w:lang w:val="hu-HU"/>
        </w:rPr>
        <w:t>Nem fagyasztható!</w:t>
      </w:r>
    </w:p>
    <w:p w14:paraId="010B3A42" w14:textId="43EA2B4C" w:rsidR="00E74F5A" w:rsidRPr="004311F9" w:rsidRDefault="00E74F5A" w:rsidP="00DC4CB1">
      <w:pPr>
        <w:spacing w:line="240" w:lineRule="auto"/>
        <w:rPr>
          <w:szCs w:val="24"/>
          <w:lang w:val="hu-HU"/>
        </w:rPr>
      </w:pPr>
      <w:r w:rsidRPr="004311F9">
        <w:rPr>
          <w:szCs w:val="24"/>
          <w:lang w:val="hu-HU"/>
        </w:rPr>
        <w:t>Szobahőmérsékleten (legfeljebb 30</w:t>
      </w:r>
      <w:r w:rsidR="00F3223F" w:rsidRPr="004311F9">
        <w:rPr>
          <w:szCs w:val="24"/>
          <w:lang w:val="hu-HU"/>
        </w:rPr>
        <w:t> </w:t>
      </w:r>
      <w:r w:rsidRPr="004311F9">
        <w:rPr>
          <w:szCs w:val="24"/>
          <w:lang w:val="hu-HU"/>
        </w:rPr>
        <w:t>°C</w:t>
      </w:r>
      <w:r w:rsidRPr="004311F9">
        <w:rPr>
          <w:szCs w:val="24"/>
          <w:lang w:val="hu-HU"/>
        </w:rPr>
        <w:noBreakHyphen/>
        <w:t xml:space="preserve">on) tárolható legfeljebb 6 hónapos egyszeri időtartamban. Szobahőmérsékleten történt tárolása után tilos visszatenni a hűtőszekrénybe. </w:t>
      </w:r>
    </w:p>
    <w:p w14:paraId="26C6954C" w14:textId="77777777" w:rsidR="00E74F5A" w:rsidRPr="004311F9" w:rsidRDefault="00E74F5A" w:rsidP="00DC4CB1">
      <w:pPr>
        <w:spacing w:line="240" w:lineRule="auto"/>
        <w:rPr>
          <w:szCs w:val="24"/>
          <w:lang w:val="hu-HU"/>
        </w:rPr>
      </w:pPr>
      <w:r w:rsidRPr="004311F9">
        <w:rPr>
          <w:szCs w:val="24"/>
          <w:lang w:val="hu-HU"/>
        </w:rPr>
        <w:t>Hűtőszekrényből való kivétel dátuma:</w:t>
      </w:r>
    </w:p>
    <w:p w14:paraId="2B5A5B9B" w14:textId="77777777" w:rsidR="00E74F5A" w:rsidRPr="004311F9" w:rsidRDefault="00E74F5A" w:rsidP="00DC4CB1">
      <w:pPr>
        <w:spacing w:line="240" w:lineRule="auto"/>
        <w:rPr>
          <w:rFonts w:eastAsia="Times New Roman"/>
          <w:szCs w:val="24"/>
          <w:lang w:val="hu-HU"/>
        </w:rPr>
      </w:pPr>
    </w:p>
    <w:p w14:paraId="447903DD" w14:textId="77777777" w:rsidR="00E74F5A" w:rsidRPr="004311F9" w:rsidRDefault="00E74F5A" w:rsidP="00DC4CB1">
      <w:pPr>
        <w:spacing w:line="240" w:lineRule="auto"/>
        <w:ind w:left="567" w:hanging="567"/>
        <w:rPr>
          <w:rFonts w:eastAsia="Times New Roman"/>
          <w:szCs w:val="24"/>
          <w:lang w:val="hu-HU"/>
        </w:rPr>
      </w:pPr>
    </w:p>
    <w:p w14:paraId="71962078" w14:textId="77777777" w:rsidR="00E74F5A" w:rsidRPr="004311F9" w:rsidRDefault="00E74F5A" w:rsidP="003D4563">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10.</w:t>
      </w:r>
      <w:r w:rsidRPr="004311F9">
        <w:rPr>
          <w:b/>
          <w:szCs w:val="24"/>
          <w:lang w:val="hu-HU"/>
        </w:rPr>
        <w:tab/>
        <w:t>KÜLÖNLEGES ÓVINTÉZKEDÉSEK A FEL NEM HASZNÁLT GYÓGYSZEREK VAGY AZ ILYEN TERMÉKEKBŐL KELETKEZETT HULLADÉKANYAGOK ÁRTALMATLANNÁ TÉTELÉRE, HA ILYENEKRE SZÜKSÉG VAN</w:t>
      </w:r>
    </w:p>
    <w:p w14:paraId="27688266" w14:textId="77777777" w:rsidR="00E74F5A" w:rsidRPr="004311F9" w:rsidRDefault="00E74F5A" w:rsidP="00DC4CB1">
      <w:pPr>
        <w:spacing w:line="240" w:lineRule="auto"/>
        <w:rPr>
          <w:rFonts w:eastAsia="Times New Roman"/>
          <w:szCs w:val="24"/>
          <w:lang w:val="hu-HU"/>
        </w:rPr>
      </w:pPr>
    </w:p>
    <w:p w14:paraId="6F5F3E9F" w14:textId="77777777" w:rsidR="00E74F5A" w:rsidRPr="004311F9" w:rsidRDefault="00E74F5A" w:rsidP="00DC4CB1">
      <w:pPr>
        <w:spacing w:line="240" w:lineRule="auto"/>
        <w:rPr>
          <w:rFonts w:eastAsia="Times New Roman"/>
          <w:szCs w:val="24"/>
          <w:lang w:val="hu-HU"/>
        </w:rPr>
      </w:pPr>
    </w:p>
    <w:p w14:paraId="33F2431D" w14:textId="77777777" w:rsidR="00E74F5A" w:rsidRPr="004311F9" w:rsidRDefault="00E74F5A" w:rsidP="003D4563">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11.</w:t>
      </w:r>
      <w:r w:rsidRPr="004311F9">
        <w:rPr>
          <w:b/>
          <w:szCs w:val="24"/>
          <w:lang w:val="hu-HU"/>
        </w:rPr>
        <w:tab/>
        <w:t>A FORGALOMBA HOZATALI ENGEDÉLY JOGOSULTJÁNAK NEVE ÉS CÍME</w:t>
      </w:r>
    </w:p>
    <w:p w14:paraId="700571FE" w14:textId="77777777" w:rsidR="00E74F5A" w:rsidRPr="004311F9" w:rsidRDefault="00E74F5A" w:rsidP="004C08FF">
      <w:pPr>
        <w:keepNext/>
        <w:spacing w:line="240" w:lineRule="auto"/>
        <w:rPr>
          <w:rFonts w:eastAsia="Times New Roman"/>
          <w:szCs w:val="24"/>
          <w:lang w:val="hu-HU"/>
        </w:rPr>
      </w:pPr>
    </w:p>
    <w:p w14:paraId="1BF321E6" w14:textId="77777777" w:rsidR="00E74F5A" w:rsidRPr="004311F9" w:rsidRDefault="00E74F5A" w:rsidP="007A3A6E">
      <w:pPr>
        <w:keepNext/>
        <w:spacing w:line="240" w:lineRule="auto"/>
        <w:rPr>
          <w:szCs w:val="24"/>
          <w:lang w:val="hu-HU"/>
        </w:rPr>
      </w:pPr>
      <w:r w:rsidRPr="004311F9">
        <w:rPr>
          <w:szCs w:val="24"/>
          <w:lang w:val="hu-HU"/>
        </w:rPr>
        <w:t>Swedish Orphan Biovitrum AB (publ)</w:t>
      </w:r>
    </w:p>
    <w:p w14:paraId="59683B83" w14:textId="77777777" w:rsidR="00E74F5A" w:rsidRPr="004311F9" w:rsidRDefault="00E74F5A" w:rsidP="007A3A6E">
      <w:pPr>
        <w:keepNext/>
        <w:spacing w:line="240" w:lineRule="auto"/>
        <w:rPr>
          <w:szCs w:val="24"/>
          <w:lang w:val="hu-HU"/>
        </w:rPr>
      </w:pPr>
      <w:r w:rsidRPr="004311F9">
        <w:rPr>
          <w:szCs w:val="24"/>
          <w:lang w:val="hu-HU"/>
        </w:rPr>
        <w:t>SE</w:t>
      </w:r>
      <w:r w:rsidRPr="004311F9">
        <w:rPr>
          <w:szCs w:val="24"/>
          <w:lang w:val="hu-HU"/>
        </w:rPr>
        <w:noBreakHyphen/>
        <w:t>112 76 Stockholm</w:t>
      </w:r>
    </w:p>
    <w:p w14:paraId="0EBFEAF5" w14:textId="77777777" w:rsidR="00E74F5A" w:rsidRPr="004311F9" w:rsidRDefault="00E74F5A" w:rsidP="007A3A6E">
      <w:pPr>
        <w:spacing w:line="240" w:lineRule="auto"/>
        <w:rPr>
          <w:szCs w:val="24"/>
          <w:lang w:val="hu-HU"/>
        </w:rPr>
      </w:pPr>
      <w:r w:rsidRPr="004311F9">
        <w:rPr>
          <w:szCs w:val="24"/>
          <w:lang w:val="hu-HU"/>
        </w:rPr>
        <w:t>Svédország</w:t>
      </w:r>
    </w:p>
    <w:p w14:paraId="73A56EBA" w14:textId="77777777" w:rsidR="00E74F5A" w:rsidRPr="004311F9" w:rsidRDefault="00E74F5A" w:rsidP="00DC4CB1">
      <w:pPr>
        <w:spacing w:line="240" w:lineRule="auto"/>
        <w:rPr>
          <w:rFonts w:eastAsia="Times New Roman"/>
          <w:szCs w:val="24"/>
          <w:lang w:val="hu-HU"/>
        </w:rPr>
      </w:pPr>
    </w:p>
    <w:p w14:paraId="2C95B87A" w14:textId="77777777" w:rsidR="00E74F5A" w:rsidRPr="004311F9" w:rsidRDefault="00E74F5A" w:rsidP="00DC4CB1">
      <w:pPr>
        <w:spacing w:line="240" w:lineRule="auto"/>
        <w:rPr>
          <w:rFonts w:eastAsia="Times New Roman"/>
          <w:szCs w:val="24"/>
          <w:lang w:val="hu-HU"/>
        </w:rPr>
      </w:pPr>
    </w:p>
    <w:p w14:paraId="06D2F12C" w14:textId="77777777" w:rsidR="00E74F5A" w:rsidRPr="004311F9" w:rsidRDefault="00E74F5A" w:rsidP="003D4563">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12.</w:t>
      </w:r>
      <w:r w:rsidRPr="004311F9">
        <w:rPr>
          <w:b/>
          <w:szCs w:val="24"/>
          <w:lang w:val="hu-HU"/>
        </w:rPr>
        <w:tab/>
        <w:t>A FORGALOMBA HOZATALI ENGEDÉLY SZÁMA(I)</w:t>
      </w:r>
    </w:p>
    <w:p w14:paraId="657AD815" w14:textId="77777777" w:rsidR="00E74F5A" w:rsidRPr="004311F9" w:rsidRDefault="00E74F5A" w:rsidP="00DC4CB1">
      <w:pPr>
        <w:spacing w:line="240" w:lineRule="auto"/>
        <w:rPr>
          <w:rFonts w:eastAsia="Times New Roman"/>
          <w:szCs w:val="24"/>
          <w:lang w:val="hu-HU"/>
        </w:rPr>
      </w:pPr>
    </w:p>
    <w:p w14:paraId="34C09930" w14:textId="77777777" w:rsidR="00E74F5A" w:rsidRPr="004311F9" w:rsidRDefault="00E74F5A" w:rsidP="00DC4CB1">
      <w:pPr>
        <w:spacing w:line="240" w:lineRule="auto"/>
        <w:rPr>
          <w:szCs w:val="22"/>
          <w:lang w:val="hu-HU"/>
        </w:rPr>
      </w:pPr>
      <w:r w:rsidRPr="004311F9">
        <w:rPr>
          <w:szCs w:val="22"/>
          <w:lang w:val="hu-HU"/>
        </w:rPr>
        <w:t>EU/1/16/1098/001</w:t>
      </w:r>
    </w:p>
    <w:p w14:paraId="7A984AFE" w14:textId="77777777" w:rsidR="00E74F5A" w:rsidRPr="004311F9" w:rsidRDefault="00E74F5A" w:rsidP="00DC4CB1">
      <w:pPr>
        <w:spacing w:line="240" w:lineRule="auto"/>
        <w:rPr>
          <w:rFonts w:eastAsia="Times New Roman"/>
          <w:szCs w:val="24"/>
          <w:lang w:val="hu-HU"/>
        </w:rPr>
      </w:pPr>
    </w:p>
    <w:p w14:paraId="3F81F878" w14:textId="77777777" w:rsidR="00E74F5A" w:rsidRPr="004311F9" w:rsidRDefault="00E74F5A" w:rsidP="00DC4CB1">
      <w:pPr>
        <w:spacing w:line="240" w:lineRule="auto"/>
        <w:rPr>
          <w:rFonts w:eastAsia="Times New Roman"/>
          <w:szCs w:val="24"/>
          <w:lang w:val="hu-HU"/>
        </w:rPr>
      </w:pPr>
    </w:p>
    <w:p w14:paraId="7825F9B8" w14:textId="77777777" w:rsidR="00E74F5A" w:rsidRPr="004311F9" w:rsidRDefault="00E74F5A" w:rsidP="003D4563">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13.</w:t>
      </w:r>
      <w:r w:rsidRPr="004311F9">
        <w:rPr>
          <w:b/>
          <w:szCs w:val="24"/>
          <w:lang w:val="hu-HU"/>
        </w:rPr>
        <w:tab/>
        <w:t>A GYÁRTÁSI TÉTEL SZÁMA</w:t>
      </w:r>
    </w:p>
    <w:p w14:paraId="63E9F7C9" w14:textId="77777777" w:rsidR="00E74F5A" w:rsidRPr="004311F9" w:rsidRDefault="00E74F5A" w:rsidP="00DC4CB1">
      <w:pPr>
        <w:spacing w:line="240" w:lineRule="auto"/>
        <w:rPr>
          <w:rFonts w:eastAsia="Times New Roman"/>
          <w:i/>
          <w:szCs w:val="24"/>
          <w:lang w:val="hu-HU"/>
        </w:rPr>
      </w:pPr>
    </w:p>
    <w:p w14:paraId="21D3C23F" w14:textId="77777777" w:rsidR="00E74F5A" w:rsidRPr="004311F9" w:rsidRDefault="00E74F5A" w:rsidP="00DC4CB1">
      <w:pPr>
        <w:spacing w:line="240" w:lineRule="auto"/>
        <w:rPr>
          <w:szCs w:val="24"/>
          <w:lang w:val="hu-HU"/>
        </w:rPr>
      </w:pPr>
      <w:r w:rsidRPr="004311F9">
        <w:rPr>
          <w:szCs w:val="24"/>
          <w:lang w:val="hu-HU"/>
        </w:rPr>
        <w:t>Lot</w:t>
      </w:r>
    </w:p>
    <w:p w14:paraId="53CFB7C3" w14:textId="77777777" w:rsidR="00E74F5A" w:rsidRPr="004311F9" w:rsidRDefault="00E74F5A" w:rsidP="00DC4CB1">
      <w:pPr>
        <w:spacing w:line="240" w:lineRule="auto"/>
        <w:rPr>
          <w:rFonts w:eastAsia="Times New Roman"/>
          <w:szCs w:val="24"/>
          <w:lang w:val="hu-HU"/>
        </w:rPr>
      </w:pPr>
    </w:p>
    <w:p w14:paraId="62C99B9D" w14:textId="77777777" w:rsidR="00E74F5A" w:rsidRPr="004311F9" w:rsidRDefault="00E74F5A" w:rsidP="00DC4CB1">
      <w:pPr>
        <w:spacing w:line="240" w:lineRule="auto"/>
        <w:rPr>
          <w:rFonts w:eastAsia="Times New Roman"/>
          <w:szCs w:val="24"/>
          <w:lang w:val="hu-HU"/>
        </w:rPr>
      </w:pPr>
    </w:p>
    <w:p w14:paraId="6B63C5D3" w14:textId="77777777" w:rsidR="00E74F5A" w:rsidRPr="004311F9" w:rsidRDefault="00E74F5A" w:rsidP="003D4563">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14.</w:t>
      </w:r>
      <w:r w:rsidRPr="004311F9">
        <w:rPr>
          <w:b/>
          <w:szCs w:val="24"/>
          <w:lang w:val="hu-HU"/>
        </w:rPr>
        <w:tab/>
        <w:t>A GYÓGYSZER RENDELHETŐSÉGE</w:t>
      </w:r>
    </w:p>
    <w:p w14:paraId="6DA93027" w14:textId="77777777" w:rsidR="00E74F5A" w:rsidRPr="004311F9" w:rsidRDefault="00E74F5A" w:rsidP="00DC4CB1">
      <w:pPr>
        <w:spacing w:line="240" w:lineRule="auto"/>
        <w:rPr>
          <w:rFonts w:eastAsia="Times New Roman"/>
          <w:i/>
          <w:szCs w:val="24"/>
          <w:lang w:val="hu-HU"/>
        </w:rPr>
      </w:pPr>
    </w:p>
    <w:p w14:paraId="0EA935CB" w14:textId="77777777" w:rsidR="00E74F5A" w:rsidRPr="004311F9" w:rsidRDefault="00E74F5A" w:rsidP="00DC4CB1">
      <w:pPr>
        <w:spacing w:line="240" w:lineRule="auto"/>
        <w:rPr>
          <w:rFonts w:eastAsia="Times New Roman"/>
          <w:szCs w:val="24"/>
          <w:lang w:val="hu-HU"/>
        </w:rPr>
      </w:pPr>
    </w:p>
    <w:p w14:paraId="0C815656" w14:textId="77777777" w:rsidR="00E74F5A" w:rsidRPr="004311F9" w:rsidRDefault="00E74F5A" w:rsidP="003D4563">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lastRenderedPageBreak/>
        <w:t>15.</w:t>
      </w:r>
      <w:r w:rsidRPr="004311F9">
        <w:rPr>
          <w:b/>
          <w:szCs w:val="24"/>
          <w:lang w:val="hu-HU"/>
        </w:rPr>
        <w:tab/>
        <w:t>AZ ALKALMAZÁSRA VONATKOZÓ UTASÍTÁSOK</w:t>
      </w:r>
    </w:p>
    <w:p w14:paraId="58D9CD73" w14:textId="77777777" w:rsidR="00E74F5A" w:rsidRPr="004311F9" w:rsidRDefault="00E74F5A" w:rsidP="00DC4CB1">
      <w:pPr>
        <w:spacing w:line="240" w:lineRule="auto"/>
        <w:rPr>
          <w:rFonts w:eastAsia="Times New Roman"/>
          <w:szCs w:val="24"/>
          <w:lang w:val="hu-HU"/>
        </w:rPr>
      </w:pPr>
    </w:p>
    <w:p w14:paraId="36AB9510" w14:textId="77777777" w:rsidR="00E74F5A" w:rsidRPr="004311F9" w:rsidRDefault="00E74F5A" w:rsidP="00DC4CB1">
      <w:pPr>
        <w:spacing w:line="240" w:lineRule="auto"/>
        <w:rPr>
          <w:rFonts w:eastAsia="Times New Roman"/>
          <w:szCs w:val="24"/>
          <w:lang w:val="hu-HU"/>
        </w:rPr>
      </w:pPr>
    </w:p>
    <w:p w14:paraId="6F8249F2" w14:textId="77777777" w:rsidR="00E74F5A" w:rsidRPr="004311F9" w:rsidRDefault="00E74F5A" w:rsidP="003D4563">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16.</w:t>
      </w:r>
      <w:r w:rsidRPr="004311F9">
        <w:rPr>
          <w:b/>
          <w:szCs w:val="24"/>
          <w:lang w:val="hu-HU"/>
        </w:rPr>
        <w:tab/>
        <w:t>BRAILLE ÍRÁSSAL FELTÜNTETETT INFORMÁCIÓK</w:t>
      </w:r>
    </w:p>
    <w:p w14:paraId="745BBF86" w14:textId="77777777" w:rsidR="00E74F5A" w:rsidRPr="004311F9" w:rsidRDefault="00E74F5A" w:rsidP="00DC4CB1">
      <w:pPr>
        <w:spacing w:line="240" w:lineRule="auto"/>
        <w:rPr>
          <w:rFonts w:eastAsia="Times New Roman"/>
          <w:szCs w:val="24"/>
          <w:lang w:val="hu-HU"/>
        </w:rPr>
      </w:pPr>
    </w:p>
    <w:p w14:paraId="7ECF6632" w14:textId="77777777" w:rsidR="00E74F5A" w:rsidRPr="004311F9" w:rsidRDefault="00E74F5A" w:rsidP="00DC4CB1">
      <w:pPr>
        <w:spacing w:line="240" w:lineRule="auto"/>
        <w:rPr>
          <w:szCs w:val="24"/>
          <w:lang w:val="hu-HU"/>
        </w:rPr>
      </w:pPr>
      <w:r w:rsidRPr="004311F9">
        <w:rPr>
          <w:szCs w:val="24"/>
          <w:lang w:val="hu-HU"/>
        </w:rPr>
        <w:t>ALPROLIX 250</w:t>
      </w:r>
    </w:p>
    <w:p w14:paraId="7AB0E0B4" w14:textId="77777777" w:rsidR="00E74F5A" w:rsidRPr="004311F9" w:rsidRDefault="00E74F5A" w:rsidP="00DC4CB1">
      <w:pPr>
        <w:spacing w:line="240" w:lineRule="auto"/>
        <w:rPr>
          <w:rFonts w:eastAsia="Times New Roman"/>
          <w:szCs w:val="24"/>
          <w:shd w:val="clear" w:color="auto" w:fill="CCCCCC"/>
          <w:lang w:val="hu-HU"/>
        </w:rPr>
      </w:pPr>
    </w:p>
    <w:p w14:paraId="6EA959BE" w14:textId="77777777" w:rsidR="00E74F5A" w:rsidRPr="004311F9" w:rsidRDefault="00E74F5A" w:rsidP="00616109">
      <w:pPr>
        <w:spacing w:line="240" w:lineRule="auto"/>
        <w:rPr>
          <w:rFonts w:eastAsia="Times New Roman"/>
          <w:noProof/>
          <w:szCs w:val="22"/>
          <w:shd w:val="clear" w:color="auto" w:fill="CCCCCC"/>
          <w:lang w:val="hu-HU" w:eastAsia="en-US"/>
        </w:rPr>
      </w:pPr>
    </w:p>
    <w:p w14:paraId="71E4ADB4" w14:textId="77777777" w:rsidR="00E74F5A" w:rsidRPr="004311F9" w:rsidRDefault="00E74F5A" w:rsidP="003D4563">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17.</w:t>
      </w:r>
      <w:r w:rsidRPr="004311F9">
        <w:rPr>
          <w:b/>
          <w:szCs w:val="24"/>
          <w:lang w:val="hu-HU"/>
        </w:rPr>
        <w:tab/>
        <w:t>EGYEDI AZONOSÍTÓ – 2D VONALKÓD</w:t>
      </w:r>
    </w:p>
    <w:p w14:paraId="6CE8D0F1" w14:textId="77777777" w:rsidR="00E74F5A" w:rsidRPr="004311F9" w:rsidRDefault="00E74F5A" w:rsidP="00616109">
      <w:pPr>
        <w:keepNext/>
        <w:tabs>
          <w:tab w:val="clear" w:pos="567"/>
        </w:tabs>
        <w:spacing w:line="240" w:lineRule="auto"/>
        <w:rPr>
          <w:rFonts w:eastAsia="Times New Roman"/>
          <w:noProof/>
          <w:szCs w:val="22"/>
          <w:lang w:val="hu-HU" w:eastAsia="en-US"/>
        </w:rPr>
      </w:pPr>
    </w:p>
    <w:p w14:paraId="3AA4A5D0" w14:textId="77777777" w:rsidR="00E74F5A" w:rsidRPr="004311F9" w:rsidRDefault="00E74F5A" w:rsidP="00616109">
      <w:pPr>
        <w:spacing w:line="240" w:lineRule="auto"/>
        <w:rPr>
          <w:rFonts w:eastAsia="Times New Roman"/>
          <w:noProof/>
          <w:szCs w:val="22"/>
          <w:shd w:val="clear" w:color="auto" w:fill="CCCCCC"/>
          <w:lang w:val="hu-HU" w:eastAsia="en-US"/>
        </w:rPr>
      </w:pPr>
      <w:r w:rsidRPr="004311F9">
        <w:rPr>
          <w:rFonts w:eastAsia="Times New Roman"/>
          <w:noProof/>
          <w:szCs w:val="22"/>
          <w:shd w:val="clear" w:color="auto" w:fill="BFBFBF"/>
          <w:lang w:val="hu-HU" w:eastAsia="en-US"/>
        </w:rPr>
        <w:t>Egyedi azonosítójú 2D vonalkóddal ellátva.</w:t>
      </w:r>
    </w:p>
    <w:p w14:paraId="5979E491" w14:textId="77777777" w:rsidR="00E74F5A" w:rsidRPr="004311F9" w:rsidRDefault="00E74F5A" w:rsidP="00616109">
      <w:pPr>
        <w:spacing w:line="240" w:lineRule="auto"/>
        <w:rPr>
          <w:rFonts w:eastAsia="Times New Roman"/>
          <w:noProof/>
          <w:szCs w:val="22"/>
          <w:shd w:val="clear" w:color="auto" w:fill="CCCCCC"/>
          <w:lang w:val="hu-HU" w:eastAsia="en-US"/>
        </w:rPr>
      </w:pPr>
    </w:p>
    <w:p w14:paraId="34427DDF" w14:textId="77777777" w:rsidR="00E74F5A" w:rsidRPr="004311F9" w:rsidRDefault="00E74F5A" w:rsidP="00616109">
      <w:pPr>
        <w:tabs>
          <w:tab w:val="clear" w:pos="567"/>
        </w:tabs>
        <w:spacing w:line="240" w:lineRule="auto"/>
        <w:rPr>
          <w:rFonts w:eastAsia="Times New Roman"/>
          <w:noProof/>
          <w:szCs w:val="22"/>
          <w:lang w:val="hu-HU" w:eastAsia="en-US"/>
        </w:rPr>
      </w:pPr>
    </w:p>
    <w:p w14:paraId="75E39CC4" w14:textId="77777777" w:rsidR="00E74F5A" w:rsidRPr="004311F9" w:rsidRDefault="00E74F5A" w:rsidP="003D4563">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18.</w:t>
      </w:r>
      <w:r w:rsidRPr="004311F9">
        <w:rPr>
          <w:b/>
          <w:szCs w:val="24"/>
          <w:lang w:val="hu-HU"/>
        </w:rPr>
        <w:tab/>
        <w:t>EGYEDI AZONOSÍTÓ OLVASHATÓ FORMÁTUMA</w:t>
      </w:r>
    </w:p>
    <w:p w14:paraId="3801F35B" w14:textId="77777777" w:rsidR="00E74F5A" w:rsidRPr="004311F9" w:rsidRDefault="00E74F5A" w:rsidP="00616109">
      <w:pPr>
        <w:keepNext/>
        <w:tabs>
          <w:tab w:val="clear" w:pos="567"/>
        </w:tabs>
        <w:spacing w:line="240" w:lineRule="auto"/>
        <w:rPr>
          <w:rFonts w:eastAsia="Times New Roman"/>
          <w:noProof/>
          <w:szCs w:val="22"/>
          <w:lang w:val="hu-HU" w:eastAsia="en-US"/>
        </w:rPr>
      </w:pPr>
    </w:p>
    <w:p w14:paraId="3DE1B01E" w14:textId="3CBC8E5A" w:rsidR="00E74F5A" w:rsidRPr="004311F9" w:rsidRDefault="00E74F5A" w:rsidP="00616109">
      <w:pPr>
        <w:keepNext/>
        <w:rPr>
          <w:rFonts w:eastAsia="Times New Roman"/>
          <w:szCs w:val="22"/>
          <w:lang w:val="hu-HU" w:eastAsia="en-US"/>
        </w:rPr>
      </w:pPr>
      <w:r w:rsidRPr="004311F9">
        <w:rPr>
          <w:rFonts w:eastAsia="Times New Roman"/>
          <w:szCs w:val="22"/>
          <w:lang w:val="hu-HU" w:eastAsia="en-US"/>
        </w:rPr>
        <w:t>PC</w:t>
      </w:r>
    </w:p>
    <w:p w14:paraId="162E425F" w14:textId="28ADDEF9" w:rsidR="00E74F5A" w:rsidRPr="004311F9" w:rsidRDefault="00E74F5A" w:rsidP="00616109">
      <w:pPr>
        <w:keepNext/>
        <w:rPr>
          <w:rFonts w:eastAsia="Times New Roman"/>
          <w:szCs w:val="22"/>
          <w:lang w:val="hu-HU" w:eastAsia="en-US"/>
        </w:rPr>
      </w:pPr>
      <w:r w:rsidRPr="004311F9">
        <w:rPr>
          <w:rFonts w:eastAsia="Times New Roman"/>
          <w:szCs w:val="22"/>
          <w:lang w:val="hu-HU" w:eastAsia="en-US"/>
        </w:rPr>
        <w:t>SN</w:t>
      </w:r>
    </w:p>
    <w:p w14:paraId="07B4F754" w14:textId="314FCCDA" w:rsidR="00E74F5A" w:rsidRPr="004311F9" w:rsidRDefault="00E74F5A" w:rsidP="00616109">
      <w:pPr>
        <w:rPr>
          <w:rFonts w:eastAsia="Times New Roman"/>
          <w:szCs w:val="22"/>
          <w:lang w:val="hu-HU" w:eastAsia="en-US"/>
        </w:rPr>
      </w:pPr>
      <w:r w:rsidRPr="004311F9">
        <w:rPr>
          <w:rFonts w:eastAsia="Times New Roman"/>
          <w:szCs w:val="22"/>
          <w:lang w:val="hu-HU" w:eastAsia="en-US"/>
        </w:rPr>
        <w:t>NN</w:t>
      </w:r>
    </w:p>
    <w:p w14:paraId="44810990" w14:textId="77777777" w:rsidR="00E74F5A" w:rsidRPr="004311F9" w:rsidRDefault="00E74F5A" w:rsidP="00616109">
      <w:pPr>
        <w:spacing w:line="240" w:lineRule="auto"/>
        <w:rPr>
          <w:rFonts w:eastAsia="Times New Roman"/>
          <w:noProof/>
          <w:vanish/>
          <w:szCs w:val="22"/>
          <w:lang w:val="hu-HU" w:eastAsia="en-US"/>
        </w:rPr>
      </w:pPr>
    </w:p>
    <w:p w14:paraId="2558AE0F" w14:textId="77777777" w:rsidR="00E74F5A" w:rsidRPr="004311F9" w:rsidRDefault="00E74F5A" w:rsidP="00616109">
      <w:pPr>
        <w:tabs>
          <w:tab w:val="clear" w:pos="567"/>
        </w:tabs>
        <w:spacing w:line="240" w:lineRule="auto"/>
        <w:rPr>
          <w:rFonts w:eastAsia="Times New Roman"/>
          <w:noProof/>
          <w:vanish/>
          <w:szCs w:val="22"/>
          <w:lang w:val="hu-HU" w:eastAsia="en-US"/>
        </w:rPr>
      </w:pPr>
    </w:p>
    <w:p w14:paraId="561A39A2" w14:textId="77777777" w:rsidR="00E74F5A" w:rsidRPr="004311F9" w:rsidRDefault="00E74F5A" w:rsidP="00DC4CB1">
      <w:pPr>
        <w:spacing w:line="240" w:lineRule="auto"/>
        <w:rPr>
          <w:rFonts w:eastAsia="Times New Roman"/>
          <w:szCs w:val="24"/>
          <w:lang w:val="hu-HU"/>
        </w:rPr>
      </w:pPr>
      <w:r w:rsidRPr="004311F9">
        <w:rPr>
          <w:rFonts w:eastAsia="Times New Roman"/>
          <w:szCs w:val="24"/>
          <w:shd w:val="clear" w:color="auto" w:fill="CCCCCC"/>
          <w:lang w:val="hu-HU"/>
        </w:rPr>
        <w:br w:type="page"/>
      </w:r>
    </w:p>
    <w:p w14:paraId="4721E0EE" w14:textId="77777777" w:rsidR="00E74F5A" w:rsidRPr="004311F9" w:rsidRDefault="00E74F5A" w:rsidP="00DC4CB1">
      <w:pPr>
        <w:pBdr>
          <w:top w:val="single" w:sz="4" w:space="1" w:color="auto"/>
          <w:left w:val="single" w:sz="4" w:space="4" w:color="auto"/>
          <w:bottom w:val="single" w:sz="4" w:space="1" w:color="auto"/>
          <w:right w:val="single" w:sz="4" w:space="4" w:color="auto"/>
        </w:pBdr>
        <w:spacing w:line="240" w:lineRule="auto"/>
        <w:rPr>
          <w:b/>
          <w:szCs w:val="24"/>
          <w:lang w:val="hu-HU"/>
        </w:rPr>
      </w:pPr>
      <w:r w:rsidRPr="004311F9">
        <w:rPr>
          <w:b/>
          <w:szCs w:val="24"/>
          <w:lang w:val="hu-HU"/>
        </w:rPr>
        <w:lastRenderedPageBreak/>
        <w:t>A KIS KÖZVETLEN CSOMAGOLÁSI EGYSÉGEKEN MINIMÁLISAN FELTÜNTETENDŐ ADATOK</w:t>
      </w:r>
    </w:p>
    <w:p w14:paraId="79BEE592" w14:textId="77777777" w:rsidR="00E74F5A" w:rsidRPr="004311F9" w:rsidRDefault="00E74F5A" w:rsidP="00DC4CB1">
      <w:pPr>
        <w:pBdr>
          <w:top w:val="single" w:sz="4" w:space="1" w:color="auto"/>
          <w:left w:val="single" w:sz="4" w:space="4" w:color="auto"/>
          <w:bottom w:val="single" w:sz="4" w:space="1" w:color="auto"/>
          <w:right w:val="single" w:sz="4" w:space="4" w:color="auto"/>
        </w:pBdr>
        <w:spacing w:line="240" w:lineRule="auto"/>
        <w:rPr>
          <w:rFonts w:eastAsia="Times New Roman"/>
          <w:b/>
          <w:szCs w:val="24"/>
          <w:lang w:val="hu-HU"/>
        </w:rPr>
      </w:pPr>
    </w:p>
    <w:p w14:paraId="2B7A0D73" w14:textId="77777777" w:rsidR="00E74F5A" w:rsidRPr="004311F9" w:rsidRDefault="00E74F5A" w:rsidP="00DC4CB1">
      <w:pPr>
        <w:pBdr>
          <w:top w:val="single" w:sz="4" w:space="1" w:color="auto"/>
          <w:left w:val="single" w:sz="4" w:space="4" w:color="auto"/>
          <w:bottom w:val="single" w:sz="4" w:space="1" w:color="auto"/>
          <w:right w:val="single" w:sz="4" w:space="4" w:color="auto"/>
        </w:pBdr>
        <w:spacing w:line="240" w:lineRule="auto"/>
        <w:rPr>
          <w:b/>
          <w:szCs w:val="24"/>
          <w:lang w:val="hu-HU"/>
        </w:rPr>
      </w:pPr>
      <w:r w:rsidRPr="004311F9">
        <w:rPr>
          <w:b/>
          <w:szCs w:val="24"/>
          <w:lang w:val="hu-HU"/>
        </w:rPr>
        <w:t>AZ INJEKCIÓS ÜVEG CÍMKÉJE</w:t>
      </w:r>
    </w:p>
    <w:p w14:paraId="0462AE8D" w14:textId="77777777" w:rsidR="00E74F5A" w:rsidRPr="004311F9" w:rsidRDefault="00E74F5A" w:rsidP="00DC4CB1">
      <w:pPr>
        <w:spacing w:line="240" w:lineRule="auto"/>
        <w:rPr>
          <w:rFonts w:eastAsia="Times New Roman"/>
          <w:szCs w:val="24"/>
          <w:lang w:val="hu-HU"/>
        </w:rPr>
      </w:pPr>
    </w:p>
    <w:p w14:paraId="58CF0C6C" w14:textId="77777777" w:rsidR="00E74F5A" w:rsidRPr="004311F9" w:rsidRDefault="00E74F5A" w:rsidP="00DC4CB1">
      <w:pPr>
        <w:spacing w:line="240" w:lineRule="auto"/>
        <w:rPr>
          <w:rFonts w:eastAsia="Times New Roman"/>
          <w:szCs w:val="24"/>
          <w:lang w:val="hu-HU"/>
        </w:rPr>
      </w:pPr>
    </w:p>
    <w:p w14:paraId="1A1C63BA" w14:textId="77777777" w:rsidR="00E74F5A" w:rsidRPr="004311F9" w:rsidRDefault="00E74F5A" w:rsidP="003D4563">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1.</w:t>
      </w:r>
      <w:r w:rsidRPr="004311F9">
        <w:rPr>
          <w:b/>
          <w:szCs w:val="24"/>
          <w:lang w:val="hu-HU"/>
        </w:rPr>
        <w:tab/>
        <w:t>A GYÓGYSZER NEVE ÉS AZ ALKALMAZÁS MÓDJA(I)</w:t>
      </w:r>
    </w:p>
    <w:p w14:paraId="4E2A9DE7" w14:textId="77777777" w:rsidR="00E74F5A" w:rsidRPr="004311F9" w:rsidRDefault="00E74F5A" w:rsidP="00DC4CB1">
      <w:pPr>
        <w:spacing w:line="240" w:lineRule="auto"/>
        <w:ind w:left="567" w:hanging="567"/>
        <w:rPr>
          <w:rFonts w:eastAsia="Times New Roman"/>
          <w:szCs w:val="24"/>
          <w:lang w:val="hu-HU"/>
        </w:rPr>
      </w:pPr>
    </w:p>
    <w:p w14:paraId="53F87DC2" w14:textId="77777777" w:rsidR="00E74F5A" w:rsidRPr="004311F9" w:rsidRDefault="00E74F5A" w:rsidP="00DC4CB1">
      <w:pPr>
        <w:spacing w:line="240" w:lineRule="auto"/>
        <w:rPr>
          <w:szCs w:val="24"/>
          <w:lang w:val="hu-HU"/>
        </w:rPr>
      </w:pPr>
      <w:r w:rsidRPr="004311F9">
        <w:rPr>
          <w:szCs w:val="24"/>
          <w:lang w:val="hu-HU"/>
        </w:rPr>
        <w:t>ALPROLIX 250 NE por injekcióhoz</w:t>
      </w:r>
    </w:p>
    <w:p w14:paraId="44080452" w14:textId="77777777" w:rsidR="00E74F5A" w:rsidRPr="004311F9" w:rsidRDefault="00E74F5A" w:rsidP="00DC4CB1">
      <w:pPr>
        <w:spacing w:line="240" w:lineRule="auto"/>
        <w:rPr>
          <w:rFonts w:eastAsia="Times New Roman"/>
          <w:szCs w:val="24"/>
          <w:lang w:val="hu-HU"/>
        </w:rPr>
      </w:pPr>
    </w:p>
    <w:p w14:paraId="029AA57E" w14:textId="77777777" w:rsidR="00E74F5A" w:rsidRPr="004311F9" w:rsidRDefault="00E74F5A" w:rsidP="00DC4CB1">
      <w:pPr>
        <w:spacing w:line="240" w:lineRule="auto"/>
        <w:rPr>
          <w:szCs w:val="24"/>
          <w:lang w:val="hu-HU"/>
        </w:rPr>
      </w:pPr>
      <w:r w:rsidRPr="004311F9">
        <w:rPr>
          <w:szCs w:val="22"/>
          <w:lang w:val="hu-HU"/>
        </w:rPr>
        <w:t xml:space="preserve">eftrenonacogum </w:t>
      </w:r>
      <w:r w:rsidRPr="004311F9">
        <w:rPr>
          <w:szCs w:val="24"/>
          <w:lang w:val="hu-HU"/>
        </w:rPr>
        <w:t>alfa</w:t>
      </w:r>
    </w:p>
    <w:p w14:paraId="01CB953D" w14:textId="77777777" w:rsidR="00E74F5A" w:rsidRPr="004311F9" w:rsidRDefault="00E74F5A" w:rsidP="00DC4CB1">
      <w:pPr>
        <w:spacing w:line="240" w:lineRule="auto"/>
        <w:rPr>
          <w:szCs w:val="24"/>
          <w:lang w:val="hu-HU"/>
        </w:rPr>
      </w:pPr>
      <w:r w:rsidRPr="004311F9">
        <w:rPr>
          <w:szCs w:val="24"/>
          <w:lang w:val="hu-HU"/>
        </w:rPr>
        <w:t>rekombináns IX</w:t>
      </w:r>
      <w:r w:rsidRPr="004311F9">
        <w:rPr>
          <w:szCs w:val="24"/>
          <w:lang w:val="hu-HU"/>
        </w:rPr>
        <w:noBreakHyphen/>
        <w:t>es alvadási faktor</w:t>
      </w:r>
    </w:p>
    <w:p w14:paraId="7A28FD0E" w14:textId="77777777" w:rsidR="00E74F5A" w:rsidRPr="004311F9" w:rsidRDefault="00E74F5A" w:rsidP="00DC4CB1">
      <w:pPr>
        <w:spacing w:line="240" w:lineRule="auto"/>
        <w:rPr>
          <w:szCs w:val="24"/>
          <w:lang w:val="hu-HU"/>
        </w:rPr>
      </w:pPr>
      <w:r w:rsidRPr="004311F9">
        <w:rPr>
          <w:szCs w:val="24"/>
          <w:lang w:val="hu-HU"/>
        </w:rPr>
        <w:t>iv.</w:t>
      </w:r>
    </w:p>
    <w:p w14:paraId="11810642" w14:textId="77777777" w:rsidR="00E74F5A" w:rsidRPr="004311F9" w:rsidRDefault="00E74F5A" w:rsidP="00DC4CB1">
      <w:pPr>
        <w:spacing w:line="240" w:lineRule="auto"/>
        <w:rPr>
          <w:rFonts w:eastAsia="Times New Roman"/>
          <w:szCs w:val="24"/>
          <w:lang w:val="hu-HU"/>
        </w:rPr>
      </w:pPr>
    </w:p>
    <w:p w14:paraId="1DD9CDD9" w14:textId="77777777" w:rsidR="00E74F5A" w:rsidRPr="004311F9" w:rsidRDefault="00E74F5A" w:rsidP="00DC4CB1">
      <w:pPr>
        <w:spacing w:line="240" w:lineRule="auto"/>
        <w:rPr>
          <w:rFonts w:eastAsia="Times New Roman"/>
          <w:szCs w:val="24"/>
          <w:lang w:val="hu-HU"/>
        </w:rPr>
      </w:pPr>
    </w:p>
    <w:p w14:paraId="47BAB654" w14:textId="77777777" w:rsidR="00E74F5A" w:rsidRPr="004311F9" w:rsidRDefault="00E74F5A" w:rsidP="003D4563">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2.</w:t>
      </w:r>
      <w:r w:rsidRPr="004311F9">
        <w:rPr>
          <w:b/>
          <w:szCs w:val="24"/>
          <w:lang w:val="hu-HU"/>
        </w:rPr>
        <w:tab/>
        <w:t>AZ ALKALMAZÁSSAL KAPCSOLATOS TUDNIVALÓK</w:t>
      </w:r>
    </w:p>
    <w:p w14:paraId="60F18CB4" w14:textId="77777777" w:rsidR="00E74F5A" w:rsidRPr="004311F9" w:rsidRDefault="00E74F5A" w:rsidP="00DC4CB1">
      <w:pPr>
        <w:spacing w:line="240" w:lineRule="auto"/>
        <w:rPr>
          <w:rFonts w:eastAsia="Times New Roman"/>
          <w:szCs w:val="24"/>
          <w:lang w:val="hu-HU"/>
        </w:rPr>
      </w:pPr>
    </w:p>
    <w:p w14:paraId="2DAFCD94" w14:textId="77777777" w:rsidR="00E74F5A" w:rsidRPr="004311F9" w:rsidRDefault="00E74F5A" w:rsidP="00DC4CB1">
      <w:pPr>
        <w:spacing w:line="240" w:lineRule="auto"/>
        <w:rPr>
          <w:rFonts w:eastAsia="Times New Roman"/>
          <w:szCs w:val="24"/>
          <w:lang w:val="hu-HU"/>
        </w:rPr>
      </w:pPr>
    </w:p>
    <w:p w14:paraId="4C6E67BA" w14:textId="77777777" w:rsidR="00E74F5A" w:rsidRPr="004311F9" w:rsidRDefault="00E74F5A" w:rsidP="003D4563">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3.</w:t>
      </w:r>
      <w:r w:rsidRPr="004311F9">
        <w:rPr>
          <w:b/>
          <w:szCs w:val="24"/>
          <w:lang w:val="hu-HU"/>
        </w:rPr>
        <w:tab/>
        <w:t>LEJÁRATI IDŐ</w:t>
      </w:r>
    </w:p>
    <w:p w14:paraId="428E36EB" w14:textId="77777777" w:rsidR="00E74F5A" w:rsidRPr="004311F9" w:rsidRDefault="00E74F5A" w:rsidP="00DC4CB1">
      <w:pPr>
        <w:spacing w:line="240" w:lineRule="auto"/>
        <w:rPr>
          <w:rFonts w:eastAsia="Times New Roman"/>
          <w:szCs w:val="24"/>
          <w:lang w:val="hu-HU"/>
        </w:rPr>
      </w:pPr>
    </w:p>
    <w:p w14:paraId="64DDA1DF" w14:textId="77777777" w:rsidR="00E74F5A" w:rsidRPr="004311F9" w:rsidRDefault="00E74F5A" w:rsidP="00DC4CB1">
      <w:pPr>
        <w:spacing w:line="240" w:lineRule="auto"/>
        <w:rPr>
          <w:szCs w:val="24"/>
          <w:lang w:val="hu-HU"/>
        </w:rPr>
      </w:pPr>
      <w:r w:rsidRPr="004311F9">
        <w:rPr>
          <w:szCs w:val="24"/>
          <w:lang w:val="hu-HU"/>
        </w:rPr>
        <w:t>EXP</w:t>
      </w:r>
    </w:p>
    <w:p w14:paraId="2597D350" w14:textId="77777777" w:rsidR="00E74F5A" w:rsidRPr="004311F9" w:rsidRDefault="00E74F5A" w:rsidP="00DC4CB1">
      <w:pPr>
        <w:spacing w:line="240" w:lineRule="auto"/>
        <w:rPr>
          <w:rFonts w:eastAsia="Times New Roman"/>
          <w:szCs w:val="24"/>
          <w:lang w:val="hu-HU"/>
        </w:rPr>
      </w:pPr>
    </w:p>
    <w:p w14:paraId="4C925BBC" w14:textId="77777777" w:rsidR="00E74F5A" w:rsidRPr="004311F9" w:rsidRDefault="00E74F5A" w:rsidP="00DC4CB1">
      <w:pPr>
        <w:spacing w:line="240" w:lineRule="auto"/>
        <w:rPr>
          <w:rFonts w:eastAsia="Times New Roman"/>
          <w:szCs w:val="24"/>
          <w:lang w:val="hu-HU"/>
        </w:rPr>
      </w:pPr>
    </w:p>
    <w:p w14:paraId="25D61390" w14:textId="77777777" w:rsidR="00E74F5A" w:rsidRPr="004311F9" w:rsidRDefault="00E74F5A" w:rsidP="003D4563">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4.</w:t>
      </w:r>
      <w:r w:rsidRPr="004311F9">
        <w:rPr>
          <w:b/>
          <w:szCs w:val="24"/>
          <w:lang w:val="hu-HU"/>
        </w:rPr>
        <w:tab/>
        <w:t>A GYÁRTÁSI TÉTEL SZÁMA</w:t>
      </w:r>
    </w:p>
    <w:p w14:paraId="20B9541B" w14:textId="77777777" w:rsidR="00E74F5A" w:rsidRPr="004311F9" w:rsidRDefault="00E74F5A" w:rsidP="00DC4CB1">
      <w:pPr>
        <w:spacing w:line="240" w:lineRule="auto"/>
        <w:ind w:right="113"/>
        <w:rPr>
          <w:rFonts w:eastAsia="Times New Roman"/>
          <w:szCs w:val="24"/>
          <w:lang w:val="hu-HU"/>
        </w:rPr>
      </w:pPr>
    </w:p>
    <w:p w14:paraId="00DC4CA8" w14:textId="77777777" w:rsidR="00E74F5A" w:rsidRPr="004311F9" w:rsidRDefault="00E74F5A" w:rsidP="00DC4CB1">
      <w:pPr>
        <w:spacing w:line="240" w:lineRule="auto"/>
        <w:ind w:right="113"/>
        <w:rPr>
          <w:szCs w:val="24"/>
          <w:lang w:val="hu-HU"/>
        </w:rPr>
      </w:pPr>
      <w:r w:rsidRPr="004311F9">
        <w:rPr>
          <w:szCs w:val="24"/>
          <w:lang w:val="hu-HU"/>
        </w:rPr>
        <w:t>Lot</w:t>
      </w:r>
    </w:p>
    <w:p w14:paraId="1E756907" w14:textId="77777777" w:rsidR="00E74F5A" w:rsidRPr="004311F9" w:rsidRDefault="00E74F5A" w:rsidP="00DC4CB1">
      <w:pPr>
        <w:spacing w:line="240" w:lineRule="auto"/>
        <w:ind w:right="113"/>
        <w:rPr>
          <w:rFonts w:eastAsia="Times New Roman"/>
          <w:szCs w:val="24"/>
          <w:lang w:val="hu-HU"/>
        </w:rPr>
      </w:pPr>
    </w:p>
    <w:p w14:paraId="194AFA87" w14:textId="77777777" w:rsidR="00E74F5A" w:rsidRPr="004311F9" w:rsidRDefault="00E74F5A" w:rsidP="00DC4CB1">
      <w:pPr>
        <w:spacing w:line="240" w:lineRule="auto"/>
        <w:ind w:right="113"/>
        <w:rPr>
          <w:rFonts w:eastAsia="Times New Roman"/>
          <w:szCs w:val="24"/>
          <w:lang w:val="hu-HU"/>
        </w:rPr>
      </w:pPr>
    </w:p>
    <w:p w14:paraId="6C79C8DF" w14:textId="77777777" w:rsidR="00E74F5A" w:rsidRPr="004311F9" w:rsidRDefault="00E74F5A" w:rsidP="003D4563">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5.</w:t>
      </w:r>
      <w:r w:rsidRPr="004311F9">
        <w:rPr>
          <w:b/>
          <w:szCs w:val="24"/>
          <w:lang w:val="hu-HU"/>
        </w:rPr>
        <w:tab/>
        <w:t>A TARTALOM SÚLYRA, TÉRFOGATRA, VAGY EGYSÉGRE VONATKOZTATVA</w:t>
      </w:r>
    </w:p>
    <w:p w14:paraId="171C0192" w14:textId="77777777" w:rsidR="00E74F5A" w:rsidRPr="004311F9" w:rsidRDefault="00E74F5A" w:rsidP="00DC4CB1">
      <w:pPr>
        <w:spacing w:line="240" w:lineRule="auto"/>
        <w:ind w:right="113"/>
        <w:rPr>
          <w:rFonts w:eastAsia="Times New Roman"/>
          <w:szCs w:val="24"/>
          <w:lang w:val="hu-HU"/>
        </w:rPr>
      </w:pPr>
    </w:p>
    <w:p w14:paraId="28750526" w14:textId="77777777" w:rsidR="00E74F5A" w:rsidRPr="004311F9" w:rsidRDefault="00E74F5A" w:rsidP="00DC4CB1">
      <w:pPr>
        <w:spacing w:line="240" w:lineRule="auto"/>
        <w:ind w:right="113"/>
        <w:rPr>
          <w:szCs w:val="24"/>
          <w:lang w:val="hu-HU"/>
        </w:rPr>
      </w:pPr>
      <w:r w:rsidRPr="004311F9">
        <w:rPr>
          <w:szCs w:val="24"/>
          <w:shd w:val="clear" w:color="auto" w:fill="D9D9D9"/>
          <w:lang w:val="hu-HU"/>
        </w:rPr>
        <w:t>250 NE</w:t>
      </w:r>
    </w:p>
    <w:p w14:paraId="678450BA" w14:textId="77777777" w:rsidR="00E74F5A" w:rsidRPr="004311F9" w:rsidRDefault="00E74F5A" w:rsidP="00DC4CB1">
      <w:pPr>
        <w:spacing w:line="240" w:lineRule="auto"/>
        <w:ind w:right="113"/>
        <w:rPr>
          <w:rFonts w:eastAsia="Times New Roman"/>
          <w:szCs w:val="24"/>
          <w:lang w:val="hu-HU"/>
        </w:rPr>
      </w:pPr>
    </w:p>
    <w:p w14:paraId="5A19CD9B" w14:textId="77777777" w:rsidR="00E74F5A" w:rsidRPr="004311F9" w:rsidRDefault="00E74F5A" w:rsidP="00DC4CB1">
      <w:pPr>
        <w:spacing w:line="240" w:lineRule="auto"/>
        <w:ind w:right="113"/>
        <w:rPr>
          <w:rFonts w:eastAsia="Times New Roman"/>
          <w:szCs w:val="24"/>
          <w:lang w:val="hu-HU"/>
        </w:rPr>
      </w:pPr>
    </w:p>
    <w:p w14:paraId="2AF18B93" w14:textId="77777777" w:rsidR="00E74F5A" w:rsidRPr="004311F9" w:rsidRDefault="00E74F5A" w:rsidP="003D4563">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6.</w:t>
      </w:r>
      <w:r w:rsidRPr="004311F9">
        <w:rPr>
          <w:b/>
          <w:szCs w:val="24"/>
          <w:lang w:val="hu-HU"/>
        </w:rPr>
        <w:tab/>
        <w:t>EGYÉB INFORMÁCIÓK</w:t>
      </w:r>
    </w:p>
    <w:p w14:paraId="0F845F32" w14:textId="77777777" w:rsidR="00E74F5A" w:rsidRPr="004311F9" w:rsidRDefault="00E74F5A" w:rsidP="00224CF7">
      <w:pPr>
        <w:keepNext/>
        <w:spacing w:line="240" w:lineRule="auto"/>
        <w:ind w:right="113"/>
        <w:rPr>
          <w:rFonts w:eastAsia="Times New Roman"/>
          <w:szCs w:val="24"/>
          <w:lang w:val="hu-HU"/>
        </w:rPr>
      </w:pPr>
    </w:p>
    <w:p w14:paraId="6444BE01" w14:textId="77777777" w:rsidR="00E74F5A" w:rsidRPr="004311F9" w:rsidRDefault="00E74F5A" w:rsidP="00DC4CB1">
      <w:pPr>
        <w:spacing w:line="240" w:lineRule="auto"/>
        <w:ind w:right="113"/>
        <w:rPr>
          <w:rFonts w:eastAsia="Times New Roman"/>
          <w:szCs w:val="24"/>
          <w:lang w:val="hu-HU"/>
        </w:rPr>
      </w:pPr>
    </w:p>
    <w:p w14:paraId="784AC3E6" w14:textId="77777777" w:rsidR="008A332F" w:rsidRPr="004311F9" w:rsidRDefault="00E74F5A" w:rsidP="008A332F">
      <w:pPr>
        <w:pBdr>
          <w:top w:val="single" w:sz="4" w:space="1" w:color="auto"/>
          <w:left w:val="single" w:sz="4" w:space="4" w:color="auto"/>
          <w:bottom w:val="single" w:sz="4" w:space="1" w:color="auto"/>
          <w:right w:val="single" w:sz="4" w:space="4" w:color="auto"/>
        </w:pBdr>
        <w:spacing w:line="240" w:lineRule="auto"/>
        <w:rPr>
          <w:b/>
          <w:szCs w:val="24"/>
          <w:lang w:val="hu-HU"/>
        </w:rPr>
      </w:pPr>
      <w:r w:rsidRPr="004311F9">
        <w:rPr>
          <w:b/>
          <w:szCs w:val="24"/>
          <w:lang w:val="hu-HU"/>
        </w:rPr>
        <w:br w:type="page"/>
      </w:r>
      <w:r w:rsidR="008A332F" w:rsidRPr="004311F9">
        <w:rPr>
          <w:b/>
          <w:szCs w:val="24"/>
          <w:lang w:val="hu-HU"/>
        </w:rPr>
        <w:lastRenderedPageBreak/>
        <w:t>A KÜLSŐ CSOMAGOLÁSON FELTÜNTETENDŐ ADATOK</w:t>
      </w:r>
    </w:p>
    <w:p w14:paraId="674A59EB" w14:textId="77777777" w:rsidR="008A332F" w:rsidRPr="004311F9" w:rsidRDefault="008A332F" w:rsidP="008A332F">
      <w:pPr>
        <w:pBdr>
          <w:top w:val="single" w:sz="4" w:space="1" w:color="auto"/>
          <w:left w:val="single" w:sz="4" w:space="4" w:color="auto"/>
          <w:bottom w:val="single" w:sz="4" w:space="1" w:color="auto"/>
          <w:right w:val="single" w:sz="4" w:space="4" w:color="auto"/>
        </w:pBdr>
        <w:spacing w:line="240" w:lineRule="auto"/>
        <w:ind w:left="567" w:hanging="567"/>
        <w:rPr>
          <w:rFonts w:eastAsia="Times New Roman"/>
          <w:b/>
          <w:szCs w:val="24"/>
          <w:lang w:val="hu-HU"/>
        </w:rPr>
      </w:pPr>
    </w:p>
    <w:p w14:paraId="2A6886E1" w14:textId="77777777" w:rsidR="008A332F" w:rsidRPr="004311F9" w:rsidRDefault="008A332F" w:rsidP="008A332F">
      <w:pPr>
        <w:pBdr>
          <w:top w:val="single" w:sz="4" w:space="1" w:color="auto"/>
          <w:left w:val="single" w:sz="4" w:space="4" w:color="auto"/>
          <w:bottom w:val="single" w:sz="4" w:space="1" w:color="auto"/>
          <w:right w:val="single" w:sz="4" w:space="4" w:color="auto"/>
        </w:pBdr>
        <w:spacing w:line="240" w:lineRule="auto"/>
        <w:rPr>
          <w:b/>
          <w:szCs w:val="24"/>
          <w:lang w:val="hu-HU"/>
        </w:rPr>
      </w:pPr>
      <w:r w:rsidRPr="004311F9">
        <w:rPr>
          <w:b/>
          <w:szCs w:val="24"/>
          <w:lang w:val="hu-HU"/>
        </w:rPr>
        <w:t>DOBOZ</w:t>
      </w:r>
    </w:p>
    <w:p w14:paraId="070B3EE8" w14:textId="77777777" w:rsidR="008A332F" w:rsidRPr="004311F9" w:rsidRDefault="008A332F" w:rsidP="008A332F">
      <w:pPr>
        <w:spacing w:line="240" w:lineRule="auto"/>
        <w:rPr>
          <w:rFonts w:eastAsia="Times New Roman"/>
          <w:szCs w:val="24"/>
          <w:lang w:val="hu-HU"/>
        </w:rPr>
      </w:pPr>
    </w:p>
    <w:p w14:paraId="5579039A" w14:textId="77777777" w:rsidR="008A332F" w:rsidRPr="004311F9" w:rsidRDefault="008A332F" w:rsidP="008A332F">
      <w:pPr>
        <w:spacing w:line="240" w:lineRule="auto"/>
        <w:rPr>
          <w:rFonts w:eastAsia="Times New Roman"/>
          <w:szCs w:val="24"/>
          <w:lang w:val="hu-HU"/>
        </w:rPr>
      </w:pPr>
    </w:p>
    <w:p w14:paraId="1E8C0310"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1.</w:t>
      </w:r>
      <w:r w:rsidRPr="004311F9">
        <w:rPr>
          <w:b/>
          <w:szCs w:val="24"/>
          <w:lang w:val="hu-HU"/>
        </w:rPr>
        <w:tab/>
        <w:t>A GYÓGYSZER NEVE</w:t>
      </w:r>
    </w:p>
    <w:p w14:paraId="7C5E47AA" w14:textId="77777777" w:rsidR="008A332F" w:rsidRPr="004311F9" w:rsidRDefault="008A332F" w:rsidP="008A332F">
      <w:pPr>
        <w:spacing w:line="240" w:lineRule="auto"/>
        <w:rPr>
          <w:rFonts w:eastAsia="Times New Roman"/>
          <w:szCs w:val="24"/>
          <w:lang w:val="hu-HU"/>
        </w:rPr>
      </w:pPr>
    </w:p>
    <w:p w14:paraId="23C37C0D" w14:textId="77777777" w:rsidR="008A332F" w:rsidRPr="004311F9" w:rsidRDefault="008A332F" w:rsidP="008A332F">
      <w:pPr>
        <w:spacing w:line="240" w:lineRule="auto"/>
        <w:rPr>
          <w:rFonts w:eastAsia="Times New Roman"/>
          <w:shd w:val="clear" w:color="auto" w:fill="D9D9D9"/>
          <w:lang w:val="hu-HU" w:eastAsia="en-US"/>
        </w:rPr>
      </w:pPr>
      <w:r w:rsidRPr="004311F9">
        <w:rPr>
          <w:rFonts w:eastAsia="Times New Roman"/>
          <w:lang w:val="hu-HU" w:eastAsia="en-US"/>
        </w:rPr>
        <w:t>ALPROLIX 500 NE por és oldószer oldatos injekcióhoz</w:t>
      </w:r>
    </w:p>
    <w:p w14:paraId="2CE6707C" w14:textId="77777777" w:rsidR="008A332F" w:rsidRPr="004311F9" w:rsidRDefault="008A332F" w:rsidP="008A332F">
      <w:pPr>
        <w:spacing w:line="240" w:lineRule="auto"/>
        <w:rPr>
          <w:szCs w:val="22"/>
          <w:lang w:val="hu-HU"/>
        </w:rPr>
      </w:pPr>
    </w:p>
    <w:p w14:paraId="26796A83" w14:textId="0EF67CB0" w:rsidR="00FD6B4E" w:rsidRPr="004311F9" w:rsidRDefault="00FD6B4E" w:rsidP="00FD6B4E">
      <w:pPr>
        <w:spacing w:line="240" w:lineRule="auto"/>
        <w:rPr>
          <w:szCs w:val="24"/>
          <w:lang w:val="hu-HU"/>
        </w:rPr>
      </w:pPr>
      <w:r w:rsidRPr="004311F9">
        <w:rPr>
          <w:szCs w:val="22"/>
          <w:lang w:val="hu-HU"/>
        </w:rPr>
        <w:t xml:space="preserve">eftrenonacogum </w:t>
      </w:r>
      <w:r w:rsidRPr="004311F9">
        <w:rPr>
          <w:szCs w:val="24"/>
          <w:lang w:val="hu-HU"/>
        </w:rPr>
        <w:t>alfa (rekombináns IX</w:t>
      </w:r>
      <w:r w:rsidRPr="004311F9">
        <w:rPr>
          <w:szCs w:val="24"/>
          <w:lang w:val="hu-HU"/>
        </w:rPr>
        <w:noBreakHyphen/>
        <w:t>es alvadási faktor, Fc fúziós fehérje)</w:t>
      </w:r>
    </w:p>
    <w:p w14:paraId="66CB0A9A" w14:textId="77777777" w:rsidR="008A332F" w:rsidRPr="004311F9" w:rsidRDefault="008A332F" w:rsidP="008A332F">
      <w:pPr>
        <w:spacing w:line="240" w:lineRule="auto"/>
        <w:rPr>
          <w:rFonts w:eastAsia="Times New Roman"/>
          <w:szCs w:val="24"/>
          <w:lang w:val="hu-HU"/>
        </w:rPr>
      </w:pPr>
    </w:p>
    <w:p w14:paraId="1662AB83" w14:textId="77777777" w:rsidR="008A332F" w:rsidRPr="004311F9" w:rsidRDefault="008A332F" w:rsidP="008A332F">
      <w:pPr>
        <w:spacing w:line="240" w:lineRule="auto"/>
        <w:rPr>
          <w:rFonts w:eastAsia="Times New Roman"/>
          <w:szCs w:val="24"/>
          <w:lang w:val="hu-HU"/>
        </w:rPr>
      </w:pPr>
    </w:p>
    <w:p w14:paraId="625A73D7"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2.</w:t>
      </w:r>
      <w:r w:rsidRPr="004311F9">
        <w:rPr>
          <w:b/>
          <w:szCs w:val="24"/>
          <w:lang w:val="hu-HU"/>
        </w:rPr>
        <w:tab/>
        <w:t>HATÓANYAG(OK) MEGNEVEZÉSE</w:t>
      </w:r>
    </w:p>
    <w:p w14:paraId="431AE23C" w14:textId="77777777" w:rsidR="008A332F" w:rsidRPr="004311F9" w:rsidRDefault="008A332F" w:rsidP="008A332F">
      <w:pPr>
        <w:spacing w:line="240" w:lineRule="auto"/>
        <w:rPr>
          <w:rFonts w:eastAsia="Times New Roman"/>
          <w:szCs w:val="24"/>
          <w:lang w:val="hu-HU"/>
        </w:rPr>
      </w:pPr>
    </w:p>
    <w:p w14:paraId="5F9D618B" w14:textId="77777777" w:rsidR="008A332F" w:rsidRPr="004311F9" w:rsidRDefault="008A332F" w:rsidP="008A332F">
      <w:pPr>
        <w:spacing w:line="240" w:lineRule="auto"/>
        <w:rPr>
          <w:rFonts w:eastAsia="Times New Roman"/>
          <w:shd w:val="clear" w:color="auto" w:fill="D9D9D9"/>
          <w:lang w:val="hu-HU" w:eastAsia="en-US"/>
        </w:rPr>
      </w:pPr>
      <w:r w:rsidRPr="004311F9">
        <w:rPr>
          <w:rFonts w:eastAsia="Times New Roman"/>
          <w:lang w:val="hu-HU" w:eastAsia="en-US"/>
        </w:rPr>
        <w:t>Por: 500 NE eftrenonacogum alfa (feloldás után körülbelül 100 NE/ml),</w:t>
      </w:r>
    </w:p>
    <w:p w14:paraId="7432C5C7" w14:textId="77777777" w:rsidR="008A332F" w:rsidRPr="004311F9" w:rsidRDefault="008A332F" w:rsidP="008A332F">
      <w:pPr>
        <w:spacing w:line="240" w:lineRule="auto"/>
        <w:rPr>
          <w:rFonts w:eastAsia="Times New Roman"/>
          <w:szCs w:val="24"/>
          <w:lang w:val="hu-HU"/>
        </w:rPr>
      </w:pPr>
    </w:p>
    <w:p w14:paraId="5ADA4D77" w14:textId="77777777" w:rsidR="008A332F" w:rsidRPr="004311F9" w:rsidRDefault="008A332F" w:rsidP="008A332F">
      <w:pPr>
        <w:spacing w:line="240" w:lineRule="auto"/>
        <w:rPr>
          <w:rFonts w:eastAsia="Times New Roman"/>
          <w:szCs w:val="24"/>
          <w:lang w:val="hu-HU"/>
        </w:rPr>
      </w:pPr>
    </w:p>
    <w:p w14:paraId="03DAB6E9"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3.</w:t>
      </w:r>
      <w:r w:rsidRPr="004311F9">
        <w:rPr>
          <w:b/>
          <w:szCs w:val="24"/>
          <w:lang w:val="hu-HU"/>
        </w:rPr>
        <w:tab/>
        <w:t>SEGÉDANYAGOK FELSOROLÁSA</w:t>
      </w:r>
    </w:p>
    <w:p w14:paraId="78A7B29A" w14:textId="77777777" w:rsidR="008A332F" w:rsidRPr="004311F9" w:rsidRDefault="008A332F" w:rsidP="008A332F">
      <w:pPr>
        <w:spacing w:line="240" w:lineRule="auto"/>
        <w:rPr>
          <w:rFonts w:eastAsia="Times New Roman"/>
          <w:szCs w:val="24"/>
          <w:lang w:val="hu-HU"/>
        </w:rPr>
      </w:pPr>
    </w:p>
    <w:p w14:paraId="547BB35B" w14:textId="77777777" w:rsidR="008A332F" w:rsidRPr="004311F9" w:rsidRDefault="008A332F" w:rsidP="008A332F">
      <w:pPr>
        <w:autoSpaceDE w:val="0"/>
        <w:autoSpaceDN w:val="0"/>
        <w:adjustRightInd w:val="0"/>
        <w:spacing w:line="240" w:lineRule="auto"/>
        <w:rPr>
          <w:szCs w:val="24"/>
          <w:lang w:val="hu-HU"/>
        </w:rPr>
      </w:pPr>
      <w:r w:rsidRPr="004311F9">
        <w:rPr>
          <w:rFonts w:eastAsia="Times New Roman"/>
          <w:shd w:val="clear" w:color="auto" w:fill="D9D9D9"/>
          <w:lang w:val="hu-HU" w:eastAsia="en-US"/>
        </w:rPr>
        <w:t>Por:</w:t>
      </w:r>
    </w:p>
    <w:p w14:paraId="289C9C2D" w14:textId="794B68A3" w:rsidR="008A332F" w:rsidRPr="004311F9" w:rsidRDefault="008A332F" w:rsidP="008A332F">
      <w:pPr>
        <w:autoSpaceDE w:val="0"/>
        <w:autoSpaceDN w:val="0"/>
        <w:adjustRightInd w:val="0"/>
        <w:spacing w:line="240" w:lineRule="auto"/>
        <w:rPr>
          <w:szCs w:val="24"/>
          <w:lang w:val="hu-HU"/>
        </w:rPr>
      </w:pPr>
      <w:r w:rsidRPr="004311F9">
        <w:rPr>
          <w:szCs w:val="24"/>
          <w:lang w:val="hu-HU"/>
        </w:rPr>
        <w:t>szacharóz, hisztidin, mannit, poliszorbát 20, nátrium</w:t>
      </w:r>
      <w:r w:rsidRPr="004311F9">
        <w:rPr>
          <w:szCs w:val="24"/>
          <w:lang w:val="hu-HU"/>
        </w:rPr>
        <w:noBreakHyphen/>
        <w:t>hidroxid, sósav</w:t>
      </w:r>
    </w:p>
    <w:p w14:paraId="1B203654" w14:textId="77777777" w:rsidR="008A332F" w:rsidRPr="004311F9" w:rsidRDefault="008A332F" w:rsidP="008A332F">
      <w:pPr>
        <w:autoSpaceDE w:val="0"/>
        <w:autoSpaceDN w:val="0"/>
        <w:adjustRightInd w:val="0"/>
        <w:spacing w:line="240" w:lineRule="auto"/>
        <w:rPr>
          <w:rFonts w:eastAsia="Times New Roman"/>
          <w:szCs w:val="24"/>
          <w:lang w:val="hu-HU"/>
        </w:rPr>
      </w:pPr>
    </w:p>
    <w:p w14:paraId="29FE3EEC" w14:textId="77777777" w:rsidR="00FD6B4E" w:rsidRPr="004311F9" w:rsidRDefault="00FD6B4E" w:rsidP="00FD6B4E">
      <w:pPr>
        <w:keepNext/>
        <w:autoSpaceDE w:val="0"/>
        <w:autoSpaceDN w:val="0"/>
        <w:adjustRightInd w:val="0"/>
        <w:spacing w:line="240" w:lineRule="auto"/>
        <w:rPr>
          <w:szCs w:val="24"/>
          <w:lang w:val="hu-HU"/>
        </w:rPr>
      </w:pPr>
      <w:r w:rsidRPr="004311F9">
        <w:rPr>
          <w:szCs w:val="24"/>
          <w:lang w:val="hu-HU"/>
        </w:rPr>
        <w:t>Oldószer:</w:t>
      </w:r>
    </w:p>
    <w:p w14:paraId="0E10D1CC" w14:textId="5CFA2621" w:rsidR="00FD6B4E" w:rsidRPr="004311F9" w:rsidRDefault="00FD6B4E" w:rsidP="00FD6B4E">
      <w:pPr>
        <w:autoSpaceDE w:val="0"/>
        <w:autoSpaceDN w:val="0"/>
        <w:adjustRightInd w:val="0"/>
        <w:spacing w:line="240" w:lineRule="auto"/>
        <w:rPr>
          <w:szCs w:val="24"/>
          <w:lang w:val="hu-HU"/>
        </w:rPr>
      </w:pPr>
      <w:r w:rsidRPr="004311F9">
        <w:rPr>
          <w:szCs w:val="24"/>
          <w:lang w:val="hu-HU"/>
        </w:rPr>
        <w:t>nátrium</w:t>
      </w:r>
      <w:r w:rsidRPr="004311F9">
        <w:rPr>
          <w:szCs w:val="24"/>
          <w:lang w:val="hu-HU"/>
        </w:rPr>
        <w:noBreakHyphen/>
        <w:t>klorid, injekcióhoz való víz</w:t>
      </w:r>
    </w:p>
    <w:p w14:paraId="14DFA6A0" w14:textId="77777777" w:rsidR="008A332F" w:rsidRPr="004311F9" w:rsidRDefault="008A332F" w:rsidP="008A332F">
      <w:pPr>
        <w:autoSpaceDE w:val="0"/>
        <w:autoSpaceDN w:val="0"/>
        <w:adjustRightInd w:val="0"/>
        <w:spacing w:line="240" w:lineRule="auto"/>
        <w:rPr>
          <w:rFonts w:eastAsia="Times New Roman"/>
          <w:szCs w:val="24"/>
          <w:lang w:val="hu-HU"/>
        </w:rPr>
      </w:pPr>
    </w:p>
    <w:p w14:paraId="6307FBC0" w14:textId="77777777" w:rsidR="008A332F" w:rsidRPr="004311F9" w:rsidRDefault="008A332F" w:rsidP="008A332F">
      <w:pPr>
        <w:autoSpaceDE w:val="0"/>
        <w:autoSpaceDN w:val="0"/>
        <w:adjustRightInd w:val="0"/>
        <w:spacing w:line="240" w:lineRule="auto"/>
        <w:rPr>
          <w:rFonts w:eastAsia="Times New Roman"/>
          <w:szCs w:val="24"/>
          <w:lang w:val="hu-HU"/>
        </w:rPr>
      </w:pPr>
    </w:p>
    <w:p w14:paraId="4451D45C"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4.</w:t>
      </w:r>
      <w:r w:rsidRPr="004311F9">
        <w:rPr>
          <w:b/>
          <w:szCs w:val="24"/>
          <w:lang w:val="hu-HU"/>
        </w:rPr>
        <w:tab/>
        <w:t>GYÓGYSZERFORMA ÉS TARTALOM</w:t>
      </w:r>
    </w:p>
    <w:p w14:paraId="124C9E93" w14:textId="77777777" w:rsidR="008A332F" w:rsidRPr="004311F9" w:rsidRDefault="008A332F" w:rsidP="008A332F">
      <w:pPr>
        <w:keepNext/>
        <w:spacing w:line="240" w:lineRule="auto"/>
        <w:rPr>
          <w:rFonts w:eastAsia="Times New Roman"/>
          <w:szCs w:val="24"/>
          <w:lang w:val="hu-HU"/>
        </w:rPr>
      </w:pPr>
    </w:p>
    <w:p w14:paraId="206C1604" w14:textId="77777777" w:rsidR="008A332F" w:rsidRPr="004311F9" w:rsidRDefault="008A332F" w:rsidP="008A332F">
      <w:pPr>
        <w:keepNext/>
        <w:spacing w:line="240" w:lineRule="auto"/>
        <w:rPr>
          <w:rFonts w:eastAsia="Times New Roman"/>
          <w:lang w:val="hu-HU" w:eastAsia="en-US"/>
        </w:rPr>
      </w:pPr>
      <w:r w:rsidRPr="004311F9">
        <w:rPr>
          <w:rFonts w:eastAsia="Times New Roman"/>
          <w:shd w:val="clear" w:color="auto" w:fill="D9D9D9"/>
          <w:lang w:val="hu-HU" w:eastAsia="en-US"/>
        </w:rPr>
        <w:t>Por és oldószer oldatos injekcióhoz.</w:t>
      </w:r>
    </w:p>
    <w:p w14:paraId="6D955C29" w14:textId="77777777" w:rsidR="008A332F" w:rsidRPr="004311F9" w:rsidRDefault="008A332F" w:rsidP="008A332F">
      <w:pPr>
        <w:keepNext/>
        <w:spacing w:line="240" w:lineRule="auto"/>
        <w:rPr>
          <w:rFonts w:eastAsia="Times New Roman"/>
          <w:szCs w:val="24"/>
          <w:lang w:val="hu-HU"/>
        </w:rPr>
      </w:pPr>
    </w:p>
    <w:p w14:paraId="15FD8064" w14:textId="77777777" w:rsidR="008A332F" w:rsidRPr="004311F9" w:rsidRDefault="008A332F" w:rsidP="008A332F">
      <w:pPr>
        <w:spacing w:line="240" w:lineRule="auto"/>
        <w:rPr>
          <w:szCs w:val="24"/>
          <w:lang w:val="hu-HU"/>
        </w:rPr>
      </w:pPr>
      <w:r w:rsidRPr="004311F9">
        <w:rPr>
          <w:szCs w:val="24"/>
          <w:lang w:val="hu-HU"/>
        </w:rPr>
        <w:t>Tartalom: 1 db port tartalmazó injekciós üveg, 5 ml oldószer előretöltött fecskendőben, 1 db dugattyúrúd, 1 db injekciós üveg adapter, 1 db infúziós szerelék, 2 db alkoholos törlő, 2 db ragtapasz, 1 db gézlap.</w:t>
      </w:r>
    </w:p>
    <w:p w14:paraId="39333A98" w14:textId="77777777" w:rsidR="008A332F" w:rsidRPr="004311F9" w:rsidRDefault="008A332F" w:rsidP="008A332F">
      <w:pPr>
        <w:spacing w:line="240" w:lineRule="auto"/>
        <w:rPr>
          <w:rFonts w:eastAsia="Times New Roman"/>
          <w:szCs w:val="24"/>
          <w:lang w:val="hu-HU"/>
        </w:rPr>
      </w:pPr>
    </w:p>
    <w:p w14:paraId="7D5BB0E2" w14:textId="77777777" w:rsidR="008A332F" w:rsidRPr="004311F9" w:rsidRDefault="008A332F" w:rsidP="008A332F">
      <w:pPr>
        <w:spacing w:line="240" w:lineRule="auto"/>
        <w:rPr>
          <w:rFonts w:eastAsia="Times New Roman"/>
          <w:szCs w:val="24"/>
          <w:lang w:val="hu-HU"/>
        </w:rPr>
      </w:pPr>
    </w:p>
    <w:p w14:paraId="419DBBDF"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5.</w:t>
      </w:r>
      <w:r w:rsidRPr="004311F9">
        <w:rPr>
          <w:b/>
          <w:szCs w:val="24"/>
          <w:lang w:val="hu-HU"/>
        </w:rPr>
        <w:tab/>
        <w:t>AZ ALKALMAZÁSSAL KAPCSOLATOS TUDNIVALÓK ÉS AZ ALKALMAZÁS MÓDJA(I)</w:t>
      </w:r>
    </w:p>
    <w:p w14:paraId="5B3D37E5" w14:textId="77777777" w:rsidR="008A332F" w:rsidRPr="004311F9" w:rsidRDefault="008A332F" w:rsidP="008A332F">
      <w:pPr>
        <w:spacing w:line="240" w:lineRule="auto"/>
        <w:rPr>
          <w:rFonts w:eastAsia="Times New Roman"/>
          <w:szCs w:val="24"/>
          <w:lang w:val="hu-HU"/>
        </w:rPr>
      </w:pPr>
    </w:p>
    <w:p w14:paraId="56963CE2" w14:textId="77777777" w:rsidR="008A332F" w:rsidRPr="004311F9" w:rsidRDefault="008A332F" w:rsidP="008A332F">
      <w:pPr>
        <w:spacing w:line="240" w:lineRule="auto"/>
        <w:rPr>
          <w:szCs w:val="24"/>
          <w:lang w:val="hu-HU"/>
        </w:rPr>
      </w:pPr>
      <w:r w:rsidRPr="004311F9">
        <w:rPr>
          <w:szCs w:val="24"/>
          <w:lang w:val="hu-HU"/>
        </w:rPr>
        <w:t>Feloldás után intravénás alkalmazás.</w:t>
      </w:r>
    </w:p>
    <w:p w14:paraId="5CAA8B22" w14:textId="77777777" w:rsidR="008A332F" w:rsidRPr="004311F9" w:rsidRDefault="008A332F" w:rsidP="008A332F">
      <w:pPr>
        <w:spacing w:line="240" w:lineRule="auto"/>
        <w:rPr>
          <w:szCs w:val="24"/>
          <w:lang w:val="hu-HU"/>
        </w:rPr>
      </w:pPr>
      <w:r w:rsidRPr="004311F9">
        <w:rPr>
          <w:szCs w:val="24"/>
          <w:lang w:val="hu-HU"/>
        </w:rPr>
        <w:t>Használat előtt olvassa el a mellékelt betegtájékoztatót!</w:t>
      </w:r>
    </w:p>
    <w:p w14:paraId="15A879CF" w14:textId="77777777" w:rsidR="008A332F" w:rsidRPr="004311F9" w:rsidRDefault="008A332F" w:rsidP="008A332F">
      <w:pPr>
        <w:spacing w:line="240" w:lineRule="auto"/>
        <w:rPr>
          <w:rFonts w:eastAsia="Times New Roman"/>
          <w:szCs w:val="24"/>
          <w:lang w:val="hu-HU"/>
        </w:rPr>
      </w:pPr>
    </w:p>
    <w:p w14:paraId="7B55C799" w14:textId="77777777" w:rsidR="008A332F" w:rsidRPr="004311F9" w:rsidRDefault="008A332F" w:rsidP="008A332F">
      <w:pPr>
        <w:spacing w:line="240" w:lineRule="auto"/>
        <w:rPr>
          <w:rFonts w:eastAsia="Times New Roman"/>
          <w:szCs w:val="24"/>
          <w:lang w:val="hu-HU"/>
        </w:rPr>
      </w:pPr>
      <w:r w:rsidRPr="004311F9">
        <w:rPr>
          <w:szCs w:val="24"/>
          <w:lang w:val="hu-HU"/>
        </w:rPr>
        <w:t>Az ALPROLIX elkészítésének és beadásának módjáról szóló oktatófilm elérhető a QR</w:t>
      </w:r>
      <w:r w:rsidRPr="004311F9">
        <w:rPr>
          <w:szCs w:val="24"/>
          <w:lang w:val="hu-HU"/>
        </w:rPr>
        <w:noBreakHyphen/>
        <w:t>kód okostelefonnal történő beolvasásával, vagy az internetes honlapon</w:t>
      </w:r>
    </w:p>
    <w:p w14:paraId="24D72AC6" w14:textId="77777777" w:rsidR="008A332F" w:rsidRPr="004311F9" w:rsidRDefault="008A332F" w:rsidP="008A332F">
      <w:pPr>
        <w:spacing w:line="240" w:lineRule="auto"/>
        <w:rPr>
          <w:rFonts w:eastAsia="Times New Roman"/>
          <w:szCs w:val="24"/>
          <w:lang w:val="hu-HU"/>
        </w:rPr>
      </w:pPr>
    </w:p>
    <w:p w14:paraId="6D90C0DF" w14:textId="77777777" w:rsidR="008A332F" w:rsidRPr="004311F9" w:rsidRDefault="008A332F" w:rsidP="008A332F">
      <w:pPr>
        <w:spacing w:line="240" w:lineRule="auto"/>
        <w:rPr>
          <w:sz w:val="23"/>
          <w:lang w:val="hu-HU"/>
        </w:rPr>
      </w:pPr>
      <w:r w:rsidRPr="004311F9">
        <w:rPr>
          <w:rFonts w:eastAsia="Times New Roman"/>
          <w:shd w:val="clear" w:color="auto" w:fill="D9D9D9"/>
          <w:lang w:val="hu-HU" w:eastAsia="en-US"/>
        </w:rPr>
        <w:t>Be kell illeszteni a QR</w:t>
      </w:r>
      <w:r w:rsidRPr="004311F9">
        <w:rPr>
          <w:rFonts w:eastAsia="Times New Roman"/>
          <w:shd w:val="clear" w:color="auto" w:fill="D9D9D9"/>
          <w:lang w:val="hu-HU" w:eastAsia="en-US"/>
        </w:rPr>
        <w:noBreakHyphen/>
        <w:t>kódot +</w:t>
      </w:r>
      <w:r w:rsidRPr="004311F9">
        <w:rPr>
          <w:lang w:val="hu-HU"/>
        </w:rPr>
        <w:t xml:space="preserve"> </w:t>
      </w:r>
      <w:hyperlink r:id="rId26" w:history="1">
        <w:r w:rsidRPr="004311F9">
          <w:rPr>
            <w:rStyle w:val="Hyperlink"/>
            <w:lang w:val="hu-HU"/>
          </w:rPr>
          <w:t>http://www.alprolix-instructions.com</w:t>
        </w:r>
      </w:hyperlink>
      <w:r w:rsidRPr="004311F9">
        <w:rPr>
          <w:lang w:val="hu-HU"/>
        </w:rPr>
        <w:t xml:space="preserve"> </w:t>
      </w:r>
    </w:p>
    <w:p w14:paraId="65442E22" w14:textId="77777777" w:rsidR="008A332F" w:rsidRPr="004311F9" w:rsidRDefault="008A332F" w:rsidP="008A332F">
      <w:pPr>
        <w:spacing w:line="240" w:lineRule="auto"/>
        <w:rPr>
          <w:rFonts w:eastAsia="Times New Roman"/>
          <w:szCs w:val="24"/>
          <w:lang w:val="hu-HU"/>
        </w:rPr>
      </w:pPr>
    </w:p>
    <w:p w14:paraId="03AAC9C3" w14:textId="77777777" w:rsidR="008A332F" w:rsidRPr="004311F9" w:rsidRDefault="008A332F" w:rsidP="008A332F">
      <w:pPr>
        <w:spacing w:line="240" w:lineRule="auto"/>
        <w:rPr>
          <w:rFonts w:eastAsia="Times New Roman"/>
          <w:szCs w:val="24"/>
          <w:lang w:val="hu-HU"/>
        </w:rPr>
      </w:pPr>
    </w:p>
    <w:p w14:paraId="4A0AF789"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6.</w:t>
      </w:r>
      <w:r w:rsidRPr="004311F9">
        <w:rPr>
          <w:b/>
          <w:szCs w:val="24"/>
          <w:lang w:val="hu-HU"/>
        </w:rPr>
        <w:tab/>
        <w:t>KÜLÖN FIGYELMEZTETÉS, MELY SZERINT A GYÓGYSZERT GYERMEKEKTŐL ELZÁRVA KELL TARTANI</w:t>
      </w:r>
    </w:p>
    <w:p w14:paraId="21C7175E" w14:textId="77777777" w:rsidR="008A332F" w:rsidRPr="004311F9" w:rsidRDefault="008A332F" w:rsidP="008A332F">
      <w:pPr>
        <w:spacing w:line="240" w:lineRule="auto"/>
        <w:rPr>
          <w:rFonts w:eastAsia="Times New Roman"/>
          <w:szCs w:val="24"/>
          <w:lang w:val="hu-HU"/>
        </w:rPr>
      </w:pPr>
    </w:p>
    <w:p w14:paraId="6DD82765" w14:textId="77777777" w:rsidR="008A332F" w:rsidRPr="004311F9" w:rsidRDefault="008A332F" w:rsidP="008A332F">
      <w:pPr>
        <w:spacing w:line="240" w:lineRule="auto"/>
        <w:rPr>
          <w:rFonts w:eastAsia="Times New Roman"/>
          <w:szCs w:val="24"/>
          <w:lang w:val="hu-HU"/>
        </w:rPr>
      </w:pPr>
      <w:r w:rsidRPr="004311F9">
        <w:rPr>
          <w:szCs w:val="24"/>
          <w:lang w:val="hu-HU"/>
        </w:rPr>
        <w:lastRenderedPageBreak/>
        <w:t>A gyógyszer gyermekektől elzárva tartandó!</w:t>
      </w:r>
    </w:p>
    <w:p w14:paraId="186C3B04" w14:textId="77777777" w:rsidR="008A332F" w:rsidRPr="004311F9" w:rsidRDefault="008A332F" w:rsidP="008A332F">
      <w:pPr>
        <w:spacing w:line="240" w:lineRule="auto"/>
        <w:rPr>
          <w:rFonts w:eastAsia="Times New Roman"/>
          <w:szCs w:val="24"/>
          <w:lang w:val="hu-HU"/>
        </w:rPr>
      </w:pPr>
    </w:p>
    <w:p w14:paraId="0B20BC88" w14:textId="77777777" w:rsidR="008A332F" w:rsidRPr="004311F9" w:rsidRDefault="008A332F" w:rsidP="008A332F">
      <w:pPr>
        <w:spacing w:line="240" w:lineRule="auto"/>
        <w:rPr>
          <w:rFonts w:eastAsia="Times New Roman"/>
          <w:szCs w:val="24"/>
          <w:lang w:val="hu-HU"/>
        </w:rPr>
      </w:pPr>
    </w:p>
    <w:p w14:paraId="01ED6A1A"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7.</w:t>
      </w:r>
      <w:r w:rsidRPr="004311F9">
        <w:rPr>
          <w:b/>
          <w:szCs w:val="24"/>
          <w:lang w:val="hu-HU"/>
        </w:rPr>
        <w:tab/>
        <w:t>TOVÁBBI FIGYELMEZTETÉS(EK), AMENNYIBEN SZÜKSÉGES</w:t>
      </w:r>
    </w:p>
    <w:p w14:paraId="0C0C1FDF" w14:textId="77777777" w:rsidR="008A332F" w:rsidRPr="004311F9" w:rsidRDefault="008A332F" w:rsidP="008A332F">
      <w:pPr>
        <w:spacing w:line="240" w:lineRule="auto"/>
        <w:rPr>
          <w:rFonts w:eastAsia="Times New Roman"/>
          <w:szCs w:val="24"/>
          <w:lang w:val="hu-HU"/>
        </w:rPr>
      </w:pPr>
    </w:p>
    <w:p w14:paraId="482F58DF" w14:textId="77777777" w:rsidR="008A332F" w:rsidRPr="004311F9" w:rsidRDefault="008A332F" w:rsidP="008A332F">
      <w:pPr>
        <w:spacing w:line="240" w:lineRule="auto"/>
        <w:rPr>
          <w:rFonts w:eastAsia="Times New Roman"/>
          <w:szCs w:val="24"/>
          <w:lang w:val="hu-HU"/>
        </w:rPr>
      </w:pPr>
    </w:p>
    <w:p w14:paraId="5B714FF2"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8.</w:t>
      </w:r>
      <w:r w:rsidRPr="004311F9">
        <w:rPr>
          <w:b/>
          <w:szCs w:val="24"/>
          <w:lang w:val="hu-HU"/>
        </w:rPr>
        <w:tab/>
        <w:t>LEJÁRATI IDŐ</w:t>
      </w:r>
    </w:p>
    <w:p w14:paraId="2514EBE1" w14:textId="77777777" w:rsidR="008A332F" w:rsidRPr="004311F9" w:rsidRDefault="008A332F" w:rsidP="008A332F">
      <w:pPr>
        <w:spacing w:line="240" w:lineRule="auto"/>
        <w:rPr>
          <w:rFonts w:eastAsia="Times New Roman"/>
          <w:szCs w:val="24"/>
          <w:lang w:val="hu-HU"/>
        </w:rPr>
      </w:pPr>
    </w:p>
    <w:p w14:paraId="2EA9DEF8" w14:textId="77777777" w:rsidR="008A332F" w:rsidRPr="004311F9" w:rsidRDefault="008A332F" w:rsidP="008A332F">
      <w:pPr>
        <w:spacing w:line="240" w:lineRule="auto"/>
        <w:rPr>
          <w:szCs w:val="24"/>
          <w:lang w:val="hu-HU"/>
        </w:rPr>
      </w:pPr>
      <w:r w:rsidRPr="004311F9">
        <w:rPr>
          <w:szCs w:val="24"/>
          <w:lang w:val="hu-HU"/>
        </w:rPr>
        <w:t>EXP</w:t>
      </w:r>
    </w:p>
    <w:p w14:paraId="45DBADD4" w14:textId="77777777" w:rsidR="008A332F" w:rsidRPr="004311F9" w:rsidRDefault="008A332F" w:rsidP="008A332F">
      <w:pPr>
        <w:spacing w:line="240" w:lineRule="auto"/>
        <w:rPr>
          <w:rFonts w:eastAsia="Times New Roman"/>
          <w:szCs w:val="24"/>
          <w:lang w:val="hu-HU"/>
        </w:rPr>
      </w:pPr>
    </w:p>
    <w:p w14:paraId="17A880C6" w14:textId="77777777" w:rsidR="008A332F" w:rsidRPr="004311F9" w:rsidRDefault="008A332F" w:rsidP="008A332F">
      <w:pPr>
        <w:spacing w:line="240" w:lineRule="auto"/>
        <w:rPr>
          <w:szCs w:val="24"/>
          <w:lang w:val="hu-HU"/>
        </w:rPr>
      </w:pPr>
      <w:r w:rsidRPr="004311F9">
        <w:rPr>
          <w:szCs w:val="24"/>
          <w:lang w:val="hu-HU"/>
        </w:rPr>
        <w:t>A feloldást követő 6 órán belül fel kell használni.</w:t>
      </w:r>
    </w:p>
    <w:p w14:paraId="3660EED7" w14:textId="77777777" w:rsidR="008A332F" w:rsidRPr="004311F9" w:rsidRDefault="008A332F" w:rsidP="008A332F">
      <w:pPr>
        <w:spacing w:line="240" w:lineRule="auto"/>
        <w:rPr>
          <w:rFonts w:eastAsia="Times New Roman"/>
          <w:szCs w:val="24"/>
          <w:lang w:val="hu-HU"/>
        </w:rPr>
      </w:pPr>
    </w:p>
    <w:p w14:paraId="3FB78FD0" w14:textId="77777777" w:rsidR="008A332F" w:rsidRPr="004311F9" w:rsidRDefault="008A332F" w:rsidP="008A332F">
      <w:pPr>
        <w:spacing w:line="240" w:lineRule="auto"/>
        <w:rPr>
          <w:rFonts w:eastAsia="Times New Roman"/>
          <w:szCs w:val="24"/>
          <w:lang w:val="hu-HU"/>
        </w:rPr>
      </w:pPr>
    </w:p>
    <w:p w14:paraId="0014F303"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9.</w:t>
      </w:r>
      <w:r w:rsidRPr="004311F9">
        <w:rPr>
          <w:b/>
          <w:szCs w:val="24"/>
          <w:lang w:val="hu-HU"/>
        </w:rPr>
        <w:tab/>
        <w:t>KÜLÖNLEGES TÁROLÁSI ELŐÍRÁSOK</w:t>
      </w:r>
    </w:p>
    <w:p w14:paraId="3EBB6267" w14:textId="77777777" w:rsidR="008A332F" w:rsidRPr="004311F9" w:rsidRDefault="008A332F" w:rsidP="008A332F">
      <w:pPr>
        <w:spacing w:line="240" w:lineRule="auto"/>
        <w:rPr>
          <w:rFonts w:eastAsia="Times New Roman"/>
          <w:szCs w:val="24"/>
          <w:lang w:val="hu-HU"/>
        </w:rPr>
      </w:pPr>
    </w:p>
    <w:p w14:paraId="35BAD89F" w14:textId="77777777" w:rsidR="008A332F" w:rsidRPr="004311F9" w:rsidRDefault="008A332F" w:rsidP="008A332F">
      <w:pPr>
        <w:spacing w:line="240" w:lineRule="auto"/>
        <w:rPr>
          <w:szCs w:val="24"/>
          <w:lang w:val="hu-HU"/>
        </w:rPr>
      </w:pPr>
      <w:r w:rsidRPr="004311F9">
        <w:rPr>
          <w:szCs w:val="24"/>
          <w:lang w:val="hu-HU"/>
        </w:rPr>
        <w:t>Az injekciós üveget a fénytől való védelem érdekében tartsa a dobozában.</w:t>
      </w:r>
    </w:p>
    <w:p w14:paraId="5C150CA6" w14:textId="77777777" w:rsidR="008A332F" w:rsidRPr="004311F9" w:rsidRDefault="008A332F" w:rsidP="008A332F">
      <w:pPr>
        <w:spacing w:line="240" w:lineRule="auto"/>
        <w:rPr>
          <w:szCs w:val="24"/>
          <w:lang w:val="hu-HU"/>
        </w:rPr>
      </w:pPr>
      <w:r w:rsidRPr="004311F9">
        <w:rPr>
          <w:szCs w:val="24"/>
          <w:lang w:val="hu-HU"/>
        </w:rPr>
        <w:t>Hűtőszekrényben tárolandó.</w:t>
      </w:r>
    </w:p>
    <w:p w14:paraId="2E9321AF" w14:textId="77777777" w:rsidR="008A332F" w:rsidRPr="004311F9" w:rsidRDefault="008A332F" w:rsidP="008A332F">
      <w:pPr>
        <w:spacing w:line="240" w:lineRule="auto"/>
        <w:rPr>
          <w:szCs w:val="24"/>
          <w:lang w:val="hu-HU"/>
        </w:rPr>
      </w:pPr>
      <w:r w:rsidRPr="004311F9">
        <w:rPr>
          <w:szCs w:val="24"/>
          <w:lang w:val="hu-HU"/>
        </w:rPr>
        <w:t>Nem fagyasztható!</w:t>
      </w:r>
    </w:p>
    <w:p w14:paraId="5D800732" w14:textId="77777777" w:rsidR="008A332F" w:rsidRPr="004311F9" w:rsidRDefault="008A332F" w:rsidP="008A332F">
      <w:pPr>
        <w:spacing w:line="240" w:lineRule="auto"/>
        <w:rPr>
          <w:szCs w:val="24"/>
          <w:lang w:val="hu-HU"/>
        </w:rPr>
      </w:pPr>
      <w:r w:rsidRPr="004311F9">
        <w:rPr>
          <w:szCs w:val="24"/>
          <w:lang w:val="hu-HU"/>
        </w:rPr>
        <w:t>Szobahőmérsékleten (legfeljebb 30 °C</w:t>
      </w:r>
      <w:r w:rsidRPr="004311F9">
        <w:rPr>
          <w:szCs w:val="24"/>
          <w:lang w:val="hu-HU"/>
        </w:rPr>
        <w:noBreakHyphen/>
        <w:t xml:space="preserve">on) tárolható legfeljebb 6 hónapos egyszeri időtartamban. Szobahőmérsékleten történt tárolása után tilos visszatenni a hűtőszekrénybe. </w:t>
      </w:r>
    </w:p>
    <w:p w14:paraId="13A0F417" w14:textId="77777777" w:rsidR="008A332F" w:rsidRPr="004311F9" w:rsidRDefault="008A332F" w:rsidP="008A332F">
      <w:pPr>
        <w:spacing w:line="240" w:lineRule="auto"/>
        <w:rPr>
          <w:szCs w:val="24"/>
          <w:lang w:val="hu-HU"/>
        </w:rPr>
      </w:pPr>
      <w:r w:rsidRPr="004311F9">
        <w:rPr>
          <w:szCs w:val="24"/>
          <w:lang w:val="hu-HU"/>
        </w:rPr>
        <w:t>Hűtőszekrényből való kivétel dátuma:</w:t>
      </w:r>
    </w:p>
    <w:p w14:paraId="20C0D18D" w14:textId="77777777" w:rsidR="008A332F" w:rsidRPr="004311F9" w:rsidRDefault="008A332F" w:rsidP="008A332F">
      <w:pPr>
        <w:spacing w:line="240" w:lineRule="auto"/>
        <w:rPr>
          <w:rFonts w:eastAsia="Times New Roman"/>
          <w:szCs w:val="24"/>
          <w:lang w:val="hu-HU"/>
        </w:rPr>
      </w:pPr>
    </w:p>
    <w:p w14:paraId="2033D4BC" w14:textId="77777777" w:rsidR="008A332F" w:rsidRPr="004311F9" w:rsidRDefault="008A332F" w:rsidP="008A332F">
      <w:pPr>
        <w:spacing w:line="240" w:lineRule="auto"/>
        <w:ind w:left="567" w:hanging="567"/>
        <w:rPr>
          <w:rFonts w:eastAsia="Times New Roman"/>
          <w:szCs w:val="24"/>
          <w:lang w:val="hu-HU"/>
        </w:rPr>
      </w:pPr>
    </w:p>
    <w:p w14:paraId="7F74E0D9"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10.</w:t>
      </w:r>
      <w:r w:rsidRPr="004311F9">
        <w:rPr>
          <w:b/>
          <w:szCs w:val="24"/>
          <w:lang w:val="hu-HU"/>
        </w:rPr>
        <w:tab/>
        <w:t>KÜLÖNLEGES ÓVINTÉZKEDÉSEK A FEL NEM HASZNÁLT GYÓGYSZEREK VAGY AZ ILYEN TERMÉKEKBŐL KELETKEZETT HULLADÉKANYAGOK ÁRTALMATLANNÁ TÉTELÉRE, HA ILYENEKRE SZÜKSÉG VAN</w:t>
      </w:r>
    </w:p>
    <w:p w14:paraId="41E2D9A5" w14:textId="77777777" w:rsidR="008A332F" w:rsidRPr="004311F9" w:rsidRDefault="008A332F" w:rsidP="008A332F">
      <w:pPr>
        <w:spacing w:line="240" w:lineRule="auto"/>
        <w:rPr>
          <w:rFonts w:eastAsia="Times New Roman"/>
          <w:szCs w:val="24"/>
          <w:lang w:val="hu-HU"/>
        </w:rPr>
      </w:pPr>
    </w:p>
    <w:p w14:paraId="36C46FAD" w14:textId="77777777" w:rsidR="008A332F" w:rsidRPr="004311F9" w:rsidRDefault="008A332F" w:rsidP="008A332F">
      <w:pPr>
        <w:spacing w:line="240" w:lineRule="auto"/>
        <w:rPr>
          <w:rFonts w:eastAsia="Times New Roman"/>
          <w:szCs w:val="24"/>
          <w:lang w:val="hu-HU"/>
        </w:rPr>
      </w:pPr>
    </w:p>
    <w:p w14:paraId="28FD066F"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11.</w:t>
      </w:r>
      <w:r w:rsidRPr="004311F9">
        <w:rPr>
          <w:b/>
          <w:szCs w:val="24"/>
          <w:lang w:val="hu-HU"/>
        </w:rPr>
        <w:tab/>
        <w:t>A FORGALOMBA HOZATALI ENGEDÉLY JOGOSULTJÁNAK NEVE ÉS CÍME</w:t>
      </w:r>
    </w:p>
    <w:p w14:paraId="0DEC87D9" w14:textId="77777777" w:rsidR="008A332F" w:rsidRPr="004311F9" w:rsidRDefault="008A332F" w:rsidP="008A332F">
      <w:pPr>
        <w:keepNext/>
        <w:spacing w:line="240" w:lineRule="auto"/>
        <w:rPr>
          <w:rFonts w:eastAsia="Times New Roman"/>
          <w:szCs w:val="24"/>
          <w:lang w:val="hu-HU"/>
        </w:rPr>
      </w:pPr>
    </w:p>
    <w:p w14:paraId="46245A29" w14:textId="77777777" w:rsidR="008A332F" w:rsidRPr="004311F9" w:rsidRDefault="008A332F" w:rsidP="008A332F">
      <w:pPr>
        <w:keepNext/>
        <w:spacing w:line="240" w:lineRule="auto"/>
        <w:rPr>
          <w:szCs w:val="24"/>
          <w:lang w:val="hu-HU"/>
        </w:rPr>
      </w:pPr>
      <w:r w:rsidRPr="004311F9">
        <w:rPr>
          <w:szCs w:val="24"/>
          <w:lang w:val="hu-HU"/>
        </w:rPr>
        <w:t>Swedish Orphan Biovitrum AB (publ)</w:t>
      </w:r>
    </w:p>
    <w:p w14:paraId="7BA3B7EC" w14:textId="77777777" w:rsidR="008A332F" w:rsidRPr="004311F9" w:rsidRDefault="008A332F" w:rsidP="008A332F">
      <w:pPr>
        <w:keepNext/>
        <w:spacing w:line="240" w:lineRule="auto"/>
        <w:rPr>
          <w:szCs w:val="24"/>
          <w:lang w:val="hu-HU"/>
        </w:rPr>
      </w:pPr>
      <w:r w:rsidRPr="004311F9">
        <w:rPr>
          <w:szCs w:val="24"/>
          <w:lang w:val="hu-HU"/>
        </w:rPr>
        <w:t>SE</w:t>
      </w:r>
      <w:r w:rsidRPr="004311F9">
        <w:rPr>
          <w:szCs w:val="24"/>
          <w:lang w:val="hu-HU"/>
        </w:rPr>
        <w:noBreakHyphen/>
        <w:t>112 76 Stockholm</w:t>
      </w:r>
    </w:p>
    <w:p w14:paraId="52D3E18D" w14:textId="77777777" w:rsidR="008A332F" w:rsidRPr="004311F9" w:rsidRDefault="008A332F" w:rsidP="008A332F">
      <w:pPr>
        <w:spacing w:line="240" w:lineRule="auto"/>
        <w:rPr>
          <w:szCs w:val="24"/>
          <w:lang w:val="hu-HU"/>
        </w:rPr>
      </w:pPr>
      <w:r w:rsidRPr="004311F9">
        <w:rPr>
          <w:szCs w:val="24"/>
          <w:lang w:val="hu-HU"/>
        </w:rPr>
        <w:t>Svédország</w:t>
      </w:r>
    </w:p>
    <w:p w14:paraId="2580D223" w14:textId="77777777" w:rsidR="008A332F" w:rsidRPr="004311F9" w:rsidRDefault="008A332F" w:rsidP="008A332F">
      <w:pPr>
        <w:spacing w:line="240" w:lineRule="auto"/>
        <w:rPr>
          <w:rFonts w:eastAsia="Times New Roman"/>
          <w:szCs w:val="24"/>
          <w:lang w:val="hu-HU"/>
        </w:rPr>
      </w:pPr>
    </w:p>
    <w:p w14:paraId="5A0A627A" w14:textId="77777777" w:rsidR="008A332F" w:rsidRPr="004311F9" w:rsidRDefault="008A332F" w:rsidP="008A332F">
      <w:pPr>
        <w:spacing w:line="240" w:lineRule="auto"/>
        <w:rPr>
          <w:rFonts w:eastAsia="Times New Roman"/>
          <w:szCs w:val="24"/>
          <w:lang w:val="hu-HU"/>
        </w:rPr>
      </w:pPr>
    </w:p>
    <w:p w14:paraId="5B70D363"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12.</w:t>
      </w:r>
      <w:r w:rsidRPr="004311F9">
        <w:rPr>
          <w:b/>
          <w:szCs w:val="24"/>
          <w:lang w:val="hu-HU"/>
        </w:rPr>
        <w:tab/>
        <w:t>A FORGALOMBA HOZATALI ENGEDÉLY SZÁMA(I)</w:t>
      </w:r>
    </w:p>
    <w:p w14:paraId="126A5A7A" w14:textId="77777777" w:rsidR="008A332F" w:rsidRPr="004311F9" w:rsidRDefault="008A332F" w:rsidP="008A332F">
      <w:pPr>
        <w:spacing w:line="240" w:lineRule="auto"/>
        <w:rPr>
          <w:rFonts w:eastAsia="Times New Roman"/>
          <w:szCs w:val="24"/>
          <w:lang w:val="hu-HU"/>
        </w:rPr>
      </w:pPr>
    </w:p>
    <w:p w14:paraId="32950F42" w14:textId="77777777" w:rsidR="008A332F" w:rsidRPr="004311F9" w:rsidRDefault="008A332F" w:rsidP="008A332F">
      <w:pPr>
        <w:spacing w:line="240" w:lineRule="auto"/>
        <w:rPr>
          <w:lang w:val="hu-HU"/>
        </w:rPr>
      </w:pPr>
      <w:r w:rsidRPr="004311F9">
        <w:rPr>
          <w:lang w:val="hu-HU"/>
        </w:rPr>
        <w:t>EU/1/16/1098/002</w:t>
      </w:r>
    </w:p>
    <w:p w14:paraId="2EBBA9EF" w14:textId="77777777" w:rsidR="008A332F" w:rsidRPr="004311F9" w:rsidRDefault="008A332F" w:rsidP="008A332F">
      <w:pPr>
        <w:spacing w:line="240" w:lineRule="auto"/>
        <w:rPr>
          <w:rFonts w:eastAsia="Times New Roman"/>
          <w:szCs w:val="24"/>
          <w:lang w:val="hu-HU"/>
        </w:rPr>
      </w:pPr>
    </w:p>
    <w:p w14:paraId="7072F789" w14:textId="77777777" w:rsidR="008A332F" w:rsidRPr="004311F9" w:rsidRDefault="008A332F" w:rsidP="008A332F">
      <w:pPr>
        <w:spacing w:line="240" w:lineRule="auto"/>
        <w:rPr>
          <w:rFonts w:eastAsia="Times New Roman"/>
          <w:szCs w:val="24"/>
          <w:lang w:val="hu-HU"/>
        </w:rPr>
      </w:pPr>
    </w:p>
    <w:p w14:paraId="058F2814"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13.</w:t>
      </w:r>
      <w:r w:rsidRPr="004311F9">
        <w:rPr>
          <w:b/>
          <w:szCs w:val="24"/>
          <w:lang w:val="hu-HU"/>
        </w:rPr>
        <w:tab/>
        <w:t>A GYÁRTÁSI TÉTEL SZÁMA</w:t>
      </w:r>
    </w:p>
    <w:p w14:paraId="60012A8E" w14:textId="77777777" w:rsidR="008A332F" w:rsidRPr="004311F9" w:rsidRDefault="008A332F" w:rsidP="008A332F">
      <w:pPr>
        <w:spacing w:line="240" w:lineRule="auto"/>
        <w:rPr>
          <w:rFonts w:eastAsia="Times New Roman"/>
          <w:i/>
          <w:szCs w:val="24"/>
          <w:lang w:val="hu-HU"/>
        </w:rPr>
      </w:pPr>
    </w:p>
    <w:p w14:paraId="27CA78A2" w14:textId="77777777" w:rsidR="008A332F" w:rsidRPr="004311F9" w:rsidRDefault="008A332F" w:rsidP="008A332F">
      <w:pPr>
        <w:spacing w:line="240" w:lineRule="auto"/>
        <w:rPr>
          <w:szCs w:val="24"/>
          <w:lang w:val="hu-HU"/>
        </w:rPr>
      </w:pPr>
      <w:r w:rsidRPr="004311F9">
        <w:rPr>
          <w:szCs w:val="24"/>
          <w:lang w:val="hu-HU"/>
        </w:rPr>
        <w:t>Lot</w:t>
      </w:r>
    </w:p>
    <w:p w14:paraId="1D8299AC" w14:textId="77777777" w:rsidR="008A332F" w:rsidRPr="004311F9" w:rsidRDefault="008A332F" w:rsidP="008A332F">
      <w:pPr>
        <w:spacing w:line="240" w:lineRule="auto"/>
        <w:rPr>
          <w:rFonts w:eastAsia="Times New Roman"/>
          <w:szCs w:val="24"/>
          <w:lang w:val="hu-HU"/>
        </w:rPr>
      </w:pPr>
    </w:p>
    <w:p w14:paraId="364E2584" w14:textId="77777777" w:rsidR="008A332F" w:rsidRPr="004311F9" w:rsidRDefault="008A332F" w:rsidP="008A332F">
      <w:pPr>
        <w:spacing w:line="240" w:lineRule="auto"/>
        <w:rPr>
          <w:rFonts w:eastAsia="Times New Roman"/>
          <w:szCs w:val="24"/>
          <w:lang w:val="hu-HU"/>
        </w:rPr>
      </w:pPr>
    </w:p>
    <w:p w14:paraId="6F01FE1C"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14.</w:t>
      </w:r>
      <w:r w:rsidRPr="004311F9">
        <w:rPr>
          <w:b/>
          <w:szCs w:val="24"/>
          <w:lang w:val="hu-HU"/>
        </w:rPr>
        <w:tab/>
        <w:t>A GYÓGYSZER RENDELHETŐSÉGE</w:t>
      </w:r>
    </w:p>
    <w:p w14:paraId="3A7E6B1D" w14:textId="77777777" w:rsidR="008A332F" w:rsidRPr="004311F9" w:rsidRDefault="008A332F" w:rsidP="008A332F">
      <w:pPr>
        <w:spacing w:line="240" w:lineRule="auto"/>
        <w:rPr>
          <w:rFonts w:eastAsia="Times New Roman"/>
          <w:i/>
          <w:szCs w:val="24"/>
          <w:lang w:val="hu-HU"/>
        </w:rPr>
      </w:pPr>
    </w:p>
    <w:p w14:paraId="1EE00397" w14:textId="77777777" w:rsidR="008A332F" w:rsidRPr="004311F9" w:rsidRDefault="008A332F" w:rsidP="008A332F">
      <w:pPr>
        <w:spacing w:line="240" w:lineRule="auto"/>
        <w:rPr>
          <w:rFonts w:eastAsia="Times New Roman"/>
          <w:szCs w:val="24"/>
          <w:lang w:val="hu-HU"/>
        </w:rPr>
      </w:pPr>
    </w:p>
    <w:p w14:paraId="12F67959"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lastRenderedPageBreak/>
        <w:t>15.</w:t>
      </w:r>
      <w:r w:rsidRPr="004311F9">
        <w:rPr>
          <w:b/>
          <w:szCs w:val="24"/>
          <w:lang w:val="hu-HU"/>
        </w:rPr>
        <w:tab/>
        <w:t>AZ ALKALMAZÁSRA VONATKOZÓ UTASÍTÁSOK</w:t>
      </w:r>
    </w:p>
    <w:p w14:paraId="1499F55F" w14:textId="77777777" w:rsidR="008A332F" w:rsidRPr="004311F9" w:rsidRDefault="008A332F" w:rsidP="008A332F">
      <w:pPr>
        <w:spacing w:line="240" w:lineRule="auto"/>
        <w:rPr>
          <w:rFonts w:eastAsia="Times New Roman"/>
          <w:szCs w:val="24"/>
          <w:lang w:val="hu-HU"/>
        </w:rPr>
      </w:pPr>
    </w:p>
    <w:p w14:paraId="7166ED2A" w14:textId="77777777" w:rsidR="008A332F" w:rsidRPr="004311F9" w:rsidRDefault="008A332F" w:rsidP="008A332F">
      <w:pPr>
        <w:spacing w:line="240" w:lineRule="auto"/>
        <w:rPr>
          <w:rFonts w:eastAsia="Times New Roman"/>
          <w:szCs w:val="24"/>
          <w:lang w:val="hu-HU"/>
        </w:rPr>
      </w:pPr>
    </w:p>
    <w:p w14:paraId="14A5522E"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16.</w:t>
      </w:r>
      <w:r w:rsidRPr="004311F9">
        <w:rPr>
          <w:b/>
          <w:szCs w:val="24"/>
          <w:lang w:val="hu-HU"/>
        </w:rPr>
        <w:tab/>
        <w:t>BRAILLE ÍRÁSSAL FELTÜNTETETT INFORMÁCIÓK</w:t>
      </w:r>
    </w:p>
    <w:p w14:paraId="254E742C" w14:textId="77777777" w:rsidR="008A332F" w:rsidRPr="004311F9" w:rsidRDefault="008A332F" w:rsidP="008A332F">
      <w:pPr>
        <w:spacing w:line="240" w:lineRule="auto"/>
        <w:rPr>
          <w:rFonts w:eastAsia="Times New Roman"/>
          <w:szCs w:val="24"/>
          <w:lang w:val="hu-HU"/>
        </w:rPr>
      </w:pPr>
    </w:p>
    <w:p w14:paraId="1285D734" w14:textId="77777777" w:rsidR="008A332F" w:rsidRPr="004311F9" w:rsidRDefault="008A332F" w:rsidP="008A332F">
      <w:pPr>
        <w:spacing w:line="240" w:lineRule="auto"/>
        <w:rPr>
          <w:rFonts w:eastAsia="Times New Roman"/>
          <w:lang w:val="hu-HU" w:eastAsia="en-US"/>
        </w:rPr>
      </w:pPr>
      <w:r w:rsidRPr="004311F9">
        <w:rPr>
          <w:rFonts w:eastAsia="Times New Roman"/>
          <w:lang w:val="hu-HU" w:eastAsia="en-US"/>
        </w:rPr>
        <w:t>ALPROLIX 500</w:t>
      </w:r>
    </w:p>
    <w:p w14:paraId="6DA091FF" w14:textId="77777777" w:rsidR="008A332F" w:rsidRPr="004311F9" w:rsidRDefault="008A332F" w:rsidP="008A332F">
      <w:pPr>
        <w:spacing w:line="240" w:lineRule="auto"/>
        <w:rPr>
          <w:rFonts w:eastAsia="Times New Roman"/>
          <w:szCs w:val="24"/>
          <w:shd w:val="clear" w:color="auto" w:fill="CCCCCC"/>
          <w:lang w:val="hu-HU"/>
        </w:rPr>
      </w:pPr>
    </w:p>
    <w:p w14:paraId="440DD06F" w14:textId="77777777" w:rsidR="008A332F" w:rsidRPr="004311F9" w:rsidRDefault="008A332F" w:rsidP="008A332F">
      <w:pPr>
        <w:spacing w:line="240" w:lineRule="auto"/>
        <w:rPr>
          <w:rFonts w:eastAsia="Times New Roman"/>
          <w:noProof/>
          <w:szCs w:val="22"/>
          <w:shd w:val="clear" w:color="auto" w:fill="CCCCCC"/>
          <w:lang w:val="hu-HU" w:eastAsia="en-US"/>
        </w:rPr>
      </w:pPr>
    </w:p>
    <w:p w14:paraId="61020245"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17.</w:t>
      </w:r>
      <w:r w:rsidRPr="004311F9">
        <w:rPr>
          <w:b/>
          <w:szCs w:val="24"/>
          <w:lang w:val="hu-HU"/>
        </w:rPr>
        <w:tab/>
        <w:t>EGYEDI AZONOSÍTÓ – 2D VONALKÓD</w:t>
      </w:r>
    </w:p>
    <w:p w14:paraId="251E0A01" w14:textId="77777777" w:rsidR="008A332F" w:rsidRPr="004311F9" w:rsidRDefault="008A332F" w:rsidP="008A332F">
      <w:pPr>
        <w:keepNext/>
        <w:tabs>
          <w:tab w:val="clear" w:pos="567"/>
        </w:tabs>
        <w:spacing w:line="240" w:lineRule="auto"/>
        <w:rPr>
          <w:rFonts w:eastAsia="Times New Roman"/>
          <w:noProof/>
          <w:szCs w:val="22"/>
          <w:lang w:val="hu-HU" w:eastAsia="en-US"/>
        </w:rPr>
      </w:pPr>
    </w:p>
    <w:p w14:paraId="0C728249" w14:textId="77777777" w:rsidR="008A332F" w:rsidRPr="004311F9" w:rsidRDefault="008A332F" w:rsidP="008A332F">
      <w:pPr>
        <w:spacing w:line="240" w:lineRule="auto"/>
        <w:rPr>
          <w:rFonts w:eastAsia="Times New Roman"/>
          <w:noProof/>
          <w:szCs w:val="22"/>
          <w:shd w:val="clear" w:color="auto" w:fill="CCCCCC"/>
          <w:lang w:val="hu-HU" w:eastAsia="en-US"/>
        </w:rPr>
      </w:pPr>
      <w:r w:rsidRPr="004311F9">
        <w:rPr>
          <w:rFonts w:eastAsia="Times New Roman"/>
          <w:noProof/>
          <w:szCs w:val="22"/>
          <w:shd w:val="clear" w:color="auto" w:fill="BFBFBF"/>
          <w:lang w:val="hu-HU" w:eastAsia="en-US"/>
        </w:rPr>
        <w:t>Egyedi azonosítójú 2D vonalkóddal ellátva.</w:t>
      </w:r>
    </w:p>
    <w:p w14:paraId="1FFCEDA8" w14:textId="77777777" w:rsidR="008A332F" w:rsidRPr="004311F9" w:rsidRDefault="008A332F" w:rsidP="008A332F">
      <w:pPr>
        <w:spacing w:line="240" w:lineRule="auto"/>
        <w:rPr>
          <w:rFonts w:eastAsia="Times New Roman"/>
          <w:noProof/>
          <w:szCs w:val="22"/>
          <w:shd w:val="clear" w:color="auto" w:fill="CCCCCC"/>
          <w:lang w:val="hu-HU" w:eastAsia="en-US"/>
        </w:rPr>
      </w:pPr>
    </w:p>
    <w:p w14:paraId="45361648" w14:textId="77777777" w:rsidR="008A332F" w:rsidRPr="004311F9" w:rsidRDefault="008A332F" w:rsidP="008A332F">
      <w:pPr>
        <w:tabs>
          <w:tab w:val="clear" w:pos="567"/>
        </w:tabs>
        <w:spacing w:line="240" w:lineRule="auto"/>
        <w:rPr>
          <w:rFonts w:eastAsia="Times New Roman"/>
          <w:noProof/>
          <w:szCs w:val="22"/>
          <w:lang w:val="hu-HU" w:eastAsia="en-US"/>
        </w:rPr>
      </w:pPr>
    </w:p>
    <w:p w14:paraId="4701903D"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18.</w:t>
      </w:r>
      <w:r w:rsidRPr="004311F9">
        <w:rPr>
          <w:b/>
          <w:szCs w:val="24"/>
          <w:lang w:val="hu-HU"/>
        </w:rPr>
        <w:tab/>
        <w:t>EGYEDI AZONOSÍTÓ OLVASHATÓ FORMÁTUMA</w:t>
      </w:r>
    </w:p>
    <w:p w14:paraId="220743F6" w14:textId="77777777" w:rsidR="008A332F" w:rsidRPr="004311F9" w:rsidRDefault="008A332F" w:rsidP="008A332F">
      <w:pPr>
        <w:keepNext/>
        <w:tabs>
          <w:tab w:val="clear" w:pos="567"/>
        </w:tabs>
        <w:spacing w:line="240" w:lineRule="auto"/>
        <w:rPr>
          <w:rFonts w:eastAsia="Times New Roman"/>
          <w:noProof/>
          <w:szCs w:val="22"/>
          <w:lang w:val="hu-HU" w:eastAsia="en-US"/>
        </w:rPr>
      </w:pPr>
    </w:p>
    <w:p w14:paraId="0AEAF59D" w14:textId="349DBA85" w:rsidR="00FD6B4E" w:rsidRPr="004311F9" w:rsidRDefault="00FD6B4E" w:rsidP="00FD6B4E">
      <w:pPr>
        <w:keepNext/>
        <w:rPr>
          <w:rFonts w:eastAsia="Times New Roman"/>
          <w:szCs w:val="22"/>
          <w:lang w:val="hu-HU" w:eastAsia="en-US"/>
        </w:rPr>
      </w:pPr>
      <w:r w:rsidRPr="004311F9">
        <w:rPr>
          <w:rFonts w:eastAsia="Times New Roman"/>
          <w:szCs w:val="22"/>
          <w:lang w:val="hu-HU" w:eastAsia="en-US"/>
        </w:rPr>
        <w:t>PC</w:t>
      </w:r>
    </w:p>
    <w:p w14:paraId="72DD47DF" w14:textId="2209446E" w:rsidR="00FD6B4E" w:rsidRPr="004311F9" w:rsidRDefault="00FD6B4E" w:rsidP="00FD6B4E">
      <w:pPr>
        <w:keepNext/>
        <w:rPr>
          <w:rFonts w:eastAsia="Times New Roman"/>
          <w:szCs w:val="22"/>
          <w:lang w:val="hu-HU" w:eastAsia="en-US"/>
        </w:rPr>
      </w:pPr>
      <w:r w:rsidRPr="004311F9">
        <w:rPr>
          <w:rFonts w:eastAsia="Times New Roman"/>
          <w:szCs w:val="22"/>
          <w:lang w:val="hu-HU" w:eastAsia="en-US"/>
        </w:rPr>
        <w:t>SN</w:t>
      </w:r>
    </w:p>
    <w:p w14:paraId="2E1B2CED" w14:textId="5892E7B5" w:rsidR="00FD6B4E" w:rsidRPr="004311F9" w:rsidRDefault="00FD6B4E" w:rsidP="00FD6B4E">
      <w:pPr>
        <w:rPr>
          <w:rFonts w:eastAsia="Times New Roman"/>
          <w:szCs w:val="22"/>
          <w:lang w:val="hu-HU" w:eastAsia="en-US"/>
        </w:rPr>
      </w:pPr>
      <w:r w:rsidRPr="004311F9">
        <w:rPr>
          <w:rFonts w:eastAsia="Times New Roman"/>
          <w:szCs w:val="22"/>
          <w:lang w:val="hu-HU" w:eastAsia="en-US"/>
        </w:rPr>
        <w:t>NN</w:t>
      </w:r>
    </w:p>
    <w:p w14:paraId="207C4168" w14:textId="77777777" w:rsidR="008A332F" w:rsidRPr="004311F9" w:rsidRDefault="008A332F" w:rsidP="008A332F">
      <w:pPr>
        <w:spacing w:line="240" w:lineRule="auto"/>
        <w:rPr>
          <w:rFonts w:eastAsia="Times New Roman"/>
          <w:noProof/>
          <w:vanish/>
          <w:szCs w:val="22"/>
          <w:lang w:val="hu-HU" w:eastAsia="en-US"/>
        </w:rPr>
      </w:pPr>
    </w:p>
    <w:p w14:paraId="59E5E548" w14:textId="77777777" w:rsidR="008A332F" w:rsidRPr="004311F9" w:rsidRDefault="008A332F" w:rsidP="008A332F">
      <w:pPr>
        <w:tabs>
          <w:tab w:val="clear" w:pos="567"/>
        </w:tabs>
        <w:spacing w:line="240" w:lineRule="auto"/>
        <w:rPr>
          <w:rFonts w:eastAsia="Times New Roman"/>
          <w:noProof/>
          <w:vanish/>
          <w:szCs w:val="22"/>
          <w:lang w:val="hu-HU" w:eastAsia="en-US"/>
        </w:rPr>
      </w:pPr>
    </w:p>
    <w:p w14:paraId="6399E554" w14:textId="77777777" w:rsidR="008A332F" w:rsidRPr="004311F9" w:rsidRDefault="008A332F" w:rsidP="008A332F">
      <w:pPr>
        <w:spacing w:line="240" w:lineRule="auto"/>
        <w:rPr>
          <w:rFonts w:eastAsia="Times New Roman"/>
          <w:szCs w:val="24"/>
          <w:lang w:val="hu-HU"/>
        </w:rPr>
      </w:pPr>
      <w:r w:rsidRPr="004311F9">
        <w:rPr>
          <w:rFonts w:eastAsia="Times New Roman"/>
          <w:szCs w:val="24"/>
          <w:shd w:val="clear" w:color="auto" w:fill="CCCCCC"/>
          <w:lang w:val="hu-HU"/>
        </w:rPr>
        <w:br w:type="page"/>
      </w:r>
    </w:p>
    <w:p w14:paraId="21FFB01E" w14:textId="77777777" w:rsidR="008A332F" w:rsidRPr="004311F9" w:rsidRDefault="008A332F" w:rsidP="008A332F">
      <w:pPr>
        <w:pBdr>
          <w:top w:val="single" w:sz="4" w:space="1" w:color="auto"/>
          <w:left w:val="single" w:sz="4" w:space="4" w:color="auto"/>
          <w:bottom w:val="single" w:sz="4" w:space="1" w:color="auto"/>
          <w:right w:val="single" w:sz="4" w:space="4" w:color="auto"/>
        </w:pBdr>
        <w:spacing w:line="240" w:lineRule="auto"/>
        <w:rPr>
          <w:b/>
          <w:szCs w:val="24"/>
          <w:lang w:val="hu-HU"/>
        </w:rPr>
      </w:pPr>
      <w:r w:rsidRPr="004311F9">
        <w:rPr>
          <w:b/>
          <w:szCs w:val="24"/>
          <w:lang w:val="hu-HU"/>
        </w:rPr>
        <w:lastRenderedPageBreak/>
        <w:t>A KIS KÖZVETLEN CSOMAGOLÁSI EGYSÉGEKEN MINIMÁLISAN FELTÜNTETENDŐ ADATOK</w:t>
      </w:r>
    </w:p>
    <w:p w14:paraId="69143840" w14:textId="77777777" w:rsidR="008A332F" w:rsidRPr="004311F9" w:rsidRDefault="008A332F" w:rsidP="008A332F">
      <w:pPr>
        <w:pBdr>
          <w:top w:val="single" w:sz="4" w:space="1" w:color="auto"/>
          <w:left w:val="single" w:sz="4" w:space="4" w:color="auto"/>
          <w:bottom w:val="single" w:sz="4" w:space="1" w:color="auto"/>
          <w:right w:val="single" w:sz="4" w:space="4" w:color="auto"/>
        </w:pBdr>
        <w:spacing w:line="240" w:lineRule="auto"/>
        <w:rPr>
          <w:rFonts w:eastAsia="Times New Roman"/>
          <w:b/>
          <w:szCs w:val="24"/>
          <w:lang w:val="hu-HU"/>
        </w:rPr>
      </w:pPr>
    </w:p>
    <w:p w14:paraId="47BEE8C9" w14:textId="77777777" w:rsidR="008A332F" w:rsidRPr="004311F9" w:rsidRDefault="008A332F" w:rsidP="008A332F">
      <w:pPr>
        <w:pBdr>
          <w:top w:val="single" w:sz="4" w:space="1" w:color="auto"/>
          <w:left w:val="single" w:sz="4" w:space="4" w:color="auto"/>
          <w:bottom w:val="single" w:sz="4" w:space="1" w:color="auto"/>
          <w:right w:val="single" w:sz="4" w:space="4" w:color="auto"/>
        </w:pBdr>
        <w:spacing w:line="240" w:lineRule="auto"/>
        <w:rPr>
          <w:b/>
          <w:szCs w:val="24"/>
          <w:lang w:val="hu-HU"/>
        </w:rPr>
      </w:pPr>
      <w:r w:rsidRPr="004311F9">
        <w:rPr>
          <w:b/>
          <w:szCs w:val="24"/>
          <w:lang w:val="hu-HU"/>
        </w:rPr>
        <w:t>AZ INJEKCIÓS ÜVEG CÍMKÉJE</w:t>
      </w:r>
    </w:p>
    <w:p w14:paraId="01F53254" w14:textId="77777777" w:rsidR="008A332F" w:rsidRPr="004311F9" w:rsidRDefault="008A332F" w:rsidP="008A332F">
      <w:pPr>
        <w:spacing w:line="240" w:lineRule="auto"/>
        <w:rPr>
          <w:rFonts w:eastAsia="Times New Roman"/>
          <w:szCs w:val="24"/>
          <w:lang w:val="hu-HU"/>
        </w:rPr>
      </w:pPr>
    </w:p>
    <w:p w14:paraId="369862AF" w14:textId="77777777" w:rsidR="008A332F" w:rsidRPr="004311F9" w:rsidRDefault="008A332F" w:rsidP="008A332F">
      <w:pPr>
        <w:spacing w:line="240" w:lineRule="auto"/>
        <w:rPr>
          <w:rFonts w:eastAsia="Times New Roman"/>
          <w:szCs w:val="24"/>
          <w:lang w:val="hu-HU"/>
        </w:rPr>
      </w:pPr>
    </w:p>
    <w:p w14:paraId="0F0EA6D3"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1.</w:t>
      </w:r>
      <w:r w:rsidRPr="004311F9">
        <w:rPr>
          <w:b/>
          <w:szCs w:val="24"/>
          <w:lang w:val="hu-HU"/>
        </w:rPr>
        <w:tab/>
        <w:t>A GYÓGYSZER NEVE ÉS AZ ALKALMAZÁS MÓDJA(I)</w:t>
      </w:r>
    </w:p>
    <w:p w14:paraId="4022AF90" w14:textId="77777777" w:rsidR="008A332F" w:rsidRPr="004311F9" w:rsidRDefault="008A332F" w:rsidP="008A332F">
      <w:pPr>
        <w:spacing w:line="240" w:lineRule="auto"/>
        <w:ind w:left="567" w:hanging="567"/>
        <w:rPr>
          <w:rFonts w:eastAsia="Times New Roman"/>
          <w:szCs w:val="24"/>
          <w:lang w:val="hu-HU"/>
        </w:rPr>
      </w:pPr>
    </w:p>
    <w:p w14:paraId="528FAE04" w14:textId="77777777" w:rsidR="008A332F" w:rsidRPr="004311F9" w:rsidRDefault="008A332F" w:rsidP="008A332F">
      <w:pPr>
        <w:spacing w:line="240" w:lineRule="auto"/>
        <w:rPr>
          <w:rFonts w:eastAsia="Times New Roman"/>
          <w:shd w:val="clear" w:color="auto" w:fill="D9D9D9"/>
          <w:lang w:val="hu-HU" w:eastAsia="en-US"/>
        </w:rPr>
      </w:pPr>
      <w:r w:rsidRPr="004311F9">
        <w:rPr>
          <w:rFonts w:eastAsia="Times New Roman"/>
          <w:lang w:val="hu-HU" w:eastAsia="en-US"/>
        </w:rPr>
        <w:t>ALPROLIX 500 NE por injekcióhoz</w:t>
      </w:r>
    </w:p>
    <w:p w14:paraId="3EBFEAA3" w14:textId="77777777" w:rsidR="008A332F" w:rsidRPr="004311F9" w:rsidRDefault="008A332F" w:rsidP="008A332F">
      <w:pPr>
        <w:spacing w:line="240" w:lineRule="auto"/>
        <w:rPr>
          <w:rFonts w:eastAsia="Times New Roman"/>
          <w:szCs w:val="24"/>
          <w:lang w:val="hu-HU"/>
        </w:rPr>
      </w:pPr>
    </w:p>
    <w:p w14:paraId="63994A7A" w14:textId="77777777" w:rsidR="008A332F" w:rsidRPr="004311F9" w:rsidRDefault="008A332F" w:rsidP="008A332F">
      <w:pPr>
        <w:spacing w:line="240" w:lineRule="auto"/>
        <w:rPr>
          <w:szCs w:val="24"/>
          <w:lang w:val="hu-HU"/>
        </w:rPr>
      </w:pPr>
      <w:r w:rsidRPr="004311F9">
        <w:rPr>
          <w:szCs w:val="22"/>
          <w:lang w:val="hu-HU"/>
        </w:rPr>
        <w:t xml:space="preserve">eftrenonacogum </w:t>
      </w:r>
      <w:r w:rsidRPr="004311F9">
        <w:rPr>
          <w:szCs w:val="24"/>
          <w:lang w:val="hu-HU"/>
        </w:rPr>
        <w:t>alfa</w:t>
      </w:r>
    </w:p>
    <w:p w14:paraId="0ACB0D4E" w14:textId="77777777" w:rsidR="008A332F" w:rsidRPr="004311F9" w:rsidRDefault="008A332F" w:rsidP="008A332F">
      <w:pPr>
        <w:spacing w:line="240" w:lineRule="auto"/>
        <w:rPr>
          <w:szCs w:val="24"/>
          <w:lang w:val="hu-HU"/>
        </w:rPr>
      </w:pPr>
      <w:r w:rsidRPr="004311F9">
        <w:rPr>
          <w:szCs w:val="24"/>
          <w:lang w:val="hu-HU"/>
        </w:rPr>
        <w:t>rekombináns IX</w:t>
      </w:r>
      <w:r w:rsidRPr="004311F9">
        <w:rPr>
          <w:szCs w:val="24"/>
          <w:lang w:val="hu-HU"/>
        </w:rPr>
        <w:noBreakHyphen/>
        <w:t>es alvadási faktor</w:t>
      </w:r>
    </w:p>
    <w:p w14:paraId="2ACA1ACA" w14:textId="77777777" w:rsidR="008A332F" w:rsidRPr="004311F9" w:rsidRDefault="008A332F" w:rsidP="008A332F">
      <w:pPr>
        <w:spacing w:line="240" w:lineRule="auto"/>
        <w:rPr>
          <w:szCs w:val="24"/>
          <w:lang w:val="hu-HU"/>
        </w:rPr>
      </w:pPr>
      <w:r w:rsidRPr="004311F9">
        <w:rPr>
          <w:szCs w:val="24"/>
          <w:lang w:val="hu-HU"/>
        </w:rPr>
        <w:t>iv.</w:t>
      </w:r>
    </w:p>
    <w:p w14:paraId="26728CBA" w14:textId="77777777" w:rsidR="008A332F" w:rsidRPr="004311F9" w:rsidRDefault="008A332F" w:rsidP="008A332F">
      <w:pPr>
        <w:spacing w:line="240" w:lineRule="auto"/>
        <w:rPr>
          <w:rFonts w:eastAsia="Times New Roman"/>
          <w:szCs w:val="24"/>
          <w:lang w:val="hu-HU"/>
        </w:rPr>
      </w:pPr>
    </w:p>
    <w:p w14:paraId="138D9124" w14:textId="77777777" w:rsidR="008A332F" w:rsidRPr="004311F9" w:rsidRDefault="008A332F" w:rsidP="008A332F">
      <w:pPr>
        <w:spacing w:line="240" w:lineRule="auto"/>
        <w:rPr>
          <w:rFonts w:eastAsia="Times New Roman"/>
          <w:szCs w:val="24"/>
          <w:lang w:val="hu-HU"/>
        </w:rPr>
      </w:pPr>
    </w:p>
    <w:p w14:paraId="3905D630"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2.</w:t>
      </w:r>
      <w:r w:rsidRPr="004311F9">
        <w:rPr>
          <w:b/>
          <w:szCs w:val="24"/>
          <w:lang w:val="hu-HU"/>
        </w:rPr>
        <w:tab/>
        <w:t>AZ ALKALMAZÁSSAL KAPCSOLATOS TUDNIVALÓK</w:t>
      </w:r>
    </w:p>
    <w:p w14:paraId="2FF6CD8C" w14:textId="77777777" w:rsidR="008A332F" w:rsidRPr="004311F9" w:rsidRDefault="008A332F" w:rsidP="008A332F">
      <w:pPr>
        <w:spacing w:line="240" w:lineRule="auto"/>
        <w:rPr>
          <w:rFonts w:eastAsia="Times New Roman"/>
          <w:szCs w:val="24"/>
          <w:lang w:val="hu-HU"/>
        </w:rPr>
      </w:pPr>
    </w:p>
    <w:p w14:paraId="2A385318" w14:textId="77777777" w:rsidR="008A332F" w:rsidRPr="004311F9" w:rsidRDefault="008A332F" w:rsidP="008A332F">
      <w:pPr>
        <w:spacing w:line="240" w:lineRule="auto"/>
        <w:rPr>
          <w:rFonts w:eastAsia="Times New Roman"/>
          <w:szCs w:val="24"/>
          <w:lang w:val="hu-HU"/>
        </w:rPr>
      </w:pPr>
    </w:p>
    <w:p w14:paraId="4DD89463"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3.</w:t>
      </w:r>
      <w:r w:rsidRPr="004311F9">
        <w:rPr>
          <w:b/>
          <w:szCs w:val="24"/>
          <w:lang w:val="hu-HU"/>
        </w:rPr>
        <w:tab/>
        <w:t>LEJÁRATI IDŐ</w:t>
      </w:r>
    </w:p>
    <w:p w14:paraId="08C17D8C" w14:textId="77777777" w:rsidR="008A332F" w:rsidRPr="004311F9" w:rsidRDefault="008A332F" w:rsidP="008A332F">
      <w:pPr>
        <w:spacing w:line="240" w:lineRule="auto"/>
        <w:rPr>
          <w:rFonts w:eastAsia="Times New Roman"/>
          <w:szCs w:val="24"/>
          <w:lang w:val="hu-HU"/>
        </w:rPr>
      </w:pPr>
    </w:p>
    <w:p w14:paraId="01FA26B3" w14:textId="77777777" w:rsidR="008A332F" w:rsidRPr="004311F9" w:rsidRDefault="008A332F" w:rsidP="008A332F">
      <w:pPr>
        <w:spacing w:line="240" w:lineRule="auto"/>
        <w:rPr>
          <w:szCs w:val="24"/>
          <w:lang w:val="hu-HU"/>
        </w:rPr>
      </w:pPr>
      <w:r w:rsidRPr="004311F9">
        <w:rPr>
          <w:szCs w:val="24"/>
          <w:lang w:val="hu-HU"/>
        </w:rPr>
        <w:t>EXP</w:t>
      </w:r>
    </w:p>
    <w:p w14:paraId="74AB5566" w14:textId="77777777" w:rsidR="008A332F" w:rsidRPr="004311F9" w:rsidRDefault="008A332F" w:rsidP="008A332F">
      <w:pPr>
        <w:spacing w:line="240" w:lineRule="auto"/>
        <w:rPr>
          <w:rFonts w:eastAsia="Times New Roman"/>
          <w:szCs w:val="24"/>
          <w:lang w:val="hu-HU"/>
        </w:rPr>
      </w:pPr>
    </w:p>
    <w:p w14:paraId="6BF828FC" w14:textId="77777777" w:rsidR="008A332F" w:rsidRPr="004311F9" w:rsidRDefault="008A332F" w:rsidP="008A332F">
      <w:pPr>
        <w:spacing w:line="240" w:lineRule="auto"/>
        <w:rPr>
          <w:rFonts w:eastAsia="Times New Roman"/>
          <w:szCs w:val="24"/>
          <w:lang w:val="hu-HU"/>
        </w:rPr>
      </w:pPr>
    </w:p>
    <w:p w14:paraId="2A4930ED"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4.</w:t>
      </w:r>
      <w:r w:rsidRPr="004311F9">
        <w:rPr>
          <w:b/>
          <w:szCs w:val="24"/>
          <w:lang w:val="hu-HU"/>
        </w:rPr>
        <w:tab/>
        <w:t>A GYÁRTÁSI TÉTEL SZÁMA</w:t>
      </w:r>
    </w:p>
    <w:p w14:paraId="54E6C4CB" w14:textId="77777777" w:rsidR="008A332F" w:rsidRPr="004311F9" w:rsidRDefault="008A332F" w:rsidP="008A332F">
      <w:pPr>
        <w:spacing w:line="240" w:lineRule="auto"/>
        <w:ind w:right="113"/>
        <w:rPr>
          <w:rFonts w:eastAsia="Times New Roman"/>
          <w:szCs w:val="24"/>
          <w:lang w:val="hu-HU"/>
        </w:rPr>
      </w:pPr>
    </w:p>
    <w:p w14:paraId="341891A3" w14:textId="77777777" w:rsidR="008A332F" w:rsidRPr="004311F9" w:rsidRDefault="008A332F" w:rsidP="008A332F">
      <w:pPr>
        <w:spacing w:line="240" w:lineRule="auto"/>
        <w:ind w:right="113"/>
        <w:rPr>
          <w:szCs w:val="24"/>
          <w:lang w:val="hu-HU"/>
        </w:rPr>
      </w:pPr>
      <w:r w:rsidRPr="004311F9">
        <w:rPr>
          <w:szCs w:val="24"/>
          <w:lang w:val="hu-HU"/>
        </w:rPr>
        <w:t>Lot</w:t>
      </w:r>
    </w:p>
    <w:p w14:paraId="2D97F7A7" w14:textId="77777777" w:rsidR="008A332F" w:rsidRPr="004311F9" w:rsidRDefault="008A332F" w:rsidP="008A332F">
      <w:pPr>
        <w:spacing w:line="240" w:lineRule="auto"/>
        <w:ind w:right="113"/>
        <w:rPr>
          <w:rFonts w:eastAsia="Times New Roman"/>
          <w:szCs w:val="24"/>
          <w:lang w:val="hu-HU"/>
        </w:rPr>
      </w:pPr>
    </w:p>
    <w:p w14:paraId="3A04888D" w14:textId="77777777" w:rsidR="008A332F" w:rsidRPr="004311F9" w:rsidRDefault="008A332F" w:rsidP="008A332F">
      <w:pPr>
        <w:spacing w:line="240" w:lineRule="auto"/>
        <w:ind w:right="113"/>
        <w:rPr>
          <w:rFonts w:eastAsia="Times New Roman"/>
          <w:szCs w:val="24"/>
          <w:lang w:val="hu-HU"/>
        </w:rPr>
      </w:pPr>
    </w:p>
    <w:p w14:paraId="5AF75C9E"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5.</w:t>
      </w:r>
      <w:r w:rsidRPr="004311F9">
        <w:rPr>
          <w:b/>
          <w:szCs w:val="24"/>
          <w:lang w:val="hu-HU"/>
        </w:rPr>
        <w:tab/>
        <w:t>A TARTALOM SÚLYRA, TÉRFOGATRA, VAGY EGYSÉGRE VONATKOZTATVA</w:t>
      </w:r>
    </w:p>
    <w:p w14:paraId="5EA8F99B" w14:textId="77777777" w:rsidR="008A332F" w:rsidRPr="004311F9" w:rsidRDefault="008A332F" w:rsidP="008A332F">
      <w:pPr>
        <w:spacing w:line="240" w:lineRule="auto"/>
        <w:ind w:right="113"/>
        <w:rPr>
          <w:rFonts w:eastAsia="Times New Roman"/>
          <w:szCs w:val="24"/>
          <w:lang w:val="hu-HU"/>
        </w:rPr>
      </w:pPr>
    </w:p>
    <w:p w14:paraId="1D1F4507" w14:textId="77777777" w:rsidR="008A332F" w:rsidRPr="004311F9" w:rsidRDefault="008A332F" w:rsidP="008A332F">
      <w:pPr>
        <w:spacing w:line="240" w:lineRule="auto"/>
        <w:rPr>
          <w:rFonts w:eastAsia="Times New Roman"/>
          <w:shd w:val="clear" w:color="auto" w:fill="D9D9D9"/>
          <w:lang w:val="hu-HU" w:eastAsia="en-US"/>
        </w:rPr>
      </w:pPr>
      <w:r w:rsidRPr="004311F9">
        <w:rPr>
          <w:rFonts w:eastAsia="Times New Roman"/>
          <w:shd w:val="clear" w:color="auto" w:fill="D9D9D9"/>
          <w:lang w:val="hu-HU" w:eastAsia="en-US"/>
        </w:rPr>
        <w:t>500 NE</w:t>
      </w:r>
    </w:p>
    <w:p w14:paraId="20AF23C9" w14:textId="77777777" w:rsidR="008A332F" w:rsidRPr="004311F9" w:rsidRDefault="008A332F" w:rsidP="008A332F">
      <w:pPr>
        <w:spacing w:line="240" w:lineRule="auto"/>
        <w:ind w:right="113"/>
        <w:rPr>
          <w:rFonts w:eastAsia="Times New Roman"/>
          <w:szCs w:val="24"/>
          <w:lang w:val="hu-HU"/>
        </w:rPr>
      </w:pPr>
    </w:p>
    <w:p w14:paraId="79FCA0DF" w14:textId="77777777" w:rsidR="008A332F" w:rsidRPr="004311F9" w:rsidRDefault="008A332F" w:rsidP="008A332F">
      <w:pPr>
        <w:spacing w:line="240" w:lineRule="auto"/>
        <w:ind w:right="113"/>
        <w:rPr>
          <w:rFonts w:eastAsia="Times New Roman"/>
          <w:szCs w:val="24"/>
          <w:lang w:val="hu-HU"/>
        </w:rPr>
      </w:pPr>
    </w:p>
    <w:p w14:paraId="6BB47675"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6.</w:t>
      </w:r>
      <w:r w:rsidRPr="004311F9">
        <w:rPr>
          <w:b/>
          <w:szCs w:val="24"/>
          <w:lang w:val="hu-HU"/>
        </w:rPr>
        <w:tab/>
        <w:t>EGYÉB INFORMÁCIÓK</w:t>
      </w:r>
    </w:p>
    <w:p w14:paraId="053152A1" w14:textId="77777777" w:rsidR="008A332F" w:rsidRPr="004311F9" w:rsidRDefault="008A332F" w:rsidP="008A332F">
      <w:pPr>
        <w:keepNext/>
        <w:spacing w:line="240" w:lineRule="auto"/>
        <w:ind w:right="113"/>
        <w:rPr>
          <w:rFonts w:eastAsia="Times New Roman"/>
          <w:szCs w:val="24"/>
          <w:lang w:val="hu-HU"/>
        </w:rPr>
      </w:pPr>
    </w:p>
    <w:p w14:paraId="503BA229" w14:textId="77777777" w:rsidR="008A332F" w:rsidRPr="004311F9" w:rsidRDefault="008A332F" w:rsidP="008A332F">
      <w:pPr>
        <w:spacing w:line="240" w:lineRule="auto"/>
        <w:ind w:right="113"/>
        <w:rPr>
          <w:rFonts w:eastAsia="Times New Roman"/>
          <w:szCs w:val="24"/>
          <w:lang w:val="hu-HU"/>
        </w:rPr>
      </w:pPr>
    </w:p>
    <w:p w14:paraId="4DC9B0AC" w14:textId="77777777" w:rsidR="008A332F" w:rsidRPr="004311F9" w:rsidRDefault="008A332F" w:rsidP="008A332F">
      <w:pPr>
        <w:pBdr>
          <w:top w:val="single" w:sz="4" w:space="1" w:color="auto"/>
          <w:left w:val="single" w:sz="4" w:space="4" w:color="auto"/>
          <w:bottom w:val="single" w:sz="4" w:space="1" w:color="auto"/>
          <w:right w:val="single" w:sz="4" w:space="4" w:color="auto"/>
        </w:pBdr>
        <w:spacing w:line="240" w:lineRule="auto"/>
        <w:rPr>
          <w:b/>
          <w:szCs w:val="24"/>
          <w:lang w:val="hu-HU"/>
        </w:rPr>
      </w:pPr>
      <w:r w:rsidRPr="004311F9">
        <w:rPr>
          <w:b/>
          <w:szCs w:val="24"/>
          <w:lang w:val="hu-HU"/>
        </w:rPr>
        <w:br w:type="page"/>
      </w:r>
      <w:r w:rsidRPr="004311F9">
        <w:rPr>
          <w:b/>
          <w:szCs w:val="24"/>
          <w:lang w:val="hu-HU"/>
        </w:rPr>
        <w:lastRenderedPageBreak/>
        <w:t>A KÜLSŐ CSOMAGOLÁSON FELTÜNTETENDŐ ADATOK</w:t>
      </w:r>
    </w:p>
    <w:p w14:paraId="4D8B94D2" w14:textId="77777777" w:rsidR="008A332F" w:rsidRPr="004311F9" w:rsidRDefault="008A332F" w:rsidP="008A332F">
      <w:pPr>
        <w:pBdr>
          <w:top w:val="single" w:sz="4" w:space="1" w:color="auto"/>
          <w:left w:val="single" w:sz="4" w:space="4" w:color="auto"/>
          <w:bottom w:val="single" w:sz="4" w:space="1" w:color="auto"/>
          <w:right w:val="single" w:sz="4" w:space="4" w:color="auto"/>
        </w:pBdr>
        <w:spacing w:line="240" w:lineRule="auto"/>
        <w:ind w:left="567" w:hanging="567"/>
        <w:rPr>
          <w:rFonts w:eastAsia="Times New Roman"/>
          <w:b/>
          <w:szCs w:val="24"/>
          <w:lang w:val="hu-HU"/>
        </w:rPr>
      </w:pPr>
    </w:p>
    <w:p w14:paraId="7ED90A10" w14:textId="77777777" w:rsidR="008A332F" w:rsidRPr="004311F9" w:rsidRDefault="008A332F" w:rsidP="008A332F">
      <w:pPr>
        <w:pBdr>
          <w:top w:val="single" w:sz="4" w:space="1" w:color="auto"/>
          <w:left w:val="single" w:sz="4" w:space="4" w:color="auto"/>
          <w:bottom w:val="single" w:sz="4" w:space="1" w:color="auto"/>
          <w:right w:val="single" w:sz="4" w:space="4" w:color="auto"/>
        </w:pBdr>
        <w:spacing w:line="240" w:lineRule="auto"/>
        <w:rPr>
          <w:b/>
          <w:szCs w:val="24"/>
          <w:lang w:val="hu-HU"/>
        </w:rPr>
      </w:pPr>
      <w:r w:rsidRPr="004311F9">
        <w:rPr>
          <w:b/>
          <w:szCs w:val="24"/>
          <w:lang w:val="hu-HU"/>
        </w:rPr>
        <w:t>DOBOZ</w:t>
      </w:r>
    </w:p>
    <w:p w14:paraId="6763F67B" w14:textId="77777777" w:rsidR="008A332F" w:rsidRPr="004311F9" w:rsidRDefault="008A332F" w:rsidP="008A332F">
      <w:pPr>
        <w:spacing w:line="240" w:lineRule="auto"/>
        <w:rPr>
          <w:rFonts w:eastAsia="Times New Roman"/>
          <w:szCs w:val="24"/>
          <w:lang w:val="hu-HU"/>
        </w:rPr>
      </w:pPr>
    </w:p>
    <w:p w14:paraId="00F3B177" w14:textId="77777777" w:rsidR="008A332F" w:rsidRPr="004311F9" w:rsidRDefault="008A332F" w:rsidP="008A332F">
      <w:pPr>
        <w:spacing w:line="240" w:lineRule="auto"/>
        <w:rPr>
          <w:rFonts w:eastAsia="Times New Roman"/>
          <w:szCs w:val="24"/>
          <w:lang w:val="hu-HU"/>
        </w:rPr>
      </w:pPr>
    </w:p>
    <w:p w14:paraId="1FEBE179"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1.</w:t>
      </w:r>
      <w:r w:rsidRPr="004311F9">
        <w:rPr>
          <w:b/>
          <w:szCs w:val="24"/>
          <w:lang w:val="hu-HU"/>
        </w:rPr>
        <w:tab/>
        <w:t>A GYÓGYSZER NEVE</w:t>
      </w:r>
    </w:p>
    <w:p w14:paraId="37359E20" w14:textId="77777777" w:rsidR="008A332F" w:rsidRPr="004311F9" w:rsidRDefault="008A332F" w:rsidP="008A332F">
      <w:pPr>
        <w:spacing w:line="240" w:lineRule="auto"/>
        <w:rPr>
          <w:rFonts w:eastAsia="Times New Roman"/>
          <w:szCs w:val="24"/>
          <w:lang w:val="hu-HU"/>
        </w:rPr>
      </w:pPr>
    </w:p>
    <w:p w14:paraId="5E0BCA36" w14:textId="77777777" w:rsidR="008A332F" w:rsidRPr="004311F9" w:rsidRDefault="008A332F" w:rsidP="008A332F">
      <w:pPr>
        <w:spacing w:line="240" w:lineRule="auto"/>
        <w:rPr>
          <w:rFonts w:eastAsia="Times New Roman"/>
          <w:shd w:val="clear" w:color="auto" w:fill="D9D9D9"/>
          <w:lang w:val="hu-HU" w:eastAsia="en-US"/>
        </w:rPr>
      </w:pPr>
      <w:r w:rsidRPr="004311F9">
        <w:rPr>
          <w:rFonts w:eastAsia="Times New Roman"/>
          <w:lang w:val="hu-HU" w:eastAsia="en-US"/>
        </w:rPr>
        <w:t>ALPROLIX 1000 NE por és oldószer oldatos injekcióhoz</w:t>
      </w:r>
    </w:p>
    <w:p w14:paraId="3DEA9C66" w14:textId="77777777" w:rsidR="008A332F" w:rsidRPr="004311F9" w:rsidRDefault="008A332F" w:rsidP="008A332F">
      <w:pPr>
        <w:spacing w:line="240" w:lineRule="auto"/>
        <w:rPr>
          <w:szCs w:val="22"/>
          <w:lang w:val="hu-HU"/>
        </w:rPr>
      </w:pPr>
    </w:p>
    <w:p w14:paraId="6BB0AC7B" w14:textId="6A19A81F" w:rsidR="00FD6B4E" w:rsidRPr="004311F9" w:rsidRDefault="00FD6B4E" w:rsidP="00FD6B4E">
      <w:pPr>
        <w:spacing w:line="240" w:lineRule="auto"/>
        <w:rPr>
          <w:szCs w:val="24"/>
          <w:lang w:val="hu-HU"/>
        </w:rPr>
      </w:pPr>
      <w:r w:rsidRPr="004311F9">
        <w:rPr>
          <w:szCs w:val="22"/>
          <w:lang w:val="hu-HU"/>
        </w:rPr>
        <w:t xml:space="preserve">eftrenonacogum </w:t>
      </w:r>
      <w:r w:rsidRPr="004311F9">
        <w:rPr>
          <w:szCs w:val="24"/>
          <w:lang w:val="hu-HU"/>
        </w:rPr>
        <w:t>alfa (rekombináns IX</w:t>
      </w:r>
      <w:r w:rsidRPr="004311F9">
        <w:rPr>
          <w:szCs w:val="24"/>
          <w:lang w:val="hu-HU"/>
        </w:rPr>
        <w:noBreakHyphen/>
        <w:t>es alvadási faktor, Fc fúziós fehérje)</w:t>
      </w:r>
    </w:p>
    <w:p w14:paraId="5E65AE13" w14:textId="77777777" w:rsidR="008A332F" w:rsidRPr="004311F9" w:rsidRDefault="008A332F" w:rsidP="008A332F">
      <w:pPr>
        <w:spacing w:line="240" w:lineRule="auto"/>
        <w:rPr>
          <w:rFonts w:eastAsia="Times New Roman"/>
          <w:szCs w:val="24"/>
          <w:lang w:val="hu-HU"/>
        </w:rPr>
      </w:pPr>
    </w:p>
    <w:p w14:paraId="7DD3F10E" w14:textId="77777777" w:rsidR="008A332F" w:rsidRPr="004311F9" w:rsidRDefault="008A332F" w:rsidP="008A332F">
      <w:pPr>
        <w:spacing w:line="240" w:lineRule="auto"/>
        <w:rPr>
          <w:rFonts w:eastAsia="Times New Roman"/>
          <w:szCs w:val="24"/>
          <w:lang w:val="hu-HU"/>
        </w:rPr>
      </w:pPr>
    </w:p>
    <w:p w14:paraId="46D3A457"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2.</w:t>
      </w:r>
      <w:r w:rsidRPr="004311F9">
        <w:rPr>
          <w:b/>
          <w:szCs w:val="24"/>
          <w:lang w:val="hu-HU"/>
        </w:rPr>
        <w:tab/>
        <w:t>HATÓANYAG(OK) MEGNEVEZÉSE</w:t>
      </w:r>
    </w:p>
    <w:p w14:paraId="405479FE" w14:textId="77777777" w:rsidR="008A332F" w:rsidRPr="004311F9" w:rsidRDefault="008A332F" w:rsidP="008A332F">
      <w:pPr>
        <w:spacing w:line="240" w:lineRule="auto"/>
        <w:rPr>
          <w:rFonts w:eastAsia="Times New Roman"/>
          <w:szCs w:val="24"/>
          <w:lang w:val="hu-HU"/>
        </w:rPr>
      </w:pPr>
    </w:p>
    <w:p w14:paraId="3257245D" w14:textId="77777777" w:rsidR="008A332F" w:rsidRPr="004311F9" w:rsidRDefault="008A332F" w:rsidP="008A332F">
      <w:pPr>
        <w:spacing w:line="240" w:lineRule="auto"/>
        <w:rPr>
          <w:rFonts w:eastAsia="Times New Roman"/>
          <w:shd w:val="clear" w:color="auto" w:fill="D9D9D9"/>
          <w:lang w:val="hu-HU" w:eastAsia="en-US"/>
        </w:rPr>
      </w:pPr>
      <w:r w:rsidRPr="004311F9">
        <w:rPr>
          <w:rFonts w:eastAsia="Times New Roman"/>
          <w:lang w:val="hu-HU" w:eastAsia="en-US"/>
        </w:rPr>
        <w:t>Por: 100 NE eftrenonacogum alfa (feloldás után körülbelül 200 NE/ml),</w:t>
      </w:r>
    </w:p>
    <w:p w14:paraId="0B2B50CF" w14:textId="77777777" w:rsidR="008A332F" w:rsidRPr="004311F9" w:rsidRDefault="008A332F" w:rsidP="008A332F">
      <w:pPr>
        <w:spacing w:line="240" w:lineRule="auto"/>
        <w:rPr>
          <w:rFonts w:eastAsia="Times New Roman"/>
          <w:szCs w:val="24"/>
          <w:lang w:val="hu-HU"/>
        </w:rPr>
      </w:pPr>
    </w:p>
    <w:p w14:paraId="17C7B99E" w14:textId="77777777" w:rsidR="008A332F" w:rsidRPr="004311F9" w:rsidRDefault="008A332F" w:rsidP="008A332F">
      <w:pPr>
        <w:spacing w:line="240" w:lineRule="auto"/>
        <w:rPr>
          <w:rFonts w:eastAsia="Times New Roman"/>
          <w:szCs w:val="24"/>
          <w:lang w:val="hu-HU"/>
        </w:rPr>
      </w:pPr>
    </w:p>
    <w:p w14:paraId="6428A083"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3.</w:t>
      </w:r>
      <w:r w:rsidRPr="004311F9">
        <w:rPr>
          <w:b/>
          <w:szCs w:val="24"/>
          <w:lang w:val="hu-HU"/>
        </w:rPr>
        <w:tab/>
        <w:t>SEGÉDANYAGOK FELSOROLÁSA</w:t>
      </w:r>
    </w:p>
    <w:p w14:paraId="05A2B1B0" w14:textId="77777777" w:rsidR="008A332F" w:rsidRPr="004311F9" w:rsidRDefault="008A332F" w:rsidP="008A332F">
      <w:pPr>
        <w:spacing w:line="240" w:lineRule="auto"/>
        <w:rPr>
          <w:rFonts w:eastAsia="Times New Roman"/>
          <w:szCs w:val="24"/>
          <w:lang w:val="hu-HU"/>
        </w:rPr>
      </w:pPr>
    </w:p>
    <w:p w14:paraId="4D875639" w14:textId="77777777" w:rsidR="008A332F" w:rsidRPr="004311F9" w:rsidRDefault="008A332F" w:rsidP="008A332F">
      <w:pPr>
        <w:autoSpaceDE w:val="0"/>
        <w:autoSpaceDN w:val="0"/>
        <w:adjustRightInd w:val="0"/>
        <w:spacing w:line="240" w:lineRule="auto"/>
        <w:rPr>
          <w:szCs w:val="24"/>
          <w:lang w:val="hu-HU"/>
        </w:rPr>
      </w:pPr>
      <w:r w:rsidRPr="004311F9">
        <w:rPr>
          <w:rFonts w:eastAsia="Times New Roman"/>
          <w:shd w:val="clear" w:color="auto" w:fill="D9D9D9"/>
          <w:lang w:val="hu-HU" w:eastAsia="en-US"/>
        </w:rPr>
        <w:t>Por:</w:t>
      </w:r>
    </w:p>
    <w:p w14:paraId="5C03A5C4" w14:textId="41C72CE8" w:rsidR="008A332F" w:rsidRPr="004311F9" w:rsidRDefault="008A332F" w:rsidP="008A332F">
      <w:pPr>
        <w:autoSpaceDE w:val="0"/>
        <w:autoSpaceDN w:val="0"/>
        <w:adjustRightInd w:val="0"/>
        <w:spacing w:line="240" w:lineRule="auto"/>
        <w:rPr>
          <w:szCs w:val="24"/>
          <w:lang w:val="hu-HU"/>
        </w:rPr>
      </w:pPr>
      <w:r w:rsidRPr="004311F9">
        <w:rPr>
          <w:szCs w:val="24"/>
          <w:lang w:val="hu-HU"/>
        </w:rPr>
        <w:t>szacharóz, hisztidin, mannit, poliszorbát 20, nátrium</w:t>
      </w:r>
      <w:r w:rsidRPr="004311F9">
        <w:rPr>
          <w:szCs w:val="24"/>
          <w:lang w:val="hu-HU"/>
        </w:rPr>
        <w:noBreakHyphen/>
        <w:t>hidroxid, sósav</w:t>
      </w:r>
    </w:p>
    <w:p w14:paraId="12FB40F9" w14:textId="77777777" w:rsidR="008A332F" w:rsidRPr="004311F9" w:rsidRDefault="008A332F" w:rsidP="008A332F">
      <w:pPr>
        <w:autoSpaceDE w:val="0"/>
        <w:autoSpaceDN w:val="0"/>
        <w:adjustRightInd w:val="0"/>
        <w:spacing w:line="240" w:lineRule="auto"/>
        <w:rPr>
          <w:rFonts w:eastAsia="Times New Roman"/>
          <w:szCs w:val="24"/>
          <w:lang w:val="hu-HU"/>
        </w:rPr>
      </w:pPr>
    </w:p>
    <w:p w14:paraId="54A4379E" w14:textId="77777777" w:rsidR="00FD6B4E" w:rsidRPr="004311F9" w:rsidRDefault="00FD6B4E" w:rsidP="00FD6B4E">
      <w:pPr>
        <w:keepNext/>
        <w:autoSpaceDE w:val="0"/>
        <w:autoSpaceDN w:val="0"/>
        <w:adjustRightInd w:val="0"/>
        <w:spacing w:line="240" w:lineRule="auto"/>
        <w:rPr>
          <w:szCs w:val="24"/>
          <w:lang w:val="hu-HU"/>
        </w:rPr>
      </w:pPr>
      <w:r w:rsidRPr="004311F9">
        <w:rPr>
          <w:szCs w:val="24"/>
          <w:lang w:val="hu-HU"/>
        </w:rPr>
        <w:t>Oldószer:</w:t>
      </w:r>
    </w:p>
    <w:p w14:paraId="1D34583E" w14:textId="11128C30" w:rsidR="00FD6B4E" w:rsidRPr="004311F9" w:rsidRDefault="00FD6B4E" w:rsidP="00FD6B4E">
      <w:pPr>
        <w:autoSpaceDE w:val="0"/>
        <w:autoSpaceDN w:val="0"/>
        <w:adjustRightInd w:val="0"/>
        <w:spacing w:line="240" w:lineRule="auto"/>
        <w:rPr>
          <w:szCs w:val="24"/>
          <w:lang w:val="hu-HU"/>
        </w:rPr>
      </w:pPr>
      <w:r w:rsidRPr="004311F9">
        <w:rPr>
          <w:szCs w:val="24"/>
          <w:lang w:val="hu-HU"/>
        </w:rPr>
        <w:t>nátrium</w:t>
      </w:r>
      <w:r w:rsidRPr="004311F9">
        <w:rPr>
          <w:szCs w:val="24"/>
          <w:lang w:val="hu-HU"/>
        </w:rPr>
        <w:noBreakHyphen/>
        <w:t>klorid, injekcióhoz való víz</w:t>
      </w:r>
    </w:p>
    <w:p w14:paraId="686D7D97" w14:textId="77777777" w:rsidR="008A332F" w:rsidRPr="004311F9" w:rsidRDefault="008A332F" w:rsidP="008A332F">
      <w:pPr>
        <w:autoSpaceDE w:val="0"/>
        <w:autoSpaceDN w:val="0"/>
        <w:adjustRightInd w:val="0"/>
        <w:spacing w:line="240" w:lineRule="auto"/>
        <w:rPr>
          <w:rFonts w:eastAsia="Times New Roman"/>
          <w:szCs w:val="24"/>
          <w:lang w:val="hu-HU"/>
        </w:rPr>
      </w:pPr>
    </w:p>
    <w:p w14:paraId="4B77EE8F" w14:textId="77777777" w:rsidR="008A332F" w:rsidRPr="004311F9" w:rsidRDefault="008A332F" w:rsidP="008A332F">
      <w:pPr>
        <w:autoSpaceDE w:val="0"/>
        <w:autoSpaceDN w:val="0"/>
        <w:adjustRightInd w:val="0"/>
        <w:spacing w:line="240" w:lineRule="auto"/>
        <w:rPr>
          <w:rFonts w:eastAsia="Times New Roman"/>
          <w:szCs w:val="24"/>
          <w:lang w:val="hu-HU"/>
        </w:rPr>
      </w:pPr>
    </w:p>
    <w:p w14:paraId="5307C295"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4.</w:t>
      </w:r>
      <w:r w:rsidRPr="004311F9">
        <w:rPr>
          <w:b/>
          <w:szCs w:val="24"/>
          <w:lang w:val="hu-HU"/>
        </w:rPr>
        <w:tab/>
        <w:t>GYÓGYSZERFORMA ÉS TARTALOM</w:t>
      </w:r>
    </w:p>
    <w:p w14:paraId="6BC0B7C7" w14:textId="77777777" w:rsidR="008A332F" w:rsidRPr="004311F9" w:rsidRDefault="008A332F" w:rsidP="008A332F">
      <w:pPr>
        <w:keepNext/>
        <w:spacing w:line="240" w:lineRule="auto"/>
        <w:rPr>
          <w:rFonts w:eastAsia="Times New Roman"/>
          <w:szCs w:val="24"/>
          <w:lang w:val="hu-HU"/>
        </w:rPr>
      </w:pPr>
    </w:p>
    <w:p w14:paraId="5B572B7A" w14:textId="77777777" w:rsidR="008A332F" w:rsidRPr="004311F9" w:rsidRDefault="008A332F" w:rsidP="008A332F">
      <w:pPr>
        <w:keepNext/>
        <w:spacing w:line="240" w:lineRule="auto"/>
        <w:rPr>
          <w:rFonts w:eastAsia="Times New Roman"/>
          <w:lang w:val="hu-HU" w:eastAsia="en-US"/>
        </w:rPr>
      </w:pPr>
      <w:r w:rsidRPr="004311F9">
        <w:rPr>
          <w:rFonts w:eastAsia="Times New Roman"/>
          <w:shd w:val="clear" w:color="auto" w:fill="D9D9D9"/>
          <w:lang w:val="hu-HU" w:eastAsia="en-US"/>
        </w:rPr>
        <w:t>Por és oldószer oldatos injekcióhoz.</w:t>
      </w:r>
    </w:p>
    <w:p w14:paraId="3A2BCD99" w14:textId="77777777" w:rsidR="008A332F" w:rsidRPr="004311F9" w:rsidRDefault="008A332F" w:rsidP="008A332F">
      <w:pPr>
        <w:keepNext/>
        <w:spacing w:line="240" w:lineRule="auto"/>
        <w:rPr>
          <w:rFonts w:eastAsia="Times New Roman"/>
          <w:szCs w:val="24"/>
          <w:lang w:val="hu-HU"/>
        </w:rPr>
      </w:pPr>
    </w:p>
    <w:p w14:paraId="3D7B3E19" w14:textId="77777777" w:rsidR="008A332F" w:rsidRPr="004311F9" w:rsidRDefault="008A332F" w:rsidP="008A332F">
      <w:pPr>
        <w:spacing w:line="240" w:lineRule="auto"/>
        <w:rPr>
          <w:szCs w:val="24"/>
          <w:lang w:val="hu-HU"/>
        </w:rPr>
      </w:pPr>
      <w:r w:rsidRPr="004311F9">
        <w:rPr>
          <w:szCs w:val="24"/>
          <w:lang w:val="hu-HU"/>
        </w:rPr>
        <w:t>Tartalom: 1 db port tartalmazó injekciós üveg, 5 ml oldószer előretöltött fecskendőben, 1 db dugattyúrúd, 1 db injekciós üveg adapter, 1 db infúziós szerelék, 2 db alkoholos törlő, 2 db ragtapasz, 1 db gézlap.</w:t>
      </w:r>
    </w:p>
    <w:p w14:paraId="3C0A24EA" w14:textId="77777777" w:rsidR="008A332F" w:rsidRPr="004311F9" w:rsidRDefault="008A332F" w:rsidP="008A332F">
      <w:pPr>
        <w:spacing w:line="240" w:lineRule="auto"/>
        <w:rPr>
          <w:rFonts w:eastAsia="Times New Roman"/>
          <w:szCs w:val="24"/>
          <w:lang w:val="hu-HU"/>
        </w:rPr>
      </w:pPr>
    </w:p>
    <w:p w14:paraId="6C370B0F" w14:textId="77777777" w:rsidR="008A332F" w:rsidRPr="004311F9" w:rsidRDefault="008A332F" w:rsidP="008A332F">
      <w:pPr>
        <w:spacing w:line="240" w:lineRule="auto"/>
        <w:rPr>
          <w:rFonts w:eastAsia="Times New Roman"/>
          <w:szCs w:val="24"/>
          <w:lang w:val="hu-HU"/>
        </w:rPr>
      </w:pPr>
    </w:p>
    <w:p w14:paraId="16B0276D"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5.</w:t>
      </w:r>
      <w:r w:rsidRPr="004311F9">
        <w:rPr>
          <w:b/>
          <w:szCs w:val="24"/>
          <w:lang w:val="hu-HU"/>
        </w:rPr>
        <w:tab/>
        <w:t>AZ ALKALMAZÁSSAL KAPCSOLATOS TUDNIVALÓK ÉS AZ ALKALMAZÁS MÓDJA(I)</w:t>
      </w:r>
    </w:p>
    <w:p w14:paraId="7EE54681" w14:textId="77777777" w:rsidR="008A332F" w:rsidRPr="004311F9" w:rsidRDefault="008A332F" w:rsidP="008A332F">
      <w:pPr>
        <w:spacing w:line="240" w:lineRule="auto"/>
        <w:rPr>
          <w:rFonts w:eastAsia="Times New Roman"/>
          <w:szCs w:val="24"/>
          <w:lang w:val="hu-HU"/>
        </w:rPr>
      </w:pPr>
    </w:p>
    <w:p w14:paraId="3CCEAEC3" w14:textId="77777777" w:rsidR="008A332F" w:rsidRPr="004311F9" w:rsidRDefault="008A332F" w:rsidP="008A332F">
      <w:pPr>
        <w:spacing w:line="240" w:lineRule="auto"/>
        <w:rPr>
          <w:szCs w:val="24"/>
          <w:lang w:val="hu-HU"/>
        </w:rPr>
      </w:pPr>
      <w:r w:rsidRPr="004311F9">
        <w:rPr>
          <w:szCs w:val="24"/>
          <w:lang w:val="hu-HU"/>
        </w:rPr>
        <w:t>Feloldás után intravénás alkalmazás.</w:t>
      </w:r>
    </w:p>
    <w:p w14:paraId="601337E5" w14:textId="77777777" w:rsidR="008A332F" w:rsidRPr="004311F9" w:rsidRDefault="008A332F" w:rsidP="008A332F">
      <w:pPr>
        <w:spacing w:line="240" w:lineRule="auto"/>
        <w:rPr>
          <w:szCs w:val="24"/>
          <w:lang w:val="hu-HU"/>
        </w:rPr>
      </w:pPr>
      <w:r w:rsidRPr="004311F9">
        <w:rPr>
          <w:szCs w:val="24"/>
          <w:lang w:val="hu-HU"/>
        </w:rPr>
        <w:t>Használat előtt olvassa el a mellékelt betegtájékoztatót!</w:t>
      </w:r>
    </w:p>
    <w:p w14:paraId="5C5429DA" w14:textId="77777777" w:rsidR="008A332F" w:rsidRPr="004311F9" w:rsidRDefault="008A332F" w:rsidP="008A332F">
      <w:pPr>
        <w:spacing w:line="240" w:lineRule="auto"/>
        <w:rPr>
          <w:rFonts w:eastAsia="Times New Roman"/>
          <w:szCs w:val="24"/>
          <w:lang w:val="hu-HU"/>
        </w:rPr>
      </w:pPr>
    </w:p>
    <w:p w14:paraId="23D66BFC" w14:textId="77777777" w:rsidR="008A332F" w:rsidRPr="004311F9" w:rsidRDefault="008A332F" w:rsidP="008A332F">
      <w:pPr>
        <w:spacing w:line="240" w:lineRule="auto"/>
        <w:rPr>
          <w:rFonts w:eastAsia="Times New Roman"/>
          <w:szCs w:val="24"/>
          <w:lang w:val="hu-HU"/>
        </w:rPr>
      </w:pPr>
      <w:r w:rsidRPr="004311F9">
        <w:rPr>
          <w:szCs w:val="24"/>
          <w:lang w:val="hu-HU"/>
        </w:rPr>
        <w:t>Az ALPROLIX elkészítésének és beadásának módjáról szóló oktatófilm elérhető a QR</w:t>
      </w:r>
      <w:r w:rsidRPr="004311F9">
        <w:rPr>
          <w:szCs w:val="24"/>
          <w:lang w:val="hu-HU"/>
        </w:rPr>
        <w:noBreakHyphen/>
        <w:t>kód okostelefonnal történő beolvasásával, vagy az internetes honlapon</w:t>
      </w:r>
    </w:p>
    <w:p w14:paraId="73F96993" w14:textId="77777777" w:rsidR="008A332F" w:rsidRPr="004311F9" w:rsidRDefault="008A332F" w:rsidP="008A332F">
      <w:pPr>
        <w:spacing w:line="240" w:lineRule="auto"/>
        <w:rPr>
          <w:rFonts w:eastAsia="Times New Roman"/>
          <w:szCs w:val="24"/>
          <w:lang w:val="hu-HU"/>
        </w:rPr>
      </w:pPr>
    </w:p>
    <w:p w14:paraId="42543419" w14:textId="77777777" w:rsidR="008A332F" w:rsidRPr="004311F9" w:rsidRDefault="008A332F" w:rsidP="008A332F">
      <w:pPr>
        <w:spacing w:line="240" w:lineRule="auto"/>
        <w:rPr>
          <w:sz w:val="23"/>
          <w:lang w:val="hu-HU"/>
        </w:rPr>
      </w:pPr>
      <w:r w:rsidRPr="004311F9">
        <w:rPr>
          <w:rFonts w:eastAsia="Times New Roman"/>
          <w:shd w:val="clear" w:color="auto" w:fill="D9D9D9"/>
          <w:lang w:val="hu-HU" w:eastAsia="en-US"/>
        </w:rPr>
        <w:t>Be kell illeszteni a QR</w:t>
      </w:r>
      <w:r w:rsidRPr="004311F9">
        <w:rPr>
          <w:rFonts w:eastAsia="Times New Roman"/>
          <w:shd w:val="clear" w:color="auto" w:fill="D9D9D9"/>
          <w:lang w:val="hu-HU" w:eastAsia="en-US"/>
        </w:rPr>
        <w:noBreakHyphen/>
        <w:t>kódot +</w:t>
      </w:r>
      <w:r w:rsidRPr="004311F9">
        <w:rPr>
          <w:lang w:val="hu-HU"/>
        </w:rPr>
        <w:t xml:space="preserve"> </w:t>
      </w:r>
      <w:hyperlink r:id="rId27" w:history="1">
        <w:r w:rsidRPr="004311F9">
          <w:rPr>
            <w:rStyle w:val="Hyperlink"/>
            <w:lang w:val="hu-HU"/>
          </w:rPr>
          <w:t>http://www.alprolix-instructions.com</w:t>
        </w:r>
      </w:hyperlink>
      <w:r w:rsidRPr="004311F9">
        <w:rPr>
          <w:lang w:val="hu-HU"/>
        </w:rPr>
        <w:t xml:space="preserve"> </w:t>
      </w:r>
    </w:p>
    <w:p w14:paraId="335F7B20" w14:textId="77777777" w:rsidR="008A332F" w:rsidRPr="004311F9" w:rsidRDefault="008A332F" w:rsidP="008A332F">
      <w:pPr>
        <w:spacing w:line="240" w:lineRule="auto"/>
        <w:rPr>
          <w:rFonts w:eastAsia="Times New Roman"/>
          <w:szCs w:val="24"/>
          <w:lang w:val="hu-HU"/>
        </w:rPr>
      </w:pPr>
    </w:p>
    <w:p w14:paraId="71033E82" w14:textId="77777777" w:rsidR="008A332F" w:rsidRPr="004311F9" w:rsidRDefault="008A332F" w:rsidP="008A332F">
      <w:pPr>
        <w:spacing w:line="240" w:lineRule="auto"/>
        <w:rPr>
          <w:rFonts w:eastAsia="Times New Roman"/>
          <w:szCs w:val="24"/>
          <w:lang w:val="hu-HU"/>
        </w:rPr>
      </w:pPr>
    </w:p>
    <w:p w14:paraId="2481F0CC"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6.</w:t>
      </w:r>
      <w:r w:rsidRPr="004311F9">
        <w:rPr>
          <w:b/>
          <w:szCs w:val="24"/>
          <w:lang w:val="hu-HU"/>
        </w:rPr>
        <w:tab/>
        <w:t>KÜLÖN FIGYELMEZTETÉS, MELY SZERINT A GYÓGYSZERT GYERMEKEKTŐL ELZÁRVA KELL TARTANI</w:t>
      </w:r>
    </w:p>
    <w:p w14:paraId="27FF876B" w14:textId="77777777" w:rsidR="008A332F" w:rsidRPr="004311F9" w:rsidRDefault="008A332F" w:rsidP="008A332F">
      <w:pPr>
        <w:spacing w:line="240" w:lineRule="auto"/>
        <w:rPr>
          <w:rFonts w:eastAsia="Times New Roman"/>
          <w:szCs w:val="24"/>
          <w:lang w:val="hu-HU"/>
        </w:rPr>
      </w:pPr>
    </w:p>
    <w:p w14:paraId="10FAEE63" w14:textId="77777777" w:rsidR="008A332F" w:rsidRPr="004311F9" w:rsidRDefault="008A332F" w:rsidP="008A332F">
      <w:pPr>
        <w:spacing w:line="240" w:lineRule="auto"/>
        <w:rPr>
          <w:rFonts w:eastAsia="Times New Roman"/>
          <w:szCs w:val="24"/>
          <w:lang w:val="hu-HU"/>
        </w:rPr>
      </w:pPr>
      <w:r w:rsidRPr="004311F9">
        <w:rPr>
          <w:szCs w:val="24"/>
          <w:lang w:val="hu-HU"/>
        </w:rPr>
        <w:lastRenderedPageBreak/>
        <w:t>A gyógyszer gyermekektől elzárva tartandó!</w:t>
      </w:r>
    </w:p>
    <w:p w14:paraId="05980FA1" w14:textId="77777777" w:rsidR="008A332F" w:rsidRPr="004311F9" w:rsidRDefault="008A332F" w:rsidP="008A332F">
      <w:pPr>
        <w:spacing w:line="240" w:lineRule="auto"/>
        <w:rPr>
          <w:rFonts w:eastAsia="Times New Roman"/>
          <w:szCs w:val="24"/>
          <w:lang w:val="hu-HU"/>
        </w:rPr>
      </w:pPr>
    </w:p>
    <w:p w14:paraId="359C47CA" w14:textId="77777777" w:rsidR="008A332F" w:rsidRPr="004311F9" w:rsidRDefault="008A332F" w:rsidP="008A332F">
      <w:pPr>
        <w:spacing w:line="240" w:lineRule="auto"/>
        <w:rPr>
          <w:rFonts w:eastAsia="Times New Roman"/>
          <w:szCs w:val="24"/>
          <w:lang w:val="hu-HU"/>
        </w:rPr>
      </w:pPr>
    </w:p>
    <w:p w14:paraId="477AE1FB"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7.</w:t>
      </w:r>
      <w:r w:rsidRPr="004311F9">
        <w:rPr>
          <w:b/>
          <w:szCs w:val="24"/>
          <w:lang w:val="hu-HU"/>
        </w:rPr>
        <w:tab/>
        <w:t>TOVÁBBI FIGYELMEZTETÉS(EK), AMENNYIBEN SZÜKSÉGES</w:t>
      </w:r>
    </w:p>
    <w:p w14:paraId="503C2C9B" w14:textId="77777777" w:rsidR="008A332F" w:rsidRPr="004311F9" w:rsidRDefault="008A332F" w:rsidP="008A332F">
      <w:pPr>
        <w:spacing w:line="240" w:lineRule="auto"/>
        <w:rPr>
          <w:rFonts w:eastAsia="Times New Roman"/>
          <w:szCs w:val="24"/>
          <w:lang w:val="hu-HU"/>
        </w:rPr>
      </w:pPr>
    </w:p>
    <w:p w14:paraId="2F8808A8" w14:textId="77777777" w:rsidR="008A332F" w:rsidRPr="004311F9" w:rsidRDefault="008A332F" w:rsidP="008A332F">
      <w:pPr>
        <w:spacing w:line="240" w:lineRule="auto"/>
        <w:rPr>
          <w:rFonts w:eastAsia="Times New Roman"/>
          <w:szCs w:val="24"/>
          <w:lang w:val="hu-HU"/>
        </w:rPr>
      </w:pPr>
    </w:p>
    <w:p w14:paraId="10C0E06A"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8.</w:t>
      </w:r>
      <w:r w:rsidRPr="004311F9">
        <w:rPr>
          <w:b/>
          <w:szCs w:val="24"/>
          <w:lang w:val="hu-HU"/>
        </w:rPr>
        <w:tab/>
        <w:t>LEJÁRATI IDŐ</w:t>
      </w:r>
    </w:p>
    <w:p w14:paraId="526DEBA5" w14:textId="77777777" w:rsidR="008A332F" w:rsidRPr="004311F9" w:rsidRDefault="008A332F" w:rsidP="008A332F">
      <w:pPr>
        <w:spacing w:line="240" w:lineRule="auto"/>
        <w:rPr>
          <w:rFonts w:eastAsia="Times New Roman"/>
          <w:szCs w:val="24"/>
          <w:lang w:val="hu-HU"/>
        </w:rPr>
      </w:pPr>
    </w:p>
    <w:p w14:paraId="5DF5E810" w14:textId="77777777" w:rsidR="008A332F" w:rsidRPr="004311F9" w:rsidRDefault="008A332F" w:rsidP="008A332F">
      <w:pPr>
        <w:spacing w:line="240" w:lineRule="auto"/>
        <w:rPr>
          <w:szCs w:val="24"/>
          <w:lang w:val="hu-HU"/>
        </w:rPr>
      </w:pPr>
      <w:r w:rsidRPr="004311F9">
        <w:rPr>
          <w:szCs w:val="24"/>
          <w:lang w:val="hu-HU"/>
        </w:rPr>
        <w:t>EXP</w:t>
      </w:r>
    </w:p>
    <w:p w14:paraId="3DD4A6D2" w14:textId="77777777" w:rsidR="008A332F" w:rsidRPr="004311F9" w:rsidRDefault="008A332F" w:rsidP="008A332F">
      <w:pPr>
        <w:spacing w:line="240" w:lineRule="auto"/>
        <w:rPr>
          <w:rFonts w:eastAsia="Times New Roman"/>
          <w:szCs w:val="24"/>
          <w:lang w:val="hu-HU"/>
        </w:rPr>
      </w:pPr>
    </w:p>
    <w:p w14:paraId="2210AD8B" w14:textId="77777777" w:rsidR="008A332F" w:rsidRPr="004311F9" w:rsidRDefault="008A332F" w:rsidP="008A332F">
      <w:pPr>
        <w:spacing w:line="240" w:lineRule="auto"/>
        <w:rPr>
          <w:szCs w:val="24"/>
          <w:lang w:val="hu-HU"/>
        </w:rPr>
      </w:pPr>
      <w:r w:rsidRPr="004311F9">
        <w:rPr>
          <w:szCs w:val="24"/>
          <w:lang w:val="hu-HU"/>
        </w:rPr>
        <w:t>A feloldást követő 6 órán belül fel kell használni.</w:t>
      </w:r>
    </w:p>
    <w:p w14:paraId="74DE6C82" w14:textId="77777777" w:rsidR="008A332F" w:rsidRPr="004311F9" w:rsidRDefault="008A332F" w:rsidP="008A332F">
      <w:pPr>
        <w:spacing w:line="240" w:lineRule="auto"/>
        <w:rPr>
          <w:rFonts w:eastAsia="Times New Roman"/>
          <w:szCs w:val="24"/>
          <w:lang w:val="hu-HU"/>
        </w:rPr>
      </w:pPr>
    </w:p>
    <w:p w14:paraId="13F5AE37" w14:textId="77777777" w:rsidR="008A332F" w:rsidRPr="004311F9" w:rsidRDefault="008A332F" w:rsidP="008A332F">
      <w:pPr>
        <w:spacing w:line="240" w:lineRule="auto"/>
        <w:rPr>
          <w:rFonts w:eastAsia="Times New Roman"/>
          <w:szCs w:val="24"/>
          <w:lang w:val="hu-HU"/>
        </w:rPr>
      </w:pPr>
    </w:p>
    <w:p w14:paraId="5329388A"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9.</w:t>
      </w:r>
      <w:r w:rsidRPr="004311F9">
        <w:rPr>
          <w:b/>
          <w:szCs w:val="24"/>
          <w:lang w:val="hu-HU"/>
        </w:rPr>
        <w:tab/>
        <w:t>KÜLÖNLEGES TÁROLÁSI ELŐÍRÁSOK</w:t>
      </w:r>
    </w:p>
    <w:p w14:paraId="6F6AE7B0" w14:textId="77777777" w:rsidR="008A332F" w:rsidRPr="004311F9" w:rsidRDefault="008A332F" w:rsidP="008A332F">
      <w:pPr>
        <w:spacing w:line="240" w:lineRule="auto"/>
        <w:rPr>
          <w:rFonts w:eastAsia="Times New Roman"/>
          <w:szCs w:val="24"/>
          <w:lang w:val="hu-HU"/>
        </w:rPr>
      </w:pPr>
    </w:p>
    <w:p w14:paraId="734737CE" w14:textId="77777777" w:rsidR="008A332F" w:rsidRPr="004311F9" w:rsidRDefault="008A332F" w:rsidP="008A332F">
      <w:pPr>
        <w:spacing w:line="240" w:lineRule="auto"/>
        <w:rPr>
          <w:szCs w:val="24"/>
          <w:lang w:val="hu-HU"/>
        </w:rPr>
      </w:pPr>
      <w:r w:rsidRPr="004311F9">
        <w:rPr>
          <w:szCs w:val="24"/>
          <w:lang w:val="hu-HU"/>
        </w:rPr>
        <w:t>Az injekciós üveget a fénytől való védelem érdekében tartsa a dobozában.</w:t>
      </w:r>
    </w:p>
    <w:p w14:paraId="0E34D732" w14:textId="77777777" w:rsidR="008A332F" w:rsidRPr="004311F9" w:rsidRDefault="008A332F" w:rsidP="008A332F">
      <w:pPr>
        <w:spacing w:line="240" w:lineRule="auto"/>
        <w:rPr>
          <w:szCs w:val="24"/>
          <w:lang w:val="hu-HU"/>
        </w:rPr>
      </w:pPr>
      <w:r w:rsidRPr="004311F9">
        <w:rPr>
          <w:szCs w:val="24"/>
          <w:lang w:val="hu-HU"/>
        </w:rPr>
        <w:t>Hűtőszekrényben tárolandó.</w:t>
      </w:r>
    </w:p>
    <w:p w14:paraId="1C30484C" w14:textId="77777777" w:rsidR="008A332F" w:rsidRPr="004311F9" w:rsidRDefault="008A332F" w:rsidP="008A332F">
      <w:pPr>
        <w:spacing w:line="240" w:lineRule="auto"/>
        <w:rPr>
          <w:szCs w:val="24"/>
          <w:lang w:val="hu-HU"/>
        </w:rPr>
      </w:pPr>
      <w:r w:rsidRPr="004311F9">
        <w:rPr>
          <w:szCs w:val="24"/>
          <w:lang w:val="hu-HU"/>
        </w:rPr>
        <w:t>Nem fagyasztható!</w:t>
      </w:r>
    </w:p>
    <w:p w14:paraId="035248C1" w14:textId="77777777" w:rsidR="008A332F" w:rsidRPr="004311F9" w:rsidRDefault="008A332F" w:rsidP="008A332F">
      <w:pPr>
        <w:spacing w:line="240" w:lineRule="auto"/>
        <w:rPr>
          <w:szCs w:val="24"/>
          <w:lang w:val="hu-HU"/>
        </w:rPr>
      </w:pPr>
      <w:r w:rsidRPr="004311F9">
        <w:rPr>
          <w:szCs w:val="24"/>
          <w:lang w:val="hu-HU"/>
        </w:rPr>
        <w:t>Szobahőmérsékleten (legfeljebb 30 °C</w:t>
      </w:r>
      <w:r w:rsidRPr="004311F9">
        <w:rPr>
          <w:szCs w:val="24"/>
          <w:lang w:val="hu-HU"/>
        </w:rPr>
        <w:noBreakHyphen/>
        <w:t xml:space="preserve">on) tárolható legfeljebb 6 hónapos egyszeri időtartamban. Szobahőmérsékleten történt tárolása után tilos visszatenni a hűtőszekrénybe. </w:t>
      </w:r>
    </w:p>
    <w:p w14:paraId="06BDCFFC" w14:textId="77777777" w:rsidR="008A332F" w:rsidRPr="004311F9" w:rsidRDefault="008A332F" w:rsidP="008A332F">
      <w:pPr>
        <w:spacing w:line="240" w:lineRule="auto"/>
        <w:rPr>
          <w:szCs w:val="24"/>
          <w:lang w:val="hu-HU"/>
        </w:rPr>
      </w:pPr>
      <w:r w:rsidRPr="004311F9">
        <w:rPr>
          <w:szCs w:val="24"/>
          <w:lang w:val="hu-HU"/>
        </w:rPr>
        <w:t>Hűtőszekrényből való kivétel dátuma:</w:t>
      </w:r>
    </w:p>
    <w:p w14:paraId="3AE0AF0C" w14:textId="77777777" w:rsidR="008A332F" w:rsidRPr="004311F9" w:rsidRDefault="008A332F" w:rsidP="008A332F">
      <w:pPr>
        <w:spacing w:line="240" w:lineRule="auto"/>
        <w:rPr>
          <w:rFonts w:eastAsia="Times New Roman"/>
          <w:szCs w:val="24"/>
          <w:lang w:val="hu-HU"/>
        </w:rPr>
      </w:pPr>
    </w:p>
    <w:p w14:paraId="58A8282E" w14:textId="77777777" w:rsidR="008A332F" w:rsidRPr="004311F9" w:rsidRDefault="008A332F" w:rsidP="008A332F">
      <w:pPr>
        <w:spacing w:line="240" w:lineRule="auto"/>
        <w:ind w:left="567" w:hanging="567"/>
        <w:rPr>
          <w:rFonts w:eastAsia="Times New Roman"/>
          <w:szCs w:val="24"/>
          <w:lang w:val="hu-HU"/>
        </w:rPr>
      </w:pPr>
    </w:p>
    <w:p w14:paraId="461A4C8B"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10.</w:t>
      </w:r>
      <w:r w:rsidRPr="004311F9">
        <w:rPr>
          <w:b/>
          <w:szCs w:val="24"/>
          <w:lang w:val="hu-HU"/>
        </w:rPr>
        <w:tab/>
        <w:t>KÜLÖNLEGES ÓVINTÉZKEDÉSEK A FEL NEM HASZNÁLT GYÓGYSZEREK VAGY AZ ILYEN TERMÉKEKBŐL KELETKEZETT HULLADÉKANYAGOK ÁRTALMATLANNÁ TÉTELÉRE, HA ILYENEKRE SZÜKSÉG VAN</w:t>
      </w:r>
    </w:p>
    <w:p w14:paraId="79F7568C" w14:textId="77777777" w:rsidR="008A332F" w:rsidRPr="004311F9" w:rsidRDefault="008A332F" w:rsidP="008A332F">
      <w:pPr>
        <w:spacing w:line="240" w:lineRule="auto"/>
        <w:rPr>
          <w:rFonts w:eastAsia="Times New Roman"/>
          <w:szCs w:val="24"/>
          <w:lang w:val="hu-HU"/>
        </w:rPr>
      </w:pPr>
    </w:p>
    <w:p w14:paraId="20C021D6" w14:textId="77777777" w:rsidR="008A332F" w:rsidRPr="004311F9" w:rsidRDefault="008A332F" w:rsidP="008A332F">
      <w:pPr>
        <w:spacing w:line="240" w:lineRule="auto"/>
        <w:rPr>
          <w:rFonts w:eastAsia="Times New Roman"/>
          <w:szCs w:val="24"/>
          <w:lang w:val="hu-HU"/>
        </w:rPr>
      </w:pPr>
    </w:p>
    <w:p w14:paraId="05DED4A7"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11.</w:t>
      </w:r>
      <w:r w:rsidRPr="004311F9">
        <w:rPr>
          <w:b/>
          <w:szCs w:val="24"/>
          <w:lang w:val="hu-HU"/>
        </w:rPr>
        <w:tab/>
        <w:t>A FORGALOMBA HOZATALI ENGEDÉLY JOGOSULTJÁNAK NEVE ÉS CÍME</w:t>
      </w:r>
    </w:p>
    <w:p w14:paraId="5090D033" w14:textId="77777777" w:rsidR="008A332F" w:rsidRPr="004311F9" w:rsidRDefault="008A332F" w:rsidP="008A332F">
      <w:pPr>
        <w:keepNext/>
        <w:spacing w:line="240" w:lineRule="auto"/>
        <w:rPr>
          <w:rFonts w:eastAsia="Times New Roman"/>
          <w:szCs w:val="24"/>
          <w:lang w:val="hu-HU"/>
        </w:rPr>
      </w:pPr>
    </w:p>
    <w:p w14:paraId="5E9023F2" w14:textId="77777777" w:rsidR="008A332F" w:rsidRPr="004311F9" w:rsidRDefault="008A332F" w:rsidP="008A332F">
      <w:pPr>
        <w:keepNext/>
        <w:spacing w:line="240" w:lineRule="auto"/>
        <w:rPr>
          <w:szCs w:val="24"/>
          <w:lang w:val="hu-HU"/>
        </w:rPr>
      </w:pPr>
      <w:r w:rsidRPr="004311F9">
        <w:rPr>
          <w:szCs w:val="24"/>
          <w:lang w:val="hu-HU"/>
        </w:rPr>
        <w:t>Swedish Orphan Biovitrum AB (publ)</w:t>
      </w:r>
    </w:p>
    <w:p w14:paraId="5ABFD893" w14:textId="77777777" w:rsidR="008A332F" w:rsidRPr="004311F9" w:rsidRDefault="008A332F" w:rsidP="008A332F">
      <w:pPr>
        <w:keepNext/>
        <w:spacing w:line="240" w:lineRule="auto"/>
        <w:rPr>
          <w:szCs w:val="24"/>
          <w:lang w:val="hu-HU"/>
        </w:rPr>
      </w:pPr>
      <w:r w:rsidRPr="004311F9">
        <w:rPr>
          <w:szCs w:val="24"/>
          <w:lang w:val="hu-HU"/>
        </w:rPr>
        <w:t>SE</w:t>
      </w:r>
      <w:r w:rsidRPr="004311F9">
        <w:rPr>
          <w:szCs w:val="24"/>
          <w:lang w:val="hu-HU"/>
        </w:rPr>
        <w:noBreakHyphen/>
        <w:t>112 76 Stockholm</w:t>
      </w:r>
    </w:p>
    <w:p w14:paraId="0CE45B31" w14:textId="77777777" w:rsidR="008A332F" w:rsidRPr="004311F9" w:rsidRDefault="008A332F" w:rsidP="008A332F">
      <w:pPr>
        <w:spacing w:line="240" w:lineRule="auto"/>
        <w:rPr>
          <w:szCs w:val="24"/>
          <w:lang w:val="hu-HU"/>
        </w:rPr>
      </w:pPr>
      <w:r w:rsidRPr="004311F9">
        <w:rPr>
          <w:szCs w:val="24"/>
          <w:lang w:val="hu-HU"/>
        </w:rPr>
        <w:t>Svédország</w:t>
      </w:r>
    </w:p>
    <w:p w14:paraId="2F8B2DD6" w14:textId="77777777" w:rsidR="008A332F" w:rsidRPr="004311F9" w:rsidRDefault="008A332F" w:rsidP="008A332F">
      <w:pPr>
        <w:spacing w:line="240" w:lineRule="auto"/>
        <w:rPr>
          <w:rFonts w:eastAsia="Times New Roman"/>
          <w:szCs w:val="24"/>
          <w:lang w:val="hu-HU"/>
        </w:rPr>
      </w:pPr>
    </w:p>
    <w:p w14:paraId="096A25B7" w14:textId="77777777" w:rsidR="008A332F" w:rsidRPr="004311F9" w:rsidRDefault="008A332F" w:rsidP="008A332F">
      <w:pPr>
        <w:spacing w:line="240" w:lineRule="auto"/>
        <w:rPr>
          <w:rFonts w:eastAsia="Times New Roman"/>
          <w:szCs w:val="24"/>
          <w:lang w:val="hu-HU"/>
        </w:rPr>
      </w:pPr>
    </w:p>
    <w:p w14:paraId="48358F15"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12.</w:t>
      </w:r>
      <w:r w:rsidRPr="004311F9">
        <w:rPr>
          <w:b/>
          <w:szCs w:val="24"/>
          <w:lang w:val="hu-HU"/>
        </w:rPr>
        <w:tab/>
        <w:t>A FORGALOMBA HOZATALI ENGEDÉLY SZÁMA(I)</w:t>
      </w:r>
    </w:p>
    <w:p w14:paraId="49BEFBE9" w14:textId="77777777" w:rsidR="008A332F" w:rsidRPr="004311F9" w:rsidRDefault="008A332F" w:rsidP="008A332F">
      <w:pPr>
        <w:spacing w:line="240" w:lineRule="auto"/>
        <w:rPr>
          <w:rFonts w:eastAsia="Times New Roman"/>
          <w:szCs w:val="24"/>
          <w:lang w:val="hu-HU"/>
        </w:rPr>
      </w:pPr>
    </w:p>
    <w:p w14:paraId="0CCD317F" w14:textId="77777777" w:rsidR="008A332F" w:rsidRPr="004311F9" w:rsidRDefault="008A332F" w:rsidP="008A332F">
      <w:pPr>
        <w:spacing w:line="240" w:lineRule="auto"/>
        <w:rPr>
          <w:lang w:val="hu-HU"/>
        </w:rPr>
      </w:pPr>
      <w:r w:rsidRPr="004311F9">
        <w:rPr>
          <w:lang w:val="hu-HU"/>
        </w:rPr>
        <w:t>EU/1/16/1098/003</w:t>
      </w:r>
    </w:p>
    <w:p w14:paraId="3108C96D" w14:textId="77777777" w:rsidR="008A332F" w:rsidRPr="004311F9" w:rsidRDefault="008A332F" w:rsidP="008A332F">
      <w:pPr>
        <w:spacing w:line="240" w:lineRule="auto"/>
        <w:rPr>
          <w:rFonts w:eastAsia="Times New Roman"/>
          <w:szCs w:val="24"/>
          <w:lang w:val="hu-HU"/>
        </w:rPr>
      </w:pPr>
    </w:p>
    <w:p w14:paraId="39243590" w14:textId="77777777" w:rsidR="008A332F" w:rsidRPr="004311F9" w:rsidRDefault="008A332F" w:rsidP="008A332F">
      <w:pPr>
        <w:spacing w:line="240" w:lineRule="auto"/>
        <w:rPr>
          <w:rFonts w:eastAsia="Times New Roman"/>
          <w:szCs w:val="24"/>
          <w:lang w:val="hu-HU"/>
        </w:rPr>
      </w:pPr>
    </w:p>
    <w:p w14:paraId="3D279C6C"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13.</w:t>
      </w:r>
      <w:r w:rsidRPr="004311F9">
        <w:rPr>
          <w:b/>
          <w:szCs w:val="24"/>
          <w:lang w:val="hu-HU"/>
        </w:rPr>
        <w:tab/>
        <w:t>A GYÁRTÁSI TÉTEL SZÁMA</w:t>
      </w:r>
    </w:p>
    <w:p w14:paraId="33A89D2C" w14:textId="77777777" w:rsidR="008A332F" w:rsidRPr="004311F9" w:rsidRDefault="008A332F" w:rsidP="008A332F">
      <w:pPr>
        <w:spacing w:line="240" w:lineRule="auto"/>
        <w:rPr>
          <w:rFonts w:eastAsia="Times New Roman"/>
          <w:i/>
          <w:szCs w:val="24"/>
          <w:lang w:val="hu-HU"/>
        </w:rPr>
      </w:pPr>
    </w:p>
    <w:p w14:paraId="66A274D4" w14:textId="77777777" w:rsidR="008A332F" w:rsidRPr="004311F9" w:rsidRDefault="008A332F" w:rsidP="008A332F">
      <w:pPr>
        <w:spacing w:line="240" w:lineRule="auto"/>
        <w:rPr>
          <w:szCs w:val="24"/>
          <w:lang w:val="hu-HU"/>
        </w:rPr>
      </w:pPr>
      <w:r w:rsidRPr="004311F9">
        <w:rPr>
          <w:szCs w:val="24"/>
          <w:lang w:val="hu-HU"/>
        </w:rPr>
        <w:t>Lot</w:t>
      </w:r>
    </w:p>
    <w:p w14:paraId="0168CCAD" w14:textId="77777777" w:rsidR="008A332F" w:rsidRPr="004311F9" w:rsidRDefault="008A332F" w:rsidP="008A332F">
      <w:pPr>
        <w:spacing w:line="240" w:lineRule="auto"/>
        <w:rPr>
          <w:rFonts w:eastAsia="Times New Roman"/>
          <w:szCs w:val="24"/>
          <w:lang w:val="hu-HU"/>
        </w:rPr>
      </w:pPr>
    </w:p>
    <w:p w14:paraId="2C80AC4A" w14:textId="77777777" w:rsidR="008A332F" w:rsidRPr="004311F9" w:rsidRDefault="008A332F" w:rsidP="008A332F">
      <w:pPr>
        <w:spacing w:line="240" w:lineRule="auto"/>
        <w:rPr>
          <w:rFonts w:eastAsia="Times New Roman"/>
          <w:szCs w:val="24"/>
          <w:lang w:val="hu-HU"/>
        </w:rPr>
      </w:pPr>
    </w:p>
    <w:p w14:paraId="5F5E6980"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14.</w:t>
      </w:r>
      <w:r w:rsidRPr="004311F9">
        <w:rPr>
          <w:b/>
          <w:szCs w:val="24"/>
          <w:lang w:val="hu-HU"/>
        </w:rPr>
        <w:tab/>
        <w:t>A GYÓGYSZER RENDELHETŐSÉGE</w:t>
      </w:r>
    </w:p>
    <w:p w14:paraId="440237F1" w14:textId="77777777" w:rsidR="008A332F" w:rsidRPr="004311F9" w:rsidRDefault="008A332F" w:rsidP="008A332F">
      <w:pPr>
        <w:spacing w:line="240" w:lineRule="auto"/>
        <w:rPr>
          <w:rFonts w:eastAsia="Times New Roman"/>
          <w:i/>
          <w:szCs w:val="24"/>
          <w:lang w:val="hu-HU"/>
        </w:rPr>
      </w:pPr>
    </w:p>
    <w:p w14:paraId="2428F204" w14:textId="77777777" w:rsidR="008A332F" w:rsidRPr="004311F9" w:rsidRDefault="008A332F" w:rsidP="008A332F">
      <w:pPr>
        <w:spacing w:line="240" w:lineRule="auto"/>
        <w:rPr>
          <w:rFonts w:eastAsia="Times New Roman"/>
          <w:szCs w:val="24"/>
          <w:lang w:val="hu-HU"/>
        </w:rPr>
      </w:pPr>
    </w:p>
    <w:p w14:paraId="51D958A5"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lastRenderedPageBreak/>
        <w:t>15.</w:t>
      </w:r>
      <w:r w:rsidRPr="004311F9">
        <w:rPr>
          <w:b/>
          <w:szCs w:val="24"/>
          <w:lang w:val="hu-HU"/>
        </w:rPr>
        <w:tab/>
        <w:t>AZ ALKALMAZÁSRA VONATKOZÓ UTASÍTÁSOK</w:t>
      </w:r>
    </w:p>
    <w:p w14:paraId="1A2A9FF0" w14:textId="77777777" w:rsidR="008A332F" w:rsidRPr="004311F9" w:rsidRDefault="008A332F" w:rsidP="008A332F">
      <w:pPr>
        <w:spacing w:line="240" w:lineRule="auto"/>
        <w:rPr>
          <w:rFonts w:eastAsia="Times New Roman"/>
          <w:szCs w:val="24"/>
          <w:lang w:val="hu-HU"/>
        </w:rPr>
      </w:pPr>
    </w:p>
    <w:p w14:paraId="70468689" w14:textId="77777777" w:rsidR="008A332F" w:rsidRPr="004311F9" w:rsidRDefault="008A332F" w:rsidP="008A332F">
      <w:pPr>
        <w:spacing w:line="240" w:lineRule="auto"/>
        <w:rPr>
          <w:rFonts w:eastAsia="Times New Roman"/>
          <w:szCs w:val="24"/>
          <w:lang w:val="hu-HU"/>
        </w:rPr>
      </w:pPr>
    </w:p>
    <w:p w14:paraId="5CA4397E"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16.</w:t>
      </w:r>
      <w:r w:rsidRPr="004311F9">
        <w:rPr>
          <w:b/>
          <w:szCs w:val="24"/>
          <w:lang w:val="hu-HU"/>
        </w:rPr>
        <w:tab/>
        <w:t>BRAILLE ÍRÁSSAL FELTÜNTETETT INFORMÁCIÓK</w:t>
      </w:r>
    </w:p>
    <w:p w14:paraId="233E7D34" w14:textId="77777777" w:rsidR="008A332F" w:rsidRPr="004311F9" w:rsidRDefault="008A332F" w:rsidP="008A332F">
      <w:pPr>
        <w:spacing w:line="240" w:lineRule="auto"/>
        <w:rPr>
          <w:rFonts w:eastAsia="Times New Roman"/>
          <w:szCs w:val="24"/>
          <w:lang w:val="hu-HU"/>
        </w:rPr>
      </w:pPr>
    </w:p>
    <w:p w14:paraId="43AF6AA2" w14:textId="77777777" w:rsidR="008A332F" w:rsidRPr="004311F9" w:rsidRDefault="008A332F" w:rsidP="008A332F">
      <w:pPr>
        <w:spacing w:line="240" w:lineRule="auto"/>
        <w:rPr>
          <w:rFonts w:eastAsia="Times New Roman"/>
          <w:lang w:val="hu-HU" w:eastAsia="en-US"/>
        </w:rPr>
      </w:pPr>
      <w:r w:rsidRPr="004311F9">
        <w:rPr>
          <w:rFonts w:eastAsia="Times New Roman"/>
          <w:lang w:val="hu-HU" w:eastAsia="en-US"/>
        </w:rPr>
        <w:t>ALPROLIX 1000</w:t>
      </w:r>
    </w:p>
    <w:p w14:paraId="755099FF" w14:textId="77777777" w:rsidR="008A332F" w:rsidRPr="004311F9" w:rsidRDefault="008A332F" w:rsidP="008A332F">
      <w:pPr>
        <w:spacing w:line="240" w:lineRule="auto"/>
        <w:rPr>
          <w:rFonts w:eastAsia="Times New Roman"/>
          <w:szCs w:val="24"/>
          <w:shd w:val="clear" w:color="auto" w:fill="CCCCCC"/>
          <w:lang w:val="hu-HU"/>
        </w:rPr>
      </w:pPr>
    </w:p>
    <w:p w14:paraId="3030D428" w14:textId="77777777" w:rsidR="008A332F" w:rsidRPr="004311F9" w:rsidRDefault="008A332F" w:rsidP="008A332F">
      <w:pPr>
        <w:spacing w:line="240" w:lineRule="auto"/>
        <w:rPr>
          <w:rFonts w:eastAsia="Times New Roman"/>
          <w:noProof/>
          <w:szCs w:val="22"/>
          <w:shd w:val="clear" w:color="auto" w:fill="CCCCCC"/>
          <w:lang w:val="hu-HU" w:eastAsia="en-US"/>
        </w:rPr>
      </w:pPr>
    </w:p>
    <w:p w14:paraId="5C47DA92"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17.</w:t>
      </w:r>
      <w:r w:rsidRPr="004311F9">
        <w:rPr>
          <w:b/>
          <w:szCs w:val="24"/>
          <w:lang w:val="hu-HU"/>
        </w:rPr>
        <w:tab/>
        <w:t>EGYEDI AZONOSÍTÓ – 2D VONALKÓD</w:t>
      </w:r>
    </w:p>
    <w:p w14:paraId="4B98FD49" w14:textId="77777777" w:rsidR="008A332F" w:rsidRPr="004311F9" w:rsidRDefault="008A332F" w:rsidP="008A332F">
      <w:pPr>
        <w:keepNext/>
        <w:tabs>
          <w:tab w:val="clear" w:pos="567"/>
        </w:tabs>
        <w:spacing w:line="240" w:lineRule="auto"/>
        <w:rPr>
          <w:rFonts w:eastAsia="Times New Roman"/>
          <w:noProof/>
          <w:szCs w:val="22"/>
          <w:lang w:val="hu-HU" w:eastAsia="en-US"/>
        </w:rPr>
      </w:pPr>
    </w:p>
    <w:p w14:paraId="4739C916" w14:textId="77777777" w:rsidR="008A332F" w:rsidRPr="004311F9" w:rsidRDefault="008A332F" w:rsidP="008A332F">
      <w:pPr>
        <w:spacing w:line="240" w:lineRule="auto"/>
        <w:rPr>
          <w:rFonts w:eastAsia="Times New Roman"/>
          <w:noProof/>
          <w:szCs w:val="22"/>
          <w:shd w:val="clear" w:color="auto" w:fill="CCCCCC"/>
          <w:lang w:val="hu-HU" w:eastAsia="en-US"/>
        </w:rPr>
      </w:pPr>
      <w:r w:rsidRPr="004311F9">
        <w:rPr>
          <w:rFonts w:eastAsia="Times New Roman"/>
          <w:noProof/>
          <w:szCs w:val="22"/>
          <w:shd w:val="clear" w:color="auto" w:fill="BFBFBF"/>
          <w:lang w:val="hu-HU" w:eastAsia="en-US"/>
        </w:rPr>
        <w:t>Egyedi azonosítójú 2D vonalkóddal ellátva.</w:t>
      </w:r>
    </w:p>
    <w:p w14:paraId="0EE43C98" w14:textId="77777777" w:rsidR="008A332F" w:rsidRPr="004311F9" w:rsidRDefault="008A332F" w:rsidP="008A332F">
      <w:pPr>
        <w:spacing w:line="240" w:lineRule="auto"/>
        <w:rPr>
          <w:rFonts w:eastAsia="Times New Roman"/>
          <w:noProof/>
          <w:szCs w:val="22"/>
          <w:shd w:val="clear" w:color="auto" w:fill="CCCCCC"/>
          <w:lang w:val="hu-HU" w:eastAsia="en-US"/>
        </w:rPr>
      </w:pPr>
    </w:p>
    <w:p w14:paraId="64F54066" w14:textId="77777777" w:rsidR="008A332F" w:rsidRPr="004311F9" w:rsidRDefault="008A332F" w:rsidP="008A332F">
      <w:pPr>
        <w:tabs>
          <w:tab w:val="clear" w:pos="567"/>
        </w:tabs>
        <w:spacing w:line="240" w:lineRule="auto"/>
        <w:rPr>
          <w:rFonts w:eastAsia="Times New Roman"/>
          <w:noProof/>
          <w:szCs w:val="22"/>
          <w:lang w:val="hu-HU" w:eastAsia="en-US"/>
        </w:rPr>
      </w:pPr>
    </w:p>
    <w:p w14:paraId="2FB47733"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18.</w:t>
      </w:r>
      <w:r w:rsidRPr="004311F9">
        <w:rPr>
          <w:b/>
          <w:szCs w:val="24"/>
          <w:lang w:val="hu-HU"/>
        </w:rPr>
        <w:tab/>
        <w:t>EGYEDI AZONOSÍTÓ OLVASHATÓ FORMÁTUMA</w:t>
      </w:r>
    </w:p>
    <w:p w14:paraId="394DB9D1" w14:textId="77777777" w:rsidR="008A332F" w:rsidRPr="004311F9" w:rsidRDefault="008A332F" w:rsidP="008A332F">
      <w:pPr>
        <w:keepNext/>
        <w:tabs>
          <w:tab w:val="clear" w:pos="567"/>
        </w:tabs>
        <w:spacing w:line="240" w:lineRule="auto"/>
        <w:rPr>
          <w:rFonts w:eastAsia="Times New Roman"/>
          <w:noProof/>
          <w:szCs w:val="22"/>
          <w:lang w:val="hu-HU" w:eastAsia="en-US"/>
        </w:rPr>
      </w:pPr>
    </w:p>
    <w:p w14:paraId="149B3D7A" w14:textId="36FD939C" w:rsidR="00FD6B4E" w:rsidRPr="004311F9" w:rsidRDefault="00FD6B4E" w:rsidP="00FD6B4E">
      <w:pPr>
        <w:keepNext/>
        <w:rPr>
          <w:rFonts w:eastAsia="Times New Roman"/>
          <w:szCs w:val="22"/>
          <w:lang w:val="hu-HU" w:eastAsia="en-US"/>
        </w:rPr>
      </w:pPr>
      <w:r w:rsidRPr="004311F9">
        <w:rPr>
          <w:rFonts w:eastAsia="Times New Roman"/>
          <w:szCs w:val="22"/>
          <w:lang w:val="hu-HU" w:eastAsia="en-US"/>
        </w:rPr>
        <w:t>PC</w:t>
      </w:r>
    </w:p>
    <w:p w14:paraId="22922B04" w14:textId="39148976" w:rsidR="00FD6B4E" w:rsidRPr="004311F9" w:rsidRDefault="00FD6B4E" w:rsidP="00FD6B4E">
      <w:pPr>
        <w:keepNext/>
        <w:rPr>
          <w:rFonts w:eastAsia="Times New Roman"/>
          <w:szCs w:val="22"/>
          <w:lang w:val="hu-HU" w:eastAsia="en-US"/>
        </w:rPr>
      </w:pPr>
      <w:r w:rsidRPr="004311F9">
        <w:rPr>
          <w:rFonts w:eastAsia="Times New Roman"/>
          <w:szCs w:val="22"/>
          <w:lang w:val="hu-HU" w:eastAsia="en-US"/>
        </w:rPr>
        <w:t>SN</w:t>
      </w:r>
    </w:p>
    <w:p w14:paraId="5C890D0C" w14:textId="63EA39C6" w:rsidR="00FD6B4E" w:rsidRPr="004311F9" w:rsidRDefault="00FD6B4E" w:rsidP="00FD6B4E">
      <w:pPr>
        <w:rPr>
          <w:rFonts w:eastAsia="Times New Roman"/>
          <w:szCs w:val="22"/>
          <w:lang w:val="hu-HU" w:eastAsia="en-US"/>
        </w:rPr>
      </w:pPr>
      <w:r w:rsidRPr="004311F9">
        <w:rPr>
          <w:rFonts w:eastAsia="Times New Roman"/>
          <w:szCs w:val="22"/>
          <w:lang w:val="hu-HU" w:eastAsia="en-US"/>
        </w:rPr>
        <w:t>NN</w:t>
      </w:r>
    </w:p>
    <w:p w14:paraId="00E5629B" w14:textId="77777777" w:rsidR="008A332F" w:rsidRPr="004311F9" w:rsidRDefault="008A332F" w:rsidP="008A332F">
      <w:pPr>
        <w:spacing w:line="240" w:lineRule="auto"/>
        <w:rPr>
          <w:rFonts w:eastAsia="Times New Roman"/>
          <w:noProof/>
          <w:vanish/>
          <w:szCs w:val="22"/>
          <w:lang w:val="hu-HU" w:eastAsia="en-US"/>
        </w:rPr>
      </w:pPr>
    </w:p>
    <w:p w14:paraId="7B04744D" w14:textId="77777777" w:rsidR="008A332F" w:rsidRPr="004311F9" w:rsidRDefault="008A332F" w:rsidP="008A332F">
      <w:pPr>
        <w:tabs>
          <w:tab w:val="clear" w:pos="567"/>
        </w:tabs>
        <w:spacing w:line="240" w:lineRule="auto"/>
        <w:rPr>
          <w:rFonts w:eastAsia="Times New Roman"/>
          <w:noProof/>
          <w:vanish/>
          <w:szCs w:val="22"/>
          <w:lang w:val="hu-HU" w:eastAsia="en-US"/>
        </w:rPr>
      </w:pPr>
    </w:p>
    <w:p w14:paraId="74EE9D50" w14:textId="77777777" w:rsidR="008A332F" w:rsidRPr="004311F9" w:rsidRDefault="008A332F" w:rsidP="008A332F">
      <w:pPr>
        <w:spacing w:line="240" w:lineRule="auto"/>
        <w:rPr>
          <w:rFonts w:eastAsia="Times New Roman"/>
          <w:szCs w:val="24"/>
          <w:lang w:val="hu-HU"/>
        </w:rPr>
      </w:pPr>
      <w:r w:rsidRPr="004311F9">
        <w:rPr>
          <w:rFonts w:eastAsia="Times New Roman"/>
          <w:szCs w:val="24"/>
          <w:shd w:val="clear" w:color="auto" w:fill="CCCCCC"/>
          <w:lang w:val="hu-HU"/>
        </w:rPr>
        <w:br w:type="page"/>
      </w:r>
    </w:p>
    <w:p w14:paraId="01160EA9" w14:textId="77777777" w:rsidR="008A332F" w:rsidRPr="004311F9" w:rsidRDefault="008A332F" w:rsidP="008A332F">
      <w:pPr>
        <w:pBdr>
          <w:top w:val="single" w:sz="4" w:space="1" w:color="auto"/>
          <w:left w:val="single" w:sz="4" w:space="4" w:color="auto"/>
          <w:bottom w:val="single" w:sz="4" w:space="1" w:color="auto"/>
          <w:right w:val="single" w:sz="4" w:space="4" w:color="auto"/>
        </w:pBdr>
        <w:spacing w:line="240" w:lineRule="auto"/>
        <w:rPr>
          <w:b/>
          <w:szCs w:val="24"/>
          <w:lang w:val="hu-HU"/>
        </w:rPr>
      </w:pPr>
      <w:r w:rsidRPr="004311F9">
        <w:rPr>
          <w:b/>
          <w:szCs w:val="24"/>
          <w:lang w:val="hu-HU"/>
        </w:rPr>
        <w:lastRenderedPageBreak/>
        <w:t>A KIS KÖZVETLEN CSOMAGOLÁSI EGYSÉGEKEN MINIMÁLISAN FELTÜNTETENDŐ ADATOK</w:t>
      </w:r>
    </w:p>
    <w:p w14:paraId="463D21F7" w14:textId="77777777" w:rsidR="008A332F" w:rsidRPr="004311F9" w:rsidRDefault="008A332F" w:rsidP="008A332F">
      <w:pPr>
        <w:pBdr>
          <w:top w:val="single" w:sz="4" w:space="1" w:color="auto"/>
          <w:left w:val="single" w:sz="4" w:space="4" w:color="auto"/>
          <w:bottom w:val="single" w:sz="4" w:space="1" w:color="auto"/>
          <w:right w:val="single" w:sz="4" w:space="4" w:color="auto"/>
        </w:pBdr>
        <w:spacing w:line="240" w:lineRule="auto"/>
        <w:rPr>
          <w:rFonts w:eastAsia="Times New Roman"/>
          <w:b/>
          <w:szCs w:val="24"/>
          <w:lang w:val="hu-HU"/>
        </w:rPr>
      </w:pPr>
    </w:p>
    <w:p w14:paraId="324CDFE4" w14:textId="77777777" w:rsidR="008A332F" w:rsidRPr="004311F9" w:rsidRDefault="008A332F" w:rsidP="008A332F">
      <w:pPr>
        <w:pBdr>
          <w:top w:val="single" w:sz="4" w:space="1" w:color="auto"/>
          <w:left w:val="single" w:sz="4" w:space="4" w:color="auto"/>
          <w:bottom w:val="single" w:sz="4" w:space="1" w:color="auto"/>
          <w:right w:val="single" w:sz="4" w:space="4" w:color="auto"/>
        </w:pBdr>
        <w:spacing w:line="240" w:lineRule="auto"/>
        <w:rPr>
          <w:b/>
          <w:szCs w:val="24"/>
          <w:lang w:val="hu-HU"/>
        </w:rPr>
      </w:pPr>
      <w:r w:rsidRPr="004311F9">
        <w:rPr>
          <w:b/>
          <w:szCs w:val="24"/>
          <w:lang w:val="hu-HU"/>
        </w:rPr>
        <w:t>AZ INJEKCIÓS ÜVEG CÍMKÉJE</w:t>
      </w:r>
    </w:p>
    <w:p w14:paraId="4A3606FE" w14:textId="77777777" w:rsidR="008A332F" w:rsidRPr="004311F9" w:rsidRDefault="008A332F" w:rsidP="008A332F">
      <w:pPr>
        <w:spacing w:line="240" w:lineRule="auto"/>
        <w:rPr>
          <w:rFonts w:eastAsia="Times New Roman"/>
          <w:szCs w:val="24"/>
          <w:lang w:val="hu-HU"/>
        </w:rPr>
      </w:pPr>
    </w:p>
    <w:p w14:paraId="15B71DF6" w14:textId="77777777" w:rsidR="008A332F" w:rsidRPr="004311F9" w:rsidRDefault="008A332F" w:rsidP="008A332F">
      <w:pPr>
        <w:spacing w:line="240" w:lineRule="auto"/>
        <w:rPr>
          <w:rFonts w:eastAsia="Times New Roman"/>
          <w:szCs w:val="24"/>
          <w:lang w:val="hu-HU"/>
        </w:rPr>
      </w:pPr>
    </w:p>
    <w:p w14:paraId="2D05181F"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1.</w:t>
      </w:r>
      <w:r w:rsidRPr="004311F9">
        <w:rPr>
          <w:b/>
          <w:szCs w:val="24"/>
          <w:lang w:val="hu-HU"/>
        </w:rPr>
        <w:tab/>
        <w:t>A GYÓGYSZER NEVE ÉS AZ ALKALMAZÁS MÓDJA(I)</w:t>
      </w:r>
    </w:p>
    <w:p w14:paraId="377B281E" w14:textId="77777777" w:rsidR="008A332F" w:rsidRPr="004311F9" w:rsidRDefault="008A332F" w:rsidP="008A332F">
      <w:pPr>
        <w:spacing w:line="240" w:lineRule="auto"/>
        <w:ind w:left="567" w:hanging="567"/>
        <w:rPr>
          <w:rFonts w:eastAsia="Times New Roman"/>
          <w:szCs w:val="24"/>
          <w:lang w:val="hu-HU"/>
        </w:rPr>
      </w:pPr>
    </w:p>
    <w:p w14:paraId="34ACCACA" w14:textId="77777777" w:rsidR="008A332F" w:rsidRPr="004311F9" w:rsidRDefault="008A332F" w:rsidP="008A332F">
      <w:pPr>
        <w:spacing w:line="240" w:lineRule="auto"/>
        <w:rPr>
          <w:rFonts w:eastAsia="Times New Roman"/>
          <w:shd w:val="clear" w:color="auto" w:fill="D9D9D9"/>
          <w:lang w:val="hu-HU" w:eastAsia="en-US"/>
        </w:rPr>
      </w:pPr>
      <w:r w:rsidRPr="004311F9">
        <w:rPr>
          <w:rFonts w:eastAsia="Times New Roman"/>
          <w:lang w:val="hu-HU" w:eastAsia="en-US"/>
        </w:rPr>
        <w:t>ALPROLIX 1000 NE por injekcióhoz</w:t>
      </w:r>
    </w:p>
    <w:p w14:paraId="40CFE925" w14:textId="77777777" w:rsidR="008A332F" w:rsidRPr="004311F9" w:rsidRDefault="008A332F" w:rsidP="008A332F">
      <w:pPr>
        <w:spacing w:line="240" w:lineRule="auto"/>
        <w:rPr>
          <w:rFonts w:eastAsia="Times New Roman"/>
          <w:szCs w:val="24"/>
          <w:lang w:val="hu-HU"/>
        </w:rPr>
      </w:pPr>
    </w:p>
    <w:p w14:paraId="032FFA8D" w14:textId="77777777" w:rsidR="008A332F" w:rsidRPr="004311F9" w:rsidRDefault="008A332F" w:rsidP="008A332F">
      <w:pPr>
        <w:spacing w:line="240" w:lineRule="auto"/>
        <w:rPr>
          <w:szCs w:val="24"/>
          <w:lang w:val="hu-HU"/>
        </w:rPr>
      </w:pPr>
      <w:r w:rsidRPr="004311F9">
        <w:rPr>
          <w:szCs w:val="22"/>
          <w:lang w:val="hu-HU"/>
        </w:rPr>
        <w:t xml:space="preserve">eftrenonacogum </w:t>
      </w:r>
      <w:r w:rsidRPr="004311F9">
        <w:rPr>
          <w:szCs w:val="24"/>
          <w:lang w:val="hu-HU"/>
        </w:rPr>
        <w:t>alfa</w:t>
      </w:r>
    </w:p>
    <w:p w14:paraId="62AB98FC" w14:textId="77777777" w:rsidR="008A332F" w:rsidRPr="004311F9" w:rsidRDefault="008A332F" w:rsidP="008A332F">
      <w:pPr>
        <w:spacing w:line="240" w:lineRule="auto"/>
        <w:rPr>
          <w:szCs w:val="24"/>
          <w:lang w:val="hu-HU"/>
        </w:rPr>
      </w:pPr>
      <w:r w:rsidRPr="004311F9">
        <w:rPr>
          <w:szCs w:val="24"/>
          <w:lang w:val="hu-HU"/>
        </w:rPr>
        <w:t>rekombináns IX</w:t>
      </w:r>
      <w:r w:rsidRPr="004311F9">
        <w:rPr>
          <w:szCs w:val="24"/>
          <w:lang w:val="hu-HU"/>
        </w:rPr>
        <w:noBreakHyphen/>
        <w:t>es alvadási faktor</w:t>
      </w:r>
    </w:p>
    <w:p w14:paraId="6C18EA5E" w14:textId="77777777" w:rsidR="008A332F" w:rsidRPr="004311F9" w:rsidRDefault="008A332F" w:rsidP="008A332F">
      <w:pPr>
        <w:spacing w:line="240" w:lineRule="auto"/>
        <w:rPr>
          <w:szCs w:val="24"/>
          <w:lang w:val="hu-HU"/>
        </w:rPr>
      </w:pPr>
      <w:r w:rsidRPr="004311F9">
        <w:rPr>
          <w:szCs w:val="24"/>
          <w:lang w:val="hu-HU"/>
        </w:rPr>
        <w:t>iv.</w:t>
      </w:r>
    </w:p>
    <w:p w14:paraId="12E3FB6E" w14:textId="77777777" w:rsidR="008A332F" w:rsidRPr="004311F9" w:rsidRDefault="008A332F" w:rsidP="008A332F">
      <w:pPr>
        <w:spacing w:line="240" w:lineRule="auto"/>
        <w:rPr>
          <w:rFonts w:eastAsia="Times New Roman"/>
          <w:szCs w:val="24"/>
          <w:lang w:val="hu-HU"/>
        </w:rPr>
      </w:pPr>
    </w:p>
    <w:p w14:paraId="4F31785C" w14:textId="77777777" w:rsidR="008A332F" w:rsidRPr="004311F9" w:rsidRDefault="008A332F" w:rsidP="008A332F">
      <w:pPr>
        <w:spacing w:line="240" w:lineRule="auto"/>
        <w:rPr>
          <w:rFonts w:eastAsia="Times New Roman"/>
          <w:szCs w:val="24"/>
          <w:lang w:val="hu-HU"/>
        </w:rPr>
      </w:pPr>
    </w:p>
    <w:p w14:paraId="37E3539D"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2.</w:t>
      </w:r>
      <w:r w:rsidRPr="004311F9">
        <w:rPr>
          <w:b/>
          <w:szCs w:val="24"/>
          <w:lang w:val="hu-HU"/>
        </w:rPr>
        <w:tab/>
        <w:t>AZ ALKALMAZÁSSAL KAPCSOLATOS TUDNIVALÓK</w:t>
      </w:r>
    </w:p>
    <w:p w14:paraId="270B80FC" w14:textId="77777777" w:rsidR="008A332F" w:rsidRPr="004311F9" w:rsidRDefault="008A332F" w:rsidP="008A332F">
      <w:pPr>
        <w:spacing w:line="240" w:lineRule="auto"/>
        <w:rPr>
          <w:rFonts w:eastAsia="Times New Roman"/>
          <w:szCs w:val="24"/>
          <w:lang w:val="hu-HU"/>
        </w:rPr>
      </w:pPr>
    </w:p>
    <w:p w14:paraId="7F5FF9F1" w14:textId="77777777" w:rsidR="008A332F" w:rsidRPr="004311F9" w:rsidRDefault="008A332F" w:rsidP="008A332F">
      <w:pPr>
        <w:spacing w:line="240" w:lineRule="auto"/>
        <w:rPr>
          <w:rFonts w:eastAsia="Times New Roman"/>
          <w:szCs w:val="24"/>
          <w:lang w:val="hu-HU"/>
        </w:rPr>
      </w:pPr>
    </w:p>
    <w:p w14:paraId="20048DCF"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3.</w:t>
      </w:r>
      <w:r w:rsidRPr="004311F9">
        <w:rPr>
          <w:b/>
          <w:szCs w:val="24"/>
          <w:lang w:val="hu-HU"/>
        </w:rPr>
        <w:tab/>
        <w:t>LEJÁRATI IDŐ</w:t>
      </w:r>
    </w:p>
    <w:p w14:paraId="69C11065" w14:textId="77777777" w:rsidR="008A332F" w:rsidRPr="004311F9" w:rsidRDefault="008A332F" w:rsidP="008A332F">
      <w:pPr>
        <w:spacing w:line="240" w:lineRule="auto"/>
        <w:rPr>
          <w:rFonts w:eastAsia="Times New Roman"/>
          <w:szCs w:val="24"/>
          <w:lang w:val="hu-HU"/>
        </w:rPr>
      </w:pPr>
    </w:p>
    <w:p w14:paraId="2E9ED67F" w14:textId="77777777" w:rsidR="008A332F" w:rsidRPr="004311F9" w:rsidRDefault="008A332F" w:rsidP="008A332F">
      <w:pPr>
        <w:spacing w:line="240" w:lineRule="auto"/>
        <w:rPr>
          <w:szCs w:val="24"/>
          <w:lang w:val="hu-HU"/>
        </w:rPr>
      </w:pPr>
      <w:r w:rsidRPr="004311F9">
        <w:rPr>
          <w:szCs w:val="24"/>
          <w:lang w:val="hu-HU"/>
        </w:rPr>
        <w:t>EXP</w:t>
      </w:r>
    </w:p>
    <w:p w14:paraId="1E979DE1" w14:textId="77777777" w:rsidR="008A332F" w:rsidRPr="004311F9" w:rsidRDefault="008A332F" w:rsidP="008A332F">
      <w:pPr>
        <w:spacing w:line="240" w:lineRule="auto"/>
        <w:rPr>
          <w:rFonts w:eastAsia="Times New Roman"/>
          <w:szCs w:val="24"/>
          <w:lang w:val="hu-HU"/>
        </w:rPr>
      </w:pPr>
    </w:p>
    <w:p w14:paraId="39908F1D" w14:textId="77777777" w:rsidR="008A332F" w:rsidRPr="004311F9" w:rsidRDefault="008A332F" w:rsidP="008A332F">
      <w:pPr>
        <w:spacing w:line="240" w:lineRule="auto"/>
        <w:rPr>
          <w:rFonts w:eastAsia="Times New Roman"/>
          <w:szCs w:val="24"/>
          <w:lang w:val="hu-HU"/>
        </w:rPr>
      </w:pPr>
    </w:p>
    <w:p w14:paraId="79CF2539"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4.</w:t>
      </w:r>
      <w:r w:rsidRPr="004311F9">
        <w:rPr>
          <w:b/>
          <w:szCs w:val="24"/>
          <w:lang w:val="hu-HU"/>
        </w:rPr>
        <w:tab/>
        <w:t>A GYÁRTÁSI TÉTEL SZÁMA</w:t>
      </w:r>
    </w:p>
    <w:p w14:paraId="1AD3E5CF" w14:textId="77777777" w:rsidR="008A332F" w:rsidRPr="004311F9" w:rsidRDefault="008A332F" w:rsidP="008A332F">
      <w:pPr>
        <w:spacing w:line="240" w:lineRule="auto"/>
        <w:ind w:right="113"/>
        <w:rPr>
          <w:rFonts w:eastAsia="Times New Roman"/>
          <w:szCs w:val="24"/>
          <w:lang w:val="hu-HU"/>
        </w:rPr>
      </w:pPr>
    </w:p>
    <w:p w14:paraId="4E23F178" w14:textId="77777777" w:rsidR="008A332F" w:rsidRPr="004311F9" w:rsidRDefault="008A332F" w:rsidP="008A332F">
      <w:pPr>
        <w:spacing w:line="240" w:lineRule="auto"/>
        <w:ind w:right="113"/>
        <w:rPr>
          <w:szCs w:val="24"/>
          <w:lang w:val="hu-HU"/>
        </w:rPr>
      </w:pPr>
      <w:r w:rsidRPr="004311F9">
        <w:rPr>
          <w:szCs w:val="24"/>
          <w:lang w:val="hu-HU"/>
        </w:rPr>
        <w:t>Lot</w:t>
      </w:r>
    </w:p>
    <w:p w14:paraId="53F35612" w14:textId="77777777" w:rsidR="008A332F" w:rsidRPr="004311F9" w:rsidRDefault="008A332F" w:rsidP="008A332F">
      <w:pPr>
        <w:spacing w:line="240" w:lineRule="auto"/>
        <w:ind w:right="113"/>
        <w:rPr>
          <w:rFonts w:eastAsia="Times New Roman"/>
          <w:szCs w:val="24"/>
          <w:lang w:val="hu-HU"/>
        </w:rPr>
      </w:pPr>
    </w:p>
    <w:p w14:paraId="3939C356" w14:textId="77777777" w:rsidR="008A332F" w:rsidRPr="004311F9" w:rsidRDefault="008A332F" w:rsidP="008A332F">
      <w:pPr>
        <w:spacing w:line="240" w:lineRule="auto"/>
        <w:ind w:right="113"/>
        <w:rPr>
          <w:rFonts w:eastAsia="Times New Roman"/>
          <w:szCs w:val="24"/>
          <w:lang w:val="hu-HU"/>
        </w:rPr>
      </w:pPr>
    </w:p>
    <w:p w14:paraId="78078910"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5.</w:t>
      </w:r>
      <w:r w:rsidRPr="004311F9">
        <w:rPr>
          <w:b/>
          <w:szCs w:val="24"/>
          <w:lang w:val="hu-HU"/>
        </w:rPr>
        <w:tab/>
        <w:t>A TARTALOM SÚLYRA, TÉRFOGATRA, VAGY EGYSÉGRE VONATKOZTATVA</w:t>
      </w:r>
    </w:p>
    <w:p w14:paraId="54222E50" w14:textId="77777777" w:rsidR="008A332F" w:rsidRPr="004311F9" w:rsidRDefault="008A332F" w:rsidP="008A332F">
      <w:pPr>
        <w:spacing w:line="240" w:lineRule="auto"/>
        <w:ind w:right="113"/>
        <w:rPr>
          <w:rFonts w:eastAsia="Times New Roman"/>
          <w:szCs w:val="24"/>
          <w:lang w:val="hu-HU"/>
        </w:rPr>
      </w:pPr>
    </w:p>
    <w:p w14:paraId="11810EF7" w14:textId="77777777" w:rsidR="008A332F" w:rsidRPr="004311F9" w:rsidRDefault="008A332F" w:rsidP="008A332F">
      <w:pPr>
        <w:spacing w:line="240" w:lineRule="auto"/>
        <w:rPr>
          <w:rFonts w:eastAsia="Times New Roman"/>
          <w:shd w:val="clear" w:color="auto" w:fill="D9D9D9"/>
          <w:lang w:val="hu-HU" w:eastAsia="en-US"/>
        </w:rPr>
      </w:pPr>
      <w:r w:rsidRPr="004311F9">
        <w:rPr>
          <w:rFonts w:eastAsia="Times New Roman"/>
          <w:shd w:val="clear" w:color="auto" w:fill="D9D9D9"/>
          <w:lang w:val="hu-HU" w:eastAsia="en-US"/>
        </w:rPr>
        <w:t>1000 NE</w:t>
      </w:r>
    </w:p>
    <w:p w14:paraId="1B2BAB98" w14:textId="77777777" w:rsidR="008A332F" w:rsidRPr="004311F9" w:rsidRDefault="008A332F" w:rsidP="008A332F">
      <w:pPr>
        <w:spacing w:line="240" w:lineRule="auto"/>
        <w:ind w:right="113"/>
        <w:rPr>
          <w:rFonts w:eastAsia="Times New Roman"/>
          <w:szCs w:val="24"/>
          <w:lang w:val="hu-HU"/>
        </w:rPr>
      </w:pPr>
    </w:p>
    <w:p w14:paraId="7562ACCC" w14:textId="77777777" w:rsidR="008A332F" w:rsidRPr="004311F9" w:rsidRDefault="008A332F" w:rsidP="008A332F">
      <w:pPr>
        <w:spacing w:line="240" w:lineRule="auto"/>
        <w:ind w:right="113"/>
        <w:rPr>
          <w:rFonts w:eastAsia="Times New Roman"/>
          <w:szCs w:val="24"/>
          <w:lang w:val="hu-HU"/>
        </w:rPr>
      </w:pPr>
    </w:p>
    <w:p w14:paraId="658C125B"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6.</w:t>
      </w:r>
      <w:r w:rsidRPr="004311F9">
        <w:rPr>
          <w:b/>
          <w:szCs w:val="24"/>
          <w:lang w:val="hu-HU"/>
        </w:rPr>
        <w:tab/>
        <w:t>EGYÉB INFORMÁCIÓK</w:t>
      </w:r>
    </w:p>
    <w:p w14:paraId="49A91DD3" w14:textId="77777777" w:rsidR="008A332F" w:rsidRPr="004311F9" w:rsidRDefault="008A332F" w:rsidP="008A332F">
      <w:pPr>
        <w:keepNext/>
        <w:spacing w:line="240" w:lineRule="auto"/>
        <w:ind w:right="113"/>
        <w:rPr>
          <w:rFonts w:eastAsia="Times New Roman"/>
          <w:szCs w:val="24"/>
          <w:lang w:val="hu-HU"/>
        </w:rPr>
      </w:pPr>
    </w:p>
    <w:p w14:paraId="77EA0FA6" w14:textId="77777777" w:rsidR="008A332F" w:rsidRPr="004311F9" w:rsidRDefault="008A332F" w:rsidP="008A332F">
      <w:pPr>
        <w:spacing w:line="240" w:lineRule="auto"/>
        <w:ind w:right="113"/>
        <w:rPr>
          <w:rFonts w:eastAsia="Times New Roman"/>
          <w:szCs w:val="24"/>
          <w:lang w:val="hu-HU"/>
        </w:rPr>
      </w:pPr>
    </w:p>
    <w:p w14:paraId="2EE396F6" w14:textId="77777777" w:rsidR="008A332F" w:rsidRPr="004311F9" w:rsidRDefault="008A332F" w:rsidP="008A332F">
      <w:pPr>
        <w:pBdr>
          <w:top w:val="single" w:sz="4" w:space="1" w:color="auto"/>
          <w:left w:val="single" w:sz="4" w:space="4" w:color="auto"/>
          <w:bottom w:val="single" w:sz="4" w:space="1" w:color="auto"/>
          <w:right w:val="single" w:sz="4" w:space="4" w:color="auto"/>
        </w:pBdr>
        <w:spacing w:line="240" w:lineRule="auto"/>
        <w:rPr>
          <w:b/>
          <w:szCs w:val="24"/>
          <w:lang w:val="hu-HU"/>
        </w:rPr>
      </w:pPr>
      <w:r w:rsidRPr="004311F9">
        <w:rPr>
          <w:b/>
          <w:szCs w:val="24"/>
          <w:lang w:val="hu-HU"/>
        </w:rPr>
        <w:br w:type="page"/>
      </w:r>
      <w:r w:rsidRPr="004311F9">
        <w:rPr>
          <w:b/>
          <w:szCs w:val="24"/>
          <w:lang w:val="hu-HU"/>
        </w:rPr>
        <w:lastRenderedPageBreak/>
        <w:t>A KÜLSŐ CSOMAGOLÁSON FELTÜNTETENDŐ ADATOK</w:t>
      </w:r>
    </w:p>
    <w:p w14:paraId="6C2333EE" w14:textId="77777777" w:rsidR="008A332F" w:rsidRPr="004311F9" w:rsidRDefault="008A332F" w:rsidP="008A332F">
      <w:pPr>
        <w:pBdr>
          <w:top w:val="single" w:sz="4" w:space="1" w:color="auto"/>
          <w:left w:val="single" w:sz="4" w:space="4" w:color="auto"/>
          <w:bottom w:val="single" w:sz="4" w:space="1" w:color="auto"/>
          <w:right w:val="single" w:sz="4" w:space="4" w:color="auto"/>
        </w:pBdr>
        <w:spacing w:line="240" w:lineRule="auto"/>
        <w:ind w:left="567" w:hanging="567"/>
        <w:rPr>
          <w:rFonts w:eastAsia="Times New Roman"/>
          <w:b/>
          <w:szCs w:val="24"/>
          <w:lang w:val="hu-HU"/>
        </w:rPr>
      </w:pPr>
    </w:p>
    <w:p w14:paraId="1D8C2620" w14:textId="77777777" w:rsidR="008A332F" w:rsidRPr="004311F9" w:rsidRDefault="008A332F" w:rsidP="008A332F">
      <w:pPr>
        <w:pBdr>
          <w:top w:val="single" w:sz="4" w:space="1" w:color="auto"/>
          <w:left w:val="single" w:sz="4" w:space="4" w:color="auto"/>
          <w:bottom w:val="single" w:sz="4" w:space="1" w:color="auto"/>
          <w:right w:val="single" w:sz="4" w:space="4" w:color="auto"/>
        </w:pBdr>
        <w:spacing w:line="240" w:lineRule="auto"/>
        <w:rPr>
          <w:b/>
          <w:szCs w:val="24"/>
          <w:lang w:val="hu-HU"/>
        </w:rPr>
      </w:pPr>
      <w:r w:rsidRPr="004311F9">
        <w:rPr>
          <w:b/>
          <w:szCs w:val="24"/>
          <w:lang w:val="hu-HU"/>
        </w:rPr>
        <w:t>DOBOZ</w:t>
      </w:r>
    </w:p>
    <w:p w14:paraId="249F6C6C" w14:textId="77777777" w:rsidR="008A332F" w:rsidRPr="004311F9" w:rsidRDefault="008A332F" w:rsidP="008A332F">
      <w:pPr>
        <w:spacing w:line="240" w:lineRule="auto"/>
        <w:rPr>
          <w:rFonts w:eastAsia="Times New Roman"/>
          <w:szCs w:val="24"/>
          <w:lang w:val="hu-HU"/>
        </w:rPr>
      </w:pPr>
    </w:p>
    <w:p w14:paraId="130F3A10" w14:textId="77777777" w:rsidR="008A332F" w:rsidRPr="004311F9" w:rsidRDefault="008A332F" w:rsidP="008A332F">
      <w:pPr>
        <w:spacing w:line="240" w:lineRule="auto"/>
        <w:rPr>
          <w:rFonts w:eastAsia="Times New Roman"/>
          <w:szCs w:val="24"/>
          <w:lang w:val="hu-HU"/>
        </w:rPr>
      </w:pPr>
    </w:p>
    <w:p w14:paraId="4A332E96"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1.</w:t>
      </w:r>
      <w:r w:rsidRPr="004311F9">
        <w:rPr>
          <w:b/>
          <w:szCs w:val="24"/>
          <w:lang w:val="hu-HU"/>
        </w:rPr>
        <w:tab/>
        <w:t>A GYÓGYSZER NEVE</w:t>
      </w:r>
    </w:p>
    <w:p w14:paraId="288F01DE" w14:textId="77777777" w:rsidR="008A332F" w:rsidRPr="004311F9" w:rsidRDefault="008A332F" w:rsidP="008A332F">
      <w:pPr>
        <w:spacing w:line="240" w:lineRule="auto"/>
        <w:rPr>
          <w:rFonts w:eastAsia="Times New Roman"/>
          <w:szCs w:val="24"/>
          <w:lang w:val="hu-HU"/>
        </w:rPr>
      </w:pPr>
    </w:p>
    <w:p w14:paraId="6903A729" w14:textId="77777777" w:rsidR="008A332F" w:rsidRPr="004311F9" w:rsidRDefault="008A332F" w:rsidP="008A332F">
      <w:pPr>
        <w:spacing w:line="240" w:lineRule="auto"/>
        <w:rPr>
          <w:rFonts w:eastAsia="Times New Roman"/>
          <w:shd w:val="clear" w:color="auto" w:fill="D9D9D9"/>
          <w:lang w:val="hu-HU" w:eastAsia="en-US"/>
        </w:rPr>
      </w:pPr>
      <w:r w:rsidRPr="004311F9">
        <w:rPr>
          <w:rFonts w:eastAsia="Times New Roman"/>
          <w:lang w:val="hu-HU" w:eastAsia="en-US"/>
        </w:rPr>
        <w:t>ALPROLIX 2000 NE por és oldószer oldatos injekcióhoz</w:t>
      </w:r>
    </w:p>
    <w:p w14:paraId="2165F012" w14:textId="77777777" w:rsidR="008A332F" w:rsidRPr="004311F9" w:rsidRDefault="008A332F" w:rsidP="008A332F">
      <w:pPr>
        <w:spacing w:line="240" w:lineRule="auto"/>
        <w:rPr>
          <w:szCs w:val="22"/>
          <w:lang w:val="hu-HU"/>
        </w:rPr>
      </w:pPr>
    </w:p>
    <w:p w14:paraId="28285650" w14:textId="1C757ADD" w:rsidR="00FD6B4E" w:rsidRPr="004311F9" w:rsidRDefault="00FD6B4E" w:rsidP="00FD6B4E">
      <w:pPr>
        <w:spacing w:line="240" w:lineRule="auto"/>
        <w:rPr>
          <w:szCs w:val="24"/>
          <w:lang w:val="hu-HU"/>
        </w:rPr>
      </w:pPr>
      <w:r w:rsidRPr="004311F9">
        <w:rPr>
          <w:szCs w:val="22"/>
          <w:lang w:val="hu-HU"/>
        </w:rPr>
        <w:t xml:space="preserve">eftrenonacogum </w:t>
      </w:r>
      <w:r w:rsidRPr="004311F9">
        <w:rPr>
          <w:szCs w:val="24"/>
          <w:lang w:val="hu-HU"/>
        </w:rPr>
        <w:t>alfa (rekombináns IX</w:t>
      </w:r>
      <w:r w:rsidRPr="004311F9">
        <w:rPr>
          <w:szCs w:val="24"/>
          <w:lang w:val="hu-HU"/>
        </w:rPr>
        <w:noBreakHyphen/>
        <w:t>es alvadási faktor, Fc fúziós fehérje)</w:t>
      </w:r>
    </w:p>
    <w:p w14:paraId="1D2A01DD" w14:textId="77777777" w:rsidR="008A332F" w:rsidRPr="004311F9" w:rsidRDefault="008A332F" w:rsidP="008A332F">
      <w:pPr>
        <w:spacing w:line="240" w:lineRule="auto"/>
        <w:rPr>
          <w:rFonts w:eastAsia="Times New Roman"/>
          <w:szCs w:val="24"/>
          <w:lang w:val="hu-HU"/>
        </w:rPr>
      </w:pPr>
    </w:p>
    <w:p w14:paraId="6F963161" w14:textId="77777777" w:rsidR="008A332F" w:rsidRPr="004311F9" w:rsidRDefault="008A332F" w:rsidP="008A332F">
      <w:pPr>
        <w:spacing w:line="240" w:lineRule="auto"/>
        <w:rPr>
          <w:rFonts w:eastAsia="Times New Roman"/>
          <w:szCs w:val="24"/>
          <w:lang w:val="hu-HU"/>
        </w:rPr>
      </w:pPr>
    </w:p>
    <w:p w14:paraId="6FF15BFC"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2.</w:t>
      </w:r>
      <w:r w:rsidRPr="004311F9">
        <w:rPr>
          <w:b/>
          <w:szCs w:val="24"/>
          <w:lang w:val="hu-HU"/>
        </w:rPr>
        <w:tab/>
        <w:t>HATÓANYAG(OK) MEGNEVEZÉSE</w:t>
      </w:r>
    </w:p>
    <w:p w14:paraId="1962B53B" w14:textId="77777777" w:rsidR="008A332F" w:rsidRPr="004311F9" w:rsidRDefault="008A332F" w:rsidP="008A332F">
      <w:pPr>
        <w:spacing w:line="240" w:lineRule="auto"/>
        <w:rPr>
          <w:rFonts w:eastAsia="Times New Roman"/>
          <w:szCs w:val="24"/>
          <w:lang w:val="hu-HU"/>
        </w:rPr>
      </w:pPr>
    </w:p>
    <w:p w14:paraId="0655A3D0" w14:textId="77777777" w:rsidR="008A332F" w:rsidRPr="004311F9" w:rsidRDefault="008A332F" w:rsidP="008A332F">
      <w:pPr>
        <w:spacing w:line="240" w:lineRule="auto"/>
        <w:rPr>
          <w:rFonts w:eastAsia="Times New Roman"/>
          <w:shd w:val="clear" w:color="auto" w:fill="D9D9D9"/>
          <w:lang w:val="hu-HU" w:eastAsia="en-US"/>
        </w:rPr>
      </w:pPr>
      <w:r w:rsidRPr="004311F9">
        <w:rPr>
          <w:rFonts w:eastAsia="Times New Roman"/>
          <w:lang w:val="hu-HU" w:eastAsia="en-US"/>
        </w:rPr>
        <w:t>Por: 2000 NE eftrenonacogum alfa (feloldás után körülbelül 400 NE/ml),</w:t>
      </w:r>
    </w:p>
    <w:p w14:paraId="40218BCC" w14:textId="77777777" w:rsidR="008A332F" w:rsidRPr="004311F9" w:rsidRDefault="008A332F" w:rsidP="008A332F">
      <w:pPr>
        <w:spacing w:line="240" w:lineRule="auto"/>
        <w:rPr>
          <w:rFonts w:eastAsia="Times New Roman"/>
          <w:szCs w:val="24"/>
          <w:lang w:val="hu-HU"/>
        </w:rPr>
      </w:pPr>
    </w:p>
    <w:p w14:paraId="61FCE806" w14:textId="77777777" w:rsidR="008A332F" w:rsidRPr="004311F9" w:rsidRDefault="008A332F" w:rsidP="008A332F">
      <w:pPr>
        <w:spacing w:line="240" w:lineRule="auto"/>
        <w:rPr>
          <w:rFonts w:eastAsia="Times New Roman"/>
          <w:szCs w:val="24"/>
          <w:lang w:val="hu-HU"/>
        </w:rPr>
      </w:pPr>
    </w:p>
    <w:p w14:paraId="3E5E22FE"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3.</w:t>
      </w:r>
      <w:r w:rsidRPr="004311F9">
        <w:rPr>
          <w:b/>
          <w:szCs w:val="24"/>
          <w:lang w:val="hu-HU"/>
        </w:rPr>
        <w:tab/>
        <w:t>SEGÉDANYAGOK FELSOROLÁSA</w:t>
      </w:r>
    </w:p>
    <w:p w14:paraId="3C714AEE" w14:textId="77777777" w:rsidR="008A332F" w:rsidRPr="004311F9" w:rsidRDefault="008A332F" w:rsidP="008A332F">
      <w:pPr>
        <w:spacing w:line="240" w:lineRule="auto"/>
        <w:rPr>
          <w:rFonts w:eastAsia="Times New Roman"/>
          <w:szCs w:val="24"/>
          <w:lang w:val="hu-HU"/>
        </w:rPr>
      </w:pPr>
    </w:p>
    <w:p w14:paraId="61547270" w14:textId="77777777" w:rsidR="008A332F" w:rsidRPr="004311F9" w:rsidRDefault="008A332F" w:rsidP="008A332F">
      <w:pPr>
        <w:autoSpaceDE w:val="0"/>
        <w:autoSpaceDN w:val="0"/>
        <w:adjustRightInd w:val="0"/>
        <w:spacing w:line="240" w:lineRule="auto"/>
        <w:rPr>
          <w:szCs w:val="24"/>
          <w:lang w:val="hu-HU"/>
        </w:rPr>
      </w:pPr>
      <w:r w:rsidRPr="004311F9">
        <w:rPr>
          <w:rFonts w:eastAsia="Times New Roman"/>
          <w:shd w:val="clear" w:color="auto" w:fill="D9D9D9"/>
          <w:lang w:val="hu-HU" w:eastAsia="en-US"/>
        </w:rPr>
        <w:t>Por:</w:t>
      </w:r>
    </w:p>
    <w:p w14:paraId="7FB714B1" w14:textId="2120A58E" w:rsidR="008A332F" w:rsidRPr="004311F9" w:rsidRDefault="008A332F" w:rsidP="008A332F">
      <w:pPr>
        <w:autoSpaceDE w:val="0"/>
        <w:autoSpaceDN w:val="0"/>
        <w:adjustRightInd w:val="0"/>
        <w:spacing w:line="240" w:lineRule="auto"/>
        <w:rPr>
          <w:szCs w:val="24"/>
          <w:lang w:val="hu-HU"/>
        </w:rPr>
      </w:pPr>
      <w:r w:rsidRPr="004311F9">
        <w:rPr>
          <w:szCs w:val="24"/>
          <w:lang w:val="hu-HU"/>
        </w:rPr>
        <w:t>szacharóz, hisztidin, mannit, poliszorbát 20, nátrium</w:t>
      </w:r>
      <w:r w:rsidRPr="004311F9">
        <w:rPr>
          <w:szCs w:val="24"/>
          <w:lang w:val="hu-HU"/>
        </w:rPr>
        <w:noBreakHyphen/>
        <w:t>hidroxid, sósav</w:t>
      </w:r>
    </w:p>
    <w:p w14:paraId="2DA1BA9F" w14:textId="77777777" w:rsidR="008A332F" w:rsidRPr="004311F9" w:rsidRDefault="008A332F" w:rsidP="008A332F">
      <w:pPr>
        <w:autoSpaceDE w:val="0"/>
        <w:autoSpaceDN w:val="0"/>
        <w:adjustRightInd w:val="0"/>
        <w:spacing w:line="240" w:lineRule="auto"/>
        <w:rPr>
          <w:rFonts w:eastAsia="Times New Roman"/>
          <w:szCs w:val="24"/>
          <w:lang w:val="hu-HU"/>
        </w:rPr>
      </w:pPr>
    </w:p>
    <w:p w14:paraId="1F58AD68" w14:textId="77777777" w:rsidR="00FD6B4E" w:rsidRPr="004311F9" w:rsidRDefault="00FD6B4E" w:rsidP="00FD6B4E">
      <w:pPr>
        <w:keepNext/>
        <w:autoSpaceDE w:val="0"/>
        <w:autoSpaceDN w:val="0"/>
        <w:adjustRightInd w:val="0"/>
        <w:spacing w:line="240" w:lineRule="auto"/>
        <w:rPr>
          <w:szCs w:val="24"/>
          <w:lang w:val="hu-HU"/>
        </w:rPr>
      </w:pPr>
      <w:r w:rsidRPr="004311F9">
        <w:rPr>
          <w:szCs w:val="24"/>
          <w:lang w:val="hu-HU"/>
        </w:rPr>
        <w:t>Oldószer:</w:t>
      </w:r>
    </w:p>
    <w:p w14:paraId="4E24944E" w14:textId="7C7BFBDE" w:rsidR="00FD6B4E" w:rsidRPr="004311F9" w:rsidRDefault="00FD6B4E" w:rsidP="00FD6B4E">
      <w:pPr>
        <w:autoSpaceDE w:val="0"/>
        <w:autoSpaceDN w:val="0"/>
        <w:adjustRightInd w:val="0"/>
        <w:spacing w:line="240" w:lineRule="auto"/>
        <w:rPr>
          <w:szCs w:val="24"/>
          <w:lang w:val="hu-HU"/>
        </w:rPr>
      </w:pPr>
      <w:r w:rsidRPr="004311F9">
        <w:rPr>
          <w:szCs w:val="24"/>
          <w:lang w:val="hu-HU"/>
        </w:rPr>
        <w:t>nátrium</w:t>
      </w:r>
      <w:r w:rsidRPr="004311F9">
        <w:rPr>
          <w:szCs w:val="24"/>
          <w:lang w:val="hu-HU"/>
        </w:rPr>
        <w:noBreakHyphen/>
        <w:t>klorid, injekcióhoz való víz</w:t>
      </w:r>
    </w:p>
    <w:p w14:paraId="289E7EFE" w14:textId="77777777" w:rsidR="008A332F" w:rsidRPr="004311F9" w:rsidRDefault="008A332F" w:rsidP="008A332F">
      <w:pPr>
        <w:autoSpaceDE w:val="0"/>
        <w:autoSpaceDN w:val="0"/>
        <w:adjustRightInd w:val="0"/>
        <w:spacing w:line="240" w:lineRule="auto"/>
        <w:rPr>
          <w:rFonts w:eastAsia="Times New Roman"/>
          <w:szCs w:val="24"/>
          <w:lang w:val="hu-HU"/>
        </w:rPr>
      </w:pPr>
    </w:p>
    <w:p w14:paraId="637A99A2" w14:textId="77777777" w:rsidR="008A332F" w:rsidRPr="004311F9" w:rsidRDefault="008A332F" w:rsidP="008A332F">
      <w:pPr>
        <w:autoSpaceDE w:val="0"/>
        <w:autoSpaceDN w:val="0"/>
        <w:adjustRightInd w:val="0"/>
        <w:spacing w:line="240" w:lineRule="auto"/>
        <w:rPr>
          <w:rFonts w:eastAsia="Times New Roman"/>
          <w:szCs w:val="24"/>
          <w:lang w:val="hu-HU"/>
        </w:rPr>
      </w:pPr>
    </w:p>
    <w:p w14:paraId="7164C101"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4.</w:t>
      </w:r>
      <w:r w:rsidRPr="004311F9">
        <w:rPr>
          <w:b/>
          <w:szCs w:val="24"/>
          <w:lang w:val="hu-HU"/>
        </w:rPr>
        <w:tab/>
        <w:t>GYÓGYSZERFORMA ÉS TARTALOM</w:t>
      </w:r>
    </w:p>
    <w:p w14:paraId="414D2572" w14:textId="77777777" w:rsidR="008A332F" w:rsidRPr="004311F9" w:rsidRDefault="008A332F" w:rsidP="008A332F">
      <w:pPr>
        <w:keepNext/>
        <w:spacing w:line="240" w:lineRule="auto"/>
        <w:rPr>
          <w:rFonts w:eastAsia="Times New Roman"/>
          <w:szCs w:val="24"/>
          <w:lang w:val="hu-HU"/>
        </w:rPr>
      </w:pPr>
    </w:p>
    <w:p w14:paraId="47A25769" w14:textId="77777777" w:rsidR="008A332F" w:rsidRPr="004311F9" w:rsidRDefault="008A332F" w:rsidP="008A332F">
      <w:pPr>
        <w:keepNext/>
        <w:spacing w:line="240" w:lineRule="auto"/>
        <w:rPr>
          <w:rFonts w:eastAsia="Times New Roman"/>
          <w:lang w:val="hu-HU" w:eastAsia="en-US"/>
        </w:rPr>
      </w:pPr>
      <w:r w:rsidRPr="004311F9">
        <w:rPr>
          <w:rFonts w:eastAsia="Times New Roman"/>
          <w:shd w:val="clear" w:color="auto" w:fill="D9D9D9"/>
          <w:lang w:val="hu-HU" w:eastAsia="en-US"/>
        </w:rPr>
        <w:t>Por és oldószer oldatos injekcióhoz.</w:t>
      </w:r>
    </w:p>
    <w:p w14:paraId="3A003E8C" w14:textId="77777777" w:rsidR="008A332F" w:rsidRPr="004311F9" w:rsidRDefault="008A332F" w:rsidP="008A332F">
      <w:pPr>
        <w:keepNext/>
        <w:spacing w:line="240" w:lineRule="auto"/>
        <w:rPr>
          <w:rFonts w:eastAsia="Times New Roman"/>
          <w:szCs w:val="24"/>
          <w:lang w:val="hu-HU"/>
        </w:rPr>
      </w:pPr>
    </w:p>
    <w:p w14:paraId="366C4DD0" w14:textId="77777777" w:rsidR="008A332F" w:rsidRPr="004311F9" w:rsidRDefault="008A332F" w:rsidP="008A332F">
      <w:pPr>
        <w:spacing w:line="240" w:lineRule="auto"/>
        <w:rPr>
          <w:szCs w:val="24"/>
          <w:lang w:val="hu-HU"/>
        </w:rPr>
      </w:pPr>
      <w:r w:rsidRPr="004311F9">
        <w:rPr>
          <w:szCs w:val="24"/>
          <w:lang w:val="hu-HU"/>
        </w:rPr>
        <w:t>Tartalom: 1 db port tartalmazó injekciós üveg, 5 ml oldószer előretöltött fecskendőben, 1 db dugattyúrúd, 1 db injekciós üveg adapter, 1 db infúziós szerelék, 2 db alkoholos törlő, 2 db ragtapasz, 1 db gézlap.</w:t>
      </w:r>
    </w:p>
    <w:p w14:paraId="73F1ECF1" w14:textId="77777777" w:rsidR="008A332F" w:rsidRPr="004311F9" w:rsidRDefault="008A332F" w:rsidP="008A332F">
      <w:pPr>
        <w:spacing w:line="240" w:lineRule="auto"/>
        <w:rPr>
          <w:rFonts w:eastAsia="Times New Roman"/>
          <w:szCs w:val="24"/>
          <w:lang w:val="hu-HU"/>
        </w:rPr>
      </w:pPr>
    </w:p>
    <w:p w14:paraId="231BC53A" w14:textId="77777777" w:rsidR="008A332F" w:rsidRPr="004311F9" w:rsidRDefault="008A332F" w:rsidP="008A332F">
      <w:pPr>
        <w:spacing w:line="240" w:lineRule="auto"/>
        <w:rPr>
          <w:rFonts w:eastAsia="Times New Roman"/>
          <w:szCs w:val="24"/>
          <w:lang w:val="hu-HU"/>
        </w:rPr>
      </w:pPr>
    </w:p>
    <w:p w14:paraId="7B69F64B"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5.</w:t>
      </w:r>
      <w:r w:rsidRPr="004311F9">
        <w:rPr>
          <w:b/>
          <w:szCs w:val="24"/>
          <w:lang w:val="hu-HU"/>
        </w:rPr>
        <w:tab/>
        <w:t>AZ ALKALMAZÁSSAL KAPCSOLATOS TUDNIVALÓK ÉS AZ ALKALMAZÁS MÓDJA(I)</w:t>
      </w:r>
    </w:p>
    <w:p w14:paraId="2B1A8C3D" w14:textId="77777777" w:rsidR="008A332F" w:rsidRPr="004311F9" w:rsidRDefault="008A332F" w:rsidP="008A332F">
      <w:pPr>
        <w:spacing w:line="240" w:lineRule="auto"/>
        <w:rPr>
          <w:rFonts w:eastAsia="Times New Roman"/>
          <w:szCs w:val="24"/>
          <w:lang w:val="hu-HU"/>
        </w:rPr>
      </w:pPr>
    </w:p>
    <w:p w14:paraId="3482D6B4" w14:textId="77777777" w:rsidR="008A332F" w:rsidRPr="004311F9" w:rsidRDefault="008A332F" w:rsidP="008A332F">
      <w:pPr>
        <w:spacing w:line="240" w:lineRule="auto"/>
        <w:rPr>
          <w:szCs w:val="24"/>
          <w:lang w:val="hu-HU"/>
        </w:rPr>
      </w:pPr>
      <w:r w:rsidRPr="004311F9">
        <w:rPr>
          <w:szCs w:val="24"/>
          <w:lang w:val="hu-HU"/>
        </w:rPr>
        <w:t>Feloldás után intravénás alkalmazás.</w:t>
      </w:r>
    </w:p>
    <w:p w14:paraId="1A73895D" w14:textId="77777777" w:rsidR="008A332F" w:rsidRPr="004311F9" w:rsidRDefault="008A332F" w:rsidP="008A332F">
      <w:pPr>
        <w:spacing w:line="240" w:lineRule="auto"/>
        <w:rPr>
          <w:szCs w:val="24"/>
          <w:lang w:val="hu-HU"/>
        </w:rPr>
      </w:pPr>
      <w:r w:rsidRPr="004311F9">
        <w:rPr>
          <w:szCs w:val="24"/>
          <w:lang w:val="hu-HU"/>
        </w:rPr>
        <w:t>Használat előtt olvassa el a mellékelt betegtájékoztatót!</w:t>
      </w:r>
    </w:p>
    <w:p w14:paraId="5D6983AF" w14:textId="77777777" w:rsidR="008A332F" w:rsidRPr="004311F9" w:rsidRDefault="008A332F" w:rsidP="008A332F">
      <w:pPr>
        <w:spacing w:line="240" w:lineRule="auto"/>
        <w:rPr>
          <w:rFonts w:eastAsia="Times New Roman"/>
          <w:szCs w:val="24"/>
          <w:lang w:val="hu-HU"/>
        </w:rPr>
      </w:pPr>
    </w:p>
    <w:p w14:paraId="33EDB4AE" w14:textId="77777777" w:rsidR="008A332F" w:rsidRPr="004311F9" w:rsidRDefault="008A332F" w:rsidP="008A332F">
      <w:pPr>
        <w:spacing w:line="240" w:lineRule="auto"/>
        <w:rPr>
          <w:rFonts w:eastAsia="Times New Roman"/>
          <w:szCs w:val="24"/>
          <w:lang w:val="hu-HU"/>
        </w:rPr>
      </w:pPr>
      <w:r w:rsidRPr="004311F9">
        <w:rPr>
          <w:szCs w:val="24"/>
          <w:lang w:val="hu-HU"/>
        </w:rPr>
        <w:t>Az ALPROLIX elkészítésének és beadásának módjáról szóló oktatófilm elérhető a QR</w:t>
      </w:r>
      <w:r w:rsidRPr="004311F9">
        <w:rPr>
          <w:szCs w:val="24"/>
          <w:lang w:val="hu-HU"/>
        </w:rPr>
        <w:noBreakHyphen/>
        <w:t>kód okostelefonnal történő beolvasásával, vagy az internetes honlapon</w:t>
      </w:r>
    </w:p>
    <w:p w14:paraId="41394476" w14:textId="77777777" w:rsidR="008A332F" w:rsidRPr="004311F9" w:rsidRDefault="008A332F" w:rsidP="008A332F">
      <w:pPr>
        <w:spacing w:line="240" w:lineRule="auto"/>
        <w:rPr>
          <w:rFonts w:eastAsia="Times New Roman"/>
          <w:szCs w:val="24"/>
          <w:lang w:val="hu-HU"/>
        </w:rPr>
      </w:pPr>
    </w:p>
    <w:p w14:paraId="4D04471F" w14:textId="77777777" w:rsidR="008A332F" w:rsidRPr="004311F9" w:rsidRDefault="008A332F" w:rsidP="008A332F">
      <w:pPr>
        <w:spacing w:line="240" w:lineRule="auto"/>
        <w:rPr>
          <w:sz w:val="23"/>
          <w:lang w:val="hu-HU"/>
        </w:rPr>
      </w:pPr>
      <w:r w:rsidRPr="004311F9">
        <w:rPr>
          <w:rFonts w:eastAsia="Times New Roman"/>
          <w:shd w:val="clear" w:color="auto" w:fill="D9D9D9"/>
          <w:lang w:val="hu-HU" w:eastAsia="en-US"/>
        </w:rPr>
        <w:t>Be kell illeszteni a QR</w:t>
      </w:r>
      <w:r w:rsidRPr="004311F9">
        <w:rPr>
          <w:rFonts w:eastAsia="Times New Roman"/>
          <w:shd w:val="clear" w:color="auto" w:fill="D9D9D9"/>
          <w:lang w:val="hu-HU" w:eastAsia="en-US"/>
        </w:rPr>
        <w:noBreakHyphen/>
        <w:t>kódot +</w:t>
      </w:r>
      <w:r w:rsidRPr="004311F9">
        <w:rPr>
          <w:lang w:val="hu-HU"/>
        </w:rPr>
        <w:t xml:space="preserve"> </w:t>
      </w:r>
      <w:hyperlink r:id="rId28" w:history="1">
        <w:r w:rsidRPr="004311F9">
          <w:rPr>
            <w:rStyle w:val="Hyperlink"/>
            <w:lang w:val="hu-HU"/>
          </w:rPr>
          <w:t>http://www.alprolix-instructions.com</w:t>
        </w:r>
      </w:hyperlink>
      <w:r w:rsidRPr="004311F9">
        <w:rPr>
          <w:lang w:val="hu-HU"/>
        </w:rPr>
        <w:t xml:space="preserve"> </w:t>
      </w:r>
    </w:p>
    <w:p w14:paraId="38294B73" w14:textId="77777777" w:rsidR="008A332F" w:rsidRPr="004311F9" w:rsidRDefault="008A332F" w:rsidP="008A332F">
      <w:pPr>
        <w:spacing w:line="240" w:lineRule="auto"/>
        <w:rPr>
          <w:rFonts w:eastAsia="Times New Roman"/>
          <w:szCs w:val="24"/>
          <w:lang w:val="hu-HU"/>
        </w:rPr>
      </w:pPr>
    </w:p>
    <w:p w14:paraId="234056CB" w14:textId="77777777" w:rsidR="008A332F" w:rsidRPr="004311F9" w:rsidRDefault="008A332F" w:rsidP="008A332F">
      <w:pPr>
        <w:spacing w:line="240" w:lineRule="auto"/>
        <w:rPr>
          <w:rFonts w:eastAsia="Times New Roman"/>
          <w:szCs w:val="24"/>
          <w:lang w:val="hu-HU"/>
        </w:rPr>
      </w:pPr>
    </w:p>
    <w:p w14:paraId="764E5F51"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6.</w:t>
      </w:r>
      <w:r w:rsidRPr="004311F9">
        <w:rPr>
          <w:b/>
          <w:szCs w:val="24"/>
          <w:lang w:val="hu-HU"/>
        </w:rPr>
        <w:tab/>
        <w:t>KÜLÖN FIGYELMEZTETÉS, MELY SZERINT A GYÓGYSZERT GYERMEKEKTŐL ELZÁRVA KELL TARTANI</w:t>
      </w:r>
    </w:p>
    <w:p w14:paraId="37ABA1C2" w14:textId="77777777" w:rsidR="008A332F" w:rsidRPr="004311F9" w:rsidRDefault="008A332F" w:rsidP="008A332F">
      <w:pPr>
        <w:spacing w:line="240" w:lineRule="auto"/>
        <w:rPr>
          <w:rFonts w:eastAsia="Times New Roman"/>
          <w:szCs w:val="24"/>
          <w:lang w:val="hu-HU"/>
        </w:rPr>
      </w:pPr>
    </w:p>
    <w:p w14:paraId="4E6968B7" w14:textId="77777777" w:rsidR="008A332F" w:rsidRPr="004311F9" w:rsidRDefault="008A332F" w:rsidP="008A332F">
      <w:pPr>
        <w:spacing w:line="240" w:lineRule="auto"/>
        <w:rPr>
          <w:rFonts w:eastAsia="Times New Roman"/>
          <w:szCs w:val="24"/>
          <w:lang w:val="hu-HU"/>
        </w:rPr>
      </w:pPr>
      <w:r w:rsidRPr="004311F9">
        <w:rPr>
          <w:szCs w:val="24"/>
          <w:lang w:val="hu-HU"/>
        </w:rPr>
        <w:lastRenderedPageBreak/>
        <w:t>A gyógyszer gyermekektől elzárva tartandó!</w:t>
      </w:r>
    </w:p>
    <w:p w14:paraId="3CE31B22" w14:textId="77777777" w:rsidR="008A332F" w:rsidRPr="004311F9" w:rsidRDefault="008A332F" w:rsidP="008A332F">
      <w:pPr>
        <w:spacing w:line="240" w:lineRule="auto"/>
        <w:rPr>
          <w:rFonts w:eastAsia="Times New Roman"/>
          <w:szCs w:val="24"/>
          <w:lang w:val="hu-HU"/>
        </w:rPr>
      </w:pPr>
    </w:p>
    <w:p w14:paraId="6F94BB58" w14:textId="77777777" w:rsidR="008A332F" w:rsidRPr="004311F9" w:rsidRDefault="008A332F" w:rsidP="008A332F">
      <w:pPr>
        <w:spacing w:line="240" w:lineRule="auto"/>
        <w:rPr>
          <w:rFonts w:eastAsia="Times New Roman"/>
          <w:szCs w:val="24"/>
          <w:lang w:val="hu-HU"/>
        </w:rPr>
      </w:pPr>
    </w:p>
    <w:p w14:paraId="37E41090"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7.</w:t>
      </w:r>
      <w:r w:rsidRPr="004311F9">
        <w:rPr>
          <w:b/>
          <w:szCs w:val="24"/>
          <w:lang w:val="hu-HU"/>
        </w:rPr>
        <w:tab/>
        <w:t>TOVÁBBI FIGYELMEZTETÉS(EK), AMENNYIBEN SZÜKSÉGES</w:t>
      </w:r>
    </w:p>
    <w:p w14:paraId="435C25E0" w14:textId="77777777" w:rsidR="008A332F" w:rsidRPr="004311F9" w:rsidRDefault="008A332F" w:rsidP="008A332F">
      <w:pPr>
        <w:spacing w:line="240" w:lineRule="auto"/>
        <w:rPr>
          <w:rFonts w:eastAsia="Times New Roman"/>
          <w:szCs w:val="24"/>
          <w:lang w:val="hu-HU"/>
        </w:rPr>
      </w:pPr>
    </w:p>
    <w:p w14:paraId="4125D9BE" w14:textId="77777777" w:rsidR="008A332F" w:rsidRPr="004311F9" w:rsidRDefault="008A332F" w:rsidP="008A332F">
      <w:pPr>
        <w:spacing w:line="240" w:lineRule="auto"/>
        <w:rPr>
          <w:rFonts w:eastAsia="Times New Roman"/>
          <w:szCs w:val="24"/>
          <w:lang w:val="hu-HU"/>
        </w:rPr>
      </w:pPr>
    </w:p>
    <w:p w14:paraId="641F1FEB"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8.</w:t>
      </w:r>
      <w:r w:rsidRPr="004311F9">
        <w:rPr>
          <w:b/>
          <w:szCs w:val="24"/>
          <w:lang w:val="hu-HU"/>
        </w:rPr>
        <w:tab/>
        <w:t>LEJÁRATI IDŐ</w:t>
      </w:r>
    </w:p>
    <w:p w14:paraId="191868AB" w14:textId="77777777" w:rsidR="008A332F" w:rsidRPr="004311F9" w:rsidRDefault="008A332F" w:rsidP="008A332F">
      <w:pPr>
        <w:spacing w:line="240" w:lineRule="auto"/>
        <w:rPr>
          <w:rFonts w:eastAsia="Times New Roman"/>
          <w:szCs w:val="24"/>
          <w:lang w:val="hu-HU"/>
        </w:rPr>
      </w:pPr>
    </w:p>
    <w:p w14:paraId="587429FB" w14:textId="77777777" w:rsidR="008A332F" w:rsidRPr="004311F9" w:rsidRDefault="008A332F" w:rsidP="008A332F">
      <w:pPr>
        <w:spacing w:line="240" w:lineRule="auto"/>
        <w:rPr>
          <w:szCs w:val="24"/>
          <w:lang w:val="hu-HU"/>
        </w:rPr>
      </w:pPr>
      <w:r w:rsidRPr="004311F9">
        <w:rPr>
          <w:szCs w:val="24"/>
          <w:lang w:val="hu-HU"/>
        </w:rPr>
        <w:t>EXP</w:t>
      </w:r>
    </w:p>
    <w:p w14:paraId="7B7B756C" w14:textId="77777777" w:rsidR="008A332F" w:rsidRPr="004311F9" w:rsidRDefault="008A332F" w:rsidP="008A332F">
      <w:pPr>
        <w:spacing w:line="240" w:lineRule="auto"/>
        <w:rPr>
          <w:rFonts w:eastAsia="Times New Roman"/>
          <w:szCs w:val="24"/>
          <w:lang w:val="hu-HU"/>
        </w:rPr>
      </w:pPr>
    </w:p>
    <w:p w14:paraId="4A549802" w14:textId="77777777" w:rsidR="008A332F" w:rsidRPr="004311F9" w:rsidRDefault="008A332F" w:rsidP="008A332F">
      <w:pPr>
        <w:spacing w:line="240" w:lineRule="auto"/>
        <w:rPr>
          <w:szCs w:val="24"/>
          <w:lang w:val="hu-HU"/>
        </w:rPr>
      </w:pPr>
      <w:r w:rsidRPr="004311F9">
        <w:rPr>
          <w:szCs w:val="24"/>
          <w:lang w:val="hu-HU"/>
        </w:rPr>
        <w:t>A feloldást követő 6 órán belül fel kell használni.</w:t>
      </w:r>
    </w:p>
    <w:p w14:paraId="2A587499" w14:textId="77777777" w:rsidR="008A332F" w:rsidRPr="004311F9" w:rsidRDefault="008A332F" w:rsidP="008A332F">
      <w:pPr>
        <w:spacing w:line="240" w:lineRule="auto"/>
        <w:rPr>
          <w:rFonts w:eastAsia="Times New Roman"/>
          <w:szCs w:val="24"/>
          <w:lang w:val="hu-HU"/>
        </w:rPr>
      </w:pPr>
    </w:p>
    <w:p w14:paraId="1E7DCC54" w14:textId="77777777" w:rsidR="008A332F" w:rsidRPr="004311F9" w:rsidRDefault="008A332F" w:rsidP="008A332F">
      <w:pPr>
        <w:spacing w:line="240" w:lineRule="auto"/>
        <w:rPr>
          <w:rFonts w:eastAsia="Times New Roman"/>
          <w:szCs w:val="24"/>
          <w:lang w:val="hu-HU"/>
        </w:rPr>
      </w:pPr>
    </w:p>
    <w:p w14:paraId="5B147593"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9.</w:t>
      </w:r>
      <w:r w:rsidRPr="004311F9">
        <w:rPr>
          <w:b/>
          <w:szCs w:val="24"/>
          <w:lang w:val="hu-HU"/>
        </w:rPr>
        <w:tab/>
        <w:t>KÜLÖNLEGES TÁROLÁSI ELŐÍRÁSOK</w:t>
      </w:r>
    </w:p>
    <w:p w14:paraId="3AEF780C" w14:textId="77777777" w:rsidR="008A332F" w:rsidRPr="004311F9" w:rsidRDefault="008A332F" w:rsidP="008A332F">
      <w:pPr>
        <w:spacing w:line="240" w:lineRule="auto"/>
        <w:rPr>
          <w:rFonts w:eastAsia="Times New Roman"/>
          <w:szCs w:val="24"/>
          <w:lang w:val="hu-HU"/>
        </w:rPr>
      </w:pPr>
    </w:p>
    <w:p w14:paraId="0FDD3091" w14:textId="77777777" w:rsidR="008A332F" w:rsidRPr="004311F9" w:rsidRDefault="008A332F" w:rsidP="008A332F">
      <w:pPr>
        <w:spacing w:line="240" w:lineRule="auto"/>
        <w:rPr>
          <w:szCs w:val="24"/>
          <w:lang w:val="hu-HU"/>
        </w:rPr>
      </w:pPr>
      <w:r w:rsidRPr="004311F9">
        <w:rPr>
          <w:szCs w:val="24"/>
          <w:lang w:val="hu-HU"/>
        </w:rPr>
        <w:t>Az injekciós üveget a fénytől való védelem érdekében tartsa a dobozában.</w:t>
      </w:r>
    </w:p>
    <w:p w14:paraId="339CD3BD" w14:textId="77777777" w:rsidR="008A332F" w:rsidRPr="004311F9" w:rsidRDefault="008A332F" w:rsidP="008A332F">
      <w:pPr>
        <w:spacing w:line="240" w:lineRule="auto"/>
        <w:rPr>
          <w:szCs w:val="24"/>
          <w:lang w:val="hu-HU"/>
        </w:rPr>
      </w:pPr>
      <w:r w:rsidRPr="004311F9">
        <w:rPr>
          <w:szCs w:val="24"/>
          <w:lang w:val="hu-HU"/>
        </w:rPr>
        <w:t>Hűtőszekrényben tárolandó.</w:t>
      </w:r>
    </w:p>
    <w:p w14:paraId="2273C1D1" w14:textId="77777777" w:rsidR="008A332F" w:rsidRPr="004311F9" w:rsidRDefault="008A332F" w:rsidP="008A332F">
      <w:pPr>
        <w:spacing w:line="240" w:lineRule="auto"/>
        <w:rPr>
          <w:szCs w:val="24"/>
          <w:lang w:val="hu-HU"/>
        </w:rPr>
      </w:pPr>
      <w:r w:rsidRPr="004311F9">
        <w:rPr>
          <w:szCs w:val="24"/>
          <w:lang w:val="hu-HU"/>
        </w:rPr>
        <w:t>Nem fagyasztható!</w:t>
      </w:r>
    </w:p>
    <w:p w14:paraId="4DDF45B1" w14:textId="77777777" w:rsidR="008A332F" w:rsidRPr="004311F9" w:rsidRDefault="008A332F" w:rsidP="008A332F">
      <w:pPr>
        <w:spacing w:line="240" w:lineRule="auto"/>
        <w:rPr>
          <w:szCs w:val="24"/>
          <w:lang w:val="hu-HU"/>
        </w:rPr>
      </w:pPr>
      <w:r w:rsidRPr="004311F9">
        <w:rPr>
          <w:szCs w:val="24"/>
          <w:lang w:val="hu-HU"/>
        </w:rPr>
        <w:t>Szobahőmérsékleten (legfeljebb 30 °C</w:t>
      </w:r>
      <w:r w:rsidRPr="004311F9">
        <w:rPr>
          <w:szCs w:val="24"/>
          <w:lang w:val="hu-HU"/>
        </w:rPr>
        <w:noBreakHyphen/>
        <w:t xml:space="preserve">on) tárolható legfeljebb 6 hónapos egyszeri időtartamban. Szobahőmérsékleten történt tárolása után tilos visszatenni a hűtőszekrénybe. </w:t>
      </w:r>
    </w:p>
    <w:p w14:paraId="09817E2E" w14:textId="77777777" w:rsidR="008A332F" w:rsidRPr="004311F9" w:rsidRDefault="008A332F" w:rsidP="008A332F">
      <w:pPr>
        <w:spacing w:line="240" w:lineRule="auto"/>
        <w:rPr>
          <w:szCs w:val="24"/>
          <w:lang w:val="hu-HU"/>
        </w:rPr>
      </w:pPr>
      <w:r w:rsidRPr="004311F9">
        <w:rPr>
          <w:szCs w:val="24"/>
          <w:lang w:val="hu-HU"/>
        </w:rPr>
        <w:t>Hűtőszekrényből való kivétel dátuma:</w:t>
      </w:r>
    </w:p>
    <w:p w14:paraId="47D26D3F" w14:textId="77777777" w:rsidR="008A332F" w:rsidRPr="004311F9" w:rsidRDefault="008A332F" w:rsidP="008A332F">
      <w:pPr>
        <w:spacing w:line="240" w:lineRule="auto"/>
        <w:rPr>
          <w:rFonts w:eastAsia="Times New Roman"/>
          <w:szCs w:val="24"/>
          <w:lang w:val="hu-HU"/>
        </w:rPr>
      </w:pPr>
    </w:p>
    <w:p w14:paraId="6EB5EF1D" w14:textId="77777777" w:rsidR="008A332F" w:rsidRPr="004311F9" w:rsidRDefault="008A332F" w:rsidP="008A332F">
      <w:pPr>
        <w:spacing w:line="240" w:lineRule="auto"/>
        <w:ind w:left="567" w:hanging="567"/>
        <w:rPr>
          <w:rFonts w:eastAsia="Times New Roman"/>
          <w:szCs w:val="24"/>
          <w:lang w:val="hu-HU"/>
        </w:rPr>
      </w:pPr>
    </w:p>
    <w:p w14:paraId="54A31495"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10.</w:t>
      </w:r>
      <w:r w:rsidRPr="004311F9">
        <w:rPr>
          <w:b/>
          <w:szCs w:val="24"/>
          <w:lang w:val="hu-HU"/>
        </w:rPr>
        <w:tab/>
        <w:t>KÜLÖNLEGES ÓVINTÉZKEDÉSEK A FEL NEM HASZNÁLT GYÓGYSZEREK VAGY AZ ILYEN TERMÉKEKBŐL KELETKEZETT HULLADÉKANYAGOK ÁRTALMATLANNÁ TÉTELÉRE, HA ILYENEKRE SZÜKSÉG VAN</w:t>
      </w:r>
    </w:p>
    <w:p w14:paraId="0F598B72" w14:textId="77777777" w:rsidR="008A332F" w:rsidRPr="004311F9" w:rsidRDefault="008A332F" w:rsidP="008A332F">
      <w:pPr>
        <w:spacing w:line="240" w:lineRule="auto"/>
        <w:rPr>
          <w:rFonts w:eastAsia="Times New Roman"/>
          <w:szCs w:val="24"/>
          <w:lang w:val="hu-HU"/>
        </w:rPr>
      </w:pPr>
    </w:p>
    <w:p w14:paraId="79475CCB" w14:textId="77777777" w:rsidR="008A332F" w:rsidRPr="004311F9" w:rsidRDefault="008A332F" w:rsidP="008A332F">
      <w:pPr>
        <w:spacing w:line="240" w:lineRule="auto"/>
        <w:rPr>
          <w:rFonts w:eastAsia="Times New Roman"/>
          <w:szCs w:val="24"/>
          <w:lang w:val="hu-HU"/>
        </w:rPr>
      </w:pPr>
    </w:p>
    <w:p w14:paraId="41BFC36B"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11.</w:t>
      </w:r>
      <w:r w:rsidRPr="004311F9">
        <w:rPr>
          <w:b/>
          <w:szCs w:val="24"/>
          <w:lang w:val="hu-HU"/>
        </w:rPr>
        <w:tab/>
        <w:t>A FORGALOMBA HOZATALI ENGEDÉLY JOGOSULTJÁNAK NEVE ÉS CÍME</w:t>
      </w:r>
    </w:p>
    <w:p w14:paraId="74B8BA75" w14:textId="77777777" w:rsidR="008A332F" w:rsidRPr="004311F9" w:rsidRDefault="008A332F" w:rsidP="008A332F">
      <w:pPr>
        <w:keepNext/>
        <w:spacing w:line="240" w:lineRule="auto"/>
        <w:rPr>
          <w:rFonts w:eastAsia="Times New Roman"/>
          <w:szCs w:val="24"/>
          <w:lang w:val="hu-HU"/>
        </w:rPr>
      </w:pPr>
    </w:p>
    <w:p w14:paraId="6DD60B7E" w14:textId="77777777" w:rsidR="008A332F" w:rsidRPr="004311F9" w:rsidRDefault="008A332F" w:rsidP="008A332F">
      <w:pPr>
        <w:keepNext/>
        <w:spacing w:line="240" w:lineRule="auto"/>
        <w:rPr>
          <w:szCs w:val="24"/>
          <w:lang w:val="hu-HU"/>
        </w:rPr>
      </w:pPr>
      <w:r w:rsidRPr="004311F9">
        <w:rPr>
          <w:szCs w:val="24"/>
          <w:lang w:val="hu-HU"/>
        </w:rPr>
        <w:t>Swedish Orphan Biovitrum AB (publ)</w:t>
      </w:r>
    </w:p>
    <w:p w14:paraId="4783DDAE" w14:textId="77777777" w:rsidR="008A332F" w:rsidRPr="004311F9" w:rsidRDefault="008A332F" w:rsidP="008A332F">
      <w:pPr>
        <w:keepNext/>
        <w:spacing w:line="240" w:lineRule="auto"/>
        <w:rPr>
          <w:szCs w:val="24"/>
          <w:lang w:val="hu-HU"/>
        </w:rPr>
      </w:pPr>
      <w:r w:rsidRPr="004311F9">
        <w:rPr>
          <w:szCs w:val="24"/>
          <w:lang w:val="hu-HU"/>
        </w:rPr>
        <w:t>SE</w:t>
      </w:r>
      <w:r w:rsidRPr="004311F9">
        <w:rPr>
          <w:szCs w:val="24"/>
          <w:lang w:val="hu-HU"/>
        </w:rPr>
        <w:noBreakHyphen/>
        <w:t>112 76 Stockholm</w:t>
      </w:r>
    </w:p>
    <w:p w14:paraId="28DC2E42" w14:textId="77777777" w:rsidR="008A332F" w:rsidRPr="004311F9" w:rsidRDefault="008A332F" w:rsidP="008A332F">
      <w:pPr>
        <w:spacing w:line="240" w:lineRule="auto"/>
        <w:rPr>
          <w:szCs w:val="24"/>
          <w:lang w:val="hu-HU"/>
        </w:rPr>
      </w:pPr>
      <w:r w:rsidRPr="004311F9">
        <w:rPr>
          <w:szCs w:val="24"/>
          <w:lang w:val="hu-HU"/>
        </w:rPr>
        <w:t>Svédország</w:t>
      </w:r>
    </w:p>
    <w:p w14:paraId="21E76FD9" w14:textId="77777777" w:rsidR="008A332F" w:rsidRPr="004311F9" w:rsidRDefault="008A332F" w:rsidP="008A332F">
      <w:pPr>
        <w:spacing w:line="240" w:lineRule="auto"/>
        <w:rPr>
          <w:rFonts w:eastAsia="Times New Roman"/>
          <w:szCs w:val="24"/>
          <w:lang w:val="hu-HU"/>
        </w:rPr>
      </w:pPr>
    </w:p>
    <w:p w14:paraId="46BA9174" w14:textId="77777777" w:rsidR="008A332F" w:rsidRPr="004311F9" w:rsidRDefault="008A332F" w:rsidP="008A332F">
      <w:pPr>
        <w:spacing w:line="240" w:lineRule="auto"/>
        <w:rPr>
          <w:rFonts w:eastAsia="Times New Roman"/>
          <w:szCs w:val="24"/>
          <w:lang w:val="hu-HU"/>
        </w:rPr>
      </w:pPr>
    </w:p>
    <w:p w14:paraId="7E6ADCC3"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12.</w:t>
      </w:r>
      <w:r w:rsidRPr="004311F9">
        <w:rPr>
          <w:b/>
          <w:szCs w:val="24"/>
          <w:lang w:val="hu-HU"/>
        </w:rPr>
        <w:tab/>
        <w:t>A FORGALOMBA HOZATALI ENGEDÉLY SZÁMA(I)</w:t>
      </w:r>
    </w:p>
    <w:p w14:paraId="64A42BEF" w14:textId="77777777" w:rsidR="008A332F" w:rsidRPr="004311F9" w:rsidRDefault="008A332F" w:rsidP="008A332F">
      <w:pPr>
        <w:spacing w:line="240" w:lineRule="auto"/>
        <w:rPr>
          <w:rFonts w:eastAsia="Times New Roman"/>
          <w:szCs w:val="24"/>
          <w:lang w:val="hu-HU"/>
        </w:rPr>
      </w:pPr>
    </w:p>
    <w:p w14:paraId="6937AFD4" w14:textId="77777777" w:rsidR="008A332F" w:rsidRPr="004311F9" w:rsidRDefault="008A332F" w:rsidP="008A332F">
      <w:pPr>
        <w:spacing w:line="240" w:lineRule="auto"/>
        <w:rPr>
          <w:lang w:val="hu-HU"/>
        </w:rPr>
      </w:pPr>
      <w:r w:rsidRPr="004311F9">
        <w:rPr>
          <w:lang w:val="hu-HU"/>
        </w:rPr>
        <w:t>EU/1/16/1098/004</w:t>
      </w:r>
    </w:p>
    <w:p w14:paraId="6485E76F" w14:textId="77777777" w:rsidR="008A332F" w:rsidRPr="004311F9" w:rsidRDefault="008A332F" w:rsidP="008A332F">
      <w:pPr>
        <w:spacing w:line="240" w:lineRule="auto"/>
        <w:rPr>
          <w:rFonts w:eastAsia="Times New Roman"/>
          <w:szCs w:val="24"/>
          <w:lang w:val="hu-HU"/>
        </w:rPr>
      </w:pPr>
    </w:p>
    <w:p w14:paraId="000C8164" w14:textId="77777777" w:rsidR="008A332F" w:rsidRPr="004311F9" w:rsidRDefault="008A332F" w:rsidP="008A332F">
      <w:pPr>
        <w:spacing w:line="240" w:lineRule="auto"/>
        <w:rPr>
          <w:rFonts w:eastAsia="Times New Roman"/>
          <w:szCs w:val="24"/>
          <w:lang w:val="hu-HU"/>
        </w:rPr>
      </w:pPr>
    </w:p>
    <w:p w14:paraId="7ACC9AAA"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13.</w:t>
      </w:r>
      <w:r w:rsidRPr="004311F9">
        <w:rPr>
          <w:b/>
          <w:szCs w:val="24"/>
          <w:lang w:val="hu-HU"/>
        </w:rPr>
        <w:tab/>
        <w:t>A GYÁRTÁSI TÉTEL SZÁMA</w:t>
      </w:r>
    </w:p>
    <w:p w14:paraId="16565496" w14:textId="77777777" w:rsidR="008A332F" w:rsidRPr="004311F9" w:rsidRDefault="008A332F" w:rsidP="008A332F">
      <w:pPr>
        <w:spacing w:line="240" w:lineRule="auto"/>
        <w:rPr>
          <w:rFonts w:eastAsia="Times New Roman"/>
          <w:i/>
          <w:szCs w:val="24"/>
          <w:lang w:val="hu-HU"/>
        </w:rPr>
      </w:pPr>
    </w:p>
    <w:p w14:paraId="08F7C41B" w14:textId="77777777" w:rsidR="008A332F" w:rsidRPr="004311F9" w:rsidRDefault="008A332F" w:rsidP="008A332F">
      <w:pPr>
        <w:spacing w:line="240" w:lineRule="auto"/>
        <w:rPr>
          <w:szCs w:val="24"/>
          <w:lang w:val="hu-HU"/>
        </w:rPr>
      </w:pPr>
      <w:r w:rsidRPr="004311F9">
        <w:rPr>
          <w:szCs w:val="24"/>
          <w:lang w:val="hu-HU"/>
        </w:rPr>
        <w:t>Lot</w:t>
      </w:r>
    </w:p>
    <w:p w14:paraId="242AE979" w14:textId="77777777" w:rsidR="008A332F" w:rsidRPr="004311F9" w:rsidRDefault="008A332F" w:rsidP="008A332F">
      <w:pPr>
        <w:spacing w:line="240" w:lineRule="auto"/>
        <w:rPr>
          <w:rFonts w:eastAsia="Times New Roman"/>
          <w:szCs w:val="24"/>
          <w:lang w:val="hu-HU"/>
        </w:rPr>
      </w:pPr>
    </w:p>
    <w:p w14:paraId="1D4B7A23" w14:textId="77777777" w:rsidR="008A332F" w:rsidRPr="004311F9" w:rsidRDefault="008A332F" w:rsidP="008A332F">
      <w:pPr>
        <w:spacing w:line="240" w:lineRule="auto"/>
        <w:rPr>
          <w:rFonts w:eastAsia="Times New Roman"/>
          <w:szCs w:val="24"/>
          <w:lang w:val="hu-HU"/>
        </w:rPr>
      </w:pPr>
    </w:p>
    <w:p w14:paraId="73994683"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14.</w:t>
      </w:r>
      <w:r w:rsidRPr="004311F9">
        <w:rPr>
          <w:b/>
          <w:szCs w:val="24"/>
          <w:lang w:val="hu-HU"/>
        </w:rPr>
        <w:tab/>
        <w:t>A GYÓGYSZER RENDELHETŐSÉGE</w:t>
      </w:r>
    </w:p>
    <w:p w14:paraId="5A32F976" w14:textId="77777777" w:rsidR="008A332F" w:rsidRPr="004311F9" w:rsidRDefault="008A332F" w:rsidP="008A332F">
      <w:pPr>
        <w:spacing w:line="240" w:lineRule="auto"/>
        <w:rPr>
          <w:rFonts w:eastAsia="Times New Roman"/>
          <w:i/>
          <w:szCs w:val="24"/>
          <w:lang w:val="hu-HU"/>
        </w:rPr>
      </w:pPr>
    </w:p>
    <w:p w14:paraId="70991708" w14:textId="77777777" w:rsidR="008A332F" w:rsidRPr="004311F9" w:rsidRDefault="008A332F" w:rsidP="008A332F">
      <w:pPr>
        <w:spacing w:line="240" w:lineRule="auto"/>
        <w:rPr>
          <w:rFonts w:eastAsia="Times New Roman"/>
          <w:szCs w:val="24"/>
          <w:lang w:val="hu-HU"/>
        </w:rPr>
      </w:pPr>
    </w:p>
    <w:p w14:paraId="3C156EB7"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lastRenderedPageBreak/>
        <w:t>15.</w:t>
      </w:r>
      <w:r w:rsidRPr="004311F9">
        <w:rPr>
          <w:b/>
          <w:szCs w:val="24"/>
          <w:lang w:val="hu-HU"/>
        </w:rPr>
        <w:tab/>
        <w:t>AZ ALKALMAZÁSRA VONATKOZÓ UTASÍTÁSOK</w:t>
      </w:r>
    </w:p>
    <w:p w14:paraId="1D453009" w14:textId="77777777" w:rsidR="008A332F" w:rsidRPr="004311F9" w:rsidRDefault="008A332F" w:rsidP="008A332F">
      <w:pPr>
        <w:spacing w:line="240" w:lineRule="auto"/>
        <w:rPr>
          <w:rFonts w:eastAsia="Times New Roman"/>
          <w:szCs w:val="24"/>
          <w:lang w:val="hu-HU"/>
        </w:rPr>
      </w:pPr>
    </w:p>
    <w:p w14:paraId="02507CAD" w14:textId="77777777" w:rsidR="008A332F" w:rsidRPr="004311F9" w:rsidRDefault="008A332F" w:rsidP="008A332F">
      <w:pPr>
        <w:spacing w:line="240" w:lineRule="auto"/>
        <w:rPr>
          <w:rFonts w:eastAsia="Times New Roman"/>
          <w:szCs w:val="24"/>
          <w:lang w:val="hu-HU"/>
        </w:rPr>
      </w:pPr>
    </w:p>
    <w:p w14:paraId="64CB9D30"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16.</w:t>
      </w:r>
      <w:r w:rsidRPr="004311F9">
        <w:rPr>
          <w:b/>
          <w:szCs w:val="24"/>
          <w:lang w:val="hu-HU"/>
        </w:rPr>
        <w:tab/>
        <w:t>BRAILLE ÍRÁSSAL FELTÜNTETETT INFORMÁCIÓK</w:t>
      </w:r>
    </w:p>
    <w:p w14:paraId="725A17F3" w14:textId="77777777" w:rsidR="008A332F" w:rsidRPr="004311F9" w:rsidRDefault="008A332F" w:rsidP="008A332F">
      <w:pPr>
        <w:spacing w:line="240" w:lineRule="auto"/>
        <w:rPr>
          <w:rFonts w:eastAsia="Times New Roman"/>
          <w:szCs w:val="24"/>
          <w:lang w:val="hu-HU"/>
        </w:rPr>
      </w:pPr>
    </w:p>
    <w:p w14:paraId="12C4CEB2" w14:textId="77777777" w:rsidR="008A332F" w:rsidRPr="004311F9" w:rsidRDefault="008A332F" w:rsidP="008A332F">
      <w:pPr>
        <w:spacing w:line="240" w:lineRule="auto"/>
        <w:rPr>
          <w:rFonts w:eastAsia="Times New Roman"/>
          <w:lang w:val="hu-HU" w:eastAsia="en-US"/>
        </w:rPr>
      </w:pPr>
      <w:r w:rsidRPr="004311F9">
        <w:rPr>
          <w:rFonts w:eastAsia="Times New Roman"/>
          <w:lang w:val="hu-HU" w:eastAsia="en-US"/>
        </w:rPr>
        <w:t>ALPROLIX 2000</w:t>
      </w:r>
    </w:p>
    <w:p w14:paraId="42210BCE" w14:textId="77777777" w:rsidR="008A332F" w:rsidRPr="004311F9" w:rsidRDefault="008A332F" w:rsidP="008A332F">
      <w:pPr>
        <w:spacing w:line="240" w:lineRule="auto"/>
        <w:rPr>
          <w:rFonts w:eastAsia="Times New Roman"/>
          <w:szCs w:val="24"/>
          <w:shd w:val="clear" w:color="auto" w:fill="CCCCCC"/>
          <w:lang w:val="hu-HU"/>
        </w:rPr>
      </w:pPr>
    </w:p>
    <w:p w14:paraId="08CEBD00" w14:textId="77777777" w:rsidR="008A332F" w:rsidRPr="004311F9" w:rsidRDefault="008A332F" w:rsidP="008A332F">
      <w:pPr>
        <w:spacing w:line="240" w:lineRule="auto"/>
        <w:rPr>
          <w:rFonts w:eastAsia="Times New Roman"/>
          <w:noProof/>
          <w:szCs w:val="22"/>
          <w:shd w:val="clear" w:color="auto" w:fill="CCCCCC"/>
          <w:lang w:val="hu-HU" w:eastAsia="en-US"/>
        </w:rPr>
      </w:pPr>
    </w:p>
    <w:p w14:paraId="7E355055"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17.</w:t>
      </w:r>
      <w:r w:rsidRPr="004311F9">
        <w:rPr>
          <w:b/>
          <w:szCs w:val="24"/>
          <w:lang w:val="hu-HU"/>
        </w:rPr>
        <w:tab/>
        <w:t>EGYEDI AZONOSÍTÓ – 2D VONALKÓD</w:t>
      </w:r>
    </w:p>
    <w:p w14:paraId="5E57DAF1" w14:textId="77777777" w:rsidR="008A332F" w:rsidRPr="004311F9" w:rsidRDefault="008A332F" w:rsidP="008A332F">
      <w:pPr>
        <w:keepNext/>
        <w:tabs>
          <w:tab w:val="clear" w:pos="567"/>
        </w:tabs>
        <w:spacing w:line="240" w:lineRule="auto"/>
        <w:rPr>
          <w:rFonts w:eastAsia="Times New Roman"/>
          <w:noProof/>
          <w:szCs w:val="22"/>
          <w:lang w:val="hu-HU" w:eastAsia="en-US"/>
        </w:rPr>
      </w:pPr>
    </w:p>
    <w:p w14:paraId="6B773860" w14:textId="77777777" w:rsidR="008A332F" w:rsidRPr="004311F9" w:rsidRDefault="008A332F" w:rsidP="008A332F">
      <w:pPr>
        <w:spacing w:line="240" w:lineRule="auto"/>
        <w:rPr>
          <w:rFonts w:eastAsia="Times New Roman"/>
          <w:noProof/>
          <w:szCs w:val="22"/>
          <w:shd w:val="clear" w:color="auto" w:fill="CCCCCC"/>
          <w:lang w:val="hu-HU" w:eastAsia="en-US"/>
        </w:rPr>
      </w:pPr>
      <w:r w:rsidRPr="004311F9">
        <w:rPr>
          <w:rFonts w:eastAsia="Times New Roman"/>
          <w:noProof/>
          <w:szCs w:val="22"/>
          <w:shd w:val="clear" w:color="auto" w:fill="BFBFBF"/>
          <w:lang w:val="hu-HU" w:eastAsia="en-US"/>
        </w:rPr>
        <w:t>Egyedi azonosítójú 2D vonalkóddal ellátva.</w:t>
      </w:r>
    </w:p>
    <w:p w14:paraId="57BA9922" w14:textId="77777777" w:rsidR="008A332F" w:rsidRPr="004311F9" w:rsidRDefault="008A332F" w:rsidP="008A332F">
      <w:pPr>
        <w:spacing w:line="240" w:lineRule="auto"/>
        <w:rPr>
          <w:rFonts w:eastAsia="Times New Roman"/>
          <w:noProof/>
          <w:szCs w:val="22"/>
          <w:shd w:val="clear" w:color="auto" w:fill="CCCCCC"/>
          <w:lang w:val="hu-HU" w:eastAsia="en-US"/>
        </w:rPr>
      </w:pPr>
    </w:p>
    <w:p w14:paraId="2C919AAC" w14:textId="77777777" w:rsidR="008A332F" w:rsidRPr="004311F9" w:rsidRDefault="008A332F" w:rsidP="008A332F">
      <w:pPr>
        <w:tabs>
          <w:tab w:val="clear" w:pos="567"/>
        </w:tabs>
        <w:spacing w:line="240" w:lineRule="auto"/>
        <w:rPr>
          <w:rFonts w:eastAsia="Times New Roman"/>
          <w:noProof/>
          <w:szCs w:val="22"/>
          <w:lang w:val="hu-HU" w:eastAsia="en-US"/>
        </w:rPr>
      </w:pPr>
    </w:p>
    <w:p w14:paraId="68E792D9"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18.</w:t>
      </w:r>
      <w:r w:rsidRPr="004311F9">
        <w:rPr>
          <w:b/>
          <w:szCs w:val="24"/>
          <w:lang w:val="hu-HU"/>
        </w:rPr>
        <w:tab/>
        <w:t>EGYEDI AZONOSÍTÓ OLVASHATÓ FORMÁTUMA</w:t>
      </w:r>
    </w:p>
    <w:p w14:paraId="16F96AEC" w14:textId="77777777" w:rsidR="008A332F" w:rsidRPr="004311F9" w:rsidRDefault="008A332F" w:rsidP="008A332F">
      <w:pPr>
        <w:keepNext/>
        <w:tabs>
          <w:tab w:val="clear" w:pos="567"/>
        </w:tabs>
        <w:spacing w:line="240" w:lineRule="auto"/>
        <w:rPr>
          <w:rFonts w:eastAsia="Times New Roman"/>
          <w:noProof/>
          <w:szCs w:val="22"/>
          <w:lang w:val="hu-HU" w:eastAsia="en-US"/>
        </w:rPr>
      </w:pPr>
    </w:p>
    <w:p w14:paraId="65282995" w14:textId="24B34DBA" w:rsidR="00FD6B4E" w:rsidRPr="004311F9" w:rsidRDefault="00FD6B4E" w:rsidP="00FD6B4E">
      <w:pPr>
        <w:keepNext/>
        <w:rPr>
          <w:rFonts w:eastAsia="Times New Roman"/>
          <w:szCs w:val="22"/>
          <w:lang w:val="hu-HU" w:eastAsia="en-US"/>
        </w:rPr>
      </w:pPr>
      <w:r w:rsidRPr="004311F9">
        <w:rPr>
          <w:rFonts w:eastAsia="Times New Roman"/>
          <w:szCs w:val="22"/>
          <w:lang w:val="hu-HU" w:eastAsia="en-US"/>
        </w:rPr>
        <w:t>PC</w:t>
      </w:r>
    </w:p>
    <w:p w14:paraId="50D01943" w14:textId="0DB98F7F" w:rsidR="00FD6B4E" w:rsidRPr="004311F9" w:rsidRDefault="00FD6B4E" w:rsidP="00FD6B4E">
      <w:pPr>
        <w:keepNext/>
        <w:rPr>
          <w:rFonts w:eastAsia="Times New Roman"/>
          <w:szCs w:val="22"/>
          <w:lang w:val="hu-HU" w:eastAsia="en-US"/>
        </w:rPr>
      </w:pPr>
      <w:r w:rsidRPr="004311F9">
        <w:rPr>
          <w:rFonts w:eastAsia="Times New Roman"/>
          <w:szCs w:val="22"/>
          <w:lang w:val="hu-HU" w:eastAsia="en-US"/>
        </w:rPr>
        <w:t>SN</w:t>
      </w:r>
    </w:p>
    <w:p w14:paraId="5A65FAE7" w14:textId="22C2B416" w:rsidR="00FD6B4E" w:rsidRPr="004311F9" w:rsidRDefault="00FD6B4E" w:rsidP="00FD6B4E">
      <w:pPr>
        <w:rPr>
          <w:rFonts w:eastAsia="Times New Roman"/>
          <w:szCs w:val="22"/>
          <w:lang w:val="hu-HU" w:eastAsia="en-US"/>
        </w:rPr>
      </w:pPr>
      <w:r w:rsidRPr="004311F9">
        <w:rPr>
          <w:rFonts w:eastAsia="Times New Roman"/>
          <w:szCs w:val="22"/>
          <w:lang w:val="hu-HU" w:eastAsia="en-US"/>
        </w:rPr>
        <w:t>NN</w:t>
      </w:r>
    </w:p>
    <w:p w14:paraId="0D6C1410" w14:textId="77777777" w:rsidR="008A332F" w:rsidRPr="004311F9" w:rsidRDefault="008A332F" w:rsidP="008A332F">
      <w:pPr>
        <w:spacing w:line="240" w:lineRule="auto"/>
        <w:rPr>
          <w:rFonts w:eastAsia="Times New Roman"/>
          <w:noProof/>
          <w:vanish/>
          <w:szCs w:val="22"/>
          <w:lang w:val="hu-HU" w:eastAsia="en-US"/>
        </w:rPr>
      </w:pPr>
    </w:p>
    <w:p w14:paraId="064A6D54" w14:textId="77777777" w:rsidR="008A332F" w:rsidRPr="004311F9" w:rsidRDefault="008A332F" w:rsidP="008A332F">
      <w:pPr>
        <w:tabs>
          <w:tab w:val="clear" w:pos="567"/>
        </w:tabs>
        <w:spacing w:line="240" w:lineRule="auto"/>
        <w:rPr>
          <w:rFonts w:eastAsia="Times New Roman"/>
          <w:noProof/>
          <w:vanish/>
          <w:szCs w:val="22"/>
          <w:lang w:val="hu-HU" w:eastAsia="en-US"/>
        </w:rPr>
      </w:pPr>
    </w:p>
    <w:p w14:paraId="7050D5E0" w14:textId="77777777" w:rsidR="008A332F" w:rsidRPr="004311F9" w:rsidRDefault="008A332F" w:rsidP="008A332F">
      <w:pPr>
        <w:spacing w:line="240" w:lineRule="auto"/>
        <w:rPr>
          <w:rFonts w:eastAsia="Times New Roman"/>
          <w:szCs w:val="24"/>
          <w:lang w:val="hu-HU"/>
        </w:rPr>
      </w:pPr>
      <w:r w:rsidRPr="004311F9">
        <w:rPr>
          <w:rFonts w:eastAsia="Times New Roman"/>
          <w:szCs w:val="24"/>
          <w:shd w:val="clear" w:color="auto" w:fill="CCCCCC"/>
          <w:lang w:val="hu-HU"/>
        </w:rPr>
        <w:br w:type="page"/>
      </w:r>
    </w:p>
    <w:p w14:paraId="6829F293" w14:textId="77777777" w:rsidR="008A332F" w:rsidRPr="004311F9" w:rsidRDefault="008A332F" w:rsidP="008A332F">
      <w:pPr>
        <w:pBdr>
          <w:top w:val="single" w:sz="4" w:space="1" w:color="auto"/>
          <w:left w:val="single" w:sz="4" w:space="4" w:color="auto"/>
          <w:bottom w:val="single" w:sz="4" w:space="1" w:color="auto"/>
          <w:right w:val="single" w:sz="4" w:space="4" w:color="auto"/>
        </w:pBdr>
        <w:spacing w:line="240" w:lineRule="auto"/>
        <w:rPr>
          <w:b/>
          <w:szCs w:val="24"/>
          <w:lang w:val="hu-HU"/>
        </w:rPr>
      </w:pPr>
      <w:r w:rsidRPr="004311F9">
        <w:rPr>
          <w:b/>
          <w:szCs w:val="24"/>
          <w:lang w:val="hu-HU"/>
        </w:rPr>
        <w:lastRenderedPageBreak/>
        <w:t>A KIS KÖZVETLEN CSOMAGOLÁSI EGYSÉGEKEN MINIMÁLISAN FELTÜNTETENDŐ ADATOK</w:t>
      </w:r>
    </w:p>
    <w:p w14:paraId="2C4BE984" w14:textId="77777777" w:rsidR="008A332F" w:rsidRPr="004311F9" w:rsidRDefault="008A332F" w:rsidP="008A332F">
      <w:pPr>
        <w:pBdr>
          <w:top w:val="single" w:sz="4" w:space="1" w:color="auto"/>
          <w:left w:val="single" w:sz="4" w:space="4" w:color="auto"/>
          <w:bottom w:val="single" w:sz="4" w:space="1" w:color="auto"/>
          <w:right w:val="single" w:sz="4" w:space="4" w:color="auto"/>
        </w:pBdr>
        <w:spacing w:line="240" w:lineRule="auto"/>
        <w:rPr>
          <w:rFonts w:eastAsia="Times New Roman"/>
          <w:b/>
          <w:szCs w:val="24"/>
          <w:lang w:val="hu-HU"/>
        </w:rPr>
      </w:pPr>
    </w:p>
    <w:p w14:paraId="774A26F2" w14:textId="77777777" w:rsidR="008A332F" w:rsidRPr="004311F9" w:rsidRDefault="008A332F" w:rsidP="008A332F">
      <w:pPr>
        <w:pBdr>
          <w:top w:val="single" w:sz="4" w:space="1" w:color="auto"/>
          <w:left w:val="single" w:sz="4" w:space="4" w:color="auto"/>
          <w:bottom w:val="single" w:sz="4" w:space="1" w:color="auto"/>
          <w:right w:val="single" w:sz="4" w:space="4" w:color="auto"/>
        </w:pBdr>
        <w:spacing w:line="240" w:lineRule="auto"/>
        <w:rPr>
          <w:b/>
          <w:szCs w:val="24"/>
          <w:lang w:val="hu-HU"/>
        </w:rPr>
      </w:pPr>
      <w:r w:rsidRPr="004311F9">
        <w:rPr>
          <w:b/>
          <w:szCs w:val="24"/>
          <w:lang w:val="hu-HU"/>
        </w:rPr>
        <w:t>AZ INJEKCIÓS ÜVEG CÍMKÉJE</w:t>
      </w:r>
    </w:p>
    <w:p w14:paraId="72C50261" w14:textId="77777777" w:rsidR="008A332F" w:rsidRPr="004311F9" w:rsidRDefault="008A332F" w:rsidP="008A332F">
      <w:pPr>
        <w:spacing w:line="240" w:lineRule="auto"/>
        <w:rPr>
          <w:rFonts w:eastAsia="Times New Roman"/>
          <w:szCs w:val="24"/>
          <w:lang w:val="hu-HU"/>
        </w:rPr>
      </w:pPr>
    </w:p>
    <w:p w14:paraId="0AF935CF" w14:textId="77777777" w:rsidR="008A332F" w:rsidRPr="004311F9" w:rsidRDefault="008A332F" w:rsidP="008A332F">
      <w:pPr>
        <w:spacing w:line="240" w:lineRule="auto"/>
        <w:rPr>
          <w:rFonts w:eastAsia="Times New Roman"/>
          <w:szCs w:val="24"/>
          <w:lang w:val="hu-HU"/>
        </w:rPr>
      </w:pPr>
    </w:p>
    <w:p w14:paraId="1591EF56"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1.</w:t>
      </w:r>
      <w:r w:rsidRPr="004311F9">
        <w:rPr>
          <w:b/>
          <w:szCs w:val="24"/>
          <w:lang w:val="hu-HU"/>
        </w:rPr>
        <w:tab/>
        <w:t>A GYÓGYSZER NEVE ÉS AZ ALKALMAZÁS MÓDJA(I)</w:t>
      </w:r>
    </w:p>
    <w:p w14:paraId="1A97855E" w14:textId="77777777" w:rsidR="008A332F" w:rsidRPr="004311F9" w:rsidRDefault="008A332F" w:rsidP="008A332F">
      <w:pPr>
        <w:spacing w:line="240" w:lineRule="auto"/>
        <w:ind w:left="567" w:hanging="567"/>
        <w:rPr>
          <w:rFonts w:eastAsia="Times New Roman"/>
          <w:szCs w:val="24"/>
          <w:lang w:val="hu-HU"/>
        </w:rPr>
      </w:pPr>
    </w:p>
    <w:p w14:paraId="4AE03254" w14:textId="77777777" w:rsidR="008A332F" w:rsidRPr="004311F9" w:rsidRDefault="008A332F" w:rsidP="008A332F">
      <w:pPr>
        <w:spacing w:line="240" w:lineRule="auto"/>
        <w:rPr>
          <w:rFonts w:eastAsia="Times New Roman"/>
          <w:shd w:val="clear" w:color="auto" w:fill="D9D9D9"/>
          <w:lang w:val="hu-HU" w:eastAsia="en-US"/>
        </w:rPr>
      </w:pPr>
      <w:r w:rsidRPr="004311F9">
        <w:rPr>
          <w:rFonts w:eastAsia="Times New Roman"/>
          <w:lang w:val="hu-HU" w:eastAsia="en-US"/>
        </w:rPr>
        <w:t>ALPROLIX 2000 NE por injekcióhoz</w:t>
      </w:r>
    </w:p>
    <w:p w14:paraId="476F5ABA" w14:textId="77777777" w:rsidR="008A332F" w:rsidRPr="004311F9" w:rsidRDefault="008A332F" w:rsidP="008A332F">
      <w:pPr>
        <w:spacing w:line="240" w:lineRule="auto"/>
        <w:rPr>
          <w:rFonts w:eastAsia="Times New Roman"/>
          <w:szCs w:val="24"/>
          <w:lang w:val="hu-HU"/>
        </w:rPr>
      </w:pPr>
    </w:p>
    <w:p w14:paraId="15F865F1" w14:textId="77777777" w:rsidR="008A332F" w:rsidRPr="004311F9" w:rsidRDefault="008A332F" w:rsidP="008A332F">
      <w:pPr>
        <w:spacing w:line="240" w:lineRule="auto"/>
        <w:rPr>
          <w:szCs w:val="24"/>
          <w:lang w:val="hu-HU"/>
        </w:rPr>
      </w:pPr>
      <w:r w:rsidRPr="004311F9">
        <w:rPr>
          <w:szCs w:val="22"/>
          <w:lang w:val="hu-HU"/>
        </w:rPr>
        <w:t xml:space="preserve">eftrenonacogum </w:t>
      </w:r>
      <w:r w:rsidRPr="004311F9">
        <w:rPr>
          <w:szCs w:val="24"/>
          <w:lang w:val="hu-HU"/>
        </w:rPr>
        <w:t>alfa</w:t>
      </w:r>
    </w:p>
    <w:p w14:paraId="756B9641" w14:textId="77777777" w:rsidR="008A332F" w:rsidRPr="004311F9" w:rsidRDefault="008A332F" w:rsidP="008A332F">
      <w:pPr>
        <w:spacing w:line="240" w:lineRule="auto"/>
        <w:rPr>
          <w:szCs w:val="24"/>
          <w:lang w:val="hu-HU"/>
        </w:rPr>
      </w:pPr>
      <w:r w:rsidRPr="004311F9">
        <w:rPr>
          <w:szCs w:val="24"/>
          <w:lang w:val="hu-HU"/>
        </w:rPr>
        <w:t>rekombináns IX</w:t>
      </w:r>
      <w:r w:rsidRPr="004311F9">
        <w:rPr>
          <w:szCs w:val="24"/>
          <w:lang w:val="hu-HU"/>
        </w:rPr>
        <w:noBreakHyphen/>
        <w:t>es alvadási faktor</w:t>
      </w:r>
    </w:p>
    <w:p w14:paraId="3B70354C" w14:textId="77777777" w:rsidR="008A332F" w:rsidRPr="004311F9" w:rsidRDefault="008A332F" w:rsidP="008A332F">
      <w:pPr>
        <w:spacing w:line="240" w:lineRule="auto"/>
        <w:rPr>
          <w:szCs w:val="24"/>
          <w:lang w:val="hu-HU"/>
        </w:rPr>
      </w:pPr>
      <w:r w:rsidRPr="004311F9">
        <w:rPr>
          <w:szCs w:val="24"/>
          <w:lang w:val="hu-HU"/>
        </w:rPr>
        <w:t>iv.</w:t>
      </w:r>
    </w:p>
    <w:p w14:paraId="5AB97DD9" w14:textId="77777777" w:rsidR="008A332F" w:rsidRPr="004311F9" w:rsidRDefault="008A332F" w:rsidP="008A332F">
      <w:pPr>
        <w:spacing w:line="240" w:lineRule="auto"/>
        <w:rPr>
          <w:rFonts w:eastAsia="Times New Roman"/>
          <w:szCs w:val="24"/>
          <w:lang w:val="hu-HU"/>
        </w:rPr>
      </w:pPr>
    </w:p>
    <w:p w14:paraId="191DD47D" w14:textId="77777777" w:rsidR="008A332F" w:rsidRPr="004311F9" w:rsidRDefault="008A332F" w:rsidP="008A332F">
      <w:pPr>
        <w:spacing w:line="240" w:lineRule="auto"/>
        <w:rPr>
          <w:rFonts w:eastAsia="Times New Roman"/>
          <w:szCs w:val="24"/>
          <w:lang w:val="hu-HU"/>
        </w:rPr>
      </w:pPr>
    </w:p>
    <w:p w14:paraId="286D6D0B"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2.</w:t>
      </w:r>
      <w:r w:rsidRPr="004311F9">
        <w:rPr>
          <w:b/>
          <w:szCs w:val="24"/>
          <w:lang w:val="hu-HU"/>
        </w:rPr>
        <w:tab/>
        <w:t>AZ ALKALMAZÁSSAL KAPCSOLATOS TUDNIVALÓK</w:t>
      </w:r>
    </w:p>
    <w:p w14:paraId="08FD0A3A" w14:textId="77777777" w:rsidR="008A332F" w:rsidRPr="004311F9" w:rsidRDefault="008A332F" w:rsidP="008A332F">
      <w:pPr>
        <w:spacing w:line="240" w:lineRule="auto"/>
        <w:rPr>
          <w:rFonts w:eastAsia="Times New Roman"/>
          <w:szCs w:val="24"/>
          <w:lang w:val="hu-HU"/>
        </w:rPr>
      </w:pPr>
    </w:p>
    <w:p w14:paraId="6E7E14A1" w14:textId="77777777" w:rsidR="008A332F" w:rsidRPr="004311F9" w:rsidRDefault="008A332F" w:rsidP="008A332F">
      <w:pPr>
        <w:spacing w:line="240" w:lineRule="auto"/>
        <w:rPr>
          <w:rFonts w:eastAsia="Times New Roman"/>
          <w:szCs w:val="24"/>
          <w:lang w:val="hu-HU"/>
        </w:rPr>
      </w:pPr>
    </w:p>
    <w:p w14:paraId="75EA6237"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3.</w:t>
      </w:r>
      <w:r w:rsidRPr="004311F9">
        <w:rPr>
          <w:b/>
          <w:szCs w:val="24"/>
          <w:lang w:val="hu-HU"/>
        </w:rPr>
        <w:tab/>
        <w:t>LEJÁRATI IDŐ</w:t>
      </w:r>
    </w:p>
    <w:p w14:paraId="3BC6D064" w14:textId="77777777" w:rsidR="008A332F" w:rsidRPr="004311F9" w:rsidRDefault="008A332F" w:rsidP="008A332F">
      <w:pPr>
        <w:spacing w:line="240" w:lineRule="auto"/>
        <w:rPr>
          <w:rFonts w:eastAsia="Times New Roman"/>
          <w:szCs w:val="24"/>
          <w:lang w:val="hu-HU"/>
        </w:rPr>
      </w:pPr>
    </w:p>
    <w:p w14:paraId="55356245" w14:textId="77777777" w:rsidR="008A332F" w:rsidRPr="004311F9" w:rsidRDefault="008A332F" w:rsidP="008A332F">
      <w:pPr>
        <w:spacing w:line="240" w:lineRule="auto"/>
        <w:rPr>
          <w:szCs w:val="24"/>
          <w:lang w:val="hu-HU"/>
        </w:rPr>
      </w:pPr>
      <w:r w:rsidRPr="004311F9">
        <w:rPr>
          <w:szCs w:val="24"/>
          <w:lang w:val="hu-HU"/>
        </w:rPr>
        <w:t>EXP</w:t>
      </w:r>
    </w:p>
    <w:p w14:paraId="7C07D804" w14:textId="77777777" w:rsidR="008A332F" w:rsidRPr="004311F9" w:rsidRDefault="008A332F" w:rsidP="008A332F">
      <w:pPr>
        <w:spacing w:line="240" w:lineRule="auto"/>
        <w:rPr>
          <w:rFonts w:eastAsia="Times New Roman"/>
          <w:szCs w:val="24"/>
          <w:lang w:val="hu-HU"/>
        </w:rPr>
      </w:pPr>
    </w:p>
    <w:p w14:paraId="53F70152" w14:textId="77777777" w:rsidR="008A332F" w:rsidRPr="004311F9" w:rsidRDefault="008A332F" w:rsidP="008A332F">
      <w:pPr>
        <w:spacing w:line="240" w:lineRule="auto"/>
        <w:rPr>
          <w:rFonts w:eastAsia="Times New Roman"/>
          <w:szCs w:val="24"/>
          <w:lang w:val="hu-HU"/>
        </w:rPr>
      </w:pPr>
    </w:p>
    <w:p w14:paraId="45FA87F9"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4.</w:t>
      </w:r>
      <w:r w:rsidRPr="004311F9">
        <w:rPr>
          <w:b/>
          <w:szCs w:val="24"/>
          <w:lang w:val="hu-HU"/>
        </w:rPr>
        <w:tab/>
        <w:t>A GYÁRTÁSI TÉTEL SZÁMA</w:t>
      </w:r>
    </w:p>
    <w:p w14:paraId="373F257D" w14:textId="77777777" w:rsidR="008A332F" w:rsidRPr="004311F9" w:rsidRDefault="008A332F" w:rsidP="008A332F">
      <w:pPr>
        <w:spacing w:line="240" w:lineRule="auto"/>
        <w:ind w:right="113"/>
        <w:rPr>
          <w:rFonts w:eastAsia="Times New Roman"/>
          <w:szCs w:val="24"/>
          <w:lang w:val="hu-HU"/>
        </w:rPr>
      </w:pPr>
    </w:p>
    <w:p w14:paraId="0C8DF193" w14:textId="77777777" w:rsidR="008A332F" w:rsidRPr="004311F9" w:rsidRDefault="008A332F" w:rsidP="008A332F">
      <w:pPr>
        <w:spacing w:line="240" w:lineRule="auto"/>
        <w:ind w:right="113"/>
        <w:rPr>
          <w:szCs w:val="24"/>
          <w:lang w:val="hu-HU"/>
        </w:rPr>
      </w:pPr>
      <w:r w:rsidRPr="004311F9">
        <w:rPr>
          <w:szCs w:val="24"/>
          <w:lang w:val="hu-HU"/>
        </w:rPr>
        <w:t>Lot</w:t>
      </w:r>
    </w:p>
    <w:p w14:paraId="3C793A9E" w14:textId="77777777" w:rsidR="008A332F" w:rsidRPr="004311F9" w:rsidRDefault="008A332F" w:rsidP="008A332F">
      <w:pPr>
        <w:spacing w:line="240" w:lineRule="auto"/>
        <w:ind w:right="113"/>
        <w:rPr>
          <w:rFonts w:eastAsia="Times New Roman"/>
          <w:szCs w:val="24"/>
          <w:lang w:val="hu-HU"/>
        </w:rPr>
      </w:pPr>
    </w:p>
    <w:p w14:paraId="11CA8B4E" w14:textId="77777777" w:rsidR="008A332F" w:rsidRPr="004311F9" w:rsidRDefault="008A332F" w:rsidP="008A332F">
      <w:pPr>
        <w:spacing w:line="240" w:lineRule="auto"/>
        <w:ind w:right="113"/>
        <w:rPr>
          <w:rFonts w:eastAsia="Times New Roman"/>
          <w:szCs w:val="24"/>
          <w:lang w:val="hu-HU"/>
        </w:rPr>
      </w:pPr>
    </w:p>
    <w:p w14:paraId="224EE2E4"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5.</w:t>
      </w:r>
      <w:r w:rsidRPr="004311F9">
        <w:rPr>
          <w:b/>
          <w:szCs w:val="24"/>
          <w:lang w:val="hu-HU"/>
        </w:rPr>
        <w:tab/>
        <w:t>A TARTALOM SÚLYRA, TÉRFOGATRA, VAGY EGYSÉGRE VONATKOZTATVA</w:t>
      </w:r>
    </w:p>
    <w:p w14:paraId="4762F71B" w14:textId="77777777" w:rsidR="008A332F" w:rsidRPr="004311F9" w:rsidRDefault="008A332F" w:rsidP="008A332F">
      <w:pPr>
        <w:spacing w:line="240" w:lineRule="auto"/>
        <w:ind w:right="113"/>
        <w:rPr>
          <w:rFonts w:eastAsia="Times New Roman"/>
          <w:szCs w:val="24"/>
          <w:lang w:val="hu-HU"/>
        </w:rPr>
      </w:pPr>
    </w:p>
    <w:p w14:paraId="33B3CF09" w14:textId="77777777" w:rsidR="008A332F" w:rsidRPr="004311F9" w:rsidRDefault="008A332F" w:rsidP="008A332F">
      <w:pPr>
        <w:spacing w:line="240" w:lineRule="auto"/>
        <w:rPr>
          <w:rFonts w:eastAsia="Times New Roman"/>
          <w:shd w:val="clear" w:color="auto" w:fill="D9D9D9"/>
          <w:lang w:val="hu-HU" w:eastAsia="en-US"/>
        </w:rPr>
      </w:pPr>
      <w:r w:rsidRPr="004311F9">
        <w:rPr>
          <w:rFonts w:eastAsia="Times New Roman"/>
          <w:shd w:val="clear" w:color="auto" w:fill="D9D9D9"/>
          <w:lang w:val="hu-HU" w:eastAsia="en-US"/>
        </w:rPr>
        <w:t>2000 NE</w:t>
      </w:r>
    </w:p>
    <w:p w14:paraId="53079CBB" w14:textId="77777777" w:rsidR="008A332F" w:rsidRPr="004311F9" w:rsidRDefault="008A332F" w:rsidP="008A332F">
      <w:pPr>
        <w:spacing w:line="240" w:lineRule="auto"/>
        <w:ind w:right="113"/>
        <w:rPr>
          <w:rFonts w:eastAsia="Times New Roman"/>
          <w:szCs w:val="24"/>
          <w:lang w:val="hu-HU"/>
        </w:rPr>
      </w:pPr>
    </w:p>
    <w:p w14:paraId="66148B8C" w14:textId="77777777" w:rsidR="008A332F" w:rsidRPr="004311F9" w:rsidRDefault="008A332F" w:rsidP="008A332F">
      <w:pPr>
        <w:spacing w:line="240" w:lineRule="auto"/>
        <w:ind w:right="113"/>
        <w:rPr>
          <w:rFonts w:eastAsia="Times New Roman"/>
          <w:szCs w:val="24"/>
          <w:lang w:val="hu-HU"/>
        </w:rPr>
      </w:pPr>
    </w:p>
    <w:p w14:paraId="3D3A5CFD"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6.</w:t>
      </w:r>
      <w:r w:rsidRPr="004311F9">
        <w:rPr>
          <w:b/>
          <w:szCs w:val="24"/>
          <w:lang w:val="hu-HU"/>
        </w:rPr>
        <w:tab/>
        <w:t>EGYÉB INFORMÁCIÓK</w:t>
      </w:r>
    </w:p>
    <w:p w14:paraId="030E3BAB" w14:textId="77777777" w:rsidR="008A332F" w:rsidRPr="004311F9" w:rsidRDefault="008A332F" w:rsidP="008A332F">
      <w:pPr>
        <w:keepNext/>
        <w:spacing w:line="240" w:lineRule="auto"/>
        <w:ind w:right="113"/>
        <w:rPr>
          <w:rFonts w:eastAsia="Times New Roman"/>
          <w:szCs w:val="24"/>
          <w:lang w:val="hu-HU"/>
        </w:rPr>
      </w:pPr>
    </w:p>
    <w:p w14:paraId="5413B5DC" w14:textId="77777777" w:rsidR="008A332F" w:rsidRPr="004311F9" w:rsidRDefault="008A332F" w:rsidP="008A332F">
      <w:pPr>
        <w:spacing w:line="240" w:lineRule="auto"/>
        <w:ind w:right="113"/>
        <w:rPr>
          <w:rFonts w:eastAsia="Times New Roman"/>
          <w:szCs w:val="24"/>
          <w:lang w:val="hu-HU"/>
        </w:rPr>
      </w:pPr>
    </w:p>
    <w:p w14:paraId="56D2ABC1" w14:textId="77777777" w:rsidR="008A332F" w:rsidRPr="004311F9" w:rsidRDefault="008A332F" w:rsidP="008A332F">
      <w:pPr>
        <w:pBdr>
          <w:top w:val="single" w:sz="4" w:space="1" w:color="auto"/>
          <w:left w:val="single" w:sz="4" w:space="4" w:color="auto"/>
          <w:bottom w:val="single" w:sz="4" w:space="1" w:color="auto"/>
          <w:right w:val="single" w:sz="4" w:space="4" w:color="auto"/>
        </w:pBdr>
        <w:spacing w:line="240" w:lineRule="auto"/>
        <w:rPr>
          <w:b/>
          <w:szCs w:val="24"/>
          <w:lang w:val="hu-HU"/>
        </w:rPr>
      </w:pPr>
      <w:r w:rsidRPr="004311F9">
        <w:rPr>
          <w:b/>
          <w:szCs w:val="24"/>
          <w:lang w:val="hu-HU"/>
        </w:rPr>
        <w:br w:type="page"/>
      </w:r>
      <w:r w:rsidRPr="004311F9">
        <w:rPr>
          <w:b/>
          <w:szCs w:val="24"/>
          <w:lang w:val="hu-HU"/>
        </w:rPr>
        <w:lastRenderedPageBreak/>
        <w:t>A KÜLSŐ CSOMAGOLÁSON FELTÜNTETENDŐ ADATOK</w:t>
      </w:r>
    </w:p>
    <w:p w14:paraId="6B13DFB4" w14:textId="77777777" w:rsidR="008A332F" w:rsidRPr="004311F9" w:rsidRDefault="008A332F" w:rsidP="008A332F">
      <w:pPr>
        <w:pBdr>
          <w:top w:val="single" w:sz="4" w:space="1" w:color="auto"/>
          <w:left w:val="single" w:sz="4" w:space="4" w:color="auto"/>
          <w:bottom w:val="single" w:sz="4" w:space="1" w:color="auto"/>
          <w:right w:val="single" w:sz="4" w:space="4" w:color="auto"/>
        </w:pBdr>
        <w:spacing w:line="240" w:lineRule="auto"/>
        <w:ind w:left="567" w:hanging="567"/>
        <w:rPr>
          <w:rFonts w:eastAsia="Times New Roman"/>
          <w:b/>
          <w:szCs w:val="24"/>
          <w:lang w:val="hu-HU"/>
        </w:rPr>
      </w:pPr>
    </w:p>
    <w:p w14:paraId="7479FF5D" w14:textId="77777777" w:rsidR="008A332F" w:rsidRPr="004311F9" w:rsidRDefault="008A332F" w:rsidP="008A332F">
      <w:pPr>
        <w:pBdr>
          <w:top w:val="single" w:sz="4" w:space="1" w:color="auto"/>
          <w:left w:val="single" w:sz="4" w:space="4" w:color="auto"/>
          <w:bottom w:val="single" w:sz="4" w:space="1" w:color="auto"/>
          <w:right w:val="single" w:sz="4" w:space="4" w:color="auto"/>
        </w:pBdr>
        <w:spacing w:line="240" w:lineRule="auto"/>
        <w:rPr>
          <w:b/>
          <w:szCs w:val="24"/>
          <w:lang w:val="hu-HU"/>
        </w:rPr>
      </w:pPr>
      <w:r w:rsidRPr="004311F9">
        <w:rPr>
          <w:b/>
          <w:szCs w:val="24"/>
          <w:lang w:val="hu-HU"/>
        </w:rPr>
        <w:t>DOBOZ</w:t>
      </w:r>
    </w:p>
    <w:p w14:paraId="0746801C" w14:textId="77777777" w:rsidR="008A332F" w:rsidRPr="004311F9" w:rsidRDefault="008A332F" w:rsidP="008A332F">
      <w:pPr>
        <w:spacing w:line="240" w:lineRule="auto"/>
        <w:rPr>
          <w:rFonts w:eastAsia="Times New Roman"/>
          <w:szCs w:val="24"/>
          <w:lang w:val="hu-HU"/>
        </w:rPr>
      </w:pPr>
    </w:p>
    <w:p w14:paraId="36AD663F" w14:textId="77777777" w:rsidR="008A332F" w:rsidRPr="004311F9" w:rsidRDefault="008A332F" w:rsidP="008A332F">
      <w:pPr>
        <w:spacing w:line="240" w:lineRule="auto"/>
        <w:rPr>
          <w:rFonts w:eastAsia="Times New Roman"/>
          <w:szCs w:val="24"/>
          <w:lang w:val="hu-HU"/>
        </w:rPr>
      </w:pPr>
    </w:p>
    <w:p w14:paraId="353861F1"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1.</w:t>
      </w:r>
      <w:r w:rsidRPr="004311F9">
        <w:rPr>
          <w:b/>
          <w:szCs w:val="24"/>
          <w:lang w:val="hu-HU"/>
        </w:rPr>
        <w:tab/>
        <w:t>A GYÓGYSZER NEVE</w:t>
      </w:r>
    </w:p>
    <w:p w14:paraId="4F123956" w14:textId="77777777" w:rsidR="008A332F" w:rsidRPr="004311F9" w:rsidRDefault="008A332F" w:rsidP="008A332F">
      <w:pPr>
        <w:spacing w:line="240" w:lineRule="auto"/>
        <w:rPr>
          <w:rFonts w:eastAsia="Times New Roman"/>
          <w:szCs w:val="24"/>
          <w:lang w:val="hu-HU"/>
        </w:rPr>
      </w:pPr>
    </w:p>
    <w:p w14:paraId="271400E2" w14:textId="77777777" w:rsidR="008A332F" w:rsidRPr="004311F9" w:rsidRDefault="008A332F" w:rsidP="008A332F">
      <w:pPr>
        <w:spacing w:line="240" w:lineRule="auto"/>
        <w:rPr>
          <w:rFonts w:eastAsia="Times New Roman"/>
          <w:shd w:val="clear" w:color="auto" w:fill="D9D9D9"/>
          <w:lang w:val="hu-HU" w:eastAsia="en-US"/>
        </w:rPr>
      </w:pPr>
      <w:r w:rsidRPr="004311F9">
        <w:rPr>
          <w:rFonts w:eastAsia="Times New Roman"/>
          <w:lang w:val="hu-HU" w:eastAsia="en-US"/>
        </w:rPr>
        <w:t>ALPROLIX 3000 NE por és oldószer oldatos injekcióhoz</w:t>
      </w:r>
    </w:p>
    <w:p w14:paraId="4572A642" w14:textId="77777777" w:rsidR="008A332F" w:rsidRPr="004311F9" w:rsidRDefault="008A332F" w:rsidP="008A332F">
      <w:pPr>
        <w:spacing w:line="240" w:lineRule="auto"/>
        <w:rPr>
          <w:szCs w:val="22"/>
          <w:lang w:val="hu-HU"/>
        </w:rPr>
      </w:pPr>
    </w:p>
    <w:p w14:paraId="3980DBDF" w14:textId="66682FDF" w:rsidR="00FD6B4E" w:rsidRPr="004311F9" w:rsidRDefault="00FD6B4E" w:rsidP="00FD6B4E">
      <w:pPr>
        <w:spacing w:line="240" w:lineRule="auto"/>
        <w:rPr>
          <w:szCs w:val="24"/>
          <w:lang w:val="hu-HU"/>
        </w:rPr>
      </w:pPr>
      <w:r w:rsidRPr="004311F9">
        <w:rPr>
          <w:szCs w:val="22"/>
          <w:lang w:val="hu-HU"/>
        </w:rPr>
        <w:t xml:space="preserve">eftrenonacogum </w:t>
      </w:r>
      <w:r w:rsidRPr="004311F9">
        <w:rPr>
          <w:szCs w:val="24"/>
          <w:lang w:val="hu-HU"/>
        </w:rPr>
        <w:t>alfa (rekombináns IX</w:t>
      </w:r>
      <w:r w:rsidRPr="004311F9">
        <w:rPr>
          <w:szCs w:val="24"/>
          <w:lang w:val="hu-HU"/>
        </w:rPr>
        <w:noBreakHyphen/>
        <w:t>es alvadási faktor, Fc fúziós fehérje)</w:t>
      </w:r>
    </w:p>
    <w:p w14:paraId="2E682B75" w14:textId="77777777" w:rsidR="008A332F" w:rsidRPr="004311F9" w:rsidRDefault="008A332F" w:rsidP="008A332F">
      <w:pPr>
        <w:spacing w:line="240" w:lineRule="auto"/>
        <w:rPr>
          <w:rFonts w:eastAsia="Times New Roman"/>
          <w:szCs w:val="24"/>
          <w:lang w:val="hu-HU"/>
        </w:rPr>
      </w:pPr>
    </w:p>
    <w:p w14:paraId="6D57E65E" w14:textId="77777777" w:rsidR="008A332F" w:rsidRPr="004311F9" w:rsidRDefault="008A332F" w:rsidP="008A332F">
      <w:pPr>
        <w:spacing w:line="240" w:lineRule="auto"/>
        <w:rPr>
          <w:rFonts w:eastAsia="Times New Roman"/>
          <w:szCs w:val="24"/>
          <w:lang w:val="hu-HU"/>
        </w:rPr>
      </w:pPr>
    </w:p>
    <w:p w14:paraId="602D8D32"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2.</w:t>
      </w:r>
      <w:r w:rsidRPr="004311F9">
        <w:rPr>
          <w:b/>
          <w:szCs w:val="24"/>
          <w:lang w:val="hu-HU"/>
        </w:rPr>
        <w:tab/>
        <w:t>HATÓANYAG(OK) MEGNEVEZÉSE</w:t>
      </w:r>
    </w:p>
    <w:p w14:paraId="4E8EAA7A" w14:textId="77777777" w:rsidR="008A332F" w:rsidRPr="004311F9" w:rsidRDefault="008A332F" w:rsidP="008A332F">
      <w:pPr>
        <w:spacing w:line="240" w:lineRule="auto"/>
        <w:rPr>
          <w:rFonts w:eastAsia="Times New Roman"/>
          <w:szCs w:val="24"/>
          <w:lang w:val="hu-HU"/>
        </w:rPr>
      </w:pPr>
    </w:p>
    <w:p w14:paraId="048A4BCF" w14:textId="77777777" w:rsidR="008A332F" w:rsidRPr="004311F9" w:rsidRDefault="008A332F" w:rsidP="008A332F">
      <w:pPr>
        <w:spacing w:line="240" w:lineRule="auto"/>
        <w:rPr>
          <w:rFonts w:eastAsia="Times New Roman"/>
          <w:shd w:val="clear" w:color="auto" w:fill="D9D9D9"/>
          <w:lang w:val="hu-HU" w:eastAsia="en-US"/>
        </w:rPr>
      </w:pPr>
      <w:r w:rsidRPr="004311F9">
        <w:rPr>
          <w:rFonts w:eastAsia="Times New Roman"/>
          <w:lang w:val="hu-HU" w:eastAsia="en-US"/>
        </w:rPr>
        <w:t>Por: 3000 NE eftrenonacogum alfa (feloldás után körülbelül 600 NE/ml),</w:t>
      </w:r>
    </w:p>
    <w:p w14:paraId="488AED56" w14:textId="77777777" w:rsidR="008A332F" w:rsidRPr="004311F9" w:rsidRDefault="008A332F" w:rsidP="008A332F">
      <w:pPr>
        <w:spacing w:line="240" w:lineRule="auto"/>
        <w:rPr>
          <w:rFonts w:eastAsia="Times New Roman"/>
          <w:szCs w:val="24"/>
          <w:lang w:val="hu-HU"/>
        </w:rPr>
      </w:pPr>
    </w:p>
    <w:p w14:paraId="14BFCB5F" w14:textId="77777777" w:rsidR="008A332F" w:rsidRPr="004311F9" w:rsidRDefault="008A332F" w:rsidP="008A332F">
      <w:pPr>
        <w:spacing w:line="240" w:lineRule="auto"/>
        <w:rPr>
          <w:rFonts w:eastAsia="Times New Roman"/>
          <w:szCs w:val="24"/>
          <w:lang w:val="hu-HU"/>
        </w:rPr>
      </w:pPr>
    </w:p>
    <w:p w14:paraId="1CE9A7CC"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3.</w:t>
      </w:r>
      <w:r w:rsidRPr="004311F9">
        <w:rPr>
          <w:b/>
          <w:szCs w:val="24"/>
          <w:lang w:val="hu-HU"/>
        </w:rPr>
        <w:tab/>
        <w:t>SEGÉDANYAGOK FELSOROLÁSA</w:t>
      </w:r>
    </w:p>
    <w:p w14:paraId="4AD6FDFF" w14:textId="77777777" w:rsidR="008A332F" w:rsidRPr="004311F9" w:rsidRDefault="008A332F" w:rsidP="008A332F">
      <w:pPr>
        <w:spacing w:line="240" w:lineRule="auto"/>
        <w:rPr>
          <w:rFonts w:eastAsia="Times New Roman"/>
          <w:szCs w:val="24"/>
          <w:lang w:val="hu-HU"/>
        </w:rPr>
      </w:pPr>
    </w:p>
    <w:p w14:paraId="34DB0504" w14:textId="77777777" w:rsidR="008A332F" w:rsidRPr="004311F9" w:rsidRDefault="008A332F" w:rsidP="008A332F">
      <w:pPr>
        <w:autoSpaceDE w:val="0"/>
        <w:autoSpaceDN w:val="0"/>
        <w:adjustRightInd w:val="0"/>
        <w:spacing w:line="240" w:lineRule="auto"/>
        <w:rPr>
          <w:szCs w:val="24"/>
          <w:lang w:val="hu-HU"/>
        </w:rPr>
      </w:pPr>
      <w:r w:rsidRPr="004311F9">
        <w:rPr>
          <w:rFonts w:eastAsia="Times New Roman"/>
          <w:shd w:val="clear" w:color="auto" w:fill="D9D9D9"/>
          <w:lang w:val="hu-HU" w:eastAsia="en-US"/>
        </w:rPr>
        <w:t>Por:</w:t>
      </w:r>
    </w:p>
    <w:p w14:paraId="515C3B13" w14:textId="1AD8E4BA" w:rsidR="008A332F" w:rsidRPr="004311F9" w:rsidRDefault="008A332F" w:rsidP="008A332F">
      <w:pPr>
        <w:autoSpaceDE w:val="0"/>
        <w:autoSpaceDN w:val="0"/>
        <w:adjustRightInd w:val="0"/>
        <w:spacing w:line="240" w:lineRule="auto"/>
        <w:rPr>
          <w:szCs w:val="24"/>
          <w:lang w:val="hu-HU"/>
        </w:rPr>
      </w:pPr>
      <w:r w:rsidRPr="004311F9">
        <w:rPr>
          <w:szCs w:val="24"/>
          <w:lang w:val="hu-HU"/>
        </w:rPr>
        <w:t>szacharóz, hisztidin, mannit, poliszorbát 20, nátrium</w:t>
      </w:r>
      <w:r w:rsidRPr="004311F9">
        <w:rPr>
          <w:szCs w:val="24"/>
          <w:lang w:val="hu-HU"/>
        </w:rPr>
        <w:noBreakHyphen/>
        <w:t>hidroxid, sósav</w:t>
      </w:r>
    </w:p>
    <w:p w14:paraId="5A5332D3" w14:textId="77777777" w:rsidR="008A332F" w:rsidRPr="004311F9" w:rsidRDefault="008A332F" w:rsidP="008A332F">
      <w:pPr>
        <w:autoSpaceDE w:val="0"/>
        <w:autoSpaceDN w:val="0"/>
        <w:adjustRightInd w:val="0"/>
        <w:spacing w:line="240" w:lineRule="auto"/>
        <w:rPr>
          <w:rFonts w:eastAsia="Times New Roman"/>
          <w:szCs w:val="24"/>
          <w:lang w:val="hu-HU"/>
        </w:rPr>
      </w:pPr>
    </w:p>
    <w:p w14:paraId="6B7734CB" w14:textId="77777777" w:rsidR="00FD6B4E" w:rsidRPr="004311F9" w:rsidRDefault="00FD6B4E" w:rsidP="00FD6B4E">
      <w:pPr>
        <w:keepNext/>
        <w:autoSpaceDE w:val="0"/>
        <w:autoSpaceDN w:val="0"/>
        <w:adjustRightInd w:val="0"/>
        <w:spacing w:line="240" w:lineRule="auto"/>
        <w:rPr>
          <w:szCs w:val="24"/>
          <w:lang w:val="hu-HU"/>
        </w:rPr>
      </w:pPr>
      <w:r w:rsidRPr="004311F9">
        <w:rPr>
          <w:szCs w:val="24"/>
          <w:lang w:val="hu-HU"/>
        </w:rPr>
        <w:t>Oldószer:</w:t>
      </w:r>
    </w:p>
    <w:p w14:paraId="18DDBA26" w14:textId="0DCB743D" w:rsidR="00FD6B4E" w:rsidRPr="004311F9" w:rsidRDefault="00FD6B4E" w:rsidP="00FD6B4E">
      <w:pPr>
        <w:autoSpaceDE w:val="0"/>
        <w:autoSpaceDN w:val="0"/>
        <w:adjustRightInd w:val="0"/>
        <w:spacing w:line="240" w:lineRule="auto"/>
        <w:rPr>
          <w:szCs w:val="24"/>
          <w:lang w:val="hu-HU"/>
        </w:rPr>
      </w:pPr>
      <w:r w:rsidRPr="004311F9">
        <w:rPr>
          <w:szCs w:val="24"/>
          <w:lang w:val="hu-HU"/>
        </w:rPr>
        <w:t>nátrium</w:t>
      </w:r>
      <w:r w:rsidRPr="004311F9">
        <w:rPr>
          <w:szCs w:val="24"/>
          <w:lang w:val="hu-HU"/>
        </w:rPr>
        <w:noBreakHyphen/>
        <w:t>klorid, injekcióhoz való víz</w:t>
      </w:r>
    </w:p>
    <w:p w14:paraId="1EC61CF3" w14:textId="77777777" w:rsidR="008A332F" w:rsidRPr="004311F9" w:rsidRDefault="008A332F" w:rsidP="008A332F">
      <w:pPr>
        <w:autoSpaceDE w:val="0"/>
        <w:autoSpaceDN w:val="0"/>
        <w:adjustRightInd w:val="0"/>
        <w:spacing w:line="240" w:lineRule="auto"/>
        <w:rPr>
          <w:rFonts w:eastAsia="Times New Roman"/>
          <w:szCs w:val="24"/>
          <w:lang w:val="hu-HU"/>
        </w:rPr>
      </w:pPr>
    </w:p>
    <w:p w14:paraId="31515093" w14:textId="77777777" w:rsidR="008A332F" w:rsidRPr="004311F9" w:rsidRDefault="008A332F" w:rsidP="008A332F">
      <w:pPr>
        <w:autoSpaceDE w:val="0"/>
        <w:autoSpaceDN w:val="0"/>
        <w:adjustRightInd w:val="0"/>
        <w:spacing w:line="240" w:lineRule="auto"/>
        <w:rPr>
          <w:rFonts w:eastAsia="Times New Roman"/>
          <w:szCs w:val="24"/>
          <w:lang w:val="hu-HU"/>
        </w:rPr>
      </w:pPr>
    </w:p>
    <w:p w14:paraId="178CD705"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4.</w:t>
      </w:r>
      <w:r w:rsidRPr="004311F9">
        <w:rPr>
          <w:b/>
          <w:szCs w:val="24"/>
          <w:lang w:val="hu-HU"/>
        </w:rPr>
        <w:tab/>
        <w:t>GYÓGYSZERFORMA ÉS TARTALOM</w:t>
      </w:r>
    </w:p>
    <w:p w14:paraId="11219676" w14:textId="77777777" w:rsidR="008A332F" w:rsidRPr="004311F9" w:rsidRDefault="008A332F" w:rsidP="008A332F">
      <w:pPr>
        <w:keepNext/>
        <w:spacing w:line="240" w:lineRule="auto"/>
        <w:rPr>
          <w:rFonts w:eastAsia="Times New Roman"/>
          <w:szCs w:val="24"/>
          <w:lang w:val="hu-HU"/>
        </w:rPr>
      </w:pPr>
    </w:p>
    <w:p w14:paraId="5095F6D2" w14:textId="77777777" w:rsidR="008A332F" w:rsidRPr="004311F9" w:rsidRDefault="008A332F" w:rsidP="008A332F">
      <w:pPr>
        <w:keepNext/>
        <w:spacing w:line="240" w:lineRule="auto"/>
        <w:rPr>
          <w:rFonts w:eastAsia="Times New Roman"/>
          <w:lang w:val="hu-HU" w:eastAsia="en-US"/>
        </w:rPr>
      </w:pPr>
      <w:r w:rsidRPr="004311F9">
        <w:rPr>
          <w:rFonts w:eastAsia="Times New Roman"/>
          <w:shd w:val="clear" w:color="auto" w:fill="D9D9D9"/>
          <w:lang w:val="hu-HU" w:eastAsia="en-US"/>
        </w:rPr>
        <w:t>Por és oldószer oldatos injekcióhoz.</w:t>
      </w:r>
    </w:p>
    <w:p w14:paraId="242ABAD8" w14:textId="77777777" w:rsidR="008A332F" w:rsidRPr="004311F9" w:rsidRDefault="008A332F" w:rsidP="008A332F">
      <w:pPr>
        <w:keepNext/>
        <w:spacing w:line="240" w:lineRule="auto"/>
        <w:rPr>
          <w:rFonts w:eastAsia="Times New Roman"/>
          <w:szCs w:val="24"/>
          <w:lang w:val="hu-HU"/>
        </w:rPr>
      </w:pPr>
    </w:p>
    <w:p w14:paraId="164EC12B" w14:textId="77777777" w:rsidR="008A332F" w:rsidRPr="004311F9" w:rsidRDefault="008A332F" w:rsidP="008A332F">
      <w:pPr>
        <w:spacing w:line="240" w:lineRule="auto"/>
        <w:rPr>
          <w:szCs w:val="24"/>
          <w:lang w:val="hu-HU"/>
        </w:rPr>
      </w:pPr>
      <w:r w:rsidRPr="004311F9">
        <w:rPr>
          <w:szCs w:val="24"/>
          <w:lang w:val="hu-HU"/>
        </w:rPr>
        <w:t>Tartalom: 1 db port tartalmazó injekciós üveg, 5 ml oldószer előretöltött fecskendőben, 1 db dugattyúrúd, 1 db injekciós üveg adapter, 1 db infúziós szerelék, 2 db alkoholos törlő, 2 db ragtapasz, 1 db gézlap.</w:t>
      </w:r>
    </w:p>
    <w:p w14:paraId="66555A26" w14:textId="77777777" w:rsidR="008A332F" w:rsidRPr="004311F9" w:rsidRDefault="008A332F" w:rsidP="008A332F">
      <w:pPr>
        <w:spacing w:line="240" w:lineRule="auto"/>
        <w:rPr>
          <w:rFonts w:eastAsia="Times New Roman"/>
          <w:szCs w:val="24"/>
          <w:lang w:val="hu-HU"/>
        </w:rPr>
      </w:pPr>
    </w:p>
    <w:p w14:paraId="7370413D" w14:textId="77777777" w:rsidR="008A332F" w:rsidRPr="004311F9" w:rsidRDefault="008A332F" w:rsidP="008A332F">
      <w:pPr>
        <w:spacing w:line="240" w:lineRule="auto"/>
        <w:rPr>
          <w:rFonts w:eastAsia="Times New Roman"/>
          <w:szCs w:val="24"/>
          <w:lang w:val="hu-HU"/>
        </w:rPr>
      </w:pPr>
    </w:p>
    <w:p w14:paraId="3483AE68"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5.</w:t>
      </w:r>
      <w:r w:rsidRPr="004311F9">
        <w:rPr>
          <w:b/>
          <w:szCs w:val="24"/>
          <w:lang w:val="hu-HU"/>
        </w:rPr>
        <w:tab/>
        <w:t>AZ ALKALMAZÁSSAL KAPCSOLATOS TUDNIVALÓK ÉS AZ ALKALMAZÁS MÓDJA(I)</w:t>
      </w:r>
    </w:p>
    <w:p w14:paraId="3AC69F54" w14:textId="77777777" w:rsidR="008A332F" w:rsidRPr="004311F9" w:rsidRDefault="008A332F" w:rsidP="008A332F">
      <w:pPr>
        <w:spacing w:line="240" w:lineRule="auto"/>
        <w:rPr>
          <w:rFonts w:eastAsia="Times New Roman"/>
          <w:szCs w:val="24"/>
          <w:lang w:val="hu-HU"/>
        </w:rPr>
      </w:pPr>
    </w:p>
    <w:p w14:paraId="70DB214B" w14:textId="77777777" w:rsidR="008A332F" w:rsidRPr="004311F9" w:rsidRDefault="008A332F" w:rsidP="008A332F">
      <w:pPr>
        <w:spacing w:line="240" w:lineRule="auto"/>
        <w:rPr>
          <w:szCs w:val="24"/>
          <w:lang w:val="hu-HU"/>
        </w:rPr>
      </w:pPr>
      <w:r w:rsidRPr="004311F9">
        <w:rPr>
          <w:szCs w:val="24"/>
          <w:lang w:val="hu-HU"/>
        </w:rPr>
        <w:t>Feloldás után intravénás alkalmazás.</w:t>
      </w:r>
    </w:p>
    <w:p w14:paraId="21993AE6" w14:textId="77777777" w:rsidR="008A332F" w:rsidRPr="004311F9" w:rsidRDefault="008A332F" w:rsidP="008A332F">
      <w:pPr>
        <w:spacing w:line="240" w:lineRule="auto"/>
        <w:rPr>
          <w:szCs w:val="24"/>
          <w:lang w:val="hu-HU"/>
        </w:rPr>
      </w:pPr>
      <w:r w:rsidRPr="004311F9">
        <w:rPr>
          <w:szCs w:val="24"/>
          <w:lang w:val="hu-HU"/>
        </w:rPr>
        <w:t>Használat előtt olvassa el a mellékelt betegtájékoztatót!</w:t>
      </w:r>
    </w:p>
    <w:p w14:paraId="0E755EC0" w14:textId="77777777" w:rsidR="008A332F" w:rsidRPr="004311F9" w:rsidRDefault="008A332F" w:rsidP="008A332F">
      <w:pPr>
        <w:spacing w:line="240" w:lineRule="auto"/>
        <w:rPr>
          <w:rFonts w:eastAsia="Times New Roman"/>
          <w:szCs w:val="24"/>
          <w:lang w:val="hu-HU"/>
        </w:rPr>
      </w:pPr>
    </w:p>
    <w:p w14:paraId="47C0B362" w14:textId="77777777" w:rsidR="008A332F" w:rsidRPr="004311F9" w:rsidRDefault="008A332F" w:rsidP="008A332F">
      <w:pPr>
        <w:spacing w:line="240" w:lineRule="auto"/>
        <w:rPr>
          <w:rFonts w:eastAsia="Times New Roman"/>
          <w:szCs w:val="24"/>
          <w:lang w:val="hu-HU"/>
        </w:rPr>
      </w:pPr>
      <w:r w:rsidRPr="004311F9">
        <w:rPr>
          <w:szCs w:val="24"/>
          <w:lang w:val="hu-HU"/>
        </w:rPr>
        <w:t>Az ALPROLIX elkészítésének és beadásának módjáról szóló oktatófilm elérhető a QR</w:t>
      </w:r>
      <w:r w:rsidRPr="004311F9">
        <w:rPr>
          <w:szCs w:val="24"/>
          <w:lang w:val="hu-HU"/>
        </w:rPr>
        <w:noBreakHyphen/>
        <w:t>kód okostelefonnal történő beolvasásával, vagy az internetes honlapon</w:t>
      </w:r>
    </w:p>
    <w:p w14:paraId="46AE82F4" w14:textId="77777777" w:rsidR="008A332F" w:rsidRPr="004311F9" w:rsidRDefault="008A332F" w:rsidP="008A332F">
      <w:pPr>
        <w:spacing w:line="240" w:lineRule="auto"/>
        <w:rPr>
          <w:rFonts w:eastAsia="Times New Roman"/>
          <w:szCs w:val="24"/>
          <w:lang w:val="hu-HU"/>
        </w:rPr>
      </w:pPr>
    </w:p>
    <w:p w14:paraId="2FE2A801" w14:textId="77777777" w:rsidR="008A332F" w:rsidRPr="004311F9" w:rsidRDefault="008A332F" w:rsidP="008A332F">
      <w:pPr>
        <w:spacing w:line="240" w:lineRule="auto"/>
        <w:rPr>
          <w:sz w:val="23"/>
          <w:lang w:val="hu-HU"/>
        </w:rPr>
      </w:pPr>
      <w:r w:rsidRPr="004311F9">
        <w:rPr>
          <w:rFonts w:eastAsia="Times New Roman"/>
          <w:shd w:val="clear" w:color="auto" w:fill="D9D9D9"/>
          <w:lang w:val="hu-HU" w:eastAsia="en-US"/>
        </w:rPr>
        <w:t>Be kell illeszteni a QR</w:t>
      </w:r>
      <w:r w:rsidRPr="004311F9">
        <w:rPr>
          <w:rFonts w:eastAsia="Times New Roman"/>
          <w:shd w:val="clear" w:color="auto" w:fill="D9D9D9"/>
          <w:lang w:val="hu-HU" w:eastAsia="en-US"/>
        </w:rPr>
        <w:noBreakHyphen/>
        <w:t>kódot +</w:t>
      </w:r>
      <w:r w:rsidRPr="004311F9">
        <w:rPr>
          <w:lang w:val="hu-HU"/>
        </w:rPr>
        <w:t xml:space="preserve"> </w:t>
      </w:r>
      <w:hyperlink r:id="rId29" w:history="1">
        <w:r w:rsidRPr="004311F9">
          <w:rPr>
            <w:rStyle w:val="Hyperlink"/>
            <w:lang w:val="hu-HU"/>
          </w:rPr>
          <w:t>http://www.alprolix-instructions.com</w:t>
        </w:r>
      </w:hyperlink>
      <w:r w:rsidRPr="004311F9">
        <w:rPr>
          <w:lang w:val="hu-HU"/>
        </w:rPr>
        <w:t xml:space="preserve"> </w:t>
      </w:r>
    </w:p>
    <w:p w14:paraId="2553EE47" w14:textId="77777777" w:rsidR="008A332F" w:rsidRPr="004311F9" w:rsidRDefault="008A332F" w:rsidP="008A332F">
      <w:pPr>
        <w:spacing w:line="240" w:lineRule="auto"/>
        <w:rPr>
          <w:rFonts w:eastAsia="Times New Roman"/>
          <w:szCs w:val="24"/>
          <w:lang w:val="hu-HU"/>
        </w:rPr>
      </w:pPr>
    </w:p>
    <w:p w14:paraId="1FE8F150" w14:textId="77777777" w:rsidR="008A332F" w:rsidRPr="004311F9" w:rsidRDefault="008A332F" w:rsidP="008A332F">
      <w:pPr>
        <w:spacing w:line="240" w:lineRule="auto"/>
        <w:rPr>
          <w:rFonts w:eastAsia="Times New Roman"/>
          <w:szCs w:val="24"/>
          <w:lang w:val="hu-HU"/>
        </w:rPr>
      </w:pPr>
    </w:p>
    <w:p w14:paraId="467E4388"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6.</w:t>
      </w:r>
      <w:r w:rsidRPr="004311F9">
        <w:rPr>
          <w:b/>
          <w:szCs w:val="24"/>
          <w:lang w:val="hu-HU"/>
        </w:rPr>
        <w:tab/>
        <w:t>KÜLÖN FIGYELMEZTETÉS, MELY SZERINT A GYÓGYSZERT GYERMEKEKTŐL ELZÁRVA KELL TARTANI</w:t>
      </w:r>
    </w:p>
    <w:p w14:paraId="74F19E75" w14:textId="77777777" w:rsidR="008A332F" w:rsidRPr="004311F9" w:rsidRDefault="008A332F" w:rsidP="008A332F">
      <w:pPr>
        <w:spacing w:line="240" w:lineRule="auto"/>
        <w:rPr>
          <w:rFonts w:eastAsia="Times New Roman"/>
          <w:szCs w:val="24"/>
          <w:lang w:val="hu-HU"/>
        </w:rPr>
      </w:pPr>
    </w:p>
    <w:p w14:paraId="7458D77A" w14:textId="77777777" w:rsidR="008A332F" w:rsidRPr="004311F9" w:rsidRDefault="008A332F" w:rsidP="008A332F">
      <w:pPr>
        <w:spacing w:line="240" w:lineRule="auto"/>
        <w:rPr>
          <w:rFonts w:eastAsia="Times New Roman"/>
          <w:szCs w:val="24"/>
          <w:lang w:val="hu-HU"/>
        </w:rPr>
      </w:pPr>
      <w:r w:rsidRPr="004311F9">
        <w:rPr>
          <w:szCs w:val="24"/>
          <w:lang w:val="hu-HU"/>
        </w:rPr>
        <w:lastRenderedPageBreak/>
        <w:t>A gyógyszer gyermekektől elzárva tartandó!</w:t>
      </w:r>
    </w:p>
    <w:p w14:paraId="0F4F4F98" w14:textId="77777777" w:rsidR="008A332F" w:rsidRPr="004311F9" w:rsidRDefault="008A332F" w:rsidP="008A332F">
      <w:pPr>
        <w:spacing w:line="240" w:lineRule="auto"/>
        <w:rPr>
          <w:rFonts w:eastAsia="Times New Roman"/>
          <w:szCs w:val="24"/>
          <w:lang w:val="hu-HU"/>
        </w:rPr>
      </w:pPr>
    </w:p>
    <w:p w14:paraId="70AD3FD3" w14:textId="77777777" w:rsidR="008A332F" w:rsidRPr="004311F9" w:rsidRDefault="008A332F" w:rsidP="008A332F">
      <w:pPr>
        <w:spacing w:line="240" w:lineRule="auto"/>
        <w:rPr>
          <w:rFonts w:eastAsia="Times New Roman"/>
          <w:szCs w:val="24"/>
          <w:lang w:val="hu-HU"/>
        </w:rPr>
      </w:pPr>
    </w:p>
    <w:p w14:paraId="4176780A"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7.</w:t>
      </w:r>
      <w:r w:rsidRPr="004311F9">
        <w:rPr>
          <w:b/>
          <w:szCs w:val="24"/>
          <w:lang w:val="hu-HU"/>
        </w:rPr>
        <w:tab/>
        <w:t>TOVÁBBI FIGYELMEZTETÉS(EK), AMENNYIBEN SZÜKSÉGES</w:t>
      </w:r>
    </w:p>
    <w:p w14:paraId="78E7F12B" w14:textId="77777777" w:rsidR="008A332F" w:rsidRPr="004311F9" w:rsidRDefault="008A332F" w:rsidP="008A332F">
      <w:pPr>
        <w:spacing w:line="240" w:lineRule="auto"/>
        <w:rPr>
          <w:rFonts w:eastAsia="Times New Roman"/>
          <w:szCs w:val="24"/>
          <w:lang w:val="hu-HU"/>
        </w:rPr>
      </w:pPr>
    </w:p>
    <w:p w14:paraId="751C0125" w14:textId="77777777" w:rsidR="008A332F" w:rsidRPr="004311F9" w:rsidRDefault="008A332F" w:rsidP="008A332F">
      <w:pPr>
        <w:spacing w:line="240" w:lineRule="auto"/>
        <w:rPr>
          <w:rFonts w:eastAsia="Times New Roman"/>
          <w:szCs w:val="24"/>
          <w:lang w:val="hu-HU"/>
        </w:rPr>
      </w:pPr>
    </w:p>
    <w:p w14:paraId="4E64D277"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8.</w:t>
      </w:r>
      <w:r w:rsidRPr="004311F9">
        <w:rPr>
          <w:b/>
          <w:szCs w:val="24"/>
          <w:lang w:val="hu-HU"/>
        </w:rPr>
        <w:tab/>
        <w:t>LEJÁRATI IDŐ</w:t>
      </w:r>
    </w:p>
    <w:p w14:paraId="0CEAF9F9" w14:textId="77777777" w:rsidR="008A332F" w:rsidRPr="004311F9" w:rsidRDefault="008A332F" w:rsidP="008A332F">
      <w:pPr>
        <w:spacing w:line="240" w:lineRule="auto"/>
        <w:rPr>
          <w:rFonts w:eastAsia="Times New Roman"/>
          <w:szCs w:val="24"/>
          <w:lang w:val="hu-HU"/>
        </w:rPr>
      </w:pPr>
    </w:p>
    <w:p w14:paraId="2D8477A9" w14:textId="77777777" w:rsidR="008A332F" w:rsidRPr="004311F9" w:rsidRDefault="008A332F" w:rsidP="008A332F">
      <w:pPr>
        <w:spacing w:line="240" w:lineRule="auto"/>
        <w:rPr>
          <w:szCs w:val="24"/>
          <w:lang w:val="hu-HU"/>
        </w:rPr>
      </w:pPr>
      <w:r w:rsidRPr="004311F9">
        <w:rPr>
          <w:szCs w:val="24"/>
          <w:lang w:val="hu-HU"/>
        </w:rPr>
        <w:t>EXP</w:t>
      </w:r>
    </w:p>
    <w:p w14:paraId="4DEF5CB2" w14:textId="77777777" w:rsidR="008A332F" w:rsidRPr="004311F9" w:rsidRDefault="008A332F" w:rsidP="008A332F">
      <w:pPr>
        <w:spacing w:line="240" w:lineRule="auto"/>
        <w:rPr>
          <w:rFonts w:eastAsia="Times New Roman"/>
          <w:szCs w:val="24"/>
          <w:lang w:val="hu-HU"/>
        </w:rPr>
      </w:pPr>
    </w:p>
    <w:p w14:paraId="72C3EB62" w14:textId="77777777" w:rsidR="008A332F" w:rsidRPr="004311F9" w:rsidRDefault="008A332F" w:rsidP="008A332F">
      <w:pPr>
        <w:spacing w:line="240" w:lineRule="auto"/>
        <w:rPr>
          <w:szCs w:val="24"/>
          <w:lang w:val="hu-HU"/>
        </w:rPr>
      </w:pPr>
      <w:r w:rsidRPr="004311F9">
        <w:rPr>
          <w:szCs w:val="24"/>
          <w:lang w:val="hu-HU"/>
        </w:rPr>
        <w:t>A feloldást követő 6 órán belül fel kell használni.</w:t>
      </w:r>
    </w:p>
    <w:p w14:paraId="6129FCD2" w14:textId="77777777" w:rsidR="008A332F" w:rsidRPr="004311F9" w:rsidRDefault="008A332F" w:rsidP="008A332F">
      <w:pPr>
        <w:spacing w:line="240" w:lineRule="auto"/>
        <w:rPr>
          <w:rFonts w:eastAsia="Times New Roman"/>
          <w:szCs w:val="24"/>
          <w:lang w:val="hu-HU"/>
        </w:rPr>
      </w:pPr>
    </w:p>
    <w:p w14:paraId="22D4E59F" w14:textId="77777777" w:rsidR="008A332F" w:rsidRPr="004311F9" w:rsidRDefault="008A332F" w:rsidP="008A332F">
      <w:pPr>
        <w:spacing w:line="240" w:lineRule="auto"/>
        <w:rPr>
          <w:rFonts w:eastAsia="Times New Roman"/>
          <w:szCs w:val="24"/>
          <w:lang w:val="hu-HU"/>
        </w:rPr>
      </w:pPr>
    </w:p>
    <w:p w14:paraId="5C79DCBA"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9.</w:t>
      </w:r>
      <w:r w:rsidRPr="004311F9">
        <w:rPr>
          <w:b/>
          <w:szCs w:val="24"/>
          <w:lang w:val="hu-HU"/>
        </w:rPr>
        <w:tab/>
        <w:t>KÜLÖNLEGES TÁROLÁSI ELŐÍRÁSOK</w:t>
      </w:r>
    </w:p>
    <w:p w14:paraId="4A15AEDA" w14:textId="77777777" w:rsidR="008A332F" w:rsidRPr="004311F9" w:rsidRDefault="008A332F" w:rsidP="008A332F">
      <w:pPr>
        <w:spacing w:line="240" w:lineRule="auto"/>
        <w:rPr>
          <w:rFonts w:eastAsia="Times New Roman"/>
          <w:szCs w:val="24"/>
          <w:lang w:val="hu-HU"/>
        </w:rPr>
      </w:pPr>
    </w:p>
    <w:p w14:paraId="3CE1AE86" w14:textId="77777777" w:rsidR="008A332F" w:rsidRPr="004311F9" w:rsidRDefault="008A332F" w:rsidP="008A332F">
      <w:pPr>
        <w:spacing w:line="240" w:lineRule="auto"/>
        <w:rPr>
          <w:szCs w:val="24"/>
          <w:lang w:val="hu-HU"/>
        </w:rPr>
      </w:pPr>
      <w:r w:rsidRPr="004311F9">
        <w:rPr>
          <w:szCs w:val="24"/>
          <w:lang w:val="hu-HU"/>
        </w:rPr>
        <w:t>Az injekciós üveget a fénytől való védelem érdekében tartsa a dobozában.</w:t>
      </w:r>
    </w:p>
    <w:p w14:paraId="38F10F8A" w14:textId="77777777" w:rsidR="008A332F" w:rsidRPr="004311F9" w:rsidRDefault="008A332F" w:rsidP="008A332F">
      <w:pPr>
        <w:spacing w:line="240" w:lineRule="auto"/>
        <w:rPr>
          <w:szCs w:val="24"/>
          <w:lang w:val="hu-HU"/>
        </w:rPr>
      </w:pPr>
      <w:r w:rsidRPr="004311F9">
        <w:rPr>
          <w:szCs w:val="24"/>
          <w:lang w:val="hu-HU"/>
        </w:rPr>
        <w:t>Hűtőszekrényben tárolandó.</w:t>
      </w:r>
    </w:p>
    <w:p w14:paraId="12EDF834" w14:textId="77777777" w:rsidR="008A332F" w:rsidRPr="004311F9" w:rsidRDefault="008A332F" w:rsidP="008A332F">
      <w:pPr>
        <w:spacing w:line="240" w:lineRule="auto"/>
        <w:rPr>
          <w:szCs w:val="24"/>
          <w:lang w:val="hu-HU"/>
        </w:rPr>
      </w:pPr>
      <w:r w:rsidRPr="004311F9">
        <w:rPr>
          <w:szCs w:val="24"/>
          <w:lang w:val="hu-HU"/>
        </w:rPr>
        <w:t>Nem fagyasztható!</w:t>
      </w:r>
    </w:p>
    <w:p w14:paraId="4E5798EA" w14:textId="77777777" w:rsidR="008A332F" w:rsidRPr="004311F9" w:rsidRDefault="008A332F" w:rsidP="008A332F">
      <w:pPr>
        <w:spacing w:line="240" w:lineRule="auto"/>
        <w:rPr>
          <w:szCs w:val="24"/>
          <w:lang w:val="hu-HU"/>
        </w:rPr>
      </w:pPr>
      <w:r w:rsidRPr="004311F9">
        <w:rPr>
          <w:szCs w:val="24"/>
          <w:lang w:val="hu-HU"/>
        </w:rPr>
        <w:t>Szobahőmérsékleten (legfeljebb 30 °C</w:t>
      </w:r>
      <w:r w:rsidRPr="004311F9">
        <w:rPr>
          <w:szCs w:val="24"/>
          <w:lang w:val="hu-HU"/>
        </w:rPr>
        <w:noBreakHyphen/>
        <w:t xml:space="preserve">on) tárolható legfeljebb 6 hónapos egyszeri időtartamban. Szobahőmérsékleten történt tárolása után tilos visszatenni a hűtőszekrénybe. </w:t>
      </w:r>
    </w:p>
    <w:p w14:paraId="1192216D" w14:textId="77777777" w:rsidR="008A332F" w:rsidRPr="004311F9" w:rsidRDefault="008A332F" w:rsidP="008A332F">
      <w:pPr>
        <w:spacing w:line="240" w:lineRule="auto"/>
        <w:rPr>
          <w:szCs w:val="24"/>
          <w:lang w:val="hu-HU"/>
        </w:rPr>
      </w:pPr>
      <w:r w:rsidRPr="004311F9">
        <w:rPr>
          <w:szCs w:val="24"/>
          <w:lang w:val="hu-HU"/>
        </w:rPr>
        <w:t>Hűtőszekrényből való kivétel dátuma:</w:t>
      </w:r>
    </w:p>
    <w:p w14:paraId="2E1912F6" w14:textId="77777777" w:rsidR="008A332F" w:rsidRPr="004311F9" w:rsidRDefault="008A332F" w:rsidP="008A332F">
      <w:pPr>
        <w:spacing w:line="240" w:lineRule="auto"/>
        <w:rPr>
          <w:rFonts w:eastAsia="Times New Roman"/>
          <w:szCs w:val="24"/>
          <w:lang w:val="hu-HU"/>
        </w:rPr>
      </w:pPr>
    </w:p>
    <w:p w14:paraId="12F94255" w14:textId="77777777" w:rsidR="008A332F" w:rsidRPr="004311F9" w:rsidRDefault="008A332F" w:rsidP="008A332F">
      <w:pPr>
        <w:spacing w:line="240" w:lineRule="auto"/>
        <w:ind w:left="567" w:hanging="567"/>
        <w:rPr>
          <w:rFonts w:eastAsia="Times New Roman"/>
          <w:szCs w:val="24"/>
          <w:lang w:val="hu-HU"/>
        </w:rPr>
      </w:pPr>
    </w:p>
    <w:p w14:paraId="7F727DFB"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10.</w:t>
      </w:r>
      <w:r w:rsidRPr="004311F9">
        <w:rPr>
          <w:b/>
          <w:szCs w:val="24"/>
          <w:lang w:val="hu-HU"/>
        </w:rPr>
        <w:tab/>
        <w:t>KÜLÖNLEGES ÓVINTÉZKEDÉSEK A FEL NEM HASZNÁLT GYÓGYSZEREK VAGY AZ ILYEN TERMÉKEKBŐL KELETKEZETT HULLADÉKANYAGOK ÁRTALMATLANNÁ TÉTELÉRE, HA ILYENEKRE SZÜKSÉG VAN</w:t>
      </w:r>
    </w:p>
    <w:p w14:paraId="665814D8" w14:textId="77777777" w:rsidR="008A332F" w:rsidRPr="004311F9" w:rsidRDefault="008A332F" w:rsidP="008A332F">
      <w:pPr>
        <w:spacing w:line="240" w:lineRule="auto"/>
        <w:rPr>
          <w:rFonts w:eastAsia="Times New Roman"/>
          <w:szCs w:val="24"/>
          <w:lang w:val="hu-HU"/>
        </w:rPr>
      </w:pPr>
    </w:p>
    <w:p w14:paraId="5C249CAD" w14:textId="77777777" w:rsidR="008A332F" w:rsidRPr="004311F9" w:rsidRDefault="008A332F" w:rsidP="008A332F">
      <w:pPr>
        <w:spacing w:line="240" w:lineRule="auto"/>
        <w:rPr>
          <w:rFonts w:eastAsia="Times New Roman"/>
          <w:szCs w:val="24"/>
          <w:lang w:val="hu-HU"/>
        </w:rPr>
      </w:pPr>
    </w:p>
    <w:p w14:paraId="039B7C82"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lastRenderedPageBreak/>
        <w:t>11.</w:t>
      </w:r>
      <w:r w:rsidRPr="004311F9">
        <w:rPr>
          <w:b/>
          <w:szCs w:val="24"/>
          <w:lang w:val="hu-HU"/>
        </w:rPr>
        <w:tab/>
        <w:t>A FORGALOMBA HOZATALI ENGEDÉLY JOGOSULTJÁNAK NEVE ÉS CÍME</w:t>
      </w:r>
    </w:p>
    <w:p w14:paraId="7F042AAA" w14:textId="77777777" w:rsidR="008A332F" w:rsidRPr="004311F9" w:rsidRDefault="008A332F" w:rsidP="008A332F">
      <w:pPr>
        <w:keepNext/>
        <w:spacing w:line="240" w:lineRule="auto"/>
        <w:rPr>
          <w:rFonts w:eastAsia="Times New Roman"/>
          <w:szCs w:val="24"/>
          <w:lang w:val="hu-HU"/>
        </w:rPr>
      </w:pPr>
    </w:p>
    <w:p w14:paraId="5DE5B8BD" w14:textId="77777777" w:rsidR="008A332F" w:rsidRPr="004311F9" w:rsidRDefault="008A332F" w:rsidP="008A332F">
      <w:pPr>
        <w:keepNext/>
        <w:spacing w:line="240" w:lineRule="auto"/>
        <w:rPr>
          <w:szCs w:val="24"/>
          <w:lang w:val="hu-HU"/>
        </w:rPr>
      </w:pPr>
      <w:r w:rsidRPr="004311F9">
        <w:rPr>
          <w:szCs w:val="24"/>
          <w:lang w:val="hu-HU"/>
        </w:rPr>
        <w:t>Swedish Orphan Biovitrum AB (publ)</w:t>
      </w:r>
    </w:p>
    <w:p w14:paraId="50ED0399" w14:textId="77777777" w:rsidR="008A332F" w:rsidRPr="004311F9" w:rsidRDefault="008A332F" w:rsidP="008A332F">
      <w:pPr>
        <w:keepNext/>
        <w:spacing w:line="240" w:lineRule="auto"/>
        <w:rPr>
          <w:szCs w:val="24"/>
          <w:lang w:val="hu-HU"/>
        </w:rPr>
      </w:pPr>
      <w:r w:rsidRPr="004311F9">
        <w:rPr>
          <w:szCs w:val="24"/>
          <w:lang w:val="hu-HU"/>
        </w:rPr>
        <w:t>SE</w:t>
      </w:r>
      <w:r w:rsidRPr="004311F9">
        <w:rPr>
          <w:szCs w:val="24"/>
          <w:lang w:val="hu-HU"/>
        </w:rPr>
        <w:noBreakHyphen/>
        <w:t>112 76 Stockholm</w:t>
      </w:r>
    </w:p>
    <w:p w14:paraId="2FAFF5BA" w14:textId="77777777" w:rsidR="008A332F" w:rsidRPr="004311F9" w:rsidRDefault="008A332F" w:rsidP="008A332F">
      <w:pPr>
        <w:spacing w:line="240" w:lineRule="auto"/>
        <w:rPr>
          <w:szCs w:val="24"/>
          <w:lang w:val="hu-HU"/>
        </w:rPr>
      </w:pPr>
      <w:r w:rsidRPr="004311F9">
        <w:rPr>
          <w:szCs w:val="24"/>
          <w:lang w:val="hu-HU"/>
        </w:rPr>
        <w:t>Svédország</w:t>
      </w:r>
    </w:p>
    <w:p w14:paraId="0C729EB0" w14:textId="77777777" w:rsidR="008A332F" w:rsidRPr="004311F9" w:rsidRDefault="008A332F" w:rsidP="008A332F">
      <w:pPr>
        <w:spacing w:line="240" w:lineRule="auto"/>
        <w:rPr>
          <w:rFonts w:eastAsia="Times New Roman"/>
          <w:szCs w:val="24"/>
          <w:lang w:val="hu-HU"/>
        </w:rPr>
      </w:pPr>
    </w:p>
    <w:p w14:paraId="243E8FAB" w14:textId="77777777" w:rsidR="008A332F" w:rsidRPr="004311F9" w:rsidRDefault="008A332F" w:rsidP="008A332F">
      <w:pPr>
        <w:spacing w:line="240" w:lineRule="auto"/>
        <w:rPr>
          <w:rFonts w:eastAsia="Times New Roman"/>
          <w:szCs w:val="24"/>
          <w:lang w:val="hu-HU"/>
        </w:rPr>
      </w:pPr>
    </w:p>
    <w:p w14:paraId="0F1A62C6"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12.</w:t>
      </w:r>
      <w:r w:rsidRPr="004311F9">
        <w:rPr>
          <w:b/>
          <w:szCs w:val="24"/>
          <w:lang w:val="hu-HU"/>
        </w:rPr>
        <w:tab/>
        <w:t>A FORGALOMBA HOZATALI ENGEDÉLY SZÁMA(I)</w:t>
      </w:r>
    </w:p>
    <w:p w14:paraId="024BFCA2" w14:textId="77777777" w:rsidR="008A332F" w:rsidRPr="004311F9" w:rsidRDefault="008A332F" w:rsidP="008A332F">
      <w:pPr>
        <w:spacing w:line="240" w:lineRule="auto"/>
        <w:rPr>
          <w:rFonts w:eastAsia="Times New Roman"/>
          <w:szCs w:val="24"/>
          <w:lang w:val="hu-HU"/>
        </w:rPr>
      </w:pPr>
    </w:p>
    <w:p w14:paraId="1D2873B3" w14:textId="77777777" w:rsidR="008A332F" w:rsidRPr="004311F9" w:rsidRDefault="008A332F" w:rsidP="008A332F">
      <w:pPr>
        <w:spacing w:line="240" w:lineRule="auto"/>
        <w:rPr>
          <w:lang w:val="hu-HU"/>
        </w:rPr>
      </w:pPr>
      <w:r w:rsidRPr="004311F9">
        <w:rPr>
          <w:lang w:val="hu-HU"/>
        </w:rPr>
        <w:t>EU/1/16/1098/005</w:t>
      </w:r>
    </w:p>
    <w:p w14:paraId="33EB584B" w14:textId="77777777" w:rsidR="008A332F" w:rsidRPr="004311F9" w:rsidRDefault="008A332F" w:rsidP="008A332F">
      <w:pPr>
        <w:spacing w:line="240" w:lineRule="auto"/>
        <w:rPr>
          <w:rFonts w:eastAsia="Times New Roman"/>
          <w:szCs w:val="24"/>
          <w:lang w:val="hu-HU"/>
        </w:rPr>
      </w:pPr>
    </w:p>
    <w:p w14:paraId="66A70CE9" w14:textId="77777777" w:rsidR="008A332F" w:rsidRPr="004311F9" w:rsidRDefault="008A332F" w:rsidP="008A332F">
      <w:pPr>
        <w:spacing w:line="240" w:lineRule="auto"/>
        <w:rPr>
          <w:rFonts w:eastAsia="Times New Roman"/>
          <w:szCs w:val="24"/>
          <w:lang w:val="hu-HU"/>
        </w:rPr>
      </w:pPr>
    </w:p>
    <w:p w14:paraId="31A7346A"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13.</w:t>
      </w:r>
      <w:r w:rsidRPr="004311F9">
        <w:rPr>
          <w:b/>
          <w:szCs w:val="24"/>
          <w:lang w:val="hu-HU"/>
        </w:rPr>
        <w:tab/>
        <w:t>A GYÁRTÁSI TÉTEL SZÁMA</w:t>
      </w:r>
    </w:p>
    <w:p w14:paraId="7692A451" w14:textId="77777777" w:rsidR="008A332F" w:rsidRPr="004311F9" w:rsidRDefault="008A332F" w:rsidP="008A332F">
      <w:pPr>
        <w:spacing w:line="240" w:lineRule="auto"/>
        <w:rPr>
          <w:rFonts w:eastAsia="Times New Roman"/>
          <w:i/>
          <w:szCs w:val="24"/>
          <w:lang w:val="hu-HU"/>
        </w:rPr>
      </w:pPr>
    </w:p>
    <w:p w14:paraId="72B6A126" w14:textId="77777777" w:rsidR="008A332F" w:rsidRPr="004311F9" w:rsidRDefault="008A332F" w:rsidP="008A332F">
      <w:pPr>
        <w:spacing w:line="240" w:lineRule="auto"/>
        <w:rPr>
          <w:szCs w:val="24"/>
          <w:lang w:val="hu-HU"/>
        </w:rPr>
      </w:pPr>
      <w:r w:rsidRPr="004311F9">
        <w:rPr>
          <w:szCs w:val="24"/>
          <w:lang w:val="hu-HU"/>
        </w:rPr>
        <w:t>Lot</w:t>
      </w:r>
    </w:p>
    <w:p w14:paraId="63511408" w14:textId="77777777" w:rsidR="008A332F" w:rsidRPr="004311F9" w:rsidRDefault="008A332F" w:rsidP="008A332F">
      <w:pPr>
        <w:spacing w:line="240" w:lineRule="auto"/>
        <w:rPr>
          <w:rFonts w:eastAsia="Times New Roman"/>
          <w:szCs w:val="24"/>
          <w:lang w:val="hu-HU"/>
        </w:rPr>
      </w:pPr>
    </w:p>
    <w:p w14:paraId="387A6008" w14:textId="77777777" w:rsidR="008A332F" w:rsidRPr="004311F9" w:rsidRDefault="008A332F" w:rsidP="008A332F">
      <w:pPr>
        <w:spacing w:line="240" w:lineRule="auto"/>
        <w:rPr>
          <w:rFonts w:eastAsia="Times New Roman"/>
          <w:szCs w:val="24"/>
          <w:lang w:val="hu-HU"/>
        </w:rPr>
      </w:pPr>
    </w:p>
    <w:p w14:paraId="49C2E6AD"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14.</w:t>
      </w:r>
      <w:r w:rsidRPr="004311F9">
        <w:rPr>
          <w:b/>
          <w:szCs w:val="24"/>
          <w:lang w:val="hu-HU"/>
        </w:rPr>
        <w:tab/>
        <w:t>A GYÓGYSZER RENDELHETŐSÉGE</w:t>
      </w:r>
    </w:p>
    <w:p w14:paraId="55185788" w14:textId="77777777" w:rsidR="008A332F" w:rsidRPr="004311F9" w:rsidRDefault="008A332F" w:rsidP="008A332F">
      <w:pPr>
        <w:spacing w:line="240" w:lineRule="auto"/>
        <w:rPr>
          <w:rFonts w:eastAsia="Times New Roman"/>
          <w:i/>
          <w:szCs w:val="24"/>
          <w:lang w:val="hu-HU"/>
        </w:rPr>
      </w:pPr>
    </w:p>
    <w:p w14:paraId="21E2F0B2" w14:textId="77777777" w:rsidR="008A332F" w:rsidRPr="004311F9" w:rsidRDefault="008A332F" w:rsidP="008A332F">
      <w:pPr>
        <w:spacing w:line="240" w:lineRule="auto"/>
        <w:rPr>
          <w:rFonts w:eastAsia="Times New Roman"/>
          <w:szCs w:val="24"/>
          <w:lang w:val="hu-HU"/>
        </w:rPr>
      </w:pPr>
    </w:p>
    <w:p w14:paraId="1A38B2E9"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lastRenderedPageBreak/>
        <w:t>15.</w:t>
      </w:r>
      <w:r w:rsidRPr="004311F9">
        <w:rPr>
          <w:b/>
          <w:szCs w:val="24"/>
          <w:lang w:val="hu-HU"/>
        </w:rPr>
        <w:tab/>
        <w:t>AZ ALKALMAZÁSRA VONATKOZÓ UTASÍTÁSOK</w:t>
      </w:r>
    </w:p>
    <w:p w14:paraId="0C344ABF" w14:textId="77777777" w:rsidR="008A332F" w:rsidRPr="004311F9" w:rsidRDefault="008A332F" w:rsidP="008A332F">
      <w:pPr>
        <w:spacing w:line="240" w:lineRule="auto"/>
        <w:rPr>
          <w:rFonts w:eastAsia="Times New Roman"/>
          <w:szCs w:val="24"/>
          <w:lang w:val="hu-HU"/>
        </w:rPr>
      </w:pPr>
    </w:p>
    <w:p w14:paraId="4D243A68" w14:textId="77777777" w:rsidR="008A332F" w:rsidRPr="004311F9" w:rsidRDefault="008A332F" w:rsidP="008A332F">
      <w:pPr>
        <w:spacing w:line="240" w:lineRule="auto"/>
        <w:rPr>
          <w:rFonts w:eastAsia="Times New Roman"/>
          <w:szCs w:val="24"/>
          <w:lang w:val="hu-HU"/>
        </w:rPr>
      </w:pPr>
    </w:p>
    <w:p w14:paraId="01E18A64"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16.</w:t>
      </w:r>
      <w:r w:rsidRPr="004311F9">
        <w:rPr>
          <w:b/>
          <w:szCs w:val="24"/>
          <w:lang w:val="hu-HU"/>
        </w:rPr>
        <w:tab/>
        <w:t>BRAILLE ÍRÁSSAL FELTÜNTETETT INFORMÁCIÓK</w:t>
      </w:r>
    </w:p>
    <w:p w14:paraId="4486D34D" w14:textId="77777777" w:rsidR="008A332F" w:rsidRPr="004311F9" w:rsidRDefault="008A332F" w:rsidP="008A332F">
      <w:pPr>
        <w:spacing w:line="240" w:lineRule="auto"/>
        <w:rPr>
          <w:rFonts w:eastAsia="Times New Roman"/>
          <w:szCs w:val="24"/>
          <w:lang w:val="hu-HU"/>
        </w:rPr>
      </w:pPr>
    </w:p>
    <w:p w14:paraId="3DD76F2A" w14:textId="77777777" w:rsidR="008A332F" w:rsidRPr="004311F9" w:rsidRDefault="008A332F" w:rsidP="008A332F">
      <w:pPr>
        <w:spacing w:line="240" w:lineRule="auto"/>
        <w:rPr>
          <w:rFonts w:eastAsia="Times New Roman"/>
          <w:lang w:val="hu-HU" w:eastAsia="en-US"/>
        </w:rPr>
      </w:pPr>
      <w:r w:rsidRPr="004311F9">
        <w:rPr>
          <w:rFonts w:eastAsia="Times New Roman"/>
          <w:lang w:val="hu-HU" w:eastAsia="en-US"/>
        </w:rPr>
        <w:t>ALPROLIX 3000</w:t>
      </w:r>
    </w:p>
    <w:p w14:paraId="0CD06A63" w14:textId="77777777" w:rsidR="008A332F" w:rsidRPr="004311F9" w:rsidRDefault="008A332F" w:rsidP="008A332F">
      <w:pPr>
        <w:spacing w:line="240" w:lineRule="auto"/>
        <w:rPr>
          <w:rFonts w:eastAsia="Times New Roman"/>
          <w:szCs w:val="24"/>
          <w:shd w:val="clear" w:color="auto" w:fill="CCCCCC"/>
          <w:lang w:val="hu-HU"/>
        </w:rPr>
      </w:pPr>
    </w:p>
    <w:p w14:paraId="328E206C" w14:textId="77777777" w:rsidR="008A332F" w:rsidRPr="004311F9" w:rsidRDefault="008A332F" w:rsidP="008A332F">
      <w:pPr>
        <w:spacing w:line="240" w:lineRule="auto"/>
        <w:rPr>
          <w:rFonts w:eastAsia="Times New Roman"/>
          <w:noProof/>
          <w:szCs w:val="22"/>
          <w:shd w:val="clear" w:color="auto" w:fill="CCCCCC"/>
          <w:lang w:val="hu-HU" w:eastAsia="en-US"/>
        </w:rPr>
      </w:pPr>
    </w:p>
    <w:p w14:paraId="117E9B84"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17.</w:t>
      </w:r>
      <w:r w:rsidRPr="004311F9">
        <w:rPr>
          <w:b/>
          <w:szCs w:val="24"/>
          <w:lang w:val="hu-HU"/>
        </w:rPr>
        <w:tab/>
        <w:t>EGYEDI AZONOSÍTÓ – 2D VONALKÓD</w:t>
      </w:r>
    </w:p>
    <w:p w14:paraId="4120C6FB" w14:textId="77777777" w:rsidR="008A332F" w:rsidRPr="004311F9" w:rsidRDefault="008A332F" w:rsidP="008A332F">
      <w:pPr>
        <w:keepNext/>
        <w:tabs>
          <w:tab w:val="clear" w:pos="567"/>
        </w:tabs>
        <w:spacing w:line="240" w:lineRule="auto"/>
        <w:rPr>
          <w:rFonts w:eastAsia="Times New Roman"/>
          <w:noProof/>
          <w:szCs w:val="22"/>
          <w:lang w:val="hu-HU" w:eastAsia="en-US"/>
        </w:rPr>
      </w:pPr>
    </w:p>
    <w:p w14:paraId="217E7595" w14:textId="77777777" w:rsidR="008A332F" w:rsidRPr="004311F9" w:rsidRDefault="008A332F" w:rsidP="008A332F">
      <w:pPr>
        <w:spacing w:line="240" w:lineRule="auto"/>
        <w:rPr>
          <w:rFonts w:eastAsia="Times New Roman"/>
          <w:noProof/>
          <w:szCs w:val="22"/>
          <w:shd w:val="clear" w:color="auto" w:fill="CCCCCC"/>
          <w:lang w:val="hu-HU" w:eastAsia="en-US"/>
        </w:rPr>
      </w:pPr>
      <w:r w:rsidRPr="004311F9">
        <w:rPr>
          <w:rFonts w:eastAsia="Times New Roman"/>
          <w:noProof/>
          <w:szCs w:val="22"/>
          <w:shd w:val="clear" w:color="auto" w:fill="BFBFBF"/>
          <w:lang w:val="hu-HU" w:eastAsia="en-US"/>
        </w:rPr>
        <w:t>Egyedi azonosítójú 2D vonalkóddal ellátva.</w:t>
      </w:r>
    </w:p>
    <w:p w14:paraId="0B71AC46" w14:textId="77777777" w:rsidR="008A332F" w:rsidRPr="004311F9" w:rsidRDefault="008A332F" w:rsidP="008A332F">
      <w:pPr>
        <w:spacing w:line="240" w:lineRule="auto"/>
        <w:rPr>
          <w:rFonts w:eastAsia="Times New Roman"/>
          <w:noProof/>
          <w:szCs w:val="22"/>
          <w:shd w:val="clear" w:color="auto" w:fill="CCCCCC"/>
          <w:lang w:val="hu-HU" w:eastAsia="en-US"/>
        </w:rPr>
      </w:pPr>
    </w:p>
    <w:p w14:paraId="22EAB66C" w14:textId="77777777" w:rsidR="008A332F" w:rsidRPr="004311F9" w:rsidRDefault="008A332F" w:rsidP="008A332F">
      <w:pPr>
        <w:tabs>
          <w:tab w:val="clear" w:pos="567"/>
        </w:tabs>
        <w:spacing w:line="240" w:lineRule="auto"/>
        <w:rPr>
          <w:rFonts w:eastAsia="Times New Roman"/>
          <w:noProof/>
          <w:szCs w:val="22"/>
          <w:lang w:val="hu-HU" w:eastAsia="en-US"/>
        </w:rPr>
      </w:pPr>
    </w:p>
    <w:p w14:paraId="21652188"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lastRenderedPageBreak/>
        <w:t>18.</w:t>
      </w:r>
      <w:r w:rsidRPr="004311F9">
        <w:rPr>
          <w:b/>
          <w:szCs w:val="24"/>
          <w:lang w:val="hu-HU"/>
        </w:rPr>
        <w:tab/>
        <w:t>EGYEDI AZONOSÍTÓ OLVASHATÓ FORMÁTUMA</w:t>
      </w:r>
    </w:p>
    <w:p w14:paraId="3FC41F25" w14:textId="77777777" w:rsidR="008A332F" w:rsidRPr="004311F9" w:rsidRDefault="008A332F" w:rsidP="008A332F">
      <w:pPr>
        <w:keepNext/>
        <w:tabs>
          <w:tab w:val="clear" w:pos="567"/>
        </w:tabs>
        <w:spacing w:line="240" w:lineRule="auto"/>
        <w:rPr>
          <w:rFonts w:eastAsia="Times New Roman"/>
          <w:noProof/>
          <w:szCs w:val="22"/>
          <w:lang w:val="hu-HU" w:eastAsia="en-US"/>
        </w:rPr>
      </w:pPr>
    </w:p>
    <w:p w14:paraId="3DB0BCBB" w14:textId="393F5935" w:rsidR="00FD6B4E" w:rsidRPr="004311F9" w:rsidRDefault="00FD6B4E" w:rsidP="00FD6B4E">
      <w:pPr>
        <w:keepNext/>
        <w:rPr>
          <w:rFonts w:eastAsia="Times New Roman"/>
          <w:szCs w:val="22"/>
          <w:lang w:val="hu-HU" w:eastAsia="en-US"/>
        </w:rPr>
      </w:pPr>
      <w:r w:rsidRPr="004311F9">
        <w:rPr>
          <w:rFonts w:eastAsia="Times New Roman"/>
          <w:szCs w:val="22"/>
          <w:lang w:val="hu-HU" w:eastAsia="en-US"/>
        </w:rPr>
        <w:t>PC</w:t>
      </w:r>
    </w:p>
    <w:p w14:paraId="404525A1" w14:textId="4E4E23D7" w:rsidR="00FD6B4E" w:rsidRPr="004311F9" w:rsidRDefault="00FD6B4E" w:rsidP="00FD6B4E">
      <w:pPr>
        <w:keepNext/>
        <w:rPr>
          <w:rFonts w:eastAsia="Times New Roman"/>
          <w:szCs w:val="22"/>
          <w:lang w:val="hu-HU" w:eastAsia="en-US"/>
        </w:rPr>
      </w:pPr>
      <w:r w:rsidRPr="004311F9">
        <w:rPr>
          <w:rFonts w:eastAsia="Times New Roman"/>
          <w:szCs w:val="22"/>
          <w:lang w:val="hu-HU" w:eastAsia="en-US"/>
        </w:rPr>
        <w:t>SN</w:t>
      </w:r>
    </w:p>
    <w:p w14:paraId="37C16735" w14:textId="26C1C3ED" w:rsidR="00FD6B4E" w:rsidRPr="004311F9" w:rsidRDefault="00FD6B4E" w:rsidP="00FD6B4E">
      <w:pPr>
        <w:rPr>
          <w:rFonts w:eastAsia="Times New Roman"/>
          <w:szCs w:val="22"/>
          <w:lang w:val="hu-HU" w:eastAsia="en-US"/>
        </w:rPr>
      </w:pPr>
      <w:r w:rsidRPr="004311F9">
        <w:rPr>
          <w:rFonts w:eastAsia="Times New Roman"/>
          <w:szCs w:val="22"/>
          <w:lang w:val="hu-HU" w:eastAsia="en-US"/>
        </w:rPr>
        <w:t>NN</w:t>
      </w:r>
    </w:p>
    <w:p w14:paraId="050DBE86" w14:textId="77777777" w:rsidR="008A332F" w:rsidRPr="004311F9" w:rsidRDefault="008A332F" w:rsidP="008A332F">
      <w:pPr>
        <w:spacing w:line="240" w:lineRule="auto"/>
        <w:rPr>
          <w:rFonts w:eastAsia="Times New Roman"/>
          <w:noProof/>
          <w:vanish/>
          <w:szCs w:val="22"/>
          <w:lang w:val="hu-HU" w:eastAsia="en-US"/>
        </w:rPr>
      </w:pPr>
    </w:p>
    <w:p w14:paraId="7B52BDAB" w14:textId="77777777" w:rsidR="008A332F" w:rsidRPr="004311F9" w:rsidRDefault="008A332F" w:rsidP="008A332F">
      <w:pPr>
        <w:tabs>
          <w:tab w:val="clear" w:pos="567"/>
        </w:tabs>
        <w:spacing w:line="240" w:lineRule="auto"/>
        <w:rPr>
          <w:rFonts w:eastAsia="Times New Roman"/>
          <w:noProof/>
          <w:vanish/>
          <w:szCs w:val="22"/>
          <w:lang w:val="hu-HU" w:eastAsia="en-US"/>
        </w:rPr>
      </w:pPr>
    </w:p>
    <w:p w14:paraId="304342A8" w14:textId="77777777" w:rsidR="008A332F" w:rsidRPr="004311F9" w:rsidRDefault="008A332F" w:rsidP="008A332F">
      <w:pPr>
        <w:spacing w:line="240" w:lineRule="auto"/>
        <w:rPr>
          <w:rFonts w:eastAsia="Times New Roman"/>
          <w:szCs w:val="24"/>
          <w:lang w:val="hu-HU"/>
        </w:rPr>
      </w:pPr>
      <w:r w:rsidRPr="004311F9">
        <w:rPr>
          <w:rFonts w:eastAsia="Times New Roman"/>
          <w:szCs w:val="24"/>
          <w:shd w:val="clear" w:color="auto" w:fill="CCCCCC"/>
          <w:lang w:val="hu-HU"/>
        </w:rPr>
        <w:br w:type="page"/>
      </w:r>
    </w:p>
    <w:p w14:paraId="1F60F27D" w14:textId="77777777" w:rsidR="008A332F" w:rsidRPr="004311F9" w:rsidRDefault="008A332F" w:rsidP="008A332F">
      <w:pPr>
        <w:pBdr>
          <w:top w:val="single" w:sz="4" w:space="1" w:color="auto"/>
          <w:left w:val="single" w:sz="4" w:space="4" w:color="auto"/>
          <w:bottom w:val="single" w:sz="4" w:space="1" w:color="auto"/>
          <w:right w:val="single" w:sz="4" w:space="4" w:color="auto"/>
        </w:pBdr>
        <w:spacing w:line="240" w:lineRule="auto"/>
        <w:rPr>
          <w:b/>
          <w:szCs w:val="24"/>
          <w:lang w:val="hu-HU"/>
        </w:rPr>
      </w:pPr>
      <w:r w:rsidRPr="004311F9">
        <w:rPr>
          <w:b/>
          <w:szCs w:val="24"/>
          <w:lang w:val="hu-HU"/>
        </w:rPr>
        <w:lastRenderedPageBreak/>
        <w:t>A KIS KÖZVETLEN CSOMAGOLÁSI EGYSÉGEKEN MINIMÁLISAN FELTÜNTETENDŐ ADATOK</w:t>
      </w:r>
    </w:p>
    <w:p w14:paraId="65435583" w14:textId="77777777" w:rsidR="008A332F" w:rsidRPr="004311F9" w:rsidRDefault="008A332F" w:rsidP="008A332F">
      <w:pPr>
        <w:pBdr>
          <w:top w:val="single" w:sz="4" w:space="1" w:color="auto"/>
          <w:left w:val="single" w:sz="4" w:space="4" w:color="auto"/>
          <w:bottom w:val="single" w:sz="4" w:space="1" w:color="auto"/>
          <w:right w:val="single" w:sz="4" w:space="4" w:color="auto"/>
        </w:pBdr>
        <w:spacing w:line="240" w:lineRule="auto"/>
        <w:rPr>
          <w:rFonts w:eastAsia="Times New Roman"/>
          <w:b/>
          <w:szCs w:val="24"/>
          <w:lang w:val="hu-HU"/>
        </w:rPr>
      </w:pPr>
    </w:p>
    <w:p w14:paraId="633473F4" w14:textId="77777777" w:rsidR="008A332F" w:rsidRPr="004311F9" w:rsidRDefault="008A332F" w:rsidP="008A332F">
      <w:pPr>
        <w:pBdr>
          <w:top w:val="single" w:sz="4" w:space="1" w:color="auto"/>
          <w:left w:val="single" w:sz="4" w:space="4" w:color="auto"/>
          <w:bottom w:val="single" w:sz="4" w:space="1" w:color="auto"/>
          <w:right w:val="single" w:sz="4" w:space="4" w:color="auto"/>
        </w:pBdr>
        <w:spacing w:line="240" w:lineRule="auto"/>
        <w:rPr>
          <w:b/>
          <w:szCs w:val="24"/>
          <w:lang w:val="hu-HU"/>
        </w:rPr>
      </w:pPr>
      <w:r w:rsidRPr="004311F9">
        <w:rPr>
          <w:b/>
          <w:szCs w:val="24"/>
          <w:lang w:val="hu-HU"/>
        </w:rPr>
        <w:t>AZ INJEKCIÓS ÜVEG CÍMKÉJE</w:t>
      </w:r>
    </w:p>
    <w:p w14:paraId="6E515106" w14:textId="77777777" w:rsidR="008A332F" w:rsidRPr="004311F9" w:rsidRDefault="008A332F" w:rsidP="008A332F">
      <w:pPr>
        <w:spacing w:line="240" w:lineRule="auto"/>
        <w:rPr>
          <w:rFonts w:eastAsia="Times New Roman"/>
          <w:szCs w:val="24"/>
          <w:lang w:val="hu-HU"/>
        </w:rPr>
      </w:pPr>
    </w:p>
    <w:p w14:paraId="409E36E9" w14:textId="77777777" w:rsidR="008A332F" w:rsidRPr="004311F9" w:rsidRDefault="008A332F" w:rsidP="008A332F">
      <w:pPr>
        <w:spacing w:line="240" w:lineRule="auto"/>
        <w:rPr>
          <w:rFonts w:eastAsia="Times New Roman"/>
          <w:szCs w:val="24"/>
          <w:lang w:val="hu-HU"/>
        </w:rPr>
      </w:pPr>
    </w:p>
    <w:p w14:paraId="10AD597F"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1.</w:t>
      </w:r>
      <w:r w:rsidRPr="004311F9">
        <w:rPr>
          <w:b/>
          <w:szCs w:val="24"/>
          <w:lang w:val="hu-HU"/>
        </w:rPr>
        <w:tab/>
        <w:t>A GYÓGYSZER NEVE ÉS AZ ALKALMAZÁS MÓDJA(I)</w:t>
      </w:r>
    </w:p>
    <w:p w14:paraId="654F103C" w14:textId="77777777" w:rsidR="008A332F" w:rsidRPr="004311F9" w:rsidRDefault="008A332F" w:rsidP="008A332F">
      <w:pPr>
        <w:spacing w:line="240" w:lineRule="auto"/>
        <w:ind w:left="567" w:hanging="567"/>
        <w:rPr>
          <w:rFonts w:eastAsia="Times New Roman"/>
          <w:szCs w:val="24"/>
          <w:lang w:val="hu-HU"/>
        </w:rPr>
      </w:pPr>
    </w:p>
    <w:p w14:paraId="05CAAAF6" w14:textId="77777777" w:rsidR="008A332F" w:rsidRPr="004311F9" w:rsidRDefault="008A332F" w:rsidP="008A332F">
      <w:pPr>
        <w:spacing w:line="240" w:lineRule="auto"/>
        <w:rPr>
          <w:rFonts w:eastAsia="Times New Roman"/>
          <w:shd w:val="clear" w:color="auto" w:fill="D9D9D9"/>
          <w:lang w:val="hu-HU" w:eastAsia="en-US"/>
        </w:rPr>
      </w:pPr>
      <w:r w:rsidRPr="004311F9">
        <w:rPr>
          <w:rFonts w:eastAsia="Times New Roman"/>
          <w:lang w:val="hu-HU" w:eastAsia="en-US"/>
        </w:rPr>
        <w:t>ALPROLIX 3000 NE por injekcióhoz</w:t>
      </w:r>
    </w:p>
    <w:p w14:paraId="4B0D6533" w14:textId="77777777" w:rsidR="008A332F" w:rsidRPr="004311F9" w:rsidRDefault="008A332F" w:rsidP="008A332F">
      <w:pPr>
        <w:spacing w:line="240" w:lineRule="auto"/>
        <w:rPr>
          <w:rFonts w:eastAsia="Times New Roman"/>
          <w:szCs w:val="24"/>
          <w:lang w:val="hu-HU"/>
        </w:rPr>
      </w:pPr>
    </w:p>
    <w:p w14:paraId="5BF03A74" w14:textId="77777777" w:rsidR="008A332F" w:rsidRPr="004311F9" w:rsidRDefault="008A332F" w:rsidP="008A332F">
      <w:pPr>
        <w:spacing w:line="240" w:lineRule="auto"/>
        <w:rPr>
          <w:szCs w:val="24"/>
          <w:lang w:val="hu-HU"/>
        </w:rPr>
      </w:pPr>
      <w:r w:rsidRPr="004311F9">
        <w:rPr>
          <w:szCs w:val="22"/>
          <w:lang w:val="hu-HU"/>
        </w:rPr>
        <w:t xml:space="preserve">eftrenonacogum </w:t>
      </w:r>
      <w:r w:rsidRPr="004311F9">
        <w:rPr>
          <w:szCs w:val="24"/>
          <w:lang w:val="hu-HU"/>
        </w:rPr>
        <w:t>alfa</w:t>
      </w:r>
    </w:p>
    <w:p w14:paraId="29FF67AF" w14:textId="77777777" w:rsidR="008A332F" w:rsidRPr="004311F9" w:rsidRDefault="008A332F" w:rsidP="008A332F">
      <w:pPr>
        <w:spacing w:line="240" w:lineRule="auto"/>
        <w:rPr>
          <w:szCs w:val="24"/>
          <w:lang w:val="hu-HU"/>
        </w:rPr>
      </w:pPr>
      <w:r w:rsidRPr="004311F9">
        <w:rPr>
          <w:szCs w:val="24"/>
          <w:lang w:val="hu-HU"/>
        </w:rPr>
        <w:t>rekombináns IX</w:t>
      </w:r>
      <w:r w:rsidRPr="004311F9">
        <w:rPr>
          <w:szCs w:val="24"/>
          <w:lang w:val="hu-HU"/>
        </w:rPr>
        <w:noBreakHyphen/>
        <w:t>es alvadási faktor</w:t>
      </w:r>
    </w:p>
    <w:p w14:paraId="46395B7F" w14:textId="77777777" w:rsidR="008A332F" w:rsidRPr="004311F9" w:rsidRDefault="008A332F" w:rsidP="008A332F">
      <w:pPr>
        <w:spacing w:line="240" w:lineRule="auto"/>
        <w:rPr>
          <w:szCs w:val="24"/>
          <w:lang w:val="hu-HU"/>
        </w:rPr>
      </w:pPr>
      <w:r w:rsidRPr="004311F9">
        <w:rPr>
          <w:szCs w:val="24"/>
          <w:lang w:val="hu-HU"/>
        </w:rPr>
        <w:t>iv.</w:t>
      </w:r>
    </w:p>
    <w:p w14:paraId="2177F673" w14:textId="77777777" w:rsidR="008A332F" w:rsidRPr="004311F9" w:rsidRDefault="008A332F" w:rsidP="008A332F">
      <w:pPr>
        <w:spacing w:line="240" w:lineRule="auto"/>
        <w:rPr>
          <w:rFonts w:eastAsia="Times New Roman"/>
          <w:szCs w:val="24"/>
          <w:lang w:val="hu-HU"/>
        </w:rPr>
      </w:pPr>
    </w:p>
    <w:p w14:paraId="12364F0E" w14:textId="77777777" w:rsidR="008A332F" w:rsidRPr="004311F9" w:rsidRDefault="008A332F" w:rsidP="008A332F">
      <w:pPr>
        <w:spacing w:line="240" w:lineRule="auto"/>
        <w:rPr>
          <w:rFonts w:eastAsia="Times New Roman"/>
          <w:szCs w:val="24"/>
          <w:lang w:val="hu-HU"/>
        </w:rPr>
      </w:pPr>
    </w:p>
    <w:p w14:paraId="4883852E"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2.</w:t>
      </w:r>
      <w:r w:rsidRPr="004311F9">
        <w:rPr>
          <w:b/>
          <w:szCs w:val="24"/>
          <w:lang w:val="hu-HU"/>
        </w:rPr>
        <w:tab/>
        <w:t>AZ ALKALMAZÁSSAL KAPCSOLATOS TUDNIVALÓK</w:t>
      </w:r>
    </w:p>
    <w:p w14:paraId="78991F48" w14:textId="77777777" w:rsidR="008A332F" w:rsidRPr="004311F9" w:rsidRDefault="008A332F" w:rsidP="008A332F">
      <w:pPr>
        <w:spacing w:line="240" w:lineRule="auto"/>
        <w:rPr>
          <w:rFonts w:eastAsia="Times New Roman"/>
          <w:szCs w:val="24"/>
          <w:lang w:val="hu-HU"/>
        </w:rPr>
      </w:pPr>
    </w:p>
    <w:p w14:paraId="25520ABD" w14:textId="77777777" w:rsidR="008A332F" w:rsidRPr="004311F9" w:rsidRDefault="008A332F" w:rsidP="008A332F">
      <w:pPr>
        <w:spacing w:line="240" w:lineRule="auto"/>
        <w:rPr>
          <w:rFonts w:eastAsia="Times New Roman"/>
          <w:szCs w:val="24"/>
          <w:lang w:val="hu-HU"/>
        </w:rPr>
      </w:pPr>
    </w:p>
    <w:p w14:paraId="5772B89E"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3.</w:t>
      </w:r>
      <w:r w:rsidRPr="004311F9">
        <w:rPr>
          <w:b/>
          <w:szCs w:val="24"/>
          <w:lang w:val="hu-HU"/>
        </w:rPr>
        <w:tab/>
        <w:t>LEJÁRATI IDŐ</w:t>
      </w:r>
    </w:p>
    <w:p w14:paraId="67217BEF" w14:textId="77777777" w:rsidR="008A332F" w:rsidRPr="004311F9" w:rsidRDefault="008A332F" w:rsidP="008A332F">
      <w:pPr>
        <w:spacing w:line="240" w:lineRule="auto"/>
        <w:rPr>
          <w:rFonts w:eastAsia="Times New Roman"/>
          <w:szCs w:val="24"/>
          <w:lang w:val="hu-HU"/>
        </w:rPr>
      </w:pPr>
    </w:p>
    <w:p w14:paraId="0A9C674E" w14:textId="77777777" w:rsidR="008A332F" w:rsidRPr="004311F9" w:rsidRDefault="008A332F" w:rsidP="008A332F">
      <w:pPr>
        <w:spacing w:line="240" w:lineRule="auto"/>
        <w:rPr>
          <w:szCs w:val="24"/>
          <w:lang w:val="hu-HU"/>
        </w:rPr>
      </w:pPr>
      <w:r w:rsidRPr="004311F9">
        <w:rPr>
          <w:szCs w:val="24"/>
          <w:lang w:val="hu-HU"/>
        </w:rPr>
        <w:t>EXP</w:t>
      </w:r>
    </w:p>
    <w:p w14:paraId="2D33C8E5" w14:textId="77777777" w:rsidR="008A332F" w:rsidRPr="004311F9" w:rsidRDefault="008A332F" w:rsidP="008A332F">
      <w:pPr>
        <w:spacing w:line="240" w:lineRule="auto"/>
        <w:rPr>
          <w:rFonts w:eastAsia="Times New Roman"/>
          <w:szCs w:val="24"/>
          <w:lang w:val="hu-HU"/>
        </w:rPr>
      </w:pPr>
    </w:p>
    <w:p w14:paraId="36AEBD74" w14:textId="77777777" w:rsidR="008A332F" w:rsidRPr="004311F9" w:rsidRDefault="008A332F" w:rsidP="008A332F">
      <w:pPr>
        <w:spacing w:line="240" w:lineRule="auto"/>
        <w:rPr>
          <w:rFonts w:eastAsia="Times New Roman"/>
          <w:szCs w:val="24"/>
          <w:lang w:val="hu-HU"/>
        </w:rPr>
      </w:pPr>
    </w:p>
    <w:p w14:paraId="68A6D0D2"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4.</w:t>
      </w:r>
      <w:r w:rsidRPr="004311F9">
        <w:rPr>
          <w:b/>
          <w:szCs w:val="24"/>
          <w:lang w:val="hu-HU"/>
        </w:rPr>
        <w:tab/>
        <w:t>A GYÁRTÁSI TÉTEL SZÁMA</w:t>
      </w:r>
    </w:p>
    <w:p w14:paraId="62A605A4" w14:textId="77777777" w:rsidR="008A332F" w:rsidRPr="004311F9" w:rsidRDefault="008A332F" w:rsidP="008A332F">
      <w:pPr>
        <w:spacing w:line="240" w:lineRule="auto"/>
        <w:ind w:right="113"/>
        <w:rPr>
          <w:rFonts w:eastAsia="Times New Roman"/>
          <w:szCs w:val="24"/>
          <w:lang w:val="hu-HU"/>
        </w:rPr>
      </w:pPr>
    </w:p>
    <w:p w14:paraId="1633605D" w14:textId="77777777" w:rsidR="008A332F" w:rsidRPr="004311F9" w:rsidRDefault="008A332F" w:rsidP="008A332F">
      <w:pPr>
        <w:spacing w:line="240" w:lineRule="auto"/>
        <w:ind w:right="113"/>
        <w:rPr>
          <w:szCs w:val="24"/>
          <w:lang w:val="hu-HU"/>
        </w:rPr>
      </w:pPr>
      <w:r w:rsidRPr="004311F9">
        <w:rPr>
          <w:szCs w:val="24"/>
          <w:lang w:val="hu-HU"/>
        </w:rPr>
        <w:t>Lot</w:t>
      </w:r>
    </w:p>
    <w:p w14:paraId="4C0485F5" w14:textId="77777777" w:rsidR="008A332F" w:rsidRPr="004311F9" w:rsidRDefault="008A332F" w:rsidP="008A332F">
      <w:pPr>
        <w:spacing w:line="240" w:lineRule="auto"/>
        <w:ind w:right="113"/>
        <w:rPr>
          <w:rFonts w:eastAsia="Times New Roman"/>
          <w:szCs w:val="24"/>
          <w:lang w:val="hu-HU"/>
        </w:rPr>
      </w:pPr>
    </w:p>
    <w:p w14:paraId="6493EE5B" w14:textId="77777777" w:rsidR="008A332F" w:rsidRPr="004311F9" w:rsidRDefault="008A332F" w:rsidP="008A332F">
      <w:pPr>
        <w:spacing w:line="240" w:lineRule="auto"/>
        <w:ind w:right="113"/>
        <w:rPr>
          <w:rFonts w:eastAsia="Times New Roman"/>
          <w:szCs w:val="24"/>
          <w:lang w:val="hu-HU"/>
        </w:rPr>
      </w:pPr>
    </w:p>
    <w:p w14:paraId="1A2BF78C"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5.</w:t>
      </w:r>
      <w:r w:rsidRPr="004311F9">
        <w:rPr>
          <w:b/>
          <w:szCs w:val="24"/>
          <w:lang w:val="hu-HU"/>
        </w:rPr>
        <w:tab/>
        <w:t>A TARTALOM SÚLYRA, TÉRFOGATRA, VAGY EGYSÉGRE VONATKOZTATVA</w:t>
      </w:r>
    </w:p>
    <w:p w14:paraId="23C46B36" w14:textId="77777777" w:rsidR="008A332F" w:rsidRPr="004311F9" w:rsidRDefault="008A332F" w:rsidP="008A332F">
      <w:pPr>
        <w:spacing w:line="240" w:lineRule="auto"/>
        <w:ind w:right="113"/>
        <w:rPr>
          <w:rFonts w:eastAsia="Times New Roman"/>
          <w:szCs w:val="24"/>
          <w:lang w:val="hu-HU"/>
        </w:rPr>
      </w:pPr>
    </w:p>
    <w:p w14:paraId="39A5CE34" w14:textId="77777777" w:rsidR="008A332F" w:rsidRPr="004311F9" w:rsidRDefault="008A332F" w:rsidP="008A332F">
      <w:pPr>
        <w:spacing w:line="240" w:lineRule="auto"/>
        <w:rPr>
          <w:rFonts w:eastAsia="Times New Roman"/>
          <w:shd w:val="clear" w:color="auto" w:fill="D9D9D9"/>
          <w:lang w:val="hu-HU" w:eastAsia="en-US"/>
        </w:rPr>
      </w:pPr>
      <w:r w:rsidRPr="004311F9">
        <w:rPr>
          <w:rFonts w:eastAsia="Times New Roman"/>
          <w:shd w:val="clear" w:color="auto" w:fill="D9D9D9"/>
          <w:lang w:val="hu-HU" w:eastAsia="en-US"/>
        </w:rPr>
        <w:t>3000 NE</w:t>
      </w:r>
    </w:p>
    <w:p w14:paraId="28E46633" w14:textId="77777777" w:rsidR="008A332F" w:rsidRPr="004311F9" w:rsidRDefault="008A332F" w:rsidP="008A332F">
      <w:pPr>
        <w:spacing w:line="240" w:lineRule="auto"/>
        <w:ind w:right="113"/>
        <w:rPr>
          <w:rFonts w:eastAsia="Times New Roman"/>
          <w:szCs w:val="24"/>
          <w:lang w:val="hu-HU"/>
        </w:rPr>
      </w:pPr>
    </w:p>
    <w:p w14:paraId="5D318D0A" w14:textId="77777777" w:rsidR="008A332F" w:rsidRPr="004311F9" w:rsidRDefault="008A332F" w:rsidP="008A332F">
      <w:pPr>
        <w:spacing w:line="240" w:lineRule="auto"/>
        <w:ind w:right="113"/>
        <w:rPr>
          <w:rFonts w:eastAsia="Times New Roman"/>
          <w:szCs w:val="24"/>
          <w:lang w:val="hu-HU"/>
        </w:rPr>
      </w:pPr>
    </w:p>
    <w:p w14:paraId="50FCA2A8" w14:textId="77777777" w:rsidR="008A332F" w:rsidRPr="004311F9" w:rsidRDefault="008A332F" w:rsidP="008A332F">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lastRenderedPageBreak/>
        <w:t>6.</w:t>
      </w:r>
      <w:r w:rsidRPr="004311F9">
        <w:rPr>
          <w:b/>
          <w:szCs w:val="24"/>
          <w:lang w:val="hu-HU"/>
        </w:rPr>
        <w:tab/>
        <w:t>EGYÉB INFORMÁCIÓK</w:t>
      </w:r>
    </w:p>
    <w:p w14:paraId="06F8E1B3" w14:textId="77777777" w:rsidR="008A332F" w:rsidRPr="004311F9" w:rsidRDefault="008A332F" w:rsidP="008A332F">
      <w:pPr>
        <w:keepNext/>
        <w:spacing w:line="240" w:lineRule="auto"/>
        <w:ind w:right="113"/>
        <w:rPr>
          <w:rFonts w:eastAsia="Times New Roman"/>
          <w:szCs w:val="24"/>
          <w:lang w:val="hu-HU"/>
        </w:rPr>
      </w:pPr>
    </w:p>
    <w:p w14:paraId="14F73B44" w14:textId="77777777" w:rsidR="008A332F" w:rsidRPr="004311F9" w:rsidRDefault="008A332F" w:rsidP="008A332F">
      <w:pPr>
        <w:spacing w:line="240" w:lineRule="auto"/>
        <w:ind w:right="113"/>
        <w:rPr>
          <w:rFonts w:eastAsia="Times New Roman"/>
          <w:szCs w:val="24"/>
          <w:lang w:val="hu-HU"/>
        </w:rPr>
      </w:pPr>
    </w:p>
    <w:p w14:paraId="3C3A1916" w14:textId="6BA94BC2" w:rsidR="00E74F5A" w:rsidRPr="004311F9" w:rsidRDefault="008A332F" w:rsidP="008A332F">
      <w:pPr>
        <w:pBdr>
          <w:top w:val="single" w:sz="4" w:space="1" w:color="auto"/>
          <w:left w:val="single" w:sz="4" w:space="4" w:color="auto"/>
          <w:bottom w:val="single" w:sz="4" w:space="1" w:color="auto"/>
          <w:right w:val="single" w:sz="4" w:space="4" w:color="auto"/>
        </w:pBdr>
        <w:spacing w:line="240" w:lineRule="auto"/>
        <w:rPr>
          <w:b/>
          <w:szCs w:val="24"/>
          <w:lang w:val="hu-HU"/>
        </w:rPr>
      </w:pPr>
      <w:r w:rsidRPr="004311F9">
        <w:rPr>
          <w:b/>
          <w:szCs w:val="24"/>
          <w:lang w:val="hu-HU"/>
        </w:rPr>
        <w:br w:type="page"/>
      </w:r>
      <w:r w:rsidR="00E74F5A" w:rsidRPr="004311F9">
        <w:rPr>
          <w:b/>
          <w:szCs w:val="24"/>
          <w:lang w:val="hu-HU"/>
        </w:rPr>
        <w:lastRenderedPageBreak/>
        <w:t>A KIS KÖZVETLEN CSOMAGOLÁSI EGYSÉGEKEN MINIMÁLISAN FELTÜNTETENDŐ ADATOK</w:t>
      </w:r>
    </w:p>
    <w:p w14:paraId="1BE129FA" w14:textId="77777777" w:rsidR="00E74F5A" w:rsidRPr="004311F9" w:rsidRDefault="00E74F5A" w:rsidP="00DC4CB1">
      <w:pPr>
        <w:pBdr>
          <w:top w:val="single" w:sz="4" w:space="1" w:color="auto"/>
          <w:left w:val="single" w:sz="4" w:space="4" w:color="auto"/>
          <w:bottom w:val="single" w:sz="4" w:space="1" w:color="auto"/>
          <w:right w:val="single" w:sz="4" w:space="4" w:color="auto"/>
        </w:pBdr>
        <w:spacing w:line="240" w:lineRule="auto"/>
        <w:rPr>
          <w:rFonts w:eastAsia="Times New Roman"/>
          <w:b/>
          <w:szCs w:val="24"/>
          <w:lang w:val="hu-HU"/>
        </w:rPr>
      </w:pPr>
    </w:p>
    <w:p w14:paraId="28140C27" w14:textId="77777777" w:rsidR="00E74F5A" w:rsidRPr="004311F9" w:rsidRDefault="00E74F5A" w:rsidP="00DC4CB1">
      <w:pPr>
        <w:pBdr>
          <w:top w:val="single" w:sz="4" w:space="1" w:color="auto"/>
          <w:left w:val="single" w:sz="4" w:space="4" w:color="auto"/>
          <w:bottom w:val="single" w:sz="4" w:space="1" w:color="auto"/>
          <w:right w:val="single" w:sz="4" w:space="4" w:color="auto"/>
        </w:pBdr>
        <w:spacing w:line="240" w:lineRule="auto"/>
        <w:rPr>
          <w:b/>
          <w:szCs w:val="24"/>
          <w:lang w:val="hu-HU"/>
        </w:rPr>
      </w:pPr>
      <w:r w:rsidRPr="004311F9">
        <w:rPr>
          <w:b/>
          <w:szCs w:val="24"/>
          <w:lang w:val="hu-HU"/>
        </w:rPr>
        <w:t>ELŐRETÖLTÖTT FECSKENDŐ CÍMKÉJE</w:t>
      </w:r>
    </w:p>
    <w:p w14:paraId="2422EDB7" w14:textId="77777777" w:rsidR="00E74F5A" w:rsidRPr="004311F9" w:rsidRDefault="00E74F5A" w:rsidP="00DC4CB1">
      <w:pPr>
        <w:spacing w:line="240" w:lineRule="auto"/>
        <w:rPr>
          <w:rFonts w:eastAsia="Times New Roman"/>
          <w:szCs w:val="24"/>
          <w:lang w:val="hu-HU"/>
        </w:rPr>
      </w:pPr>
    </w:p>
    <w:p w14:paraId="6B064C23" w14:textId="77777777" w:rsidR="00E74F5A" w:rsidRPr="004311F9" w:rsidRDefault="00E74F5A" w:rsidP="00DC4CB1">
      <w:pPr>
        <w:spacing w:line="240" w:lineRule="auto"/>
        <w:rPr>
          <w:rFonts w:eastAsia="Times New Roman"/>
          <w:szCs w:val="24"/>
          <w:lang w:val="hu-HU"/>
        </w:rPr>
      </w:pPr>
    </w:p>
    <w:p w14:paraId="6BA3BF91" w14:textId="77777777" w:rsidR="00E74F5A" w:rsidRPr="004311F9" w:rsidRDefault="00E74F5A" w:rsidP="003D4563">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1.</w:t>
      </w:r>
      <w:r w:rsidRPr="004311F9">
        <w:rPr>
          <w:b/>
          <w:szCs w:val="24"/>
          <w:lang w:val="hu-HU"/>
        </w:rPr>
        <w:tab/>
        <w:t>A GYÓGYSZER NEVE ÉS AZ ALKALMAZÁS MÓDJA(I)</w:t>
      </w:r>
    </w:p>
    <w:p w14:paraId="03F90A67" w14:textId="77777777" w:rsidR="00E74F5A" w:rsidRPr="004311F9" w:rsidRDefault="00E74F5A" w:rsidP="00DC4CB1">
      <w:pPr>
        <w:spacing w:line="240" w:lineRule="auto"/>
        <w:ind w:left="567" w:hanging="567"/>
        <w:rPr>
          <w:rFonts w:eastAsia="Times New Roman"/>
          <w:szCs w:val="24"/>
          <w:lang w:val="hu-HU"/>
        </w:rPr>
      </w:pPr>
    </w:p>
    <w:p w14:paraId="0410B41D" w14:textId="77777777" w:rsidR="00E74F5A" w:rsidRPr="004311F9" w:rsidRDefault="00E74F5A" w:rsidP="00DC4CB1">
      <w:pPr>
        <w:spacing w:line="240" w:lineRule="auto"/>
        <w:rPr>
          <w:szCs w:val="24"/>
          <w:lang w:val="hu-HU"/>
        </w:rPr>
      </w:pPr>
      <w:r w:rsidRPr="004311F9">
        <w:rPr>
          <w:szCs w:val="24"/>
          <w:lang w:val="hu-HU"/>
        </w:rPr>
        <w:t>Oldószer az ALPROLIX</w:t>
      </w:r>
      <w:r w:rsidRPr="004311F9">
        <w:rPr>
          <w:szCs w:val="24"/>
          <w:lang w:val="hu-HU"/>
        </w:rPr>
        <w:noBreakHyphen/>
        <w:t>hoz</w:t>
      </w:r>
    </w:p>
    <w:p w14:paraId="0FDA73D6" w14:textId="77777777" w:rsidR="00E74F5A" w:rsidRPr="004311F9" w:rsidRDefault="00E74F5A" w:rsidP="00DC4CB1">
      <w:pPr>
        <w:autoSpaceDE w:val="0"/>
        <w:autoSpaceDN w:val="0"/>
        <w:adjustRightInd w:val="0"/>
        <w:spacing w:line="240" w:lineRule="auto"/>
        <w:rPr>
          <w:szCs w:val="24"/>
          <w:lang w:val="hu-HU"/>
        </w:rPr>
      </w:pPr>
      <w:r w:rsidRPr="004311F9">
        <w:rPr>
          <w:szCs w:val="24"/>
          <w:lang w:val="hu-HU"/>
        </w:rPr>
        <w:t>nátrium</w:t>
      </w:r>
      <w:r w:rsidRPr="004311F9">
        <w:rPr>
          <w:szCs w:val="24"/>
          <w:lang w:val="hu-HU"/>
        </w:rPr>
        <w:noBreakHyphen/>
        <w:t>klorid</w:t>
      </w:r>
    </w:p>
    <w:p w14:paraId="4A9A8E2A" w14:textId="77777777" w:rsidR="00E74F5A" w:rsidRPr="004311F9" w:rsidRDefault="00E74F5A" w:rsidP="00DC4CB1">
      <w:pPr>
        <w:autoSpaceDE w:val="0"/>
        <w:autoSpaceDN w:val="0"/>
        <w:adjustRightInd w:val="0"/>
        <w:spacing w:line="240" w:lineRule="auto"/>
        <w:rPr>
          <w:szCs w:val="24"/>
          <w:lang w:val="hu-HU"/>
        </w:rPr>
      </w:pPr>
      <w:r w:rsidRPr="004311F9">
        <w:rPr>
          <w:szCs w:val="24"/>
          <w:lang w:val="hu-HU"/>
        </w:rPr>
        <w:t>injekcióhoz való víz</w:t>
      </w:r>
    </w:p>
    <w:p w14:paraId="264CCEA8" w14:textId="77777777" w:rsidR="00E74F5A" w:rsidRPr="004311F9" w:rsidRDefault="00E74F5A" w:rsidP="00DC4CB1">
      <w:pPr>
        <w:spacing w:line="240" w:lineRule="auto"/>
        <w:rPr>
          <w:rFonts w:eastAsia="Times New Roman"/>
          <w:szCs w:val="24"/>
          <w:lang w:val="hu-HU"/>
        </w:rPr>
      </w:pPr>
    </w:p>
    <w:p w14:paraId="6BA0BDFF" w14:textId="77777777" w:rsidR="00E74F5A" w:rsidRPr="004311F9" w:rsidRDefault="00E74F5A" w:rsidP="00DC4CB1">
      <w:pPr>
        <w:spacing w:line="240" w:lineRule="auto"/>
        <w:rPr>
          <w:rFonts w:eastAsia="Times New Roman"/>
          <w:szCs w:val="24"/>
          <w:lang w:val="hu-HU"/>
        </w:rPr>
      </w:pPr>
    </w:p>
    <w:p w14:paraId="10A5DDF8" w14:textId="77777777" w:rsidR="00E74F5A" w:rsidRPr="004311F9" w:rsidRDefault="00E74F5A" w:rsidP="003D4563">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2.</w:t>
      </w:r>
      <w:r w:rsidRPr="004311F9">
        <w:rPr>
          <w:b/>
          <w:szCs w:val="24"/>
          <w:lang w:val="hu-HU"/>
        </w:rPr>
        <w:tab/>
        <w:t>AZ ALKALMAZÁSSAL KAPCSOLATOS TUDNIVALÓK</w:t>
      </w:r>
    </w:p>
    <w:p w14:paraId="46413029" w14:textId="77777777" w:rsidR="00E74F5A" w:rsidRPr="004311F9" w:rsidRDefault="00E74F5A" w:rsidP="00DC4CB1">
      <w:pPr>
        <w:spacing w:line="240" w:lineRule="auto"/>
        <w:rPr>
          <w:rFonts w:eastAsia="Times New Roman"/>
          <w:szCs w:val="24"/>
          <w:lang w:val="hu-HU"/>
        </w:rPr>
      </w:pPr>
    </w:p>
    <w:p w14:paraId="4DE17028" w14:textId="77777777" w:rsidR="00E74F5A" w:rsidRPr="004311F9" w:rsidRDefault="00E74F5A" w:rsidP="00DC4CB1">
      <w:pPr>
        <w:spacing w:line="240" w:lineRule="auto"/>
        <w:rPr>
          <w:rFonts w:eastAsia="Times New Roman"/>
          <w:szCs w:val="24"/>
          <w:lang w:val="hu-HU"/>
        </w:rPr>
      </w:pPr>
    </w:p>
    <w:p w14:paraId="5C989183" w14:textId="77777777" w:rsidR="00E74F5A" w:rsidRPr="004311F9" w:rsidRDefault="00E74F5A" w:rsidP="003D4563">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3.</w:t>
      </w:r>
      <w:r w:rsidRPr="004311F9">
        <w:rPr>
          <w:b/>
          <w:szCs w:val="24"/>
          <w:lang w:val="hu-HU"/>
        </w:rPr>
        <w:tab/>
        <w:t>LEJÁRATI IDŐ</w:t>
      </w:r>
    </w:p>
    <w:p w14:paraId="64132667" w14:textId="77777777" w:rsidR="00E74F5A" w:rsidRPr="004311F9" w:rsidRDefault="00E74F5A" w:rsidP="00DC4CB1">
      <w:pPr>
        <w:spacing w:line="240" w:lineRule="auto"/>
        <w:rPr>
          <w:rFonts w:eastAsia="Times New Roman"/>
          <w:szCs w:val="24"/>
          <w:lang w:val="hu-HU"/>
        </w:rPr>
      </w:pPr>
    </w:p>
    <w:p w14:paraId="4DB53920" w14:textId="77777777" w:rsidR="00E74F5A" w:rsidRPr="004311F9" w:rsidRDefault="00E74F5A" w:rsidP="00DC4CB1">
      <w:pPr>
        <w:spacing w:line="240" w:lineRule="auto"/>
        <w:rPr>
          <w:szCs w:val="24"/>
          <w:lang w:val="hu-HU"/>
        </w:rPr>
      </w:pPr>
      <w:r w:rsidRPr="004311F9">
        <w:rPr>
          <w:szCs w:val="24"/>
          <w:lang w:val="hu-HU"/>
        </w:rPr>
        <w:t>EXP</w:t>
      </w:r>
    </w:p>
    <w:p w14:paraId="3C5D5632" w14:textId="77777777" w:rsidR="00E74F5A" w:rsidRPr="004311F9" w:rsidRDefault="00E74F5A" w:rsidP="00DC4CB1">
      <w:pPr>
        <w:spacing w:line="240" w:lineRule="auto"/>
        <w:rPr>
          <w:rFonts w:eastAsia="Times New Roman"/>
          <w:szCs w:val="24"/>
          <w:lang w:val="hu-HU"/>
        </w:rPr>
      </w:pPr>
    </w:p>
    <w:p w14:paraId="63C08046" w14:textId="77777777" w:rsidR="00E74F5A" w:rsidRPr="004311F9" w:rsidRDefault="00E74F5A" w:rsidP="00DC4CB1">
      <w:pPr>
        <w:spacing w:line="240" w:lineRule="auto"/>
        <w:rPr>
          <w:rFonts w:eastAsia="Times New Roman"/>
          <w:szCs w:val="24"/>
          <w:lang w:val="hu-HU"/>
        </w:rPr>
      </w:pPr>
    </w:p>
    <w:p w14:paraId="6B05DB8A" w14:textId="77777777" w:rsidR="00E74F5A" w:rsidRPr="004311F9" w:rsidRDefault="00E74F5A" w:rsidP="003D4563">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4.</w:t>
      </w:r>
      <w:r w:rsidRPr="004311F9">
        <w:rPr>
          <w:b/>
          <w:szCs w:val="24"/>
          <w:lang w:val="hu-HU"/>
        </w:rPr>
        <w:tab/>
        <w:t>A GYÁRTÁSI TÉTEL SZÁMA</w:t>
      </w:r>
    </w:p>
    <w:p w14:paraId="5AC41C5E" w14:textId="77777777" w:rsidR="00E74F5A" w:rsidRPr="004311F9" w:rsidRDefault="00E74F5A" w:rsidP="00DC4CB1">
      <w:pPr>
        <w:spacing w:line="240" w:lineRule="auto"/>
        <w:ind w:right="113"/>
        <w:rPr>
          <w:rFonts w:eastAsia="Times New Roman"/>
          <w:szCs w:val="24"/>
          <w:lang w:val="hu-HU"/>
        </w:rPr>
      </w:pPr>
    </w:p>
    <w:p w14:paraId="308116E5" w14:textId="77777777" w:rsidR="00E74F5A" w:rsidRPr="004311F9" w:rsidRDefault="00E74F5A" w:rsidP="00DC4CB1">
      <w:pPr>
        <w:spacing w:line="240" w:lineRule="auto"/>
        <w:ind w:right="113"/>
        <w:rPr>
          <w:szCs w:val="24"/>
          <w:lang w:val="hu-HU"/>
        </w:rPr>
      </w:pPr>
      <w:r w:rsidRPr="004311F9">
        <w:rPr>
          <w:szCs w:val="24"/>
          <w:lang w:val="hu-HU"/>
        </w:rPr>
        <w:t>Lot</w:t>
      </w:r>
    </w:p>
    <w:p w14:paraId="63581360" w14:textId="77777777" w:rsidR="00E74F5A" w:rsidRPr="004311F9" w:rsidRDefault="00E74F5A" w:rsidP="00DC4CB1">
      <w:pPr>
        <w:spacing w:line="240" w:lineRule="auto"/>
        <w:ind w:right="113"/>
        <w:rPr>
          <w:rFonts w:eastAsia="Times New Roman"/>
          <w:szCs w:val="24"/>
          <w:lang w:val="hu-HU"/>
        </w:rPr>
      </w:pPr>
    </w:p>
    <w:p w14:paraId="44EC2EF4" w14:textId="77777777" w:rsidR="00E74F5A" w:rsidRPr="004311F9" w:rsidRDefault="00E74F5A" w:rsidP="00DC4CB1">
      <w:pPr>
        <w:spacing w:line="240" w:lineRule="auto"/>
        <w:ind w:right="113"/>
        <w:rPr>
          <w:rFonts w:eastAsia="Times New Roman"/>
          <w:szCs w:val="24"/>
          <w:lang w:val="hu-HU"/>
        </w:rPr>
      </w:pPr>
    </w:p>
    <w:p w14:paraId="33D221C1" w14:textId="77777777" w:rsidR="00E74F5A" w:rsidRPr="004311F9" w:rsidRDefault="00E74F5A" w:rsidP="003D4563">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5.</w:t>
      </w:r>
      <w:r w:rsidRPr="004311F9">
        <w:rPr>
          <w:b/>
          <w:szCs w:val="24"/>
          <w:lang w:val="hu-HU"/>
        </w:rPr>
        <w:tab/>
        <w:t>A TARTALOM SÚLYRA, TÉRFOGATRA, VAGY EGYSÉGRE VONATKOZTATVA</w:t>
      </w:r>
    </w:p>
    <w:p w14:paraId="1F65BE29" w14:textId="77777777" w:rsidR="00E74F5A" w:rsidRPr="004311F9" w:rsidRDefault="00E74F5A" w:rsidP="00DC4CB1">
      <w:pPr>
        <w:spacing w:line="240" w:lineRule="auto"/>
        <w:ind w:right="113"/>
        <w:rPr>
          <w:rFonts w:eastAsia="Times New Roman"/>
          <w:szCs w:val="24"/>
          <w:lang w:val="hu-HU"/>
        </w:rPr>
      </w:pPr>
    </w:p>
    <w:p w14:paraId="1D3CE497" w14:textId="77777777" w:rsidR="00E74F5A" w:rsidRPr="004311F9" w:rsidRDefault="00E74F5A" w:rsidP="00DC4CB1">
      <w:pPr>
        <w:spacing w:line="240" w:lineRule="auto"/>
        <w:ind w:right="113"/>
        <w:rPr>
          <w:szCs w:val="24"/>
          <w:lang w:val="hu-HU"/>
        </w:rPr>
      </w:pPr>
      <w:r w:rsidRPr="004311F9">
        <w:rPr>
          <w:szCs w:val="24"/>
          <w:lang w:val="hu-HU"/>
        </w:rPr>
        <w:t>5 ml</w:t>
      </w:r>
    </w:p>
    <w:p w14:paraId="441A4973" w14:textId="77777777" w:rsidR="00E74F5A" w:rsidRPr="004311F9" w:rsidRDefault="00E74F5A" w:rsidP="00DC4CB1">
      <w:pPr>
        <w:spacing w:line="240" w:lineRule="auto"/>
        <w:ind w:right="113"/>
        <w:rPr>
          <w:rFonts w:eastAsia="Times New Roman"/>
          <w:szCs w:val="24"/>
          <w:lang w:val="hu-HU"/>
        </w:rPr>
      </w:pPr>
    </w:p>
    <w:p w14:paraId="3F809D64" w14:textId="77777777" w:rsidR="00E74F5A" w:rsidRPr="004311F9" w:rsidRDefault="00E74F5A" w:rsidP="00DC4CB1">
      <w:pPr>
        <w:spacing w:line="240" w:lineRule="auto"/>
        <w:ind w:right="113"/>
        <w:rPr>
          <w:rFonts w:eastAsia="Times New Roman"/>
          <w:szCs w:val="24"/>
          <w:lang w:val="hu-HU"/>
        </w:rPr>
      </w:pPr>
    </w:p>
    <w:p w14:paraId="4422CC49" w14:textId="77777777" w:rsidR="00E74F5A" w:rsidRPr="004311F9" w:rsidRDefault="00E74F5A" w:rsidP="003D4563">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hu-HU"/>
        </w:rPr>
      </w:pPr>
      <w:r w:rsidRPr="004311F9">
        <w:rPr>
          <w:b/>
          <w:szCs w:val="24"/>
          <w:lang w:val="hu-HU"/>
        </w:rPr>
        <w:t>6.</w:t>
      </w:r>
      <w:r w:rsidRPr="004311F9">
        <w:rPr>
          <w:b/>
          <w:szCs w:val="24"/>
          <w:lang w:val="hu-HU"/>
        </w:rPr>
        <w:tab/>
        <w:t>EGYÉB INFORMÁCIÓK</w:t>
      </w:r>
    </w:p>
    <w:p w14:paraId="0603E6E3" w14:textId="77777777" w:rsidR="00E74F5A" w:rsidRPr="004311F9" w:rsidRDefault="00E74F5A" w:rsidP="00DC4CB1">
      <w:pPr>
        <w:spacing w:line="240" w:lineRule="auto"/>
        <w:ind w:right="113"/>
        <w:rPr>
          <w:rFonts w:eastAsia="Times New Roman"/>
          <w:szCs w:val="24"/>
          <w:lang w:val="hu-HU"/>
        </w:rPr>
      </w:pPr>
    </w:p>
    <w:p w14:paraId="5EBD4830" w14:textId="77777777" w:rsidR="00E74F5A" w:rsidRPr="004311F9" w:rsidRDefault="00E74F5A" w:rsidP="00DC4CB1">
      <w:pPr>
        <w:spacing w:line="240" w:lineRule="auto"/>
        <w:ind w:right="113"/>
        <w:rPr>
          <w:rFonts w:eastAsia="Times New Roman"/>
          <w:szCs w:val="24"/>
          <w:lang w:val="hu-HU"/>
        </w:rPr>
      </w:pPr>
    </w:p>
    <w:p w14:paraId="1E873C58" w14:textId="77777777" w:rsidR="00E74F5A" w:rsidRPr="004311F9" w:rsidRDefault="00E74F5A" w:rsidP="00DC4CB1">
      <w:pPr>
        <w:spacing w:line="240" w:lineRule="auto"/>
        <w:rPr>
          <w:rFonts w:eastAsia="Times New Roman"/>
          <w:b/>
          <w:szCs w:val="24"/>
          <w:lang w:val="hu-HU"/>
        </w:rPr>
      </w:pPr>
      <w:r w:rsidRPr="004311F9">
        <w:rPr>
          <w:rFonts w:eastAsia="Times New Roman"/>
          <w:szCs w:val="24"/>
          <w:lang w:val="hu-HU"/>
        </w:rPr>
        <w:br w:type="page"/>
      </w:r>
    </w:p>
    <w:p w14:paraId="4522CCD1" w14:textId="77777777" w:rsidR="00E74F5A" w:rsidRPr="004311F9" w:rsidRDefault="00E74F5A" w:rsidP="00224CF7">
      <w:pPr>
        <w:rPr>
          <w:rFonts w:eastAsia="Times New Roman"/>
          <w:b/>
          <w:szCs w:val="24"/>
          <w:lang w:val="hu-HU"/>
        </w:rPr>
      </w:pPr>
    </w:p>
    <w:p w14:paraId="63184763" w14:textId="77777777" w:rsidR="00E74F5A" w:rsidRPr="004311F9" w:rsidRDefault="00E74F5A" w:rsidP="00224CF7">
      <w:pPr>
        <w:rPr>
          <w:rFonts w:eastAsia="Times New Roman"/>
          <w:b/>
          <w:szCs w:val="24"/>
          <w:lang w:val="hu-HU"/>
        </w:rPr>
      </w:pPr>
    </w:p>
    <w:p w14:paraId="35779C86" w14:textId="77777777" w:rsidR="00E74F5A" w:rsidRPr="004311F9" w:rsidRDefault="00E74F5A" w:rsidP="00224CF7">
      <w:pPr>
        <w:rPr>
          <w:rFonts w:eastAsia="Times New Roman"/>
          <w:b/>
          <w:szCs w:val="24"/>
          <w:lang w:val="hu-HU"/>
        </w:rPr>
      </w:pPr>
    </w:p>
    <w:p w14:paraId="48BC8850" w14:textId="77777777" w:rsidR="00E74F5A" w:rsidRPr="004311F9" w:rsidRDefault="00E74F5A" w:rsidP="00224CF7">
      <w:pPr>
        <w:rPr>
          <w:rFonts w:eastAsia="Times New Roman"/>
          <w:b/>
          <w:szCs w:val="24"/>
          <w:lang w:val="hu-HU"/>
        </w:rPr>
      </w:pPr>
    </w:p>
    <w:p w14:paraId="03C6316B" w14:textId="77777777" w:rsidR="00E74F5A" w:rsidRPr="004311F9" w:rsidRDefault="00E74F5A" w:rsidP="00224CF7">
      <w:pPr>
        <w:rPr>
          <w:rFonts w:eastAsia="Times New Roman"/>
          <w:b/>
          <w:szCs w:val="24"/>
          <w:lang w:val="hu-HU"/>
        </w:rPr>
      </w:pPr>
    </w:p>
    <w:p w14:paraId="65628CDE" w14:textId="77777777" w:rsidR="00E74F5A" w:rsidRPr="004311F9" w:rsidRDefault="00E74F5A" w:rsidP="00224CF7">
      <w:pPr>
        <w:rPr>
          <w:rFonts w:eastAsia="Times New Roman"/>
          <w:b/>
          <w:szCs w:val="24"/>
          <w:lang w:val="hu-HU"/>
        </w:rPr>
      </w:pPr>
    </w:p>
    <w:p w14:paraId="10C306EE" w14:textId="77777777" w:rsidR="00E74F5A" w:rsidRPr="004311F9" w:rsidRDefault="00E74F5A" w:rsidP="00224CF7">
      <w:pPr>
        <w:rPr>
          <w:rFonts w:eastAsia="Times New Roman"/>
          <w:b/>
          <w:szCs w:val="24"/>
          <w:lang w:val="hu-HU"/>
        </w:rPr>
      </w:pPr>
    </w:p>
    <w:p w14:paraId="24ED899E" w14:textId="77777777" w:rsidR="00E74F5A" w:rsidRPr="004311F9" w:rsidRDefault="00E74F5A" w:rsidP="00224CF7">
      <w:pPr>
        <w:rPr>
          <w:rFonts w:eastAsia="Times New Roman"/>
          <w:b/>
          <w:szCs w:val="24"/>
          <w:lang w:val="hu-HU"/>
        </w:rPr>
      </w:pPr>
    </w:p>
    <w:p w14:paraId="47C52BDE" w14:textId="77777777" w:rsidR="00E74F5A" w:rsidRPr="004311F9" w:rsidRDefault="00E74F5A" w:rsidP="00224CF7">
      <w:pPr>
        <w:rPr>
          <w:rFonts w:eastAsia="Times New Roman"/>
          <w:b/>
          <w:szCs w:val="24"/>
          <w:lang w:val="hu-HU"/>
        </w:rPr>
      </w:pPr>
    </w:p>
    <w:p w14:paraId="7230C9B3" w14:textId="77777777" w:rsidR="00E74F5A" w:rsidRPr="004311F9" w:rsidRDefault="00E74F5A" w:rsidP="00224CF7">
      <w:pPr>
        <w:rPr>
          <w:rFonts w:eastAsia="Times New Roman"/>
          <w:b/>
          <w:szCs w:val="24"/>
          <w:lang w:val="hu-HU"/>
        </w:rPr>
      </w:pPr>
    </w:p>
    <w:p w14:paraId="54B6C100" w14:textId="77777777" w:rsidR="00E74F5A" w:rsidRPr="004311F9" w:rsidRDefault="00E74F5A" w:rsidP="00224CF7">
      <w:pPr>
        <w:rPr>
          <w:rFonts w:eastAsia="Times New Roman"/>
          <w:b/>
          <w:szCs w:val="24"/>
          <w:lang w:val="hu-HU"/>
        </w:rPr>
      </w:pPr>
    </w:p>
    <w:p w14:paraId="02170947" w14:textId="77777777" w:rsidR="00E74F5A" w:rsidRPr="004311F9" w:rsidRDefault="00E74F5A" w:rsidP="00224CF7">
      <w:pPr>
        <w:rPr>
          <w:rFonts w:eastAsia="Times New Roman"/>
          <w:b/>
          <w:szCs w:val="24"/>
          <w:lang w:val="hu-HU"/>
        </w:rPr>
      </w:pPr>
    </w:p>
    <w:p w14:paraId="48CB87F7" w14:textId="77777777" w:rsidR="00E74F5A" w:rsidRPr="004311F9" w:rsidRDefault="00E74F5A" w:rsidP="00224CF7">
      <w:pPr>
        <w:rPr>
          <w:rFonts w:eastAsia="Times New Roman"/>
          <w:b/>
          <w:szCs w:val="24"/>
          <w:lang w:val="hu-HU"/>
        </w:rPr>
      </w:pPr>
    </w:p>
    <w:p w14:paraId="432BD7CA" w14:textId="77777777" w:rsidR="00E74F5A" w:rsidRPr="004311F9" w:rsidRDefault="00E74F5A" w:rsidP="00224CF7">
      <w:pPr>
        <w:rPr>
          <w:rFonts w:eastAsia="Times New Roman"/>
          <w:b/>
          <w:szCs w:val="24"/>
          <w:lang w:val="hu-HU"/>
        </w:rPr>
      </w:pPr>
    </w:p>
    <w:p w14:paraId="04022EB0" w14:textId="77777777" w:rsidR="00E74F5A" w:rsidRPr="004311F9" w:rsidRDefault="00E74F5A" w:rsidP="00224CF7">
      <w:pPr>
        <w:rPr>
          <w:rFonts w:eastAsia="Times New Roman"/>
          <w:b/>
          <w:szCs w:val="24"/>
          <w:lang w:val="hu-HU"/>
        </w:rPr>
      </w:pPr>
    </w:p>
    <w:p w14:paraId="62C5C24B" w14:textId="77777777" w:rsidR="00E74F5A" w:rsidRPr="004311F9" w:rsidRDefault="00E74F5A" w:rsidP="00224CF7">
      <w:pPr>
        <w:rPr>
          <w:rFonts w:eastAsia="Times New Roman"/>
          <w:b/>
          <w:szCs w:val="24"/>
          <w:lang w:val="hu-HU"/>
        </w:rPr>
      </w:pPr>
    </w:p>
    <w:p w14:paraId="57BBA577" w14:textId="77777777" w:rsidR="00E74F5A" w:rsidRPr="004311F9" w:rsidRDefault="00E74F5A" w:rsidP="00224CF7">
      <w:pPr>
        <w:rPr>
          <w:rFonts w:eastAsia="Times New Roman"/>
          <w:b/>
          <w:szCs w:val="24"/>
          <w:lang w:val="hu-HU"/>
        </w:rPr>
      </w:pPr>
    </w:p>
    <w:p w14:paraId="54C7A77D" w14:textId="77777777" w:rsidR="00E74F5A" w:rsidRPr="004311F9" w:rsidRDefault="00E74F5A" w:rsidP="00224CF7">
      <w:pPr>
        <w:rPr>
          <w:rFonts w:eastAsia="Times New Roman"/>
          <w:b/>
          <w:szCs w:val="24"/>
          <w:lang w:val="hu-HU"/>
        </w:rPr>
      </w:pPr>
    </w:p>
    <w:p w14:paraId="0A713769" w14:textId="77777777" w:rsidR="00E74F5A" w:rsidRPr="004311F9" w:rsidRDefault="00E74F5A" w:rsidP="00224CF7">
      <w:pPr>
        <w:rPr>
          <w:rFonts w:eastAsia="Times New Roman"/>
          <w:b/>
          <w:szCs w:val="24"/>
          <w:lang w:val="hu-HU"/>
        </w:rPr>
      </w:pPr>
    </w:p>
    <w:p w14:paraId="3467782F" w14:textId="77777777" w:rsidR="00E74F5A" w:rsidRPr="004311F9" w:rsidRDefault="00E74F5A" w:rsidP="00224CF7">
      <w:pPr>
        <w:rPr>
          <w:rFonts w:eastAsia="Times New Roman"/>
          <w:b/>
          <w:szCs w:val="24"/>
          <w:lang w:val="hu-HU"/>
        </w:rPr>
      </w:pPr>
    </w:p>
    <w:p w14:paraId="007A7008" w14:textId="77777777" w:rsidR="00E74F5A" w:rsidRPr="004311F9" w:rsidRDefault="00E74F5A" w:rsidP="00224CF7">
      <w:pPr>
        <w:rPr>
          <w:rFonts w:eastAsia="Times New Roman"/>
          <w:b/>
          <w:szCs w:val="24"/>
          <w:lang w:val="hu-HU"/>
        </w:rPr>
      </w:pPr>
    </w:p>
    <w:p w14:paraId="742884EC" w14:textId="28C49E3C" w:rsidR="00E74F5A" w:rsidRPr="004311F9" w:rsidRDefault="00E74F5A" w:rsidP="00224CF7">
      <w:pPr>
        <w:rPr>
          <w:rFonts w:eastAsia="Times New Roman"/>
          <w:b/>
          <w:szCs w:val="24"/>
          <w:lang w:val="hu-HU"/>
        </w:rPr>
      </w:pPr>
    </w:p>
    <w:p w14:paraId="19F72B5B" w14:textId="77777777" w:rsidR="00335696" w:rsidRPr="004311F9" w:rsidRDefault="00335696" w:rsidP="00224CF7">
      <w:pPr>
        <w:rPr>
          <w:rFonts w:eastAsia="Times New Roman"/>
          <w:b/>
          <w:szCs w:val="24"/>
          <w:lang w:val="hu-HU"/>
        </w:rPr>
      </w:pPr>
    </w:p>
    <w:p w14:paraId="51803D68" w14:textId="77777777" w:rsidR="00E74F5A" w:rsidRPr="004311F9" w:rsidRDefault="00E74F5A" w:rsidP="00DC4CB1">
      <w:pPr>
        <w:pStyle w:val="TitleA"/>
        <w:rPr>
          <w:lang w:val="hu-HU"/>
        </w:rPr>
      </w:pPr>
      <w:r w:rsidRPr="004311F9">
        <w:rPr>
          <w:lang w:val="hu-HU"/>
        </w:rPr>
        <w:t>B. BETEGTÁJÉKOZTATÓ</w:t>
      </w:r>
    </w:p>
    <w:p w14:paraId="3FC0A4E9" w14:textId="77777777" w:rsidR="00E74F5A" w:rsidRPr="004311F9" w:rsidRDefault="00E74F5A" w:rsidP="00DC4CB1">
      <w:pPr>
        <w:spacing w:line="240" w:lineRule="auto"/>
        <w:jc w:val="center"/>
        <w:rPr>
          <w:rFonts w:eastAsia="Times New Roman"/>
          <w:szCs w:val="24"/>
          <w:lang w:val="hu-HU"/>
        </w:rPr>
      </w:pPr>
    </w:p>
    <w:p w14:paraId="5C834839" w14:textId="77777777" w:rsidR="00E74F5A" w:rsidRPr="004311F9" w:rsidRDefault="00E74F5A" w:rsidP="00224CF7">
      <w:pPr>
        <w:spacing w:line="240" w:lineRule="auto"/>
        <w:jc w:val="center"/>
        <w:rPr>
          <w:b/>
          <w:szCs w:val="24"/>
          <w:lang w:val="hu-HU"/>
        </w:rPr>
      </w:pPr>
      <w:r w:rsidRPr="004311F9">
        <w:rPr>
          <w:b/>
          <w:szCs w:val="24"/>
          <w:lang w:val="hu-HU"/>
        </w:rPr>
        <w:br w:type="page"/>
      </w:r>
      <w:r w:rsidRPr="004311F9">
        <w:rPr>
          <w:b/>
          <w:szCs w:val="24"/>
          <w:lang w:val="hu-HU"/>
        </w:rPr>
        <w:lastRenderedPageBreak/>
        <w:t>Betegtájékoztató: Információk a felhasználó számára</w:t>
      </w:r>
    </w:p>
    <w:p w14:paraId="33769AC9" w14:textId="77777777" w:rsidR="00E74F5A" w:rsidRPr="004311F9" w:rsidRDefault="00E74F5A" w:rsidP="00224CF7">
      <w:pPr>
        <w:spacing w:line="240" w:lineRule="auto"/>
        <w:jc w:val="center"/>
        <w:rPr>
          <w:b/>
          <w:szCs w:val="24"/>
          <w:lang w:val="hu-HU"/>
        </w:rPr>
      </w:pPr>
    </w:p>
    <w:p w14:paraId="681CCFF5" w14:textId="77777777" w:rsidR="00E74F5A" w:rsidRPr="004311F9" w:rsidRDefault="00E74F5A" w:rsidP="00DC4CB1">
      <w:pPr>
        <w:spacing w:line="240" w:lineRule="auto"/>
        <w:jc w:val="center"/>
        <w:rPr>
          <w:b/>
          <w:szCs w:val="24"/>
          <w:lang w:val="hu-HU"/>
        </w:rPr>
      </w:pPr>
      <w:r w:rsidRPr="004311F9">
        <w:rPr>
          <w:b/>
          <w:szCs w:val="24"/>
          <w:lang w:val="hu-HU"/>
        </w:rPr>
        <w:t>ALPROLIX 250 NE por és oldószer oldatos injekcióhoz</w:t>
      </w:r>
    </w:p>
    <w:p w14:paraId="3462DA06" w14:textId="77777777" w:rsidR="00E74F5A" w:rsidRPr="004311F9" w:rsidRDefault="00E74F5A" w:rsidP="00DC4CB1">
      <w:pPr>
        <w:spacing w:line="240" w:lineRule="auto"/>
        <w:jc w:val="center"/>
        <w:rPr>
          <w:b/>
          <w:szCs w:val="24"/>
          <w:lang w:val="hu-HU"/>
        </w:rPr>
      </w:pPr>
      <w:r w:rsidRPr="004311F9">
        <w:rPr>
          <w:b/>
          <w:szCs w:val="24"/>
          <w:lang w:val="hu-HU"/>
        </w:rPr>
        <w:t>ALPROLIX 500 NE por és oldószer oldatos injekcióhoz</w:t>
      </w:r>
    </w:p>
    <w:p w14:paraId="4F52E0DC" w14:textId="77777777" w:rsidR="00E74F5A" w:rsidRPr="004311F9" w:rsidRDefault="00E74F5A" w:rsidP="00DC4CB1">
      <w:pPr>
        <w:spacing w:line="240" w:lineRule="auto"/>
        <w:jc w:val="center"/>
        <w:rPr>
          <w:b/>
          <w:szCs w:val="24"/>
          <w:lang w:val="hu-HU"/>
        </w:rPr>
      </w:pPr>
      <w:r w:rsidRPr="004311F9">
        <w:rPr>
          <w:b/>
          <w:szCs w:val="24"/>
          <w:lang w:val="hu-HU"/>
        </w:rPr>
        <w:t>ALPROLIX 1000 NE por és oldószer oldatos injekcióhoz</w:t>
      </w:r>
    </w:p>
    <w:p w14:paraId="3989391B" w14:textId="77777777" w:rsidR="00E74F5A" w:rsidRPr="004311F9" w:rsidRDefault="00E74F5A" w:rsidP="00DC4CB1">
      <w:pPr>
        <w:spacing w:line="240" w:lineRule="auto"/>
        <w:jc w:val="center"/>
        <w:rPr>
          <w:b/>
          <w:szCs w:val="24"/>
          <w:lang w:val="hu-HU"/>
        </w:rPr>
      </w:pPr>
      <w:r w:rsidRPr="004311F9">
        <w:rPr>
          <w:b/>
          <w:szCs w:val="24"/>
          <w:lang w:val="hu-HU"/>
        </w:rPr>
        <w:t>ALPROLIX 2000 NE por és oldószer oldatos injekcióhoz</w:t>
      </w:r>
    </w:p>
    <w:p w14:paraId="60608AD6" w14:textId="77777777" w:rsidR="00E74F5A" w:rsidRPr="004311F9" w:rsidRDefault="00E74F5A" w:rsidP="00DC4CB1">
      <w:pPr>
        <w:spacing w:line="240" w:lineRule="auto"/>
        <w:jc w:val="center"/>
        <w:rPr>
          <w:b/>
          <w:szCs w:val="24"/>
          <w:lang w:val="hu-HU"/>
        </w:rPr>
      </w:pPr>
      <w:r w:rsidRPr="004311F9">
        <w:rPr>
          <w:b/>
          <w:szCs w:val="24"/>
          <w:lang w:val="hu-HU"/>
        </w:rPr>
        <w:t>ALPROLIX 3000 NE por és oldószer oldatos injekcióhoz</w:t>
      </w:r>
    </w:p>
    <w:p w14:paraId="72BB1F43" w14:textId="77777777" w:rsidR="00E74F5A" w:rsidRPr="004311F9" w:rsidRDefault="00E74F5A" w:rsidP="00DC4CB1">
      <w:pPr>
        <w:spacing w:line="240" w:lineRule="auto"/>
        <w:jc w:val="center"/>
        <w:rPr>
          <w:rFonts w:eastAsia="Times New Roman"/>
          <w:b/>
          <w:szCs w:val="24"/>
          <w:lang w:val="hu-HU"/>
        </w:rPr>
      </w:pPr>
    </w:p>
    <w:p w14:paraId="0FAB4048" w14:textId="4384C44A" w:rsidR="00E74F5A" w:rsidRPr="004311F9" w:rsidRDefault="00E74F5A" w:rsidP="00DC4CB1">
      <w:pPr>
        <w:spacing w:line="240" w:lineRule="auto"/>
        <w:jc w:val="center"/>
        <w:rPr>
          <w:szCs w:val="24"/>
          <w:lang w:val="hu-HU"/>
        </w:rPr>
      </w:pPr>
      <w:r w:rsidRPr="004311F9">
        <w:rPr>
          <w:szCs w:val="24"/>
          <w:lang w:val="hu-HU"/>
        </w:rPr>
        <w:t>eftrenonakog</w:t>
      </w:r>
      <w:r w:rsidRPr="004311F9">
        <w:rPr>
          <w:szCs w:val="24"/>
          <w:lang w:val="hu-HU"/>
        </w:rPr>
        <w:noBreakHyphen/>
        <w:t xml:space="preserve">alfa </w:t>
      </w:r>
      <w:r w:rsidRPr="004311F9">
        <w:rPr>
          <w:lang w:val="hu-HU"/>
        </w:rPr>
        <w:t>(</w:t>
      </w:r>
      <w:r w:rsidRPr="004311F9">
        <w:rPr>
          <w:szCs w:val="24"/>
          <w:lang w:val="hu-HU"/>
        </w:rPr>
        <w:t>eftrenonacogum alfa</w:t>
      </w:r>
      <w:r w:rsidRPr="004311F9">
        <w:rPr>
          <w:lang w:val="hu-HU"/>
        </w:rPr>
        <w:t xml:space="preserve">) </w:t>
      </w:r>
      <w:r w:rsidR="00FD6B4E" w:rsidRPr="004311F9">
        <w:rPr>
          <w:lang w:val="hu-HU"/>
        </w:rPr>
        <w:t>(</w:t>
      </w:r>
      <w:r w:rsidRPr="004311F9">
        <w:rPr>
          <w:szCs w:val="24"/>
          <w:lang w:val="hu-HU"/>
        </w:rPr>
        <w:t>rekombináns IX</w:t>
      </w:r>
      <w:r w:rsidRPr="004311F9">
        <w:rPr>
          <w:szCs w:val="24"/>
          <w:lang w:val="hu-HU"/>
        </w:rPr>
        <w:noBreakHyphen/>
        <w:t>es alvadási faktor, Fc fúziós fehérje</w:t>
      </w:r>
      <w:r w:rsidR="00FD6B4E" w:rsidRPr="004311F9">
        <w:rPr>
          <w:szCs w:val="24"/>
          <w:lang w:val="hu-HU"/>
        </w:rPr>
        <w:t>)</w:t>
      </w:r>
    </w:p>
    <w:p w14:paraId="37CDD636" w14:textId="77777777" w:rsidR="00E74F5A" w:rsidRPr="004311F9" w:rsidRDefault="00E74F5A" w:rsidP="00DC4CB1">
      <w:pPr>
        <w:spacing w:line="240" w:lineRule="auto"/>
        <w:jc w:val="center"/>
        <w:rPr>
          <w:rFonts w:eastAsia="Times New Roman"/>
          <w:szCs w:val="24"/>
          <w:lang w:val="hu-HU"/>
        </w:rPr>
      </w:pPr>
    </w:p>
    <w:p w14:paraId="47A54259" w14:textId="77777777" w:rsidR="00E74F5A" w:rsidRPr="004311F9" w:rsidRDefault="00E74F5A" w:rsidP="00DC4CB1">
      <w:pPr>
        <w:spacing w:line="240" w:lineRule="auto"/>
        <w:rPr>
          <w:b/>
          <w:szCs w:val="24"/>
          <w:lang w:val="hu-HU"/>
        </w:rPr>
      </w:pPr>
      <w:r w:rsidRPr="004311F9">
        <w:rPr>
          <w:b/>
          <w:szCs w:val="24"/>
          <w:lang w:val="hu-HU"/>
        </w:rPr>
        <w:t>Mielőtt elkezdi alkalmazni ezt a gyógyszert, olvassa el figyelmesen az alábbi betegtájékoztatót, mert az Ön számára fontos információkat tartalmaz.</w:t>
      </w:r>
    </w:p>
    <w:p w14:paraId="29EF1EEF" w14:textId="77777777" w:rsidR="00E74F5A" w:rsidRPr="004311F9" w:rsidRDefault="00E74F5A" w:rsidP="00FC0AE3">
      <w:pPr>
        <w:pStyle w:val="ListParagraph1"/>
        <w:numPr>
          <w:ilvl w:val="0"/>
          <w:numId w:val="21"/>
        </w:numPr>
        <w:ind w:left="567" w:hanging="567"/>
        <w:rPr>
          <w:rFonts w:eastAsia="Times New Roman"/>
          <w:sz w:val="22"/>
          <w:lang w:val="hu-HU"/>
        </w:rPr>
      </w:pPr>
      <w:r w:rsidRPr="004311F9">
        <w:rPr>
          <w:sz w:val="22"/>
          <w:lang w:val="hu-HU"/>
        </w:rPr>
        <w:t>Tartsa meg a betegtájékoztatót, mert a benne szereplő információkra a későbbiekben is szüksége lehet.</w:t>
      </w:r>
    </w:p>
    <w:p w14:paraId="55827F0E" w14:textId="77777777" w:rsidR="00E74F5A" w:rsidRPr="004311F9" w:rsidRDefault="00E74F5A" w:rsidP="00FC0AE3">
      <w:pPr>
        <w:pStyle w:val="ListParagraph1"/>
        <w:numPr>
          <w:ilvl w:val="0"/>
          <w:numId w:val="21"/>
        </w:numPr>
        <w:ind w:left="567" w:hanging="567"/>
        <w:rPr>
          <w:rFonts w:eastAsia="Times New Roman"/>
          <w:sz w:val="22"/>
          <w:lang w:val="hu-HU"/>
        </w:rPr>
      </w:pPr>
      <w:r w:rsidRPr="004311F9">
        <w:rPr>
          <w:sz w:val="22"/>
          <w:lang w:val="hu-HU"/>
        </w:rPr>
        <w:t>További kérdéseivel forduljon kezelőorvosához, gyógyszerészéhez vagy a gondozását végző egészségügyi szakemberhez.</w:t>
      </w:r>
    </w:p>
    <w:p w14:paraId="0A5119D3" w14:textId="77777777" w:rsidR="00E74F5A" w:rsidRPr="004311F9" w:rsidRDefault="00E74F5A" w:rsidP="00FC0AE3">
      <w:pPr>
        <w:pStyle w:val="ListParagraph1"/>
        <w:numPr>
          <w:ilvl w:val="0"/>
          <w:numId w:val="21"/>
        </w:numPr>
        <w:ind w:left="567" w:hanging="567"/>
        <w:rPr>
          <w:rFonts w:eastAsia="Times New Roman"/>
          <w:sz w:val="22"/>
          <w:lang w:val="hu-HU"/>
        </w:rPr>
      </w:pPr>
      <w:r w:rsidRPr="004311F9">
        <w:rPr>
          <w:rFonts w:eastAsia="Times New Roman"/>
          <w:sz w:val="22"/>
          <w:lang w:val="hu-HU"/>
        </w:rPr>
        <w:t>Ezt a gyógyszert az orvos kizárólag Önnek írta fel. Ne adja át a készítményt másnak, mert számára ártalmas lehet még abban az esetben is, ha a betegsége tünetei az Önéhez hasonlóak.</w:t>
      </w:r>
    </w:p>
    <w:p w14:paraId="6458700B" w14:textId="77777777" w:rsidR="00E74F5A" w:rsidRPr="004311F9" w:rsidRDefault="00E74F5A" w:rsidP="00FC0AE3">
      <w:pPr>
        <w:pStyle w:val="ListParagraph1"/>
        <w:numPr>
          <w:ilvl w:val="0"/>
          <w:numId w:val="21"/>
        </w:numPr>
        <w:ind w:left="567" w:hanging="567"/>
        <w:rPr>
          <w:rFonts w:eastAsia="Times New Roman"/>
          <w:sz w:val="22"/>
          <w:lang w:val="hu-HU"/>
        </w:rPr>
      </w:pPr>
      <w:r w:rsidRPr="004311F9">
        <w:rPr>
          <w:sz w:val="22"/>
          <w:lang w:val="hu-HU"/>
        </w:rPr>
        <w:t xml:space="preserve">Ha Önnél bármilyen mellékhatás jelentkezik, tájékoztassa kezelőorvosát, gyógyszerészét vagy a gondozását végző egészségügyi szakembert. Ez a betegtájékoztatóban fel nem sorolt </w:t>
      </w:r>
      <w:r w:rsidRPr="004311F9">
        <w:rPr>
          <w:rFonts w:eastAsia="Times New Roman"/>
          <w:sz w:val="22"/>
          <w:lang w:val="hu-HU"/>
        </w:rPr>
        <w:t>bármilyen lehetséges mellékhatásra is vonatkozik. Lásd 4. pont.</w:t>
      </w:r>
    </w:p>
    <w:p w14:paraId="2FCF3F46" w14:textId="77777777" w:rsidR="00E74F5A" w:rsidRPr="004311F9" w:rsidRDefault="00E74F5A" w:rsidP="00DC4CB1">
      <w:pPr>
        <w:spacing w:line="240" w:lineRule="auto"/>
        <w:rPr>
          <w:rFonts w:eastAsia="Times New Roman"/>
          <w:b/>
          <w:szCs w:val="24"/>
          <w:lang w:val="hu-HU"/>
        </w:rPr>
      </w:pPr>
    </w:p>
    <w:p w14:paraId="3CBB1BC6" w14:textId="77777777" w:rsidR="00E74F5A" w:rsidRPr="004311F9" w:rsidRDefault="00E74F5A" w:rsidP="00DC4CB1">
      <w:pPr>
        <w:spacing w:line="240" w:lineRule="auto"/>
        <w:rPr>
          <w:szCs w:val="24"/>
          <w:lang w:val="hu-HU"/>
        </w:rPr>
      </w:pPr>
      <w:r w:rsidRPr="004311F9">
        <w:rPr>
          <w:b/>
          <w:szCs w:val="24"/>
          <w:lang w:val="hu-HU"/>
        </w:rPr>
        <w:t>A betegtájékoztató tartalma:</w:t>
      </w:r>
    </w:p>
    <w:p w14:paraId="71254F5F" w14:textId="77777777" w:rsidR="00E74F5A" w:rsidRPr="004311F9" w:rsidRDefault="00E74F5A" w:rsidP="00DC4CB1">
      <w:pPr>
        <w:spacing w:line="240" w:lineRule="auto"/>
        <w:rPr>
          <w:rFonts w:eastAsia="Times New Roman"/>
          <w:b/>
          <w:szCs w:val="24"/>
          <w:lang w:val="hu-HU"/>
        </w:rPr>
      </w:pPr>
    </w:p>
    <w:p w14:paraId="3F62E48D" w14:textId="77777777" w:rsidR="00E74F5A" w:rsidRPr="004311F9" w:rsidRDefault="00E74F5A" w:rsidP="00DC4CB1">
      <w:pPr>
        <w:spacing w:line="240" w:lineRule="auto"/>
        <w:rPr>
          <w:rFonts w:eastAsia="Times New Roman"/>
          <w:lang w:val="hu-HU"/>
        </w:rPr>
      </w:pPr>
      <w:r w:rsidRPr="004311F9">
        <w:rPr>
          <w:rFonts w:eastAsia="Times New Roman"/>
          <w:lang w:val="hu-HU"/>
        </w:rPr>
        <w:t>1.</w:t>
      </w:r>
      <w:r w:rsidRPr="004311F9">
        <w:rPr>
          <w:rFonts w:eastAsia="Times New Roman"/>
          <w:lang w:val="hu-HU"/>
        </w:rPr>
        <w:tab/>
        <w:t>Milyen típusú gyógyszer az ALPROLIX és milyen betegségek esetén alkalmazható?</w:t>
      </w:r>
    </w:p>
    <w:p w14:paraId="4FE6C492" w14:textId="77777777" w:rsidR="00E74F5A" w:rsidRPr="004311F9" w:rsidRDefault="00E74F5A" w:rsidP="00DC4CB1">
      <w:pPr>
        <w:spacing w:line="240" w:lineRule="auto"/>
        <w:rPr>
          <w:rFonts w:eastAsia="Times New Roman"/>
          <w:lang w:val="hu-HU"/>
        </w:rPr>
      </w:pPr>
      <w:r w:rsidRPr="004311F9">
        <w:rPr>
          <w:lang w:val="hu-HU"/>
        </w:rPr>
        <w:t>2.</w:t>
      </w:r>
      <w:r w:rsidRPr="004311F9">
        <w:rPr>
          <w:lang w:val="hu-HU"/>
        </w:rPr>
        <w:tab/>
        <w:t>Tudnivalók az ALPROLIX alkalmazása előtt</w:t>
      </w:r>
    </w:p>
    <w:p w14:paraId="630FFC97" w14:textId="77777777" w:rsidR="00E74F5A" w:rsidRPr="004311F9" w:rsidRDefault="00E74F5A" w:rsidP="00DC4CB1">
      <w:pPr>
        <w:spacing w:line="240" w:lineRule="auto"/>
        <w:rPr>
          <w:rFonts w:eastAsia="Times New Roman"/>
          <w:lang w:val="hu-HU"/>
        </w:rPr>
      </w:pPr>
      <w:r w:rsidRPr="004311F9">
        <w:rPr>
          <w:rFonts w:eastAsia="Times New Roman"/>
          <w:lang w:val="hu-HU"/>
        </w:rPr>
        <w:t>3.</w:t>
      </w:r>
      <w:r w:rsidRPr="004311F9">
        <w:rPr>
          <w:rFonts w:eastAsia="Times New Roman"/>
          <w:lang w:val="hu-HU"/>
        </w:rPr>
        <w:tab/>
        <w:t>Hogyan kell alkalmazni az ALPROLIX</w:t>
      </w:r>
      <w:r w:rsidRPr="004311F9">
        <w:rPr>
          <w:rFonts w:eastAsia="Times New Roman"/>
          <w:lang w:val="hu-HU"/>
        </w:rPr>
        <w:noBreakHyphen/>
        <w:t>ot?</w:t>
      </w:r>
    </w:p>
    <w:p w14:paraId="775A07BE" w14:textId="77777777" w:rsidR="00E74F5A" w:rsidRPr="004311F9" w:rsidRDefault="00E74F5A" w:rsidP="00DC4CB1">
      <w:pPr>
        <w:spacing w:line="240" w:lineRule="auto"/>
        <w:rPr>
          <w:rFonts w:eastAsia="Times New Roman"/>
          <w:lang w:val="hu-HU"/>
        </w:rPr>
      </w:pPr>
      <w:r w:rsidRPr="004311F9">
        <w:rPr>
          <w:rFonts w:eastAsia="Times New Roman"/>
          <w:lang w:val="hu-HU"/>
        </w:rPr>
        <w:t>4.</w:t>
      </w:r>
      <w:r w:rsidRPr="004311F9">
        <w:rPr>
          <w:rFonts w:eastAsia="Times New Roman"/>
          <w:lang w:val="hu-HU"/>
        </w:rPr>
        <w:tab/>
        <w:t>Lehetséges mellékhatások</w:t>
      </w:r>
    </w:p>
    <w:p w14:paraId="53E7EA86" w14:textId="77777777" w:rsidR="00E74F5A" w:rsidRPr="004311F9" w:rsidRDefault="00E74F5A" w:rsidP="00DC4CB1">
      <w:pPr>
        <w:spacing w:line="240" w:lineRule="auto"/>
        <w:rPr>
          <w:rFonts w:eastAsia="Times New Roman"/>
          <w:lang w:val="hu-HU"/>
        </w:rPr>
      </w:pPr>
      <w:r w:rsidRPr="004311F9">
        <w:rPr>
          <w:rFonts w:eastAsia="Times New Roman"/>
          <w:lang w:val="hu-HU"/>
        </w:rPr>
        <w:t>5.</w:t>
      </w:r>
      <w:r w:rsidRPr="004311F9">
        <w:rPr>
          <w:rFonts w:eastAsia="Times New Roman"/>
          <w:lang w:val="hu-HU"/>
        </w:rPr>
        <w:tab/>
        <w:t>Hogyan kell az ALPROLIX</w:t>
      </w:r>
      <w:r w:rsidRPr="004311F9">
        <w:rPr>
          <w:rFonts w:eastAsia="Times New Roman"/>
          <w:lang w:val="hu-HU"/>
        </w:rPr>
        <w:noBreakHyphen/>
        <w:t>ot tárolni?</w:t>
      </w:r>
    </w:p>
    <w:p w14:paraId="031D031B" w14:textId="77777777" w:rsidR="00E74F5A" w:rsidRPr="004311F9" w:rsidRDefault="00E74F5A" w:rsidP="00DC4CB1">
      <w:pPr>
        <w:spacing w:line="240" w:lineRule="auto"/>
        <w:rPr>
          <w:rFonts w:eastAsia="Times New Roman"/>
          <w:lang w:val="hu-HU"/>
        </w:rPr>
      </w:pPr>
      <w:r w:rsidRPr="004311F9">
        <w:rPr>
          <w:rFonts w:eastAsia="Times New Roman"/>
          <w:lang w:val="hu-HU"/>
        </w:rPr>
        <w:t>6.</w:t>
      </w:r>
      <w:r w:rsidRPr="004311F9">
        <w:rPr>
          <w:rFonts w:eastAsia="Times New Roman"/>
          <w:lang w:val="hu-HU"/>
        </w:rPr>
        <w:tab/>
        <w:t>A csomagolás tartalma és egyéb információk</w:t>
      </w:r>
    </w:p>
    <w:p w14:paraId="0B0CCFEB" w14:textId="77777777" w:rsidR="00E74F5A" w:rsidRPr="004311F9" w:rsidRDefault="00E74F5A" w:rsidP="00DC4CB1">
      <w:pPr>
        <w:spacing w:line="240" w:lineRule="auto"/>
        <w:rPr>
          <w:rFonts w:eastAsia="Times New Roman"/>
          <w:lang w:val="hu-HU"/>
        </w:rPr>
      </w:pPr>
      <w:r w:rsidRPr="004311F9">
        <w:rPr>
          <w:rFonts w:eastAsia="Times New Roman"/>
          <w:lang w:val="hu-HU"/>
        </w:rPr>
        <w:t>7.</w:t>
      </w:r>
      <w:r w:rsidRPr="004311F9">
        <w:rPr>
          <w:rFonts w:eastAsia="Times New Roman"/>
          <w:lang w:val="hu-HU"/>
        </w:rPr>
        <w:tab/>
        <w:t>Az elkészítésre és beadásra vonatkozó utasítások</w:t>
      </w:r>
    </w:p>
    <w:p w14:paraId="05912B31" w14:textId="77777777" w:rsidR="00E74F5A" w:rsidRPr="004311F9" w:rsidRDefault="00E74F5A" w:rsidP="00DC4CB1">
      <w:pPr>
        <w:numPr>
          <w:ilvl w:val="12"/>
          <w:numId w:val="0"/>
        </w:numPr>
        <w:spacing w:line="240" w:lineRule="auto"/>
        <w:ind w:right="-2"/>
        <w:rPr>
          <w:rFonts w:eastAsia="Times New Roman"/>
          <w:b/>
          <w:szCs w:val="24"/>
          <w:lang w:val="hu-HU"/>
        </w:rPr>
      </w:pPr>
    </w:p>
    <w:p w14:paraId="2D329F7B" w14:textId="77777777" w:rsidR="00E74F5A" w:rsidRPr="004311F9" w:rsidRDefault="00E74F5A" w:rsidP="00DC4CB1">
      <w:pPr>
        <w:numPr>
          <w:ilvl w:val="12"/>
          <w:numId w:val="0"/>
        </w:numPr>
        <w:spacing w:line="240" w:lineRule="auto"/>
        <w:ind w:right="-2"/>
        <w:rPr>
          <w:rFonts w:eastAsia="Times New Roman"/>
          <w:b/>
          <w:szCs w:val="24"/>
          <w:lang w:val="hu-HU"/>
        </w:rPr>
      </w:pPr>
    </w:p>
    <w:p w14:paraId="0A1CEE1C" w14:textId="77777777" w:rsidR="00E74F5A" w:rsidRPr="004311F9" w:rsidRDefault="00E74F5A" w:rsidP="00DC4CB1">
      <w:pPr>
        <w:pStyle w:val="ListParagraph1"/>
        <w:keepNext/>
        <w:keepLines/>
        <w:ind w:left="567" w:hanging="567"/>
        <w:rPr>
          <w:rFonts w:eastAsia="Times New Roman"/>
          <w:b/>
          <w:sz w:val="22"/>
          <w:lang w:val="hu-HU"/>
        </w:rPr>
      </w:pPr>
      <w:r w:rsidRPr="004311F9">
        <w:rPr>
          <w:rFonts w:eastAsia="Times New Roman"/>
          <w:b/>
          <w:sz w:val="22"/>
          <w:lang w:val="hu-HU"/>
        </w:rPr>
        <w:t>1.</w:t>
      </w:r>
      <w:r w:rsidRPr="004311F9">
        <w:rPr>
          <w:rFonts w:eastAsia="Times New Roman"/>
          <w:b/>
          <w:sz w:val="22"/>
          <w:lang w:val="hu-HU"/>
        </w:rPr>
        <w:tab/>
        <w:t>Milyen típusú gyógyszer az ALPROLIX és milyen betegségek esetén alkalmazható?</w:t>
      </w:r>
    </w:p>
    <w:p w14:paraId="12E74C24" w14:textId="77777777" w:rsidR="00E74F5A" w:rsidRPr="004311F9" w:rsidRDefault="00E74F5A" w:rsidP="00DC4CB1">
      <w:pPr>
        <w:pStyle w:val="ListParagraph1"/>
        <w:keepNext/>
        <w:keepLines/>
        <w:ind w:left="0"/>
        <w:rPr>
          <w:rFonts w:eastAsia="Times New Roman"/>
          <w:b/>
          <w:sz w:val="22"/>
          <w:lang w:val="hu-HU"/>
        </w:rPr>
      </w:pPr>
    </w:p>
    <w:p w14:paraId="4E60BBBF" w14:textId="77777777" w:rsidR="00E74F5A" w:rsidRPr="004311F9" w:rsidRDefault="00E74F5A" w:rsidP="00DC4CB1">
      <w:pPr>
        <w:spacing w:line="240" w:lineRule="auto"/>
        <w:rPr>
          <w:rFonts w:eastAsia="Times New Roman"/>
          <w:szCs w:val="24"/>
          <w:lang w:val="hu-HU"/>
        </w:rPr>
      </w:pPr>
      <w:r w:rsidRPr="004311F9">
        <w:rPr>
          <w:szCs w:val="24"/>
          <w:lang w:val="hu-HU"/>
        </w:rPr>
        <w:t>Az ALPROLIX az eftrenonakog</w:t>
      </w:r>
      <w:r w:rsidRPr="004311F9">
        <w:rPr>
          <w:szCs w:val="24"/>
          <w:lang w:val="hu-HU"/>
        </w:rPr>
        <w:noBreakHyphen/>
        <w:t>alfa nevű hatóanyagot tartalmazza, amely egy rekombináns technológiával előállított IX</w:t>
      </w:r>
      <w:r w:rsidRPr="004311F9">
        <w:rPr>
          <w:szCs w:val="24"/>
          <w:lang w:val="hu-HU"/>
        </w:rPr>
        <w:noBreakHyphen/>
        <w:t xml:space="preserve">es alvadási faktor, Fc fúziós </w:t>
      </w:r>
      <w:r w:rsidRPr="004311F9">
        <w:rPr>
          <w:rFonts w:eastAsia="Times New Roman"/>
          <w:szCs w:val="24"/>
          <w:lang w:val="hu-HU"/>
        </w:rPr>
        <w:t>fehérje</w:t>
      </w:r>
      <w:r w:rsidRPr="004311F9">
        <w:rPr>
          <w:szCs w:val="24"/>
          <w:lang w:val="hu-HU"/>
        </w:rPr>
        <w:t>. A IX</w:t>
      </w:r>
      <w:r w:rsidRPr="004311F9">
        <w:rPr>
          <w:szCs w:val="24"/>
          <w:lang w:val="hu-HU"/>
        </w:rPr>
        <w:noBreakHyphen/>
        <w:t xml:space="preserve">es faktor a szervezetben természetes módon termelődő fehérje, amely szükséges ahhoz, hogy a vér megalvadjon, és a vérzés </w:t>
      </w:r>
      <w:r w:rsidRPr="004311F9">
        <w:rPr>
          <w:rFonts w:eastAsia="Times New Roman"/>
          <w:szCs w:val="24"/>
          <w:lang w:val="hu-HU"/>
        </w:rPr>
        <w:t>elálljon.</w:t>
      </w:r>
    </w:p>
    <w:p w14:paraId="700F70D7" w14:textId="77777777" w:rsidR="00E74F5A" w:rsidRPr="004311F9" w:rsidRDefault="00E74F5A" w:rsidP="00DC4CB1">
      <w:pPr>
        <w:spacing w:line="240" w:lineRule="auto"/>
        <w:rPr>
          <w:rFonts w:eastAsia="Times New Roman"/>
          <w:szCs w:val="24"/>
          <w:lang w:val="hu-HU"/>
        </w:rPr>
      </w:pPr>
    </w:p>
    <w:p w14:paraId="1B68DBDF" w14:textId="77777777" w:rsidR="00E74F5A" w:rsidRPr="004311F9" w:rsidRDefault="00E74F5A" w:rsidP="00DC4CB1">
      <w:pPr>
        <w:spacing w:line="240" w:lineRule="auto"/>
        <w:rPr>
          <w:szCs w:val="24"/>
          <w:lang w:val="hu-HU"/>
        </w:rPr>
      </w:pPr>
      <w:r w:rsidRPr="004311F9">
        <w:rPr>
          <w:szCs w:val="24"/>
          <w:lang w:val="hu-HU"/>
        </w:rPr>
        <w:t>Az ALPROLIX vérzések kezelésére és megelőzésére alkalmazható a B</w:t>
      </w:r>
      <w:r w:rsidRPr="004311F9">
        <w:rPr>
          <w:szCs w:val="24"/>
          <w:lang w:val="hu-HU"/>
        </w:rPr>
        <w:noBreakHyphen/>
        <w:t>típusú vérzékenységben (hemofília B, a IX</w:t>
      </w:r>
      <w:r w:rsidRPr="004311F9">
        <w:rPr>
          <w:szCs w:val="24"/>
          <w:lang w:val="hu-HU"/>
        </w:rPr>
        <w:noBreakHyphen/>
        <w:t>es faktor hiánya által előidézett örökletes vérzészavar) szenvedő betegek valamennyi korcsoportjában.</w:t>
      </w:r>
    </w:p>
    <w:p w14:paraId="20C7C5EB" w14:textId="77777777" w:rsidR="00E74F5A" w:rsidRPr="004311F9" w:rsidRDefault="00E74F5A" w:rsidP="00DC4CB1">
      <w:pPr>
        <w:spacing w:line="240" w:lineRule="auto"/>
        <w:rPr>
          <w:rFonts w:eastAsia="Times New Roman"/>
          <w:szCs w:val="24"/>
          <w:lang w:val="hu-HU"/>
        </w:rPr>
      </w:pPr>
    </w:p>
    <w:p w14:paraId="2B007BEC" w14:textId="77777777" w:rsidR="00E74F5A" w:rsidRPr="004311F9" w:rsidRDefault="00E74F5A" w:rsidP="00DC4CB1">
      <w:pPr>
        <w:spacing w:line="240" w:lineRule="auto"/>
        <w:rPr>
          <w:szCs w:val="24"/>
          <w:lang w:val="hu-HU"/>
        </w:rPr>
      </w:pPr>
      <w:r w:rsidRPr="004311F9">
        <w:rPr>
          <w:szCs w:val="24"/>
          <w:lang w:val="hu-HU"/>
        </w:rPr>
        <w:lastRenderedPageBreak/>
        <w:t>Az ALPROLIX</w:t>
      </w:r>
      <w:r w:rsidRPr="004311F9">
        <w:rPr>
          <w:szCs w:val="24"/>
          <w:lang w:val="hu-HU"/>
        </w:rPr>
        <w:noBreakHyphen/>
        <w:t>ot rekombináns technológiával állítják elő anélkül, hogy a gyártási folyamat során bármilyen emberi vagy állati eredetű összetevőt adnának hozzá.</w:t>
      </w:r>
    </w:p>
    <w:p w14:paraId="4C9EE560" w14:textId="77777777" w:rsidR="00E74F5A" w:rsidRPr="004311F9" w:rsidRDefault="00E74F5A" w:rsidP="00DC4CB1">
      <w:pPr>
        <w:spacing w:line="240" w:lineRule="auto"/>
        <w:rPr>
          <w:rFonts w:eastAsia="Times New Roman"/>
          <w:szCs w:val="24"/>
          <w:lang w:val="hu-HU"/>
        </w:rPr>
      </w:pPr>
    </w:p>
    <w:p w14:paraId="06D26926" w14:textId="77777777" w:rsidR="00E74F5A" w:rsidRPr="004311F9" w:rsidRDefault="00E74F5A" w:rsidP="00DC4CB1">
      <w:pPr>
        <w:keepNext/>
        <w:spacing w:line="240" w:lineRule="auto"/>
        <w:rPr>
          <w:b/>
          <w:szCs w:val="24"/>
          <w:lang w:val="hu-HU"/>
        </w:rPr>
      </w:pPr>
      <w:r w:rsidRPr="004311F9">
        <w:rPr>
          <w:b/>
          <w:szCs w:val="24"/>
          <w:lang w:val="hu-HU"/>
        </w:rPr>
        <w:t>Hogyan hat az ALPROLIX?</w:t>
      </w:r>
    </w:p>
    <w:p w14:paraId="51187F0A" w14:textId="3A9D4113" w:rsidR="00E74F5A" w:rsidRPr="004311F9" w:rsidRDefault="00E74F5A" w:rsidP="00DC4CB1">
      <w:pPr>
        <w:spacing w:line="240" w:lineRule="auto"/>
        <w:rPr>
          <w:szCs w:val="24"/>
          <w:lang w:val="hu-HU"/>
        </w:rPr>
      </w:pPr>
      <w:r w:rsidRPr="004311F9">
        <w:rPr>
          <w:szCs w:val="24"/>
          <w:lang w:val="hu-HU"/>
        </w:rPr>
        <w:t>Hemofília B</w:t>
      </w:r>
      <w:r w:rsidRPr="004311F9">
        <w:rPr>
          <w:szCs w:val="24"/>
          <w:lang w:val="hu-HU"/>
        </w:rPr>
        <w:noBreakHyphen/>
        <w:t>ben szenvedő betegeknél a IX</w:t>
      </w:r>
      <w:r w:rsidRPr="004311F9">
        <w:rPr>
          <w:szCs w:val="24"/>
          <w:lang w:val="hu-HU"/>
        </w:rPr>
        <w:noBreakHyphen/>
        <w:t xml:space="preserve">es faktor hiányzik vagy nem működik megfelelően. </w:t>
      </w:r>
      <w:r w:rsidR="00082F0A" w:rsidRPr="004311F9">
        <w:rPr>
          <w:szCs w:val="24"/>
          <w:lang w:val="hu-HU"/>
        </w:rPr>
        <w:t xml:space="preserve">Ezt a gyógyszert </w:t>
      </w:r>
      <w:r w:rsidRPr="004311F9">
        <w:rPr>
          <w:szCs w:val="24"/>
          <w:lang w:val="hu-HU"/>
        </w:rPr>
        <w:t>a hiányzó vagy hibás IX</w:t>
      </w:r>
      <w:r w:rsidRPr="004311F9">
        <w:rPr>
          <w:szCs w:val="24"/>
          <w:lang w:val="hu-HU"/>
        </w:rPr>
        <w:noBreakHyphen/>
        <w:t xml:space="preserve">es faktor pótlására alkalmazzák. Az ALPROLIX emeli a vérben a </w:t>
      </w:r>
      <w:r w:rsidRPr="004311F9">
        <w:rPr>
          <w:szCs w:val="24"/>
          <w:lang w:val="hu-HU"/>
        </w:rPr>
        <w:lastRenderedPageBreak/>
        <w:t>IX</w:t>
      </w:r>
      <w:r w:rsidRPr="004311F9">
        <w:rPr>
          <w:szCs w:val="24"/>
          <w:lang w:val="hu-HU"/>
        </w:rPr>
        <w:noBreakHyphen/>
        <w:t xml:space="preserve">es faktor szintjét, és átmenetileg korrigálja a vérzéshajlamot. A </w:t>
      </w:r>
      <w:r w:rsidR="00082F0A" w:rsidRPr="004311F9">
        <w:rPr>
          <w:szCs w:val="24"/>
          <w:lang w:val="hu-HU"/>
        </w:rPr>
        <w:t>gyógyszerben</w:t>
      </w:r>
      <w:r w:rsidRPr="004311F9">
        <w:rPr>
          <w:szCs w:val="24"/>
          <w:lang w:val="hu-HU"/>
        </w:rPr>
        <w:t xml:space="preserve"> található Fc fúziós fehérje növeli a gyógyszer hatásának időtartamát.</w:t>
      </w:r>
    </w:p>
    <w:p w14:paraId="33CE913A" w14:textId="77777777" w:rsidR="00E74F5A" w:rsidRPr="004311F9" w:rsidRDefault="00E74F5A" w:rsidP="00DC4CB1">
      <w:pPr>
        <w:numPr>
          <w:ilvl w:val="12"/>
          <w:numId w:val="0"/>
        </w:numPr>
        <w:spacing w:line="240" w:lineRule="auto"/>
        <w:ind w:right="-2"/>
        <w:rPr>
          <w:rFonts w:eastAsia="Times New Roman"/>
          <w:b/>
          <w:szCs w:val="24"/>
          <w:lang w:val="hu-HU"/>
        </w:rPr>
      </w:pPr>
    </w:p>
    <w:p w14:paraId="16A63BCF" w14:textId="77777777" w:rsidR="00E74F5A" w:rsidRPr="004311F9" w:rsidRDefault="00E74F5A" w:rsidP="00DC4CB1">
      <w:pPr>
        <w:numPr>
          <w:ilvl w:val="12"/>
          <w:numId w:val="0"/>
        </w:numPr>
        <w:spacing w:line="240" w:lineRule="auto"/>
        <w:ind w:right="-2"/>
        <w:rPr>
          <w:rFonts w:eastAsia="Times New Roman"/>
          <w:b/>
          <w:szCs w:val="24"/>
          <w:lang w:val="hu-HU"/>
        </w:rPr>
      </w:pPr>
    </w:p>
    <w:p w14:paraId="02513098" w14:textId="77777777" w:rsidR="00E74F5A" w:rsidRPr="004311F9" w:rsidRDefault="00E74F5A" w:rsidP="00DC4CB1">
      <w:pPr>
        <w:pStyle w:val="ListParagraph1"/>
        <w:keepNext/>
        <w:ind w:left="567" w:hanging="567"/>
        <w:rPr>
          <w:rFonts w:eastAsia="Times New Roman"/>
          <w:b/>
          <w:sz w:val="22"/>
          <w:lang w:val="hu-HU"/>
        </w:rPr>
      </w:pPr>
      <w:r w:rsidRPr="004311F9">
        <w:rPr>
          <w:b/>
          <w:sz w:val="22"/>
          <w:lang w:val="hu-HU"/>
        </w:rPr>
        <w:t>2.</w:t>
      </w:r>
      <w:r w:rsidRPr="004311F9">
        <w:rPr>
          <w:b/>
          <w:sz w:val="22"/>
          <w:lang w:val="hu-HU"/>
        </w:rPr>
        <w:tab/>
        <w:t>Tudnivalók az ALPROLIX alkalmazása előtt</w:t>
      </w:r>
    </w:p>
    <w:p w14:paraId="7FC1FA20" w14:textId="77777777" w:rsidR="00E74F5A" w:rsidRPr="004311F9" w:rsidRDefault="00E74F5A" w:rsidP="00DC4CB1">
      <w:pPr>
        <w:keepNext/>
        <w:spacing w:line="240" w:lineRule="auto"/>
        <w:rPr>
          <w:rFonts w:eastAsia="Times New Roman"/>
          <w:b/>
          <w:szCs w:val="24"/>
          <w:lang w:val="hu-HU"/>
        </w:rPr>
      </w:pPr>
    </w:p>
    <w:p w14:paraId="4FA5A5B2" w14:textId="6082AE0F" w:rsidR="00E74F5A" w:rsidRPr="004311F9" w:rsidRDefault="00E74F5A" w:rsidP="00DC4CB1">
      <w:pPr>
        <w:keepNext/>
        <w:spacing w:line="240" w:lineRule="auto"/>
        <w:rPr>
          <w:b/>
          <w:szCs w:val="24"/>
          <w:lang w:val="hu-HU"/>
        </w:rPr>
      </w:pPr>
      <w:r w:rsidRPr="004311F9">
        <w:rPr>
          <w:b/>
          <w:szCs w:val="24"/>
          <w:lang w:val="hu-HU"/>
        </w:rPr>
        <w:t>Ne alkalmazza az ALPROLIX</w:t>
      </w:r>
      <w:r w:rsidRPr="004311F9">
        <w:rPr>
          <w:b/>
          <w:szCs w:val="24"/>
          <w:lang w:val="hu-HU"/>
        </w:rPr>
        <w:noBreakHyphen/>
        <w:t>ot</w:t>
      </w:r>
    </w:p>
    <w:p w14:paraId="20D28930" w14:textId="77777777" w:rsidR="00E74F5A" w:rsidRPr="004311F9" w:rsidRDefault="00E74F5A" w:rsidP="00DC4CB1">
      <w:pPr>
        <w:numPr>
          <w:ilvl w:val="0"/>
          <w:numId w:val="5"/>
        </w:numPr>
        <w:spacing w:line="240" w:lineRule="auto"/>
        <w:ind w:left="567" w:hanging="567"/>
        <w:rPr>
          <w:szCs w:val="24"/>
          <w:lang w:val="hu-HU"/>
        </w:rPr>
      </w:pPr>
      <w:r w:rsidRPr="004311F9">
        <w:rPr>
          <w:szCs w:val="24"/>
          <w:lang w:val="hu-HU"/>
        </w:rPr>
        <w:t>ha allergiás az eftrenonakog</w:t>
      </w:r>
      <w:r w:rsidRPr="004311F9">
        <w:rPr>
          <w:szCs w:val="24"/>
          <w:lang w:val="hu-HU"/>
        </w:rPr>
        <w:noBreakHyphen/>
        <w:t>alfára vagy a gyógyszer (6. pontban felsorolt) egyéb összetevőjére.</w:t>
      </w:r>
    </w:p>
    <w:p w14:paraId="47E5C304" w14:textId="77777777" w:rsidR="00E74F5A" w:rsidRPr="004311F9" w:rsidRDefault="00E74F5A" w:rsidP="00DC4CB1">
      <w:pPr>
        <w:spacing w:line="240" w:lineRule="auto"/>
        <w:rPr>
          <w:rFonts w:eastAsia="Times New Roman"/>
          <w:szCs w:val="24"/>
          <w:lang w:val="hu-HU"/>
        </w:rPr>
      </w:pPr>
    </w:p>
    <w:p w14:paraId="54773C5B" w14:textId="77777777" w:rsidR="00E74F5A" w:rsidRPr="004311F9" w:rsidRDefault="00E74F5A" w:rsidP="00DC4CB1">
      <w:pPr>
        <w:keepNext/>
        <w:keepLines/>
        <w:spacing w:line="240" w:lineRule="auto"/>
        <w:rPr>
          <w:b/>
          <w:szCs w:val="24"/>
          <w:lang w:val="hu-HU"/>
        </w:rPr>
      </w:pPr>
      <w:r w:rsidRPr="004311F9">
        <w:rPr>
          <w:b/>
          <w:szCs w:val="24"/>
          <w:lang w:val="hu-HU"/>
        </w:rPr>
        <w:t>Figyelmeztetések és óvintézkedések</w:t>
      </w:r>
    </w:p>
    <w:p w14:paraId="7D5348F8" w14:textId="77777777" w:rsidR="00E74F5A" w:rsidRPr="004311F9" w:rsidRDefault="00E74F5A" w:rsidP="00DC4CB1">
      <w:pPr>
        <w:keepNext/>
        <w:keepLines/>
        <w:spacing w:line="240" w:lineRule="auto"/>
        <w:rPr>
          <w:szCs w:val="24"/>
          <w:lang w:val="hu-HU"/>
        </w:rPr>
      </w:pPr>
      <w:r w:rsidRPr="004311F9">
        <w:rPr>
          <w:szCs w:val="24"/>
          <w:lang w:val="hu-HU"/>
        </w:rPr>
        <w:t>Az ALPROLIX alkalmazása előtt beszéljen kezelőorvosával, gyógyszerészével vagy a gondozását végző egészségügyi szakemberrel.</w:t>
      </w:r>
    </w:p>
    <w:p w14:paraId="7F235118" w14:textId="77777777" w:rsidR="00E74F5A" w:rsidRPr="004311F9" w:rsidRDefault="00E74F5A" w:rsidP="00DC4CB1">
      <w:pPr>
        <w:keepNext/>
        <w:keepLines/>
        <w:spacing w:line="240" w:lineRule="auto"/>
        <w:rPr>
          <w:rFonts w:eastAsia="Times New Roman"/>
          <w:szCs w:val="24"/>
          <w:lang w:val="hu-HU"/>
        </w:rPr>
      </w:pPr>
    </w:p>
    <w:p w14:paraId="08EB016E" w14:textId="46B29956" w:rsidR="00E74F5A" w:rsidRPr="004311F9" w:rsidRDefault="00E74F5A" w:rsidP="00DC4CB1">
      <w:pPr>
        <w:numPr>
          <w:ilvl w:val="0"/>
          <w:numId w:val="5"/>
        </w:numPr>
        <w:spacing w:line="240" w:lineRule="auto"/>
        <w:ind w:left="567" w:hanging="567"/>
        <w:rPr>
          <w:szCs w:val="24"/>
          <w:lang w:val="hu-HU"/>
        </w:rPr>
      </w:pPr>
      <w:r w:rsidRPr="004311F9">
        <w:rPr>
          <w:szCs w:val="24"/>
          <w:lang w:val="hu-HU"/>
        </w:rPr>
        <w:t>Van rá egy kis esély, hogy az ALPROLIX anafilaxiás reakciót (hirtelen kezdődő, súlyos allergiás reakciót) váltson ki Önnél. Az allergiás reakciók tünetei közé tartozhat a testszerte jelentkező viszketés, csalánkiütés, mellkasi feszülés, nehézlégzés és alacsony vérnyomás. Amennyiben ezen tünetek bármelyike jelentkezik, azonnal szakítsa meg az injekció beadását, és forduljon kezelőorvosához.</w:t>
      </w:r>
      <w:r w:rsidR="00551810" w:rsidRPr="004311F9">
        <w:rPr>
          <w:szCs w:val="24"/>
          <w:lang w:val="hu-HU"/>
        </w:rPr>
        <w:t xml:space="preserve"> </w:t>
      </w:r>
      <w:r w:rsidR="00551810" w:rsidRPr="004311F9">
        <w:rPr>
          <w:lang w:val="hu-HU"/>
        </w:rPr>
        <w:t>Az allergiás reakciók IX</w:t>
      </w:r>
      <w:r w:rsidR="00551810" w:rsidRPr="004311F9">
        <w:rPr>
          <w:lang w:val="hu-HU"/>
        </w:rPr>
        <w:noBreakHyphen/>
        <w:t xml:space="preserve">es faktor alkalmazásakor fennálló kockázata miatt az </w:t>
      </w:r>
      <w:r w:rsidR="002B6DD6" w:rsidRPr="004311F9">
        <w:rPr>
          <w:lang w:val="hu-HU"/>
        </w:rPr>
        <w:t xml:space="preserve">ALPROLIX </w:t>
      </w:r>
      <w:r w:rsidR="00551810" w:rsidRPr="004311F9">
        <w:rPr>
          <w:lang w:val="hu-HU"/>
        </w:rPr>
        <w:t>első beadás</w:t>
      </w:r>
      <w:r w:rsidR="002B6DD6" w:rsidRPr="004311F9">
        <w:rPr>
          <w:lang w:val="hu-HU"/>
        </w:rPr>
        <w:t>á</w:t>
      </w:r>
      <w:r w:rsidR="00551810" w:rsidRPr="004311F9">
        <w:rPr>
          <w:lang w:val="hu-HU"/>
        </w:rPr>
        <w:t>t orvosi megfigyelés alatt kell végezni, ahol az allergiás reakciók megfelelő ellátása biztosítható.</w:t>
      </w:r>
    </w:p>
    <w:p w14:paraId="3AA2883E" w14:textId="77777777" w:rsidR="00E74F5A" w:rsidRPr="004311F9" w:rsidRDefault="00E74F5A" w:rsidP="00DC4CB1">
      <w:pPr>
        <w:spacing w:line="240" w:lineRule="auto"/>
        <w:ind w:left="567" w:hanging="567"/>
        <w:rPr>
          <w:rFonts w:eastAsia="Times New Roman"/>
          <w:szCs w:val="24"/>
          <w:lang w:val="hu-HU"/>
        </w:rPr>
      </w:pPr>
    </w:p>
    <w:p w14:paraId="08517D9B" w14:textId="77777777" w:rsidR="00E74F5A" w:rsidRPr="004311F9" w:rsidRDefault="00E74F5A" w:rsidP="00DC4CB1">
      <w:pPr>
        <w:numPr>
          <w:ilvl w:val="0"/>
          <w:numId w:val="5"/>
        </w:numPr>
        <w:spacing w:line="240" w:lineRule="auto"/>
        <w:ind w:left="567" w:hanging="567"/>
        <w:rPr>
          <w:szCs w:val="24"/>
          <w:lang w:val="hu-HU"/>
        </w:rPr>
      </w:pPr>
      <w:r w:rsidRPr="004311F9">
        <w:rPr>
          <w:szCs w:val="24"/>
          <w:lang w:val="hu-HU"/>
        </w:rPr>
        <w:t>Ha úgy véli, hogy nem uralható a vérzése az Önnek rendelt adaggal, beszéljen kezelőorvosával, mivel ennek számos oka lehet. Például a hemofília B kezelése során előforduló ismert szövődmény az ellenanyagok (más néven gátlótestek) kialakulása. Az ellenanyagok megakadályozzák, hogy a kezelés megfelelően kifejtse hatását. Ezt kezelőorvosa ellenőrizni fogja. Ne emelje meg a vérzés csillapítása céljából alkalmazott ALPROLIX teljes adagját anélkül, hogy kezelőorvosával megbeszélte volna.</w:t>
      </w:r>
    </w:p>
    <w:p w14:paraId="394C56EF" w14:textId="77777777" w:rsidR="00E74F5A" w:rsidRPr="004311F9" w:rsidRDefault="00E74F5A" w:rsidP="00DC4CB1">
      <w:pPr>
        <w:tabs>
          <w:tab w:val="clear" w:pos="567"/>
          <w:tab w:val="left" w:pos="0"/>
        </w:tabs>
        <w:spacing w:line="240" w:lineRule="auto"/>
        <w:rPr>
          <w:szCs w:val="24"/>
          <w:lang w:val="hu-HU"/>
        </w:rPr>
      </w:pPr>
    </w:p>
    <w:p w14:paraId="40AFEE6F" w14:textId="77777777" w:rsidR="00E74F5A" w:rsidRPr="004311F9" w:rsidRDefault="00E74F5A" w:rsidP="00DC4CB1">
      <w:pPr>
        <w:tabs>
          <w:tab w:val="clear" w:pos="567"/>
          <w:tab w:val="left" w:pos="0"/>
        </w:tabs>
        <w:spacing w:line="240" w:lineRule="auto"/>
        <w:rPr>
          <w:szCs w:val="24"/>
          <w:lang w:val="hu-HU"/>
        </w:rPr>
      </w:pPr>
      <w:r w:rsidRPr="004311F9">
        <w:rPr>
          <w:szCs w:val="24"/>
          <w:lang w:val="hu-HU"/>
        </w:rPr>
        <w:t>IX</w:t>
      </w:r>
      <w:r w:rsidRPr="004311F9">
        <w:rPr>
          <w:szCs w:val="24"/>
          <w:lang w:val="hu-HU"/>
        </w:rPr>
        <w:noBreakHyphen/>
        <w:t>es faktor inhibitorral (gátlótesttel) rendelkező betegnél fokozott lehet az anafilaxia kockázata a IX</w:t>
      </w:r>
      <w:r w:rsidRPr="004311F9">
        <w:rPr>
          <w:szCs w:val="24"/>
          <w:lang w:val="hu-HU"/>
        </w:rPr>
        <w:noBreakHyphen/>
        <w:t>es faktorral végzett későbbi kezelés során. Ezért, amennyiben Ön a fent említett allergiás reakciókat tapasztalja, ki kell Önt vizsgálni inhibitorok jelenlétére.</w:t>
      </w:r>
    </w:p>
    <w:p w14:paraId="385AE979" w14:textId="77777777" w:rsidR="00E74F5A" w:rsidRPr="004311F9" w:rsidRDefault="00E74F5A" w:rsidP="00DC4CB1">
      <w:pPr>
        <w:tabs>
          <w:tab w:val="clear" w:pos="567"/>
          <w:tab w:val="left" w:pos="0"/>
        </w:tabs>
        <w:spacing w:line="240" w:lineRule="auto"/>
        <w:rPr>
          <w:szCs w:val="24"/>
          <w:lang w:val="hu-HU"/>
        </w:rPr>
      </w:pPr>
    </w:p>
    <w:p w14:paraId="12BB95EF" w14:textId="77777777" w:rsidR="00E74F5A" w:rsidRPr="004311F9" w:rsidRDefault="00E74F5A" w:rsidP="00DC4CB1">
      <w:pPr>
        <w:tabs>
          <w:tab w:val="clear" w:pos="567"/>
          <w:tab w:val="left" w:pos="0"/>
        </w:tabs>
        <w:spacing w:line="240" w:lineRule="auto"/>
        <w:rPr>
          <w:szCs w:val="24"/>
          <w:lang w:val="hu-HU"/>
        </w:rPr>
      </w:pPr>
      <w:r w:rsidRPr="004311F9">
        <w:rPr>
          <w:szCs w:val="24"/>
          <w:lang w:val="hu-HU"/>
        </w:rPr>
        <w:t>A IX</w:t>
      </w:r>
      <w:r w:rsidRPr="004311F9">
        <w:rPr>
          <w:szCs w:val="24"/>
          <w:lang w:val="hu-HU"/>
        </w:rPr>
        <w:noBreakHyphen/>
        <w:t>es faktor készítmények fokozhatják a nemkívánatos vérrögök kockázatát a szervezetben, különösen, ha vérrögképződés kockázati tényezői állnak fenn Önnél. A lehetséges nemkívánatos vérrögképződés tünetei közé tartozhat: fájdalom és/vagy érzékenység egy visszér mentén, a kar vagy a láb váratlan megdagadása vagy hirtelen kialakuló légszomj, illetve légzési nehézség.</w:t>
      </w:r>
    </w:p>
    <w:p w14:paraId="4173B689" w14:textId="5E5B9EA5" w:rsidR="00E74F5A" w:rsidRPr="004311F9" w:rsidRDefault="00E74F5A" w:rsidP="00DC4CB1">
      <w:pPr>
        <w:tabs>
          <w:tab w:val="clear" w:pos="567"/>
          <w:tab w:val="left" w:pos="0"/>
        </w:tabs>
        <w:spacing w:line="240" w:lineRule="auto"/>
        <w:rPr>
          <w:rFonts w:eastAsia="Times New Roman"/>
          <w:szCs w:val="24"/>
          <w:u w:val="single"/>
          <w:lang w:val="hu-HU"/>
        </w:rPr>
      </w:pPr>
    </w:p>
    <w:p w14:paraId="48B4A8C1" w14:textId="4F187EDD" w:rsidR="00551810" w:rsidRPr="004311F9" w:rsidRDefault="00551810" w:rsidP="004F06B3">
      <w:pPr>
        <w:keepNext/>
        <w:tabs>
          <w:tab w:val="clear" w:pos="567"/>
          <w:tab w:val="left" w:pos="0"/>
        </w:tabs>
        <w:spacing w:line="240" w:lineRule="auto"/>
        <w:rPr>
          <w:rFonts w:eastAsia="Times New Roman"/>
          <w:szCs w:val="24"/>
          <w:u w:val="single"/>
          <w:lang w:val="hu-HU"/>
        </w:rPr>
      </w:pPr>
      <w:r w:rsidRPr="004311F9">
        <w:rPr>
          <w:rFonts w:eastAsia="Times New Roman"/>
          <w:szCs w:val="24"/>
          <w:u w:val="single"/>
          <w:lang w:val="hu-HU"/>
        </w:rPr>
        <w:t>Szív- és érrendszeri események</w:t>
      </w:r>
    </w:p>
    <w:p w14:paraId="7BE215A7" w14:textId="42D5E167" w:rsidR="00551810" w:rsidRPr="004311F9" w:rsidRDefault="00551810" w:rsidP="00551810">
      <w:pPr>
        <w:tabs>
          <w:tab w:val="clear" w:pos="567"/>
          <w:tab w:val="left" w:pos="0"/>
        </w:tabs>
        <w:spacing w:line="240" w:lineRule="auto"/>
        <w:rPr>
          <w:rFonts w:eastAsia="Times New Roman"/>
          <w:szCs w:val="24"/>
          <w:lang w:val="hu-HU"/>
        </w:rPr>
      </w:pPr>
      <w:r w:rsidRPr="004311F9">
        <w:rPr>
          <w:rFonts w:eastAsia="Times New Roman"/>
          <w:szCs w:val="24"/>
          <w:lang w:val="hu-HU"/>
        </w:rPr>
        <w:t>Ha azt mondták Önnek, hogy szívbetegsége van, vagy fennáll Önnél a szívbetegség kockázata, fokozott elővigyázatossággal alkalmazza a IX-es faktort, és beszéljen kezelőorvosával.</w:t>
      </w:r>
    </w:p>
    <w:p w14:paraId="72343261" w14:textId="77777777" w:rsidR="00551810" w:rsidRPr="004311F9" w:rsidRDefault="00551810" w:rsidP="00DC4CB1">
      <w:pPr>
        <w:tabs>
          <w:tab w:val="clear" w:pos="567"/>
          <w:tab w:val="left" w:pos="0"/>
        </w:tabs>
        <w:spacing w:line="240" w:lineRule="auto"/>
        <w:rPr>
          <w:rFonts w:eastAsia="Times New Roman"/>
          <w:szCs w:val="24"/>
          <w:u w:val="single"/>
          <w:lang w:val="hu-HU"/>
        </w:rPr>
      </w:pPr>
    </w:p>
    <w:p w14:paraId="0F2E6EE7" w14:textId="77777777" w:rsidR="00E74F5A" w:rsidRPr="004311F9" w:rsidRDefault="00E74F5A" w:rsidP="00DC4CB1">
      <w:pPr>
        <w:keepNext/>
        <w:tabs>
          <w:tab w:val="clear" w:pos="567"/>
          <w:tab w:val="left" w:pos="0"/>
        </w:tabs>
        <w:spacing w:line="240" w:lineRule="auto"/>
        <w:rPr>
          <w:szCs w:val="24"/>
          <w:u w:val="single"/>
          <w:lang w:val="hu-HU"/>
        </w:rPr>
      </w:pPr>
      <w:r w:rsidRPr="004311F9">
        <w:rPr>
          <w:szCs w:val="24"/>
          <w:u w:val="single"/>
          <w:lang w:val="hu-HU"/>
        </w:rPr>
        <w:t>Katéterrel kapcsolatos szövődmények</w:t>
      </w:r>
    </w:p>
    <w:p w14:paraId="03615230" w14:textId="77777777" w:rsidR="00E74F5A" w:rsidRPr="004311F9" w:rsidRDefault="00E74F5A" w:rsidP="00DC4CB1">
      <w:pPr>
        <w:tabs>
          <w:tab w:val="clear" w:pos="567"/>
          <w:tab w:val="left" w:pos="0"/>
        </w:tabs>
        <w:spacing w:line="240" w:lineRule="auto"/>
        <w:rPr>
          <w:szCs w:val="24"/>
          <w:lang w:val="hu-HU"/>
        </w:rPr>
      </w:pPr>
      <w:r w:rsidRPr="004311F9">
        <w:rPr>
          <w:szCs w:val="24"/>
          <w:lang w:val="hu-HU"/>
        </w:rPr>
        <w:t>Amennyiben Önnél centrális vénás katéter alkalmazása szükséges, mérlegelni kell a centrális vénás katéterrel kapcsolatos szövődmények, köztük a helyi fertőzés, baktériumok vérben való jelenléte és a katéter helyén kialakuló vérrögök kockázatát.</w:t>
      </w:r>
    </w:p>
    <w:p w14:paraId="479AACBD" w14:textId="77777777" w:rsidR="00E74F5A" w:rsidRPr="004311F9" w:rsidRDefault="00E74F5A" w:rsidP="00DC4CB1">
      <w:pPr>
        <w:spacing w:line="240" w:lineRule="auto"/>
        <w:rPr>
          <w:rFonts w:eastAsia="Times New Roman"/>
          <w:szCs w:val="24"/>
          <w:lang w:val="hu-HU"/>
        </w:rPr>
      </w:pPr>
    </w:p>
    <w:p w14:paraId="13E1BC6F" w14:textId="77777777" w:rsidR="00E74F5A" w:rsidRPr="004311F9" w:rsidRDefault="00E74F5A" w:rsidP="00DC4CB1">
      <w:pPr>
        <w:keepNext/>
        <w:spacing w:line="240" w:lineRule="auto"/>
        <w:rPr>
          <w:szCs w:val="24"/>
          <w:u w:val="single"/>
          <w:lang w:val="hu-HU"/>
        </w:rPr>
      </w:pPr>
      <w:r w:rsidRPr="004311F9">
        <w:rPr>
          <w:szCs w:val="24"/>
          <w:u w:val="single"/>
          <w:lang w:val="hu-HU"/>
        </w:rPr>
        <w:t>Dokumentálás</w:t>
      </w:r>
    </w:p>
    <w:p w14:paraId="5606A5C5" w14:textId="77777777" w:rsidR="00E74F5A" w:rsidRPr="004311F9" w:rsidRDefault="00E74F5A" w:rsidP="00DC4CB1">
      <w:pPr>
        <w:spacing w:line="240" w:lineRule="auto"/>
        <w:rPr>
          <w:szCs w:val="24"/>
          <w:lang w:val="hu-HU"/>
        </w:rPr>
      </w:pPr>
      <w:r w:rsidRPr="004311F9">
        <w:rPr>
          <w:szCs w:val="24"/>
          <w:lang w:val="hu-HU"/>
        </w:rPr>
        <w:t>Hangsúlyozottan ajánlott, hogy az ALPROLIX beadásakor minden alkalommal feljegyezze a készítmény nevét és a gyártási tétel számát.</w:t>
      </w:r>
    </w:p>
    <w:p w14:paraId="5812604A" w14:textId="77777777" w:rsidR="00E74F5A" w:rsidRPr="004311F9" w:rsidRDefault="00E74F5A" w:rsidP="00DC4CB1">
      <w:pPr>
        <w:spacing w:line="240" w:lineRule="auto"/>
        <w:rPr>
          <w:rFonts w:eastAsia="Times New Roman"/>
          <w:bCs/>
          <w:szCs w:val="24"/>
          <w:lang w:val="hu-HU"/>
        </w:rPr>
      </w:pPr>
    </w:p>
    <w:p w14:paraId="5404DC09" w14:textId="77777777" w:rsidR="00E74F5A" w:rsidRPr="004311F9" w:rsidRDefault="00E74F5A" w:rsidP="00DC4CB1">
      <w:pPr>
        <w:keepNext/>
        <w:spacing w:line="240" w:lineRule="auto"/>
        <w:rPr>
          <w:b/>
          <w:szCs w:val="24"/>
          <w:lang w:val="hu-HU"/>
        </w:rPr>
      </w:pPr>
      <w:r w:rsidRPr="004311F9">
        <w:rPr>
          <w:b/>
          <w:szCs w:val="24"/>
          <w:lang w:val="hu-HU"/>
        </w:rPr>
        <w:lastRenderedPageBreak/>
        <w:t>Egyéb gyógyszerek és az ALPROLIX</w:t>
      </w:r>
    </w:p>
    <w:p w14:paraId="597A2759" w14:textId="77777777" w:rsidR="00E74F5A" w:rsidRPr="004311F9" w:rsidRDefault="00E74F5A" w:rsidP="00DC4CB1">
      <w:pPr>
        <w:spacing w:line="240" w:lineRule="auto"/>
        <w:rPr>
          <w:szCs w:val="24"/>
          <w:lang w:val="hu-HU"/>
        </w:rPr>
      </w:pPr>
      <w:r w:rsidRPr="004311F9">
        <w:rPr>
          <w:szCs w:val="24"/>
          <w:lang w:val="hu-HU"/>
        </w:rPr>
        <w:t>Feltétlenül tájékoztassa kezelőorvosát vagy gyógyszerészét a jelenleg vagy nemrégiben szedett, valamint szedni tervezett egyéb gyógyszereiről.</w:t>
      </w:r>
    </w:p>
    <w:p w14:paraId="3E44789E" w14:textId="77777777" w:rsidR="00E74F5A" w:rsidRPr="004311F9" w:rsidRDefault="00E74F5A" w:rsidP="00DC4CB1">
      <w:pPr>
        <w:spacing w:line="240" w:lineRule="auto"/>
        <w:rPr>
          <w:rFonts w:eastAsia="Times New Roman"/>
          <w:szCs w:val="24"/>
          <w:lang w:val="hu-HU"/>
        </w:rPr>
      </w:pPr>
    </w:p>
    <w:p w14:paraId="63D425D4" w14:textId="77777777" w:rsidR="00E74F5A" w:rsidRPr="004311F9" w:rsidRDefault="00E74F5A" w:rsidP="00DC4CB1">
      <w:pPr>
        <w:keepNext/>
        <w:spacing w:line="240" w:lineRule="auto"/>
        <w:rPr>
          <w:b/>
          <w:szCs w:val="24"/>
          <w:lang w:val="hu-HU"/>
        </w:rPr>
      </w:pPr>
      <w:r w:rsidRPr="004311F9">
        <w:rPr>
          <w:b/>
          <w:szCs w:val="24"/>
          <w:lang w:val="hu-HU"/>
        </w:rPr>
        <w:t>Terhesség és szoptatás</w:t>
      </w:r>
    </w:p>
    <w:p w14:paraId="5CBC2D73" w14:textId="77777777" w:rsidR="00E74F5A" w:rsidRPr="004311F9" w:rsidRDefault="00E74F5A" w:rsidP="00DC4CB1">
      <w:pPr>
        <w:spacing w:line="240" w:lineRule="auto"/>
        <w:rPr>
          <w:szCs w:val="24"/>
          <w:lang w:val="hu-HU"/>
        </w:rPr>
      </w:pPr>
      <w:r w:rsidRPr="004311F9">
        <w:rPr>
          <w:szCs w:val="24"/>
          <w:lang w:val="hu-HU"/>
        </w:rPr>
        <w:t>Ha Ön terhes vagy szoptat, illetve ha fennáll Önnél a terhesség lehetősége vagy gyermeket szeretne, a gyógyszer alkalmazása előtt beszéljen kezelőorvosával vagy gyógyszerészével.</w:t>
      </w:r>
    </w:p>
    <w:p w14:paraId="3A288326" w14:textId="77777777" w:rsidR="00E74F5A" w:rsidRPr="004311F9" w:rsidRDefault="00E74F5A" w:rsidP="00DC4CB1">
      <w:pPr>
        <w:spacing w:line="240" w:lineRule="auto"/>
        <w:rPr>
          <w:rFonts w:eastAsia="Times New Roman"/>
          <w:szCs w:val="24"/>
          <w:lang w:val="hu-HU"/>
        </w:rPr>
      </w:pPr>
    </w:p>
    <w:p w14:paraId="3F3C11A3" w14:textId="77777777" w:rsidR="00E74F5A" w:rsidRPr="004311F9" w:rsidRDefault="00E74F5A" w:rsidP="00DC4CB1">
      <w:pPr>
        <w:keepNext/>
        <w:spacing w:line="240" w:lineRule="auto"/>
        <w:rPr>
          <w:b/>
          <w:szCs w:val="24"/>
          <w:lang w:val="hu-HU"/>
        </w:rPr>
      </w:pPr>
      <w:r w:rsidRPr="004311F9">
        <w:rPr>
          <w:b/>
          <w:szCs w:val="24"/>
          <w:lang w:val="hu-HU"/>
        </w:rPr>
        <w:t>A készítmény hatásai a gépjárművezetéshez és a gépek kezeléséhez szükséges képességekre</w:t>
      </w:r>
    </w:p>
    <w:p w14:paraId="7E7D62F7" w14:textId="77777777" w:rsidR="00E74F5A" w:rsidRPr="004311F9" w:rsidRDefault="00E74F5A" w:rsidP="00DC4CB1">
      <w:pPr>
        <w:spacing w:line="240" w:lineRule="auto"/>
        <w:rPr>
          <w:szCs w:val="24"/>
          <w:lang w:val="hu-HU"/>
        </w:rPr>
      </w:pPr>
      <w:r w:rsidRPr="004311F9">
        <w:rPr>
          <w:szCs w:val="24"/>
          <w:lang w:val="hu-HU"/>
        </w:rPr>
        <w:t xml:space="preserve">Az </w:t>
      </w:r>
      <w:r w:rsidRPr="004311F9">
        <w:rPr>
          <w:lang w:val="hu-HU"/>
        </w:rPr>
        <w:t xml:space="preserve">ALPROLIX </w:t>
      </w:r>
      <w:r w:rsidRPr="004311F9">
        <w:rPr>
          <w:szCs w:val="24"/>
          <w:lang w:val="hu-HU"/>
        </w:rPr>
        <w:t>nem befolyásolja a gépjárművezetéshez és a gépek kezeléséhez szükséges képességeket.</w:t>
      </w:r>
    </w:p>
    <w:p w14:paraId="2B4AAC3F" w14:textId="77777777" w:rsidR="00E74F5A" w:rsidRPr="004311F9" w:rsidRDefault="00E74F5A" w:rsidP="00DC4CB1">
      <w:pPr>
        <w:spacing w:line="240" w:lineRule="auto"/>
        <w:rPr>
          <w:rFonts w:eastAsia="Times New Roman"/>
          <w:szCs w:val="24"/>
          <w:lang w:val="hu-HU"/>
        </w:rPr>
      </w:pPr>
    </w:p>
    <w:p w14:paraId="6ABEB2F1" w14:textId="77777777" w:rsidR="00E74F5A" w:rsidRPr="004311F9" w:rsidRDefault="00E74F5A" w:rsidP="00DC4CB1">
      <w:pPr>
        <w:keepNext/>
        <w:spacing w:line="240" w:lineRule="auto"/>
        <w:rPr>
          <w:b/>
          <w:szCs w:val="24"/>
          <w:lang w:val="hu-HU"/>
        </w:rPr>
      </w:pPr>
      <w:r w:rsidRPr="004311F9">
        <w:rPr>
          <w:b/>
          <w:szCs w:val="24"/>
          <w:lang w:val="hu-HU"/>
        </w:rPr>
        <w:t>Az ALPROLIX nátriumot tartalmaz.</w:t>
      </w:r>
    </w:p>
    <w:p w14:paraId="30E3C163" w14:textId="1F494ADD" w:rsidR="00E74F5A" w:rsidRPr="004311F9" w:rsidRDefault="00E74F5A" w:rsidP="00DF631B">
      <w:pPr>
        <w:spacing w:line="240" w:lineRule="auto"/>
        <w:rPr>
          <w:rFonts w:eastAsia="Times New Roman"/>
          <w:szCs w:val="24"/>
          <w:lang w:val="hu-HU"/>
        </w:rPr>
      </w:pPr>
      <w:r w:rsidRPr="004311F9">
        <w:rPr>
          <w:rFonts w:eastAsia="Times New Roman"/>
          <w:szCs w:val="24"/>
          <w:lang w:val="hu-HU"/>
        </w:rPr>
        <w:t xml:space="preserve">A gyógyszer kevesebb mint 1 mmol </w:t>
      </w:r>
      <w:r w:rsidRPr="004311F9">
        <w:rPr>
          <w:lang w:val="hu-HU"/>
        </w:rPr>
        <w:t xml:space="preserve">(23 mg) </w:t>
      </w:r>
      <w:r w:rsidRPr="004311F9">
        <w:rPr>
          <w:rFonts w:eastAsia="Times New Roman"/>
          <w:szCs w:val="24"/>
          <w:lang w:val="hu-HU"/>
        </w:rPr>
        <w:t xml:space="preserve">nátriumot tartalmaz </w:t>
      </w:r>
      <w:r w:rsidRPr="004311F9">
        <w:rPr>
          <w:szCs w:val="24"/>
          <w:lang w:val="hu-HU"/>
        </w:rPr>
        <w:t xml:space="preserve">injekciós üvegenként, </w:t>
      </w:r>
      <w:r w:rsidRPr="004311F9">
        <w:rPr>
          <w:lang w:val="hu-HU"/>
        </w:rPr>
        <w:t>azaz gyakorlatilag „nátriummentes”.</w:t>
      </w:r>
      <w:r w:rsidR="001A2EB4">
        <w:rPr>
          <w:lang w:val="hu-HU"/>
        </w:rPr>
        <w:t xml:space="preserve"> </w:t>
      </w:r>
      <w:r w:rsidR="001A2EB4">
        <w:rPr>
          <w:szCs w:val="22"/>
          <w:lang w:val="hu-HU"/>
        </w:rPr>
        <w:t xml:space="preserve">Ha a kezeléshez egynél több </w:t>
      </w:r>
      <w:r w:rsidR="001A2EB4" w:rsidRPr="00B03A0C">
        <w:rPr>
          <w:szCs w:val="22"/>
          <w:lang w:val="hu-HU"/>
        </w:rPr>
        <w:t>injekciós üveg</w:t>
      </w:r>
      <w:r w:rsidR="001A2EB4">
        <w:rPr>
          <w:szCs w:val="22"/>
          <w:lang w:val="hu-HU"/>
        </w:rPr>
        <w:t>re van szükség, figyelembe kell venni a teljes nátriumtartalmat.</w:t>
      </w:r>
    </w:p>
    <w:p w14:paraId="2C7EB3C8" w14:textId="77777777" w:rsidR="00E74F5A" w:rsidRPr="004311F9" w:rsidRDefault="00E74F5A" w:rsidP="00DC4CB1">
      <w:pPr>
        <w:spacing w:line="240" w:lineRule="auto"/>
        <w:rPr>
          <w:rFonts w:eastAsia="Times New Roman"/>
          <w:szCs w:val="24"/>
          <w:lang w:val="hu-HU"/>
        </w:rPr>
      </w:pPr>
    </w:p>
    <w:p w14:paraId="13C3B7B5" w14:textId="77777777" w:rsidR="00E74F5A" w:rsidRPr="004311F9" w:rsidRDefault="00E74F5A" w:rsidP="00DC4CB1">
      <w:pPr>
        <w:spacing w:line="240" w:lineRule="auto"/>
        <w:rPr>
          <w:rFonts w:eastAsia="Times New Roman"/>
          <w:szCs w:val="24"/>
          <w:lang w:val="hu-HU"/>
        </w:rPr>
      </w:pPr>
    </w:p>
    <w:p w14:paraId="566B4922" w14:textId="77777777" w:rsidR="00E74F5A" w:rsidRPr="004311F9" w:rsidRDefault="00E74F5A" w:rsidP="00DC4CB1">
      <w:pPr>
        <w:pStyle w:val="ListParagraph1"/>
        <w:keepNext/>
        <w:ind w:left="567" w:hanging="567"/>
        <w:rPr>
          <w:rFonts w:eastAsia="Times New Roman"/>
          <w:b/>
          <w:sz w:val="22"/>
          <w:lang w:val="hu-HU"/>
        </w:rPr>
      </w:pPr>
      <w:r w:rsidRPr="004311F9">
        <w:rPr>
          <w:rFonts w:eastAsia="Times New Roman"/>
          <w:b/>
          <w:sz w:val="22"/>
          <w:lang w:val="hu-HU"/>
        </w:rPr>
        <w:t>3.</w:t>
      </w:r>
      <w:r w:rsidRPr="004311F9">
        <w:rPr>
          <w:rFonts w:eastAsia="Times New Roman"/>
          <w:b/>
          <w:sz w:val="22"/>
          <w:lang w:val="hu-HU"/>
        </w:rPr>
        <w:tab/>
        <w:t>Hogyan kell alkalmazni az ALPROLIX</w:t>
      </w:r>
      <w:r w:rsidRPr="004311F9">
        <w:rPr>
          <w:rFonts w:eastAsia="Times New Roman"/>
          <w:b/>
          <w:sz w:val="22"/>
          <w:lang w:val="hu-HU"/>
        </w:rPr>
        <w:noBreakHyphen/>
        <w:t>ot?</w:t>
      </w:r>
    </w:p>
    <w:p w14:paraId="6CE187E6" w14:textId="77777777" w:rsidR="00E74F5A" w:rsidRPr="004311F9" w:rsidRDefault="00E74F5A" w:rsidP="00DC4CB1">
      <w:pPr>
        <w:keepNext/>
        <w:keepLines/>
        <w:spacing w:line="240" w:lineRule="auto"/>
        <w:rPr>
          <w:rFonts w:eastAsia="Times New Roman"/>
          <w:szCs w:val="24"/>
          <w:lang w:val="hu-HU"/>
        </w:rPr>
      </w:pPr>
    </w:p>
    <w:p w14:paraId="232767A3" w14:textId="77777777" w:rsidR="00E74F5A" w:rsidRPr="004311F9" w:rsidRDefault="00E74F5A" w:rsidP="00DC4CB1">
      <w:pPr>
        <w:spacing w:line="240" w:lineRule="auto"/>
        <w:rPr>
          <w:szCs w:val="24"/>
          <w:lang w:val="hu-HU"/>
        </w:rPr>
      </w:pPr>
      <w:r w:rsidRPr="004311F9">
        <w:rPr>
          <w:szCs w:val="24"/>
          <w:lang w:val="hu-HU"/>
        </w:rPr>
        <w:t>Az ALPROLIX</w:t>
      </w:r>
      <w:r w:rsidRPr="004311F9">
        <w:rPr>
          <w:szCs w:val="24"/>
          <w:lang w:val="hu-HU"/>
        </w:rPr>
        <w:noBreakHyphen/>
        <w:t>szal végzett kezelést olyan orvos fogja megkezdeni, aki jártas a hemofíliában szenvedő betegek ellátásában. A gyógyszert mindig a kezelőorvosa által elmondottaknak megfelelően alkalmazza (lásd 7. pont). Amennyiben nem biztos az adagolást illetően, kérdezze meg kezelőorvosát, gyógyszerészét vagy a gondozását végző egészségügyi szakembert.</w:t>
      </w:r>
    </w:p>
    <w:p w14:paraId="39BF8D0A" w14:textId="77777777" w:rsidR="00E74F5A" w:rsidRPr="004311F9" w:rsidRDefault="00E74F5A" w:rsidP="00DC4CB1">
      <w:pPr>
        <w:spacing w:line="240" w:lineRule="auto"/>
        <w:rPr>
          <w:rFonts w:eastAsia="Times New Roman"/>
          <w:szCs w:val="24"/>
          <w:lang w:val="hu-HU"/>
        </w:rPr>
      </w:pPr>
    </w:p>
    <w:p w14:paraId="049294A6" w14:textId="31CFB99B" w:rsidR="00E74F5A" w:rsidRPr="004311F9" w:rsidRDefault="00E74F5A" w:rsidP="00DC4CB1">
      <w:pPr>
        <w:spacing w:line="240" w:lineRule="auto"/>
        <w:rPr>
          <w:szCs w:val="24"/>
          <w:lang w:val="hu-HU"/>
        </w:rPr>
      </w:pPr>
      <w:r w:rsidRPr="004311F9">
        <w:rPr>
          <w:szCs w:val="24"/>
          <w:lang w:val="hu-HU"/>
        </w:rPr>
        <w:t>Az ALPROLIX</w:t>
      </w:r>
      <w:r w:rsidRPr="004311F9">
        <w:rPr>
          <w:szCs w:val="24"/>
          <w:lang w:val="hu-HU"/>
        </w:rPr>
        <w:noBreakHyphen/>
        <w:t>ot injekció formájában, vénába kell beadni. A</w:t>
      </w:r>
      <w:r w:rsidR="00575B49" w:rsidRPr="004311F9">
        <w:rPr>
          <w:szCs w:val="24"/>
          <w:lang w:val="hu-HU"/>
        </w:rPr>
        <w:t xml:space="preserve"> készítményt</w:t>
      </w:r>
      <w:r w:rsidRPr="004311F9">
        <w:rPr>
          <w:szCs w:val="24"/>
          <w:lang w:val="hu-HU"/>
        </w:rPr>
        <w:t xml:space="preserve"> megfelelő oktatás után Ön vagy valaki más is beadhatja Önnek. Kezelőorvosa fogja kiszámítani (nemzetközi egységben [NE] kifejezve), az adag</w:t>
      </w:r>
      <w:r w:rsidR="00575B49" w:rsidRPr="004311F9">
        <w:rPr>
          <w:szCs w:val="24"/>
          <w:lang w:val="hu-HU"/>
        </w:rPr>
        <w:t>o</w:t>
      </w:r>
      <w:r w:rsidRPr="004311F9">
        <w:rPr>
          <w:szCs w:val="24"/>
          <w:lang w:val="hu-HU"/>
        </w:rPr>
        <w:t>t, ami az Ön IX</w:t>
      </w:r>
      <w:r w:rsidRPr="004311F9">
        <w:rPr>
          <w:szCs w:val="24"/>
          <w:lang w:val="hu-HU"/>
        </w:rPr>
        <w:noBreakHyphen/>
        <w:t>es faktorpótló terápia iránti egyéni igényétől, valamint attól függ, hogy vérzés megelőzésére vagy kezelésére alkalmazza</w:t>
      </w:r>
      <w:r w:rsidRPr="004311F9">
        <w:rPr>
          <w:szCs w:val="24"/>
          <w:lang w:val="hu-HU"/>
        </w:rPr>
        <w:noBreakHyphen/>
        <w:t>e a készítményt. Ha úgy véli, hogy nem uralható a vérzése az Önnek rendelt adaggal, beszéljen kezelőorvosával.</w:t>
      </w:r>
    </w:p>
    <w:p w14:paraId="065D59E2" w14:textId="77777777" w:rsidR="00E74F5A" w:rsidRPr="004311F9" w:rsidRDefault="00E74F5A" w:rsidP="00DC4CB1">
      <w:pPr>
        <w:spacing w:line="240" w:lineRule="auto"/>
        <w:rPr>
          <w:rFonts w:eastAsia="Times New Roman"/>
          <w:szCs w:val="24"/>
          <w:lang w:val="hu-HU"/>
        </w:rPr>
      </w:pPr>
    </w:p>
    <w:p w14:paraId="464DE1B5" w14:textId="09103A3E" w:rsidR="00E74F5A" w:rsidRPr="004311F9" w:rsidRDefault="00E74F5A" w:rsidP="00DC4CB1">
      <w:pPr>
        <w:spacing w:line="240" w:lineRule="auto"/>
        <w:rPr>
          <w:szCs w:val="24"/>
          <w:lang w:val="hu-HU"/>
        </w:rPr>
      </w:pPr>
      <w:r w:rsidRPr="004311F9">
        <w:rPr>
          <w:szCs w:val="24"/>
          <w:lang w:val="hu-HU"/>
        </w:rPr>
        <w:t xml:space="preserve">Az, hogy milyen gyakran szükséges injekciót kapnia attól függ, hogy mennyire hatásos Önnél </w:t>
      </w:r>
      <w:r w:rsidR="00575B49" w:rsidRPr="004311F9">
        <w:rPr>
          <w:szCs w:val="24"/>
          <w:lang w:val="hu-HU"/>
        </w:rPr>
        <w:t>ez a gyógyszer</w:t>
      </w:r>
      <w:r w:rsidRPr="004311F9">
        <w:rPr>
          <w:szCs w:val="24"/>
          <w:lang w:val="hu-HU"/>
        </w:rPr>
        <w:t>. Kezelőorvosa megfelelő laborvizsgálatokat fog végeztetni, hogy meggyőződjön róla, megfelelő</w:t>
      </w:r>
      <w:r w:rsidRPr="004311F9">
        <w:rPr>
          <w:szCs w:val="24"/>
          <w:lang w:val="hu-HU"/>
        </w:rPr>
        <w:noBreakHyphen/>
        <w:t>e a vérében a IX</w:t>
      </w:r>
      <w:r w:rsidRPr="004311F9">
        <w:rPr>
          <w:szCs w:val="24"/>
          <w:lang w:val="hu-HU"/>
        </w:rPr>
        <w:noBreakHyphen/>
        <w:t>es faktor szintje.</w:t>
      </w:r>
    </w:p>
    <w:p w14:paraId="34D8B5D8" w14:textId="77777777" w:rsidR="00E74F5A" w:rsidRPr="004311F9" w:rsidRDefault="00E74F5A" w:rsidP="00DC4CB1">
      <w:pPr>
        <w:spacing w:line="240" w:lineRule="auto"/>
        <w:rPr>
          <w:rFonts w:eastAsia="Times New Roman"/>
          <w:szCs w:val="24"/>
          <w:lang w:val="hu-HU"/>
        </w:rPr>
      </w:pPr>
    </w:p>
    <w:p w14:paraId="78C4F82E" w14:textId="77777777" w:rsidR="00E74F5A" w:rsidRPr="004311F9" w:rsidRDefault="00E74F5A" w:rsidP="00DC4CB1">
      <w:pPr>
        <w:keepNext/>
        <w:spacing w:line="240" w:lineRule="auto"/>
        <w:rPr>
          <w:b/>
          <w:szCs w:val="24"/>
          <w:lang w:val="hu-HU"/>
        </w:rPr>
      </w:pPr>
      <w:r w:rsidRPr="004311F9">
        <w:rPr>
          <w:b/>
          <w:szCs w:val="24"/>
          <w:lang w:val="hu-HU"/>
        </w:rPr>
        <w:t>Vérzés kezelése</w:t>
      </w:r>
    </w:p>
    <w:p w14:paraId="3771FF50" w14:textId="77777777" w:rsidR="00E74F5A" w:rsidRPr="004311F9" w:rsidRDefault="00E74F5A" w:rsidP="00DC4CB1">
      <w:pPr>
        <w:spacing w:line="240" w:lineRule="auto"/>
        <w:rPr>
          <w:szCs w:val="24"/>
          <w:lang w:val="hu-HU"/>
        </w:rPr>
      </w:pPr>
      <w:r w:rsidRPr="004311F9">
        <w:rPr>
          <w:szCs w:val="24"/>
          <w:lang w:val="hu-HU"/>
        </w:rPr>
        <w:t>Az ALPROLIX adagját az Ön testtömege és az elérni kívánt IX</w:t>
      </w:r>
      <w:r w:rsidRPr="004311F9">
        <w:rPr>
          <w:szCs w:val="24"/>
          <w:lang w:val="hu-HU"/>
        </w:rPr>
        <w:noBreakHyphen/>
        <w:t>es faktorszinttől függően kell kiszámolni. A IX</w:t>
      </w:r>
      <w:r w:rsidRPr="004311F9">
        <w:rPr>
          <w:szCs w:val="24"/>
          <w:lang w:val="hu-HU"/>
        </w:rPr>
        <w:noBreakHyphen/>
        <w:t>es faktorszint célértéke a vérzés súlyosságától és elhelyezkedésétől függ.</w:t>
      </w:r>
    </w:p>
    <w:p w14:paraId="2B5C6A9E" w14:textId="77777777" w:rsidR="00E74F5A" w:rsidRPr="004311F9" w:rsidRDefault="00E74F5A" w:rsidP="00DC4CB1">
      <w:pPr>
        <w:spacing w:line="240" w:lineRule="auto"/>
        <w:rPr>
          <w:rFonts w:eastAsia="Times New Roman"/>
          <w:b/>
          <w:szCs w:val="24"/>
          <w:lang w:val="hu-HU"/>
        </w:rPr>
      </w:pPr>
    </w:p>
    <w:p w14:paraId="1372FEFA" w14:textId="77777777" w:rsidR="00E74F5A" w:rsidRPr="004311F9" w:rsidRDefault="00E74F5A" w:rsidP="00DC4CB1">
      <w:pPr>
        <w:keepNext/>
        <w:spacing w:line="240" w:lineRule="auto"/>
        <w:rPr>
          <w:b/>
          <w:szCs w:val="24"/>
          <w:lang w:val="hu-HU"/>
        </w:rPr>
      </w:pPr>
      <w:r w:rsidRPr="004311F9">
        <w:rPr>
          <w:b/>
          <w:szCs w:val="24"/>
          <w:lang w:val="hu-HU"/>
        </w:rPr>
        <w:t>Vérzés megelőzése</w:t>
      </w:r>
    </w:p>
    <w:p w14:paraId="3DAC6C8D" w14:textId="77777777" w:rsidR="00E74F5A" w:rsidRPr="004311F9" w:rsidRDefault="00E74F5A" w:rsidP="00DC4CB1">
      <w:pPr>
        <w:keepNext/>
        <w:spacing w:line="240" w:lineRule="auto"/>
        <w:rPr>
          <w:szCs w:val="24"/>
          <w:lang w:val="hu-HU"/>
        </w:rPr>
      </w:pPr>
      <w:r w:rsidRPr="004311F9">
        <w:rPr>
          <w:szCs w:val="24"/>
          <w:lang w:val="hu-HU"/>
        </w:rPr>
        <w:t>Ha az ALPROLIX</w:t>
      </w:r>
      <w:r w:rsidRPr="004311F9">
        <w:rPr>
          <w:szCs w:val="24"/>
          <w:lang w:val="hu-HU"/>
        </w:rPr>
        <w:noBreakHyphen/>
        <w:t>ot vérzés megelőzésére alkalmazza, kezelőorvosa fogja kiszámítani Önnek az adagot.</w:t>
      </w:r>
    </w:p>
    <w:p w14:paraId="1ACD2BC0" w14:textId="77777777" w:rsidR="00E74F5A" w:rsidRPr="004311F9" w:rsidRDefault="00E74F5A" w:rsidP="00DC4CB1">
      <w:pPr>
        <w:keepNext/>
        <w:spacing w:line="240" w:lineRule="auto"/>
        <w:rPr>
          <w:b/>
          <w:szCs w:val="24"/>
          <w:lang w:val="hu-HU"/>
        </w:rPr>
      </w:pPr>
    </w:p>
    <w:p w14:paraId="4C142603" w14:textId="77777777" w:rsidR="00E74F5A" w:rsidRPr="004311F9" w:rsidRDefault="00E74F5A" w:rsidP="00FC0AE3">
      <w:pPr>
        <w:pStyle w:val="ListParagraph1"/>
        <w:ind w:left="0"/>
        <w:rPr>
          <w:rFonts w:eastAsia="Times New Roman"/>
          <w:sz w:val="22"/>
          <w:lang w:val="hu-HU"/>
        </w:rPr>
      </w:pPr>
      <w:r w:rsidRPr="004311F9">
        <w:rPr>
          <w:rFonts w:eastAsia="Times New Roman"/>
          <w:sz w:val="22"/>
          <w:lang w:val="hu-HU"/>
        </w:rPr>
        <w:t>Az ALPROLIX szokásos adagja 50 NE testtömeg-kilogr</w:t>
      </w:r>
      <w:r w:rsidRPr="004311F9">
        <w:rPr>
          <w:sz w:val="22"/>
          <w:lang w:val="hu-HU"/>
        </w:rPr>
        <w:t>ammonként hetente egyszer adva, vagy 100 NE testtömeg</w:t>
      </w:r>
      <w:r w:rsidRPr="004311F9">
        <w:rPr>
          <w:sz w:val="22"/>
          <w:lang w:val="hu-HU"/>
        </w:rPr>
        <w:noBreakHyphen/>
        <w:t>kilogrammonként, 10 naponta adva. Kezelőorvosa módosíthatja az adagot vagy az adagolás gyakoriságát. Egyes esetekben, különösen fiatalabb betegek kezelésekor, rövidebb adagolási időszakok vagy nagyobb adagok lehetnek szükségesek.</w:t>
      </w:r>
    </w:p>
    <w:p w14:paraId="3C0322F2" w14:textId="77777777" w:rsidR="00E74F5A" w:rsidRPr="004311F9" w:rsidRDefault="00E74F5A" w:rsidP="00DC4CB1">
      <w:pPr>
        <w:spacing w:line="240" w:lineRule="auto"/>
        <w:rPr>
          <w:rFonts w:eastAsia="Times New Roman"/>
          <w:szCs w:val="24"/>
          <w:lang w:val="hu-HU"/>
        </w:rPr>
      </w:pPr>
    </w:p>
    <w:p w14:paraId="5F60804B" w14:textId="77777777" w:rsidR="00E74F5A" w:rsidRPr="004311F9" w:rsidRDefault="00E74F5A" w:rsidP="00DC4CB1">
      <w:pPr>
        <w:keepNext/>
        <w:spacing w:line="240" w:lineRule="auto"/>
        <w:rPr>
          <w:b/>
          <w:szCs w:val="24"/>
          <w:lang w:val="hu-HU"/>
        </w:rPr>
      </w:pPr>
      <w:r w:rsidRPr="004311F9">
        <w:rPr>
          <w:b/>
          <w:szCs w:val="24"/>
          <w:lang w:val="hu-HU"/>
        </w:rPr>
        <w:lastRenderedPageBreak/>
        <w:t>Alkalmazása gyermekeknél és serdülőknél</w:t>
      </w:r>
    </w:p>
    <w:p w14:paraId="1426AA0C" w14:textId="77777777" w:rsidR="00E74F5A" w:rsidRPr="004311F9" w:rsidRDefault="00E74F5A" w:rsidP="00DC4CB1">
      <w:pPr>
        <w:spacing w:line="240" w:lineRule="auto"/>
        <w:rPr>
          <w:szCs w:val="24"/>
          <w:lang w:val="hu-HU"/>
        </w:rPr>
      </w:pPr>
      <w:r w:rsidRPr="004311F9">
        <w:rPr>
          <w:szCs w:val="24"/>
          <w:lang w:val="hu-HU"/>
        </w:rPr>
        <w:t>Az ALPROLIX a gyermekek és serdülők valamennyi korcsoportjában alkalmazható. 12 év alatti gyermekeknél nagyobb adagokra vagy az injekciók gyakoribb adására lehet szükség, a szokásos adag 50</w:t>
      </w:r>
      <w:r w:rsidRPr="004311F9">
        <w:rPr>
          <w:szCs w:val="24"/>
          <w:lang w:val="hu-HU"/>
        </w:rPr>
        <w:noBreakHyphen/>
        <w:t>60 NE testtömeg kilogrammonként, 7 naponta adva.</w:t>
      </w:r>
    </w:p>
    <w:p w14:paraId="2A5637F2" w14:textId="77777777" w:rsidR="00E74F5A" w:rsidRPr="004311F9" w:rsidRDefault="00E74F5A" w:rsidP="00DC4CB1">
      <w:pPr>
        <w:spacing w:line="240" w:lineRule="auto"/>
        <w:rPr>
          <w:rFonts w:eastAsia="Times New Roman"/>
          <w:szCs w:val="24"/>
          <w:lang w:val="hu-HU"/>
        </w:rPr>
      </w:pPr>
    </w:p>
    <w:p w14:paraId="48AD117C" w14:textId="77777777" w:rsidR="00E74F5A" w:rsidRPr="004311F9" w:rsidRDefault="00E74F5A" w:rsidP="00DC4CB1">
      <w:pPr>
        <w:keepNext/>
        <w:spacing w:line="240" w:lineRule="auto"/>
        <w:rPr>
          <w:b/>
          <w:szCs w:val="24"/>
          <w:lang w:val="hu-HU"/>
        </w:rPr>
      </w:pPr>
      <w:r w:rsidRPr="004311F9">
        <w:rPr>
          <w:b/>
          <w:szCs w:val="24"/>
          <w:lang w:val="hu-HU"/>
        </w:rPr>
        <w:t>Ha az előírtnál több ALPROLIX</w:t>
      </w:r>
      <w:r w:rsidRPr="004311F9">
        <w:rPr>
          <w:b/>
          <w:szCs w:val="24"/>
          <w:lang w:val="hu-HU"/>
        </w:rPr>
        <w:noBreakHyphen/>
        <w:t>ot alkalmazott</w:t>
      </w:r>
    </w:p>
    <w:p w14:paraId="3284A255" w14:textId="77777777" w:rsidR="00E74F5A" w:rsidRPr="004311F9" w:rsidRDefault="00E74F5A" w:rsidP="00DC4CB1">
      <w:pPr>
        <w:spacing w:line="240" w:lineRule="auto"/>
        <w:rPr>
          <w:rFonts w:eastAsia="Times New Roman"/>
          <w:szCs w:val="24"/>
          <w:lang w:val="hu-HU"/>
        </w:rPr>
      </w:pPr>
      <w:r w:rsidRPr="004311F9">
        <w:rPr>
          <w:szCs w:val="24"/>
          <w:lang w:val="hu-HU"/>
        </w:rPr>
        <w:t>Tájékoztassa kezelőorvosát, amint lehetséges. Az ALPROLIX</w:t>
      </w:r>
      <w:r w:rsidRPr="004311F9">
        <w:rPr>
          <w:szCs w:val="24"/>
          <w:lang w:val="hu-HU"/>
        </w:rPr>
        <w:noBreakHyphen/>
        <w:t>ot mindig a kezelőorvosa által elmondottaknak megfelelően alkalmazza. Amennyiben nem biztos az adagolást illetően, kérdezze meg kezelőorvosát, gyógyszerészét vagy a gondozását végző egészségügyi szakembert.</w:t>
      </w:r>
    </w:p>
    <w:p w14:paraId="25545A04" w14:textId="77777777" w:rsidR="00E74F5A" w:rsidRPr="004311F9" w:rsidRDefault="00E74F5A" w:rsidP="00DC4CB1">
      <w:pPr>
        <w:spacing w:line="240" w:lineRule="auto"/>
        <w:rPr>
          <w:rFonts w:eastAsia="Times New Roman"/>
          <w:szCs w:val="24"/>
          <w:lang w:val="hu-HU"/>
        </w:rPr>
      </w:pPr>
    </w:p>
    <w:p w14:paraId="300E1BB4" w14:textId="77777777" w:rsidR="00E74F5A" w:rsidRPr="004311F9" w:rsidRDefault="00E74F5A" w:rsidP="00DC4CB1">
      <w:pPr>
        <w:keepNext/>
        <w:spacing w:line="240" w:lineRule="auto"/>
        <w:rPr>
          <w:b/>
          <w:szCs w:val="24"/>
          <w:lang w:val="hu-HU"/>
        </w:rPr>
      </w:pPr>
      <w:r w:rsidRPr="004311F9">
        <w:rPr>
          <w:b/>
          <w:szCs w:val="24"/>
          <w:lang w:val="hu-HU"/>
        </w:rPr>
        <w:t>Ha elfelejtette alkalmazni az ALPROLIX</w:t>
      </w:r>
      <w:r w:rsidRPr="004311F9">
        <w:rPr>
          <w:b/>
          <w:szCs w:val="24"/>
          <w:lang w:val="hu-HU"/>
        </w:rPr>
        <w:noBreakHyphen/>
        <w:t>ot</w:t>
      </w:r>
    </w:p>
    <w:p w14:paraId="28499079" w14:textId="77777777" w:rsidR="00E74F5A" w:rsidRPr="004311F9" w:rsidRDefault="00E74F5A" w:rsidP="00DC4CB1">
      <w:pPr>
        <w:spacing w:line="240" w:lineRule="auto"/>
        <w:rPr>
          <w:szCs w:val="24"/>
          <w:lang w:val="hu-HU"/>
        </w:rPr>
      </w:pPr>
      <w:r w:rsidRPr="004311F9">
        <w:rPr>
          <w:szCs w:val="24"/>
          <w:lang w:val="hu-HU"/>
        </w:rPr>
        <w:t>Ne alkalmazzon kétszeres adagot a kihagyott adag pótlására. Adja be a szokásos adagot, amint eszébe jut, majd folytassa a szokásos adagolási rend szerint. Ha a teendőket illetően kétségei lennének, forduljon kezelőorvosához, gyógyszerészéhez vagy a gondozását végző egészségügyi szakemberhez.</w:t>
      </w:r>
    </w:p>
    <w:p w14:paraId="293841C2" w14:textId="77777777" w:rsidR="00E74F5A" w:rsidRPr="004311F9" w:rsidRDefault="00E74F5A" w:rsidP="00DC4CB1">
      <w:pPr>
        <w:spacing w:line="240" w:lineRule="auto"/>
        <w:rPr>
          <w:rFonts w:eastAsia="Times New Roman"/>
          <w:szCs w:val="24"/>
          <w:lang w:val="hu-HU"/>
        </w:rPr>
      </w:pPr>
    </w:p>
    <w:p w14:paraId="6E3F741C" w14:textId="77777777" w:rsidR="00E74F5A" w:rsidRPr="004311F9" w:rsidRDefault="00E74F5A" w:rsidP="00DC4CB1">
      <w:pPr>
        <w:keepNext/>
        <w:spacing w:line="240" w:lineRule="auto"/>
        <w:rPr>
          <w:b/>
          <w:szCs w:val="24"/>
          <w:lang w:val="hu-HU"/>
        </w:rPr>
      </w:pPr>
      <w:r w:rsidRPr="004311F9">
        <w:rPr>
          <w:b/>
          <w:szCs w:val="24"/>
          <w:lang w:val="hu-HU"/>
        </w:rPr>
        <w:t>Ha idő előtt abbahagyja az ALPROLIX alkalmazását</w:t>
      </w:r>
    </w:p>
    <w:p w14:paraId="13563EB3" w14:textId="77777777" w:rsidR="00E74F5A" w:rsidRPr="004311F9" w:rsidRDefault="00E74F5A" w:rsidP="00DC4CB1">
      <w:pPr>
        <w:spacing w:line="240" w:lineRule="auto"/>
        <w:rPr>
          <w:szCs w:val="24"/>
          <w:lang w:val="hu-HU"/>
        </w:rPr>
      </w:pPr>
      <w:r w:rsidRPr="004311F9">
        <w:rPr>
          <w:szCs w:val="24"/>
          <w:lang w:val="hu-HU"/>
        </w:rPr>
        <w:t>Ne hagyja abba az ALPROLIX alkalmazását anélkül, hogy kezelőorvosával megbeszélte volna. Ha abbahagyja az ALPROLIX alkalmazását, a továbbiakban nem feltétlenül lesz védett a vérzéssel szemben, illetve lehetséges, hogy az aktuálisan fennálló vérzés nem szűnik meg.</w:t>
      </w:r>
    </w:p>
    <w:p w14:paraId="6EB01B7C" w14:textId="77777777" w:rsidR="00E74F5A" w:rsidRPr="004311F9" w:rsidRDefault="00E74F5A" w:rsidP="00DC4CB1">
      <w:pPr>
        <w:spacing w:line="240" w:lineRule="auto"/>
        <w:rPr>
          <w:szCs w:val="24"/>
          <w:lang w:val="hu-HU"/>
        </w:rPr>
      </w:pPr>
    </w:p>
    <w:p w14:paraId="751B68AB" w14:textId="77777777" w:rsidR="00E74F5A" w:rsidRPr="004311F9" w:rsidRDefault="00E74F5A" w:rsidP="00DC4CB1">
      <w:pPr>
        <w:spacing w:line="240" w:lineRule="auto"/>
        <w:rPr>
          <w:szCs w:val="24"/>
          <w:lang w:val="hu-HU"/>
        </w:rPr>
      </w:pPr>
      <w:r w:rsidRPr="004311F9">
        <w:rPr>
          <w:szCs w:val="24"/>
          <w:lang w:val="hu-HU"/>
        </w:rPr>
        <w:t>Ha bármilyen további kérdése van a gyógyszer alkalmazásával kapcsolatban, kérdezze meg kezelőorvosát, gyógyszerészét vagy a gondozását végző egészségügyi szakembert.</w:t>
      </w:r>
    </w:p>
    <w:p w14:paraId="378B5571" w14:textId="77777777" w:rsidR="00E74F5A" w:rsidRPr="004311F9" w:rsidRDefault="00E74F5A" w:rsidP="00DC4CB1">
      <w:pPr>
        <w:spacing w:line="240" w:lineRule="auto"/>
        <w:rPr>
          <w:rFonts w:eastAsia="Times New Roman"/>
          <w:szCs w:val="24"/>
          <w:lang w:val="hu-HU"/>
        </w:rPr>
      </w:pPr>
    </w:p>
    <w:p w14:paraId="7759AA7C" w14:textId="77777777" w:rsidR="00E74F5A" w:rsidRPr="004311F9" w:rsidRDefault="00E74F5A" w:rsidP="00DC4CB1">
      <w:pPr>
        <w:spacing w:line="240" w:lineRule="auto"/>
        <w:rPr>
          <w:rFonts w:eastAsia="Times New Roman"/>
          <w:szCs w:val="24"/>
          <w:lang w:val="hu-HU"/>
        </w:rPr>
      </w:pPr>
    </w:p>
    <w:p w14:paraId="45EE6077" w14:textId="77777777" w:rsidR="00E74F5A" w:rsidRPr="004311F9" w:rsidRDefault="00E74F5A" w:rsidP="00DC4CB1">
      <w:pPr>
        <w:pStyle w:val="ListParagraph1"/>
        <w:keepNext/>
        <w:ind w:left="567" w:hanging="567"/>
        <w:rPr>
          <w:rFonts w:eastAsia="Times New Roman"/>
          <w:b/>
          <w:sz w:val="22"/>
          <w:lang w:val="hu-HU"/>
        </w:rPr>
      </w:pPr>
      <w:r w:rsidRPr="004311F9">
        <w:rPr>
          <w:rFonts w:eastAsia="Times New Roman"/>
          <w:b/>
          <w:sz w:val="22"/>
          <w:lang w:val="hu-HU"/>
        </w:rPr>
        <w:t>4.</w:t>
      </w:r>
      <w:r w:rsidRPr="004311F9">
        <w:rPr>
          <w:rFonts w:eastAsia="Times New Roman"/>
          <w:b/>
          <w:sz w:val="22"/>
          <w:lang w:val="hu-HU"/>
        </w:rPr>
        <w:tab/>
        <w:t>Lehetséges mellékhatások</w:t>
      </w:r>
    </w:p>
    <w:p w14:paraId="64F7942A" w14:textId="77777777" w:rsidR="00E74F5A" w:rsidRPr="004311F9" w:rsidRDefault="00E74F5A" w:rsidP="00DC4CB1">
      <w:pPr>
        <w:keepNext/>
        <w:spacing w:line="240" w:lineRule="auto"/>
        <w:rPr>
          <w:rFonts w:eastAsia="Times New Roman"/>
          <w:szCs w:val="24"/>
          <w:lang w:val="hu-HU"/>
        </w:rPr>
      </w:pPr>
    </w:p>
    <w:p w14:paraId="08FBEE6C" w14:textId="77777777" w:rsidR="00E74F5A" w:rsidRPr="004311F9" w:rsidRDefault="00E74F5A" w:rsidP="00DC4CB1">
      <w:pPr>
        <w:spacing w:line="240" w:lineRule="auto"/>
        <w:rPr>
          <w:szCs w:val="24"/>
          <w:lang w:val="hu-HU"/>
        </w:rPr>
      </w:pPr>
      <w:r w:rsidRPr="004311F9">
        <w:rPr>
          <w:szCs w:val="24"/>
          <w:lang w:val="hu-HU"/>
        </w:rPr>
        <w:t>Mint minden gyógyszer, így ez a gyógyszer is okozhat mellékhatásokat, amelyek azonban nem mindenkinél jelentkeznek.</w:t>
      </w:r>
    </w:p>
    <w:p w14:paraId="43F64C92" w14:textId="77777777" w:rsidR="00E74F5A" w:rsidRPr="004311F9" w:rsidRDefault="00E74F5A" w:rsidP="00DC4CB1">
      <w:pPr>
        <w:spacing w:line="240" w:lineRule="auto"/>
        <w:rPr>
          <w:rFonts w:eastAsia="Times New Roman"/>
          <w:szCs w:val="24"/>
          <w:lang w:val="hu-HU"/>
        </w:rPr>
      </w:pPr>
    </w:p>
    <w:p w14:paraId="5AE464BD" w14:textId="77777777" w:rsidR="00E74F5A" w:rsidRPr="004311F9" w:rsidRDefault="00E74F5A" w:rsidP="00DC4CB1">
      <w:pPr>
        <w:spacing w:line="240" w:lineRule="auto"/>
        <w:rPr>
          <w:szCs w:val="24"/>
          <w:lang w:val="hu-HU"/>
        </w:rPr>
      </w:pPr>
      <w:r w:rsidRPr="004311F9">
        <w:rPr>
          <w:szCs w:val="24"/>
          <w:lang w:val="hu-HU"/>
        </w:rPr>
        <w:t>Ha súlyos, hirtelen kezdetkialakuló allergiás reakciók (anafilaxiás reakció) lépnek fel, az injekció beadását azonnal le kell állítani. Azonnal kezelőorvosához kell fordulnia, ha az allergiás reakciók következő tüneteinek bármelyikét tapasztalja: arcduzzanat, kiütés, testszerte jelentkező viszketés, csalánkiütés, mellkasi feszülés, nehézlégzés, égő és csípő érzés az injekció beadásának helyén, hidegrázás, kipirulás, fejfájás, általános rosszullét, hányinger, nyugtalanság, gyors szívverés és alacsony vérnyomás.</w:t>
      </w:r>
    </w:p>
    <w:p w14:paraId="06F98F7D" w14:textId="77777777" w:rsidR="00E74F5A" w:rsidRPr="004311F9" w:rsidRDefault="00E74F5A" w:rsidP="00DC4CB1">
      <w:pPr>
        <w:spacing w:line="240" w:lineRule="auto"/>
        <w:rPr>
          <w:rFonts w:eastAsia="Times New Roman"/>
          <w:szCs w:val="24"/>
          <w:lang w:val="hu-HU"/>
        </w:rPr>
      </w:pPr>
    </w:p>
    <w:p w14:paraId="2F02664F" w14:textId="77777777" w:rsidR="00E74F5A" w:rsidRPr="004311F9" w:rsidRDefault="00E74F5A" w:rsidP="00DC4CB1">
      <w:pPr>
        <w:spacing w:line="240" w:lineRule="auto"/>
        <w:rPr>
          <w:rFonts w:eastAsia="Times New Roman"/>
          <w:szCs w:val="24"/>
          <w:lang w:val="hu-HU"/>
        </w:rPr>
      </w:pPr>
      <w:r w:rsidRPr="004311F9">
        <w:rPr>
          <w:rFonts w:eastAsia="Times New Roman"/>
          <w:szCs w:val="24"/>
          <w:lang w:val="hu-HU"/>
        </w:rPr>
        <w:t>IX</w:t>
      </w:r>
      <w:r w:rsidRPr="004311F9">
        <w:rPr>
          <w:rFonts w:eastAsia="Times New Roman"/>
          <w:szCs w:val="24"/>
          <w:lang w:val="hu-HU"/>
        </w:rPr>
        <w:noBreakHyphen/>
        <w:t>es faktorra ható gyógyszerekkel korábban nem kezelt gyermekeknél gyakran (</w:t>
      </w:r>
      <w:r w:rsidR="00ED56D2" w:rsidRPr="004311F9">
        <w:rPr>
          <w:rFonts w:eastAsia="Times New Roman"/>
          <w:szCs w:val="24"/>
          <w:lang w:val="hu-HU"/>
        </w:rPr>
        <w:t>10 beteg közül legfeljebb</w:t>
      </w:r>
      <w:r w:rsidRPr="004311F9">
        <w:rPr>
          <w:rFonts w:eastAsia="Times New Roman"/>
          <w:szCs w:val="24"/>
          <w:lang w:val="hu-HU"/>
        </w:rPr>
        <w:t xml:space="preserve"> 1</w:t>
      </w:r>
      <w:r w:rsidR="00ED56D2" w:rsidRPr="004311F9">
        <w:rPr>
          <w:rFonts w:eastAsia="Times New Roman"/>
          <w:szCs w:val="24"/>
          <w:lang w:val="hu-HU"/>
        </w:rPr>
        <w:t> betegnél</w:t>
      </w:r>
      <w:r w:rsidRPr="004311F9">
        <w:rPr>
          <w:rFonts w:eastAsia="Times New Roman"/>
          <w:szCs w:val="24"/>
          <w:lang w:val="hu-HU"/>
        </w:rPr>
        <w:t xml:space="preserve">) képződhetnek gátlószerek (lásd 2. pont). Ha ez bekövetkezik, lehetséges, hogy a gyógyszer nem működik tovább megfelelően és gyermeke tartós vérzést tapasztalhat. Ilyen esetben azonnal </w:t>
      </w:r>
      <w:r w:rsidR="009B534C" w:rsidRPr="004311F9">
        <w:rPr>
          <w:rFonts w:eastAsia="Times New Roman"/>
          <w:szCs w:val="24"/>
          <w:lang w:val="hu-HU"/>
        </w:rPr>
        <w:t>forduljon</w:t>
      </w:r>
      <w:r w:rsidRPr="004311F9">
        <w:rPr>
          <w:rFonts w:eastAsia="Times New Roman"/>
          <w:szCs w:val="24"/>
          <w:lang w:val="hu-HU"/>
        </w:rPr>
        <w:t xml:space="preserve"> kezelőorvos</w:t>
      </w:r>
      <w:r w:rsidR="009B534C" w:rsidRPr="004311F9">
        <w:rPr>
          <w:rFonts w:eastAsia="Times New Roman"/>
          <w:szCs w:val="24"/>
          <w:lang w:val="hu-HU"/>
        </w:rPr>
        <w:t>ához</w:t>
      </w:r>
      <w:r w:rsidRPr="004311F9">
        <w:rPr>
          <w:rFonts w:eastAsia="Times New Roman"/>
          <w:szCs w:val="24"/>
          <w:lang w:val="hu-HU"/>
        </w:rPr>
        <w:t>.</w:t>
      </w:r>
    </w:p>
    <w:p w14:paraId="0A1BAB83" w14:textId="77777777" w:rsidR="00E74F5A" w:rsidRPr="004311F9" w:rsidRDefault="00E74F5A" w:rsidP="00DC4CB1">
      <w:pPr>
        <w:spacing w:line="240" w:lineRule="auto"/>
        <w:rPr>
          <w:rFonts w:eastAsia="Times New Roman"/>
          <w:szCs w:val="24"/>
          <w:lang w:val="hu-HU"/>
        </w:rPr>
      </w:pPr>
    </w:p>
    <w:p w14:paraId="628F66A7" w14:textId="77777777" w:rsidR="00E74F5A" w:rsidRPr="004311F9" w:rsidRDefault="00E74F5A" w:rsidP="00DC4CB1">
      <w:pPr>
        <w:spacing w:line="240" w:lineRule="auto"/>
        <w:rPr>
          <w:szCs w:val="24"/>
          <w:lang w:val="hu-HU"/>
        </w:rPr>
      </w:pPr>
      <w:r w:rsidRPr="004311F9">
        <w:rPr>
          <w:szCs w:val="24"/>
          <w:lang w:val="hu-HU"/>
        </w:rPr>
        <w:t>A gyógyszer alkalmazásakor a következő mellékhatások jelentkezhetnek:</w:t>
      </w:r>
    </w:p>
    <w:p w14:paraId="3261F900" w14:textId="77777777" w:rsidR="00E74F5A" w:rsidRPr="004311F9" w:rsidRDefault="00E74F5A" w:rsidP="00DC4CB1">
      <w:pPr>
        <w:numPr>
          <w:ilvl w:val="12"/>
          <w:numId w:val="0"/>
        </w:numPr>
        <w:spacing w:line="240" w:lineRule="auto"/>
        <w:ind w:right="-2"/>
        <w:rPr>
          <w:rFonts w:eastAsia="Times New Roman"/>
          <w:bCs/>
          <w:szCs w:val="24"/>
          <w:lang w:val="hu-HU"/>
        </w:rPr>
      </w:pPr>
    </w:p>
    <w:p w14:paraId="739A30CA" w14:textId="400FDEEB" w:rsidR="00ED56D2" w:rsidRPr="004311F9" w:rsidRDefault="00E74F5A" w:rsidP="00DC4CB1">
      <w:pPr>
        <w:numPr>
          <w:ilvl w:val="12"/>
          <w:numId w:val="0"/>
        </w:numPr>
        <w:spacing w:line="240" w:lineRule="auto"/>
        <w:ind w:right="-2"/>
        <w:rPr>
          <w:lang w:val="hu-HU"/>
        </w:rPr>
      </w:pPr>
      <w:r w:rsidRPr="004311F9">
        <w:rPr>
          <w:b/>
          <w:lang w:val="hu-HU"/>
        </w:rPr>
        <w:t>Gyakori mellékhatások (10 beteg közül legfeljebb 1 beteget érinthet):</w:t>
      </w:r>
      <w:r w:rsidRPr="004311F9">
        <w:rPr>
          <w:lang w:val="hu-HU"/>
        </w:rPr>
        <w:t xml:space="preserve"> fejfájás, szájzsibbadás vagy bizsergés, oldalsó deréktáji fájdalom, amelyet véres vizelet kísér (obstruktív uropátia)</w:t>
      </w:r>
      <w:r w:rsidR="00BC0D45" w:rsidRPr="004311F9">
        <w:rPr>
          <w:lang w:val="hu-HU"/>
        </w:rPr>
        <w:t xml:space="preserve"> </w:t>
      </w:r>
      <w:r w:rsidR="00BC0D45" w:rsidRPr="004311F9">
        <w:rPr>
          <w:rFonts w:eastAsia="Times New Roman"/>
          <w:szCs w:val="24"/>
          <w:lang w:val="hu-HU"/>
        </w:rPr>
        <w:t>és bőrpír az injekció helyén</w:t>
      </w:r>
      <w:r w:rsidRPr="004311F9">
        <w:rPr>
          <w:lang w:val="hu-HU"/>
        </w:rPr>
        <w:t>.</w:t>
      </w:r>
    </w:p>
    <w:p w14:paraId="7D4EB3A2" w14:textId="3A470771" w:rsidR="00E74F5A" w:rsidRPr="004311F9" w:rsidRDefault="00E74F5A" w:rsidP="00DC4CB1">
      <w:pPr>
        <w:numPr>
          <w:ilvl w:val="12"/>
          <w:numId w:val="0"/>
        </w:numPr>
        <w:spacing w:line="240" w:lineRule="auto"/>
        <w:ind w:right="-2"/>
        <w:rPr>
          <w:lang w:val="hu-HU"/>
        </w:rPr>
      </w:pPr>
      <w:r w:rsidRPr="004311F9">
        <w:rPr>
          <w:rFonts w:eastAsia="Times New Roman"/>
          <w:szCs w:val="24"/>
          <w:lang w:val="hu-HU"/>
        </w:rPr>
        <w:t>IX</w:t>
      </w:r>
      <w:r w:rsidRPr="004311F9">
        <w:rPr>
          <w:rFonts w:eastAsia="Times New Roman"/>
          <w:szCs w:val="24"/>
          <w:lang w:val="hu-HU"/>
        </w:rPr>
        <w:noBreakHyphen/>
        <w:t>es faktorra ható gyógyszerekkel korábban nem kezelt gyermekek: IX</w:t>
      </w:r>
      <w:r w:rsidRPr="004311F9">
        <w:rPr>
          <w:rFonts w:eastAsia="Times New Roman"/>
          <w:szCs w:val="24"/>
          <w:lang w:val="hu-HU"/>
        </w:rPr>
        <w:noBreakHyphen/>
        <w:t>es faktor-gátlók, túlérzékenység.</w:t>
      </w:r>
    </w:p>
    <w:p w14:paraId="4F4E509A" w14:textId="77777777" w:rsidR="00E74F5A" w:rsidRPr="004311F9" w:rsidRDefault="00E74F5A" w:rsidP="00DC4CB1">
      <w:pPr>
        <w:numPr>
          <w:ilvl w:val="12"/>
          <w:numId w:val="0"/>
        </w:numPr>
        <w:spacing w:line="240" w:lineRule="auto"/>
        <w:ind w:right="-2"/>
        <w:rPr>
          <w:rFonts w:eastAsia="Times New Roman"/>
          <w:bCs/>
          <w:szCs w:val="24"/>
          <w:lang w:val="hu-HU"/>
        </w:rPr>
      </w:pPr>
    </w:p>
    <w:p w14:paraId="0A76FC70" w14:textId="3BE7AED2" w:rsidR="00E74F5A" w:rsidRPr="004311F9" w:rsidRDefault="00E74F5A" w:rsidP="00DC4CB1">
      <w:pPr>
        <w:numPr>
          <w:ilvl w:val="12"/>
          <w:numId w:val="0"/>
        </w:numPr>
        <w:spacing w:line="240" w:lineRule="auto"/>
        <w:ind w:right="-2"/>
        <w:rPr>
          <w:szCs w:val="24"/>
          <w:lang w:val="hu-HU"/>
        </w:rPr>
      </w:pPr>
      <w:r w:rsidRPr="004311F9">
        <w:rPr>
          <w:b/>
          <w:szCs w:val="24"/>
          <w:lang w:val="hu-HU"/>
        </w:rPr>
        <w:t xml:space="preserve">Nem gyakori mellékhatások (100 beteg közül legfeljebb 1 beteget érinthet): </w:t>
      </w:r>
      <w:r w:rsidRPr="004311F9">
        <w:rPr>
          <w:szCs w:val="24"/>
          <w:lang w:val="hu-HU"/>
        </w:rPr>
        <w:t>szédülés, az ízérzés megváltozása, rossz lehelet, fáradtságérzés, az injekció beadásának helyén jelentkező fájdalom, gyors szívverés, vér megjelenése a vizeletben (hematúria), oldalsó deréktáji fájdalom (vesekólika), alacsony vérnyomás és csökkent étvágy.</w:t>
      </w:r>
    </w:p>
    <w:p w14:paraId="11BF1C06" w14:textId="77777777" w:rsidR="00E74F5A" w:rsidRPr="004311F9" w:rsidRDefault="00E74F5A" w:rsidP="00DC4CB1">
      <w:pPr>
        <w:spacing w:line="240" w:lineRule="auto"/>
        <w:rPr>
          <w:rFonts w:eastAsia="Times New Roman"/>
          <w:szCs w:val="24"/>
          <w:lang w:val="hu-HU"/>
        </w:rPr>
      </w:pPr>
    </w:p>
    <w:p w14:paraId="6BA2C2A8" w14:textId="77777777" w:rsidR="00E74F5A" w:rsidRPr="004311F9" w:rsidRDefault="00E74F5A" w:rsidP="00DC4CB1">
      <w:pPr>
        <w:keepNext/>
        <w:spacing w:line="240" w:lineRule="auto"/>
        <w:rPr>
          <w:b/>
          <w:szCs w:val="24"/>
          <w:lang w:val="hu-HU"/>
        </w:rPr>
      </w:pPr>
      <w:r w:rsidRPr="004311F9">
        <w:rPr>
          <w:b/>
          <w:szCs w:val="24"/>
          <w:lang w:val="hu-HU"/>
        </w:rPr>
        <w:t>Mellékhatások bejelentése</w:t>
      </w:r>
    </w:p>
    <w:p w14:paraId="5E1294E0" w14:textId="77777777" w:rsidR="00E74F5A" w:rsidRPr="004311F9" w:rsidRDefault="00E74F5A" w:rsidP="00DC4CB1">
      <w:pPr>
        <w:spacing w:line="240" w:lineRule="auto"/>
        <w:rPr>
          <w:rFonts w:eastAsia="Times New Roman"/>
          <w:szCs w:val="24"/>
          <w:lang w:val="hu-HU"/>
        </w:rPr>
      </w:pPr>
      <w:r w:rsidRPr="004311F9">
        <w:rPr>
          <w:szCs w:val="24"/>
          <w:lang w:val="hu-HU"/>
        </w:rPr>
        <w:t>Ha Önnél bármilyen mellékhatás jelentkezik, tájékoztassa kezelőorvosát, gyógyszerészét vagy a gondozását végző eg</w:t>
      </w:r>
      <w:r w:rsidRPr="004311F9">
        <w:rPr>
          <w:rFonts w:eastAsia="Times New Roman"/>
          <w:szCs w:val="24"/>
          <w:lang w:val="hu-HU"/>
        </w:rPr>
        <w:t xml:space="preserve">észségügyi szakembert. Ez a betegtájékoztatóban fel nem sorolt bármilyen lehetséges mellékhatásra is vonatkozik. A mellékhatásokat közvetlenül a hatóság részére is bejelentheti az </w:t>
      </w:r>
      <w:hyperlink r:id="rId30" w:history="1">
        <w:r w:rsidRPr="004F06B3">
          <w:rPr>
            <w:rFonts w:eastAsia="Times New Roman"/>
            <w:color w:val="0000FF"/>
            <w:szCs w:val="22"/>
            <w:u w:val="single"/>
            <w:shd w:val="clear" w:color="auto" w:fill="BFBFBF"/>
            <w:lang w:val="hu-HU" w:eastAsia="en-US"/>
          </w:rPr>
          <w:t>V. függelékben</w:t>
        </w:r>
      </w:hyperlink>
      <w:r w:rsidRPr="004311F9">
        <w:rPr>
          <w:szCs w:val="24"/>
          <w:shd w:val="clear" w:color="auto" w:fill="BFBFBF"/>
          <w:lang w:val="hu-HU"/>
        </w:rPr>
        <w:t xml:space="preserve"> található elérhetőségeken keresztül</w:t>
      </w:r>
      <w:r w:rsidRPr="004311F9">
        <w:rPr>
          <w:rFonts w:eastAsia="Times New Roman"/>
          <w:szCs w:val="24"/>
          <w:lang w:val="hu-HU"/>
        </w:rPr>
        <w:t>. A mellékhatások bejelentésével Ön is hozzájárulhat ahhoz, hogy minél több információ álljon rendelkezésre a gyógyszer biztonságos alkalmazásával kapcsolatban.</w:t>
      </w:r>
    </w:p>
    <w:p w14:paraId="09E63A4F" w14:textId="77777777" w:rsidR="00E74F5A" w:rsidRPr="004311F9" w:rsidRDefault="00E74F5A" w:rsidP="00DC4CB1">
      <w:pPr>
        <w:numPr>
          <w:ilvl w:val="12"/>
          <w:numId w:val="0"/>
        </w:numPr>
        <w:spacing w:line="240" w:lineRule="auto"/>
        <w:ind w:right="-2"/>
        <w:rPr>
          <w:rFonts w:eastAsia="Times New Roman"/>
          <w:bCs/>
          <w:szCs w:val="24"/>
          <w:lang w:val="hu-HU"/>
        </w:rPr>
      </w:pPr>
    </w:p>
    <w:p w14:paraId="60578F83" w14:textId="77777777" w:rsidR="00E74F5A" w:rsidRPr="004311F9" w:rsidRDefault="00E74F5A" w:rsidP="00DC4CB1">
      <w:pPr>
        <w:numPr>
          <w:ilvl w:val="12"/>
          <w:numId w:val="0"/>
        </w:numPr>
        <w:spacing w:line="240" w:lineRule="auto"/>
        <w:ind w:right="-2"/>
        <w:rPr>
          <w:rFonts w:eastAsia="Times New Roman"/>
          <w:bCs/>
          <w:szCs w:val="24"/>
          <w:lang w:val="hu-HU"/>
        </w:rPr>
      </w:pPr>
    </w:p>
    <w:p w14:paraId="1A2971E1" w14:textId="77777777" w:rsidR="00E74F5A" w:rsidRPr="004311F9" w:rsidRDefault="00E74F5A" w:rsidP="00DC4CB1">
      <w:pPr>
        <w:pStyle w:val="ListParagraph1"/>
        <w:keepNext/>
        <w:ind w:left="567" w:hanging="567"/>
        <w:rPr>
          <w:rFonts w:eastAsia="Times New Roman"/>
          <w:b/>
          <w:sz w:val="22"/>
          <w:lang w:val="hu-HU"/>
        </w:rPr>
      </w:pPr>
      <w:r w:rsidRPr="004311F9">
        <w:rPr>
          <w:rFonts w:eastAsia="Times New Roman"/>
          <w:b/>
          <w:sz w:val="22"/>
          <w:lang w:val="hu-HU"/>
        </w:rPr>
        <w:t>5.</w:t>
      </w:r>
      <w:r w:rsidRPr="004311F9">
        <w:rPr>
          <w:rFonts w:eastAsia="Times New Roman"/>
          <w:b/>
          <w:sz w:val="22"/>
          <w:lang w:val="hu-HU"/>
        </w:rPr>
        <w:tab/>
        <w:t>Hogyan kell az ALPROLIX</w:t>
      </w:r>
      <w:r w:rsidRPr="004311F9">
        <w:rPr>
          <w:rFonts w:eastAsia="Times New Roman"/>
          <w:b/>
          <w:sz w:val="22"/>
          <w:lang w:val="hu-HU"/>
        </w:rPr>
        <w:noBreakHyphen/>
        <w:t>ot tárolni?</w:t>
      </w:r>
    </w:p>
    <w:p w14:paraId="43027DAF" w14:textId="77777777" w:rsidR="00E74F5A" w:rsidRPr="004311F9" w:rsidRDefault="00E74F5A" w:rsidP="00DC4CB1">
      <w:pPr>
        <w:keepNext/>
        <w:spacing w:line="240" w:lineRule="auto"/>
        <w:rPr>
          <w:rFonts w:eastAsia="Times New Roman"/>
          <w:szCs w:val="24"/>
          <w:lang w:val="hu-HU"/>
        </w:rPr>
      </w:pPr>
    </w:p>
    <w:p w14:paraId="519C7E36" w14:textId="77777777" w:rsidR="00E74F5A" w:rsidRPr="004311F9" w:rsidRDefault="00E74F5A" w:rsidP="00DC4CB1">
      <w:pPr>
        <w:spacing w:line="240" w:lineRule="auto"/>
        <w:rPr>
          <w:szCs w:val="24"/>
          <w:lang w:val="hu-HU"/>
        </w:rPr>
      </w:pPr>
      <w:r w:rsidRPr="004311F9">
        <w:rPr>
          <w:szCs w:val="24"/>
          <w:lang w:val="hu-HU"/>
        </w:rPr>
        <w:t>A gyógyszer gyermekektől elzárva tartandó!</w:t>
      </w:r>
    </w:p>
    <w:p w14:paraId="7BA2BD13" w14:textId="77777777" w:rsidR="00E74F5A" w:rsidRPr="004311F9" w:rsidRDefault="00E74F5A" w:rsidP="00DC4CB1">
      <w:pPr>
        <w:spacing w:line="240" w:lineRule="auto"/>
        <w:rPr>
          <w:rFonts w:eastAsia="Times New Roman"/>
          <w:szCs w:val="24"/>
          <w:lang w:val="hu-HU"/>
        </w:rPr>
      </w:pPr>
    </w:p>
    <w:p w14:paraId="11A0084A" w14:textId="77777777" w:rsidR="00FD6B4E" w:rsidRPr="004311F9" w:rsidRDefault="00FD6B4E" w:rsidP="00FD6B4E">
      <w:pPr>
        <w:spacing w:line="240" w:lineRule="auto"/>
        <w:rPr>
          <w:szCs w:val="24"/>
          <w:lang w:val="hu-HU"/>
        </w:rPr>
      </w:pPr>
      <w:r w:rsidRPr="004311F9">
        <w:rPr>
          <w:szCs w:val="24"/>
          <w:lang w:val="hu-HU"/>
        </w:rPr>
        <w:t>A dobozon és az injekciós üveg címkéjén feltüntetett lejárati idő „EXP” után ne alkalmazza ezt a gyógyszert. A lejárati idő az adott hónap utolsó napjára vonatkozik. Ne alkalmazza ezt a gyógyszert, ha 6 hónapnál hosszabb ideig volt szobahőmérsékleten tárolva.</w:t>
      </w:r>
    </w:p>
    <w:p w14:paraId="436AB835" w14:textId="77777777" w:rsidR="00FD6B4E" w:rsidRPr="004311F9" w:rsidRDefault="00FD6B4E" w:rsidP="00FD6B4E">
      <w:pPr>
        <w:spacing w:line="240" w:lineRule="auto"/>
        <w:rPr>
          <w:rFonts w:eastAsia="Times New Roman"/>
          <w:szCs w:val="24"/>
          <w:lang w:val="hu-HU"/>
        </w:rPr>
      </w:pPr>
    </w:p>
    <w:p w14:paraId="2D3C6B7A" w14:textId="7181F084" w:rsidR="00E74F5A" w:rsidRPr="004311F9" w:rsidRDefault="00E74F5A" w:rsidP="00DC4CB1">
      <w:pPr>
        <w:spacing w:line="240" w:lineRule="auto"/>
        <w:rPr>
          <w:szCs w:val="24"/>
          <w:lang w:val="hu-HU"/>
        </w:rPr>
      </w:pPr>
      <w:r w:rsidRPr="004311F9">
        <w:rPr>
          <w:szCs w:val="24"/>
          <w:lang w:val="hu-HU"/>
        </w:rPr>
        <w:t>Hűtőszekrényben (2</w:t>
      </w:r>
      <w:r w:rsidR="00EA29A3" w:rsidRPr="004311F9">
        <w:rPr>
          <w:szCs w:val="24"/>
          <w:lang w:val="hu-HU"/>
        </w:rPr>
        <w:t> </w:t>
      </w:r>
      <w:r w:rsidRPr="004311F9">
        <w:rPr>
          <w:szCs w:val="24"/>
          <w:lang w:val="hu-HU"/>
        </w:rPr>
        <w:t>°C–8</w:t>
      </w:r>
      <w:r w:rsidR="00EA29A3" w:rsidRPr="004311F9">
        <w:rPr>
          <w:szCs w:val="24"/>
          <w:lang w:val="hu-HU"/>
        </w:rPr>
        <w:t> </w:t>
      </w:r>
      <w:r w:rsidRPr="004311F9">
        <w:rPr>
          <w:szCs w:val="24"/>
          <w:lang w:val="hu-HU"/>
        </w:rPr>
        <w:t>°C) tárolandó. Nem fagyasztható! A fénytől való védelem érdekében az eredeti csomagolásban tárolandó.</w:t>
      </w:r>
    </w:p>
    <w:p w14:paraId="01F3FE9E" w14:textId="77777777" w:rsidR="00E74F5A" w:rsidRPr="004311F9" w:rsidRDefault="00E74F5A" w:rsidP="00DC4CB1">
      <w:pPr>
        <w:spacing w:line="240" w:lineRule="auto"/>
        <w:rPr>
          <w:rFonts w:eastAsia="Times New Roman"/>
          <w:szCs w:val="24"/>
          <w:lang w:val="hu-HU"/>
        </w:rPr>
      </w:pPr>
    </w:p>
    <w:p w14:paraId="087B97F8" w14:textId="76CE5761" w:rsidR="00E74F5A" w:rsidRPr="004311F9" w:rsidRDefault="00E74F5A" w:rsidP="00DC4CB1">
      <w:pPr>
        <w:spacing w:line="240" w:lineRule="auto"/>
        <w:rPr>
          <w:szCs w:val="24"/>
          <w:lang w:val="hu-HU"/>
        </w:rPr>
      </w:pPr>
      <w:r w:rsidRPr="004311F9">
        <w:rPr>
          <w:szCs w:val="24"/>
          <w:lang w:val="hu-HU"/>
        </w:rPr>
        <w:t>Másik lehetőségként az ALPROLIX tárolható szobahőmérsékleten (legfeljebb 30</w:t>
      </w:r>
      <w:r w:rsidR="00EA29A3" w:rsidRPr="004311F9">
        <w:rPr>
          <w:szCs w:val="24"/>
          <w:lang w:val="hu-HU"/>
        </w:rPr>
        <w:t> </w:t>
      </w:r>
      <w:r w:rsidRPr="004311F9">
        <w:rPr>
          <w:szCs w:val="24"/>
          <w:lang w:val="hu-HU"/>
        </w:rPr>
        <w:t>°C</w:t>
      </w:r>
      <w:r w:rsidRPr="004311F9">
        <w:rPr>
          <w:szCs w:val="24"/>
          <w:lang w:val="hu-HU"/>
        </w:rPr>
        <w:noBreakHyphen/>
        <w:t>on), 6 hónapot meg nem haladó egyszeri időtartamban. Az ALPROLIX hűtőszekrényből való kivételének és szobahőmérsékletre helyezésének dátumát jegyezze fel a dobozra. Szobahőmérsékleten történt tárolás után a készítményt tilos visszatenni a hűtőszekrénybe.</w:t>
      </w:r>
    </w:p>
    <w:p w14:paraId="0881AACA" w14:textId="77777777" w:rsidR="00E74F5A" w:rsidRPr="004311F9" w:rsidRDefault="00E74F5A" w:rsidP="00DC4CB1">
      <w:pPr>
        <w:spacing w:line="240" w:lineRule="auto"/>
        <w:rPr>
          <w:rFonts w:eastAsia="Times New Roman"/>
          <w:szCs w:val="24"/>
          <w:lang w:val="hu-HU"/>
        </w:rPr>
      </w:pPr>
    </w:p>
    <w:p w14:paraId="230C706D" w14:textId="4D7D92CD" w:rsidR="00E74F5A" w:rsidRPr="004311F9" w:rsidRDefault="00E74F5A" w:rsidP="00DC4CB1">
      <w:pPr>
        <w:spacing w:line="240" w:lineRule="auto"/>
        <w:rPr>
          <w:szCs w:val="24"/>
          <w:lang w:val="hu-HU"/>
        </w:rPr>
      </w:pPr>
      <w:r w:rsidRPr="004311F9">
        <w:rPr>
          <w:szCs w:val="24"/>
          <w:lang w:val="hu-HU"/>
        </w:rPr>
        <w:t>Az ALPROLIX</w:t>
      </w:r>
      <w:r w:rsidRPr="004311F9">
        <w:rPr>
          <w:szCs w:val="24"/>
          <w:lang w:val="hu-HU"/>
        </w:rPr>
        <w:noBreakHyphen/>
        <w:t>ot elkészítése után azonnal fel kell használni. Ha azonnal nem tudja felhasználni az elkészített oldatot, akkor szobahőmérsékleten történő tárolás esetén 6 órán belül kell felhasználni. Az oldat elkészítése után hűtőszekrényben nem tárolható! Az oldat közvetlen napfénytől védve tartandó.</w:t>
      </w:r>
    </w:p>
    <w:p w14:paraId="2F41D014" w14:textId="77777777" w:rsidR="00E74F5A" w:rsidRPr="004311F9" w:rsidRDefault="00E74F5A" w:rsidP="00DC4CB1">
      <w:pPr>
        <w:spacing w:line="240" w:lineRule="auto"/>
        <w:rPr>
          <w:rFonts w:eastAsia="Times New Roman"/>
          <w:szCs w:val="24"/>
          <w:lang w:val="hu-HU"/>
        </w:rPr>
      </w:pPr>
    </w:p>
    <w:p w14:paraId="0AD857E0" w14:textId="77777777" w:rsidR="00E74F5A" w:rsidRPr="004311F9" w:rsidRDefault="00E74F5A" w:rsidP="00DC4CB1">
      <w:pPr>
        <w:spacing w:line="240" w:lineRule="auto"/>
        <w:rPr>
          <w:szCs w:val="24"/>
          <w:lang w:val="hu-HU"/>
        </w:rPr>
      </w:pPr>
      <w:r w:rsidRPr="004311F9">
        <w:rPr>
          <w:szCs w:val="24"/>
          <w:lang w:val="hu-HU"/>
        </w:rPr>
        <w:t>Az elkészített oldat tiszta vagy enyhén opálos és színtelen lesz. Ne alkalmazza ezt a gyógyszert, ha zavaros vagy látható részecskéket tartalmaz.</w:t>
      </w:r>
    </w:p>
    <w:p w14:paraId="28AFE03A" w14:textId="77777777" w:rsidR="00E74F5A" w:rsidRPr="004311F9" w:rsidRDefault="00E74F5A" w:rsidP="00DC4CB1">
      <w:pPr>
        <w:spacing w:line="240" w:lineRule="auto"/>
        <w:rPr>
          <w:rFonts w:eastAsia="Times New Roman"/>
          <w:szCs w:val="24"/>
          <w:lang w:val="hu-HU"/>
        </w:rPr>
      </w:pPr>
    </w:p>
    <w:p w14:paraId="7E39DF38" w14:textId="77777777" w:rsidR="00E74F5A" w:rsidRPr="004311F9" w:rsidRDefault="00E74F5A" w:rsidP="00DC4CB1">
      <w:pPr>
        <w:spacing w:line="240" w:lineRule="auto"/>
        <w:rPr>
          <w:rFonts w:eastAsia="Times New Roman"/>
          <w:szCs w:val="24"/>
          <w:lang w:val="hu-HU"/>
        </w:rPr>
      </w:pPr>
      <w:r w:rsidRPr="004311F9">
        <w:rPr>
          <w:rFonts w:eastAsia="Times New Roman"/>
          <w:szCs w:val="24"/>
          <w:lang w:val="hu-HU"/>
        </w:rPr>
        <w:t>A készítmény kizárólag egyszeri használatra szolgál.</w:t>
      </w:r>
    </w:p>
    <w:p w14:paraId="0D35527F" w14:textId="77777777" w:rsidR="00E74F5A" w:rsidRPr="004311F9" w:rsidRDefault="00E74F5A" w:rsidP="00DC4CB1">
      <w:pPr>
        <w:spacing w:line="240" w:lineRule="auto"/>
        <w:rPr>
          <w:rFonts w:eastAsia="Times New Roman"/>
          <w:szCs w:val="24"/>
          <w:lang w:val="hu-HU"/>
        </w:rPr>
      </w:pPr>
    </w:p>
    <w:p w14:paraId="51AA7C05" w14:textId="5375F268" w:rsidR="00E74F5A" w:rsidRPr="004311F9" w:rsidRDefault="00E74F5A" w:rsidP="00DC4CB1">
      <w:pPr>
        <w:spacing w:line="240" w:lineRule="auto"/>
        <w:rPr>
          <w:szCs w:val="24"/>
          <w:lang w:val="hu-HU"/>
        </w:rPr>
      </w:pPr>
      <w:r w:rsidRPr="004311F9">
        <w:rPr>
          <w:szCs w:val="24"/>
          <w:lang w:val="hu-HU"/>
        </w:rPr>
        <w:t>A fel nem használt oldatot megfelelő módon ki kell dobni. Semmilyen gyógyszert ne dobjon a szennyvízbe vagy a háztartási hulladékba. Kérdezze meg gyógyszerészét, hogy mit tegyen a már nem használt gyógyszereivel. Ezek az intézkedések elősegítik a környezet védelmét.</w:t>
      </w:r>
    </w:p>
    <w:p w14:paraId="1464BA44" w14:textId="77777777" w:rsidR="00E74F5A" w:rsidRPr="004311F9" w:rsidRDefault="00E74F5A" w:rsidP="00224CF7">
      <w:pPr>
        <w:spacing w:line="240" w:lineRule="auto"/>
        <w:rPr>
          <w:rFonts w:eastAsia="Times New Roman"/>
          <w:szCs w:val="24"/>
          <w:lang w:val="hu-HU"/>
        </w:rPr>
      </w:pPr>
    </w:p>
    <w:p w14:paraId="774A6C23" w14:textId="77777777" w:rsidR="00E74F5A" w:rsidRPr="004311F9" w:rsidRDefault="00E74F5A" w:rsidP="00DC4CB1">
      <w:pPr>
        <w:numPr>
          <w:ilvl w:val="12"/>
          <w:numId w:val="0"/>
        </w:numPr>
        <w:spacing w:line="240" w:lineRule="auto"/>
        <w:ind w:right="-2"/>
        <w:rPr>
          <w:rFonts w:eastAsia="Times New Roman"/>
          <w:b/>
          <w:szCs w:val="24"/>
          <w:lang w:val="hu-HU"/>
        </w:rPr>
      </w:pPr>
    </w:p>
    <w:p w14:paraId="7D2365B6" w14:textId="77777777" w:rsidR="00E74F5A" w:rsidRPr="004311F9" w:rsidRDefault="00E74F5A" w:rsidP="00DC4CB1">
      <w:pPr>
        <w:pStyle w:val="ListParagraph1"/>
        <w:keepNext/>
        <w:ind w:left="567" w:hanging="567"/>
        <w:rPr>
          <w:rFonts w:eastAsia="Times New Roman"/>
          <w:b/>
          <w:sz w:val="22"/>
          <w:lang w:val="hu-HU"/>
        </w:rPr>
      </w:pPr>
      <w:r w:rsidRPr="004311F9">
        <w:rPr>
          <w:rFonts w:eastAsia="Times New Roman"/>
          <w:b/>
          <w:sz w:val="22"/>
          <w:lang w:val="hu-HU"/>
        </w:rPr>
        <w:lastRenderedPageBreak/>
        <w:t>6.</w:t>
      </w:r>
      <w:r w:rsidRPr="004311F9">
        <w:rPr>
          <w:rFonts w:eastAsia="Times New Roman"/>
          <w:b/>
          <w:sz w:val="22"/>
          <w:lang w:val="hu-HU"/>
        </w:rPr>
        <w:tab/>
        <w:t>A csomagolás tartalma és egyéb információk</w:t>
      </w:r>
    </w:p>
    <w:p w14:paraId="5201DFA4" w14:textId="77777777" w:rsidR="00E74F5A" w:rsidRPr="004311F9" w:rsidRDefault="00E74F5A" w:rsidP="00DC4CB1">
      <w:pPr>
        <w:keepNext/>
        <w:spacing w:line="240" w:lineRule="auto"/>
        <w:rPr>
          <w:rFonts w:eastAsia="Times New Roman"/>
          <w:b/>
          <w:szCs w:val="24"/>
          <w:lang w:val="hu-HU"/>
        </w:rPr>
      </w:pPr>
    </w:p>
    <w:p w14:paraId="2CED7F67" w14:textId="77777777" w:rsidR="00E74F5A" w:rsidRPr="004311F9" w:rsidRDefault="00E74F5A" w:rsidP="00DC4CB1">
      <w:pPr>
        <w:keepNext/>
        <w:spacing w:line="240" w:lineRule="auto"/>
        <w:rPr>
          <w:b/>
          <w:szCs w:val="24"/>
          <w:lang w:val="hu-HU"/>
        </w:rPr>
      </w:pPr>
      <w:r w:rsidRPr="004311F9">
        <w:rPr>
          <w:b/>
          <w:szCs w:val="24"/>
          <w:lang w:val="hu-HU"/>
        </w:rPr>
        <w:t>Mit tartalmaz az ALPROLIX?</w:t>
      </w:r>
    </w:p>
    <w:p w14:paraId="2E3D70AE" w14:textId="77777777" w:rsidR="00E74F5A" w:rsidRPr="004311F9" w:rsidRDefault="00E74F5A" w:rsidP="00DC4CB1">
      <w:pPr>
        <w:keepNext/>
        <w:spacing w:line="240" w:lineRule="auto"/>
        <w:rPr>
          <w:szCs w:val="24"/>
          <w:u w:val="single"/>
          <w:lang w:val="hu-HU"/>
        </w:rPr>
      </w:pPr>
      <w:r w:rsidRPr="004311F9">
        <w:rPr>
          <w:szCs w:val="24"/>
          <w:u w:val="single"/>
          <w:lang w:val="hu-HU"/>
        </w:rPr>
        <w:t>Por:</w:t>
      </w:r>
    </w:p>
    <w:p w14:paraId="06188A06" w14:textId="77777777" w:rsidR="00E74F5A" w:rsidRPr="004311F9" w:rsidRDefault="00E74F5A" w:rsidP="00DC4CB1">
      <w:pPr>
        <w:numPr>
          <w:ilvl w:val="0"/>
          <w:numId w:val="6"/>
        </w:numPr>
        <w:spacing w:line="240" w:lineRule="auto"/>
        <w:ind w:left="567" w:hanging="567"/>
        <w:rPr>
          <w:szCs w:val="24"/>
          <w:lang w:val="hu-HU"/>
        </w:rPr>
      </w:pPr>
      <w:r w:rsidRPr="004311F9">
        <w:rPr>
          <w:szCs w:val="24"/>
          <w:lang w:val="hu-HU"/>
        </w:rPr>
        <w:t>A készítmény hatóanyaga az eftrenonakog</w:t>
      </w:r>
      <w:r w:rsidRPr="004311F9">
        <w:rPr>
          <w:szCs w:val="24"/>
          <w:lang w:val="hu-HU"/>
        </w:rPr>
        <w:noBreakHyphen/>
        <w:t>alfa (rekombináns IX</w:t>
      </w:r>
      <w:r w:rsidRPr="004311F9">
        <w:rPr>
          <w:szCs w:val="24"/>
          <w:lang w:val="hu-HU"/>
        </w:rPr>
        <w:noBreakHyphen/>
        <w:t>es alvadási faktor, Fc fúziós fehérje). Az ALPROLIX névlegesen 250, 500, 1000, 2000 vagy 3000 NE eftrenonakog</w:t>
      </w:r>
      <w:r w:rsidRPr="004311F9">
        <w:rPr>
          <w:szCs w:val="24"/>
          <w:lang w:val="hu-HU"/>
        </w:rPr>
        <w:noBreakHyphen/>
        <w:t>alfát tartalmaz injekciós üvegenként.</w:t>
      </w:r>
    </w:p>
    <w:p w14:paraId="7673AE3E" w14:textId="6575AE38" w:rsidR="00E74F5A" w:rsidRPr="004311F9" w:rsidRDefault="00E74F5A" w:rsidP="00DC4CB1">
      <w:pPr>
        <w:numPr>
          <w:ilvl w:val="0"/>
          <w:numId w:val="6"/>
        </w:numPr>
        <w:spacing w:line="240" w:lineRule="auto"/>
        <w:ind w:left="567" w:hanging="567"/>
        <w:rPr>
          <w:szCs w:val="24"/>
          <w:lang w:val="hu-HU"/>
        </w:rPr>
      </w:pPr>
      <w:r w:rsidRPr="004311F9">
        <w:rPr>
          <w:szCs w:val="24"/>
          <w:lang w:val="hu-HU"/>
        </w:rPr>
        <w:t>Egyéb összetevők a szacharóz, hisztidin, mannit, poliszorbát 20, nátrium</w:t>
      </w:r>
      <w:r w:rsidRPr="004311F9">
        <w:rPr>
          <w:szCs w:val="24"/>
          <w:lang w:val="hu-HU"/>
        </w:rPr>
        <w:noBreakHyphen/>
        <w:t>hidroxid és sósav. Amennyiben Ön csökkentett nátriumtartalmú étrendet tart, lásd a 2. pontot.</w:t>
      </w:r>
    </w:p>
    <w:p w14:paraId="4EF064DA" w14:textId="77777777" w:rsidR="00E74F5A" w:rsidRPr="004311F9" w:rsidRDefault="00E74F5A" w:rsidP="00DC4CB1">
      <w:pPr>
        <w:spacing w:line="240" w:lineRule="auto"/>
        <w:rPr>
          <w:rFonts w:eastAsia="Times New Roman"/>
          <w:szCs w:val="24"/>
          <w:u w:val="single"/>
          <w:lang w:val="hu-HU"/>
        </w:rPr>
      </w:pPr>
    </w:p>
    <w:p w14:paraId="7759E16C" w14:textId="77777777" w:rsidR="00E74F5A" w:rsidRPr="004311F9" w:rsidRDefault="00E74F5A" w:rsidP="00DC4CB1">
      <w:pPr>
        <w:keepNext/>
        <w:spacing w:line="240" w:lineRule="auto"/>
        <w:rPr>
          <w:szCs w:val="24"/>
          <w:u w:val="single"/>
          <w:lang w:val="hu-HU"/>
        </w:rPr>
      </w:pPr>
      <w:r w:rsidRPr="004311F9">
        <w:rPr>
          <w:szCs w:val="24"/>
          <w:u w:val="single"/>
          <w:lang w:val="hu-HU"/>
        </w:rPr>
        <w:t>Oldószer:</w:t>
      </w:r>
    </w:p>
    <w:p w14:paraId="4E29F175" w14:textId="77777777" w:rsidR="00E74F5A" w:rsidRPr="004311F9" w:rsidRDefault="00E74F5A" w:rsidP="00DC4CB1">
      <w:pPr>
        <w:autoSpaceDE w:val="0"/>
        <w:autoSpaceDN w:val="0"/>
        <w:adjustRightInd w:val="0"/>
        <w:spacing w:line="240" w:lineRule="auto"/>
        <w:rPr>
          <w:szCs w:val="24"/>
          <w:lang w:val="hu-HU"/>
        </w:rPr>
      </w:pPr>
      <w:r w:rsidRPr="004311F9">
        <w:rPr>
          <w:szCs w:val="24"/>
          <w:lang w:val="hu-HU"/>
        </w:rPr>
        <w:t>5 ml nátrium</w:t>
      </w:r>
      <w:r w:rsidRPr="004311F9">
        <w:rPr>
          <w:szCs w:val="24"/>
          <w:lang w:val="hu-HU"/>
        </w:rPr>
        <w:noBreakHyphen/>
        <w:t>klorid és injekcióhoz való víz.</w:t>
      </w:r>
    </w:p>
    <w:p w14:paraId="3A20EDD8" w14:textId="77777777" w:rsidR="00E74F5A" w:rsidRPr="004311F9" w:rsidRDefault="00E74F5A" w:rsidP="00DC4CB1">
      <w:pPr>
        <w:spacing w:line="240" w:lineRule="auto"/>
        <w:rPr>
          <w:szCs w:val="24"/>
          <w:lang w:val="hu-HU"/>
        </w:rPr>
      </w:pPr>
    </w:p>
    <w:p w14:paraId="1C51573B" w14:textId="77777777" w:rsidR="00E74F5A" w:rsidRPr="004311F9" w:rsidRDefault="00E74F5A" w:rsidP="00DC4CB1">
      <w:pPr>
        <w:keepNext/>
        <w:spacing w:line="240" w:lineRule="auto"/>
        <w:rPr>
          <w:b/>
          <w:szCs w:val="24"/>
          <w:lang w:val="hu-HU"/>
        </w:rPr>
      </w:pPr>
      <w:r w:rsidRPr="004311F9">
        <w:rPr>
          <w:b/>
          <w:szCs w:val="24"/>
          <w:lang w:val="hu-HU"/>
        </w:rPr>
        <w:t>Milyen az ALPROLIX külleme és mit tartalmaz a csomagolás?</w:t>
      </w:r>
    </w:p>
    <w:p w14:paraId="778C2B27" w14:textId="7700338D" w:rsidR="00E74F5A" w:rsidRPr="004311F9" w:rsidRDefault="00E74F5A" w:rsidP="00DC4CB1">
      <w:pPr>
        <w:numPr>
          <w:ilvl w:val="12"/>
          <w:numId w:val="0"/>
        </w:numPr>
        <w:spacing w:line="240" w:lineRule="auto"/>
        <w:ind w:right="-2"/>
        <w:rPr>
          <w:szCs w:val="24"/>
          <w:lang w:val="hu-HU"/>
        </w:rPr>
      </w:pPr>
      <w:r w:rsidRPr="004311F9">
        <w:rPr>
          <w:szCs w:val="24"/>
          <w:lang w:val="hu-HU"/>
        </w:rPr>
        <w:t>Az ALPROLIX oldatos injekcióhoz való por és oldószer formájában kerül forgalomba. A por fehér vagy törtfehér por vagy pogácsa. A</w:t>
      </w:r>
      <w:r w:rsidR="00CC71B3" w:rsidRPr="004311F9">
        <w:rPr>
          <w:szCs w:val="24"/>
          <w:lang w:val="hu-HU"/>
        </w:rPr>
        <w:t>z</w:t>
      </w:r>
      <w:r w:rsidRPr="004311F9">
        <w:rPr>
          <w:szCs w:val="24"/>
          <w:lang w:val="hu-HU"/>
        </w:rPr>
        <w:t xml:space="preserve"> oldat elkészítéséhez biztosított oldószer tiszta, színtelen oldat. Elkészítése után a</w:t>
      </w:r>
      <w:r w:rsidR="00CC71B3" w:rsidRPr="004311F9">
        <w:rPr>
          <w:szCs w:val="24"/>
          <w:lang w:val="hu-HU"/>
        </w:rPr>
        <w:t>z</w:t>
      </w:r>
      <w:r w:rsidRPr="004311F9">
        <w:rPr>
          <w:szCs w:val="24"/>
          <w:lang w:val="hu-HU"/>
        </w:rPr>
        <w:t xml:space="preserve"> oldat tiszta vagy enyhén opálos és színtelen.</w:t>
      </w:r>
    </w:p>
    <w:p w14:paraId="57606443" w14:textId="77777777" w:rsidR="00E74F5A" w:rsidRPr="004311F9" w:rsidRDefault="00E74F5A" w:rsidP="00DC4CB1">
      <w:pPr>
        <w:numPr>
          <w:ilvl w:val="12"/>
          <w:numId w:val="0"/>
        </w:numPr>
        <w:spacing w:line="240" w:lineRule="auto"/>
        <w:ind w:right="-2"/>
        <w:rPr>
          <w:rFonts w:eastAsia="Times New Roman"/>
          <w:szCs w:val="24"/>
          <w:lang w:val="hu-HU"/>
        </w:rPr>
      </w:pPr>
    </w:p>
    <w:p w14:paraId="27F34A2A" w14:textId="77777777" w:rsidR="00E74F5A" w:rsidRPr="004311F9" w:rsidRDefault="00E74F5A" w:rsidP="00DC4CB1">
      <w:pPr>
        <w:spacing w:line="240" w:lineRule="auto"/>
        <w:rPr>
          <w:szCs w:val="24"/>
          <w:lang w:val="hu-HU"/>
        </w:rPr>
      </w:pPr>
      <w:r w:rsidRPr="004311F9">
        <w:rPr>
          <w:szCs w:val="24"/>
          <w:lang w:val="hu-HU"/>
        </w:rPr>
        <w:t>Az ALPROLIX minden csomagja a következőket tartalmazza: 1 db port tartalmazó injekciós üveget, 5 ml oldószert előretöltött fecskendőben, 1 db dugattyúrudat, 1 db injekciósüveg</w:t>
      </w:r>
      <w:r w:rsidRPr="004311F9">
        <w:rPr>
          <w:szCs w:val="24"/>
          <w:lang w:val="hu-HU"/>
        </w:rPr>
        <w:noBreakHyphen/>
        <w:t>adaptert, 1 db infúziós szereléket, 2 db alkoholos törlőt, 2 db ragtapaszt, 1 db gézlapot.</w:t>
      </w:r>
    </w:p>
    <w:p w14:paraId="3B70EF58" w14:textId="77777777" w:rsidR="00E74F5A" w:rsidRPr="004311F9" w:rsidRDefault="00E74F5A" w:rsidP="00DC4CB1">
      <w:pPr>
        <w:spacing w:line="240" w:lineRule="auto"/>
        <w:rPr>
          <w:rFonts w:eastAsia="Times New Roman"/>
          <w:szCs w:val="24"/>
          <w:lang w:val="hu-HU"/>
        </w:rPr>
      </w:pPr>
    </w:p>
    <w:p w14:paraId="769AE4BF" w14:textId="77777777" w:rsidR="00E74F5A" w:rsidRPr="004311F9" w:rsidRDefault="00E74F5A" w:rsidP="00DC4CB1">
      <w:pPr>
        <w:keepNext/>
        <w:spacing w:line="240" w:lineRule="auto"/>
        <w:rPr>
          <w:b/>
          <w:szCs w:val="24"/>
          <w:lang w:val="hu-HU"/>
        </w:rPr>
      </w:pPr>
      <w:r w:rsidRPr="004311F9">
        <w:rPr>
          <w:b/>
          <w:szCs w:val="24"/>
          <w:lang w:val="hu-HU"/>
        </w:rPr>
        <w:t>A forgalomba hozatali engedély jogosultja és gyártó</w:t>
      </w:r>
    </w:p>
    <w:p w14:paraId="2F46752A" w14:textId="77777777" w:rsidR="00E74F5A" w:rsidRPr="004311F9" w:rsidRDefault="00E74F5A" w:rsidP="00DC4CB1">
      <w:pPr>
        <w:keepNext/>
        <w:spacing w:line="240" w:lineRule="auto"/>
        <w:rPr>
          <w:szCs w:val="24"/>
          <w:lang w:val="hu-HU"/>
        </w:rPr>
      </w:pPr>
      <w:r w:rsidRPr="004311F9">
        <w:rPr>
          <w:szCs w:val="24"/>
          <w:lang w:val="hu-HU"/>
        </w:rPr>
        <w:t>Swedish Orphan Biovitrum AB (publ)</w:t>
      </w:r>
    </w:p>
    <w:p w14:paraId="3D0996D0" w14:textId="77777777" w:rsidR="00E74F5A" w:rsidRPr="004311F9" w:rsidRDefault="00E74F5A" w:rsidP="00DC4CB1">
      <w:pPr>
        <w:keepNext/>
        <w:spacing w:line="240" w:lineRule="auto"/>
        <w:rPr>
          <w:szCs w:val="24"/>
          <w:lang w:val="hu-HU"/>
        </w:rPr>
      </w:pPr>
      <w:r w:rsidRPr="004311F9">
        <w:rPr>
          <w:szCs w:val="24"/>
          <w:lang w:val="hu-HU"/>
        </w:rPr>
        <w:t>SE</w:t>
      </w:r>
      <w:r w:rsidRPr="004311F9">
        <w:rPr>
          <w:szCs w:val="24"/>
          <w:lang w:val="hu-HU"/>
        </w:rPr>
        <w:noBreakHyphen/>
        <w:t>112 76 Stockholm</w:t>
      </w:r>
    </w:p>
    <w:p w14:paraId="33EB7923" w14:textId="77777777" w:rsidR="00E74F5A" w:rsidRPr="004311F9" w:rsidRDefault="00E74F5A" w:rsidP="00DC4CB1">
      <w:pPr>
        <w:spacing w:line="240" w:lineRule="auto"/>
        <w:rPr>
          <w:szCs w:val="24"/>
          <w:lang w:val="hu-HU"/>
        </w:rPr>
      </w:pPr>
      <w:r w:rsidRPr="004311F9">
        <w:rPr>
          <w:szCs w:val="24"/>
          <w:lang w:val="hu-HU"/>
        </w:rPr>
        <w:t>Svédország</w:t>
      </w:r>
    </w:p>
    <w:p w14:paraId="6B9309CE" w14:textId="77777777" w:rsidR="00E74F5A" w:rsidRPr="004311F9" w:rsidRDefault="00E74F5A" w:rsidP="00DC4CB1">
      <w:pPr>
        <w:spacing w:line="240" w:lineRule="auto"/>
        <w:rPr>
          <w:szCs w:val="24"/>
          <w:lang w:val="hu-HU"/>
        </w:rPr>
      </w:pPr>
      <w:r w:rsidRPr="004311F9">
        <w:rPr>
          <w:szCs w:val="24"/>
          <w:lang w:val="hu-HU"/>
        </w:rPr>
        <w:t>Telefonszám: +</w:t>
      </w:r>
      <w:r w:rsidRPr="004311F9">
        <w:rPr>
          <w:lang w:val="hu-HU"/>
        </w:rPr>
        <w:t>46 8 697 20 00</w:t>
      </w:r>
    </w:p>
    <w:p w14:paraId="02EC18BA" w14:textId="77777777" w:rsidR="00E74F5A" w:rsidRPr="004311F9" w:rsidRDefault="00E74F5A" w:rsidP="00DC4CB1">
      <w:pPr>
        <w:spacing w:line="240" w:lineRule="auto"/>
        <w:rPr>
          <w:rFonts w:eastAsia="Times New Roman"/>
          <w:szCs w:val="24"/>
          <w:lang w:val="hu-HU"/>
        </w:rPr>
      </w:pPr>
    </w:p>
    <w:p w14:paraId="367D58D5" w14:textId="77777777" w:rsidR="00E74F5A" w:rsidRPr="004311F9" w:rsidRDefault="00E74F5A" w:rsidP="00DC4CB1">
      <w:pPr>
        <w:spacing w:line="240" w:lineRule="auto"/>
        <w:rPr>
          <w:rFonts w:eastAsia="Times New Roman"/>
          <w:szCs w:val="24"/>
          <w:lang w:val="hu-HU"/>
        </w:rPr>
      </w:pPr>
    </w:p>
    <w:p w14:paraId="01C5C53E" w14:textId="20F4E8F2" w:rsidR="00E74F5A" w:rsidRPr="004311F9" w:rsidRDefault="00E74F5A" w:rsidP="00DC4CB1">
      <w:pPr>
        <w:keepNext/>
        <w:spacing w:line="240" w:lineRule="auto"/>
        <w:rPr>
          <w:b/>
          <w:szCs w:val="24"/>
          <w:lang w:val="hu-HU"/>
        </w:rPr>
      </w:pPr>
      <w:r w:rsidRPr="004311F9">
        <w:rPr>
          <w:b/>
          <w:szCs w:val="24"/>
          <w:lang w:val="hu-HU"/>
        </w:rPr>
        <w:t xml:space="preserve">A betegtájékoztató legutóbbi felülvizsgálatának dátuma: </w:t>
      </w:r>
    </w:p>
    <w:p w14:paraId="1B2C882F" w14:textId="77777777" w:rsidR="00E74F5A" w:rsidRPr="004311F9" w:rsidRDefault="00E74F5A" w:rsidP="00DC4CB1">
      <w:pPr>
        <w:keepNext/>
        <w:spacing w:line="240" w:lineRule="auto"/>
        <w:rPr>
          <w:rFonts w:eastAsia="Times New Roman"/>
          <w:b/>
          <w:szCs w:val="24"/>
          <w:lang w:val="hu-HU"/>
        </w:rPr>
      </w:pPr>
    </w:p>
    <w:p w14:paraId="16713072" w14:textId="77777777" w:rsidR="00E74F5A" w:rsidRPr="004311F9" w:rsidRDefault="00E74F5A" w:rsidP="00DC4CB1">
      <w:pPr>
        <w:spacing w:line="240" w:lineRule="auto"/>
        <w:rPr>
          <w:szCs w:val="24"/>
          <w:lang w:val="hu-HU"/>
        </w:rPr>
      </w:pPr>
      <w:r w:rsidRPr="004311F9">
        <w:rPr>
          <w:szCs w:val="24"/>
          <w:lang w:val="hu-HU"/>
        </w:rPr>
        <w:t xml:space="preserve">A gyógyszerről részletes információ </w:t>
      </w:r>
      <w:r w:rsidRPr="004311F9">
        <w:rPr>
          <w:lang w:val="hu-HU"/>
        </w:rPr>
        <w:t xml:space="preserve">illetve ritka betegségekről és azok kezeléséről szóló honlapok címei </w:t>
      </w:r>
      <w:r w:rsidRPr="004311F9">
        <w:rPr>
          <w:szCs w:val="24"/>
          <w:lang w:val="hu-HU"/>
        </w:rPr>
        <w:t>az Európai Gyógyszerügynökség internetes honlapján (</w:t>
      </w:r>
      <w:hyperlink r:id="rId31" w:history="1">
        <w:r w:rsidRPr="004311F9">
          <w:rPr>
            <w:rStyle w:val="Hyperlink"/>
            <w:szCs w:val="24"/>
            <w:lang w:val="hu-HU"/>
          </w:rPr>
          <w:t>http://www.ema.europa.eu/</w:t>
        </w:r>
      </w:hyperlink>
      <w:r w:rsidRPr="004311F9">
        <w:rPr>
          <w:szCs w:val="24"/>
          <w:lang w:val="hu-HU"/>
        </w:rPr>
        <w:t>) található.</w:t>
      </w:r>
    </w:p>
    <w:p w14:paraId="0F5C46D4" w14:textId="77777777" w:rsidR="00E74F5A" w:rsidRPr="004311F9" w:rsidRDefault="00E74F5A" w:rsidP="00DC4CB1">
      <w:pPr>
        <w:spacing w:line="240" w:lineRule="auto"/>
        <w:rPr>
          <w:rFonts w:eastAsia="Times New Roman"/>
          <w:szCs w:val="24"/>
          <w:lang w:val="hu-HU"/>
        </w:rPr>
      </w:pPr>
    </w:p>
    <w:p w14:paraId="6215FC72" w14:textId="77777777" w:rsidR="00E74F5A" w:rsidRPr="004311F9" w:rsidRDefault="00E74F5A" w:rsidP="00D70CEB">
      <w:pPr>
        <w:spacing w:line="240" w:lineRule="auto"/>
        <w:rPr>
          <w:szCs w:val="24"/>
          <w:lang w:val="hu-HU"/>
        </w:rPr>
      </w:pPr>
      <w:r w:rsidRPr="004311F9">
        <w:rPr>
          <w:szCs w:val="24"/>
          <w:lang w:val="hu-HU"/>
        </w:rPr>
        <w:t>Kérjük, fordítsa meg a betegtájékoztatót, és olvassa el a 7. Az elkészítésre és beadásra vonatkozó utasítások című pontot.</w:t>
      </w:r>
    </w:p>
    <w:p w14:paraId="00827B8F" w14:textId="77777777" w:rsidR="00E74F5A" w:rsidRPr="004311F9" w:rsidRDefault="00E74F5A" w:rsidP="00D70CEB">
      <w:pPr>
        <w:spacing w:line="240" w:lineRule="auto"/>
        <w:rPr>
          <w:szCs w:val="24"/>
          <w:lang w:val="hu-HU"/>
        </w:rPr>
      </w:pPr>
    </w:p>
    <w:p w14:paraId="28CABDC5" w14:textId="77777777" w:rsidR="00E74F5A" w:rsidRPr="004311F9" w:rsidRDefault="00E74F5A" w:rsidP="00D70CEB">
      <w:pPr>
        <w:spacing w:line="240" w:lineRule="auto"/>
        <w:rPr>
          <w:szCs w:val="24"/>
          <w:lang w:val="hu-HU"/>
        </w:rPr>
      </w:pPr>
    </w:p>
    <w:p w14:paraId="04DEF77A" w14:textId="77777777" w:rsidR="00E74F5A" w:rsidRPr="004311F9" w:rsidRDefault="00E74F5A" w:rsidP="00DC4CB1">
      <w:pPr>
        <w:keepNext/>
        <w:spacing w:line="240" w:lineRule="auto"/>
        <w:rPr>
          <w:b/>
          <w:szCs w:val="24"/>
          <w:lang w:val="hu-HU"/>
        </w:rPr>
      </w:pPr>
      <w:r w:rsidRPr="004311F9">
        <w:rPr>
          <w:b/>
          <w:szCs w:val="24"/>
          <w:lang w:val="hu-HU"/>
        </w:rPr>
        <w:lastRenderedPageBreak/>
        <w:t>7.</w:t>
      </w:r>
      <w:r w:rsidRPr="004311F9">
        <w:rPr>
          <w:b/>
          <w:szCs w:val="24"/>
          <w:lang w:val="hu-HU"/>
        </w:rPr>
        <w:tab/>
        <w:t>Az elkészítésre és beadásra vonatkozó utasítások</w:t>
      </w:r>
    </w:p>
    <w:p w14:paraId="78C8B82E" w14:textId="77777777" w:rsidR="00E74F5A" w:rsidRPr="004311F9" w:rsidRDefault="00E74F5A" w:rsidP="00DC4CB1">
      <w:pPr>
        <w:keepNext/>
        <w:spacing w:line="240" w:lineRule="auto"/>
        <w:rPr>
          <w:rFonts w:eastAsia="Times New Roman"/>
          <w:b/>
          <w:szCs w:val="24"/>
          <w:lang w:val="hu-HU"/>
        </w:rPr>
      </w:pPr>
    </w:p>
    <w:p w14:paraId="474EAF63" w14:textId="77777777" w:rsidR="00E74F5A" w:rsidRPr="004311F9" w:rsidRDefault="00E74F5A" w:rsidP="00DC4CB1">
      <w:pPr>
        <w:keepNext/>
        <w:spacing w:line="240" w:lineRule="auto"/>
        <w:rPr>
          <w:rFonts w:eastAsia="Times New Roman"/>
          <w:szCs w:val="24"/>
          <w:lang w:val="hu-HU"/>
        </w:rPr>
      </w:pPr>
      <w:r w:rsidRPr="004311F9">
        <w:rPr>
          <w:rFonts w:eastAsia="Times New Roman"/>
          <w:szCs w:val="24"/>
          <w:lang w:val="hu-HU"/>
        </w:rPr>
        <w:t>Az alábbi eljárás ismerteti az ALPROLIX elkészítését és beadását.</w:t>
      </w:r>
    </w:p>
    <w:p w14:paraId="30AB5623" w14:textId="77777777" w:rsidR="00E74F5A" w:rsidRPr="004311F9" w:rsidRDefault="00E74F5A" w:rsidP="00DC4CB1">
      <w:pPr>
        <w:keepNext/>
        <w:spacing w:line="240" w:lineRule="auto"/>
        <w:rPr>
          <w:rFonts w:eastAsia="Times New Roman"/>
          <w:b/>
          <w:szCs w:val="24"/>
          <w:lang w:val="hu-HU"/>
        </w:rPr>
      </w:pPr>
    </w:p>
    <w:p w14:paraId="38144924" w14:textId="77777777" w:rsidR="00E74F5A" w:rsidRPr="004311F9" w:rsidRDefault="00E74F5A" w:rsidP="00DC4CB1">
      <w:pPr>
        <w:keepNext/>
        <w:spacing w:line="240" w:lineRule="auto"/>
        <w:rPr>
          <w:szCs w:val="24"/>
          <w:lang w:val="hu-HU"/>
        </w:rPr>
      </w:pPr>
      <w:r w:rsidRPr="004311F9">
        <w:rPr>
          <w:szCs w:val="24"/>
          <w:lang w:val="hu-HU"/>
        </w:rPr>
        <w:t>Az ALPROLIX</w:t>
      </w:r>
      <w:r w:rsidRPr="004311F9">
        <w:rPr>
          <w:szCs w:val="24"/>
          <w:lang w:val="hu-HU"/>
        </w:rPr>
        <w:noBreakHyphen/>
        <w:t>ot intravénás (iv.) injekció formájában kell beadni, miután feloldották az injekcióhoz való port az előretöltött fecskendőben mellékelt oldószerrel. Az ALPROLIX csomag tartalma:</w:t>
      </w:r>
    </w:p>
    <w:p w14:paraId="7D46CE67" w14:textId="77777777" w:rsidR="00E74F5A" w:rsidRPr="004311F9" w:rsidRDefault="00E74F5A" w:rsidP="00DC4CB1">
      <w:pPr>
        <w:keepNext/>
        <w:spacing w:line="240" w:lineRule="auto"/>
        <w:rPr>
          <w:rFonts w:eastAsia="Times New Roman"/>
          <w:szCs w:val="24"/>
          <w:lang w:val="hu-HU"/>
        </w:rPr>
      </w:pPr>
    </w:p>
    <w:p w14:paraId="20694DF1" w14:textId="77777777" w:rsidR="00E74F5A" w:rsidRPr="004311F9" w:rsidRDefault="00E74F5A" w:rsidP="00DC4CB1">
      <w:pPr>
        <w:keepNext/>
        <w:numPr>
          <w:ilvl w:val="12"/>
          <w:numId w:val="0"/>
        </w:numPr>
        <w:spacing w:line="240" w:lineRule="auto"/>
        <w:rPr>
          <w:rFonts w:eastAsia="Times New Roman"/>
          <w:b/>
          <w:szCs w:val="24"/>
          <w:lang w:val="hu-HU"/>
        </w:rPr>
      </w:pPr>
    </w:p>
    <w:p w14:paraId="02DFC83B" w14:textId="77777777" w:rsidR="00E74F5A" w:rsidRPr="004311F9" w:rsidRDefault="00A806D4" w:rsidP="00DC4CB1">
      <w:pPr>
        <w:keepNext/>
        <w:numPr>
          <w:ilvl w:val="12"/>
          <w:numId w:val="0"/>
        </w:numPr>
        <w:spacing w:line="240" w:lineRule="auto"/>
        <w:rPr>
          <w:rFonts w:eastAsia="Times New Roman"/>
          <w:b/>
          <w:szCs w:val="24"/>
          <w:lang w:val="hu-HU"/>
        </w:rPr>
      </w:pPr>
      <w:r w:rsidRPr="004311F9">
        <w:rPr>
          <w:noProof/>
          <w:lang w:val="hu-HU"/>
        </w:rPr>
        <mc:AlternateContent>
          <mc:Choice Requires="wps">
            <w:drawing>
              <wp:anchor distT="0" distB="0" distL="114300" distR="114300" simplePos="0" relativeHeight="251650560" behindDoc="0" locked="0" layoutInCell="1" allowOverlap="1" wp14:anchorId="7CC063AC" wp14:editId="7BBCB897">
                <wp:simplePos x="0" y="0"/>
                <wp:positionH relativeFrom="column">
                  <wp:posOffset>3560445</wp:posOffset>
                </wp:positionH>
                <wp:positionV relativeFrom="paragraph">
                  <wp:posOffset>14605</wp:posOffset>
                </wp:positionV>
                <wp:extent cx="2514600" cy="1469390"/>
                <wp:effectExtent l="0" t="0" r="19050" b="1651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469390"/>
                        </a:xfrm>
                        <a:prstGeom prst="rect">
                          <a:avLst/>
                        </a:prstGeom>
                        <a:solidFill>
                          <a:srgbClr val="FFFFFF"/>
                        </a:solidFill>
                        <a:ln w="9525">
                          <a:solidFill>
                            <a:srgbClr val="000000"/>
                          </a:solidFill>
                          <a:miter lim="800000"/>
                          <a:headEnd/>
                          <a:tailEnd/>
                        </a:ln>
                      </wps:spPr>
                      <wps:txbx>
                        <w:txbxContent>
                          <w:p w14:paraId="1982B13F" w14:textId="77777777" w:rsidR="001A2EB4" w:rsidRDefault="001A2EB4">
                            <w:pPr>
                              <w:rPr>
                                <w:sz w:val="20"/>
                                <w:lang w:val="en-US"/>
                              </w:rPr>
                            </w:pPr>
                            <w:r>
                              <w:rPr>
                                <w:sz w:val="20"/>
                                <w:lang w:val="en-US"/>
                              </w:rPr>
                              <w:t xml:space="preserve">A) </w:t>
                            </w:r>
                            <w:r>
                              <w:rPr>
                                <w:color w:val="000000"/>
                                <w:sz w:val="20"/>
                                <w:lang w:val="hu-HU"/>
                              </w:rPr>
                              <w:t>1 db port tartalmazó injekciós üveg</w:t>
                            </w:r>
                            <w:r>
                              <w:rPr>
                                <w:sz w:val="20"/>
                                <w:lang w:val="en-US"/>
                              </w:rPr>
                              <w:br/>
                              <w:t xml:space="preserve">B) </w:t>
                            </w:r>
                            <w:r>
                              <w:rPr>
                                <w:color w:val="000000"/>
                                <w:sz w:val="20"/>
                                <w:lang w:val="hu-HU"/>
                              </w:rPr>
                              <w:t>5 ml oldószer, előretöltött fecskendőben</w:t>
                            </w:r>
                            <w:r>
                              <w:rPr>
                                <w:sz w:val="20"/>
                                <w:lang w:val="en-US"/>
                              </w:rPr>
                              <w:br/>
                              <w:t xml:space="preserve">C) </w:t>
                            </w:r>
                            <w:r>
                              <w:rPr>
                                <w:color w:val="000000"/>
                                <w:sz w:val="20"/>
                                <w:lang w:val="hu-HU"/>
                              </w:rPr>
                              <w:t>1 db dugattyúrúd</w:t>
                            </w:r>
                            <w:r>
                              <w:rPr>
                                <w:sz w:val="20"/>
                                <w:lang w:val="en-US"/>
                              </w:rPr>
                              <w:br/>
                              <w:t xml:space="preserve">D) </w:t>
                            </w:r>
                            <w:r>
                              <w:rPr>
                                <w:color w:val="000000"/>
                                <w:sz w:val="20"/>
                                <w:lang w:val="hu-HU"/>
                              </w:rPr>
                              <w:t>1 db injekciósüveg</w:t>
                            </w:r>
                            <w:r>
                              <w:rPr>
                                <w:color w:val="000000"/>
                                <w:sz w:val="20"/>
                                <w:lang w:val="hu-HU"/>
                              </w:rPr>
                              <w:noBreakHyphen/>
                              <w:t>adapter</w:t>
                            </w:r>
                            <w:r>
                              <w:rPr>
                                <w:sz w:val="20"/>
                                <w:lang w:val="en-US"/>
                              </w:rPr>
                              <w:br/>
                              <w:t xml:space="preserve">E) </w:t>
                            </w:r>
                            <w:r>
                              <w:rPr>
                                <w:color w:val="000000"/>
                                <w:sz w:val="20"/>
                                <w:lang w:val="hu-HU"/>
                              </w:rPr>
                              <w:t>1 db infúziós szerelék</w:t>
                            </w:r>
                            <w:r>
                              <w:rPr>
                                <w:sz w:val="20"/>
                                <w:lang w:val="en-US"/>
                              </w:rPr>
                              <w:br/>
                              <w:t xml:space="preserve">F) </w:t>
                            </w:r>
                            <w:r>
                              <w:rPr>
                                <w:color w:val="000000"/>
                                <w:sz w:val="20"/>
                                <w:lang w:val="hu-HU"/>
                              </w:rPr>
                              <w:t>2 db alkoholos törlő</w:t>
                            </w:r>
                            <w:r>
                              <w:rPr>
                                <w:sz w:val="20"/>
                                <w:lang w:val="en-US"/>
                              </w:rPr>
                              <w:br/>
                              <w:t xml:space="preserve">G) </w:t>
                            </w:r>
                            <w:r>
                              <w:rPr>
                                <w:color w:val="000000"/>
                                <w:sz w:val="20"/>
                                <w:lang w:val="hu-HU"/>
                              </w:rPr>
                              <w:t>2 db ragtapasz</w:t>
                            </w:r>
                            <w:r>
                              <w:rPr>
                                <w:sz w:val="20"/>
                                <w:lang w:val="en-US"/>
                              </w:rPr>
                              <w:br/>
                              <w:t xml:space="preserve">H) </w:t>
                            </w:r>
                            <w:r>
                              <w:rPr>
                                <w:color w:val="000000"/>
                                <w:sz w:val="20"/>
                                <w:lang w:val="hu-HU"/>
                              </w:rPr>
                              <w:t>1 db gézlap</w:t>
                            </w:r>
                            <w:r>
                              <w:rPr>
                                <w:sz w:val="20"/>
                                <w:lang w:val="en-US"/>
                              </w:rPr>
                              <w:br/>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7CC063AC" id="_x0000_s1027" type="#_x0000_t202" style="position:absolute;margin-left:280.35pt;margin-top:1.15pt;width:198pt;height:115.7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">
                <v:textbox>
                  <w:txbxContent>
                    <w:p w14:paraId="1982B13F" w14:textId="77777777" w:rsidR="001A2EB4" w:rsidRDefault="001A2EB4">
                      <w:pPr>
                        <w:rPr>
                          <w:sz w:val="20"/>
                          <w:lang w:val="en-US"/>
                        </w:rPr>
                      </w:pPr>
                      <w:r>
                        <w:rPr>
                          <w:sz w:val="20"/>
                          <w:lang w:val="en-US"/>
                        </w:rPr>
                        <w:t xml:space="preserve">A) </w:t>
                      </w:r>
                      <w:r>
                        <w:rPr>
                          <w:color w:val="000000"/>
                          <w:sz w:val="20"/>
                          <w:lang w:val="hu-HU"/>
                        </w:rPr>
                        <w:t>1 db port tartalmazó injekciós üveg</w:t>
                      </w:r>
                      <w:r>
                        <w:rPr>
                          <w:sz w:val="20"/>
                          <w:lang w:val="en-US"/>
                        </w:rPr>
                        <w:br/>
                        <w:t xml:space="preserve">B) </w:t>
                      </w:r>
                      <w:r>
                        <w:rPr>
                          <w:color w:val="000000"/>
                          <w:sz w:val="20"/>
                          <w:lang w:val="hu-HU"/>
                        </w:rPr>
                        <w:t>5 ml oldószer, előretöltött fecskendőben</w:t>
                      </w:r>
                      <w:r>
                        <w:rPr>
                          <w:sz w:val="20"/>
                          <w:lang w:val="en-US"/>
                        </w:rPr>
                        <w:br/>
                        <w:t xml:space="preserve">C) </w:t>
                      </w:r>
                      <w:r>
                        <w:rPr>
                          <w:color w:val="000000"/>
                          <w:sz w:val="20"/>
                          <w:lang w:val="hu-HU"/>
                        </w:rPr>
                        <w:t>1 db dugattyúrúd</w:t>
                      </w:r>
                      <w:r>
                        <w:rPr>
                          <w:sz w:val="20"/>
                          <w:lang w:val="en-US"/>
                        </w:rPr>
                        <w:br/>
                        <w:t xml:space="preserve">D) </w:t>
                      </w:r>
                      <w:r>
                        <w:rPr>
                          <w:color w:val="000000"/>
                          <w:sz w:val="20"/>
                          <w:lang w:val="hu-HU"/>
                        </w:rPr>
                        <w:t>1 db injekciósüveg</w:t>
                      </w:r>
                      <w:r>
                        <w:rPr>
                          <w:color w:val="000000"/>
                          <w:sz w:val="20"/>
                          <w:lang w:val="hu-HU"/>
                        </w:rPr>
                        <w:noBreakHyphen/>
                        <w:t>adapter</w:t>
                      </w:r>
                      <w:r>
                        <w:rPr>
                          <w:sz w:val="20"/>
                          <w:lang w:val="en-US"/>
                        </w:rPr>
                        <w:br/>
                        <w:t xml:space="preserve">E) </w:t>
                      </w:r>
                      <w:r>
                        <w:rPr>
                          <w:color w:val="000000"/>
                          <w:sz w:val="20"/>
                          <w:lang w:val="hu-HU"/>
                        </w:rPr>
                        <w:t>1 db infúziós szerelék</w:t>
                      </w:r>
                      <w:r>
                        <w:rPr>
                          <w:sz w:val="20"/>
                          <w:lang w:val="en-US"/>
                        </w:rPr>
                        <w:br/>
                        <w:t xml:space="preserve">F) </w:t>
                      </w:r>
                      <w:r>
                        <w:rPr>
                          <w:color w:val="000000"/>
                          <w:sz w:val="20"/>
                          <w:lang w:val="hu-HU"/>
                        </w:rPr>
                        <w:t>2 db alkoholos törlő</w:t>
                      </w:r>
                      <w:r>
                        <w:rPr>
                          <w:sz w:val="20"/>
                          <w:lang w:val="en-US"/>
                        </w:rPr>
                        <w:br/>
                        <w:t xml:space="preserve">G) </w:t>
                      </w:r>
                      <w:r>
                        <w:rPr>
                          <w:color w:val="000000"/>
                          <w:sz w:val="20"/>
                          <w:lang w:val="hu-HU"/>
                        </w:rPr>
                        <w:t>2 db ragtapasz</w:t>
                      </w:r>
                      <w:r>
                        <w:rPr>
                          <w:sz w:val="20"/>
                          <w:lang w:val="en-US"/>
                        </w:rPr>
                        <w:br/>
                        <w:t xml:space="preserve">H) </w:t>
                      </w:r>
                      <w:r>
                        <w:rPr>
                          <w:color w:val="000000"/>
                          <w:sz w:val="20"/>
                          <w:lang w:val="hu-HU"/>
                        </w:rPr>
                        <w:t>1 db gézlap</w:t>
                      </w:r>
                      <w:r>
                        <w:rPr>
                          <w:sz w:val="20"/>
                          <w:lang w:val="en-US"/>
                        </w:rPr>
                        <w:br/>
                      </w:r>
                    </w:p>
                  </w:txbxContent>
                </v:textbox>
              </v:shape>
            </w:pict>
          </mc:Fallback>
        </mc:AlternateContent>
      </w:r>
    </w:p>
    <w:p w14:paraId="5E114351" w14:textId="77777777" w:rsidR="00E74F5A" w:rsidRPr="004311F9" w:rsidRDefault="00A806D4" w:rsidP="00DC4CB1">
      <w:pPr>
        <w:keepNext/>
        <w:numPr>
          <w:ilvl w:val="12"/>
          <w:numId w:val="0"/>
        </w:numPr>
        <w:spacing w:line="240" w:lineRule="auto"/>
        <w:rPr>
          <w:rFonts w:eastAsia="Times New Roman"/>
          <w:b/>
          <w:szCs w:val="24"/>
          <w:lang w:val="hu-HU"/>
        </w:rPr>
      </w:pPr>
      <w:r w:rsidRPr="004311F9">
        <w:rPr>
          <w:noProof/>
          <w:lang w:val="hu-HU"/>
        </w:rPr>
        <w:drawing>
          <wp:anchor distT="0" distB="0" distL="114300" distR="114300" simplePos="0" relativeHeight="251664896" behindDoc="0" locked="0" layoutInCell="1" allowOverlap="1" wp14:anchorId="1202637B" wp14:editId="00AF2B72">
            <wp:simplePos x="0" y="0"/>
            <wp:positionH relativeFrom="column">
              <wp:posOffset>236220</wp:posOffset>
            </wp:positionH>
            <wp:positionV relativeFrom="paragraph">
              <wp:posOffset>12700</wp:posOffset>
            </wp:positionV>
            <wp:extent cx="2780030" cy="1310640"/>
            <wp:effectExtent l="0" t="0" r="1270" b="3810"/>
            <wp:wrapNone/>
            <wp:docPr id="1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pic:spPr>
                </pic:pic>
              </a:graphicData>
            </a:graphic>
            <wp14:sizeRelH relativeFrom="page">
              <wp14:pctWidth>0</wp14:pctWidth>
            </wp14:sizeRelH>
            <wp14:sizeRelV relativeFrom="page">
              <wp14:pctHeight>0</wp14:pctHeight>
            </wp14:sizeRelV>
          </wp:anchor>
        </w:drawing>
      </w:r>
    </w:p>
    <w:p w14:paraId="575069FF" w14:textId="77777777" w:rsidR="00E74F5A" w:rsidRPr="004311F9" w:rsidRDefault="00E74F5A" w:rsidP="00DC4CB1">
      <w:pPr>
        <w:keepNext/>
        <w:numPr>
          <w:ilvl w:val="12"/>
          <w:numId w:val="0"/>
        </w:numPr>
        <w:spacing w:line="240" w:lineRule="auto"/>
        <w:rPr>
          <w:rFonts w:eastAsia="Times New Roman"/>
          <w:b/>
          <w:szCs w:val="24"/>
          <w:lang w:val="hu-HU"/>
        </w:rPr>
      </w:pPr>
    </w:p>
    <w:p w14:paraId="42FF37E0" w14:textId="77777777" w:rsidR="00E74F5A" w:rsidRPr="004311F9" w:rsidRDefault="00E74F5A" w:rsidP="00DC4CB1">
      <w:pPr>
        <w:keepNext/>
        <w:numPr>
          <w:ilvl w:val="12"/>
          <w:numId w:val="0"/>
        </w:numPr>
        <w:spacing w:line="240" w:lineRule="auto"/>
        <w:ind w:right="-2"/>
        <w:rPr>
          <w:rFonts w:eastAsia="Times New Roman"/>
          <w:b/>
          <w:szCs w:val="24"/>
          <w:lang w:val="hu-HU"/>
        </w:rPr>
      </w:pPr>
    </w:p>
    <w:p w14:paraId="540F56DA" w14:textId="77777777" w:rsidR="00E74F5A" w:rsidRPr="004311F9" w:rsidRDefault="00E74F5A" w:rsidP="00DC4CB1">
      <w:pPr>
        <w:keepNext/>
        <w:numPr>
          <w:ilvl w:val="12"/>
          <w:numId w:val="0"/>
        </w:numPr>
        <w:spacing w:line="240" w:lineRule="auto"/>
        <w:ind w:right="-2"/>
        <w:rPr>
          <w:rFonts w:eastAsia="Times New Roman"/>
          <w:b/>
          <w:szCs w:val="24"/>
          <w:lang w:val="hu-HU"/>
        </w:rPr>
      </w:pPr>
    </w:p>
    <w:p w14:paraId="6B83D829" w14:textId="77777777" w:rsidR="00E74F5A" w:rsidRPr="004311F9" w:rsidRDefault="00E74F5A" w:rsidP="00DC4CB1">
      <w:pPr>
        <w:numPr>
          <w:ilvl w:val="12"/>
          <w:numId w:val="0"/>
        </w:numPr>
        <w:spacing w:line="240" w:lineRule="auto"/>
        <w:ind w:right="-2"/>
        <w:rPr>
          <w:rFonts w:eastAsia="Times New Roman"/>
          <w:b/>
          <w:szCs w:val="24"/>
          <w:lang w:val="hu-HU"/>
        </w:rPr>
      </w:pPr>
    </w:p>
    <w:p w14:paraId="3C089D79" w14:textId="77777777" w:rsidR="00E74F5A" w:rsidRPr="004311F9" w:rsidRDefault="00E74F5A" w:rsidP="00DC4CB1">
      <w:pPr>
        <w:numPr>
          <w:ilvl w:val="12"/>
          <w:numId w:val="0"/>
        </w:numPr>
        <w:spacing w:line="240" w:lineRule="auto"/>
        <w:ind w:right="-2"/>
        <w:rPr>
          <w:rFonts w:eastAsia="Times New Roman"/>
          <w:b/>
          <w:szCs w:val="24"/>
          <w:lang w:val="hu-HU"/>
        </w:rPr>
      </w:pPr>
    </w:p>
    <w:p w14:paraId="318DF91C" w14:textId="77777777" w:rsidR="00E74F5A" w:rsidRPr="004311F9" w:rsidRDefault="00E74F5A" w:rsidP="00DC4CB1">
      <w:pPr>
        <w:numPr>
          <w:ilvl w:val="12"/>
          <w:numId w:val="0"/>
        </w:numPr>
        <w:spacing w:line="240" w:lineRule="auto"/>
        <w:ind w:right="-2"/>
        <w:rPr>
          <w:rFonts w:eastAsia="Times New Roman"/>
          <w:b/>
          <w:szCs w:val="24"/>
          <w:lang w:val="hu-HU"/>
        </w:rPr>
      </w:pPr>
    </w:p>
    <w:p w14:paraId="2E9A6BF5" w14:textId="77777777" w:rsidR="00E74F5A" w:rsidRPr="004311F9" w:rsidRDefault="00E74F5A" w:rsidP="00DC4CB1">
      <w:pPr>
        <w:numPr>
          <w:ilvl w:val="12"/>
          <w:numId w:val="0"/>
        </w:numPr>
        <w:spacing w:line="240" w:lineRule="auto"/>
        <w:ind w:right="-2"/>
        <w:rPr>
          <w:rFonts w:eastAsia="Times New Roman"/>
          <w:b/>
          <w:szCs w:val="24"/>
          <w:lang w:val="hu-HU"/>
        </w:rPr>
      </w:pPr>
    </w:p>
    <w:p w14:paraId="752C6619" w14:textId="77777777" w:rsidR="00E74F5A" w:rsidRPr="004311F9" w:rsidRDefault="00E74F5A" w:rsidP="00DC4CB1">
      <w:pPr>
        <w:numPr>
          <w:ilvl w:val="12"/>
          <w:numId w:val="0"/>
        </w:numPr>
        <w:spacing w:line="240" w:lineRule="auto"/>
        <w:ind w:right="-2"/>
        <w:rPr>
          <w:rFonts w:eastAsia="Times New Roman"/>
          <w:b/>
          <w:szCs w:val="24"/>
          <w:lang w:val="hu-HU"/>
        </w:rPr>
      </w:pPr>
    </w:p>
    <w:p w14:paraId="4355D3F4" w14:textId="77777777" w:rsidR="00E74F5A" w:rsidRPr="004311F9" w:rsidRDefault="00E74F5A" w:rsidP="00DC4CB1">
      <w:pPr>
        <w:spacing w:line="240" w:lineRule="auto"/>
        <w:rPr>
          <w:szCs w:val="24"/>
          <w:lang w:val="hu-HU"/>
        </w:rPr>
      </w:pPr>
      <w:r w:rsidRPr="004311F9">
        <w:rPr>
          <w:szCs w:val="24"/>
          <w:lang w:val="hu-HU"/>
        </w:rPr>
        <w:t>Az ALPROLIX</w:t>
      </w:r>
      <w:r w:rsidRPr="004311F9">
        <w:rPr>
          <w:szCs w:val="24"/>
          <w:lang w:val="hu-HU"/>
        </w:rPr>
        <w:noBreakHyphen/>
        <w:t>ot nem szabad összekeverni más oldatos injekciókkal vagy infúziókkal.</w:t>
      </w:r>
    </w:p>
    <w:p w14:paraId="4EB10FAE" w14:textId="77777777" w:rsidR="00E74F5A" w:rsidRPr="004311F9" w:rsidRDefault="00E74F5A" w:rsidP="00DC4CB1">
      <w:pPr>
        <w:numPr>
          <w:ilvl w:val="12"/>
          <w:numId w:val="0"/>
        </w:numPr>
        <w:spacing w:line="240" w:lineRule="auto"/>
        <w:ind w:right="-2"/>
        <w:rPr>
          <w:rFonts w:eastAsia="Times New Roman"/>
          <w:szCs w:val="24"/>
          <w:lang w:val="hu-HU"/>
        </w:rPr>
      </w:pPr>
    </w:p>
    <w:p w14:paraId="79B37075" w14:textId="77777777" w:rsidR="00E74F5A" w:rsidRPr="004311F9" w:rsidRDefault="00E74F5A" w:rsidP="00DC4CB1">
      <w:pPr>
        <w:numPr>
          <w:ilvl w:val="12"/>
          <w:numId w:val="0"/>
        </w:numPr>
        <w:spacing w:line="240" w:lineRule="auto"/>
        <w:ind w:right="-2"/>
        <w:rPr>
          <w:szCs w:val="24"/>
          <w:lang w:val="hu-HU"/>
        </w:rPr>
      </w:pPr>
      <w:r w:rsidRPr="004311F9">
        <w:rPr>
          <w:szCs w:val="24"/>
          <w:lang w:val="hu-HU"/>
        </w:rPr>
        <w:t>A csomag felnyitása előtt mosson kezet!</w:t>
      </w:r>
    </w:p>
    <w:p w14:paraId="73EE2812" w14:textId="77777777" w:rsidR="00E74F5A" w:rsidRPr="004311F9" w:rsidRDefault="00E74F5A" w:rsidP="00DC4CB1">
      <w:pPr>
        <w:numPr>
          <w:ilvl w:val="12"/>
          <w:numId w:val="0"/>
        </w:numPr>
        <w:spacing w:line="240" w:lineRule="auto"/>
        <w:ind w:right="-2"/>
        <w:rPr>
          <w:szCs w:val="24"/>
          <w:lang w:val="hu-HU"/>
        </w:rPr>
      </w:pPr>
    </w:p>
    <w:p w14:paraId="12842637" w14:textId="77777777" w:rsidR="00E74F5A" w:rsidRPr="004311F9" w:rsidRDefault="00E74F5A" w:rsidP="00DC4CB1">
      <w:pPr>
        <w:keepNext/>
        <w:keepLines/>
        <w:numPr>
          <w:ilvl w:val="12"/>
          <w:numId w:val="0"/>
        </w:numPr>
        <w:spacing w:line="240" w:lineRule="auto"/>
        <w:ind w:right="-2"/>
        <w:rPr>
          <w:b/>
          <w:szCs w:val="24"/>
          <w:lang w:val="hu-HU"/>
        </w:rPr>
      </w:pPr>
      <w:r w:rsidRPr="004311F9">
        <w:rPr>
          <w:b/>
          <w:szCs w:val="24"/>
          <w:lang w:val="hu-HU"/>
        </w:rPr>
        <w:t>Elkészítés:</w:t>
      </w:r>
    </w:p>
    <w:p w14:paraId="72BAC034" w14:textId="77777777" w:rsidR="00E74F5A" w:rsidRPr="004311F9" w:rsidRDefault="00E74F5A" w:rsidP="003D4563">
      <w:pPr>
        <w:keepNext/>
        <w:keepLines/>
        <w:numPr>
          <w:ilvl w:val="12"/>
          <w:numId w:val="0"/>
        </w:numPr>
        <w:spacing w:line="240" w:lineRule="auto"/>
        <w:ind w:right="-2"/>
        <w:rPr>
          <w:rFonts w:eastAsia="Times New Roman"/>
          <w:b/>
          <w:szCs w:val="24"/>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353"/>
        <w:gridCol w:w="3934"/>
      </w:tblGrid>
      <w:tr w:rsidR="00E74F5A" w:rsidRPr="008537D8" w14:paraId="63D082EA" w14:textId="77777777">
        <w:tc>
          <w:tcPr>
            <w:tcW w:w="9287" w:type="dxa"/>
            <w:gridSpan w:val="2"/>
          </w:tcPr>
          <w:p w14:paraId="016C7BE3" w14:textId="77777777" w:rsidR="00E74F5A" w:rsidRPr="004311F9" w:rsidRDefault="00E74F5A" w:rsidP="003D4563">
            <w:pPr>
              <w:keepNext/>
              <w:spacing w:line="240" w:lineRule="auto"/>
              <w:ind w:left="567" w:hanging="567"/>
              <w:rPr>
                <w:szCs w:val="24"/>
                <w:lang w:val="hu-HU"/>
              </w:rPr>
            </w:pPr>
            <w:r w:rsidRPr="004311F9">
              <w:rPr>
                <w:szCs w:val="24"/>
                <w:lang w:val="hu-HU"/>
              </w:rPr>
              <w:t>1.</w:t>
            </w:r>
            <w:r w:rsidRPr="004311F9">
              <w:rPr>
                <w:szCs w:val="24"/>
                <w:lang w:val="hu-HU"/>
              </w:rPr>
              <w:tab/>
              <w:t>Ellenőrizze a csomagon a nevet és a hatáserősséget, és győződjön meg róla, hogy a megfelelő gyógyszert tartalmazza. Ellenőrizze az ALPROLIX dobozán feltüntetett lejárati időt. Ha a gyógyszer lejárt, ne használja fel.</w:t>
            </w:r>
          </w:p>
          <w:p w14:paraId="39D963A5" w14:textId="77777777" w:rsidR="00E74F5A" w:rsidRPr="004311F9" w:rsidRDefault="00E74F5A" w:rsidP="003D4563">
            <w:pPr>
              <w:keepNext/>
              <w:spacing w:line="240" w:lineRule="auto"/>
              <w:rPr>
                <w:rFonts w:eastAsia="Times New Roman"/>
                <w:b/>
                <w:szCs w:val="24"/>
                <w:lang w:val="hu-HU"/>
              </w:rPr>
            </w:pPr>
          </w:p>
        </w:tc>
      </w:tr>
      <w:tr w:rsidR="00E74F5A" w:rsidRPr="004311F9" w14:paraId="064C957E" w14:textId="77777777">
        <w:tc>
          <w:tcPr>
            <w:tcW w:w="9287" w:type="dxa"/>
            <w:gridSpan w:val="2"/>
          </w:tcPr>
          <w:p w14:paraId="513B255F" w14:textId="77777777" w:rsidR="00E74F5A" w:rsidRPr="004311F9" w:rsidRDefault="00E74F5A" w:rsidP="00DC4CB1">
            <w:pPr>
              <w:spacing w:line="240" w:lineRule="auto"/>
              <w:ind w:left="567" w:hanging="567"/>
              <w:rPr>
                <w:szCs w:val="24"/>
                <w:lang w:val="hu-HU"/>
              </w:rPr>
            </w:pPr>
            <w:r w:rsidRPr="004311F9">
              <w:rPr>
                <w:szCs w:val="24"/>
                <w:lang w:val="hu-HU"/>
              </w:rPr>
              <w:t>2.</w:t>
            </w:r>
            <w:r w:rsidRPr="004311F9">
              <w:rPr>
                <w:szCs w:val="24"/>
                <w:lang w:val="hu-HU"/>
              </w:rPr>
              <w:tab/>
              <w:t>Ha az ALPROLIX</w:t>
            </w:r>
            <w:r w:rsidRPr="004311F9">
              <w:rPr>
                <w:szCs w:val="24"/>
                <w:lang w:val="hu-HU"/>
              </w:rPr>
              <w:noBreakHyphen/>
              <w:t>ot hűtőszekrényben tárolták, hagyja, hogy az ALPROLIX injekciós üveg (A) és az oldószert tartalmazó fecskendő (B) az alkalmazás előtt szobahőmérsékletűre melegedjen. Külső hőforrást ne alkalmazzon.</w:t>
            </w:r>
          </w:p>
          <w:p w14:paraId="65158999" w14:textId="77777777" w:rsidR="00E74F5A" w:rsidRPr="004311F9" w:rsidRDefault="00E74F5A" w:rsidP="00DC4CB1">
            <w:pPr>
              <w:spacing w:line="240" w:lineRule="auto"/>
              <w:rPr>
                <w:rFonts w:eastAsia="Times New Roman"/>
                <w:szCs w:val="24"/>
                <w:lang w:val="hu-HU"/>
              </w:rPr>
            </w:pPr>
          </w:p>
        </w:tc>
      </w:tr>
      <w:tr w:rsidR="00E74F5A" w:rsidRPr="008537D8" w14:paraId="69F37EDD" w14:textId="77777777" w:rsidTr="003B500E">
        <w:tc>
          <w:tcPr>
            <w:tcW w:w="5353" w:type="dxa"/>
            <w:tcBorders>
              <w:right w:val="nil"/>
            </w:tcBorders>
          </w:tcPr>
          <w:p w14:paraId="430FAD42" w14:textId="5DC6A99F" w:rsidR="00E74F5A" w:rsidRPr="004311F9" w:rsidRDefault="00E74F5A" w:rsidP="00DC4CB1">
            <w:pPr>
              <w:spacing w:line="240" w:lineRule="auto"/>
              <w:ind w:left="567" w:hanging="567"/>
              <w:rPr>
                <w:szCs w:val="24"/>
                <w:lang w:val="hu-HU"/>
              </w:rPr>
            </w:pPr>
            <w:r w:rsidRPr="004311F9">
              <w:rPr>
                <w:szCs w:val="24"/>
                <w:lang w:val="hu-HU"/>
              </w:rPr>
              <w:t>3.</w:t>
            </w:r>
            <w:r w:rsidRPr="004311F9">
              <w:rPr>
                <w:szCs w:val="24"/>
                <w:lang w:val="hu-HU"/>
              </w:rPr>
              <w:tab/>
              <w:t>Helyezze az injekciós üveget tiszta, lapos felületre. Vegye le a lepattintható műanyag kupakot az injekciós üvegről.</w:t>
            </w:r>
          </w:p>
          <w:p w14:paraId="4B769671" w14:textId="77777777" w:rsidR="00E74F5A" w:rsidRPr="004311F9" w:rsidRDefault="00E74F5A" w:rsidP="00DC4CB1">
            <w:pPr>
              <w:spacing w:line="240" w:lineRule="auto"/>
              <w:rPr>
                <w:rFonts w:eastAsia="Times New Roman"/>
                <w:szCs w:val="24"/>
                <w:lang w:val="hu-HU"/>
              </w:rPr>
            </w:pPr>
          </w:p>
          <w:p w14:paraId="1F76423F" w14:textId="77777777" w:rsidR="00E74F5A" w:rsidRPr="004311F9" w:rsidRDefault="00E74F5A" w:rsidP="00DC4CB1">
            <w:pPr>
              <w:spacing w:line="240" w:lineRule="auto"/>
              <w:rPr>
                <w:rFonts w:eastAsia="Times New Roman"/>
                <w:szCs w:val="24"/>
                <w:lang w:val="hu-HU"/>
              </w:rPr>
            </w:pPr>
          </w:p>
          <w:p w14:paraId="16D83285" w14:textId="77777777" w:rsidR="00E74F5A" w:rsidRPr="004311F9" w:rsidRDefault="00E74F5A" w:rsidP="00DC4CB1">
            <w:pPr>
              <w:spacing w:line="240" w:lineRule="auto"/>
              <w:rPr>
                <w:rFonts w:eastAsia="Times New Roman"/>
                <w:szCs w:val="24"/>
                <w:lang w:val="hu-HU"/>
              </w:rPr>
            </w:pPr>
          </w:p>
          <w:p w14:paraId="7F16E4AA" w14:textId="77777777" w:rsidR="00E74F5A" w:rsidRPr="004311F9" w:rsidRDefault="00E74F5A" w:rsidP="00DC4CB1">
            <w:pPr>
              <w:spacing w:line="240" w:lineRule="auto"/>
              <w:rPr>
                <w:rFonts w:eastAsia="Times New Roman"/>
                <w:szCs w:val="24"/>
                <w:lang w:val="hu-HU"/>
              </w:rPr>
            </w:pPr>
          </w:p>
          <w:p w14:paraId="2C4F517C" w14:textId="77777777" w:rsidR="00E74F5A" w:rsidRPr="004311F9" w:rsidRDefault="00E74F5A" w:rsidP="00DC4CB1">
            <w:pPr>
              <w:spacing w:line="240" w:lineRule="auto"/>
              <w:rPr>
                <w:rFonts w:eastAsia="Times New Roman"/>
                <w:szCs w:val="24"/>
                <w:lang w:val="hu-HU"/>
              </w:rPr>
            </w:pPr>
          </w:p>
          <w:p w14:paraId="79F5C21B" w14:textId="77777777" w:rsidR="00E74F5A" w:rsidRPr="004311F9" w:rsidRDefault="00E74F5A" w:rsidP="00DC4CB1">
            <w:pPr>
              <w:spacing w:line="240" w:lineRule="auto"/>
              <w:rPr>
                <w:rFonts w:eastAsia="Times New Roman"/>
                <w:szCs w:val="24"/>
                <w:lang w:val="hu-HU"/>
              </w:rPr>
            </w:pPr>
          </w:p>
        </w:tc>
        <w:tc>
          <w:tcPr>
            <w:tcW w:w="3934" w:type="dxa"/>
            <w:tcBorders>
              <w:left w:val="nil"/>
            </w:tcBorders>
          </w:tcPr>
          <w:p w14:paraId="6424919F" w14:textId="77777777" w:rsidR="00E74F5A" w:rsidRPr="004311F9" w:rsidRDefault="00A806D4" w:rsidP="00DC4CB1">
            <w:pPr>
              <w:spacing w:line="240" w:lineRule="auto"/>
              <w:rPr>
                <w:szCs w:val="24"/>
                <w:lang w:val="hu-HU"/>
              </w:rPr>
            </w:pPr>
            <w:r w:rsidRPr="004311F9">
              <w:rPr>
                <w:noProof/>
                <w:lang w:val="hu-HU"/>
              </w:rPr>
              <w:drawing>
                <wp:anchor distT="0" distB="0" distL="114300" distR="114300" simplePos="0" relativeHeight="251651584" behindDoc="0" locked="0" layoutInCell="1" allowOverlap="1" wp14:anchorId="5B226C02" wp14:editId="52968063">
                  <wp:simplePos x="0" y="0"/>
                  <wp:positionH relativeFrom="column">
                    <wp:posOffset>12065</wp:posOffset>
                  </wp:positionH>
                  <wp:positionV relativeFrom="paragraph">
                    <wp:posOffset>48260</wp:posOffset>
                  </wp:positionV>
                  <wp:extent cx="1398905" cy="1526540"/>
                  <wp:effectExtent l="0" t="0" r="0" b="0"/>
                  <wp:wrapSquare wrapText="bothSides"/>
                  <wp:docPr id="4"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pic:spPr>
                      </pic:pic>
                    </a:graphicData>
                  </a:graphic>
                  <wp14:sizeRelH relativeFrom="page">
                    <wp14:pctWidth>0</wp14:pctWidth>
                  </wp14:sizeRelH>
                  <wp14:sizeRelV relativeFrom="page">
                    <wp14:pctHeight>0</wp14:pctHeight>
                  </wp14:sizeRelV>
                </wp:anchor>
              </w:drawing>
            </w:r>
          </w:p>
        </w:tc>
      </w:tr>
      <w:tr w:rsidR="00E74F5A" w:rsidRPr="008537D8" w14:paraId="047F10D3" w14:textId="77777777" w:rsidTr="003B500E">
        <w:tc>
          <w:tcPr>
            <w:tcW w:w="5353" w:type="dxa"/>
            <w:tcBorders>
              <w:right w:val="nil"/>
            </w:tcBorders>
          </w:tcPr>
          <w:p w14:paraId="3D56D906" w14:textId="77777777" w:rsidR="00E74F5A" w:rsidRPr="004311F9" w:rsidRDefault="00E74F5A" w:rsidP="00DC4CB1">
            <w:pPr>
              <w:spacing w:line="240" w:lineRule="auto"/>
              <w:ind w:left="567" w:hanging="567"/>
              <w:rPr>
                <w:szCs w:val="24"/>
                <w:lang w:val="hu-HU"/>
              </w:rPr>
            </w:pPr>
            <w:r w:rsidRPr="004311F9">
              <w:rPr>
                <w:szCs w:val="24"/>
                <w:lang w:val="hu-HU"/>
              </w:rPr>
              <w:t>4.</w:t>
            </w:r>
            <w:r w:rsidRPr="004311F9">
              <w:rPr>
                <w:szCs w:val="24"/>
                <w:lang w:val="hu-HU"/>
              </w:rPr>
              <w:tab/>
              <w:t>Törölje le az injekciós üveg tetejét a csomagban mellékelt alkoholos törlők (F) egyikével, és hagyja a levegőn megszáradni. Ne érintse meg az injekciós üveg tetejét, és ügyeljen, hogy a tető a letörlése után már ne érjen hozzá semmihez.</w:t>
            </w:r>
          </w:p>
          <w:p w14:paraId="47D094DE" w14:textId="77777777" w:rsidR="00E74F5A" w:rsidRPr="004311F9" w:rsidRDefault="00E74F5A" w:rsidP="00DC4CB1">
            <w:pPr>
              <w:spacing w:line="240" w:lineRule="auto"/>
              <w:rPr>
                <w:rFonts w:eastAsia="Times New Roman"/>
                <w:szCs w:val="24"/>
                <w:lang w:val="hu-HU"/>
              </w:rPr>
            </w:pPr>
          </w:p>
          <w:p w14:paraId="27EBF2C0" w14:textId="77777777" w:rsidR="00E74F5A" w:rsidRPr="004311F9" w:rsidRDefault="00E74F5A" w:rsidP="00DC4CB1">
            <w:pPr>
              <w:spacing w:line="240" w:lineRule="auto"/>
              <w:rPr>
                <w:rFonts w:eastAsia="Times New Roman"/>
                <w:szCs w:val="24"/>
                <w:lang w:val="hu-HU"/>
              </w:rPr>
            </w:pPr>
          </w:p>
          <w:p w14:paraId="21CC6B05" w14:textId="77777777" w:rsidR="00E74F5A" w:rsidRPr="004311F9" w:rsidRDefault="00E74F5A" w:rsidP="00DC4CB1">
            <w:pPr>
              <w:spacing w:line="240" w:lineRule="auto"/>
              <w:rPr>
                <w:rFonts w:eastAsia="Times New Roman"/>
                <w:szCs w:val="24"/>
                <w:lang w:val="hu-HU"/>
              </w:rPr>
            </w:pPr>
          </w:p>
          <w:p w14:paraId="3A326C4B" w14:textId="77777777" w:rsidR="00E74F5A" w:rsidRPr="004311F9" w:rsidRDefault="00E74F5A" w:rsidP="00DC4CB1">
            <w:pPr>
              <w:spacing w:line="240" w:lineRule="auto"/>
              <w:rPr>
                <w:rFonts w:eastAsia="Times New Roman"/>
                <w:szCs w:val="24"/>
                <w:lang w:val="hu-HU"/>
              </w:rPr>
            </w:pPr>
          </w:p>
        </w:tc>
        <w:tc>
          <w:tcPr>
            <w:tcW w:w="3934" w:type="dxa"/>
            <w:tcBorders>
              <w:left w:val="nil"/>
            </w:tcBorders>
          </w:tcPr>
          <w:p w14:paraId="3B714C0B" w14:textId="77777777" w:rsidR="00E74F5A" w:rsidRPr="004311F9" w:rsidRDefault="00A806D4" w:rsidP="00DC4CB1">
            <w:pPr>
              <w:spacing w:line="240" w:lineRule="auto"/>
              <w:rPr>
                <w:rFonts w:eastAsia="Times New Roman"/>
                <w:b/>
                <w:szCs w:val="24"/>
                <w:lang w:val="hu-HU"/>
              </w:rPr>
            </w:pPr>
            <w:r w:rsidRPr="004311F9">
              <w:rPr>
                <w:noProof/>
                <w:lang w:val="hu-HU"/>
              </w:rPr>
              <w:drawing>
                <wp:anchor distT="0" distB="0" distL="114300" distR="114300" simplePos="0" relativeHeight="251652608" behindDoc="0" locked="0" layoutInCell="1" allowOverlap="1" wp14:anchorId="72C83E56" wp14:editId="070C6A6C">
                  <wp:simplePos x="0" y="0"/>
                  <wp:positionH relativeFrom="column">
                    <wp:posOffset>2540</wp:posOffset>
                  </wp:positionH>
                  <wp:positionV relativeFrom="paragraph">
                    <wp:posOffset>31750</wp:posOffset>
                  </wp:positionV>
                  <wp:extent cx="1308735" cy="1421765"/>
                  <wp:effectExtent l="0" t="0" r="5715" b="6985"/>
                  <wp:wrapSquare wrapText="bothSides"/>
                  <wp:docPr id="5"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pic:spPr>
                      </pic:pic>
                    </a:graphicData>
                  </a:graphic>
                  <wp14:sizeRelH relativeFrom="page">
                    <wp14:pctWidth>0</wp14:pctWidth>
                  </wp14:sizeRelH>
                  <wp14:sizeRelV relativeFrom="page">
                    <wp14:pctHeight>0</wp14:pctHeight>
                  </wp14:sizeRelV>
                </wp:anchor>
              </w:drawing>
            </w:r>
          </w:p>
        </w:tc>
      </w:tr>
      <w:tr w:rsidR="00E74F5A" w:rsidRPr="008537D8" w14:paraId="4EF7E8F9" w14:textId="77777777">
        <w:tc>
          <w:tcPr>
            <w:tcW w:w="9287" w:type="dxa"/>
            <w:gridSpan w:val="2"/>
          </w:tcPr>
          <w:p w14:paraId="19B5256D" w14:textId="77777777" w:rsidR="00E74F5A" w:rsidRPr="004311F9" w:rsidRDefault="00E74F5A" w:rsidP="00DC4CB1">
            <w:pPr>
              <w:spacing w:line="240" w:lineRule="auto"/>
              <w:ind w:left="567" w:hanging="567"/>
              <w:rPr>
                <w:szCs w:val="24"/>
                <w:lang w:val="hu-HU"/>
              </w:rPr>
            </w:pPr>
            <w:r w:rsidRPr="004311F9">
              <w:rPr>
                <w:szCs w:val="24"/>
                <w:lang w:val="hu-HU"/>
              </w:rPr>
              <w:lastRenderedPageBreak/>
              <w:t>5.</w:t>
            </w:r>
            <w:r w:rsidRPr="004311F9">
              <w:rPr>
                <w:szCs w:val="24"/>
                <w:lang w:val="hu-HU"/>
              </w:rPr>
              <w:tab/>
              <w:t>Húzza le a papír védőlapot az átlátszó műanyagból készült injekciósüveg</w:t>
            </w:r>
            <w:r w:rsidRPr="004311F9">
              <w:rPr>
                <w:szCs w:val="24"/>
                <w:lang w:val="hu-HU"/>
              </w:rPr>
              <w:noBreakHyphen/>
              <w:t>adapterről (D). Ne vegye ki az adaptert a védőkupakból. Ne érintse meg az injekciósüveg</w:t>
            </w:r>
            <w:r w:rsidRPr="004311F9">
              <w:rPr>
                <w:szCs w:val="24"/>
                <w:lang w:val="hu-HU"/>
              </w:rPr>
              <w:noBreakHyphen/>
              <w:t>adapter csomagolásának belsejét.</w:t>
            </w:r>
          </w:p>
          <w:p w14:paraId="556997F8" w14:textId="77777777" w:rsidR="00E74F5A" w:rsidRPr="004311F9" w:rsidRDefault="00E74F5A" w:rsidP="00DC4CB1">
            <w:pPr>
              <w:spacing w:line="240" w:lineRule="auto"/>
              <w:rPr>
                <w:rFonts w:eastAsia="Times New Roman"/>
                <w:b/>
                <w:szCs w:val="24"/>
                <w:lang w:val="hu-HU"/>
              </w:rPr>
            </w:pPr>
          </w:p>
        </w:tc>
      </w:tr>
      <w:tr w:rsidR="00E74F5A" w:rsidRPr="004311F9" w14:paraId="1B85E1BB" w14:textId="77777777" w:rsidTr="003B500E">
        <w:tc>
          <w:tcPr>
            <w:tcW w:w="5353" w:type="dxa"/>
            <w:tcBorders>
              <w:right w:val="nil"/>
            </w:tcBorders>
          </w:tcPr>
          <w:p w14:paraId="17B1772B" w14:textId="77777777" w:rsidR="00E74F5A" w:rsidRPr="004311F9" w:rsidRDefault="00E74F5A" w:rsidP="00DC4CB1">
            <w:pPr>
              <w:spacing w:line="240" w:lineRule="auto"/>
              <w:ind w:left="567" w:hanging="567"/>
              <w:rPr>
                <w:szCs w:val="24"/>
                <w:lang w:val="hu-HU"/>
              </w:rPr>
            </w:pPr>
            <w:r w:rsidRPr="004311F9">
              <w:rPr>
                <w:szCs w:val="24"/>
                <w:lang w:val="hu-HU"/>
              </w:rPr>
              <w:t>6.</w:t>
            </w:r>
            <w:r w:rsidRPr="004311F9">
              <w:rPr>
                <w:szCs w:val="24"/>
                <w:lang w:val="hu-HU"/>
              </w:rPr>
              <w:tab/>
              <w:t>Helyezze az injekciós üveget egy lapos felületre. Fogja meg a védőkupakjában lévő injekciósüveg-adaptert, és helyezze merőlegesen az injekciós üveg tetejére. Határozott mozdulattal nyomja le, amíg az adapter be nem pattan a helyére az injekciós üveg tetején, és az adapter tüskéje át nem szúrja az injekciós üveg dugóját.</w:t>
            </w:r>
          </w:p>
          <w:p w14:paraId="0E3576E1" w14:textId="77777777" w:rsidR="00E74F5A" w:rsidRPr="004311F9" w:rsidRDefault="00E74F5A" w:rsidP="00DC4CB1">
            <w:pPr>
              <w:spacing w:line="240" w:lineRule="auto"/>
              <w:ind w:left="567" w:hanging="567"/>
              <w:rPr>
                <w:rFonts w:eastAsia="Times New Roman"/>
                <w:szCs w:val="24"/>
                <w:lang w:val="hu-HU"/>
              </w:rPr>
            </w:pPr>
          </w:p>
          <w:p w14:paraId="341E4971" w14:textId="77777777" w:rsidR="00E74F5A" w:rsidRPr="004311F9" w:rsidRDefault="00E74F5A" w:rsidP="00DC4CB1">
            <w:pPr>
              <w:spacing w:line="240" w:lineRule="auto"/>
              <w:rPr>
                <w:rFonts w:eastAsia="Times New Roman"/>
                <w:szCs w:val="24"/>
                <w:lang w:val="hu-HU"/>
              </w:rPr>
            </w:pPr>
          </w:p>
        </w:tc>
        <w:tc>
          <w:tcPr>
            <w:tcW w:w="3934" w:type="dxa"/>
            <w:tcBorders>
              <w:left w:val="nil"/>
            </w:tcBorders>
          </w:tcPr>
          <w:p w14:paraId="08F43445" w14:textId="77777777" w:rsidR="00E74F5A" w:rsidRPr="004311F9" w:rsidRDefault="00A806D4" w:rsidP="00DC4CB1">
            <w:pPr>
              <w:spacing w:line="240" w:lineRule="auto"/>
              <w:rPr>
                <w:rFonts w:eastAsia="Times New Roman"/>
                <w:szCs w:val="24"/>
                <w:lang w:val="hu-HU"/>
              </w:rPr>
            </w:pPr>
            <w:r w:rsidRPr="004311F9">
              <w:rPr>
                <w:noProof/>
                <w:lang w:val="hu-HU"/>
              </w:rPr>
              <w:drawing>
                <wp:inline distT="0" distB="0" distL="0" distR="0" wp14:anchorId="025B6A69" wp14:editId="080DE1F7">
                  <wp:extent cx="2009775" cy="1504950"/>
                  <wp:effectExtent l="0" t="0" r="9525"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9775" cy="1504950"/>
                          </a:xfrm>
                          <a:prstGeom prst="rect">
                            <a:avLst/>
                          </a:prstGeom>
                          <a:noFill/>
                          <a:ln>
                            <a:noFill/>
                          </a:ln>
                        </pic:spPr>
                      </pic:pic>
                    </a:graphicData>
                  </a:graphic>
                </wp:inline>
              </w:drawing>
            </w:r>
          </w:p>
        </w:tc>
      </w:tr>
      <w:tr w:rsidR="00E74F5A" w:rsidRPr="008537D8" w14:paraId="6EBEE9CA" w14:textId="77777777" w:rsidTr="003B500E">
        <w:tc>
          <w:tcPr>
            <w:tcW w:w="5353" w:type="dxa"/>
            <w:tcBorders>
              <w:right w:val="nil"/>
            </w:tcBorders>
          </w:tcPr>
          <w:p w14:paraId="7A319248" w14:textId="77777777" w:rsidR="00E74F5A" w:rsidRPr="004311F9" w:rsidRDefault="00E74F5A" w:rsidP="00DC4CB1">
            <w:pPr>
              <w:spacing w:line="240" w:lineRule="auto"/>
              <w:ind w:left="567" w:hanging="567"/>
              <w:rPr>
                <w:szCs w:val="24"/>
                <w:lang w:val="hu-HU"/>
              </w:rPr>
            </w:pPr>
            <w:r w:rsidRPr="004311F9">
              <w:rPr>
                <w:szCs w:val="24"/>
                <w:lang w:val="hu-HU"/>
              </w:rPr>
              <w:t>7.</w:t>
            </w:r>
            <w:r w:rsidRPr="004311F9">
              <w:rPr>
                <w:szCs w:val="24"/>
                <w:lang w:val="hu-HU"/>
              </w:rPr>
              <w:tab/>
              <w:t>Csatlakoztassa a dugattyúrudat (C) az oldószert tartalmazó fecskendőhöz, behelyezve a dugattyúrúd végét a fecskendő dugattyújának nyílásába. Határozott mozdulattal fordítsa el a dugattyúrudat az óramutató járásával megegyező irányba, amíg stabilan be nem illeszkedik a fecskendő dugattyújába.</w:t>
            </w:r>
          </w:p>
        </w:tc>
        <w:tc>
          <w:tcPr>
            <w:tcW w:w="3934" w:type="dxa"/>
            <w:tcBorders>
              <w:left w:val="nil"/>
            </w:tcBorders>
          </w:tcPr>
          <w:p w14:paraId="5AC5BBB5" w14:textId="77777777" w:rsidR="00E74F5A" w:rsidRPr="004311F9" w:rsidRDefault="00A806D4" w:rsidP="00DC4CB1">
            <w:pPr>
              <w:spacing w:line="240" w:lineRule="auto"/>
              <w:rPr>
                <w:rFonts w:eastAsia="Times New Roman"/>
                <w:b/>
                <w:szCs w:val="24"/>
                <w:lang w:val="hu-HU"/>
              </w:rPr>
            </w:pPr>
            <w:r w:rsidRPr="004311F9">
              <w:rPr>
                <w:noProof/>
                <w:lang w:val="hu-HU"/>
              </w:rPr>
              <w:drawing>
                <wp:anchor distT="0" distB="0" distL="114300" distR="114300" simplePos="0" relativeHeight="251653632" behindDoc="0" locked="0" layoutInCell="1" allowOverlap="1" wp14:anchorId="17A26D78" wp14:editId="4D4E498F">
                  <wp:simplePos x="0" y="0"/>
                  <wp:positionH relativeFrom="column">
                    <wp:posOffset>0</wp:posOffset>
                  </wp:positionH>
                  <wp:positionV relativeFrom="paragraph">
                    <wp:posOffset>105410</wp:posOffset>
                  </wp:positionV>
                  <wp:extent cx="1267460" cy="1397000"/>
                  <wp:effectExtent l="0" t="0" r="8890" b="0"/>
                  <wp:wrapSquare wrapText="bothSides"/>
                  <wp:docPr id="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pic:spPr>
                      </pic:pic>
                    </a:graphicData>
                  </a:graphic>
                  <wp14:sizeRelH relativeFrom="page">
                    <wp14:pctWidth>0</wp14:pctWidth>
                  </wp14:sizeRelH>
                  <wp14:sizeRelV relativeFrom="page">
                    <wp14:pctHeight>0</wp14:pctHeight>
                  </wp14:sizeRelV>
                </wp:anchor>
              </w:drawing>
            </w:r>
          </w:p>
        </w:tc>
      </w:tr>
      <w:tr w:rsidR="00E74F5A" w:rsidRPr="008537D8" w14:paraId="3F5FA47A" w14:textId="77777777" w:rsidTr="003B500E">
        <w:tc>
          <w:tcPr>
            <w:tcW w:w="5353" w:type="dxa"/>
            <w:tcBorders>
              <w:right w:val="nil"/>
            </w:tcBorders>
          </w:tcPr>
          <w:p w14:paraId="2D1BDED3" w14:textId="77777777" w:rsidR="00E74F5A" w:rsidRPr="004311F9" w:rsidRDefault="00E74F5A" w:rsidP="00DC4CB1">
            <w:pPr>
              <w:spacing w:line="240" w:lineRule="auto"/>
              <w:ind w:left="567" w:hanging="567"/>
              <w:rPr>
                <w:szCs w:val="24"/>
                <w:lang w:val="hu-HU"/>
              </w:rPr>
            </w:pPr>
            <w:r w:rsidRPr="004311F9">
              <w:rPr>
                <w:szCs w:val="24"/>
                <w:lang w:val="hu-HU"/>
              </w:rPr>
              <w:t>8.</w:t>
            </w:r>
            <w:r w:rsidRPr="004311F9">
              <w:rPr>
                <w:szCs w:val="24"/>
                <w:lang w:val="hu-HU"/>
              </w:rPr>
              <w:tab/>
              <w:t>Törje le a fehér, garanciazáras műanyag kupakot az oldószert tartalmazó fecskendőről, addig hajlítva a perforált kupakot, amíg le nem pattan. Tegye félre a kupakot a tetejével lefelé egy lapos felületre. Ne érintse meg a kupak belsejét vagy a fecskendő hegyét.</w:t>
            </w:r>
          </w:p>
          <w:p w14:paraId="2140029F" w14:textId="77777777" w:rsidR="00E74F5A" w:rsidRPr="004311F9" w:rsidRDefault="00E74F5A" w:rsidP="00DC4CB1">
            <w:pPr>
              <w:spacing w:line="240" w:lineRule="auto"/>
              <w:rPr>
                <w:rFonts w:eastAsia="Times New Roman"/>
                <w:szCs w:val="24"/>
                <w:lang w:val="hu-HU"/>
              </w:rPr>
            </w:pPr>
          </w:p>
        </w:tc>
        <w:tc>
          <w:tcPr>
            <w:tcW w:w="3934" w:type="dxa"/>
            <w:tcBorders>
              <w:left w:val="nil"/>
            </w:tcBorders>
          </w:tcPr>
          <w:p w14:paraId="2FB1498E" w14:textId="77777777" w:rsidR="00E74F5A" w:rsidRPr="004311F9" w:rsidRDefault="00A806D4" w:rsidP="00DC4CB1">
            <w:pPr>
              <w:spacing w:line="240" w:lineRule="auto"/>
              <w:rPr>
                <w:rFonts w:eastAsia="Times New Roman"/>
                <w:b/>
                <w:szCs w:val="24"/>
                <w:lang w:val="hu-HU"/>
              </w:rPr>
            </w:pPr>
            <w:r w:rsidRPr="004311F9">
              <w:rPr>
                <w:noProof/>
                <w:lang w:val="hu-HU"/>
              </w:rPr>
              <w:drawing>
                <wp:anchor distT="0" distB="0" distL="114300" distR="114300" simplePos="0" relativeHeight="251654656" behindDoc="0" locked="0" layoutInCell="1" allowOverlap="1" wp14:anchorId="4F68CDA6" wp14:editId="02A6419C">
                  <wp:simplePos x="0" y="0"/>
                  <wp:positionH relativeFrom="column">
                    <wp:posOffset>-7620</wp:posOffset>
                  </wp:positionH>
                  <wp:positionV relativeFrom="paragraph">
                    <wp:posOffset>42545</wp:posOffset>
                  </wp:positionV>
                  <wp:extent cx="1280795" cy="1388745"/>
                  <wp:effectExtent l="0" t="0" r="0" b="1905"/>
                  <wp:wrapSquare wrapText="bothSides"/>
                  <wp:docPr id="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pic:spPr>
                      </pic:pic>
                    </a:graphicData>
                  </a:graphic>
                  <wp14:sizeRelH relativeFrom="page">
                    <wp14:pctWidth>0</wp14:pctWidth>
                  </wp14:sizeRelH>
                  <wp14:sizeRelV relativeFrom="page">
                    <wp14:pctHeight>0</wp14:pctHeight>
                  </wp14:sizeRelV>
                </wp:anchor>
              </w:drawing>
            </w:r>
          </w:p>
        </w:tc>
      </w:tr>
      <w:tr w:rsidR="00E74F5A" w:rsidRPr="008537D8" w14:paraId="3F277E75" w14:textId="77777777" w:rsidTr="003B500E">
        <w:tc>
          <w:tcPr>
            <w:tcW w:w="5353" w:type="dxa"/>
            <w:tcBorders>
              <w:right w:val="nil"/>
            </w:tcBorders>
          </w:tcPr>
          <w:p w14:paraId="5335B8A2" w14:textId="77777777" w:rsidR="00E74F5A" w:rsidRPr="004311F9" w:rsidRDefault="00E74F5A" w:rsidP="00DC4CB1">
            <w:pPr>
              <w:spacing w:line="240" w:lineRule="auto"/>
              <w:rPr>
                <w:szCs w:val="24"/>
                <w:lang w:val="hu-HU"/>
              </w:rPr>
            </w:pPr>
            <w:r w:rsidRPr="004311F9">
              <w:rPr>
                <w:szCs w:val="24"/>
                <w:lang w:val="hu-HU"/>
              </w:rPr>
              <w:t>9.</w:t>
            </w:r>
            <w:r w:rsidRPr="004311F9">
              <w:rPr>
                <w:szCs w:val="24"/>
                <w:lang w:val="hu-HU"/>
              </w:rPr>
              <w:tab/>
              <w:t>Emelje le a védőkupakot az adapterről, és dobja ki.</w:t>
            </w:r>
          </w:p>
        </w:tc>
        <w:tc>
          <w:tcPr>
            <w:tcW w:w="3934" w:type="dxa"/>
            <w:tcBorders>
              <w:left w:val="nil"/>
            </w:tcBorders>
          </w:tcPr>
          <w:p w14:paraId="4EF8F04C" w14:textId="77777777" w:rsidR="00E74F5A" w:rsidRPr="004311F9" w:rsidRDefault="00A806D4" w:rsidP="00DC4CB1">
            <w:pPr>
              <w:spacing w:line="240" w:lineRule="auto"/>
              <w:rPr>
                <w:rFonts w:eastAsia="Times New Roman"/>
                <w:b/>
                <w:szCs w:val="24"/>
                <w:lang w:val="hu-HU"/>
              </w:rPr>
            </w:pPr>
            <w:r w:rsidRPr="004311F9">
              <w:rPr>
                <w:noProof/>
                <w:lang w:val="hu-HU"/>
              </w:rPr>
              <w:drawing>
                <wp:anchor distT="0" distB="0" distL="114300" distR="114300" simplePos="0" relativeHeight="251655680" behindDoc="0" locked="0" layoutInCell="1" allowOverlap="1" wp14:anchorId="3F2FAB27" wp14:editId="22C5DAD4">
                  <wp:simplePos x="0" y="0"/>
                  <wp:positionH relativeFrom="column">
                    <wp:posOffset>-17780</wp:posOffset>
                  </wp:positionH>
                  <wp:positionV relativeFrom="paragraph">
                    <wp:posOffset>60960</wp:posOffset>
                  </wp:positionV>
                  <wp:extent cx="1285875" cy="1414145"/>
                  <wp:effectExtent l="0" t="0" r="9525" b="0"/>
                  <wp:wrapSquare wrapText="bothSides"/>
                  <wp:docPr id="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pic:spPr>
                      </pic:pic>
                    </a:graphicData>
                  </a:graphic>
                  <wp14:sizeRelH relativeFrom="page">
                    <wp14:pctWidth>0</wp14:pctWidth>
                  </wp14:sizeRelH>
                  <wp14:sizeRelV relativeFrom="page">
                    <wp14:pctHeight>0</wp14:pctHeight>
                  </wp14:sizeRelV>
                </wp:anchor>
              </w:drawing>
            </w:r>
          </w:p>
        </w:tc>
      </w:tr>
      <w:tr w:rsidR="00E74F5A" w:rsidRPr="008537D8" w14:paraId="65E854DF" w14:textId="77777777" w:rsidTr="003B500E">
        <w:trPr>
          <w:trHeight w:val="2411"/>
        </w:trPr>
        <w:tc>
          <w:tcPr>
            <w:tcW w:w="5353" w:type="dxa"/>
            <w:tcBorders>
              <w:right w:val="nil"/>
            </w:tcBorders>
          </w:tcPr>
          <w:p w14:paraId="692B2917" w14:textId="77777777" w:rsidR="00E74F5A" w:rsidRPr="004311F9" w:rsidRDefault="00E74F5A" w:rsidP="00DC4CB1">
            <w:pPr>
              <w:spacing w:line="240" w:lineRule="auto"/>
              <w:ind w:left="567" w:hanging="567"/>
              <w:rPr>
                <w:szCs w:val="24"/>
                <w:lang w:val="hu-HU"/>
              </w:rPr>
            </w:pPr>
            <w:r w:rsidRPr="004311F9">
              <w:rPr>
                <w:szCs w:val="24"/>
                <w:lang w:val="hu-HU"/>
              </w:rPr>
              <w:t xml:space="preserve">10. </w:t>
            </w:r>
            <w:r w:rsidRPr="004311F9">
              <w:rPr>
                <w:szCs w:val="24"/>
                <w:lang w:val="hu-HU"/>
              </w:rPr>
              <w:tab/>
              <w:t>Csatlakoztassa az oldószert tartalmazó fecskendőt az injekciósüveg-adapterre, behelyezve a fecskendő hegyét az adapter nyílásába. Erősen nyomja le, és fordítsa el a fecskendőt az óramutató járásával megegyező irányba, amíg stabilan nem csatlakozik.</w:t>
            </w:r>
          </w:p>
        </w:tc>
        <w:tc>
          <w:tcPr>
            <w:tcW w:w="3934" w:type="dxa"/>
            <w:tcBorders>
              <w:left w:val="nil"/>
            </w:tcBorders>
          </w:tcPr>
          <w:p w14:paraId="37D44859" w14:textId="77777777" w:rsidR="00E74F5A" w:rsidRPr="004311F9" w:rsidRDefault="00A806D4" w:rsidP="00DC4CB1">
            <w:pPr>
              <w:spacing w:line="240" w:lineRule="auto"/>
              <w:rPr>
                <w:szCs w:val="24"/>
                <w:lang w:val="hu-HU"/>
              </w:rPr>
            </w:pPr>
            <w:r w:rsidRPr="004311F9">
              <w:rPr>
                <w:noProof/>
                <w:lang w:val="hu-HU"/>
              </w:rPr>
              <w:drawing>
                <wp:anchor distT="0" distB="0" distL="114300" distR="114300" simplePos="0" relativeHeight="251656704" behindDoc="0" locked="0" layoutInCell="1" allowOverlap="1" wp14:anchorId="1B68B176" wp14:editId="1A6CC96C">
                  <wp:simplePos x="0" y="0"/>
                  <wp:positionH relativeFrom="column">
                    <wp:posOffset>2540</wp:posOffset>
                  </wp:positionH>
                  <wp:positionV relativeFrom="paragraph">
                    <wp:posOffset>82550</wp:posOffset>
                  </wp:positionV>
                  <wp:extent cx="1308735" cy="1426210"/>
                  <wp:effectExtent l="0" t="0" r="5715" b="2540"/>
                  <wp:wrapSquare wrapText="bothSides"/>
                  <wp:docPr id="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pic:spPr>
                      </pic:pic>
                    </a:graphicData>
                  </a:graphic>
                  <wp14:sizeRelH relativeFrom="page">
                    <wp14:pctWidth>0</wp14:pctWidth>
                  </wp14:sizeRelH>
                  <wp14:sizeRelV relativeFrom="page">
                    <wp14:pctHeight>0</wp14:pctHeight>
                  </wp14:sizeRelV>
                </wp:anchor>
              </w:drawing>
            </w:r>
          </w:p>
        </w:tc>
      </w:tr>
      <w:tr w:rsidR="00E74F5A" w:rsidRPr="008537D8" w14:paraId="03BF8B8B" w14:textId="77777777" w:rsidTr="003B500E">
        <w:tc>
          <w:tcPr>
            <w:tcW w:w="5353" w:type="dxa"/>
            <w:tcBorders>
              <w:right w:val="nil"/>
            </w:tcBorders>
          </w:tcPr>
          <w:p w14:paraId="1D0CE759" w14:textId="77777777" w:rsidR="00E74F5A" w:rsidRPr="004311F9" w:rsidRDefault="00E74F5A" w:rsidP="00DC4CB1">
            <w:pPr>
              <w:spacing w:line="240" w:lineRule="auto"/>
              <w:ind w:left="567" w:hanging="567"/>
              <w:rPr>
                <w:szCs w:val="24"/>
                <w:lang w:val="hu-HU"/>
              </w:rPr>
            </w:pPr>
            <w:r w:rsidRPr="004311F9">
              <w:rPr>
                <w:szCs w:val="24"/>
                <w:lang w:val="hu-HU"/>
              </w:rPr>
              <w:lastRenderedPageBreak/>
              <w:t>11.</w:t>
            </w:r>
            <w:r w:rsidRPr="004311F9">
              <w:rPr>
                <w:szCs w:val="24"/>
                <w:lang w:val="hu-HU"/>
              </w:rPr>
              <w:tab/>
              <w:t>Lassan nyomja le a dugattyúrudat, hogy az oldószer teljes mennyiséget befecskendezze az ALPROLIX injekciós üvegbe.</w:t>
            </w:r>
          </w:p>
        </w:tc>
        <w:tc>
          <w:tcPr>
            <w:tcW w:w="3934" w:type="dxa"/>
            <w:tcBorders>
              <w:left w:val="nil"/>
            </w:tcBorders>
          </w:tcPr>
          <w:p w14:paraId="1314103C" w14:textId="77777777" w:rsidR="00E74F5A" w:rsidRPr="004311F9" w:rsidRDefault="00A806D4" w:rsidP="00DC4CB1">
            <w:pPr>
              <w:spacing w:line="240" w:lineRule="auto"/>
              <w:rPr>
                <w:szCs w:val="24"/>
                <w:lang w:val="hu-HU"/>
              </w:rPr>
            </w:pPr>
            <w:r w:rsidRPr="004311F9">
              <w:rPr>
                <w:noProof/>
                <w:lang w:val="hu-HU"/>
              </w:rPr>
              <w:drawing>
                <wp:anchor distT="0" distB="0" distL="114300" distR="114300" simplePos="0" relativeHeight="251657728" behindDoc="0" locked="0" layoutInCell="1" allowOverlap="1" wp14:anchorId="5A77E7A2" wp14:editId="44FE22EB">
                  <wp:simplePos x="0" y="0"/>
                  <wp:positionH relativeFrom="column">
                    <wp:posOffset>-17145</wp:posOffset>
                  </wp:positionH>
                  <wp:positionV relativeFrom="paragraph">
                    <wp:posOffset>63500</wp:posOffset>
                  </wp:positionV>
                  <wp:extent cx="1342390" cy="1383665"/>
                  <wp:effectExtent l="0" t="0" r="0" b="6985"/>
                  <wp:wrapSquare wrapText="bothSides"/>
                  <wp:docPr id="1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pic:spPr>
                      </pic:pic>
                    </a:graphicData>
                  </a:graphic>
                  <wp14:sizeRelH relativeFrom="page">
                    <wp14:pctWidth>0</wp14:pctWidth>
                  </wp14:sizeRelH>
                  <wp14:sizeRelV relativeFrom="page">
                    <wp14:pctHeight>0</wp14:pctHeight>
                  </wp14:sizeRelV>
                </wp:anchor>
              </w:drawing>
            </w:r>
          </w:p>
        </w:tc>
      </w:tr>
      <w:tr w:rsidR="00E74F5A" w:rsidRPr="004311F9" w14:paraId="2483447A" w14:textId="77777777" w:rsidTr="003B500E">
        <w:tc>
          <w:tcPr>
            <w:tcW w:w="5353" w:type="dxa"/>
            <w:tcBorders>
              <w:right w:val="nil"/>
            </w:tcBorders>
          </w:tcPr>
          <w:p w14:paraId="6658FA62" w14:textId="77777777" w:rsidR="00E74F5A" w:rsidRPr="004311F9" w:rsidRDefault="00E74F5A" w:rsidP="00DC4CB1">
            <w:pPr>
              <w:spacing w:line="240" w:lineRule="auto"/>
              <w:ind w:left="567" w:hanging="567"/>
              <w:rPr>
                <w:szCs w:val="24"/>
                <w:lang w:val="hu-HU"/>
              </w:rPr>
            </w:pPr>
            <w:r w:rsidRPr="004311F9">
              <w:rPr>
                <w:szCs w:val="24"/>
                <w:lang w:val="hu-HU"/>
              </w:rPr>
              <w:t>12.</w:t>
            </w:r>
            <w:r w:rsidRPr="004311F9">
              <w:rPr>
                <w:szCs w:val="24"/>
                <w:lang w:val="hu-HU"/>
              </w:rPr>
              <w:tab/>
              <w:t>Miközben a fecskendő továbbra is csatlakoztatva van az adapterhez, és a dugattyúrúd be van nyomva, óvatosan mozgassa körkörösen az injekciós üveget, amíg a por fel nem oldódik.</w:t>
            </w:r>
          </w:p>
          <w:p w14:paraId="7E8A65DA" w14:textId="77777777" w:rsidR="00E74F5A" w:rsidRPr="004311F9" w:rsidRDefault="00E74F5A" w:rsidP="00DC4CB1">
            <w:pPr>
              <w:spacing w:line="240" w:lineRule="auto"/>
              <w:ind w:left="567"/>
              <w:rPr>
                <w:szCs w:val="24"/>
                <w:lang w:val="hu-HU"/>
              </w:rPr>
            </w:pPr>
            <w:r w:rsidRPr="004311F9">
              <w:rPr>
                <w:szCs w:val="24"/>
                <w:lang w:val="hu-HU"/>
              </w:rPr>
              <w:t>Ne rázza!</w:t>
            </w:r>
          </w:p>
        </w:tc>
        <w:tc>
          <w:tcPr>
            <w:tcW w:w="3934" w:type="dxa"/>
            <w:tcBorders>
              <w:left w:val="nil"/>
            </w:tcBorders>
          </w:tcPr>
          <w:p w14:paraId="1E725DC0" w14:textId="77777777" w:rsidR="00E74F5A" w:rsidRPr="004311F9" w:rsidRDefault="00A806D4" w:rsidP="00DC4CB1">
            <w:pPr>
              <w:spacing w:line="240" w:lineRule="auto"/>
              <w:rPr>
                <w:szCs w:val="24"/>
                <w:lang w:val="hu-HU"/>
              </w:rPr>
            </w:pPr>
            <w:r w:rsidRPr="004311F9">
              <w:rPr>
                <w:noProof/>
                <w:lang w:val="hu-HU"/>
              </w:rPr>
              <w:drawing>
                <wp:anchor distT="0" distB="0" distL="114300" distR="114300" simplePos="0" relativeHeight="251658752" behindDoc="0" locked="0" layoutInCell="1" allowOverlap="1" wp14:anchorId="648E6EE1" wp14:editId="4740A1F4">
                  <wp:simplePos x="0" y="0"/>
                  <wp:positionH relativeFrom="column">
                    <wp:posOffset>2540</wp:posOffset>
                  </wp:positionH>
                  <wp:positionV relativeFrom="paragraph">
                    <wp:posOffset>80010</wp:posOffset>
                  </wp:positionV>
                  <wp:extent cx="1308735" cy="1499870"/>
                  <wp:effectExtent l="0" t="0" r="5715" b="5080"/>
                  <wp:wrapSquare wrapText="bothSides"/>
                  <wp:docPr id="1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pic:spPr>
                      </pic:pic>
                    </a:graphicData>
                  </a:graphic>
                  <wp14:sizeRelH relativeFrom="page">
                    <wp14:pctWidth>0</wp14:pctWidth>
                  </wp14:sizeRelH>
                  <wp14:sizeRelV relativeFrom="page">
                    <wp14:pctHeight>0</wp14:pctHeight>
                  </wp14:sizeRelV>
                </wp:anchor>
              </w:drawing>
            </w:r>
          </w:p>
        </w:tc>
      </w:tr>
      <w:tr w:rsidR="00E74F5A" w:rsidRPr="008537D8" w14:paraId="493A3CD1" w14:textId="77777777">
        <w:tc>
          <w:tcPr>
            <w:tcW w:w="9287" w:type="dxa"/>
            <w:gridSpan w:val="2"/>
          </w:tcPr>
          <w:p w14:paraId="5AE6B8DC" w14:textId="77777777" w:rsidR="00E74F5A" w:rsidRPr="004311F9" w:rsidRDefault="00E74F5A" w:rsidP="00DC4CB1">
            <w:pPr>
              <w:spacing w:line="240" w:lineRule="auto"/>
              <w:ind w:left="567" w:hanging="567"/>
              <w:rPr>
                <w:szCs w:val="24"/>
                <w:lang w:val="hu-HU"/>
              </w:rPr>
            </w:pPr>
            <w:r w:rsidRPr="004311F9">
              <w:rPr>
                <w:szCs w:val="24"/>
                <w:lang w:val="hu-HU"/>
              </w:rPr>
              <w:t>13.</w:t>
            </w:r>
            <w:r w:rsidRPr="004311F9">
              <w:rPr>
                <w:szCs w:val="24"/>
                <w:lang w:val="hu-HU"/>
              </w:rPr>
              <w:tab/>
              <w:t>A keletkezett oldatot a beadása előtt szemügyre kell venni. Az oldatnak tisztának vagy enyhén opálosnak és színtelennek kell lennie. Ne használja fel az oldatot, ha zavaros vagy látható részecskéket tartalmaz.</w:t>
            </w:r>
          </w:p>
          <w:p w14:paraId="604EC722" w14:textId="77777777" w:rsidR="00E74F5A" w:rsidRPr="004311F9" w:rsidRDefault="00E74F5A" w:rsidP="00DC4CB1">
            <w:pPr>
              <w:spacing w:line="240" w:lineRule="auto"/>
              <w:rPr>
                <w:szCs w:val="24"/>
                <w:lang w:val="hu-HU"/>
              </w:rPr>
            </w:pPr>
          </w:p>
        </w:tc>
      </w:tr>
      <w:tr w:rsidR="00E74F5A" w:rsidRPr="008537D8" w14:paraId="0CFAC5DC" w14:textId="77777777" w:rsidTr="003B500E">
        <w:tc>
          <w:tcPr>
            <w:tcW w:w="5353" w:type="dxa"/>
            <w:tcBorders>
              <w:right w:val="nil"/>
            </w:tcBorders>
          </w:tcPr>
          <w:p w14:paraId="5A3BF31E" w14:textId="11584D48" w:rsidR="00E74F5A" w:rsidRDefault="00E74F5A" w:rsidP="00DC4CB1">
            <w:pPr>
              <w:spacing w:line="240" w:lineRule="auto"/>
              <w:ind w:left="567" w:hanging="567"/>
              <w:rPr>
                <w:szCs w:val="24"/>
                <w:lang w:val="hu-HU"/>
              </w:rPr>
            </w:pPr>
            <w:r w:rsidRPr="004311F9">
              <w:rPr>
                <w:szCs w:val="24"/>
                <w:lang w:val="hu-HU"/>
              </w:rPr>
              <w:t>14.</w:t>
            </w:r>
            <w:r w:rsidRPr="004311F9">
              <w:rPr>
                <w:szCs w:val="24"/>
                <w:lang w:val="hu-HU"/>
              </w:rPr>
              <w:tab/>
              <w:t>Fordítsa fel az injekciós üveget, ügyelve rá, hogy a fecskendő dugattyúrúdja továbbra is teljesen be legyen nyomva. Lassan húzza vissza a dugattyúrudat, hogy az oldat teljes mennyiségét felszívja az injekciós üveg adapterén keresztül a fecskendőbe.</w:t>
            </w:r>
          </w:p>
          <w:p w14:paraId="03997330" w14:textId="77777777" w:rsidR="00036C2D" w:rsidRPr="004311F9" w:rsidRDefault="00036C2D" w:rsidP="00036C2D">
            <w:pPr>
              <w:spacing w:line="240" w:lineRule="auto"/>
              <w:ind w:left="567" w:firstLine="22"/>
              <w:rPr>
                <w:szCs w:val="24"/>
                <w:lang w:val="hu-HU"/>
              </w:rPr>
            </w:pPr>
          </w:p>
          <w:p w14:paraId="3CFA53BA" w14:textId="77777777" w:rsidR="00036C2D" w:rsidRPr="004311F9" w:rsidRDefault="00036C2D" w:rsidP="00036C2D">
            <w:pPr>
              <w:spacing w:line="240" w:lineRule="auto"/>
              <w:ind w:left="589"/>
              <w:rPr>
                <w:szCs w:val="24"/>
                <w:lang w:val="hu-HU"/>
              </w:rPr>
            </w:pPr>
            <w:r w:rsidRPr="004311F9">
              <w:rPr>
                <w:szCs w:val="24"/>
                <w:lang w:val="hu-HU"/>
              </w:rPr>
              <w:t>Megjegyzés: Ha több ALPROLIX injekciós üveget használ fel egy injekcióhoz, akkor mindegyik injekciós üveget külön kell elkészítenie az előbbi utasításoknak megfelelően (1</w:t>
            </w:r>
            <w:r w:rsidRPr="004311F9">
              <w:rPr>
                <w:szCs w:val="24"/>
                <w:lang w:val="hu-HU"/>
              </w:rPr>
              <w:noBreakHyphen/>
              <w:t>13. lépés), és az oldószert tartalmazó fecskendőt le kell vennie, helyén hagyva az injekciósüveg-adaptert. Az egyes injekciós üvegek elkészített tartalmának visszaszívásához egy nagy Luer-csatlakozóval ellátott fecskendőt lehet használni.</w:t>
            </w:r>
          </w:p>
          <w:p w14:paraId="48EAB3E5" w14:textId="77777777" w:rsidR="00E74F5A" w:rsidRPr="004311F9" w:rsidRDefault="00E74F5A" w:rsidP="00DC4CB1">
            <w:pPr>
              <w:spacing w:line="240" w:lineRule="auto"/>
              <w:rPr>
                <w:rFonts w:eastAsia="Times New Roman"/>
                <w:szCs w:val="24"/>
                <w:lang w:val="hu-HU"/>
              </w:rPr>
            </w:pPr>
          </w:p>
        </w:tc>
        <w:tc>
          <w:tcPr>
            <w:tcW w:w="3934" w:type="dxa"/>
            <w:tcBorders>
              <w:left w:val="nil"/>
            </w:tcBorders>
          </w:tcPr>
          <w:p w14:paraId="6F04248A" w14:textId="77777777" w:rsidR="00E74F5A" w:rsidRPr="004311F9" w:rsidRDefault="00A806D4" w:rsidP="00DC4CB1">
            <w:pPr>
              <w:spacing w:line="240" w:lineRule="auto"/>
              <w:rPr>
                <w:szCs w:val="24"/>
                <w:lang w:val="hu-HU"/>
              </w:rPr>
            </w:pPr>
            <w:r w:rsidRPr="004311F9">
              <w:rPr>
                <w:noProof/>
                <w:lang w:val="hu-HU"/>
              </w:rPr>
              <w:drawing>
                <wp:anchor distT="0" distB="0" distL="114300" distR="114300" simplePos="0" relativeHeight="251659776" behindDoc="0" locked="0" layoutInCell="1" allowOverlap="1" wp14:anchorId="1591DCEB" wp14:editId="17D4DD98">
                  <wp:simplePos x="0" y="0"/>
                  <wp:positionH relativeFrom="column">
                    <wp:posOffset>2540</wp:posOffset>
                  </wp:positionH>
                  <wp:positionV relativeFrom="paragraph">
                    <wp:posOffset>73025</wp:posOffset>
                  </wp:positionV>
                  <wp:extent cx="1362710" cy="1440815"/>
                  <wp:effectExtent l="0" t="0" r="8890" b="6985"/>
                  <wp:wrapSquare wrapText="bothSides"/>
                  <wp:docPr id="1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pic:spPr>
                      </pic:pic>
                    </a:graphicData>
                  </a:graphic>
                  <wp14:sizeRelH relativeFrom="page">
                    <wp14:pctWidth>0</wp14:pctWidth>
                  </wp14:sizeRelH>
                  <wp14:sizeRelV relativeFrom="page">
                    <wp14:pctHeight>0</wp14:pctHeight>
                  </wp14:sizeRelV>
                </wp:anchor>
              </w:drawing>
            </w:r>
          </w:p>
        </w:tc>
      </w:tr>
      <w:tr w:rsidR="00E74F5A" w:rsidRPr="008537D8" w14:paraId="611DBBA8" w14:textId="77777777" w:rsidTr="00036C2D">
        <w:trPr>
          <w:trHeight w:val="2324"/>
        </w:trPr>
        <w:tc>
          <w:tcPr>
            <w:tcW w:w="5353" w:type="dxa"/>
            <w:tcBorders>
              <w:right w:val="nil"/>
            </w:tcBorders>
          </w:tcPr>
          <w:p w14:paraId="0B8548FD" w14:textId="77777777" w:rsidR="00E74F5A" w:rsidRPr="004311F9" w:rsidRDefault="00E74F5A" w:rsidP="00DC4CB1">
            <w:pPr>
              <w:spacing w:line="240" w:lineRule="auto"/>
              <w:ind w:left="567" w:hanging="567"/>
              <w:rPr>
                <w:szCs w:val="24"/>
                <w:lang w:val="hu-HU"/>
              </w:rPr>
            </w:pPr>
            <w:r w:rsidRPr="004311F9">
              <w:rPr>
                <w:szCs w:val="24"/>
                <w:lang w:val="hu-HU"/>
              </w:rPr>
              <w:t>15.</w:t>
            </w:r>
            <w:r w:rsidRPr="004311F9">
              <w:rPr>
                <w:szCs w:val="24"/>
                <w:lang w:val="hu-HU"/>
              </w:rPr>
              <w:tab/>
              <w:t>Válassza le a fecskendőt az injekciósüveg-adapterről, óvatosan húzva, és az óramutató járásával ellentétes irányba fordítva az injekciós üveget.</w:t>
            </w:r>
          </w:p>
          <w:p w14:paraId="134DD101" w14:textId="77777777" w:rsidR="00E74F5A" w:rsidRPr="004311F9" w:rsidRDefault="00E74F5A" w:rsidP="00DC4CB1">
            <w:pPr>
              <w:spacing w:line="240" w:lineRule="auto"/>
              <w:rPr>
                <w:szCs w:val="24"/>
                <w:lang w:val="hu-HU"/>
              </w:rPr>
            </w:pPr>
          </w:p>
        </w:tc>
        <w:tc>
          <w:tcPr>
            <w:tcW w:w="3934" w:type="dxa"/>
            <w:tcBorders>
              <w:left w:val="nil"/>
            </w:tcBorders>
          </w:tcPr>
          <w:p w14:paraId="2B57C498" w14:textId="77777777" w:rsidR="00E74F5A" w:rsidRPr="004311F9" w:rsidRDefault="00A806D4" w:rsidP="00DC4CB1">
            <w:pPr>
              <w:spacing w:line="240" w:lineRule="auto"/>
              <w:rPr>
                <w:szCs w:val="24"/>
                <w:lang w:val="hu-HU"/>
              </w:rPr>
            </w:pPr>
            <w:r w:rsidRPr="004311F9">
              <w:rPr>
                <w:noProof/>
                <w:lang w:val="hu-HU"/>
              </w:rPr>
              <w:drawing>
                <wp:anchor distT="0" distB="0" distL="114300" distR="114300" simplePos="0" relativeHeight="251660800" behindDoc="0" locked="0" layoutInCell="1" allowOverlap="1" wp14:anchorId="5C45C8DD" wp14:editId="7C37AC69">
                  <wp:simplePos x="0" y="0"/>
                  <wp:positionH relativeFrom="column">
                    <wp:posOffset>21590</wp:posOffset>
                  </wp:positionH>
                  <wp:positionV relativeFrom="paragraph">
                    <wp:posOffset>46990</wp:posOffset>
                  </wp:positionV>
                  <wp:extent cx="1304925" cy="1358265"/>
                  <wp:effectExtent l="0" t="0" r="9525" b="0"/>
                  <wp:wrapSquare wrapText="bothSides"/>
                  <wp:docPr id="1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pic:spPr>
                      </pic:pic>
                    </a:graphicData>
                  </a:graphic>
                  <wp14:sizeRelH relativeFrom="page">
                    <wp14:pctWidth>0</wp14:pctWidth>
                  </wp14:sizeRelH>
                  <wp14:sizeRelV relativeFrom="page">
                    <wp14:pctHeight>0</wp14:pctHeight>
                  </wp14:sizeRelV>
                </wp:anchor>
              </w:drawing>
            </w:r>
          </w:p>
        </w:tc>
      </w:tr>
      <w:tr w:rsidR="00E74F5A" w:rsidRPr="004311F9" w14:paraId="5A9EAE50" w14:textId="77777777">
        <w:tc>
          <w:tcPr>
            <w:tcW w:w="9287" w:type="dxa"/>
            <w:gridSpan w:val="2"/>
          </w:tcPr>
          <w:p w14:paraId="34CB16DB" w14:textId="77777777" w:rsidR="00E74F5A" w:rsidRPr="004311F9" w:rsidRDefault="00E74F5A" w:rsidP="00DC4CB1">
            <w:pPr>
              <w:spacing w:line="240" w:lineRule="auto"/>
              <w:rPr>
                <w:szCs w:val="24"/>
                <w:lang w:val="hu-HU"/>
              </w:rPr>
            </w:pPr>
            <w:r w:rsidRPr="004311F9">
              <w:rPr>
                <w:szCs w:val="24"/>
                <w:lang w:val="hu-HU"/>
              </w:rPr>
              <w:lastRenderedPageBreak/>
              <w:t>16.</w:t>
            </w:r>
            <w:r w:rsidRPr="004311F9">
              <w:rPr>
                <w:szCs w:val="24"/>
                <w:lang w:val="hu-HU"/>
              </w:rPr>
              <w:tab/>
              <w:t>Dobja ki az injekciós üveget és az adaptert.</w:t>
            </w:r>
          </w:p>
          <w:p w14:paraId="6E389E9B" w14:textId="77777777" w:rsidR="00E74F5A" w:rsidRPr="004311F9" w:rsidRDefault="00E74F5A" w:rsidP="00DC4CB1">
            <w:pPr>
              <w:spacing w:line="240" w:lineRule="auto"/>
              <w:rPr>
                <w:rFonts w:eastAsia="Times New Roman"/>
                <w:szCs w:val="24"/>
                <w:lang w:val="hu-HU"/>
              </w:rPr>
            </w:pPr>
          </w:p>
          <w:p w14:paraId="0D29925A" w14:textId="77777777" w:rsidR="00E74F5A" w:rsidRPr="004311F9" w:rsidRDefault="00E74F5A" w:rsidP="00DC4CB1">
            <w:pPr>
              <w:numPr>
                <w:ilvl w:val="12"/>
                <w:numId w:val="0"/>
              </w:numPr>
              <w:spacing w:line="240" w:lineRule="auto"/>
              <w:ind w:right="-2"/>
              <w:rPr>
                <w:szCs w:val="24"/>
                <w:lang w:val="hu-HU"/>
              </w:rPr>
            </w:pPr>
            <w:r w:rsidRPr="004311F9">
              <w:rPr>
                <w:szCs w:val="24"/>
                <w:lang w:val="hu-HU"/>
              </w:rPr>
              <w:t>Megjegyzés: Ha az oldatot nem használják fel azonnal, a fecskendő kupakját óvatosan vissza kell tenni a fecskendő hegyére. Ne érintse meg a fecskendő hegyét vagy a kupak belsejét.</w:t>
            </w:r>
          </w:p>
          <w:p w14:paraId="0EE04BDC" w14:textId="77777777" w:rsidR="00E74F5A" w:rsidRPr="004311F9" w:rsidRDefault="00E74F5A" w:rsidP="00DC4CB1">
            <w:pPr>
              <w:numPr>
                <w:ilvl w:val="12"/>
                <w:numId w:val="0"/>
              </w:numPr>
              <w:spacing w:line="240" w:lineRule="auto"/>
              <w:ind w:right="-2"/>
              <w:rPr>
                <w:rFonts w:eastAsia="Times New Roman"/>
                <w:szCs w:val="24"/>
                <w:lang w:val="hu-HU"/>
              </w:rPr>
            </w:pPr>
          </w:p>
          <w:p w14:paraId="4DCADD23" w14:textId="77777777" w:rsidR="00E74F5A" w:rsidRPr="004311F9" w:rsidRDefault="00E74F5A" w:rsidP="00DC4CB1">
            <w:pPr>
              <w:numPr>
                <w:ilvl w:val="12"/>
                <w:numId w:val="0"/>
              </w:numPr>
              <w:spacing w:line="240" w:lineRule="auto"/>
              <w:ind w:right="-2"/>
              <w:rPr>
                <w:szCs w:val="24"/>
                <w:lang w:val="hu-HU"/>
              </w:rPr>
            </w:pPr>
            <w:r w:rsidRPr="004311F9">
              <w:rPr>
                <w:szCs w:val="24"/>
                <w:lang w:val="hu-HU"/>
              </w:rPr>
              <w:t>Elkészítése után az ALPROLIX szobahőmérsékleten, legfeljebb 6 órán át tárolható a beadása előtt. Ez idő után az elkészített ALPROLIX</w:t>
            </w:r>
            <w:r w:rsidRPr="004311F9">
              <w:rPr>
                <w:szCs w:val="24"/>
                <w:lang w:val="hu-HU"/>
              </w:rPr>
              <w:noBreakHyphen/>
              <w:t>ot ki kell dobni. Közvetlen napfénytől védve tartandó.</w:t>
            </w:r>
          </w:p>
          <w:p w14:paraId="7A92539D" w14:textId="77777777" w:rsidR="00E74F5A" w:rsidRPr="004311F9" w:rsidRDefault="00E74F5A" w:rsidP="00DC4CB1">
            <w:pPr>
              <w:spacing w:line="240" w:lineRule="auto"/>
              <w:rPr>
                <w:szCs w:val="24"/>
                <w:lang w:val="hu-HU"/>
              </w:rPr>
            </w:pPr>
          </w:p>
        </w:tc>
      </w:tr>
    </w:tbl>
    <w:p w14:paraId="14920BB5" w14:textId="77777777" w:rsidR="00E74F5A" w:rsidRPr="004311F9" w:rsidRDefault="00E74F5A" w:rsidP="00DC4CB1">
      <w:pPr>
        <w:spacing w:line="240" w:lineRule="auto"/>
        <w:rPr>
          <w:rFonts w:eastAsia="Times New Roman"/>
          <w:b/>
          <w:szCs w:val="24"/>
          <w:lang w:val="hu-HU"/>
        </w:rPr>
      </w:pPr>
    </w:p>
    <w:p w14:paraId="41D7CDA9" w14:textId="77777777" w:rsidR="00E74F5A" w:rsidRPr="004311F9" w:rsidRDefault="00E74F5A" w:rsidP="00DC4CB1">
      <w:pPr>
        <w:keepNext/>
        <w:keepLines/>
        <w:spacing w:line="240" w:lineRule="auto"/>
        <w:rPr>
          <w:b/>
          <w:szCs w:val="24"/>
          <w:lang w:val="hu-HU"/>
        </w:rPr>
      </w:pPr>
      <w:r w:rsidRPr="004311F9">
        <w:rPr>
          <w:b/>
          <w:szCs w:val="24"/>
          <w:lang w:val="hu-HU"/>
        </w:rPr>
        <w:t>Beadás (intravénás injekció)</w:t>
      </w:r>
    </w:p>
    <w:p w14:paraId="0EF99AFF" w14:textId="77777777" w:rsidR="00E74F5A" w:rsidRPr="004311F9" w:rsidRDefault="00E74F5A" w:rsidP="00DC4CB1">
      <w:pPr>
        <w:pStyle w:val="ListParagraph1"/>
        <w:keepNext/>
        <w:keepLines/>
        <w:ind w:left="0"/>
        <w:rPr>
          <w:rFonts w:eastAsia="Times New Roman"/>
          <w:sz w:val="22"/>
          <w:lang w:val="hu-HU"/>
        </w:rPr>
      </w:pPr>
    </w:p>
    <w:p w14:paraId="18BBF0DF" w14:textId="77777777" w:rsidR="00E74F5A" w:rsidRPr="004311F9" w:rsidRDefault="00E74F5A" w:rsidP="00DC4CB1">
      <w:pPr>
        <w:pStyle w:val="ListParagraph1"/>
        <w:keepNext/>
        <w:keepLines/>
        <w:ind w:left="0"/>
        <w:rPr>
          <w:rFonts w:eastAsia="Times New Roman"/>
          <w:sz w:val="22"/>
          <w:lang w:val="hu-HU"/>
        </w:rPr>
      </w:pPr>
      <w:r w:rsidRPr="004311F9">
        <w:rPr>
          <w:rFonts w:eastAsia="Times New Roman"/>
          <w:sz w:val="22"/>
          <w:lang w:val="hu-HU"/>
        </w:rPr>
        <w:t>Az ALPROLIX</w:t>
      </w:r>
      <w:r w:rsidRPr="004311F9">
        <w:rPr>
          <w:rFonts w:eastAsia="Times New Roman"/>
          <w:sz w:val="22"/>
          <w:lang w:val="hu-HU"/>
        </w:rPr>
        <w:noBreakHyphen/>
        <w:t>ot a csomagban mellékelt infúziós szerelék (E) használatával kell beadni.</w:t>
      </w:r>
    </w:p>
    <w:p w14:paraId="7D145261" w14:textId="77777777" w:rsidR="00E74F5A" w:rsidRPr="004311F9" w:rsidRDefault="00E74F5A" w:rsidP="00DC4CB1">
      <w:pPr>
        <w:pStyle w:val="ListParagraph1"/>
        <w:keepNext/>
        <w:keepLines/>
        <w:ind w:left="0"/>
        <w:rPr>
          <w:rFonts w:eastAsia="Times New Roman"/>
          <w:sz w:val="22"/>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678"/>
        <w:gridCol w:w="2609"/>
      </w:tblGrid>
      <w:tr w:rsidR="00E74F5A" w:rsidRPr="008537D8" w14:paraId="5D717653" w14:textId="77777777">
        <w:tc>
          <w:tcPr>
            <w:tcW w:w="6678" w:type="dxa"/>
            <w:tcBorders>
              <w:right w:val="nil"/>
            </w:tcBorders>
          </w:tcPr>
          <w:p w14:paraId="0FA95C5C" w14:textId="6D5E415B" w:rsidR="00E74F5A" w:rsidRPr="004311F9" w:rsidRDefault="005325DB" w:rsidP="005325DB">
            <w:pPr>
              <w:pStyle w:val="ListParagraph1"/>
              <w:ind w:left="589" w:hanging="589"/>
              <w:rPr>
                <w:rFonts w:eastAsia="Times New Roman"/>
                <w:sz w:val="22"/>
                <w:lang w:val="hu-HU"/>
              </w:rPr>
            </w:pPr>
            <w:r w:rsidRPr="004311F9">
              <w:rPr>
                <w:rFonts w:eastAsia="Times New Roman"/>
                <w:sz w:val="22"/>
                <w:lang w:val="hu-HU"/>
              </w:rPr>
              <w:t>1.</w:t>
            </w:r>
            <w:r w:rsidRPr="004311F9">
              <w:rPr>
                <w:rFonts w:eastAsia="Times New Roman"/>
                <w:sz w:val="22"/>
                <w:lang w:val="hu-HU"/>
              </w:rPr>
              <w:tab/>
            </w:r>
            <w:r w:rsidR="00E74F5A" w:rsidRPr="004311F9">
              <w:rPr>
                <w:rFonts w:eastAsia="Times New Roman"/>
                <w:sz w:val="22"/>
                <w:lang w:val="hu-HU"/>
              </w:rPr>
              <w:t xml:space="preserve">Nyissa ki az infúziós szerelék csomagolását, és vegye le a </w:t>
            </w:r>
            <w:r w:rsidR="00E74F5A" w:rsidRPr="004311F9">
              <w:rPr>
                <w:sz w:val="22"/>
                <w:lang w:val="hu-HU"/>
              </w:rPr>
              <w:t>védőkupakot a cső végéről. Csatlakoztassa az elkészített ALPROLIX oldatot tartalmazó fecskendőt az infúziós szerelék csövének végéhez, az óramutató járásával megegyező</w:t>
            </w:r>
            <w:r w:rsidR="00E74F5A" w:rsidRPr="004311F9">
              <w:rPr>
                <w:rFonts w:eastAsia="Times New Roman"/>
                <w:sz w:val="22"/>
                <w:lang w:val="hu-HU"/>
              </w:rPr>
              <w:t xml:space="preserve"> irányba csavarva </w:t>
            </w:r>
            <w:r w:rsidR="00E74F5A" w:rsidRPr="004311F9">
              <w:rPr>
                <w:sz w:val="22"/>
                <w:lang w:val="hu-HU"/>
              </w:rPr>
              <w:t>a fecskendőt.</w:t>
            </w:r>
          </w:p>
        </w:tc>
        <w:tc>
          <w:tcPr>
            <w:tcW w:w="2609" w:type="dxa"/>
            <w:tcBorders>
              <w:left w:val="nil"/>
            </w:tcBorders>
          </w:tcPr>
          <w:p w14:paraId="6F48F87B" w14:textId="77777777" w:rsidR="00E74F5A" w:rsidRPr="004311F9" w:rsidRDefault="00A806D4" w:rsidP="00DC4CB1">
            <w:pPr>
              <w:pStyle w:val="ListParagraph1"/>
              <w:ind w:left="0"/>
              <w:rPr>
                <w:rFonts w:eastAsia="Times New Roman"/>
                <w:sz w:val="22"/>
                <w:lang w:val="hu-HU"/>
              </w:rPr>
            </w:pPr>
            <w:r w:rsidRPr="004311F9">
              <w:rPr>
                <w:noProof/>
                <w:lang w:val="hu-HU"/>
              </w:rPr>
              <w:drawing>
                <wp:anchor distT="0" distB="0" distL="114300" distR="114300" simplePos="0" relativeHeight="251661824" behindDoc="0" locked="0" layoutInCell="1" allowOverlap="1" wp14:anchorId="7EDE2815" wp14:editId="2BB4BC38">
                  <wp:simplePos x="0" y="0"/>
                  <wp:positionH relativeFrom="column">
                    <wp:posOffset>2540</wp:posOffset>
                  </wp:positionH>
                  <wp:positionV relativeFrom="paragraph">
                    <wp:posOffset>57785</wp:posOffset>
                  </wp:positionV>
                  <wp:extent cx="1374140" cy="1504950"/>
                  <wp:effectExtent l="0" t="0" r="0" b="0"/>
                  <wp:wrapSquare wrapText="bothSides"/>
                  <wp:docPr id="1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pic:spPr>
                      </pic:pic>
                    </a:graphicData>
                  </a:graphic>
                  <wp14:sizeRelH relativeFrom="page">
                    <wp14:pctWidth>0</wp14:pctWidth>
                  </wp14:sizeRelH>
                  <wp14:sizeRelV relativeFrom="page">
                    <wp14:pctHeight>0</wp14:pctHeight>
                  </wp14:sizeRelV>
                </wp:anchor>
              </w:drawing>
            </w:r>
          </w:p>
        </w:tc>
      </w:tr>
      <w:tr w:rsidR="00E74F5A" w:rsidRPr="008537D8" w14:paraId="2F8ACD01" w14:textId="77777777">
        <w:trPr>
          <w:trHeight w:val="3185"/>
        </w:trPr>
        <w:tc>
          <w:tcPr>
            <w:tcW w:w="9287" w:type="dxa"/>
            <w:gridSpan w:val="2"/>
          </w:tcPr>
          <w:p w14:paraId="64D540DE" w14:textId="77777777" w:rsidR="00E74F5A" w:rsidRPr="004311F9" w:rsidRDefault="00A806D4" w:rsidP="00DC4CB1">
            <w:pPr>
              <w:spacing w:line="240" w:lineRule="auto"/>
              <w:ind w:left="567" w:hanging="567"/>
              <w:rPr>
                <w:rFonts w:eastAsia="Times New Roman"/>
                <w:lang w:val="hu-HU"/>
              </w:rPr>
            </w:pPr>
            <w:r w:rsidRPr="004311F9">
              <w:rPr>
                <w:noProof/>
                <w:lang w:val="hu-HU"/>
              </w:rPr>
              <w:drawing>
                <wp:anchor distT="0" distB="0" distL="114300" distR="114300" simplePos="0" relativeHeight="251663872" behindDoc="0" locked="0" layoutInCell="1" allowOverlap="1" wp14:anchorId="4FA57D4B" wp14:editId="1AC494FE">
                  <wp:simplePos x="0" y="0"/>
                  <wp:positionH relativeFrom="column">
                    <wp:posOffset>1299210</wp:posOffset>
                  </wp:positionH>
                  <wp:positionV relativeFrom="paragraph">
                    <wp:posOffset>470535</wp:posOffset>
                  </wp:positionV>
                  <wp:extent cx="2578735" cy="1436370"/>
                  <wp:effectExtent l="0" t="0" r="0" b="0"/>
                  <wp:wrapSquare wrapText="bothSides"/>
                  <wp:docPr id="1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pic:spPr>
                      </pic:pic>
                    </a:graphicData>
                  </a:graphic>
                  <wp14:sizeRelH relativeFrom="page">
                    <wp14:pctWidth>0</wp14:pctWidth>
                  </wp14:sizeRelH>
                  <wp14:sizeRelV relativeFrom="page">
                    <wp14:pctHeight>0</wp14:pctHeight>
                  </wp14:sizeRelV>
                </wp:anchor>
              </w:drawing>
            </w:r>
            <w:r w:rsidR="00E74F5A" w:rsidRPr="004311F9">
              <w:rPr>
                <w:rFonts w:eastAsia="Times New Roman"/>
                <w:lang w:val="hu-HU"/>
              </w:rPr>
              <w:t>2.</w:t>
            </w:r>
            <w:r w:rsidR="00E74F5A" w:rsidRPr="004311F9">
              <w:rPr>
                <w:rFonts w:eastAsia="Times New Roman"/>
                <w:lang w:val="hu-HU"/>
              </w:rPr>
              <w:tab/>
              <w:t>Amennyiben szükséges, helyezzen fel leszorítást</w:t>
            </w:r>
            <w:r w:rsidR="00E74F5A" w:rsidRPr="004311F9">
              <w:rPr>
                <w:lang w:val="hu-HU"/>
              </w:rPr>
              <w:t xml:space="preserve">, és készítse elő az injekció beadásának helyét, jól letörölve a bőrt a csomagban </w:t>
            </w:r>
            <w:r w:rsidR="00E74F5A" w:rsidRPr="004311F9">
              <w:rPr>
                <w:rFonts w:eastAsia="Times New Roman"/>
                <w:lang w:val="hu-HU"/>
              </w:rPr>
              <w:t xml:space="preserve">mellékelt </w:t>
            </w:r>
            <w:r w:rsidR="00E74F5A" w:rsidRPr="004311F9">
              <w:rPr>
                <w:lang w:val="hu-HU"/>
              </w:rPr>
              <w:t>másik alkoholos törlővel.</w:t>
            </w:r>
          </w:p>
          <w:p w14:paraId="64266202" w14:textId="77777777" w:rsidR="00E74F5A" w:rsidRPr="004311F9" w:rsidRDefault="00E74F5A" w:rsidP="00DC4CB1">
            <w:pPr>
              <w:pStyle w:val="ListParagraph1"/>
              <w:ind w:left="0"/>
              <w:rPr>
                <w:rFonts w:eastAsia="Times New Roman"/>
                <w:sz w:val="22"/>
                <w:lang w:val="hu-HU"/>
              </w:rPr>
            </w:pPr>
          </w:p>
        </w:tc>
      </w:tr>
      <w:tr w:rsidR="00E74F5A" w:rsidRPr="008537D8" w14:paraId="5153482A" w14:textId="77777777">
        <w:tc>
          <w:tcPr>
            <w:tcW w:w="9287" w:type="dxa"/>
            <w:gridSpan w:val="2"/>
          </w:tcPr>
          <w:p w14:paraId="7AE776E0" w14:textId="77777777" w:rsidR="00E74F5A" w:rsidRPr="004311F9" w:rsidRDefault="00E74F5A" w:rsidP="00DC4CB1">
            <w:pPr>
              <w:pStyle w:val="ListParagraph1"/>
              <w:ind w:left="567" w:hanging="567"/>
              <w:rPr>
                <w:rFonts w:eastAsia="Times New Roman"/>
                <w:sz w:val="22"/>
                <w:lang w:val="hu-HU"/>
              </w:rPr>
            </w:pPr>
            <w:r w:rsidRPr="004311F9">
              <w:rPr>
                <w:rFonts w:eastAsia="Times New Roman"/>
                <w:sz w:val="22"/>
                <w:lang w:val="hu-HU"/>
              </w:rPr>
              <w:t>3.</w:t>
            </w:r>
            <w:r w:rsidRPr="004311F9">
              <w:rPr>
                <w:rFonts w:eastAsia="Times New Roman"/>
                <w:sz w:val="22"/>
                <w:lang w:val="hu-HU"/>
              </w:rPr>
              <w:tab/>
              <w:t xml:space="preserve">Az infúziós szerelék csövében esetlegesen megmaradt </w:t>
            </w:r>
            <w:r w:rsidRPr="004311F9">
              <w:rPr>
                <w:sz w:val="22"/>
                <w:lang w:val="hu-HU"/>
              </w:rPr>
              <w:t>levegőt</w:t>
            </w:r>
            <w:r w:rsidRPr="004311F9">
              <w:rPr>
                <w:rFonts w:eastAsia="Times New Roman"/>
                <w:sz w:val="22"/>
                <w:lang w:val="hu-HU"/>
              </w:rPr>
              <w:t xml:space="preserve"> távolítsa el úgy, hogy lassan lenyomja</w:t>
            </w:r>
            <w:r w:rsidRPr="004311F9">
              <w:rPr>
                <w:sz w:val="22"/>
                <w:lang w:val="hu-HU"/>
              </w:rPr>
              <w:t xml:space="preserve"> a dugattyúrudat, amíg a folyadék el nem éri az infúziós szerelék tűjét. Ne nyomja át az oldatot a tűn. Vegye le a tűről az átlátszó műanyag védő</w:t>
            </w:r>
            <w:r w:rsidRPr="004311F9">
              <w:rPr>
                <w:rFonts w:eastAsia="Times New Roman"/>
                <w:sz w:val="22"/>
                <w:lang w:val="hu-HU"/>
              </w:rPr>
              <w:t>borítást.</w:t>
            </w:r>
          </w:p>
          <w:p w14:paraId="1CC87593" w14:textId="77777777" w:rsidR="00E74F5A" w:rsidRPr="004311F9" w:rsidRDefault="00E74F5A" w:rsidP="00DC4CB1">
            <w:pPr>
              <w:pStyle w:val="ListParagraph1"/>
              <w:ind w:left="567" w:hanging="567"/>
              <w:rPr>
                <w:rFonts w:eastAsia="Times New Roman"/>
                <w:sz w:val="22"/>
                <w:lang w:val="hu-HU"/>
              </w:rPr>
            </w:pPr>
          </w:p>
        </w:tc>
      </w:tr>
      <w:tr w:rsidR="00E74F5A" w:rsidRPr="008537D8" w14:paraId="76EB903F" w14:textId="77777777">
        <w:tc>
          <w:tcPr>
            <w:tcW w:w="9287" w:type="dxa"/>
            <w:gridSpan w:val="2"/>
          </w:tcPr>
          <w:p w14:paraId="03046334" w14:textId="77777777" w:rsidR="00E74F5A" w:rsidRPr="004311F9" w:rsidRDefault="00E74F5A" w:rsidP="00DC4CB1">
            <w:pPr>
              <w:pStyle w:val="ListParagraph1"/>
              <w:ind w:left="567" w:hanging="567"/>
              <w:rPr>
                <w:rFonts w:eastAsia="Times New Roman"/>
                <w:sz w:val="22"/>
                <w:lang w:val="hu-HU"/>
              </w:rPr>
            </w:pPr>
            <w:r w:rsidRPr="004311F9">
              <w:rPr>
                <w:rFonts w:eastAsia="Times New Roman"/>
                <w:sz w:val="22"/>
                <w:lang w:val="hu-HU"/>
              </w:rPr>
              <w:t>4.</w:t>
            </w:r>
            <w:r w:rsidRPr="004311F9">
              <w:rPr>
                <w:rFonts w:eastAsia="Times New Roman"/>
                <w:sz w:val="22"/>
                <w:lang w:val="hu-HU"/>
              </w:rPr>
              <w:tab/>
              <w:t>Szúrj</w:t>
            </w:r>
            <w:r w:rsidRPr="004311F9">
              <w:rPr>
                <w:sz w:val="22"/>
                <w:lang w:val="hu-HU"/>
              </w:rPr>
              <w:t xml:space="preserve">a be az infúziós szerelék tűjét a vénába, ahogyan kezelőorvosa vagy a gondozását végző egészségügyi szakember utasította, majd </w:t>
            </w:r>
            <w:r w:rsidRPr="004311F9">
              <w:rPr>
                <w:rFonts w:eastAsia="Times New Roman"/>
                <w:sz w:val="22"/>
                <w:lang w:val="hu-HU"/>
              </w:rPr>
              <w:t>engedje fel a leszorítást. Ha kívánja, használhatja a csomaghoz mellékelt ragtapaszok (G) egyikét arra, hog</w:t>
            </w:r>
            <w:r w:rsidRPr="004311F9">
              <w:rPr>
                <w:sz w:val="22"/>
                <w:lang w:val="hu-HU"/>
              </w:rPr>
              <w:t xml:space="preserve">y a helyén tartsa a tű műanyag szárnyait az injekció beadásának helyén. Az elkészített készítményt intravénásan kell befecskendezni, </w:t>
            </w:r>
            <w:r w:rsidRPr="004311F9">
              <w:rPr>
                <w:sz w:val="22"/>
                <w:lang w:val="hu-HU"/>
              </w:rPr>
              <w:lastRenderedPageBreak/>
              <w:t xml:space="preserve">néhány perc alatt. Kezelőorvosa módosíthatja az injekció Önnek ajánlott beadási sebességét, hogy az kényelmesebb legyen az </w:t>
            </w:r>
            <w:r w:rsidRPr="004311F9">
              <w:rPr>
                <w:rFonts w:eastAsia="Times New Roman"/>
                <w:sz w:val="22"/>
                <w:lang w:val="hu-HU"/>
              </w:rPr>
              <w:t>Ön számára.</w:t>
            </w:r>
          </w:p>
          <w:p w14:paraId="5A5E839A" w14:textId="77777777" w:rsidR="00E74F5A" w:rsidRPr="004311F9" w:rsidRDefault="00E74F5A" w:rsidP="00DC4CB1">
            <w:pPr>
              <w:pStyle w:val="ListParagraph1"/>
              <w:ind w:left="567" w:hanging="567"/>
              <w:rPr>
                <w:rFonts w:eastAsia="Times New Roman"/>
                <w:sz w:val="22"/>
                <w:lang w:val="hu-HU"/>
              </w:rPr>
            </w:pPr>
          </w:p>
        </w:tc>
      </w:tr>
      <w:tr w:rsidR="00E74F5A" w:rsidRPr="008537D8" w14:paraId="3D4186B9" w14:textId="77777777">
        <w:trPr>
          <w:trHeight w:val="2672"/>
        </w:trPr>
        <w:tc>
          <w:tcPr>
            <w:tcW w:w="6678" w:type="dxa"/>
            <w:tcBorders>
              <w:right w:val="nil"/>
            </w:tcBorders>
          </w:tcPr>
          <w:p w14:paraId="4609C7E8" w14:textId="77777777" w:rsidR="00E74F5A" w:rsidRPr="004311F9" w:rsidRDefault="00E74F5A" w:rsidP="00DC4CB1">
            <w:pPr>
              <w:pStyle w:val="ListParagraph1"/>
              <w:ind w:left="567" w:hanging="567"/>
              <w:rPr>
                <w:rFonts w:eastAsia="Times New Roman"/>
                <w:sz w:val="22"/>
                <w:lang w:val="hu-HU"/>
              </w:rPr>
            </w:pPr>
            <w:r w:rsidRPr="004311F9">
              <w:rPr>
                <w:sz w:val="22"/>
                <w:lang w:val="hu-HU"/>
              </w:rPr>
              <w:lastRenderedPageBreak/>
              <w:t>5.</w:t>
            </w:r>
            <w:r w:rsidRPr="004311F9">
              <w:rPr>
                <w:sz w:val="22"/>
                <w:lang w:val="hu-HU"/>
              </w:rPr>
              <w:tab/>
              <w:t>Az injekció beadásának befejezése és a tű kihúzása után hajtsa fel a tűvédőt, és pattintsa rá a tűre.</w:t>
            </w:r>
          </w:p>
        </w:tc>
        <w:tc>
          <w:tcPr>
            <w:tcW w:w="2609" w:type="dxa"/>
            <w:tcBorders>
              <w:left w:val="nil"/>
            </w:tcBorders>
          </w:tcPr>
          <w:p w14:paraId="0046F56A" w14:textId="77777777" w:rsidR="00E74F5A" w:rsidRPr="004311F9" w:rsidRDefault="00A806D4" w:rsidP="00DC4CB1">
            <w:pPr>
              <w:pStyle w:val="ListParagraph1"/>
              <w:ind w:left="0"/>
              <w:rPr>
                <w:sz w:val="22"/>
                <w:lang w:val="hu-HU"/>
              </w:rPr>
            </w:pPr>
            <w:r w:rsidRPr="004311F9">
              <w:rPr>
                <w:noProof/>
                <w:lang w:val="hu-HU"/>
              </w:rPr>
              <w:drawing>
                <wp:anchor distT="0" distB="0" distL="114300" distR="114300" simplePos="0" relativeHeight="251662848" behindDoc="0" locked="0" layoutInCell="1" allowOverlap="1" wp14:anchorId="02949996" wp14:editId="19D4C3A5">
                  <wp:simplePos x="0" y="0"/>
                  <wp:positionH relativeFrom="column">
                    <wp:posOffset>2540</wp:posOffset>
                  </wp:positionH>
                  <wp:positionV relativeFrom="paragraph">
                    <wp:posOffset>126365</wp:posOffset>
                  </wp:positionV>
                  <wp:extent cx="1371600" cy="1492885"/>
                  <wp:effectExtent l="0" t="0" r="0" b="0"/>
                  <wp:wrapSquare wrapText="bothSides"/>
                  <wp:docPr id="16"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pic:spPr>
                      </pic:pic>
                    </a:graphicData>
                  </a:graphic>
                  <wp14:sizeRelH relativeFrom="page">
                    <wp14:pctWidth>0</wp14:pctWidth>
                  </wp14:sizeRelH>
                  <wp14:sizeRelV relativeFrom="page">
                    <wp14:pctHeight>0</wp14:pctHeight>
                  </wp14:sizeRelV>
                </wp:anchor>
              </w:drawing>
            </w:r>
          </w:p>
        </w:tc>
      </w:tr>
      <w:tr w:rsidR="00E74F5A" w:rsidRPr="004311F9" w14:paraId="732070D8" w14:textId="77777777" w:rsidTr="00DC4CB1">
        <w:trPr>
          <w:trHeight w:val="274"/>
        </w:trPr>
        <w:tc>
          <w:tcPr>
            <w:tcW w:w="9287" w:type="dxa"/>
            <w:gridSpan w:val="2"/>
          </w:tcPr>
          <w:p w14:paraId="15DA4F49" w14:textId="77777777" w:rsidR="00E74F5A" w:rsidRPr="004311F9" w:rsidRDefault="00E74F5A" w:rsidP="00DC4CB1">
            <w:pPr>
              <w:keepNext/>
              <w:spacing w:line="240" w:lineRule="auto"/>
              <w:ind w:left="567" w:hanging="567"/>
              <w:rPr>
                <w:rFonts w:eastAsia="Times New Roman"/>
                <w:lang w:val="hu-HU"/>
              </w:rPr>
            </w:pPr>
            <w:r w:rsidRPr="004311F9">
              <w:rPr>
                <w:lang w:val="hu-HU"/>
              </w:rPr>
              <w:t>6.</w:t>
            </w:r>
            <w:r w:rsidRPr="004311F9">
              <w:rPr>
                <w:lang w:val="hu-HU"/>
              </w:rPr>
              <w:tab/>
              <w:t>Biztonságos módon dobja ki a tűt, a fel nem használt oldatot, a fecskendőt és az üres injekciós üveget orvosi hulladékok tárolására szolgáló megfelelő tartályba, mivel ezek az anyagok sérülést okozhatnak másoknak, ha kidobásuk nem megfelelő módon történik.</w:t>
            </w:r>
            <w:r w:rsidRPr="004311F9">
              <w:rPr>
                <w:rFonts w:eastAsia="Times New Roman"/>
                <w:lang w:val="hu-HU"/>
              </w:rPr>
              <w:t xml:space="preserve"> A szereléket ne használja fel újra.</w:t>
            </w:r>
          </w:p>
        </w:tc>
      </w:tr>
    </w:tbl>
    <w:p w14:paraId="3E95F9B1" w14:textId="77777777" w:rsidR="00E74F5A" w:rsidRPr="004311F9" w:rsidRDefault="00E74F5A" w:rsidP="003B500E">
      <w:pPr>
        <w:widowControl w:val="0"/>
        <w:tabs>
          <w:tab w:val="clear" w:pos="567"/>
          <w:tab w:val="left" w:pos="709"/>
        </w:tabs>
        <w:autoSpaceDE w:val="0"/>
        <w:autoSpaceDN w:val="0"/>
        <w:adjustRightInd w:val="0"/>
        <w:spacing w:line="240" w:lineRule="auto"/>
        <w:ind w:right="-23"/>
        <w:rPr>
          <w:color w:val="000000"/>
          <w:szCs w:val="24"/>
          <w:lang w:val="hu-HU"/>
        </w:rPr>
      </w:pPr>
    </w:p>
    <w:sectPr w:rsidR="00E74F5A" w:rsidRPr="004311F9" w:rsidSect="00E3713D">
      <w:footerReference w:type="default" r:id="rId32"/>
      <w:pgSz w:w="12240" w:h="15840"/>
      <w:pgMar w:top="1440" w:right="1440" w:bottom="1440" w:left="1440" w:header="737" w:footer="737" w:gutter="0"/>
      <w:pgNumType w:start="1"/>
      <w:cols w:space="708" w:equalWidth="0">
        <w:col w:w="9460"/>
      </w:cols>
      <w:noEndnote/>
      <w:docGrid w:linePitch="299"/>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FC1F5" w16cex:dateUtc="2020-11-18T14:53:00Z"/>
  <w16cex:commentExtensible w16cex:durableId="235FC209" w16cex:dateUtc="2020-11-18T14:53:00Z"/>
  <w16cex:commentExtensible w16cex:durableId="235FC21A" w16cex:dateUtc="2020-11-18T14:54:00Z"/>
  <w16cex:commentExtensible w16cex:durableId="23665849" w16cex:dateUtc="2020-11-23T14:48:00Z"/>
  <w16cex:commentExtensible w16cex:durableId="23665A13" w16cex:dateUtc="2020-11-23T14:56:00Z"/>
  <w16cex:commentExtensible w16cex:durableId="23665A89" w16cex:dateUtc="2020-11-23T14:58:00Z"/>
  <w16cex:commentExtensible w16cex:durableId="23665AA3" w16cex:dateUtc="2020-11-23T14:58:00Z"/>
  <w16cex:commentExtensible w16cex:durableId="235FCFAB" w16cex:dateUtc="2020-11-18T15:51:00Z"/>
  <w16cex:commentExtensible w16cex:durableId="23665EB6" w16cex:dateUtc="2020-11-23T15:15:00Z"/>
  <w16cex:commentExtensible w16cex:durableId="23665F0D" w16cex:dateUtc="2020-11-23T15:17:00Z"/>
  <w16cex:commentExtensible w16cex:durableId="23665F2B" w16cex:dateUtc="2020-11-23T15:17:00Z"/>
  <w16cex:commentExtensible w16cex:durableId="23665F40" w16cex:dateUtc="2020-11-23T15:1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F5095F" w14:textId="77777777" w:rsidR="00813971" w:rsidRDefault="00813971">
      <w:pPr>
        <w:rPr>
          <w:rFonts w:eastAsia="Times New Roman"/>
          <w:szCs w:val="24"/>
        </w:rPr>
      </w:pPr>
      <w:r>
        <w:rPr>
          <w:rFonts w:eastAsia="Times New Roman"/>
          <w:szCs w:val="24"/>
        </w:rPr>
        <w:separator/>
      </w:r>
    </w:p>
  </w:endnote>
  <w:endnote w:type="continuationSeparator" w:id="0">
    <w:p w14:paraId="12B85C7A" w14:textId="77777777" w:rsidR="00813971" w:rsidRDefault="00813971">
      <w:pPr>
        <w:rPr>
          <w:rFonts w:eastAsia="Times New Roman"/>
          <w:szCs w:val="24"/>
        </w:rPr>
      </w:pPr>
      <w:r>
        <w:rPr>
          <w:rFonts w:eastAsia="Times New Roman"/>
          <w:szCs w:val="24"/>
        </w:rPr>
        <w:continuationSeparator/>
      </w:r>
    </w:p>
  </w:endnote>
  <w:endnote w:type="continuationNotice" w:id="1">
    <w:p w14:paraId="022125DD" w14:textId="77777777" w:rsidR="00813971" w:rsidRDefault="00813971">
      <w:pPr>
        <w:spacing w:line="240" w:lineRule="auto"/>
        <w:rPr>
          <w:rFonts w:eastAsia="Times New Roman"/>
          <w:szCs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FBEF6" w14:textId="5F85F2A9" w:rsidR="001A2EB4" w:rsidRPr="00DC4CB1" w:rsidRDefault="001A2EB4" w:rsidP="00DC4CB1">
    <w:pPr>
      <w:pStyle w:val="Footer"/>
      <w:jc w:val="center"/>
      <w:rPr>
        <w:rFonts w:eastAsia="Times New Roman"/>
        <w:szCs w:val="24"/>
      </w:rPr>
    </w:pPr>
    <w:r>
      <w:rPr>
        <w:rFonts w:eastAsia="Times New Roman"/>
        <w:szCs w:val="24"/>
      </w:rPr>
      <w:fldChar w:fldCharType="begin"/>
    </w:r>
    <w:r>
      <w:rPr>
        <w:rFonts w:eastAsia="Times New Roman"/>
        <w:szCs w:val="24"/>
      </w:rPr>
      <w:instrText xml:space="preserve"> PAGE   \* MERGEFORMAT </w:instrText>
    </w:r>
    <w:r>
      <w:rPr>
        <w:rFonts w:eastAsia="Times New Roman"/>
        <w:szCs w:val="24"/>
      </w:rPr>
      <w:fldChar w:fldCharType="separate"/>
    </w:r>
    <w:r w:rsidR="002B03FF">
      <w:rPr>
        <w:rFonts w:eastAsia="Times New Roman"/>
        <w:szCs w:val="24"/>
      </w:rPr>
      <w:t>23</w:t>
    </w:r>
    <w:r>
      <w:rPr>
        <w:rFonts w:eastAsia="Times New Roman"/>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617ACE" w14:textId="77777777" w:rsidR="00813971" w:rsidRDefault="00813971">
      <w:pPr>
        <w:rPr>
          <w:rFonts w:eastAsia="Times New Roman"/>
          <w:szCs w:val="24"/>
        </w:rPr>
      </w:pPr>
      <w:r>
        <w:rPr>
          <w:rFonts w:eastAsia="Times New Roman"/>
          <w:szCs w:val="24"/>
        </w:rPr>
        <w:separator/>
      </w:r>
    </w:p>
  </w:footnote>
  <w:footnote w:type="continuationSeparator" w:id="0">
    <w:p w14:paraId="26127C92" w14:textId="77777777" w:rsidR="00813971" w:rsidRDefault="00813971">
      <w:pPr>
        <w:rPr>
          <w:rFonts w:eastAsia="Times New Roman"/>
          <w:szCs w:val="24"/>
        </w:rPr>
      </w:pPr>
      <w:r>
        <w:rPr>
          <w:rFonts w:eastAsia="Times New Roman"/>
          <w:szCs w:val="24"/>
        </w:rPr>
        <w:continuationSeparator/>
      </w:r>
    </w:p>
  </w:footnote>
  <w:footnote w:type="continuationNotice" w:id="1">
    <w:p w14:paraId="276FBCDA" w14:textId="77777777" w:rsidR="00813971" w:rsidRDefault="00813971">
      <w:pPr>
        <w:spacing w:line="240" w:lineRule="auto"/>
        <w:rPr>
          <w:rFonts w:eastAsia="Times New Roman"/>
          <w:szCs w:val="24"/>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32E63"/>
    <w:multiLevelType w:val="hybridMultilevel"/>
    <w:tmpl w:val="973A2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BD7475"/>
    <w:multiLevelType w:val="hybridMultilevel"/>
    <w:tmpl w:val="07DAAE98"/>
    <w:lvl w:ilvl="0" w:tplc="040E0015">
      <w:start w:val="3"/>
      <w:numFmt w:val="upperLetter"/>
      <w:lvlText w:val="%1."/>
      <w:lvlJc w:val="left"/>
      <w:pPr>
        <w:tabs>
          <w:tab w:val="num" w:pos="720"/>
        </w:tabs>
        <w:ind w:left="720" w:hanging="360"/>
      </w:pPr>
      <w:rPr>
        <w:rFonts w:cs="Times New Roman"/>
      </w:rPr>
    </w:lvl>
    <w:lvl w:ilvl="1" w:tplc="040E0019">
      <w:start w:val="1"/>
      <w:numFmt w:val="decimal"/>
      <w:lvlText w:val="%2."/>
      <w:lvlJc w:val="left"/>
      <w:pPr>
        <w:tabs>
          <w:tab w:val="num" w:pos="1440"/>
        </w:tabs>
        <w:ind w:left="1440" w:hanging="360"/>
      </w:pPr>
      <w:rPr>
        <w:rFonts w:cs="Times New Roman"/>
      </w:rPr>
    </w:lvl>
    <w:lvl w:ilvl="2" w:tplc="040E001B">
      <w:start w:val="1"/>
      <w:numFmt w:val="decimal"/>
      <w:lvlText w:val="%3."/>
      <w:lvlJc w:val="left"/>
      <w:pPr>
        <w:tabs>
          <w:tab w:val="num" w:pos="2160"/>
        </w:tabs>
        <w:ind w:left="2160" w:hanging="360"/>
      </w:pPr>
      <w:rPr>
        <w:rFonts w:cs="Times New Roman"/>
      </w:rPr>
    </w:lvl>
    <w:lvl w:ilvl="3" w:tplc="040E000F">
      <w:start w:val="1"/>
      <w:numFmt w:val="decimal"/>
      <w:lvlText w:val="%4."/>
      <w:lvlJc w:val="left"/>
      <w:pPr>
        <w:tabs>
          <w:tab w:val="num" w:pos="2880"/>
        </w:tabs>
        <w:ind w:left="2880" w:hanging="360"/>
      </w:pPr>
      <w:rPr>
        <w:rFonts w:cs="Times New Roman"/>
      </w:rPr>
    </w:lvl>
    <w:lvl w:ilvl="4" w:tplc="040E0019">
      <w:start w:val="1"/>
      <w:numFmt w:val="decimal"/>
      <w:lvlText w:val="%5."/>
      <w:lvlJc w:val="left"/>
      <w:pPr>
        <w:tabs>
          <w:tab w:val="num" w:pos="3600"/>
        </w:tabs>
        <w:ind w:left="3600" w:hanging="360"/>
      </w:pPr>
      <w:rPr>
        <w:rFonts w:cs="Times New Roman"/>
      </w:rPr>
    </w:lvl>
    <w:lvl w:ilvl="5" w:tplc="040E001B">
      <w:start w:val="1"/>
      <w:numFmt w:val="decimal"/>
      <w:lvlText w:val="%6."/>
      <w:lvlJc w:val="left"/>
      <w:pPr>
        <w:tabs>
          <w:tab w:val="num" w:pos="4320"/>
        </w:tabs>
        <w:ind w:left="4320" w:hanging="360"/>
      </w:pPr>
      <w:rPr>
        <w:rFonts w:cs="Times New Roman"/>
      </w:rPr>
    </w:lvl>
    <w:lvl w:ilvl="6" w:tplc="040E000F">
      <w:start w:val="1"/>
      <w:numFmt w:val="decimal"/>
      <w:lvlText w:val="%7."/>
      <w:lvlJc w:val="left"/>
      <w:pPr>
        <w:tabs>
          <w:tab w:val="num" w:pos="5040"/>
        </w:tabs>
        <w:ind w:left="5040" w:hanging="360"/>
      </w:pPr>
      <w:rPr>
        <w:rFonts w:cs="Times New Roman"/>
      </w:rPr>
    </w:lvl>
    <w:lvl w:ilvl="7" w:tplc="040E0019">
      <w:start w:val="1"/>
      <w:numFmt w:val="decimal"/>
      <w:lvlText w:val="%8."/>
      <w:lvlJc w:val="left"/>
      <w:pPr>
        <w:tabs>
          <w:tab w:val="num" w:pos="5760"/>
        </w:tabs>
        <w:ind w:left="5760" w:hanging="360"/>
      </w:pPr>
      <w:rPr>
        <w:rFonts w:cs="Times New Roman"/>
      </w:rPr>
    </w:lvl>
    <w:lvl w:ilvl="8" w:tplc="040E001B">
      <w:start w:val="1"/>
      <w:numFmt w:val="decimal"/>
      <w:lvlText w:val="%9."/>
      <w:lvlJc w:val="left"/>
      <w:pPr>
        <w:tabs>
          <w:tab w:val="num" w:pos="6480"/>
        </w:tabs>
        <w:ind w:left="6480" w:hanging="360"/>
      </w:pPr>
      <w:rPr>
        <w:rFonts w:cs="Times New Roman"/>
      </w:rPr>
    </w:lvl>
  </w:abstractNum>
  <w:abstractNum w:abstractNumId="3" w15:restartNumberingAfterBreak="0">
    <w:nsid w:val="16321F8F"/>
    <w:multiLevelType w:val="hybridMultilevel"/>
    <w:tmpl w:val="286C16B2"/>
    <w:lvl w:ilvl="0" w:tplc="1A0E10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35219"/>
    <w:multiLevelType w:val="hybridMultilevel"/>
    <w:tmpl w:val="F8B4C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CCD18E4"/>
    <w:multiLevelType w:val="hybridMultilevel"/>
    <w:tmpl w:val="2C926B7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 w15:restartNumberingAfterBreak="0">
    <w:nsid w:val="3BD7764E"/>
    <w:multiLevelType w:val="hybridMultilevel"/>
    <w:tmpl w:val="8E18DB12"/>
    <w:lvl w:ilvl="0" w:tplc="EE7A45EA">
      <w:start w:val="6"/>
      <w:numFmt w:val="decimal"/>
      <w:lvlText w:val="%1."/>
      <w:lvlJc w:val="left"/>
      <w:pPr>
        <w:ind w:left="360" w:hanging="360"/>
      </w:pPr>
      <w:rPr>
        <w:rFonts w:eastAsia="Times New Roman" w:cs="Times New Roman" w:hint="default"/>
        <w:sz w:val="22"/>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15:restartNumberingAfterBreak="0">
    <w:nsid w:val="41F804BC"/>
    <w:multiLevelType w:val="hybridMultilevel"/>
    <w:tmpl w:val="FC5A8A82"/>
    <w:lvl w:ilvl="0" w:tplc="C42A0CEA">
      <w:start w:val="6"/>
      <w:numFmt w:val="decimal"/>
      <w:lvlText w:val="%1."/>
      <w:lvlJc w:val="left"/>
      <w:pPr>
        <w:ind w:left="360" w:hanging="360"/>
      </w:pPr>
      <w:rPr>
        <w:rFonts w:cs="Times New Roman" w:hint="default"/>
      </w:rPr>
    </w:lvl>
    <w:lvl w:ilvl="1" w:tplc="04090019" w:tentative="1">
      <w:start w:val="1"/>
      <w:numFmt w:val="lowerLetter"/>
      <w:lvlText w:val="%2."/>
      <w:lvlJc w:val="left"/>
      <w:pPr>
        <w:ind w:left="870" w:hanging="360"/>
      </w:pPr>
      <w:rPr>
        <w:rFonts w:cs="Times New Roman"/>
      </w:rPr>
    </w:lvl>
    <w:lvl w:ilvl="2" w:tplc="0409001B" w:tentative="1">
      <w:start w:val="1"/>
      <w:numFmt w:val="lowerRoman"/>
      <w:lvlText w:val="%3."/>
      <w:lvlJc w:val="right"/>
      <w:pPr>
        <w:ind w:left="1590" w:hanging="180"/>
      </w:pPr>
      <w:rPr>
        <w:rFonts w:cs="Times New Roman"/>
      </w:rPr>
    </w:lvl>
    <w:lvl w:ilvl="3" w:tplc="0409000F" w:tentative="1">
      <w:start w:val="1"/>
      <w:numFmt w:val="decimal"/>
      <w:lvlText w:val="%4."/>
      <w:lvlJc w:val="left"/>
      <w:pPr>
        <w:ind w:left="2310" w:hanging="360"/>
      </w:pPr>
      <w:rPr>
        <w:rFonts w:cs="Times New Roman"/>
      </w:rPr>
    </w:lvl>
    <w:lvl w:ilvl="4" w:tplc="04090019" w:tentative="1">
      <w:start w:val="1"/>
      <w:numFmt w:val="lowerLetter"/>
      <w:lvlText w:val="%5."/>
      <w:lvlJc w:val="left"/>
      <w:pPr>
        <w:ind w:left="3030" w:hanging="360"/>
      </w:pPr>
      <w:rPr>
        <w:rFonts w:cs="Times New Roman"/>
      </w:rPr>
    </w:lvl>
    <w:lvl w:ilvl="5" w:tplc="0409001B" w:tentative="1">
      <w:start w:val="1"/>
      <w:numFmt w:val="lowerRoman"/>
      <w:lvlText w:val="%6."/>
      <w:lvlJc w:val="right"/>
      <w:pPr>
        <w:ind w:left="3750" w:hanging="180"/>
      </w:pPr>
      <w:rPr>
        <w:rFonts w:cs="Times New Roman"/>
      </w:rPr>
    </w:lvl>
    <w:lvl w:ilvl="6" w:tplc="0409000F" w:tentative="1">
      <w:start w:val="1"/>
      <w:numFmt w:val="decimal"/>
      <w:lvlText w:val="%7."/>
      <w:lvlJc w:val="left"/>
      <w:pPr>
        <w:ind w:left="4470" w:hanging="360"/>
      </w:pPr>
      <w:rPr>
        <w:rFonts w:cs="Times New Roman"/>
      </w:rPr>
    </w:lvl>
    <w:lvl w:ilvl="7" w:tplc="04090019" w:tentative="1">
      <w:start w:val="1"/>
      <w:numFmt w:val="lowerLetter"/>
      <w:lvlText w:val="%8."/>
      <w:lvlJc w:val="left"/>
      <w:pPr>
        <w:ind w:left="5190" w:hanging="360"/>
      </w:pPr>
      <w:rPr>
        <w:rFonts w:cs="Times New Roman"/>
      </w:rPr>
    </w:lvl>
    <w:lvl w:ilvl="8" w:tplc="0409001B" w:tentative="1">
      <w:start w:val="1"/>
      <w:numFmt w:val="lowerRoman"/>
      <w:lvlText w:val="%9."/>
      <w:lvlJc w:val="right"/>
      <w:pPr>
        <w:ind w:left="5910" w:hanging="180"/>
      </w:pPr>
      <w:rPr>
        <w:rFonts w:cs="Times New Roman"/>
      </w:rPr>
    </w:lvl>
  </w:abstractNum>
  <w:abstractNum w:abstractNumId="8" w15:restartNumberingAfterBreak="0">
    <w:nsid w:val="4A834E58"/>
    <w:multiLevelType w:val="hybridMultilevel"/>
    <w:tmpl w:val="3B6CEC08"/>
    <w:lvl w:ilvl="0" w:tplc="040E0001">
      <w:start w:val="1"/>
      <w:numFmt w:val="bullet"/>
      <w:lvlText w:val=""/>
      <w:lvlJc w:val="left"/>
      <w:pPr>
        <w:tabs>
          <w:tab w:val="num" w:pos="720"/>
        </w:tabs>
        <w:ind w:left="720" w:hanging="360"/>
      </w:pPr>
      <w:rPr>
        <w:rFonts w:ascii="Symbol" w:hAnsi="Symbol" w:hint="default"/>
      </w:rPr>
    </w:lvl>
    <w:lvl w:ilvl="1" w:tplc="040E0003">
      <w:start w:val="1"/>
      <w:numFmt w:val="decimal"/>
      <w:lvlText w:val="%2."/>
      <w:lvlJc w:val="left"/>
      <w:pPr>
        <w:tabs>
          <w:tab w:val="num" w:pos="1440"/>
        </w:tabs>
        <w:ind w:left="1440" w:hanging="360"/>
      </w:pPr>
      <w:rPr>
        <w:rFonts w:cs="Times New Roman"/>
      </w:rPr>
    </w:lvl>
    <w:lvl w:ilvl="2" w:tplc="040E0005">
      <w:start w:val="1"/>
      <w:numFmt w:val="decimal"/>
      <w:lvlText w:val="%3."/>
      <w:lvlJc w:val="left"/>
      <w:pPr>
        <w:tabs>
          <w:tab w:val="num" w:pos="2160"/>
        </w:tabs>
        <w:ind w:left="2160" w:hanging="360"/>
      </w:pPr>
      <w:rPr>
        <w:rFonts w:cs="Times New Roman"/>
      </w:rPr>
    </w:lvl>
    <w:lvl w:ilvl="3" w:tplc="040E0001">
      <w:start w:val="1"/>
      <w:numFmt w:val="decimal"/>
      <w:lvlText w:val="%4."/>
      <w:lvlJc w:val="left"/>
      <w:pPr>
        <w:tabs>
          <w:tab w:val="num" w:pos="2880"/>
        </w:tabs>
        <w:ind w:left="2880" w:hanging="360"/>
      </w:pPr>
      <w:rPr>
        <w:rFonts w:cs="Times New Roman"/>
      </w:rPr>
    </w:lvl>
    <w:lvl w:ilvl="4" w:tplc="040E0003">
      <w:start w:val="1"/>
      <w:numFmt w:val="decimal"/>
      <w:lvlText w:val="%5."/>
      <w:lvlJc w:val="left"/>
      <w:pPr>
        <w:tabs>
          <w:tab w:val="num" w:pos="3600"/>
        </w:tabs>
        <w:ind w:left="3600" w:hanging="360"/>
      </w:pPr>
      <w:rPr>
        <w:rFonts w:cs="Times New Roman"/>
      </w:rPr>
    </w:lvl>
    <w:lvl w:ilvl="5" w:tplc="040E0005">
      <w:start w:val="1"/>
      <w:numFmt w:val="decimal"/>
      <w:lvlText w:val="%6."/>
      <w:lvlJc w:val="left"/>
      <w:pPr>
        <w:tabs>
          <w:tab w:val="num" w:pos="4320"/>
        </w:tabs>
        <w:ind w:left="4320" w:hanging="360"/>
      </w:pPr>
      <w:rPr>
        <w:rFonts w:cs="Times New Roman"/>
      </w:rPr>
    </w:lvl>
    <w:lvl w:ilvl="6" w:tplc="040E0001">
      <w:start w:val="1"/>
      <w:numFmt w:val="decimal"/>
      <w:lvlText w:val="%7."/>
      <w:lvlJc w:val="left"/>
      <w:pPr>
        <w:tabs>
          <w:tab w:val="num" w:pos="5040"/>
        </w:tabs>
        <w:ind w:left="5040" w:hanging="360"/>
      </w:pPr>
      <w:rPr>
        <w:rFonts w:cs="Times New Roman"/>
      </w:rPr>
    </w:lvl>
    <w:lvl w:ilvl="7" w:tplc="040E0003">
      <w:start w:val="1"/>
      <w:numFmt w:val="decimal"/>
      <w:lvlText w:val="%8."/>
      <w:lvlJc w:val="left"/>
      <w:pPr>
        <w:tabs>
          <w:tab w:val="num" w:pos="5760"/>
        </w:tabs>
        <w:ind w:left="5760" w:hanging="360"/>
      </w:pPr>
      <w:rPr>
        <w:rFonts w:cs="Times New Roman"/>
      </w:rPr>
    </w:lvl>
    <w:lvl w:ilvl="8" w:tplc="040E0005">
      <w:start w:val="1"/>
      <w:numFmt w:val="decimal"/>
      <w:lvlText w:val="%9."/>
      <w:lvlJc w:val="left"/>
      <w:pPr>
        <w:tabs>
          <w:tab w:val="num" w:pos="6480"/>
        </w:tabs>
        <w:ind w:left="6480" w:hanging="360"/>
      </w:pPr>
      <w:rPr>
        <w:rFonts w:cs="Times New Roman"/>
      </w:rPr>
    </w:lvl>
  </w:abstractNum>
  <w:abstractNum w:abstractNumId="9" w15:restartNumberingAfterBreak="0">
    <w:nsid w:val="4C442374"/>
    <w:multiLevelType w:val="hybridMultilevel"/>
    <w:tmpl w:val="B7B295BC"/>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0" w15:restartNumberingAfterBreak="0">
    <w:nsid w:val="4CA77296"/>
    <w:multiLevelType w:val="hybridMultilevel"/>
    <w:tmpl w:val="5E26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451D6D"/>
    <w:multiLevelType w:val="hybridMultilevel"/>
    <w:tmpl w:val="35DA40C0"/>
    <w:lvl w:ilvl="0" w:tplc="FFFFFFFF">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50174D35"/>
    <w:multiLevelType w:val="hybridMultilevel"/>
    <w:tmpl w:val="46C66D28"/>
    <w:lvl w:ilvl="0" w:tplc="FFFFFFFF">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85D4153"/>
    <w:multiLevelType w:val="hybridMultilevel"/>
    <w:tmpl w:val="FD10FC20"/>
    <w:lvl w:ilvl="0" w:tplc="0409000F">
      <w:start w:val="1"/>
      <w:numFmt w:val="decimal"/>
      <w:lvlText w:val="%1."/>
      <w:lvlJc w:val="left"/>
      <w:pPr>
        <w:ind w:left="1920" w:hanging="360"/>
      </w:pPr>
      <w:rPr>
        <w:rFonts w:cs="Times New Roman"/>
      </w:rPr>
    </w:lvl>
    <w:lvl w:ilvl="1" w:tplc="04090019" w:tentative="1">
      <w:start w:val="1"/>
      <w:numFmt w:val="lowerLetter"/>
      <w:lvlText w:val="%2."/>
      <w:lvlJc w:val="left"/>
      <w:pPr>
        <w:ind w:left="2640" w:hanging="360"/>
      </w:pPr>
      <w:rPr>
        <w:rFonts w:cs="Times New Roman"/>
      </w:rPr>
    </w:lvl>
    <w:lvl w:ilvl="2" w:tplc="0409001B" w:tentative="1">
      <w:start w:val="1"/>
      <w:numFmt w:val="lowerRoman"/>
      <w:lvlText w:val="%3."/>
      <w:lvlJc w:val="right"/>
      <w:pPr>
        <w:ind w:left="3360" w:hanging="180"/>
      </w:pPr>
      <w:rPr>
        <w:rFonts w:cs="Times New Roman"/>
      </w:rPr>
    </w:lvl>
    <w:lvl w:ilvl="3" w:tplc="0409000F" w:tentative="1">
      <w:start w:val="1"/>
      <w:numFmt w:val="decimal"/>
      <w:lvlText w:val="%4."/>
      <w:lvlJc w:val="left"/>
      <w:pPr>
        <w:ind w:left="4080" w:hanging="360"/>
      </w:pPr>
      <w:rPr>
        <w:rFonts w:cs="Times New Roman"/>
      </w:rPr>
    </w:lvl>
    <w:lvl w:ilvl="4" w:tplc="04090019" w:tentative="1">
      <w:start w:val="1"/>
      <w:numFmt w:val="lowerLetter"/>
      <w:lvlText w:val="%5."/>
      <w:lvlJc w:val="left"/>
      <w:pPr>
        <w:ind w:left="4800" w:hanging="360"/>
      </w:pPr>
      <w:rPr>
        <w:rFonts w:cs="Times New Roman"/>
      </w:rPr>
    </w:lvl>
    <w:lvl w:ilvl="5" w:tplc="0409001B" w:tentative="1">
      <w:start w:val="1"/>
      <w:numFmt w:val="lowerRoman"/>
      <w:lvlText w:val="%6."/>
      <w:lvlJc w:val="right"/>
      <w:pPr>
        <w:ind w:left="5520" w:hanging="180"/>
      </w:pPr>
      <w:rPr>
        <w:rFonts w:cs="Times New Roman"/>
      </w:rPr>
    </w:lvl>
    <w:lvl w:ilvl="6" w:tplc="0409000F" w:tentative="1">
      <w:start w:val="1"/>
      <w:numFmt w:val="decimal"/>
      <w:lvlText w:val="%7."/>
      <w:lvlJc w:val="left"/>
      <w:pPr>
        <w:ind w:left="6240" w:hanging="360"/>
      </w:pPr>
      <w:rPr>
        <w:rFonts w:cs="Times New Roman"/>
      </w:rPr>
    </w:lvl>
    <w:lvl w:ilvl="7" w:tplc="04090019" w:tentative="1">
      <w:start w:val="1"/>
      <w:numFmt w:val="lowerLetter"/>
      <w:lvlText w:val="%8."/>
      <w:lvlJc w:val="left"/>
      <w:pPr>
        <w:ind w:left="6960" w:hanging="360"/>
      </w:pPr>
      <w:rPr>
        <w:rFonts w:cs="Times New Roman"/>
      </w:rPr>
    </w:lvl>
    <w:lvl w:ilvl="8" w:tplc="0409001B" w:tentative="1">
      <w:start w:val="1"/>
      <w:numFmt w:val="lowerRoman"/>
      <w:lvlText w:val="%9."/>
      <w:lvlJc w:val="right"/>
      <w:pPr>
        <w:ind w:left="7680" w:hanging="180"/>
      </w:pPr>
      <w:rPr>
        <w:rFonts w:cs="Times New Roman"/>
      </w:rPr>
    </w:lvl>
  </w:abstractNum>
  <w:abstractNum w:abstractNumId="14" w15:restartNumberingAfterBreak="0">
    <w:nsid w:val="63DE0C58"/>
    <w:multiLevelType w:val="hybridMultilevel"/>
    <w:tmpl w:val="8320C4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E0330E9"/>
    <w:multiLevelType w:val="hybridMultilevel"/>
    <w:tmpl w:val="4D9CF14C"/>
    <w:lvl w:ilvl="0" w:tplc="284C71EA">
      <w:start w:val="1"/>
      <w:numFmt w:val="bullet"/>
      <w:lvlText w:val="­"/>
      <w:lvlJc w:val="left"/>
      <w:pPr>
        <w:ind w:left="36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100D28"/>
    <w:multiLevelType w:val="hybridMultilevel"/>
    <w:tmpl w:val="979479BE"/>
    <w:lvl w:ilvl="0" w:tplc="FD788292">
      <w:start w:val="1"/>
      <w:numFmt w:val="upperLetter"/>
      <w:lvlText w:val="%1."/>
      <w:lvlJc w:val="left"/>
      <w:pPr>
        <w:ind w:left="5670" w:hanging="5670"/>
      </w:pPr>
      <w:rPr>
        <w:rFonts w:cs="Times New Roman" w:hint="default"/>
        <w:b/>
      </w:rPr>
    </w:lvl>
    <w:lvl w:ilvl="1" w:tplc="F8B28974">
      <w:start w:val="17"/>
      <w:numFmt w:val="decimal"/>
      <w:lvlText w:val="%2."/>
      <w:lvlJc w:val="left"/>
      <w:pPr>
        <w:ind w:left="1650" w:hanging="570"/>
      </w:pPr>
      <w:rPr>
        <w:rFonts w:cs="Times New Roman" w:hint="default"/>
        <w:b/>
        <w:i w:val="0"/>
      </w:rPr>
    </w:lvl>
    <w:lvl w:ilvl="2" w:tplc="140C001B" w:tentative="1">
      <w:start w:val="1"/>
      <w:numFmt w:val="lowerRoman"/>
      <w:lvlText w:val="%3."/>
      <w:lvlJc w:val="right"/>
      <w:pPr>
        <w:ind w:left="2160" w:hanging="180"/>
      </w:pPr>
      <w:rPr>
        <w:rFonts w:cs="Times New Roman"/>
      </w:rPr>
    </w:lvl>
    <w:lvl w:ilvl="3" w:tplc="140C000F" w:tentative="1">
      <w:start w:val="1"/>
      <w:numFmt w:val="decimal"/>
      <w:lvlText w:val="%4."/>
      <w:lvlJc w:val="left"/>
      <w:pPr>
        <w:ind w:left="2880" w:hanging="360"/>
      </w:pPr>
      <w:rPr>
        <w:rFonts w:cs="Times New Roman"/>
      </w:rPr>
    </w:lvl>
    <w:lvl w:ilvl="4" w:tplc="140C0019" w:tentative="1">
      <w:start w:val="1"/>
      <w:numFmt w:val="lowerLetter"/>
      <w:lvlText w:val="%5."/>
      <w:lvlJc w:val="left"/>
      <w:pPr>
        <w:ind w:left="3600" w:hanging="360"/>
      </w:pPr>
      <w:rPr>
        <w:rFonts w:cs="Times New Roman"/>
      </w:rPr>
    </w:lvl>
    <w:lvl w:ilvl="5" w:tplc="140C001B" w:tentative="1">
      <w:start w:val="1"/>
      <w:numFmt w:val="lowerRoman"/>
      <w:lvlText w:val="%6."/>
      <w:lvlJc w:val="right"/>
      <w:pPr>
        <w:ind w:left="4320" w:hanging="180"/>
      </w:pPr>
      <w:rPr>
        <w:rFonts w:cs="Times New Roman"/>
      </w:rPr>
    </w:lvl>
    <w:lvl w:ilvl="6" w:tplc="140C000F" w:tentative="1">
      <w:start w:val="1"/>
      <w:numFmt w:val="decimal"/>
      <w:lvlText w:val="%7."/>
      <w:lvlJc w:val="left"/>
      <w:pPr>
        <w:ind w:left="5040" w:hanging="360"/>
      </w:pPr>
      <w:rPr>
        <w:rFonts w:cs="Times New Roman"/>
      </w:rPr>
    </w:lvl>
    <w:lvl w:ilvl="7" w:tplc="140C0019" w:tentative="1">
      <w:start w:val="1"/>
      <w:numFmt w:val="lowerLetter"/>
      <w:lvlText w:val="%8."/>
      <w:lvlJc w:val="left"/>
      <w:pPr>
        <w:ind w:left="5760" w:hanging="360"/>
      </w:pPr>
      <w:rPr>
        <w:rFonts w:cs="Times New Roman"/>
      </w:rPr>
    </w:lvl>
    <w:lvl w:ilvl="8" w:tplc="140C001B" w:tentative="1">
      <w:start w:val="1"/>
      <w:numFmt w:val="lowerRoman"/>
      <w:lvlText w:val="%9."/>
      <w:lvlJc w:val="right"/>
      <w:pPr>
        <w:ind w:left="6480" w:hanging="180"/>
      </w:pPr>
      <w:rPr>
        <w:rFonts w:cs="Times New Roman"/>
      </w:rPr>
    </w:lvl>
  </w:abstractNum>
  <w:abstractNum w:abstractNumId="17" w15:restartNumberingAfterBreak="0">
    <w:nsid w:val="7E5E3C06"/>
    <w:multiLevelType w:val="hybridMultilevel"/>
    <w:tmpl w:val="E1C62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3"/>
  </w:num>
  <w:num w:numId="4">
    <w:abstractNumId w:val="0"/>
  </w:num>
  <w:num w:numId="5">
    <w:abstractNumId w:val="3"/>
  </w:num>
  <w:num w:numId="6">
    <w:abstractNumId w:val="10"/>
  </w:num>
  <w:num w:numId="7">
    <w:abstractNumId w:val="7"/>
  </w:num>
  <w:num w:numId="8">
    <w:abstractNumId w:val="9"/>
  </w:num>
  <w:num w:numId="9">
    <w:abstractNumId w:val="6"/>
  </w:num>
  <w:num w:numId="1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2"/>
  </w:num>
  <w:num w:numId="17">
    <w:abstractNumId w:val="11"/>
  </w:num>
  <w:num w:numId="18">
    <w:abstractNumId w:val="5"/>
  </w:num>
  <w:num w:numId="19">
    <w:abstractNumId w:val="14"/>
  </w:num>
  <w:num w:numId="20">
    <w:abstractNumId w:val="16"/>
  </w:num>
  <w:num w:numId="21">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DInfo" w:val="F"/>
    <w:docVar w:name="Registered" w:val="-1"/>
    <w:docVar w:name="Version" w:val="0"/>
  </w:docVars>
  <w:rsids>
    <w:rsidRoot w:val="00110C73"/>
    <w:rsid w:val="000242C2"/>
    <w:rsid w:val="0003165C"/>
    <w:rsid w:val="00036C2D"/>
    <w:rsid w:val="00036CA6"/>
    <w:rsid w:val="00037A3A"/>
    <w:rsid w:val="000413C2"/>
    <w:rsid w:val="00042198"/>
    <w:rsid w:val="000443D2"/>
    <w:rsid w:val="00044945"/>
    <w:rsid w:val="0004715C"/>
    <w:rsid w:val="00073602"/>
    <w:rsid w:val="00074E6E"/>
    <w:rsid w:val="00082F0A"/>
    <w:rsid w:val="00087D24"/>
    <w:rsid w:val="00091F8C"/>
    <w:rsid w:val="000A239C"/>
    <w:rsid w:val="000A78E5"/>
    <w:rsid w:val="000B01CD"/>
    <w:rsid w:val="000B5962"/>
    <w:rsid w:val="000B62CB"/>
    <w:rsid w:val="000B788C"/>
    <w:rsid w:val="000C38AD"/>
    <w:rsid w:val="000D6A6D"/>
    <w:rsid w:val="000E28C9"/>
    <w:rsid w:val="000E3E83"/>
    <w:rsid w:val="000E7FB0"/>
    <w:rsid w:val="000F2EDB"/>
    <w:rsid w:val="000F48EA"/>
    <w:rsid w:val="00103428"/>
    <w:rsid w:val="00104E31"/>
    <w:rsid w:val="00110C73"/>
    <w:rsid w:val="00113840"/>
    <w:rsid w:val="00117ACD"/>
    <w:rsid w:val="00120EF8"/>
    <w:rsid w:val="00125CE0"/>
    <w:rsid w:val="00126764"/>
    <w:rsid w:val="00126767"/>
    <w:rsid w:val="00131055"/>
    <w:rsid w:val="00133493"/>
    <w:rsid w:val="00135010"/>
    <w:rsid w:val="0014498C"/>
    <w:rsid w:val="00154309"/>
    <w:rsid w:val="00165AB8"/>
    <w:rsid w:val="00186051"/>
    <w:rsid w:val="00193056"/>
    <w:rsid w:val="001A0CB4"/>
    <w:rsid w:val="001A2EB4"/>
    <w:rsid w:val="001A6983"/>
    <w:rsid w:val="001B07B9"/>
    <w:rsid w:val="001B44BB"/>
    <w:rsid w:val="001B4BA0"/>
    <w:rsid w:val="001D74AC"/>
    <w:rsid w:val="001E1CA0"/>
    <w:rsid w:val="001E2E69"/>
    <w:rsid w:val="001F3EC5"/>
    <w:rsid w:val="001F53F5"/>
    <w:rsid w:val="00214764"/>
    <w:rsid w:val="0021647B"/>
    <w:rsid w:val="00222A9C"/>
    <w:rsid w:val="00224CF7"/>
    <w:rsid w:val="00234DCD"/>
    <w:rsid w:val="00242411"/>
    <w:rsid w:val="00246F95"/>
    <w:rsid w:val="00247BBC"/>
    <w:rsid w:val="00247DEF"/>
    <w:rsid w:val="00250128"/>
    <w:rsid w:val="0025345C"/>
    <w:rsid w:val="00260F7A"/>
    <w:rsid w:val="00270798"/>
    <w:rsid w:val="00272A23"/>
    <w:rsid w:val="00272C20"/>
    <w:rsid w:val="00277BBE"/>
    <w:rsid w:val="00281FE7"/>
    <w:rsid w:val="00282F0E"/>
    <w:rsid w:val="002907CF"/>
    <w:rsid w:val="002927E7"/>
    <w:rsid w:val="002B03FF"/>
    <w:rsid w:val="002B6DD6"/>
    <w:rsid w:val="002B7D76"/>
    <w:rsid w:val="002D56CC"/>
    <w:rsid w:val="002E03EC"/>
    <w:rsid w:val="002E3E66"/>
    <w:rsid w:val="0030044F"/>
    <w:rsid w:val="0030342D"/>
    <w:rsid w:val="003045A0"/>
    <w:rsid w:val="00306346"/>
    <w:rsid w:val="00310C0C"/>
    <w:rsid w:val="003130F3"/>
    <w:rsid w:val="003222E2"/>
    <w:rsid w:val="00326FDD"/>
    <w:rsid w:val="00330948"/>
    <w:rsid w:val="00335696"/>
    <w:rsid w:val="00353276"/>
    <w:rsid w:val="003557C4"/>
    <w:rsid w:val="00364037"/>
    <w:rsid w:val="00367745"/>
    <w:rsid w:val="00372C9C"/>
    <w:rsid w:val="00375849"/>
    <w:rsid w:val="0037709B"/>
    <w:rsid w:val="003864D6"/>
    <w:rsid w:val="00387B5E"/>
    <w:rsid w:val="00392F8E"/>
    <w:rsid w:val="00396642"/>
    <w:rsid w:val="003A2306"/>
    <w:rsid w:val="003A25C7"/>
    <w:rsid w:val="003A3904"/>
    <w:rsid w:val="003B19AB"/>
    <w:rsid w:val="003B4FD7"/>
    <w:rsid w:val="003B500E"/>
    <w:rsid w:val="003B5105"/>
    <w:rsid w:val="003B5A39"/>
    <w:rsid w:val="003B6712"/>
    <w:rsid w:val="003B750D"/>
    <w:rsid w:val="003D4563"/>
    <w:rsid w:val="003D5C2D"/>
    <w:rsid w:val="003D6C3A"/>
    <w:rsid w:val="003D7570"/>
    <w:rsid w:val="003D75D0"/>
    <w:rsid w:val="003F45BE"/>
    <w:rsid w:val="00403E4B"/>
    <w:rsid w:val="00410877"/>
    <w:rsid w:val="00416CBA"/>
    <w:rsid w:val="004311F9"/>
    <w:rsid w:val="00431EEF"/>
    <w:rsid w:val="004371F6"/>
    <w:rsid w:val="00441832"/>
    <w:rsid w:val="00441F23"/>
    <w:rsid w:val="0045616F"/>
    <w:rsid w:val="0047130A"/>
    <w:rsid w:val="00480BF0"/>
    <w:rsid w:val="004906F1"/>
    <w:rsid w:val="004A1923"/>
    <w:rsid w:val="004A72E4"/>
    <w:rsid w:val="004B3BCA"/>
    <w:rsid w:val="004B4085"/>
    <w:rsid w:val="004B5CC3"/>
    <w:rsid w:val="004B6172"/>
    <w:rsid w:val="004C08FF"/>
    <w:rsid w:val="004C271A"/>
    <w:rsid w:val="004C53FF"/>
    <w:rsid w:val="004C5909"/>
    <w:rsid w:val="004C6278"/>
    <w:rsid w:val="004F06B3"/>
    <w:rsid w:val="004F1599"/>
    <w:rsid w:val="00514516"/>
    <w:rsid w:val="005325DB"/>
    <w:rsid w:val="00532A70"/>
    <w:rsid w:val="00551810"/>
    <w:rsid w:val="005555FF"/>
    <w:rsid w:val="005630A3"/>
    <w:rsid w:val="0057349E"/>
    <w:rsid w:val="00575B49"/>
    <w:rsid w:val="00575B7A"/>
    <w:rsid w:val="005807D7"/>
    <w:rsid w:val="00597701"/>
    <w:rsid w:val="005A5348"/>
    <w:rsid w:val="005A557C"/>
    <w:rsid w:val="005C5557"/>
    <w:rsid w:val="005C5F76"/>
    <w:rsid w:val="005E0440"/>
    <w:rsid w:val="005E4929"/>
    <w:rsid w:val="005F393D"/>
    <w:rsid w:val="006072D8"/>
    <w:rsid w:val="00611F97"/>
    <w:rsid w:val="006126DA"/>
    <w:rsid w:val="006128A1"/>
    <w:rsid w:val="00613225"/>
    <w:rsid w:val="00616109"/>
    <w:rsid w:val="00617144"/>
    <w:rsid w:val="006244B4"/>
    <w:rsid w:val="006258B1"/>
    <w:rsid w:val="00630083"/>
    <w:rsid w:val="0063459E"/>
    <w:rsid w:val="00641B8F"/>
    <w:rsid w:val="00657384"/>
    <w:rsid w:val="0066175E"/>
    <w:rsid w:val="00667648"/>
    <w:rsid w:val="0067777D"/>
    <w:rsid w:val="00680D89"/>
    <w:rsid w:val="00686D61"/>
    <w:rsid w:val="006917C6"/>
    <w:rsid w:val="00694EED"/>
    <w:rsid w:val="006A1D68"/>
    <w:rsid w:val="006B1FC3"/>
    <w:rsid w:val="006B316B"/>
    <w:rsid w:val="006C0C8D"/>
    <w:rsid w:val="006D339E"/>
    <w:rsid w:val="006D3477"/>
    <w:rsid w:val="006D4801"/>
    <w:rsid w:val="006E3199"/>
    <w:rsid w:val="006F5F10"/>
    <w:rsid w:val="00700C00"/>
    <w:rsid w:val="00712369"/>
    <w:rsid w:val="00715FC2"/>
    <w:rsid w:val="00717612"/>
    <w:rsid w:val="00721344"/>
    <w:rsid w:val="007251CD"/>
    <w:rsid w:val="0072654F"/>
    <w:rsid w:val="0073020F"/>
    <w:rsid w:val="007314CC"/>
    <w:rsid w:val="00741021"/>
    <w:rsid w:val="00751428"/>
    <w:rsid w:val="00751835"/>
    <w:rsid w:val="00763D6A"/>
    <w:rsid w:val="00774324"/>
    <w:rsid w:val="007809AC"/>
    <w:rsid w:val="00787707"/>
    <w:rsid w:val="007937A4"/>
    <w:rsid w:val="007A0C20"/>
    <w:rsid w:val="007A1FB6"/>
    <w:rsid w:val="007A3675"/>
    <w:rsid w:val="007A3888"/>
    <w:rsid w:val="007A3A6E"/>
    <w:rsid w:val="007B6053"/>
    <w:rsid w:val="007C0D11"/>
    <w:rsid w:val="007E4005"/>
    <w:rsid w:val="007E7809"/>
    <w:rsid w:val="007F2078"/>
    <w:rsid w:val="007F4339"/>
    <w:rsid w:val="007F6E37"/>
    <w:rsid w:val="007F7B4C"/>
    <w:rsid w:val="00803FEB"/>
    <w:rsid w:val="00810A53"/>
    <w:rsid w:val="00813971"/>
    <w:rsid w:val="00820D7C"/>
    <w:rsid w:val="00822AD4"/>
    <w:rsid w:val="00833BA1"/>
    <w:rsid w:val="00843790"/>
    <w:rsid w:val="008446CF"/>
    <w:rsid w:val="00845802"/>
    <w:rsid w:val="008478BE"/>
    <w:rsid w:val="008537D8"/>
    <w:rsid w:val="00854208"/>
    <w:rsid w:val="00857447"/>
    <w:rsid w:val="00881CBD"/>
    <w:rsid w:val="00886304"/>
    <w:rsid w:val="008923DD"/>
    <w:rsid w:val="0089467D"/>
    <w:rsid w:val="008A196B"/>
    <w:rsid w:val="008A1FF1"/>
    <w:rsid w:val="008A332F"/>
    <w:rsid w:val="008A4074"/>
    <w:rsid w:val="008A69E5"/>
    <w:rsid w:val="008A69FB"/>
    <w:rsid w:val="008B1411"/>
    <w:rsid w:val="008B7FA0"/>
    <w:rsid w:val="008C0EED"/>
    <w:rsid w:val="008C1073"/>
    <w:rsid w:val="008C42FD"/>
    <w:rsid w:val="008C4778"/>
    <w:rsid w:val="008D0887"/>
    <w:rsid w:val="008E0CBC"/>
    <w:rsid w:val="008E590E"/>
    <w:rsid w:val="008E6A6F"/>
    <w:rsid w:val="008F0EDC"/>
    <w:rsid w:val="008F33C7"/>
    <w:rsid w:val="008F59C6"/>
    <w:rsid w:val="00904B11"/>
    <w:rsid w:val="009061BA"/>
    <w:rsid w:val="0091691E"/>
    <w:rsid w:val="009217E8"/>
    <w:rsid w:val="00927660"/>
    <w:rsid w:val="00927ECD"/>
    <w:rsid w:val="00940CD0"/>
    <w:rsid w:val="00954AB2"/>
    <w:rsid w:val="00974E9D"/>
    <w:rsid w:val="00982B10"/>
    <w:rsid w:val="00993E0A"/>
    <w:rsid w:val="009A04ED"/>
    <w:rsid w:val="009A3D66"/>
    <w:rsid w:val="009B534C"/>
    <w:rsid w:val="009B5B6E"/>
    <w:rsid w:val="009C600C"/>
    <w:rsid w:val="009D013A"/>
    <w:rsid w:val="009D25DD"/>
    <w:rsid w:val="009D470B"/>
    <w:rsid w:val="009D6D6D"/>
    <w:rsid w:val="009E2AA1"/>
    <w:rsid w:val="009E6602"/>
    <w:rsid w:val="009F5377"/>
    <w:rsid w:val="00A05372"/>
    <w:rsid w:val="00A1707C"/>
    <w:rsid w:val="00A27665"/>
    <w:rsid w:val="00A310D5"/>
    <w:rsid w:val="00A31A35"/>
    <w:rsid w:val="00A34583"/>
    <w:rsid w:val="00A51E8F"/>
    <w:rsid w:val="00A54609"/>
    <w:rsid w:val="00A65E96"/>
    <w:rsid w:val="00A74567"/>
    <w:rsid w:val="00A806D4"/>
    <w:rsid w:val="00A81754"/>
    <w:rsid w:val="00A91096"/>
    <w:rsid w:val="00A94F8D"/>
    <w:rsid w:val="00AA7375"/>
    <w:rsid w:val="00AB292E"/>
    <w:rsid w:val="00AC5E5E"/>
    <w:rsid w:val="00AC7305"/>
    <w:rsid w:val="00AD2041"/>
    <w:rsid w:val="00AE503F"/>
    <w:rsid w:val="00B224DD"/>
    <w:rsid w:val="00B239E2"/>
    <w:rsid w:val="00B40DFD"/>
    <w:rsid w:val="00B503EB"/>
    <w:rsid w:val="00B53714"/>
    <w:rsid w:val="00B55853"/>
    <w:rsid w:val="00B603FD"/>
    <w:rsid w:val="00B82498"/>
    <w:rsid w:val="00B94DE4"/>
    <w:rsid w:val="00BA0F19"/>
    <w:rsid w:val="00BB00B3"/>
    <w:rsid w:val="00BB0365"/>
    <w:rsid w:val="00BB43B9"/>
    <w:rsid w:val="00BB5413"/>
    <w:rsid w:val="00BC0D45"/>
    <w:rsid w:val="00BE3501"/>
    <w:rsid w:val="00BE5788"/>
    <w:rsid w:val="00BF200F"/>
    <w:rsid w:val="00C0663E"/>
    <w:rsid w:val="00C10C19"/>
    <w:rsid w:val="00C327AC"/>
    <w:rsid w:val="00C33B2C"/>
    <w:rsid w:val="00C347DA"/>
    <w:rsid w:val="00C41475"/>
    <w:rsid w:val="00C50502"/>
    <w:rsid w:val="00C572CE"/>
    <w:rsid w:val="00C64F79"/>
    <w:rsid w:val="00C673C4"/>
    <w:rsid w:val="00C739DA"/>
    <w:rsid w:val="00C96867"/>
    <w:rsid w:val="00C9716E"/>
    <w:rsid w:val="00CA63FC"/>
    <w:rsid w:val="00CC249E"/>
    <w:rsid w:val="00CC71B3"/>
    <w:rsid w:val="00CD0916"/>
    <w:rsid w:val="00CD467E"/>
    <w:rsid w:val="00CE25F3"/>
    <w:rsid w:val="00CE7DA3"/>
    <w:rsid w:val="00CF0742"/>
    <w:rsid w:val="00CF0DC0"/>
    <w:rsid w:val="00CF23B3"/>
    <w:rsid w:val="00CF2C05"/>
    <w:rsid w:val="00D02672"/>
    <w:rsid w:val="00D02F36"/>
    <w:rsid w:val="00D03E23"/>
    <w:rsid w:val="00D0424C"/>
    <w:rsid w:val="00D12B6E"/>
    <w:rsid w:val="00D23431"/>
    <w:rsid w:val="00D349D7"/>
    <w:rsid w:val="00D404B6"/>
    <w:rsid w:val="00D53CE6"/>
    <w:rsid w:val="00D6376E"/>
    <w:rsid w:val="00D668F7"/>
    <w:rsid w:val="00D70CEB"/>
    <w:rsid w:val="00D840C6"/>
    <w:rsid w:val="00D84309"/>
    <w:rsid w:val="00DA3620"/>
    <w:rsid w:val="00DA7EAC"/>
    <w:rsid w:val="00DB1A27"/>
    <w:rsid w:val="00DC031F"/>
    <w:rsid w:val="00DC4B9F"/>
    <w:rsid w:val="00DC4CB1"/>
    <w:rsid w:val="00DD3113"/>
    <w:rsid w:val="00DD35E9"/>
    <w:rsid w:val="00DD5025"/>
    <w:rsid w:val="00DD7909"/>
    <w:rsid w:val="00DE21FD"/>
    <w:rsid w:val="00DF6041"/>
    <w:rsid w:val="00DF631B"/>
    <w:rsid w:val="00E11F8A"/>
    <w:rsid w:val="00E12BEE"/>
    <w:rsid w:val="00E168D1"/>
    <w:rsid w:val="00E2124F"/>
    <w:rsid w:val="00E21DC2"/>
    <w:rsid w:val="00E2250A"/>
    <w:rsid w:val="00E25BF6"/>
    <w:rsid w:val="00E3713D"/>
    <w:rsid w:val="00E42FC6"/>
    <w:rsid w:val="00E4303C"/>
    <w:rsid w:val="00E44BDD"/>
    <w:rsid w:val="00E56193"/>
    <w:rsid w:val="00E74F5A"/>
    <w:rsid w:val="00E826BB"/>
    <w:rsid w:val="00E834FD"/>
    <w:rsid w:val="00E84B94"/>
    <w:rsid w:val="00E8692B"/>
    <w:rsid w:val="00E86A76"/>
    <w:rsid w:val="00E943E3"/>
    <w:rsid w:val="00EA13EC"/>
    <w:rsid w:val="00EA29A3"/>
    <w:rsid w:val="00EA4E69"/>
    <w:rsid w:val="00EA5A1D"/>
    <w:rsid w:val="00EA5BAA"/>
    <w:rsid w:val="00EA6087"/>
    <w:rsid w:val="00EB4409"/>
    <w:rsid w:val="00EB6D76"/>
    <w:rsid w:val="00EB7E72"/>
    <w:rsid w:val="00EC1B2E"/>
    <w:rsid w:val="00EC5B4A"/>
    <w:rsid w:val="00EC70E9"/>
    <w:rsid w:val="00ED077B"/>
    <w:rsid w:val="00ED2966"/>
    <w:rsid w:val="00ED56D2"/>
    <w:rsid w:val="00EE1B55"/>
    <w:rsid w:val="00EE72E5"/>
    <w:rsid w:val="00EF0823"/>
    <w:rsid w:val="00F05451"/>
    <w:rsid w:val="00F0599E"/>
    <w:rsid w:val="00F12DD4"/>
    <w:rsid w:val="00F14169"/>
    <w:rsid w:val="00F165BB"/>
    <w:rsid w:val="00F24684"/>
    <w:rsid w:val="00F27986"/>
    <w:rsid w:val="00F3223F"/>
    <w:rsid w:val="00F328CC"/>
    <w:rsid w:val="00F359E7"/>
    <w:rsid w:val="00F35E9C"/>
    <w:rsid w:val="00F4741D"/>
    <w:rsid w:val="00F56592"/>
    <w:rsid w:val="00F60555"/>
    <w:rsid w:val="00F6082A"/>
    <w:rsid w:val="00F66E7F"/>
    <w:rsid w:val="00F676D8"/>
    <w:rsid w:val="00F71A03"/>
    <w:rsid w:val="00F748BA"/>
    <w:rsid w:val="00F74D15"/>
    <w:rsid w:val="00F7506A"/>
    <w:rsid w:val="00F76993"/>
    <w:rsid w:val="00F81665"/>
    <w:rsid w:val="00F81FE0"/>
    <w:rsid w:val="00F86B19"/>
    <w:rsid w:val="00F87840"/>
    <w:rsid w:val="00F90A14"/>
    <w:rsid w:val="00F939C4"/>
    <w:rsid w:val="00F93C9C"/>
    <w:rsid w:val="00FB489A"/>
    <w:rsid w:val="00FC0AE3"/>
    <w:rsid w:val="00FC3564"/>
    <w:rsid w:val="00FC6232"/>
    <w:rsid w:val="00FC6CD1"/>
    <w:rsid w:val="00FC6D56"/>
    <w:rsid w:val="00FD6B4E"/>
    <w:rsid w:val="00FE4917"/>
    <w:rsid w:val="00FF1877"/>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03/wordmlurn:schemas-microsoft-com:office:smarttags"/>
  <w:attachedSchema w:val="urn:schemas-microsoft-com:office:smarttags"/>
  <w:themeFontLang w:val="hu-HU"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B5EFBA3"/>
  <w14:defaultImageDpi w14:val="96"/>
  <w15:docId w15:val="{FAE0B086-D9A9-49F3-AE61-17C7277DA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hu-HU" w:eastAsia="hu-H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locked="1" w:uiPriority="0"/>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567"/>
      </w:tabs>
      <w:spacing w:line="260" w:lineRule="exact"/>
    </w:pPr>
    <w:rPr>
      <w:rFonts w:eastAsia="SimSun"/>
      <w:szCs w:val="20"/>
      <w:lang w:val="en-GB"/>
    </w:rPr>
  </w:style>
  <w:style w:type="paragraph" w:styleId="Heading2">
    <w:name w:val="heading 2"/>
    <w:aliases w:val="Címsor 2 Char,Nadpis 2 Char Char,Címsor 2 Char Char Char,Heading 2 Char1 Char Char Char"/>
    <w:basedOn w:val="Normal"/>
    <w:link w:val="FollowedHyperlink"/>
    <w:uiPriority w:val="99"/>
    <w:qFormat/>
    <w:pPr>
      <w:tabs>
        <w:tab w:val="clear" w:pos="567"/>
      </w:tabs>
      <w:spacing w:before="100" w:beforeAutospacing="1" w:after="100" w:afterAutospacing="1" w:line="240" w:lineRule="auto"/>
      <w:outlineLvl w:val="1"/>
    </w:pPr>
    <w:rPr>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msor2Char1">
    <w:name w:val="Címsor 2 Char1"/>
    <w:aliases w:val="Címsor 2 Char Char,Nadpis 2 Char Char Char,Címsor 2 Char Char Char Char,Heading 2 Char1 Char Char Char Char"/>
    <w:basedOn w:val="DefaultParagraphFont"/>
    <w:uiPriority w:val="9"/>
    <w:semiHidden/>
    <w:rPr>
      <w:rFonts w:asciiTheme="majorHAnsi" w:eastAsiaTheme="majorEastAsia" w:hAnsiTheme="majorHAnsi" w:cstheme="majorBidi"/>
      <w:b/>
      <w:bCs/>
      <w:i/>
      <w:iCs/>
      <w:sz w:val="28"/>
      <w:szCs w:val="28"/>
      <w:lang w:val="en-GB"/>
    </w:rPr>
  </w:style>
  <w:style w:type="character" w:customStyle="1" w:styleId="Heading2Char">
    <w:name w:val="Heading 2 Char"/>
    <w:aliases w:val="Címsor 2 Char Char2,Nadpis 2 Char Char Char2,Címsor 2 Char Char Char Char2,Heading 2 Char1 Char Char Char Char2"/>
    <w:basedOn w:val="DefaultParagraphFont"/>
    <w:uiPriority w:val="99"/>
    <w:locked/>
    <w:rPr>
      <w:rFonts w:eastAsia="Times New Roman" w:cs="Times New Roman"/>
      <w:b/>
      <w:sz w:val="36"/>
      <w:lang w:val="en-US" w:eastAsia="x-none"/>
    </w:rPr>
  </w:style>
  <w:style w:type="paragraph" w:styleId="Footer">
    <w:name w:val="footer"/>
    <w:aliases w:val="Footer Char1 Char,Footer Char2 Char Char1,Footer Char1 Char Char Char,Footer Char2 Char Char1 Char Char,Footer Char1 Char Char Char Char1 Char,Footer Char1 Char Char Char Char1 Char Char Char"/>
    <w:basedOn w:val="Normal"/>
    <w:link w:val="FooterChar1"/>
    <w:uiPriority w:val="99"/>
    <w:pPr>
      <w:tabs>
        <w:tab w:val="center" w:pos="4536"/>
        <w:tab w:val="right" w:pos="8306"/>
      </w:tabs>
    </w:pPr>
    <w:rPr>
      <w:rFonts w:ascii="Arial" w:hAnsi="Arial"/>
      <w:noProof/>
      <w:sz w:val="16"/>
      <w:lang w:val="hu-HU"/>
    </w:rPr>
  </w:style>
  <w:style w:type="character" w:customStyle="1" w:styleId="FooterChar1">
    <w:name w:val="Footer Char1"/>
    <w:aliases w:val="Footer Char1 Char Char,Footer Char2 Char Char1 Char,Footer Char1 Char Char Char Char,Footer Char2 Char Char1 Char Char Char,Footer Char1 Char Char Char Char1 Char Char,Footer Char1 Char Char Char Char1 Char Char Char Char"/>
    <w:basedOn w:val="DefaultParagraphFont"/>
    <w:link w:val="Footer"/>
    <w:uiPriority w:val="99"/>
    <w:semiHidden/>
    <w:rPr>
      <w:rFonts w:eastAsia="SimSun"/>
      <w:szCs w:val="20"/>
      <w:lang w:val="en-GB"/>
    </w:rPr>
  </w:style>
  <w:style w:type="character" w:customStyle="1" w:styleId="FooterChar">
    <w:name w:val="Footer Char"/>
    <w:aliases w:val="Footer Char1 Char Char2,Footer Char2 Char Char1 Char2,Footer Char1 Char Char Char Char2,Footer Char2 Char Char1 Char Char Char2,Footer Char1 Char Char Char Char1 Char Char2,Footer Char1 Char Char Char Char1 Char Char Char Char1"/>
    <w:basedOn w:val="DefaultParagraphFont"/>
    <w:link w:val="C-BodyText"/>
    <w:uiPriority w:val="99"/>
    <w:locked/>
    <w:rPr>
      <w:rFonts w:eastAsia="SimSun" w:cs="Times New Roman"/>
      <w:sz w:val="22"/>
      <w:lang w:val="hu-HU" w:eastAsia="hu-HU"/>
    </w:rPr>
  </w:style>
  <w:style w:type="paragraph" w:styleId="Header">
    <w:name w:val="header"/>
    <w:basedOn w:val="Normal"/>
    <w:link w:val="HeaderChar"/>
    <w:uiPriority w:val="99"/>
    <w:pPr>
      <w:tabs>
        <w:tab w:val="center" w:pos="4153"/>
        <w:tab w:val="right" w:pos="8306"/>
      </w:tabs>
    </w:pPr>
    <w:rPr>
      <w:rFonts w:ascii="Arial" w:hAnsi="Arial"/>
      <w:sz w:val="20"/>
    </w:rPr>
  </w:style>
  <w:style w:type="character" w:customStyle="1" w:styleId="HeaderChar">
    <w:name w:val="Header Char"/>
    <w:basedOn w:val="DefaultParagraphFont"/>
    <w:link w:val="Header"/>
    <w:uiPriority w:val="99"/>
    <w:locked/>
    <w:rPr>
      <w:rFonts w:ascii="Arial" w:hAnsi="Arial" w:cs="Times New Roman"/>
      <w:lang w:val="en-GB" w:eastAsia="x-none"/>
    </w:rPr>
  </w:style>
  <w:style w:type="paragraph" w:customStyle="1" w:styleId="MemoHeaderStyle">
    <w:name w:val="MemoHeaderStyle"/>
    <w:basedOn w:val="Normal"/>
    <w:next w:val="Normal"/>
    <w:uiPriority w:val="99"/>
    <w:pPr>
      <w:spacing w:line="120" w:lineRule="atLeast"/>
      <w:ind w:left="1418"/>
      <w:jc w:val="both"/>
    </w:pPr>
    <w:rPr>
      <w:rFonts w:ascii="Arial" w:hAnsi="Arial"/>
      <w:b/>
      <w:smallCaps/>
    </w:rPr>
  </w:style>
  <w:style w:type="character" w:styleId="PageNumber">
    <w:name w:val="page number"/>
    <w:basedOn w:val="DefaultParagraphFont"/>
    <w:uiPriority w:val="99"/>
    <w:rPr>
      <w:rFonts w:cs="Times New Roman"/>
    </w:rPr>
  </w:style>
  <w:style w:type="paragraph" w:styleId="BodyText">
    <w:name w:val="Body Text"/>
    <w:basedOn w:val="Normal"/>
    <w:link w:val="BodyTextChar"/>
    <w:uiPriority w:val="99"/>
    <w:pPr>
      <w:tabs>
        <w:tab w:val="clear" w:pos="567"/>
      </w:tabs>
      <w:spacing w:line="240" w:lineRule="auto"/>
    </w:pPr>
    <w:rPr>
      <w:i/>
      <w:color w:val="008000"/>
    </w:rPr>
  </w:style>
  <w:style w:type="character" w:customStyle="1" w:styleId="BodyTextChar">
    <w:name w:val="Body Text Char"/>
    <w:basedOn w:val="DefaultParagraphFont"/>
    <w:link w:val="BodyText"/>
    <w:uiPriority w:val="99"/>
    <w:semiHidden/>
    <w:locked/>
    <w:rPr>
      <w:rFonts w:cs="Times New Roman"/>
      <w:sz w:val="20"/>
      <w:lang w:val="en-GB" w:eastAsia="x-none"/>
    </w:rPr>
  </w:style>
  <w:style w:type="paragraph" w:styleId="CommentText">
    <w:name w:val="annotation text"/>
    <w:basedOn w:val="Normal"/>
    <w:link w:val="CommentTextChar1"/>
    <w:uiPriority w:val="99"/>
    <w:rPr>
      <w:sz w:val="20"/>
      <w:lang w:val="hu-HU"/>
    </w:rPr>
  </w:style>
  <w:style w:type="character" w:customStyle="1" w:styleId="CommentTextChar1">
    <w:name w:val="Comment Text Char1"/>
    <w:basedOn w:val="DefaultParagraphFont"/>
    <w:link w:val="CommentText"/>
    <w:uiPriority w:val="99"/>
    <w:locked/>
    <w:rPr>
      <w:rFonts w:eastAsia="SimSun"/>
      <w:sz w:val="20"/>
    </w:rPr>
  </w:style>
  <w:style w:type="character" w:customStyle="1" w:styleId="CommentTextChar">
    <w:name w:val="Comment Text Char"/>
    <w:basedOn w:val="DefaultParagraphFont"/>
    <w:link w:val="C-TableHeader"/>
    <w:uiPriority w:val="99"/>
    <w:locked/>
    <w:rPr>
      <w:rFonts w:eastAsia="SimSun" w:cs="Times New Roman"/>
      <w:b/>
      <w:sz w:val="22"/>
      <w:lang w:val="hu-HU" w:eastAsia="hu-HU"/>
    </w:rPr>
  </w:style>
  <w:style w:type="character" w:styleId="Hyperlink">
    <w:name w:val="Hyperlink"/>
    <w:aliases w:val="Footer Char1 Char Char1,Footer Char2 Char Char1 Char1,Footer Char1 Char Char Char Char1,Footer Char2 Char Char1 Char Char Char1,Footer Char1 Char Char Char Char1 Char Char1,Footer Char1 Char Char Char Char1 Char Char Char Char Ch"/>
    <w:basedOn w:val="DefaultParagraphFont"/>
    <w:uiPriority w:val="99"/>
    <w:rPr>
      <w:rFonts w:cs="Times New Roman"/>
      <w:color w:val="0000FF"/>
      <w:u w:val="single"/>
    </w:rPr>
  </w:style>
  <w:style w:type="paragraph" w:customStyle="1" w:styleId="EMEAEnBodyText">
    <w:name w:val="EMEA En Body Text"/>
    <w:basedOn w:val="Normal"/>
    <w:uiPriority w:val="99"/>
    <w:pPr>
      <w:tabs>
        <w:tab w:val="clear" w:pos="567"/>
      </w:tabs>
      <w:spacing w:before="120" w:after="120" w:line="240" w:lineRule="auto"/>
      <w:jc w:val="both"/>
    </w:pPr>
    <w:rPr>
      <w:lang w:val="en-US"/>
    </w:rPr>
  </w:style>
  <w:style w:type="paragraph" w:styleId="BalloonText">
    <w:name w:val="Balloon Text"/>
    <w:basedOn w:val="Normal"/>
    <w:link w:val="BalloonTextChar1"/>
    <w:uiPriority w:val="99"/>
    <w:semiHidden/>
    <w:rPr>
      <w:sz w:val="16"/>
      <w:szCs w:val="16"/>
    </w:rPr>
  </w:style>
  <w:style w:type="character" w:customStyle="1" w:styleId="BalloonTextChar1">
    <w:name w:val="Balloon Text Char1"/>
    <w:basedOn w:val="DefaultParagraphFont"/>
    <w:link w:val="BalloonText"/>
    <w:uiPriority w:val="99"/>
    <w:semiHidden/>
    <w:rPr>
      <w:rFonts w:ascii="Tahoma" w:eastAsia="SimSun" w:hAnsi="Tahoma" w:cs="Tahoma"/>
      <w:sz w:val="16"/>
      <w:szCs w:val="16"/>
      <w:lang w:val="en-GB"/>
    </w:rPr>
  </w:style>
  <w:style w:type="character" w:customStyle="1" w:styleId="BalloonTextChar">
    <w:name w:val="Balloon Text Char"/>
    <w:basedOn w:val="DefaultParagraphFont"/>
    <w:link w:val="DocID"/>
    <w:uiPriority w:val="99"/>
    <w:semiHidden/>
    <w:locked/>
    <w:rPr>
      <w:rFonts w:cs="Times New Roman"/>
      <w:sz w:val="2"/>
      <w:lang w:val="en-GB" w:eastAsia="x-none"/>
    </w:rPr>
  </w:style>
  <w:style w:type="paragraph" w:customStyle="1" w:styleId="BodytextAgency">
    <w:name w:val="Body text (Agency)"/>
    <w:basedOn w:val="Normal"/>
    <w:uiPriority w:val="99"/>
    <w:pPr>
      <w:tabs>
        <w:tab w:val="clear" w:pos="567"/>
      </w:tabs>
      <w:spacing w:after="140" w:line="280" w:lineRule="atLeast"/>
    </w:pPr>
    <w:rPr>
      <w:rFonts w:ascii="Verdana" w:hAnsi="Verdana"/>
      <w:sz w:val="18"/>
    </w:rPr>
  </w:style>
  <w:style w:type="character" w:customStyle="1" w:styleId="BodytextAgencyChar">
    <w:name w:val="Body text (Agency) Char"/>
    <w:uiPriority w:val="99"/>
    <w:locked/>
    <w:rPr>
      <w:rFonts w:ascii="Verdana" w:hAnsi="Verdana"/>
      <w:sz w:val="18"/>
      <w:lang w:val="en-GB" w:eastAsia="x-none"/>
    </w:rPr>
  </w:style>
  <w:style w:type="paragraph" w:customStyle="1" w:styleId="DraftingNotesAgency">
    <w:name w:val="Drafting Notes (Agency)"/>
    <w:basedOn w:val="Normal"/>
    <w:next w:val="BodytextAgency"/>
    <w:uiPriority w:val="99"/>
    <w:pPr>
      <w:tabs>
        <w:tab w:val="clear" w:pos="567"/>
      </w:tabs>
      <w:spacing w:after="140" w:line="280" w:lineRule="atLeast"/>
    </w:pPr>
    <w:rPr>
      <w:rFonts w:ascii="Courier New" w:hAnsi="Courier New"/>
      <w:i/>
      <w:color w:val="339966"/>
      <w:sz w:val="18"/>
    </w:rPr>
  </w:style>
  <w:style w:type="character" w:customStyle="1" w:styleId="DraftingNotesAgencyChar">
    <w:name w:val="Drafting Notes (Agency) Char"/>
    <w:uiPriority w:val="99"/>
    <w:locked/>
    <w:rPr>
      <w:rFonts w:ascii="Courier New" w:hAnsi="Courier New"/>
      <w:i/>
      <w:color w:val="339966"/>
      <w:sz w:val="18"/>
      <w:lang w:val="en-GB" w:eastAsia="x-none"/>
    </w:rPr>
  </w:style>
  <w:style w:type="paragraph" w:customStyle="1" w:styleId="NormalAgency">
    <w:name w:val="Normal (Agency)"/>
    <w:uiPriority w:val="99"/>
    <w:rPr>
      <w:rFonts w:ascii="Verdana" w:eastAsia="SimSun" w:hAnsi="Verdana"/>
      <w:lang w:val="en-GB"/>
    </w:rPr>
  </w:style>
  <w:style w:type="table" w:customStyle="1" w:styleId="TablegridAgencyblack">
    <w:name w:val="Table grid (Agency) black"/>
    <w:uiPriority w:val="99"/>
    <w:semiHidden/>
    <w:rPr>
      <w:rFonts w:ascii="Verdana" w:eastAsia="SimSun" w:hAnsi="Verdana"/>
      <w:sz w:val="18"/>
      <w:szCs w:val="20"/>
    </w:rPr>
    <w:tblPr>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0" w:type="dxa"/>
        <w:left w:w="108" w:type="dxa"/>
        <w:bottom w:w="0" w:type="dxa"/>
        <w:right w:w="108" w:type="dxa"/>
      </w:tblCellMar>
    </w:tblPr>
  </w:style>
  <w:style w:type="paragraph" w:customStyle="1" w:styleId="TableheadingrowsAgency">
    <w:name w:val="Table heading rows (Agency)"/>
    <w:basedOn w:val="BodytextAgency"/>
    <w:uiPriority w:val="99"/>
    <w:pPr>
      <w:keepNext/>
    </w:pPr>
    <w:rPr>
      <w:b/>
    </w:rPr>
  </w:style>
  <w:style w:type="paragraph" w:customStyle="1" w:styleId="TabletextrowsAgency">
    <w:name w:val="Table text rows (Agency)"/>
    <w:basedOn w:val="Normal"/>
    <w:uiPriority w:val="99"/>
    <w:pPr>
      <w:tabs>
        <w:tab w:val="clear" w:pos="567"/>
      </w:tabs>
      <w:spacing w:line="280" w:lineRule="exact"/>
    </w:pPr>
    <w:rPr>
      <w:rFonts w:ascii="Verdana" w:hAnsi="Verdana" w:cs="Verdana"/>
      <w:sz w:val="18"/>
      <w:szCs w:val="18"/>
    </w:rPr>
  </w:style>
  <w:style w:type="character" w:customStyle="1" w:styleId="NormalAgencyChar">
    <w:name w:val="Normal (Agency) Char"/>
    <w:uiPriority w:val="99"/>
    <w:locked/>
    <w:rPr>
      <w:rFonts w:ascii="Verdana" w:hAnsi="Verdana"/>
      <w:sz w:val="22"/>
      <w:lang w:val="en-GB" w:eastAsia="x-none"/>
    </w:rPr>
  </w:style>
  <w:style w:type="character" w:styleId="CommentReference">
    <w:name w:val="annotation reference"/>
    <w:basedOn w:val="DefaultParagraphFont"/>
    <w:uiPriority w:val="99"/>
    <w:rPr>
      <w:rFonts w:cs="Times New Roman"/>
      <w:sz w:val="16"/>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locked/>
    <w:rPr>
      <w:rFonts w:eastAsia="SimSun" w:cs="Times New Roman"/>
      <w:b/>
      <w:sz w:val="22"/>
      <w:lang w:val="hu-HU" w:eastAsia="hu-HU"/>
    </w:rPr>
  </w:style>
  <w:style w:type="paragraph" w:customStyle="1" w:styleId="Default">
    <w:name w:val="Default"/>
    <w:uiPriority w:val="99"/>
    <w:pPr>
      <w:autoSpaceDE w:val="0"/>
      <w:autoSpaceDN w:val="0"/>
      <w:adjustRightInd w:val="0"/>
    </w:pPr>
    <w:rPr>
      <w:rFonts w:eastAsia="SimSun"/>
      <w:color w:val="000000"/>
      <w:sz w:val="24"/>
      <w:szCs w:val="24"/>
      <w:lang w:val="en-US"/>
    </w:rPr>
  </w:style>
  <w:style w:type="paragraph" w:customStyle="1" w:styleId="HeadingSmPC">
    <w:name w:val="Heading SmPC"/>
    <w:basedOn w:val="Normal"/>
    <w:uiPriority w:val="99"/>
    <w:pPr>
      <w:suppressAutoHyphens/>
      <w:ind w:left="567" w:hanging="567"/>
    </w:pPr>
    <w:rPr>
      <w:b/>
      <w:noProof/>
      <w:lang w:val="hu-HU"/>
    </w:rPr>
  </w:style>
  <w:style w:type="character" w:styleId="FollowedHyperlink">
    <w:name w:val="FollowedHyperlink"/>
    <w:aliases w:val="Heading 2 Char1,Címsor 2 Char Char1,Nadpis 2 Char Char Char1,Címsor 2 Char Char Char Char1,Heading 2 Char1 Char Char Char Char1"/>
    <w:basedOn w:val="DefaultParagraphFont"/>
    <w:link w:val="Heading2"/>
    <w:uiPriority w:val="99"/>
    <w:locked/>
    <w:rPr>
      <w:rFonts w:cs="Times New Roman"/>
      <w:color w:val="800080"/>
      <w:u w:val="single"/>
    </w:rPr>
  </w:style>
  <w:style w:type="character" w:customStyle="1" w:styleId="HeadingSmPCChar">
    <w:name w:val="Heading SmPC Char"/>
    <w:uiPriority w:val="99"/>
    <w:locked/>
    <w:rPr>
      <w:rFonts w:eastAsia="Times New Roman"/>
      <w:b/>
      <w:noProof/>
      <w:sz w:val="22"/>
    </w:rPr>
  </w:style>
  <w:style w:type="paragraph" w:customStyle="1" w:styleId="C-TableText">
    <w:name w:val="C-Table Text"/>
    <w:uiPriority w:val="99"/>
    <w:pPr>
      <w:spacing w:before="60" w:after="60"/>
    </w:pPr>
    <w:rPr>
      <w:rFonts w:eastAsia="SimSun"/>
    </w:rPr>
  </w:style>
  <w:style w:type="paragraph" w:customStyle="1" w:styleId="C-TableHeader">
    <w:name w:val="C-Table Header"/>
    <w:next w:val="C-TableText"/>
    <w:link w:val="CommentTextChar"/>
    <w:uiPriority w:val="99"/>
    <w:pPr>
      <w:keepNext/>
      <w:spacing w:before="60" w:after="60"/>
    </w:pPr>
    <w:rPr>
      <w:rFonts w:eastAsia="SimSun"/>
      <w:b/>
    </w:rPr>
  </w:style>
  <w:style w:type="character" w:customStyle="1" w:styleId="C-TableTextChar">
    <w:name w:val="C-Table Text Char"/>
    <w:uiPriority w:val="99"/>
    <w:locked/>
    <w:rPr>
      <w:rFonts w:eastAsia="Times New Roman"/>
      <w:sz w:val="22"/>
    </w:rPr>
  </w:style>
  <w:style w:type="character" w:customStyle="1" w:styleId="C-TableCallout">
    <w:name w:val="C-Table Callout"/>
    <w:uiPriority w:val="99"/>
    <w:rPr>
      <w:rFonts w:ascii="Times New Roman" w:hAnsi="Times New Roman"/>
      <w:color w:val="auto"/>
      <w:spacing w:val="0"/>
      <w:w w:val="100"/>
      <w:position w:val="0"/>
      <w:sz w:val="22"/>
      <w:u w:val="none"/>
      <w:effect w:val="none"/>
      <w:vertAlign w:val="superscript"/>
      <w:em w:val="none"/>
    </w:rPr>
  </w:style>
  <w:style w:type="paragraph" w:customStyle="1" w:styleId="C-TableFootnote">
    <w:name w:val="C-Table Footnote"/>
    <w:next w:val="Normal"/>
    <w:uiPriority w:val="99"/>
    <w:pPr>
      <w:tabs>
        <w:tab w:val="left" w:pos="144"/>
      </w:tabs>
      <w:ind w:left="144" w:hanging="144"/>
    </w:pPr>
    <w:rPr>
      <w:rFonts w:eastAsia="SimSun" w:cs="Arial"/>
      <w:sz w:val="20"/>
      <w:szCs w:val="20"/>
      <w:lang w:val="en-US"/>
    </w:rPr>
  </w:style>
  <w:style w:type="paragraph" w:styleId="EndnoteText">
    <w:name w:val="endnote text"/>
    <w:basedOn w:val="Normal"/>
    <w:link w:val="EndnoteTextChar"/>
    <w:uiPriority w:val="99"/>
    <w:rPr>
      <w:sz w:val="20"/>
    </w:rPr>
  </w:style>
  <w:style w:type="character" w:customStyle="1" w:styleId="EndnoteTextChar">
    <w:name w:val="Endnote Text Char"/>
    <w:basedOn w:val="DefaultParagraphFont"/>
    <w:link w:val="EndnoteText"/>
    <w:uiPriority w:val="99"/>
    <w:locked/>
    <w:rPr>
      <w:rFonts w:eastAsia="Times New Roman" w:cs="Times New Roman"/>
      <w:lang w:val="en-GB" w:eastAsia="x-none"/>
    </w:rPr>
  </w:style>
  <w:style w:type="character" w:styleId="EndnoteReference">
    <w:name w:val="endnote reference"/>
    <w:basedOn w:val="DefaultParagraphFont"/>
    <w:uiPriority w:val="99"/>
    <w:rPr>
      <w:rFonts w:cs="Times New Roman"/>
      <w:vertAlign w:val="superscript"/>
    </w:rPr>
  </w:style>
  <w:style w:type="paragraph" w:customStyle="1" w:styleId="ListParagraph1">
    <w:name w:val="List Paragraph1"/>
    <w:basedOn w:val="Normal"/>
    <w:uiPriority w:val="99"/>
    <w:pPr>
      <w:tabs>
        <w:tab w:val="clear" w:pos="567"/>
      </w:tabs>
      <w:spacing w:line="240" w:lineRule="auto"/>
      <w:ind w:left="720"/>
      <w:contextualSpacing/>
    </w:pPr>
    <w:rPr>
      <w:sz w:val="24"/>
      <w:szCs w:val="24"/>
      <w:lang w:val="en-US"/>
    </w:rPr>
  </w:style>
  <w:style w:type="table" w:styleId="TableGrid">
    <w:name w:val="Table Grid"/>
    <w:basedOn w:val="TableNormal"/>
    <w:uiPriority w:val="99"/>
    <w:rPr>
      <w:rFonts w:ascii="Calibri" w:eastAsia="SimSun" w:hAnsi="Calibri"/>
      <w:sz w:val="20"/>
      <w:szCs w:val="20"/>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1"/>
    <w:next w:val="Normal"/>
    <w:uiPriority w:val="99"/>
    <w:pPr>
      <w:tabs>
        <w:tab w:val="left" w:pos="1152"/>
        <w:tab w:val="right" w:leader="dot" w:pos="9360"/>
      </w:tabs>
      <w:spacing w:before="120" w:line="240" w:lineRule="auto"/>
      <w:ind w:left="1152" w:right="792" w:hanging="1152"/>
    </w:pPr>
    <w:rPr>
      <w:rFonts w:cs="Arial"/>
      <w:color w:val="0000FF"/>
      <w:sz w:val="24"/>
      <w:szCs w:val="24"/>
      <w:lang w:val="en-US"/>
    </w:rPr>
  </w:style>
  <w:style w:type="paragraph" w:styleId="TOC1">
    <w:name w:val="toc 1"/>
    <w:basedOn w:val="Normal"/>
    <w:next w:val="Normal"/>
    <w:autoRedefine/>
    <w:uiPriority w:val="99"/>
    <w:pPr>
      <w:tabs>
        <w:tab w:val="clear" w:pos="567"/>
      </w:tabs>
    </w:pPr>
  </w:style>
  <w:style w:type="paragraph" w:styleId="PlainText">
    <w:name w:val="Plain Text"/>
    <w:basedOn w:val="Normal"/>
    <w:link w:val="PlainTextChar"/>
    <w:uiPriority w:val="99"/>
    <w:pPr>
      <w:tabs>
        <w:tab w:val="clear" w:pos="567"/>
      </w:tabs>
      <w:spacing w:line="240" w:lineRule="auto"/>
    </w:pPr>
    <w:rPr>
      <w:rFonts w:ascii="Calibri" w:hAnsi="Calibri"/>
      <w:szCs w:val="22"/>
      <w:lang w:val="sv-SE"/>
    </w:rPr>
  </w:style>
  <w:style w:type="character" w:customStyle="1" w:styleId="PlainTextChar">
    <w:name w:val="Plain Text Char"/>
    <w:basedOn w:val="DefaultParagraphFont"/>
    <w:link w:val="PlainText"/>
    <w:uiPriority w:val="99"/>
    <w:locked/>
    <w:rPr>
      <w:rFonts w:ascii="Calibri" w:hAnsi="Calibri" w:cs="Times New Roman"/>
      <w:sz w:val="22"/>
      <w:lang w:val="sv-SE" w:eastAsia="x-none"/>
    </w:rPr>
  </w:style>
  <w:style w:type="paragraph" w:customStyle="1" w:styleId="Revision1">
    <w:name w:val="Revision1"/>
    <w:hidden/>
    <w:uiPriority w:val="99"/>
    <w:semiHidden/>
    <w:rPr>
      <w:rFonts w:eastAsia="SimSun"/>
      <w:szCs w:val="20"/>
      <w:lang w:val="en-GB"/>
    </w:rPr>
  </w:style>
  <w:style w:type="paragraph" w:customStyle="1" w:styleId="C-BodyText">
    <w:name w:val="C-Body Text"/>
    <w:link w:val="FooterChar"/>
    <w:uiPriority w:val="99"/>
    <w:pPr>
      <w:spacing w:before="120" w:after="120" w:line="280" w:lineRule="atLeast"/>
    </w:pPr>
    <w:rPr>
      <w:rFonts w:eastAsia="SimSun"/>
    </w:rPr>
  </w:style>
  <w:style w:type="character" w:customStyle="1" w:styleId="C-BodyTextChar">
    <w:name w:val="C-Body Text Char"/>
    <w:uiPriority w:val="99"/>
    <w:locked/>
    <w:rPr>
      <w:rFonts w:eastAsia="Times New Roman"/>
      <w:sz w:val="22"/>
    </w:rPr>
  </w:style>
  <w:style w:type="paragraph" w:customStyle="1" w:styleId="DocID">
    <w:name w:val="DocID"/>
    <w:basedOn w:val="BodyText"/>
    <w:next w:val="Footer"/>
    <w:link w:val="BalloonTextChar"/>
    <w:uiPriority w:val="99"/>
    <w:pPr>
      <w:widowControl w:val="0"/>
    </w:pPr>
    <w:rPr>
      <w:rFonts w:ascii="Arial" w:hAnsi="Arial" w:cs="Arial"/>
      <w:i w:val="0"/>
      <w:color w:val="000000"/>
      <w:sz w:val="16"/>
    </w:rPr>
  </w:style>
  <w:style w:type="character" w:customStyle="1" w:styleId="DocIDChar">
    <w:name w:val="DocID Char"/>
    <w:uiPriority w:val="99"/>
    <w:locked/>
    <w:rPr>
      <w:rFonts w:ascii="Arial" w:hAnsi="Arial"/>
      <w:color w:val="000000"/>
      <w:sz w:val="16"/>
      <w:lang w:val="en-GB" w:eastAsia="x-none"/>
    </w:rPr>
  </w:style>
  <w:style w:type="character" w:customStyle="1" w:styleId="C-TableHeaderChar">
    <w:name w:val="C-Table Header Char"/>
    <w:uiPriority w:val="99"/>
    <w:locked/>
    <w:rPr>
      <w:rFonts w:eastAsia="Times New Roman"/>
      <w:b/>
      <w:sz w:val="22"/>
    </w:rPr>
  </w:style>
  <w:style w:type="character" w:customStyle="1" w:styleId="tw4winMark">
    <w:name w:val="tw4winMark"/>
    <w:uiPriority w:val="99"/>
    <w:rPr>
      <w:rFonts w:ascii="Courier New" w:hAnsi="Courier New"/>
      <w:vanish/>
      <w:color w:val="800080"/>
      <w:sz w:val="24"/>
      <w:vertAlign w:val="subscript"/>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External">
    <w:name w:val="tw4winExternal"/>
    <w:uiPriority w:val="99"/>
    <w:rPr>
      <w:rFonts w:ascii="Courier New" w:hAnsi="Courier New"/>
      <w:noProof/>
      <w:color w:val="8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customStyle="1" w:styleId="TitleA">
    <w:name w:val="Title A"/>
    <w:basedOn w:val="Normal"/>
    <w:uiPriority w:val="99"/>
    <w:rsid w:val="00224CF7"/>
    <w:pPr>
      <w:tabs>
        <w:tab w:val="clear" w:pos="567"/>
      </w:tabs>
      <w:spacing w:line="240" w:lineRule="auto"/>
      <w:jc w:val="center"/>
      <w:outlineLvl w:val="0"/>
    </w:pPr>
    <w:rPr>
      <w:rFonts w:eastAsia="Times New Roman"/>
      <w:b/>
      <w:lang w:eastAsia="en-US"/>
    </w:rPr>
  </w:style>
  <w:style w:type="paragraph" w:customStyle="1" w:styleId="TitleB">
    <w:name w:val="Title B"/>
    <w:basedOn w:val="Normal"/>
    <w:uiPriority w:val="99"/>
    <w:rsid w:val="00224CF7"/>
    <w:pPr>
      <w:tabs>
        <w:tab w:val="clear" w:pos="567"/>
      </w:tabs>
      <w:spacing w:line="240" w:lineRule="auto"/>
      <w:ind w:left="567" w:hanging="567"/>
      <w:outlineLvl w:val="0"/>
    </w:pPr>
    <w:rPr>
      <w:rFonts w:eastAsia="Times New Roman"/>
      <w:b/>
      <w:lang w:eastAsia="en-US"/>
    </w:rPr>
  </w:style>
  <w:style w:type="paragraph" w:customStyle="1" w:styleId="Vltozat1">
    <w:name w:val="Változat1"/>
    <w:hidden/>
    <w:uiPriority w:val="99"/>
    <w:semiHidden/>
    <w:rPr>
      <w:rFonts w:eastAsia="SimSun"/>
      <w:szCs w:val="20"/>
      <w:lang w:val="en-GB"/>
    </w:rPr>
  </w:style>
  <w:style w:type="paragraph" w:customStyle="1" w:styleId="Listaszerbekezds1">
    <w:name w:val="Listaszerű bekezdés1"/>
    <w:basedOn w:val="Normal"/>
    <w:uiPriority w:val="99"/>
    <w:pPr>
      <w:tabs>
        <w:tab w:val="clear" w:pos="567"/>
      </w:tabs>
      <w:spacing w:line="240" w:lineRule="auto"/>
      <w:ind w:left="720"/>
      <w:contextualSpacing/>
    </w:pPr>
    <w:rPr>
      <w:rFonts w:eastAsia="Times New Roman"/>
      <w:sz w:val="24"/>
      <w:szCs w:val="24"/>
      <w:lang w:val="en-US" w:eastAsia="en-US"/>
    </w:rPr>
  </w:style>
  <w:style w:type="character" w:customStyle="1" w:styleId="caption-h">
    <w:name w:val="caption-h"/>
    <w:uiPriority w:val="99"/>
  </w:style>
  <w:style w:type="paragraph" w:styleId="Revision">
    <w:name w:val="Revision"/>
    <w:hidden/>
    <w:uiPriority w:val="99"/>
    <w:semiHidden/>
    <w:rsid w:val="001B07B9"/>
    <w:rPr>
      <w:rFonts w:eastAsia="SimSun"/>
      <w:szCs w:val="20"/>
      <w:lang w:val="en-GB"/>
    </w:rPr>
  </w:style>
  <w:style w:type="character" w:customStyle="1" w:styleId="Megemlts1">
    <w:name w:val="Megemlítés1"/>
    <w:uiPriority w:val="99"/>
    <w:semiHidden/>
    <w:rsid w:val="00616109"/>
    <w:rPr>
      <w:color w:val="2B579A"/>
      <w:shd w:val="clear" w:color="auto" w:fill="E6E6E6"/>
    </w:rPr>
  </w:style>
  <w:style w:type="character" w:styleId="LineNumber">
    <w:name w:val="line number"/>
    <w:basedOn w:val="DefaultParagraphFont"/>
    <w:uiPriority w:val="99"/>
    <w:semiHidden/>
    <w:rsid w:val="00E3713D"/>
    <w:rPr>
      <w:rFonts w:cs="Times New Roman"/>
    </w:rPr>
  </w:style>
  <w:style w:type="paragraph" w:customStyle="1" w:styleId="No-numheading3Agency">
    <w:name w:val="No-num heading 3 (Agency)"/>
    <w:basedOn w:val="Normal"/>
    <w:next w:val="BodytextAgency"/>
    <w:link w:val="No-numheading3AgencyChar"/>
    <w:uiPriority w:val="99"/>
    <w:rsid w:val="00D668F7"/>
    <w:pPr>
      <w:keepNext/>
      <w:tabs>
        <w:tab w:val="clear" w:pos="567"/>
      </w:tabs>
      <w:spacing w:before="280" w:after="220" w:line="240" w:lineRule="auto"/>
      <w:outlineLvl w:val="2"/>
    </w:pPr>
    <w:rPr>
      <w:rFonts w:ascii="Verdana" w:eastAsia="Times New Roman" w:hAnsi="Verdana"/>
      <w:b/>
      <w:bCs/>
      <w:kern w:val="32"/>
      <w:szCs w:val="22"/>
      <w:lang w:val="hu-HU"/>
    </w:rPr>
  </w:style>
  <w:style w:type="character" w:customStyle="1" w:styleId="No-numheading3AgencyChar">
    <w:name w:val="No-num heading 3 (Agency) Char"/>
    <w:link w:val="No-numheading3Agency"/>
    <w:uiPriority w:val="99"/>
    <w:locked/>
    <w:rsid w:val="00D668F7"/>
    <w:rPr>
      <w:rFonts w:ascii="Verdana" w:hAnsi="Verdana"/>
      <w:b/>
      <w:kern w:val="32"/>
      <w:sz w:val="22"/>
      <w:lang w:val="hu-HU" w:eastAsia="hu-HU"/>
    </w:rPr>
  </w:style>
  <w:style w:type="paragraph" w:styleId="ListParagraph">
    <w:name w:val="List Paragraph"/>
    <w:basedOn w:val="Normal"/>
    <w:uiPriority w:val="34"/>
    <w:qFormat/>
    <w:rsid w:val="00F141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044342">
      <w:marLeft w:val="0"/>
      <w:marRight w:val="0"/>
      <w:marTop w:val="0"/>
      <w:marBottom w:val="0"/>
      <w:divBdr>
        <w:top w:val="none" w:sz="0" w:space="0" w:color="auto"/>
        <w:left w:val="none" w:sz="0" w:space="0" w:color="auto"/>
        <w:bottom w:val="none" w:sz="0" w:space="0" w:color="auto"/>
        <w:right w:val="none" w:sz="0" w:space="0" w:color="auto"/>
      </w:divBdr>
    </w:div>
    <w:div w:id="1250044343">
      <w:marLeft w:val="0"/>
      <w:marRight w:val="0"/>
      <w:marTop w:val="0"/>
      <w:marBottom w:val="0"/>
      <w:divBdr>
        <w:top w:val="none" w:sz="0" w:space="0" w:color="auto"/>
        <w:left w:val="none" w:sz="0" w:space="0" w:color="auto"/>
        <w:bottom w:val="none" w:sz="0" w:space="0" w:color="auto"/>
        <w:right w:val="none" w:sz="0" w:space="0" w:color="auto"/>
      </w:divBdr>
    </w:div>
    <w:div w:id="1250044344">
      <w:marLeft w:val="0"/>
      <w:marRight w:val="0"/>
      <w:marTop w:val="0"/>
      <w:marBottom w:val="0"/>
      <w:divBdr>
        <w:top w:val="none" w:sz="0" w:space="0" w:color="auto"/>
        <w:left w:val="none" w:sz="0" w:space="0" w:color="auto"/>
        <w:bottom w:val="none" w:sz="0" w:space="0" w:color="auto"/>
        <w:right w:val="none" w:sz="0" w:space="0" w:color="auto"/>
      </w:divBdr>
    </w:div>
    <w:div w:id="1250044345">
      <w:marLeft w:val="0"/>
      <w:marRight w:val="0"/>
      <w:marTop w:val="0"/>
      <w:marBottom w:val="0"/>
      <w:divBdr>
        <w:top w:val="none" w:sz="0" w:space="0" w:color="auto"/>
        <w:left w:val="none" w:sz="0" w:space="0" w:color="auto"/>
        <w:bottom w:val="none" w:sz="0" w:space="0" w:color="auto"/>
        <w:right w:val="none" w:sz="0" w:space="0" w:color="auto"/>
      </w:divBdr>
    </w:div>
    <w:div w:id="1250044346">
      <w:marLeft w:val="0"/>
      <w:marRight w:val="0"/>
      <w:marTop w:val="0"/>
      <w:marBottom w:val="0"/>
      <w:divBdr>
        <w:top w:val="none" w:sz="0" w:space="0" w:color="auto"/>
        <w:left w:val="none" w:sz="0" w:space="0" w:color="auto"/>
        <w:bottom w:val="none" w:sz="0" w:space="0" w:color="auto"/>
        <w:right w:val="none" w:sz="0" w:space="0" w:color="auto"/>
      </w:divBdr>
    </w:div>
    <w:div w:id="1250044347">
      <w:marLeft w:val="0"/>
      <w:marRight w:val="0"/>
      <w:marTop w:val="0"/>
      <w:marBottom w:val="0"/>
      <w:divBdr>
        <w:top w:val="none" w:sz="0" w:space="0" w:color="auto"/>
        <w:left w:val="none" w:sz="0" w:space="0" w:color="auto"/>
        <w:bottom w:val="none" w:sz="0" w:space="0" w:color="auto"/>
        <w:right w:val="none" w:sz="0" w:space="0" w:color="auto"/>
      </w:divBdr>
    </w:div>
    <w:div w:id="1250044349">
      <w:marLeft w:val="0"/>
      <w:marRight w:val="0"/>
      <w:marTop w:val="0"/>
      <w:marBottom w:val="0"/>
      <w:divBdr>
        <w:top w:val="none" w:sz="0" w:space="0" w:color="auto"/>
        <w:left w:val="none" w:sz="0" w:space="0" w:color="auto"/>
        <w:bottom w:val="none" w:sz="0" w:space="0" w:color="auto"/>
        <w:right w:val="none" w:sz="0" w:space="0" w:color="auto"/>
      </w:divBdr>
    </w:div>
    <w:div w:id="1250044350">
      <w:marLeft w:val="0"/>
      <w:marRight w:val="0"/>
      <w:marTop w:val="0"/>
      <w:marBottom w:val="0"/>
      <w:divBdr>
        <w:top w:val="none" w:sz="0" w:space="0" w:color="auto"/>
        <w:left w:val="none" w:sz="0" w:space="0" w:color="auto"/>
        <w:bottom w:val="none" w:sz="0" w:space="0" w:color="auto"/>
        <w:right w:val="none" w:sz="0" w:space="0" w:color="auto"/>
      </w:divBdr>
    </w:div>
    <w:div w:id="1250044354">
      <w:marLeft w:val="0"/>
      <w:marRight w:val="0"/>
      <w:marTop w:val="0"/>
      <w:marBottom w:val="0"/>
      <w:divBdr>
        <w:top w:val="none" w:sz="0" w:space="0" w:color="auto"/>
        <w:left w:val="none" w:sz="0" w:space="0" w:color="auto"/>
        <w:bottom w:val="none" w:sz="0" w:space="0" w:color="auto"/>
        <w:right w:val="none" w:sz="0" w:space="0" w:color="auto"/>
      </w:divBdr>
    </w:div>
    <w:div w:id="1250044356">
      <w:marLeft w:val="0"/>
      <w:marRight w:val="0"/>
      <w:marTop w:val="0"/>
      <w:marBottom w:val="0"/>
      <w:divBdr>
        <w:top w:val="none" w:sz="0" w:space="0" w:color="auto"/>
        <w:left w:val="none" w:sz="0" w:space="0" w:color="auto"/>
        <w:bottom w:val="none" w:sz="0" w:space="0" w:color="auto"/>
        <w:right w:val="none" w:sz="0" w:space="0" w:color="auto"/>
      </w:divBdr>
    </w:div>
    <w:div w:id="1250044357">
      <w:marLeft w:val="0"/>
      <w:marRight w:val="0"/>
      <w:marTop w:val="0"/>
      <w:marBottom w:val="0"/>
      <w:divBdr>
        <w:top w:val="none" w:sz="0" w:space="0" w:color="auto"/>
        <w:left w:val="none" w:sz="0" w:space="0" w:color="auto"/>
        <w:bottom w:val="none" w:sz="0" w:space="0" w:color="auto"/>
        <w:right w:val="none" w:sz="0" w:space="0" w:color="auto"/>
      </w:divBdr>
      <w:divsChild>
        <w:div w:id="1250044353">
          <w:marLeft w:val="547"/>
          <w:marRight w:val="0"/>
          <w:marTop w:val="72"/>
          <w:marBottom w:val="0"/>
          <w:divBdr>
            <w:top w:val="none" w:sz="0" w:space="0" w:color="auto"/>
            <w:left w:val="none" w:sz="0" w:space="0" w:color="auto"/>
            <w:bottom w:val="none" w:sz="0" w:space="0" w:color="auto"/>
            <w:right w:val="none" w:sz="0" w:space="0" w:color="auto"/>
          </w:divBdr>
        </w:div>
      </w:divsChild>
    </w:div>
    <w:div w:id="1250044358">
      <w:marLeft w:val="0"/>
      <w:marRight w:val="0"/>
      <w:marTop w:val="0"/>
      <w:marBottom w:val="0"/>
      <w:divBdr>
        <w:top w:val="none" w:sz="0" w:space="0" w:color="auto"/>
        <w:left w:val="none" w:sz="0" w:space="0" w:color="auto"/>
        <w:bottom w:val="none" w:sz="0" w:space="0" w:color="auto"/>
        <w:right w:val="none" w:sz="0" w:space="0" w:color="auto"/>
      </w:divBdr>
    </w:div>
    <w:div w:id="1250044359">
      <w:marLeft w:val="0"/>
      <w:marRight w:val="0"/>
      <w:marTop w:val="0"/>
      <w:marBottom w:val="0"/>
      <w:divBdr>
        <w:top w:val="none" w:sz="0" w:space="0" w:color="auto"/>
        <w:left w:val="none" w:sz="0" w:space="0" w:color="auto"/>
        <w:bottom w:val="none" w:sz="0" w:space="0" w:color="auto"/>
        <w:right w:val="none" w:sz="0" w:space="0" w:color="auto"/>
      </w:divBdr>
    </w:div>
    <w:div w:id="1250044361">
      <w:marLeft w:val="0"/>
      <w:marRight w:val="0"/>
      <w:marTop w:val="0"/>
      <w:marBottom w:val="0"/>
      <w:divBdr>
        <w:top w:val="none" w:sz="0" w:space="0" w:color="auto"/>
        <w:left w:val="none" w:sz="0" w:space="0" w:color="auto"/>
        <w:bottom w:val="none" w:sz="0" w:space="0" w:color="auto"/>
        <w:right w:val="none" w:sz="0" w:space="0" w:color="auto"/>
      </w:divBdr>
      <w:divsChild>
        <w:div w:id="1250044352">
          <w:marLeft w:val="1166"/>
          <w:marRight w:val="0"/>
          <w:marTop w:val="115"/>
          <w:marBottom w:val="0"/>
          <w:divBdr>
            <w:top w:val="none" w:sz="0" w:space="0" w:color="auto"/>
            <w:left w:val="none" w:sz="0" w:space="0" w:color="auto"/>
            <w:bottom w:val="none" w:sz="0" w:space="0" w:color="auto"/>
            <w:right w:val="none" w:sz="0" w:space="0" w:color="auto"/>
          </w:divBdr>
        </w:div>
      </w:divsChild>
    </w:div>
    <w:div w:id="1250044362">
      <w:marLeft w:val="0"/>
      <w:marRight w:val="0"/>
      <w:marTop w:val="0"/>
      <w:marBottom w:val="0"/>
      <w:divBdr>
        <w:top w:val="none" w:sz="0" w:space="0" w:color="auto"/>
        <w:left w:val="none" w:sz="0" w:space="0" w:color="auto"/>
        <w:bottom w:val="none" w:sz="0" w:space="0" w:color="auto"/>
        <w:right w:val="none" w:sz="0" w:space="0" w:color="auto"/>
      </w:divBdr>
    </w:div>
    <w:div w:id="1250044363">
      <w:marLeft w:val="0"/>
      <w:marRight w:val="0"/>
      <w:marTop w:val="0"/>
      <w:marBottom w:val="0"/>
      <w:divBdr>
        <w:top w:val="none" w:sz="0" w:space="0" w:color="auto"/>
        <w:left w:val="none" w:sz="0" w:space="0" w:color="auto"/>
        <w:bottom w:val="none" w:sz="0" w:space="0" w:color="auto"/>
        <w:right w:val="none" w:sz="0" w:space="0" w:color="auto"/>
      </w:divBdr>
      <w:divsChild>
        <w:div w:id="1250044401">
          <w:marLeft w:val="0"/>
          <w:marRight w:val="0"/>
          <w:marTop w:val="0"/>
          <w:marBottom w:val="0"/>
          <w:divBdr>
            <w:top w:val="none" w:sz="0" w:space="0" w:color="auto"/>
            <w:left w:val="none" w:sz="0" w:space="0" w:color="auto"/>
            <w:bottom w:val="none" w:sz="0" w:space="0" w:color="auto"/>
            <w:right w:val="none" w:sz="0" w:space="0" w:color="auto"/>
          </w:divBdr>
          <w:divsChild>
            <w:div w:id="1250044396">
              <w:marLeft w:val="0"/>
              <w:marRight w:val="0"/>
              <w:marTop w:val="0"/>
              <w:marBottom w:val="0"/>
              <w:divBdr>
                <w:top w:val="none" w:sz="0" w:space="0" w:color="auto"/>
                <w:left w:val="none" w:sz="0" w:space="0" w:color="auto"/>
                <w:bottom w:val="none" w:sz="0" w:space="0" w:color="auto"/>
                <w:right w:val="none" w:sz="0" w:space="0" w:color="auto"/>
              </w:divBdr>
              <w:divsChild>
                <w:div w:id="125004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044364">
      <w:marLeft w:val="0"/>
      <w:marRight w:val="0"/>
      <w:marTop w:val="0"/>
      <w:marBottom w:val="0"/>
      <w:divBdr>
        <w:top w:val="none" w:sz="0" w:space="0" w:color="auto"/>
        <w:left w:val="none" w:sz="0" w:space="0" w:color="auto"/>
        <w:bottom w:val="none" w:sz="0" w:space="0" w:color="auto"/>
        <w:right w:val="none" w:sz="0" w:space="0" w:color="auto"/>
      </w:divBdr>
    </w:div>
    <w:div w:id="1250044365">
      <w:marLeft w:val="0"/>
      <w:marRight w:val="0"/>
      <w:marTop w:val="0"/>
      <w:marBottom w:val="0"/>
      <w:divBdr>
        <w:top w:val="none" w:sz="0" w:space="0" w:color="auto"/>
        <w:left w:val="none" w:sz="0" w:space="0" w:color="auto"/>
        <w:bottom w:val="none" w:sz="0" w:space="0" w:color="auto"/>
        <w:right w:val="none" w:sz="0" w:space="0" w:color="auto"/>
      </w:divBdr>
    </w:div>
    <w:div w:id="1250044366">
      <w:marLeft w:val="0"/>
      <w:marRight w:val="0"/>
      <w:marTop w:val="0"/>
      <w:marBottom w:val="0"/>
      <w:divBdr>
        <w:top w:val="none" w:sz="0" w:space="0" w:color="auto"/>
        <w:left w:val="none" w:sz="0" w:space="0" w:color="auto"/>
        <w:bottom w:val="none" w:sz="0" w:space="0" w:color="auto"/>
        <w:right w:val="none" w:sz="0" w:space="0" w:color="auto"/>
      </w:divBdr>
    </w:div>
    <w:div w:id="1250044367">
      <w:marLeft w:val="0"/>
      <w:marRight w:val="0"/>
      <w:marTop w:val="0"/>
      <w:marBottom w:val="0"/>
      <w:divBdr>
        <w:top w:val="none" w:sz="0" w:space="0" w:color="auto"/>
        <w:left w:val="none" w:sz="0" w:space="0" w:color="auto"/>
        <w:bottom w:val="none" w:sz="0" w:space="0" w:color="auto"/>
        <w:right w:val="none" w:sz="0" w:space="0" w:color="auto"/>
      </w:divBdr>
      <w:divsChild>
        <w:div w:id="1250044360">
          <w:marLeft w:val="1166"/>
          <w:marRight w:val="0"/>
          <w:marTop w:val="115"/>
          <w:marBottom w:val="0"/>
          <w:divBdr>
            <w:top w:val="none" w:sz="0" w:space="0" w:color="auto"/>
            <w:left w:val="none" w:sz="0" w:space="0" w:color="auto"/>
            <w:bottom w:val="none" w:sz="0" w:space="0" w:color="auto"/>
            <w:right w:val="none" w:sz="0" w:space="0" w:color="auto"/>
          </w:divBdr>
        </w:div>
      </w:divsChild>
    </w:div>
    <w:div w:id="1250044369">
      <w:marLeft w:val="0"/>
      <w:marRight w:val="0"/>
      <w:marTop w:val="0"/>
      <w:marBottom w:val="0"/>
      <w:divBdr>
        <w:top w:val="none" w:sz="0" w:space="0" w:color="auto"/>
        <w:left w:val="none" w:sz="0" w:space="0" w:color="auto"/>
        <w:bottom w:val="none" w:sz="0" w:space="0" w:color="auto"/>
        <w:right w:val="none" w:sz="0" w:space="0" w:color="auto"/>
      </w:divBdr>
    </w:div>
    <w:div w:id="1250044370">
      <w:marLeft w:val="0"/>
      <w:marRight w:val="0"/>
      <w:marTop w:val="0"/>
      <w:marBottom w:val="0"/>
      <w:divBdr>
        <w:top w:val="none" w:sz="0" w:space="0" w:color="auto"/>
        <w:left w:val="none" w:sz="0" w:space="0" w:color="auto"/>
        <w:bottom w:val="none" w:sz="0" w:space="0" w:color="auto"/>
        <w:right w:val="none" w:sz="0" w:space="0" w:color="auto"/>
      </w:divBdr>
    </w:div>
    <w:div w:id="1250044371">
      <w:marLeft w:val="0"/>
      <w:marRight w:val="0"/>
      <w:marTop w:val="0"/>
      <w:marBottom w:val="0"/>
      <w:divBdr>
        <w:top w:val="none" w:sz="0" w:space="0" w:color="auto"/>
        <w:left w:val="none" w:sz="0" w:space="0" w:color="auto"/>
        <w:bottom w:val="none" w:sz="0" w:space="0" w:color="auto"/>
        <w:right w:val="none" w:sz="0" w:space="0" w:color="auto"/>
      </w:divBdr>
    </w:div>
    <w:div w:id="1250044372">
      <w:marLeft w:val="0"/>
      <w:marRight w:val="0"/>
      <w:marTop w:val="0"/>
      <w:marBottom w:val="0"/>
      <w:divBdr>
        <w:top w:val="none" w:sz="0" w:space="0" w:color="auto"/>
        <w:left w:val="none" w:sz="0" w:space="0" w:color="auto"/>
        <w:bottom w:val="none" w:sz="0" w:space="0" w:color="auto"/>
        <w:right w:val="none" w:sz="0" w:space="0" w:color="auto"/>
      </w:divBdr>
      <w:divsChild>
        <w:div w:id="1250044385">
          <w:marLeft w:val="1166"/>
          <w:marRight w:val="0"/>
          <w:marTop w:val="125"/>
          <w:marBottom w:val="0"/>
          <w:divBdr>
            <w:top w:val="none" w:sz="0" w:space="0" w:color="auto"/>
            <w:left w:val="none" w:sz="0" w:space="0" w:color="auto"/>
            <w:bottom w:val="none" w:sz="0" w:space="0" w:color="auto"/>
            <w:right w:val="none" w:sz="0" w:space="0" w:color="auto"/>
          </w:divBdr>
        </w:div>
        <w:div w:id="1250044402">
          <w:marLeft w:val="1166"/>
          <w:marRight w:val="0"/>
          <w:marTop w:val="125"/>
          <w:marBottom w:val="0"/>
          <w:divBdr>
            <w:top w:val="none" w:sz="0" w:space="0" w:color="auto"/>
            <w:left w:val="none" w:sz="0" w:space="0" w:color="auto"/>
            <w:bottom w:val="none" w:sz="0" w:space="0" w:color="auto"/>
            <w:right w:val="none" w:sz="0" w:space="0" w:color="auto"/>
          </w:divBdr>
        </w:div>
        <w:div w:id="1250044412">
          <w:marLeft w:val="1166"/>
          <w:marRight w:val="0"/>
          <w:marTop w:val="125"/>
          <w:marBottom w:val="0"/>
          <w:divBdr>
            <w:top w:val="none" w:sz="0" w:space="0" w:color="auto"/>
            <w:left w:val="none" w:sz="0" w:space="0" w:color="auto"/>
            <w:bottom w:val="none" w:sz="0" w:space="0" w:color="auto"/>
            <w:right w:val="none" w:sz="0" w:space="0" w:color="auto"/>
          </w:divBdr>
        </w:div>
      </w:divsChild>
    </w:div>
    <w:div w:id="1250044373">
      <w:marLeft w:val="0"/>
      <w:marRight w:val="0"/>
      <w:marTop w:val="0"/>
      <w:marBottom w:val="0"/>
      <w:divBdr>
        <w:top w:val="none" w:sz="0" w:space="0" w:color="auto"/>
        <w:left w:val="none" w:sz="0" w:space="0" w:color="auto"/>
        <w:bottom w:val="none" w:sz="0" w:space="0" w:color="auto"/>
        <w:right w:val="none" w:sz="0" w:space="0" w:color="auto"/>
      </w:divBdr>
    </w:div>
    <w:div w:id="1250044374">
      <w:marLeft w:val="0"/>
      <w:marRight w:val="0"/>
      <w:marTop w:val="0"/>
      <w:marBottom w:val="0"/>
      <w:divBdr>
        <w:top w:val="none" w:sz="0" w:space="0" w:color="auto"/>
        <w:left w:val="none" w:sz="0" w:space="0" w:color="auto"/>
        <w:bottom w:val="none" w:sz="0" w:space="0" w:color="auto"/>
        <w:right w:val="none" w:sz="0" w:space="0" w:color="auto"/>
      </w:divBdr>
    </w:div>
    <w:div w:id="1250044375">
      <w:marLeft w:val="0"/>
      <w:marRight w:val="0"/>
      <w:marTop w:val="0"/>
      <w:marBottom w:val="0"/>
      <w:divBdr>
        <w:top w:val="none" w:sz="0" w:space="0" w:color="auto"/>
        <w:left w:val="none" w:sz="0" w:space="0" w:color="auto"/>
        <w:bottom w:val="none" w:sz="0" w:space="0" w:color="auto"/>
        <w:right w:val="none" w:sz="0" w:space="0" w:color="auto"/>
      </w:divBdr>
    </w:div>
    <w:div w:id="1250044376">
      <w:marLeft w:val="0"/>
      <w:marRight w:val="0"/>
      <w:marTop w:val="0"/>
      <w:marBottom w:val="0"/>
      <w:divBdr>
        <w:top w:val="none" w:sz="0" w:space="0" w:color="auto"/>
        <w:left w:val="none" w:sz="0" w:space="0" w:color="auto"/>
        <w:bottom w:val="none" w:sz="0" w:space="0" w:color="auto"/>
        <w:right w:val="none" w:sz="0" w:space="0" w:color="auto"/>
      </w:divBdr>
    </w:div>
    <w:div w:id="1250044377">
      <w:marLeft w:val="0"/>
      <w:marRight w:val="0"/>
      <w:marTop w:val="0"/>
      <w:marBottom w:val="0"/>
      <w:divBdr>
        <w:top w:val="none" w:sz="0" w:space="0" w:color="auto"/>
        <w:left w:val="none" w:sz="0" w:space="0" w:color="auto"/>
        <w:bottom w:val="none" w:sz="0" w:space="0" w:color="auto"/>
        <w:right w:val="none" w:sz="0" w:space="0" w:color="auto"/>
      </w:divBdr>
    </w:div>
    <w:div w:id="1250044378">
      <w:marLeft w:val="0"/>
      <w:marRight w:val="0"/>
      <w:marTop w:val="0"/>
      <w:marBottom w:val="0"/>
      <w:divBdr>
        <w:top w:val="none" w:sz="0" w:space="0" w:color="auto"/>
        <w:left w:val="none" w:sz="0" w:space="0" w:color="auto"/>
        <w:bottom w:val="none" w:sz="0" w:space="0" w:color="auto"/>
        <w:right w:val="none" w:sz="0" w:space="0" w:color="auto"/>
      </w:divBdr>
    </w:div>
    <w:div w:id="1250044379">
      <w:marLeft w:val="0"/>
      <w:marRight w:val="0"/>
      <w:marTop w:val="0"/>
      <w:marBottom w:val="0"/>
      <w:divBdr>
        <w:top w:val="none" w:sz="0" w:space="0" w:color="auto"/>
        <w:left w:val="none" w:sz="0" w:space="0" w:color="auto"/>
        <w:bottom w:val="none" w:sz="0" w:space="0" w:color="auto"/>
        <w:right w:val="none" w:sz="0" w:space="0" w:color="auto"/>
      </w:divBdr>
    </w:div>
    <w:div w:id="1250044380">
      <w:marLeft w:val="0"/>
      <w:marRight w:val="0"/>
      <w:marTop w:val="0"/>
      <w:marBottom w:val="0"/>
      <w:divBdr>
        <w:top w:val="none" w:sz="0" w:space="0" w:color="auto"/>
        <w:left w:val="none" w:sz="0" w:space="0" w:color="auto"/>
        <w:bottom w:val="none" w:sz="0" w:space="0" w:color="auto"/>
        <w:right w:val="none" w:sz="0" w:space="0" w:color="auto"/>
      </w:divBdr>
    </w:div>
    <w:div w:id="1250044382">
      <w:marLeft w:val="0"/>
      <w:marRight w:val="0"/>
      <w:marTop w:val="0"/>
      <w:marBottom w:val="0"/>
      <w:divBdr>
        <w:top w:val="none" w:sz="0" w:space="0" w:color="auto"/>
        <w:left w:val="none" w:sz="0" w:space="0" w:color="auto"/>
        <w:bottom w:val="none" w:sz="0" w:space="0" w:color="auto"/>
        <w:right w:val="none" w:sz="0" w:space="0" w:color="auto"/>
      </w:divBdr>
    </w:div>
    <w:div w:id="1250044383">
      <w:marLeft w:val="0"/>
      <w:marRight w:val="0"/>
      <w:marTop w:val="0"/>
      <w:marBottom w:val="0"/>
      <w:divBdr>
        <w:top w:val="none" w:sz="0" w:space="0" w:color="auto"/>
        <w:left w:val="none" w:sz="0" w:space="0" w:color="auto"/>
        <w:bottom w:val="none" w:sz="0" w:space="0" w:color="auto"/>
        <w:right w:val="none" w:sz="0" w:space="0" w:color="auto"/>
      </w:divBdr>
    </w:div>
    <w:div w:id="1250044384">
      <w:marLeft w:val="0"/>
      <w:marRight w:val="0"/>
      <w:marTop w:val="0"/>
      <w:marBottom w:val="0"/>
      <w:divBdr>
        <w:top w:val="none" w:sz="0" w:space="0" w:color="auto"/>
        <w:left w:val="none" w:sz="0" w:space="0" w:color="auto"/>
        <w:bottom w:val="none" w:sz="0" w:space="0" w:color="auto"/>
        <w:right w:val="none" w:sz="0" w:space="0" w:color="auto"/>
      </w:divBdr>
    </w:div>
    <w:div w:id="1250044386">
      <w:marLeft w:val="0"/>
      <w:marRight w:val="0"/>
      <w:marTop w:val="0"/>
      <w:marBottom w:val="0"/>
      <w:divBdr>
        <w:top w:val="none" w:sz="0" w:space="0" w:color="auto"/>
        <w:left w:val="none" w:sz="0" w:space="0" w:color="auto"/>
        <w:bottom w:val="none" w:sz="0" w:space="0" w:color="auto"/>
        <w:right w:val="none" w:sz="0" w:space="0" w:color="auto"/>
      </w:divBdr>
    </w:div>
    <w:div w:id="1250044387">
      <w:marLeft w:val="0"/>
      <w:marRight w:val="0"/>
      <w:marTop w:val="0"/>
      <w:marBottom w:val="0"/>
      <w:divBdr>
        <w:top w:val="none" w:sz="0" w:space="0" w:color="auto"/>
        <w:left w:val="none" w:sz="0" w:space="0" w:color="auto"/>
        <w:bottom w:val="none" w:sz="0" w:space="0" w:color="auto"/>
        <w:right w:val="none" w:sz="0" w:space="0" w:color="auto"/>
      </w:divBdr>
    </w:div>
    <w:div w:id="1250044388">
      <w:marLeft w:val="0"/>
      <w:marRight w:val="0"/>
      <w:marTop w:val="0"/>
      <w:marBottom w:val="0"/>
      <w:divBdr>
        <w:top w:val="none" w:sz="0" w:space="0" w:color="auto"/>
        <w:left w:val="none" w:sz="0" w:space="0" w:color="auto"/>
        <w:bottom w:val="none" w:sz="0" w:space="0" w:color="auto"/>
        <w:right w:val="none" w:sz="0" w:space="0" w:color="auto"/>
      </w:divBdr>
    </w:div>
    <w:div w:id="1250044389">
      <w:marLeft w:val="0"/>
      <w:marRight w:val="0"/>
      <w:marTop w:val="0"/>
      <w:marBottom w:val="0"/>
      <w:divBdr>
        <w:top w:val="none" w:sz="0" w:space="0" w:color="auto"/>
        <w:left w:val="none" w:sz="0" w:space="0" w:color="auto"/>
        <w:bottom w:val="none" w:sz="0" w:space="0" w:color="auto"/>
        <w:right w:val="none" w:sz="0" w:space="0" w:color="auto"/>
      </w:divBdr>
    </w:div>
    <w:div w:id="1250044390">
      <w:marLeft w:val="0"/>
      <w:marRight w:val="0"/>
      <w:marTop w:val="0"/>
      <w:marBottom w:val="0"/>
      <w:divBdr>
        <w:top w:val="none" w:sz="0" w:space="0" w:color="auto"/>
        <w:left w:val="none" w:sz="0" w:space="0" w:color="auto"/>
        <w:bottom w:val="none" w:sz="0" w:space="0" w:color="auto"/>
        <w:right w:val="none" w:sz="0" w:space="0" w:color="auto"/>
      </w:divBdr>
    </w:div>
    <w:div w:id="1250044391">
      <w:marLeft w:val="0"/>
      <w:marRight w:val="0"/>
      <w:marTop w:val="0"/>
      <w:marBottom w:val="0"/>
      <w:divBdr>
        <w:top w:val="none" w:sz="0" w:space="0" w:color="auto"/>
        <w:left w:val="none" w:sz="0" w:space="0" w:color="auto"/>
        <w:bottom w:val="none" w:sz="0" w:space="0" w:color="auto"/>
        <w:right w:val="none" w:sz="0" w:space="0" w:color="auto"/>
      </w:divBdr>
    </w:div>
    <w:div w:id="1250044392">
      <w:marLeft w:val="0"/>
      <w:marRight w:val="0"/>
      <w:marTop w:val="0"/>
      <w:marBottom w:val="0"/>
      <w:divBdr>
        <w:top w:val="none" w:sz="0" w:space="0" w:color="auto"/>
        <w:left w:val="none" w:sz="0" w:space="0" w:color="auto"/>
        <w:bottom w:val="none" w:sz="0" w:space="0" w:color="auto"/>
        <w:right w:val="none" w:sz="0" w:space="0" w:color="auto"/>
      </w:divBdr>
    </w:div>
    <w:div w:id="1250044393">
      <w:marLeft w:val="0"/>
      <w:marRight w:val="0"/>
      <w:marTop w:val="0"/>
      <w:marBottom w:val="0"/>
      <w:divBdr>
        <w:top w:val="none" w:sz="0" w:space="0" w:color="auto"/>
        <w:left w:val="none" w:sz="0" w:space="0" w:color="auto"/>
        <w:bottom w:val="none" w:sz="0" w:space="0" w:color="auto"/>
        <w:right w:val="none" w:sz="0" w:space="0" w:color="auto"/>
      </w:divBdr>
    </w:div>
    <w:div w:id="1250044394">
      <w:marLeft w:val="0"/>
      <w:marRight w:val="0"/>
      <w:marTop w:val="0"/>
      <w:marBottom w:val="0"/>
      <w:divBdr>
        <w:top w:val="none" w:sz="0" w:space="0" w:color="auto"/>
        <w:left w:val="none" w:sz="0" w:space="0" w:color="auto"/>
        <w:bottom w:val="none" w:sz="0" w:space="0" w:color="auto"/>
        <w:right w:val="none" w:sz="0" w:space="0" w:color="auto"/>
      </w:divBdr>
    </w:div>
    <w:div w:id="1250044397">
      <w:marLeft w:val="0"/>
      <w:marRight w:val="0"/>
      <w:marTop w:val="0"/>
      <w:marBottom w:val="0"/>
      <w:divBdr>
        <w:top w:val="none" w:sz="0" w:space="0" w:color="auto"/>
        <w:left w:val="none" w:sz="0" w:space="0" w:color="auto"/>
        <w:bottom w:val="none" w:sz="0" w:space="0" w:color="auto"/>
        <w:right w:val="none" w:sz="0" w:space="0" w:color="auto"/>
      </w:divBdr>
    </w:div>
    <w:div w:id="1250044398">
      <w:marLeft w:val="0"/>
      <w:marRight w:val="0"/>
      <w:marTop w:val="0"/>
      <w:marBottom w:val="0"/>
      <w:divBdr>
        <w:top w:val="none" w:sz="0" w:space="0" w:color="auto"/>
        <w:left w:val="none" w:sz="0" w:space="0" w:color="auto"/>
        <w:bottom w:val="none" w:sz="0" w:space="0" w:color="auto"/>
        <w:right w:val="none" w:sz="0" w:space="0" w:color="auto"/>
      </w:divBdr>
    </w:div>
    <w:div w:id="1250044399">
      <w:marLeft w:val="0"/>
      <w:marRight w:val="0"/>
      <w:marTop w:val="0"/>
      <w:marBottom w:val="0"/>
      <w:divBdr>
        <w:top w:val="none" w:sz="0" w:space="0" w:color="auto"/>
        <w:left w:val="none" w:sz="0" w:space="0" w:color="auto"/>
        <w:bottom w:val="none" w:sz="0" w:space="0" w:color="auto"/>
        <w:right w:val="none" w:sz="0" w:space="0" w:color="auto"/>
      </w:divBdr>
    </w:div>
    <w:div w:id="1250044400">
      <w:marLeft w:val="0"/>
      <w:marRight w:val="0"/>
      <w:marTop w:val="0"/>
      <w:marBottom w:val="0"/>
      <w:divBdr>
        <w:top w:val="none" w:sz="0" w:space="0" w:color="auto"/>
        <w:left w:val="none" w:sz="0" w:space="0" w:color="auto"/>
        <w:bottom w:val="none" w:sz="0" w:space="0" w:color="auto"/>
        <w:right w:val="none" w:sz="0" w:space="0" w:color="auto"/>
      </w:divBdr>
    </w:div>
    <w:div w:id="1250044403">
      <w:marLeft w:val="0"/>
      <w:marRight w:val="0"/>
      <w:marTop w:val="0"/>
      <w:marBottom w:val="0"/>
      <w:divBdr>
        <w:top w:val="none" w:sz="0" w:space="0" w:color="auto"/>
        <w:left w:val="none" w:sz="0" w:space="0" w:color="auto"/>
        <w:bottom w:val="none" w:sz="0" w:space="0" w:color="auto"/>
        <w:right w:val="none" w:sz="0" w:space="0" w:color="auto"/>
      </w:divBdr>
    </w:div>
    <w:div w:id="1250044404">
      <w:marLeft w:val="0"/>
      <w:marRight w:val="0"/>
      <w:marTop w:val="0"/>
      <w:marBottom w:val="0"/>
      <w:divBdr>
        <w:top w:val="none" w:sz="0" w:space="0" w:color="auto"/>
        <w:left w:val="none" w:sz="0" w:space="0" w:color="auto"/>
        <w:bottom w:val="none" w:sz="0" w:space="0" w:color="auto"/>
        <w:right w:val="none" w:sz="0" w:space="0" w:color="auto"/>
      </w:divBdr>
    </w:div>
    <w:div w:id="1250044405">
      <w:marLeft w:val="0"/>
      <w:marRight w:val="0"/>
      <w:marTop w:val="0"/>
      <w:marBottom w:val="0"/>
      <w:divBdr>
        <w:top w:val="none" w:sz="0" w:space="0" w:color="auto"/>
        <w:left w:val="none" w:sz="0" w:space="0" w:color="auto"/>
        <w:bottom w:val="none" w:sz="0" w:space="0" w:color="auto"/>
        <w:right w:val="none" w:sz="0" w:space="0" w:color="auto"/>
      </w:divBdr>
    </w:div>
    <w:div w:id="1250044406">
      <w:marLeft w:val="0"/>
      <w:marRight w:val="0"/>
      <w:marTop w:val="0"/>
      <w:marBottom w:val="0"/>
      <w:divBdr>
        <w:top w:val="none" w:sz="0" w:space="0" w:color="auto"/>
        <w:left w:val="none" w:sz="0" w:space="0" w:color="auto"/>
        <w:bottom w:val="none" w:sz="0" w:space="0" w:color="auto"/>
        <w:right w:val="none" w:sz="0" w:space="0" w:color="auto"/>
      </w:divBdr>
    </w:div>
    <w:div w:id="1250044407">
      <w:marLeft w:val="0"/>
      <w:marRight w:val="0"/>
      <w:marTop w:val="0"/>
      <w:marBottom w:val="0"/>
      <w:divBdr>
        <w:top w:val="none" w:sz="0" w:space="0" w:color="auto"/>
        <w:left w:val="none" w:sz="0" w:space="0" w:color="auto"/>
        <w:bottom w:val="none" w:sz="0" w:space="0" w:color="auto"/>
        <w:right w:val="none" w:sz="0" w:space="0" w:color="auto"/>
      </w:divBdr>
    </w:div>
    <w:div w:id="1250044408">
      <w:marLeft w:val="0"/>
      <w:marRight w:val="0"/>
      <w:marTop w:val="0"/>
      <w:marBottom w:val="0"/>
      <w:divBdr>
        <w:top w:val="none" w:sz="0" w:space="0" w:color="auto"/>
        <w:left w:val="none" w:sz="0" w:space="0" w:color="auto"/>
        <w:bottom w:val="none" w:sz="0" w:space="0" w:color="auto"/>
        <w:right w:val="none" w:sz="0" w:space="0" w:color="auto"/>
      </w:divBdr>
    </w:div>
    <w:div w:id="1250044409">
      <w:marLeft w:val="0"/>
      <w:marRight w:val="0"/>
      <w:marTop w:val="0"/>
      <w:marBottom w:val="0"/>
      <w:divBdr>
        <w:top w:val="none" w:sz="0" w:space="0" w:color="auto"/>
        <w:left w:val="none" w:sz="0" w:space="0" w:color="auto"/>
        <w:bottom w:val="none" w:sz="0" w:space="0" w:color="auto"/>
        <w:right w:val="none" w:sz="0" w:space="0" w:color="auto"/>
      </w:divBdr>
    </w:div>
    <w:div w:id="1250044410">
      <w:marLeft w:val="0"/>
      <w:marRight w:val="0"/>
      <w:marTop w:val="0"/>
      <w:marBottom w:val="0"/>
      <w:divBdr>
        <w:top w:val="none" w:sz="0" w:space="0" w:color="auto"/>
        <w:left w:val="none" w:sz="0" w:space="0" w:color="auto"/>
        <w:bottom w:val="none" w:sz="0" w:space="0" w:color="auto"/>
        <w:right w:val="none" w:sz="0" w:space="0" w:color="auto"/>
      </w:divBdr>
      <w:divsChild>
        <w:div w:id="1250044368">
          <w:marLeft w:val="1166"/>
          <w:marRight w:val="0"/>
          <w:marTop w:val="125"/>
          <w:marBottom w:val="0"/>
          <w:divBdr>
            <w:top w:val="none" w:sz="0" w:space="0" w:color="auto"/>
            <w:left w:val="none" w:sz="0" w:space="0" w:color="auto"/>
            <w:bottom w:val="none" w:sz="0" w:space="0" w:color="auto"/>
            <w:right w:val="none" w:sz="0" w:space="0" w:color="auto"/>
          </w:divBdr>
        </w:div>
        <w:div w:id="1250044381">
          <w:marLeft w:val="1166"/>
          <w:marRight w:val="0"/>
          <w:marTop w:val="125"/>
          <w:marBottom w:val="0"/>
          <w:divBdr>
            <w:top w:val="none" w:sz="0" w:space="0" w:color="auto"/>
            <w:left w:val="none" w:sz="0" w:space="0" w:color="auto"/>
            <w:bottom w:val="none" w:sz="0" w:space="0" w:color="auto"/>
            <w:right w:val="none" w:sz="0" w:space="0" w:color="auto"/>
          </w:divBdr>
        </w:div>
        <w:div w:id="1250044395">
          <w:marLeft w:val="1166"/>
          <w:marRight w:val="0"/>
          <w:marTop w:val="125"/>
          <w:marBottom w:val="0"/>
          <w:divBdr>
            <w:top w:val="none" w:sz="0" w:space="0" w:color="auto"/>
            <w:left w:val="none" w:sz="0" w:space="0" w:color="auto"/>
            <w:bottom w:val="none" w:sz="0" w:space="0" w:color="auto"/>
            <w:right w:val="none" w:sz="0" w:space="0" w:color="auto"/>
          </w:divBdr>
        </w:div>
      </w:divsChild>
    </w:div>
    <w:div w:id="1250044411">
      <w:marLeft w:val="0"/>
      <w:marRight w:val="0"/>
      <w:marTop w:val="0"/>
      <w:marBottom w:val="0"/>
      <w:divBdr>
        <w:top w:val="none" w:sz="0" w:space="0" w:color="auto"/>
        <w:left w:val="none" w:sz="0" w:space="0" w:color="auto"/>
        <w:bottom w:val="none" w:sz="0" w:space="0" w:color="auto"/>
        <w:right w:val="none" w:sz="0" w:space="0" w:color="auto"/>
      </w:divBdr>
    </w:div>
    <w:div w:id="1250044413">
      <w:marLeft w:val="0"/>
      <w:marRight w:val="0"/>
      <w:marTop w:val="0"/>
      <w:marBottom w:val="0"/>
      <w:divBdr>
        <w:top w:val="none" w:sz="0" w:space="0" w:color="auto"/>
        <w:left w:val="none" w:sz="0" w:space="0" w:color="auto"/>
        <w:bottom w:val="none" w:sz="0" w:space="0" w:color="auto"/>
        <w:right w:val="none" w:sz="0" w:space="0" w:color="auto"/>
      </w:divBdr>
    </w:div>
    <w:div w:id="1250044414">
      <w:marLeft w:val="0"/>
      <w:marRight w:val="0"/>
      <w:marTop w:val="0"/>
      <w:marBottom w:val="0"/>
      <w:divBdr>
        <w:top w:val="none" w:sz="0" w:space="0" w:color="auto"/>
        <w:left w:val="none" w:sz="0" w:space="0" w:color="auto"/>
        <w:bottom w:val="none" w:sz="0" w:space="0" w:color="auto"/>
        <w:right w:val="none" w:sz="0" w:space="0" w:color="auto"/>
      </w:divBdr>
    </w:div>
    <w:div w:id="1250044415">
      <w:marLeft w:val="0"/>
      <w:marRight w:val="0"/>
      <w:marTop w:val="0"/>
      <w:marBottom w:val="0"/>
      <w:divBdr>
        <w:top w:val="none" w:sz="0" w:space="0" w:color="auto"/>
        <w:left w:val="none" w:sz="0" w:space="0" w:color="auto"/>
        <w:bottom w:val="none" w:sz="0" w:space="0" w:color="auto"/>
        <w:right w:val="none" w:sz="0" w:space="0" w:color="auto"/>
      </w:divBdr>
      <w:divsChild>
        <w:div w:id="1250044417">
          <w:marLeft w:val="0"/>
          <w:marRight w:val="0"/>
          <w:marTop w:val="0"/>
          <w:marBottom w:val="0"/>
          <w:divBdr>
            <w:top w:val="none" w:sz="0" w:space="0" w:color="auto"/>
            <w:left w:val="none" w:sz="0" w:space="0" w:color="auto"/>
            <w:bottom w:val="none" w:sz="0" w:space="0" w:color="auto"/>
            <w:right w:val="none" w:sz="0" w:space="0" w:color="auto"/>
          </w:divBdr>
          <w:divsChild>
            <w:div w:id="1250044419">
              <w:marLeft w:val="0"/>
              <w:marRight w:val="0"/>
              <w:marTop w:val="0"/>
              <w:marBottom w:val="0"/>
              <w:divBdr>
                <w:top w:val="none" w:sz="0" w:space="0" w:color="auto"/>
                <w:left w:val="none" w:sz="0" w:space="0" w:color="auto"/>
                <w:bottom w:val="none" w:sz="0" w:space="0" w:color="auto"/>
                <w:right w:val="none" w:sz="0" w:space="0" w:color="auto"/>
              </w:divBdr>
            </w:div>
            <w:div w:id="1250044423">
              <w:marLeft w:val="0"/>
              <w:marRight w:val="0"/>
              <w:marTop w:val="0"/>
              <w:marBottom w:val="0"/>
              <w:divBdr>
                <w:top w:val="none" w:sz="0" w:space="0" w:color="auto"/>
                <w:left w:val="none" w:sz="0" w:space="0" w:color="auto"/>
                <w:bottom w:val="none" w:sz="0" w:space="0" w:color="auto"/>
                <w:right w:val="none" w:sz="0" w:space="0" w:color="auto"/>
              </w:divBdr>
            </w:div>
            <w:div w:id="125004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4421">
      <w:marLeft w:val="0"/>
      <w:marRight w:val="0"/>
      <w:marTop w:val="0"/>
      <w:marBottom w:val="0"/>
      <w:divBdr>
        <w:top w:val="none" w:sz="0" w:space="0" w:color="auto"/>
        <w:left w:val="none" w:sz="0" w:space="0" w:color="auto"/>
        <w:bottom w:val="none" w:sz="0" w:space="0" w:color="auto"/>
        <w:right w:val="none" w:sz="0" w:space="0" w:color="auto"/>
      </w:divBdr>
      <w:divsChild>
        <w:div w:id="1250044420">
          <w:marLeft w:val="0"/>
          <w:marRight w:val="0"/>
          <w:marTop w:val="0"/>
          <w:marBottom w:val="0"/>
          <w:divBdr>
            <w:top w:val="none" w:sz="0" w:space="0" w:color="auto"/>
            <w:left w:val="none" w:sz="0" w:space="0" w:color="auto"/>
            <w:bottom w:val="none" w:sz="0" w:space="0" w:color="auto"/>
            <w:right w:val="none" w:sz="0" w:space="0" w:color="auto"/>
          </w:divBdr>
        </w:div>
        <w:div w:id="1250044432">
          <w:marLeft w:val="0"/>
          <w:marRight w:val="0"/>
          <w:marTop w:val="0"/>
          <w:marBottom w:val="0"/>
          <w:divBdr>
            <w:top w:val="none" w:sz="0" w:space="0" w:color="auto"/>
            <w:left w:val="none" w:sz="0" w:space="0" w:color="auto"/>
            <w:bottom w:val="none" w:sz="0" w:space="0" w:color="auto"/>
            <w:right w:val="none" w:sz="0" w:space="0" w:color="auto"/>
          </w:divBdr>
        </w:div>
      </w:divsChild>
    </w:div>
    <w:div w:id="1250044426">
      <w:marLeft w:val="0"/>
      <w:marRight w:val="0"/>
      <w:marTop w:val="0"/>
      <w:marBottom w:val="0"/>
      <w:divBdr>
        <w:top w:val="none" w:sz="0" w:space="0" w:color="auto"/>
        <w:left w:val="none" w:sz="0" w:space="0" w:color="auto"/>
        <w:bottom w:val="none" w:sz="0" w:space="0" w:color="auto"/>
        <w:right w:val="none" w:sz="0" w:space="0" w:color="auto"/>
      </w:divBdr>
      <w:divsChild>
        <w:div w:id="1250044424">
          <w:marLeft w:val="0"/>
          <w:marRight w:val="0"/>
          <w:marTop w:val="0"/>
          <w:marBottom w:val="0"/>
          <w:divBdr>
            <w:top w:val="none" w:sz="0" w:space="0" w:color="auto"/>
            <w:left w:val="none" w:sz="0" w:space="0" w:color="auto"/>
            <w:bottom w:val="none" w:sz="0" w:space="0" w:color="auto"/>
            <w:right w:val="none" w:sz="0" w:space="0" w:color="auto"/>
          </w:divBdr>
        </w:div>
        <w:div w:id="1250044425">
          <w:marLeft w:val="0"/>
          <w:marRight w:val="0"/>
          <w:marTop w:val="0"/>
          <w:marBottom w:val="0"/>
          <w:divBdr>
            <w:top w:val="none" w:sz="0" w:space="0" w:color="auto"/>
            <w:left w:val="none" w:sz="0" w:space="0" w:color="auto"/>
            <w:bottom w:val="none" w:sz="0" w:space="0" w:color="auto"/>
            <w:right w:val="none" w:sz="0" w:space="0" w:color="auto"/>
          </w:divBdr>
        </w:div>
        <w:div w:id="1250044428">
          <w:marLeft w:val="0"/>
          <w:marRight w:val="0"/>
          <w:marTop w:val="0"/>
          <w:marBottom w:val="0"/>
          <w:divBdr>
            <w:top w:val="none" w:sz="0" w:space="0" w:color="auto"/>
            <w:left w:val="none" w:sz="0" w:space="0" w:color="auto"/>
            <w:bottom w:val="none" w:sz="0" w:space="0" w:color="auto"/>
            <w:right w:val="none" w:sz="0" w:space="0" w:color="auto"/>
          </w:divBdr>
        </w:div>
        <w:div w:id="1250044445">
          <w:marLeft w:val="0"/>
          <w:marRight w:val="0"/>
          <w:marTop w:val="0"/>
          <w:marBottom w:val="0"/>
          <w:divBdr>
            <w:top w:val="none" w:sz="0" w:space="0" w:color="auto"/>
            <w:left w:val="none" w:sz="0" w:space="0" w:color="auto"/>
            <w:bottom w:val="none" w:sz="0" w:space="0" w:color="auto"/>
            <w:right w:val="none" w:sz="0" w:space="0" w:color="auto"/>
          </w:divBdr>
        </w:div>
      </w:divsChild>
    </w:div>
    <w:div w:id="1250044430">
      <w:marLeft w:val="0"/>
      <w:marRight w:val="0"/>
      <w:marTop w:val="0"/>
      <w:marBottom w:val="0"/>
      <w:divBdr>
        <w:top w:val="none" w:sz="0" w:space="0" w:color="auto"/>
        <w:left w:val="none" w:sz="0" w:space="0" w:color="auto"/>
        <w:bottom w:val="none" w:sz="0" w:space="0" w:color="auto"/>
        <w:right w:val="none" w:sz="0" w:space="0" w:color="auto"/>
      </w:divBdr>
      <w:divsChild>
        <w:div w:id="1250044416">
          <w:marLeft w:val="0"/>
          <w:marRight w:val="0"/>
          <w:marTop w:val="0"/>
          <w:marBottom w:val="0"/>
          <w:divBdr>
            <w:top w:val="none" w:sz="0" w:space="0" w:color="auto"/>
            <w:left w:val="none" w:sz="0" w:space="0" w:color="auto"/>
            <w:bottom w:val="none" w:sz="0" w:space="0" w:color="auto"/>
            <w:right w:val="none" w:sz="0" w:space="0" w:color="auto"/>
          </w:divBdr>
        </w:div>
        <w:div w:id="1250044418">
          <w:marLeft w:val="0"/>
          <w:marRight w:val="0"/>
          <w:marTop w:val="0"/>
          <w:marBottom w:val="0"/>
          <w:divBdr>
            <w:top w:val="none" w:sz="0" w:space="0" w:color="auto"/>
            <w:left w:val="none" w:sz="0" w:space="0" w:color="auto"/>
            <w:bottom w:val="none" w:sz="0" w:space="0" w:color="auto"/>
            <w:right w:val="none" w:sz="0" w:space="0" w:color="auto"/>
          </w:divBdr>
        </w:div>
        <w:div w:id="1250044422">
          <w:marLeft w:val="0"/>
          <w:marRight w:val="0"/>
          <w:marTop w:val="0"/>
          <w:marBottom w:val="0"/>
          <w:divBdr>
            <w:top w:val="none" w:sz="0" w:space="0" w:color="auto"/>
            <w:left w:val="none" w:sz="0" w:space="0" w:color="auto"/>
            <w:bottom w:val="none" w:sz="0" w:space="0" w:color="auto"/>
            <w:right w:val="none" w:sz="0" w:space="0" w:color="auto"/>
          </w:divBdr>
        </w:div>
        <w:div w:id="1250044427">
          <w:marLeft w:val="0"/>
          <w:marRight w:val="0"/>
          <w:marTop w:val="0"/>
          <w:marBottom w:val="0"/>
          <w:divBdr>
            <w:top w:val="none" w:sz="0" w:space="0" w:color="auto"/>
            <w:left w:val="none" w:sz="0" w:space="0" w:color="auto"/>
            <w:bottom w:val="none" w:sz="0" w:space="0" w:color="auto"/>
            <w:right w:val="none" w:sz="0" w:space="0" w:color="auto"/>
          </w:divBdr>
        </w:div>
        <w:div w:id="1250044429">
          <w:marLeft w:val="0"/>
          <w:marRight w:val="0"/>
          <w:marTop w:val="0"/>
          <w:marBottom w:val="0"/>
          <w:divBdr>
            <w:top w:val="none" w:sz="0" w:space="0" w:color="auto"/>
            <w:left w:val="none" w:sz="0" w:space="0" w:color="auto"/>
            <w:bottom w:val="none" w:sz="0" w:space="0" w:color="auto"/>
            <w:right w:val="none" w:sz="0" w:space="0" w:color="auto"/>
          </w:divBdr>
        </w:div>
        <w:div w:id="1250044431">
          <w:marLeft w:val="0"/>
          <w:marRight w:val="0"/>
          <w:marTop w:val="0"/>
          <w:marBottom w:val="0"/>
          <w:divBdr>
            <w:top w:val="none" w:sz="0" w:space="0" w:color="auto"/>
            <w:left w:val="none" w:sz="0" w:space="0" w:color="auto"/>
            <w:bottom w:val="none" w:sz="0" w:space="0" w:color="auto"/>
            <w:right w:val="none" w:sz="0" w:space="0" w:color="auto"/>
          </w:divBdr>
        </w:div>
        <w:div w:id="1250044433">
          <w:marLeft w:val="0"/>
          <w:marRight w:val="0"/>
          <w:marTop w:val="0"/>
          <w:marBottom w:val="0"/>
          <w:divBdr>
            <w:top w:val="none" w:sz="0" w:space="0" w:color="auto"/>
            <w:left w:val="none" w:sz="0" w:space="0" w:color="auto"/>
            <w:bottom w:val="none" w:sz="0" w:space="0" w:color="auto"/>
            <w:right w:val="none" w:sz="0" w:space="0" w:color="auto"/>
          </w:divBdr>
        </w:div>
        <w:div w:id="1250044434">
          <w:marLeft w:val="0"/>
          <w:marRight w:val="0"/>
          <w:marTop w:val="0"/>
          <w:marBottom w:val="0"/>
          <w:divBdr>
            <w:top w:val="none" w:sz="0" w:space="0" w:color="auto"/>
            <w:left w:val="none" w:sz="0" w:space="0" w:color="auto"/>
            <w:bottom w:val="none" w:sz="0" w:space="0" w:color="auto"/>
            <w:right w:val="none" w:sz="0" w:space="0" w:color="auto"/>
          </w:divBdr>
        </w:div>
        <w:div w:id="1250044435">
          <w:marLeft w:val="0"/>
          <w:marRight w:val="0"/>
          <w:marTop w:val="0"/>
          <w:marBottom w:val="0"/>
          <w:divBdr>
            <w:top w:val="none" w:sz="0" w:space="0" w:color="auto"/>
            <w:left w:val="none" w:sz="0" w:space="0" w:color="auto"/>
            <w:bottom w:val="none" w:sz="0" w:space="0" w:color="auto"/>
            <w:right w:val="none" w:sz="0" w:space="0" w:color="auto"/>
          </w:divBdr>
        </w:div>
        <w:div w:id="1250044436">
          <w:marLeft w:val="0"/>
          <w:marRight w:val="0"/>
          <w:marTop w:val="0"/>
          <w:marBottom w:val="0"/>
          <w:divBdr>
            <w:top w:val="none" w:sz="0" w:space="0" w:color="auto"/>
            <w:left w:val="none" w:sz="0" w:space="0" w:color="auto"/>
            <w:bottom w:val="none" w:sz="0" w:space="0" w:color="auto"/>
            <w:right w:val="none" w:sz="0" w:space="0" w:color="auto"/>
          </w:divBdr>
        </w:div>
        <w:div w:id="1250044437">
          <w:marLeft w:val="0"/>
          <w:marRight w:val="0"/>
          <w:marTop w:val="0"/>
          <w:marBottom w:val="0"/>
          <w:divBdr>
            <w:top w:val="none" w:sz="0" w:space="0" w:color="auto"/>
            <w:left w:val="none" w:sz="0" w:space="0" w:color="auto"/>
            <w:bottom w:val="none" w:sz="0" w:space="0" w:color="auto"/>
            <w:right w:val="none" w:sz="0" w:space="0" w:color="auto"/>
          </w:divBdr>
        </w:div>
        <w:div w:id="1250044438">
          <w:marLeft w:val="0"/>
          <w:marRight w:val="0"/>
          <w:marTop w:val="0"/>
          <w:marBottom w:val="0"/>
          <w:divBdr>
            <w:top w:val="none" w:sz="0" w:space="0" w:color="auto"/>
            <w:left w:val="none" w:sz="0" w:space="0" w:color="auto"/>
            <w:bottom w:val="none" w:sz="0" w:space="0" w:color="auto"/>
            <w:right w:val="none" w:sz="0" w:space="0" w:color="auto"/>
          </w:divBdr>
        </w:div>
        <w:div w:id="1250044439">
          <w:marLeft w:val="0"/>
          <w:marRight w:val="0"/>
          <w:marTop w:val="0"/>
          <w:marBottom w:val="0"/>
          <w:divBdr>
            <w:top w:val="none" w:sz="0" w:space="0" w:color="auto"/>
            <w:left w:val="none" w:sz="0" w:space="0" w:color="auto"/>
            <w:bottom w:val="none" w:sz="0" w:space="0" w:color="auto"/>
            <w:right w:val="none" w:sz="0" w:space="0" w:color="auto"/>
          </w:divBdr>
        </w:div>
        <w:div w:id="1250044440">
          <w:marLeft w:val="0"/>
          <w:marRight w:val="0"/>
          <w:marTop w:val="0"/>
          <w:marBottom w:val="0"/>
          <w:divBdr>
            <w:top w:val="none" w:sz="0" w:space="0" w:color="auto"/>
            <w:left w:val="none" w:sz="0" w:space="0" w:color="auto"/>
            <w:bottom w:val="none" w:sz="0" w:space="0" w:color="auto"/>
            <w:right w:val="none" w:sz="0" w:space="0" w:color="auto"/>
          </w:divBdr>
        </w:div>
        <w:div w:id="1250044441">
          <w:marLeft w:val="0"/>
          <w:marRight w:val="0"/>
          <w:marTop w:val="0"/>
          <w:marBottom w:val="0"/>
          <w:divBdr>
            <w:top w:val="none" w:sz="0" w:space="0" w:color="auto"/>
            <w:left w:val="none" w:sz="0" w:space="0" w:color="auto"/>
            <w:bottom w:val="none" w:sz="0" w:space="0" w:color="auto"/>
            <w:right w:val="none" w:sz="0" w:space="0" w:color="auto"/>
          </w:divBdr>
        </w:div>
        <w:div w:id="1250044443">
          <w:marLeft w:val="0"/>
          <w:marRight w:val="0"/>
          <w:marTop w:val="0"/>
          <w:marBottom w:val="0"/>
          <w:divBdr>
            <w:top w:val="none" w:sz="0" w:space="0" w:color="auto"/>
            <w:left w:val="none" w:sz="0" w:space="0" w:color="auto"/>
            <w:bottom w:val="none" w:sz="0" w:space="0" w:color="auto"/>
            <w:right w:val="none" w:sz="0" w:space="0" w:color="auto"/>
          </w:divBdr>
        </w:div>
        <w:div w:id="1250044444">
          <w:marLeft w:val="0"/>
          <w:marRight w:val="0"/>
          <w:marTop w:val="0"/>
          <w:marBottom w:val="0"/>
          <w:divBdr>
            <w:top w:val="none" w:sz="0" w:space="0" w:color="auto"/>
            <w:left w:val="none" w:sz="0" w:space="0" w:color="auto"/>
            <w:bottom w:val="none" w:sz="0" w:space="0" w:color="auto"/>
            <w:right w:val="none" w:sz="0" w:space="0" w:color="auto"/>
          </w:divBdr>
        </w:div>
      </w:divsChild>
    </w:div>
    <w:div w:id="1250044450">
      <w:marLeft w:val="0"/>
      <w:marRight w:val="0"/>
      <w:marTop w:val="0"/>
      <w:marBottom w:val="0"/>
      <w:divBdr>
        <w:top w:val="none" w:sz="0" w:space="0" w:color="auto"/>
        <w:left w:val="none" w:sz="0" w:space="0" w:color="auto"/>
        <w:bottom w:val="none" w:sz="0" w:space="0" w:color="auto"/>
        <w:right w:val="none" w:sz="0" w:space="0" w:color="auto"/>
      </w:divBdr>
      <w:divsChild>
        <w:div w:id="1250044446">
          <w:marLeft w:val="0"/>
          <w:marRight w:val="0"/>
          <w:marTop w:val="0"/>
          <w:marBottom w:val="0"/>
          <w:divBdr>
            <w:top w:val="none" w:sz="0" w:space="0" w:color="auto"/>
            <w:left w:val="none" w:sz="0" w:space="0" w:color="auto"/>
            <w:bottom w:val="none" w:sz="0" w:space="0" w:color="auto"/>
            <w:right w:val="none" w:sz="0" w:space="0" w:color="auto"/>
          </w:divBdr>
        </w:div>
        <w:div w:id="1250044447">
          <w:marLeft w:val="0"/>
          <w:marRight w:val="0"/>
          <w:marTop w:val="0"/>
          <w:marBottom w:val="0"/>
          <w:divBdr>
            <w:top w:val="none" w:sz="0" w:space="0" w:color="auto"/>
            <w:left w:val="none" w:sz="0" w:space="0" w:color="auto"/>
            <w:bottom w:val="none" w:sz="0" w:space="0" w:color="auto"/>
            <w:right w:val="none" w:sz="0" w:space="0" w:color="auto"/>
          </w:divBdr>
        </w:div>
        <w:div w:id="1250044448">
          <w:marLeft w:val="0"/>
          <w:marRight w:val="0"/>
          <w:marTop w:val="0"/>
          <w:marBottom w:val="0"/>
          <w:divBdr>
            <w:top w:val="none" w:sz="0" w:space="0" w:color="auto"/>
            <w:left w:val="none" w:sz="0" w:space="0" w:color="auto"/>
            <w:bottom w:val="none" w:sz="0" w:space="0" w:color="auto"/>
            <w:right w:val="none" w:sz="0" w:space="0" w:color="auto"/>
          </w:divBdr>
        </w:div>
        <w:div w:id="1250044449">
          <w:marLeft w:val="0"/>
          <w:marRight w:val="0"/>
          <w:marTop w:val="0"/>
          <w:marBottom w:val="0"/>
          <w:divBdr>
            <w:top w:val="none" w:sz="0" w:space="0" w:color="auto"/>
            <w:left w:val="none" w:sz="0" w:space="0" w:color="auto"/>
            <w:bottom w:val="none" w:sz="0" w:space="0" w:color="auto"/>
            <w:right w:val="none" w:sz="0" w:space="0" w:color="auto"/>
          </w:divBdr>
        </w:div>
        <w:div w:id="1250044451">
          <w:marLeft w:val="0"/>
          <w:marRight w:val="0"/>
          <w:marTop w:val="0"/>
          <w:marBottom w:val="0"/>
          <w:divBdr>
            <w:top w:val="none" w:sz="0" w:space="0" w:color="auto"/>
            <w:left w:val="none" w:sz="0" w:space="0" w:color="auto"/>
            <w:bottom w:val="none" w:sz="0" w:space="0" w:color="auto"/>
            <w:right w:val="none" w:sz="0" w:space="0" w:color="auto"/>
          </w:divBdr>
        </w:div>
        <w:div w:id="1250044452">
          <w:marLeft w:val="0"/>
          <w:marRight w:val="0"/>
          <w:marTop w:val="0"/>
          <w:marBottom w:val="0"/>
          <w:divBdr>
            <w:top w:val="none" w:sz="0" w:space="0" w:color="auto"/>
            <w:left w:val="none" w:sz="0" w:space="0" w:color="auto"/>
            <w:bottom w:val="none" w:sz="0" w:space="0" w:color="auto"/>
            <w:right w:val="none" w:sz="0" w:space="0" w:color="auto"/>
          </w:divBdr>
        </w:div>
        <w:div w:id="1250044453">
          <w:marLeft w:val="0"/>
          <w:marRight w:val="0"/>
          <w:marTop w:val="0"/>
          <w:marBottom w:val="0"/>
          <w:divBdr>
            <w:top w:val="none" w:sz="0" w:space="0" w:color="auto"/>
            <w:left w:val="none" w:sz="0" w:space="0" w:color="auto"/>
            <w:bottom w:val="none" w:sz="0" w:space="0" w:color="auto"/>
            <w:right w:val="none" w:sz="0" w:space="0" w:color="auto"/>
          </w:divBdr>
        </w:div>
        <w:div w:id="1250044454">
          <w:marLeft w:val="0"/>
          <w:marRight w:val="0"/>
          <w:marTop w:val="0"/>
          <w:marBottom w:val="0"/>
          <w:divBdr>
            <w:top w:val="none" w:sz="0" w:space="0" w:color="auto"/>
            <w:left w:val="none" w:sz="0" w:space="0" w:color="auto"/>
            <w:bottom w:val="none" w:sz="0" w:space="0" w:color="auto"/>
            <w:right w:val="none" w:sz="0" w:space="0" w:color="auto"/>
          </w:divBdr>
        </w:div>
        <w:div w:id="1250044455">
          <w:marLeft w:val="0"/>
          <w:marRight w:val="0"/>
          <w:marTop w:val="0"/>
          <w:marBottom w:val="0"/>
          <w:divBdr>
            <w:top w:val="none" w:sz="0" w:space="0" w:color="auto"/>
            <w:left w:val="none" w:sz="0" w:space="0" w:color="auto"/>
            <w:bottom w:val="none" w:sz="0" w:space="0" w:color="auto"/>
            <w:right w:val="none" w:sz="0" w:space="0" w:color="auto"/>
          </w:divBdr>
        </w:div>
        <w:div w:id="1250044456">
          <w:marLeft w:val="0"/>
          <w:marRight w:val="0"/>
          <w:marTop w:val="0"/>
          <w:marBottom w:val="0"/>
          <w:divBdr>
            <w:top w:val="none" w:sz="0" w:space="0" w:color="auto"/>
            <w:left w:val="none" w:sz="0" w:space="0" w:color="auto"/>
            <w:bottom w:val="none" w:sz="0" w:space="0" w:color="auto"/>
            <w:right w:val="none" w:sz="0" w:space="0" w:color="auto"/>
          </w:divBdr>
        </w:div>
      </w:divsChild>
    </w:div>
    <w:div w:id="1250044457">
      <w:marLeft w:val="0"/>
      <w:marRight w:val="0"/>
      <w:marTop w:val="0"/>
      <w:marBottom w:val="0"/>
      <w:divBdr>
        <w:top w:val="none" w:sz="0" w:space="0" w:color="auto"/>
        <w:left w:val="none" w:sz="0" w:space="0" w:color="auto"/>
        <w:bottom w:val="none" w:sz="0" w:space="0" w:color="auto"/>
        <w:right w:val="none" w:sz="0" w:space="0" w:color="auto"/>
      </w:divBdr>
      <w:divsChild>
        <w:div w:id="1250044348">
          <w:marLeft w:val="0"/>
          <w:marRight w:val="0"/>
          <w:marTop w:val="0"/>
          <w:marBottom w:val="0"/>
          <w:divBdr>
            <w:top w:val="none" w:sz="0" w:space="0" w:color="auto"/>
            <w:left w:val="none" w:sz="0" w:space="0" w:color="auto"/>
            <w:bottom w:val="none" w:sz="0" w:space="0" w:color="auto"/>
            <w:right w:val="none" w:sz="0" w:space="0" w:color="auto"/>
          </w:divBdr>
        </w:div>
        <w:div w:id="1250044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alprolix-instructions.com" TargetMode="External"/><Relationship Id="rId21" Type="http://schemas.openxmlformats.org/officeDocument/2006/relationships/image" Target="media/image13.png"/><Relationship Id="rId34" Type="http://schemas.openxmlformats.org/officeDocument/2006/relationships/theme" Target="theme/theme1.xml"/><Relationship Id="rId42"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alprolix-instructions.co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alprolix-instructions.com" TargetMode="External"/><Relationship Id="rId41"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ema.europa.eu" TargetMode="External"/><Relationship Id="rId32" Type="http://schemas.openxmlformats.org/officeDocument/2006/relationships/footer" Target="footer1.xml"/><Relationship Id="rId40"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www.alprolix-instructions.com"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www.ema.europa.eu/"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www.alprolix-instructions.com" TargetMode="External"/><Relationship Id="rId30" Type="http://schemas.openxmlformats.org/officeDocument/2006/relationships/hyperlink" Target="http://www.ema.europa.eu/docs/en_GB/document_library/Template_or_form/2013/03/WC500139752.doc" TargetMode="External"/><Relationship Id="rId43" Type="http://schemas.openxmlformats.org/officeDocument/2006/relationships/customXml" Target="../customXml/item4.xml"/><Relationship Id="rId8" Type="http://schemas.openxmlformats.org/officeDocument/2006/relationships/hyperlink" Target="http://www.ema.europa.eu/docs/en_GB/document_library/Template_or_form/2013/03/WC500139752.doc"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0042C9-0FFD-4738-AAB6-27FC3B7FA4CD}">
  <ds:schemaRefs>
    <ds:schemaRef ds:uri="http://schemas.openxmlformats.org/officeDocument/2006/bibliography"/>
  </ds:schemaRefs>
</ds:datastoreItem>
</file>

<file path=customXml/itemProps2.xml><?xml version="1.0" encoding="utf-8"?>
<ds:datastoreItem xmlns:ds="http://schemas.openxmlformats.org/officeDocument/2006/customXml" ds:itemID="{FBF4911B-1044-45E8-A98F-40D1859C69E8}"/>
</file>

<file path=customXml/itemProps3.xml><?xml version="1.0" encoding="utf-8"?>
<ds:datastoreItem xmlns:ds="http://schemas.openxmlformats.org/officeDocument/2006/customXml" ds:itemID="{08C34FDE-1474-40AB-B31A-4C2F972BAEF0}"/>
</file>

<file path=customXml/itemProps4.xml><?xml version="1.0" encoding="utf-8"?>
<ds:datastoreItem xmlns:ds="http://schemas.openxmlformats.org/officeDocument/2006/customXml" ds:itemID="{64A65BAD-878B-44FE-99BC-8CBF9E0F8CEA}"/>
</file>

<file path=docProps/app.xml><?xml version="1.0" encoding="utf-8"?>
<Properties xmlns="http://schemas.openxmlformats.org/officeDocument/2006/extended-properties" xmlns:vt="http://schemas.openxmlformats.org/officeDocument/2006/docPropsVTypes">
  <Template>Normal</Template>
  <TotalTime>0</TotalTime>
  <Pages>69</Pages>
  <Words>12377</Words>
  <Characters>70552</Characters>
  <Application>Microsoft Office Word</Application>
  <DocSecurity>0</DocSecurity>
  <Lines>587</Lines>
  <Paragraphs>165</Paragraphs>
  <ScaleCrop>false</ScaleCrop>
  <HeadingPairs>
    <vt:vector size="6" baseType="variant">
      <vt:variant>
        <vt:lpstr>Cím</vt:lpstr>
      </vt:variant>
      <vt:variant>
        <vt:i4>1</vt:i4>
      </vt:variant>
      <vt:variant>
        <vt:lpstr>Title</vt:lpstr>
      </vt:variant>
      <vt:variant>
        <vt:i4>1</vt:i4>
      </vt:variant>
      <vt:variant>
        <vt:lpstr>Titel</vt:lpstr>
      </vt:variant>
      <vt:variant>
        <vt:i4>1</vt:i4>
      </vt:variant>
    </vt:vector>
  </HeadingPairs>
  <TitlesOfParts>
    <vt:vector size="3" baseType="lpstr">
      <vt:lpstr>ALPROLIX, INN-eftrenonacog alfa</vt:lpstr>
      <vt:lpstr>ALPROLIX, INN-eftrenonacog alfa</vt:lpstr>
      <vt:lpstr>ALPROLIX, INN-eftrenonacog alfa</vt:lpstr>
    </vt:vector>
  </TitlesOfParts>
  <Company>Swedish Orphan Biovitrum</Company>
  <LinksUpToDate>false</LinksUpToDate>
  <CharactersWithSpaces>82764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ALPROLIX, INN-eftrenonacog alfa</dc:title>
  <dc:subject>EPAR</dc:subject>
  <dc:creator>CHMP</dc:creator>
  <cp:keywords>ALPROLIX, INN-eftrenonacog alfa</cp:keywords>
  <cp:lastModifiedBy>Scanlan Elizabeth</cp:lastModifiedBy>
  <cp:revision>4</cp:revision>
  <cp:lastPrinted>2014-09-30T11:04:00Z</cp:lastPrinted>
  <dcterms:created xsi:type="dcterms:W3CDTF">2020-12-21T13:08:00Z</dcterms:created>
  <dcterms:modified xsi:type="dcterms:W3CDTF">2021-05-24T20:20:00Z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CURRENT,1.4</vt:lpwstr>
  </property>
  <property fmtid="{D5CDD505-2E9C-101B-9397-08002B2CF9AE}" pid="31" name="DM_Name">
    <vt:lpwstr>Hqrdtemplatecleanen</vt:lpwstr>
  </property>
  <property fmtid="{D5CDD505-2E9C-101B-9397-08002B2CF9AE}" pid="32" name="DM_Creation_Date">
    <vt:lpwstr>15/03/2013 12:30:32</vt:lpwstr>
  </property>
  <property fmtid="{D5CDD505-2E9C-101B-9397-08002B2CF9AE}" pid="33" name="DM_Modify_Date">
    <vt:lpwstr>15/03/2013 12:30:32</vt:lpwstr>
  </property>
  <property fmtid="{D5CDD505-2E9C-101B-9397-08002B2CF9AE}" pid="34" name="DM_Creator_Name">
    <vt:lpwstr>Espinasse Claire</vt:lpwstr>
  </property>
  <property fmtid="{D5CDD505-2E9C-101B-9397-08002B2CF9AE}" pid="35" name="DM_Modifier_Name">
    <vt:lpwstr>Espinasse Claire</vt:lpwstr>
  </property>
  <property fmtid="{D5CDD505-2E9C-101B-9397-08002B2CF9AE}" pid="36" name="DM_Type">
    <vt:lpwstr>emea_document</vt:lpwstr>
  </property>
  <property fmtid="{D5CDD505-2E9C-101B-9397-08002B2CF9AE}" pid="37" name="DM_DocRefId">
    <vt:lpwstr>EMA/149220/2013</vt:lpwstr>
  </property>
  <property fmtid="{D5CDD505-2E9C-101B-9397-08002B2CF9AE}" pid="38" name="DM_Category">
    <vt:lpwstr>Product Information</vt:lpwstr>
  </property>
  <property fmtid="{D5CDD505-2E9C-101B-9397-08002B2CF9AE}" pid="39" name="DM_Path">
    <vt:lpwstr>/13. Projects/02-004-00014-PIM Implementation/Implementation/DES 2.8 Construction/QRD Template</vt:lpwstr>
  </property>
  <property fmtid="{D5CDD505-2E9C-101B-9397-08002B2CF9AE}" pid="40" name="DM_emea_doc_ref_id">
    <vt:lpwstr>EMA/149220/2013</vt:lpwstr>
  </property>
  <property fmtid="{D5CDD505-2E9C-101B-9397-08002B2CF9AE}" pid="41" name="DM_Modifer_Name">
    <vt:lpwstr>Espinasse Claire</vt:lpwstr>
  </property>
  <property fmtid="{D5CDD505-2E9C-101B-9397-08002B2CF9AE}" pid="42" name="DM_Modified_Date">
    <vt:lpwstr>15/03/2013 12:30:32</vt:lpwstr>
  </property>
  <property fmtid="{D5CDD505-2E9C-101B-9397-08002B2CF9AE}" pid="43" name="MAIL_MSG_ID1">
    <vt:lpwstr>0FAA2wh0bY8CfKvknszW8uZ4V1Q3geIvJ6C6tP/j8ZtvMKfyuslEIeBDw16aZ+jHDSK7dEwqqCzEBPXlhBilbP41DThJWSkIfOUxxBNwH2Lkhr4gp3GUV0hGVASB0AqLSRyhJXSAkXw+WF3lhBilbP41DThJWSkIfOUxxBNwH2Lkhr4gp3GUV0hGVJNS9XnXOKCMoWeOV/szES7IlHWJPdhG6YGe7VO4YMblCZootHoEX8rb2gYlTCB5b</vt:lpwstr>
  </property>
  <property fmtid="{D5CDD505-2E9C-101B-9397-08002B2CF9AE}" pid="44" name="MAIL_MSG_ID2">
    <vt:lpwstr>ZvHw2tzsAP1ZGBtYTX4AOkGa/VbQfzElLFZeX+2tw0StitHscuuKM4bsJ3CCoaJSShDvzS/5fiWxExnQmX3BtljGX+xh2ffjmVNTRh5w8j2+DBvFLLGrXE=</vt:lpwstr>
  </property>
  <property fmtid="{D5CDD505-2E9C-101B-9397-08002B2CF9AE}" pid="45" name="RESPONSE_SENDER_NAME">
    <vt:lpwstr>sAAAE34RQVAK31kI/EdQVDgDP4EKdfBk+pwnW6FevitlzTc=</vt:lpwstr>
  </property>
  <property fmtid="{D5CDD505-2E9C-101B-9397-08002B2CF9AE}" pid="46" name="EMAIL_OWNER_ADDRESS">
    <vt:lpwstr>4AAA9DNYQidmug4PYs8O3QyJIci3QUwIbPnLzI65+1rIi3ZszWJEIghcqQ==</vt:lpwstr>
  </property>
  <property fmtid="{D5CDD505-2E9C-101B-9397-08002B2CF9AE}" pid="47" name="DocIDContent">
    <vt:lpwstr>1|_|2|</vt:lpwstr>
  </property>
  <property fmtid="{D5CDD505-2E9C-101B-9397-08002B2CF9AE}" pid="48" name="DocID">
    <vt:lpwstr>201325_2</vt:lpwstr>
  </property>
  <property fmtid="{D5CDD505-2E9C-101B-9397-08002B2CF9AE}" pid="49" name="MSIP_Label_4929bff8-5b33-42aa-95d2-28f72e792cb0_Enabled">
    <vt:lpwstr>True</vt:lpwstr>
  </property>
  <property fmtid="{D5CDD505-2E9C-101B-9397-08002B2CF9AE}" pid="50" name="MSIP_Label_4929bff8-5b33-42aa-95d2-28f72e792cb0_SiteId">
    <vt:lpwstr>f35a6974-607f-47d4-82d7-ff31d7dc53a5</vt:lpwstr>
  </property>
  <property fmtid="{D5CDD505-2E9C-101B-9397-08002B2CF9AE}" pid="51" name="MSIP_Label_4929bff8-5b33-42aa-95d2-28f72e792cb0_Owner">
    <vt:lpwstr>EGGENRI1@novartis.net</vt:lpwstr>
  </property>
  <property fmtid="{D5CDD505-2E9C-101B-9397-08002B2CF9AE}" pid="52" name="MSIP_Label_4929bff8-5b33-42aa-95d2-28f72e792cb0_SetDate">
    <vt:lpwstr>2019-03-13T20:01:55.8613433Z</vt:lpwstr>
  </property>
  <property fmtid="{D5CDD505-2E9C-101B-9397-08002B2CF9AE}" pid="53" name="MSIP_Label_4929bff8-5b33-42aa-95d2-28f72e792cb0_Name">
    <vt:lpwstr>Business Use Only</vt:lpwstr>
  </property>
  <property fmtid="{D5CDD505-2E9C-101B-9397-08002B2CF9AE}" pid="54" name="MSIP_Label_4929bff8-5b33-42aa-95d2-28f72e792cb0_Application">
    <vt:lpwstr>Microsoft Azure Information Protection</vt:lpwstr>
  </property>
  <property fmtid="{D5CDD505-2E9C-101B-9397-08002B2CF9AE}" pid="55" name="MSIP_Label_4929bff8-5b33-42aa-95d2-28f72e792cb0_Extended_MSFT_Method">
    <vt:lpwstr>Automatic</vt:lpwstr>
  </property>
  <property fmtid="{D5CDD505-2E9C-101B-9397-08002B2CF9AE}" pid="56" name="Confidentiality">
    <vt:lpwstr>Business Use Only</vt:lpwstr>
  </property>
  <property fmtid="{D5CDD505-2E9C-101B-9397-08002B2CF9AE}" pid="57" name="display_urn:schemas-microsoft-com:office:office#Editor">
    <vt:lpwstr>[Admin] Jessica Roa</vt:lpwstr>
  </property>
  <property fmtid="{D5CDD505-2E9C-101B-9397-08002B2CF9AE}" pid="58" name="display_urn:schemas-microsoft-com:office:office#Author">
    <vt:lpwstr>[Admin] Jessica Roa</vt:lpwstr>
  </property>
  <property fmtid="{D5CDD505-2E9C-101B-9397-08002B2CF9AE}" pid="59" name="Approval Date">
    <vt:lpwstr>2019-02-21T00:00:00Z</vt:lpwstr>
  </property>
  <property fmtid="{D5CDD505-2E9C-101B-9397-08002B2CF9AE}" pid="60" name="Dosage Form">
    <vt:lpwstr>;#Powder and solvent for solution for injection;#</vt:lpwstr>
  </property>
  <property fmtid="{D5CDD505-2E9C-101B-9397-08002B2CF9AE}" pid="61" name="Approved (MM/YYYY)">
    <vt:lpwstr/>
  </property>
  <property fmtid="{D5CDD505-2E9C-101B-9397-08002B2CF9AE}" pid="62" name="Product">
    <vt:lpwstr>Alprolix</vt:lpwstr>
  </property>
  <property fmtid="{D5CDD505-2E9C-101B-9397-08002B2CF9AE}" pid="63" name="Document Type">
    <vt:lpwstr>PI (combined) - EU</vt:lpwstr>
  </property>
  <property fmtid="{D5CDD505-2E9C-101B-9397-08002B2CF9AE}" pid="64" name="Market">
    <vt:lpwstr>;#Hungary;#</vt:lpwstr>
  </property>
  <property fmtid="{D5CDD505-2E9C-101B-9397-08002B2CF9AE}" pid="65" name="Strength">
    <vt:lpwstr>250 IU, 500 IU, 1000 IU, 2000 IU, 3000 IU</vt:lpwstr>
  </property>
  <property fmtid="{D5CDD505-2E9C-101B-9397-08002B2CF9AE}" pid="66" name="Comments">
    <vt:lpwstr/>
  </property>
  <property fmtid="{D5CDD505-2E9C-101B-9397-08002B2CF9AE}" pid="67" name="MSIP_Label_0eea11ca-d417-4147-80ed-01a58412c458_Enabled">
    <vt:lpwstr>true</vt:lpwstr>
  </property>
  <property fmtid="{D5CDD505-2E9C-101B-9397-08002B2CF9AE}" pid="68" name="MSIP_Label_0eea11ca-d417-4147-80ed-01a58412c458_SetDate">
    <vt:lpwstr>2021-05-24T20:20:37Z</vt:lpwstr>
  </property>
  <property fmtid="{D5CDD505-2E9C-101B-9397-08002B2CF9AE}" pid="69" name="MSIP_Label_0eea11ca-d417-4147-80ed-01a58412c458_Method">
    <vt:lpwstr>Standard</vt:lpwstr>
  </property>
  <property fmtid="{D5CDD505-2E9C-101B-9397-08002B2CF9AE}" pid="70" name="MSIP_Label_0eea11ca-d417-4147-80ed-01a58412c458_Name">
    <vt:lpwstr>0eea11ca-d417-4147-80ed-01a58412c458</vt:lpwstr>
  </property>
  <property fmtid="{D5CDD505-2E9C-101B-9397-08002B2CF9AE}" pid="71" name="MSIP_Label_0eea11ca-d417-4147-80ed-01a58412c458_SiteId">
    <vt:lpwstr>bc9dc15c-61bc-4f03-b60b-e5b6d8922839</vt:lpwstr>
  </property>
  <property fmtid="{D5CDD505-2E9C-101B-9397-08002B2CF9AE}" pid="72" name="MSIP_Label_0eea11ca-d417-4147-80ed-01a58412c458_ActionId">
    <vt:lpwstr>26454504-6241-455f-a014-dacee871f7c0</vt:lpwstr>
  </property>
  <property fmtid="{D5CDD505-2E9C-101B-9397-08002B2CF9AE}" pid="73" name="MSIP_Label_0eea11ca-d417-4147-80ed-01a58412c458_ContentBits">
    <vt:lpwstr>2</vt:lpwstr>
  </property>
  <property fmtid="{D5CDD505-2E9C-101B-9397-08002B2CF9AE}" pid="74" name="ContentTypeId">
    <vt:lpwstr>0x010100726F91DD1AE57B44B1BCEB7F1056F5D0</vt:lpwstr>
  </property>
</Properties>
</file>