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7AA21" w14:textId="77777777" w:rsidR="005B72A3" w:rsidRPr="00312F89" w:rsidRDefault="005B72A3" w:rsidP="005B72A3">
      <w:pPr>
        <w:rPr>
          <w:noProof/>
        </w:rPr>
      </w:pPr>
      <w:bookmarkStart w:id="0" w:name="_GoBack"/>
      <w:bookmarkEnd w:id="0"/>
    </w:p>
    <w:p w14:paraId="16D7AA22" w14:textId="77777777" w:rsidR="005B72A3" w:rsidRPr="00312F89" w:rsidRDefault="005B72A3" w:rsidP="005B72A3">
      <w:pPr>
        <w:rPr>
          <w:noProof/>
        </w:rPr>
      </w:pPr>
    </w:p>
    <w:p w14:paraId="16D7AA23" w14:textId="77777777" w:rsidR="005B72A3" w:rsidRPr="00312F89" w:rsidRDefault="005B72A3" w:rsidP="005B72A3">
      <w:pPr>
        <w:rPr>
          <w:noProof/>
        </w:rPr>
      </w:pPr>
    </w:p>
    <w:p w14:paraId="16D7AA24" w14:textId="77777777" w:rsidR="005B72A3" w:rsidRPr="00312F89" w:rsidRDefault="005B72A3" w:rsidP="005B72A3">
      <w:pPr>
        <w:rPr>
          <w:noProof/>
        </w:rPr>
      </w:pPr>
    </w:p>
    <w:p w14:paraId="16D7AA25" w14:textId="77777777" w:rsidR="005B72A3" w:rsidRPr="00312F89" w:rsidRDefault="005B72A3" w:rsidP="005B72A3">
      <w:pPr>
        <w:rPr>
          <w:noProof/>
          <w:szCs w:val="22"/>
        </w:rPr>
      </w:pPr>
    </w:p>
    <w:p w14:paraId="16D7AA26" w14:textId="77777777" w:rsidR="005B72A3" w:rsidRPr="00312F89" w:rsidRDefault="005B72A3" w:rsidP="005B72A3">
      <w:pPr>
        <w:rPr>
          <w:noProof/>
          <w:szCs w:val="22"/>
        </w:rPr>
      </w:pPr>
    </w:p>
    <w:p w14:paraId="16D7AA27" w14:textId="77777777" w:rsidR="005B72A3" w:rsidRPr="00312F89" w:rsidRDefault="005B72A3" w:rsidP="005B72A3">
      <w:pPr>
        <w:rPr>
          <w:noProof/>
          <w:szCs w:val="22"/>
        </w:rPr>
      </w:pPr>
    </w:p>
    <w:p w14:paraId="16D7AA28" w14:textId="77777777" w:rsidR="005B72A3" w:rsidRPr="00312F89" w:rsidRDefault="005B72A3" w:rsidP="005B72A3">
      <w:pPr>
        <w:rPr>
          <w:noProof/>
          <w:szCs w:val="22"/>
        </w:rPr>
      </w:pPr>
    </w:p>
    <w:p w14:paraId="16D7AA29" w14:textId="77777777" w:rsidR="005B72A3" w:rsidRPr="00312F89" w:rsidRDefault="005B72A3" w:rsidP="005B72A3">
      <w:pPr>
        <w:rPr>
          <w:noProof/>
          <w:szCs w:val="22"/>
        </w:rPr>
      </w:pPr>
    </w:p>
    <w:p w14:paraId="16D7AA2A" w14:textId="77777777" w:rsidR="005B72A3" w:rsidRPr="00312F89" w:rsidRDefault="005B72A3" w:rsidP="005B72A3">
      <w:pPr>
        <w:rPr>
          <w:noProof/>
          <w:szCs w:val="22"/>
        </w:rPr>
      </w:pPr>
    </w:p>
    <w:p w14:paraId="16D7AA2B" w14:textId="77777777" w:rsidR="005B72A3" w:rsidRPr="00312F89" w:rsidRDefault="005B72A3" w:rsidP="005B72A3">
      <w:pPr>
        <w:rPr>
          <w:noProof/>
          <w:szCs w:val="22"/>
        </w:rPr>
      </w:pPr>
    </w:p>
    <w:p w14:paraId="16D7AA2C" w14:textId="77777777" w:rsidR="005B72A3" w:rsidRPr="00312F89" w:rsidRDefault="005B72A3" w:rsidP="005B72A3">
      <w:pPr>
        <w:rPr>
          <w:noProof/>
          <w:szCs w:val="22"/>
        </w:rPr>
      </w:pPr>
    </w:p>
    <w:p w14:paraId="16D7AA2D" w14:textId="77777777" w:rsidR="005B72A3" w:rsidRPr="00312F89" w:rsidRDefault="005B72A3" w:rsidP="005B72A3">
      <w:pPr>
        <w:rPr>
          <w:noProof/>
          <w:szCs w:val="22"/>
        </w:rPr>
      </w:pPr>
    </w:p>
    <w:p w14:paraId="16D7AA2E" w14:textId="77777777" w:rsidR="005B72A3" w:rsidRPr="00312F89" w:rsidRDefault="005B72A3" w:rsidP="005B72A3">
      <w:pPr>
        <w:rPr>
          <w:noProof/>
          <w:szCs w:val="22"/>
        </w:rPr>
      </w:pPr>
    </w:p>
    <w:p w14:paraId="16D7AA2F" w14:textId="77777777" w:rsidR="005B72A3" w:rsidRPr="00312F89" w:rsidRDefault="005B72A3" w:rsidP="005B72A3">
      <w:pPr>
        <w:rPr>
          <w:noProof/>
          <w:szCs w:val="22"/>
        </w:rPr>
      </w:pPr>
    </w:p>
    <w:p w14:paraId="16D7AA30" w14:textId="77777777" w:rsidR="005B72A3" w:rsidRPr="00312F89" w:rsidRDefault="005B72A3" w:rsidP="005B72A3">
      <w:pPr>
        <w:rPr>
          <w:noProof/>
          <w:szCs w:val="22"/>
        </w:rPr>
      </w:pPr>
    </w:p>
    <w:p w14:paraId="16D7AA31" w14:textId="77777777" w:rsidR="005B72A3" w:rsidRPr="00312F89" w:rsidRDefault="005B72A3" w:rsidP="005B72A3">
      <w:pPr>
        <w:rPr>
          <w:noProof/>
          <w:szCs w:val="22"/>
        </w:rPr>
      </w:pPr>
    </w:p>
    <w:p w14:paraId="16D7AA32" w14:textId="77777777" w:rsidR="005B72A3" w:rsidRPr="00312F89" w:rsidRDefault="005B72A3" w:rsidP="005B72A3"/>
    <w:p w14:paraId="16D7AA33" w14:textId="77777777" w:rsidR="005B72A3" w:rsidRPr="00312F89" w:rsidRDefault="005B72A3" w:rsidP="005B72A3"/>
    <w:p w14:paraId="16D7AA34" w14:textId="77777777" w:rsidR="005B72A3" w:rsidRPr="00312F89" w:rsidRDefault="005B72A3" w:rsidP="005B72A3"/>
    <w:p w14:paraId="16D7AA35" w14:textId="77777777" w:rsidR="005B72A3" w:rsidRPr="00312F89" w:rsidRDefault="005B72A3" w:rsidP="005B72A3"/>
    <w:p w14:paraId="16D7AA36" w14:textId="77777777" w:rsidR="005B72A3" w:rsidRPr="00312F89" w:rsidRDefault="005B72A3" w:rsidP="005B72A3"/>
    <w:p w14:paraId="16D7AA37" w14:textId="77777777" w:rsidR="005B72A3" w:rsidRPr="00312F89" w:rsidRDefault="00624432" w:rsidP="005B72A3">
      <w:pPr>
        <w:spacing w:line="240" w:lineRule="auto"/>
        <w:jc w:val="center"/>
        <w:outlineLvl w:val="0"/>
      </w:pPr>
      <w:r w:rsidRPr="00312F89">
        <w:rPr>
          <w:b/>
        </w:rPr>
        <w:t>ПРИЛОЖЕНИЕ I</w:t>
      </w:r>
    </w:p>
    <w:p w14:paraId="16D7AA38" w14:textId="77777777" w:rsidR="005B72A3" w:rsidRPr="00312F89" w:rsidRDefault="005B72A3" w:rsidP="005B72A3"/>
    <w:p w14:paraId="16D7AA39" w14:textId="77777777" w:rsidR="005B72A3" w:rsidRPr="00312F89" w:rsidRDefault="00624432" w:rsidP="005B72A3">
      <w:pPr>
        <w:spacing w:line="240" w:lineRule="auto"/>
        <w:jc w:val="center"/>
        <w:outlineLvl w:val="0"/>
      </w:pPr>
      <w:r w:rsidRPr="00312F89">
        <w:rPr>
          <w:b/>
        </w:rPr>
        <w:t>КРАТКА ХАРАКТЕРИСТИКА НА ПРОДУКТА</w:t>
      </w:r>
    </w:p>
    <w:p w14:paraId="16D7AA3A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br w:type="page"/>
      </w:r>
      <w:r w:rsidRPr="00312F89">
        <w:rPr>
          <w:b/>
        </w:rPr>
        <w:lastRenderedPageBreak/>
        <w:t>ИМЕ НА ЛЕКАРСТВЕНИЯ ПРОДУКТ</w:t>
      </w:r>
    </w:p>
    <w:p w14:paraId="16D7AA3B" w14:textId="77777777" w:rsidR="005B72A3" w:rsidRPr="00312F89" w:rsidRDefault="005B72A3" w:rsidP="005B72A3">
      <w:pPr>
        <w:spacing w:line="240" w:lineRule="auto"/>
        <w:rPr>
          <w:iCs/>
          <w:noProof/>
          <w:szCs w:val="22"/>
        </w:rPr>
      </w:pPr>
    </w:p>
    <w:p w14:paraId="16D7AA3C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>Cuprior 150 mg филмирани таблетки</w:t>
      </w:r>
    </w:p>
    <w:p w14:paraId="16D7AA3D" w14:textId="77777777" w:rsidR="005B72A3" w:rsidRPr="00312F89" w:rsidRDefault="005B72A3" w:rsidP="005B72A3">
      <w:pPr>
        <w:spacing w:line="240" w:lineRule="auto"/>
        <w:rPr>
          <w:iCs/>
          <w:noProof/>
          <w:szCs w:val="22"/>
        </w:rPr>
      </w:pPr>
    </w:p>
    <w:p w14:paraId="16D7AA3E" w14:textId="77777777" w:rsidR="005B72A3" w:rsidRPr="00312F89" w:rsidRDefault="005B72A3" w:rsidP="005B72A3">
      <w:pPr>
        <w:spacing w:line="240" w:lineRule="auto"/>
        <w:rPr>
          <w:iCs/>
          <w:noProof/>
          <w:szCs w:val="22"/>
        </w:rPr>
      </w:pPr>
    </w:p>
    <w:p w14:paraId="16D7AA3F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КАЧЕСТВЕН И КОЛИЧЕСТВЕН СЪСТАВ</w:t>
      </w:r>
    </w:p>
    <w:p w14:paraId="16D7AA40" w14:textId="77777777" w:rsidR="005B72A3" w:rsidRPr="00312F89" w:rsidRDefault="005B72A3" w:rsidP="005B72A3">
      <w:pPr>
        <w:spacing w:line="240" w:lineRule="auto"/>
        <w:rPr>
          <w:iCs/>
          <w:noProof/>
          <w:szCs w:val="22"/>
        </w:rPr>
      </w:pPr>
    </w:p>
    <w:p w14:paraId="16D7AA41" w14:textId="77777777" w:rsidR="005B72A3" w:rsidRPr="00312F89" w:rsidRDefault="00624432" w:rsidP="005B72A3">
      <w:pPr>
        <w:rPr>
          <w:szCs w:val="22"/>
        </w:rPr>
      </w:pPr>
      <w:r w:rsidRPr="00312F89">
        <w:t xml:space="preserve">Всяка филмирана таблетка съдържа триентинов тетрахидрохлорид, еквивалентен на </w:t>
      </w:r>
      <w:r w:rsidRPr="00312F89">
        <w:t>150 mg триентин (</w:t>
      </w:r>
      <w:r w:rsidRPr="00312F89">
        <w:rPr>
          <w:szCs w:val="22"/>
        </w:rPr>
        <w:t>trientine)</w:t>
      </w:r>
      <w:r w:rsidRPr="00312F89">
        <w:t>.</w:t>
      </w:r>
    </w:p>
    <w:p w14:paraId="16D7AA42" w14:textId="77777777" w:rsidR="005B72A3" w:rsidRPr="00312F89" w:rsidRDefault="005B72A3" w:rsidP="005B72A3">
      <w:pPr>
        <w:rPr>
          <w:szCs w:val="22"/>
        </w:rPr>
      </w:pPr>
    </w:p>
    <w:p w14:paraId="16D7AA43" w14:textId="77777777" w:rsidR="005B72A3" w:rsidRPr="00312F89" w:rsidRDefault="00624432" w:rsidP="005B72A3">
      <w:pPr>
        <w:outlineLvl w:val="0"/>
        <w:rPr>
          <w:noProof/>
          <w:szCs w:val="22"/>
        </w:rPr>
      </w:pPr>
      <w:r w:rsidRPr="00312F89">
        <w:t>За пълния списък на помощните вещества вижте точка 6.1.</w:t>
      </w:r>
    </w:p>
    <w:p w14:paraId="16D7AA44" w14:textId="77777777" w:rsidR="005B72A3" w:rsidRPr="00312F89" w:rsidRDefault="005B72A3" w:rsidP="005B72A3">
      <w:pPr>
        <w:rPr>
          <w:noProof/>
          <w:szCs w:val="22"/>
        </w:rPr>
      </w:pPr>
    </w:p>
    <w:p w14:paraId="16D7AA4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46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ЛЕКАРСТВЕНА ФОРМА</w:t>
      </w:r>
    </w:p>
    <w:p w14:paraId="16D7AA47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48" w14:textId="6C2DE871" w:rsidR="005B72A3" w:rsidRPr="00312F89" w:rsidRDefault="00624432" w:rsidP="005B72A3">
      <w:pPr>
        <w:rPr>
          <w:noProof/>
          <w:szCs w:val="22"/>
        </w:rPr>
      </w:pPr>
      <w:r w:rsidRPr="00312F89">
        <w:t>Филмирана т</w:t>
      </w:r>
      <w:r w:rsidR="00B63F97" w:rsidRPr="00312F89">
        <w:t>аблетка</w:t>
      </w:r>
      <w:r w:rsidRPr="00312F89">
        <w:t xml:space="preserve"> (таблетка)</w:t>
      </w:r>
      <w:r w:rsidR="00B63F97" w:rsidRPr="00312F89">
        <w:t>.</w:t>
      </w:r>
    </w:p>
    <w:p w14:paraId="16D7AA49" w14:textId="77777777" w:rsidR="005B72A3" w:rsidRPr="00312F89" w:rsidRDefault="005B72A3" w:rsidP="005B72A3">
      <w:pPr>
        <w:rPr>
          <w:noProof/>
          <w:szCs w:val="22"/>
        </w:rPr>
      </w:pPr>
    </w:p>
    <w:p w14:paraId="16D7AA4A" w14:textId="499C0D33" w:rsidR="005B72A3" w:rsidRPr="00312F89" w:rsidRDefault="00624432" w:rsidP="005B72A3">
      <w:pPr>
        <w:rPr>
          <w:noProof/>
          <w:szCs w:val="22"/>
        </w:rPr>
      </w:pPr>
      <w:r w:rsidRPr="00312F89">
        <w:t>Жълти</w:t>
      </w:r>
      <w:r w:rsidR="00B63F97" w:rsidRPr="00312F89">
        <w:t xml:space="preserve">, продълговати </w:t>
      </w:r>
      <w:r w:rsidRPr="00312F89">
        <w:t xml:space="preserve">филмирани </w:t>
      </w:r>
      <w:r w:rsidR="00B63F97" w:rsidRPr="00312F89">
        <w:t xml:space="preserve">таблетки 16 mm х 8 mm, с делителна черта от </w:t>
      </w:r>
      <w:r w:rsidRPr="00312F89">
        <w:t xml:space="preserve">всяка </w:t>
      </w:r>
      <w:r w:rsidR="00B63F97" w:rsidRPr="00312F89">
        <w:t>страна.</w:t>
      </w:r>
    </w:p>
    <w:p w14:paraId="16D7AA4B" w14:textId="77777777" w:rsidR="005B72A3" w:rsidRPr="00312F89" w:rsidRDefault="005B72A3" w:rsidP="005B72A3">
      <w:pPr>
        <w:rPr>
          <w:noProof/>
          <w:szCs w:val="22"/>
        </w:rPr>
      </w:pPr>
    </w:p>
    <w:p w14:paraId="16D7AA4C" w14:textId="77777777" w:rsidR="005B72A3" w:rsidRPr="00312F89" w:rsidRDefault="00624432" w:rsidP="005B72A3">
      <w:pPr>
        <w:rPr>
          <w:noProof/>
          <w:szCs w:val="22"/>
        </w:rPr>
      </w:pPr>
      <w:r w:rsidRPr="00312F89">
        <w:t>Таблетката може да бъде разд</w:t>
      </w:r>
      <w:r w:rsidRPr="00312F89">
        <w:t>елена на равни дози.</w:t>
      </w:r>
    </w:p>
    <w:p w14:paraId="16D7AA4D" w14:textId="77777777" w:rsidR="005B72A3" w:rsidRPr="00312F89" w:rsidRDefault="005B72A3" w:rsidP="005B72A3">
      <w:pPr>
        <w:rPr>
          <w:noProof/>
          <w:szCs w:val="22"/>
        </w:rPr>
      </w:pPr>
    </w:p>
    <w:p w14:paraId="16D7AA4E" w14:textId="77777777" w:rsidR="005B72A3" w:rsidRPr="00312F89" w:rsidRDefault="005B72A3" w:rsidP="005B72A3">
      <w:pPr>
        <w:rPr>
          <w:noProof/>
          <w:szCs w:val="22"/>
        </w:rPr>
      </w:pPr>
    </w:p>
    <w:p w14:paraId="16D7AA4F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КЛИНИЧНИ ДАННИ</w:t>
      </w:r>
    </w:p>
    <w:p w14:paraId="16D7AA50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51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noProof/>
          <w:szCs w:val="22"/>
        </w:rPr>
      </w:pPr>
      <w:r w:rsidRPr="00312F89">
        <w:rPr>
          <w:b/>
          <w:noProof/>
        </w:rPr>
        <w:t>Терапевтични показания</w:t>
      </w:r>
    </w:p>
    <w:p w14:paraId="16D7AA52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53" w14:textId="417D0D03" w:rsidR="005B72A3" w:rsidRPr="00312F89" w:rsidRDefault="00624432" w:rsidP="005B72A3">
      <w:pPr>
        <w:rPr>
          <w:i/>
          <w:color w:val="000000"/>
          <w:szCs w:val="22"/>
        </w:rPr>
      </w:pPr>
      <w:r w:rsidRPr="00312F89">
        <w:t xml:space="preserve">Cuprior е показан за лечение на болестта на </w:t>
      </w:r>
      <w:r w:rsidR="0006785B" w:rsidRPr="00312F89">
        <w:t xml:space="preserve">Wilson </w:t>
      </w:r>
      <w:r w:rsidRPr="00312F89">
        <w:t>при възрастни, юноши и деца на възраст ≥ 5 години с непоносимост към терапията с D-пенициламин.</w:t>
      </w:r>
    </w:p>
    <w:p w14:paraId="16D7AA5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55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Дозировка и начин на приложение</w:t>
      </w:r>
    </w:p>
    <w:p w14:paraId="16D7AA56" w14:textId="77777777" w:rsidR="005B72A3" w:rsidRPr="00312F89" w:rsidRDefault="005B72A3" w:rsidP="005B72A3">
      <w:pPr>
        <w:spacing w:line="240" w:lineRule="auto"/>
        <w:rPr>
          <w:szCs w:val="22"/>
        </w:rPr>
      </w:pPr>
    </w:p>
    <w:p w14:paraId="16D7AA57" w14:textId="7568F524" w:rsidR="005B72A3" w:rsidRPr="00312F89" w:rsidRDefault="00624432" w:rsidP="005B72A3">
      <w:pPr>
        <w:rPr>
          <w:szCs w:val="22"/>
        </w:rPr>
      </w:pPr>
      <w:r w:rsidRPr="00312F89">
        <w:t xml:space="preserve">Лечението трябва да бъде започнато от лекар специалист с опит в лечението на болестта на </w:t>
      </w:r>
      <w:r w:rsidR="0006785B" w:rsidRPr="00312F89">
        <w:t>Wilson</w:t>
      </w:r>
      <w:r w:rsidRPr="00312F89">
        <w:t xml:space="preserve">. </w:t>
      </w:r>
    </w:p>
    <w:p w14:paraId="16D7AA58" w14:textId="77777777" w:rsidR="005B72A3" w:rsidRPr="00312F89" w:rsidRDefault="005B72A3" w:rsidP="005B72A3">
      <w:pPr>
        <w:rPr>
          <w:szCs w:val="22"/>
        </w:rPr>
      </w:pPr>
    </w:p>
    <w:p w14:paraId="16D7AA59" w14:textId="77777777" w:rsidR="005B72A3" w:rsidRPr="00312F89" w:rsidRDefault="00624432" w:rsidP="005B72A3">
      <w:pPr>
        <w:rPr>
          <w:szCs w:val="22"/>
        </w:rPr>
      </w:pPr>
      <w:r w:rsidRPr="00312F89">
        <w:rPr>
          <w:u w:val="single"/>
        </w:rPr>
        <w:t>Дозировка</w:t>
      </w:r>
    </w:p>
    <w:p w14:paraId="16D7AA5A" w14:textId="77777777" w:rsidR="005B72A3" w:rsidRPr="00312F89" w:rsidRDefault="00624432" w:rsidP="005B72A3">
      <w:pPr>
        <w:rPr>
          <w:rFonts w:eastAsia="SimSun"/>
          <w:szCs w:val="22"/>
        </w:rPr>
      </w:pPr>
      <w:r w:rsidRPr="00312F89">
        <w:t>Началната доза обикновено съответства на най-ниската в дозовия диапазон, като впоследствие дозата трябва да се адаптира в зависимост от клиничния о</w:t>
      </w:r>
      <w:r w:rsidRPr="00312F89">
        <w:t>тговор на пациента (вж. точка 4.4).</w:t>
      </w:r>
    </w:p>
    <w:p w14:paraId="16D7AA5B" w14:textId="77777777" w:rsidR="005B72A3" w:rsidRPr="00312F89" w:rsidRDefault="005B72A3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</w:p>
    <w:p w14:paraId="16D7AA5C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</w:rPr>
      </w:pPr>
      <w:r w:rsidRPr="00312F89">
        <w:t>Препоръчителната доза е между 450 mg и 975 mg (3 до 6</w:t>
      </w:r>
      <w:r w:rsidRPr="00312F89">
        <w:rPr>
          <w:b/>
        </w:rPr>
        <w:t xml:space="preserve">½ </w:t>
      </w:r>
      <w:r w:rsidRPr="00312F89">
        <w:t>филмирани</w:t>
      </w:r>
      <w:r w:rsidRPr="00312F89">
        <w:rPr>
          <w:b/>
        </w:rPr>
        <w:t xml:space="preserve"> </w:t>
      </w:r>
      <w:r w:rsidRPr="00312F89">
        <w:t xml:space="preserve">таблетки) на ден, разделена на 2 до 4  приема. </w:t>
      </w:r>
    </w:p>
    <w:p w14:paraId="16D7AA5D" w14:textId="77777777" w:rsidR="005B72A3" w:rsidRPr="00312F89" w:rsidRDefault="005B72A3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Cs/>
          <w:szCs w:val="22"/>
          <w:u w:val="single"/>
        </w:rPr>
      </w:pPr>
    </w:p>
    <w:p w14:paraId="16D7AA5E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  <w:u w:val="single"/>
        </w:rPr>
      </w:pPr>
      <w:r w:rsidRPr="00312F89">
        <w:rPr>
          <w:i/>
          <w:u w:val="single"/>
        </w:rPr>
        <w:t>Специални популации</w:t>
      </w:r>
    </w:p>
    <w:p w14:paraId="16D7AA5F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312F89">
        <w:rPr>
          <w:i/>
        </w:rPr>
        <w:t xml:space="preserve">Старческа възраст </w:t>
      </w:r>
    </w:p>
    <w:p w14:paraId="16D7AA60" w14:textId="77777777" w:rsidR="005B72A3" w:rsidRPr="00312F89" w:rsidRDefault="00624432" w:rsidP="005B72A3">
      <w:pPr>
        <w:rPr>
          <w:rFonts w:eastAsia="TimesNewRoman"/>
          <w:szCs w:val="22"/>
        </w:rPr>
      </w:pPr>
      <w:r w:rsidRPr="00312F89">
        <w:t>Не е необходимо коригиране на дозата при пациенти в старческа възр</w:t>
      </w:r>
      <w:r w:rsidRPr="00312F89">
        <w:t>аст.</w:t>
      </w:r>
    </w:p>
    <w:p w14:paraId="16D7AA61" w14:textId="77777777" w:rsidR="005B72A3" w:rsidRPr="00312F89" w:rsidRDefault="005B72A3" w:rsidP="005B72A3">
      <w:pPr>
        <w:rPr>
          <w:rFonts w:eastAsia="TimesNewRoman"/>
          <w:szCs w:val="22"/>
        </w:rPr>
      </w:pPr>
    </w:p>
    <w:p w14:paraId="16D7AA62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i/>
          <w:iCs/>
          <w:szCs w:val="22"/>
        </w:rPr>
      </w:pPr>
      <w:r w:rsidRPr="00312F89">
        <w:rPr>
          <w:i/>
        </w:rPr>
        <w:t>Бъбречно увреждане</w:t>
      </w:r>
    </w:p>
    <w:p w14:paraId="16D7AA63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TimesNewRoman"/>
          <w:szCs w:val="22"/>
        </w:rPr>
      </w:pPr>
      <w:r w:rsidRPr="00312F89">
        <w:t>Налице е ограничена информация при пациенти с бъбречно увреждане. Не се изисква специфична корекция на дозата при тези пациенти (вж. точка 4.4).</w:t>
      </w:r>
    </w:p>
    <w:p w14:paraId="16D7AA64" w14:textId="77777777" w:rsidR="005B72A3" w:rsidRPr="00312F89" w:rsidRDefault="005B72A3" w:rsidP="005B72A3">
      <w:pPr>
        <w:rPr>
          <w:szCs w:val="22"/>
        </w:rPr>
      </w:pPr>
    </w:p>
    <w:p w14:paraId="16D7AA65" w14:textId="77777777" w:rsidR="005B72A3" w:rsidRPr="00312F89" w:rsidRDefault="00624432" w:rsidP="005B72A3">
      <w:pPr>
        <w:rPr>
          <w:rFonts w:eastAsia="SimSun"/>
          <w:iCs/>
          <w:szCs w:val="22"/>
          <w:u w:val="single"/>
        </w:rPr>
      </w:pPr>
      <w:r w:rsidRPr="00312F89">
        <w:rPr>
          <w:u w:val="single"/>
        </w:rPr>
        <w:t>Педиатрична популация</w:t>
      </w:r>
    </w:p>
    <w:p w14:paraId="16D7AA66" w14:textId="77777777" w:rsidR="005B72A3" w:rsidRPr="00312F89" w:rsidRDefault="00624432" w:rsidP="005B72A3">
      <w:pPr>
        <w:rPr>
          <w:szCs w:val="22"/>
        </w:rPr>
      </w:pPr>
      <w:r w:rsidRPr="00312F89">
        <w:t>Началната доза при педиатрични пациенти е по-ниска от тази за в</w:t>
      </w:r>
      <w:r w:rsidRPr="00312F89">
        <w:t xml:space="preserve">ъзрастни и зависи от възрастта и телесното тегло. </w:t>
      </w:r>
    </w:p>
    <w:p w14:paraId="16D7AA67" w14:textId="77777777" w:rsidR="005B72A3" w:rsidRPr="00312F89" w:rsidRDefault="005B72A3" w:rsidP="005B72A3">
      <w:pPr>
        <w:rPr>
          <w:szCs w:val="22"/>
        </w:rPr>
      </w:pPr>
    </w:p>
    <w:p w14:paraId="16D7AA68" w14:textId="77777777" w:rsidR="005B72A3" w:rsidRPr="00312F89" w:rsidRDefault="00624432" w:rsidP="005B72A3">
      <w:pPr>
        <w:rPr>
          <w:i/>
          <w:szCs w:val="22"/>
        </w:rPr>
      </w:pPr>
      <w:r w:rsidRPr="00312F89">
        <w:rPr>
          <w:i/>
        </w:rPr>
        <w:t xml:space="preserve">Деца на възраст </w:t>
      </w:r>
      <w:r w:rsidRPr="00312F89">
        <w:t xml:space="preserve">≥ </w:t>
      </w:r>
      <w:r w:rsidRPr="00312F89">
        <w:rPr>
          <w:i/>
        </w:rPr>
        <w:t xml:space="preserve">5 години </w:t>
      </w:r>
    </w:p>
    <w:p w14:paraId="16D7AA69" w14:textId="616045AB" w:rsidR="005B72A3" w:rsidRPr="00312F89" w:rsidRDefault="00624432" w:rsidP="005B72A3">
      <w:pPr>
        <w:rPr>
          <w:szCs w:val="22"/>
        </w:rPr>
      </w:pPr>
      <w:r w:rsidRPr="00312F89">
        <w:t>Дозата обикновено е между 225 mg и 600 mg на ден (1</w:t>
      </w:r>
      <w:r w:rsidRPr="00312F89">
        <w:rPr>
          <w:b/>
        </w:rPr>
        <w:t>½</w:t>
      </w:r>
      <w:r w:rsidRPr="00312F89">
        <w:t xml:space="preserve"> до 4 филмирани таблетки)</w:t>
      </w:r>
      <w:r w:rsidR="00F67073" w:rsidRPr="00312F89">
        <w:t>,</w:t>
      </w:r>
      <w:r w:rsidRPr="00312F89">
        <w:t xml:space="preserve"> разделена на 2 до 4 приема. </w:t>
      </w:r>
    </w:p>
    <w:p w14:paraId="16D7AA6A" w14:textId="77777777" w:rsidR="005B72A3" w:rsidRPr="00312F89" w:rsidRDefault="005B72A3" w:rsidP="005B72A3">
      <w:pPr>
        <w:rPr>
          <w:szCs w:val="22"/>
        </w:rPr>
      </w:pPr>
    </w:p>
    <w:p w14:paraId="16D7AA6B" w14:textId="77777777" w:rsidR="005B72A3" w:rsidRPr="00312F89" w:rsidRDefault="00624432" w:rsidP="005B72A3">
      <w:pPr>
        <w:keepNext/>
        <w:rPr>
          <w:i/>
          <w:iCs/>
          <w:szCs w:val="22"/>
        </w:rPr>
      </w:pPr>
      <w:r w:rsidRPr="00312F89">
        <w:rPr>
          <w:i/>
        </w:rPr>
        <w:t>Деца на възраст &lt;5 години</w:t>
      </w:r>
    </w:p>
    <w:p w14:paraId="16D7AA6C" w14:textId="56916A1A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312F89">
        <w:t xml:space="preserve">Безопасността и ефикасността на триентин при деца на възраст &lt;5 години не са установени. </w:t>
      </w:r>
    </w:p>
    <w:p w14:paraId="16D7AA6D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szCs w:val="22"/>
        </w:rPr>
      </w:pPr>
      <w:r w:rsidRPr="00312F89">
        <w:t>Лекарствената форма не е подходяща за приложение при деца на възраст &lt;5 години.</w:t>
      </w:r>
    </w:p>
    <w:p w14:paraId="16D7AA6E" w14:textId="77777777" w:rsidR="005B72A3" w:rsidRPr="00312F89" w:rsidRDefault="005B72A3" w:rsidP="005B72A3">
      <w:pPr>
        <w:rPr>
          <w:rFonts w:eastAsia="SimSun"/>
          <w:highlight w:val="yellow"/>
        </w:rPr>
      </w:pPr>
    </w:p>
    <w:p w14:paraId="16D7AA6F" w14:textId="51054921" w:rsidR="005B72A3" w:rsidRPr="00312F89" w:rsidRDefault="00624432" w:rsidP="005B72A3">
      <w:pPr>
        <w:rPr>
          <w:szCs w:val="22"/>
        </w:rPr>
      </w:pPr>
      <w:r w:rsidRPr="00312F89">
        <w:t>Препоръч</w:t>
      </w:r>
      <w:r w:rsidR="00F67073" w:rsidRPr="00312F89">
        <w:t>ител</w:t>
      </w:r>
      <w:r w:rsidRPr="00312F89">
        <w:t>ните дози Cuprior се изразяват в mg триентин база (т.е. не в mg тетрахидр</w:t>
      </w:r>
      <w:r w:rsidRPr="00312F89">
        <w:t xml:space="preserve">охлоридна сол на триентин). </w:t>
      </w:r>
    </w:p>
    <w:p w14:paraId="16D7AA70" w14:textId="77777777" w:rsidR="005B72A3" w:rsidRPr="00312F89" w:rsidRDefault="005B72A3" w:rsidP="005B72A3">
      <w:pPr>
        <w:tabs>
          <w:tab w:val="clear" w:pos="567"/>
          <w:tab w:val="left" w:pos="7309"/>
        </w:tabs>
        <w:rPr>
          <w:szCs w:val="22"/>
        </w:rPr>
      </w:pPr>
    </w:p>
    <w:p w14:paraId="16D7AA71" w14:textId="77777777" w:rsidR="005B72A3" w:rsidRPr="00312F89" w:rsidRDefault="00624432" w:rsidP="005B72A3">
      <w:pPr>
        <w:autoSpaceDE w:val="0"/>
        <w:autoSpaceDN w:val="0"/>
        <w:adjustRightInd w:val="0"/>
        <w:rPr>
          <w:szCs w:val="22"/>
          <w:u w:val="single"/>
        </w:rPr>
      </w:pPr>
      <w:r w:rsidRPr="00312F89">
        <w:rPr>
          <w:u w:val="single"/>
        </w:rPr>
        <w:t>Начин на приложение</w:t>
      </w:r>
    </w:p>
    <w:p w14:paraId="16D7AA72" w14:textId="52F8087A" w:rsidR="005B72A3" w:rsidRPr="00312F89" w:rsidRDefault="00624432" w:rsidP="005B72A3">
      <w:pPr>
        <w:autoSpaceDE w:val="0"/>
        <w:autoSpaceDN w:val="0"/>
        <w:adjustRightInd w:val="0"/>
        <w:rPr>
          <w:szCs w:val="22"/>
        </w:rPr>
      </w:pPr>
      <w:r w:rsidRPr="00312F89">
        <w:t xml:space="preserve">Cuprior е за перорална употреба. Филмираните таблетки трябва да се поглъщат с вода. Филмираните таблетки с делителна черта могат да бъдат разделени на две равни половини, ако е необходимо, за да се осигури </w:t>
      </w:r>
      <w:r w:rsidRPr="00312F89">
        <w:t>по-точна доза или да се улесни приложението.</w:t>
      </w:r>
    </w:p>
    <w:p w14:paraId="16D7AA73" w14:textId="77777777" w:rsidR="005B72A3" w:rsidRPr="00312F89" w:rsidRDefault="005B72A3" w:rsidP="005B72A3">
      <w:pPr>
        <w:autoSpaceDE w:val="0"/>
        <w:autoSpaceDN w:val="0"/>
        <w:adjustRightInd w:val="0"/>
        <w:rPr>
          <w:szCs w:val="22"/>
        </w:rPr>
      </w:pPr>
    </w:p>
    <w:p w14:paraId="16D7AA74" w14:textId="77777777" w:rsidR="005B72A3" w:rsidRPr="00312F89" w:rsidRDefault="00624432" w:rsidP="005B72A3">
      <w:pPr>
        <w:autoSpaceDE w:val="0"/>
        <w:autoSpaceDN w:val="0"/>
        <w:adjustRightInd w:val="0"/>
        <w:rPr>
          <w:noProof/>
          <w:szCs w:val="22"/>
        </w:rPr>
      </w:pPr>
      <w:r w:rsidRPr="00312F89">
        <w:t xml:space="preserve">Важно е Cuprior да се дава на празен стомах, поне един час преди хранене или два часа след хранене и с най-малко един час разлика от всеки друг лекарствен продукт, храна или мляко (вж. точка 4.5). </w:t>
      </w:r>
    </w:p>
    <w:p w14:paraId="16D7AA75" w14:textId="77777777" w:rsidR="005B72A3" w:rsidRPr="00312F89" w:rsidRDefault="005B72A3" w:rsidP="005B72A3">
      <w:pPr>
        <w:spacing w:line="240" w:lineRule="auto"/>
        <w:ind w:left="567" w:hanging="567"/>
        <w:rPr>
          <w:b/>
          <w:noProof/>
          <w:szCs w:val="22"/>
        </w:rPr>
      </w:pPr>
    </w:p>
    <w:p w14:paraId="16D7AA76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Противопока</w:t>
      </w:r>
      <w:r w:rsidRPr="00312F89">
        <w:rPr>
          <w:b/>
          <w:noProof/>
        </w:rPr>
        <w:t>зания</w:t>
      </w:r>
    </w:p>
    <w:p w14:paraId="16D7AA77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78" w14:textId="77777777" w:rsidR="005B72A3" w:rsidRPr="00312F89" w:rsidRDefault="00624432" w:rsidP="005B72A3">
      <w:pPr>
        <w:rPr>
          <w:noProof/>
          <w:szCs w:val="22"/>
        </w:rPr>
      </w:pPr>
      <w:r w:rsidRPr="00312F89">
        <w:t>Свръхчувствителност към активното вещество или към някое от помощните вещества, изброени в точка 6.1.</w:t>
      </w:r>
    </w:p>
    <w:p w14:paraId="16D7AA7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7A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Специални предупреждения и предпазни мерки при употреба</w:t>
      </w:r>
    </w:p>
    <w:p w14:paraId="16D7AA7B" w14:textId="77777777" w:rsidR="005B72A3" w:rsidRPr="00312F89" w:rsidRDefault="005B72A3" w:rsidP="005B72A3">
      <w:pPr>
        <w:spacing w:line="240" w:lineRule="auto"/>
        <w:ind w:left="567" w:hanging="567"/>
        <w:rPr>
          <w:b/>
          <w:noProof/>
          <w:szCs w:val="22"/>
        </w:rPr>
      </w:pPr>
    </w:p>
    <w:p w14:paraId="16D7AA7C" w14:textId="52D34FB4" w:rsidR="005B72A3" w:rsidRPr="00312F89" w:rsidRDefault="00624432" w:rsidP="005B72A3">
      <w:pPr>
        <w:rPr>
          <w:szCs w:val="22"/>
        </w:rPr>
      </w:pPr>
      <w:r w:rsidRPr="00312F89">
        <w:t>При преминаване на пациент от друга лекарствена форма с триентин се препоръчва повишено в</w:t>
      </w:r>
      <w:r w:rsidRPr="00312F89">
        <w:t xml:space="preserve">нимание, тъй като дозите, изразени в триентин база, може да не са еквивалентни (вж. точка 4.2). </w:t>
      </w:r>
    </w:p>
    <w:p w14:paraId="16D7AA7D" w14:textId="77777777" w:rsidR="005B72A3" w:rsidRPr="00312F89" w:rsidRDefault="005B72A3" w:rsidP="005B72A3">
      <w:pPr>
        <w:rPr>
          <w:rFonts w:eastAsia="SimSun"/>
          <w:szCs w:val="22"/>
        </w:rPr>
      </w:pPr>
    </w:p>
    <w:p w14:paraId="16D7AA7E" w14:textId="5C7752F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312F89">
        <w:t xml:space="preserve">Триентин е хелатиращо средство, за което е установено, че намалява серумните нива на желязо. Може да са необходими железни добавки в случай на желязодефицитна анемия и трябва да се прилагат по различно време (вж. точка 4.5). </w:t>
      </w:r>
    </w:p>
    <w:p w14:paraId="16D7AA7F" w14:textId="77777777" w:rsidR="005B72A3" w:rsidRPr="00312F89" w:rsidRDefault="005B72A3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16D7AA80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312F89">
        <w:t>Комбинацията от триентин и ци</w:t>
      </w:r>
      <w:r w:rsidRPr="00312F89">
        <w:t>нк не се препоръчва. Налице са само ограничени данни за съпътстваща употреба и не могат да се направят конкретни препоръки за дозиране.</w:t>
      </w:r>
    </w:p>
    <w:p w14:paraId="16D7AA81" w14:textId="77777777" w:rsidR="005B72A3" w:rsidRPr="00312F89" w:rsidRDefault="005B72A3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16D7AA82" w14:textId="68B6BCB2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312F89">
        <w:t>При пациенти, лекувани преди това с D-пенициламин, се съобщава за подобни на лупус реакции по време на последващо лечен</w:t>
      </w:r>
      <w:r w:rsidRPr="00312F89">
        <w:t>ие с триентин, но не е възможно да се определи дали има причинно-следствена връзка с триентин.</w:t>
      </w:r>
    </w:p>
    <w:p w14:paraId="16D7AA83" w14:textId="77777777" w:rsidR="005B72A3" w:rsidRPr="00312F89" w:rsidRDefault="005B72A3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noProof/>
          <w:szCs w:val="22"/>
        </w:rPr>
      </w:pPr>
    </w:p>
    <w:p w14:paraId="16D7AA84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Проследяване</w:t>
      </w:r>
    </w:p>
    <w:p w14:paraId="16D7AA85" w14:textId="77777777" w:rsidR="005B72A3" w:rsidRPr="00312F89" w:rsidRDefault="00624432" w:rsidP="005B72A3">
      <w:pPr>
        <w:rPr>
          <w:noProof/>
          <w:szCs w:val="22"/>
        </w:rPr>
      </w:pPr>
      <w:r w:rsidRPr="00312F89">
        <w:t>Пациентите, приемащи Cuprior, трябва да останат под редовно медицинско наблюдение и да се проследяват за съответстващ контрол на симптомите и ниват</w:t>
      </w:r>
      <w:r w:rsidRPr="00312F89">
        <w:t xml:space="preserve">а на медта, за да се оптимизира дозата (вж. точка 4.2). </w:t>
      </w:r>
    </w:p>
    <w:p w14:paraId="16D7AA86" w14:textId="77777777" w:rsidR="005B72A3" w:rsidRPr="00312F89" w:rsidRDefault="005B72A3" w:rsidP="005B72A3">
      <w:pPr>
        <w:rPr>
          <w:noProof/>
          <w:szCs w:val="22"/>
        </w:rPr>
      </w:pPr>
    </w:p>
    <w:p w14:paraId="16D7AA87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Целта на поддържащото лечение е да се поддържат нива на свободна мед в серума в приемливи граници. Най-надеждният индекс за наблюдение на терапията е определянето на свободната мед в серума, </w:t>
      </w:r>
      <w:r w:rsidRPr="00312F89">
        <w:t>която се изчислява като се използва разликата между общата мед и свързаната с церулоплазмин мед (нормалното ниво на свободната мед в серума обикновено е 100 до 150 микрограма/</w:t>
      </w:r>
      <w:r w:rsidRPr="00312F89">
        <w:rPr>
          <w:lang w:val="en-US"/>
        </w:rPr>
        <w:t>l</w:t>
      </w:r>
      <w:r w:rsidRPr="00312F89">
        <w:t xml:space="preserve">). </w:t>
      </w:r>
    </w:p>
    <w:p w14:paraId="16D7AA88" w14:textId="77777777" w:rsidR="005B72A3" w:rsidRPr="00312F89" w:rsidRDefault="005B72A3" w:rsidP="005B72A3">
      <w:pPr>
        <w:rPr>
          <w:noProof/>
          <w:szCs w:val="22"/>
        </w:rPr>
      </w:pPr>
    </w:p>
    <w:p w14:paraId="16D7AA89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По време на терапията може да се извърши измерване на екскрецията на мед в </w:t>
      </w:r>
      <w:r w:rsidRPr="00312F89">
        <w:t>урината. Тъй като хелатиращата терапия води до повишаване на нивата на мед в урината, това може да не/няма да даде точно отражение на излишното съдържание на мед в организма, но може да бъде полезна мярка за придържането към лечението.</w:t>
      </w:r>
    </w:p>
    <w:p w14:paraId="16D7AA8A" w14:textId="77777777" w:rsidR="005B72A3" w:rsidRPr="00312F89" w:rsidRDefault="005B72A3" w:rsidP="005B72A3">
      <w:pPr>
        <w:rPr>
          <w:noProof/>
          <w:szCs w:val="22"/>
        </w:rPr>
      </w:pPr>
    </w:p>
    <w:p w14:paraId="16D7AA8B" w14:textId="77777777" w:rsidR="005B72A3" w:rsidRPr="00312F89" w:rsidRDefault="00624432" w:rsidP="005B72A3">
      <w:pPr>
        <w:rPr>
          <w:noProof/>
          <w:szCs w:val="22"/>
        </w:rPr>
      </w:pPr>
      <w:r w:rsidRPr="00312F89">
        <w:lastRenderedPageBreak/>
        <w:t>В началото на хелац</w:t>
      </w:r>
      <w:r w:rsidRPr="00312F89">
        <w:t>ионната терапия може да се появи влошаване на клиничните симптоми, включително неврологично влошаване, поради излишъка от свободна серумна мед по време на първоначалния отговор на лечението. Необходимо е внимателно наблюдение, за да се оптимизира дозата ил</w:t>
      </w:r>
      <w:r w:rsidRPr="00312F89">
        <w:t>и да се адаптира лечението, ако е необходимо.</w:t>
      </w:r>
    </w:p>
    <w:p w14:paraId="16D7AA8C" w14:textId="77777777" w:rsidR="005B72A3" w:rsidRPr="00312F89" w:rsidRDefault="005B72A3" w:rsidP="005B72A3">
      <w:pPr>
        <w:rPr>
          <w:noProof/>
          <w:szCs w:val="22"/>
        </w:rPr>
      </w:pPr>
    </w:p>
    <w:p w14:paraId="16D7AA8D" w14:textId="77777777" w:rsidR="005B72A3" w:rsidRPr="00312F89" w:rsidRDefault="00624432" w:rsidP="005B72A3">
      <w:pPr>
        <w:keepNext/>
        <w:rPr>
          <w:noProof/>
          <w:szCs w:val="22"/>
          <w:u w:val="single"/>
        </w:rPr>
      </w:pPr>
      <w:r w:rsidRPr="00312F89">
        <w:rPr>
          <w:noProof/>
          <w:u w:val="single"/>
        </w:rPr>
        <w:t>Специални популации</w:t>
      </w:r>
    </w:p>
    <w:p w14:paraId="16D7AA8E" w14:textId="4571F93E" w:rsidR="005B72A3" w:rsidRPr="00312F89" w:rsidRDefault="00624432" w:rsidP="005B72A3">
      <w:pPr>
        <w:rPr>
          <w:noProof/>
          <w:szCs w:val="22"/>
        </w:rPr>
      </w:pPr>
      <w:r w:rsidRPr="00312F89">
        <w:t xml:space="preserve">Свръхлечението носи риск от дефицит на мед. Трябва да се извършва наблюдение за прояви на прекомерно лечение, особено когато </w:t>
      </w:r>
      <w:r w:rsidR="0006785B" w:rsidRPr="00312F89">
        <w:t>нуждите от</w:t>
      </w:r>
      <w:r w:rsidRPr="00312F89">
        <w:t xml:space="preserve"> мед могат да се променят, като например при бременнос</w:t>
      </w:r>
      <w:r w:rsidRPr="00312F89">
        <w:t xml:space="preserve">т (вж. точка 4.6) и при деца, където е необходим </w:t>
      </w:r>
      <w:r w:rsidR="005D6D19" w:rsidRPr="00312F89">
        <w:t xml:space="preserve">подходящ </w:t>
      </w:r>
      <w:r w:rsidRPr="00312F89">
        <w:t>контрол на нивата на мед, за да се осигури правилен растеж и умствено развитие.</w:t>
      </w:r>
    </w:p>
    <w:p w14:paraId="16D7AA8F" w14:textId="77777777" w:rsidR="005B72A3" w:rsidRPr="00312F89" w:rsidRDefault="005B72A3" w:rsidP="005B72A3">
      <w:pPr>
        <w:rPr>
          <w:noProof/>
          <w:szCs w:val="22"/>
        </w:rPr>
      </w:pPr>
    </w:p>
    <w:p w14:paraId="16D7AA90" w14:textId="40738DAD" w:rsidR="005B72A3" w:rsidRPr="00312F89" w:rsidRDefault="00624432" w:rsidP="005B72A3">
      <w:pPr>
        <w:rPr>
          <w:noProof/>
          <w:szCs w:val="22"/>
        </w:rPr>
      </w:pPr>
      <w:r w:rsidRPr="00312F89">
        <w:t>Пациентите с бъбречно увреждане, получаващи триентин, трябва да останат под редовно медицинско наблюдение за подходящ</w:t>
      </w:r>
      <w:r w:rsidRPr="00312F89">
        <w:t xml:space="preserve"> контрол на симптомите и нивата на медта. При тези пациенти се препоръчва внимателно проследяване на бъбречната функция (вж. точка 4.2).</w:t>
      </w:r>
    </w:p>
    <w:p w14:paraId="16D7AA91" w14:textId="77777777" w:rsidR="005B72A3" w:rsidRPr="00312F89" w:rsidRDefault="005B72A3" w:rsidP="005B72A3">
      <w:pPr>
        <w:rPr>
          <w:noProof/>
        </w:rPr>
      </w:pPr>
    </w:p>
    <w:p w14:paraId="16D7AA92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Взаимодействие с други лекарствени продукти и други форми на взаимодействие</w:t>
      </w:r>
    </w:p>
    <w:p w14:paraId="16D7AA9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94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 xml:space="preserve">Не са провеждани проучвания за </w:t>
      </w:r>
      <w:r w:rsidRPr="00312F89">
        <w:t>взаимодействията.</w:t>
      </w:r>
    </w:p>
    <w:p w14:paraId="16D7AA9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96" w14:textId="534C18F3" w:rsidR="005B72A3" w:rsidRPr="00312F89" w:rsidRDefault="00624432" w:rsidP="005B72A3">
      <w:pPr>
        <w:rPr>
          <w:noProof/>
          <w:szCs w:val="22"/>
        </w:rPr>
      </w:pPr>
      <w:r w:rsidRPr="00312F89">
        <w:t>Установено е, че триентин намалява нивата на серумното желязо, вероятно чрез намаляване на абсорбцията му, и може да са нужни добавки с желязо. Тъй като желязото и триентин могат взаимно да потискат абсорбцията си, добавките с желязо тря</w:t>
      </w:r>
      <w:r w:rsidRPr="00312F89">
        <w:t>бва да се приемат след изтичане на поне два часа от прилагането на триентин.</w:t>
      </w:r>
    </w:p>
    <w:p w14:paraId="16D7AA97" w14:textId="77777777" w:rsidR="005B72A3" w:rsidRPr="00312F89" w:rsidRDefault="005B72A3" w:rsidP="005B72A3">
      <w:pPr>
        <w:rPr>
          <w:noProof/>
          <w:szCs w:val="22"/>
        </w:rPr>
      </w:pPr>
    </w:p>
    <w:p w14:paraId="16D7AA98" w14:textId="28E676B3" w:rsidR="005B72A3" w:rsidRPr="00312F89" w:rsidRDefault="00624432" w:rsidP="005B72A3">
      <w:pPr>
        <w:rPr>
          <w:noProof/>
          <w:szCs w:val="22"/>
        </w:rPr>
      </w:pPr>
      <w:r w:rsidRPr="00312F89">
        <w:t>Тъй като триентин се абсорбира слабо след прием през устата и основният механизъм на действие изисква системната му експозиция (вж. точка 5.1), е важно филмираните таблетки да се</w:t>
      </w:r>
      <w:r w:rsidRPr="00312F89">
        <w:t xml:space="preserve"> приемат на празен стомах поне един час преди хранене или 2 часа след хранене и с най-малко един час разлика от всеки друг лекарствен продукт, храна или мляко (вж. точка 4.2). Това прави абсорбцията на триентин максимална и намалява вероятността от свързва</w:t>
      </w:r>
      <w:r w:rsidRPr="00312F89">
        <w:t xml:space="preserve">не на лекарствения продукт с метали в стомашно-чревния тракт. Не са провеждани проучвания за взаимодействия с хранителни продукти и затова степента на ефект на храната върху системната експозиция на триентин е неизвестна. </w:t>
      </w:r>
    </w:p>
    <w:p w14:paraId="16D7AA99" w14:textId="77777777" w:rsidR="005B72A3" w:rsidRPr="00312F89" w:rsidRDefault="005B72A3" w:rsidP="005B72A3">
      <w:pPr>
        <w:rPr>
          <w:noProof/>
          <w:szCs w:val="22"/>
        </w:rPr>
      </w:pPr>
    </w:p>
    <w:p w14:paraId="16D7AA9A" w14:textId="2C647A3C" w:rsidR="005B72A3" w:rsidRPr="00312F89" w:rsidRDefault="00624432" w:rsidP="005B72A3">
      <w:pPr>
        <w:rPr>
          <w:noProof/>
          <w:szCs w:val="22"/>
        </w:rPr>
      </w:pPr>
      <w:r w:rsidRPr="00312F89">
        <w:t>Въпреки че няма доказателства, ч</w:t>
      </w:r>
      <w:r w:rsidRPr="00312F89">
        <w:t>е калциевите или магнезиеви антиациди променят ефикасността на триентин, добра практика е да се отдели тяхното приложение.</w:t>
      </w:r>
    </w:p>
    <w:p w14:paraId="16D7AA9B" w14:textId="77777777" w:rsidR="005B72A3" w:rsidRPr="00312F89" w:rsidRDefault="005B72A3" w:rsidP="005B72A3">
      <w:pPr>
        <w:spacing w:line="240" w:lineRule="auto"/>
        <w:rPr>
          <w:szCs w:val="22"/>
        </w:rPr>
      </w:pPr>
    </w:p>
    <w:p w14:paraId="16D7AA9C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Фертилитет, бременност и кърмене</w:t>
      </w:r>
    </w:p>
    <w:p w14:paraId="16D7AA9D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9E" w14:textId="77777777" w:rsidR="005B72A3" w:rsidRPr="00312F89" w:rsidRDefault="00624432" w:rsidP="005B72A3">
      <w:pPr>
        <w:rPr>
          <w:noProof/>
          <w:szCs w:val="22"/>
        </w:rPr>
      </w:pPr>
      <w:r w:rsidRPr="00312F89">
        <w:rPr>
          <w:noProof/>
          <w:u w:val="single"/>
        </w:rPr>
        <w:t>Бременност</w:t>
      </w:r>
    </w:p>
    <w:p w14:paraId="16D7AA9F" w14:textId="25B21508" w:rsidR="005B72A3" w:rsidRPr="00312F89" w:rsidRDefault="00624432" w:rsidP="005B72A3">
      <w:pPr>
        <w:rPr>
          <w:noProof/>
          <w:szCs w:val="22"/>
        </w:rPr>
      </w:pPr>
      <w:r w:rsidRPr="00312F89">
        <w:t xml:space="preserve">Има ограничени данни </w:t>
      </w:r>
      <w:r w:rsidR="000E3397" w:rsidRPr="00312F89">
        <w:t xml:space="preserve">от </w:t>
      </w:r>
      <w:r w:rsidRPr="00312F89">
        <w:t>употребата на триентин при бременни жени.</w:t>
      </w:r>
    </w:p>
    <w:p w14:paraId="16D7AAA0" w14:textId="77777777" w:rsidR="005B72A3" w:rsidRPr="00312F89" w:rsidRDefault="005B72A3" w:rsidP="005B72A3">
      <w:pPr>
        <w:rPr>
          <w:noProof/>
          <w:szCs w:val="22"/>
        </w:rPr>
      </w:pPr>
    </w:p>
    <w:p w14:paraId="16D7AAA1" w14:textId="3BDDA774" w:rsidR="005B72A3" w:rsidRPr="00312F89" w:rsidRDefault="00624432" w:rsidP="005B72A3">
      <w:pPr>
        <w:rPr>
          <w:noProof/>
          <w:szCs w:val="22"/>
        </w:rPr>
      </w:pPr>
      <w:r w:rsidRPr="00312F89">
        <w:t>Проучванията при жив</w:t>
      </w:r>
      <w:r w:rsidRPr="00312F89">
        <w:t>отни показват репродуктивна токсичност, която вероятно е резултат от дефицит на мед, предизвикан от триентин (вж. точка 5.3).</w:t>
      </w:r>
    </w:p>
    <w:p w14:paraId="16D7AAA2" w14:textId="77777777" w:rsidR="005B72A3" w:rsidRPr="00312F89" w:rsidRDefault="005B72A3" w:rsidP="005B72A3">
      <w:pPr>
        <w:rPr>
          <w:noProof/>
          <w:szCs w:val="22"/>
        </w:rPr>
      </w:pPr>
    </w:p>
    <w:p w14:paraId="16D7AAA3" w14:textId="2D8E3C06" w:rsidR="005B72A3" w:rsidRPr="00312F89" w:rsidRDefault="00624432" w:rsidP="005B72A3">
      <w:pPr>
        <w:rPr>
          <w:noProof/>
          <w:szCs w:val="22"/>
        </w:rPr>
      </w:pPr>
      <w:r w:rsidRPr="00312F89">
        <w:t>Cuprior трябва да се използва при бременност само след внимателна преценка на ползите в сравнение с рисковете от лечението при от</w:t>
      </w:r>
      <w:r w:rsidRPr="00312F89">
        <w:t>делн</w:t>
      </w:r>
      <w:r w:rsidR="00F245AD" w:rsidRPr="00312F89">
        <w:t>ата</w:t>
      </w:r>
      <w:r w:rsidRPr="00312F89">
        <w:t xml:space="preserve"> пациент</w:t>
      </w:r>
      <w:r w:rsidR="00F245AD" w:rsidRPr="00312F89">
        <w:t>ка</w:t>
      </w:r>
      <w:r w:rsidRPr="00312F89">
        <w:t>. Факторите, които трябва да се имат предвид, включват рисковете, свързани със самото заболяване, риска от наличните алтернативни лечения и възможните тератогенни ефекти на триентин (вж. точка 5.3).</w:t>
      </w:r>
    </w:p>
    <w:p w14:paraId="16D7AAA4" w14:textId="77777777" w:rsidR="005B72A3" w:rsidRPr="00312F89" w:rsidRDefault="005B72A3" w:rsidP="005B72A3">
      <w:pPr>
        <w:rPr>
          <w:noProof/>
          <w:szCs w:val="22"/>
        </w:rPr>
      </w:pPr>
    </w:p>
    <w:p w14:paraId="16D7AAA5" w14:textId="18973CE4" w:rsidR="005B72A3" w:rsidRPr="00312F89" w:rsidRDefault="00624432" w:rsidP="005B72A3">
      <w:pPr>
        <w:rPr>
          <w:szCs w:val="22"/>
        </w:rPr>
      </w:pPr>
      <w:r w:rsidRPr="00312F89">
        <w:t>Тъй като медта е необходима за правилни</w:t>
      </w:r>
      <w:r w:rsidRPr="00312F89">
        <w:t>я растеж и психическото развитие, може да се наложи коригиране на дозата, за да се гарантира, че плодът няма да развие дефицит на мед, а внимателното проследяване на пациент</w:t>
      </w:r>
      <w:r w:rsidR="00F245AD" w:rsidRPr="00312F89">
        <w:t>кат</w:t>
      </w:r>
      <w:r w:rsidRPr="00312F89">
        <w:t>а е от съществено значение (вж. точка 4.4).</w:t>
      </w:r>
    </w:p>
    <w:p w14:paraId="16D7AAA6" w14:textId="77777777" w:rsidR="005B72A3" w:rsidRPr="00312F89" w:rsidRDefault="005B72A3" w:rsidP="005B72A3">
      <w:pPr>
        <w:rPr>
          <w:noProof/>
          <w:szCs w:val="22"/>
        </w:rPr>
      </w:pPr>
    </w:p>
    <w:p w14:paraId="16D7AAA7" w14:textId="77777777" w:rsidR="005B72A3" w:rsidRPr="00312F89" w:rsidRDefault="00624432" w:rsidP="005B72A3">
      <w:pPr>
        <w:rPr>
          <w:noProof/>
          <w:szCs w:val="22"/>
        </w:rPr>
      </w:pPr>
      <w:r w:rsidRPr="00312F89">
        <w:t>Бременността трябва да се проследяв</w:t>
      </w:r>
      <w:r w:rsidRPr="00312F89">
        <w:t xml:space="preserve">а внимателно, за да се открият възможни аномалии в плода и да се оценяват нивата на серумната мед на майката през цялата бременност. </w:t>
      </w:r>
      <w:r w:rsidRPr="00312F89">
        <w:lastRenderedPageBreak/>
        <w:t>Използваната доза триентин трябва да се адаптира, за да се поддържат нивата на серумната мед в рамките на нормалния диапазо</w:t>
      </w:r>
      <w:r w:rsidRPr="00312F89">
        <w:t xml:space="preserve">н. </w:t>
      </w:r>
    </w:p>
    <w:p w14:paraId="16D7AAA8" w14:textId="77777777" w:rsidR="005B72A3" w:rsidRPr="00312F89" w:rsidRDefault="005B72A3" w:rsidP="005B72A3">
      <w:pPr>
        <w:rPr>
          <w:noProof/>
          <w:szCs w:val="22"/>
        </w:rPr>
      </w:pPr>
    </w:p>
    <w:p w14:paraId="16D7AAA9" w14:textId="77777777" w:rsidR="005B72A3" w:rsidRPr="00312F89" w:rsidRDefault="00624432" w:rsidP="005B72A3">
      <w:pPr>
        <w:rPr>
          <w:noProof/>
          <w:szCs w:val="22"/>
        </w:rPr>
      </w:pPr>
      <w:r w:rsidRPr="00312F89">
        <w:t>Бебетата, родени от майки, лекувани с триентин, трябва да се наблюдават за нивата на серумната мед, където е целесъобразно.</w:t>
      </w:r>
    </w:p>
    <w:p w14:paraId="16D7AAAA" w14:textId="77777777" w:rsidR="005B72A3" w:rsidRPr="00312F89" w:rsidRDefault="005B72A3" w:rsidP="005B72A3">
      <w:pPr>
        <w:rPr>
          <w:noProof/>
          <w:szCs w:val="22"/>
        </w:rPr>
      </w:pPr>
    </w:p>
    <w:p w14:paraId="16D7AAAB" w14:textId="77777777" w:rsidR="005B72A3" w:rsidRPr="00312F89" w:rsidRDefault="00624432" w:rsidP="005B72A3">
      <w:pPr>
        <w:rPr>
          <w:color w:val="000000"/>
          <w:szCs w:val="22"/>
        </w:rPr>
      </w:pPr>
      <w:r w:rsidRPr="00312F89">
        <w:rPr>
          <w:noProof/>
          <w:u w:val="single"/>
        </w:rPr>
        <w:t>Кърмене</w:t>
      </w:r>
    </w:p>
    <w:p w14:paraId="16D7AAAC" w14:textId="371022ED" w:rsidR="005B72A3" w:rsidRPr="00312F89" w:rsidRDefault="00624432" w:rsidP="005B72A3">
      <w:pPr>
        <w:autoSpaceDE w:val="0"/>
        <w:autoSpaceDN w:val="0"/>
        <w:adjustRightInd w:val="0"/>
        <w:rPr>
          <w:color w:val="000000"/>
          <w:szCs w:val="22"/>
        </w:rPr>
      </w:pPr>
      <w:r w:rsidRPr="00312F89">
        <w:rPr>
          <w:color w:val="000000"/>
        </w:rPr>
        <w:t>Не е известно дали триентин се екскретира в кърмата. Не може да се изключи риск за новородените/</w:t>
      </w:r>
      <w:r w:rsidR="0025643E" w:rsidRPr="00312F89">
        <w:rPr>
          <w:color w:val="000000"/>
        </w:rPr>
        <w:t>кърмачетата</w:t>
      </w:r>
      <w:r w:rsidRPr="00312F89">
        <w:rPr>
          <w:color w:val="000000"/>
        </w:rPr>
        <w:t xml:space="preserve">. </w:t>
      </w:r>
      <w:r w:rsidRPr="00312F89">
        <w:rPr>
          <w:color w:val="000000"/>
        </w:rPr>
        <w:t>Трябва да се вземе решение дали да се преустанови кърменето или да се преустанови/ не се прил</w:t>
      </w:r>
      <w:r w:rsidR="0025643E" w:rsidRPr="00312F89">
        <w:rPr>
          <w:color w:val="000000"/>
        </w:rPr>
        <w:t>ожи</w:t>
      </w:r>
      <w:r w:rsidRPr="00312F89">
        <w:rPr>
          <w:color w:val="000000"/>
        </w:rPr>
        <w:t xml:space="preserve"> терапията с Cuprior, като се вземат предвид ползата от кърменето за детето и ползата от терапията за жената.</w:t>
      </w:r>
    </w:p>
    <w:p w14:paraId="16D7AAAD" w14:textId="77777777" w:rsidR="005B72A3" w:rsidRPr="00312F89" w:rsidRDefault="005B72A3" w:rsidP="005B72A3">
      <w:pPr>
        <w:rPr>
          <w:szCs w:val="22"/>
          <w:u w:val="single"/>
        </w:rPr>
      </w:pPr>
    </w:p>
    <w:p w14:paraId="16D7AAAE" w14:textId="77777777" w:rsidR="005B72A3" w:rsidRPr="00312F89" w:rsidRDefault="00624432" w:rsidP="005B72A3">
      <w:pPr>
        <w:keepNext/>
        <w:rPr>
          <w:noProof/>
          <w:szCs w:val="22"/>
          <w:u w:val="single"/>
        </w:rPr>
      </w:pPr>
      <w:r w:rsidRPr="00312F89">
        <w:rPr>
          <w:noProof/>
          <w:u w:val="single"/>
        </w:rPr>
        <w:t>Фертилитет</w:t>
      </w:r>
    </w:p>
    <w:p w14:paraId="16D7AAAF" w14:textId="77777777" w:rsidR="005B72A3" w:rsidRPr="00312F89" w:rsidRDefault="00624432" w:rsidP="005B72A3">
      <w:pPr>
        <w:rPr>
          <w:szCs w:val="22"/>
        </w:rPr>
      </w:pPr>
      <w:r w:rsidRPr="00312F89">
        <w:rPr>
          <w:color w:val="000000"/>
        </w:rPr>
        <w:t xml:space="preserve">Не е известно дали триентин </w:t>
      </w:r>
      <w:r w:rsidRPr="00312F89">
        <w:rPr>
          <w:color w:val="000000"/>
        </w:rPr>
        <w:t>оказва въздействие върху фертилитета при хора</w:t>
      </w:r>
      <w:r w:rsidRPr="00312F89">
        <w:t>.</w:t>
      </w:r>
    </w:p>
    <w:p w14:paraId="16D7AAB0" w14:textId="77777777" w:rsidR="005B72A3" w:rsidRPr="00312F89" w:rsidRDefault="005B72A3" w:rsidP="005B72A3">
      <w:pPr>
        <w:spacing w:line="240" w:lineRule="auto"/>
        <w:rPr>
          <w:i/>
          <w:noProof/>
          <w:szCs w:val="22"/>
        </w:rPr>
      </w:pPr>
    </w:p>
    <w:p w14:paraId="16D7AAB1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Ефекти върху способността за шофиране и работа с машини</w:t>
      </w:r>
    </w:p>
    <w:p w14:paraId="16D7AAB2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B3" w14:textId="0118A18A" w:rsidR="005B72A3" w:rsidRPr="00312F89" w:rsidRDefault="00624432" w:rsidP="005B72A3">
      <w:pPr>
        <w:rPr>
          <w:noProof/>
          <w:szCs w:val="22"/>
        </w:rPr>
      </w:pPr>
      <w:r w:rsidRPr="00312F89">
        <w:t xml:space="preserve">Cuprior не повлиява или повлиява пренебрежимо способността за шофиране и работа с машини. </w:t>
      </w:r>
    </w:p>
    <w:p w14:paraId="16D7AAB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B5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Нежелани лекарствени реакции</w:t>
      </w:r>
    </w:p>
    <w:p w14:paraId="16D7AAB6" w14:textId="77777777" w:rsidR="005B72A3" w:rsidRPr="00312F89" w:rsidRDefault="005B72A3" w:rsidP="005B72A3">
      <w:pPr>
        <w:autoSpaceDE w:val="0"/>
        <w:autoSpaceDN w:val="0"/>
        <w:adjustRightInd w:val="0"/>
        <w:rPr>
          <w:noProof/>
          <w:szCs w:val="22"/>
        </w:rPr>
      </w:pPr>
    </w:p>
    <w:p w14:paraId="16D7AAB7" w14:textId="77777777" w:rsidR="005B72A3" w:rsidRPr="00312F89" w:rsidRDefault="00624432" w:rsidP="005B72A3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312F89">
        <w:rPr>
          <w:noProof/>
          <w:u w:val="single"/>
        </w:rPr>
        <w:t>Обобщение на профила на безоп</w:t>
      </w:r>
      <w:r w:rsidRPr="00312F89">
        <w:rPr>
          <w:noProof/>
          <w:u w:val="single"/>
        </w:rPr>
        <w:t>асност</w:t>
      </w:r>
    </w:p>
    <w:p w14:paraId="16D7AAB8" w14:textId="77777777" w:rsidR="005B72A3" w:rsidRPr="00312F89" w:rsidRDefault="00624432" w:rsidP="005B72A3">
      <w:pPr>
        <w:autoSpaceDE w:val="0"/>
        <w:autoSpaceDN w:val="0"/>
        <w:adjustRightInd w:val="0"/>
        <w:rPr>
          <w:rFonts w:eastAsia="TimesNewRoman"/>
          <w:szCs w:val="22"/>
        </w:rPr>
      </w:pPr>
      <w:r w:rsidRPr="00312F89">
        <w:t xml:space="preserve">Най-често съобщаваната нежелана реакция с триентин е гадене. При лечението може да настъпи сериозна желязодефицитна анемия и тежък колит. </w:t>
      </w:r>
    </w:p>
    <w:p w14:paraId="16D7AAB9" w14:textId="77777777" w:rsidR="005B72A3" w:rsidRPr="00312F89" w:rsidRDefault="005B72A3" w:rsidP="005B72A3">
      <w:pPr>
        <w:autoSpaceDE w:val="0"/>
        <w:autoSpaceDN w:val="0"/>
        <w:adjustRightInd w:val="0"/>
        <w:rPr>
          <w:noProof/>
          <w:szCs w:val="22"/>
        </w:rPr>
      </w:pPr>
    </w:p>
    <w:p w14:paraId="16D7AABA" w14:textId="28F9CA88" w:rsidR="005B72A3" w:rsidRPr="00312F89" w:rsidRDefault="00624432" w:rsidP="005B72A3">
      <w:pPr>
        <w:autoSpaceDE w:val="0"/>
        <w:autoSpaceDN w:val="0"/>
        <w:adjustRightInd w:val="0"/>
        <w:rPr>
          <w:noProof/>
          <w:szCs w:val="22"/>
          <w:u w:val="single"/>
        </w:rPr>
      </w:pPr>
      <w:r w:rsidRPr="00312F89">
        <w:rPr>
          <w:noProof/>
          <w:u w:val="single"/>
        </w:rPr>
        <w:t>Табличен списък на нежеланите реакции</w:t>
      </w:r>
    </w:p>
    <w:p w14:paraId="16D7AABB" w14:textId="11DB7B02" w:rsidR="005B72A3" w:rsidRPr="00312F89" w:rsidRDefault="00624432" w:rsidP="005B72A3">
      <w:pPr>
        <w:autoSpaceDE w:val="0"/>
        <w:autoSpaceDN w:val="0"/>
        <w:adjustRightInd w:val="0"/>
        <w:rPr>
          <w:noProof/>
          <w:szCs w:val="22"/>
        </w:rPr>
      </w:pPr>
      <w:r w:rsidRPr="00312F89">
        <w:t>Следните нежелани реакции се съобщават при употребата на триентин за ле</w:t>
      </w:r>
      <w:r w:rsidRPr="00312F89">
        <w:t xml:space="preserve">чение на болестта на </w:t>
      </w:r>
      <w:r w:rsidR="0006785B" w:rsidRPr="00312F89">
        <w:t>Wilson</w:t>
      </w:r>
      <w:r w:rsidRPr="00312F89">
        <w:t xml:space="preserve">. </w:t>
      </w:r>
    </w:p>
    <w:p w14:paraId="16D7AABC" w14:textId="77777777" w:rsidR="005B72A3" w:rsidRPr="00312F89" w:rsidRDefault="00624432" w:rsidP="005B72A3">
      <w:pPr>
        <w:autoSpaceDE w:val="0"/>
        <w:autoSpaceDN w:val="0"/>
        <w:adjustRightInd w:val="0"/>
        <w:rPr>
          <w:noProof/>
          <w:szCs w:val="22"/>
        </w:rPr>
      </w:pPr>
      <w:r w:rsidRPr="00312F89">
        <w:t>Честотите са дефинирани като: много чести (≥1/10), чести (≥1/100 до &lt;1/10), нечести (≥1/1 000 до &lt;1/100), редки (≥1/10 000 до &lt;1/1 000), много редки (&lt;1/10 000), неизвестни (от наличните данни не може да бъде направена оценка)</w:t>
      </w:r>
      <w:r w:rsidRPr="00312F89">
        <w:t>.</w:t>
      </w:r>
    </w:p>
    <w:p w14:paraId="16D7AABD" w14:textId="77777777" w:rsidR="005B72A3" w:rsidRPr="00312F89" w:rsidRDefault="005B72A3" w:rsidP="005B72A3">
      <w:pPr>
        <w:autoSpaceDE w:val="0"/>
        <w:autoSpaceDN w:val="0"/>
        <w:adjustRightInd w:val="0"/>
        <w:jc w:val="both"/>
        <w:rPr>
          <w:noProof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3969"/>
      </w:tblGrid>
      <w:tr w:rsidR="00FF4C71" w14:paraId="16D7AAC0" w14:textId="77777777" w:rsidTr="005B72A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BE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rPr>
                <w:b/>
              </w:rPr>
              <w:t>Системо-органен клас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BF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rPr>
                <w:b/>
              </w:rPr>
              <w:t>Нежелани реакции</w:t>
            </w:r>
          </w:p>
        </w:tc>
      </w:tr>
      <w:tr w:rsidR="00FF4C71" w14:paraId="16D7AAC3" w14:textId="77777777" w:rsidTr="005B72A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C1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t>Нарушения на кръвта и лимфната система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D5A5" w14:textId="7B11E2A9" w:rsidR="00D27EF9" w:rsidRDefault="00624432" w:rsidP="00D27EF9">
            <w:pPr>
              <w:pStyle w:val="Default"/>
              <w:rPr>
                <w:sz w:val="22"/>
                <w:szCs w:val="22"/>
              </w:rPr>
            </w:pPr>
            <w:r w:rsidRPr="00D27EF9">
              <w:rPr>
                <w:i/>
                <w:iCs/>
                <w:sz w:val="22"/>
                <w:szCs w:val="22"/>
              </w:rPr>
              <w:t>Нечести:</w:t>
            </w:r>
            <w:r>
              <w:rPr>
                <w:sz w:val="22"/>
                <w:szCs w:val="22"/>
              </w:rPr>
              <w:t xml:space="preserve"> Сидеробластна </w:t>
            </w:r>
            <w:r>
              <w:t>анемия</w:t>
            </w:r>
          </w:p>
          <w:p w14:paraId="16D7AAC2" w14:textId="63775AAD" w:rsidR="005B72A3" w:rsidRPr="009D33C2" w:rsidRDefault="00624432" w:rsidP="009D33C2">
            <w:pPr>
              <w:autoSpaceDE w:val="0"/>
              <w:autoSpaceDN w:val="0"/>
              <w:adjustRightInd w:val="0"/>
              <w:rPr>
                <w:szCs w:val="22"/>
              </w:rPr>
            </w:pPr>
            <w:r w:rsidRPr="00312F89">
              <w:rPr>
                <w:i/>
                <w:noProof/>
              </w:rPr>
              <w:t xml:space="preserve">С неизвестна честота: </w:t>
            </w:r>
            <w:r w:rsidRPr="00312F89">
              <w:t>Желязодефицитна анемия</w:t>
            </w:r>
            <w:r w:rsidRPr="009D33C2">
              <w:t>.</w:t>
            </w:r>
          </w:p>
        </w:tc>
      </w:tr>
      <w:tr w:rsidR="00FF4C71" w14:paraId="16D7AAC7" w14:textId="77777777" w:rsidTr="005B72A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C4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t>Стомашно-чревни нарушения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C5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rPr>
                <w:i/>
                <w:noProof/>
              </w:rPr>
              <w:t>Чести:</w:t>
            </w:r>
            <w:r w:rsidRPr="00312F89">
              <w:t xml:space="preserve"> гадене. </w:t>
            </w:r>
          </w:p>
          <w:p w14:paraId="16D7AAC6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rPr>
                <w:i/>
                <w:noProof/>
              </w:rPr>
              <w:t xml:space="preserve">С неизвестна честота: </w:t>
            </w:r>
            <w:r w:rsidRPr="00312F89">
              <w:t xml:space="preserve">Дуоденит, колит </w:t>
            </w:r>
            <w:r w:rsidRPr="00312F89">
              <w:t>(включително тежък колит).</w:t>
            </w:r>
          </w:p>
        </w:tc>
      </w:tr>
      <w:tr w:rsidR="00FF4C71" w14:paraId="16D7AACB" w14:textId="77777777" w:rsidTr="005B72A3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C8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t>Нарушение на кожата и подкожната тъкан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AAC9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rPr>
                <w:i/>
                <w:noProof/>
              </w:rPr>
              <w:t xml:space="preserve">Нечести: </w:t>
            </w:r>
            <w:r w:rsidRPr="00312F89">
              <w:t xml:space="preserve">кожен обрив, пруритус, еритема. </w:t>
            </w:r>
          </w:p>
          <w:p w14:paraId="16D7AACA" w14:textId="77777777" w:rsidR="005B72A3" w:rsidRPr="00312F89" w:rsidRDefault="00624432" w:rsidP="005B72A3">
            <w:pPr>
              <w:autoSpaceDE w:val="0"/>
              <w:autoSpaceDN w:val="0"/>
              <w:adjustRightInd w:val="0"/>
              <w:jc w:val="both"/>
              <w:rPr>
                <w:noProof/>
                <w:szCs w:val="22"/>
              </w:rPr>
            </w:pPr>
            <w:r w:rsidRPr="00312F89">
              <w:rPr>
                <w:i/>
                <w:noProof/>
              </w:rPr>
              <w:t>С неизвестна честота</w:t>
            </w:r>
            <w:r w:rsidRPr="00312F89">
              <w:t>: уртикария.</w:t>
            </w:r>
          </w:p>
        </w:tc>
      </w:tr>
    </w:tbl>
    <w:p w14:paraId="16D7AACC" w14:textId="77777777" w:rsidR="005B72A3" w:rsidRPr="00312F89" w:rsidRDefault="005B72A3" w:rsidP="005B72A3">
      <w:pPr>
        <w:autoSpaceDE w:val="0"/>
        <w:autoSpaceDN w:val="0"/>
        <w:adjustRightInd w:val="0"/>
        <w:rPr>
          <w:noProof/>
          <w:szCs w:val="22"/>
        </w:rPr>
      </w:pPr>
    </w:p>
    <w:p w14:paraId="16D7AACD" w14:textId="77777777" w:rsidR="005B72A3" w:rsidRPr="00312F89" w:rsidRDefault="00624432" w:rsidP="005B72A3">
      <w:pPr>
        <w:autoSpaceDE w:val="0"/>
        <w:autoSpaceDN w:val="0"/>
        <w:adjustRightInd w:val="0"/>
        <w:spacing w:line="240" w:lineRule="auto"/>
        <w:rPr>
          <w:szCs w:val="22"/>
          <w:u w:val="single"/>
        </w:rPr>
      </w:pPr>
      <w:r w:rsidRPr="00312F89">
        <w:rPr>
          <w:u w:val="single"/>
        </w:rPr>
        <w:t>Съобщаване на подозирани нежелани реакции</w:t>
      </w:r>
    </w:p>
    <w:p w14:paraId="16D7AACE" w14:textId="77777777" w:rsidR="005B72A3" w:rsidRPr="00312F89" w:rsidRDefault="00624432" w:rsidP="005B72A3">
      <w:pPr>
        <w:autoSpaceDE w:val="0"/>
        <w:autoSpaceDN w:val="0"/>
        <w:adjustRightInd w:val="0"/>
        <w:spacing w:line="240" w:lineRule="auto"/>
        <w:rPr>
          <w:noProof/>
          <w:szCs w:val="22"/>
        </w:rPr>
      </w:pPr>
      <w:r w:rsidRPr="00312F89">
        <w:t>Съобщаването на подозирани нежелани реакции след разрешаване за употреба на лекарствения продукт е важно. Това позволява да продължи наблюдението на съотношението полза/риск за лекарствения продукт. От медицинските специалисти се изисква да съобщават всяка</w:t>
      </w:r>
      <w:r w:rsidRPr="00312F89">
        <w:t xml:space="preserve"> подозирана нежелана реакция чрез </w:t>
      </w:r>
      <w:r w:rsidRPr="00312F89">
        <w:rPr>
          <w:highlight w:val="lightGray"/>
        </w:rPr>
        <w:t xml:space="preserve">национална система за съобщаване, посочена в </w:t>
      </w:r>
      <w:hyperlink r:id="rId11" w:history="1">
        <w:r w:rsidRPr="00312F89">
          <w:rPr>
            <w:rStyle w:val="Hyperlink"/>
            <w:highlight w:val="lightGray"/>
          </w:rPr>
          <w:t>Приложение V</w:t>
        </w:r>
      </w:hyperlink>
      <w:r w:rsidRPr="00312F89">
        <w:t>.</w:t>
      </w:r>
    </w:p>
    <w:p w14:paraId="16D7AACF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D0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noProof/>
          <w:szCs w:val="22"/>
        </w:rPr>
      </w:pPr>
      <w:r w:rsidRPr="00312F89">
        <w:rPr>
          <w:b/>
          <w:noProof/>
        </w:rPr>
        <w:t>Предозиране</w:t>
      </w:r>
    </w:p>
    <w:p w14:paraId="16D7AAD1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353C4B73" w14:textId="3161BA75" w:rsidR="00332344" w:rsidRPr="00312F89" w:rsidRDefault="00624432" w:rsidP="00E37E7B">
      <w:p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rPr>
          <w:noProof/>
          <w:szCs w:val="22"/>
        </w:rPr>
        <w:t xml:space="preserve">Съобщават се отделни случаи на предозиране с триентин. В случаите до 20 g </w:t>
      </w:r>
      <w:r w:rsidRPr="00312F89">
        <w:t xml:space="preserve">триентин база не се съобщават </w:t>
      </w:r>
      <w:r w:rsidRPr="00312F89">
        <w:rPr>
          <w:noProof/>
          <w:szCs w:val="22"/>
        </w:rPr>
        <w:t xml:space="preserve">явни нежелани ефекти. </w:t>
      </w:r>
      <w:r w:rsidR="00F61C44" w:rsidRPr="00312F89">
        <w:rPr>
          <w:noProof/>
          <w:szCs w:val="22"/>
        </w:rPr>
        <w:t xml:space="preserve">Голямо предозиране </w:t>
      </w:r>
      <w:r w:rsidRPr="00312F89">
        <w:rPr>
          <w:noProof/>
          <w:szCs w:val="22"/>
        </w:rPr>
        <w:t xml:space="preserve">от 40 g </w:t>
      </w:r>
      <w:r w:rsidRPr="00312F89">
        <w:t>триентин база довежда до</w:t>
      </w:r>
      <w:r w:rsidRPr="00312F89">
        <w:rPr>
          <w:noProof/>
          <w:szCs w:val="22"/>
        </w:rPr>
        <w:t xml:space="preserve"> </w:t>
      </w:r>
      <w:r w:rsidR="006F37AA" w:rsidRPr="00312F89">
        <w:rPr>
          <w:noProof/>
          <w:szCs w:val="22"/>
        </w:rPr>
        <w:t>самоограничаващо се</w:t>
      </w:r>
      <w:r w:rsidRPr="00312F89">
        <w:rPr>
          <w:noProof/>
          <w:szCs w:val="22"/>
        </w:rPr>
        <w:t xml:space="preserve"> </w:t>
      </w:r>
      <w:r w:rsidR="006F37AA" w:rsidRPr="00312F89">
        <w:rPr>
          <w:noProof/>
          <w:szCs w:val="22"/>
        </w:rPr>
        <w:t>замайване</w:t>
      </w:r>
      <w:r w:rsidRPr="00312F89">
        <w:rPr>
          <w:noProof/>
          <w:szCs w:val="22"/>
        </w:rPr>
        <w:t xml:space="preserve"> </w:t>
      </w:r>
      <w:r w:rsidR="006F37AA" w:rsidRPr="00312F89">
        <w:rPr>
          <w:noProof/>
          <w:szCs w:val="22"/>
        </w:rPr>
        <w:t>и</w:t>
      </w:r>
      <w:r w:rsidRPr="00312F89">
        <w:rPr>
          <w:noProof/>
          <w:szCs w:val="22"/>
        </w:rPr>
        <w:t xml:space="preserve"> </w:t>
      </w:r>
      <w:r w:rsidR="006F37AA" w:rsidRPr="00312F89">
        <w:rPr>
          <w:noProof/>
          <w:szCs w:val="22"/>
        </w:rPr>
        <w:t>повръщане</w:t>
      </w:r>
      <w:r w:rsidR="00F61C44" w:rsidRPr="00312F89">
        <w:rPr>
          <w:noProof/>
          <w:szCs w:val="22"/>
        </w:rPr>
        <w:t>,</w:t>
      </w:r>
      <w:r w:rsidRPr="00312F89">
        <w:rPr>
          <w:noProof/>
          <w:szCs w:val="22"/>
        </w:rPr>
        <w:t xml:space="preserve"> </w:t>
      </w:r>
      <w:r w:rsidR="006F37AA" w:rsidRPr="00312F89">
        <w:rPr>
          <w:noProof/>
          <w:szCs w:val="22"/>
        </w:rPr>
        <w:t xml:space="preserve">без да се съобщават други клинични </w:t>
      </w:r>
      <w:r w:rsidR="00F61C44" w:rsidRPr="00312F89">
        <w:rPr>
          <w:noProof/>
          <w:szCs w:val="22"/>
        </w:rPr>
        <w:t>усложнения</w:t>
      </w:r>
      <w:r w:rsidR="006F37AA" w:rsidRPr="00312F89">
        <w:rPr>
          <w:noProof/>
          <w:szCs w:val="22"/>
        </w:rPr>
        <w:t xml:space="preserve"> или значими биохимични отклонения</w:t>
      </w:r>
      <w:r w:rsidRPr="00312F89">
        <w:rPr>
          <w:noProof/>
          <w:szCs w:val="22"/>
        </w:rPr>
        <w:t xml:space="preserve">. </w:t>
      </w:r>
    </w:p>
    <w:p w14:paraId="4E02FDB5" w14:textId="77777777" w:rsidR="00332344" w:rsidRPr="00312F89" w:rsidRDefault="00332344" w:rsidP="00E37E7B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16D7AAD2" w14:textId="47DC7F3A" w:rsidR="005B72A3" w:rsidRPr="00312F89" w:rsidRDefault="00624432" w:rsidP="00E37E7B">
      <w:p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>Няма антидот за остро предозиране с триентин.</w:t>
      </w:r>
    </w:p>
    <w:p w14:paraId="16D7AAD3" w14:textId="77777777" w:rsidR="005B72A3" w:rsidRPr="00312F89" w:rsidRDefault="005B72A3" w:rsidP="005B72A3">
      <w:pPr>
        <w:spacing w:line="240" w:lineRule="auto"/>
        <w:rPr>
          <w:szCs w:val="22"/>
        </w:rPr>
      </w:pPr>
    </w:p>
    <w:p w14:paraId="16D7AAD4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>Хроничното лечение може да доведе до дефицит на мед и до обратима сидеробластна анемия. Свръхлечението и прекаленото отстраняване на мед, ако е необходимо,  може</w:t>
      </w:r>
      <w:r w:rsidRPr="00312F89">
        <w:t xml:space="preserve"> да се следи с помощта на стойностите на екскреция на мед в урината и на несвързаната с церулоплазмин мед. Необходимо е внимателно проследяване, за да се оптимизира дозата или да се адаптира лечението, ако е необходимо (вж. точка 4.4).</w:t>
      </w:r>
    </w:p>
    <w:p w14:paraId="16D7AAD5" w14:textId="77777777" w:rsidR="005B72A3" w:rsidRPr="00312F89" w:rsidRDefault="005B72A3" w:rsidP="005B72A3">
      <w:pPr>
        <w:suppressAutoHyphens/>
        <w:spacing w:line="240" w:lineRule="auto"/>
        <w:rPr>
          <w:b/>
          <w:szCs w:val="22"/>
        </w:rPr>
      </w:pPr>
    </w:p>
    <w:p w14:paraId="16D7AAD6" w14:textId="77777777" w:rsidR="005B72A3" w:rsidRPr="00312F89" w:rsidRDefault="005B72A3" w:rsidP="005B72A3">
      <w:pPr>
        <w:suppressAutoHyphens/>
        <w:spacing w:line="240" w:lineRule="auto"/>
        <w:rPr>
          <w:b/>
          <w:szCs w:val="22"/>
        </w:rPr>
      </w:pPr>
    </w:p>
    <w:p w14:paraId="16D7AAD7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ФАРМАКОЛОГИЧНИ СВО</w:t>
      </w:r>
      <w:r w:rsidRPr="00312F89">
        <w:rPr>
          <w:b/>
        </w:rPr>
        <w:t>ЙСТВА</w:t>
      </w:r>
    </w:p>
    <w:p w14:paraId="16D7AAD8" w14:textId="77777777" w:rsidR="005B72A3" w:rsidRPr="00312F89" w:rsidRDefault="005B72A3" w:rsidP="005B72A3">
      <w:pPr>
        <w:spacing w:line="240" w:lineRule="auto"/>
        <w:rPr>
          <w:szCs w:val="22"/>
        </w:rPr>
      </w:pPr>
    </w:p>
    <w:p w14:paraId="16D7AAD9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szCs w:val="22"/>
        </w:rPr>
      </w:pPr>
      <w:r w:rsidRPr="00312F89">
        <w:rPr>
          <w:b/>
        </w:rPr>
        <w:t>Фармакодинамични свойства</w:t>
      </w:r>
    </w:p>
    <w:p w14:paraId="16D7AADA" w14:textId="77777777" w:rsidR="005B72A3" w:rsidRPr="00312F89" w:rsidRDefault="005B72A3" w:rsidP="005B72A3">
      <w:pPr>
        <w:spacing w:line="240" w:lineRule="auto"/>
        <w:rPr>
          <w:szCs w:val="22"/>
        </w:rPr>
      </w:pPr>
    </w:p>
    <w:p w14:paraId="16D7AADB" w14:textId="77777777" w:rsidR="005B72A3" w:rsidRPr="00312F89" w:rsidRDefault="00624432" w:rsidP="005B72A3">
      <w:pPr>
        <w:numPr>
          <w:ilvl w:val="12"/>
          <w:numId w:val="0"/>
        </w:numPr>
        <w:ind w:right="-2"/>
        <w:rPr>
          <w:szCs w:val="22"/>
        </w:rPr>
      </w:pPr>
      <w:r w:rsidRPr="00312F89">
        <w:t>Фармакотерапевтична група: Други продукти на храносмилателния тракт и метаболизма, различни продукти на храносмилателния тракт и метаболизма, ATC код: A16AX12.</w:t>
      </w:r>
    </w:p>
    <w:p w14:paraId="16D7AADC" w14:textId="77777777" w:rsidR="005B72A3" w:rsidRPr="00312F89" w:rsidRDefault="005B72A3" w:rsidP="005B72A3">
      <w:pPr>
        <w:numPr>
          <w:ilvl w:val="12"/>
          <w:numId w:val="0"/>
        </w:numPr>
        <w:ind w:right="-2"/>
        <w:rPr>
          <w:szCs w:val="22"/>
        </w:rPr>
      </w:pPr>
    </w:p>
    <w:p w14:paraId="16D7AADD" w14:textId="77777777" w:rsidR="005B72A3" w:rsidRPr="00312F89" w:rsidRDefault="00624432" w:rsidP="005B72A3">
      <w:pPr>
        <w:keepNext/>
        <w:numPr>
          <w:ilvl w:val="12"/>
          <w:numId w:val="0"/>
        </w:numPr>
        <w:rPr>
          <w:szCs w:val="22"/>
          <w:u w:val="single"/>
        </w:rPr>
      </w:pPr>
      <w:r w:rsidRPr="00312F89">
        <w:rPr>
          <w:u w:val="single"/>
        </w:rPr>
        <w:t xml:space="preserve">Механизъм на действие </w:t>
      </w:r>
    </w:p>
    <w:p w14:paraId="16D7AADE" w14:textId="1AF00A64" w:rsidR="005B72A3" w:rsidRPr="00312F89" w:rsidRDefault="00624432" w:rsidP="005B72A3">
      <w:pPr>
        <w:numPr>
          <w:ilvl w:val="12"/>
          <w:numId w:val="0"/>
        </w:numPr>
        <w:ind w:right="-2"/>
        <w:rPr>
          <w:szCs w:val="22"/>
        </w:rPr>
      </w:pPr>
      <w:r w:rsidRPr="00312F89">
        <w:t xml:space="preserve">Триентин е </w:t>
      </w:r>
      <w:r w:rsidRPr="00312F89">
        <w:t xml:space="preserve">мед-хелатиращо средство, чийто основен механизъм на действие е премахването на абсорбираната мед от организма чрез образуване на стабилен комплекс, който след това се отделя чрез урината. Триентин може също така да хелатира медта в чревния тракт и по този </w:t>
      </w:r>
      <w:r w:rsidRPr="00312F89">
        <w:t>начин да инхибира абсорбцията на мед.</w:t>
      </w:r>
    </w:p>
    <w:p w14:paraId="16D7AADF" w14:textId="77777777" w:rsidR="005B72A3" w:rsidRPr="00312F89" w:rsidRDefault="005B72A3" w:rsidP="005B72A3">
      <w:pPr>
        <w:numPr>
          <w:ilvl w:val="12"/>
          <w:numId w:val="0"/>
        </w:numPr>
        <w:ind w:right="-2"/>
        <w:rPr>
          <w:iCs/>
          <w:noProof/>
          <w:szCs w:val="22"/>
        </w:rPr>
      </w:pPr>
    </w:p>
    <w:p w14:paraId="16D7AAE0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>Фармакокинетични свойства</w:t>
      </w:r>
    </w:p>
    <w:p w14:paraId="16D7AAE1" w14:textId="77777777" w:rsidR="005B72A3" w:rsidRPr="00312F89" w:rsidRDefault="005B72A3" w:rsidP="005B72A3">
      <w:pPr>
        <w:rPr>
          <w:noProof/>
        </w:rPr>
      </w:pPr>
    </w:p>
    <w:p w14:paraId="16D7AAE2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Абсорбция</w:t>
      </w:r>
    </w:p>
    <w:p w14:paraId="16D7AAE3" w14:textId="4D4F5339" w:rsidR="005B72A3" w:rsidRPr="00312F89" w:rsidRDefault="00624432" w:rsidP="005B72A3">
      <w:pPr>
        <w:rPr>
          <w:noProof/>
          <w:szCs w:val="22"/>
        </w:rPr>
      </w:pPr>
      <w:r w:rsidRPr="00312F89">
        <w:t xml:space="preserve">Абсорбцията на триентин след перорално приложение е ниска и варира при пациентите с болестта на </w:t>
      </w:r>
      <w:r w:rsidR="0006785B" w:rsidRPr="00312F89">
        <w:t>Wilson</w:t>
      </w:r>
      <w:r w:rsidRPr="00312F89">
        <w:t>. Фармакокинетичният профил на Cuprior е оценен след еднократна перорална доза от 450, 600 mg и 750 mg триентин при здрави мъже и жени. Плазмените нива на</w:t>
      </w:r>
      <w:r w:rsidRPr="00312F89">
        <w:t xml:space="preserve"> триентин се повишават бързо след приложение, като средното пиково ниво се достига след 1,25 до 2 часа. Плазмената концентрация на триентин след това намалява многофазно, първоначално бързо, последвано от по-бавна фаза на елиминиране. Общите фармакокинетич</w:t>
      </w:r>
      <w:r w:rsidRPr="00312F89">
        <w:t xml:space="preserve">ни профили са сходни при мъжете и жените, въпреки че мъжете имат по-високи нива на триентин. </w:t>
      </w:r>
    </w:p>
    <w:p w14:paraId="16D7AAE4" w14:textId="77777777" w:rsidR="005B72A3" w:rsidRPr="00312F89" w:rsidRDefault="005B72A3" w:rsidP="005B72A3">
      <w:pPr>
        <w:rPr>
          <w:noProof/>
          <w:szCs w:val="22"/>
        </w:rPr>
      </w:pPr>
    </w:p>
    <w:p w14:paraId="16D7AAE5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Разпределение</w:t>
      </w:r>
    </w:p>
    <w:p w14:paraId="16D7AAE6" w14:textId="77388C71" w:rsidR="005B72A3" w:rsidRPr="00312F89" w:rsidRDefault="00624432" w:rsidP="005B72A3">
      <w:pPr>
        <w:rPr>
          <w:noProof/>
          <w:szCs w:val="22"/>
        </w:rPr>
      </w:pPr>
      <w:r w:rsidRPr="00312F89">
        <w:t xml:space="preserve">Малко се знае за разпределението на триентин в органите и тъканите. </w:t>
      </w:r>
    </w:p>
    <w:p w14:paraId="16D7AAE7" w14:textId="77777777" w:rsidR="005B72A3" w:rsidRPr="00312F89" w:rsidRDefault="005B72A3" w:rsidP="005B72A3">
      <w:pPr>
        <w:rPr>
          <w:noProof/>
          <w:szCs w:val="22"/>
        </w:rPr>
      </w:pPr>
    </w:p>
    <w:p w14:paraId="16D7AAE8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Биотрансформация</w:t>
      </w:r>
    </w:p>
    <w:p w14:paraId="16D7AAE9" w14:textId="4F70C9FB" w:rsidR="005B72A3" w:rsidRPr="00312F89" w:rsidRDefault="00624432" w:rsidP="005B72A3">
      <w:pPr>
        <w:rPr>
          <w:szCs w:val="22"/>
        </w:rPr>
      </w:pPr>
      <w:r w:rsidRPr="00312F89">
        <w:t>Триентин се ацетилира в два основни метаболита, N(1) -ацетил</w:t>
      </w:r>
      <w:r w:rsidRPr="00312F89">
        <w:t>триетилентетрамин (МАТ) и N(1), N(10) -диацетилтриетилентетрамин (DAT). MAT може да участва и в цялостната клинична активност на Cuprior, но въпреки това остава да се определи делът на MAT за цялостния ефект на Cuprior върху нивата на медта.</w:t>
      </w:r>
    </w:p>
    <w:p w14:paraId="16D7AAEA" w14:textId="77777777" w:rsidR="005B72A3" w:rsidRPr="00312F89" w:rsidRDefault="005B72A3" w:rsidP="005B72A3">
      <w:pPr>
        <w:rPr>
          <w:szCs w:val="22"/>
        </w:rPr>
      </w:pPr>
    </w:p>
    <w:p w14:paraId="16D7AAEB" w14:textId="77777777" w:rsidR="005B72A3" w:rsidRPr="00312F89" w:rsidRDefault="00624432" w:rsidP="005B72A3">
      <w:pPr>
        <w:rPr>
          <w:noProof/>
          <w:szCs w:val="22"/>
        </w:rPr>
      </w:pPr>
      <w:r w:rsidRPr="00312F89">
        <w:rPr>
          <w:noProof/>
          <w:u w:val="single"/>
        </w:rPr>
        <w:t>Елиминиране</w:t>
      </w:r>
    </w:p>
    <w:p w14:paraId="16D7AAEC" w14:textId="134AD783" w:rsidR="005B72A3" w:rsidRPr="00312F89" w:rsidRDefault="00624432" w:rsidP="005B72A3">
      <w:pPr>
        <w:rPr>
          <w:noProof/>
          <w:szCs w:val="22"/>
        </w:rPr>
      </w:pPr>
      <w:r w:rsidRPr="00312F89">
        <w:t>Т</w:t>
      </w:r>
      <w:r w:rsidRPr="00312F89">
        <w:t>риентин и неговите метаболити се екскретират бързо в урината, въпреки че все още могат да се открият ниски нива на триентин в плазмата след 20 часа. Неабсорбираният триентин се елиминира чрез фекална екскреция.</w:t>
      </w:r>
    </w:p>
    <w:p w14:paraId="16D7AAED" w14:textId="77777777" w:rsidR="005B72A3" w:rsidRPr="00312F89" w:rsidRDefault="005B72A3" w:rsidP="005B72A3">
      <w:pPr>
        <w:rPr>
          <w:noProof/>
          <w:szCs w:val="22"/>
        </w:rPr>
      </w:pPr>
    </w:p>
    <w:p w14:paraId="16D7AAEE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Линейност/нелинейност</w:t>
      </w:r>
    </w:p>
    <w:p w14:paraId="16D7AAEF" w14:textId="393A7C34" w:rsidR="005B72A3" w:rsidRPr="00312F89" w:rsidRDefault="00624432" w:rsidP="005B72A3">
      <w:pPr>
        <w:rPr>
          <w:noProof/>
          <w:szCs w:val="22"/>
        </w:rPr>
      </w:pPr>
      <w:r w:rsidRPr="00312F89">
        <w:t xml:space="preserve">Плазмените експозиции </w:t>
      </w:r>
      <w:r w:rsidRPr="00312F89">
        <w:t>при хора показват линейна връзка с перорални дози триет</w:t>
      </w:r>
      <w:r w:rsidR="00321BD0" w:rsidRPr="00312F89">
        <w:t>и</w:t>
      </w:r>
      <w:r w:rsidRPr="00312F89">
        <w:t>н.</w:t>
      </w:r>
    </w:p>
    <w:p w14:paraId="16D7AAF0" w14:textId="77777777" w:rsidR="005B72A3" w:rsidRPr="00312F89" w:rsidRDefault="005B72A3" w:rsidP="005B72A3">
      <w:pPr>
        <w:numPr>
          <w:ilvl w:val="12"/>
          <w:numId w:val="0"/>
        </w:numPr>
        <w:spacing w:line="240" w:lineRule="auto"/>
        <w:ind w:right="-2"/>
        <w:rPr>
          <w:iCs/>
          <w:noProof/>
          <w:szCs w:val="22"/>
        </w:rPr>
      </w:pPr>
    </w:p>
    <w:p w14:paraId="16D7AAF1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>Предклинични данни за безопасност</w:t>
      </w:r>
    </w:p>
    <w:p w14:paraId="16D7AAF2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AF3" w14:textId="13BBB8E6" w:rsidR="005B72A3" w:rsidRPr="00312F89" w:rsidRDefault="00624432" w:rsidP="005B72A3">
      <w:pPr>
        <w:rPr>
          <w:noProof/>
          <w:szCs w:val="22"/>
        </w:rPr>
      </w:pPr>
      <w:r w:rsidRPr="00312F89">
        <w:t xml:space="preserve">Предклиничните данни, получени за триентин, сочат нежелани реакции, които не се наблюдават в клиничните проучвания, но които се наблюдават при животни при нива на </w:t>
      </w:r>
      <w:r w:rsidRPr="00312F89">
        <w:lastRenderedPageBreak/>
        <w:t>експозиция, подобни на нивата на клинична експозиция и е възможно да имат значение за клиничн</w:t>
      </w:r>
      <w:r w:rsidRPr="00312F89">
        <w:t>ата употреба, както следва:</w:t>
      </w:r>
    </w:p>
    <w:p w14:paraId="16D7AAF4" w14:textId="77777777" w:rsidR="005B72A3" w:rsidRPr="00312F89" w:rsidRDefault="005B72A3" w:rsidP="005B72A3">
      <w:pPr>
        <w:rPr>
          <w:szCs w:val="22"/>
        </w:rPr>
      </w:pPr>
    </w:p>
    <w:p w14:paraId="16D7AAF5" w14:textId="77777777" w:rsidR="005B72A3" w:rsidRPr="00312F89" w:rsidRDefault="00624432" w:rsidP="005B72A3">
      <w:pPr>
        <w:keepNext/>
        <w:rPr>
          <w:noProof/>
          <w:szCs w:val="22"/>
          <w:u w:val="single"/>
        </w:rPr>
      </w:pPr>
      <w:r w:rsidRPr="00312F89">
        <w:rPr>
          <w:noProof/>
          <w:u w:val="single"/>
        </w:rPr>
        <w:t>Токсичност при многократно прилагане</w:t>
      </w:r>
    </w:p>
    <w:p w14:paraId="16D7AAF6" w14:textId="5C2C74C7" w:rsidR="005B72A3" w:rsidRPr="00312F89" w:rsidRDefault="00624432" w:rsidP="005B72A3">
      <w:pPr>
        <w:keepNext/>
        <w:rPr>
          <w:noProof/>
          <w:szCs w:val="22"/>
        </w:rPr>
      </w:pPr>
      <w:r w:rsidRPr="00312F89">
        <w:t>При мишки, прилаган в питейна вода, триентин показва повишени честоти на възпаление на белодробния интерстициум и перипортална мастна инфилтрация в черния дроб. Пролиферацията на хематопоети</w:t>
      </w:r>
      <w:r w:rsidRPr="00312F89">
        <w:t>чни клетки се наблюдава в далака на мъжките. Понижава се теглото на бъбреците и тялото при мъжките, както и честотата на бъбречната цитоплазмена вакуолизация. NOAEL е установен при приблизително 92 mg/kg/ден при мъжките и 99 mg/kg/ден за женските. При плъх</w:t>
      </w:r>
      <w:r w:rsidRPr="00312F89">
        <w:t>ове, на които са прилагани перорални дози триентини до 600 mg/kg/ ден в продължение на 26 седмици, хистопатологията разкрива свързана</w:t>
      </w:r>
      <w:r w:rsidRPr="00312F89">
        <w:softHyphen/>
        <w:t xml:space="preserve"> с дозата честота и тежест на фокален хроничен интерстициален пневмонит, придружен от фиброза на алвеоларната стена. Микро</w:t>
      </w:r>
      <w:r w:rsidRPr="00312F89">
        <w:t>скопските промени в белите дробове се считат за показателни за упорита възпалителна реакция или устойчив токсичен ефект върху алвеоларните клетки. Като се има предвид, че триентин има дразнещи свойства, е преценено, че наблюдаваният хроничен интерстициален</w:t>
      </w:r>
      <w:r w:rsidRPr="00312F89">
        <w:t xml:space="preserve"> пневмонит се обяснява с цитотоксичния ефект на триентин при натрупване в бронхиоларните епителни клетки и алвеоларните пневмоцити. Тези находки не са обратими. NOAEL при плъхове се счита за 50 mg/kg/ден за женските, NOAEL не е установен за мъжките.</w:t>
      </w:r>
    </w:p>
    <w:p w14:paraId="16D7AAF7" w14:textId="3088ED5B" w:rsidR="005B72A3" w:rsidRPr="00312F89" w:rsidRDefault="00624432" w:rsidP="005B72A3">
      <w:pPr>
        <w:rPr>
          <w:noProof/>
          <w:szCs w:val="22"/>
        </w:rPr>
      </w:pPr>
      <w:r w:rsidRPr="00312F89">
        <w:t>Кучета</w:t>
      </w:r>
      <w:r w:rsidRPr="00312F89">
        <w:t>, приемащи перорални дози от триентин до 300 mg/kg дневно, показват неврологични и/или мускулно-скелетни клинични симптоми (анормална походка, атаксия, слаби крайници, треперене на тялото) в проучвания за токсичност при многократно приложение, които се отд</w:t>
      </w:r>
      <w:r w:rsidRPr="00312F89">
        <w:t>ават на понижаващото медта действие на триентин. NOAEL е установен на 50 mg/kg/ден, което води до граници на безопасност от около 4 при мъжките и 17 при женските, спрямо терапевтичните експозиции при хора.</w:t>
      </w:r>
    </w:p>
    <w:p w14:paraId="16D7AAF8" w14:textId="77777777" w:rsidR="005B72A3" w:rsidRPr="00312F89" w:rsidRDefault="005B72A3" w:rsidP="005B72A3">
      <w:pPr>
        <w:rPr>
          <w:noProof/>
          <w:szCs w:val="22"/>
        </w:rPr>
      </w:pPr>
    </w:p>
    <w:p w14:paraId="16D7AAF9" w14:textId="77777777" w:rsidR="005B72A3" w:rsidRPr="00312F89" w:rsidRDefault="00624432" w:rsidP="005B72A3">
      <w:pPr>
        <w:keepNext/>
        <w:rPr>
          <w:noProof/>
          <w:szCs w:val="22"/>
          <w:u w:val="single"/>
        </w:rPr>
      </w:pPr>
      <w:r w:rsidRPr="00312F89">
        <w:rPr>
          <w:noProof/>
          <w:u w:val="single"/>
        </w:rPr>
        <w:t>Генотоксичност</w:t>
      </w:r>
    </w:p>
    <w:p w14:paraId="16D7AAFA" w14:textId="658C62ED" w:rsidR="005B72A3" w:rsidRPr="00312F89" w:rsidRDefault="00624432" w:rsidP="005B72A3">
      <w:pPr>
        <w:rPr>
          <w:noProof/>
          <w:szCs w:val="22"/>
        </w:rPr>
      </w:pPr>
      <w:r w:rsidRPr="00312F89">
        <w:t>Като цяло триентин показва положит</w:t>
      </w:r>
      <w:r w:rsidRPr="00312F89">
        <w:t xml:space="preserve">елни ефекти в </w:t>
      </w:r>
      <w:r w:rsidRPr="00312F89">
        <w:rPr>
          <w:i/>
          <w:noProof/>
        </w:rPr>
        <w:t>in vitro</w:t>
      </w:r>
      <w:r w:rsidRPr="00312F89">
        <w:t xml:space="preserve"> проучвания за генотоксичност, включително тест на Ames и тестове за генотоксичност в клетки на бозайници. </w:t>
      </w:r>
      <w:r w:rsidRPr="00312F89">
        <w:rPr>
          <w:i/>
          <w:noProof/>
        </w:rPr>
        <w:t>In vivo</w:t>
      </w:r>
      <w:r w:rsidRPr="00312F89">
        <w:t>, триентин обаче е отрицателен в микронуклеус тест при мишки.</w:t>
      </w:r>
    </w:p>
    <w:p w14:paraId="16D7AAFB" w14:textId="77777777" w:rsidR="005B72A3" w:rsidRPr="00312F89" w:rsidRDefault="005B72A3" w:rsidP="005B72A3">
      <w:pPr>
        <w:rPr>
          <w:noProof/>
          <w:szCs w:val="22"/>
        </w:rPr>
      </w:pPr>
    </w:p>
    <w:p w14:paraId="16D7AAFC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Репродуктивна токсичност и токсичност за развитието</w:t>
      </w:r>
    </w:p>
    <w:p w14:paraId="16D7AAFD" w14:textId="55BC0B58" w:rsidR="005B72A3" w:rsidRPr="00312F89" w:rsidRDefault="00624432" w:rsidP="005B72A3">
      <w:pPr>
        <w:rPr>
          <w:noProof/>
          <w:szCs w:val="22"/>
        </w:rPr>
      </w:pPr>
      <w:r w:rsidRPr="00312F89">
        <w:t>Когат</w:t>
      </w:r>
      <w:r w:rsidRPr="00312F89">
        <w:t>о гризачите се хранят по време на бременност при диета, съдържаща триентин, честотата на резорбция на фетуса и честотата на аномалните фетуси при термина показват зависимо от дозата увеличение. Тези ефекти вероятно се дължат на предизвикания от триентин де</w:t>
      </w:r>
      <w:r w:rsidRPr="00312F89">
        <w:t xml:space="preserve">фицит на мед и цинк. </w:t>
      </w:r>
    </w:p>
    <w:p w14:paraId="16D7AAFE" w14:textId="77777777" w:rsidR="005B72A3" w:rsidRPr="00312F89" w:rsidRDefault="005B72A3" w:rsidP="005B72A3">
      <w:pPr>
        <w:rPr>
          <w:noProof/>
          <w:szCs w:val="22"/>
        </w:rPr>
      </w:pPr>
    </w:p>
    <w:p w14:paraId="16D7AAFF" w14:textId="77777777" w:rsidR="005B72A3" w:rsidRPr="00312F89" w:rsidRDefault="00624432" w:rsidP="005B72A3">
      <w:pPr>
        <w:rPr>
          <w:noProof/>
          <w:szCs w:val="22"/>
          <w:u w:val="single"/>
        </w:rPr>
      </w:pPr>
      <w:r w:rsidRPr="00312F89">
        <w:rPr>
          <w:noProof/>
          <w:u w:val="single"/>
        </w:rPr>
        <w:t>Локална поносимост</w:t>
      </w:r>
    </w:p>
    <w:p w14:paraId="16D7AB00" w14:textId="2A0C025E" w:rsidR="005B72A3" w:rsidRPr="00312F89" w:rsidRDefault="00624432" w:rsidP="005B72A3">
      <w:pPr>
        <w:rPr>
          <w:noProof/>
          <w:szCs w:val="22"/>
        </w:rPr>
      </w:pPr>
      <w:r w:rsidRPr="00312F89">
        <w:rPr>
          <w:i/>
          <w:noProof/>
        </w:rPr>
        <w:t>In silico</w:t>
      </w:r>
      <w:r w:rsidRPr="00312F89">
        <w:t xml:space="preserve"> данните предполагат, че триентин проявява дразнещи и сенсибилизиращи свойства. Съобщава се за положителни резултати за потенциал за сенсибилизация при максимизиращи тестове с морски свинчета.</w:t>
      </w:r>
    </w:p>
    <w:p w14:paraId="16D7AB01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02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03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ФАРМАЦЕВТИЧНИ ДАННИ</w:t>
      </w:r>
    </w:p>
    <w:p w14:paraId="16D7AB0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05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>Списък на помощните вещества</w:t>
      </w:r>
    </w:p>
    <w:p w14:paraId="16D7AB06" w14:textId="77777777" w:rsidR="005B72A3" w:rsidRPr="00312F89" w:rsidRDefault="005B72A3" w:rsidP="005B72A3">
      <w:pPr>
        <w:spacing w:line="240" w:lineRule="auto"/>
        <w:rPr>
          <w:i/>
          <w:noProof/>
          <w:szCs w:val="22"/>
        </w:rPr>
      </w:pPr>
    </w:p>
    <w:p w14:paraId="16D7AB07" w14:textId="77777777" w:rsidR="00090591" w:rsidRPr="00312F89" w:rsidRDefault="00624432" w:rsidP="005B72A3">
      <w:r w:rsidRPr="00312F89">
        <w:t>Ядро на таблетката:</w:t>
      </w:r>
    </w:p>
    <w:p w14:paraId="16D7AB08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Манитол. </w:t>
      </w:r>
    </w:p>
    <w:p w14:paraId="16D7AB09" w14:textId="77777777" w:rsidR="005B72A3" w:rsidRPr="00312F89" w:rsidRDefault="00624432" w:rsidP="005B72A3">
      <w:pPr>
        <w:rPr>
          <w:noProof/>
          <w:szCs w:val="22"/>
        </w:rPr>
      </w:pPr>
      <w:r w:rsidRPr="00312F89">
        <w:t>Колоиден безводен силициев диоксид.</w:t>
      </w:r>
    </w:p>
    <w:p w14:paraId="16D7AB0A" w14:textId="77777777" w:rsidR="005B72A3" w:rsidRPr="00312F89" w:rsidRDefault="00624432" w:rsidP="005B72A3">
      <w:pPr>
        <w:rPr>
          <w:noProof/>
          <w:szCs w:val="22"/>
        </w:rPr>
      </w:pPr>
      <w:r w:rsidRPr="00312F89">
        <w:t>Глицерол дибехенат.</w:t>
      </w:r>
    </w:p>
    <w:p w14:paraId="16D7AB0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0C" w14:textId="77777777" w:rsidR="00090591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rPr>
          <w:noProof/>
          <w:szCs w:val="22"/>
        </w:rPr>
        <w:t>Филмово покритие на таблетката:</w:t>
      </w:r>
    </w:p>
    <w:p w14:paraId="16D7AB0D" w14:textId="77777777" w:rsidR="00090591" w:rsidRPr="00312F89" w:rsidRDefault="00624432" w:rsidP="00090591">
      <w:pPr>
        <w:rPr>
          <w:noProof/>
          <w:szCs w:val="22"/>
        </w:rPr>
      </w:pPr>
      <w:r w:rsidRPr="00312F89">
        <w:rPr>
          <w:noProof/>
          <w:szCs w:val="22"/>
        </w:rPr>
        <w:t>Поливинилов алкохол.</w:t>
      </w:r>
    </w:p>
    <w:p w14:paraId="16D7AB0E" w14:textId="77777777" w:rsidR="00090591" w:rsidRPr="00312F89" w:rsidRDefault="00624432" w:rsidP="00090591">
      <w:pPr>
        <w:rPr>
          <w:noProof/>
          <w:szCs w:val="22"/>
        </w:rPr>
      </w:pPr>
      <w:r w:rsidRPr="00312F89">
        <w:rPr>
          <w:noProof/>
          <w:szCs w:val="22"/>
        </w:rPr>
        <w:t>Талк.</w:t>
      </w:r>
    </w:p>
    <w:p w14:paraId="16D7AB0F" w14:textId="77777777" w:rsidR="00090591" w:rsidRPr="00312F89" w:rsidRDefault="00624432" w:rsidP="00090591">
      <w:pPr>
        <w:rPr>
          <w:noProof/>
          <w:szCs w:val="22"/>
        </w:rPr>
      </w:pPr>
      <w:r w:rsidRPr="00312F89">
        <w:rPr>
          <w:noProof/>
          <w:szCs w:val="22"/>
        </w:rPr>
        <w:t>Титаниев диоксид (E171).</w:t>
      </w:r>
    </w:p>
    <w:p w14:paraId="16D7AB10" w14:textId="77777777" w:rsidR="00090591" w:rsidRPr="00312F89" w:rsidRDefault="00624432" w:rsidP="00090591">
      <w:pPr>
        <w:rPr>
          <w:noProof/>
          <w:szCs w:val="22"/>
        </w:rPr>
      </w:pPr>
      <w:r w:rsidRPr="00312F89">
        <w:rPr>
          <w:noProof/>
          <w:szCs w:val="22"/>
        </w:rPr>
        <w:t xml:space="preserve">Глицеролов </w:t>
      </w:r>
      <w:r w:rsidRPr="00312F89">
        <w:rPr>
          <w:noProof/>
          <w:szCs w:val="22"/>
        </w:rPr>
        <w:t>монокаприлокапрат (тип I).</w:t>
      </w:r>
    </w:p>
    <w:p w14:paraId="16D7AB11" w14:textId="77777777" w:rsidR="00090591" w:rsidRPr="00312F89" w:rsidRDefault="00624432" w:rsidP="00090591">
      <w:pPr>
        <w:rPr>
          <w:noProof/>
          <w:szCs w:val="22"/>
        </w:rPr>
      </w:pPr>
      <w:r w:rsidRPr="00312F89">
        <w:rPr>
          <w:noProof/>
          <w:szCs w:val="22"/>
        </w:rPr>
        <w:lastRenderedPageBreak/>
        <w:t>Железен оксид, жълт (E172).</w:t>
      </w:r>
    </w:p>
    <w:p w14:paraId="16D7AB12" w14:textId="77777777" w:rsidR="00090591" w:rsidRPr="00312F89" w:rsidRDefault="00624432" w:rsidP="00090591">
      <w:pPr>
        <w:spacing w:line="240" w:lineRule="auto"/>
        <w:rPr>
          <w:noProof/>
          <w:szCs w:val="22"/>
        </w:rPr>
      </w:pPr>
      <w:r w:rsidRPr="00312F89">
        <w:rPr>
          <w:noProof/>
          <w:szCs w:val="22"/>
        </w:rPr>
        <w:t>Натриев лаурисулфат.</w:t>
      </w:r>
    </w:p>
    <w:p w14:paraId="16D7AB13" w14:textId="77777777" w:rsidR="00AB75FD" w:rsidRPr="00312F89" w:rsidRDefault="00AB75FD" w:rsidP="00090591">
      <w:pPr>
        <w:spacing w:line="240" w:lineRule="auto"/>
        <w:rPr>
          <w:noProof/>
          <w:szCs w:val="22"/>
        </w:rPr>
      </w:pPr>
    </w:p>
    <w:p w14:paraId="16D7AB14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>Несъвместимости</w:t>
      </w:r>
    </w:p>
    <w:p w14:paraId="16D7AB1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16" w14:textId="77777777" w:rsidR="005B72A3" w:rsidRPr="00312F89" w:rsidRDefault="00624432" w:rsidP="005B72A3">
      <w:pPr>
        <w:rPr>
          <w:noProof/>
          <w:szCs w:val="22"/>
        </w:rPr>
      </w:pPr>
      <w:r w:rsidRPr="00312F89">
        <w:t>Неприложимо.</w:t>
      </w:r>
    </w:p>
    <w:p w14:paraId="16D7AB17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18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>Срок на годност</w:t>
      </w:r>
    </w:p>
    <w:p w14:paraId="16D7AB1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1A" w14:textId="64C86608" w:rsidR="005B72A3" w:rsidRPr="00312F89" w:rsidRDefault="00624432" w:rsidP="005B72A3">
      <w:pPr>
        <w:rPr>
          <w:noProof/>
          <w:szCs w:val="22"/>
        </w:rPr>
      </w:pPr>
      <w:r>
        <w:rPr>
          <w:lang w:val="en-GB"/>
        </w:rPr>
        <w:t>30</w:t>
      </w:r>
      <w:r w:rsidRPr="00312F89">
        <w:t> </w:t>
      </w:r>
      <w:r w:rsidR="00B63F97" w:rsidRPr="00312F89">
        <w:t>месеца.</w:t>
      </w:r>
    </w:p>
    <w:p w14:paraId="16D7AB1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1C" w14:textId="77777777" w:rsidR="005B72A3" w:rsidRPr="00312F89" w:rsidRDefault="00624432" w:rsidP="005B72A3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>Специални условия на съхранение</w:t>
      </w:r>
    </w:p>
    <w:p w14:paraId="16D7AB1D" w14:textId="77777777" w:rsidR="005B72A3" w:rsidRPr="00312F89" w:rsidRDefault="005B72A3" w:rsidP="005B72A3">
      <w:pPr>
        <w:keepNext/>
        <w:rPr>
          <w:noProof/>
        </w:rPr>
      </w:pPr>
    </w:p>
    <w:p w14:paraId="16D7AB1E" w14:textId="77777777" w:rsidR="005B72A3" w:rsidRPr="00312F89" w:rsidRDefault="00624432" w:rsidP="005B72A3">
      <w:pPr>
        <w:keepNext/>
        <w:rPr>
          <w:szCs w:val="22"/>
        </w:rPr>
      </w:pPr>
      <w:r w:rsidRPr="00312F89">
        <w:t>Този лекарствен продукт не изисква специални условия на съхранение.</w:t>
      </w:r>
    </w:p>
    <w:p w14:paraId="16D7AB1F" w14:textId="77777777" w:rsidR="005B72A3" w:rsidRPr="00312F89" w:rsidRDefault="005B72A3" w:rsidP="005B72A3">
      <w:pPr>
        <w:keepNext/>
        <w:spacing w:line="240" w:lineRule="auto"/>
        <w:rPr>
          <w:noProof/>
          <w:szCs w:val="22"/>
        </w:rPr>
      </w:pPr>
    </w:p>
    <w:p w14:paraId="16D7AB20" w14:textId="77777777" w:rsidR="005B72A3" w:rsidRPr="00312F89" w:rsidRDefault="00624432" w:rsidP="005B72A3">
      <w:pPr>
        <w:pStyle w:val="ListParagraph"/>
        <w:keepNext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r w:rsidRPr="00312F89">
        <w:rPr>
          <w:b/>
        </w:rPr>
        <w:t xml:space="preserve">Вид и съдържание на опаковката </w:t>
      </w:r>
    </w:p>
    <w:p w14:paraId="16D7AB21" w14:textId="77777777" w:rsidR="005B72A3" w:rsidRPr="00312F89" w:rsidRDefault="005B72A3" w:rsidP="005B72A3">
      <w:pPr>
        <w:rPr>
          <w:noProof/>
        </w:rPr>
      </w:pPr>
    </w:p>
    <w:p w14:paraId="16D7AB22" w14:textId="77777777" w:rsidR="005B72A3" w:rsidRPr="00312F89" w:rsidRDefault="00624432" w:rsidP="005B72A3">
      <w:pPr>
        <w:pStyle w:val="Default"/>
        <w:rPr>
          <w:sz w:val="22"/>
          <w:szCs w:val="22"/>
        </w:rPr>
      </w:pPr>
      <w:r w:rsidRPr="00312F89">
        <w:rPr>
          <w:sz w:val="22"/>
        </w:rPr>
        <w:t xml:space="preserve">Блистери от OPA/Alu/PVC-Alu, всеки блистер съдържа 8 </w:t>
      </w:r>
      <w:r w:rsidR="00695D78" w:rsidRPr="00312F89">
        <w:rPr>
          <w:sz w:val="22"/>
        </w:rPr>
        <w:t xml:space="preserve">филмирани </w:t>
      </w:r>
      <w:r w:rsidRPr="00312F89">
        <w:rPr>
          <w:sz w:val="22"/>
        </w:rPr>
        <w:t>таблетки.</w:t>
      </w:r>
    </w:p>
    <w:p w14:paraId="16D7AB23" w14:textId="16F1EC65" w:rsidR="005B72A3" w:rsidRPr="00312F89" w:rsidRDefault="00624432" w:rsidP="005B72A3">
      <w:pPr>
        <w:rPr>
          <w:noProof/>
          <w:szCs w:val="22"/>
        </w:rPr>
      </w:pPr>
      <w:r w:rsidRPr="00312F89">
        <w:t>Вид опаковка: 72 </w:t>
      </w:r>
      <w:r w:rsidR="005B0F93" w:rsidRPr="00312F89">
        <w:rPr>
          <w:rFonts w:eastAsia="SimSun"/>
          <w:color w:val="000000"/>
          <w:szCs w:val="24"/>
        </w:rPr>
        <w:t xml:space="preserve">или 96 филмирани </w:t>
      </w:r>
      <w:r w:rsidRPr="00312F89">
        <w:rPr>
          <w:rFonts w:eastAsia="SimSun"/>
          <w:color w:val="000000"/>
          <w:szCs w:val="24"/>
        </w:rPr>
        <w:t>таблетки.</w:t>
      </w:r>
    </w:p>
    <w:p w14:paraId="16D7AB24" w14:textId="4C902ADE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rPr>
          <w:noProof/>
          <w:szCs w:val="22"/>
        </w:rPr>
        <w:t>Не всички видове опаковки могат да бъдат пуснати на пазара.</w:t>
      </w:r>
    </w:p>
    <w:p w14:paraId="51C958D8" w14:textId="77777777" w:rsidR="005B0F93" w:rsidRPr="00312F89" w:rsidRDefault="005B0F93" w:rsidP="005B72A3">
      <w:pPr>
        <w:spacing w:line="240" w:lineRule="auto"/>
        <w:rPr>
          <w:noProof/>
          <w:szCs w:val="22"/>
        </w:rPr>
      </w:pPr>
    </w:p>
    <w:p w14:paraId="16D7AB25" w14:textId="77777777" w:rsidR="005B72A3" w:rsidRPr="00312F89" w:rsidRDefault="00624432" w:rsidP="005B72A3">
      <w:pPr>
        <w:pStyle w:val="ListParagraph"/>
        <w:numPr>
          <w:ilvl w:val="1"/>
          <w:numId w:val="28"/>
        </w:numPr>
        <w:spacing w:line="240" w:lineRule="auto"/>
        <w:ind w:hanging="930"/>
        <w:outlineLvl w:val="0"/>
        <w:rPr>
          <w:b/>
          <w:szCs w:val="22"/>
        </w:rPr>
      </w:pPr>
      <w:bookmarkStart w:id="1" w:name="OLE_LINK1"/>
      <w:r w:rsidRPr="00312F89">
        <w:rPr>
          <w:b/>
        </w:rPr>
        <w:t xml:space="preserve">Специални предпазни мерки при изхвърляне </w:t>
      </w:r>
    </w:p>
    <w:p w14:paraId="16D7AB2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27" w14:textId="77777777" w:rsidR="005B72A3" w:rsidRPr="00312F89" w:rsidRDefault="00624432" w:rsidP="005B72A3">
      <w:pPr>
        <w:rPr>
          <w:szCs w:val="22"/>
        </w:rPr>
      </w:pPr>
      <w:r w:rsidRPr="00312F89">
        <w:t>Ня</w:t>
      </w:r>
      <w:r w:rsidRPr="00312F89">
        <w:t>ма специални изисквания.</w:t>
      </w:r>
    </w:p>
    <w:p w14:paraId="16D7AB28" w14:textId="77777777" w:rsidR="005B72A3" w:rsidRPr="00312F89" w:rsidRDefault="005B72A3" w:rsidP="005B72A3">
      <w:pPr>
        <w:spacing w:line="240" w:lineRule="auto"/>
        <w:rPr>
          <w:szCs w:val="22"/>
        </w:rPr>
      </w:pPr>
    </w:p>
    <w:bookmarkEnd w:id="1"/>
    <w:p w14:paraId="16D7AB2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2A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ПРИТЕЖАТЕЛ НА РАЗРЕШЕНИЕТО ЗА УПОТРЕБА</w:t>
      </w:r>
    </w:p>
    <w:p w14:paraId="16D7AB2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2C" w14:textId="4E2EF9EA" w:rsidR="005B72A3" w:rsidRPr="00312F89" w:rsidRDefault="00E75EB0" w:rsidP="005B72A3">
      <w:pPr>
        <w:rPr>
          <w:szCs w:val="22"/>
        </w:rPr>
      </w:pPr>
      <w:proofErr w:type="spellStart"/>
      <w:r>
        <w:t>Orphalan</w:t>
      </w:r>
      <w:proofErr w:type="spellEnd"/>
    </w:p>
    <w:p w14:paraId="1EA1003F" w14:textId="77777777" w:rsidR="008E7761" w:rsidRPr="002503BA" w:rsidRDefault="00624432" w:rsidP="008E7761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2193348D" w14:textId="77777777" w:rsidR="008E7761" w:rsidRPr="0036776A" w:rsidRDefault="00624432" w:rsidP="008E7761">
      <w:pPr>
        <w:rPr>
          <w:szCs w:val="22"/>
          <w:lang w:val="fr-FR"/>
        </w:rPr>
      </w:pPr>
      <w:r w:rsidRPr="002503BA">
        <w:rPr>
          <w:szCs w:val="22"/>
          <w:lang w:val="fr-FR"/>
        </w:rPr>
        <w:t>75011 Paris</w:t>
      </w:r>
    </w:p>
    <w:p w14:paraId="16D7AB30" w14:textId="77777777" w:rsidR="005B72A3" w:rsidRPr="00312F89" w:rsidRDefault="00624432" w:rsidP="005B72A3">
      <w:pPr>
        <w:rPr>
          <w:szCs w:val="22"/>
        </w:rPr>
      </w:pPr>
      <w:r w:rsidRPr="00312F89">
        <w:t>Франция</w:t>
      </w:r>
    </w:p>
    <w:p w14:paraId="16D7AB31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2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3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 xml:space="preserve">НОМЕР(А) НА РАЗРЕШЕНИЕТО ЗА УПОТРЕБА </w:t>
      </w:r>
    </w:p>
    <w:p w14:paraId="16D7AB34" w14:textId="77777777" w:rsidR="00B63F97" w:rsidRPr="00312F89" w:rsidRDefault="00B63F97" w:rsidP="00B63F97">
      <w:pPr>
        <w:spacing w:line="240" w:lineRule="auto"/>
        <w:rPr>
          <w:color w:val="000000"/>
        </w:rPr>
      </w:pPr>
    </w:p>
    <w:p w14:paraId="568FC6EF" w14:textId="248CC5EF" w:rsidR="00075DC3" w:rsidRPr="00787600" w:rsidRDefault="00624432" w:rsidP="00075DC3">
      <w:pPr>
        <w:spacing w:line="240" w:lineRule="auto"/>
        <w:rPr>
          <w:color w:val="000000"/>
        </w:rPr>
      </w:pPr>
      <w:r w:rsidRPr="00312F89">
        <w:rPr>
          <w:color w:val="000000"/>
        </w:rPr>
        <w:t>EU/1/17/1199/001</w:t>
      </w:r>
      <w:r w:rsidRPr="00B22DEE">
        <w:rPr>
          <w:color w:val="000000"/>
        </w:rPr>
        <w:t xml:space="preserve"> </w:t>
      </w:r>
      <w:r w:rsidRPr="00787600">
        <w:rPr>
          <w:color w:val="000000"/>
        </w:rPr>
        <w:t>72 филмирани таблетки</w:t>
      </w:r>
    </w:p>
    <w:p w14:paraId="64CF9E6E" w14:textId="77777777" w:rsidR="00075DC3" w:rsidRPr="00312F89" w:rsidRDefault="00624432" w:rsidP="00075DC3">
      <w:pPr>
        <w:spacing w:line="240" w:lineRule="auto"/>
        <w:rPr>
          <w:noProof/>
          <w:szCs w:val="22"/>
        </w:rPr>
      </w:pPr>
      <w:r w:rsidRPr="00312F89">
        <w:rPr>
          <w:noProof/>
          <w:szCs w:val="22"/>
        </w:rPr>
        <w:t xml:space="preserve">EU/1/17/1199/002 96 филмирани </w:t>
      </w:r>
      <w:r w:rsidRPr="00312F89">
        <w:rPr>
          <w:noProof/>
          <w:szCs w:val="22"/>
        </w:rPr>
        <w:t>таблетки</w:t>
      </w:r>
    </w:p>
    <w:p w14:paraId="16D7AB35" w14:textId="0BFDD97A" w:rsidR="005B72A3" w:rsidRPr="00075DC3" w:rsidRDefault="005B72A3" w:rsidP="00B63F97">
      <w:pPr>
        <w:spacing w:line="240" w:lineRule="auto"/>
        <w:rPr>
          <w:color w:val="000000"/>
        </w:rPr>
      </w:pPr>
    </w:p>
    <w:p w14:paraId="16D7AB3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7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ДАТА НА ПЪРВО РАЗРЕШАВАНЕ/ПОДНОВЯВАНЕ НА РАЗРЕШЕНИЕТО ЗА УПОТРЕБА</w:t>
      </w:r>
    </w:p>
    <w:p w14:paraId="16D7AB38" w14:textId="77777777" w:rsidR="005B72A3" w:rsidRPr="00312F89" w:rsidRDefault="005B72A3" w:rsidP="005B72A3">
      <w:pPr>
        <w:spacing w:line="240" w:lineRule="auto"/>
        <w:rPr>
          <w:i/>
          <w:noProof/>
          <w:szCs w:val="22"/>
        </w:rPr>
      </w:pPr>
    </w:p>
    <w:p w14:paraId="16D7AB39" w14:textId="77777777" w:rsidR="005B72A3" w:rsidRPr="00312F89" w:rsidRDefault="00624432" w:rsidP="005B72A3">
      <w:pPr>
        <w:spacing w:line="240" w:lineRule="auto"/>
        <w:rPr>
          <w:i/>
          <w:noProof/>
          <w:szCs w:val="22"/>
        </w:rPr>
      </w:pPr>
      <w:r w:rsidRPr="00312F89">
        <w:t xml:space="preserve">Дата на първо разрешаване: </w:t>
      </w:r>
      <w:r w:rsidR="00830A5B" w:rsidRPr="00312F89">
        <w:t>5 септември 2017 г.</w:t>
      </w:r>
    </w:p>
    <w:p w14:paraId="16D7AB3A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C" w14:textId="77777777" w:rsidR="005B72A3" w:rsidRPr="00312F89" w:rsidRDefault="00624432" w:rsidP="005B72A3">
      <w:pPr>
        <w:pStyle w:val="ListParagraph"/>
        <w:numPr>
          <w:ilvl w:val="0"/>
          <w:numId w:val="28"/>
        </w:numPr>
        <w:spacing w:line="240" w:lineRule="auto"/>
        <w:ind w:hanging="930"/>
        <w:rPr>
          <w:b/>
        </w:rPr>
      </w:pPr>
      <w:r w:rsidRPr="00312F89">
        <w:rPr>
          <w:b/>
        </w:rPr>
        <w:t>ДАТА НА АКТУАЛИЗИРАНЕ НА ТЕКСТА</w:t>
      </w:r>
    </w:p>
    <w:p w14:paraId="16D7AB3D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E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3F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  <w:tab w:val="left" w:pos="1004"/>
        </w:tabs>
        <w:spacing w:line="240" w:lineRule="auto"/>
        <w:ind w:right="-2"/>
        <w:rPr>
          <w:szCs w:val="22"/>
        </w:rPr>
      </w:pPr>
    </w:p>
    <w:p w14:paraId="16D7AB40" w14:textId="77777777" w:rsidR="005B72A3" w:rsidRPr="00312F89" w:rsidRDefault="00624432" w:rsidP="005B72A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312F89">
        <w:t>Подробна информация за този лекарствен продукт е предоставена на уебсайта на Европейската аген</w:t>
      </w:r>
      <w:r w:rsidRPr="00312F89">
        <w:t xml:space="preserve">ция по лекарствата </w:t>
      </w:r>
      <w:hyperlink r:id="rId12" w:history="1">
        <w:r w:rsidRPr="00312F89">
          <w:rPr>
            <w:rStyle w:val="Hyperlink"/>
            <w:noProof/>
          </w:rPr>
          <w:t>http://www.ema.europa.eu</w:t>
        </w:r>
      </w:hyperlink>
      <w:r w:rsidRPr="00312F89">
        <w:t>.</w:t>
      </w:r>
    </w:p>
    <w:p w14:paraId="16D7AB41" w14:textId="77777777" w:rsidR="005B72A3" w:rsidRPr="00312F89" w:rsidRDefault="005B72A3" w:rsidP="005B72A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16D7AB42" w14:textId="77777777" w:rsidR="005B72A3" w:rsidRPr="00312F89" w:rsidRDefault="00624432" w:rsidP="005B72A3">
      <w:pPr>
        <w:autoSpaceDE w:val="0"/>
        <w:autoSpaceDN w:val="0"/>
        <w:adjustRightInd w:val="0"/>
        <w:ind w:left="127" w:right="120"/>
        <w:rPr>
          <w:color w:val="000000"/>
        </w:rPr>
      </w:pPr>
      <w:r w:rsidRPr="00312F89">
        <w:br w:type="page"/>
      </w:r>
    </w:p>
    <w:p w14:paraId="16D7AB43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4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5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6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7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8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9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A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B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C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D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E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4F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0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1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2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3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4" w14:textId="77777777" w:rsidR="005B72A3" w:rsidRPr="00312F89" w:rsidRDefault="00624432" w:rsidP="005B72A3">
      <w:pPr>
        <w:keepNext/>
        <w:autoSpaceDE w:val="0"/>
        <w:autoSpaceDN w:val="0"/>
        <w:adjustRightInd w:val="0"/>
        <w:spacing w:before="280" w:after="220"/>
        <w:ind w:left="127" w:right="120"/>
        <w:jc w:val="center"/>
        <w:rPr>
          <w:b/>
          <w:bCs/>
          <w:color w:val="000000"/>
        </w:rPr>
      </w:pPr>
      <w:r w:rsidRPr="00312F89">
        <w:rPr>
          <w:b/>
          <w:color w:val="000000"/>
        </w:rPr>
        <w:t>ПРИЛОЖЕНИЕ II</w:t>
      </w:r>
    </w:p>
    <w:p w14:paraId="16D7AB55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6" w14:textId="77777777" w:rsidR="005B72A3" w:rsidRPr="00312F89" w:rsidRDefault="00624432" w:rsidP="005B72A3">
      <w:pPr>
        <w:pStyle w:val="ListParagraph"/>
        <w:keepNext/>
        <w:numPr>
          <w:ilvl w:val="0"/>
          <w:numId w:val="29"/>
        </w:numPr>
        <w:autoSpaceDE w:val="0"/>
        <w:autoSpaceDN w:val="0"/>
        <w:adjustRightInd w:val="0"/>
        <w:spacing w:before="280"/>
        <w:ind w:right="120"/>
        <w:rPr>
          <w:b/>
          <w:bCs/>
          <w:color w:val="000000"/>
        </w:rPr>
      </w:pPr>
      <w:r w:rsidRPr="00312F89">
        <w:rPr>
          <w:b/>
          <w:color w:val="000000"/>
        </w:rPr>
        <w:t xml:space="preserve">ПРОИЗВОДИТЕЛ(И), ОТГОВОРЕН(НИ) ЗА ОСВОБОЖДАВАНЕ НА ПАРТИДИ </w:t>
      </w:r>
    </w:p>
    <w:p w14:paraId="16D7AB57" w14:textId="77777777" w:rsidR="005B72A3" w:rsidRPr="00312F89" w:rsidRDefault="00624432" w:rsidP="005B72A3">
      <w:pPr>
        <w:pStyle w:val="ListParagraph"/>
        <w:keepNext/>
        <w:numPr>
          <w:ilvl w:val="0"/>
          <w:numId w:val="29"/>
        </w:numPr>
        <w:autoSpaceDE w:val="0"/>
        <w:autoSpaceDN w:val="0"/>
        <w:adjustRightInd w:val="0"/>
        <w:spacing w:before="280" w:after="220"/>
        <w:ind w:left="573" w:right="119" w:hanging="448"/>
        <w:contextualSpacing w:val="0"/>
        <w:rPr>
          <w:b/>
          <w:bCs/>
          <w:color w:val="000000"/>
        </w:rPr>
      </w:pPr>
      <w:r w:rsidRPr="00312F89">
        <w:rPr>
          <w:b/>
          <w:color w:val="000000"/>
        </w:rPr>
        <w:t>УСЛОВИЯ ИЛИ ОГРАНИЧЕНИЯ ЗА ДОСТАВКА И УПОТРЕБА</w:t>
      </w:r>
    </w:p>
    <w:p w14:paraId="16D7AB58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9" w14:textId="77777777" w:rsidR="005B72A3" w:rsidRPr="00312F89" w:rsidRDefault="00624432" w:rsidP="005B72A3">
      <w:pPr>
        <w:pStyle w:val="ListParagraph"/>
        <w:keepNext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312F89">
        <w:rPr>
          <w:b/>
          <w:color w:val="000000"/>
        </w:rPr>
        <w:t xml:space="preserve">ДРУГИ УСЛОВИЯ И </w:t>
      </w:r>
      <w:r w:rsidRPr="00312F89">
        <w:rPr>
          <w:b/>
          <w:color w:val="000000"/>
        </w:rPr>
        <w:t>ИЗИСКВАНИЯ НА РАЗРЕШЕНИЕТО ЗА УПОТРЕБА</w:t>
      </w:r>
    </w:p>
    <w:p w14:paraId="16D7AB5A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B" w14:textId="77777777" w:rsidR="005B72A3" w:rsidRPr="00312F89" w:rsidRDefault="00624432" w:rsidP="005B72A3">
      <w:pPr>
        <w:pStyle w:val="ListParagraph"/>
        <w:keepNext/>
        <w:numPr>
          <w:ilvl w:val="0"/>
          <w:numId w:val="29"/>
        </w:numPr>
        <w:autoSpaceDE w:val="0"/>
        <w:autoSpaceDN w:val="0"/>
        <w:adjustRightInd w:val="0"/>
        <w:ind w:right="120"/>
        <w:rPr>
          <w:b/>
          <w:bCs/>
          <w:color w:val="000000"/>
        </w:rPr>
      </w:pPr>
      <w:r w:rsidRPr="00312F89">
        <w:rPr>
          <w:b/>
          <w:color w:val="000000"/>
        </w:rPr>
        <w:t>УСЛОВИЯ ИЛИ ОГРАНИЧЕНИЯ ЗА БЕЗОПАСНА И ЕФЕКТИВНА УПОТРЕБА НА ЛЕКАРСТВЕНИЯ ПРОДУКТ</w:t>
      </w:r>
    </w:p>
    <w:p w14:paraId="16D7AB5C" w14:textId="77777777" w:rsidR="005B72A3" w:rsidRPr="00312F89" w:rsidRDefault="005B72A3" w:rsidP="005B72A3">
      <w:pPr>
        <w:autoSpaceDE w:val="0"/>
        <w:autoSpaceDN w:val="0"/>
        <w:adjustRightInd w:val="0"/>
        <w:ind w:left="127" w:right="120"/>
        <w:rPr>
          <w:color w:val="000000"/>
        </w:rPr>
      </w:pPr>
    </w:p>
    <w:p w14:paraId="16D7AB5D" w14:textId="77777777" w:rsidR="005B72A3" w:rsidRPr="00312F89" w:rsidRDefault="005B72A3" w:rsidP="005B72A3">
      <w:pPr>
        <w:keepNext/>
        <w:autoSpaceDE w:val="0"/>
        <w:autoSpaceDN w:val="0"/>
        <w:adjustRightInd w:val="0"/>
        <w:spacing w:before="280"/>
        <w:ind w:left="127" w:right="120"/>
        <w:rPr>
          <w:color w:val="000000"/>
        </w:rPr>
      </w:pPr>
    </w:p>
    <w:p w14:paraId="16D7AB5E" w14:textId="77777777" w:rsidR="005B72A3" w:rsidRPr="00312F89" w:rsidRDefault="00624432" w:rsidP="005B72A3">
      <w:pPr>
        <w:pStyle w:val="ListParagraph"/>
        <w:keepNext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312F89">
        <w:br w:type="page"/>
      </w:r>
      <w:r w:rsidRPr="00312F89">
        <w:rPr>
          <w:b/>
          <w:color w:val="000000"/>
        </w:rPr>
        <w:lastRenderedPageBreak/>
        <w:t>ПРОИЗВОДИТЕЛ(И), ОТГОВОРЕН(НИ) ЗА ОСВОБОЖДАВАНЕ НА ПАРТИДИ</w:t>
      </w:r>
    </w:p>
    <w:p w14:paraId="16D7AB5F" w14:textId="77777777" w:rsidR="005B72A3" w:rsidRPr="00312F89" w:rsidRDefault="00624432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  <w:u w:val="single"/>
        </w:rPr>
      </w:pPr>
      <w:r w:rsidRPr="00312F89">
        <w:rPr>
          <w:color w:val="000000"/>
          <w:u w:val="single"/>
        </w:rPr>
        <w:t>Име и адрес на производителя(ите), отговорен(ни) за освобождаване на пар</w:t>
      </w:r>
      <w:r w:rsidRPr="00312F89">
        <w:rPr>
          <w:color w:val="000000"/>
          <w:u w:val="single"/>
        </w:rPr>
        <w:t>тидите</w:t>
      </w:r>
    </w:p>
    <w:p w14:paraId="16D7AB60" w14:textId="77777777" w:rsidR="005B72A3" w:rsidRPr="00312F89" w:rsidRDefault="005B72A3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6D7AB61" w14:textId="77777777" w:rsidR="005B72A3" w:rsidRPr="00312F89" w:rsidRDefault="00624432" w:rsidP="005B72A3">
      <w:pPr>
        <w:autoSpaceDE w:val="0"/>
        <w:autoSpaceDN w:val="0"/>
        <w:adjustRightInd w:val="0"/>
        <w:ind w:left="127" w:right="120"/>
        <w:rPr>
          <w:color w:val="000000"/>
        </w:rPr>
      </w:pPr>
      <w:r w:rsidRPr="00312F89">
        <w:rPr>
          <w:color w:val="000000"/>
        </w:rPr>
        <w:t>DELPHARM EVREUX</w:t>
      </w:r>
      <w:r w:rsidRPr="00312F89">
        <w:rPr>
          <w:color w:val="000000"/>
        </w:rPr>
        <w:br/>
        <w:t>5 rue du Guesclin</w:t>
      </w:r>
      <w:r w:rsidRPr="00312F89">
        <w:rPr>
          <w:color w:val="000000"/>
        </w:rPr>
        <w:br/>
        <w:t>27000 Evreux</w:t>
      </w:r>
      <w:r w:rsidRPr="00312F89">
        <w:rPr>
          <w:color w:val="000000"/>
        </w:rPr>
        <w:br/>
        <w:t>Франция</w:t>
      </w:r>
    </w:p>
    <w:p w14:paraId="16D7AB62" w14:textId="77777777" w:rsidR="005B72A3" w:rsidRPr="00312F89" w:rsidRDefault="00624432" w:rsidP="005B72A3">
      <w:pPr>
        <w:pStyle w:val="ListParagraph"/>
        <w:keepNext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312F89">
        <w:rPr>
          <w:b/>
          <w:color w:val="000000"/>
        </w:rPr>
        <w:t>УСЛОВИЯ ИЛИ ОГРАНИЧЕНИЯ ЗА ДОСТАВКА И УПОТРЕБА</w:t>
      </w:r>
    </w:p>
    <w:p w14:paraId="16D7AB63" w14:textId="77777777" w:rsidR="005B72A3" w:rsidRPr="00312F89" w:rsidRDefault="00624432" w:rsidP="005B72A3">
      <w:pPr>
        <w:autoSpaceDE w:val="0"/>
        <w:autoSpaceDN w:val="0"/>
        <w:adjustRightInd w:val="0"/>
        <w:spacing w:line="280" w:lineRule="exact"/>
        <w:ind w:left="127" w:right="120"/>
        <w:rPr>
          <w:color w:val="000000"/>
        </w:rPr>
      </w:pPr>
      <w:r w:rsidRPr="00312F89">
        <w:rPr>
          <w:color w:val="000000"/>
        </w:rPr>
        <w:t>Лекарственият продукт се отпуска по ограничено лекарско предписание (вж. Приложение I: Кратка характеристика на продукта, точка 4.2).</w:t>
      </w:r>
    </w:p>
    <w:p w14:paraId="16D7AB64" w14:textId="77777777" w:rsidR="005B72A3" w:rsidRPr="00312F89" w:rsidRDefault="005B72A3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6D7AB65" w14:textId="77777777" w:rsidR="005B72A3" w:rsidRPr="00312F89" w:rsidRDefault="00624432" w:rsidP="005B72A3">
      <w:pPr>
        <w:pStyle w:val="ListParagraph"/>
        <w:keepNext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312F89">
        <w:rPr>
          <w:b/>
          <w:color w:val="000000"/>
        </w:rPr>
        <w:t xml:space="preserve">ДРУГИ УСЛОВИЯ И ИЗИСКВАНИЯ НА РАЗРЕШЕНИЕТО ЗА УПОТРЕБА </w:t>
      </w:r>
    </w:p>
    <w:p w14:paraId="16D7AB66" w14:textId="77777777" w:rsidR="005B72A3" w:rsidRPr="00312F89" w:rsidRDefault="005B72A3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6D7AB67" w14:textId="77777777" w:rsidR="005B72A3" w:rsidRPr="00312F89" w:rsidRDefault="00624432" w:rsidP="005B72A3">
      <w:pPr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312F89">
        <w:rPr>
          <w:b/>
          <w:color w:val="000000"/>
        </w:rPr>
        <w:t xml:space="preserve">Периодични актуализирани доклади за безопасност </w:t>
      </w:r>
    </w:p>
    <w:p w14:paraId="16D7AB68" w14:textId="77777777" w:rsidR="005B72A3" w:rsidRPr="00312F89" w:rsidRDefault="005B72A3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6D7AB69" w14:textId="77777777" w:rsidR="005B72A3" w:rsidRPr="00312F89" w:rsidRDefault="00624432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312F89">
        <w:rPr>
          <w:color w:val="000000"/>
        </w:rPr>
        <w:t>Изискванията за подаване на периодични актуализирани доклади за безопасност за този лекарствен продукт са посочени в списъка с референтните дати на Е</w:t>
      </w:r>
      <w:r w:rsidRPr="00312F89">
        <w:rPr>
          <w:color w:val="000000"/>
        </w:rPr>
        <w:t>вропейския съюз (EURD списък), предвиден в чл. 107в, ал. 7 от Директива 2001/83/ЕО, и във всички следващи актуализации, публикувани на европейския уебпортал за лекарствата.</w:t>
      </w:r>
    </w:p>
    <w:p w14:paraId="16D7AB6A" w14:textId="77777777" w:rsidR="005B72A3" w:rsidRPr="00312F89" w:rsidRDefault="00624432" w:rsidP="005B72A3">
      <w:pPr>
        <w:autoSpaceDE w:val="0"/>
        <w:autoSpaceDN w:val="0"/>
        <w:adjustRightInd w:val="0"/>
        <w:spacing w:line="280" w:lineRule="atLeast"/>
        <w:ind w:left="127" w:right="120"/>
        <w:rPr>
          <w:color w:val="000000"/>
        </w:rPr>
      </w:pPr>
      <w:r w:rsidRPr="00312F89">
        <w:rPr>
          <w:color w:val="000000"/>
        </w:rPr>
        <w:t>Притежателят на разрешението за употреба трябва да подаде първия периодичен актуали</w:t>
      </w:r>
      <w:r w:rsidRPr="00312F89">
        <w:rPr>
          <w:color w:val="000000"/>
        </w:rPr>
        <w:t xml:space="preserve">зиран доклад за безопасност за този продукт в срок от 6 месеца след разрешаването за употреба. </w:t>
      </w:r>
    </w:p>
    <w:p w14:paraId="16D7AB6B" w14:textId="77777777" w:rsidR="005B72A3" w:rsidRPr="00312F89" w:rsidRDefault="00624432" w:rsidP="005B72A3">
      <w:pPr>
        <w:pStyle w:val="ListParagraph"/>
        <w:keepNext/>
        <w:numPr>
          <w:ilvl w:val="0"/>
          <w:numId w:val="30"/>
        </w:numPr>
        <w:autoSpaceDE w:val="0"/>
        <w:autoSpaceDN w:val="0"/>
        <w:adjustRightInd w:val="0"/>
        <w:spacing w:before="280" w:after="220"/>
        <w:ind w:right="120"/>
        <w:rPr>
          <w:b/>
          <w:bCs/>
          <w:color w:val="000000"/>
        </w:rPr>
      </w:pPr>
      <w:r w:rsidRPr="00312F89">
        <w:rPr>
          <w:b/>
          <w:color w:val="000000"/>
        </w:rPr>
        <w:t>УСЛОВИЯ ИЛИ ОГРАНИЧЕНИЯ ЗА БЕЗОПАСНА И ЕФЕКТИВНА УПОТРЕБА НА ЛЕКАРСТВЕНИЯ ПРОДУКТ</w:t>
      </w:r>
    </w:p>
    <w:p w14:paraId="16D7AB6C" w14:textId="77777777" w:rsidR="005B72A3" w:rsidRPr="00312F89" w:rsidRDefault="005B72A3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6D7AB6D" w14:textId="77777777" w:rsidR="005B72A3" w:rsidRPr="00312F89" w:rsidRDefault="00624432" w:rsidP="005B72A3">
      <w:pPr>
        <w:numPr>
          <w:ilvl w:val="0"/>
          <w:numId w:val="21"/>
        </w:numPr>
        <w:tabs>
          <w:tab w:val="clear" w:pos="567"/>
          <w:tab w:val="clear" w:pos="720"/>
          <w:tab w:val="left" w:pos="468"/>
        </w:tabs>
        <w:autoSpaceDE w:val="0"/>
        <w:autoSpaceDN w:val="0"/>
        <w:adjustRightInd w:val="0"/>
        <w:spacing w:line="240" w:lineRule="auto"/>
        <w:ind w:left="468"/>
        <w:rPr>
          <w:color w:val="000000"/>
        </w:rPr>
      </w:pPr>
      <w:r w:rsidRPr="00312F89">
        <w:rPr>
          <w:b/>
          <w:color w:val="000000"/>
        </w:rPr>
        <w:t>План за управление на риска (ПУР)</w:t>
      </w:r>
    </w:p>
    <w:p w14:paraId="16D7AB6E" w14:textId="77777777" w:rsidR="005B72A3" w:rsidRPr="00312F89" w:rsidRDefault="005B72A3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</w:p>
    <w:p w14:paraId="16D7AB6F" w14:textId="77777777" w:rsidR="005B72A3" w:rsidRPr="00312F89" w:rsidRDefault="00624432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312F89">
        <w:rPr>
          <w:color w:val="000000"/>
        </w:rPr>
        <w:t>ПУР трябва да извършва изискваните дейност</w:t>
      </w:r>
      <w:r w:rsidRPr="00312F89">
        <w:rPr>
          <w:color w:val="000000"/>
        </w:rPr>
        <w:t>и и действия, свързани с проследяване на лекарствената безопасност, посочени в одобрения ПУР, представен в Модул 1.8.2 на разрешението за употреба, както и при всички следващи съгласувани актуализации на ПУР.</w:t>
      </w:r>
    </w:p>
    <w:p w14:paraId="16D7AB70" w14:textId="77777777" w:rsidR="005B72A3" w:rsidRPr="00312F89" w:rsidRDefault="00624432" w:rsidP="005B72A3">
      <w:pPr>
        <w:autoSpaceDE w:val="0"/>
        <w:autoSpaceDN w:val="0"/>
        <w:adjustRightInd w:val="0"/>
        <w:spacing w:after="140" w:line="280" w:lineRule="atLeast"/>
        <w:ind w:left="127" w:right="120"/>
        <w:rPr>
          <w:color w:val="000000"/>
        </w:rPr>
      </w:pPr>
      <w:r w:rsidRPr="00312F89">
        <w:rPr>
          <w:color w:val="000000"/>
        </w:rPr>
        <w:t>Актуализиран ПУР трябва да се подава:</w:t>
      </w:r>
    </w:p>
    <w:p w14:paraId="16D7AB71" w14:textId="77777777" w:rsidR="005B72A3" w:rsidRPr="00312F89" w:rsidRDefault="00624432" w:rsidP="005B72A3">
      <w:pPr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312F89">
        <w:rPr>
          <w:color w:val="000000"/>
        </w:rPr>
        <w:t xml:space="preserve">По </w:t>
      </w:r>
      <w:r w:rsidRPr="00312F89">
        <w:rPr>
          <w:color w:val="000000"/>
        </w:rPr>
        <w:t>искане на Европейската агенция по лекарствата;</w:t>
      </w:r>
    </w:p>
    <w:p w14:paraId="16D7AB72" w14:textId="77777777" w:rsidR="005B72A3" w:rsidRPr="00312F89" w:rsidRDefault="00624432" w:rsidP="005B72A3">
      <w:pPr>
        <w:numPr>
          <w:ilvl w:val="0"/>
          <w:numId w:val="21"/>
        </w:numPr>
        <w:tabs>
          <w:tab w:val="clear" w:pos="567"/>
          <w:tab w:val="clear" w:pos="720"/>
          <w:tab w:val="left" w:pos="828"/>
        </w:tabs>
        <w:autoSpaceDE w:val="0"/>
        <w:autoSpaceDN w:val="0"/>
        <w:adjustRightInd w:val="0"/>
        <w:spacing w:after="140" w:line="280" w:lineRule="atLeast"/>
        <w:ind w:left="828"/>
        <w:rPr>
          <w:color w:val="000000"/>
        </w:rPr>
      </w:pPr>
      <w:r w:rsidRPr="00312F89">
        <w:rPr>
          <w:color w:val="000000"/>
        </w:rPr>
        <w:t>Винаги, когато се изменя системата за управление на риска, особено в резултат на получаване на нова информация, която може да доведе до значими промени в съотношението полза/риск, или след достигане на важен е</w:t>
      </w:r>
      <w:r w:rsidRPr="00312F89">
        <w:rPr>
          <w:color w:val="000000"/>
        </w:rPr>
        <w:t xml:space="preserve">тап (във връзка с проследяване на лекарствената безопасност или свеждане на риска до минимум). </w:t>
      </w:r>
    </w:p>
    <w:p w14:paraId="16D7AB73" w14:textId="77777777" w:rsidR="005B72A3" w:rsidRPr="00312F89" w:rsidRDefault="00624432" w:rsidP="005B72A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  <w:r w:rsidRPr="00312F89">
        <w:br w:type="page"/>
      </w:r>
    </w:p>
    <w:p w14:paraId="16D7AB74" w14:textId="77777777" w:rsidR="005B72A3" w:rsidRPr="00312F89" w:rsidRDefault="005B72A3" w:rsidP="005B72A3">
      <w:pPr>
        <w:spacing w:line="240" w:lineRule="auto"/>
        <w:ind w:right="566"/>
        <w:rPr>
          <w:noProof/>
          <w:szCs w:val="22"/>
        </w:rPr>
      </w:pPr>
    </w:p>
    <w:p w14:paraId="16D7AB7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7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77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78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79" w14:textId="77777777" w:rsidR="005B72A3" w:rsidRPr="00312F89" w:rsidRDefault="005B72A3" w:rsidP="005B72A3">
      <w:pPr>
        <w:spacing w:line="240" w:lineRule="auto"/>
      </w:pPr>
    </w:p>
    <w:p w14:paraId="16D7AB7A" w14:textId="77777777" w:rsidR="005B72A3" w:rsidRPr="00312F89" w:rsidRDefault="005B72A3" w:rsidP="005B72A3">
      <w:pPr>
        <w:spacing w:line="240" w:lineRule="auto"/>
      </w:pPr>
    </w:p>
    <w:p w14:paraId="16D7AB7B" w14:textId="77777777" w:rsidR="005B72A3" w:rsidRPr="00312F89" w:rsidRDefault="005B72A3" w:rsidP="005B72A3">
      <w:pPr>
        <w:spacing w:line="240" w:lineRule="auto"/>
      </w:pPr>
    </w:p>
    <w:p w14:paraId="16D7AB7C" w14:textId="77777777" w:rsidR="005B72A3" w:rsidRPr="00312F89" w:rsidRDefault="005B72A3" w:rsidP="005B72A3">
      <w:pPr>
        <w:spacing w:line="240" w:lineRule="auto"/>
      </w:pPr>
    </w:p>
    <w:p w14:paraId="16D7AB7D" w14:textId="77777777" w:rsidR="005B72A3" w:rsidRPr="00312F89" w:rsidRDefault="005B72A3" w:rsidP="005B72A3">
      <w:pPr>
        <w:spacing w:line="240" w:lineRule="auto"/>
      </w:pPr>
    </w:p>
    <w:p w14:paraId="16D7AB7E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7F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0" w14:textId="77777777" w:rsidR="005B72A3" w:rsidRPr="00312F89" w:rsidRDefault="005B72A3" w:rsidP="005B72A3">
      <w:pPr>
        <w:rPr>
          <w:noProof/>
        </w:rPr>
      </w:pPr>
    </w:p>
    <w:p w14:paraId="16D7AB81" w14:textId="77777777" w:rsidR="005B72A3" w:rsidRPr="00312F89" w:rsidRDefault="005B72A3" w:rsidP="005B72A3">
      <w:pPr>
        <w:rPr>
          <w:noProof/>
        </w:rPr>
      </w:pPr>
    </w:p>
    <w:p w14:paraId="16D7AB82" w14:textId="77777777" w:rsidR="005B72A3" w:rsidRPr="00312F89" w:rsidRDefault="005B72A3" w:rsidP="005B72A3">
      <w:pPr>
        <w:rPr>
          <w:noProof/>
        </w:rPr>
      </w:pPr>
    </w:p>
    <w:p w14:paraId="16D7AB8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7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8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A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8B" w14:textId="77777777" w:rsidR="005B72A3" w:rsidRPr="00312F89" w:rsidRDefault="00624432" w:rsidP="005B72A3">
      <w:pPr>
        <w:spacing w:line="240" w:lineRule="auto"/>
        <w:jc w:val="center"/>
        <w:outlineLvl w:val="0"/>
        <w:rPr>
          <w:b/>
          <w:noProof/>
          <w:szCs w:val="22"/>
        </w:rPr>
      </w:pPr>
      <w:r w:rsidRPr="00312F89">
        <w:rPr>
          <w:b/>
          <w:noProof/>
        </w:rPr>
        <w:t>ПРИЛОЖЕНИЕ III</w:t>
      </w:r>
    </w:p>
    <w:p w14:paraId="16D7AB8C" w14:textId="77777777" w:rsidR="005B72A3" w:rsidRPr="00312F89" w:rsidRDefault="005B72A3" w:rsidP="005B72A3">
      <w:pPr>
        <w:rPr>
          <w:noProof/>
        </w:rPr>
      </w:pPr>
    </w:p>
    <w:p w14:paraId="16D7AB8D" w14:textId="77777777" w:rsidR="005B72A3" w:rsidRPr="00312F89" w:rsidRDefault="00624432" w:rsidP="005B72A3">
      <w:pPr>
        <w:spacing w:line="240" w:lineRule="auto"/>
        <w:jc w:val="center"/>
        <w:outlineLvl w:val="0"/>
        <w:rPr>
          <w:b/>
          <w:noProof/>
          <w:szCs w:val="22"/>
        </w:rPr>
      </w:pPr>
      <w:r w:rsidRPr="00312F89">
        <w:rPr>
          <w:b/>
          <w:noProof/>
        </w:rPr>
        <w:t>ОЗНАЧЕНИЯ ВЪРХУ ОПАКОВКАТА И ЛИСТОВКА</w:t>
      </w:r>
    </w:p>
    <w:p w14:paraId="16D7AB8E" w14:textId="77777777" w:rsidR="005B72A3" w:rsidRPr="00312F89" w:rsidRDefault="00624432" w:rsidP="005B72A3">
      <w:pPr>
        <w:rPr>
          <w:noProof/>
        </w:rPr>
      </w:pPr>
      <w:r w:rsidRPr="00312F89">
        <w:br w:type="page"/>
      </w:r>
    </w:p>
    <w:p w14:paraId="16D7AB8F" w14:textId="77777777" w:rsidR="005B72A3" w:rsidRPr="00312F89" w:rsidRDefault="005B72A3" w:rsidP="005B72A3">
      <w:pPr>
        <w:rPr>
          <w:noProof/>
        </w:rPr>
      </w:pPr>
    </w:p>
    <w:p w14:paraId="16D7AB90" w14:textId="77777777" w:rsidR="005B72A3" w:rsidRPr="00312F89" w:rsidRDefault="005B72A3" w:rsidP="005B72A3">
      <w:pPr>
        <w:rPr>
          <w:noProof/>
        </w:rPr>
      </w:pPr>
    </w:p>
    <w:p w14:paraId="16D7AB91" w14:textId="77777777" w:rsidR="005B72A3" w:rsidRPr="00312F89" w:rsidRDefault="005B72A3" w:rsidP="005B72A3">
      <w:pPr>
        <w:rPr>
          <w:noProof/>
        </w:rPr>
      </w:pPr>
    </w:p>
    <w:p w14:paraId="16D7AB92" w14:textId="77777777" w:rsidR="005B72A3" w:rsidRPr="00312F89" w:rsidRDefault="005B72A3" w:rsidP="005B72A3">
      <w:pPr>
        <w:rPr>
          <w:noProof/>
        </w:rPr>
      </w:pPr>
    </w:p>
    <w:p w14:paraId="16D7AB93" w14:textId="77777777" w:rsidR="005B72A3" w:rsidRPr="00312F89" w:rsidRDefault="005B72A3" w:rsidP="005B72A3">
      <w:pPr>
        <w:rPr>
          <w:noProof/>
        </w:rPr>
      </w:pPr>
    </w:p>
    <w:p w14:paraId="16D7AB94" w14:textId="77777777" w:rsidR="005B72A3" w:rsidRPr="00312F89" w:rsidRDefault="005B72A3" w:rsidP="005B72A3">
      <w:pPr>
        <w:rPr>
          <w:noProof/>
        </w:rPr>
      </w:pPr>
    </w:p>
    <w:p w14:paraId="16D7AB95" w14:textId="77777777" w:rsidR="005B72A3" w:rsidRPr="00312F89" w:rsidRDefault="005B72A3" w:rsidP="005B72A3">
      <w:pPr>
        <w:rPr>
          <w:noProof/>
        </w:rPr>
      </w:pPr>
    </w:p>
    <w:p w14:paraId="16D7AB96" w14:textId="77777777" w:rsidR="005B72A3" w:rsidRPr="00312F89" w:rsidRDefault="005B72A3" w:rsidP="005B72A3">
      <w:pPr>
        <w:rPr>
          <w:noProof/>
        </w:rPr>
      </w:pPr>
    </w:p>
    <w:p w14:paraId="16D7AB97" w14:textId="77777777" w:rsidR="005B72A3" w:rsidRPr="00312F89" w:rsidRDefault="005B72A3" w:rsidP="005B72A3">
      <w:pPr>
        <w:rPr>
          <w:noProof/>
        </w:rPr>
      </w:pPr>
    </w:p>
    <w:p w14:paraId="16D7AB98" w14:textId="77777777" w:rsidR="005B72A3" w:rsidRPr="00312F89" w:rsidRDefault="005B72A3" w:rsidP="005B72A3">
      <w:pPr>
        <w:rPr>
          <w:noProof/>
        </w:rPr>
      </w:pPr>
    </w:p>
    <w:p w14:paraId="16D7AB99" w14:textId="77777777" w:rsidR="005B72A3" w:rsidRPr="00312F89" w:rsidRDefault="005B72A3" w:rsidP="005B72A3">
      <w:pPr>
        <w:rPr>
          <w:noProof/>
        </w:rPr>
      </w:pPr>
    </w:p>
    <w:p w14:paraId="16D7AB9A" w14:textId="77777777" w:rsidR="005B72A3" w:rsidRPr="00312F89" w:rsidRDefault="005B72A3" w:rsidP="005B72A3">
      <w:pPr>
        <w:rPr>
          <w:noProof/>
        </w:rPr>
      </w:pPr>
    </w:p>
    <w:p w14:paraId="16D7AB9B" w14:textId="77777777" w:rsidR="005B72A3" w:rsidRPr="00312F89" w:rsidRDefault="005B72A3" w:rsidP="005B72A3">
      <w:pPr>
        <w:rPr>
          <w:noProof/>
        </w:rPr>
      </w:pPr>
    </w:p>
    <w:p w14:paraId="16D7AB9C" w14:textId="77777777" w:rsidR="005B72A3" w:rsidRPr="00312F89" w:rsidRDefault="005B72A3" w:rsidP="005B72A3">
      <w:pPr>
        <w:rPr>
          <w:noProof/>
        </w:rPr>
      </w:pPr>
    </w:p>
    <w:p w14:paraId="16D7AB9D" w14:textId="77777777" w:rsidR="005B72A3" w:rsidRPr="00312F89" w:rsidRDefault="005B72A3" w:rsidP="005B72A3">
      <w:pPr>
        <w:rPr>
          <w:noProof/>
        </w:rPr>
      </w:pPr>
    </w:p>
    <w:p w14:paraId="16D7AB9E" w14:textId="77777777" w:rsidR="005B72A3" w:rsidRPr="00312F89" w:rsidRDefault="005B72A3" w:rsidP="005B72A3">
      <w:pPr>
        <w:rPr>
          <w:noProof/>
        </w:rPr>
      </w:pPr>
    </w:p>
    <w:p w14:paraId="16D7AB9F" w14:textId="77777777" w:rsidR="005B72A3" w:rsidRPr="00312F89" w:rsidRDefault="005B72A3" w:rsidP="005B72A3">
      <w:pPr>
        <w:rPr>
          <w:noProof/>
        </w:rPr>
      </w:pPr>
    </w:p>
    <w:p w14:paraId="16D7ABA0" w14:textId="77777777" w:rsidR="005B72A3" w:rsidRPr="00312F89" w:rsidRDefault="005B72A3" w:rsidP="005B72A3">
      <w:pPr>
        <w:rPr>
          <w:noProof/>
        </w:rPr>
      </w:pPr>
    </w:p>
    <w:p w14:paraId="16D7ABA1" w14:textId="77777777" w:rsidR="005B72A3" w:rsidRPr="00312F89" w:rsidRDefault="005B72A3" w:rsidP="005B72A3">
      <w:pPr>
        <w:rPr>
          <w:noProof/>
        </w:rPr>
      </w:pPr>
    </w:p>
    <w:p w14:paraId="16D7ABA2" w14:textId="77777777" w:rsidR="005B72A3" w:rsidRPr="00312F89" w:rsidRDefault="005B72A3" w:rsidP="005B72A3">
      <w:pPr>
        <w:rPr>
          <w:noProof/>
        </w:rPr>
      </w:pPr>
    </w:p>
    <w:p w14:paraId="16D7ABA3" w14:textId="77777777" w:rsidR="005B72A3" w:rsidRPr="00312F89" w:rsidRDefault="005B72A3" w:rsidP="005B72A3">
      <w:pPr>
        <w:rPr>
          <w:noProof/>
        </w:rPr>
      </w:pPr>
    </w:p>
    <w:p w14:paraId="16D7ABA4" w14:textId="77777777" w:rsidR="005B72A3" w:rsidRPr="00312F89" w:rsidRDefault="005B72A3" w:rsidP="005B72A3">
      <w:pPr>
        <w:rPr>
          <w:noProof/>
        </w:rPr>
      </w:pPr>
    </w:p>
    <w:p w14:paraId="16D7ABA5" w14:textId="77777777" w:rsidR="005B72A3" w:rsidRPr="00312F89" w:rsidRDefault="00624432" w:rsidP="005B72A3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noProof/>
          <w:szCs w:val="22"/>
        </w:rPr>
      </w:pPr>
      <w:r w:rsidRPr="00312F89">
        <w:rPr>
          <w:b/>
          <w:noProof/>
        </w:rPr>
        <w:t>ОЗНАЧЕНИЯ ВЪРХУ ОПАКОВКАТА</w:t>
      </w:r>
    </w:p>
    <w:p w14:paraId="16D7ABA6" w14:textId="77777777" w:rsidR="005B72A3" w:rsidRPr="00312F89" w:rsidRDefault="00624432" w:rsidP="005B72A3">
      <w:pPr>
        <w:shd w:val="clear" w:color="auto" w:fill="FFFFFF"/>
        <w:spacing w:line="240" w:lineRule="auto"/>
        <w:rPr>
          <w:noProof/>
          <w:szCs w:val="22"/>
        </w:rPr>
      </w:pPr>
      <w:r w:rsidRPr="00312F89">
        <w:br w:type="page"/>
      </w:r>
    </w:p>
    <w:p w14:paraId="16D7ABA7" w14:textId="77777777" w:rsidR="005B72A3" w:rsidRPr="00312F89" w:rsidRDefault="00624432" w:rsidP="005B72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noProof/>
          <w:szCs w:val="22"/>
        </w:rPr>
      </w:pPr>
      <w:r w:rsidRPr="00312F89">
        <w:rPr>
          <w:b/>
          <w:noProof/>
        </w:rPr>
        <w:lastRenderedPageBreak/>
        <w:t xml:space="preserve">ОЗНАЧЕНИЯ, КОИТО </w:t>
      </w:r>
      <w:r w:rsidRPr="00312F89">
        <w:rPr>
          <w:b/>
          <w:noProof/>
        </w:rPr>
        <w:t>ТРЯБВА ДА СЪДЪРЖА ВТОРИЧНАТА ОПАКОВКА</w:t>
      </w:r>
    </w:p>
    <w:p w14:paraId="16D7ABA8" w14:textId="77777777" w:rsidR="005B72A3" w:rsidRPr="00312F89" w:rsidRDefault="005B72A3" w:rsidP="005B72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Cs/>
          <w:noProof/>
          <w:szCs w:val="22"/>
        </w:rPr>
      </w:pPr>
    </w:p>
    <w:p w14:paraId="16D7ABA9" w14:textId="77777777" w:rsidR="005B72A3" w:rsidRPr="00312F89" w:rsidRDefault="00624432" w:rsidP="005B72A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Cs/>
          <w:noProof/>
          <w:szCs w:val="22"/>
        </w:rPr>
      </w:pPr>
      <w:r w:rsidRPr="00312F89">
        <w:rPr>
          <w:b/>
          <w:noProof/>
        </w:rPr>
        <w:t>ВЪНШНА КАРТОНЕНА ОПАКОВКА</w:t>
      </w:r>
    </w:p>
    <w:p w14:paraId="16D7ABAA" w14:textId="77777777" w:rsidR="005B72A3" w:rsidRPr="00312F89" w:rsidRDefault="005B72A3" w:rsidP="005B72A3">
      <w:pPr>
        <w:spacing w:line="240" w:lineRule="auto"/>
      </w:pPr>
    </w:p>
    <w:p w14:paraId="16D7ABA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AC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</w:pPr>
      <w:r w:rsidRPr="00312F89">
        <w:rPr>
          <w:b/>
        </w:rPr>
        <w:t>ИМЕ НА ЛЕКАРСТВЕНИЯ ПРОДУКТ</w:t>
      </w:r>
    </w:p>
    <w:p w14:paraId="16D7ABAD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AE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Cuprior 150 mg </w:t>
      </w:r>
      <w:r w:rsidR="00695D78" w:rsidRPr="00312F89">
        <w:t xml:space="preserve">филмирани </w:t>
      </w:r>
      <w:r w:rsidRPr="00312F89">
        <w:t xml:space="preserve">таблетки </w:t>
      </w:r>
    </w:p>
    <w:p w14:paraId="16D7ABAF" w14:textId="77777777" w:rsidR="005B72A3" w:rsidRPr="00312F89" w:rsidRDefault="00624432" w:rsidP="005B72A3">
      <w:pPr>
        <w:spacing w:line="240" w:lineRule="auto"/>
        <w:rPr>
          <w:b/>
          <w:szCs w:val="22"/>
        </w:rPr>
      </w:pPr>
      <w:r w:rsidRPr="00312F89">
        <w:t>триентин</w:t>
      </w:r>
      <w:r w:rsidRPr="00312F89">
        <w:rPr>
          <w:b/>
        </w:rPr>
        <w:t xml:space="preserve"> </w:t>
      </w:r>
    </w:p>
    <w:p w14:paraId="16D7ABB0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1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2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ОБЯВЯВАНЕ НА АКТИВНОТО(ИТЕ) ВЕЩЕСТВО(А)</w:t>
      </w:r>
    </w:p>
    <w:p w14:paraId="16D7ABB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4" w14:textId="77777777" w:rsidR="005B72A3" w:rsidRPr="00312F89" w:rsidRDefault="00624432" w:rsidP="005B72A3">
      <w:r w:rsidRPr="00312F89">
        <w:t xml:space="preserve">Всяка </w:t>
      </w:r>
      <w:r w:rsidR="00695D78" w:rsidRPr="00312F89">
        <w:t xml:space="preserve">филмирана </w:t>
      </w:r>
      <w:r w:rsidRPr="00312F89">
        <w:t xml:space="preserve">таблетка съдържа триентинов </w:t>
      </w:r>
      <w:r w:rsidRPr="00312F89">
        <w:t>тетрахидрохлорид, еквивалентен на 150 mg триентин.</w:t>
      </w:r>
    </w:p>
    <w:p w14:paraId="16D7ABB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7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СПИСЪК НА ПОМОЩНИТЕ ВЕЩЕСТВА</w:t>
      </w:r>
    </w:p>
    <w:p w14:paraId="16D7ABB8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A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ЛЕКАРСТВЕНА ФОРМА И КОЛИЧЕСТВО В ЕДНА ОПАКОВКА</w:t>
      </w:r>
    </w:p>
    <w:p w14:paraId="16D7ABBB" w14:textId="77777777" w:rsidR="005B72A3" w:rsidRPr="00312F89" w:rsidRDefault="005B72A3" w:rsidP="005B72A3">
      <w:pPr>
        <w:rPr>
          <w:noProof/>
          <w:szCs w:val="22"/>
        </w:rPr>
      </w:pPr>
    </w:p>
    <w:p w14:paraId="16D7ABBC" w14:textId="512580C5" w:rsidR="005B72A3" w:rsidRPr="00312F89" w:rsidRDefault="00624432" w:rsidP="005B72A3">
      <w:pPr>
        <w:rPr>
          <w:noProof/>
          <w:szCs w:val="22"/>
        </w:rPr>
      </w:pPr>
      <w:r w:rsidRPr="00312F89">
        <w:rPr>
          <w:noProof/>
          <w:highlight w:val="lightGray"/>
        </w:rPr>
        <w:t>Филмирана таблетка</w:t>
      </w:r>
    </w:p>
    <w:p w14:paraId="16D7ABBD" w14:textId="4D98901C" w:rsidR="005B72A3" w:rsidRPr="00312F89" w:rsidRDefault="00624432" w:rsidP="005B72A3">
      <w:r w:rsidRPr="00312F89">
        <w:t>72 </w:t>
      </w:r>
      <w:r w:rsidR="00695D78" w:rsidRPr="00312F89">
        <w:t xml:space="preserve">филмирани </w:t>
      </w:r>
      <w:r w:rsidRPr="00312F89">
        <w:t>таблетки</w:t>
      </w:r>
    </w:p>
    <w:p w14:paraId="70DD6C45" w14:textId="12879D2C" w:rsidR="005B0F93" w:rsidRPr="00312F89" w:rsidRDefault="00624432" w:rsidP="005B72A3">
      <w:pPr>
        <w:rPr>
          <w:noProof/>
          <w:szCs w:val="22"/>
        </w:rPr>
      </w:pPr>
      <w:r w:rsidRPr="00312F89">
        <w:rPr>
          <w:noProof/>
          <w:szCs w:val="22"/>
        </w:rPr>
        <w:t>96 филмирани таблетки</w:t>
      </w:r>
    </w:p>
    <w:p w14:paraId="16D7ABBE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BF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0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НАЧИН НА ПРИЛОЖЕНИЕ И ПЪТ(ИЩА) НА ВЪВЕЖДАНЕ</w:t>
      </w:r>
    </w:p>
    <w:p w14:paraId="16D7ABC1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2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Преди </w:t>
      </w:r>
      <w:r w:rsidRPr="00312F89">
        <w:t>употреба прочетете листовката.</w:t>
      </w:r>
    </w:p>
    <w:p w14:paraId="16D7ABC3" w14:textId="77777777" w:rsidR="005B72A3" w:rsidRPr="00312F89" w:rsidRDefault="00624432" w:rsidP="005B72A3">
      <w:r w:rsidRPr="00312F89">
        <w:t>Листовката е налична онлайн на</w:t>
      </w:r>
      <w:r w:rsidRPr="00312F89">
        <w:rPr>
          <w:i/>
          <w:noProof/>
        </w:rPr>
        <w:t xml:space="preserve"> </w:t>
      </w:r>
      <w:r w:rsidRPr="00312F89">
        <w:rPr>
          <w:i/>
          <w:noProof/>
          <w:highlight w:val="lightGray"/>
        </w:rPr>
        <w:t>да се включи QR кодът</w:t>
      </w:r>
      <w:r w:rsidRPr="00312F89">
        <w:rPr>
          <w:i/>
          <w:noProof/>
        </w:rPr>
        <w:t xml:space="preserve"> </w:t>
      </w:r>
      <w:hyperlink r:id="rId13" w:history="1">
        <w:r w:rsidRPr="00312F89">
          <w:rPr>
            <w:rStyle w:val="Hyperlink"/>
          </w:rPr>
          <w:t>http://www.cuprior.com</w:t>
        </w:r>
      </w:hyperlink>
    </w:p>
    <w:p w14:paraId="16D7ABC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5" w14:textId="77777777" w:rsidR="005B72A3" w:rsidRPr="00312F89" w:rsidRDefault="00624432" w:rsidP="005B72A3">
      <w:pPr>
        <w:rPr>
          <w:noProof/>
          <w:szCs w:val="22"/>
        </w:rPr>
      </w:pPr>
      <w:r w:rsidRPr="00312F89">
        <w:t>Перорално приложение.</w:t>
      </w:r>
    </w:p>
    <w:p w14:paraId="16D7ABC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7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8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СПЕЦИАЛНО ПРЕДУПРЕЖДЕНИЕ, ЧЕ ЛЕКАРСТВЕНИЯТ ПРОДУКТ ТРЯБВА ДА СЕ СЪХРАНЯВА НА МЯСТО Д</w:t>
      </w:r>
      <w:r w:rsidRPr="00312F89">
        <w:rPr>
          <w:b/>
        </w:rPr>
        <w:t>АЛЕЧЕ ОТ ПОГЛЕДА И ДОСЕГА НА ДЕЦА</w:t>
      </w:r>
    </w:p>
    <w:p w14:paraId="16D7ABC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A" w14:textId="77777777" w:rsidR="005B72A3" w:rsidRPr="00312F89" w:rsidRDefault="00624432" w:rsidP="005B72A3">
      <w:pPr>
        <w:tabs>
          <w:tab w:val="left" w:pos="749"/>
        </w:tabs>
        <w:spacing w:line="240" w:lineRule="auto"/>
        <w:rPr>
          <w:noProof/>
          <w:szCs w:val="22"/>
        </w:rPr>
      </w:pPr>
      <w:r w:rsidRPr="00312F89">
        <w:t>Да се съхранява на място, недостъпно за деца.</w:t>
      </w:r>
    </w:p>
    <w:p w14:paraId="16D7ABC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C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D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ДРУГИ СПЕЦИАЛНИ ПРЕДУПРЕЖДЕНИЯ, АКО Е НЕОБХОДИМО</w:t>
      </w:r>
    </w:p>
    <w:p w14:paraId="16D7ABCE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CF" w14:textId="77777777" w:rsidR="005B72A3" w:rsidRPr="00312F89" w:rsidRDefault="00624432" w:rsidP="005B72A3">
      <w:pPr>
        <w:tabs>
          <w:tab w:val="left" w:pos="749"/>
        </w:tabs>
        <w:spacing w:line="240" w:lineRule="auto"/>
        <w:rPr>
          <w:szCs w:val="22"/>
        </w:rPr>
      </w:pPr>
      <w:r w:rsidRPr="00312F89">
        <w:t>Приемайте на празен стомах, поне един час преди хранене или два часа след хранене и с поне един час разлика от всеки друг л</w:t>
      </w:r>
      <w:r w:rsidRPr="00312F89">
        <w:t>екарствен продукт, храна или мляко.</w:t>
      </w:r>
    </w:p>
    <w:p w14:paraId="16D7ABD0" w14:textId="77777777" w:rsidR="005B72A3" w:rsidRPr="00312F89" w:rsidRDefault="005B72A3" w:rsidP="005B72A3">
      <w:pPr>
        <w:tabs>
          <w:tab w:val="left" w:pos="749"/>
        </w:tabs>
        <w:spacing w:line="240" w:lineRule="auto"/>
      </w:pPr>
    </w:p>
    <w:p w14:paraId="16D7ABD1" w14:textId="77777777" w:rsidR="005B72A3" w:rsidRPr="00312F89" w:rsidRDefault="005B72A3" w:rsidP="005B72A3">
      <w:pPr>
        <w:tabs>
          <w:tab w:val="left" w:pos="749"/>
        </w:tabs>
        <w:spacing w:line="240" w:lineRule="auto"/>
      </w:pPr>
    </w:p>
    <w:p w14:paraId="16D7ABD2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ДАТА НА ИЗТИЧАНЕ НА СРОКА НА ГОДНОСТ</w:t>
      </w:r>
    </w:p>
    <w:p w14:paraId="16D7ABD3" w14:textId="77777777" w:rsidR="005B72A3" w:rsidRPr="00312F89" w:rsidRDefault="005B72A3" w:rsidP="005B72A3">
      <w:pPr>
        <w:spacing w:line="240" w:lineRule="auto"/>
      </w:pPr>
    </w:p>
    <w:p w14:paraId="16D7ABD4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>Годен до:</w:t>
      </w:r>
    </w:p>
    <w:p w14:paraId="16D7ABD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D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D7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СПЕЦИАЛНИ УСЛОВИЯ НА СЪХРАНЕНИЕ</w:t>
      </w:r>
    </w:p>
    <w:p w14:paraId="16D7ABD8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D9" w14:textId="77777777" w:rsidR="005B72A3" w:rsidRPr="00312F89" w:rsidRDefault="005B72A3" w:rsidP="005B72A3">
      <w:pPr>
        <w:spacing w:line="240" w:lineRule="auto"/>
        <w:ind w:left="567" w:hanging="567"/>
        <w:rPr>
          <w:noProof/>
          <w:szCs w:val="22"/>
        </w:rPr>
      </w:pPr>
    </w:p>
    <w:p w14:paraId="16D7ABDA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lastRenderedPageBreak/>
        <w:t xml:space="preserve">СПЕЦИАЛНИ ПРЕДПАЗНИ МЕРКИ ПРИ ИЗХВЪРЛЯНЕ НА НЕИЗПОЛЗВАНА ЧАСТ ОТ ЛЕКАРСТВЕНИТЕ ПРОДУКТИ ИЛИ ОТПАДЪЧНИ МАТЕРИАЛИ ОТ ТЯХ, АКО СЕ </w:t>
      </w:r>
      <w:r w:rsidRPr="00312F89">
        <w:rPr>
          <w:b/>
        </w:rPr>
        <w:t>ИЗИСКВАТ ТАКИВА</w:t>
      </w:r>
    </w:p>
    <w:p w14:paraId="16D7ABD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DC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DD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ИМЕ И АДРЕС НА ПРИТЕЖАТЕЛЯ НА РАЗРЕШЕНИЕТО ЗА УПОТРЕБА</w:t>
      </w:r>
    </w:p>
    <w:p w14:paraId="16D7ABDE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DF" w14:textId="7B366A42" w:rsidR="005B72A3" w:rsidRPr="00312F89" w:rsidRDefault="00E75EB0" w:rsidP="005B72A3">
      <w:pPr>
        <w:rPr>
          <w:szCs w:val="22"/>
        </w:rPr>
      </w:pPr>
      <w:proofErr w:type="spellStart"/>
      <w:r>
        <w:t>Orphalan</w:t>
      </w:r>
      <w:proofErr w:type="spellEnd"/>
    </w:p>
    <w:p w14:paraId="321F4562" w14:textId="77777777" w:rsidR="008E7761" w:rsidRPr="002503BA" w:rsidRDefault="00624432" w:rsidP="008E7761">
      <w:pPr>
        <w:rPr>
          <w:szCs w:val="22"/>
          <w:lang w:val="fr-FR"/>
        </w:rPr>
      </w:pPr>
      <w:r w:rsidRPr="002503BA">
        <w:rPr>
          <w:szCs w:val="22"/>
          <w:lang w:val="fr-FR"/>
        </w:rPr>
        <w:t>226 Boulevard Voltaire</w:t>
      </w:r>
    </w:p>
    <w:p w14:paraId="16D7ABE2" w14:textId="375B7DA1" w:rsidR="005B72A3" w:rsidRPr="00312F89" w:rsidRDefault="00624432" w:rsidP="005B72A3">
      <w:pPr>
        <w:rPr>
          <w:szCs w:val="22"/>
        </w:rPr>
      </w:pPr>
      <w:r w:rsidRPr="00312F89">
        <w:t>7501</w:t>
      </w:r>
      <w:r w:rsidRPr="00E75EB0">
        <w:rPr>
          <w:lang w:val="fr-FR"/>
        </w:rPr>
        <w:t>1</w:t>
      </w:r>
      <w:r w:rsidRPr="00312F89">
        <w:t xml:space="preserve"> </w:t>
      </w:r>
      <w:r w:rsidR="00B63F97" w:rsidRPr="00312F89">
        <w:t>Paris, Франция</w:t>
      </w:r>
      <w:r w:rsidR="00B63F97" w:rsidRPr="00312F89">
        <w:rPr>
          <w:i/>
          <w:noProof/>
        </w:rPr>
        <w:t xml:space="preserve"> </w:t>
      </w:r>
    </w:p>
    <w:p w14:paraId="16D7ABE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E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E5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 xml:space="preserve">НОМЕР(А) НА РАЗРЕШЕНИЕТО ЗА УПОТРЕБА </w:t>
      </w:r>
    </w:p>
    <w:p w14:paraId="16D7ABE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E7" w14:textId="647F640D" w:rsidR="00B63F97" w:rsidRPr="00787600" w:rsidRDefault="00624432" w:rsidP="00B63F97">
      <w:pPr>
        <w:spacing w:line="240" w:lineRule="auto"/>
        <w:rPr>
          <w:color w:val="000000"/>
        </w:rPr>
      </w:pPr>
      <w:r w:rsidRPr="00312F89">
        <w:rPr>
          <w:color w:val="000000"/>
        </w:rPr>
        <w:t>EU/1/17/1199/001</w:t>
      </w:r>
      <w:r w:rsidR="005B0F93" w:rsidRPr="00787600">
        <w:rPr>
          <w:color w:val="000000"/>
        </w:rPr>
        <w:t xml:space="preserve"> 72 филмирани таблетки</w:t>
      </w:r>
    </w:p>
    <w:p w14:paraId="16D7ABE8" w14:textId="2A95BE86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rPr>
          <w:noProof/>
          <w:szCs w:val="22"/>
        </w:rPr>
        <w:t xml:space="preserve">EU/1/17/1199/002 96 </w:t>
      </w:r>
      <w:r w:rsidRPr="00312F89">
        <w:rPr>
          <w:noProof/>
          <w:szCs w:val="22"/>
        </w:rPr>
        <w:t>филмирани таблетки</w:t>
      </w:r>
    </w:p>
    <w:p w14:paraId="16D7ABE9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EA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ПАРТИДЕН НОМЕР</w:t>
      </w:r>
    </w:p>
    <w:p w14:paraId="16D7ABEB" w14:textId="77777777" w:rsidR="005B72A3" w:rsidRPr="00312F89" w:rsidRDefault="005B72A3" w:rsidP="005B72A3">
      <w:pPr>
        <w:spacing w:line="240" w:lineRule="auto"/>
        <w:rPr>
          <w:i/>
          <w:noProof/>
          <w:szCs w:val="22"/>
        </w:rPr>
      </w:pPr>
    </w:p>
    <w:p w14:paraId="16D7ABEC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 xml:space="preserve">Партида: </w:t>
      </w:r>
    </w:p>
    <w:p w14:paraId="16D7ABED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EE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EF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НАЧИН НА ОТПУСКАНЕ</w:t>
      </w:r>
    </w:p>
    <w:p w14:paraId="16D7ABF0" w14:textId="77777777" w:rsidR="005B72A3" w:rsidRPr="00312F89" w:rsidRDefault="005B72A3" w:rsidP="005B72A3">
      <w:pPr>
        <w:spacing w:line="240" w:lineRule="auto"/>
        <w:rPr>
          <w:i/>
          <w:noProof/>
          <w:szCs w:val="22"/>
        </w:rPr>
      </w:pPr>
    </w:p>
    <w:p w14:paraId="16D7ABF1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F2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УКАЗАНИЯ ЗА УПОТРЕБА</w:t>
      </w:r>
    </w:p>
    <w:p w14:paraId="16D7ABF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F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F5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ИНФОРМАЦИЯ НА БРАЙЛОВА АЗБУКА</w:t>
      </w:r>
    </w:p>
    <w:p w14:paraId="16D7ABF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BF7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Cuprior 150 mg </w:t>
      </w:r>
    </w:p>
    <w:p w14:paraId="16D7ABF8" w14:textId="77777777" w:rsidR="005B72A3" w:rsidRPr="00312F89" w:rsidRDefault="005B72A3" w:rsidP="005B72A3">
      <w:pPr>
        <w:spacing w:line="240" w:lineRule="auto"/>
        <w:rPr>
          <w:noProof/>
          <w:szCs w:val="22"/>
          <w:shd w:val="clear" w:color="auto" w:fill="CCCCCC"/>
        </w:rPr>
      </w:pPr>
    </w:p>
    <w:p w14:paraId="16D7ABF9" w14:textId="77777777" w:rsidR="005B72A3" w:rsidRPr="00312F89" w:rsidRDefault="005B72A3" w:rsidP="005B72A3">
      <w:pPr>
        <w:spacing w:line="240" w:lineRule="auto"/>
        <w:rPr>
          <w:noProof/>
          <w:szCs w:val="22"/>
          <w:shd w:val="clear" w:color="auto" w:fill="CCCCCC"/>
        </w:rPr>
      </w:pPr>
    </w:p>
    <w:p w14:paraId="16D7ABFA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>УНИКАЛЕН ИДЕНТИФИКАТОР — ДВУИЗМЕРЕН БАРКОД</w:t>
      </w:r>
    </w:p>
    <w:p w14:paraId="16D7ABFB" w14:textId="77777777" w:rsidR="005B72A3" w:rsidRPr="00312F89" w:rsidRDefault="005B72A3" w:rsidP="005B72A3">
      <w:pPr>
        <w:tabs>
          <w:tab w:val="clear" w:pos="567"/>
        </w:tabs>
        <w:spacing w:line="240" w:lineRule="auto"/>
        <w:rPr>
          <w:noProof/>
        </w:rPr>
      </w:pPr>
    </w:p>
    <w:p w14:paraId="16D7ABFC" w14:textId="77777777" w:rsidR="005B72A3" w:rsidRPr="00312F89" w:rsidRDefault="00624432" w:rsidP="005B72A3">
      <w:pPr>
        <w:rPr>
          <w:noProof/>
          <w:szCs w:val="22"/>
          <w:highlight w:val="lightGray"/>
        </w:rPr>
      </w:pPr>
      <w:r w:rsidRPr="00312F89">
        <w:rPr>
          <w:noProof/>
          <w:highlight w:val="lightGray"/>
        </w:rPr>
        <w:t>Двуизмерен баркод с включен уникален идентификатор</w:t>
      </w:r>
    </w:p>
    <w:p w14:paraId="16D7ABFD" w14:textId="77777777" w:rsidR="005B72A3" w:rsidRPr="00312F89" w:rsidRDefault="005B72A3" w:rsidP="005B72A3">
      <w:pPr>
        <w:tabs>
          <w:tab w:val="clear" w:pos="567"/>
        </w:tabs>
        <w:spacing w:line="240" w:lineRule="auto"/>
        <w:rPr>
          <w:noProof/>
        </w:rPr>
      </w:pPr>
    </w:p>
    <w:p w14:paraId="16D7ABFE" w14:textId="77777777" w:rsidR="005B72A3" w:rsidRPr="00312F89" w:rsidRDefault="005B72A3" w:rsidP="005B72A3">
      <w:pPr>
        <w:tabs>
          <w:tab w:val="clear" w:pos="567"/>
        </w:tabs>
        <w:spacing w:line="240" w:lineRule="auto"/>
        <w:rPr>
          <w:noProof/>
        </w:rPr>
      </w:pPr>
    </w:p>
    <w:p w14:paraId="16D7ABFF" w14:textId="77777777" w:rsidR="005B72A3" w:rsidRPr="00312F89" w:rsidRDefault="00624432" w:rsidP="005B72A3">
      <w:pPr>
        <w:pStyle w:val="ListParagraph"/>
        <w:numPr>
          <w:ilvl w:val="1"/>
          <w:numId w:val="3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</w:rPr>
      </w:pPr>
      <w:r w:rsidRPr="00312F89">
        <w:rPr>
          <w:b/>
        </w:rPr>
        <w:t xml:space="preserve">УНИКАЛЕН </w:t>
      </w:r>
      <w:r w:rsidRPr="00312F89">
        <w:rPr>
          <w:b/>
        </w:rPr>
        <w:t>ИДЕНТИФИКАТОР — ОЗНАЧЕНИЯ ЗА ЧЕТЕНЕ ОТ ХОРА</w:t>
      </w:r>
    </w:p>
    <w:p w14:paraId="16D7AC00" w14:textId="77777777" w:rsidR="005B72A3" w:rsidRPr="00312F89" w:rsidRDefault="005B72A3" w:rsidP="005B72A3">
      <w:pPr>
        <w:tabs>
          <w:tab w:val="clear" w:pos="567"/>
        </w:tabs>
        <w:spacing w:line="240" w:lineRule="auto"/>
        <w:rPr>
          <w:noProof/>
        </w:rPr>
      </w:pPr>
    </w:p>
    <w:p w14:paraId="16D7AC01" w14:textId="77777777" w:rsidR="005B72A3" w:rsidRPr="00312F89" w:rsidRDefault="00624432" w:rsidP="005B72A3">
      <w:pPr>
        <w:rPr>
          <w:color w:val="008000"/>
          <w:szCs w:val="22"/>
        </w:rPr>
      </w:pPr>
      <w:r w:rsidRPr="00312F89">
        <w:t xml:space="preserve">PC: {номер} </w:t>
      </w:r>
    </w:p>
    <w:p w14:paraId="16D7AC02" w14:textId="77777777" w:rsidR="005B72A3" w:rsidRPr="00312F89" w:rsidRDefault="00624432" w:rsidP="005B72A3">
      <w:pPr>
        <w:rPr>
          <w:szCs w:val="22"/>
        </w:rPr>
      </w:pPr>
      <w:r w:rsidRPr="00312F89">
        <w:t xml:space="preserve">SN: {номер} </w:t>
      </w:r>
    </w:p>
    <w:p w14:paraId="16D7AC03" w14:textId="77777777" w:rsidR="005B72A3" w:rsidRPr="00312F89" w:rsidRDefault="00624432" w:rsidP="005B72A3">
      <w:pPr>
        <w:rPr>
          <w:szCs w:val="22"/>
        </w:rPr>
      </w:pPr>
      <w:r w:rsidRPr="00312F89">
        <w:t xml:space="preserve">NN: {номер} </w:t>
      </w:r>
    </w:p>
    <w:p w14:paraId="16D7AC04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05" w14:textId="77777777" w:rsidR="005B72A3" w:rsidRPr="00312F89" w:rsidRDefault="005B72A3" w:rsidP="005B72A3">
      <w:pPr>
        <w:spacing w:line="240" w:lineRule="auto"/>
        <w:rPr>
          <w:noProof/>
          <w:szCs w:val="22"/>
          <w:shd w:val="clear" w:color="auto" w:fill="CCCCCC"/>
        </w:rPr>
      </w:pPr>
    </w:p>
    <w:p w14:paraId="16D7AC06" w14:textId="77777777" w:rsidR="005B72A3" w:rsidRPr="00312F89" w:rsidRDefault="00624432" w:rsidP="005B72A3">
      <w:pPr>
        <w:spacing w:line="240" w:lineRule="auto"/>
        <w:rPr>
          <w:b/>
          <w:noProof/>
          <w:szCs w:val="22"/>
        </w:rPr>
      </w:pPr>
      <w:r w:rsidRPr="00312F89">
        <w:br w:type="page"/>
      </w:r>
    </w:p>
    <w:p w14:paraId="16D7AC07" w14:textId="77777777" w:rsidR="005B72A3" w:rsidRPr="00312F89" w:rsidRDefault="00624432" w:rsidP="005B7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312F89">
        <w:rPr>
          <w:b/>
          <w:noProof/>
        </w:rPr>
        <w:lastRenderedPageBreak/>
        <w:t>МИНИМУМ ОЗНАЧЕНИЯ, КОИТО ТРЯБВА ДА СЪДЪРЖАТ БЛИСТЕРИТЕ И ЛЕНТИТЕ</w:t>
      </w:r>
    </w:p>
    <w:p w14:paraId="16D7AC08" w14:textId="77777777" w:rsidR="005B72A3" w:rsidRPr="00312F89" w:rsidRDefault="005B72A3" w:rsidP="005B7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</w:p>
    <w:p w14:paraId="16D7AC09" w14:textId="77777777" w:rsidR="005B72A3" w:rsidRPr="00312F89" w:rsidRDefault="00624432" w:rsidP="005B7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67" w:hanging="567"/>
        <w:rPr>
          <w:b/>
          <w:noProof/>
          <w:szCs w:val="22"/>
        </w:rPr>
      </w:pPr>
      <w:r w:rsidRPr="00312F89">
        <w:rPr>
          <w:b/>
          <w:noProof/>
        </w:rPr>
        <w:t>БЛИСТЕР</w:t>
      </w:r>
    </w:p>
    <w:p w14:paraId="16D7AC0A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0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0C" w14:textId="77777777" w:rsidR="005B72A3" w:rsidRPr="00312F89" w:rsidRDefault="00624432" w:rsidP="005B72A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312F89">
        <w:rPr>
          <w:b/>
          <w:noProof/>
        </w:rPr>
        <w:t>ИМЕ НА ЛЕКАРСТВЕНИЯ ПРОДУКТ</w:t>
      </w:r>
    </w:p>
    <w:p w14:paraId="16D7AC0D" w14:textId="77777777" w:rsidR="005B72A3" w:rsidRPr="00312F89" w:rsidRDefault="005B72A3" w:rsidP="005B72A3">
      <w:pPr>
        <w:spacing w:line="240" w:lineRule="auto"/>
        <w:rPr>
          <w:i/>
          <w:noProof/>
          <w:szCs w:val="22"/>
        </w:rPr>
      </w:pPr>
    </w:p>
    <w:p w14:paraId="16D7AC0E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Cuprior 150 mg </w:t>
      </w:r>
      <w:r w:rsidR="00695D78" w:rsidRPr="00312F89">
        <w:t xml:space="preserve">филмирани </w:t>
      </w:r>
      <w:r w:rsidRPr="00312F89">
        <w:t>таблетки</w:t>
      </w:r>
    </w:p>
    <w:p w14:paraId="16D7AC0F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>триентин</w:t>
      </w:r>
    </w:p>
    <w:p w14:paraId="16D7AC10" w14:textId="77777777" w:rsidR="005B72A3" w:rsidRPr="00312F89" w:rsidRDefault="005B72A3" w:rsidP="005B72A3">
      <w:pPr>
        <w:spacing w:line="240" w:lineRule="auto"/>
      </w:pPr>
    </w:p>
    <w:p w14:paraId="16D7AC11" w14:textId="77777777" w:rsidR="005B72A3" w:rsidRPr="00312F89" w:rsidRDefault="005B72A3" w:rsidP="005B72A3">
      <w:pPr>
        <w:spacing w:line="240" w:lineRule="auto"/>
      </w:pPr>
    </w:p>
    <w:p w14:paraId="16D7AC12" w14:textId="77777777" w:rsidR="005B72A3" w:rsidRPr="00312F89" w:rsidRDefault="00624432" w:rsidP="005B72A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312F89">
        <w:rPr>
          <w:b/>
          <w:noProof/>
        </w:rPr>
        <w:t xml:space="preserve">ИМЕ НА </w:t>
      </w:r>
      <w:r w:rsidRPr="00312F89">
        <w:rPr>
          <w:b/>
          <w:noProof/>
        </w:rPr>
        <w:t>ПРИТЕЖАТЕЛЯ НА РАЗРЕШЕНИЕТО ЗА УПОТРЕБА</w:t>
      </w:r>
    </w:p>
    <w:p w14:paraId="16D7AC1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4" w14:textId="71976786" w:rsidR="005B72A3" w:rsidRPr="00312F89" w:rsidRDefault="00E75EB0" w:rsidP="005B72A3">
      <w:pPr>
        <w:rPr>
          <w:szCs w:val="22"/>
        </w:rPr>
      </w:pPr>
      <w:proofErr w:type="spellStart"/>
      <w:r>
        <w:t>Orphalan</w:t>
      </w:r>
      <w:proofErr w:type="spellEnd"/>
    </w:p>
    <w:p w14:paraId="16D7AC15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6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7" w14:textId="77777777" w:rsidR="005B72A3" w:rsidRPr="00312F89" w:rsidRDefault="00624432" w:rsidP="005B72A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312F89">
        <w:rPr>
          <w:b/>
          <w:noProof/>
        </w:rPr>
        <w:t>ДАТА НА ИЗТИЧАНЕ НА СРОКА НА ГОДНОСТ</w:t>
      </w:r>
    </w:p>
    <w:p w14:paraId="16D7AC18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9" w14:textId="77777777" w:rsidR="005B72A3" w:rsidRPr="00312F89" w:rsidRDefault="00624432" w:rsidP="005B72A3">
      <w:pPr>
        <w:spacing w:line="240" w:lineRule="auto"/>
        <w:rPr>
          <w:noProof/>
          <w:szCs w:val="22"/>
        </w:rPr>
      </w:pPr>
      <w:r w:rsidRPr="00312F89">
        <w:t>Годен до:</w:t>
      </w:r>
    </w:p>
    <w:p w14:paraId="16D7AC1A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B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C" w14:textId="77777777" w:rsidR="005B72A3" w:rsidRPr="00312F89" w:rsidRDefault="00624432" w:rsidP="005B72A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312F89">
        <w:rPr>
          <w:b/>
          <w:noProof/>
        </w:rPr>
        <w:t>ПАРТИДЕН НОМЕР</w:t>
      </w:r>
    </w:p>
    <w:p w14:paraId="16D7AC1D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1E" w14:textId="77777777" w:rsidR="005B72A3" w:rsidRPr="00312F89" w:rsidRDefault="00624432" w:rsidP="005B72A3">
      <w:pPr>
        <w:rPr>
          <w:noProof/>
          <w:szCs w:val="22"/>
        </w:rPr>
      </w:pPr>
      <w:r w:rsidRPr="00312F89">
        <w:t>Партида:</w:t>
      </w:r>
    </w:p>
    <w:p w14:paraId="16D7AC1F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20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21" w14:textId="77777777" w:rsidR="005B72A3" w:rsidRPr="00312F89" w:rsidRDefault="00624432" w:rsidP="005B72A3">
      <w:pPr>
        <w:pStyle w:val="ListParagraph"/>
        <w:numPr>
          <w:ilvl w:val="1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573" w:hanging="573"/>
        <w:outlineLvl w:val="0"/>
        <w:rPr>
          <w:b/>
          <w:noProof/>
          <w:szCs w:val="22"/>
        </w:rPr>
      </w:pPr>
      <w:r w:rsidRPr="00312F89">
        <w:rPr>
          <w:b/>
          <w:noProof/>
        </w:rPr>
        <w:t>ДРУГО</w:t>
      </w:r>
    </w:p>
    <w:p w14:paraId="16D7AC22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23" w14:textId="77777777" w:rsidR="005B72A3" w:rsidRPr="00312F89" w:rsidRDefault="005B72A3" w:rsidP="005B72A3">
      <w:pPr>
        <w:spacing w:line="240" w:lineRule="auto"/>
        <w:rPr>
          <w:noProof/>
          <w:szCs w:val="22"/>
        </w:rPr>
      </w:pPr>
    </w:p>
    <w:p w14:paraId="16D7AC24" w14:textId="77777777" w:rsidR="005B72A3" w:rsidRPr="00312F89" w:rsidRDefault="00624432" w:rsidP="005B72A3">
      <w:r w:rsidRPr="00312F89">
        <w:br w:type="page"/>
      </w:r>
    </w:p>
    <w:p w14:paraId="16D7AC25" w14:textId="77777777" w:rsidR="005B72A3" w:rsidRPr="00312F89" w:rsidRDefault="005B72A3" w:rsidP="005B72A3">
      <w:pPr>
        <w:rPr>
          <w:noProof/>
        </w:rPr>
      </w:pPr>
    </w:p>
    <w:p w14:paraId="16D7AC26" w14:textId="77777777" w:rsidR="005B72A3" w:rsidRPr="00312F89" w:rsidRDefault="005B72A3" w:rsidP="005B72A3">
      <w:pPr>
        <w:rPr>
          <w:noProof/>
        </w:rPr>
      </w:pPr>
    </w:p>
    <w:p w14:paraId="16D7AC27" w14:textId="77777777" w:rsidR="005B72A3" w:rsidRPr="00312F89" w:rsidRDefault="005B72A3" w:rsidP="005B72A3">
      <w:pPr>
        <w:rPr>
          <w:noProof/>
        </w:rPr>
      </w:pPr>
    </w:p>
    <w:p w14:paraId="16D7AC28" w14:textId="77777777" w:rsidR="005B72A3" w:rsidRPr="00312F89" w:rsidRDefault="005B72A3" w:rsidP="005B72A3">
      <w:pPr>
        <w:rPr>
          <w:noProof/>
        </w:rPr>
      </w:pPr>
    </w:p>
    <w:p w14:paraId="16D7AC29" w14:textId="77777777" w:rsidR="005B72A3" w:rsidRPr="00312F89" w:rsidRDefault="005B72A3" w:rsidP="005B72A3">
      <w:pPr>
        <w:rPr>
          <w:noProof/>
        </w:rPr>
      </w:pPr>
    </w:p>
    <w:p w14:paraId="16D7AC2A" w14:textId="77777777" w:rsidR="005B72A3" w:rsidRPr="00312F89" w:rsidRDefault="005B72A3" w:rsidP="005B72A3">
      <w:pPr>
        <w:rPr>
          <w:noProof/>
        </w:rPr>
      </w:pPr>
    </w:p>
    <w:p w14:paraId="16D7AC2B" w14:textId="77777777" w:rsidR="005B72A3" w:rsidRPr="00312F89" w:rsidRDefault="005B72A3" w:rsidP="005B72A3">
      <w:pPr>
        <w:rPr>
          <w:noProof/>
        </w:rPr>
      </w:pPr>
    </w:p>
    <w:p w14:paraId="16D7AC2C" w14:textId="77777777" w:rsidR="005B72A3" w:rsidRPr="00312F89" w:rsidRDefault="005B72A3" w:rsidP="005B72A3">
      <w:pPr>
        <w:rPr>
          <w:noProof/>
        </w:rPr>
      </w:pPr>
    </w:p>
    <w:p w14:paraId="16D7AC2D" w14:textId="77777777" w:rsidR="005B72A3" w:rsidRPr="00312F89" w:rsidRDefault="005B72A3" w:rsidP="005B72A3">
      <w:pPr>
        <w:rPr>
          <w:noProof/>
        </w:rPr>
      </w:pPr>
    </w:p>
    <w:p w14:paraId="16D7AC2E" w14:textId="77777777" w:rsidR="005B72A3" w:rsidRPr="00312F89" w:rsidRDefault="005B72A3" w:rsidP="005B72A3">
      <w:pPr>
        <w:rPr>
          <w:noProof/>
        </w:rPr>
      </w:pPr>
    </w:p>
    <w:p w14:paraId="16D7AC2F" w14:textId="77777777" w:rsidR="005B72A3" w:rsidRPr="00312F89" w:rsidRDefault="005B72A3" w:rsidP="005B72A3">
      <w:pPr>
        <w:rPr>
          <w:noProof/>
        </w:rPr>
      </w:pPr>
    </w:p>
    <w:p w14:paraId="16D7AC30" w14:textId="77777777" w:rsidR="005B72A3" w:rsidRPr="00312F89" w:rsidRDefault="005B72A3" w:rsidP="005B72A3">
      <w:pPr>
        <w:rPr>
          <w:noProof/>
        </w:rPr>
      </w:pPr>
    </w:p>
    <w:p w14:paraId="16D7AC31" w14:textId="77777777" w:rsidR="005B72A3" w:rsidRPr="00312F89" w:rsidRDefault="005B72A3" w:rsidP="005B72A3">
      <w:pPr>
        <w:rPr>
          <w:noProof/>
        </w:rPr>
      </w:pPr>
    </w:p>
    <w:p w14:paraId="16D7AC32" w14:textId="77777777" w:rsidR="005B72A3" w:rsidRPr="00312F89" w:rsidRDefault="005B72A3" w:rsidP="005B72A3">
      <w:pPr>
        <w:rPr>
          <w:noProof/>
        </w:rPr>
      </w:pPr>
    </w:p>
    <w:p w14:paraId="16D7AC33" w14:textId="77777777" w:rsidR="005B72A3" w:rsidRPr="00312F89" w:rsidRDefault="005B72A3" w:rsidP="005B72A3">
      <w:pPr>
        <w:rPr>
          <w:noProof/>
        </w:rPr>
      </w:pPr>
    </w:p>
    <w:p w14:paraId="16D7AC34" w14:textId="77777777" w:rsidR="005B72A3" w:rsidRPr="00312F89" w:rsidRDefault="005B72A3" w:rsidP="005B72A3">
      <w:pPr>
        <w:rPr>
          <w:noProof/>
        </w:rPr>
      </w:pPr>
    </w:p>
    <w:p w14:paraId="16D7AC35" w14:textId="77777777" w:rsidR="005B72A3" w:rsidRPr="00312F89" w:rsidRDefault="005B72A3" w:rsidP="005B72A3">
      <w:pPr>
        <w:rPr>
          <w:noProof/>
        </w:rPr>
      </w:pPr>
    </w:p>
    <w:p w14:paraId="16D7AC36" w14:textId="77777777" w:rsidR="005B72A3" w:rsidRPr="00312F89" w:rsidRDefault="005B72A3" w:rsidP="005B72A3">
      <w:pPr>
        <w:rPr>
          <w:noProof/>
        </w:rPr>
      </w:pPr>
    </w:p>
    <w:p w14:paraId="16D7AC37" w14:textId="77777777" w:rsidR="005B72A3" w:rsidRPr="00312F89" w:rsidRDefault="005B72A3" w:rsidP="005B72A3">
      <w:pPr>
        <w:rPr>
          <w:noProof/>
        </w:rPr>
      </w:pPr>
    </w:p>
    <w:p w14:paraId="16D7AC38" w14:textId="77777777" w:rsidR="005B72A3" w:rsidRPr="00312F89" w:rsidRDefault="005B72A3" w:rsidP="005B72A3">
      <w:pPr>
        <w:rPr>
          <w:noProof/>
        </w:rPr>
      </w:pPr>
    </w:p>
    <w:p w14:paraId="16D7AC39" w14:textId="77777777" w:rsidR="005B72A3" w:rsidRPr="00312F89" w:rsidRDefault="005B72A3" w:rsidP="005B72A3">
      <w:pPr>
        <w:rPr>
          <w:noProof/>
        </w:rPr>
      </w:pPr>
    </w:p>
    <w:p w14:paraId="16D7AC3A" w14:textId="77777777" w:rsidR="005B72A3" w:rsidRPr="00312F89" w:rsidRDefault="005B72A3" w:rsidP="005B72A3">
      <w:pPr>
        <w:rPr>
          <w:noProof/>
        </w:rPr>
      </w:pPr>
    </w:p>
    <w:p w14:paraId="16D7AC3B" w14:textId="77777777" w:rsidR="005B72A3" w:rsidRPr="00312F89" w:rsidRDefault="00624432" w:rsidP="005B72A3">
      <w:pPr>
        <w:pStyle w:val="ListParagraph"/>
        <w:numPr>
          <w:ilvl w:val="0"/>
          <w:numId w:val="31"/>
        </w:numPr>
        <w:spacing w:line="240" w:lineRule="auto"/>
        <w:ind w:left="357" w:hanging="357"/>
        <w:jc w:val="center"/>
        <w:outlineLvl w:val="0"/>
        <w:rPr>
          <w:b/>
          <w:noProof/>
        </w:rPr>
      </w:pPr>
      <w:r w:rsidRPr="00312F89">
        <w:rPr>
          <w:b/>
          <w:noProof/>
        </w:rPr>
        <w:t>ЛИСТОВКА</w:t>
      </w:r>
    </w:p>
    <w:p w14:paraId="16D7AC3C" w14:textId="77777777" w:rsidR="005B72A3" w:rsidRPr="00312F89" w:rsidRDefault="00624432" w:rsidP="005B72A3">
      <w:pPr>
        <w:tabs>
          <w:tab w:val="clear" w:pos="567"/>
        </w:tabs>
        <w:spacing w:line="240" w:lineRule="auto"/>
        <w:jc w:val="center"/>
        <w:outlineLvl w:val="0"/>
        <w:rPr>
          <w:noProof/>
          <w:szCs w:val="22"/>
        </w:rPr>
      </w:pPr>
      <w:r w:rsidRPr="00312F89">
        <w:br w:type="page"/>
      </w:r>
      <w:r w:rsidRPr="00312F89">
        <w:rPr>
          <w:b/>
          <w:noProof/>
        </w:rPr>
        <w:lastRenderedPageBreak/>
        <w:t>Листовка: Информация за пациента</w:t>
      </w:r>
    </w:p>
    <w:p w14:paraId="16D7AC3D" w14:textId="77777777" w:rsidR="005B72A3" w:rsidRPr="00312F89" w:rsidRDefault="005B72A3" w:rsidP="005B72A3">
      <w:pPr>
        <w:numPr>
          <w:ilvl w:val="12"/>
          <w:numId w:val="0"/>
        </w:numPr>
        <w:shd w:val="clear" w:color="auto" w:fill="FFFFFF"/>
        <w:tabs>
          <w:tab w:val="clear" w:pos="567"/>
        </w:tabs>
        <w:spacing w:line="240" w:lineRule="auto"/>
        <w:jc w:val="center"/>
        <w:rPr>
          <w:noProof/>
          <w:szCs w:val="22"/>
        </w:rPr>
      </w:pPr>
    </w:p>
    <w:p w14:paraId="16D7AC3E" w14:textId="77777777" w:rsidR="005B72A3" w:rsidRPr="00312F89" w:rsidRDefault="00624432" w:rsidP="005B72A3">
      <w:pPr>
        <w:jc w:val="center"/>
        <w:rPr>
          <w:b/>
          <w:noProof/>
          <w:szCs w:val="22"/>
        </w:rPr>
      </w:pPr>
      <w:r w:rsidRPr="00312F89">
        <w:rPr>
          <w:b/>
          <w:noProof/>
        </w:rPr>
        <w:t xml:space="preserve">Cuprior 150 mg </w:t>
      </w:r>
      <w:r w:rsidR="00695D78" w:rsidRPr="00312F89">
        <w:rPr>
          <w:b/>
          <w:noProof/>
        </w:rPr>
        <w:t xml:space="preserve">филмирани </w:t>
      </w:r>
      <w:r w:rsidRPr="00312F89">
        <w:rPr>
          <w:b/>
          <w:noProof/>
        </w:rPr>
        <w:t>таблетки</w:t>
      </w:r>
    </w:p>
    <w:p w14:paraId="16D7AC3F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jc w:val="center"/>
        <w:rPr>
          <w:noProof/>
          <w:szCs w:val="22"/>
        </w:rPr>
      </w:pPr>
      <w:r w:rsidRPr="00312F89">
        <w:t>триентин</w:t>
      </w:r>
    </w:p>
    <w:p w14:paraId="16D7AC40" w14:textId="77777777" w:rsidR="005B72A3" w:rsidRPr="00312F89" w:rsidRDefault="005B72A3" w:rsidP="005B72A3">
      <w:pPr>
        <w:jc w:val="center"/>
        <w:rPr>
          <w:szCs w:val="22"/>
        </w:rPr>
      </w:pPr>
    </w:p>
    <w:p w14:paraId="16D7AC41" w14:textId="77777777" w:rsidR="005B72A3" w:rsidRPr="00312F89" w:rsidRDefault="00624432" w:rsidP="005B72A3">
      <w:r w:rsidRPr="00312F89">
        <w:t>Информация можете да намерите и като сканирате баркода по-долу със смартфон или чрез уебсайта</w:t>
      </w:r>
      <w:r w:rsidRPr="00312F89">
        <w:rPr>
          <w:i/>
          <w:noProof/>
        </w:rPr>
        <w:t xml:space="preserve"> </w:t>
      </w:r>
      <w:r w:rsidRPr="00312F89">
        <w:rPr>
          <w:i/>
          <w:noProof/>
          <w:highlight w:val="lightGray"/>
        </w:rPr>
        <w:t>да се включи QR кодът</w:t>
      </w:r>
      <w:r w:rsidRPr="00312F89">
        <w:rPr>
          <w:i/>
          <w:noProof/>
        </w:rPr>
        <w:t xml:space="preserve"> </w:t>
      </w:r>
      <w:hyperlink r:id="rId14" w:history="1">
        <w:r w:rsidRPr="00312F89">
          <w:rPr>
            <w:rStyle w:val="Hyperlink"/>
          </w:rPr>
          <w:t>http://www.cuprior.com</w:t>
        </w:r>
      </w:hyperlink>
    </w:p>
    <w:p w14:paraId="16D7AC42" w14:textId="77777777" w:rsidR="005B72A3" w:rsidRPr="00312F89" w:rsidRDefault="005B72A3" w:rsidP="005B72A3">
      <w:pPr>
        <w:tabs>
          <w:tab w:val="clear" w:pos="567"/>
        </w:tabs>
        <w:spacing w:line="240" w:lineRule="auto"/>
        <w:rPr>
          <w:noProof/>
          <w:szCs w:val="22"/>
        </w:rPr>
      </w:pPr>
    </w:p>
    <w:p w14:paraId="16D7AC43" w14:textId="77777777" w:rsidR="005B72A3" w:rsidRPr="00312F89" w:rsidRDefault="00624432" w:rsidP="005B72A3">
      <w:pPr>
        <w:tabs>
          <w:tab w:val="clear" w:pos="567"/>
        </w:tabs>
        <w:suppressAutoHyphens/>
        <w:spacing w:line="240" w:lineRule="auto"/>
        <w:ind w:left="142" w:hanging="142"/>
        <w:rPr>
          <w:noProof/>
          <w:szCs w:val="22"/>
        </w:rPr>
      </w:pPr>
      <w:r w:rsidRPr="00312F89">
        <w:rPr>
          <w:b/>
          <w:noProof/>
        </w:rPr>
        <w:t xml:space="preserve">Прочетете внимателно цялата листовка, преди да </w:t>
      </w:r>
      <w:r w:rsidRPr="00312F89">
        <w:rPr>
          <w:b/>
          <w:noProof/>
        </w:rPr>
        <w:t>започнете да приемате това лекарство, тъй като тя съдържа важна за Вас информация.</w:t>
      </w:r>
    </w:p>
    <w:p w14:paraId="16D7AC44" w14:textId="77777777" w:rsidR="005B72A3" w:rsidRPr="00312F89" w:rsidRDefault="00624432" w:rsidP="005B72A3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312F89">
        <w:t xml:space="preserve">Запазете тази листовка. Може да се наложи да я прочетете отново. </w:t>
      </w:r>
    </w:p>
    <w:p w14:paraId="16D7AC45" w14:textId="77777777" w:rsidR="005B72A3" w:rsidRPr="00312F89" w:rsidRDefault="00624432" w:rsidP="005B72A3">
      <w:pPr>
        <w:numPr>
          <w:ilvl w:val="0"/>
          <w:numId w:val="3"/>
        </w:numPr>
        <w:tabs>
          <w:tab w:val="clear" w:pos="567"/>
        </w:tabs>
        <w:spacing w:line="240" w:lineRule="auto"/>
        <w:ind w:left="567" w:right="-2" w:hanging="567"/>
        <w:rPr>
          <w:noProof/>
          <w:szCs w:val="22"/>
        </w:rPr>
      </w:pPr>
      <w:r w:rsidRPr="00312F89">
        <w:t>Ако имате някакви допълнителни въпроси, попитайте Вашия лекар или фармацевт.</w:t>
      </w:r>
    </w:p>
    <w:p w14:paraId="16D7AC46" w14:textId="77777777" w:rsidR="005B72A3" w:rsidRPr="00312F89" w:rsidRDefault="00624432" w:rsidP="005B72A3">
      <w:pPr>
        <w:spacing w:line="240" w:lineRule="auto"/>
        <w:ind w:left="567" w:right="-2" w:hanging="567"/>
        <w:rPr>
          <w:noProof/>
          <w:szCs w:val="22"/>
        </w:rPr>
      </w:pPr>
      <w:r w:rsidRPr="00312F89">
        <w:t>-</w:t>
      </w:r>
      <w:r w:rsidRPr="00312F89">
        <w:tab/>
        <w:t xml:space="preserve">Това лекарство е предписано </w:t>
      </w:r>
      <w:r w:rsidRPr="00312F89">
        <w:t>лично на Вас. Не го преотстъпвайте на други хора. То може да им навреди, независимо че признаците на тяхното заболяване са същите като Вашите.</w:t>
      </w:r>
      <w:r w:rsidRPr="00312F89">
        <w:rPr>
          <w:noProof/>
          <w:color w:val="008000"/>
        </w:rPr>
        <w:t xml:space="preserve"> </w:t>
      </w:r>
    </w:p>
    <w:p w14:paraId="16D7AC47" w14:textId="77777777" w:rsidR="005B72A3" w:rsidRPr="00312F89" w:rsidRDefault="00624432" w:rsidP="005B72A3">
      <w:pPr>
        <w:numPr>
          <w:ilvl w:val="0"/>
          <w:numId w:val="3"/>
        </w:numPr>
        <w:spacing w:line="240" w:lineRule="auto"/>
        <w:ind w:left="567" w:hanging="567"/>
        <w:rPr>
          <w:szCs w:val="22"/>
        </w:rPr>
      </w:pPr>
      <w:r w:rsidRPr="00312F89">
        <w:t>Ако получите някакви нежелани реакции, уведомете Вашия лекар или фармацевт.</w:t>
      </w:r>
      <w:r w:rsidRPr="00312F89">
        <w:rPr>
          <w:color w:val="FF0000"/>
        </w:rPr>
        <w:t xml:space="preserve"> </w:t>
      </w:r>
      <w:r w:rsidRPr="00312F89">
        <w:t xml:space="preserve">Това включва и всички </w:t>
      </w:r>
      <w:r w:rsidRPr="00312F89">
        <w:t>възможни нежелани реакции, неописани в тази листовка. Вижте точка 4.</w:t>
      </w:r>
    </w:p>
    <w:p w14:paraId="16D7AC48" w14:textId="77777777" w:rsidR="005B72A3" w:rsidRPr="00312F89" w:rsidRDefault="005B72A3" w:rsidP="005B72A3">
      <w:pPr>
        <w:tabs>
          <w:tab w:val="clear" w:pos="567"/>
        </w:tabs>
        <w:spacing w:line="240" w:lineRule="auto"/>
        <w:ind w:right="-2"/>
        <w:rPr>
          <w:szCs w:val="22"/>
        </w:rPr>
      </w:pPr>
    </w:p>
    <w:p w14:paraId="16D7AC49" w14:textId="77777777" w:rsidR="005B72A3" w:rsidRPr="00312F89" w:rsidRDefault="005B72A3" w:rsidP="005B72A3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4A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312F89">
        <w:rPr>
          <w:b/>
          <w:noProof/>
        </w:rPr>
        <w:t>Какво съдържа тази листовка</w:t>
      </w:r>
    </w:p>
    <w:p w14:paraId="16D7AC4B" w14:textId="77777777" w:rsidR="005B72A3" w:rsidRPr="00312F89" w:rsidRDefault="005B72A3" w:rsidP="005B72A3">
      <w:pPr>
        <w:rPr>
          <w:noProof/>
        </w:rPr>
      </w:pPr>
    </w:p>
    <w:p w14:paraId="16D7AC4C" w14:textId="77777777" w:rsidR="005B72A3" w:rsidRPr="00312F89" w:rsidRDefault="00624432" w:rsidP="005B72A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312F89">
        <w:t xml:space="preserve">Какво представлява Cuprior и за какво се използва </w:t>
      </w:r>
    </w:p>
    <w:p w14:paraId="16D7AC4D" w14:textId="77777777" w:rsidR="005B72A3" w:rsidRPr="00312F89" w:rsidRDefault="00624432" w:rsidP="005B72A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312F89">
        <w:t xml:space="preserve">Какво трябва да знаете, преди да приемете Cuprior </w:t>
      </w:r>
    </w:p>
    <w:p w14:paraId="16D7AC4E" w14:textId="77777777" w:rsidR="005B72A3" w:rsidRPr="00312F89" w:rsidRDefault="00624432" w:rsidP="005B72A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312F89">
        <w:t xml:space="preserve">Как да приемате Cuprior </w:t>
      </w:r>
    </w:p>
    <w:p w14:paraId="16D7AC4F" w14:textId="77777777" w:rsidR="005B72A3" w:rsidRPr="00312F89" w:rsidRDefault="00624432" w:rsidP="005B72A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312F89">
        <w:t xml:space="preserve">Възможни нежелани реакции </w:t>
      </w:r>
    </w:p>
    <w:p w14:paraId="16D7AC50" w14:textId="77777777" w:rsidR="005B72A3" w:rsidRPr="00312F89" w:rsidRDefault="00624432" w:rsidP="005B72A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312F89">
        <w:t xml:space="preserve">Как да съхранявате Cuprior </w:t>
      </w:r>
    </w:p>
    <w:p w14:paraId="16D7AC51" w14:textId="77777777" w:rsidR="005B72A3" w:rsidRPr="00312F89" w:rsidRDefault="00624432" w:rsidP="005B72A3">
      <w:pPr>
        <w:pStyle w:val="ListParagraph"/>
        <w:numPr>
          <w:ilvl w:val="0"/>
          <w:numId w:val="32"/>
        </w:numPr>
        <w:tabs>
          <w:tab w:val="clear" w:pos="567"/>
          <w:tab w:val="left" w:pos="426"/>
        </w:tabs>
        <w:spacing w:line="240" w:lineRule="auto"/>
        <w:ind w:left="420" w:right="-28"/>
        <w:rPr>
          <w:noProof/>
          <w:szCs w:val="22"/>
        </w:rPr>
      </w:pPr>
      <w:r w:rsidRPr="00312F89">
        <w:t>Съдържание на опаковката и допълнителна информация</w:t>
      </w:r>
    </w:p>
    <w:p w14:paraId="16D7AC52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53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54" w14:textId="77777777" w:rsidR="005B72A3" w:rsidRPr="00312F89" w:rsidRDefault="00624432" w:rsidP="005B72A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312F89">
        <w:rPr>
          <w:b/>
          <w:noProof/>
        </w:rPr>
        <w:t>Какво представлява Cuprior и за какво се използва</w:t>
      </w:r>
    </w:p>
    <w:p w14:paraId="16D7AC55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56" w14:textId="29C389FF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 xml:space="preserve">Cuprior е лекарство, използвано за лечение на болестта на </w:t>
      </w:r>
      <w:r w:rsidR="0006785B" w:rsidRPr="00312F89">
        <w:t>Wilson</w:t>
      </w:r>
      <w:r w:rsidRPr="00312F89">
        <w:t>, което съдържа активното веществ</w:t>
      </w:r>
      <w:r w:rsidRPr="00312F89">
        <w:t xml:space="preserve">о триентин. </w:t>
      </w:r>
    </w:p>
    <w:p w14:paraId="16D7AC57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58" w14:textId="4D91B7CE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 xml:space="preserve">Болестта на </w:t>
      </w:r>
      <w:r w:rsidR="0006785B" w:rsidRPr="00312F89">
        <w:t>Wilson</w:t>
      </w:r>
      <w:r w:rsidRPr="00312F89">
        <w:t xml:space="preserve"> е наследствено заболяване, при което организмът не може да транспортира медта в тялото по нормален начин или да отстранява медта по нормален начин като секреция от черния дроб в червата. Това означава, че малките количества</w:t>
      </w:r>
      <w:r w:rsidRPr="00312F89">
        <w:t xml:space="preserve"> мед от храни и напитки се натрупват до прекомерни нива и могат да доведат до увреждане на черния дроб и проблеми в нервната система. Това лекарство действа главно като се прикрепя към медта в организма, което след това позволява тя да се отстрани с уринат</w:t>
      </w:r>
      <w:r w:rsidRPr="00312F89">
        <w:t xml:space="preserve">а, което помага за понижаване на нивата на медта. То може също така да се прикрепи към медта в червата и така да намали количеството натрупано в организма. </w:t>
      </w:r>
    </w:p>
    <w:p w14:paraId="16D7AC59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 xml:space="preserve">Cuprior се предписва на възрастни, юноши и деца на възраст от 5 години и повече, които не могат да </w:t>
      </w:r>
      <w:r w:rsidRPr="00312F89">
        <w:t>понасят друго лекарство, което се използва за лечение на това заболяване, наречено пенициламин.</w:t>
      </w:r>
    </w:p>
    <w:p w14:paraId="16D7AC5A" w14:textId="77777777" w:rsidR="005B72A3" w:rsidRPr="00312F89" w:rsidRDefault="005B72A3" w:rsidP="005B72A3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5B" w14:textId="77777777" w:rsidR="005B72A3" w:rsidRPr="00312F89" w:rsidRDefault="005B72A3" w:rsidP="005B72A3">
      <w:p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5C" w14:textId="77777777" w:rsidR="005B72A3" w:rsidRPr="00312F89" w:rsidRDefault="00624432" w:rsidP="005B72A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312F89">
        <w:rPr>
          <w:b/>
          <w:noProof/>
        </w:rPr>
        <w:t xml:space="preserve">Какво трябва да знаете, преди да приемете Cuprior </w:t>
      </w:r>
    </w:p>
    <w:p w14:paraId="16D7AC5D" w14:textId="77777777" w:rsidR="005B72A3" w:rsidRPr="00312F89" w:rsidRDefault="005B72A3" w:rsidP="005B72A3">
      <w:pPr>
        <w:rPr>
          <w:noProof/>
        </w:rPr>
      </w:pPr>
    </w:p>
    <w:p w14:paraId="16D7AC5E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312F89">
        <w:rPr>
          <w:b/>
        </w:rPr>
        <w:t>Не приемайте Cuprior</w:t>
      </w:r>
    </w:p>
    <w:p w14:paraId="16D7AC5F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312F89">
        <w:t xml:space="preserve">Ако сте алергични към триентин или към някоя от останалите съставки на това лекарство (изброени в точка 6). </w:t>
      </w:r>
    </w:p>
    <w:p w14:paraId="16D7AC60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61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312F89">
        <w:rPr>
          <w:b/>
        </w:rPr>
        <w:t xml:space="preserve">Предупреждения и предпазни мерки </w:t>
      </w:r>
    </w:p>
    <w:p w14:paraId="16D7AC62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312F89">
        <w:t>Говорете с Вашия лекар или фармацевт, преди да приемете Cuprior.</w:t>
      </w:r>
    </w:p>
    <w:p w14:paraId="16D7AC63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64" w14:textId="26C9E7F3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lastRenderedPageBreak/>
        <w:t>Ако вече приемате друго лекарство, съдържащо т</w:t>
      </w:r>
      <w:r w:rsidRPr="00312F89">
        <w:t xml:space="preserve">риентин, Вашият лекар може да промени дневната Ви доза, броя на таблетки или броя на приемите в деня на преминаване към лечение с Cuprior. </w:t>
      </w:r>
    </w:p>
    <w:p w14:paraId="16D7AC65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66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 xml:space="preserve">Първоначално Вашите симптоми може да се влошат след започване на лечението. Ако това се случи, трябва да уведомите </w:t>
      </w:r>
      <w:r w:rsidRPr="00312F89">
        <w:t>Вашия лекар.</w:t>
      </w:r>
    </w:p>
    <w:p w14:paraId="16D7AC67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68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 xml:space="preserve">Лекарят ще проверява редовно кръвта и урината Ви, за да се увери, че получавате точната доза Cuprior, за да се контролират правилно симптомите и нивата на медта. </w:t>
      </w:r>
    </w:p>
    <w:p w14:paraId="16D7AC69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6A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>Трябва да уведомите Вашия лекар, ако получите някакви нежелани реакции, тъй ка</w:t>
      </w:r>
      <w:r w:rsidRPr="00312F89">
        <w:t xml:space="preserve">то това може да означава, че Вашата доза Cuprior трябва да се повиши или понижи. </w:t>
      </w:r>
    </w:p>
    <w:p w14:paraId="16D7AC6B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6C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Това лекарство може също така да намали нивото на желязо в кръвта и лекарят може да предпише добавки с желязо (вижте точка „Други лекарства и Cuprior“ по-долу).</w:t>
      </w:r>
    </w:p>
    <w:p w14:paraId="16D7AC6D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6E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Ако имате п</w:t>
      </w:r>
      <w:r w:rsidRPr="00312F89">
        <w:t>роблеми с бъбреците, Вашият лекар редовно ще проверява дали дозата за лечение е подходяща и не засяга функционирането на бъбреците.</w:t>
      </w:r>
    </w:p>
    <w:p w14:paraId="16D7AC6F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70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 xml:space="preserve">Приемът на триентин с друго лекарство, съдържащо цинк, не се препоръчва. </w:t>
      </w:r>
    </w:p>
    <w:p w14:paraId="16D7AC71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72" w14:textId="6A452E34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rFonts w:eastAsia="SimSun"/>
          <w:szCs w:val="22"/>
        </w:rPr>
      </w:pPr>
      <w:r w:rsidRPr="00312F89">
        <w:t>При някои пациенти, преминали след лечение с пенициламин към лекарство, съдържащо триентин, се съобщават реакции подобни на лупус (симптомите могат да включват упорит обрив, повишена температура, болка в ставите и умора). Не е възможно обаче да се определи</w:t>
      </w:r>
      <w:r w:rsidRPr="00312F89">
        <w:t xml:space="preserve"> дали реакцията се дължи на триентин или на предишното лечение с пенициламин. </w:t>
      </w:r>
    </w:p>
    <w:p w14:paraId="16D7AC73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74" w14:textId="77777777" w:rsidR="005B72A3" w:rsidRPr="00312F89" w:rsidRDefault="00624432" w:rsidP="005B72A3">
      <w:pPr>
        <w:rPr>
          <w:rFonts w:eastAsia="SimSun"/>
          <w:b/>
          <w:bCs/>
          <w:szCs w:val="22"/>
        </w:rPr>
      </w:pPr>
      <w:r w:rsidRPr="00312F89">
        <w:rPr>
          <w:b/>
        </w:rPr>
        <w:t>Деца и юноши</w:t>
      </w:r>
    </w:p>
    <w:p w14:paraId="16D7AC75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Вашият лекар ще извършва по-чести проверки, за да се увери, че нивата на медта се поддържат на подходящо ниво, за нормален растеж и умствено развитие. </w:t>
      </w:r>
    </w:p>
    <w:p w14:paraId="16D7AC76" w14:textId="77777777" w:rsidR="005B72A3" w:rsidRPr="00312F89" w:rsidRDefault="00624432" w:rsidP="005B72A3">
      <w:pPr>
        <w:rPr>
          <w:noProof/>
          <w:szCs w:val="22"/>
        </w:rPr>
      </w:pPr>
      <w:r w:rsidRPr="00312F89">
        <w:t>Това лекарс</w:t>
      </w:r>
      <w:r w:rsidRPr="00312F89">
        <w:t>тво не се препоръчва при деца на възраст под 5 години.</w:t>
      </w:r>
    </w:p>
    <w:p w14:paraId="16D7AC77" w14:textId="77777777" w:rsidR="005B72A3" w:rsidRPr="00312F89" w:rsidRDefault="005B72A3" w:rsidP="005B72A3">
      <w:pPr>
        <w:rPr>
          <w:noProof/>
          <w:szCs w:val="22"/>
          <w:highlight w:val="yellow"/>
        </w:rPr>
      </w:pPr>
    </w:p>
    <w:p w14:paraId="16D7AC78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312F89">
        <w:rPr>
          <w:b/>
        </w:rPr>
        <w:t>Други лекарства и Cuprior</w:t>
      </w:r>
    </w:p>
    <w:p w14:paraId="16D7AC79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 xml:space="preserve">Информирайте Вашия лекар, ако приемате, наскоро сте приемали или е възможно да приемате други лекарства. </w:t>
      </w:r>
    </w:p>
    <w:p w14:paraId="16D7AC7A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7B" w14:textId="77777777" w:rsidR="005B72A3" w:rsidRPr="00312F89" w:rsidRDefault="00624432" w:rsidP="005B72A3">
      <w:pPr>
        <w:rPr>
          <w:noProof/>
          <w:szCs w:val="22"/>
        </w:rPr>
      </w:pPr>
      <w:r w:rsidRPr="00312F89">
        <w:t>По-специално, трябва да уведомите Вашия лекар, ако вече приемате же</w:t>
      </w:r>
      <w:r w:rsidRPr="00312F89">
        <w:t xml:space="preserve">лезни добавки или ако приемате лекарства за лечение на лошо храносмилане (лекарства, които намаляват дискомфорта след хранене). Ако приемате тези лекарства, може да се наложи да приемате Cuprior в различно време през деня, защото в противен случай Cuprior </w:t>
      </w:r>
      <w:r w:rsidRPr="00312F89">
        <w:t>може да не е толкова ефективен. Ако приемате добавки с желязо, уверете се, че са минали най-малко два часа между приемането на Cuprior и приемането на добавки с желязо.</w:t>
      </w:r>
    </w:p>
    <w:p w14:paraId="16D7AC7C" w14:textId="77777777" w:rsidR="005B72A3" w:rsidRPr="00312F89" w:rsidRDefault="005B72A3" w:rsidP="005B72A3">
      <w:pPr>
        <w:rPr>
          <w:noProof/>
          <w:szCs w:val="22"/>
        </w:rPr>
      </w:pPr>
    </w:p>
    <w:p w14:paraId="16D7AC7D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312F89">
        <w:rPr>
          <w:b/>
        </w:rPr>
        <w:t xml:space="preserve">Бременност и кърмене </w:t>
      </w:r>
    </w:p>
    <w:p w14:paraId="16D7AC7E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  <w:r w:rsidRPr="00312F89">
        <w:t>Ако сте бременна или кърмите, смятате, че може да сте бременна и</w:t>
      </w:r>
      <w:r w:rsidRPr="00312F89">
        <w:t xml:space="preserve">ли планирате бременност, посъветвайте се с Вашия лекар, преди да приемете това лекарство. </w:t>
      </w:r>
    </w:p>
    <w:p w14:paraId="16D7AC7F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D7AC80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312F89">
        <w:t>Много е важно да продължите лечението, за да намалите медта по време на бременността. Вие и Вашият лекар трябва да обсъдите подробно потенциалните ползи от лечениет</w:t>
      </w:r>
      <w:r w:rsidRPr="00312F89">
        <w:t>о, като същевременно вземете предвид възможните рискове, които може да съществуват. Лекарят ще Ви посъветва кое лечение и коя доза е най-подходяща във Вашата ситуация.</w:t>
      </w:r>
    </w:p>
    <w:p w14:paraId="16D7AC81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82" w14:textId="77777777" w:rsidR="005B72A3" w:rsidRPr="00312F89" w:rsidRDefault="00624432" w:rsidP="005B72A3">
      <w:pPr>
        <w:rPr>
          <w:noProof/>
          <w:szCs w:val="22"/>
        </w:rPr>
      </w:pPr>
      <w:r w:rsidRPr="00312F89">
        <w:t>Ако сте бременна и приемате Cuprior, ще бъдете проследявана по време на бременността си</w:t>
      </w:r>
      <w:r w:rsidRPr="00312F89">
        <w:t xml:space="preserve"> за всякакви ефекти върху бебето или промени в нивата на медта. Когато се роди бебето Ви, нивото на мед в кръвта на бебето също ще се проследява. </w:t>
      </w:r>
    </w:p>
    <w:p w14:paraId="16D7AC83" w14:textId="77777777" w:rsidR="005B72A3" w:rsidRPr="00312F89" w:rsidRDefault="005B72A3" w:rsidP="005B72A3">
      <w:pPr>
        <w:rPr>
          <w:noProof/>
          <w:szCs w:val="22"/>
        </w:rPr>
      </w:pPr>
    </w:p>
    <w:p w14:paraId="16D7AC84" w14:textId="77777777" w:rsidR="005B72A3" w:rsidRPr="00312F89" w:rsidRDefault="00624432" w:rsidP="005B72A3">
      <w:pPr>
        <w:keepNext/>
        <w:rPr>
          <w:noProof/>
          <w:szCs w:val="22"/>
        </w:rPr>
      </w:pPr>
      <w:r w:rsidRPr="00312F89">
        <w:t>Не е известно дали това лекарство преминава в кърмата. Важно е да уведомите Вашия лекар, ако кърмите или пла</w:t>
      </w:r>
      <w:r w:rsidRPr="00312F89">
        <w:t xml:space="preserve">нирате да го направите. Лекарят ще Ви помогне да решите дали да спрете </w:t>
      </w:r>
      <w:r w:rsidRPr="00312F89">
        <w:lastRenderedPageBreak/>
        <w:t>кърменето или да спрете приема на Cuprior, като се има предвид ползата от кърменето за бебето и ползата от Cuprior за майката. Лекарят ще реши кое лечение и коя доза е най-подходяща във</w:t>
      </w:r>
      <w:r w:rsidRPr="00312F89">
        <w:t xml:space="preserve"> Вашата ситуация.</w:t>
      </w:r>
    </w:p>
    <w:p w14:paraId="16D7AC85" w14:textId="77777777" w:rsidR="005B72A3" w:rsidRPr="00312F89" w:rsidRDefault="005B72A3" w:rsidP="005B72A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rPr>
          <w:noProof/>
          <w:szCs w:val="22"/>
        </w:rPr>
      </w:pPr>
    </w:p>
    <w:p w14:paraId="16D7AC86" w14:textId="77777777" w:rsidR="005B72A3" w:rsidRPr="00312F89" w:rsidRDefault="00624432" w:rsidP="005B72A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rPr>
          <w:b/>
          <w:szCs w:val="22"/>
        </w:rPr>
      </w:pPr>
      <w:r w:rsidRPr="00312F89">
        <w:rPr>
          <w:b/>
        </w:rPr>
        <w:t>Шофиране и работа с машини</w:t>
      </w:r>
    </w:p>
    <w:p w14:paraId="16D7AC87" w14:textId="77777777" w:rsidR="005B72A3" w:rsidRPr="00312F89" w:rsidRDefault="00624432" w:rsidP="005B72A3">
      <w:pPr>
        <w:keepNext/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Не се очаква Cuprior да окаже въздействие върху способността за шофиране или работа с машини.</w:t>
      </w:r>
    </w:p>
    <w:p w14:paraId="16D7AC88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89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8A" w14:textId="77777777" w:rsidR="005B72A3" w:rsidRPr="00312F89" w:rsidRDefault="00624432" w:rsidP="005B72A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312F89">
        <w:rPr>
          <w:b/>
          <w:noProof/>
        </w:rPr>
        <w:t>Как да приемате Cuprior</w:t>
      </w:r>
    </w:p>
    <w:p w14:paraId="16D7AC8B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8C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 xml:space="preserve">Винаги приемайте това лекарство точно както Ви е казал Вашият лекар или фармацевт. Ако не сте сигурни в нещо, попитайте Вашия лекар или фармацевт. </w:t>
      </w:r>
    </w:p>
    <w:p w14:paraId="16D7AC8D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8E" w14:textId="395CBF73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При възрастни от всички възрасти препоръчителната обща дневна доза е от 3 до 6</w:t>
      </w:r>
      <w:r w:rsidRPr="00312F89">
        <w:rPr>
          <w:b/>
        </w:rPr>
        <w:t>½</w:t>
      </w:r>
      <w:r w:rsidRPr="00312F89">
        <w:t xml:space="preserve"> таблетки дневно (което прав</w:t>
      </w:r>
      <w:r w:rsidRPr="00312F89">
        <w:t>и общо между 450 и 975 mg). Това дневно общо количество ще се раздели на 2 до 4 по-малки приема, които трябва да се приемат през деня. Вашият лекар ще Ви каже колко таблетки трябва да приемате и колко често през деня. Таблетките могат да се разделят наполо</w:t>
      </w:r>
      <w:r w:rsidRPr="00312F89">
        <w:t>вина, ако е необходимо.</w:t>
      </w:r>
    </w:p>
    <w:p w14:paraId="16D7AC8F" w14:textId="77777777" w:rsidR="005B72A3" w:rsidRPr="00312F89" w:rsidRDefault="005B72A3" w:rsidP="005B72A3">
      <w:pPr>
        <w:rPr>
          <w:noProof/>
          <w:szCs w:val="22"/>
        </w:rPr>
      </w:pPr>
    </w:p>
    <w:p w14:paraId="16D7AC90" w14:textId="77777777" w:rsidR="005B72A3" w:rsidRPr="00312F89" w:rsidRDefault="00624432" w:rsidP="005B72A3">
      <w:pPr>
        <w:keepNext/>
        <w:autoSpaceDE w:val="0"/>
        <w:autoSpaceDN w:val="0"/>
        <w:adjustRightInd w:val="0"/>
        <w:spacing w:line="240" w:lineRule="auto"/>
        <w:rPr>
          <w:b/>
          <w:bCs/>
          <w:szCs w:val="22"/>
        </w:rPr>
      </w:pPr>
      <w:r w:rsidRPr="00312F89">
        <w:rPr>
          <w:b/>
        </w:rPr>
        <w:t>Употреба при деца и юноши</w:t>
      </w:r>
    </w:p>
    <w:p w14:paraId="16D7AC91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Дозата, която ще приемате, обикновено е по-ниска от тази за възрастни и зависи от възрастта и телесното Ви тегло. </w:t>
      </w:r>
    </w:p>
    <w:p w14:paraId="16D7AC92" w14:textId="4EEAB9BA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Обичайната обща дневна доза е между 225 и 600 mg (1</w:t>
      </w:r>
      <w:r w:rsidRPr="00312F89">
        <w:rPr>
          <w:b/>
        </w:rPr>
        <w:t>½</w:t>
      </w:r>
      <w:r w:rsidRPr="00312F89">
        <w:t xml:space="preserve"> до 4 таблетки дневно), която ще бъде </w:t>
      </w:r>
      <w:r w:rsidRPr="00312F89">
        <w:t>разделена на 2 до 4 по-малки приема, които трябва да се приемат през деня. Вашият лекар ще Ви каже колко таблетки трябва да приемате и колко често през деня.</w:t>
      </w:r>
    </w:p>
    <w:p w14:paraId="16D7AC93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94" w14:textId="77777777" w:rsidR="005B72A3" w:rsidRPr="00312F89" w:rsidRDefault="00624432" w:rsidP="005B72A3">
      <w:pPr>
        <w:rPr>
          <w:noProof/>
          <w:szCs w:val="22"/>
        </w:rPr>
      </w:pPr>
      <w:r w:rsidRPr="00312F89">
        <w:t>След като започнете лечението, Вашият лекар може да коригира дозата въз основа на повлияването от</w:t>
      </w:r>
      <w:r w:rsidRPr="00312F89">
        <w:t xml:space="preserve"> лечението.</w:t>
      </w:r>
    </w:p>
    <w:p w14:paraId="16D7AC95" w14:textId="77777777" w:rsidR="005B72A3" w:rsidRPr="00312F89" w:rsidRDefault="005B72A3" w:rsidP="005B72A3">
      <w:pPr>
        <w:rPr>
          <w:noProof/>
          <w:szCs w:val="22"/>
        </w:rPr>
      </w:pPr>
    </w:p>
    <w:p w14:paraId="16D7AC96" w14:textId="1DE3F83A" w:rsidR="005B72A3" w:rsidRPr="00312F89" w:rsidRDefault="00624432" w:rsidP="005B72A3">
      <w:pPr>
        <w:rPr>
          <w:szCs w:val="22"/>
        </w:rPr>
      </w:pPr>
      <w:r w:rsidRPr="00312F89">
        <w:t>Таблетките се гълтат с вода на</w:t>
      </w:r>
      <w:r w:rsidRPr="00312F89">
        <w:rPr>
          <w:b/>
          <w:noProof/>
        </w:rPr>
        <w:t xml:space="preserve"> </w:t>
      </w:r>
      <w:r w:rsidRPr="00312F89">
        <w:t>празен стомах, поне един час преди хранене или два часа след хранене и с поне един час разлика от всеки друг лекарствен продукт, храна или мляко.</w:t>
      </w:r>
    </w:p>
    <w:p w14:paraId="16D7AC97" w14:textId="77777777" w:rsidR="005B72A3" w:rsidRPr="00312F89" w:rsidRDefault="005B72A3" w:rsidP="005B72A3">
      <w:pPr>
        <w:rPr>
          <w:szCs w:val="22"/>
        </w:rPr>
      </w:pPr>
    </w:p>
    <w:p w14:paraId="16D7AC98" w14:textId="77777777" w:rsidR="005B72A3" w:rsidRPr="00312F89" w:rsidRDefault="00624432" w:rsidP="005B72A3">
      <w:pPr>
        <w:rPr>
          <w:noProof/>
          <w:szCs w:val="22"/>
        </w:rPr>
      </w:pPr>
      <w:r w:rsidRPr="00312F89">
        <w:t xml:space="preserve">Ако приемате добавки с желязо, вземайте ги най-малко два часа </w:t>
      </w:r>
      <w:r w:rsidRPr="00312F89">
        <w:t>след приемането на доза Cuprior.</w:t>
      </w:r>
    </w:p>
    <w:p w14:paraId="16D7AC99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9A" w14:textId="77777777" w:rsidR="005B72A3" w:rsidRPr="00312F89" w:rsidRDefault="00624432" w:rsidP="005B72A3">
      <w:pPr>
        <w:rPr>
          <w:b/>
          <w:szCs w:val="22"/>
        </w:rPr>
      </w:pPr>
      <w:r w:rsidRPr="00312F89">
        <w:rPr>
          <w:b/>
        </w:rPr>
        <w:t>Ако сте приели повече от необходимата доза Cuprior</w:t>
      </w:r>
    </w:p>
    <w:p w14:paraId="16D7AC9B" w14:textId="77777777" w:rsidR="005B72A3" w:rsidRPr="00312F89" w:rsidRDefault="00624432" w:rsidP="005B72A3">
      <w:pPr>
        <w:rPr>
          <w:szCs w:val="22"/>
        </w:rPr>
      </w:pPr>
      <w:r w:rsidRPr="00312F89">
        <w:t>Приемайте Cuprior само както Ви е предписано. Ако смятате, че може да сте приели Cuprior повече отколкото Ви е казано, свържете се с Вашия лекар или фармацевт.</w:t>
      </w:r>
    </w:p>
    <w:p w14:paraId="16D7AC9C" w14:textId="77777777" w:rsidR="005B72A3" w:rsidRPr="00312F89" w:rsidRDefault="005B72A3" w:rsidP="005B72A3">
      <w:pPr>
        <w:rPr>
          <w:noProof/>
          <w:szCs w:val="22"/>
        </w:rPr>
      </w:pPr>
    </w:p>
    <w:p w14:paraId="16D7AC9D" w14:textId="77777777" w:rsidR="005B72A3" w:rsidRPr="00312F89" w:rsidRDefault="00624432" w:rsidP="005B72A3">
      <w:pPr>
        <w:rPr>
          <w:b/>
          <w:szCs w:val="22"/>
        </w:rPr>
      </w:pPr>
      <w:r w:rsidRPr="00312F89">
        <w:rPr>
          <w:b/>
        </w:rPr>
        <w:t>Ако сте пр</w:t>
      </w:r>
      <w:r w:rsidRPr="00312F89">
        <w:rPr>
          <w:b/>
        </w:rPr>
        <w:t>опуснали да приемете Cuprior</w:t>
      </w:r>
    </w:p>
    <w:p w14:paraId="16D7AC9E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Не вземайте двойна доза, за да компенсирате пропуснатата доза. Просто вземете следващата си доза в редовно предвиденото време.</w:t>
      </w:r>
    </w:p>
    <w:p w14:paraId="16D7AC9F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16D7ACA0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312F89">
        <w:t>Ако имате някакви допълнителни въпроси, свързани с употребата на това лекарство, попитайте Вашия ле</w:t>
      </w:r>
      <w:r w:rsidRPr="00312F89">
        <w:t>кар или фармацевт.</w:t>
      </w:r>
    </w:p>
    <w:p w14:paraId="16D7ACA1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A2" w14:textId="77777777" w:rsidR="005B72A3" w:rsidRPr="00312F89" w:rsidRDefault="00624432" w:rsidP="005B72A3">
      <w:pPr>
        <w:rPr>
          <w:b/>
          <w:szCs w:val="22"/>
        </w:rPr>
      </w:pPr>
      <w:r w:rsidRPr="00312F89">
        <w:rPr>
          <w:b/>
        </w:rPr>
        <w:t>Ако сте спрели приема на Cuprior</w:t>
      </w:r>
    </w:p>
    <w:p w14:paraId="16D7ACA3" w14:textId="7B0A6EF5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 xml:space="preserve">Това лекарство е предназначено за продължителна употреба. Не спирайте лечението си без съвет от Вашия лекар, дори ако се чувствате по-добре, защото болестта на </w:t>
      </w:r>
      <w:r w:rsidR="0006785B" w:rsidRPr="00312F89">
        <w:t>Wilson</w:t>
      </w:r>
      <w:r w:rsidRPr="00312F89">
        <w:t xml:space="preserve"> е заболяване за цял живот.</w:t>
      </w:r>
    </w:p>
    <w:p w14:paraId="16D7ACA4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  <w:highlight w:val="yellow"/>
        </w:rPr>
      </w:pPr>
    </w:p>
    <w:p w14:paraId="16D7ACA5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szCs w:val="22"/>
        </w:rPr>
      </w:pPr>
      <w:r w:rsidRPr="00312F89">
        <w:t>Ако имат</w:t>
      </w:r>
      <w:r w:rsidRPr="00312F89">
        <w:t>е някакви допълнителни въпроси, свързани с употребата на това лекарство, попитайте Вашия лекар или фармацевт.</w:t>
      </w:r>
    </w:p>
    <w:p w14:paraId="16D7ACA6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D7ACA7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D7ACA8" w14:textId="77777777" w:rsidR="005B72A3" w:rsidRPr="00312F89" w:rsidRDefault="00624432" w:rsidP="005B72A3">
      <w:pPr>
        <w:pStyle w:val="ListParagraph"/>
        <w:keepNext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312F89">
        <w:rPr>
          <w:b/>
          <w:noProof/>
        </w:rPr>
        <w:lastRenderedPageBreak/>
        <w:t>Възможни нежелани реакции</w:t>
      </w:r>
    </w:p>
    <w:p w14:paraId="16D7ACA9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D7ACAA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Както всички лекарства, това лекарство може да предизвика нежелани реакции, въпреки че не всеки ги получава.</w:t>
      </w:r>
    </w:p>
    <w:p w14:paraId="16D7ACAB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16D7ACAC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Съобщава се за следните нежелани реакции:</w:t>
      </w:r>
    </w:p>
    <w:p w14:paraId="16D7ACAD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</w:p>
    <w:p w14:paraId="16D7ACAE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312F89">
        <w:rPr>
          <w:i/>
          <w:noProof/>
        </w:rPr>
        <w:t>Чести (възможно е да засегнат до 1 на 10 души)</w:t>
      </w:r>
    </w:p>
    <w:p w14:paraId="16D7ACAF" w14:textId="77777777" w:rsidR="005B72A3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 xml:space="preserve">позив за повръщане (гадене) </w:t>
      </w:r>
    </w:p>
    <w:p w14:paraId="16D7ACB0" w14:textId="77777777" w:rsidR="005B72A3" w:rsidRPr="00312F89" w:rsidRDefault="005B72A3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</w:p>
    <w:p w14:paraId="16D7ACB1" w14:textId="77777777" w:rsidR="005B72A3" w:rsidRPr="00312F89" w:rsidRDefault="00624432" w:rsidP="005B72A3">
      <w:pPr>
        <w:tabs>
          <w:tab w:val="clear" w:pos="567"/>
        </w:tabs>
        <w:autoSpaceDE w:val="0"/>
        <w:autoSpaceDN w:val="0"/>
        <w:adjustRightInd w:val="0"/>
        <w:spacing w:line="240" w:lineRule="auto"/>
        <w:rPr>
          <w:i/>
          <w:noProof/>
          <w:szCs w:val="22"/>
        </w:rPr>
      </w:pPr>
      <w:r w:rsidRPr="00312F89">
        <w:rPr>
          <w:i/>
          <w:noProof/>
        </w:rPr>
        <w:t>Нечести (възможно е да засегнат не повече от 1 на 100 души)</w:t>
      </w:r>
    </w:p>
    <w:p w14:paraId="16D7ACB2" w14:textId="77777777" w:rsidR="005B72A3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кожен обрив</w:t>
      </w:r>
    </w:p>
    <w:p w14:paraId="16D7ACB3" w14:textId="00F15BA6" w:rsidR="005B72A3" w:rsidRPr="00D27EF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сърбеж</w:t>
      </w:r>
    </w:p>
    <w:p w14:paraId="465593A5" w14:textId="5C0DFE74" w:rsidR="00D27EF9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анемия</w:t>
      </w:r>
    </w:p>
    <w:p w14:paraId="16D7ACB4" w14:textId="77777777" w:rsidR="005B72A3" w:rsidRPr="00312F89" w:rsidRDefault="005B72A3" w:rsidP="005B72A3">
      <w:pPr>
        <w:tabs>
          <w:tab w:val="clear" w:pos="567"/>
        </w:tabs>
        <w:spacing w:line="240" w:lineRule="auto"/>
        <w:ind w:left="360" w:right="-29"/>
        <w:rPr>
          <w:noProof/>
          <w:szCs w:val="22"/>
        </w:rPr>
      </w:pPr>
    </w:p>
    <w:p w14:paraId="16D7ACB5" w14:textId="77777777" w:rsidR="005B72A3" w:rsidRPr="00312F89" w:rsidRDefault="00624432" w:rsidP="005B72A3">
      <w:pPr>
        <w:tabs>
          <w:tab w:val="clear" w:pos="567"/>
        </w:tabs>
        <w:spacing w:line="240" w:lineRule="auto"/>
        <w:ind w:right="-29"/>
        <w:rPr>
          <w:i/>
          <w:noProof/>
          <w:szCs w:val="22"/>
        </w:rPr>
      </w:pPr>
      <w:r w:rsidRPr="00312F89">
        <w:rPr>
          <w:i/>
          <w:noProof/>
        </w:rPr>
        <w:t xml:space="preserve">С неизвестна честота (от наличните данни не </w:t>
      </w:r>
      <w:r w:rsidRPr="00312F89">
        <w:rPr>
          <w:i/>
          <w:noProof/>
        </w:rPr>
        <w:t>може да се направи оценка на честотата)</w:t>
      </w:r>
    </w:p>
    <w:p w14:paraId="16D7ACB6" w14:textId="77777777" w:rsidR="005B72A3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 xml:space="preserve">стомашни разстройства и дискомфорт, включително тежки стомашни болки (дуоденит) </w:t>
      </w:r>
    </w:p>
    <w:p w14:paraId="16D7ACB7" w14:textId="77777777" w:rsidR="005B72A3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възпаление на червата, което може да доведе до напр. болка в корема, повтаряща се диария и кръв в изпражненията (колит)</w:t>
      </w:r>
    </w:p>
    <w:p w14:paraId="16D7ACB8" w14:textId="4BEF5AEF" w:rsidR="005B72A3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намаляване на б</w:t>
      </w:r>
      <w:r w:rsidRPr="00312F89">
        <w:t xml:space="preserve">роя на червените кръвни клетки, поради ниското ниво на желязо в кръвта Ви (желязодефицитна) </w:t>
      </w:r>
    </w:p>
    <w:p w14:paraId="16D7ACB9" w14:textId="77777777" w:rsidR="005B72A3" w:rsidRPr="00312F89" w:rsidRDefault="00624432" w:rsidP="005B72A3">
      <w:pPr>
        <w:numPr>
          <w:ilvl w:val="0"/>
          <w:numId w:val="15"/>
        </w:numPr>
        <w:tabs>
          <w:tab w:val="clear" w:pos="567"/>
        </w:tabs>
        <w:spacing w:line="240" w:lineRule="auto"/>
        <w:ind w:right="-29"/>
        <w:rPr>
          <w:noProof/>
          <w:szCs w:val="22"/>
        </w:rPr>
      </w:pPr>
      <w:r w:rsidRPr="00312F89">
        <w:t>уртикария (копривна треска или обрив).</w:t>
      </w:r>
    </w:p>
    <w:p w14:paraId="16D7ACBA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</w:p>
    <w:p w14:paraId="16D7ACBB" w14:textId="77777777" w:rsidR="005B72A3" w:rsidRPr="00312F89" w:rsidRDefault="00624432" w:rsidP="005B72A3">
      <w:pPr>
        <w:rPr>
          <w:b/>
          <w:szCs w:val="22"/>
        </w:rPr>
      </w:pPr>
      <w:r w:rsidRPr="00312F89">
        <w:rPr>
          <w:b/>
        </w:rPr>
        <w:t>Съобщаване на нежелани реакции</w:t>
      </w:r>
    </w:p>
    <w:p w14:paraId="16D7ACBC" w14:textId="77777777" w:rsidR="005B72A3" w:rsidRPr="00312F89" w:rsidRDefault="00624432" w:rsidP="005B72A3">
      <w:pPr>
        <w:pStyle w:val="BodytextAgency"/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312F89">
        <w:rPr>
          <w:rFonts w:ascii="Times New Roman" w:hAnsi="Times New Roman" w:cs="Times New Roman"/>
          <w:noProof/>
          <w:sz w:val="22"/>
        </w:rPr>
        <w:t xml:space="preserve">Ако получите някакви нежелани лекарствени реакции, уведомете Вашия лекар или </w:t>
      </w:r>
      <w:r w:rsidRPr="00312F89">
        <w:rPr>
          <w:rFonts w:ascii="Times New Roman" w:hAnsi="Times New Roman" w:cs="Times New Roman"/>
          <w:noProof/>
          <w:sz w:val="22"/>
        </w:rPr>
        <w:t>фармацевт.</w:t>
      </w:r>
      <w:r w:rsidRPr="00312F89">
        <w:rPr>
          <w:rFonts w:ascii="Times New Roman" w:hAnsi="Times New Roman" w:cs="Times New Roman"/>
          <w:color w:val="FF0000"/>
          <w:sz w:val="22"/>
        </w:rPr>
        <w:t xml:space="preserve"> </w:t>
      </w:r>
      <w:r w:rsidRPr="00312F89">
        <w:rPr>
          <w:rFonts w:ascii="Times New Roman" w:hAnsi="Times New Roman" w:cs="Times New Roman"/>
          <w:noProof/>
          <w:sz w:val="22"/>
        </w:rPr>
        <w:t xml:space="preserve">Това включва и всички възможни нежелани реакции, неописани в тази листовка. Можете също да съобщите нежелани реакции директно чрез </w:t>
      </w:r>
      <w:r w:rsidRPr="00312F89">
        <w:rPr>
          <w:rFonts w:ascii="Times New Roman" w:hAnsi="Times New Roman" w:cs="Times New Roman"/>
          <w:sz w:val="22"/>
          <w:highlight w:val="lightGray"/>
        </w:rPr>
        <w:t xml:space="preserve">националната система за съобщаване, посочена в </w:t>
      </w:r>
      <w:hyperlink r:id="rId15" w:history="1">
        <w:r w:rsidRPr="00312F89">
          <w:rPr>
            <w:rStyle w:val="Hyperlink"/>
            <w:rFonts w:ascii="Times New Roman" w:hAnsi="Times New Roman" w:cs="Times New Roman"/>
            <w:sz w:val="22"/>
            <w:highlight w:val="lightGray"/>
          </w:rPr>
          <w:t>Приложение V</w:t>
        </w:r>
      </w:hyperlink>
      <w:r w:rsidRPr="00312F89">
        <w:rPr>
          <w:rFonts w:ascii="Times New Roman" w:hAnsi="Times New Roman" w:cs="Times New Roman"/>
          <w:sz w:val="22"/>
        </w:rPr>
        <w:t>. Като съобщавате нежелани реакции, можете да дадете своя принос за получаване на повече информация относно безопасността на това лекарство.</w:t>
      </w:r>
    </w:p>
    <w:p w14:paraId="16D7ACBD" w14:textId="77777777" w:rsidR="005B72A3" w:rsidRPr="00312F89" w:rsidRDefault="005B72A3" w:rsidP="005B72A3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16D7ACBE" w14:textId="77777777" w:rsidR="005B72A3" w:rsidRPr="00312F89" w:rsidRDefault="005B72A3" w:rsidP="005B72A3">
      <w:pPr>
        <w:autoSpaceDE w:val="0"/>
        <w:autoSpaceDN w:val="0"/>
        <w:adjustRightInd w:val="0"/>
        <w:spacing w:line="240" w:lineRule="auto"/>
        <w:rPr>
          <w:szCs w:val="22"/>
        </w:rPr>
      </w:pPr>
    </w:p>
    <w:p w14:paraId="16D7ACBF" w14:textId="77777777" w:rsidR="005B72A3" w:rsidRPr="00312F89" w:rsidRDefault="00624432" w:rsidP="005B72A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312F89">
        <w:rPr>
          <w:b/>
          <w:noProof/>
        </w:rPr>
        <w:t>Как да съхранявате Cuprior</w:t>
      </w:r>
    </w:p>
    <w:p w14:paraId="16D7ACC0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C1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 xml:space="preserve">Да се съхранява на </w:t>
      </w:r>
      <w:r w:rsidRPr="00312F89">
        <w:t>място, недостъпно за деца.</w:t>
      </w:r>
    </w:p>
    <w:p w14:paraId="16D7ACC2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C3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Не използвайте това лекарство след срока на годност, отбелязан върху картонената опаковка и на блистера след „Годен до:“. Срокът на годност отговаря на последния ден от посочения месец.</w:t>
      </w:r>
    </w:p>
    <w:p w14:paraId="16D7ACC4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C5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Това лекарство не изисква специални услов</w:t>
      </w:r>
      <w:r w:rsidRPr="00312F89">
        <w:t>ия на съхранение.</w:t>
      </w:r>
    </w:p>
    <w:p w14:paraId="16D7ACC6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C7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Не изхвърляйте лекарствата в канализацията или в контейнера за битови отпадъци. Попитайте Вашия фармацевт как да изхвърляте лекарствата, които вече не използвате. Тези мерки ще спомогнат за опазване на околната среда.</w:t>
      </w:r>
    </w:p>
    <w:p w14:paraId="16D7ACC8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C9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CA" w14:textId="77777777" w:rsidR="005B72A3" w:rsidRPr="00312F89" w:rsidRDefault="00624432" w:rsidP="005B72A3">
      <w:pPr>
        <w:pStyle w:val="ListParagraph"/>
        <w:numPr>
          <w:ilvl w:val="0"/>
          <w:numId w:val="33"/>
        </w:numPr>
        <w:tabs>
          <w:tab w:val="clear" w:pos="567"/>
        </w:tabs>
        <w:spacing w:line="240" w:lineRule="auto"/>
        <w:ind w:left="720"/>
        <w:outlineLvl w:val="0"/>
        <w:rPr>
          <w:b/>
          <w:noProof/>
          <w:szCs w:val="22"/>
        </w:rPr>
      </w:pPr>
      <w:r w:rsidRPr="00312F89">
        <w:rPr>
          <w:b/>
          <w:noProof/>
        </w:rPr>
        <w:t>Съдържание на опа</w:t>
      </w:r>
      <w:r w:rsidRPr="00312F89">
        <w:rPr>
          <w:b/>
          <w:noProof/>
        </w:rPr>
        <w:t>ковката и допълнителна информация</w:t>
      </w:r>
    </w:p>
    <w:p w14:paraId="16D7ACCB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D7ACCC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312F89">
        <w:rPr>
          <w:b/>
        </w:rPr>
        <w:t xml:space="preserve">Какво съдържа Cuprior </w:t>
      </w:r>
    </w:p>
    <w:p w14:paraId="16D7ACCD" w14:textId="3B3C5EA0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 xml:space="preserve">Активното вещество е триентин. Всяка </w:t>
      </w:r>
      <w:r w:rsidR="00695D78" w:rsidRPr="00312F89">
        <w:t xml:space="preserve">филмирана </w:t>
      </w:r>
      <w:r w:rsidRPr="00312F89">
        <w:t xml:space="preserve">таблетка </w:t>
      </w:r>
      <w:r w:rsidR="008416A5" w:rsidRPr="00312F89">
        <w:t xml:space="preserve">(таблетка) </w:t>
      </w:r>
      <w:r w:rsidRPr="00312F89">
        <w:t xml:space="preserve">съдържа триентинов тетрахидрохлорид, еквивалентен на 150 mg триентин. </w:t>
      </w:r>
    </w:p>
    <w:p w14:paraId="16D7ACCE" w14:textId="77777777" w:rsidR="00695D78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312F89">
        <w:t>Другите съставки са:</w:t>
      </w:r>
    </w:p>
    <w:p w14:paraId="16D7ACCF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</w:pPr>
      <w:r w:rsidRPr="00312F89">
        <w:t>Ядро на таблетката:</w:t>
      </w:r>
      <w:r w:rsidR="00B63F97" w:rsidRPr="00312F89">
        <w:t xml:space="preserve"> манитол, колоиден безводен силициев диоксид и глицерол дибехенат.</w:t>
      </w:r>
    </w:p>
    <w:p w14:paraId="16D7ACD0" w14:textId="229E7BD1" w:rsidR="00695D78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rPr>
          <w:noProof/>
          <w:szCs w:val="22"/>
          <w:u w:val="single"/>
        </w:rPr>
        <w:t>Филмово покритие на таблетката</w:t>
      </w:r>
      <w:r w:rsidRPr="00312F89">
        <w:rPr>
          <w:noProof/>
          <w:szCs w:val="22"/>
        </w:rPr>
        <w:t>: поливинилов алкохол, талк, титание</w:t>
      </w:r>
      <w:r w:rsidR="00321BD0" w:rsidRPr="00312F89">
        <w:rPr>
          <w:noProof/>
          <w:szCs w:val="22"/>
        </w:rPr>
        <w:t>в</w:t>
      </w:r>
      <w:r w:rsidRPr="00312F89">
        <w:rPr>
          <w:noProof/>
          <w:szCs w:val="22"/>
        </w:rPr>
        <w:t xml:space="preserve"> диоксид (E171), глицеролов монокаприлокапрат (тип </w:t>
      </w:r>
      <w:r w:rsidRPr="00312F89">
        <w:rPr>
          <w:noProof/>
          <w:szCs w:val="22"/>
          <w:lang w:val="en-US"/>
        </w:rPr>
        <w:t>I</w:t>
      </w:r>
      <w:r w:rsidRPr="00312F89">
        <w:rPr>
          <w:noProof/>
          <w:szCs w:val="22"/>
        </w:rPr>
        <w:t>), железен оксид, жълт  (</w:t>
      </w:r>
      <w:r w:rsidRPr="00312F89">
        <w:rPr>
          <w:noProof/>
          <w:szCs w:val="22"/>
          <w:lang w:val="en-US"/>
        </w:rPr>
        <w:t>E</w:t>
      </w:r>
      <w:r w:rsidRPr="00312F89">
        <w:rPr>
          <w:noProof/>
          <w:szCs w:val="22"/>
        </w:rPr>
        <w:t>172) и натриев лаурисулфат</w:t>
      </w:r>
    </w:p>
    <w:p w14:paraId="16D7ACD1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553A85B9" w14:textId="77777777" w:rsidR="00B41432" w:rsidRPr="00312F89" w:rsidRDefault="00B41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4128E492" w14:textId="77777777" w:rsidR="00B41432" w:rsidRPr="00312F89" w:rsidRDefault="00B41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D2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312F89">
        <w:rPr>
          <w:b/>
        </w:rPr>
        <w:t>Как изглежда C</w:t>
      </w:r>
      <w:r w:rsidRPr="00312F89">
        <w:rPr>
          <w:b/>
        </w:rPr>
        <w:t>uprior и какво съдържа опаковката</w:t>
      </w:r>
    </w:p>
    <w:p w14:paraId="16D7ACD3" w14:textId="495B8FBF" w:rsidR="005B72A3" w:rsidRPr="00312F89" w:rsidRDefault="00624432" w:rsidP="005B72A3">
      <w:pPr>
        <w:rPr>
          <w:noProof/>
          <w:szCs w:val="22"/>
        </w:rPr>
      </w:pPr>
      <w:r w:rsidRPr="00312F89">
        <w:t>Жълти</w:t>
      </w:r>
      <w:r w:rsidR="00B63F97" w:rsidRPr="00312F89">
        <w:t xml:space="preserve">, продълговати </w:t>
      </w:r>
      <w:r w:rsidRPr="00312F89">
        <w:t xml:space="preserve">филмирани </w:t>
      </w:r>
      <w:r w:rsidR="00B63F97" w:rsidRPr="00312F89">
        <w:t xml:space="preserve">таблетки 16 mm х 8 mm, с делителна черта от </w:t>
      </w:r>
      <w:r w:rsidRPr="00312F89">
        <w:t xml:space="preserve">всяка </w:t>
      </w:r>
      <w:r w:rsidR="00B63F97" w:rsidRPr="00312F89">
        <w:t xml:space="preserve">страна. </w:t>
      </w:r>
      <w:r w:rsidRPr="00312F89">
        <w:t xml:space="preserve">Филмираната таблетка </w:t>
      </w:r>
      <w:r w:rsidR="00B63F97" w:rsidRPr="00312F89">
        <w:t>може да бъде разделена на равни дози.</w:t>
      </w:r>
    </w:p>
    <w:p w14:paraId="16D7ACD4" w14:textId="77777777" w:rsidR="005B72A3" w:rsidRPr="00312F89" w:rsidRDefault="005B72A3" w:rsidP="005B72A3">
      <w:pPr>
        <w:rPr>
          <w:noProof/>
          <w:szCs w:val="22"/>
        </w:rPr>
      </w:pPr>
    </w:p>
    <w:p w14:paraId="16D7ACD5" w14:textId="0DB90C4A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</w:pPr>
      <w:r w:rsidRPr="00312F89">
        <w:t xml:space="preserve">OPA/Alu/PVC-Alu блистери, всеки блистер съдържа 8 </w:t>
      </w:r>
      <w:r w:rsidR="00695D78" w:rsidRPr="00312F89">
        <w:t xml:space="preserve">филмирани </w:t>
      </w:r>
      <w:r w:rsidRPr="00312F89">
        <w:t xml:space="preserve">таблетки. </w:t>
      </w:r>
      <w:r w:rsidR="005B0F93" w:rsidRPr="00312F89">
        <w:t xml:space="preserve">Cuprior е наличен в опаковки, съдържащи </w:t>
      </w:r>
      <w:r w:rsidRPr="00312F89">
        <w:t xml:space="preserve">72 </w:t>
      </w:r>
      <w:r w:rsidR="005B0F93" w:rsidRPr="00312F89">
        <w:t xml:space="preserve">или 96 филмирани </w:t>
      </w:r>
      <w:r w:rsidRPr="00312F89">
        <w:t>таблетки.</w:t>
      </w:r>
    </w:p>
    <w:p w14:paraId="4BC904C5" w14:textId="0646D370" w:rsidR="005B0F9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  <w:r w:rsidRPr="00312F89">
        <w:rPr>
          <w:szCs w:val="22"/>
        </w:rPr>
        <w:t>Не всички видове опаковки могат да бъдат пуснати на пазара.</w:t>
      </w:r>
    </w:p>
    <w:p w14:paraId="16D7ACD6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rPr>
          <w:szCs w:val="22"/>
        </w:rPr>
      </w:pPr>
    </w:p>
    <w:p w14:paraId="16D7ACD7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312F89">
        <w:rPr>
          <w:b/>
        </w:rPr>
        <w:t xml:space="preserve">Притежател на разрешението за употреба </w:t>
      </w:r>
    </w:p>
    <w:p w14:paraId="16D7ACD8" w14:textId="586B8221" w:rsidR="005B72A3" w:rsidRPr="00312F89" w:rsidRDefault="00E75EB0" w:rsidP="005B72A3">
      <w:pPr>
        <w:rPr>
          <w:szCs w:val="22"/>
        </w:rPr>
      </w:pPr>
      <w:proofErr w:type="spellStart"/>
      <w:r>
        <w:t>Orphalan</w:t>
      </w:r>
      <w:proofErr w:type="spellEnd"/>
    </w:p>
    <w:p w14:paraId="17B7CC67" w14:textId="77777777" w:rsidR="008E7761" w:rsidRPr="00E75EB0" w:rsidRDefault="00624432" w:rsidP="008E7761">
      <w:pPr>
        <w:rPr>
          <w:szCs w:val="22"/>
        </w:rPr>
      </w:pPr>
      <w:r w:rsidRPr="00E75EB0">
        <w:rPr>
          <w:szCs w:val="22"/>
        </w:rPr>
        <w:t xml:space="preserve">226 </w:t>
      </w:r>
      <w:r w:rsidRPr="002503BA">
        <w:rPr>
          <w:szCs w:val="22"/>
          <w:lang w:val="fr-FR"/>
        </w:rPr>
        <w:t>Boulevard</w:t>
      </w:r>
      <w:r w:rsidRPr="00E75EB0">
        <w:rPr>
          <w:szCs w:val="22"/>
        </w:rPr>
        <w:t xml:space="preserve"> </w:t>
      </w:r>
      <w:r w:rsidRPr="002503BA">
        <w:rPr>
          <w:szCs w:val="22"/>
          <w:lang w:val="fr-FR"/>
        </w:rPr>
        <w:t>Voltaire</w:t>
      </w:r>
    </w:p>
    <w:p w14:paraId="01293B3A" w14:textId="77777777" w:rsidR="008E7761" w:rsidRPr="00E75EB0" w:rsidRDefault="00624432" w:rsidP="008E7761">
      <w:pPr>
        <w:rPr>
          <w:szCs w:val="22"/>
        </w:rPr>
      </w:pPr>
      <w:r w:rsidRPr="00E75EB0">
        <w:rPr>
          <w:szCs w:val="22"/>
        </w:rPr>
        <w:t xml:space="preserve">75011 </w:t>
      </w:r>
      <w:r w:rsidRPr="002503BA">
        <w:rPr>
          <w:szCs w:val="22"/>
          <w:lang w:val="fr-FR"/>
        </w:rPr>
        <w:t>Paris</w:t>
      </w:r>
    </w:p>
    <w:p w14:paraId="16D7ACDC" w14:textId="77777777" w:rsidR="005B72A3" w:rsidRPr="00312F89" w:rsidRDefault="005B72A3" w:rsidP="005B72A3">
      <w:pPr>
        <w:rPr>
          <w:szCs w:val="22"/>
        </w:rPr>
      </w:pPr>
    </w:p>
    <w:p w14:paraId="16D7ACDD" w14:textId="77777777" w:rsidR="005B72A3" w:rsidRPr="00312F89" w:rsidRDefault="00624432" w:rsidP="005B72A3">
      <w:pPr>
        <w:rPr>
          <w:szCs w:val="22"/>
        </w:rPr>
      </w:pPr>
      <w:r w:rsidRPr="00312F89">
        <w:t>Франция</w:t>
      </w:r>
    </w:p>
    <w:p w14:paraId="16D7ACDE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p w14:paraId="16D7ACDF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312F89">
        <w:rPr>
          <w:b/>
        </w:rPr>
        <w:t>Производител</w:t>
      </w:r>
    </w:p>
    <w:p w14:paraId="16D7ACE0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312F89">
        <w:t>Delpharm Evreux</w:t>
      </w:r>
    </w:p>
    <w:p w14:paraId="16D7ACE1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312F89">
        <w:t>5 rue du Guesclin</w:t>
      </w:r>
    </w:p>
    <w:p w14:paraId="16D7ACE2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szCs w:val="22"/>
        </w:rPr>
      </w:pPr>
      <w:r w:rsidRPr="00312F89">
        <w:t>27000 Evreux</w:t>
      </w:r>
    </w:p>
    <w:p w14:paraId="16D7ACE3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  <w:r w:rsidRPr="00312F89">
        <w:t>Франция</w:t>
      </w:r>
    </w:p>
    <w:p w14:paraId="16D7ACE4" w14:textId="77777777" w:rsidR="005B72A3" w:rsidRPr="00312F89" w:rsidRDefault="005B72A3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noProof/>
          <w:szCs w:val="22"/>
        </w:rPr>
      </w:pPr>
    </w:p>
    <w:tbl>
      <w:tblPr>
        <w:tblW w:w="935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678"/>
      </w:tblGrid>
      <w:tr w:rsidR="00FF4C71" w14:paraId="16D7ACE7" w14:textId="77777777" w:rsidTr="005B72A3">
        <w:tc>
          <w:tcPr>
            <w:tcW w:w="4678" w:type="dxa"/>
          </w:tcPr>
          <w:p w14:paraId="16D7ACE5" w14:textId="77777777" w:rsidR="005B72A3" w:rsidRPr="00312F89" w:rsidRDefault="005B72A3" w:rsidP="005B72A3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  <w:tc>
          <w:tcPr>
            <w:tcW w:w="4678" w:type="dxa"/>
          </w:tcPr>
          <w:p w14:paraId="16D7ACE6" w14:textId="77777777" w:rsidR="005B72A3" w:rsidRPr="00312F89" w:rsidRDefault="005B72A3" w:rsidP="005B72A3">
            <w:pPr>
              <w:tabs>
                <w:tab w:val="left" w:pos="-720"/>
              </w:tabs>
              <w:suppressAutoHyphens/>
              <w:spacing w:line="240" w:lineRule="auto"/>
              <w:rPr>
                <w:noProof/>
                <w:szCs w:val="22"/>
              </w:rPr>
            </w:pPr>
          </w:p>
        </w:tc>
      </w:tr>
    </w:tbl>
    <w:p w14:paraId="16D7ACE8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szCs w:val="22"/>
        </w:rPr>
      </w:pPr>
      <w:r w:rsidRPr="00312F89">
        <w:rPr>
          <w:b/>
        </w:rPr>
        <w:t>Дата на последна актуализация на листовката.</w:t>
      </w:r>
    </w:p>
    <w:p w14:paraId="16D7ACE9" w14:textId="77777777" w:rsidR="005B72A3" w:rsidRPr="00312F89" w:rsidRDefault="005B72A3" w:rsidP="005B72A3">
      <w:pPr>
        <w:numPr>
          <w:ilvl w:val="12"/>
          <w:numId w:val="0"/>
        </w:numPr>
        <w:spacing w:line="240" w:lineRule="auto"/>
        <w:ind w:right="-2"/>
        <w:rPr>
          <w:noProof/>
          <w:szCs w:val="22"/>
        </w:rPr>
      </w:pPr>
    </w:p>
    <w:p w14:paraId="16D7ACEA" w14:textId="77777777" w:rsidR="005B72A3" w:rsidRPr="00312F89" w:rsidRDefault="00624432" w:rsidP="005B72A3">
      <w:pPr>
        <w:numPr>
          <w:ilvl w:val="12"/>
          <w:numId w:val="0"/>
        </w:numPr>
        <w:tabs>
          <w:tab w:val="clear" w:pos="567"/>
        </w:tabs>
        <w:spacing w:line="240" w:lineRule="auto"/>
        <w:ind w:right="-2"/>
        <w:rPr>
          <w:b/>
          <w:noProof/>
          <w:szCs w:val="22"/>
        </w:rPr>
      </w:pPr>
      <w:r w:rsidRPr="00312F89">
        <w:rPr>
          <w:b/>
          <w:noProof/>
        </w:rPr>
        <w:t>Други източници на информация</w:t>
      </w:r>
    </w:p>
    <w:p w14:paraId="16D7ACEB" w14:textId="77777777" w:rsidR="005B72A3" w:rsidRPr="00312F89" w:rsidRDefault="00624432" w:rsidP="005B72A3">
      <w:pPr>
        <w:numPr>
          <w:ilvl w:val="12"/>
          <w:numId w:val="0"/>
        </w:numPr>
        <w:spacing w:line="240" w:lineRule="auto"/>
        <w:ind w:right="-2"/>
      </w:pPr>
      <w:r w:rsidRPr="00312F89">
        <w:t xml:space="preserve">Подробна информация за това лекарство е предоставена на уебсайта на Европейската агенция по лекарствата: </w:t>
      </w:r>
      <w:hyperlink w:history="1">
        <w:r w:rsidRPr="00312F89">
          <w:rPr>
            <w:rStyle w:val="Hyperlink"/>
            <w:noProof/>
          </w:rPr>
          <w:t>http://www.ema.europa.eu</w:t>
        </w:r>
      </w:hyperlink>
      <w:r w:rsidRPr="00312F89">
        <w:t>. Посочени са също линкове към други уебсайтове, където може да се намери информация за редки заболявания и лечен</w:t>
      </w:r>
      <w:r w:rsidRPr="00312F89">
        <w:t xml:space="preserve">ия. </w:t>
      </w:r>
    </w:p>
    <w:p w14:paraId="1D9907CC" w14:textId="54B6B428" w:rsidR="00332344" w:rsidRPr="00312F89" w:rsidRDefault="00332344">
      <w:pPr>
        <w:tabs>
          <w:tab w:val="clear" w:pos="567"/>
        </w:tabs>
        <w:spacing w:line="240" w:lineRule="auto"/>
      </w:pPr>
    </w:p>
    <w:sectPr w:rsidR="00332344" w:rsidRPr="00312F89" w:rsidSect="005B72A3">
      <w:footerReference w:type="default" r:id="rId16"/>
      <w:footerReference w:type="first" r:id="rId17"/>
      <w:pgSz w:w="11907" w:h="16840" w:code="9"/>
      <w:pgMar w:top="1134" w:right="1418" w:bottom="1134" w:left="1418" w:header="737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2E4C7" w14:textId="77777777" w:rsidR="00000000" w:rsidRDefault="00624432">
      <w:pPr>
        <w:spacing w:line="240" w:lineRule="auto"/>
      </w:pPr>
      <w:r>
        <w:separator/>
      </w:r>
    </w:p>
  </w:endnote>
  <w:endnote w:type="continuationSeparator" w:id="0">
    <w:p w14:paraId="008663EE" w14:textId="77777777" w:rsidR="00000000" w:rsidRDefault="006244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ACF0" w14:textId="170A662D" w:rsidR="0006785B" w:rsidRDefault="00624432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312F89">
      <w:rPr>
        <w:rStyle w:val="PageNumber"/>
        <w:rFonts w:cs="Arial"/>
      </w:rPr>
      <w:t>22</w:t>
    </w:r>
    <w:r>
      <w:rPr>
        <w:rStyle w:val="PageNumb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ACF1" w14:textId="7D08FF82" w:rsidR="0006785B" w:rsidRDefault="00624432">
    <w:pPr>
      <w:pStyle w:val="Footer"/>
      <w:tabs>
        <w:tab w:val="right" w:pos="8931"/>
      </w:tabs>
      <w:ind w:right="96"/>
      <w:jc w:val="center"/>
    </w:pPr>
    <w:r>
      <w:fldChar w:fldCharType="begin"/>
    </w:r>
    <w:r>
      <w:instrText xml:space="preserve"> EQ </w:instrText>
    </w:r>
    <w:r>
      <w:fldChar w:fldCharType="end"/>
    </w:r>
    <w:r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312F89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8CB18" w14:textId="77777777" w:rsidR="00000000" w:rsidRDefault="00624432">
      <w:pPr>
        <w:spacing w:line="240" w:lineRule="auto"/>
      </w:pPr>
      <w:r>
        <w:separator/>
      </w:r>
    </w:p>
  </w:footnote>
  <w:footnote w:type="continuationSeparator" w:id="0">
    <w:p w14:paraId="7D95C537" w14:textId="77777777" w:rsidR="00000000" w:rsidRDefault="006244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900ED"/>
    <w:multiLevelType w:val="hybridMultilevel"/>
    <w:tmpl w:val="3D08C984"/>
    <w:lvl w:ilvl="0" w:tplc="892A95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7CF08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94CE6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732D9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F44FF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8F8D1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B50925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B60E96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B64AA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590322"/>
    <w:multiLevelType w:val="singleLevel"/>
    <w:tmpl w:val="A8F43FF2"/>
    <w:lvl w:ilvl="0">
      <w:start w:val="1"/>
      <w:numFmt w:val="decimal"/>
      <w:lvlText w:val="Figure: %1. "/>
      <w:lvlJc w:val="left"/>
      <w:pPr>
        <w:tabs>
          <w:tab w:val="num" w:pos="1080"/>
        </w:tabs>
        <w:ind w:left="360" w:hanging="360"/>
      </w:pPr>
    </w:lvl>
  </w:abstractNum>
  <w:abstractNum w:abstractNumId="3" w15:restartNumberingAfterBreak="0">
    <w:nsid w:val="05BE74D3"/>
    <w:multiLevelType w:val="hybridMultilevel"/>
    <w:tmpl w:val="80502282"/>
    <w:lvl w:ilvl="0" w:tplc="13C8297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32223E6" w:tentative="1">
      <w:start w:val="1"/>
      <w:numFmt w:val="lowerLetter"/>
      <w:lvlText w:val="%2."/>
      <w:lvlJc w:val="left"/>
      <w:pPr>
        <w:ind w:left="1440" w:hanging="360"/>
      </w:pPr>
    </w:lvl>
    <w:lvl w:ilvl="2" w:tplc="8C6C8F2A" w:tentative="1">
      <w:start w:val="1"/>
      <w:numFmt w:val="lowerRoman"/>
      <w:lvlText w:val="%3."/>
      <w:lvlJc w:val="right"/>
      <w:pPr>
        <w:ind w:left="2160" w:hanging="180"/>
      </w:pPr>
    </w:lvl>
    <w:lvl w:ilvl="3" w:tplc="A7D2C02C" w:tentative="1">
      <w:start w:val="1"/>
      <w:numFmt w:val="decimal"/>
      <w:lvlText w:val="%4."/>
      <w:lvlJc w:val="left"/>
      <w:pPr>
        <w:ind w:left="2880" w:hanging="360"/>
      </w:pPr>
    </w:lvl>
    <w:lvl w:ilvl="4" w:tplc="DE366FB0" w:tentative="1">
      <w:start w:val="1"/>
      <w:numFmt w:val="lowerLetter"/>
      <w:lvlText w:val="%5."/>
      <w:lvlJc w:val="left"/>
      <w:pPr>
        <w:ind w:left="3600" w:hanging="360"/>
      </w:pPr>
    </w:lvl>
    <w:lvl w:ilvl="5" w:tplc="1A3A65AC" w:tentative="1">
      <w:start w:val="1"/>
      <w:numFmt w:val="lowerRoman"/>
      <w:lvlText w:val="%6."/>
      <w:lvlJc w:val="right"/>
      <w:pPr>
        <w:ind w:left="4320" w:hanging="180"/>
      </w:pPr>
    </w:lvl>
    <w:lvl w:ilvl="6" w:tplc="E470523E" w:tentative="1">
      <w:start w:val="1"/>
      <w:numFmt w:val="decimal"/>
      <w:lvlText w:val="%7."/>
      <w:lvlJc w:val="left"/>
      <w:pPr>
        <w:ind w:left="5040" w:hanging="360"/>
      </w:pPr>
    </w:lvl>
    <w:lvl w:ilvl="7" w:tplc="737AB342" w:tentative="1">
      <w:start w:val="1"/>
      <w:numFmt w:val="lowerLetter"/>
      <w:lvlText w:val="%8."/>
      <w:lvlJc w:val="left"/>
      <w:pPr>
        <w:ind w:left="5760" w:hanging="360"/>
      </w:pPr>
    </w:lvl>
    <w:lvl w:ilvl="8" w:tplc="8D6E60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F6289"/>
    <w:multiLevelType w:val="hybridMultilevel"/>
    <w:tmpl w:val="4B6610B4"/>
    <w:lvl w:ilvl="0" w:tplc="F1BA06F8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C1AA4018">
      <w:start w:val="1"/>
      <w:numFmt w:val="decimal"/>
      <w:lvlText w:val="%2."/>
      <w:lvlJc w:val="left"/>
      <w:pPr>
        <w:ind w:left="1417" w:hanging="570"/>
      </w:pPr>
      <w:rPr>
        <w:rFonts w:hint="default"/>
      </w:rPr>
    </w:lvl>
    <w:lvl w:ilvl="2" w:tplc="41B6725E" w:tentative="1">
      <w:start w:val="1"/>
      <w:numFmt w:val="lowerRoman"/>
      <w:lvlText w:val="%3."/>
      <w:lvlJc w:val="right"/>
      <w:pPr>
        <w:ind w:left="1927" w:hanging="180"/>
      </w:pPr>
    </w:lvl>
    <w:lvl w:ilvl="3" w:tplc="EDC68D44" w:tentative="1">
      <w:start w:val="1"/>
      <w:numFmt w:val="decimal"/>
      <w:lvlText w:val="%4."/>
      <w:lvlJc w:val="left"/>
      <w:pPr>
        <w:ind w:left="2647" w:hanging="360"/>
      </w:pPr>
    </w:lvl>
    <w:lvl w:ilvl="4" w:tplc="D38C1C8E" w:tentative="1">
      <w:start w:val="1"/>
      <w:numFmt w:val="lowerLetter"/>
      <w:lvlText w:val="%5."/>
      <w:lvlJc w:val="left"/>
      <w:pPr>
        <w:ind w:left="3367" w:hanging="360"/>
      </w:pPr>
    </w:lvl>
    <w:lvl w:ilvl="5" w:tplc="C0EA5204" w:tentative="1">
      <w:start w:val="1"/>
      <w:numFmt w:val="lowerRoman"/>
      <w:lvlText w:val="%6."/>
      <w:lvlJc w:val="right"/>
      <w:pPr>
        <w:ind w:left="4087" w:hanging="180"/>
      </w:pPr>
    </w:lvl>
    <w:lvl w:ilvl="6" w:tplc="D6701E9C" w:tentative="1">
      <w:start w:val="1"/>
      <w:numFmt w:val="decimal"/>
      <w:lvlText w:val="%7."/>
      <w:lvlJc w:val="left"/>
      <w:pPr>
        <w:ind w:left="4807" w:hanging="360"/>
      </w:pPr>
    </w:lvl>
    <w:lvl w:ilvl="7" w:tplc="B4D6E870" w:tentative="1">
      <w:start w:val="1"/>
      <w:numFmt w:val="lowerLetter"/>
      <w:lvlText w:val="%8."/>
      <w:lvlJc w:val="left"/>
      <w:pPr>
        <w:ind w:left="5527" w:hanging="360"/>
      </w:pPr>
    </w:lvl>
    <w:lvl w:ilvl="8" w:tplc="9410BA6C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5" w15:restartNumberingAfterBreak="0">
    <w:nsid w:val="09C44CC1"/>
    <w:multiLevelType w:val="hybridMultilevel"/>
    <w:tmpl w:val="7FF2C56E"/>
    <w:lvl w:ilvl="0" w:tplc="0D0E4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48F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2E0E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00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7497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140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D638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EEC6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5A2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3306"/>
    <w:multiLevelType w:val="hybridMultilevel"/>
    <w:tmpl w:val="956CF4A4"/>
    <w:lvl w:ilvl="0" w:tplc="BD8C49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ADE572C" w:tentative="1">
      <w:start w:val="1"/>
      <w:numFmt w:val="lowerLetter"/>
      <w:lvlText w:val="%2."/>
      <w:lvlJc w:val="left"/>
      <w:pPr>
        <w:ind w:left="1440" w:hanging="360"/>
      </w:pPr>
    </w:lvl>
    <w:lvl w:ilvl="2" w:tplc="B6485B3C" w:tentative="1">
      <w:start w:val="1"/>
      <w:numFmt w:val="lowerRoman"/>
      <w:lvlText w:val="%3."/>
      <w:lvlJc w:val="right"/>
      <w:pPr>
        <w:ind w:left="2160" w:hanging="180"/>
      </w:pPr>
    </w:lvl>
    <w:lvl w:ilvl="3" w:tplc="93F0D90C" w:tentative="1">
      <w:start w:val="1"/>
      <w:numFmt w:val="decimal"/>
      <w:lvlText w:val="%4."/>
      <w:lvlJc w:val="left"/>
      <w:pPr>
        <w:ind w:left="2880" w:hanging="360"/>
      </w:pPr>
    </w:lvl>
    <w:lvl w:ilvl="4" w:tplc="460E017A" w:tentative="1">
      <w:start w:val="1"/>
      <w:numFmt w:val="lowerLetter"/>
      <w:lvlText w:val="%5."/>
      <w:lvlJc w:val="left"/>
      <w:pPr>
        <w:ind w:left="3600" w:hanging="360"/>
      </w:pPr>
    </w:lvl>
    <w:lvl w:ilvl="5" w:tplc="15E08514" w:tentative="1">
      <w:start w:val="1"/>
      <w:numFmt w:val="lowerRoman"/>
      <w:lvlText w:val="%6."/>
      <w:lvlJc w:val="right"/>
      <w:pPr>
        <w:ind w:left="4320" w:hanging="180"/>
      </w:pPr>
    </w:lvl>
    <w:lvl w:ilvl="6" w:tplc="BBDED030" w:tentative="1">
      <w:start w:val="1"/>
      <w:numFmt w:val="decimal"/>
      <w:lvlText w:val="%7."/>
      <w:lvlJc w:val="left"/>
      <w:pPr>
        <w:ind w:left="5040" w:hanging="360"/>
      </w:pPr>
    </w:lvl>
    <w:lvl w:ilvl="7" w:tplc="6164C446" w:tentative="1">
      <w:start w:val="1"/>
      <w:numFmt w:val="lowerLetter"/>
      <w:lvlText w:val="%8."/>
      <w:lvlJc w:val="left"/>
      <w:pPr>
        <w:ind w:left="5760" w:hanging="360"/>
      </w:pPr>
    </w:lvl>
    <w:lvl w:ilvl="8" w:tplc="564872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E76AF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60A0176"/>
    <w:multiLevelType w:val="hybridMultilevel"/>
    <w:tmpl w:val="718ED2D0"/>
    <w:lvl w:ilvl="0" w:tplc="03F632E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3EACA7E" w:tentative="1">
      <w:start w:val="1"/>
      <w:numFmt w:val="lowerLetter"/>
      <w:lvlText w:val="%2."/>
      <w:lvlJc w:val="left"/>
      <w:pPr>
        <w:ind w:left="1440" w:hanging="360"/>
      </w:pPr>
    </w:lvl>
    <w:lvl w:ilvl="2" w:tplc="C3AEA294" w:tentative="1">
      <w:start w:val="1"/>
      <w:numFmt w:val="lowerRoman"/>
      <w:lvlText w:val="%3."/>
      <w:lvlJc w:val="right"/>
      <w:pPr>
        <w:ind w:left="2160" w:hanging="180"/>
      </w:pPr>
    </w:lvl>
    <w:lvl w:ilvl="3" w:tplc="AD76F616" w:tentative="1">
      <w:start w:val="1"/>
      <w:numFmt w:val="decimal"/>
      <w:lvlText w:val="%4."/>
      <w:lvlJc w:val="left"/>
      <w:pPr>
        <w:ind w:left="2880" w:hanging="360"/>
      </w:pPr>
    </w:lvl>
    <w:lvl w:ilvl="4" w:tplc="3EB61816" w:tentative="1">
      <w:start w:val="1"/>
      <w:numFmt w:val="lowerLetter"/>
      <w:lvlText w:val="%5."/>
      <w:lvlJc w:val="left"/>
      <w:pPr>
        <w:ind w:left="3600" w:hanging="360"/>
      </w:pPr>
    </w:lvl>
    <w:lvl w:ilvl="5" w:tplc="545260DC" w:tentative="1">
      <w:start w:val="1"/>
      <w:numFmt w:val="lowerRoman"/>
      <w:lvlText w:val="%6."/>
      <w:lvlJc w:val="right"/>
      <w:pPr>
        <w:ind w:left="4320" w:hanging="180"/>
      </w:pPr>
    </w:lvl>
    <w:lvl w:ilvl="6" w:tplc="6C64C652" w:tentative="1">
      <w:start w:val="1"/>
      <w:numFmt w:val="decimal"/>
      <w:lvlText w:val="%7."/>
      <w:lvlJc w:val="left"/>
      <w:pPr>
        <w:ind w:left="5040" w:hanging="360"/>
      </w:pPr>
    </w:lvl>
    <w:lvl w:ilvl="7" w:tplc="B7C809E8" w:tentative="1">
      <w:start w:val="1"/>
      <w:numFmt w:val="lowerLetter"/>
      <w:lvlText w:val="%8."/>
      <w:lvlJc w:val="left"/>
      <w:pPr>
        <w:ind w:left="5760" w:hanging="360"/>
      </w:pPr>
    </w:lvl>
    <w:lvl w:ilvl="8" w:tplc="5B1810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110E1"/>
    <w:multiLevelType w:val="hybridMultilevel"/>
    <w:tmpl w:val="22EE80EE"/>
    <w:lvl w:ilvl="0" w:tplc="8902AF1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98CD8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A09F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CC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632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B6A8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C3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A1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6C2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35BD9"/>
    <w:multiLevelType w:val="hybridMultilevel"/>
    <w:tmpl w:val="DAD6C0E0"/>
    <w:lvl w:ilvl="0" w:tplc="7A0A4C0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4112C6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CC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8A3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7A17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EC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6B3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D22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330AB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41609"/>
    <w:multiLevelType w:val="hybridMultilevel"/>
    <w:tmpl w:val="1E5AABE8"/>
    <w:lvl w:ilvl="0" w:tplc="8FA4EDA4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356A7B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0F21C5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BF84A5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A7C78C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6688D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C048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5425B6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7A6479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68E30D3"/>
    <w:multiLevelType w:val="multilevel"/>
    <w:tmpl w:val="88209D68"/>
    <w:lvl w:ilvl="0">
      <w:start w:val="6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B8C3C56"/>
    <w:multiLevelType w:val="hybridMultilevel"/>
    <w:tmpl w:val="BFBE97F2"/>
    <w:lvl w:ilvl="0" w:tplc="5C128B84">
      <w:start w:val="1"/>
      <w:numFmt w:val="decimal"/>
      <w:lvlText w:val="%1."/>
      <w:lvlJc w:val="left"/>
      <w:pPr>
        <w:ind w:left="720" w:hanging="360"/>
      </w:pPr>
    </w:lvl>
    <w:lvl w:ilvl="1" w:tplc="EFF4FA8C" w:tentative="1">
      <w:start w:val="1"/>
      <w:numFmt w:val="lowerLetter"/>
      <w:lvlText w:val="%2."/>
      <w:lvlJc w:val="left"/>
      <w:pPr>
        <w:ind w:left="1440" w:hanging="360"/>
      </w:pPr>
    </w:lvl>
    <w:lvl w:ilvl="2" w:tplc="9A3EAE34" w:tentative="1">
      <w:start w:val="1"/>
      <w:numFmt w:val="lowerRoman"/>
      <w:lvlText w:val="%3."/>
      <w:lvlJc w:val="right"/>
      <w:pPr>
        <w:ind w:left="2160" w:hanging="180"/>
      </w:pPr>
    </w:lvl>
    <w:lvl w:ilvl="3" w:tplc="B1B29C1A" w:tentative="1">
      <w:start w:val="1"/>
      <w:numFmt w:val="decimal"/>
      <w:lvlText w:val="%4."/>
      <w:lvlJc w:val="left"/>
      <w:pPr>
        <w:ind w:left="2880" w:hanging="360"/>
      </w:pPr>
    </w:lvl>
    <w:lvl w:ilvl="4" w:tplc="2CAE7BD6" w:tentative="1">
      <w:start w:val="1"/>
      <w:numFmt w:val="lowerLetter"/>
      <w:lvlText w:val="%5."/>
      <w:lvlJc w:val="left"/>
      <w:pPr>
        <w:ind w:left="3600" w:hanging="360"/>
      </w:pPr>
    </w:lvl>
    <w:lvl w:ilvl="5" w:tplc="30860EB4" w:tentative="1">
      <w:start w:val="1"/>
      <w:numFmt w:val="lowerRoman"/>
      <w:lvlText w:val="%6."/>
      <w:lvlJc w:val="right"/>
      <w:pPr>
        <w:ind w:left="4320" w:hanging="180"/>
      </w:pPr>
    </w:lvl>
    <w:lvl w:ilvl="6" w:tplc="84E6DEA0" w:tentative="1">
      <w:start w:val="1"/>
      <w:numFmt w:val="decimal"/>
      <w:lvlText w:val="%7."/>
      <w:lvlJc w:val="left"/>
      <w:pPr>
        <w:ind w:left="5040" w:hanging="360"/>
      </w:pPr>
    </w:lvl>
    <w:lvl w:ilvl="7" w:tplc="1E364CBC" w:tentative="1">
      <w:start w:val="1"/>
      <w:numFmt w:val="lowerLetter"/>
      <w:lvlText w:val="%8."/>
      <w:lvlJc w:val="left"/>
      <w:pPr>
        <w:ind w:left="5760" w:hanging="360"/>
      </w:pPr>
    </w:lvl>
    <w:lvl w:ilvl="8" w:tplc="199E3A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422D0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5" w15:restartNumberingAfterBreak="0">
    <w:nsid w:val="4A810019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6" w15:restartNumberingAfterBreak="0">
    <w:nsid w:val="53E83375"/>
    <w:multiLevelType w:val="multilevel"/>
    <w:tmpl w:val="18221FCC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7" w15:restartNumberingAfterBreak="0">
    <w:nsid w:val="560C4365"/>
    <w:multiLevelType w:val="singleLevel"/>
    <w:tmpl w:val="FFFFFFFF"/>
    <w:lvl w:ilvl="0">
      <w:start w:val="1"/>
      <w:numFmt w:val="bullet"/>
      <w:lvlText w:val="-"/>
      <w:legacy w:legacy="1" w:legacySpace="0" w:legacyIndent="360"/>
      <w:lvlJc w:val="left"/>
      <w:pPr>
        <w:ind w:left="1800" w:hanging="360"/>
      </w:pPr>
    </w:lvl>
  </w:abstractNum>
  <w:abstractNum w:abstractNumId="18" w15:restartNumberingAfterBreak="0">
    <w:nsid w:val="58B56C73"/>
    <w:multiLevelType w:val="hybridMultilevel"/>
    <w:tmpl w:val="5BA42128"/>
    <w:lvl w:ilvl="0" w:tplc="F21A6B1E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EC8693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9D6456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00A602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5D4303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75EE9C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2A4123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1762FF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6E8C6CD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2D6557"/>
    <w:multiLevelType w:val="multilevel"/>
    <w:tmpl w:val="1E5AABE8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8C02A1"/>
    <w:multiLevelType w:val="singleLevel"/>
    <w:tmpl w:val="E7D2218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68247730"/>
    <w:multiLevelType w:val="singleLevel"/>
    <w:tmpl w:val="6096C72A"/>
    <w:lvl w:ilvl="0">
      <w:start w:val="5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2" w15:restartNumberingAfterBreak="0">
    <w:nsid w:val="69E95A54"/>
    <w:multiLevelType w:val="hybridMultilevel"/>
    <w:tmpl w:val="3C18EFB0"/>
    <w:lvl w:ilvl="0" w:tplc="1B6A054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865AD0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AD0F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B284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242D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B0E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433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8220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AC6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14835"/>
    <w:multiLevelType w:val="multilevel"/>
    <w:tmpl w:val="CFACB26E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D941758"/>
    <w:multiLevelType w:val="singleLevel"/>
    <w:tmpl w:val="98907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5" w15:restartNumberingAfterBreak="0">
    <w:nsid w:val="6F9337D0"/>
    <w:multiLevelType w:val="hybridMultilevel"/>
    <w:tmpl w:val="B6C885E6"/>
    <w:lvl w:ilvl="0" w:tplc="626C63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3837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2827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ED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CD5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AAF8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2B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C219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8AF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B50F1"/>
    <w:multiLevelType w:val="hybridMultilevel"/>
    <w:tmpl w:val="64CEA6CC"/>
    <w:lvl w:ilvl="0" w:tplc="F5181F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62A00A8" w:tentative="1">
      <w:start w:val="1"/>
      <w:numFmt w:val="lowerLetter"/>
      <w:lvlText w:val="%2."/>
      <w:lvlJc w:val="left"/>
      <w:pPr>
        <w:ind w:left="1440" w:hanging="360"/>
      </w:pPr>
    </w:lvl>
    <w:lvl w:ilvl="2" w:tplc="9FFCF630" w:tentative="1">
      <w:start w:val="1"/>
      <w:numFmt w:val="lowerRoman"/>
      <w:lvlText w:val="%3."/>
      <w:lvlJc w:val="right"/>
      <w:pPr>
        <w:ind w:left="2160" w:hanging="180"/>
      </w:pPr>
    </w:lvl>
    <w:lvl w:ilvl="3" w:tplc="15642362" w:tentative="1">
      <w:start w:val="1"/>
      <w:numFmt w:val="decimal"/>
      <w:lvlText w:val="%4."/>
      <w:lvlJc w:val="left"/>
      <w:pPr>
        <w:ind w:left="2880" w:hanging="360"/>
      </w:pPr>
    </w:lvl>
    <w:lvl w:ilvl="4" w:tplc="CFD24B04" w:tentative="1">
      <w:start w:val="1"/>
      <w:numFmt w:val="lowerLetter"/>
      <w:lvlText w:val="%5."/>
      <w:lvlJc w:val="left"/>
      <w:pPr>
        <w:ind w:left="3600" w:hanging="360"/>
      </w:pPr>
    </w:lvl>
    <w:lvl w:ilvl="5" w:tplc="2F1CC224" w:tentative="1">
      <w:start w:val="1"/>
      <w:numFmt w:val="lowerRoman"/>
      <w:lvlText w:val="%6."/>
      <w:lvlJc w:val="right"/>
      <w:pPr>
        <w:ind w:left="4320" w:hanging="180"/>
      </w:pPr>
    </w:lvl>
    <w:lvl w:ilvl="6" w:tplc="5BD8DE9C" w:tentative="1">
      <w:start w:val="1"/>
      <w:numFmt w:val="decimal"/>
      <w:lvlText w:val="%7."/>
      <w:lvlJc w:val="left"/>
      <w:pPr>
        <w:ind w:left="5040" w:hanging="360"/>
      </w:pPr>
    </w:lvl>
    <w:lvl w:ilvl="7" w:tplc="B24CC02C" w:tentative="1">
      <w:start w:val="1"/>
      <w:numFmt w:val="lowerLetter"/>
      <w:lvlText w:val="%8."/>
      <w:lvlJc w:val="left"/>
      <w:pPr>
        <w:ind w:left="5760" w:hanging="360"/>
      </w:pPr>
    </w:lvl>
    <w:lvl w:ilvl="8" w:tplc="F120DF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26D2E"/>
    <w:multiLevelType w:val="multilevel"/>
    <w:tmpl w:val="ED740546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7B136C31"/>
    <w:multiLevelType w:val="hybridMultilevel"/>
    <w:tmpl w:val="D8E2FC5A"/>
    <w:lvl w:ilvl="0" w:tplc="67C45ED6">
      <w:start w:val="1"/>
      <w:numFmt w:val="upperLetter"/>
      <w:lvlText w:val="%1."/>
      <w:lvlJc w:val="left"/>
      <w:pPr>
        <w:ind w:left="577" w:hanging="450"/>
      </w:pPr>
      <w:rPr>
        <w:rFonts w:hint="default"/>
      </w:rPr>
    </w:lvl>
    <w:lvl w:ilvl="1" w:tplc="BF244A2E">
      <w:start w:val="1"/>
      <w:numFmt w:val="decimal"/>
      <w:lvlText w:val="%2."/>
      <w:lvlJc w:val="left"/>
      <w:pPr>
        <w:ind w:left="1417" w:hanging="570"/>
      </w:pPr>
      <w:rPr>
        <w:rFonts w:hint="default"/>
        <w:b/>
      </w:rPr>
    </w:lvl>
    <w:lvl w:ilvl="2" w:tplc="289C5044" w:tentative="1">
      <w:start w:val="1"/>
      <w:numFmt w:val="lowerRoman"/>
      <w:lvlText w:val="%3."/>
      <w:lvlJc w:val="right"/>
      <w:pPr>
        <w:ind w:left="1927" w:hanging="180"/>
      </w:pPr>
    </w:lvl>
    <w:lvl w:ilvl="3" w:tplc="AC18BCA4" w:tentative="1">
      <w:start w:val="1"/>
      <w:numFmt w:val="decimal"/>
      <w:lvlText w:val="%4."/>
      <w:lvlJc w:val="left"/>
      <w:pPr>
        <w:ind w:left="2647" w:hanging="360"/>
      </w:pPr>
    </w:lvl>
    <w:lvl w:ilvl="4" w:tplc="5BBE0BAE" w:tentative="1">
      <w:start w:val="1"/>
      <w:numFmt w:val="lowerLetter"/>
      <w:lvlText w:val="%5."/>
      <w:lvlJc w:val="left"/>
      <w:pPr>
        <w:ind w:left="3367" w:hanging="360"/>
      </w:pPr>
    </w:lvl>
    <w:lvl w:ilvl="5" w:tplc="832A6B78" w:tentative="1">
      <w:start w:val="1"/>
      <w:numFmt w:val="lowerRoman"/>
      <w:lvlText w:val="%6."/>
      <w:lvlJc w:val="right"/>
      <w:pPr>
        <w:ind w:left="4087" w:hanging="180"/>
      </w:pPr>
    </w:lvl>
    <w:lvl w:ilvl="6" w:tplc="6C684DD0" w:tentative="1">
      <w:start w:val="1"/>
      <w:numFmt w:val="decimal"/>
      <w:lvlText w:val="%7."/>
      <w:lvlJc w:val="left"/>
      <w:pPr>
        <w:ind w:left="4807" w:hanging="360"/>
      </w:pPr>
    </w:lvl>
    <w:lvl w:ilvl="7" w:tplc="90CC78F2" w:tentative="1">
      <w:start w:val="1"/>
      <w:numFmt w:val="lowerLetter"/>
      <w:lvlText w:val="%8."/>
      <w:lvlJc w:val="left"/>
      <w:pPr>
        <w:ind w:left="5527" w:hanging="360"/>
      </w:pPr>
    </w:lvl>
    <w:lvl w:ilvl="8" w:tplc="564E6202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2"/>
  </w:num>
  <w:num w:numId="2">
    <w:abstractNumId w:val="20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18"/>
  </w:num>
  <w:num w:numId="7">
    <w:abstractNumId w:val="11"/>
  </w:num>
  <w:num w:numId="8">
    <w:abstractNumId w:val="14"/>
  </w:num>
  <w:num w:numId="9">
    <w:abstractNumId w:val="26"/>
  </w:num>
  <w:num w:numId="10">
    <w:abstractNumId w:val="1"/>
  </w:num>
  <w:num w:numId="11">
    <w:abstractNumId w:val="23"/>
  </w:num>
  <w:num w:numId="12">
    <w:abstractNumId w:val="12"/>
  </w:num>
  <w:num w:numId="13">
    <w:abstractNumId w:val="7"/>
  </w:num>
  <w:num w:numId="14">
    <w:abstractNumId w:val="5"/>
  </w:num>
  <w:num w:numId="15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6">
    <w:abstractNumId w:val="24"/>
  </w:num>
  <w:num w:numId="17">
    <w:abstractNumId w:val="15"/>
  </w:num>
  <w:num w:numId="18">
    <w:abstractNumId w:val="17"/>
  </w:num>
  <w:num w:numId="19">
    <w:abstractNumId w:val="27"/>
  </w:num>
  <w:num w:numId="20">
    <w:abstractNumId w:val="19"/>
  </w:num>
  <w:num w:numId="21">
    <w:abstractNumId w:val="25"/>
  </w:num>
  <w:num w:numId="22">
    <w:abstractNumId w:val="22"/>
  </w:num>
  <w:num w:numId="23">
    <w:abstractNumId w:val="10"/>
  </w:num>
  <w:num w:numId="24">
    <w:abstractNumId w:val="25"/>
  </w:num>
  <w:num w:numId="25">
    <w:abstractNumId w:val="5"/>
  </w:num>
  <w:num w:numId="26">
    <w:abstractNumId w:val="9"/>
  </w:num>
  <w:num w:numId="27">
    <w:abstractNumId w:val="13"/>
  </w:num>
  <w:num w:numId="28">
    <w:abstractNumId w:val="16"/>
  </w:num>
  <w:num w:numId="29">
    <w:abstractNumId w:val="4"/>
  </w:num>
  <w:num w:numId="30">
    <w:abstractNumId w:val="28"/>
  </w:num>
  <w:num w:numId="31">
    <w:abstractNumId w:val="3"/>
  </w:num>
  <w:num w:numId="32">
    <w:abstractNumId w:val="8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gistered" w:val="-1"/>
    <w:docVar w:name="Version" w:val="0"/>
  </w:docVars>
  <w:rsids>
    <w:rsidRoot w:val="0060008A"/>
    <w:rsid w:val="000542AE"/>
    <w:rsid w:val="0006785B"/>
    <w:rsid w:val="00075DC3"/>
    <w:rsid w:val="00090591"/>
    <w:rsid w:val="000E3397"/>
    <w:rsid w:val="0010712F"/>
    <w:rsid w:val="001235FB"/>
    <w:rsid w:val="00174FE1"/>
    <w:rsid w:val="001F347F"/>
    <w:rsid w:val="00212A8E"/>
    <w:rsid w:val="002503BA"/>
    <w:rsid w:val="0025643E"/>
    <w:rsid w:val="002F19D8"/>
    <w:rsid w:val="002F567C"/>
    <w:rsid w:val="00304E46"/>
    <w:rsid w:val="00312F89"/>
    <w:rsid w:val="0031664C"/>
    <w:rsid w:val="00321BD0"/>
    <w:rsid w:val="00332344"/>
    <w:rsid w:val="003367F1"/>
    <w:rsid w:val="00350920"/>
    <w:rsid w:val="0036776A"/>
    <w:rsid w:val="0042339C"/>
    <w:rsid w:val="0054616F"/>
    <w:rsid w:val="00550818"/>
    <w:rsid w:val="005B0F93"/>
    <w:rsid w:val="005B72A3"/>
    <w:rsid w:val="005D6D19"/>
    <w:rsid w:val="0060008A"/>
    <w:rsid w:val="0060445F"/>
    <w:rsid w:val="00624432"/>
    <w:rsid w:val="00695D78"/>
    <w:rsid w:val="006960AA"/>
    <w:rsid w:val="006E066B"/>
    <w:rsid w:val="006F37AA"/>
    <w:rsid w:val="00787600"/>
    <w:rsid w:val="00792E66"/>
    <w:rsid w:val="00793B43"/>
    <w:rsid w:val="007B66F1"/>
    <w:rsid w:val="007C4CF8"/>
    <w:rsid w:val="007E709E"/>
    <w:rsid w:val="00830A5B"/>
    <w:rsid w:val="008416A5"/>
    <w:rsid w:val="008575C7"/>
    <w:rsid w:val="008C47B8"/>
    <w:rsid w:val="008E729A"/>
    <w:rsid w:val="008E7761"/>
    <w:rsid w:val="009D33C2"/>
    <w:rsid w:val="00A329E7"/>
    <w:rsid w:val="00A907DE"/>
    <w:rsid w:val="00AB75FD"/>
    <w:rsid w:val="00B06E9B"/>
    <w:rsid w:val="00B22DEE"/>
    <w:rsid w:val="00B41432"/>
    <w:rsid w:val="00B458A3"/>
    <w:rsid w:val="00B61BFA"/>
    <w:rsid w:val="00B63F97"/>
    <w:rsid w:val="00B94552"/>
    <w:rsid w:val="00BA2332"/>
    <w:rsid w:val="00BB22EE"/>
    <w:rsid w:val="00BF6B2C"/>
    <w:rsid w:val="00CA3488"/>
    <w:rsid w:val="00CA42AF"/>
    <w:rsid w:val="00CD6652"/>
    <w:rsid w:val="00CE5879"/>
    <w:rsid w:val="00D240F3"/>
    <w:rsid w:val="00D27EF9"/>
    <w:rsid w:val="00D36F46"/>
    <w:rsid w:val="00D46DD4"/>
    <w:rsid w:val="00D56FE7"/>
    <w:rsid w:val="00D62E06"/>
    <w:rsid w:val="00DC02C8"/>
    <w:rsid w:val="00E15374"/>
    <w:rsid w:val="00E37E7B"/>
    <w:rsid w:val="00E75EB0"/>
    <w:rsid w:val="00E9563A"/>
    <w:rsid w:val="00EB27D2"/>
    <w:rsid w:val="00F11FEF"/>
    <w:rsid w:val="00F245AD"/>
    <w:rsid w:val="00F61C44"/>
    <w:rsid w:val="00F67073"/>
    <w:rsid w:val="00F67785"/>
    <w:rsid w:val="00FC3DF3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5:docId w15:val="{698A729C-3EBE-4CAA-8BA4-272E6BC7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bg-BG" w:eastAsia="bg-BG" w:bidi="bg-BG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16"/>
    <w:pPr>
      <w:tabs>
        <w:tab w:val="left" w:pos="567"/>
      </w:tabs>
      <w:spacing w:line="260" w:lineRule="exact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536"/>
        <w:tab w:val="right" w:pos="8306"/>
      </w:tabs>
    </w:pPr>
    <w:rPr>
      <w:rFonts w:ascii="Arial" w:hAnsi="Arial"/>
      <w:noProof/>
      <w:sz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MemoHeaderStyle">
    <w:name w:val="MemoHeaderStyle"/>
    <w:basedOn w:val="Normal"/>
    <w:next w:val="Normal"/>
    <w:pPr>
      <w:spacing w:line="120" w:lineRule="atLeast"/>
      <w:ind w:left="1418"/>
      <w:jc w:val="both"/>
    </w:pPr>
    <w:rPr>
      <w:rFonts w:ascii="Arial" w:hAnsi="Arial"/>
      <w:b/>
      <w:smallCaps/>
    </w:rPr>
  </w:style>
  <w:style w:type="character" w:styleId="PageNumber">
    <w:name w:val="page number"/>
    <w:basedOn w:val="DefaultParagraphFont"/>
    <w:rsid w:val="00812D16"/>
  </w:style>
  <w:style w:type="paragraph" w:styleId="BodyText">
    <w:name w:val="Body Text"/>
    <w:basedOn w:val="Normal"/>
    <w:rsid w:val="00812D16"/>
    <w:pPr>
      <w:tabs>
        <w:tab w:val="clear" w:pos="567"/>
      </w:tabs>
      <w:spacing w:line="240" w:lineRule="auto"/>
    </w:pPr>
    <w:rPr>
      <w:i/>
      <w:color w:val="008000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</w:rPr>
  </w:style>
  <w:style w:type="character" w:styleId="Hyperlink">
    <w:name w:val="Hyperlink"/>
    <w:rsid w:val="00812D16"/>
    <w:rPr>
      <w:color w:val="0000FF"/>
      <w:u w:val="single"/>
    </w:rPr>
  </w:style>
  <w:style w:type="paragraph" w:customStyle="1" w:styleId="EMEAEnBodyText">
    <w:name w:val="EMEA En Body Text"/>
    <w:basedOn w:val="Normal"/>
    <w:rsid w:val="00812D16"/>
    <w:pPr>
      <w:tabs>
        <w:tab w:val="clear" w:pos="567"/>
      </w:tabs>
      <w:spacing w:before="120" w:after="120" w:line="240" w:lineRule="auto"/>
      <w:jc w:val="both"/>
    </w:pPr>
  </w:style>
  <w:style w:type="paragraph" w:styleId="BalloonText">
    <w:name w:val="Balloon Text"/>
    <w:basedOn w:val="Normal"/>
    <w:semiHidden/>
    <w:rsid w:val="00A20C7F"/>
    <w:rPr>
      <w:rFonts w:ascii="Tahoma" w:hAnsi="Tahoma" w:cs="Tahoma"/>
      <w:sz w:val="16"/>
      <w:szCs w:val="16"/>
    </w:rPr>
  </w:style>
  <w:style w:type="paragraph" w:customStyle="1" w:styleId="BodytextAgency">
    <w:name w:val="Body text (Agency)"/>
    <w:basedOn w:val="Normal"/>
    <w:link w:val="BodytextAgencyChar"/>
    <w:qFormat/>
    <w:rsid w:val="00345F9C"/>
    <w:pPr>
      <w:tabs>
        <w:tab w:val="clear" w:pos="567"/>
      </w:tabs>
      <w:spacing w:after="140" w:line="280" w:lineRule="atLeast"/>
    </w:pPr>
    <w:rPr>
      <w:rFonts w:ascii="Verdana" w:eastAsia="Verdana" w:hAnsi="Verdana" w:cs="Verdana"/>
      <w:sz w:val="18"/>
      <w:szCs w:val="18"/>
    </w:rPr>
  </w:style>
  <w:style w:type="character" w:customStyle="1" w:styleId="BodytextAgencyChar">
    <w:name w:val="Body text (Agency) Char"/>
    <w:link w:val="BodytextAgency"/>
    <w:rsid w:val="00345F9C"/>
    <w:rPr>
      <w:rFonts w:ascii="Verdana" w:eastAsia="Verdana" w:hAnsi="Verdana" w:cs="Verdana"/>
      <w:sz w:val="18"/>
      <w:szCs w:val="18"/>
      <w:lang w:val="bg-BG" w:eastAsia="bg-BG" w:bidi="bg-BG"/>
    </w:rPr>
  </w:style>
  <w:style w:type="paragraph" w:customStyle="1" w:styleId="DraftingNotesAgency">
    <w:name w:val="Drafting Notes (Agency)"/>
    <w:basedOn w:val="Normal"/>
    <w:next w:val="BodytextAgency"/>
    <w:link w:val="DraftingNotesAgencyChar"/>
    <w:rsid w:val="00345F9C"/>
    <w:pPr>
      <w:tabs>
        <w:tab w:val="clear" w:pos="567"/>
      </w:tabs>
      <w:spacing w:after="140" w:line="280" w:lineRule="atLeast"/>
    </w:pPr>
    <w:rPr>
      <w:rFonts w:ascii="Courier New" w:eastAsia="Verdana" w:hAnsi="Courier New"/>
      <w:i/>
      <w:color w:val="339966"/>
      <w:szCs w:val="18"/>
    </w:rPr>
  </w:style>
  <w:style w:type="character" w:customStyle="1" w:styleId="DraftingNotesAgencyChar">
    <w:name w:val="Drafting Notes (Agency) Char"/>
    <w:link w:val="DraftingNotesAgency"/>
    <w:rsid w:val="00345F9C"/>
    <w:rPr>
      <w:rFonts w:ascii="Courier New" w:eastAsia="Verdana" w:hAnsi="Courier New"/>
      <w:i/>
      <w:color w:val="339966"/>
      <w:sz w:val="22"/>
      <w:szCs w:val="18"/>
      <w:lang w:val="bg-BG" w:eastAsia="bg-BG" w:bidi="bg-BG"/>
    </w:rPr>
  </w:style>
  <w:style w:type="paragraph" w:customStyle="1" w:styleId="NormalAgency">
    <w:name w:val="Normal (Agency)"/>
    <w:link w:val="NormalAgencyChar"/>
    <w:rsid w:val="00C179B0"/>
    <w:rPr>
      <w:rFonts w:ascii="Verdana" w:eastAsia="Verdana" w:hAnsi="Verdana" w:cs="Verdana"/>
      <w:sz w:val="18"/>
      <w:szCs w:val="18"/>
    </w:rPr>
  </w:style>
  <w:style w:type="table" w:customStyle="1" w:styleId="TablegridAgencyblack">
    <w:name w:val="Table grid (Agency) black"/>
    <w:basedOn w:val="TableNormal"/>
    <w:semiHidden/>
    <w:rsid w:val="00C179B0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i w:val="0"/>
        <w:color w:val="auto"/>
        <w:sz w:val="18"/>
        <w:szCs w:val="18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TableheadingrowsAgency">
    <w:name w:val="Table heading rows (Agency)"/>
    <w:basedOn w:val="BodytextAgency"/>
    <w:rsid w:val="00C179B0"/>
    <w:pPr>
      <w:keepNext/>
    </w:pPr>
    <w:rPr>
      <w:rFonts w:eastAsia="Times New Roman"/>
      <w:b/>
    </w:rPr>
  </w:style>
  <w:style w:type="paragraph" w:customStyle="1" w:styleId="TabletextrowsAgency">
    <w:name w:val="Table text rows (Agency)"/>
    <w:basedOn w:val="Normal"/>
    <w:rsid w:val="00C179B0"/>
    <w:pPr>
      <w:tabs>
        <w:tab w:val="clear" w:pos="567"/>
      </w:tabs>
      <w:spacing w:line="280" w:lineRule="exact"/>
    </w:pPr>
    <w:rPr>
      <w:rFonts w:ascii="Verdana" w:hAnsi="Verdana" w:cs="Verdana"/>
      <w:sz w:val="18"/>
      <w:szCs w:val="18"/>
    </w:rPr>
  </w:style>
  <w:style w:type="character" w:customStyle="1" w:styleId="NormalAgencyChar">
    <w:name w:val="Normal (Agency) Char"/>
    <w:link w:val="NormalAgency"/>
    <w:rsid w:val="00C179B0"/>
    <w:rPr>
      <w:rFonts w:ascii="Verdana" w:eastAsia="Verdana" w:hAnsi="Verdana" w:cs="Verdana"/>
      <w:sz w:val="18"/>
      <w:szCs w:val="18"/>
      <w:lang w:val="bg-BG" w:eastAsia="bg-BG" w:bidi="bg-BG"/>
    </w:rPr>
  </w:style>
  <w:style w:type="character" w:styleId="CommentReference">
    <w:name w:val="annotation reference"/>
    <w:basedOn w:val="DefaultParagraphFont"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C6DC2"/>
    <w:rPr>
      <w:b/>
      <w:bCs/>
    </w:rPr>
  </w:style>
  <w:style w:type="character" w:customStyle="1" w:styleId="CommentTextChar">
    <w:name w:val="Comment Text Char"/>
    <w:link w:val="CommentText"/>
    <w:semiHidden/>
    <w:rsid w:val="00BC6DC2"/>
    <w:rPr>
      <w:rFonts w:eastAsia="Times New Roman"/>
      <w:lang w:eastAsia="bg-BG"/>
    </w:rPr>
  </w:style>
  <w:style w:type="character" w:customStyle="1" w:styleId="CommentSubjectChar">
    <w:name w:val="Comment Subject Char"/>
    <w:link w:val="CommentSubject"/>
    <w:rsid w:val="00BC6DC2"/>
    <w:rPr>
      <w:rFonts w:eastAsia="Times New Roman"/>
      <w:b/>
      <w:bCs/>
      <w:lang w:eastAsia="bg-BG"/>
    </w:rPr>
  </w:style>
  <w:style w:type="paragraph" w:styleId="Revision">
    <w:name w:val="Revision"/>
    <w:hidden/>
    <w:uiPriority w:val="99"/>
    <w:semiHidden/>
    <w:rsid w:val="00B21BE7"/>
    <w:rPr>
      <w:rFonts w:eastAsia="Times New Roman"/>
      <w:sz w:val="22"/>
    </w:rPr>
  </w:style>
  <w:style w:type="paragraph" w:customStyle="1" w:styleId="Default">
    <w:name w:val="Default"/>
    <w:rsid w:val="00C63A9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784"/>
    <w:pPr>
      <w:ind w:left="720"/>
      <w:contextualSpacing/>
    </w:pPr>
  </w:style>
  <w:style w:type="paragraph" w:customStyle="1" w:styleId="TitleA">
    <w:name w:val="Title A"/>
    <w:basedOn w:val="Normal"/>
    <w:qFormat/>
    <w:rsid w:val="00332344"/>
    <w:pPr>
      <w:widowControl w:val="0"/>
      <w:autoSpaceDE w:val="0"/>
      <w:autoSpaceDN w:val="0"/>
      <w:adjustRightInd w:val="0"/>
      <w:spacing w:after="140" w:line="280" w:lineRule="atLeast"/>
      <w:ind w:right="120"/>
      <w:jc w:val="center"/>
    </w:pPr>
    <w:rPr>
      <w:rFonts w:cs="Verdana"/>
      <w:b/>
      <w:bCs/>
      <w:color w:val="000000"/>
      <w:sz w:val="24"/>
      <w:szCs w:val="24"/>
      <w:lang w:val="en-GB" w:eastAsia="en-US" w:bidi="ar-SA"/>
    </w:rPr>
  </w:style>
  <w:style w:type="paragraph" w:customStyle="1" w:styleId="No-numheading3Agency">
    <w:name w:val="No-num heading 3 (Agency)"/>
    <w:rsid w:val="00D240F3"/>
    <w:pPr>
      <w:keepNext/>
      <w:spacing w:before="280" w:after="220"/>
      <w:outlineLvl w:val="2"/>
    </w:pPr>
    <w:rPr>
      <w:rFonts w:ascii="Verdana" w:eastAsia="Times New Roman" w:hAnsi="Verdana"/>
      <w:b/>
      <w:snapToGrid w:val="0"/>
      <w:kern w:val="32"/>
      <w:sz w:val="22"/>
      <w:lang w:val="en-GB" w:eastAsia="fr-L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uprio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ma.europa.eu.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ma.europa.eu/docs/en_GB/document_library/Template_or_form/2013/03/WC500139752.do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ema.europa.eu/docs/en_GB/document_library/Template_or_form/2013/03/WC500139752.doc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upri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F91DD1AE57B44B1BCEB7F1056F5D0" ma:contentTypeVersion="6" ma:contentTypeDescription="Create a new document." ma:contentTypeScope="" ma:versionID="80d1dd17cb0c17b7740334051d5d16b2">
  <xsd:schema xmlns:xsd="http://www.w3.org/2001/XMLSchema" xmlns:xs="http://www.w3.org/2001/XMLSchema" xmlns:p="http://schemas.microsoft.com/office/2006/metadata/properties" xmlns:ns2="a6a35199-84b7-4ca5-aa1c-39e9ca4c46ff" xmlns:ns3="0ac2e3cc-46bd-4320-b2ac-d7f7d167e1a9" targetNamespace="http://schemas.microsoft.com/office/2006/metadata/properties" ma:root="true" ma:fieldsID="c170dc105f61f60cf84b7b3e6d807e4f" ns2:_="" ns3:_="">
    <xsd:import namespace="a6a35199-84b7-4ca5-aa1c-39e9ca4c46ff"/>
    <xsd:import namespace="0ac2e3cc-46bd-4320-b2ac-d7f7d167e1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35199-84b7-4ca5-aa1c-39e9ca4c46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2e3cc-46bd-4320-b2ac-d7f7d167e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9EAE-902E-456F-AD5C-D14BF81338B4}"/>
</file>

<file path=customXml/itemProps2.xml><?xml version="1.0" encoding="utf-8"?>
<ds:datastoreItem xmlns:ds="http://schemas.openxmlformats.org/officeDocument/2006/customXml" ds:itemID="{F9E7E613-37BE-4D3A-83BB-6435FB40011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5E94878-5B46-4562-B9C9-35EF98C73E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7ADAAA-0C8A-4E77-AF01-CBBCCD05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4776</Words>
  <Characters>27560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Cuprior, INN-Trientine tetrahydrochloride</vt:lpstr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ema-combined-h-4005-bg-annotated</dc:title>
  <dc:subject>EPAR</dc:subject>
  <dc:creator>VCLS</dc:creator>
  <cp:keywords>Cuprior, INN-Trientine tetrahydrochloride</cp:keywords>
  <cp:lastModifiedBy>Scanlan Elizabeth</cp:lastModifiedBy>
  <cp:revision>10</cp:revision>
  <dcterms:created xsi:type="dcterms:W3CDTF">2019-08-27T09:10:00Z</dcterms:created>
  <dcterms:modified xsi:type="dcterms:W3CDTF">2021-05-24T19:48:00Z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0x010100726F91DD1AE57B44B1BCEB7F1056F5D0</vt:lpwstr>
  </property>
  <property fmtid="{D5CDD505-2E9C-101B-9397-08002B2CF9AE}" pid="3" name="DM_Author">
    <vt:lpwstr/>
  </property>
  <property fmtid="{D5CDD505-2E9C-101B-9397-08002B2CF9AE}" pid="4" name="DM_Category">
    <vt:lpwstr>Product Information</vt:lpwstr>
  </property>
  <property fmtid="{D5CDD505-2E9C-101B-9397-08002B2CF9AE}" pid="5" name="DM_Creation_Date">
    <vt:lpwstr>28/08/2020 15:43:24</vt:lpwstr>
  </property>
  <property fmtid="{D5CDD505-2E9C-101B-9397-08002B2CF9AE}" pid="6" name="DM_Creator_Name">
    <vt:lpwstr>Leszczynska Edyta</vt:lpwstr>
  </property>
  <property fmtid="{D5CDD505-2E9C-101B-9397-08002B2CF9AE}" pid="7" name="DM_DocRefId">
    <vt:lpwstr>EMA/458149/2020</vt:lpwstr>
  </property>
  <property fmtid="{D5CDD505-2E9C-101B-9397-08002B2CF9AE}" pid="8" name="DM_emea_doc_ref_id">
    <vt:lpwstr>EMA/458149/2020</vt:lpwstr>
  </property>
  <property fmtid="{D5CDD505-2E9C-101B-9397-08002B2CF9AE}" pid="9" name="DM_Keywords">
    <vt:lpwstr/>
  </property>
  <property fmtid="{D5CDD505-2E9C-101B-9397-08002B2CF9AE}" pid="10" name="DM_Language">
    <vt:lpwstr/>
  </property>
  <property fmtid="{D5CDD505-2E9C-101B-9397-08002B2CF9AE}" pid="11" name="DM_Modifer_Name">
    <vt:lpwstr>Leszczynska Edyta</vt:lpwstr>
  </property>
  <property fmtid="{D5CDD505-2E9C-101B-9397-08002B2CF9AE}" pid="12" name="DM_Modified_Date">
    <vt:lpwstr>28/08/2020 15:43:24</vt:lpwstr>
  </property>
  <property fmtid="{D5CDD505-2E9C-101B-9397-08002B2CF9AE}" pid="13" name="DM_Modifier_Name">
    <vt:lpwstr>Leszczynska Edyta</vt:lpwstr>
  </property>
  <property fmtid="{D5CDD505-2E9C-101B-9397-08002B2CF9AE}" pid="14" name="DM_Modify_Date">
    <vt:lpwstr>28/08/2020 15:43:24</vt:lpwstr>
  </property>
  <property fmtid="{D5CDD505-2E9C-101B-9397-08002B2CF9AE}" pid="15" name="DM_Name">
    <vt:lpwstr>ema-combined-h-4005-bg-annotated</vt:lpwstr>
  </property>
  <property fmtid="{D5CDD505-2E9C-101B-9397-08002B2CF9AE}" pid="16" name="DM_Path">
    <vt:lpwstr>/01. Evaluation of Medicines/H-C/A-C/Cuprior - 004005/05 Post Authorisation/Post Activities/2020-xx-xx-4005-IAIN-0015/PI and EPAR documents/Word highlighted</vt:lpwstr>
  </property>
  <property fmtid="{D5CDD505-2E9C-101B-9397-08002B2CF9AE}" pid="17" name="DM_Status">
    <vt:lpwstr/>
  </property>
  <property fmtid="{D5CDD505-2E9C-101B-9397-08002B2CF9AE}" pid="18" name="DM_Subject">
    <vt:lpwstr/>
  </property>
  <property fmtid="{D5CDD505-2E9C-101B-9397-08002B2CF9AE}" pid="19" name="DM_Title">
    <vt:lpwstr/>
  </property>
  <property fmtid="{D5CDD505-2E9C-101B-9397-08002B2CF9AE}" pid="20" name="DM_Type">
    <vt:lpwstr>emea_document</vt:lpwstr>
  </property>
  <property fmtid="{D5CDD505-2E9C-101B-9397-08002B2CF9AE}" pid="21" name="DM_Version">
    <vt:lpwstr>1.0,CURRENT</vt:lpwstr>
  </property>
  <property fmtid="{D5CDD505-2E9C-101B-9397-08002B2CF9AE}" pid="22" name="MSIP_Label_0eea11ca-d417-4147-80ed-01a58412c458_Enabled">
    <vt:lpwstr>true</vt:lpwstr>
  </property>
  <property fmtid="{D5CDD505-2E9C-101B-9397-08002B2CF9AE}" pid="23" name="MSIP_Label_0eea11ca-d417-4147-80ed-01a58412c458_SetDate">
    <vt:lpwstr>2021-05-24T19:48:45Z</vt:lpwstr>
  </property>
  <property fmtid="{D5CDD505-2E9C-101B-9397-08002B2CF9AE}" pid="24" name="MSIP_Label_0eea11ca-d417-4147-80ed-01a58412c458_Method">
    <vt:lpwstr>Standard</vt:lpwstr>
  </property>
  <property fmtid="{D5CDD505-2E9C-101B-9397-08002B2CF9AE}" pid="25" name="MSIP_Label_0eea11ca-d417-4147-80ed-01a58412c458_Name">
    <vt:lpwstr>0eea11ca-d417-4147-80ed-01a58412c458</vt:lpwstr>
  </property>
  <property fmtid="{D5CDD505-2E9C-101B-9397-08002B2CF9AE}" pid="26" name="MSIP_Label_0eea11ca-d417-4147-80ed-01a58412c458_SiteId">
    <vt:lpwstr>bc9dc15c-61bc-4f03-b60b-e5b6d8922839</vt:lpwstr>
  </property>
  <property fmtid="{D5CDD505-2E9C-101B-9397-08002B2CF9AE}" pid="27" name="MSIP_Label_0eea11ca-d417-4147-80ed-01a58412c458_ActionId">
    <vt:lpwstr>cf09315c-6d21-46c1-9fa0-30e8104bce90</vt:lpwstr>
  </property>
  <property fmtid="{D5CDD505-2E9C-101B-9397-08002B2CF9AE}" pid="28" name="MSIP_Label_0eea11ca-d417-4147-80ed-01a58412c458_ContentBits">
    <vt:lpwstr>2</vt:lpwstr>
  </property>
</Properties>
</file>