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02E62" w14:textId="77777777" w:rsidR="00E504F6" w:rsidRPr="00C9068C" w:rsidRDefault="00E504F6" w:rsidP="00E504F6">
      <w:bookmarkStart w:id="0" w:name="_GoBack"/>
      <w:bookmarkEnd w:id="0"/>
    </w:p>
    <w:p w14:paraId="4FC02E63" w14:textId="77777777" w:rsidR="00E504F6" w:rsidRPr="00C9068C" w:rsidRDefault="00E504F6" w:rsidP="00E504F6"/>
    <w:p w14:paraId="4FC02E64" w14:textId="77777777" w:rsidR="00E504F6" w:rsidRPr="00C9068C" w:rsidRDefault="00E504F6" w:rsidP="00E504F6"/>
    <w:p w14:paraId="4FC02E65" w14:textId="77777777" w:rsidR="00E504F6" w:rsidRPr="00C9068C" w:rsidRDefault="00E504F6" w:rsidP="00E504F6"/>
    <w:p w14:paraId="4FC02E66" w14:textId="77777777" w:rsidR="00E504F6" w:rsidRPr="00C9068C" w:rsidRDefault="00E504F6" w:rsidP="00E504F6">
      <w:pPr>
        <w:rPr>
          <w:szCs w:val="22"/>
        </w:rPr>
      </w:pPr>
    </w:p>
    <w:p w14:paraId="4FC02E67" w14:textId="77777777" w:rsidR="00E504F6" w:rsidRPr="00C9068C" w:rsidRDefault="00E504F6" w:rsidP="00E504F6">
      <w:pPr>
        <w:rPr>
          <w:szCs w:val="22"/>
        </w:rPr>
      </w:pPr>
    </w:p>
    <w:p w14:paraId="4FC02E68" w14:textId="77777777" w:rsidR="00E504F6" w:rsidRPr="00C9068C" w:rsidRDefault="00E504F6" w:rsidP="00E504F6">
      <w:pPr>
        <w:rPr>
          <w:szCs w:val="22"/>
        </w:rPr>
      </w:pPr>
    </w:p>
    <w:p w14:paraId="4FC02E69" w14:textId="77777777" w:rsidR="00E504F6" w:rsidRPr="00C9068C" w:rsidRDefault="00E504F6" w:rsidP="00E504F6">
      <w:pPr>
        <w:rPr>
          <w:szCs w:val="22"/>
        </w:rPr>
      </w:pPr>
    </w:p>
    <w:p w14:paraId="4FC02E6A" w14:textId="77777777" w:rsidR="00E504F6" w:rsidRPr="00C9068C" w:rsidRDefault="00E504F6" w:rsidP="00E504F6">
      <w:pPr>
        <w:rPr>
          <w:szCs w:val="22"/>
        </w:rPr>
      </w:pPr>
    </w:p>
    <w:p w14:paraId="4FC02E6B" w14:textId="77777777" w:rsidR="00E504F6" w:rsidRPr="00C9068C" w:rsidRDefault="00E504F6" w:rsidP="00E504F6">
      <w:pPr>
        <w:rPr>
          <w:szCs w:val="22"/>
        </w:rPr>
      </w:pPr>
    </w:p>
    <w:p w14:paraId="4FC02E6C" w14:textId="77777777" w:rsidR="00E504F6" w:rsidRPr="00C9068C" w:rsidRDefault="00E504F6" w:rsidP="00E504F6">
      <w:pPr>
        <w:rPr>
          <w:szCs w:val="22"/>
        </w:rPr>
      </w:pPr>
    </w:p>
    <w:p w14:paraId="4FC02E6D" w14:textId="77777777" w:rsidR="00E504F6" w:rsidRPr="00C9068C" w:rsidRDefault="00E504F6" w:rsidP="00E504F6">
      <w:pPr>
        <w:rPr>
          <w:szCs w:val="22"/>
        </w:rPr>
      </w:pPr>
    </w:p>
    <w:p w14:paraId="4FC02E6E" w14:textId="77777777" w:rsidR="00E504F6" w:rsidRPr="00C9068C" w:rsidRDefault="00E504F6" w:rsidP="00E504F6">
      <w:pPr>
        <w:rPr>
          <w:szCs w:val="22"/>
        </w:rPr>
      </w:pPr>
    </w:p>
    <w:p w14:paraId="4FC02E6F" w14:textId="77777777" w:rsidR="00E504F6" w:rsidRPr="00C9068C" w:rsidRDefault="00E504F6" w:rsidP="00E504F6">
      <w:pPr>
        <w:rPr>
          <w:szCs w:val="22"/>
        </w:rPr>
      </w:pPr>
    </w:p>
    <w:p w14:paraId="4FC02E70" w14:textId="77777777" w:rsidR="00E504F6" w:rsidRPr="00C9068C" w:rsidRDefault="00E504F6" w:rsidP="00E504F6">
      <w:pPr>
        <w:rPr>
          <w:szCs w:val="22"/>
        </w:rPr>
      </w:pPr>
    </w:p>
    <w:p w14:paraId="4FC02E71" w14:textId="77777777" w:rsidR="00E504F6" w:rsidRPr="00C9068C" w:rsidRDefault="00E504F6" w:rsidP="00E504F6">
      <w:pPr>
        <w:rPr>
          <w:szCs w:val="22"/>
        </w:rPr>
      </w:pPr>
    </w:p>
    <w:p w14:paraId="4FC02E72" w14:textId="77777777" w:rsidR="00E504F6" w:rsidRPr="00C9068C" w:rsidRDefault="00E504F6" w:rsidP="00E504F6">
      <w:pPr>
        <w:rPr>
          <w:szCs w:val="22"/>
        </w:rPr>
      </w:pPr>
    </w:p>
    <w:p w14:paraId="4FC02E73" w14:textId="77777777" w:rsidR="00E504F6" w:rsidRPr="00C9068C" w:rsidRDefault="00E504F6" w:rsidP="00E504F6"/>
    <w:p w14:paraId="4FC02E74" w14:textId="77777777" w:rsidR="00E504F6" w:rsidRPr="00C9068C" w:rsidRDefault="00E504F6" w:rsidP="00E504F6"/>
    <w:p w14:paraId="4FC02E75" w14:textId="77777777" w:rsidR="00E504F6" w:rsidRPr="00C9068C" w:rsidRDefault="00E504F6" w:rsidP="00E504F6"/>
    <w:p w14:paraId="4FC02E76" w14:textId="77777777" w:rsidR="00E504F6" w:rsidRPr="00C9068C" w:rsidRDefault="00E504F6" w:rsidP="00E504F6"/>
    <w:p w14:paraId="4FC02E77" w14:textId="77777777" w:rsidR="00E504F6" w:rsidRPr="00C9068C" w:rsidRDefault="00E504F6" w:rsidP="00E504F6"/>
    <w:p w14:paraId="4FC02E78" w14:textId="77777777" w:rsidR="00E504F6" w:rsidRPr="00C9068C" w:rsidRDefault="006455D9" w:rsidP="00E504F6">
      <w:pPr>
        <w:spacing w:line="240" w:lineRule="auto"/>
        <w:jc w:val="center"/>
        <w:outlineLvl w:val="0"/>
      </w:pPr>
      <w:r w:rsidRPr="00C9068C">
        <w:rPr>
          <w:b/>
        </w:rPr>
        <w:t>PŘÍLOHA I</w:t>
      </w:r>
    </w:p>
    <w:p w14:paraId="4FC02E79" w14:textId="77777777" w:rsidR="00E504F6" w:rsidRPr="00C9068C" w:rsidRDefault="00E504F6" w:rsidP="00E504F6"/>
    <w:p w14:paraId="4FC02E7A" w14:textId="77777777" w:rsidR="00E504F6" w:rsidRPr="00C9068C" w:rsidRDefault="006455D9" w:rsidP="00E504F6">
      <w:pPr>
        <w:spacing w:line="240" w:lineRule="auto"/>
        <w:jc w:val="center"/>
        <w:outlineLvl w:val="0"/>
      </w:pPr>
      <w:r w:rsidRPr="00C9068C">
        <w:rPr>
          <w:b/>
        </w:rPr>
        <w:t>SOUHRN ÚDAJŮ O PŘÍPRAVKU</w:t>
      </w:r>
    </w:p>
    <w:p w14:paraId="4FC02E7B" w14:textId="77777777" w:rsidR="00E504F6" w:rsidRPr="00C9068C" w:rsidRDefault="006455D9" w:rsidP="00E504F6">
      <w:pPr>
        <w:pStyle w:val="ListParagraph"/>
        <w:numPr>
          <w:ilvl w:val="0"/>
          <w:numId w:val="28"/>
        </w:numPr>
        <w:spacing w:line="240" w:lineRule="auto"/>
        <w:ind w:hanging="930"/>
        <w:rPr>
          <w:b/>
        </w:rPr>
      </w:pPr>
      <w:r w:rsidRPr="00C9068C">
        <w:br w:type="page"/>
      </w:r>
      <w:r w:rsidRPr="00C9068C">
        <w:rPr>
          <w:b/>
        </w:rPr>
        <w:lastRenderedPageBreak/>
        <w:t>NÁZEV PŘÍPRAVKU</w:t>
      </w:r>
    </w:p>
    <w:p w14:paraId="4FC02E7C" w14:textId="77777777" w:rsidR="00E504F6" w:rsidRPr="00C9068C" w:rsidRDefault="00E504F6" w:rsidP="00E504F6">
      <w:pPr>
        <w:spacing w:line="240" w:lineRule="auto"/>
        <w:rPr>
          <w:iCs/>
          <w:szCs w:val="22"/>
        </w:rPr>
      </w:pPr>
    </w:p>
    <w:p w14:paraId="4FC02E7D" w14:textId="77777777" w:rsidR="00E504F6" w:rsidRPr="00C9068C" w:rsidRDefault="006455D9" w:rsidP="00E504F6">
      <w:pPr>
        <w:widowControl w:val="0"/>
        <w:spacing w:line="240" w:lineRule="auto"/>
        <w:rPr>
          <w:szCs w:val="22"/>
        </w:rPr>
      </w:pPr>
      <w:r w:rsidRPr="00C9068C">
        <w:t xml:space="preserve">Cuprior 150 mg </w:t>
      </w:r>
      <w:r>
        <w:t xml:space="preserve">potahované </w:t>
      </w:r>
      <w:r w:rsidRPr="00C9068C">
        <w:t>tablety</w:t>
      </w:r>
    </w:p>
    <w:p w14:paraId="4FC02E7E" w14:textId="77777777" w:rsidR="00E504F6" w:rsidRPr="00C9068C" w:rsidRDefault="00E504F6" w:rsidP="00E504F6">
      <w:pPr>
        <w:spacing w:line="240" w:lineRule="auto"/>
        <w:rPr>
          <w:iCs/>
          <w:szCs w:val="22"/>
        </w:rPr>
      </w:pPr>
    </w:p>
    <w:p w14:paraId="4FC02E7F" w14:textId="77777777" w:rsidR="00E504F6" w:rsidRPr="00C9068C" w:rsidRDefault="00E504F6" w:rsidP="00E504F6">
      <w:pPr>
        <w:spacing w:line="240" w:lineRule="auto"/>
        <w:rPr>
          <w:iCs/>
          <w:szCs w:val="22"/>
        </w:rPr>
      </w:pPr>
    </w:p>
    <w:p w14:paraId="4FC02E80" w14:textId="77777777" w:rsidR="00E504F6" w:rsidRPr="00C9068C" w:rsidRDefault="006455D9" w:rsidP="00E504F6">
      <w:pPr>
        <w:pStyle w:val="ListParagraph"/>
        <w:numPr>
          <w:ilvl w:val="0"/>
          <w:numId w:val="28"/>
        </w:numPr>
        <w:spacing w:line="240" w:lineRule="auto"/>
        <w:ind w:hanging="930"/>
        <w:rPr>
          <w:b/>
        </w:rPr>
      </w:pPr>
      <w:r w:rsidRPr="00C9068C">
        <w:rPr>
          <w:b/>
        </w:rPr>
        <w:t>KVALITATIVNÍ A KVANTITATIVNÍ SLOŽENÍ</w:t>
      </w:r>
    </w:p>
    <w:p w14:paraId="4FC02E81" w14:textId="77777777" w:rsidR="00E504F6" w:rsidRPr="00C9068C" w:rsidRDefault="00E504F6" w:rsidP="00E504F6">
      <w:pPr>
        <w:spacing w:line="240" w:lineRule="auto"/>
        <w:rPr>
          <w:iCs/>
          <w:szCs w:val="22"/>
        </w:rPr>
      </w:pPr>
    </w:p>
    <w:p w14:paraId="4FC02E82" w14:textId="77777777" w:rsidR="00E504F6" w:rsidRPr="00C9068C" w:rsidRDefault="006455D9" w:rsidP="00E504F6">
      <w:pPr>
        <w:widowControl w:val="0"/>
        <w:rPr>
          <w:szCs w:val="22"/>
        </w:rPr>
      </w:pPr>
      <w:r w:rsidRPr="00C9068C">
        <w:t xml:space="preserve">Jedna </w:t>
      </w:r>
      <w:r>
        <w:t xml:space="preserve">potahovaná </w:t>
      </w:r>
      <w:r w:rsidRPr="00C9068C">
        <w:t xml:space="preserve">tableta obsahuje </w:t>
      </w:r>
      <w:bookmarkStart w:id="1" w:name="_Hlk8117502"/>
      <w:r w:rsidRPr="00C9068C">
        <w:t>trientini tetrahydrochloridum, což odpovídá trientinum 150 mg</w:t>
      </w:r>
      <w:bookmarkEnd w:id="1"/>
      <w:r w:rsidRPr="00C9068C">
        <w:t>.</w:t>
      </w:r>
    </w:p>
    <w:p w14:paraId="4FC02E83" w14:textId="77777777" w:rsidR="00E504F6" w:rsidRPr="00C9068C" w:rsidRDefault="00E504F6" w:rsidP="00E504F6">
      <w:pPr>
        <w:rPr>
          <w:szCs w:val="22"/>
        </w:rPr>
      </w:pPr>
    </w:p>
    <w:p w14:paraId="4FC02E84" w14:textId="77777777" w:rsidR="00E504F6" w:rsidRPr="00C9068C" w:rsidRDefault="006455D9" w:rsidP="00E504F6">
      <w:pPr>
        <w:outlineLvl w:val="0"/>
        <w:rPr>
          <w:szCs w:val="22"/>
        </w:rPr>
      </w:pPr>
      <w:r w:rsidRPr="00C9068C">
        <w:t>Úplný seznam pomocných látek viz bod 6.1.</w:t>
      </w:r>
    </w:p>
    <w:p w14:paraId="4FC02E85" w14:textId="77777777" w:rsidR="00E504F6" w:rsidRPr="00C9068C" w:rsidRDefault="00E504F6" w:rsidP="00E504F6">
      <w:pPr>
        <w:rPr>
          <w:szCs w:val="22"/>
        </w:rPr>
      </w:pPr>
    </w:p>
    <w:p w14:paraId="4FC02E86" w14:textId="77777777" w:rsidR="00E504F6" w:rsidRPr="00C9068C" w:rsidRDefault="00E504F6" w:rsidP="00E504F6">
      <w:pPr>
        <w:spacing w:line="240" w:lineRule="auto"/>
        <w:rPr>
          <w:szCs w:val="22"/>
        </w:rPr>
      </w:pPr>
    </w:p>
    <w:p w14:paraId="4FC02E87" w14:textId="77777777" w:rsidR="00E504F6" w:rsidRPr="00C9068C" w:rsidRDefault="006455D9" w:rsidP="00E504F6">
      <w:pPr>
        <w:pStyle w:val="ListParagraph"/>
        <w:numPr>
          <w:ilvl w:val="0"/>
          <w:numId w:val="28"/>
        </w:numPr>
        <w:spacing w:line="240" w:lineRule="auto"/>
        <w:ind w:hanging="930"/>
        <w:rPr>
          <w:b/>
        </w:rPr>
      </w:pPr>
      <w:r w:rsidRPr="00C9068C">
        <w:rPr>
          <w:b/>
        </w:rPr>
        <w:t>LÉKOVÁ FORMA</w:t>
      </w:r>
    </w:p>
    <w:p w14:paraId="4FC02E88" w14:textId="77777777" w:rsidR="00E504F6" w:rsidRPr="00C9068C" w:rsidRDefault="00E504F6" w:rsidP="00E504F6">
      <w:pPr>
        <w:spacing w:line="240" w:lineRule="auto"/>
        <w:rPr>
          <w:szCs w:val="22"/>
        </w:rPr>
      </w:pPr>
    </w:p>
    <w:p w14:paraId="4FC02E89" w14:textId="59F5383C" w:rsidR="00E504F6" w:rsidRPr="00C9068C" w:rsidRDefault="006455D9" w:rsidP="00E504F6">
      <w:pPr>
        <w:rPr>
          <w:szCs w:val="22"/>
        </w:rPr>
      </w:pPr>
      <w:r>
        <w:t>Potahovaná t</w:t>
      </w:r>
      <w:r w:rsidR="00D83D73" w:rsidRPr="00C9068C">
        <w:t>ableta</w:t>
      </w:r>
      <w:r w:rsidR="00614344">
        <w:t xml:space="preserve"> (tableta)</w:t>
      </w:r>
      <w:r w:rsidR="00D83D73" w:rsidRPr="00C9068C">
        <w:t>.</w:t>
      </w:r>
    </w:p>
    <w:p w14:paraId="4FC02E8A" w14:textId="77777777" w:rsidR="00E504F6" w:rsidRPr="00C9068C" w:rsidRDefault="00E504F6" w:rsidP="00E504F6">
      <w:pPr>
        <w:rPr>
          <w:szCs w:val="22"/>
        </w:rPr>
      </w:pPr>
    </w:p>
    <w:p w14:paraId="4FC02E8B" w14:textId="25270325" w:rsidR="00E504F6" w:rsidRPr="00C9068C" w:rsidRDefault="006455D9" w:rsidP="00E504F6">
      <w:pPr>
        <w:rPr>
          <w:szCs w:val="22"/>
        </w:rPr>
      </w:pPr>
      <w:r>
        <w:t>Žlutá</w:t>
      </w:r>
      <w:r w:rsidR="00D83D73" w:rsidRPr="00C9068C">
        <w:t xml:space="preserve"> podlouhlá </w:t>
      </w:r>
      <w:r>
        <w:t xml:space="preserve">potahovaná </w:t>
      </w:r>
      <w:r w:rsidR="00D83D73" w:rsidRPr="00C9068C">
        <w:t xml:space="preserve">tableta velikosti 16 mm x 8 mm s půlicí rýhou na </w:t>
      </w:r>
      <w:r>
        <w:t>každé</w:t>
      </w:r>
      <w:r w:rsidR="00D83D73" w:rsidRPr="00C9068C">
        <w:t xml:space="preserve"> straně.</w:t>
      </w:r>
    </w:p>
    <w:p w14:paraId="4FC02E8C" w14:textId="77777777" w:rsidR="00E504F6" w:rsidRPr="00C9068C" w:rsidRDefault="00E504F6" w:rsidP="00E504F6">
      <w:pPr>
        <w:rPr>
          <w:szCs w:val="22"/>
        </w:rPr>
      </w:pPr>
    </w:p>
    <w:p w14:paraId="4FC02E8D" w14:textId="77777777" w:rsidR="00E504F6" w:rsidRPr="00C9068C" w:rsidRDefault="006455D9" w:rsidP="00E504F6">
      <w:pPr>
        <w:rPr>
          <w:szCs w:val="22"/>
        </w:rPr>
      </w:pPr>
      <w:r w:rsidRPr="00C9068C">
        <w:t>Tabletu lze rozdělit na stejné dávky.</w:t>
      </w:r>
    </w:p>
    <w:p w14:paraId="4FC02E8E" w14:textId="77777777" w:rsidR="00E504F6" w:rsidRPr="00C9068C" w:rsidRDefault="00E504F6" w:rsidP="00E504F6">
      <w:pPr>
        <w:rPr>
          <w:szCs w:val="22"/>
        </w:rPr>
      </w:pPr>
    </w:p>
    <w:p w14:paraId="4FC02E8F" w14:textId="77777777" w:rsidR="00E504F6" w:rsidRPr="00C9068C" w:rsidRDefault="00E504F6" w:rsidP="00E504F6">
      <w:pPr>
        <w:rPr>
          <w:szCs w:val="22"/>
        </w:rPr>
      </w:pPr>
    </w:p>
    <w:p w14:paraId="4FC02E90" w14:textId="77777777" w:rsidR="00E504F6" w:rsidRPr="00C9068C" w:rsidRDefault="006455D9" w:rsidP="00E504F6">
      <w:pPr>
        <w:pStyle w:val="ListParagraph"/>
        <w:numPr>
          <w:ilvl w:val="0"/>
          <w:numId w:val="28"/>
        </w:numPr>
        <w:spacing w:line="240" w:lineRule="auto"/>
        <w:ind w:hanging="930"/>
        <w:rPr>
          <w:b/>
        </w:rPr>
      </w:pPr>
      <w:r w:rsidRPr="00C9068C">
        <w:rPr>
          <w:b/>
        </w:rPr>
        <w:t>KLINICKÉ ÚDAJE</w:t>
      </w:r>
    </w:p>
    <w:p w14:paraId="4FC02E91" w14:textId="77777777" w:rsidR="00E504F6" w:rsidRPr="00C9068C" w:rsidRDefault="00E504F6" w:rsidP="00E504F6">
      <w:pPr>
        <w:spacing w:line="240" w:lineRule="auto"/>
        <w:rPr>
          <w:szCs w:val="22"/>
        </w:rPr>
      </w:pPr>
    </w:p>
    <w:p w14:paraId="4FC02E92" w14:textId="77777777" w:rsidR="00E504F6" w:rsidRPr="00C9068C" w:rsidRDefault="006455D9" w:rsidP="00E504F6">
      <w:pPr>
        <w:pStyle w:val="ListParagraph"/>
        <w:numPr>
          <w:ilvl w:val="1"/>
          <w:numId w:val="28"/>
        </w:numPr>
        <w:spacing w:line="240" w:lineRule="auto"/>
        <w:ind w:hanging="930"/>
        <w:outlineLvl w:val="0"/>
        <w:rPr>
          <w:szCs w:val="22"/>
        </w:rPr>
      </w:pPr>
      <w:r w:rsidRPr="00C9068C">
        <w:rPr>
          <w:b/>
        </w:rPr>
        <w:t>Terapeutické indikace</w:t>
      </w:r>
    </w:p>
    <w:p w14:paraId="4FC02E93" w14:textId="77777777" w:rsidR="00E504F6" w:rsidRPr="00C9068C" w:rsidRDefault="00E504F6" w:rsidP="00E504F6">
      <w:pPr>
        <w:spacing w:line="240" w:lineRule="auto"/>
        <w:rPr>
          <w:szCs w:val="22"/>
        </w:rPr>
      </w:pPr>
    </w:p>
    <w:p w14:paraId="4FC02E94" w14:textId="77777777" w:rsidR="00E504F6" w:rsidRPr="00C9068C" w:rsidRDefault="006455D9" w:rsidP="00E504F6">
      <w:pPr>
        <w:rPr>
          <w:i/>
          <w:color w:val="000000"/>
          <w:szCs w:val="22"/>
        </w:rPr>
      </w:pPr>
      <w:r w:rsidRPr="00C9068C">
        <w:t xml:space="preserve">Přípravek Cuprior je indikován k léčbě Wilsonovy choroby u dospělých, dospívajících a dětí </w:t>
      </w:r>
      <w:r w:rsidRPr="00C9068C">
        <w:rPr>
          <w:szCs w:val="22"/>
        </w:rPr>
        <w:t>≥</w:t>
      </w:r>
      <w:r w:rsidRPr="00C9068C">
        <w:t>5 let věku, kteří netolerují léčbu D-penicilaminem.</w:t>
      </w:r>
    </w:p>
    <w:p w14:paraId="4FC02E95" w14:textId="77777777" w:rsidR="00E504F6" w:rsidRPr="00C9068C" w:rsidRDefault="00E504F6" w:rsidP="00E504F6">
      <w:pPr>
        <w:spacing w:line="240" w:lineRule="auto"/>
        <w:rPr>
          <w:szCs w:val="22"/>
        </w:rPr>
      </w:pPr>
    </w:p>
    <w:p w14:paraId="4FC02E96" w14:textId="77777777" w:rsidR="00E504F6" w:rsidRPr="00C9068C" w:rsidRDefault="006455D9" w:rsidP="00E504F6">
      <w:pPr>
        <w:pStyle w:val="ListParagraph"/>
        <w:numPr>
          <w:ilvl w:val="1"/>
          <w:numId w:val="28"/>
        </w:numPr>
        <w:spacing w:line="240" w:lineRule="auto"/>
        <w:ind w:hanging="930"/>
        <w:outlineLvl w:val="0"/>
        <w:rPr>
          <w:b/>
          <w:szCs w:val="22"/>
        </w:rPr>
      </w:pPr>
      <w:r w:rsidRPr="00C9068C">
        <w:rPr>
          <w:b/>
        </w:rPr>
        <w:t>Dávkování a způsob podání</w:t>
      </w:r>
    </w:p>
    <w:p w14:paraId="4FC02E97" w14:textId="77777777" w:rsidR="00E504F6" w:rsidRPr="00C9068C" w:rsidRDefault="00E504F6" w:rsidP="00E504F6">
      <w:pPr>
        <w:spacing w:line="240" w:lineRule="auto"/>
        <w:rPr>
          <w:szCs w:val="22"/>
        </w:rPr>
      </w:pPr>
    </w:p>
    <w:p w14:paraId="4FC02E98" w14:textId="77777777" w:rsidR="00E504F6" w:rsidRPr="00C9068C" w:rsidRDefault="006455D9" w:rsidP="00E504F6">
      <w:pPr>
        <w:rPr>
          <w:szCs w:val="22"/>
        </w:rPr>
      </w:pPr>
      <w:r w:rsidRPr="00C9068C">
        <w:t xml:space="preserve">Léčbu má zahájit výhradně odborný lékař, který má zkušenosti </w:t>
      </w:r>
      <w:r w:rsidRPr="00C9068C">
        <w:t xml:space="preserve">s léčbou Wilsonovy choroby. </w:t>
      </w:r>
    </w:p>
    <w:p w14:paraId="4FC02E99" w14:textId="77777777" w:rsidR="00E504F6" w:rsidRPr="00C9068C" w:rsidRDefault="00E504F6" w:rsidP="00E504F6">
      <w:pPr>
        <w:rPr>
          <w:szCs w:val="22"/>
        </w:rPr>
      </w:pPr>
    </w:p>
    <w:p w14:paraId="4FC02E9A" w14:textId="77777777" w:rsidR="00E504F6" w:rsidRPr="00C9068C" w:rsidRDefault="006455D9" w:rsidP="00E504F6">
      <w:pPr>
        <w:rPr>
          <w:szCs w:val="22"/>
        </w:rPr>
      </w:pPr>
      <w:r w:rsidRPr="00C9068C">
        <w:rPr>
          <w:u w:val="single"/>
        </w:rPr>
        <w:t>Dávkování</w:t>
      </w:r>
    </w:p>
    <w:p w14:paraId="4FC02E9B" w14:textId="77777777" w:rsidR="00E504F6" w:rsidRPr="00C9068C" w:rsidRDefault="006455D9" w:rsidP="00E504F6">
      <w:pPr>
        <w:rPr>
          <w:rFonts w:eastAsia="SimSun"/>
          <w:szCs w:val="22"/>
        </w:rPr>
      </w:pPr>
      <w:r w:rsidRPr="00C9068C">
        <w:t>Zahajovací dávka obvykle odpovídá nejnižší dávce z rozmezí a následně je třeba ji upravit podle klinické odpovědi u daného pacienta (viz bod 4.4).</w:t>
      </w:r>
    </w:p>
    <w:p w14:paraId="4FC02E9C" w14:textId="77777777" w:rsidR="00E504F6" w:rsidRPr="00C9068C" w:rsidRDefault="00E504F6" w:rsidP="00E504F6">
      <w:pPr>
        <w:tabs>
          <w:tab w:val="clear" w:pos="567"/>
        </w:tabs>
        <w:autoSpaceDE w:val="0"/>
        <w:autoSpaceDN w:val="0"/>
        <w:adjustRightInd w:val="0"/>
        <w:spacing w:line="240" w:lineRule="auto"/>
        <w:rPr>
          <w:rFonts w:eastAsia="SimSun"/>
          <w:i/>
          <w:iCs/>
          <w:szCs w:val="22"/>
        </w:rPr>
      </w:pPr>
    </w:p>
    <w:p w14:paraId="4FC02E9D" w14:textId="77777777" w:rsidR="00E504F6" w:rsidRPr="00C9068C" w:rsidRDefault="006455D9" w:rsidP="00E504F6">
      <w:pPr>
        <w:tabs>
          <w:tab w:val="clear" w:pos="567"/>
        </w:tabs>
        <w:autoSpaceDE w:val="0"/>
        <w:autoSpaceDN w:val="0"/>
        <w:adjustRightInd w:val="0"/>
        <w:spacing w:line="240" w:lineRule="auto"/>
        <w:rPr>
          <w:rFonts w:eastAsia="SimSun"/>
          <w:iCs/>
          <w:szCs w:val="22"/>
        </w:rPr>
      </w:pPr>
      <w:r w:rsidRPr="00C9068C">
        <w:t>Doporučená dávka se pohybuje od 450 do 975 mg (3 až 6</w:t>
      </w:r>
      <w:r w:rsidRPr="00C9068C">
        <w:rPr>
          <w:b/>
        </w:rPr>
        <w:t>½</w:t>
      </w:r>
      <w:r w:rsidRPr="00C9068C">
        <w:t xml:space="preserve"> </w:t>
      </w:r>
      <w:r>
        <w:t xml:space="preserve">potahované </w:t>
      </w:r>
      <w:r w:rsidRPr="00C9068C">
        <w:t xml:space="preserve">tablety) za den rozdělených do 2 až 4 dávek. </w:t>
      </w:r>
    </w:p>
    <w:p w14:paraId="4FC02E9E" w14:textId="77777777" w:rsidR="00E504F6" w:rsidRPr="00C9068C" w:rsidRDefault="00E504F6" w:rsidP="00E504F6">
      <w:pPr>
        <w:tabs>
          <w:tab w:val="clear" w:pos="567"/>
        </w:tabs>
        <w:autoSpaceDE w:val="0"/>
        <w:autoSpaceDN w:val="0"/>
        <w:adjustRightInd w:val="0"/>
        <w:spacing w:line="240" w:lineRule="auto"/>
        <w:rPr>
          <w:rFonts w:eastAsia="SimSun"/>
          <w:iCs/>
          <w:szCs w:val="22"/>
          <w:u w:val="single"/>
        </w:rPr>
      </w:pPr>
    </w:p>
    <w:p w14:paraId="4FC02E9F" w14:textId="77777777" w:rsidR="00E504F6" w:rsidRPr="00C9068C" w:rsidRDefault="006455D9" w:rsidP="00E504F6">
      <w:pPr>
        <w:tabs>
          <w:tab w:val="clear" w:pos="567"/>
        </w:tabs>
        <w:autoSpaceDE w:val="0"/>
        <w:autoSpaceDN w:val="0"/>
        <w:adjustRightInd w:val="0"/>
        <w:spacing w:line="240" w:lineRule="auto"/>
        <w:rPr>
          <w:rFonts w:eastAsia="SimSun"/>
          <w:i/>
          <w:iCs/>
          <w:szCs w:val="22"/>
          <w:u w:val="single"/>
        </w:rPr>
      </w:pPr>
      <w:r w:rsidRPr="00C9068C">
        <w:rPr>
          <w:i/>
          <w:u w:val="single"/>
        </w:rPr>
        <w:t>Zvláštní populace</w:t>
      </w:r>
    </w:p>
    <w:p w14:paraId="4FC02EA0" w14:textId="77777777" w:rsidR="00E504F6" w:rsidRPr="00C9068C" w:rsidRDefault="006455D9" w:rsidP="00E504F6">
      <w:pPr>
        <w:tabs>
          <w:tab w:val="clear" w:pos="567"/>
        </w:tabs>
        <w:autoSpaceDE w:val="0"/>
        <w:autoSpaceDN w:val="0"/>
        <w:adjustRightInd w:val="0"/>
        <w:spacing w:line="240" w:lineRule="auto"/>
        <w:rPr>
          <w:rFonts w:eastAsia="SimSun"/>
          <w:i/>
          <w:iCs/>
          <w:szCs w:val="22"/>
        </w:rPr>
      </w:pPr>
      <w:r w:rsidRPr="00C9068C">
        <w:rPr>
          <w:i/>
        </w:rPr>
        <w:t xml:space="preserve">Starší pacienti </w:t>
      </w:r>
    </w:p>
    <w:p w14:paraId="4FC02EA1" w14:textId="77777777" w:rsidR="00E504F6" w:rsidRPr="00C9068C" w:rsidRDefault="006455D9" w:rsidP="00E504F6">
      <w:pPr>
        <w:rPr>
          <w:rFonts w:eastAsia="TimesNewRoman"/>
          <w:szCs w:val="22"/>
        </w:rPr>
      </w:pPr>
      <w:r w:rsidRPr="00C9068C">
        <w:t>U starších pacientů není úprava dávky nutná.</w:t>
      </w:r>
    </w:p>
    <w:p w14:paraId="4FC02EA2" w14:textId="77777777" w:rsidR="00E504F6" w:rsidRPr="00C9068C" w:rsidRDefault="00E504F6" w:rsidP="00E504F6">
      <w:pPr>
        <w:rPr>
          <w:rFonts w:eastAsia="TimesNewRoman"/>
          <w:szCs w:val="22"/>
        </w:rPr>
      </w:pPr>
    </w:p>
    <w:p w14:paraId="4FC02EA3" w14:textId="77777777" w:rsidR="00E504F6" w:rsidRPr="00C9068C" w:rsidRDefault="006455D9" w:rsidP="00E504F6">
      <w:pPr>
        <w:tabs>
          <w:tab w:val="clear" w:pos="567"/>
        </w:tabs>
        <w:autoSpaceDE w:val="0"/>
        <w:autoSpaceDN w:val="0"/>
        <w:adjustRightInd w:val="0"/>
        <w:spacing w:line="240" w:lineRule="auto"/>
        <w:rPr>
          <w:rFonts w:eastAsia="SimSun"/>
          <w:i/>
          <w:iCs/>
          <w:szCs w:val="22"/>
        </w:rPr>
      </w:pPr>
      <w:r w:rsidRPr="00C9068C">
        <w:rPr>
          <w:i/>
        </w:rPr>
        <w:t>Porucha funkce ledvin</w:t>
      </w:r>
    </w:p>
    <w:p w14:paraId="4FC02EA4" w14:textId="77777777" w:rsidR="00E504F6" w:rsidRPr="00C9068C" w:rsidRDefault="006455D9" w:rsidP="00E504F6">
      <w:pPr>
        <w:tabs>
          <w:tab w:val="clear" w:pos="567"/>
        </w:tabs>
        <w:autoSpaceDE w:val="0"/>
        <w:autoSpaceDN w:val="0"/>
        <w:adjustRightInd w:val="0"/>
        <w:spacing w:line="240" w:lineRule="auto"/>
        <w:rPr>
          <w:rFonts w:eastAsia="TimesNewRoman"/>
          <w:szCs w:val="22"/>
        </w:rPr>
      </w:pPr>
      <w:r w:rsidRPr="00C9068C">
        <w:t>U pacientů s poruchou funkce ledvin jsou omezené informace. U těchto pacientů není vyžadována ž</w:t>
      </w:r>
      <w:r w:rsidRPr="00C9068C">
        <w:t>ádná specifická úprava dávky (viz bod 4.4).</w:t>
      </w:r>
    </w:p>
    <w:p w14:paraId="4FC02EA5" w14:textId="77777777" w:rsidR="00E504F6" w:rsidRPr="00C9068C" w:rsidRDefault="00E504F6" w:rsidP="00E504F6">
      <w:pPr>
        <w:rPr>
          <w:szCs w:val="22"/>
        </w:rPr>
      </w:pPr>
    </w:p>
    <w:p w14:paraId="4FC02EA6" w14:textId="77777777" w:rsidR="00E504F6" w:rsidRPr="00C9068C" w:rsidRDefault="006455D9" w:rsidP="00E504F6">
      <w:pPr>
        <w:rPr>
          <w:rFonts w:eastAsia="SimSun"/>
          <w:iCs/>
          <w:szCs w:val="22"/>
          <w:u w:val="single"/>
        </w:rPr>
      </w:pPr>
      <w:r w:rsidRPr="00C9068C">
        <w:rPr>
          <w:u w:val="single"/>
        </w:rPr>
        <w:t>Pediatrická populace</w:t>
      </w:r>
    </w:p>
    <w:p w14:paraId="4FC02EA7" w14:textId="77777777" w:rsidR="00E504F6" w:rsidRPr="00C9068C" w:rsidRDefault="006455D9" w:rsidP="00E504F6">
      <w:pPr>
        <w:rPr>
          <w:szCs w:val="22"/>
        </w:rPr>
      </w:pPr>
      <w:r w:rsidRPr="00C9068C">
        <w:t xml:space="preserve">Zahajovací dávka u dětí je nižší než u dospělých a závisí na věku a tělesné hmotnosti. </w:t>
      </w:r>
    </w:p>
    <w:p w14:paraId="4FC02EA8" w14:textId="77777777" w:rsidR="00E504F6" w:rsidRPr="00C9068C" w:rsidRDefault="00E504F6" w:rsidP="00E504F6">
      <w:pPr>
        <w:rPr>
          <w:szCs w:val="22"/>
        </w:rPr>
      </w:pPr>
    </w:p>
    <w:p w14:paraId="4FC02EA9" w14:textId="77777777" w:rsidR="00E504F6" w:rsidRPr="00C9068C" w:rsidRDefault="006455D9" w:rsidP="00E504F6">
      <w:pPr>
        <w:rPr>
          <w:i/>
          <w:szCs w:val="22"/>
        </w:rPr>
      </w:pPr>
      <w:r w:rsidRPr="00C9068C">
        <w:rPr>
          <w:i/>
        </w:rPr>
        <w:t>Děti</w:t>
      </w:r>
      <w:r w:rsidRPr="00C9068C">
        <w:t xml:space="preserve"> </w:t>
      </w:r>
      <w:r w:rsidRPr="00C9068C">
        <w:rPr>
          <w:szCs w:val="22"/>
        </w:rPr>
        <w:t>≥</w:t>
      </w:r>
      <w:r w:rsidRPr="00C9068C">
        <w:t xml:space="preserve"> </w:t>
      </w:r>
      <w:r w:rsidRPr="00C9068C">
        <w:rPr>
          <w:i/>
        </w:rPr>
        <w:t xml:space="preserve">5 let </w:t>
      </w:r>
    </w:p>
    <w:p w14:paraId="4FC02EAA" w14:textId="77777777" w:rsidR="00E504F6" w:rsidRPr="00C9068C" w:rsidRDefault="006455D9" w:rsidP="00E504F6">
      <w:pPr>
        <w:tabs>
          <w:tab w:val="clear" w:pos="567"/>
        </w:tabs>
        <w:autoSpaceDE w:val="0"/>
        <w:autoSpaceDN w:val="0"/>
        <w:adjustRightInd w:val="0"/>
        <w:spacing w:line="240" w:lineRule="auto"/>
        <w:rPr>
          <w:rFonts w:eastAsia="SimSun"/>
          <w:iCs/>
          <w:szCs w:val="22"/>
        </w:rPr>
      </w:pPr>
      <w:r w:rsidRPr="00C9068C">
        <w:t>Dávka se obvykle pohybuje od 225 do 600 mg za den (1</w:t>
      </w:r>
      <w:r w:rsidRPr="00C9068C">
        <w:rPr>
          <w:b/>
        </w:rPr>
        <w:t>½</w:t>
      </w:r>
      <w:r w:rsidRPr="00C9068C">
        <w:t xml:space="preserve"> až 4 </w:t>
      </w:r>
      <w:r>
        <w:t xml:space="preserve">potahované </w:t>
      </w:r>
      <w:r w:rsidRPr="00C9068C">
        <w:t xml:space="preserve">tablety) rozdělených do 2 až 4 dávek. </w:t>
      </w:r>
    </w:p>
    <w:p w14:paraId="4FC02EAB" w14:textId="77777777" w:rsidR="00E504F6" w:rsidRPr="00C9068C" w:rsidRDefault="00E504F6" w:rsidP="00E504F6">
      <w:pPr>
        <w:rPr>
          <w:szCs w:val="22"/>
        </w:rPr>
      </w:pPr>
    </w:p>
    <w:p w14:paraId="4FC02EAC" w14:textId="77777777" w:rsidR="00E504F6" w:rsidRPr="00C9068C" w:rsidRDefault="006455D9" w:rsidP="00E504F6">
      <w:pPr>
        <w:rPr>
          <w:i/>
          <w:iCs/>
          <w:szCs w:val="22"/>
        </w:rPr>
      </w:pPr>
      <w:r w:rsidRPr="00C9068C">
        <w:rPr>
          <w:i/>
        </w:rPr>
        <w:t xml:space="preserve">Děti ve věku </w:t>
      </w:r>
      <w:r w:rsidRPr="00C9068C">
        <w:rPr>
          <w:i/>
          <w:iCs/>
          <w:szCs w:val="22"/>
        </w:rPr>
        <w:t>&lt;</w:t>
      </w:r>
      <w:r w:rsidRPr="00C9068C">
        <w:rPr>
          <w:i/>
        </w:rPr>
        <w:t xml:space="preserve"> 5 let</w:t>
      </w:r>
    </w:p>
    <w:p w14:paraId="4FC02EAD" w14:textId="77777777" w:rsidR="00E504F6" w:rsidRPr="00C9068C" w:rsidRDefault="006455D9" w:rsidP="00E504F6">
      <w:pPr>
        <w:tabs>
          <w:tab w:val="clear" w:pos="567"/>
        </w:tabs>
        <w:autoSpaceDE w:val="0"/>
        <w:autoSpaceDN w:val="0"/>
        <w:adjustRightInd w:val="0"/>
        <w:spacing w:line="240" w:lineRule="auto"/>
        <w:rPr>
          <w:szCs w:val="22"/>
        </w:rPr>
      </w:pPr>
      <w:r w:rsidRPr="00C9068C">
        <w:t xml:space="preserve">Bezpečnost a účinnost trientinu u dětí ve věku </w:t>
      </w:r>
      <w:r w:rsidRPr="00C9068C">
        <w:rPr>
          <w:i/>
          <w:iCs/>
          <w:szCs w:val="22"/>
        </w:rPr>
        <w:t>&lt;</w:t>
      </w:r>
      <w:r w:rsidRPr="00C9068C">
        <w:t xml:space="preserve"> 5 let věku nebyla dosud stanovena. </w:t>
      </w:r>
    </w:p>
    <w:p w14:paraId="4FC02EAE" w14:textId="77777777" w:rsidR="00E504F6" w:rsidRPr="00C9068C" w:rsidRDefault="006455D9" w:rsidP="00E504F6">
      <w:pPr>
        <w:tabs>
          <w:tab w:val="clear" w:pos="567"/>
        </w:tabs>
        <w:autoSpaceDE w:val="0"/>
        <w:autoSpaceDN w:val="0"/>
        <w:adjustRightInd w:val="0"/>
        <w:spacing w:line="240" w:lineRule="auto"/>
        <w:rPr>
          <w:szCs w:val="22"/>
        </w:rPr>
      </w:pPr>
      <w:r w:rsidRPr="00C9068C">
        <w:lastRenderedPageBreak/>
        <w:t xml:space="preserve">Léková forma není vhodná pro podávání u dětí ve věku </w:t>
      </w:r>
      <w:r w:rsidRPr="00C9068C">
        <w:rPr>
          <w:i/>
          <w:iCs/>
          <w:szCs w:val="22"/>
        </w:rPr>
        <w:t>&lt;</w:t>
      </w:r>
      <w:r w:rsidRPr="00C9068C">
        <w:t xml:space="preserve"> 5 let.</w:t>
      </w:r>
    </w:p>
    <w:p w14:paraId="4FC02EAF" w14:textId="77777777" w:rsidR="00E504F6" w:rsidRPr="00C9068C" w:rsidRDefault="00E504F6" w:rsidP="00E504F6">
      <w:pPr>
        <w:rPr>
          <w:rFonts w:eastAsia="SimSun"/>
          <w:highlight w:val="yellow"/>
        </w:rPr>
      </w:pPr>
    </w:p>
    <w:p w14:paraId="4FC02EB0" w14:textId="274D86A6" w:rsidR="00E504F6" w:rsidRPr="00C9068C" w:rsidRDefault="006455D9" w:rsidP="00E504F6">
      <w:pPr>
        <w:rPr>
          <w:szCs w:val="22"/>
        </w:rPr>
      </w:pPr>
      <w:r w:rsidRPr="00C9068C">
        <w:t xml:space="preserve">Doporučené dávky přípravku Cuprior jsou </w:t>
      </w:r>
      <w:r w:rsidRPr="007A69A2">
        <w:t>vyjádřeny jako mg trientinové</w:t>
      </w:r>
      <w:r w:rsidR="009B5ADF">
        <w:t xml:space="preserve"> báze </w:t>
      </w:r>
      <w:r w:rsidRPr="00C9068C">
        <w:t xml:space="preserve">(tj. nikoliv v mg trientin-tetrahydrochloridové soli). </w:t>
      </w:r>
    </w:p>
    <w:p w14:paraId="4FC02EB1" w14:textId="77777777" w:rsidR="00E504F6" w:rsidRPr="00C9068C" w:rsidRDefault="00E504F6" w:rsidP="00E504F6">
      <w:pPr>
        <w:tabs>
          <w:tab w:val="clear" w:pos="567"/>
          <w:tab w:val="left" w:pos="7309"/>
        </w:tabs>
        <w:rPr>
          <w:szCs w:val="22"/>
        </w:rPr>
      </w:pPr>
    </w:p>
    <w:p w14:paraId="4FC02EB2" w14:textId="77777777" w:rsidR="00E504F6" w:rsidRPr="00C9068C" w:rsidRDefault="006455D9" w:rsidP="00E504F6">
      <w:pPr>
        <w:autoSpaceDE w:val="0"/>
        <w:autoSpaceDN w:val="0"/>
        <w:adjustRightInd w:val="0"/>
        <w:rPr>
          <w:szCs w:val="22"/>
          <w:u w:val="single"/>
        </w:rPr>
      </w:pPr>
      <w:r w:rsidRPr="00C9068C">
        <w:rPr>
          <w:u w:val="single"/>
        </w:rPr>
        <w:t>Způsob podání</w:t>
      </w:r>
    </w:p>
    <w:p w14:paraId="4FC02EB3" w14:textId="7590AFD6" w:rsidR="00E504F6" w:rsidRPr="00C9068C" w:rsidRDefault="006455D9" w:rsidP="00E504F6">
      <w:pPr>
        <w:autoSpaceDE w:val="0"/>
        <w:autoSpaceDN w:val="0"/>
        <w:adjustRightInd w:val="0"/>
        <w:rPr>
          <w:szCs w:val="22"/>
        </w:rPr>
      </w:pPr>
      <w:r w:rsidRPr="00C9068C">
        <w:t xml:space="preserve">Přípravek Cuprior je určen k perorálnímu podání. </w:t>
      </w:r>
      <w:r>
        <w:t>Potahované t</w:t>
      </w:r>
      <w:r w:rsidRPr="00C9068C">
        <w:t xml:space="preserve">ablety je třeba zapíjet vodou. </w:t>
      </w:r>
      <w:r>
        <w:t>Potahovanou t</w:t>
      </w:r>
      <w:r w:rsidRPr="00C9068C">
        <w:t>ablet</w:t>
      </w:r>
      <w:r w:rsidRPr="00C9068C">
        <w:t xml:space="preserve">u s půlicí rýhou lze rozdělit na dvě stejné </w:t>
      </w:r>
      <w:r w:rsidR="009F52CB">
        <w:t>polovin</w:t>
      </w:r>
      <w:r w:rsidR="009F52CB" w:rsidRPr="00C9068C">
        <w:t>y</w:t>
      </w:r>
      <w:r w:rsidRPr="00C9068C">
        <w:t>, pokud je to třeba, aby bylo dosaženo přesnější dávky nebo aby se usnadnilo podání.</w:t>
      </w:r>
    </w:p>
    <w:p w14:paraId="4FC02EB4" w14:textId="77777777" w:rsidR="00E504F6" w:rsidRPr="00C9068C" w:rsidRDefault="00E504F6" w:rsidP="00E504F6">
      <w:pPr>
        <w:autoSpaceDE w:val="0"/>
        <w:autoSpaceDN w:val="0"/>
        <w:adjustRightInd w:val="0"/>
        <w:rPr>
          <w:szCs w:val="22"/>
        </w:rPr>
      </w:pPr>
    </w:p>
    <w:p w14:paraId="4FC02EB5" w14:textId="77777777" w:rsidR="00E504F6" w:rsidRPr="00C9068C" w:rsidRDefault="006455D9" w:rsidP="00E504F6">
      <w:pPr>
        <w:autoSpaceDE w:val="0"/>
        <w:autoSpaceDN w:val="0"/>
        <w:adjustRightInd w:val="0"/>
        <w:rPr>
          <w:szCs w:val="22"/>
        </w:rPr>
      </w:pPr>
      <w:r w:rsidRPr="00C9068C">
        <w:t>Důležité je, že se přípravek Cuprior podává na lačný žaludek, nejméně jednu hodinu před jídlem nebo dvě hodiny po jídl</w:t>
      </w:r>
      <w:r w:rsidRPr="00C9068C">
        <w:t xml:space="preserve">e a nejméně jednu hodinu od podání jakéhokoliv jiného léčivého přípravku, jídla nebo mléka (viz bod 4.5). </w:t>
      </w:r>
    </w:p>
    <w:p w14:paraId="4FC02EB6" w14:textId="77777777" w:rsidR="00E504F6" w:rsidRPr="00C9068C" w:rsidRDefault="00E504F6" w:rsidP="00E504F6">
      <w:pPr>
        <w:spacing w:line="240" w:lineRule="auto"/>
        <w:ind w:left="567" w:hanging="567"/>
        <w:rPr>
          <w:b/>
          <w:szCs w:val="22"/>
        </w:rPr>
      </w:pPr>
    </w:p>
    <w:p w14:paraId="4FC02EB7" w14:textId="77777777" w:rsidR="00E504F6" w:rsidRPr="00C9068C" w:rsidRDefault="006455D9" w:rsidP="00E504F6">
      <w:pPr>
        <w:pStyle w:val="ListParagraph"/>
        <w:numPr>
          <w:ilvl w:val="1"/>
          <w:numId w:val="28"/>
        </w:numPr>
        <w:spacing w:line="240" w:lineRule="auto"/>
        <w:ind w:hanging="930"/>
        <w:outlineLvl w:val="0"/>
        <w:rPr>
          <w:b/>
          <w:szCs w:val="22"/>
        </w:rPr>
      </w:pPr>
      <w:r w:rsidRPr="00C9068C">
        <w:rPr>
          <w:b/>
        </w:rPr>
        <w:t>Kontraindikace</w:t>
      </w:r>
    </w:p>
    <w:p w14:paraId="4FC02EB8" w14:textId="77777777" w:rsidR="00E504F6" w:rsidRPr="00C9068C" w:rsidRDefault="00E504F6" w:rsidP="00E504F6">
      <w:pPr>
        <w:spacing w:line="240" w:lineRule="auto"/>
        <w:rPr>
          <w:szCs w:val="22"/>
        </w:rPr>
      </w:pPr>
    </w:p>
    <w:p w14:paraId="4FC02EB9" w14:textId="77777777" w:rsidR="00E504F6" w:rsidRPr="00C9068C" w:rsidRDefault="006455D9" w:rsidP="00E504F6">
      <w:pPr>
        <w:rPr>
          <w:szCs w:val="22"/>
        </w:rPr>
      </w:pPr>
      <w:r w:rsidRPr="00C9068C">
        <w:t>Hypersenzitivita na léčivou látku nebo na kteroukoli pomocnou látku uvedenou v bodě 6.1.</w:t>
      </w:r>
    </w:p>
    <w:p w14:paraId="4FC02EBA" w14:textId="77777777" w:rsidR="00E504F6" w:rsidRPr="00C9068C" w:rsidRDefault="00E504F6" w:rsidP="00E504F6">
      <w:pPr>
        <w:spacing w:line="240" w:lineRule="auto"/>
        <w:rPr>
          <w:szCs w:val="22"/>
        </w:rPr>
      </w:pPr>
    </w:p>
    <w:p w14:paraId="4FC02EBB" w14:textId="77777777" w:rsidR="00E504F6" w:rsidRPr="00C9068C" w:rsidRDefault="006455D9" w:rsidP="00E504F6">
      <w:pPr>
        <w:pStyle w:val="ListParagraph"/>
        <w:numPr>
          <w:ilvl w:val="1"/>
          <w:numId w:val="28"/>
        </w:numPr>
        <w:spacing w:line="240" w:lineRule="auto"/>
        <w:ind w:hanging="930"/>
        <w:outlineLvl w:val="0"/>
        <w:rPr>
          <w:b/>
          <w:szCs w:val="22"/>
        </w:rPr>
      </w:pPr>
      <w:r w:rsidRPr="00C9068C">
        <w:rPr>
          <w:b/>
        </w:rPr>
        <w:t>Zvláštní upozornění a opatření pro použití</w:t>
      </w:r>
    </w:p>
    <w:p w14:paraId="4FC02EBC" w14:textId="77777777" w:rsidR="00E504F6" w:rsidRPr="00C9068C" w:rsidRDefault="00E504F6" w:rsidP="00E504F6">
      <w:pPr>
        <w:spacing w:line="240" w:lineRule="auto"/>
        <w:ind w:left="567" w:hanging="567"/>
        <w:rPr>
          <w:b/>
          <w:szCs w:val="22"/>
        </w:rPr>
      </w:pPr>
    </w:p>
    <w:p w14:paraId="4FC02EBD" w14:textId="643361B3" w:rsidR="00E504F6" w:rsidRPr="00C9068C" w:rsidRDefault="006455D9" w:rsidP="00E504F6">
      <w:pPr>
        <w:rPr>
          <w:szCs w:val="22"/>
        </w:rPr>
      </w:pPr>
      <w:r w:rsidRPr="00C9068C">
        <w:t>Při změně léčby u pacienta, který dříve užíval jinou formu trientinu, se doporučuje opatrnost, protože dávky vyjádřené jako trientinov</w:t>
      </w:r>
      <w:r w:rsidR="009B5ADF">
        <w:t xml:space="preserve">á báze </w:t>
      </w:r>
      <w:r w:rsidRPr="00C9068C">
        <w:t xml:space="preserve">nemusejí být ekvivalentní (viz bod 4.2). </w:t>
      </w:r>
    </w:p>
    <w:p w14:paraId="4FC02EBE" w14:textId="77777777" w:rsidR="00E504F6" w:rsidRPr="00C9068C" w:rsidRDefault="00E504F6" w:rsidP="00E504F6">
      <w:pPr>
        <w:rPr>
          <w:rFonts w:eastAsia="SimSun"/>
          <w:szCs w:val="22"/>
        </w:rPr>
      </w:pPr>
    </w:p>
    <w:p w14:paraId="4FC02EBF" w14:textId="77777777" w:rsidR="00E504F6" w:rsidRPr="00C9068C" w:rsidRDefault="006455D9" w:rsidP="00E504F6">
      <w:pPr>
        <w:tabs>
          <w:tab w:val="clear" w:pos="567"/>
        </w:tabs>
        <w:autoSpaceDE w:val="0"/>
        <w:autoSpaceDN w:val="0"/>
        <w:adjustRightInd w:val="0"/>
        <w:spacing w:line="240" w:lineRule="auto"/>
        <w:rPr>
          <w:szCs w:val="22"/>
        </w:rPr>
      </w:pPr>
      <w:r w:rsidRPr="00C9068C">
        <w:t xml:space="preserve">Trientin je chelátotvorné činidlo, u nějž bylo zjištěno, že snižuje sérovou hladinu železa. V případě anémie z nedostatku železa může být nutná suplementace železa, které je třeba podávat v jinou dobu (viz bod 4.5). </w:t>
      </w:r>
    </w:p>
    <w:p w14:paraId="4FC02EC0" w14:textId="77777777" w:rsidR="00E504F6" w:rsidRPr="00C9068C" w:rsidRDefault="00E504F6" w:rsidP="00E504F6">
      <w:pPr>
        <w:tabs>
          <w:tab w:val="clear" w:pos="567"/>
        </w:tabs>
        <w:autoSpaceDE w:val="0"/>
        <w:autoSpaceDN w:val="0"/>
        <w:adjustRightInd w:val="0"/>
        <w:spacing w:line="240" w:lineRule="auto"/>
        <w:rPr>
          <w:szCs w:val="22"/>
        </w:rPr>
      </w:pPr>
    </w:p>
    <w:p w14:paraId="4FC02EC1" w14:textId="77777777" w:rsidR="00E504F6" w:rsidRPr="00C9068C" w:rsidRDefault="006455D9" w:rsidP="00E504F6">
      <w:pPr>
        <w:tabs>
          <w:tab w:val="clear" w:pos="567"/>
        </w:tabs>
        <w:autoSpaceDE w:val="0"/>
        <w:autoSpaceDN w:val="0"/>
        <w:adjustRightInd w:val="0"/>
        <w:spacing w:line="240" w:lineRule="auto"/>
        <w:rPr>
          <w:szCs w:val="22"/>
        </w:rPr>
      </w:pPr>
      <w:r w:rsidRPr="00C9068C">
        <w:t>Kombinace trientinu se zinkem se nedop</w:t>
      </w:r>
      <w:r w:rsidRPr="00C9068C">
        <w:t>oručuje. O současném podávání existuje jen omezené množství informací a nelze vyvodit žádná konkrétní doporučení týkající se dávky.</w:t>
      </w:r>
    </w:p>
    <w:p w14:paraId="4FC02EC2" w14:textId="77777777" w:rsidR="00E504F6" w:rsidRPr="00C9068C" w:rsidRDefault="00E504F6" w:rsidP="00E504F6">
      <w:pPr>
        <w:tabs>
          <w:tab w:val="clear" w:pos="567"/>
        </w:tabs>
        <w:autoSpaceDE w:val="0"/>
        <w:autoSpaceDN w:val="0"/>
        <w:adjustRightInd w:val="0"/>
        <w:spacing w:line="240" w:lineRule="auto"/>
        <w:rPr>
          <w:szCs w:val="22"/>
        </w:rPr>
      </w:pPr>
    </w:p>
    <w:p w14:paraId="4FC02EC3" w14:textId="77777777" w:rsidR="00E504F6" w:rsidRPr="00C9068C" w:rsidRDefault="006455D9" w:rsidP="00E504F6">
      <w:pPr>
        <w:tabs>
          <w:tab w:val="clear" w:pos="567"/>
        </w:tabs>
        <w:autoSpaceDE w:val="0"/>
        <w:autoSpaceDN w:val="0"/>
        <w:adjustRightInd w:val="0"/>
        <w:spacing w:line="240" w:lineRule="auto"/>
        <w:rPr>
          <w:szCs w:val="22"/>
        </w:rPr>
      </w:pPr>
      <w:r w:rsidRPr="00C9068C">
        <w:t>U pacientů, kteří byli dříve léčeni D-penicilaminem, byly během následné léčby trientinem hlášeny reakce podobné lupusu, ne</w:t>
      </w:r>
      <w:r w:rsidRPr="00C9068C">
        <w:t>ní však možné určit, zda existuje zde kauzální souvislost s trientinem.</w:t>
      </w:r>
    </w:p>
    <w:p w14:paraId="4FC02EC4" w14:textId="77777777" w:rsidR="00E504F6" w:rsidRPr="00C9068C" w:rsidRDefault="00E504F6" w:rsidP="00E504F6">
      <w:pPr>
        <w:tabs>
          <w:tab w:val="clear" w:pos="567"/>
        </w:tabs>
        <w:autoSpaceDE w:val="0"/>
        <w:autoSpaceDN w:val="0"/>
        <w:adjustRightInd w:val="0"/>
        <w:spacing w:line="240" w:lineRule="auto"/>
        <w:rPr>
          <w:szCs w:val="22"/>
        </w:rPr>
      </w:pPr>
    </w:p>
    <w:p w14:paraId="4FC02EC5" w14:textId="77777777" w:rsidR="00E504F6" w:rsidRPr="00C9068C" w:rsidRDefault="006455D9" w:rsidP="00E504F6">
      <w:pPr>
        <w:rPr>
          <w:szCs w:val="22"/>
          <w:u w:val="single"/>
        </w:rPr>
      </w:pPr>
      <w:r w:rsidRPr="00C9068C">
        <w:rPr>
          <w:u w:val="single"/>
        </w:rPr>
        <w:t>Sledování</w:t>
      </w:r>
    </w:p>
    <w:p w14:paraId="4FC02EC6" w14:textId="77777777" w:rsidR="00E504F6" w:rsidRPr="00C9068C" w:rsidRDefault="006455D9" w:rsidP="00E504F6">
      <w:pPr>
        <w:rPr>
          <w:szCs w:val="22"/>
        </w:rPr>
      </w:pPr>
      <w:r w:rsidRPr="00C9068C">
        <w:t xml:space="preserve">Je třeba, aby pacienti léčení přípravkem Cuprior byli pod pravidelnou lékařskou kontrolou a byla u nich monitorována odpovídající kontrola příznaků a hladiny mědi, aby bylo </w:t>
      </w:r>
      <w:r w:rsidRPr="00C9068C">
        <w:t xml:space="preserve">možné optimalizovat dávku (viz bod 4.2). </w:t>
      </w:r>
    </w:p>
    <w:p w14:paraId="4FC02EC7" w14:textId="77777777" w:rsidR="00E504F6" w:rsidRPr="00C9068C" w:rsidRDefault="00E504F6" w:rsidP="00E504F6">
      <w:pPr>
        <w:rPr>
          <w:szCs w:val="22"/>
        </w:rPr>
      </w:pPr>
    </w:p>
    <w:p w14:paraId="4FC02EC8" w14:textId="77777777" w:rsidR="00E504F6" w:rsidRPr="00C9068C" w:rsidRDefault="006455D9" w:rsidP="00E504F6">
      <w:pPr>
        <w:rPr>
          <w:szCs w:val="22"/>
        </w:rPr>
      </w:pPr>
      <w:r w:rsidRPr="00C9068C">
        <w:t>Cílem udržovací léčby je zachovat hladinu volné mědi v séru v rámci přijatelného rozmezí. Nejspolehlivějším ukazatelem pro monitorování léčby je stanovení volné mědi v séru, která se vypočítá jako rozdíl mezi celk</w:t>
      </w:r>
      <w:r w:rsidRPr="00C9068C">
        <w:t xml:space="preserve">ovou mědí a mědí vázanou na ceruloplazmin (normální hladina volné mědi v séru je obvykle 100 až 150 mikrogramů/l). </w:t>
      </w:r>
    </w:p>
    <w:p w14:paraId="4FC02EC9" w14:textId="77777777" w:rsidR="00E504F6" w:rsidRPr="00C9068C" w:rsidRDefault="00E504F6" w:rsidP="00E504F6">
      <w:pPr>
        <w:rPr>
          <w:szCs w:val="22"/>
        </w:rPr>
      </w:pPr>
    </w:p>
    <w:p w14:paraId="4FC02ECA" w14:textId="77777777" w:rsidR="00E504F6" w:rsidRPr="00C9068C" w:rsidRDefault="006455D9" w:rsidP="00E504F6">
      <w:pPr>
        <w:rPr>
          <w:szCs w:val="22"/>
        </w:rPr>
      </w:pPr>
      <w:r w:rsidRPr="00C9068C">
        <w:t>V průběhu léčby je možné provádět měření vylučování mědi močí. Vzhledem k tomu, že chelátotvorná léčba vede ke zvýšení hladiny mědi v moči,</w:t>
      </w:r>
      <w:r w:rsidRPr="00C9068C">
        <w:t xml:space="preserve"> nemusí/nebude přesně odrážet přetížení organismu mědí, ale může být využitelným měřítkem dodržování léčby.</w:t>
      </w:r>
    </w:p>
    <w:p w14:paraId="4FC02ECB" w14:textId="77777777" w:rsidR="00E504F6" w:rsidRPr="00C9068C" w:rsidRDefault="00E504F6" w:rsidP="00E504F6">
      <w:pPr>
        <w:rPr>
          <w:szCs w:val="22"/>
        </w:rPr>
      </w:pPr>
    </w:p>
    <w:p w14:paraId="4FC02ECC" w14:textId="77777777" w:rsidR="00E504F6" w:rsidRPr="00C9068C" w:rsidRDefault="006455D9" w:rsidP="00E504F6">
      <w:pPr>
        <w:rPr>
          <w:szCs w:val="22"/>
        </w:rPr>
      </w:pPr>
      <w:r w:rsidRPr="00C9068C">
        <w:t>Na začátku chelátotvorné léčby může dojít z důvodu nadbytku volné mědi v séru během počáteční odpovědi na léčbu ke zhoršení klinických příznaků, vč</w:t>
      </w:r>
      <w:r w:rsidRPr="00C9068C">
        <w:t>etně neurologického zhoršení. Pro optimalizaci dávky nebo případnou úpravu léčby je třeba pečlivé monitorování.</w:t>
      </w:r>
    </w:p>
    <w:p w14:paraId="4FC02ECD" w14:textId="77777777" w:rsidR="00E504F6" w:rsidRPr="00C9068C" w:rsidRDefault="00E504F6" w:rsidP="00E504F6">
      <w:pPr>
        <w:rPr>
          <w:szCs w:val="22"/>
        </w:rPr>
      </w:pPr>
    </w:p>
    <w:p w14:paraId="4FC02ECE" w14:textId="77777777" w:rsidR="00E504F6" w:rsidRPr="00C9068C" w:rsidRDefault="006455D9" w:rsidP="00E504F6">
      <w:pPr>
        <w:keepNext/>
        <w:rPr>
          <w:szCs w:val="22"/>
          <w:u w:val="single"/>
        </w:rPr>
      </w:pPr>
      <w:r w:rsidRPr="00C9068C">
        <w:rPr>
          <w:u w:val="single"/>
        </w:rPr>
        <w:t>Zvláštní populace</w:t>
      </w:r>
    </w:p>
    <w:p w14:paraId="4FC02ECF" w14:textId="77777777" w:rsidR="00E504F6" w:rsidRPr="00C9068C" w:rsidRDefault="006455D9" w:rsidP="00E504F6">
      <w:pPr>
        <w:rPr>
          <w:szCs w:val="22"/>
        </w:rPr>
      </w:pPr>
      <w:r w:rsidRPr="00C9068C">
        <w:t>Nadměrná léčba s sebou nese riziko deficience mědi. Je třeba monitorovat projevy nadměrné léčby, zejména v období, kdy se můž</w:t>
      </w:r>
      <w:r w:rsidRPr="00C9068C">
        <w:t>e potřeba mědi měnit, jako je těhotenství (viz bod 4.6), a u dětí, kde jsou nutné kontroly odpovídající hladiny mědi z důvodu zajištění správného růstu a duševního vývoje.</w:t>
      </w:r>
    </w:p>
    <w:p w14:paraId="4FC02ED0" w14:textId="77777777" w:rsidR="00E504F6" w:rsidRPr="00C9068C" w:rsidRDefault="00E504F6" w:rsidP="00E504F6">
      <w:pPr>
        <w:rPr>
          <w:szCs w:val="22"/>
        </w:rPr>
      </w:pPr>
    </w:p>
    <w:p w14:paraId="4FC02ED1" w14:textId="77777777" w:rsidR="00E504F6" w:rsidRPr="00C9068C" w:rsidRDefault="006455D9" w:rsidP="00E504F6">
      <w:pPr>
        <w:rPr>
          <w:szCs w:val="22"/>
        </w:rPr>
      </w:pPr>
      <w:r w:rsidRPr="00C9068C">
        <w:lastRenderedPageBreak/>
        <w:t>Je třeba, aby pacienti s poruchou funkce ledvin léčení trientinem byli stále pod pr</w:t>
      </w:r>
      <w:r w:rsidRPr="00C9068C">
        <w:t>avidelným lékařským dohledem, a to z důvodu kontroly příznaků a hladiny mědi. U těchto pacientů se také doporučuje přísné monitorování funkce ledvin (viz bod 4.2).</w:t>
      </w:r>
    </w:p>
    <w:p w14:paraId="4FC02ED2" w14:textId="77777777" w:rsidR="00E504F6" w:rsidRPr="00C9068C" w:rsidRDefault="00E504F6" w:rsidP="00E504F6"/>
    <w:p w14:paraId="4FC02ED3" w14:textId="77777777" w:rsidR="00E504F6" w:rsidRPr="00C9068C" w:rsidRDefault="006455D9" w:rsidP="00E504F6">
      <w:pPr>
        <w:pStyle w:val="ListParagraph"/>
        <w:numPr>
          <w:ilvl w:val="1"/>
          <w:numId w:val="28"/>
        </w:numPr>
        <w:spacing w:line="240" w:lineRule="auto"/>
        <w:ind w:hanging="930"/>
        <w:outlineLvl w:val="0"/>
        <w:rPr>
          <w:b/>
          <w:szCs w:val="22"/>
        </w:rPr>
      </w:pPr>
      <w:r w:rsidRPr="00C9068C">
        <w:rPr>
          <w:b/>
        </w:rPr>
        <w:t>Interakce s jinými léčivými přípravky a jiné formy interakce</w:t>
      </w:r>
    </w:p>
    <w:p w14:paraId="4FC02ED4" w14:textId="77777777" w:rsidR="00E504F6" w:rsidRPr="00C9068C" w:rsidRDefault="00E504F6" w:rsidP="00E504F6">
      <w:pPr>
        <w:spacing w:line="240" w:lineRule="auto"/>
        <w:rPr>
          <w:szCs w:val="22"/>
        </w:rPr>
      </w:pPr>
    </w:p>
    <w:p w14:paraId="4FC02ED5" w14:textId="77777777" w:rsidR="00E504F6" w:rsidRPr="00C9068C" w:rsidRDefault="006455D9" w:rsidP="00E504F6">
      <w:pPr>
        <w:spacing w:line="240" w:lineRule="auto"/>
        <w:rPr>
          <w:szCs w:val="22"/>
        </w:rPr>
      </w:pPr>
      <w:r w:rsidRPr="00C9068C">
        <w:t xml:space="preserve">Nebyly provedeny žádné </w:t>
      </w:r>
      <w:r w:rsidRPr="00C9068C">
        <w:t>studie interakcí.</w:t>
      </w:r>
    </w:p>
    <w:p w14:paraId="4FC02ED6" w14:textId="77777777" w:rsidR="00E504F6" w:rsidRPr="00C9068C" w:rsidRDefault="00E504F6" w:rsidP="00E504F6">
      <w:pPr>
        <w:spacing w:line="240" w:lineRule="auto"/>
        <w:rPr>
          <w:szCs w:val="22"/>
        </w:rPr>
      </w:pPr>
    </w:p>
    <w:p w14:paraId="4FC02ED7" w14:textId="77777777" w:rsidR="00E504F6" w:rsidRPr="00C9068C" w:rsidRDefault="006455D9" w:rsidP="00E504F6">
      <w:pPr>
        <w:rPr>
          <w:szCs w:val="22"/>
        </w:rPr>
      </w:pPr>
      <w:r w:rsidRPr="00C9068C">
        <w:t>Bylo zjištěno, že trientin snižuje sérovou hladinu železa, zřejmě z důvodu snížení jeho absorpce, a může být nutná supĺementace železa. Vzhledem k tomu, že železo a trientin mohou navzájem bránit své absorpci, je třeba potravinové doplňk</w:t>
      </w:r>
      <w:r w:rsidRPr="00C9068C">
        <w:t>y obsahující železo podávat až po uplynutí nejméně dvou hodin po podání trientinu.</w:t>
      </w:r>
    </w:p>
    <w:p w14:paraId="4FC02ED8" w14:textId="77777777" w:rsidR="00E504F6" w:rsidRPr="00C9068C" w:rsidRDefault="00E504F6" w:rsidP="00E504F6">
      <w:pPr>
        <w:rPr>
          <w:szCs w:val="22"/>
        </w:rPr>
      </w:pPr>
    </w:p>
    <w:p w14:paraId="4FC02ED9" w14:textId="77777777" w:rsidR="00E504F6" w:rsidRPr="00C9068C" w:rsidRDefault="006455D9" w:rsidP="00E504F6">
      <w:pPr>
        <w:rPr>
          <w:szCs w:val="22"/>
        </w:rPr>
      </w:pPr>
      <w:r w:rsidRPr="00C9068C">
        <w:t xml:space="preserve">Protože se trientin po perorálním podání špatně vstřebává a hlavní mechanismus jeho účinku vyžaduje systémovou expozici (viz bod 5.1), je důležité, aby byly </w:t>
      </w:r>
      <w:r>
        <w:t xml:space="preserve">potahované </w:t>
      </w:r>
      <w:r w:rsidRPr="00C9068C">
        <w:t>tabl</w:t>
      </w:r>
      <w:r w:rsidRPr="00C9068C">
        <w:t>ety podány na lačný žaludek nejméně jednu hodinu před jídlem nebo 2 hodiny po jídle a nejméně jednu hodinu od podání jakéhokoliv jiného léčivého přípravku, jídla nebo mléka (viz bod 4.2). To maximalizuje absorpci trientinu a snižuje pravděpodobnost vazby l</w:t>
      </w:r>
      <w:r w:rsidRPr="00C9068C">
        <w:t xml:space="preserve">éčivého přípravku na kovy v gastrointestinálním traktu. Nebyly však provedeny žádné studie interakcí s jídlem, a rozsah účinku jídla na systémovou expozici trientinu tudíž není znám. </w:t>
      </w:r>
    </w:p>
    <w:p w14:paraId="4FC02EDA" w14:textId="77777777" w:rsidR="00E504F6" w:rsidRPr="00C9068C" w:rsidRDefault="00E504F6" w:rsidP="00E504F6">
      <w:pPr>
        <w:rPr>
          <w:szCs w:val="22"/>
        </w:rPr>
      </w:pPr>
    </w:p>
    <w:p w14:paraId="4FC02EDB" w14:textId="77777777" w:rsidR="00E504F6" w:rsidRPr="00C9068C" w:rsidRDefault="006455D9" w:rsidP="00E504F6">
      <w:pPr>
        <w:rPr>
          <w:szCs w:val="22"/>
        </w:rPr>
      </w:pPr>
      <w:r w:rsidRPr="00C9068C">
        <w:t>I když neexistují žádné důkazy o tom, že by antacidy vápníku nebo hořčí</w:t>
      </w:r>
      <w:r w:rsidRPr="00C9068C">
        <w:t>ku narušovaly účinnost trientinu, je správným postupem jejich podání oddělit.</w:t>
      </w:r>
    </w:p>
    <w:p w14:paraId="4FC02EDC" w14:textId="77777777" w:rsidR="00E504F6" w:rsidRPr="00C9068C" w:rsidRDefault="00E504F6" w:rsidP="00E504F6">
      <w:pPr>
        <w:spacing w:line="240" w:lineRule="auto"/>
        <w:rPr>
          <w:szCs w:val="22"/>
        </w:rPr>
      </w:pPr>
    </w:p>
    <w:p w14:paraId="4FC02EDD" w14:textId="77777777" w:rsidR="00E504F6" w:rsidRPr="00C9068C" w:rsidRDefault="006455D9" w:rsidP="00E504F6">
      <w:pPr>
        <w:pStyle w:val="ListParagraph"/>
        <w:numPr>
          <w:ilvl w:val="1"/>
          <w:numId w:val="28"/>
        </w:numPr>
        <w:spacing w:line="240" w:lineRule="auto"/>
        <w:ind w:hanging="930"/>
        <w:outlineLvl w:val="0"/>
        <w:rPr>
          <w:b/>
          <w:szCs w:val="22"/>
        </w:rPr>
      </w:pPr>
      <w:r w:rsidRPr="00C9068C">
        <w:rPr>
          <w:b/>
        </w:rPr>
        <w:t>Fertilita, těhotenství a kojení</w:t>
      </w:r>
    </w:p>
    <w:p w14:paraId="4FC02EDE" w14:textId="77777777" w:rsidR="00E504F6" w:rsidRPr="00C9068C" w:rsidRDefault="00E504F6" w:rsidP="00E504F6">
      <w:pPr>
        <w:spacing w:line="240" w:lineRule="auto"/>
        <w:rPr>
          <w:szCs w:val="22"/>
        </w:rPr>
      </w:pPr>
    </w:p>
    <w:p w14:paraId="4FC02EDF" w14:textId="77777777" w:rsidR="00E504F6" w:rsidRPr="00C9068C" w:rsidRDefault="006455D9" w:rsidP="00E504F6">
      <w:pPr>
        <w:rPr>
          <w:szCs w:val="22"/>
        </w:rPr>
      </w:pPr>
      <w:r w:rsidRPr="00C9068C">
        <w:rPr>
          <w:u w:val="single"/>
        </w:rPr>
        <w:t>Těhotenství</w:t>
      </w:r>
    </w:p>
    <w:p w14:paraId="4FC02EE0" w14:textId="77777777" w:rsidR="00E504F6" w:rsidRPr="00C9068C" w:rsidRDefault="006455D9" w:rsidP="00E504F6">
      <w:pPr>
        <w:rPr>
          <w:szCs w:val="22"/>
        </w:rPr>
      </w:pPr>
      <w:r w:rsidRPr="00C9068C">
        <w:t>Údaje o podávání trientinu těhotným ženám jsou omezené.</w:t>
      </w:r>
    </w:p>
    <w:p w14:paraId="4FC02EE1" w14:textId="77777777" w:rsidR="00E504F6" w:rsidRPr="00C9068C" w:rsidRDefault="00E504F6" w:rsidP="00E504F6">
      <w:pPr>
        <w:rPr>
          <w:szCs w:val="22"/>
        </w:rPr>
      </w:pPr>
    </w:p>
    <w:p w14:paraId="4FC02EE2" w14:textId="77777777" w:rsidR="00E504F6" w:rsidRPr="00C9068C" w:rsidRDefault="006455D9" w:rsidP="00E504F6">
      <w:pPr>
        <w:rPr>
          <w:szCs w:val="22"/>
        </w:rPr>
      </w:pPr>
      <w:r w:rsidRPr="00C9068C">
        <w:t>Studie na zvířatech prokázaly reprodukční toxicitu, která byla pravděpodobn</w:t>
      </w:r>
      <w:r w:rsidRPr="00C9068C">
        <w:t>ě výsledkem deficience mědi navozené trientinem (viz bod 5.3).</w:t>
      </w:r>
    </w:p>
    <w:p w14:paraId="4FC02EE3" w14:textId="77777777" w:rsidR="00E504F6" w:rsidRPr="00C9068C" w:rsidRDefault="00E504F6" w:rsidP="00E504F6">
      <w:pPr>
        <w:rPr>
          <w:szCs w:val="22"/>
        </w:rPr>
      </w:pPr>
    </w:p>
    <w:p w14:paraId="4FC02EE4" w14:textId="77777777" w:rsidR="00E504F6" w:rsidRPr="00C9068C" w:rsidRDefault="006455D9" w:rsidP="00E504F6">
      <w:pPr>
        <w:rPr>
          <w:szCs w:val="22"/>
        </w:rPr>
      </w:pPr>
      <w:r w:rsidRPr="00C9068C">
        <w:t>Přípravek Cuprior se má podávat v těhotenství pouze po pečlivém zvážení přínosů v porovnání s riziky léčby u konkrétní pacientky. Faktory, které je třeba posoudit, zahrnují rizika spojená se s</w:t>
      </w:r>
      <w:r w:rsidRPr="00C9068C">
        <w:t>amotným onemocněním, rizika alternativní léčby, která je k dispozici, a možné teratogenní účinky trientinu (viz bod 5.3).</w:t>
      </w:r>
    </w:p>
    <w:p w14:paraId="4FC02EE5" w14:textId="77777777" w:rsidR="00E504F6" w:rsidRPr="00C9068C" w:rsidRDefault="00E504F6" w:rsidP="00E504F6">
      <w:pPr>
        <w:rPr>
          <w:szCs w:val="22"/>
        </w:rPr>
      </w:pPr>
    </w:p>
    <w:p w14:paraId="4FC02EE6" w14:textId="77777777" w:rsidR="00E504F6" w:rsidRPr="00C9068C" w:rsidRDefault="006455D9" w:rsidP="00E504F6">
      <w:pPr>
        <w:rPr>
          <w:szCs w:val="22"/>
        </w:rPr>
      </w:pPr>
      <w:r w:rsidRPr="00C9068C">
        <w:t xml:space="preserve">Vzhledem k tomu, že měď je nezbytná pro správný růst a duševní vývoj, mohou být nutné úpravy dávky, aby se zajistilo, že plod nebude </w:t>
      </w:r>
      <w:r w:rsidRPr="00C9068C">
        <w:t>trpět deficiencí mědi. Nezbytné je pečlivé monitorování pacientky (viz bod 4.4).</w:t>
      </w:r>
    </w:p>
    <w:p w14:paraId="4FC02EE7" w14:textId="77777777" w:rsidR="00E504F6" w:rsidRPr="00C9068C" w:rsidRDefault="00E504F6" w:rsidP="00E504F6">
      <w:pPr>
        <w:rPr>
          <w:szCs w:val="22"/>
        </w:rPr>
      </w:pPr>
    </w:p>
    <w:p w14:paraId="4FC02EE8" w14:textId="77777777" w:rsidR="00E504F6" w:rsidRPr="00C9068C" w:rsidRDefault="006455D9" w:rsidP="00E504F6">
      <w:pPr>
        <w:rPr>
          <w:szCs w:val="22"/>
        </w:rPr>
      </w:pPr>
      <w:r w:rsidRPr="00C9068C">
        <w:t>Těhotenství je nutné pečlivě sledovat, aby se zachytily možné poruchy plodu, a v průběhu celého těhotenství je třeba hodnotit sérovou hladinu mědi matky. Podávanou dávku trie</w:t>
      </w:r>
      <w:r w:rsidRPr="00C9068C">
        <w:t xml:space="preserve">ntinu je třeba upravovat, aby se sérová hladina mědi udržovala v rámci normálního rozmezí. </w:t>
      </w:r>
    </w:p>
    <w:p w14:paraId="4FC02EE9" w14:textId="77777777" w:rsidR="00E504F6" w:rsidRPr="00C9068C" w:rsidRDefault="00E504F6" w:rsidP="00E504F6">
      <w:pPr>
        <w:rPr>
          <w:szCs w:val="22"/>
        </w:rPr>
      </w:pPr>
    </w:p>
    <w:p w14:paraId="4FC02EEA" w14:textId="77777777" w:rsidR="00E504F6" w:rsidRPr="00C9068C" w:rsidRDefault="006455D9" w:rsidP="00E504F6">
      <w:pPr>
        <w:rPr>
          <w:szCs w:val="22"/>
        </w:rPr>
      </w:pPr>
      <w:r w:rsidRPr="00C9068C">
        <w:t>U dětí, které se narodí matkám léčeným trientinem, je třeba v případě potřeby monitorovat sérovou hladinu mědi.</w:t>
      </w:r>
    </w:p>
    <w:p w14:paraId="4FC02EEB" w14:textId="77777777" w:rsidR="00E504F6" w:rsidRPr="00C9068C" w:rsidRDefault="00E504F6" w:rsidP="00E504F6">
      <w:pPr>
        <w:rPr>
          <w:szCs w:val="22"/>
        </w:rPr>
      </w:pPr>
    </w:p>
    <w:p w14:paraId="4FC02EEC" w14:textId="77777777" w:rsidR="00E504F6" w:rsidRPr="00C9068C" w:rsidRDefault="006455D9" w:rsidP="00E504F6">
      <w:pPr>
        <w:rPr>
          <w:color w:val="000000"/>
          <w:szCs w:val="22"/>
        </w:rPr>
      </w:pPr>
      <w:r w:rsidRPr="00C9068C">
        <w:rPr>
          <w:u w:val="single"/>
        </w:rPr>
        <w:t>Kojení</w:t>
      </w:r>
    </w:p>
    <w:p w14:paraId="4FC02EED" w14:textId="77777777" w:rsidR="00E504F6" w:rsidRPr="00C9068C" w:rsidRDefault="006455D9" w:rsidP="00E504F6">
      <w:pPr>
        <w:autoSpaceDE w:val="0"/>
        <w:autoSpaceDN w:val="0"/>
        <w:adjustRightInd w:val="0"/>
        <w:rPr>
          <w:color w:val="000000"/>
          <w:szCs w:val="22"/>
        </w:rPr>
      </w:pPr>
      <w:r w:rsidRPr="00C9068C">
        <w:rPr>
          <w:color w:val="000000"/>
        </w:rPr>
        <w:t>Není známo, zda se trientin vylučuje do lid</w:t>
      </w:r>
      <w:r w:rsidRPr="00C9068C">
        <w:rPr>
          <w:color w:val="000000"/>
        </w:rPr>
        <w:t>ského mateřského mléka. Riziko pro kojené novorozence/děti nelze vyloučit. Na základě posouzení prospěšnosti kojení pro dítě a prospěšnosti léčby pro matku je nutno rozhodnout, zda přerušit kojení nebo ukončit/přerušit podávání přípravku Cuprior.</w:t>
      </w:r>
    </w:p>
    <w:p w14:paraId="4FC02EEE" w14:textId="77777777" w:rsidR="00E504F6" w:rsidRPr="00C9068C" w:rsidRDefault="00E504F6" w:rsidP="00E504F6">
      <w:pPr>
        <w:rPr>
          <w:szCs w:val="22"/>
          <w:u w:val="single"/>
        </w:rPr>
      </w:pPr>
    </w:p>
    <w:p w14:paraId="4FC02EEF" w14:textId="77777777" w:rsidR="00E504F6" w:rsidRPr="00C9068C" w:rsidRDefault="006455D9" w:rsidP="00E504F6">
      <w:pPr>
        <w:keepNext/>
        <w:rPr>
          <w:szCs w:val="22"/>
          <w:u w:val="single"/>
        </w:rPr>
      </w:pPr>
      <w:r w:rsidRPr="00C9068C">
        <w:rPr>
          <w:u w:val="single"/>
        </w:rPr>
        <w:t>Fertilita</w:t>
      </w:r>
    </w:p>
    <w:p w14:paraId="4FC02EF0" w14:textId="77777777" w:rsidR="00E504F6" w:rsidRPr="00C9068C" w:rsidRDefault="006455D9" w:rsidP="00E504F6">
      <w:pPr>
        <w:rPr>
          <w:szCs w:val="22"/>
        </w:rPr>
      </w:pPr>
      <w:r w:rsidRPr="00C9068C">
        <w:rPr>
          <w:color w:val="000000"/>
        </w:rPr>
        <w:t>Není známo, zda má trientin účinek na lidskou fertilitu.</w:t>
      </w:r>
    </w:p>
    <w:p w14:paraId="4FC02EF1" w14:textId="77777777" w:rsidR="00E504F6" w:rsidRPr="00C9068C" w:rsidRDefault="00E504F6" w:rsidP="00E504F6">
      <w:pPr>
        <w:spacing w:line="240" w:lineRule="auto"/>
        <w:rPr>
          <w:i/>
          <w:szCs w:val="22"/>
        </w:rPr>
      </w:pPr>
    </w:p>
    <w:p w14:paraId="4FC02EF2" w14:textId="77777777" w:rsidR="00E504F6" w:rsidRPr="00C9068C" w:rsidRDefault="006455D9" w:rsidP="00E504F6">
      <w:pPr>
        <w:pStyle w:val="ListParagraph"/>
        <w:numPr>
          <w:ilvl w:val="1"/>
          <w:numId w:val="28"/>
        </w:numPr>
        <w:spacing w:line="240" w:lineRule="auto"/>
        <w:ind w:hanging="930"/>
        <w:outlineLvl w:val="0"/>
        <w:rPr>
          <w:b/>
          <w:szCs w:val="22"/>
        </w:rPr>
      </w:pPr>
      <w:r w:rsidRPr="00C9068C">
        <w:rPr>
          <w:b/>
        </w:rPr>
        <w:t>Účinky na schopnost řídit a obsluhovat stroje</w:t>
      </w:r>
    </w:p>
    <w:p w14:paraId="4FC02EF3" w14:textId="77777777" w:rsidR="00E504F6" w:rsidRPr="00C9068C" w:rsidRDefault="00E504F6" w:rsidP="00E504F6">
      <w:pPr>
        <w:spacing w:line="240" w:lineRule="auto"/>
        <w:rPr>
          <w:szCs w:val="22"/>
        </w:rPr>
      </w:pPr>
    </w:p>
    <w:p w14:paraId="4FC02EF4" w14:textId="77777777" w:rsidR="00E504F6" w:rsidRPr="00C9068C" w:rsidRDefault="006455D9" w:rsidP="00E504F6">
      <w:pPr>
        <w:rPr>
          <w:szCs w:val="22"/>
        </w:rPr>
      </w:pPr>
      <w:r w:rsidRPr="00C9068C">
        <w:t xml:space="preserve">Přípravek Cuprior nemá žádný nebo má zanedbatelný vliv na schopnost řídit nebo obsluhovat stroje. </w:t>
      </w:r>
    </w:p>
    <w:p w14:paraId="4FC02EF5" w14:textId="77777777" w:rsidR="00E504F6" w:rsidRPr="00C9068C" w:rsidRDefault="00E504F6" w:rsidP="00E504F6">
      <w:pPr>
        <w:spacing w:line="240" w:lineRule="auto"/>
        <w:rPr>
          <w:szCs w:val="22"/>
        </w:rPr>
      </w:pPr>
    </w:p>
    <w:p w14:paraId="4FC02EF6" w14:textId="77777777" w:rsidR="00E504F6" w:rsidRPr="00C9068C" w:rsidRDefault="006455D9" w:rsidP="00E504F6">
      <w:pPr>
        <w:pStyle w:val="ListParagraph"/>
        <w:numPr>
          <w:ilvl w:val="1"/>
          <w:numId w:val="28"/>
        </w:numPr>
        <w:spacing w:line="240" w:lineRule="auto"/>
        <w:ind w:hanging="930"/>
        <w:outlineLvl w:val="0"/>
        <w:rPr>
          <w:b/>
          <w:szCs w:val="22"/>
        </w:rPr>
      </w:pPr>
      <w:r w:rsidRPr="00C9068C">
        <w:rPr>
          <w:b/>
        </w:rPr>
        <w:t>Nežádoucí účinky</w:t>
      </w:r>
    </w:p>
    <w:p w14:paraId="4FC02EF7" w14:textId="77777777" w:rsidR="00E504F6" w:rsidRPr="00C9068C" w:rsidRDefault="00E504F6" w:rsidP="00E504F6">
      <w:pPr>
        <w:autoSpaceDE w:val="0"/>
        <w:autoSpaceDN w:val="0"/>
        <w:adjustRightInd w:val="0"/>
        <w:rPr>
          <w:szCs w:val="22"/>
        </w:rPr>
      </w:pPr>
    </w:p>
    <w:p w14:paraId="4FC02EF8" w14:textId="77777777" w:rsidR="00E504F6" w:rsidRPr="00C9068C" w:rsidRDefault="006455D9" w:rsidP="00E504F6">
      <w:pPr>
        <w:autoSpaceDE w:val="0"/>
        <w:autoSpaceDN w:val="0"/>
        <w:adjustRightInd w:val="0"/>
        <w:rPr>
          <w:szCs w:val="22"/>
          <w:u w:val="single"/>
        </w:rPr>
      </w:pPr>
      <w:r w:rsidRPr="00C9068C">
        <w:rPr>
          <w:u w:val="single"/>
        </w:rPr>
        <w:t>Souhrn bezpečnostního p</w:t>
      </w:r>
      <w:r w:rsidRPr="00C9068C">
        <w:rPr>
          <w:u w:val="single"/>
        </w:rPr>
        <w:t>rofilu</w:t>
      </w:r>
    </w:p>
    <w:p w14:paraId="4FC02EF9" w14:textId="77777777" w:rsidR="00E504F6" w:rsidRPr="00C9068C" w:rsidRDefault="006455D9" w:rsidP="00E504F6">
      <w:pPr>
        <w:autoSpaceDE w:val="0"/>
        <w:autoSpaceDN w:val="0"/>
        <w:adjustRightInd w:val="0"/>
        <w:rPr>
          <w:rFonts w:eastAsia="TimesNewRoman"/>
          <w:szCs w:val="22"/>
        </w:rPr>
      </w:pPr>
      <w:r w:rsidRPr="00C9068C">
        <w:t xml:space="preserve">Nejčastěji hlášeným nežádoucím účinkem trientinu je nauzea. Během léčby se může objevit těžká anémie z nedostatku železa a závažná kolitida. </w:t>
      </w:r>
    </w:p>
    <w:p w14:paraId="4FC02EFA" w14:textId="77777777" w:rsidR="00E504F6" w:rsidRPr="00C9068C" w:rsidRDefault="00E504F6" w:rsidP="00E504F6">
      <w:pPr>
        <w:autoSpaceDE w:val="0"/>
        <w:autoSpaceDN w:val="0"/>
        <w:adjustRightInd w:val="0"/>
        <w:rPr>
          <w:szCs w:val="22"/>
        </w:rPr>
      </w:pPr>
    </w:p>
    <w:p w14:paraId="4FC02EFB" w14:textId="77777777" w:rsidR="00E504F6" w:rsidRPr="00C9068C" w:rsidRDefault="006455D9" w:rsidP="00E504F6">
      <w:pPr>
        <w:autoSpaceDE w:val="0"/>
        <w:autoSpaceDN w:val="0"/>
        <w:adjustRightInd w:val="0"/>
        <w:rPr>
          <w:szCs w:val="22"/>
          <w:u w:val="single"/>
        </w:rPr>
      </w:pPr>
      <w:r w:rsidRPr="00C9068C">
        <w:rPr>
          <w:u w:val="single"/>
        </w:rPr>
        <w:t>Tabulkový seznam nežádoucích účinků</w:t>
      </w:r>
    </w:p>
    <w:p w14:paraId="4FC02EFC" w14:textId="77777777" w:rsidR="00E504F6" w:rsidRPr="00C9068C" w:rsidRDefault="006455D9" w:rsidP="00E504F6">
      <w:pPr>
        <w:autoSpaceDE w:val="0"/>
        <w:autoSpaceDN w:val="0"/>
        <w:adjustRightInd w:val="0"/>
        <w:rPr>
          <w:szCs w:val="22"/>
        </w:rPr>
      </w:pPr>
      <w:r w:rsidRPr="00C9068C">
        <w:t>Při použití trientinu u Wilsonovy choroby byly hlášeny následující než</w:t>
      </w:r>
      <w:r w:rsidRPr="00C9068C">
        <w:t xml:space="preserve">ádoucí účinky. </w:t>
      </w:r>
    </w:p>
    <w:p w14:paraId="4FC02EFD" w14:textId="77777777" w:rsidR="00E504F6" w:rsidRPr="00C9068C" w:rsidRDefault="006455D9" w:rsidP="00E504F6">
      <w:pPr>
        <w:autoSpaceDE w:val="0"/>
        <w:autoSpaceDN w:val="0"/>
        <w:adjustRightInd w:val="0"/>
        <w:rPr>
          <w:szCs w:val="22"/>
        </w:rPr>
      </w:pPr>
      <w:r w:rsidRPr="00C9068C">
        <w:t>Frekvence výskytu jsou definovány takto: velmi časté (≥ 1/10), časté (≥ 1/100 až &lt; 1/10), méně časté (≥ 1/1 000 až &lt; 1/100), vzácné (≥ 1/10 000 až &lt; 1/1 000), velmi vzácné (&lt; 1/10 000), není známo (z dostupných údajů nelze určit).</w:t>
      </w:r>
    </w:p>
    <w:p w14:paraId="4FC02EFE" w14:textId="77777777" w:rsidR="00E504F6" w:rsidRPr="00C9068C" w:rsidRDefault="00E504F6" w:rsidP="00E504F6">
      <w:pPr>
        <w:autoSpaceDE w:val="0"/>
        <w:autoSpaceDN w:val="0"/>
        <w:adjustRightInd w:val="0"/>
        <w:jc w:val="both"/>
        <w:rPr>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969"/>
      </w:tblGrid>
      <w:tr w:rsidR="00E56948" w14:paraId="4FC02F01" w14:textId="77777777" w:rsidTr="00E504F6">
        <w:tc>
          <w:tcPr>
            <w:tcW w:w="3936" w:type="dxa"/>
            <w:tcBorders>
              <w:top w:val="single" w:sz="4" w:space="0" w:color="auto"/>
              <w:left w:val="single" w:sz="4" w:space="0" w:color="auto"/>
              <w:bottom w:val="single" w:sz="4" w:space="0" w:color="auto"/>
              <w:right w:val="single" w:sz="4" w:space="0" w:color="auto"/>
            </w:tcBorders>
            <w:hideMark/>
          </w:tcPr>
          <w:p w14:paraId="4FC02EFF" w14:textId="77777777" w:rsidR="00E504F6" w:rsidRPr="00C9068C" w:rsidRDefault="006455D9" w:rsidP="00E504F6">
            <w:pPr>
              <w:autoSpaceDE w:val="0"/>
              <w:autoSpaceDN w:val="0"/>
              <w:adjustRightInd w:val="0"/>
              <w:jc w:val="both"/>
              <w:rPr>
                <w:szCs w:val="22"/>
              </w:rPr>
            </w:pPr>
            <w:r w:rsidRPr="00C9068C">
              <w:rPr>
                <w:b/>
              </w:rPr>
              <w:t>Třída or</w:t>
            </w:r>
            <w:r w:rsidRPr="00C9068C">
              <w:rPr>
                <w:b/>
              </w:rPr>
              <w:t>gánových systémů</w:t>
            </w:r>
          </w:p>
        </w:tc>
        <w:tc>
          <w:tcPr>
            <w:tcW w:w="3969" w:type="dxa"/>
            <w:tcBorders>
              <w:top w:val="single" w:sz="4" w:space="0" w:color="auto"/>
              <w:left w:val="single" w:sz="4" w:space="0" w:color="auto"/>
              <w:bottom w:val="single" w:sz="4" w:space="0" w:color="auto"/>
              <w:right w:val="single" w:sz="4" w:space="0" w:color="auto"/>
            </w:tcBorders>
            <w:hideMark/>
          </w:tcPr>
          <w:p w14:paraId="4FC02F00" w14:textId="77777777" w:rsidR="00E504F6" w:rsidRPr="00C9068C" w:rsidRDefault="006455D9" w:rsidP="00E504F6">
            <w:pPr>
              <w:autoSpaceDE w:val="0"/>
              <w:autoSpaceDN w:val="0"/>
              <w:adjustRightInd w:val="0"/>
              <w:jc w:val="both"/>
              <w:rPr>
                <w:szCs w:val="22"/>
              </w:rPr>
            </w:pPr>
            <w:r w:rsidRPr="00C9068C">
              <w:rPr>
                <w:b/>
              </w:rPr>
              <w:t>Nežádoucí účinky</w:t>
            </w:r>
          </w:p>
        </w:tc>
      </w:tr>
      <w:tr w:rsidR="00E56948" w14:paraId="4FC02F04" w14:textId="77777777" w:rsidTr="00E504F6">
        <w:tc>
          <w:tcPr>
            <w:tcW w:w="3936" w:type="dxa"/>
            <w:tcBorders>
              <w:top w:val="single" w:sz="4" w:space="0" w:color="auto"/>
              <w:left w:val="single" w:sz="4" w:space="0" w:color="auto"/>
              <w:bottom w:val="single" w:sz="4" w:space="0" w:color="auto"/>
              <w:right w:val="single" w:sz="4" w:space="0" w:color="auto"/>
            </w:tcBorders>
            <w:hideMark/>
          </w:tcPr>
          <w:p w14:paraId="4FC02F02" w14:textId="77777777" w:rsidR="00E504F6" w:rsidRPr="00C9068C" w:rsidRDefault="006455D9" w:rsidP="00E504F6">
            <w:pPr>
              <w:autoSpaceDE w:val="0"/>
              <w:autoSpaceDN w:val="0"/>
              <w:adjustRightInd w:val="0"/>
              <w:jc w:val="both"/>
              <w:rPr>
                <w:szCs w:val="22"/>
              </w:rPr>
            </w:pPr>
            <w:r w:rsidRPr="00C9068C">
              <w:t>Poruchy krve a lymfatického systému</w:t>
            </w:r>
          </w:p>
        </w:tc>
        <w:tc>
          <w:tcPr>
            <w:tcW w:w="3969" w:type="dxa"/>
            <w:tcBorders>
              <w:top w:val="single" w:sz="4" w:space="0" w:color="auto"/>
              <w:left w:val="single" w:sz="4" w:space="0" w:color="auto"/>
              <w:bottom w:val="single" w:sz="4" w:space="0" w:color="auto"/>
              <w:right w:val="single" w:sz="4" w:space="0" w:color="auto"/>
            </w:tcBorders>
            <w:hideMark/>
          </w:tcPr>
          <w:p w14:paraId="56A4A756" w14:textId="45555155" w:rsidR="00DF56B4" w:rsidRDefault="006455D9" w:rsidP="00DF56B4">
            <w:pPr>
              <w:pStyle w:val="Default"/>
              <w:jc w:val="both"/>
              <w:rPr>
                <w:sz w:val="22"/>
                <w:szCs w:val="22"/>
              </w:rPr>
            </w:pPr>
            <w:r w:rsidRPr="00DF56B4">
              <w:rPr>
                <w:i/>
                <w:iCs/>
                <w:sz w:val="22"/>
                <w:szCs w:val="22"/>
              </w:rPr>
              <w:t>Méně časté</w:t>
            </w:r>
            <w:r>
              <w:rPr>
                <w:sz w:val="22"/>
                <w:szCs w:val="22"/>
              </w:rPr>
              <w:t>: sideroblastická anemie</w:t>
            </w:r>
          </w:p>
          <w:p w14:paraId="4FC02F03" w14:textId="6A687B76" w:rsidR="00E504F6" w:rsidRPr="00C9068C" w:rsidRDefault="006455D9" w:rsidP="00E504F6">
            <w:pPr>
              <w:autoSpaceDE w:val="0"/>
              <w:autoSpaceDN w:val="0"/>
              <w:adjustRightInd w:val="0"/>
              <w:jc w:val="both"/>
              <w:rPr>
                <w:szCs w:val="22"/>
              </w:rPr>
            </w:pPr>
            <w:r w:rsidRPr="00C9068C">
              <w:rPr>
                <w:i/>
              </w:rPr>
              <w:t xml:space="preserve">Není známo: </w:t>
            </w:r>
            <w:r w:rsidRPr="00C9068C">
              <w:t>anémie z nedostatku železa</w:t>
            </w:r>
          </w:p>
        </w:tc>
      </w:tr>
      <w:tr w:rsidR="00E56948" w14:paraId="4FC02F08" w14:textId="77777777" w:rsidTr="00E504F6">
        <w:tc>
          <w:tcPr>
            <w:tcW w:w="3936" w:type="dxa"/>
            <w:tcBorders>
              <w:top w:val="single" w:sz="4" w:space="0" w:color="auto"/>
              <w:left w:val="single" w:sz="4" w:space="0" w:color="auto"/>
              <w:bottom w:val="single" w:sz="4" w:space="0" w:color="auto"/>
              <w:right w:val="single" w:sz="4" w:space="0" w:color="auto"/>
            </w:tcBorders>
            <w:hideMark/>
          </w:tcPr>
          <w:p w14:paraId="4FC02F05" w14:textId="77777777" w:rsidR="00E504F6" w:rsidRPr="00C9068C" w:rsidRDefault="006455D9" w:rsidP="00E504F6">
            <w:pPr>
              <w:autoSpaceDE w:val="0"/>
              <w:autoSpaceDN w:val="0"/>
              <w:adjustRightInd w:val="0"/>
              <w:jc w:val="both"/>
              <w:rPr>
                <w:szCs w:val="22"/>
              </w:rPr>
            </w:pPr>
            <w:r w:rsidRPr="00C9068C">
              <w:t>Gastrointestinální poruchy</w:t>
            </w:r>
          </w:p>
        </w:tc>
        <w:tc>
          <w:tcPr>
            <w:tcW w:w="3969" w:type="dxa"/>
            <w:tcBorders>
              <w:top w:val="single" w:sz="4" w:space="0" w:color="auto"/>
              <w:left w:val="single" w:sz="4" w:space="0" w:color="auto"/>
              <w:bottom w:val="single" w:sz="4" w:space="0" w:color="auto"/>
              <w:right w:val="single" w:sz="4" w:space="0" w:color="auto"/>
            </w:tcBorders>
            <w:hideMark/>
          </w:tcPr>
          <w:p w14:paraId="4FC02F06" w14:textId="77777777" w:rsidR="00E504F6" w:rsidRPr="00C9068C" w:rsidRDefault="006455D9" w:rsidP="00E504F6">
            <w:pPr>
              <w:autoSpaceDE w:val="0"/>
              <w:autoSpaceDN w:val="0"/>
              <w:adjustRightInd w:val="0"/>
              <w:jc w:val="both"/>
              <w:rPr>
                <w:szCs w:val="22"/>
              </w:rPr>
            </w:pPr>
            <w:r w:rsidRPr="00C9068C">
              <w:rPr>
                <w:i/>
              </w:rPr>
              <w:t xml:space="preserve">Časté: </w:t>
            </w:r>
            <w:r w:rsidRPr="00C9068C">
              <w:t xml:space="preserve">nauzea </w:t>
            </w:r>
          </w:p>
          <w:p w14:paraId="4FC02F07" w14:textId="77777777" w:rsidR="00E504F6" w:rsidRPr="00C9068C" w:rsidRDefault="006455D9" w:rsidP="00E504F6">
            <w:pPr>
              <w:autoSpaceDE w:val="0"/>
              <w:autoSpaceDN w:val="0"/>
              <w:adjustRightInd w:val="0"/>
              <w:jc w:val="both"/>
              <w:rPr>
                <w:szCs w:val="22"/>
              </w:rPr>
            </w:pPr>
            <w:r w:rsidRPr="00C9068C">
              <w:rPr>
                <w:i/>
              </w:rPr>
              <w:t xml:space="preserve">Není známo: </w:t>
            </w:r>
            <w:r w:rsidRPr="00C9068C">
              <w:t>duodenitida, kolitida (včetně závažné kolitidy)</w:t>
            </w:r>
          </w:p>
        </w:tc>
      </w:tr>
      <w:tr w:rsidR="00E56948" w14:paraId="4FC02F0C" w14:textId="77777777" w:rsidTr="00E504F6">
        <w:tc>
          <w:tcPr>
            <w:tcW w:w="3936" w:type="dxa"/>
            <w:tcBorders>
              <w:top w:val="single" w:sz="4" w:space="0" w:color="auto"/>
              <w:left w:val="single" w:sz="4" w:space="0" w:color="auto"/>
              <w:bottom w:val="single" w:sz="4" w:space="0" w:color="auto"/>
              <w:right w:val="single" w:sz="4" w:space="0" w:color="auto"/>
            </w:tcBorders>
            <w:hideMark/>
          </w:tcPr>
          <w:p w14:paraId="4FC02F09" w14:textId="77777777" w:rsidR="00E504F6" w:rsidRPr="00C9068C" w:rsidRDefault="006455D9" w:rsidP="00E504F6">
            <w:pPr>
              <w:autoSpaceDE w:val="0"/>
              <w:autoSpaceDN w:val="0"/>
              <w:adjustRightInd w:val="0"/>
              <w:jc w:val="both"/>
              <w:rPr>
                <w:szCs w:val="22"/>
              </w:rPr>
            </w:pPr>
            <w:r w:rsidRPr="00C9068C">
              <w:t>Poruchy kůže a podkožní tkáně</w:t>
            </w:r>
          </w:p>
        </w:tc>
        <w:tc>
          <w:tcPr>
            <w:tcW w:w="3969" w:type="dxa"/>
            <w:tcBorders>
              <w:top w:val="single" w:sz="4" w:space="0" w:color="auto"/>
              <w:left w:val="single" w:sz="4" w:space="0" w:color="auto"/>
              <w:bottom w:val="single" w:sz="4" w:space="0" w:color="auto"/>
              <w:right w:val="single" w:sz="4" w:space="0" w:color="auto"/>
            </w:tcBorders>
            <w:hideMark/>
          </w:tcPr>
          <w:p w14:paraId="4FC02F0A" w14:textId="77777777" w:rsidR="00E504F6" w:rsidRPr="00C9068C" w:rsidRDefault="006455D9" w:rsidP="00E504F6">
            <w:pPr>
              <w:autoSpaceDE w:val="0"/>
              <w:autoSpaceDN w:val="0"/>
              <w:adjustRightInd w:val="0"/>
              <w:jc w:val="both"/>
              <w:rPr>
                <w:szCs w:val="22"/>
              </w:rPr>
            </w:pPr>
            <w:r w:rsidRPr="00C9068C">
              <w:rPr>
                <w:i/>
              </w:rPr>
              <w:t xml:space="preserve">Méně časté: </w:t>
            </w:r>
            <w:r w:rsidRPr="00C9068C">
              <w:t xml:space="preserve">kožní vyrážka, pruritus, erytém </w:t>
            </w:r>
          </w:p>
          <w:p w14:paraId="4FC02F0B" w14:textId="77777777" w:rsidR="00E504F6" w:rsidRPr="00C9068C" w:rsidRDefault="006455D9" w:rsidP="00E504F6">
            <w:pPr>
              <w:autoSpaceDE w:val="0"/>
              <w:autoSpaceDN w:val="0"/>
              <w:adjustRightInd w:val="0"/>
              <w:jc w:val="both"/>
              <w:rPr>
                <w:szCs w:val="22"/>
              </w:rPr>
            </w:pPr>
            <w:r w:rsidRPr="00C9068C">
              <w:rPr>
                <w:i/>
              </w:rPr>
              <w:t xml:space="preserve">Není známo: </w:t>
            </w:r>
            <w:r w:rsidRPr="00C9068C">
              <w:t>kopřivka</w:t>
            </w:r>
          </w:p>
        </w:tc>
      </w:tr>
    </w:tbl>
    <w:p w14:paraId="4FC02F0D" w14:textId="77777777" w:rsidR="00E504F6" w:rsidRPr="00C9068C" w:rsidRDefault="00E504F6" w:rsidP="00E504F6">
      <w:pPr>
        <w:autoSpaceDE w:val="0"/>
        <w:autoSpaceDN w:val="0"/>
        <w:adjustRightInd w:val="0"/>
        <w:rPr>
          <w:szCs w:val="22"/>
        </w:rPr>
      </w:pPr>
    </w:p>
    <w:p w14:paraId="4FC02F0E" w14:textId="77777777" w:rsidR="00E504F6" w:rsidRPr="00C9068C" w:rsidRDefault="006455D9" w:rsidP="00E504F6">
      <w:pPr>
        <w:autoSpaceDE w:val="0"/>
        <w:autoSpaceDN w:val="0"/>
        <w:adjustRightInd w:val="0"/>
        <w:spacing w:line="240" w:lineRule="auto"/>
        <w:rPr>
          <w:szCs w:val="22"/>
          <w:u w:val="single"/>
        </w:rPr>
      </w:pPr>
      <w:r w:rsidRPr="00C9068C">
        <w:rPr>
          <w:u w:val="single"/>
        </w:rPr>
        <w:t>Hlášení podezření na nežádoucí účinky</w:t>
      </w:r>
    </w:p>
    <w:p w14:paraId="4FC02F0F" w14:textId="77777777" w:rsidR="00E504F6" w:rsidRPr="00C9068C" w:rsidRDefault="006455D9" w:rsidP="00E504F6">
      <w:pPr>
        <w:autoSpaceDE w:val="0"/>
        <w:autoSpaceDN w:val="0"/>
        <w:adjustRightInd w:val="0"/>
        <w:spacing w:line="240" w:lineRule="auto"/>
        <w:rPr>
          <w:szCs w:val="22"/>
        </w:rPr>
      </w:pPr>
      <w:r w:rsidRPr="00C9068C">
        <w:t xml:space="preserve">Hlášení podezření na nežádoucí účinky po registraci léčivého přípravku je důležité. Umožňuje to pokračovat ve sledování poměru přínosů a rizik léčivého přípravku. Žádáme zdravotnické pracovníky, aby hlásili podezření na nežádoucí účinky prostřednictvím </w:t>
      </w:r>
      <w:r w:rsidRPr="00C9068C">
        <w:rPr>
          <w:highlight w:val="lightGray"/>
        </w:rPr>
        <w:t>nár</w:t>
      </w:r>
      <w:r w:rsidRPr="00C9068C">
        <w:rPr>
          <w:highlight w:val="lightGray"/>
        </w:rPr>
        <w:t>odního systému hlášení nežádoucích účinků uvedeného v </w:t>
      </w:r>
      <w:hyperlink r:id="rId11" w:history="1">
        <w:r w:rsidRPr="00C9068C">
          <w:rPr>
            <w:rStyle w:val="Hyperlink"/>
            <w:highlight w:val="lightGray"/>
          </w:rPr>
          <w:t>Dodatku V</w:t>
        </w:r>
      </w:hyperlink>
      <w:r w:rsidRPr="00C9068C">
        <w:t>.</w:t>
      </w:r>
    </w:p>
    <w:p w14:paraId="4FC02F10" w14:textId="77777777" w:rsidR="00E504F6" w:rsidRPr="00C9068C" w:rsidRDefault="00E504F6" w:rsidP="00E504F6">
      <w:pPr>
        <w:spacing w:line="240" w:lineRule="auto"/>
        <w:rPr>
          <w:szCs w:val="22"/>
        </w:rPr>
      </w:pPr>
    </w:p>
    <w:p w14:paraId="4FC02F11" w14:textId="77777777" w:rsidR="00E504F6" w:rsidRPr="00C9068C" w:rsidRDefault="006455D9" w:rsidP="00E504F6">
      <w:pPr>
        <w:pStyle w:val="ListParagraph"/>
        <w:numPr>
          <w:ilvl w:val="1"/>
          <w:numId w:val="28"/>
        </w:numPr>
        <w:spacing w:line="240" w:lineRule="auto"/>
        <w:ind w:hanging="930"/>
        <w:outlineLvl w:val="0"/>
        <w:rPr>
          <w:b/>
          <w:szCs w:val="22"/>
        </w:rPr>
      </w:pPr>
      <w:r w:rsidRPr="00C9068C">
        <w:rPr>
          <w:b/>
        </w:rPr>
        <w:t>Předávkování</w:t>
      </w:r>
    </w:p>
    <w:p w14:paraId="4FC02F12" w14:textId="77777777" w:rsidR="00E504F6" w:rsidRDefault="00E504F6" w:rsidP="00E504F6">
      <w:pPr>
        <w:spacing w:line="240" w:lineRule="auto"/>
        <w:rPr>
          <w:szCs w:val="22"/>
        </w:rPr>
      </w:pPr>
    </w:p>
    <w:p w14:paraId="5B66EB7B" w14:textId="2E5354C3" w:rsidR="008D460A" w:rsidRDefault="006455D9" w:rsidP="00E504F6">
      <w:pPr>
        <w:spacing w:line="240" w:lineRule="auto"/>
        <w:rPr>
          <w:szCs w:val="22"/>
        </w:rPr>
      </w:pPr>
      <w:r w:rsidRPr="008D460A">
        <w:rPr>
          <w:szCs w:val="22"/>
        </w:rPr>
        <w:t>Příležitostně byly hlášeny případy předávkován</w:t>
      </w:r>
      <w:r w:rsidR="008355A1">
        <w:rPr>
          <w:szCs w:val="22"/>
        </w:rPr>
        <w:t>í trientinem. V </w:t>
      </w:r>
      <w:r>
        <w:rPr>
          <w:szCs w:val="22"/>
        </w:rPr>
        <w:t>příp</w:t>
      </w:r>
      <w:r>
        <w:rPr>
          <w:szCs w:val="22"/>
        </w:rPr>
        <w:t xml:space="preserve">adech </w:t>
      </w:r>
      <w:r w:rsidR="00A31F8C">
        <w:rPr>
          <w:szCs w:val="22"/>
        </w:rPr>
        <w:t xml:space="preserve">užití </w:t>
      </w:r>
      <w:r>
        <w:rPr>
          <w:szCs w:val="22"/>
        </w:rPr>
        <w:t>do 20 </w:t>
      </w:r>
      <w:r w:rsidRPr="008D460A">
        <w:rPr>
          <w:szCs w:val="22"/>
        </w:rPr>
        <w:t>g trientinové</w:t>
      </w:r>
      <w:r w:rsidR="00C052F4">
        <w:rPr>
          <w:szCs w:val="22"/>
        </w:rPr>
        <w:t xml:space="preserve"> báze</w:t>
      </w:r>
      <w:r>
        <w:rPr>
          <w:szCs w:val="22"/>
        </w:rPr>
        <w:t xml:space="preserve"> </w:t>
      </w:r>
      <w:r w:rsidRPr="008D460A">
        <w:rPr>
          <w:szCs w:val="22"/>
        </w:rPr>
        <w:t>nebyly hlášeny žádné zjevné nežádouc</w:t>
      </w:r>
      <w:r>
        <w:rPr>
          <w:szCs w:val="22"/>
        </w:rPr>
        <w:t>í účinky. Velké předávkování 40 </w:t>
      </w:r>
      <w:r w:rsidR="008355A1">
        <w:rPr>
          <w:szCs w:val="22"/>
        </w:rPr>
        <w:t>g trientinové</w:t>
      </w:r>
      <w:r>
        <w:rPr>
          <w:szCs w:val="22"/>
        </w:rPr>
        <w:t xml:space="preserve"> </w:t>
      </w:r>
      <w:r w:rsidR="00C052F4">
        <w:rPr>
          <w:szCs w:val="22"/>
        </w:rPr>
        <w:t>báze</w:t>
      </w:r>
      <w:r w:rsidR="004A5CE1">
        <w:rPr>
          <w:szCs w:val="22"/>
        </w:rPr>
        <w:t xml:space="preserve"> mělo za následek </w:t>
      </w:r>
      <w:r w:rsidR="00945CAE">
        <w:rPr>
          <w:szCs w:val="22"/>
        </w:rPr>
        <w:t>přechodnou</w:t>
      </w:r>
      <w:r w:rsidR="008355A1">
        <w:rPr>
          <w:szCs w:val="22"/>
        </w:rPr>
        <w:t xml:space="preserve"> závra</w:t>
      </w:r>
      <w:r w:rsidR="00945CAE">
        <w:rPr>
          <w:szCs w:val="22"/>
        </w:rPr>
        <w:t>ť</w:t>
      </w:r>
      <w:r w:rsidR="008355A1">
        <w:rPr>
          <w:szCs w:val="22"/>
        </w:rPr>
        <w:t xml:space="preserve"> a </w:t>
      </w:r>
      <w:r w:rsidRPr="008D460A">
        <w:rPr>
          <w:szCs w:val="22"/>
        </w:rPr>
        <w:t xml:space="preserve">zvracení bez dalších </w:t>
      </w:r>
      <w:r w:rsidR="00A31F8C">
        <w:rPr>
          <w:szCs w:val="22"/>
        </w:rPr>
        <w:t>hlášených</w:t>
      </w:r>
      <w:r w:rsidR="002039DB">
        <w:rPr>
          <w:szCs w:val="22"/>
        </w:rPr>
        <w:t xml:space="preserve"> </w:t>
      </w:r>
      <w:r w:rsidRPr="008D460A">
        <w:rPr>
          <w:szCs w:val="22"/>
        </w:rPr>
        <w:t xml:space="preserve">klinických následků nebo významných biochemických </w:t>
      </w:r>
      <w:r w:rsidRPr="008D460A">
        <w:rPr>
          <w:szCs w:val="22"/>
        </w:rPr>
        <w:t>abnormalit.</w:t>
      </w:r>
    </w:p>
    <w:p w14:paraId="71458AFA" w14:textId="77777777" w:rsidR="008D460A" w:rsidRPr="00C9068C" w:rsidRDefault="008D460A" w:rsidP="00E504F6">
      <w:pPr>
        <w:spacing w:line="240" w:lineRule="auto"/>
        <w:rPr>
          <w:szCs w:val="22"/>
        </w:rPr>
      </w:pPr>
    </w:p>
    <w:p w14:paraId="4FC02F13" w14:textId="4DE7818C" w:rsidR="00E504F6" w:rsidRPr="00C9068C" w:rsidRDefault="006455D9" w:rsidP="00E504F6">
      <w:pPr>
        <w:rPr>
          <w:szCs w:val="22"/>
        </w:rPr>
      </w:pPr>
      <w:r w:rsidRPr="00C9068C">
        <w:t>Pro akutní předávkování trientinem neexistuje žádné antidotum.</w:t>
      </w:r>
    </w:p>
    <w:p w14:paraId="4FC02F14" w14:textId="77777777" w:rsidR="00E504F6" w:rsidRPr="00C9068C" w:rsidRDefault="00E504F6" w:rsidP="00E504F6">
      <w:pPr>
        <w:spacing w:line="240" w:lineRule="auto"/>
        <w:rPr>
          <w:szCs w:val="22"/>
        </w:rPr>
      </w:pPr>
    </w:p>
    <w:p w14:paraId="4FC02F15" w14:textId="77777777" w:rsidR="00E504F6" w:rsidRPr="00C9068C" w:rsidRDefault="006455D9" w:rsidP="00E504F6">
      <w:pPr>
        <w:spacing w:line="240" w:lineRule="auto"/>
        <w:rPr>
          <w:szCs w:val="22"/>
        </w:rPr>
      </w:pPr>
      <w:r w:rsidRPr="00C9068C">
        <w:t>Chronická nadměrná léčba může vést k deficienci mědi a reverzibilní sideroblastické anémii. Nadměrná léčba a nadměrné vylučování mědi lze monitorovat podle hodnot exkrece mědi moč</w:t>
      </w:r>
      <w:r w:rsidRPr="00C9068C">
        <w:t>í a mědi vázané na jiné látky než celuroplazmin. Pro optimalizaci dávky nebo případnou úpravu léčby je třeba pečlivé monitorování (viz bod 4.4).</w:t>
      </w:r>
    </w:p>
    <w:p w14:paraId="4FC02F16" w14:textId="77777777" w:rsidR="00E504F6" w:rsidRPr="00C9068C" w:rsidRDefault="00E504F6" w:rsidP="00E504F6">
      <w:pPr>
        <w:suppressAutoHyphens/>
        <w:spacing w:line="240" w:lineRule="auto"/>
        <w:rPr>
          <w:b/>
          <w:szCs w:val="22"/>
        </w:rPr>
      </w:pPr>
    </w:p>
    <w:p w14:paraId="4FC02F17" w14:textId="77777777" w:rsidR="00E504F6" w:rsidRPr="00C9068C" w:rsidRDefault="00E504F6" w:rsidP="00E504F6">
      <w:pPr>
        <w:suppressAutoHyphens/>
        <w:spacing w:line="240" w:lineRule="auto"/>
        <w:rPr>
          <w:b/>
          <w:szCs w:val="22"/>
        </w:rPr>
      </w:pPr>
    </w:p>
    <w:p w14:paraId="4FC02F18" w14:textId="77777777" w:rsidR="00E504F6" w:rsidRPr="00C9068C" w:rsidRDefault="006455D9" w:rsidP="00E504F6">
      <w:pPr>
        <w:pStyle w:val="ListParagraph"/>
        <w:numPr>
          <w:ilvl w:val="0"/>
          <w:numId w:val="28"/>
        </w:numPr>
        <w:spacing w:line="240" w:lineRule="auto"/>
        <w:ind w:hanging="930"/>
        <w:rPr>
          <w:b/>
        </w:rPr>
      </w:pPr>
      <w:r w:rsidRPr="00C9068C">
        <w:rPr>
          <w:b/>
        </w:rPr>
        <w:t>FARMAKOLOGICKÉ VLASTNOSTI</w:t>
      </w:r>
    </w:p>
    <w:p w14:paraId="4FC02F19" w14:textId="77777777" w:rsidR="00E504F6" w:rsidRPr="00C9068C" w:rsidRDefault="00E504F6" w:rsidP="00E504F6">
      <w:pPr>
        <w:spacing w:line="240" w:lineRule="auto"/>
        <w:rPr>
          <w:szCs w:val="22"/>
        </w:rPr>
      </w:pPr>
    </w:p>
    <w:p w14:paraId="4FC02F1A" w14:textId="77777777" w:rsidR="00E504F6" w:rsidRPr="00C9068C" w:rsidRDefault="006455D9" w:rsidP="00E504F6">
      <w:pPr>
        <w:pStyle w:val="ListParagraph"/>
        <w:numPr>
          <w:ilvl w:val="1"/>
          <w:numId w:val="28"/>
        </w:numPr>
        <w:spacing w:line="240" w:lineRule="auto"/>
        <w:ind w:hanging="930"/>
        <w:outlineLvl w:val="0"/>
        <w:rPr>
          <w:szCs w:val="22"/>
        </w:rPr>
      </w:pPr>
      <w:r w:rsidRPr="00C9068C">
        <w:rPr>
          <w:b/>
        </w:rPr>
        <w:t>Farmakodynamické vlastnosti</w:t>
      </w:r>
    </w:p>
    <w:p w14:paraId="4FC02F1B" w14:textId="77777777" w:rsidR="00E504F6" w:rsidRPr="00C9068C" w:rsidRDefault="00E504F6" w:rsidP="00E504F6">
      <w:pPr>
        <w:spacing w:line="240" w:lineRule="auto"/>
        <w:rPr>
          <w:szCs w:val="22"/>
        </w:rPr>
      </w:pPr>
    </w:p>
    <w:p w14:paraId="4FC02F1C" w14:textId="77777777" w:rsidR="00E504F6" w:rsidRPr="00C9068C" w:rsidRDefault="006455D9" w:rsidP="00E504F6">
      <w:pPr>
        <w:numPr>
          <w:ilvl w:val="12"/>
          <w:numId w:val="0"/>
        </w:numPr>
        <w:ind w:right="-2"/>
        <w:rPr>
          <w:szCs w:val="22"/>
        </w:rPr>
      </w:pPr>
      <w:r w:rsidRPr="00C9068C">
        <w:t>Farmakoterapeutická skupina: ostatní přípravky pro za</w:t>
      </w:r>
      <w:r w:rsidRPr="00C9068C">
        <w:t>žívací trakt a metabolismus, různé přípravky pro zažívací trakt a metabolismus, ATC kód: A16AX12.</w:t>
      </w:r>
    </w:p>
    <w:p w14:paraId="4FC02F1D" w14:textId="77777777" w:rsidR="00E504F6" w:rsidRPr="00C9068C" w:rsidRDefault="00E504F6" w:rsidP="00E504F6">
      <w:pPr>
        <w:numPr>
          <w:ilvl w:val="12"/>
          <w:numId w:val="0"/>
        </w:numPr>
        <w:ind w:right="-2"/>
        <w:rPr>
          <w:szCs w:val="22"/>
        </w:rPr>
      </w:pPr>
    </w:p>
    <w:p w14:paraId="4FC02F1E" w14:textId="77777777" w:rsidR="00E504F6" w:rsidRPr="00C9068C" w:rsidRDefault="006455D9" w:rsidP="00E504F6">
      <w:pPr>
        <w:keepNext/>
        <w:numPr>
          <w:ilvl w:val="12"/>
          <w:numId w:val="0"/>
        </w:numPr>
        <w:rPr>
          <w:szCs w:val="22"/>
          <w:u w:val="single"/>
        </w:rPr>
      </w:pPr>
      <w:r w:rsidRPr="00C9068C">
        <w:rPr>
          <w:u w:val="single"/>
        </w:rPr>
        <w:lastRenderedPageBreak/>
        <w:t xml:space="preserve">Mechanismus účinku </w:t>
      </w:r>
    </w:p>
    <w:p w14:paraId="4FC02F1F" w14:textId="77777777" w:rsidR="00E504F6" w:rsidRPr="00C9068C" w:rsidRDefault="006455D9" w:rsidP="00E504F6">
      <w:pPr>
        <w:numPr>
          <w:ilvl w:val="12"/>
          <w:numId w:val="0"/>
        </w:numPr>
        <w:ind w:right="-2"/>
        <w:rPr>
          <w:szCs w:val="22"/>
        </w:rPr>
      </w:pPr>
      <w:r w:rsidRPr="00C9068C">
        <w:t xml:space="preserve">Trientin je chelátotvorné činidlo k vyvazování mědi, jeho hlavním mechanismem účinku je eliminace absorbované mědi z organismu </w:t>
      </w:r>
      <w:r w:rsidRPr="00C9068C">
        <w:t>prostřednictvím tvorby stabilních komplexů, které jsou poté vylučovány močí. Trientin může také vyvazovat měď v gastrointestinálním traktu a inhibovat tak absorpci mědi.</w:t>
      </w:r>
    </w:p>
    <w:p w14:paraId="4FC02F20" w14:textId="77777777" w:rsidR="00E504F6" w:rsidRPr="00C9068C" w:rsidRDefault="00E504F6" w:rsidP="00E504F6">
      <w:pPr>
        <w:numPr>
          <w:ilvl w:val="12"/>
          <w:numId w:val="0"/>
        </w:numPr>
        <w:ind w:right="-2"/>
        <w:rPr>
          <w:iCs/>
          <w:szCs w:val="22"/>
        </w:rPr>
      </w:pPr>
    </w:p>
    <w:p w14:paraId="4FC02F21" w14:textId="77777777" w:rsidR="00E504F6" w:rsidRPr="00C9068C" w:rsidRDefault="006455D9" w:rsidP="00E504F6">
      <w:pPr>
        <w:pStyle w:val="ListParagraph"/>
        <w:numPr>
          <w:ilvl w:val="1"/>
          <w:numId w:val="28"/>
        </w:numPr>
        <w:spacing w:line="240" w:lineRule="auto"/>
        <w:ind w:hanging="930"/>
        <w:outlineLvl w:val="0"/>
        <w:rPr>
          <w:b/>
          <w:szCs w:val="22"/>
        </w:rPr>
      </w:pPr>
      <w:r w:rsidRPr="00C9068C">
        <w:rPr>
          <w:b/>
        </w:rPr>
        <w:t>Farmakokinetické vlastnosti</w:t>
      </w:r>
    </w:p>
    <w:p w14:paraId="4FC02F22" w14:textId="77777777" w:rsidR="00E504F6" w:rsidRPr="00C9068C" w:rsidRDefault="00E504F6" w:rsidP="00E504F6"/>
    <w:p w14:paraId="4FC02F23" w14:textId="77777777" w:rsidR="00E504F6" w:rsidRPr="00C9068C" w:rsidRDefault="006455D9" w:rsidP="00E504F6">
      <w:pPr>
        <w:rPr>
          <w:szCs w:val="22"/>
          <w:u w:val="single"/>
        </w:rPr>
      </w:pPr>
      <w:r w:rsidRPr="00C9068C">
        <w:rPr>
          <w:u w:val="single"/>
        </w:rPr>
        <w:t>Absorpce</w:t>
      </w:r>
    </w:p>
    <w:p w14:paraId="4FC02F24" w14:textId="77777777" w:rsidR="00E504F6" w:rsidRPr="00C9068C" w:rsidRDefault="006455D9" w:rsidP="00E504F6">
      <w:pPr>
        <w:rPr>
          <w:szCs w:val="22"/>
        </w:rPr>
      </w:pPr>
      <w:r w:rsidRPr="00C9068C">
        <w:t>Absorpce trientinu po perorálním podání je u pa</w:t>
      </w:r>
      <w:r w:rsidRPr="00C9068C">
        <w:t>cientů s Wilsonovou chorobou nízká a variabilní. Farmakokinetický profil přípravku Cuprior byl hodnocen po jediné perorální dávce 450, 600 a 750 mg trientinu u zdravých mužů a žen. Plazmatická hladina trientinu po podání rychle stoupá a mediánu vrcholové h</w:t>
      </w:r>
      <w:r w:rsidRPr="00C9068C">
        <w:t>ladiny dosáhne po 1,25 až 2 hodinách. Plazmatická koncentrace trientinu poté klesá vícefázovým způsobem, nejprve rychle a poté následuje fáze pomalejší eliminace. Celkový farmakokinetický profil byl podobný u mužů i žen, i když u mužů byla hladina trientin</w:t>
      </w:r>
      <w:r w:rsidRPr="00C9068C">
        <w:t xml:space="preserve">u vyšší. </w:t>
      </w:r>
    </w:p>
    <w:p w14:paraId="4FC02F25" w14:textId="77777777" w:rsidR="00E504F6" w:rsidRPr="00C9068C" w:rsidRDefault="00E504F6" w:rsidP="00E504F6">
      <w:pPr>
        <w:rPr>
          <w:szCs w:val="22"/>
        </w:rPr>
      </w:pPr>
    </w:p>
    <w:p w14:paraId="4FC02F26" w14:textId="77777777" w:rsidR="00E504F6" w:rsidRPr="00C9068C" w:rsidRDefault="006455D9" w:rsidP="00E504F6">
      <w:pPr>
        <w:rPr>
          <w:szCs w:val="22"/>
          <w:u w:val="single"/>
        </w:rPr>
      </w:pPr>
      <w:r w:rsidRPr="00C9068C">
        <w:rPr>
          <w:u w:val="single"/>
        </w:rPr>
        <w:t>Distribuce</w:t>
      </w:r>
    </w:p>
    <w:p w14:paraId="4FC02F27" w14:textId="77777777" w:rsidR="00E504F6" w:rsidRPr="00C9068C" w:rsidRDefault="006455D9" w:rsidP="00E504F6">
      <w:pPr>
        <w:rPr>
          <w:szCs w:val="22"/>
        </w:rPr>
      </w:pPr>
      <w:r w:rsidRPr="00C9068C">
        <w:t xml:space="preserve">O distribuci trientinu v orgánech a tkáních existuje jen málo informací. </w:t>
      </w:r>
    </w:p>
    <w:p w14:paraId="4FC02F28" w14:textId="77777777" w:rsidR="00E504F6" w:rsidRPr="00C9068C" w:rsidRDefault="00E504F6" w:rsidP="00E504F6">
      <w:pPr>
        <w:rPr>
          <w:szCs w:val="22"/>
        </w:rPr>
      </w:pPr>
    </w:p>
    <w:p w14:paraId="4FC02F29" w14:textId="77777777" w:rsidR="00E504F6" w:rsidRPr="00C9068C" w:rsidRDefault="006455D9" w:rsidP="00E504F6">
      <w:pPr>
        <w:rPr>
          <w:szCs w:val="22"/>
          <w:u w:val="single"/>
        </w:rPr>
      </w:pPr>
      <w:r w:rsidRPr="00C9068C">
        <w:rPr>
          <w:u w:val="single"/>
        </w:rPr>
        <w:t>Biotransformace</w:t>
      </w:r>
    </w:p>
    <w:p w14:paraId="4FC02F2A" w14:textId="77777777" w:rsidR="00E504F6" w:rsidRPr="00C9068C" w:rsidRDefault="006455D9" w:rsidP="00E504F6">
      <w:pPr>
        <w:rPr>
          <w:szCs w:val="22"/>
        </w:rPr>
      </w:pPr>
      <w:r w:rsidRPr="00C9068C">
        <w:t xml:space="preserve">Trientin je přeměňován acetylací na dva hlavní metabolity N(1)-acetyltriethylenetetramin (MAT) a N(1),N(10)-diacetyltriethylenetetramin (DAT). </w:t>
      </w:r>
      <w:r w:rsidRPr="00C9068C">
        <w:t>MAT se může také podílet na celkové klinické aktivitě přípravku Cuprior, i když podíl MAT na celkovém účinku přípravku Cuprior na hladinu mědi nebyl dosud stanoven.</w:t>
      </w:r>
    </w:p>
    <w:p w14:paraId="4FC02F2B" w14:textId="77777777" w:rsidR="00E504F6" w:rsidRPr="00C9068C" w:rsidRDefault="00E504F6" w:rsidP="00E504F6">
      <w:pPr>
        <w:rPr>
          <w:szCs w:val="22"/>
        </w:rPr>
      </w:pPr>
    </w:p>
    <w:p w14:paraId="4FC02F2C" w14:textId="77777777" w:rsidR="00E504F6" w:rsidRPr="00C9068C" w:rsidRDefault="006455D9" w:rsidP="00E504F6">
      <w:pPr>
        <w:rPr>
          <w:szCs w:val="22"/>
        </w:rPr>
      </w:pPr>
      <w:r w:rsidRPr="00C9068C">
        <w:rPr>
          <w:u w:val="single"/>
        </w:rPr>
        <w:t>Eliminace</w:t>
      </w:r>
    </w:p>
    <w:p w14:paraId="4FC02F2D" w14:textId="77777777" w:rsidR="00E504F6" w:rsidRPr="00C9068C" w:rsidRDefault="006455D9" w:rsidP="00E504F6">
      <w:pPr>
        <w:rPr>
          <w:szCs w:val="22"/>
        </w:rPr>
      </w:pPr>
      <w:r w:rsidRPr="00C9068C">
        <w:t>Trientin a jeho metabolity jsou rychle vylučovány močí, i když po 20 hodinách lz</w:t>
      </w:r>
      <w:r w:rsidRPr="00C9068C">
        <w:t>e stále zjistit nízkou hladinu trientinu v plazmě. Neabsorbovaný trientin se vylučuje stolicí.</w:t>
      </w:r>
    </w:p>
    <w:p w14:paraId="4FC02F2E" w14:textId="77777777" w:rsidR="00E504F6" w:rsidRPr="00C9068C" w:rsidRDefault="00E504F6" w:rsidP="00E504F6">
      <w:pPr>
        <w:rPr>
          <w:szCs w:val="22"/>
        </w:rPr>
      </w:pPr>
    </w:p>
    <w:p w14:paraId="4FC02F2F" w14:textId="77777777" w:rsidR="00E504F6" w:rsidRPr="00C9068C" w:rsidRDefault="006455D9" w:rsidP="00E504F6">
      <w:pPr>
        <w:rPr>
          <w:szCs w:val="22"/>
          <w:u w:val="single"/>
        </w:rPr>
      </w:pPr>
      <w:r w:rsidRPr="00C9068C">
        <w:rPr>
          <w:u w:val="single"/>
        </w:rPr>
        <w:t>Linearita/nelinearita</w:t>
      </w:r>
    </w:p>
    <w:p w14:paraId="4FC02F30" w14:textId="77777777" w:rsidR="00E504F6" w:rsidRPr="00C9068C" w:rsidRDefault="006455D9" w:rsidP="00E504F6">
      <w:pPr>
        <w:rPr>
          <w:szCs w:val="22"/>
        </w:rPr>
      </w:pPr>
      <w:r w:rsidRPr="00C9068C">
        <w:t>Plazmatická expozice u lidí vykázala lineární vztah s perorálními dávkami trientinu.</w:t>
      </w:r>
    </w:p>
    <w:p w14:paraId="4FC02F31" w14:textId="77777777" w:rsidR="00E504F6" w:rsidRPr="00C9068C" w:rsidRDefault="00E504F6" w:rsidP="00E504F6">
      <w:pPr>
        <w:numPr>
          <w:ilvl w:val="12"/>
          <w:numId w:val="0"/>
        </w:numPr>
        <w:spacing w:line="240" w:lineRule="auto"/>
        <w:ind w:right="-2"/>
        <w:rPr>
          <w:iCs/>
          <w:szCs w:val="22"/>
        </w:rPr>
      </w:pPr>
    </w:p>
    <w:p w14:paraId="4FC02F32" w14:textId="77777777" w:rsidR="00E504F6" w:rsidRPr="00C9068C" w:rsidRDefault="006455D9" w:rsidP="00E504F6">
      <w:pPr>
        <w:pStyle w:val="ListParagraph"/>
        <w:numPr>
          <w:ilvl w:val="1"/>
          <w:numId w:val="28"/>
        </w:numPr>
        <w:spacing w:line="240" w:lineRule="auto"/>
        <w:ind w:hanging="930"/>
        <w:outlineLvl w:val="0"/>
        <w:rPr>
          <w:b/>
          <w:szCs w:val="22"/>
        </w:rPr>
      </w:pPr>
      <w:r w:rsidRPr="00C9068C">
        <w:rPr>
          <w:b/>
        </w:rPr>
        <w:t xml:space="preserve">Předklinické údaje vztahující se </w:t>
      </w:r>
      <w:r w:rsidRPr="00C9068C">
        <w:rPr>
          <w:b/>
        </w:rPr>
        <w:t>k bezpečnosti</w:t>
      </w:r>
    </w:p>
    <w:p w14:paraId="4FC02F33" w14:textId="77777777" w:rsidR="00E504F6" w:rsidRPr="00C9068C" w:rsidRDefault="00E504F6" w:rsidP="00E504F6">
      <w:pPr>
        <w:spacing w:line="240" w:lineRule="auto"/>
        <w:rPr>
          <w:szCs w:val="22"/>
        </w:rPr>
      </w:pPr>
    </w:p>
    <w:p w14:paraId="4FC02F34" w14:textId="77777777" w:rsidR="00E504F6" w:rsidRPr="00C9068C" w:rsidRDefault="006455D9" w:rsidP="00E504F6">
      <w:pPr>
        <w:rPr>
          <w:szCs w:val="22"/>
        </w:rPr>
      </w:pPr>
      <w:r w:rsidRPr="00C9068C">
        <w:t xml:space="preserve">Předklinické údaje týkající se trientinu prokázaly nežádoucí účinky, které nebyly pozorovány v klinických studiích, avšak vyskytly se ve studiích na zvířatech při systémové expozici podobné expozici při klinickém podávání, a které mohou být </w:t>
      </w:r>
      <w:r w:rsidRPr="00C9068C">
        <w:t>důležité pro klinické použití:</w:t>
      </w:r>
    </w:p>
    <w:p w14:paraId="4FC02F35" w14:textId="77777777" w:rsidR="00E504F6" w:rsidRPr="00C9068C" w:rsidRDefault="00E504F6" w:rsidP="00E504F6">
      <w:pPr>
        <w:rPr>
          <w:szCs w:val="22"/>
        </w:rPr>
      </w:pPr>
    </w:p>
    <w:p w14:paraId="4FC02F36" w14:textId="77777777" w:rsidR="00E504F6" w:rsidRPr="00C9068C" w:rsidRDefault="006455D9" w:rsidP="00E504F6">
      <w:pPr>
        <w:rPr>
          <w:szCs w:val="22"/>
          <w:u w:val="single"/>
        </w:rPr>
      </w:pPr>
      <w:r w:rsidRPr="00C9068C">
        <w:rPr>
          <w:u w:val="single"/>
        </w:rPr>
        <w:t>Toxicita po opakovaném podávání</w:t>
      </w:r>
    </w:p>
    <w:p w14:paraId="4FC02F37" w14:textId="77777777" w:rsidR="00E504F6" w:rsidRPr="00C9068C" w:rsidRDefault="006455D9" w:rsidP="00E504F6">
      <w:pPr>
        <w:rPr>
          <w:szCs w:val="22"/>
        </w:rPr>
      </w:pPr>
      <w:r w:rsidRPr="00C9068C">
        <w:t xml:space="preserve">Trientin podaný myším v pitné vodě vykázal zvýšený výskyt zánětů plicního intersticia a periportální tukové infiltrace jater. Ve slezině samců byla zjištěna proliferace </w:t>
      </w:r>
      <w:r w:rsidRPr="00C9068C">
        <w:t>hematopoetických buněk. U samců byla zaznamenána snížená hmotnost ledvin a živá hmotnost a nižší incidence cytoplazmatické vakuolizace v ledvinách. NOAEL (hladina bez pozorovaných nežádoucích účinků) byla stanovena přibližně na 92 mg/kg/den u samců a 99 mg</w:t>
      </w:r>
      <w:r w:rsidRPr="00C9068C">
        <w:t>/kg/den u samic. U potkanů, kterým byly podávány perorální dávky trientinu 600 mg/kg/den po dobu 26 týdnů, z histopatologického vyšetření vyplynula incidence závis</w:t>
      </w:r>
      <w:r w:rsidRPr="00C9068C">
        <w:softHyphen/>
        <w:t>lá na dávce a závažnost fokální chronické intersticiální pneumonitidy spojené s fibrózou alv</w:t>
      </w:r>
      <w:r w:rsidRPr="00C9068C">
        <w:t xml:space="preserve">eolární stěny. Mikroskopické změny v plicích byly posouzeny jako známky perzistentní zánětlivé reakce nebo perzistentního toxického účinku na alveolární buňky. Vzhledem k tomu, že trientin vykazuje dráždivé účinky, odhadovalo se, že pozorovanou chronickou </w:t>
      </w:r>
      <w:r w:rsidRPr="00C9068C">
        <w:t>intersticiální pneumonitidu lze vysvětlit cytotoxickým účinkem trientinu po akumulaci v epiteliálních buňkách bronchiolů a v alveolárních pneumocytech. Tyto nálezy nebyly reverzibilní. Hladina NOAEL u potkanů byla stanovena na 50 mg/kg/den u samic, přičemž</w:t>
      </w:r>
      <w:r w:rsidRPr="00C9068C">
        <w:t xml:space="preserve"> u samců nebyla stanovena.</w:t>
      </w:r>
    </w:p>
    <w:p w14:paraId="4FC02F38" w14:textId="77777777" w:rsidR="00E504F6" w:rsidRPr="00C9068C" w:rsidRDefault="006455D9" w:rsidP="00E504F6">
      <w:pPr>
        <w:rPr>
          <w:szCs w:val="22"/>
        </w:rPr>
      </w:pPr>
      <w:r w:rsidRPr="00C9068C">
        <w:t xml:space="preserve">Psi, kterým byly podávány perorální dávky trientinu až do 300 mg/kg/den, vykázali ve studiích toxicity po opakovaném podávání neurologické a/nebo muskuloskeletální klinické příznaky (poruchy chůze, ataxie, slabost končetin, třes </w:t>
      </w:r>
      <w:r w:rsidRPr="00C9068C">
        <w:t xml:space="preserve">těla), které jsou přičítány účinkům trientinu na depleci mědi. </w:t>
      </w:r>
      <w:r w:rsidRPr="00C9068C">
        <w:lastRenderedPageBreak/>
        <w:t>Hladina NOAEL byla stanovena na 50 mg/kg/den, což vedlo k dosažení hranic bezpečnosti asi u 4 samců a u 17 samic vůči terapeutické expozici u lidí.</w:t>
      </w:r>
    </w:p>
    <w:p w14:paraId="4FC02F39" w14:textId="77777777" w:rsidR="00E504F6" w:rsidRPr="00C9068C" w:rsidRDefault="00E504F6" w:rsidP="00E504F6">
      <w:pPr>
        <w:rPr>
          <w:szCs w:val="22"/>
        </w:rPr>
      </w:pPr>
    </w:p>
    <w:p w14:paraId="4FC02F3A" w14:textId="77777777" w:rsidR="00E504F6" w:rsidRPr="00C9068C" w:rsidRDefault="006455D9" w:rsidP="00E504F6">
      <w:pPr>
        <w:keepNext/>
        <w:rPr>
          <w:szCs w:val="22"/>
          <w:u w:val="single"/>
        </w:rPr>
      </w:pPr>
      <w:r w:rsidRPr="00C9068C">
        <w:rPr>
          <w:u w:val="single"/>
        </w:rPr>
        <w:t>Genotoxicita</w:t>
      </w:r>
    </w:p>
    <w:p w14:paraId="4FC02F3B" w14:textId="77777777" w:rsidR="00E504F6" w:rsidRPr="00C9068C" w:rsidRDefault="006455D9" w:rsidP="00E504F6">
      <w:pPr>
        <w:rPr>
          <w:szCs w:val="22"/>
        </w:rPr>
      </w:pPr>
      <w:r w:rsidRPr="00C9068C">
        <w:t>Celkově vykázal trientin poziti</w:t>
      </w:r>
      <w:r w:rsidRPr="00C9068C">
        <w:t xml:space="preserve">vní výsledky ve studiích genotoxicity </w:t>
      </w:r>
      <w:r w:rsidRPr="00C9068C">
        <w:rPr>
          <w:i/>
        </w:rPr>
        <w:t>in vitro</w:t>
      </w:r>
      <w:r w:rsidRPr="00C9068C">
        <w:t xml:space="preserve">, včetně Amesova testu a testů genotoxicity u buněk savců. V testu </w:t>
      </w:r>
      <w:r w:rsidRPr="00C9068C">
        <w:rPr>
          <w:i/>
        </w:rPr>
        <w:t>in vivo</w:t>
      </w:r>
      <w:r w:rsidRPr="00C9068C">
        <w:t xml:space="preserve"> s mikrojádrem u myší byl ale trientin negativní.</w:t>
      </w:r>
    </w:p>
    <w:p w14:paraId="4FC02F3C" w14:textId="77777777" w:rsidR="00E504F6" w:rsidRPr="00C9068C" w:rsidRDefault="00E504F6" w:rsidP="00E504F6">
      <w:pPr>
        <w:rPr>
          <w:szCs w:val="22"/>
        </w:rPr>
      </w:pPr>
    </w:p>
    <w:p w14:paraId="4FC02F3D" w14:textId="77777777" w:rsidR="00E504F6" w:rsidRPr="00C9068C" w:rsidRDefault="006455D9" w:rsidP="00E504F6">
      <w:pPr>
        <w:rPr>
          <w:szCs w:val="22"/>
          <w:u w:val="single"/>
        </w:rPr>
      </w:pPr>
      <w:r w:rsidRPr="00C9068C">
        <w:rPr>
          <w:u w:val="single"/>
        </w:rPr>
        <w:t>Reprodukční a vývojová toxicita</w:t>
      </w:r>
    </w:p>
    <w:p w14:paraId="4FC02F3E" w14:textId="77777777" w:rsidR="00E504F6" w:rsidRPr="00C9068C" w:rsidRDefault="006455D9" w:rsidP="00E504F6">
      <w:pPr>
        <w:rPr>
          <w:szCs w:val="22"/>
        </w:rPr>
      </w:pPr>
      <w:r w:rsidRPr="00C9068C">
        <w:t>Když byli hlodavci krmeni po celou dobu březosti stra</w:t>
      </w:r>
      <w:r w:rsidRPr="00C9068C">
        <w:t xml:space="preserve">vou obsahující trientin, bylo zjištěno zvýšení výskytu resorpce a abnormálních plodů v termínu v závislosti na dávce. Účinky mohou být dány deficiencí mědi a zinku navozenou trientinem. </w:t>
      </w:r>
    </w:p>
    <w:p w14:paraId="4FC02F3F" w14:textId="77777777" w:rsidR="00E504F6" w:rsidRPr="00C9068C" w:rsidRDefault="00E504F6" w:rsidP="00E504F6">
      <w:pPr>
        <w:rPr>
          <w:szCs w:val="22"/>
        </w:rPr>
      </w:pPr>
    </w:p>
    <w:p w14:paraId="4FC02F40" w14:textId="77777777" w:rsidR="00E504F6" w:rsidRPr="00C9068C" w:rsidRDefault="006455D9" w:rsidP="00E504F6">
      <w:pPr>
        <w:rPr>
          <w:szCs w:val="22"/>
          <w:u w:val="single"/>
        </w:rPr>
      </w:pPr>
      <w:r w:rsidRPr="00C9068C">
        <w:rPr>
          <w:u w:val="single"/>
        </w:rPr>
        <w:t>Místní snášenlivost</w:t>
      </w:r>
    </w:p>
    <w:p w14:paraId="4FC02F41" w14:textId="77777777" w:rsidR="00E504F6" w:rsidRPr="00C9068C" w:rsidRDefault="006455D9" w:rsidP="00E504F6">
      <w:pPr>
        <w:rPr>
          <w:szCs w:val="22"/>
        </w:rPr>
      </w:pPr>
      <w:r w:rsidRPr="00C9068C">
        <w:t>Na základě údajů</w:t>
      </w:r>
      <w:r w:rsidRPr="00C9068C">
        <w:rPr>
          <w:i/>
        </w:rPr>
        <w:t xml:space="preserve"> in silico</w:t>
      </w:r>
      <w:r w:rsidRPr="00C9068C">
        <w:t xml:space="preserve"> lze předpokládat, že </w:t>
      </w:r>
      <w:r w:rsidRPr="00C9068C">
        <w:t>trientin vykazuje dráždivé a senzibilizační vlastnosti. Byly hlášeny pozitivní výsledky maximalizačních testů senzibilizačního potenciálu u morčat.</w:t>
      </w:r>
    </w:p>
    <w:p w14:paraId="4FC02F42" w14:textId="77777777" w:rsidR="00E504F6" w:rsidRPr="00C9068C" w:rsidRDefault="00E504F6" w:rsidP="00E504F6">
      <w:pPr>
        <w:spacing w:line="240" w:lineRule="auto"/>
        <w:rPr>
          <w:szCs w:val="22"/>
        </w:rPr>
      </w:pPr>
    </w:p>
    <w:p w14:paraId="4FC02F43" w14:textId="77777777" w:rsidR="00E504F6" w:rsidRPr="00C9068C" w:rsidRDefault="00E504F6" w:rsidP="00E504F6">
      <w:pPr>
        <w:spacing w:line="240" w:lineRule="auto"/>
        <w:rPr>
          <w:szCs w:val="22"/>
        </w:rPr>
      </w:pPr>
    </w:p>
    <w:p w14:paraId="4FC02F44" w14:textId="77777777" w:rsidR="00E504F6" w:rsidRPr="00C9068C" w:rsidRDefault="006455D9" w:rsidP="00E504F6">
      <w:pPr>
        <w:pStyle w:val="ListParagraph"/>
        <w:numPr>
          <w:ilvl w:val="0"/>
          <w:numId w:val="28"/>
        </w:numPr>
        <w:spacing w:line="240" w:lineRule="auto"/>
        <w:ind w:hanging="930"/>
        <w:rPr>
          <w:b/>
        </w:rPr>
      </w:pPr>
      <w:r w:rsidRPr="00C9068C">
        <w:rPr>
          <w:b/>
        </w:rPr>
        <w:t>FARMACEUTICKÉ ÚDAJE</w:t>
      </w:r>
    </w:p>
    <w:p w14:paraId="4FC02F45" w14:textId="77777777" w:rsidR="00E504F6" w:rsidRPr="00C9068C" w:rsidRDefault="00E504F6" w:rsidP="00E504F6">
      <w:pPr>
        <w:spacing w:line="240" w:lineRule="auto"/>
        <w:rPr>
          <w:szCs w:val="22"/>
        </w:rPr>
      </w:pPr>
    </w:p>
    <w:p w14:paraId="4FC02F46" w14:textId="77777777" w:rsidR="00E504F6" w:rsidRPr="00C9068C" w:rsidRDefault="006455D9" w:rsidP="00E504F6">
      <w:pPr>
        <w:pStyle w:val="ListParagraph"/>
        <w:numPr>
          <w:ilvl w:val="1"/>
          <w:numId w:val="28"/>
        </w:numPr>
        <w:spacing w:line="240" w:lineRule="auto"/>
        <w:ind w:hanging="930"/>
        <w:outlineLvl w:val="0"/>
        <w:rPr>
          <w:b/>
          <w:szCs w:val="22"/>
        </w:rPr>
      </w:pPr>
      <w:r w:rsidRPr="00C9068C">
        <w:rPr>
          <w:b/>
        </w:rPr>
        <w:t>Seznam pomocných látek</w:t>
      </w:r>
    </w:p>
    <w:p w14:paraId="4FC02F47" w14:textId="77777777" w:rsidR="00E504F6" w:rsidRPr="00C9068C" w:rsidRDefault="00E504F6" w:rsidP="00E504F6">
      <w:pPr>
        <w:spacing w:line="240" w:lineRule="auto"/>
        <w:rPr>
          <w:i/>
          <w:szCs w:val="22"/>
        </w:rPr>
      </w:pPr>
    </w:p>
    <w:p w14:paraId="4FC02F48" w14:textId="77777777" w:rsidR="00E504F6" w:rsidRDefault="006455D9" w:rsidP="00E504F6">
      <w:r>
        <w:t>Jádro tablety:</w:t>
      </w:r>
    </w:p>
    <w:p w14:paraId="4FC02F49" w14:textId="4AB68E3E" w:rsidR="00E504F6" w:rsidRPr="00C9068C" w:rsidRDefault="006455D9" w:rsidP="00E504F6">
      <w:pPr>
        <w:rPr>
          <w:szCs w:val="22"/>
        </w:rPr>
      </w:pPr>
      <w:r w:rsidRPr="00C9068C">
        <w:t>Mannitol</w:t>
      </w:r>
    </w:p>
    <w:p w14:paraId="4FC02F4A" w14:textId="587BB0C5" w:rsidR="00E504F6" w:rsidRPr="00C9068C" w:rsidRDefault="006455D9" w:rsidP="00E504F6">
      <w:pPr>
        <w:rPr>
          <w:szCs w:val="22"/>
        </w:rPr>
      </w:pPr>
      <w:r w:rsidRPr="00C9068C">
        <w:t>Koloidní bezvodý oxid křemičitý</w:t>
      </w:r>
    </w:p>
    <w:p w14:paraId="4FC02F4B" w14:textId="1C396403" w:rsidR="00E504F6" w:rsidRDefault="006455D9" w:rsidP="00E504F6">
      <w:r w:rsidRPr="00C9068C">
        <w:t>Glyce</w:t>
      </w:r>
      <w:r w:rsidRPr="00C9068C">
        <w:t>rol-dibehenát</w:t>
      </w:r>
    </w:p>
    <w:p w14:paraId="4FC02F4C" w14:textId="77777777" w:rsidR="00E504F6" w:rsidRDefault="00E504F6" w:rsidP="00E504F6"/>
    <w:p w14:paraId="4FC02F4D" w14:textId="77777777" w:rsidR="00E504F6" w:rsidRPr="00BD66C5" w:rsidRDefault="006455D9" w:rsidP="00E504F6">
      <w:pPr>
        <w:rPr>
          <w:noProof/>
          <w:szCs w:val="22"/>
          <w:u w:val="single"/>
        </w:rPr>
      </w:pPr>
      <w:r w:rsidRPr="00BD66C5">
        <w:rPr>
          <w:noProof/>
          <w:szCs w:val="22"/>
          <w:u w:val="single"/>
        </w:rPr>
        <w:t>Potah tablety:</w:t>
      </w:r>
    </w:p>
    <w:p w14:paraId="4FC02F4E" w14:textId="60BE96E3" w:rsidR="00E504F6" w:rsidRPr="00BD66C5" w:rsidRDefault="006455D9" w:rsidP="00E504F6">
      <w:pPr>
        <w:rPr>
          <w:noProof/>
          <w:szCs w:val="22"/>
        </w:rPr>
      </w:pPr>
      <w:r w:rsidRPr="00BD66C5">
        <w:rPr>
          <w:noProof/>
          <w:szCs w:val="22"/>
        </w:rPr>
        <w:t>Polyvinylalkohol</w:t>
      </w:r>
    </w:p>
    <w:p w14:paraId="4FC02F4F" w14:textId="07073065" w:rsidR="00E504F6" w:rsidRPr="00BD66C5" w:rsidRDefault="006455D9" w:rsidP="00E504F6">
      <w:pPr>
        <w:rPr>
          <w:noProof/>
          <w:szCs w:val="22"/>
        </w:rPr>
      </w:pPr>
      <w:r w:rsidRPr="00BD66C5">
        <w:rPr>
          <w:noProof/>
          <w:szCs w:val="22"/>
        </w:rPr>
        <w:t>Mastek</w:t>
      </w:r>
    </w:p>
    <w:p w14:paraId="4FC02F50" w14:textId="3B44B78F" w:rsidR="00E504F6" w:rsidRPr="00BD66C5" w:rsidRDefault="006455D9" w:rsidP="00E504F6">
      <w:pPr>
        <w:rPr>
          <w:noProof/>
          <w:szCs w:val="22"/>
        </w:rPr>
      </w:pPr>
      <w:r w:rsidRPr="00BD66C5">
        <w:rPr>
          <w:noProof/>
          <w:szCs w:val="22"/>
        </w:rPr>
        <w:t>Oxid titaničitý</w:t>
      </w:r>
      <w:r w:rsidR="00614344" w:rsidRPr="00BD66C5">
        <w:rPr>
          <w:noProof/>
          <w:szCs w:val="22"/>
        </w:rPr>
        <w:t xml:space="preserve"> </w:t>
      </w:r>
      <w:r w:rsidRPr="00BD66C5">
        <w:rPr>
          <w:noProof/>
          <w:szCs w:val="22"/>
        </w:rPr>
        <w:t>(E171)</w:t>
      </w:r>
    </w:p>
    <w:p w14:paraId="4FC02F51" w14:textId="68084F3B" w:rsidR="00E504F6" w:rsidRPr="00BD66C5" w:rsidRDefault="006455D9" w:rsidP="00E504F6">
      <w:pPr>
        <w:rPr>
          <w:noProof/>
          <w:szCs w:val="22"/>
        </w:rPr>
      </w:pPr>
      <w:r w:rsidRPr="00BD66C5">
        <w:rPr>
          <w:noProof/>
          <w:szCs w:val="22"/>
        </w:rPr>
        <w:t>Glycerol</w:t>
      </w:r>
      <w:r w:rsidR="00F90E0F" w:rsidRPr="00BD66C5">
        <w:rPr>
          <w:noProof/>
          <w:szCs w:val="22"/>
        </w:rPr>
        <w:t>-</w:t>
      </w:r>
      <w:r w:rsidRPr="00BD66C5">
        <w:rPr>
          <w:noProof/>
          <w:szCs w:val="22"/>
        </w:rPr>
        <w:t>mono</w:t>
      </w:r>
      <w:r w:rsidR="00F90E0F" w:rsidRPr="00BD66C5">
        <w:rPr>
          <w:noProof/>
          <w:szCs w:val="22"/>
        </w:rPr>
        <w:t>oktanodekano</w:t>
      </w:r>
      <w:r w:rsidRPr="00BD66C5">
        <w:rPr>
          <w:noProof/>
          <w:szCs w:val="22"/>
        </w:rPr>
        <w:t>át (typ I)</w:t>
      </w:r>
    </w:p>
    <w:p w14:paraId="4FC02F52" w14:textId="546CCF4F" w:rsidR="00E504F6" w:rsidRPr="00BD66C5" w:rsidRDefault="006455D9" w:rsidP="00E504F6">
      <w:pPr>
        <w:rPr>
          <w:noProof/>
          <w:szCs w:val="22"/>
        </w:rPr>
      </w:pPr>
      <w:r w:rsidRPr="00BD66C5">
        <w:rPr>
          <w:noProof/>
          <w:szCs w:val="22"/>
        </w:rPr>
        <w:t>Žlutý oxid železitý (E172)</w:t>
      </w:r>
    </w:p>
    <w:p w14:paraId="4FC02F53" w14:textId="2EAB7D96" w:rsidR="00E504F6" w:rsidRPr="00CF30F4" w:rsidRDefault="006455D9" w:rsidP="00E504F6">
      <w:pPr>
        <w:rPr>
          <w:noProof/>
          <w:szCs w:val="22"/>
        </w:rPr>
      </w:pPr>
      <w:r w:rsidRPr="00BD66C5">
        <w:rPr>
          <w:noProof/>
          <w:szCs w:val="22"/>
        </w:rPr>
        <w:t>Natrium-lauryl-sulf</w:t>
      </w:r>
      <w:r w:rsidR="003E6709" w:rsidRPr="00BD66C5">
        <w:rPr>
          <w:noProof/>
          <w:szCs w:val="22"/>
        </w:rPr>
        <w:t>át</w:t>
      </w:r>
      <w:r w:rsidRPr="00BD66C5">
        <w:rPr>
          <w:noProof/>
          <w:szCs w:val="22"/>
        </w:rPr>
        <w:t>.</w:t>
      </w:r>
    </w:p>
    <w:p w14:paraId="4FC02F54" w14:textId="77777777" w:rsidR="00E504F6" w:rsidRPr="00C9068C" w:rsidRDefault="00E504F6" w:rsidP="00E504F6">
      <w:pPr>
        <w:rPr>
          <w:szCs w:val="22"/>
        </w:rPr>
      </w:pPr>
    </w:p>
    <w:p w14:paraId="4FC02F55" w14:textId="77777777" w:rsidR="00E504F6" w:rsidRPr="00C9068C" w:rsidRDefault="00E504F6" w:rsidP="00E504F6">
      <w:pPr>
        <w:spacing w:line="240" w:lineRule="auto"/>
        <w:rPr>
          <w:szCs w:val="22"/>
        </w:rPr>
      </w:pPr>
    </w:p>
    <w:p w14:paraId="4FC02F56" w14:textId="77777777" w:rsidR="00E504F6" w:rsidRPr="00C9068C" w:rsidRDefault="006455D9" w:rsidP="00E504F6">
      <w:pPr>
        <w:pStyle w:val="ListParagraph"/>
        <w:numPr>
          <w:ilvl w:val="1"/>
          <w:numId w:val="28"/>
        </w:numPr>
        <w:spacing w:line="240" w:lineRule="auto"/>
        <w:ind w:hanging="930"/>
        <w:outlineLvl w:val="0"/>
        <w:rPr>
          <w:b/>
          <w:szCs w:val="22"/>
        </w:rPr>
      </w:pPr>
      <w:r w:rsidRPr="00C9068C">
        <w:rPr>
          <w:b/>
        </w:rPr>
        <w:t>Inkompatibility</w:t>
      </w:r>
    </w:p>
    <w:p w14:paraId="4FC02F57" w14:textId="77777777" w:rsidR="00E504F6" w:rsidRPr="00C9068C" w:rsidRDefault="00E504F6" w:rsidP="00E504F6">
      <w:pPr>
        <w:spacing w:line="240" w:lineRule="auto"/>
        <w:rPr>
          <w:szCs w:val="22"/>
        </w:rPr>
      </w:pPr>
    </w:p>
    <w:p w14:paraId="4FC02F58" w14:textId="77777777" w:rsidR="00E504F6" w:rsidRPr="00C9068C" w:rsidRDefault="006455D9" w:rsidP="00E504F6">
      <w:pPr>
        <w:rPr>
          <w:szCs w:val="22"/>
        </w:rPr>
      </w:pPr>
      <w:r w:rsidRPr="00C9068C">
        <w:t>Neuplatňuje se.</w:t>
      </w:r>
    </w:p>
    <w:p w14:paraId="4FC02F59" w14:textId="77777777" w:rsidR="00E504F6" w:rsidRPr="00C9068C" w:rsidRDefault="00E504F6" w:rsidP="00E504F6">
      <w:pPr>
        <w:spacing w:line="240" w:lineRule="auto"/>
        <w:rPr>
          <w:szCs w:val="22"/>
        </w:rPr>
      </w:pPr>
    </w:p>
    <w:p w14:paraId="4FC02F5A" w14:textId="77777777" w:rsidR="00E504F6" w:rsidRPr="00C9068C" w:rsidRDefault="006455D9" w:rsidP="00E504F6">
      <w:pPr>
        <w:pStyle w:val="ListParagraph"/>
        <w:numPr>
          <w:ilvl w:val="1"/>
          <w:numId w:val="28"/>
        </w:numPr>
        <w:spacing w:line="240" w:lineRule="auto"/>
        <w:ind w:hanging="930"/>
        <w:outlineLvl w:val="0"/>
        <w:rPr>
          <w:b/>
          <w:szCs w:val="22"/>
        </w:rPr>
      </w:pPr>
      <w:r w:rsidRPr="00C9068C">
        <w:rPr>
          <w:b/>
        </w:rPr>
        <w:t>Doba použitelnosti</w:t>
      </w:r>
    </w:p>
    <w:p w14:paraId="4FC02F5B" w14:textId="77777777" w:rsidR="00E504F6" w:rsidRPr="00C9068C" w:rsidRDefault="00E504F6" w:rsidP="00E504F6">
      <w:pPr>
        <w:spacing w:line="240" w:lineRule="auto"/>
        <w:rPr>
          <w:szCs w:val="22"/>
        </w:rPr>
      </w:pPr>
    </w:p>
    <w:p w14:paraId="4FC02F5C" w14:textId="45C1FEA6" w:rsidR="00E504F6" w:rsidRPr="00C9068C" w:rsidRDefault="006455D9" w:rsidP="00E504F6">
      <w:pPr>
        <w:rPr>
          <w:szCs w:val="22"/>
        </w:rPr>
      </w:pPr>
      <w:r>
        <w:t>30</w:t>
      </w:r>
      <w:r w:rsidRPr="00C9068C">
        <w:t> </w:t>
      </w:r>
      <w:r w:rsidR="00D83D73" w:rsidRPr="00C9068C">
        <w:t>měsíců</w:t>
      </w:r>
    </w:p>
    <w:p w14:paraId="4FC02F5D" w14:textId="77777777" w:rsidR="00E504F6" w:rsidRPr="00C9068C" w:rsidRDefault="00E504F6" w:rsidP="00E504F6">
      <w:pPr>
        <w:spacing w:line="240" w:lineRule="auto"/>
        <w:rPr>
          <w:szCs w:val="22"/>
        </w:rPr>
      </w:pPr>
    </w:p>
    <w:p w14:paraId="4FC02F5E" w14:textId="77777777" w:rsidR="00E504F6" w:rsidRPr="00C9068C" w:rsidRDefault="006455D9" w:rsidP="00E504F6">
      <w:pPr>
        <w:pStyle w:val="ListParagraph"/>
        <w:numPr>
          <w:ilvl w:val="1"/>
          <w:numId w:val="28"/>
        </w:numPr>
        <w:spacing w:line="240" w:lineRule="auto"/>
        <w:ind w:hanging="930"/>
        <w:outlineLvl w:val="0"/>
        <w:rPr>
          <w:b/>
          <w:szCs w:val="22"/>
        </w:rPr>
      </w:pPr>
      <w:r w:rsidRPr="00C9068C">
        <w:rPr>
          <w:b/>
        </w:rPr>
        <w:t xml:space="preserve">Zvláštní opatření pro </w:t>
      </w:r>
      <w:r w:rsidRPr="00C9068C">
        <w:rPr>
          <w:b/>
        </w:rPr>
        <w:t>uchovávání</w:t>
      </w:r>
    </w:p>
    <w:p w14:paraId="4FC02F5F" w14:textId="77777777" w:rsidR="00E504F6" w:rsidRPr="00C9068C" w:rsidRDefault="00E504F6" w:rsidP="00E504F6"/>
    <w:p w14:paraId="4FC02F60" w14:textId="77777777" w:rsidR="00E504F6" w:rsidRPr="00C9068C" w:rsidRDefault="006455D9" w:rsidP="00E504F6">
      <w:pPr>
        <w:rPr>
          <w:szCs w:val="22"/>
        </w:rPr>
      </w:pPr>
      <w:r w:rsidRPr="00C9068C">
        <w:t>Tento přípravek nevyžaduje žádné zvláštní podmínky uchovávání.</w:t>
      </w:r>
    </w:p>
    <w:p w14:paraId="4FC02F61" w14:textId="77777777" w:rsidR="00E504F6" w:rsidRPr="00C9068C" w:rsidRDefault="00E504F6" w:rsidP="00E504F6">
      <w:pPr>
        <w:spacing w:line="240" w:lineRule="auto"/>
        <w:rPr>
          <w:szCs w:val="22"/>
        </w:rPr>
      </w:pPr>
    </w:p>
    <w:p w14:paraId="4FC02F62" w14:textId="77777777" w:rsidR="00E504F6" w:rsidRPr="00C9068C" w:rsidRDefault="006455D9" w:rsidP="00E504F6">
      <w:pPr>
        <w:pStyle w:val="ListParagraph"/>
        <w:numPr>
          <w:ilvl w:val="1"/>
          <w:numId w:val="28"/>
        </w:numPr>
        <w:spacing w:line="240" w:lineRule="auto"/>
        <w:ind w:hanging="930"/>
        <w:outlineLvl w:val="0"/>
        <w:rPr>
          <w:b/>
          <w:szCs w:val="22"/>
        </w:rPr>
      </w:pPr>
      <w:r w:rsidRPr="00C9068C">
        <w:rPr>
          <w:b/>
        </w:rPr>
        <w:t xml:space="preserve">Druh obalu a obsah balení </w:t>
      </w:r>
    </w:p>
    <w:p w14:paraId="4FC02F63" w14:textId="77777777" w:rsidR="00E504F6" w:rsidRPr="00C9068C" w:rsidRDefault="00E504F6" w:rsidP="00E504F6"/>
    <w:p w14:paraId="4FC02F64" w14:textId="77777777" w:rsidR="00E504F6" w:rsidRPr="00C9068C" w:rsidRDefault="006455D9" w:rsidP="00E504F6">
      <w:pPr>
        <w:pStyle w:val="Default"/>
        <w:rPr>
          <w:sz w:val="22"/>
          <w:szCs w:val="22"/>
        </w:rPr>
      </w:pPr>
      <w:r w:rsidRPr="00C9068C">
        <w:rPr>
          <w:sz w:val="22"/>
        </w:rPr>
        <w:t xml:space="preserve">OPA/Al/PVC-Al blistry, z nichž každý obsahuje 8 </w:t>
      </w:r>
      <w:r w:rsidR="003E6709">
        <w:rPr>
          <w:sz w:val="22"/>
        </w:rPr>
        <w:t xml:space="preserve">potahovaných </w:t>
      </w:r>
      <w:r w:rsidRPr="00C9068C">
        <w:rPr>
          <w:sz w:val="22"/>
        </w:rPr>
        <w:t>tablet.</w:t>
      </w:r>
    </w:p>
    <w:p w14:paraId="4FC02F65" w14:textId="587A4E68" w:rsidR="00E504F6" w:rsidRDefault="006455D9" w:rsidP="00E504F6">
      <w:r w:rsidRPr="00C9068C">
        <w:t>Velikost balení: 72 </w:t>
      </w:r>
      <w:r w:rsidR="00C40E78" w:rsidRPr="00C40E78">
        <w:t xml:space="preserve">nebo 96 potahovaných </w:t>
      </w:r>
      <w:r w:rsidRPr="00C9068C">
        <w:t>tablet.</w:t>
      </w:r>
    </w:p>
    <w:p w14:paraId="671ECD09" w14:textId="5B543C78" w:rsidR="00C40E78" w:rsidRPr="00C9068C" w:rsidRDefault="006455D9" w:rsidP="00E504F6">
      <w:pPr>
        <w:rPr>
          <w:szCs w:val="22"/>
        </w:rPr>
      </w:pPr>
      <w:r w:rsidRPr="00C40E78">
        <w:rPr>
          <w:szCs w:val="22"/>
        </w:rPr>
        <w:t xml:space="preserve">Na trhu nemusí být všechny </w:t>
      </w:r>
      <w:r w:rsidRPr="00C40E78">
        <w:rPr>
          <w:szCs w:val="22"/>
        </w:rPr>
        <w:t>velikosti balení.</w:t>
      </w:r>
    </w:p>
    <w:p w14:paraId="4FC02F66" w14:textId="77777777" w:rsidR="00E504F6" w:rsidRPr="00C9068C" w:rsidRDefault="00E504F6" w:rsidP="00E504F6">
      <w:pPr>
        <w:spacing w:line="240" w:lineRule="auto"/>
        <w:rPr>
          <w:szCs w:val="22"/>
        </w:rPr>
      </w:pPr>
    </w:p>
    <w:p w14:paraId="4FC02F67" w14:textId="77777777" w:rsidR="00E504F6" w:rsidRPr="00C9068C" w:rsidRDefault="006455D9" w:rsidP="00E504F6">
      <w:pPr>
        <w:pStyle w:val="ListParagraph"/>
        <w:numPr>
          <w:ilvl w:val="1"/>
          <w:numId w:val="28"/>
        </w:numPr>
        <w:spacing w:line="240" w:lineRule="auto"/>
        <w:ind w:hanging="930"/>
        <w:outlineLvl w:val="0"/>
        <w:rPr>
          <w:b/>
          <w:szCs w:val="22"/>
        </w:rPr>
      </w:pPr>
      <w:bookmarkStart w:id="2" w:name="OLE_LINK1"/>
      <w:r w:rsidRPr="00C9068C">
        <w:rPr>
          <w:b/>
        </w:rPr>
        <w:t xml:space="preserve">Zvláštní opatření pro likvidaci přípravku </w:t>
      </w:r>
    </w:p>
    <w:p w14:paraId="4FC02F68" w14:textId="77777777" w:rsidR="00E504F6" w:rsidRPr="00C9068C" w:rsidRDefault="00E504F6" w:rsidP="00E504F6">
      <w:pPr>
        <w:spacing w:line="240" w:lineRule="auto"/>
        <w:rPr>
          <w:szCs w:val="22"/>
        </w:rPr>
      </w:pPr>
    </w:p>
    <w:p w14:paraId="4FC02F69" w14:textId="77777777" w:rsidR="00E504F6" w:rsidRPr="00C9068C" w:rsidRDefault="006455D9" w:rsidP="00E504F6">
      <w:pPr>
        <w:rPr>
          <w:szCs w:val="22"/>
        </w:rPr>
      </w:pPr>
      <w:r w:rsidRPr="00C9068C">
        <w:t>Žádné zvláštní požadavky.</w:t>
      </w:r>
    </w:p>
    <w:p w14:paraId="4FC02F6A" w14:textId="77777777" w:rsidR="00E504F6" w:rsidRPr="00C9068C" w:rsidRDefault="00E504F6" w:rsidP="00E504F6">
      <w:pPr>
        <w:spacing w:line="240" w:lineRule="auto"/>
        <w:rPr>
          <w:szCs w:val="22"/>
        </w:rPr>
      </w:pPr>
    </w:p>
    <w:bookmarkEnd w:id="2"/>
    <w:p w14:paraId="4FC02F6B" w14:textId="77777777" w:rsidR="00E504F6" w:rsidRPr="00C9068C" w:rsidRDefault="00E504F6" w:rsidP="00E504F6">
      <w:pPr>
        <w:spacing w:line="240" w:lineRule="auto"/>
        <w:rPr>
          <w:szCs w:val="22"/>
        </w:rPr>
      </w:pPr>
    </w:p>
    <w:p w14:paraId="4FC02F6C" w14:textId="77777777" w:rsidR="00E504F6" w:rsidRPr="00C9068C" w:rsidRDefault="006455D9" w:rsidP="00E504F6">
      <w:pPr>
        <w:pStyle w:val="ListParagraph"/>
        <w:numPr>
          <w:ilvl w:val="0"/>
          <w:numId w:val="28"/>
        </w:numPr>
        <w:spacing w:line="240" w:lineRule="auto"/>
        <w:ind w:hanging="930"/>
        <w:rPr>
          <w:b/>
        </w:rPr>
      </w:pPr>
      <w:r w:rsidRPr="00C9068C">
        <w:rPr>
          <w:b/>
        </w:rPr>
        <w:t>DRŽITEL ROZHODNUTÍ O REGISTRACI</w:t>
      </w:r>
    </w:p>
    <w:p w14:paraId="4FC02F6D" w14:textId="77777777" w:rsidR="00E504F6" w:rsidRPr="00C9068C" w:rsidRDefault="00E504F6" w:rsidP="00E504F6">
      <w:pPr>
        <w:spacing w:line="240" w:lineRule="auto"/>
        <w:rPr>
          <w:szCs w:val="22"/>
        </w:rPr>
      </w:pPr>
    </w:p>
    <w:p w14:paraId="4FC02F6E" w14:textId="4B60E529" w:rsidR="00E504F6" w:rsidRPr="00C9068C" w:rsidRDefault="007609DA" w:rsidP="00E504F6">
      <w:pPr>
        <w:rPr>
          <w:szCs w:val="22"/>
        </w:rPr>
      </w:pPr>
      <w:proofErr w:type="spellStart"/>
      <w:r>
        <w:t>Orphalan</w:t>
      </w:r>
      <w:proofErr w:type="spellEnd"/>
    </w:p>
    <w:p w14:paraId="4636E820" w14:textId="77777777" w:rsidR="00012F06" w:rsidRPr="002503BA" w:rsidRDefault="006455D9" w:rsidP="00012F06">
      <w:pPr>
        <w:rPr>
          <w:szCs w:val="22"/>
          <w:lang w:val="fr-FR"/>
        </w:rPr>
      </w:pPr>
      <w:r w:rsidRPr="002503BA">
        <w:rPr>
          <w:szCs w:val="22"/>
          <w:lang w:val="fr-FR"/>
        </w:rPr>
        <w:t>226 Boulevard Voltaire</w:t>
      </w:r>
    </w:p>
    <w:p w14:paraId="4373E8D2" w14:textId="77777777" w:rsidR="00012F06" w:rsidRPr="0036776A" w:rsidRDefault="006455D9" w:rsidP="00012F06">
      <w:pPr>
        <w:rPr>
          <w:szCs w:val="22"/>
          <w:lang w:val="fr-FR"/>
        </w:rPr>
      </w:pPr>
      <w:r w:rsidRPr="002503BA">
        <w:rPr>
          <w:szCs w:val="22"/>
          <w:lang w:val="fr-FR"/>
        </w:rPr>
        <w:t>75011 Paris</w:t>
      </w:r>
    </w:p>
    <w:p w14:paraId="4FC02F72" w14:textId="77777777" w:rsidR="00E504F6" w:rsidRPr="00C9068C" w:rsidRDefault="006455D9" w:rsidP="00E504F6">
      <w:pPr>
        <w:rPr>
          <w:szCs w:val="22"/>
        </w:rPr>
      </w:pPr>
      <w:r w:rsidRPr="00C9068C">
        <w:t>Francie</w:t>
      </w:r>
    </w:p>
    <w:p w14:paraId="4FC02F73" w14:textId="77777777" w:rsidR="00E504F6" w:rsidRPr="00C9068C" w:rsidRDefault="00E504F6" w:rsidP="00E504F6">
      <w:pPr>
        <w:spacing w:line="240" w:lineRule="auto"/>
        <w:rPr>
          <w:szCs w:val="22"/>
        </w:rPr>
      </w:pPr>
    </w:p>
    <w:p w14:paraId="4FC02F74" w14:textId="77777777" w:rsidR="00E504F6" w:rsidRPr="00C9068C" w:rsidRDefault="00E504F6" w:rsidP="00E504F6">
      <w:pPr>
        <w:spacing w:line="240" w:lineRule="auto"/>
        <w:rPr>
          <w:szCs w:val="22"/>
        </w:rPr>
      </w:pPr>
    </w:p>
    <w:p w14:paraId="4FC02F75" w14:textId="77777777" w:rsidR="00E504F6" w:rsidRPr="00C9068C" w:rsidRDefault="006455D9" w:rsidP="00E504F6">
      <w:pPr>
        <w:pStyle w:val="ListParagraph"/>
        <w:numPr>
          <w:ilvl w:val="0"/>
          <w:numId w:val="28"/>
        </w:numPr>
        <w:spacing w:line="240" w:lineRule="auto"/>
        <w:ind w:hanging="930"/>
        <w:rPr>
          <w:b/>
        </w:rPr>
      </w:pPr>
      <w:r w:rsidRPr="00C9068C">
        <w:rPr>
          <w:b/>
        </w:rPr>
        <w:t xml:space="preserve">REGISTRAČNÍ ČÍSLO(A) </w:t>
      </w:r>
    </w:p>
    <w:p w14:paraId="4FC02F76" w14:textId="77777777" w:rsidR="00E504F6" w:rsidRPr="00C9068C" w:rsidRDefault="00E504F6" w:rsidP="00E504F6">
      <w:pPr>
        <w:spacing w:line="240" w:lineRule="auto"/>
        <w:ind w:left="567" w:hanging="567"/>
        <w:rPr>
          <w:b/>
          <w:szCs w:val="22"/>
        </w:rPr>
      </w:pPr>
    </w:p>
    <w:p w14:paraId="0F79CD30" w14:textId="77777777" w:rsidR="006C35A6" w:rsidRPr="00C40E78" w:rsidRDefault="006455D9" w:rsidP="006C35A6">
      <w:pPr>
        <w:spacing w:line="240" w:lineRule="auto"/>
        <w:rPr>
          <w:rFonts w:cs="Verdana"/>
          <w:color w:val="000000"/>
        </w:rPr>
      </w:pPr>
      <w:r>
        <w:rPr>
          <w:rFonts w:cs="Verdana"/>
          <w:color w:val="000000"/>
        </w:rPr>
        <w:t xml:space="preserve">EU/1/17/1199/001 </w:t>
      </w:r>
      <w:r w:rsidRPr="00C40E78">
        <w:rPr>
          <w:rFonts w:cs="Verdana"/>
          <w:color w:val="000000"/>
        </w:rPr>
        <w:t>72 potahovaných tablet</w:t>
      </w:r>
    </w:p>
    <w:p w14:paraId="4FC02F77" w14:textId="56AD2D4D" w:rsidR="00D83D73" w:rsidRDefault="006455D9" w:rsidP="00D83D73">
      <w:pPr>
        <w:spacing w:line="240" w:lineRule="auto"/>
        <w:rPr>
          <w:rFonts w:cs="Verdana"/>
          <w:color w:val="000000"/>
        </w:rPr>
      </w:pPr>
      <w:r w:rsidRPr="00C40E78">
        <w:rPr>
          <w:rFonts w:cs="Verdana"/>
          <w:color w:val="000000"/>
        </w:rPr>
        <w:t>EU</w:t>
      </w:r>
      <w:r w:rsidRPr="00C40E78">
        <w:rPr>
          <w:rFonts w:cs="Verdana"/>
          <w:color w:val="000000"/>
        </w:rPr>
        <w:t>/1/17/1199/002 96 potahovaných tablet</w:t>
      </w:r>
    </w:p>
    <w:p w14:paraId="4FC02F78" w14:textId="77777777" w:rsidR="00D83D73" w:rsidRDefault="00D83D73" w:rsidP="00D83D73">
      <w:pPr>
        <w:spacing w:line="240" w:lineRule="auto"/>
        <w:rPr>
          <w:rFonts w:cs="Verdana"/>
          <w:color w:val="000000"/>
        </w:rPr>
      </w:pPr>
    </w:p>
    <w:p w14:paraId="4FC02F79" w14:textId="77777777" w:rsidR="00D83D73" w:rsidRDefault="00D83D73" w:rsidP="00D83D73">
      <w:pPr>
        <w:spacing w:line="240" w:lineRule="auto"/>
        <w:rPr>
          <w:rFonts w:cs="Verdana"/>
          <w:color w:val="000000"/>
        </w:rPr>
      </w:pPr>
    </w:p>
    <w:p w14:paraId="4FC02F7A" w14:textId="77777777" w:rsidR="00E504F6" w:rsidRPr="00C9068C" w:rsidRDefault="00E504F6" w:rsidP="00E504F6">
      <w:pPr>
        <w:spacing w:line="240" w:lineRule="auto"/>
        <w:rPr>
          <w:szCs w:val="22"/>
        </w:rPr>
      </w:pPr>
    </w:p>
    <w:p w14:paraId="4FC02F7B" w14:textId="77777777" w:rsidR="00E504F6" w:rsidRPr="00C9068C" w:rsidRDefault="006455D9" w:rsidP="00E504F6">
      <w:pPr>
        <w:pStyle w:val="ListParagraph"/>
        <w:numPr>
          <w:ilvl w:val="0"/>
          <w:numId w:val="28"/>
        </w:numPr>
        <w:spacing w:line="240" w:lineRule="auto"/>
        <w:ind w:hanging="930"/>
        <w:rPr>
          <w:b/>
        </w:rPr>
      </w:pPr>
      <w:r w:rsidRPr="00C9068C">
        <w:rPr>
          <w:b/>
        </w:rPr>
        <w:t>DATUM PRVNÍ REGISTRACE / PRODLOUŽENÍ REGISTRACE</w:t>
      </w:r>
    </w:p>
    <w:p w14:paraId="4FC02F7C" w14:textId="77777777" w:rsidR="00E504F6" w:rsidRPr="00C9068C" w:rsidRDefault="00E504F6" w:rsidP="00E504F6">
      <w:pPr>
        <w:spacing w:line="240" w:lineRule="auto"/>
        <w:rPr>
          <w:i/>
          <w:szCs w:val="22"/>
        </w:rPr>
      </w:pPr>
    </w:p>
    <w:p w14:paraId="4FC02F7D" w14:textId="77777777" w:rsidR="00E504F6" w:rsidRPr="00C9068C" w:rsidRDefault="006455D9" w:rsidP="00E504F6">
      <w:pPr>
        <w:spacing w:line="240" w:lineRule="auto"/>
        <w:rPr>
          <w:i/>
          <w:szCs w:val="22"/>
        </w:rPr>
      </w:pPr>
      <w:r w:rsidRPr="00C9068C">
        <w:t xml:space="preserve">Datum první registrace: </w:t>
      </w:r>
      <w:r w:rsidR="00054688" w:rsidRPr="00054688">
        <w:t>5. září 2017</w:t>
      </w:r>
    </w:p>
    <w:p w14:paraId="4FC02F7E" w14:textId="77777777" w:rsidR="00E504F6" w:rsidRPr="00C9068C" w:rsidRDefault="00E504F6" w:rsidP="00E504F6">
      <w:pPr>
        <w:spacing w:line="240" w:lineRule="auto"/>
        <w:rPr>
          <w:szCs w:val="22"/>
        </w:rPr>
      </w:pPr>
    </w:p>
    <w:p w14:paraId="4FC02F7F" w14:textId="77777777" w:rsidR="00E504F6" w:rsidRPr="00C9068C" w:rsidRDefault="00E504F6" w:rsidP="00E504F6">
      <w:pPr>
        <w:spacing w:line="240" w:lineRule="auto"/>
        <w:rPr>
          <w:szCs w:val="22"/>
        </w:rPr>
      </w:pPr>
    </w:p>
    <w:p w14:paraId="4FC02F80" w14:textId="77777777" w:rsidR="00E504F6" w:rsidRPr="00C9068C" w:rsidRDefault="006455D9" w:rsidP="00E504F6">
      <w:pPr>
        <w:pStyle w:val="ListParagraph"/>
        <w:numPr>
          <w:ilvl w:val="0"/>
          <w:numId w:val="28"/>
        </w:numPr>
        <w:spacing w:line="240" w:lineRule="auto"/>
        <w:ind w:hanging="930"/>
        <w:rPr>
          <w:b/>
        </w:rPr>
      </w:pPr>
      <w:r w:rsidRPr="00C9068C">
        <w:rPr>
          <w:b/>
        </w:rPr>
        <w:t>DATUM REVIZE TEXTU</w:t>
      </w:r>
    </w:p>
    <w:p w14:paraId="4FC02F81" w14:textId="77777777" w:rsidR="00E504F6" w:rsidRPr="00C9068C" w:rsidRDefault="00E504F6" w:rsidP="00E504F6">
      <w:pPr>
        <w:spacing w:line="240" w:lineRule="auto"/>
        <w:rPr>
          <w:szCs w:val="22"/>
        </w:rPr>
      </w:pPr>
    </w:p>
    <w:p w14:paraId="4FC02F82" w14:textId="77777777" w:rsidR="00E504F6" w:rsidRPr="00C9068C" w:rsidRDefault="00E504F6" w:rsidP="00E504F6">
      <w:pPr>
        <w:spacing w:line="240" w:lineRule="auto"/>
        <w:rPr>
          <w:szCs w:val="22"/>
        </w:rPr>
      </w:pPr>
    </w:p>
    <w:p w14:paraId="4FC02F83" w14:textId="77777777" w:rsidR="00E504F6" w:rsidRPr="00C9068C" w:rsidRDefault="00E504F6" w:rsidP="00E504F6">
      <w:pPr>
        <w:numPr>
          <w:ilvl w:val="12"/>
          <w:numId w:val="0"/>
        </w:numPr>
        <w:tabs>
          <w:tab w:val="clear" w:pos="567"/>
          <w:tab w:val="left" w:pos="1004"/>
        </w:tabs>
        <w:spacing w:line="240" w:lineRule="auto"/>
        <w:ind w:right="-2"/>
        <w:rPr>
          <w:szCs w:val="22"/>
        </w:rPr>
      </w:pPr>
    </w:p>
    <w:p w14:paraId="4FC02F84" w14:textId="77777777" w:rsidR="00E504F6" w:rsidRPr="00C9068C" w:rsidRDefault="006455D9" w:rsidP="00E504F6">
      <w:pPr>
        <w:numPr>
          <w:ilvl w:val="12"/>
          <w:numId w:val="0"/>
        </w:numPr>
        <w:spacing w:line="240" w:lineRule="auto"/>
        <w:ind w:right="-2"/>
        <w:rPr>
          <w:szCs w:val="22"/>
        </w:rPr>
      </w:pPr>
      <w:r w:rsidRPr="00C9068C">
        <w:t xml:space="preserve">Podrobné informace o tomto léčivém přípravku jsou k dispozici na webových stránkách Evropské agentury pro léčivé přípravky </w:t>
      </w:r>
      <w:hyperlink r:id="rId12" w:history="1">
        <w:r w:rsidRPr="00C9068C">
          <w:rPr>
            <w:rStyle w:val="Hyperlink"/>
          </w:rPr>
          <w:t>http://www.ema.europa.eu</w:t>
        </w:r>
      </w:hyperlink>
      <w:r w:rsidRPr="00C9068C">
        <w:t>.</w:t>
      </w:r>
    </w:p>
    <w:p w14:paraId="4FC02F85" w14:textId="77777777" w:rsidR="00E504F6" w:rsidRPr="00C9068C" w:rsidRDefault="00E504F6" w:rsidP="00E504F6">
      <w:pPr>
        <w:numPr>
          <w:ilvl w:val="12"/>
          <w:numId w:val="0"/>
        </w:numPr>
        <w:spacing w:line="240" w:lineRule="auto"/>
        <w:ind w:right="-2"/>
        <w:rPr>
          <w:szCs w:val="22"/>
        </w:rPr>
      </w:pPr>
    </w:p>
    <w:p w14:paraId="4FC02F86" w14:textId="77777777" w:rsidR="00E504F6" w:rsidRPr="00C9068C" w:rsidRDefault="006455D9" w:rsidP="00E504F6">
      <w:pPr>
        <w:widowControl w:val="0"/>
        <w:autoSpaceDE w:val="0"/>
        <w:autoSpaceDN w:val="0"/>
        <w:adjustRightInd w:val="0"/>
        <w:ind w:left="127" w:right="120"/>
        <w:rPr>
          <w:rFonts w:cs="Verdana"/>
          <w:color w:val="000000"/>
        </w:rPr>
      </w:pPr>
      <w:r w:rsidRPr="00C9068C">
        <w:br w:type="page"/>
      </w:r>
    </w:p>
    <w:p w14:paraId="4FC02F87" w14:textId="77777777" w:rsidR="00E504F6" w:rsidRPr="00C9068C" w:rsidRDefault="00E504F6" w:rsidP="00E504F6">
      <w:pPr>
        <w:widowControl w:val="0"/>
        <w:autoSpaceDE w:val="0"/>
        <w:autoSpaceDN w:val="0"/>
        <w:adjustRightInd w:val="0"/>
        <w:ind w:left="127" w:right="120"/>
        <w:rPr>
          <w:rFonts w:cs="Verdana"/>
          <w:color w:val="000000"/>
        </w:rPr>
      </w:pPr>
    </w:p>
    <w:p w14:paraId="4FC02F88" w14:textId="77777777" w:rsidR="00E504F6" w:rsidRPr="00C9068C" w:rsidRDefault="00E504F6" w:rsidP="00E504F6">
      <w:pPr>
        <w:widowControl w:val="0"/>
        <w:autoSpaceDE w:val="0"/>
        <w:autoSpaceDN w:val="0"/>
        <w:adjustRightInd w:val="0"/>
        <w:ind w:left="127" w:right="120"/>
        <w:rPr>
          <w:rFonts w:cs="Verdana"/>
          <w:color w:val="000000"/>
        </w:rPr>
      </w:pPr>
    </w:p>
    <w:p w14:paraId="4FC02F89" w14:textId="77777777" w:rsidR="00E504F6" w:rsidRPr="00C9068C" w:rsidRDefault="00E504F6" w:rsidP="00E504F6">
      <w:pPr>
        <w:widowControl w:val="0"/>
        <w:autoSpaceDE w:val="0"/>
        <w:autoSpaceDN w:val="0"/>
        <w:adjustRightInd w:val="0"/>
        <w:ind w:left="127" w:right="120"/>
        <w:rPr>
          <w:rFonts w:cs="Verdana"/>
          <w:color w:val="000000"/>
        </w:rPr>
      </w:pPr>
    </w:p>
    <w:p w14:paraId="4FC02F8A" w14:textId="77777777" w:rsidR="00E504F6" w:rsidRPr="00C9068C" w:rsidRDefault="00E504F6" w:rsidP="00E504F6">
      <w:pPr>
        <w:widowControl w:val="0"/>
        <w:autoSpaceDE w:val="0"/>
        <w:autoSpaceDN w:val="0"/>
        <w:adjustRightInd w:val="0"/>
        <w:ind w:left="127" w:right="120"/>
        <w:rPr>
          <w:rFonts w:cs="Verdana"/>
          <w:color w:val="000000"/>
        </w:rPr>
      </w:pPr>
    </w:p>
    <w:p w14:paraId="4FC02F8B" w14:textId="77777777" w:rsidR="00E504F6" w:rsidRPr="00C9068C" w:rsidRDefault="00E504F6" w:rsidP="00E504F6">
      <w:pPr>
        <w:widowControl w:val="0"/>
        <w:autoSpaceDE w:val="0"/>
        <w:autoSpaceDN w:val="0"/>
        <w:adjustRightInd w:val="0"/>
        <w:ind w:left="127" w:right="120"/>
        <w:rPr>
          <w:rFonts w:cs="Verdana"/>
          <w:color w:val="000000"/>
        </w:rPr>
      </w:pPr>
    </w:p>
    <w:p w14:paraId="4FC02F8C" w14:textId="77777777" w:rsidR="00E504F6" w:rsidRPr="00C9068C" w:rsidRDefault="00E504F6" w:rsidP="00E504F6">
      <w:pPr>
        <w:widowControl w:val="0"/>
        <w:autoSpaceDE w:val="0"/>
        <w:autoSpaceDN w:val="0"/>
        <w:adjustRightInd w:val="0"/>
        <w:ind w:left="127" w:right="120"/>
        <w:rPr>
          <w:rFonts w:cs="Verdana"/>
          <w:color w:val="000000"/>
        </w:rPr>
      </w:pPr>
    </w:p>
    <w:p w14:paraId="4FC02F8D" w14:textId="77777777" w:rsidR="00E504F6" w:rsidRPr="00C9068C" w:rsidRDefault="00E504F6" w:rsidP="00E504F6">
      <w:pPr>
        <w:widowControl w:val="0"/>
        <w:autoSpaceDE w:val="0"/>
        <w:autoSpaceDN w:val="0"/>
        <w:adjustRightInd w:val="0"/>
        <w:ind w:left="127" w:right="120"/>
        <w:rPr>
          <w:rFonts w:cs="Verdana"/>
          <w:color w:val="000000"/>
        </w:rPr>
      </w:pPr>
    </w:p>
    <w:p w14:paraId="4FC02F8E" w14:textId="77777777" w:rsidR="00E504F6" w:rsidRPr="00C9068C" w:rsidRDefault="00E504F6" w:rsidP="00E504F6">
      <w:pPr>
        <w:widowControl w:val="0"/>
        <w:autoSpaceDE w:val="0"/>
        <w:autoSpaceDN w:val="0"/>
        <w:adjustRightInd w:val="0"/>
        <w:ind w:left="127" w:right="120"/>
        <w:rPr>
          <w:rFonts w:cs="Verdana"/>
          <w:color w:val="000000"/>
        </w:rPr>
      </w:pPr>
    </w:p>
    <w:p w14:paraId="4FC02F8F" w14:textId="77777777" w:rsidR="00E504F6" w:rsidRPr="00C9068C" w:rsidRDefault="00E504F6" w:rsidP="00E504F6">
      <w:pPr>
        <w:widowControl w:val="0"/>
        <w:autoSpaceDE w:val="0"/>
        <w:autoSpaceDN w:val="0"/>
        <w:adjustRightInd w:val="0"/>
        <w:ind w:left="127" w:right="120"/>
        <w:rPr>
          <w:rFonts w:cs="Verdana"/>
          <w:color w:val="000000"/>
        </w:rPr>
      </w:pPr>
    </w:p>
    <w:p w14:paraId="4FC02F90" w14:textId="77777777" w:rsidR="00E504F6" w:rsidRPr="00C9068C" w:rsidRDefault="00E504F6" w:rsidP="00E504F6">
      <w:pPr>
        <w:widowControl w:val="0"/>
        <w:autoSpaceDE w:val="0"/>
        <w:autoSpaceDN w:val="0"/>
        <w:adjustRightInd w:val="0"/>
        <w:ind w:left="127" w:right="120"/>
        <w:rPr>
          <w:rFonts w:cs="Verdana"/>
          <w:color w:val="000000"/>
        </w:rPr>
      </w:pPr>
    </w:p>
    <w:p w14:paraId="4FC02F91" w14:textId="77777777" w:rsidR="00E504F6" w:rsidRPr="00C9068C" w:rsidRDefault="00E504F6" w:rsidP="00E504F6">
      <w:pPr>
        <w:widowControl w:val="0"/>
        <w:autoSpaceDE w:val="0"/>
        <w:autoSpaceDN w:val="0"/>
        <w:adjustRightInd w:val="0"/>
        <w:ind w:left="127" w:right="120"/>
        <w:rPr>
          <w:rFonts w:cs="Verdana"/>
          <w:color w:val="000000"/>
        </w:rPr>
      </w:pPr>
    </w:p>
    <w:p w14:paraId="4FC02F92" w14:textId="77777777" w:rsidR="00E504F6" w:rsidRPr="00C9068C" w:rsidRDefault="00E504F6" w:rsidP="00E504F6">
      <w:pPr>
        <w:widowControl w:val="0"/>
        <w:autoSpaceDE w:val="0"/>
        <w:autoSpaceDN w:val="0"/>
        <w:adjustRightInd w:val="0"/>
        <w:ind w:left="127" w:right="120"/>
        <w:rPr>
          <w:rFonts w:cs="Verdana"/>
          <w:color w:val="000000"/>
        </w:rPr>
      </w:pPr>
    </w:p>
    <w:p w14:paraId="4FC02F93" w14:textId="77777777" w:rsidR="00E504F6" w:rsidRPr="00C9068C" w:rsidRDefault="00E504F6" w:rsidP="00E504F6">
      <w:pPr>
        <w:widowControl w:val="0"/>
        <w:autoSpaceDE w:val="0"/>
        <w:autoSpaceDN w:val="0"/>
        <w:adjustRightInd w:val="0"/>
        <w:ind w:left="127" w:right="120"/>
        <w:rPr>
          <w:rFonts w:cs="Verdana"/>
          <w:color w:val="000000"/>
        </w:rPr>
      </w:pPr>
    </w:p>
    <w:p w14:paraId="4FC02F94" w14:textId="77777777" w:rsidR="00E504F6" w:rsidRPr="00C9068C" w:rsidRDefault="00E504F6" w:rsidP="00E504F6">
      <w:pPr>
        <w:widowControl w:val="0"/>
        <w:autoSpaceDE w:val="0"/>
        <w:autoSpaceDN w:val="0"/>
        <w:adjustRightInd w:val="0"/>
        <w:ind w:left="127" w:right="120"/>
        <w:rPr>
          <w:rFonts w:cs="Verdana"/>
          <w:color w:val="000000"/>
        </w:rPr>
      </w:pPr>
    </w:p>
    <w:p w14:paraId="4FC02F95" w14:textId="77777777" w:rsidR="00E504F6" w:rsidRPr="00C9068C" w:rsidRDefault="00E504F6" w:rsidP="00E504F6">
      <w:pPr>
        <w:widowControl w:val="0"/>
        <w:autoSpaceDE w:val="0"/>
        <w:autoSpaceDN w:val="0"/>
        <w:adjustRightInd w:val="0"/>
        <w:ind w:left="127" w:right="120"/>
        <w:rPr>
          <w:rFonts w:cs="Verdana"/>
          <w:color w:val="000000"/>
        </w:rPr>
      </w:pPr>
    </w:p>
    <w:p w14:paraId="4FC02F96" w14:textId="77777777" w:rsidR="00E504F6" w:rsidRPr="00C9068C" w:rsidRDefault="00E504F6" w:rsidP="00E504F6">
      <w:pPr>
        <w:widowControl w:val="0"/>
        <w:autoSpaceDE w:val="0"/>
        <w:autoSpaceDN w:val="0"/>
        <w:adjustRightInd w:val="0"/>
        <w:ind w:left="127" w:right="120"/>
        <w:rPr>
          <w:rFonts w:cs="Verdana"/>
          <w:color w:val="000000"/>
        </w:rPr>
      </w:pPr>
    </w:p>
    <w:p w14:paraId="4FC02F97" w14:textId="77777777" w:rsidR="00E504F6" w:rsidRPr="00C9068C" w:rsidRDefault="00E504F6" w:rsidP="00E504F6">
      <w:pPr>
        <w:widowControl w:val="0"/>
        <w:autoSpaceDE w:val="0"/>
        <w:autoSpaceDN w:val="0"/>
        <w:adjustRightInd w:val="0"/>
        <w:ind w:left="127" w:right="120"/>
        <w:rPr>
          <w:rFonts w:cs="Verdana"/>
          <w:color w:val="000000"/>
        </w:rPr>
      </w:pPr>
    </w:p>
    <w:p w14:paraId="4FC02F98" w14:textId="77777777" w:rsidR="00E504F6" w:rsidRPr="00C9068C" w:rsidRDefault="006455D9" w:rsidP="00E504F6">
      <w:pPr>
        <w:keepNext/>
        <w:widowControl w:val="0"/>
        <w:autoSpaceDE w:val="0"/>
        <w:autoSpaceDN w:val="0"/>
        <w:adjustRightInd w:val="0"/>
        <w:spacing w:before="280" w:after="220"/>
        <w:ind w:left="127" w:right="120"/>
        <w:jc w:val="center"/>
        <w:rPr>
          <w:rFonts w:cs="Verdana"/>
          <w:b/>
          <w:bCs/>
          <w:color w:val="000000"/>
        </w:rPr>
      </w:pPr>
      <w:r w:rsidRPr="00C9068C">
        <w:rPr>
          <w:b/>
          <w:color w:val="000000"/>
        </w:rPr>
        <w:t>PŘÍLOHA II</w:t>
      </w:r>
    </w:p>
    <w:p w14:paraId="4FC02F99" w14:textId="77777777" w:rsidR="00E504F6" w:rsidRPr="00C9068C" w:rsidRDefault="00E504F6" w:rsidP="00E504F6">
      <w:pPr>
        <w:widowControl w:val="0"/>
        <w:autoSpaceDE w:val="0"/>
        <w:autoSpaceDN w:val="0"/>
        <w:adjustRightInd w:val="0"/>
        <w:ind w:left="127" w:right="120"/>
        <w:rPr>
          <w:rFonts w:cs="Verdana"/>
          <w:color w:val="000000"/>
        </w:rPr>
      </w:pPr>
    </w:p>
    <w:p w14:paraId="4FC02F9A" w14:textId="77777777" w:rsidR="00E504F6" w:rsidRPr="00C9068C" w:rsidRDefault="006455D9" w:rsidP="00E504F6">
      <w:pPr>
        <w:pStyle w:val="ListParagraph"/>
        <w:keepNext/>
        <w:widowControl w:val="0"/>
        <w:numPr>
          <w:ilvl w:val="0"/>
          <w:numId w:val="29"/>
        </w:numPr>
        <w:autoSpaceDE w:val="0"/>
        <w:autoSpaceDN w:val="0"/>
        <w:adjustRightInd w:val="0"/>
        <w:spacing w:before="280"/>
        <w:ind w:right="120"/>
        <w:rPr>
          <w:rFonts w:cs="Verdana"/>
          <w:b/>
          <w:bCs/>
          <w:color w:val="000000"/>
        </w:rPr>
      </w:pPr>
      <w:r w:rsidRPr="00C9068C">
        <w:rPr>
          <w:b/>
          <w:color w:val="000000"/>
        </w:rPr>
        <w:t xml:space="preserve">VÝROBCE ODPOVĚDNÝ / VÝROBCI ODPOVĚDNÍ ZA PROPOUŠTĚNÍ ŠARŽÍ </w:t>
      </w:r>
    </w:p>
    <w:p w14:paraId="4FC02F9B" w14:textId="77777777" w:rsidR="00E504F6" w:rsidRPr="00C9068C" w:rsidRDefault="006455D9" w:rsidP="00E504F6">
      <w:pPr>
        <w:pStyle w:val="ListParagraph"/>
        <w:keepNext/>
        <w:widowControl w:val="0"/>
        <w:numPr>
          <w:ilvl w:val="0"/>
          <w:numId w:val="29"/>
        </w:numPr>
        <w:autoSpaceDE w:val="0"/>
        <w:autoSpaceDN w:val="0"/>
        <w:adjustRightInd w:val="0"/>
        <w:spacing w:before="280" w:after="220"/>
        <w:ind w:left="573" w:right="119" w:hanging="448"/>
        <w:contextualSpacing w:val="0"/>
        <w:rPr>
          <w:rFonts w:cs="Verdana"/>
          <w:b/>
          <w:bCs/>
          <w:color w:val="000000"/>
        </w:rPr>
      </w:pPr>
      <w:r w:rsidRPr="00C9068C">
        <w:rPr>
          <w:b/>
          <w:color w:val="000000"/>
        </w:rPr>
        <w:t>PODMÍNKY NEBO OMEZENÍ VÝDEJE A POUŽITÍ</w:t>
      </w:r>
    </w:p>
    <w:p w14:paraId="4FC02F9C" w14:textId="77777777" w:rsidR="00E504F6" w:rsidRPr="00C9068C" w:rsidRDefault="00E504F6" w:rsidP="00E504F6">
      <w:pPr>
        <w:widowControl w:val="0"/>
        <w:autoSpaceDE w:val="0"/>
        <w:autoSpaceDN w:val="0"/>
        <w:adjustRightInd w:val="0"/>
        <w:ind w:left="127" w:right="120"/>
        <w:rPr>
          <w:rFonts w:cs="Verdana"/>
          <w:color w:val="000000"/>
        </w:rPr>
      </w:pPr>
    </w:p>
    <w:p w14:paraId="4FC02F9D" w14:textId="77777777" w:rsidR="00E504F6" w:rsidRPr="00C9068C" w:rsidRDefault="006455D9" w:rsidP="00E504F6">
      <w:pPr>
        <w:pStyle w:val="ListParagraph"/>
        <w:keepNext/>
        <w:widowControl w:val="0"/>
        <w:numPr>
          <w:ilvl w:val="0"/>
          <w:numId w:val="29"/>
        </w:numPr>
        <w:autoSpaceDE w:val="0"/>
        <w:autoSpaceDN w:val="0"/>
        <w:adjustRightInd w:val="0"/>
        <w:ind w:right="120"/>
        <w:rPr>
          <w:rFonts w:cs="Verdana"/>
          <w:b/>
          <w:bCs/>
          <w:color w:val="000000"/>
        </w:rPr>
      </w:pPr>
      <w:r w:rsidRPr="00C9068C">
        <w:rPr>
          <w:b/>
          <w:color w:val="000000"/>
        </w:rPr>
        <w:t>DALŠÍ PODMÍNKY A POŽADAVKY REGISTRACE</w:t>
      </w:r>
    </w:p>
    <w:p w14:paraId="4FC02F9E" w14:textId="77777777" w:rsidR="00E504F6" w:rsidRPr="00C9068C" w:rsidRDefault="00E504F6" w:rsidP="00E504F6">
      <w:pPr>
        <w:widowControl w:val="0"/>
        <w:autoSpaceDE w:val="0"/>
        <w:autoSpaceDN w:val="0"/>
        <w:adjustRightInd w:val="0"/>
        <w:ind w:left="127" w:right="120"/>
        <w:rPr>
          <w:rFonts w:cs="Verdana"/>
          <w:color w:val="000000"/>
        </w:rPr>
      </w:pPr>
    </w:p>
    <w:p w14:paraId="4FC02F9F" w14:textId="77777777" w:rsidR="00E504F6" w:rsidRPr="00C9068C" w:rsidRDefault="006455D9" w:rsidP="00E504F6">
      <w:pPr>
        <w:pStyle w:val="ListParagraph"/>
        <w:keepNext/>
        <w:widowControl w:val="0"/>
        <w:numPr>
          <w:ilvl w:val="0"/>
          <w:numId w:val="29"/>
        </w:numPr>
        <w:autoSpaceDE w:val="0"/>
        <w:autoSpaceDN w:val="0"/>
        <w:adjustRightInd w:val="0"/>
        <w:ind w:right="120"/>
        <w:rPr>
          <w:rFonts w:cs="Verdana"/>
          <w:b/>
          <w:bCs/>
          <w:color w:val="000000"/>
        </w:rPr>
      </w:pPr>
      <w:r w:rsidRPr="00C9068C">
        <w:rPr>
          <w:b/>
          <w:color w:val="000000"/>
        </w:rPr>
        <w:t>PODMÍNKY NEBO OMEZENÍ S OHLEDEM NA BEZPEČNÉ A ÚČINNÉ POUŽÍVÁNÍ LÉČIVÉHO PŘÍPRAVKU</w:t>
      </w:r>
    </w:p>
    <w:p w14:paraId="4FC02FA0" w14:textId="77777777" w:rsidR="00E504F6" w:rsidRPr="00C9068C" w:rsidRDefault="00E504F6" w:rsidP="00E504F6">
      <w:pPr>
        <w:widowControl w:val="0"/>
        <w:autoSpaceDE w:val="0"/>
        <w:autoSpaceDN w:val="0"/>
        <w:adjustRightInd w:val="0"/>
        <w:ind w:left="127" w:right="120"/>
        <w:rPr>
          <w:rFonts w:cs="Verdana"/>
          <w:color w:val="000000"/>
        </w:rPr>
      </w:pPr>
    </w:p>
    <w:p w14:paraId="4FC02FA1" w14:textId="77777777" w:rsidR="00E504F6" w:rsidRPr="00C9068C" w:rsidRDefault="00E504F6" w:rsidP="00E504F6">
      <w:pPr>
        <w:keepNext/>
        <w:widowControl w:val="0"/>
        <w:autoSpaceDE w:val="0"/>
        <w:autoSpaceDN w:val="0"/>
        <w:adjustRightInd w:val="0"/>
        <w:spacing w:before="280"/>
        <w:ind w:left="127" w:right="120"/>
        <w:rPr>
          <w:rFonts w:cs="Verdana"/>
          <w:color w:val="000000"/>
        </w:rPr>
      </w:pPr>
    </w:p>
    <w:p w14:paraId="4FC02FA2" w14:textId="77777777" w:rsidR="00E504F6" w:rsidRPr="00C9068C" w:rsidRDefault="006455D9" w:rsidP="00E504F6">
      <w:pPr>
        <w:pStyle w:val="ListParagraph"/>
        <w:keepNext/>
        <w:widowControl w:val="0"/>
        <w:numPr>
          <w:ilvl w:val="0"/>
          <w:numId w:val="30"/>
        </w:numPr>
        <w:autoSpaceDE w:val="0"/>
        <w:autoSpaceDN w:val="0"/>
        <w:adjustRightInd w:val="0"/>
        <w:spacing w:before="280" w:after="220"/>
        <w:ind w:right="120"/>
        <w:rPr>
          <w:rFonts w:cs="Verdana"/>
          <w:b/>
          <w:bCs/>
          <w:color w:val="000000"/>
        </w:rPr>
      </w:pPr>
      <w:r w:rsidRPr="00C9068C">
        <w:br w:type="page"/>
      </w:r>
      <w:r w:rsidRPr="00C9068C">
        <w:rPr>
          <w:b/>
          <w:color w:val="000000"/>
        </w:rPr>
        <w:lastRenderedPageBreak/>
        <w:t xml:space="preserve">VÝROBCE ODPOVĚDNÝ / </w:t>
      </w:r>
      <w:r w:rsidRPr="00C9068C">
        <w:rPr>
          <w:b/>
          <w:color w:val="000000"/>
        </w:rPr>
        <w:t>VÝROBCI ODPOVĚDNÍ ZA PROPOUŠTĚNÍ ŠARŽÍ</w:t>
      </w:r>
    </w:p>
    <w:p w14:paraId="4FC02FA3" w14:textId="77777777" w:rsidR="00E504F6" w:rsidRPr="00C9068C" w:rsidRDefault="006455D9" w:rsidP="00E504F6">
      <w:pPr>
        <w:widowControl w:val="0"/>
        <w:autoSpaceDE w:val="0"/>
        <w:autoSpaceDN w:val="0"/>
        <w:adjustRightInd w:val="0"/>
        <w:spacing w:after="140" w:line="280" w:lineRule="atLeast"/>
        <w:ind w:left="127" w:right="120"/>
        <w:rPr>
          <w:rFonts w:cs="Verdana"/>
          <w:color w:val="000000"/>
          <w:u w:val="single"/>
        </w:rPr>
      </w:pPr>
      <w:r w:rsidRPr="00C9068C">
        <w:rPr>
          <w:color w:val="000000"/>
          <w:u w:val="single"/>
        </w:rPr>
        <w:t>Název a adresa výrobce odpovědného / výrobců odpovědných za propouštění šarží</w:t>
      </w:r>
    </w:p>
    <w:p w14:paraId="4FC02FA4" w14:textId="77777777" w:rsidR="00E504F6" w:rsidRPr="00C9068C" w:rsidRDefault="00E504F6" w:rsidP="00E504F6">
      <w:pPr>
        <w:widowControl w:val="0"/>
        <w:autoSpaceDE w:val="0"/>
        <w:autoSpaceDN w:val="0"/>
        <w:adjustRightInd w:val="0"/>
        <w:spacing w:after="140" w:line="280" w:lineRule="atLeast"/>
        <w:ind w:left="127" w:right="120"/>
        <w:rPr>
          <w:rFonts w:cs="Verdana"/>
          <w:color w:val="000000"/>
        </w:rPr>
      </w:pPr>
    </w:p>
    <w:p w14:paraId="4FC02FA5" w14:textId="77777777" w:rsidR="00E504F6" w:rsidRPr="00C9068C" w:rsidRDefault="006455D9" w:rsidP="00E504F6">
      <w:pPr>
        <w:widowControl w:val="0"/>
        <w:autoSpaceDE w:val="0"/>
        <w:autoSpaceDN w:val="0"/>
        <w:adjustRightInd w:val="0"/>
        <w:ind w:left="127" w:right="120"/>
        <w:rPr>
          <w:rFonts w:cs="Verdana"/>
          <w:color w:val="000000"/>
        </w:rPr>
      </w:pPr>
      <w:r w:rsidRPr="00C9068C">
        <w:rPr>
          <w:color w:val="000000"/>
        </w:rPr>
        <w:t>DELPHARM EVREUX</w:t>
      </w:r>
      <w:r w:rsidRPr="00C9068C">
        <w:rPr>
          <w:rFonts w:cs="Verdana"/>
          <w:color w:val="000000"/>
        </w:rPr>
        <w:br/>
      </w:r>
      <w:r w:rsidRPr="00C9068C">
        <w:rPr>
          <w:color w:val="000000"/>
        </w:rPr>
        <w:t>5 rue du Guesclin</w:t>
      </w:r>
      <w:r w:rsidRPr="00C9068C">
        <w:rPr>
          <w:rFonts w:cs="Verdana"/>
          <w:color w:val="000000"/>
        </w:rPr>
        <w:br/>
      </w:r>
      <w:r w:rsidRPr="00C9068C">
        <w:rPr>
          <w:color w:val="000000"/>
        </w:rPr>
        <w:t>27000 Evreux</w:t>
      </w:r>
      <w:r w:rsidRPr="00C9068C">
        <w:rPr>
          <w:rFonts w:cs="Verdana"/>
          <w:color w:val="000000"/>
        </w:rPr>
        <w:br/>
      </w:r>
      <w:r w:rsidRPr="00C9068C">
        <w:rPr>
          <w:color w:val="000000"/>
        </w:rPr>
        <w:t>Francie</w:t>
      </w:r>
    </w:p>
    <w:p w14:paraId="4FC02FA6" w14:textId="77777777" w:rsidR="00E504F6" w:rsidRPr="00C9068C" w:rsidRDefault="006455D9" w:rsidP="00E504F6">
      <w:pPr>
        <w:pStyle w:val="ListParagraph"/>
        <w:keepNext/>
        <w:widowControl w:val="0"/>
        <w:numPr>
          <w:ilvl w:val="0"/>
          <w:numId w:val="30"/>
        </w:numPr>
        <w:autoSpaceDE w:val="0"/>
        <w:autoSpaceDN w:val="0"/>
        <w:adjustRightInd w:val="0"/>
        <w:spacing w:before="280" w:after="220"/>
        <w:ind w:right="120"/>
        <w:rPr>
          <w:rFonts w:cs="Verdana"/>
          <w:b/>
          <w:bCs/>
          <w:color w:val="000000"/>
        </w:rPr>
      </w:pPr>
      <w:r w:rsidRPr="00C9068C">
        <w:rPr>
          <w:b/>
          <w:color w:val="000000"/>
        </w:rPr>
        <w:t>PODMÍNKY NEBO OMEZENÍ VÝDEJE A POUŽITÍ</w:t>
      </w:r>
    </w:p>
    <w:p w14:paraId="4FC02FA7" w14:textId="77777777" w:rsidR="00E504F6" w:rsidRPr="00C9068C" w:rsidRDefault="006455D9" w:rsidP="00E504F6">
      <w:pPr>
        <w:widowControl w:val="0"/>
        <w:autoSpaceDE w:val="0"/>
        <w:autoSpaceDN w:val="0"/>
        <w:adjustRightInd w:val="0"/>
        <w:spacing w:line="280" w:lineRule="exact"/>
        <w:ind w:left="127" w:right="120"/>
        <w:rPr>
          <w:rFonts w:cs="Verdana"/>
          <w:color w:val="000000"/>
        </w:rPr>
      </w:pPr>
      <w:r w:rsidRPr="00C9068C">
        <w:rPr>
          <w:color w:val="000000"/>
        </w:rPr>
        <w:t>Výdej léčivého přípravku je vázán na lékařsk</w:t>
      </w:r>
      <w:r w:rsidRPr="00C9068C">
        <w:rPr>
          <w:color w:val="000000"/>
        </w:rPr>
        <w:t>ý předpis s omezením (viz příloha I: Souhrn údajů o přípravku, bod 4.2).</w:t>
      </w:r>
    </w:p>
    <w:p w14:paraId="4FC02FA8" w14:textId="77777777" w:rsidR="00E504F6" w:rsidRPr="00C9068C" w:rsidRDefault="00E504F6" w:rsidP="00E504F6">
      <w:pPr>
        <w:widowControl w:val="0"/>
        <w:autoSpaceDE w:val="0"/>
        <w:autoSpaceDN w:val="0"/>
        <w:adjustRightInd w:val="0"/>
        <w:spacing w:after="140" w:line="280" w:lineRule="atLeast"/>
        <w:ind w:left="127" w:right="120"/>
        <w:rPr>
          <w:rFonts w:cs="Verdana"/>
          <w:color w:val="000000"/>
        </w:rPr>
      </w:pPr>
    </w:p>
    <w:p w14:paraId="4FC02FA9" w14:textId="77777777" w:rsidR="00E504F6" w:rsidRPr="00C9068C" w:rsidRDefault="006455D9" w:rsidP="00E504F6">
      <w:pPr>
        <w:pStyle w:val="ListParagraph"/>
        <w:keepNext/>
        <w:widowControl w:val="0"/>
        <w:numPr>
          <w:ilvl w:val="0"/>
          <w:numId w:val="30"/>
        </w:numPr>
        <w:autoSpaceDE w:val="0"/>
        <w:autoSpaceDN w:val="0"/>
        <w:adjustRightInd w:val="0"/>
        <w:spacing w:before="280" w:after="220"/>
        <w:ind w:right="120"/>
        <w:rPr>
          <w:rFonts w:cs="Verdana"/>
          <w:b/>
          <w:bCs/>
          <w:color w:val="000000"/>
        </w:rPr>
      </w:pPr>
      <w:r w:rsidRPr="00C9068C">
        <w:rPr>
          <w:b/>
          <w:color w:val="000000"/>
        </w:rPr>
        <w:t xml:space="preserve">DALŠÍ PODMÍNKY A POŽADAVKY REGISTRACE </w:t>
      </w:r>
    </w:p>
    <w:p w14:paraId="4FC02FAA" w14:textId="77777777" w:rsidR="00E504F6" w:rsidRPr="00C9068C" w:rsidRDefault="00E504F6" w:rsidP="00E504F6">
      <w:pPr>
        <w:widowControl w:val="0"/>
        <w:autoSpaceDE w:val="0"/>
        <w:autoSpaceDN w:val="0"/>
        <w:adjustRightInd w:val="0"/>
        <w:spacing w:after="140" w:line="280" w:lineRule="atLeast"/>
        <w:ind w:left="127" w:right="120"/>
        <w:rPr>
          <w:rFonts w:cs="Verdana"/>
          <w:color w:val="000000"/>
        </w:rPr>
      </w:pPr>
    </w:p>
    <w:p w14:paraId="4FC02FAB" w14:textId="77777777" w:rsidR="00E504F6" w:rsidRPr="00C9068C" w:rsidRDefault="006455D9" w:rsidP="00E504F6">
      <w:pPr>
        <w:widowControl w:val="0"/>
        <w:numPr>
          <w:ilvl w:val="0"/>
          <w:numId w:val="21"/>
        </w:numPr>
        <w:tabs>
          <w:tab w:val="clear" w:pos="567"/>
          <w:tab w:val="clear" w:pos="720"/>
          <w:tab w:val="left" w:pos="468"/>
        </w:tabs>
        <w:autoSpaceDE w:val="0"/>
        <w:autoSpaceDN w:val="0"/>
        <w:adjustRightInd w:val="0"/>
        <w:spacing w:line="240" w:lineRule="auto"/>
        <w:ind w:left="468"/>
        <w:rPr>
          <w:rFonts w:cs="Verdana"/>
          <w:color w:val="000000"/>
        </w:rPr>
      </w:pPr>
      <w:r w:rsidRPr="00C9068C">
        <w:rPr>
          <w:b/>
          <w:color w:val="000000"/>
        </w:rPr>
        <w:t xml:space="preserve">Pravidelně aktualizované zprávy o bezpečnosti </w:t>
      </w:r>
    </w:p>
    <w:p w14:paraId="4FC02FAC" w14:textId="77777777" w:rsidR="00E504F6" w:rsidRPr="00C9068C" w:rsidRDefault="00E504F6" w:rsidP="00E504F6">
      <w:pPr>
        <w:widowControl w:val="0"/>
        <w:autoSpaceDE w:val="0"/>
        <w:autoSpaceDN w:val="0"/>
        <w:adjustRightInd w:val="0"/>
        <w:spacing w:after="140" w:line="280" w:lineRule="atLeast"/>
        <w:ind w:left="127" w:right="120"/>
        <w:rPr>
          <w:rFonts w:cs="Verdana"/>
          <w:color w:val="000000"/>
        </w:rPr>
      </w:pPr>
    </w:p>
    <w:p w14:paraId="4FC02FAD" w14:textId="77777777" w:rsidR="00E504F6" w:rsidRPr="00C9068C" w:rsidRDefault="006455D9" w:rsidP="00E504F6">
      <w:pPr>
        <w:widowControl w:val="0"/>
        <w:autoSpaceDE w:val="0"/>
        <w:autoSpaceDN w:val="0"/>
        <w:adjustRightInd w:val="0"/>
        <w:spacing w:after="140" w:line="280" w:lineRule="atLeast"/>
        <w:ind w:left="127" w:right="120"/>
        <w:rPr>
          <w:rFonts w:cs="Verdana"/>
          <w:color w:val="000000"/>
        </w:rPr>
      </w:pPr>
      <w:r w:rsidRPr="00C9068C">
        <w:rPr>
          <w:color w:val="000000"/>
        </w:rPr>
        <w:t xml:space="preserve">Požadavky pro předkládání pravidelně aktualizovaných zpráv o bezpečnosti pro tento </w:t>
      </w:r>
      <w:r w:rsidRPr="00C9068C">
        <w:rPr>
          <w:color w:val="000000"/>
        </w:rPr>
        <w:t>léčivý přípravek jsou uvedeny v seznamu referenčních dat Unie (seznam EURD) stanoveném v čl. 107c odst. 7 směrnice 2001/83/ES a jakékoli následné změny jsou zveřejněny na evropském webovém portálu pro léčivé přípravky.</w:t>
      </w:r>
    </w:p>
    <w:p w14:paraId="4FC02FAE" w14:textId="77777777" w:rsidR="00E504F6" w:rsidRPr="00C9068C" w:rsidRDefault="006455D9" w:rsidP="00E504F6">
      <w:pPr>
        <w:widowControl w:val="0"/>
        <w:autoSpaceDE w:val="0"/>
        <w:autoSpaceDN w:val="0"/>
        <w:adjustRightInd w:val="0"/>
        <w:spacing w:line="280" w:lineRule="atLeast"/>
        <w:ind w:left="127" w:right="120"/>
        <w:rPr>
          <w:rFonts w:cs="Verdana"/>
          <w:color w:val="000000"/>
        </w:rPr>
      </w:pPr>
      <w:r w:rsidRPr="00C9068C">
        <w:rPr>
          <w:color w:val="000000"/>
        </w:rPr>
        <w:t>Držitel rozhodnutí o registraci předl</w:t>
      </w:r>
      <w:r w:rsidRPr="00C9068C">
        <w:rPr>
          <w:color w:val="000000"/>
        </w:rPr>
        <w:t xml:space="preserve">oží první pravidelně aktualizovanou zprávu o bezpečnosti pro tento léčivý přípravek do 6 měsíců od jeho registrace. </w:t>
      </w:r>
    </w:p>
    <w:p w14:paraId="4FC02FAF" w14:textId="77777777" w:rsidR="00E504F6" w:rsidRPr="00C9068C" w:rsidRDefault="006455D9" w:rsidP="00E504F6">
      <w:pPr>
        <w:pStyle w:val="ListParagraph"/>
        <w:keepNext/>
        <w:widowControl w:val="0"/>
        <w:numPr>
          <w:ilvl w:val="0"/>
          <w:numId w:val="30"/>
        </w:numPr>
        <w:autoSpaceDE w:val="0"/>
        <w:autoSpaceDN w:val="0"/>
        <w:adjustRightInd w:val="0"/>
        <w:spacing w:before="280" w:after="220"/>
        <w:ind w:right="120"/>
        <w:rPr>
          <w:rFonts w:cs="Verdana"/>
          <w:b/>
          <w:bCs/>
          <w:color w:val="000000"/>
        </w:rPr>
      </w:pPr>
      <w:r w:rsidRPr="00C9068C">
        <w:rPr>
          <w:b/>
          <w:color w:val="000000"/>
        </w:rPr>
        <w:t>PODMÍNKY NEBO OMEZENÍ S OHLEDEM NA BEZPEČNÉ A ÚČINNÉ POUŽÍVÁNÍ LÉČIVÉHO PŘÍPRAVKU</w:t>
      </w:r>
    </w:p>
    <w:p w14:paraId="4FC02FB0" w14:textId="77777777" w:rsidR="00E504F6" w:rsidRPr="00C9068C" w:rsidRDefault="00E504F6" w:rsidP="00E504F6">
      <w:pPr>
        <w:widowControl w:val="0"/>
        <w:autoSpaceDE w:val="0"/>
        <w:autoSpaceDN w:val="0"/>
        <w:adjustRightInd w:val="0"/>
        <w:spacing w:after="140" w:line="280" w:lineRule="atLeast"/>
        <w:ind w:left="127" w:right="120"/>
        <w:rPr>
          <w:rFonts w:cs="Verdana"/>
          <w:color w:val="000000"/>
        </w:rPr>
      </w:pPr>
    </w:p>
    <w:p w14:paraId="4FC02FB1" w14:textId="77777777" w:rsidR="00E504F6" w:rsidRPr="00C9068C" w:rsidRDefault="006455D9" w:rsidP="00E504F6">
      <w:pPr>
        <w:widowControl w:val="0"/>
        <w:numPr>
          <w:ilvl w:val="0"/>
          <w:numId w:val="21"/>
        </w:numPr>
        <w:tabs>
          <w:tab w:val="clear" w:pos="567"/>
          <w:tab w:val="clear" w:pos="720"/>
          <w:tab w:val="left" w:pos="468"/>
        </w:tabs>
        <w:autoSpaceDE w:val="0"/>
        <w:autoSpaceDN w:val="0"/>
        <w:adjustRightInd w:val="0"/>
        <w:spacing w:line="240" w:lineRule="auto"/>
        <w:ind w:left="468"/>
        <w:rPr>
          <w:rFonts w:cs="Verdana"/>
          <w:color w:val="000000"/>
        </w:rPr>
      </w:pPr>
      <w:r w:rsidRPr="00C9068C">
        <w:rPr>
          <w:b/>
          <w:color w:val="000000"/>
        </w:rPr>
        <w:t>Plán řízení rizik (RMP)</w:t>
      </w:r>
    </w:p>
    <w:p w14:paraId="4FC02FB2" w14:textId="77777777" w:rsidR="00E504F6" w:rsidRPr="00C9068C" w:rsidRDefault="00E504F6" w:rsidP="00E504F6">
      <w:pPr>
        <w:widowControl w:val="0"/>
        <w:autoSpaceDE w:val="0"/>
        <w:autoSpaceDN w:val="0"/>
        <w:adjustRightInd w:val="0"/>
        <w:spacing w:after="140" w:line="280" w:lineRule="atLeast"/>
        <w:ind w:left="127" w:right="120"/>
        <w:rPr>
          <w:rFonts w:cs="Verdana"/>
          <w:color w:val="000000"/>
        </w:rPr>
      </w:pPr>
    </w:p>
    <w:p w14:paraId="4FC02FB3" w14:textId="77777777" w:rsidR="00E504F6" w:rsidRPr="00C9068C" w:rsidRDefault="006455D9" w:rsidP="00E504F6">
      <w:pPr>
        <w:widowControl w:val="0"/>
        <w:autoSpaceDE w:val="0"/>
        <w:autoSpaceDN w:val="0"/>
        <w:adjustRightInd w:val="0"/>
        <w:spacing w:after="140" w:line="280" w:lineRule="atLeast"/>
        <w:ind w:left="127" w:right="120"/>
        <w:rPr>
          <w:rFonts w:cs="Verdana"/>
          <w:color w:val="000000"/>
        </w:rPr>
      </w:pPr>
      <w:r w:rsidRPr="00C9068C">
        <w:rPr>
          <w:color w:val="000000"/>
        </w:rPr>
        <w:t>Držitel rozhodnutí o registraci</w:t>
      </w:r>
      <w:r w:rsidRPr="00C9068C">
        <w:rPr>
          <w:color w:val="000000"/>
        </w:rPr>
        <w:t xml:space="preserve"> uskuteční požadované činnosti a intervence v oblasti farmakovigilance podrobně popsané ve schváleném RMP uvedeném v modulu 1.8.2 registrace a ve veškerých schválených následných aktualizacích RMP.</w:t>
      </w:r>
    </w:p>
    <w:p w14:paraId="4FC02FB4" w14:textId="77777777" w:rsidR="00E504F6" w:rsidRPr="00C9068C" w:rsidRDefault="006455D9" w:rsidP="00E504F6">
      <w:pPr>
        <w:widowControl w:val="0"/>
        <w:autoSpaceDE w:val="0"/>
        <w:autoSpaceDN w:val="0"/>
        <w:adjustRightInd w:val="0"/>
        <w:spacing w:after="140" w:line="280" w:lineRule="atLeast"/>
        <w:ind w:left="127" w:right="120"/>
        <w:rPr>
          <w:rFonts w:cs="Verdana"/>
          <w:color w:val="000000"/>
        </w:rPr>
      </w:pPr>
      <w:r w:rsidRPr="00C9068C">
        <w:rPr>
          <w:color w:val="000000"/>
        </w:rPr>
        <w:t>Aktualizovaný RMP je třeba předložit:</w:t>
      </w:r>
    </w:p>
    <w:p w14:paraId="4FC02FB5" w14:textId="77777777" w:rsidR="00E504F6" w:rsidRPr="00C9068C" w:rsidRDefault="006455D9" w:rsidP="00E504F6">
      <w:pPr>
        <w:widowControl w:val="0"/>
        <w:numPr>
          <w:ilvl w:val="0"/>
          <w:numId w:val="21"/>
        </w:numPr>
        <w:tabs>
          <w:tab w:val="clear" w:pos="567"/>
          <w:tab w:val="clear" w:pos="720"/>
          <w:tab w:val="left" w:pos="828"/>
        </w:tabs>
        <w:autoSpaceDE w:val="0"/>
        <w:autoSpaceDN w:val="0"/>
        <w:adjustRightInd w:val="0"/>
        <w:spacing w:after="140" w:line="280" w:lineRule="atLeast"/>
        <w:ind w:left="828"/>
        <w:rPr>
          <w:rFonts w:cs="Verdana"/>
          <w:color w:val="000000"/>
        </w:rPr>
      </w:pPr>
      <w:r w:rsidRPr="00C9068C">
        <w:rPr>
          <w:color w:val="000000"/>
        </w:rPr>
        <w:t>na žádost Evropské a</w:t>
      </w:r>
      <w:r w:rsidRPr="00C9068C">
        <w:rPr>
          <w:color w:val="000000"/>
        </w:rPr>
        <w:t>gentury pro léčivé přípravky,</w:t>
      </w:r>
    </w:p>
    <w:p w14:paraId="4FC02FB6" w14:textId="77777777" w:rsidR="00E504F6" w:rsidRPr="00C9068C" w:rsidRDefault="006455D9" w:rsidP="00E504F6">
      <w:pPr>
        <w:widowControl w:val="0"/>
        <w:numPr>
          <w:ilvl w:val="0"/>
          <w:numId w:val="21"/>
        </w:numPr>
        <w:tabs>
          <w:tab w:val="clear" w:pos="567"/>
          <w:tab w:val="clear" w:pos="720"/>
          <w:tab w:val="left" w:pos="828"/>
        </w:tabs>
        <w:autoSpaceDE w:val="0"/>
        <w:autoSpaceDN w:val="0"/>
        <w:adjustRightInd w:val="0"/>
        <w:spacing w:after="140" w:line="280" w:lineRule="atLeast"/>
        <w:ind w:left="828"/>
        <w:rPr>
          <w:rFonts w:cs="Verdana"/>
          <w:color w:val="000000"/>
        </w:rPr>
      </w:pPr>
      <w:r w:rsidRPr="00C9068C">
        <w:rPr>
          <w:color w:val="000000"/>
        </w:rPr>
        <w:t>při každé změně systému řízení rizik, zejména v důsledku obdržení nových informací, které mohou vést k významným změnám poměru přínosů a rizik, nebo z důvodu dosažení význačného milníku (v rámci farmakovigilance nebo minimaliz</w:t>
      </w:r>
      <w:r w:rsidRPr="00C9068C">
        <w:rPr>
          <w:color w:val="000000"/>
        </w:rPr>
        <w:t xml:space="preserve">ace rizik). </w:t>
      </w:r>
    </w:p>
    <w:p w14:paraId="4FC02FB7" w14:textId="77777777" w:rsidR="00E504F6" w:rsidRPr="00C9068C" w:rsidRDefault="006455D9" w:rsidP="00E504F6">
      <w:pPr>
        <w:numPr>
          <w:ilvl w:val="12"/>
          <w:numId w:val="0"/>
        </w:numPr>
        <w:spacing w:line="240" w:lineRule="auto"/>
        <w:ind w:right="-2"/>
        <w:rPr>
          <w:szCs w:val="22"/>
        </w:rPr>
      </w:pPr>
      <w:r w:rsidRPr="00C9068C">
        <w:br w:type="page"/>
      </w:r>
    </w:p>
    <w:p w14:paraId="4FC02FB8" w14:textId="77777777" w:rsidR="00E504F6" w:rsidRPr="00C9068C" w:rsidRDefault="00E504F6" w:rsidP="00E504F6">
      <w:pPr>
        <w:spacing w:line="240" w:lineRule="auto"/>
        <w:ind w:right="566"/>
        <w:rPr>
          <w:szCs w:val="22"/>
        </w:rPr>
      </w:pPr>
    </w:p>
    <w:p w14:paraId="4FC02FB9" w14:textId="77777777" w:rsidR="00E504F6" w:rsidRPr="00C9068C" w:rsidRDefault="00E504F6" w:rsidP="00E504F6">
      <w:pPr>
        <w:spacing w:line="240" w:lineRule="auto"/>
        <w:rPr>
          <w:szCs w:val="22"/>
        </w:rPr>
      </w:pPr>
    </w:p>
    <w:p w14:paraId="4FC02FBA" w14:textId="77777777" w:rsidR="00E504F6" w:rsidRPr="00C9068C" w:rsidRDefault="00E504F6" w:rsidP="00E504F6">
      <w:pPr>
        <w:spacing w:line="240" w:lineRule="auto"/>
        <w:rPr>
          <w:szCs w:val="22"/>
        </w:rPr>
      </w:pPr>
    </w:p>
    <w:p w14:paraId="4FC02FBB" w14:textId="77777777" w:rsidR="00E504F6" w:rsidRPr="00C9068C" w:rsidRDefault="00E504F6" w:rsidP="00E504F6">
      <w:pPr>
        <w:spacing w:line="240" w:lineRule="auto"/>
        <w:rPr>
          <w:szCs w:val="22"/>
        </w:rPr>
      </w:pPr>
    </w:p>
    <w:p w14:paraId="4FC02FBC" w14:textId="77777777" w:rsidR="00E504F6" w:rsidRPr="00C9068C" w:rsidRDefault="00E504F6" w:rsidP="00E504F6">
      <w:pPr>
        <w:spacing w:line="240" w:lineRule="auto"/>
        <w:rPr>
          <w:szCs w:val="22"/>
        </w:rPr>
      </w:pPr>
    </w:p>
    <w:p w14:paraId="4FC02FBD" w14:textId="77777777" w:rsidR="00E504F6" w:rsidRPr="00C9068C" w:rsidRDefault="00E504F6" w:rsidP="00E504F6">
      <w:pPr>
        <w:spacing w:line="240" w:lineRule="auto"/>
      </w:pPr>
    </w:p>
    <w:p w14:paraId="4FC02FBE" w14:textId="77777777" w:rsidR="00E504F6" w:rsidRPr="00C9068C" w:rsidRDefault="00E504F6" w:rsidP="00E504F6">
      <w:pPr>
        <w:spacing w:line="240" w:lineRule="auto"/>
      </w:pPr>
    </w:p>
    <w:p w14:paraId="4FC02FBF" w14:textId="77777777" w:rsidR="00E504F6" w:rsidRPr="00C9068C" w:rsidRDefault="00E504F6" w:rsidP="00E504F6">
      <w:pPr>
        <w:spacing w:line="240" w:lineRule="auto"/>
      </w:pPr>
    </w:p>
    <w:p w14:paraId="4FC02FC0" w14:textId="77777777" w:rsidR="00E504F6" w:rsidRPr="00C9068C" w:rsidRDefault="00E504F6" w:rsidP="00E504F6">
      <w:pPr>
        <w:spacing w:line="240" w:lineRule="auto"/>
      </w:pPr>
    </w:p>
    <w:p w14:paraId="4FC02FC1" w14:textId="77777777" w:rsidR="00E504F6" w:rsidRPr="00C9068C" w:rsidRDefault="00E504F6" w:rsidP="00E504F6">
      <w:pPr>
        <w:spacing w:line="240" w:lineRule="auto"/>
      </w:pPr>
    </w:p>
    <w:p w14:paraId="4FC02FC2" w14:textId="77777777" w:rsidR="00E504F6" w:rsidRPr="00C9068C" w:rsidRDefault="00E504F6" w:rsidP="00E504F6">
      <w:pPr>
        <w:spacing w:line="240" w:lineRule="auto"/>
        <w:rPr>
          <w:szCs w:val="22"/>
        </w:rPr>
      </w:pPr>
    </w:p>
    <w:p w14:paraId="4FC02FC3" w14:textId="77777777" w:rsidR="00E504F6" w:rsidRPr="00C9068C" w:rsidRDefault="00E504F6" w:rsidP="00E504F6">
      <w:pPr>
        <w:spacing w:line="240" w:lineRule="auto"/>
        <w:rPr>
          <w:szCs w:val="22"/>
        </w:rPr>
      </w:pPr>
    </w:p>
    <w:p w14:paraId="4FC02FC4" w14:textId="77777777" w:rsidR="00E504F6" w:rsidRPr="00C9068C" w:rsidRDefault="00E504F6" w:rsidP="00E504F6"/>
    <w:p w14:paraId="4FC02FC5" w14:textId="77777777" w:rsidR="00E504F6" w:rsidRPr="00C9068C" w:rsidRDefault="00E504F6" w:rsidP="00E504F6"/>
    <w:p w14:paraId="4FC02FC6" w14:textId="77777777" w:rsidR="00E504F6" w:rsidRPr="00C9068C" w:rsidRDefault="00E504F6" w:rsidP="00E504F6"/>
    <w:p w14:paraId="4FC02FC7" w14:textId="77777777" w:rsidR="00E504F6" w:rsidRPr="00C9068C" w:rsidRDefault="00E504F6" w:rsidP="00E504F6">
      <w:pPr>
        <w:spacing w:line="240" w:lineRule="auto"/>
        <w:rPr>
          <w:szCs w:val="22"/>
        </w:rPr>
      </w:pPr>
    </w:p>
    <w:p w14:paraId="4FC02FC8" w14:textId="77777777" w:rsidR="00E504F6" w:rsidRPr="00C9068C" w:rsidRDefault="00E504F6" w:rsidP="00E504F6">
      <w:pPr>
        <w:spacing w:line="240" w:lineRule="auto"/>
        <w:rPr>
          <w:szCs w:val="22"/>
        </w:rPr>
      </w:pPr>
    </w:p>
    <w:p w14:paraId="4FC02FC9" w14:textId="77777777" w:rsidR="00E504F6" w:rsidRPr="00C9068C" w:rsidRDefault="00E504F6" w:rsidP="00E504F6">
      <w:pPr>
        <w:spacing w:line="240" w:lineRule="auto"/>
        <w:rPr>
          <w:szCs w:val="22"/>
        </w:rPr>
      </w:pPr>
    </w:p>
    <w:p w14:paraId="4FC02FCA" w14:textId="77777777" w:rsidR="00E504F6" w:rsidRPr="00C9068C" w:rsidRDefault="00E504F6" w:rsidP="00E504F6">
      <w:pPr>
        <w:spacing w:line="240" w:lineRule="auto"/>
        <w:rPr>
          <w:szCs w:val="22"/>
        </w:rPr>
      </w:pPr>
    </w:p>
    <w:p w14:paraId="4FC02FCB" w14:textId="77777777" w:rsidR="00E504F6" w:rsidRPr="00C9068C" w:rsidRDefault="00E504F6" w:rsidP="00E504F6">
      <w:pPr>
        <w:spacing w:line="240" w:lineRule="auto"/>
        <w:rPr>
          <w:szCs w:val="22"/>
        </w:rPr>
      </w:pPr>
    </w:p>
    <w:p w14:paraId="4FC02FCC" w14:textId="77777777" w:rsidR="00E504F6" w:rsidRPr="00C9068C" w:rsidRDefault="00E504F6" w:rsidP="00E504F6">
      <w:pPr>
        <w:spacing w:line="240" w:lineRule="auto"/>
        <w:rPr>
          <w:szCs w:val="22"/>
        </w:rPr>
      </w:pPr>
    </w:p>
    <w:p w14:paraId="4FC02FCD" w14:textId="77777777" w:rsidR="00E504F6" w:rsidRPr="00C9068C" w:rsidRDefault="00E504F6" w:rsidP="00E504F6">
      <w:pPr>
        <w:spacing w:line="240" w:lineRule="auto"/>
        <w:rPr>
          <w:szCs w:val="22"/>
        </w:rPr>
      </w:pPr>
    </w:p>
    <w:p w14:paraId="4FC02FCE" w14:textId="77777777" w:rsidR="00E504F6" w:rsidRPr="00C9068C" w:rsidRDefault="00E504F6" w:rsidP="00E504F6">
      <w:pPr>
        <w:spacing w:line="240" w:lineRule="auto"/>
        <w:rPr>
          <w:szCs w:val="22"/>
        </w:rPr>
      </w:pPr>
    </w:p>
    <w:p w14:paraId="4FC02FCF" w14:textId="77777777" w:rsidR="00E504F6" w:rsidRPr="00C9068C" w:rsidRDefault="006455D9" w:rsidP="00E504F6">
      <w:pPr>
        <w:spacing w:line="240" w:lineRule="auto"/>
        <w:jc w:val="center"/>
        <w:outlineLvl w:val="0"/>
        <w:rPr>
          <w:b/>
          <w:szCs w:val="22"/>
        </w:rPr>
      </w:pPr>
      <w:r w:rsidRPr="00C9068C">
        <w:rPr>
          <w:b/>
        </w:rPr>
        <w:t>PŘÍLOHA III</w:t>
      </w:r>
    </w:p>
    <w:p w14:paraId="4FC02FD0" w14:textId="77777777" w:rsidR="00E504F6" w:rsidRPr="00C9068C" w:rsidRDefault="00E504F6" w:rsidP="00E504F6"/>
    <w:p w14:paraId="4FC02FD1" w14:textId="77777777" w:rsidR="00E504F6" w:rsidRPr="00C9068C" w:rsidRDefault="006455D9" w:rsidP="00E504F6">
      <w:pPr>
        <w:spacing w:line="240" w:lineRule="auto"/>
        <w:jc w:val="center"/>
        <w:outlineLvl w:val="0"/>
        <w:rPr>
          <w:b/>
          <w:szCs w:val="22"/>
        </w:rPr>
      </w:pPr>
      <w:r w:rsidRPr="00C9068C">
        <w:rPr>
          <w:b/>
        </w:rPr>
        <w:t>OZNAČENÍ NA OBALU A PŘÍBALOVÁ INFORMACE</w:t>
      </w:r>
    </w:p>
    <w:p w14:paraId="4FC02FD2" w14:textId="77777777" w:rsidR="00E504F6" w:rsidRPr="00C9068C" w:rsidRDefault="006455D9" w:rsidP="00E504F6">
      <w:r w:rsidRPr="00C9068C">
        <w:br w:type="page"/>
      </w:r>
    </w:p>
    <w:p w14:paraId="4FC02FD3" w14:textId="77777777" w:rsidR="00E504F6" w:rsidRPr="00C9068C" w:rsidRDefault="00E504F6" w:rsidP="00E504F6"/>
    <w:p w14:paraId="4FC02FD4" w14:textId="77777777" w:rsidR="00E504F6" w:rsidRPr="00C9068C" w:rsidRDefault="00E504F6" w:rsidP="00E504F6"/>
    <w:p w14:paraId="4FC02FD5" w14:textId="77777777" w:rsidR="00E504F6" w:rsidRPr="00C9068C" w:rsidRDefault="00E504F6" w:rsidP="00E504F6"/>
    <w:p w14:paraId="4FC02FD6" w14:textId="77777777" w:rsidR="00E504F6" w:rsidRPr="00C9068C" w:rsidRDefault="00E504F6" w:rsidP="00E504F6"/>
    <w:p w14:paraId="4FC02FD7" w14:textId="77777777" w:rsidR="00E504F6" w:rsidRPr="00C9068C" w:rsidRDefault="00E504F6" w:rsidP="00E504F6"/>
    <w:p w14:paraId="4FC02FD8" w14:textId="77777777" w:rsidR="00E504F6" w:rsidRPr="00C9068C" w:rsidRDefault="00E504F6" w:rsidP="00E504F6"/>
    <w:p w14:paraId="4FC02FD9" w14:textId="77777777" w:rsidR="00E504F6" w:rsidRPr="00C9068C" w:rsidRDefault="00E504F6" w:rsidP="00E504F6"/>
    <w:p w14:paraId="4FC02FDA" w14:textId="77777777" w:rsidR="00E504F6" w:rsidRPr="00C9068C" w:rsidRDefault="00E504F6" w:rsidP="00E504F6"/>
    <w:p w14:paraId="4FC02FDB" w14:textId="77777777" w:rsidR="00E504F6" w:rsidRPr="00C9068C" w:rsidRDefault="00E504F6" w:rsidP="00E504F6"/>
    <w:p w14:paraId="4FC02FDC" w14:textId="77777777" w:rsidR="00E504F6" w:rsidRPr="00C9068C" w:rsidRDefault="00E504F6" w:rsidP="00E504F6"/>
    <w:p w14:paraId="4FC02FDD" w14:textId="77777777" w:rsidR="00E504F6" w:rsidRPr="00C9068C" w:rsidRDefault="00E504F6" w:rsidP="00E504F6"/>
    <w:p w14:paraId="4FC02FDE" w14:textId="77777777" w:rsidR="00E504F6" w:rsidRPr="00C9068C" w:rsidRDefault="00E504F6" w:rsidP="00E504F6"/>
    <w:p w14:paraId="4FC02FDF" w14:textId="77777777" w:rsidR="00E504F6" w:rsidRPr="00C9068C" w:rsidRDefault="00E504F6" w:rsidP="00E504F6"/>
    <w:p w14:paraId="4FC02FE0" w14:textId="77777777" w:rsidR="00E504F6" w:rsidRPr="00C9068C" w:rsidRDefault="00E504F6" w:rsidP="00E504F6"/>
    <w:p w14:paraId="4FC02FE1" w14:textId="77777777" w:rsidR="00E504F6" w:rsidRPr="00C9068C" w:rsidRDefault="00E504F6" w:rsidP="00E504F6"/>
    <w:p w14:paraId="4FC02FE2" w14:textId="77777777" w:rsidR="00E504F6" w:rsidRPr="00C9068C" w:rsidRDefault="00E504F6" w:rsidP="00E504F6"/>
    <w:p w14:paraId="4FC02FE3" w14:textId="77777777" w:rsidR="00E504F6" w:rsidRPr="00C9068C" w:rsidRDefault="00E504F6" w:rsidP="00E504F6"/>
    <w:p w14:paraId="4FC02FE4" w14:textId="77777777" w:rsidR="00E504F6" w:rsidRPr="00C9068C" w:rsidRDefault="00E504F6" w:rsidP="00E504F6"/>
    <w:p w14:paraId="4FC02FE5" w14:textId="77777777" w:rsidR="00E504F6" w:rsidRPr="00C9068C" w:rsidRDefault="00E504F6" w:rsidP="00E504F6"/>
    <w:p w14:paraId="4FC02FE6" w14:textId="77777777" w:rsidR="00E504F6" w:rsidRPr="00C9068C" w:rsidRDefault="00E504F6" w:rsidP="00E504F6"/>
    <w:p w14:paraId="4FC02FE7" w14:textId="77777777" w:rsidR="00E504F6" w:rsidRPr="00C9068C" w:rsidRDefault="00E504F6" w:rsidP="00E504F6"/>
    <w:p w14:paraId="4FC02FE8" w14:textId="77777777" w:rsidR="00E504F6" w:rsidRPr="00C9068C" w:rsidRDefault="00E504F6" w:rsidP="00E504F6"/>
    <w:p w14:paraId="4FC02FE9" w14:textId="77777777" w:rsidR="00E504F6" w:rsidRPr="00C9068C" w:rsidRDefault="006455D9" w:rsidP="00E504F6">
      <w:pPr>
        <w:pStyle w:val="ListParagraph"/>
        <w:numPr>
          <w:ilvl w:val="0"/>
          <w:numId w:val="31"/>
        </w:numPr>
        <w:spacing w:line="240" w:lineRule="auto"/>
        <w:ind w:left="357" w:hanging="357"/>
        <w:jc w:val="center"/>
        <w:outlineLvl w:val="0"/>
        <w:rPr>
          <w:szCs w:val="22"/>
        </w:rPr>
      </w:pPr>
      <w:r w:rsidRPr="00C9068C">
        <w:rPr>
          <w:b/>
        </w:rPr>
        <w:t>OZNAČENÍ NA OBALU</w:t>
      </w:r>
    </w:p>
    <w:p w14:paraId="4FC02FEA" w14:textId="77777777" w:rsidR="00E504F6" w:rsidRPr="00C9068C" w:rsidRDefault="006455D9" w:rsidP="00E504F6">
      <w:pPr>
        <w:shd w:val="clear" w:color="auto" w:fill="FFFFFF"/>
        <w:spacing w:line="240" w:lineRule="auto"/>
        <w:rPr>
          <w:szCs w:val="22"/>
        </w:rPr>
      </w:pPr>
      <w:r w:rsidRPr="00C9068C">
        <w:br w:type="page"/>
      </w:r>
    </w:p>
    <w:p w14:paraId="4FC02FEB" w14:textId="77777777" w:rsidR="00E504F6" w:rsidRPr="00C9068C" w:rsidRDefault="006455D9" w:rsidP="00E504F6">
      <w:pPr>
        <w:pBdr>
          <w:top w:val="single" w:sz="4" w:space="0" w:color="auto"/>
          <w:left w:val="single" w:sz="4" w:space="4" w:color="auto"/>
          <w:bottom w:val="single" w:sz="4" w:space="1" w:color="auto"/>
          <w:right w:val="single" w:sz="4" w:space="4" w:color="auto"/>
        </w:pBdr>
        <w:spacing w:line="240" w:lineRule="auto"/>
        <w:rPr>
          <w:b/>
          <w:szCs w:val="22"/>
        </w:rPr>
      </w:pPr>
      <w:r w:rsidRPr="00C9068C">
        <w:rPr>
          <w:b/>
        </w:rPr>
        <w:lastRenderedPageBreak/>
        <w:t>ÚDAJE UVÁDĚNÉ NA VNĚJŠÍM OBALU</w:t>
      </w:r>
    </w:p>
    <w:p w14:paraId="4FC02FEC" w14:textId="77777777" w:rsidR="00E504F6" w:rsidRPr="00C9068C" w:rsidRDefault="00E504F6" w:rsidP="00E504F6">
      <w:pPr>
        <w:pBdr>
          <w:top w:val="single" w:sz="4" w:space="0" w:color="auto"/>
          <w:left w:val="single" w:sz="4" w:space="4" w:color="auto"/>
          <w:bottom w:val="single" w:sz="4" w:space="1" w:color="auto"/>
          <w:right w:val="single" w:sz="4" w:space="4" w:color="auto"/>
        </w:pBdr>
        <w:spacing w:line="240" w:lineRule="auto"/>
        <w:ind w:left="567" w:hanging="567"/>
        <w:rPr>
          <w:bCs/>
          <w:szCs w:val="22"/>
        </w:rPr>
      </w:pPr>
    </w:p>
    <w:p w14:paraId="4FC02FED" w14:textId="77777777" w:rsidR="00E504F6" w:rsidRPr="00C9068C" w:rsidRDefault="006455D9" w:rsidP="00E504F6">
      <w:pPr>
        <w:pBdr>
          <w:top w:val="single" w:sz="4" w:space="0" w:color="auto"/>
          <w:left w:val="single" w:sz="4" w:space="4" w:color="auto"/>
          <w:bottom w:val="single" w:sz="4" w:space="1" w:color="auto"/>
          <w:right w:val="single" w:sz="4" w:space="4" w:color="auto"/>
        </w:pBdr>
        <w:spacing w:line="240" w:lineRule="auto"/>
        <w:rPr>
          <w:bCs/>
          <w:szCs w:val="22"/>
        </w:rPr>
      </w:pPr>
      <w:r w:rsidRPr="00C9068C">
        <w:rPr>
          <w:b/>
        </w:rPr>
        <w:t>VNĚJŠÍ KRABIČKA</w:t>
      </w:r>
    </w:p>
    <w:p w14:paraId="4FC02FEE" w14:textId="77777777" w:rsidR="00E504F6" w:rsidRPr="00C9068C" w:rsidRDefault="00E504F6" w:rsidP="00E504F6">
      <w:pPr>
        <w:spacing w:line="240" w:lineRule="auto"/>
      </w:pPr>
    </w:p>
    <w:p w14:paraId="4FC02FEF" w14:textId="77777777" w:rsidR="00E504F6" w:rsidRPr="00C9068C" w:rsidRDefault="00E504F6" w:rsidP="00E504F6">
      <w:pPr>
        <w:spacing w:line="240" w:lineRule="auto"/>
        <w:rPr>
          <w:szCs w:val="22"/>
        </w:rPr>
      </w:pPr>
    </w:p>
    <w:p w14:paraId="4FC02FF0"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pPr>
      <w:r w:rsidRPr="00C9068C">
        <w:rPr>
          <w:b/>
        </w:rPr>
        <w:t>NÁZEV PŘÍPRAVKU</w:t>
      </w:r>
    </w:p>
    <w:p w14:paraId="4FC02FF1" w14:textId="77777777" w:rsidR="00E504F6" w:rsidRPr="00C9068C" w:rsidRDefault="00E504F6" w:rsidP="00E504F6">
      <w:pPr>
        <w:spacing w:line="240" w:lineRule="auto"/>
        <w:rPr>
          <w:szCs w:val="22"/>
        </w:rPr>
      </w:pPr>
    </w:p>
    <w:p w14:paraId="4FC02FF2" w14:textId="77777777" w:rsidR="00E504F6" w:rsidRPr="00C9068C" w:rsidRDefault="006455D9" w:rsidP="00E504F6">
      <w:pPr>
        <w:rPr>
          <w:szCs w:val="22"/>
        </w:rPr>
      </w:pPr>
      <w:r w:rsidRPr="00C9068C">
        <w:t xml:space="preserve">Cuprior 150 mg </w:t>
      </w:r>
      <w:r w:rsidR="003E6709">
        <w:t xml:space="preserve">potahované </w:t>
      </w:r>
      <w:r w:rsidRPr="00C9068C">
        <w:t xml:space="preserve">tablety </w:t>
      </w:r>
    </w:p>
    <w:p w14:paraId="4FC02FF3" w14:textId="77777777" w:rsidR="00E504F6" w:rsidRPr="00C9068C" w:rsidRDefault="006455D9" w:rsidP="00E504F6">
      <w:pPr>
        <w:spacing w:line="240" w:lineRule="auto"/>
        <w:rPr>
          <w:b/>
          <w:szCs w:val="22"/>
        </w:rPr>
      </w:pPr>
      <w:r w:rsidRPr="00C9068C">
        <w:t>trientinum</w:t>
      </w:r>
      <w:r w:rsidRPr="00C9068C">
        <w:rPr>
          <w:b/>
        </w:rPr>
        <w:t xml:space="preserve"> </w:t>
      </w:r>
    </w:p>
    <w:p w14:paraId="4FC02FF4" w14:textId="77777777" w:rsidR="00E504F6" w:rsidRPr="00C9068C" w:rsidRDefault="00E504F6" w:rsidP="00E504F6">
      <w:pPr>
        <w:spacing w:line="240" w:lineRule="auto"/>
        <w:rPr>
          <w:szCs w:val="22"/>
        </w:rPr>
      </w:pPr>
    </w:p>
    <w:p w14:paraId="4FC02FF5" w14:textId="77777777" w:rsidR="00E504F6" w:rsidRPr="00C9068C" w:rsidRDefault="00E504F6" w:rsidP="00E504F6">
      <w:pPr>
        <w:spacing w:line="240" w:lineRule="auto"/>
        <w:rPr>
          <w:szCs w:val="22"/>
        </w:rPr>
      </w:pPr>
    </w:p>
    <w:p w14:paraId="4FC02FF6"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t>OBSAH LÉČIVÉ LÁTKY / LÉČIVÝCH LÁTEK</w:t>
      </w:r>
    </w:p>
    <w:p w14:paraId="4FC02FF7" w14:textId="77777777" w:rsidR="00E504F6" w:rsidRPr="00C9068C" w:rsidRDefault="00E504F6" w:rsidP="00E504F6">
      <w:pPr>
        <w:spacing w:line="240" w:lineRule="auto"/>
        <w:rPr>
          <w:szCs w:val="22"/>
        </w:rPr>
      </w:pPr>
    </w:p>
    <w:p w14:paraId="4FC02FF8" w14:textId="77777777" w:rsidR="00E504F6" w:rsidRPr="00C9068C" w:rsidRDefault="006455D9" w:rsidP="00E504F6">
      <w:pPr>
        <w:widowControl w:val="0"/>
      </w:pPr>
      <w:r w:rsidRPr="00C9068C">
        <w:t xml:space="preserve">Jedna </w:t>
      </w:r>
      <w:r w:rsidR="003E6709">
        <w:t xml:space="preserve">potahovaná </w:t>
      </w:r>
      <w:r w:rsidRPr="00C9068C">
        <w:t>tableta obsahuje trientini tetrahydrochloridum, což odpovídá trientinum 150 mg.</w:t>
      </w:r>
    </w:p>
    <w:p w14:paraId="4FC02FF9" w14:textId="77777777" w:rsidR="00E504F6" w:rsidRPr="00C9068C" w:rsidRDefault="00E504F6" w:rsidP="00E504F6">
      <w:pPr>
        <w:spacing w:line="240" w:lineRule="auto"/>
        <w:rPr>
          <w:szCs w:val="22"/>
        </w:rPr>
      </w:pPr>
    </w:p>
    <w:p w14:paraId="4FC02FFA" w14:textId="77777777" w:rsidR="00E504F6" w:rsidRPr="00C9068C" w:rsidRDefault="00E504F6" w:rsidP="00E504F6">
      <w:pPr>
        <w:spacing w:line="240" w:lineRule="auto"/>
        <w:rPr>
          <w:szCs w:val="22"/>
        </w:rPr>
      </w:pPr>
    </w:p>
    <w:p w14:paraId="4FC02FFB"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t>SEZNAM POMOCNÝCH LÁTEK</w:t>
      </w:r>
    </w:p>
    <w:p w14:paraId="4FC02FFC" w14:textId="77777777" w:rsidR="00E504F6" w:rsidRPr="00C9068C" w:rsidRDefault="00E504F6" w:rsidP="00E504F6">
      <w:pPr>
        <w:spacing w:line="240" w:lineRule="auto"/>
        <w:rPr>
          <w:szCs w:val="22"/>
        </w:rPr>
      </w:pPr>
    </w:p>
    <w:p w14:paraId="4FC02FFD" w14:textId="77777777" w:rsidR="00E504F6" w:rsidRPr="00C9068C" w:rsidRDefault="00E504F6" w:rsidP="00E504F6">
      <w:pPr>
        <w:spacing w:line="240" w:lineRule="auto"/>
        <w:rPr>
          <w:szCs w:val="22"/>
        </w:rPr>
      </w:pPr>
    </w:p>
    <w:p w14:paraId="4FC02FFE"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t>LÉKOVÁ FORMA A OBSAH BALENÍ</w:t>
      </w:r>
    </w:p>
    <w:p w14:paraId="4FC02FFF" w14:textId="77777777" w:rsidR="00E504F6" w:rsidRPr="00C9068C" w:rsidRDefault="00E504F6" w:rsidP="00E504F6">
      <w:pPr>
        <w:rPr>
          <w:szCs w:val="22"/>
        </w:rPr>
      </w:pPr>
    </w:p>
    <w:p w14:paraId="4FC03000" w14:textId="03FDBEFC" w:rsidR="00E504F6" w:rsidRPr="00C9068C" w:rsidRDefault="006455D9" w:rsidP="00E504F6">
      <w:pPr>
        <w:rPr>
          <w:szCs w:val="22"/>
        </w:rPr>
      </w:pPr>
      <w:r w:rsidRPr="007C2C35">
        <w:rPr>
          <w:highlight w:val="lightGray"/>
        </w:rPr>
        <w:t>P</w:t>
      </w:r>
      <w:r w:rsidRPr="00A819F1">
        <w:rPr>
          <w:highlight w:val="lightGray"/>
        </w:rPr>
        <w:t>otahovaná t</w:t>
      </w:r>
      <w:r w:rsidR="00D83D73" w:rsidRPr="007C2C35">
        <w:rPr>
          <w:highlight w:val="lightGray"/>
        </w:rPr>
        <w:t>ableta</w:t>
      </w:r>
    </w:p>
    <w:p w14:paraId="4FC03001" w14:textId="32AE6D60" w:rsidR="00E504F6" w:rsidRDefault="006455D9" w:rsidP="00E504F6">
      <w:r w:rsidRPr="00C9068C">
        <w:t>72 </w:t>
      </w:r>
      <w:r w:rsidR="003E6709">
        <w:t xml:space="preserve">potahovaných </w:t>
      </w:r>
      <w:r w:rsidRPr="00C9068C">
        <w:t>tablet</w:t>
      </w:r>
    </w:p>
    <w:p w14:paraId="68A6D4F6" w14:textId="4D7283F7" w:rsidR="00C40E78" w:rsidRPr="00C9068C" w:rsidRDefault="006455D9" w:rsidP="00E504F6">
      <w:pPr>
        <w:rPr>
          <w:szCs w:val="22"/>
        </w:rPr>
      </w:pPr>
      <w:r w:rsidRPr="00C40E78">
        <w:rPr>
          <w:szCs w:val="22"/>
        </w:rPr>
        <w:t xml:space="preserve">96 </w:t>
      </w:r>
      <w:r w:rsidRPr="00C40E78">
        <w:rPr>
          <w:szCs w:val="22"/>
        </w:rPr>
        <w:t>potahovaných tablet</w:t>
      </w:r>
    </w:p>
    <w:p w14:paraId="4FC03002" w14:textId="77777777" w:rsidR="00E504F6" w:rsidRPr="00C9068C" w:rsidRDefault="00E504F6" w:rsidP="00E504F6">
      <w:pPr>
        <w:spacing w:line="240" w:lineRule="auto"/>
        <w:rPr>
          <w:szCs w:val="22"/>
        </w:rPr>
      </w:pPr>
    </w:p>
    <w:p w14:paraId="4FC03003" w14:textId="77777777" w:rsidR="00E504F6" w:rsidRPr="00C9068C" w:rsidRDefault="00E504F6" w:rsidP="00E504F6">
      <w:pPr>
        <w:spacing w:line="240" w:lineRule="auto"/>
        <w:rPr>
          <w:szCs w:val="22"/>
        </w:rPr>
      </w:pPr>
    </w:p>
    <w:p w14:paraId="4FC03004"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t>ZPŮSOB A CESTA/CESTY PODÁNÍ</w:t>
      </w:r>
    </w:p>
    <w:p w14:paraId="4FC03005" w14:textId="77777777" w:rsidR="00E504F6" w:rsidRPr="00C9068C" w:rsidRDefault="00E504F6" w:rsidP="00E504F6">
      <w:pPr>
        <w:spacing w:line="240" w:lineRule="auto"/>
        <w:rPr>
          <w:szCs w:val="22"/>
        </w:rPr>
      </w:pPr>
    </w:p>
    <w:p w14:paraId="4FC03006" w14:textId="77777777" w:rsidR="00E504F6" w:rsidRPr="00C9068C" w:rsidRDefault="006455D9" w:rsidP="00E504F6">
      <w:pPr>
        <w:rPr>
          <w:szCs w:val="22"/>
        </w:rPr>
      </w:pPr>
      <w:r w:rsidRPr="00C9068C">
        <w:t>Před použitím si přečtěte příbalovou informaci.</w:t>
      </w:r>
    </w:p>
    <w:p w14:paraId="4FC03007" w14:textId="77777777" w:rsidR="00E504F6" w:rsidRPr="00C9068C" w:rsidRDefault="006455D9" w:rsidP="00E504F6">
      <w:r w:rsidRPr="00C9068C">
        <w:t>Příbalová informace on-line na</w:t>
      </w:r>
      <w:r w:rsidRPr="00C9068C">
        <w:rPr>
          <w:i/>
        </w:rPr>
        <w:t xml:space="preserve"> </w:t>
      </w:r>
      <w:r w:rsidRPr="00C9068C">
        <w:rPr>
          <w:i/>
          <w:highlight w:val="lightGray"/>
        </w:rPr>
        <w:t>vložit QR kód</w:t>
      </w:r>
      <w:r w:rsidRPr="00C9068C">
        <w:rPr>
          <w:i/>
        </w:rPr>
        <w:t xml:space="preserve"> </w:t>
      </w:r>
      <w:hyperlink r:id="rId13" w:history="1">
        <w:r w:rsidRPr="00C9068C">
          <w:rPr>
            <w:rStyle w:val="Hyperlink"/>
          </w:rPr>
          <w:t>http://www.cuprior.com</w:t>
        </w:r>
      </w:hyperlink>
    </w:p>
    <w:p w14:paraId="4FC03008" w14:textId="77777777" w:rsidR="00E504F6" w:rsidRPr="00C9068C" w:rsidRDefault="00E504F6" w:rsidP="00E504F6">
      <w:pPr>
        <w:spacing w:line="240" w:lineRule="auto"/>
        <w:rPr>
          <w:szCs w:val="22"/>
        </w:rPr>
      </w:pPr>
    </w:p>
    <w:p w14:paraId="4FC03009" w14:textId="77777777" w:rsidR="00E504F6" w:rsidRPr="00C9068C" w:rsidRDefault="006455D9" w:rsidP="00E504F6">
      <w:pPr>
        <w:rPr>
          <w:szCs w:val="22"/>
        </w:rPr>
      </w:pPr>
      <w:r w:rsidRPr="00C9068C">
        <w:t>Perorální podání.</w:t>
      </w:r>
    </w:p>
    <w:p w14:paraId="4FC0300A" w14:textId="77777777" w:rsidR="00E504F6" w:rsidRPr="00C9068C" w:rsidRDefault="00E504F6" w:rsidP="00E504F6">
      <w:pPr>
        <w:spacing w:line="240" w:lineRule="auto"/>
        <w:rPr>
          <w:szCs w:val="22"/>
        </w:rPr>
      </w:pPr>
    </w:p>
    <w:p w14:paraId="4FC0300B" w14:textId="77777777" w:rsidR="00E504F6" w:rsidRPr="00C9068C" w:rsidRDefault="00E504F6" w:rsidP="00E504F6">
      <w:pPr>
        <w:spacing w:line="240" w:lineRule="auto"/>
        <w:rPr>
          <w:szCs w:val="22"/>
        </w:rPr>
      </w:pPr>
    </w:p>
    <w:p w14:paraId="4FC0300C"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t xml:space="preserve">ZVLÁŠTNÍ </w:t>
      </w:r>
      <w:r w:rsidRPr="00C9068C">
        <w:rPr>
          <w:b/>
        </w:rPr>
        <w:t>UPOZORNĚNÍ, ŽE LÉČIVÝ PŘÍPRAVEK MUSÍ BÝT UCHOVÁVÁN MIMO DOHLED A DOSAH DĚTÍ</w:t>
      </w:r>
    </w:p>
    <w:p w14:paraId="4FC0300D" w14:textId="77777777" w:rsidR="00E504F6" w:rsidRPr="00C9068C" w:rsidRDefault="00E504F6" w:rsidP="00E504F6">
      <w:pPr>
        <w:spacing w:line="240" w:lineRule="auto"/>
        <w:rPr>
          <w:szCs w:val="22"/>
        </w:rPr>
      </w:pPr>
    </w:p>
    <w:p w14:paraId="4FC0300E" w14:textId="77777777" w:rsidR="00E504F6" w:rsidRPr="00C9068C" w:rsidRDefault="006455D9" w:rsidP="00E504F6">
      <w:pPr>
        <w:tabs>
          <w:tab w:val="left" w:pos="749"/>
        </w:tabs>
        <w:spacing w:line="240" w:lineRule="auto"/>
        <w:rPr>
          <w:szCs w:val="22"/>
        </w:rPr>
      </w:pPr>
      <w:r w:rsidRPr="00C9068C">
        <w:t>Uchovávejte mimo dohled a dosah dětí.</w:t>
      </w:r>
    </w:p>
    <w:p w14:paraId="4FC0300F" w14:textId="77777777" w:rsidR="00E504F6" w:rsidRPr="00C9068C" w:rsidRDefault="00E504F6" w:rsidP="00E504F6">
      <w:pPr>
        <w:spacing w:line="240" w:lineRule="auto"/>
        <w:rPr>
          <w:szCs w:val="22"/>
        </w:rPr>
      </w:pPr>
    </w:p>
    <w:p w14:paraId="4FC03010" w14:textId="77777777" w:rsidR="00E504F6" w:rsidRPr="00C9068C" w:rsidRDefault="00E504F6" w:rsidP="00E504F6">
      <w:pPr>
        <w:spacing w:line="240" w:lineRule="auto"/>
        <w:rPr>
          <w:szCs w:val="22"/>
        </w:rPr>
      </w:pPr>
    </w:p>
    <w:p w14:paraId="4FC03011"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t>DALŠÍ ZVLÁŠTNÍ UPOZORNĚNÍ, POKUD JE POTŘEBNÉ</w:t>
      </w:r>
    </w:p>
    <w:p w14:paraId="4FC03012" w14:textId="77777777" w:rsidR="00E504F6" w:rsidRPr="00C9068C" w:rsidRDefault="00E504F6" w:rsidP="00E504F6">
      <w:pPr>
        <w:spacing w:line="240" w:lineRule="auto"/>
        <w:rPr>
          <w:szCs w:val="22"/>
        </w:rPr>
      </w:pPr>
    </w:p>
    <w:p w14:paraId="4FC03013" w14:textId="77777777" w:rsidR="00E504F6" w:rsidRPr="00C9068C" w:rsidRDefault="006455D9" w:rsidP="00E504F6">
      <w:pPr>
        <w:tabs>
          <w:tab w:val="left" w:pos="749"/>
        </w:tabs>
        <w:spacing w:line="240" w:lineRule="auto"/>
        <w:rPr>
          <w:szCs w:val="22"/>
        </w:rPr>
      </w:pPr>
      <w:r w:rsidRPr="00C9068C">
        <w:t>Užívejte na lačný žaludek, nejméně jednu hodinu před jídlem nebo dvě hodiny po jídle a nejmén</w:t>
      </w:r>
      <w:r w:rsidRPr="00C9068C">
        <w:t>ě jednu hodinu od podání jakéhokoli jiného léčivého přípravku, jídla nebo mléka.</w:t>
      </w:r>
    </w:p>
    <w:p w14:paraId="4FC03014" w14:textId="77777777" w:rsidR="00E504F6" w:rsidRPr="00C9068C" w:rsidRDefault="00E504F6" w:rsidP="00E504F6">
      <w:pPr>
        <w:tabs>
          <w:tab w:val="left" w:pos="749"/>
        </w:tabs>
        <w:spacing w:line="240" w:lineRule="auto"/>
      </w:pPr>
    </w:p>
    <w:p w14:paraId="4FC03015" w14:textId="77777777" w:rsidR="00E504F6" w:rsidRPr="00C9068C" w:rsidRDefault="00E504F6" w:rsidP="00E504F6">
      <w:pPr>
        <w:tabs>
          <w:tab w:val="left" w:pos="749"/>
        </w:tabs>
        <w:spacing w:line="240" w:lineRule="auto"/>
      </w:pPr>
    </w:p>
    <w:p w14:paraId="4FC03016"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t>POUŽITELNOST</w:t>
      </w:r>
    </w:p>
    <w:p w14:paraId="4FC03017" w14:textId="77777777" w:rsidR="00E504F6" w:rsidRPr="00C9068C" w:rsidRDefault="00E504F6" w:rsidP="00E504F6">
      <w:pPr>
        <w:spacing w:line="240" w:lineRule="auto"/>
      </w:pPr>
    </w:p>
    <w:p w14:paraId="4FC03018" w14:textId="77777777" w:rsidR="00E504F6" w:rsidRPr="00C9068C" w:rsidRDefault="006455D9" w:rsidP="00E504F6">
      <w:pPr>
        <w:spacing w:line="240" w:lineRule="auto"/>
        <w:rPr>
          <w:szCs w:val="22"/>
        </w:rPr>
      </w:pPr>
      <w:r w:rsidRPr="00C9068C">
        <w:t>EXP</w:t>
      </w:r>
    </w:p>
    <w:p w14:paraId="4FC03019" w14:textId="77777777" w:rsidR="00E504F6" w:rsidRPr="00C9068C" w:rsidRDefault="00E504F6" w:rsidP="00E504F6">
      <w:pPr>
        <w:spacing w:line="240" w:lineRule="auto"/>
        <w:rPr>
          <w:szCs w:val="22"/>
        </w:rPr>
      </w:pPr>
    </w:p>
    <w:p w14:paraId="4FC0301A" w14:textId="77777777" w:rsidR="00E504F6" w:rsidRPr="00C9068C" w:rsidRDefault="00E504F6" w:rsidP="00E504F6">
      <w:pPr>
        <w:spacing w:line="240" w:lineRule="auto"/>
        <w:rPr>
          <w:szCs w:val="22"/>
        </w:rPr>
      </w:pPr>
    </w:p>
    <w:p w14:paraId="4FC0301B"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t>ZVLÁŠTNÍ PODMÍNKY PRO UCHOVÁVÁNÍ</w:t>
      </w:r>
    </w:p>
    <w:p w14:paraId="4FC0301C" w14:textId="77777777" w:rsidR="00E504F6" w:rsidRPr="00C9068C" w:rsidRDefault="00E504F6" w:rsidP="00E504F6">
      <w:pPr>
        <w:spacing w:line="240" w:lineRule="auto"/>
        <w:rPr>
          <w:szCs w:val="22"/>
        </w:rPr>
      </w:pPr>
    </w:p>
    <w:p w14:paraId="4FC0301D" w14:textId="77777777" w:rsidR="00E504F6" w:rsidRPr="00C9068C" w:rsidRDefault="00E504F6" w:rsidP="00E504F6">
      <w:pPr>
        <w:spacing w:line="240" w:lineRule="auto"/>
        <w:ind w:left="567" w:hanging="567"/>
        <w:rPr>
          <w:szCs w:val="22"/>
        </w:rPr>
      </w:pPr>
    </w:p>
    <w:p w14:paraId="4FC0301E"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lastRenderedPageBreak/>
        <w:t>ZVLÁŠTNÍ OPATŘENÍ PRO LIKVIDACI NEPOUŽITÝCH LÉČIVÝCH PŘÍPRAVKŮ NEBO ODPADU Z NICH, POKUD JE TO VHODNÉ</w:t>
      </w:r>
    </w:p>
    <w:p w14:paraId="4FC0301F" w14:textId="77777777" w:rsidR="00E504F6" w:rsidRPr="00C9068C" w:rsidRDefault="00E504F6" w:rsidP="00E504F6">
      <w:pPr>
        <w:spacing w:line="240" w:lineRule="auto"/>
        <w:rPr>
          <w:szCs w:val="22"/>
        </w:rPr>
      </w:pPr>
    </w:p>
    <w:p w14:paraId="4FC03020" w14:textId="77777777" w:rsidR="00E504F6" w:rsidRPr="00C9068C" w:rsidRDefault="00E504F6" w:rsidP="00E504F6">
      <w:pPr>
        <w:spacing w:line="240" w:lineRule="auto"/>
        <w:rPr>
          <w:szCs w:val="22"/>
        </w:rPr>
      </w:pPr>
    </w:p>
    <w:p w14:paraId="4FC03021"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t xml:space="preserve">NÁZEV </w:t>
      </w:r>
      <w:r w:rsidRPr="00C9068C">
        <w:rPr>
          <w:b/>
        </w:rPr>
        <w:t>A ADRESA DRŽITELE ROZHODNUTÍ O REGISTRACI</w:t>
      </w:r>
    </w:p>
    <w:p w14:paraId="4FC03022" w14:textId="77777777" w:rsidR="00E504F6" w:rsidRPr="00C9068C" w:rsidRDefault="00E504F6" w:rsidP="00E504F6">
      <w:pPr>
        <w:spacing w:line="240" w:lineRule="auto"/>
        <w:rPr>
          <w:szCs w:val="22"/>
        </w:rPr>
      </w:pPr>
    </w:p>
    <w:p w14:paraId="4FC03023" w14:textId="5F44325B" w:rsidR="00E504F6" w:rsidRPr="00C9068C" w:rsidRDefault="007609DA" w:rsidP="00E504F6">
      <w:pPr>
        <w:rPr>
          <w:szCs w:val="22"/>
        </w:rPr>
      </w:pPr>
      <w:proofErr w:type="spellStart"/>
      <w:r>
        <w:t>Orphalan</w:t>
      </w:r>
      <w:proofErr w:type="spellEnd"/>
    </w:p>
    <w:p w14:paraId="456E7FEF" w14:textId="77777777" w:rsidR="00012F06" w:rsidRPr="002503BA" w:rsidRDefault="006455D9" w:rsidP="00012F06">
      <w:pPr>
        <w:rPr>
          <w:szCs w:val="22"/>
          <w:lang w:val="fr-FR"/>
        </w:rPr>
      </w:pPr>
      <w:r w:rsidRPr="002503BA">
        <w:rPr>
          <w:szCs w:val="22"/>
          <w:lang w:val="fr-FR"/>
        </w:rPr>
        <w:t>226 Boulevard Voltaire</w:t>
      </w:r>
    </w:p>
    <w:p w14:paraId="4FC03026" w14:textId="3E7FAA86" w:rsidR="00E504F6" w:rsidRPr="00C9068C" w:rsidRDefault="006455D9" w:rsidP="00E504F6">
      <w:pPr>
        <w:rPr>
          <w:szCs w:val="22"/>
        </w:rPr>
      </w:pPr>
      <w:r w:rsidRPr="00C9068C">
        <w:t>7501</w:t>
      </w:r>
      <w:r>
        <w:t>1</w:t>
      </w:r>
      <w:r w:rsidRPr="00C9068C">
        <w:t xml:space="preserve"> </w:t>
      </w:r>
      <w:r w:rsidR="00D83D73" w:rsidRPr="00C9068C">
        <w:t>Paris, Francie</w:t>
      </w:r>
      <w:r w:rsidR="00D83D73" w:rsidRPr="00C9068C">
        <w:rPr>
          <w:i/>
        </w:rPr>
        <w:t xml:space="preserve"> </w:t>
      </w:r>
    </w:p>
    <w:p w14:paraId="4FC03027" w14:textId="77777777" w:rsidR="00E504F6" w:rsidRPr="00C9068C" w:rsidRDefault="00E504F6" w:rsidP="00E504F6">
      <w:pPr>
        <w:spacing w:line="240" w:lineRule="auto"/>
        <w:rPr>
          <w:szCs w:val="22"/>
        </w:rPr>
      </w:pPr>
    </w:p>
    <w:p w14:paraId="4FC03028" w14:textId="77777777" w:rsidR="00E504F6" w:rsidRPr="00C9068C" w:rsidRDefault="00E504F6" w:rsidP="00E504F6">
      <w:pPr>
        <w:spacing w:line="240" w:lineRule="auto"/>
        <w:rPr>
          <w:szCs w:val="22"/>
        </w:rPr>
      </w:pPr>
    </w:p>
    <w:p w14:paraId="4FC03029"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t xml:space="preserve">REGISTRAČNÍ ČÍSLO </w:t>
      </w:r>
    </w:p>
    <w:p w14:paraId="4FC0302A" w14:textId="77777777" w:rsidR="00E504F6" w:rsidRPr="00C9068C" w:rsidRDefault="00E504F6" w:rsidP="00E504F6">
      <w:pPr>
        <w:spacing w:line="240" w:lineRule="auto"/>
        <w:rPr>
          <w:szCs w:val="22"/>
        </w:rPr>
      </w:pPr>
    </w:p>
    <w:p w14:paraId="5F9565F4" w14:textId="0999F696" w:rsidR="00C40E78" w:rsidRPr="00C40E78" w:rsidRDefault="006455D9" w:rsidP="00C40E78">
      <w:pPr>
        <w:spacing w:line="240" w:lineRule="auto"/>
        <w:rPr>
          <w:rFonts w:cs="Verdana"/>
          <w:color w:val="000000"/>
        </w:rPr>
      </w:pPr>
      <w:r>
        <w:rPr>
          <w:rFonts w:cs="Verdana"/>
          <w:color w:val="000000"/>
        </w:rPr>
        <w:t xml:space="preserve">EU/1/17/1199/001 </w:t>
      </w:r>
      <w:r w:rsidRPr="00C40E78">
        <w:rPr>
          <w:rFonts w:cs="Verdana"/>
          <w:color w:val="000000"/>
        </w:rPr>
        <w:t>72 potahovaných tablet</w:t>
      </w:r>
    </w:p>
    <w:p w14:paraId="4FC0302B" w14:textId="01753C61" w:rsidR="00D83D73" w:rsidRDefault="006455D9" w:rsidP="00C40E78">
      <w:pPr>
        <w:spacing w:line="240" w:lineRule="auto"/>
        <w:rPr>
          <w:rFonts w:cs="Verdana"/>
          <w:color w:val="000000"/>
        </w:rPr>
      </w:pPr>
      <w:r w:rsidRPr="00C40E78">
        <w:rPr>
          <w:rFonts w:cs="Verdana"/>
          <w:color w:val="000000"/>
        </w:rPr>
        <w:t>EU/1/17/1199/002 96 potahovaných tablet</w:t>
      </w:r>
    </w:p>
    <w:p w14:paraId="4FC0302C" w14:textId="77777777" w:rsidR="00E504F6" w:rsidRPr="00C9068C" w:rsidRDefault="00E504F6" w:rsidP="00E504F6">
      <w:pPr>
        <w:spacing w:line="240" w:lineRule="auto"/>
        <w:rPr>
          <w:szCs w:val="22"/>
        </w:rPr>
      </w:pPr>
    </w:p>
    <w:p w14:paraId="4FC0302D" w14:textId="77777777" w:rsidR="00E504F6" w:rsidRPr="00C9068C" w:rsidRDefault="00E504F6" w:rsidP="00E504F6">
      <w:pPr>
        <w:spacing w:line="240" w:lineRule="auto"/>
        <w:rPr>
          <w:szCs w:val="22"/>
        </w:rPr>
      </w:pPr>
    </w:p>
    <w:p w14:paraId="4FC0302E"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t>ČÍSLO ŠARŽE</w:t>
      </w:r>
    </w:p>
    <w:p w14:paraId="4FC0302F" w14:textId="77777777" w:rsidR="00E504F6" w:rsidRPr="00C9068C" w:rsidRDefault="00E504F6" w:rsidP="00E504F6">
      <w:pPr>
        <w:spacing w:line="240" w:lineRule="auto"/>
        <w:rPr>
          <w:i/>
          <w:szCs w:val="22"/>
        </w:rPr>
      </w:pPr>
    </w:p>
    <w:p w14:paraId="4FC03030" w14:textId="77777777" w:rsidR="00E504F6" w:rsidRPr="00C9068C" w:rsidRDefault="006455D9" w:rsidP="00E504F6">
      <w:pPr>
        <w:spacing w:line="240" w:lineRule="auto"/>
        <w:rPr>
          <w:szCs w:val="22"/>
        </w:rPr>
      </w:pPr>
      <w:r w:rsidRPr="00C9068C">
        <w:t xml:space="preserve">Lot </w:t>
      </w:r>
    </w:p>
    <w:p w14:paraId="4FC03031" w14:textId="77777777" w:rsidR="00E504F6" w:rsidRPr="00C9068C" w:rsidRDefault="00E504F6" w:rsidP="00E504F6">
      <w:pPr>
        <w:spacing w:line="240" w:lineRule="auto"/>
        <w:rPr>
          <w:szCs w:val="22"/>
        </w:rPr>
      </w:pPr>
    </w:p>
    <w:p w14:paraId="4FC03032" w14:textId="77777777" w:rsidR="00E504F6" w:rsidRPr="00C9068C" w:rsidRDefault="00E504F6" w:rsidP="00E504F6">
      <w:pPr>
        <w:spacing w:line="240" w:lineRule="auto"/>
        <w:rPr>
          <w:szCs w:val="22"/>
        </w:rPr>
      </w:pPr>
    </w:p>
    <w:p w14:paraId="4FC03033"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t xml:space="preserve">KLASIFIKACE PRO </w:t>
      </w:r>
      <w:r w:rsidRPr="00C9068C">
        <w:rPr>
          <w:b/>
        </w:rPr>
        <w:t>VÝDEJ</w:t>
      </w:r>
    </w:p>
    <w:p w14:paraId="4FC03034" w14:textId="77777777" w:rsidR="00E504F6" w:rsidRPr="00C9068C" w:rsidRDefault="00E504F6" w:rsidP="00E504F6">
      <w:pPr>
        <w:spacing w:line="240" w:lineRule="auto"/>
        <w:rPr>
          <w:i/>
          <w:szCs w:val="22"/>
        </w:rPr>
      </w:pPr>
    </w:p>
    <w:p w14:paraId="4FC03035" w14:textId="77777777" w:rsidR="00E504F6" w:rsidRPr="00C9068C" w:rsidRDefault="00E504F6" w:rsidP="00E504F6">
      <w:pPr>
        <w:spacing w:line="240" w:lineRule="auto"/>
        <w:rPr>
          <w:szCs w:val="22"/>
        </w:rPr>
      </w:pPr>
    </w:p>
    <w:p w14:paraId="4FC03036"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t>NÁVOD K POUŽITÍ</w:t>
      </w:r>
    </w:p>
    <w:p w14:paraId="4FC03037" w14:textId="77777777" w:rsidR="00E504F6" w:rsidRPr="00C9068C" w:rsidRDefault="00E504F6" w:rsidP="00E504F6">
      <w:pPr>
        <w:spacing w:line="240" w:lineRule="auto"/>
        <w:rPr>
          <w:szCs w:val="22"/>
        </w:rPr>
      </w:pPr>
    </w:p>
    <w:p w14:paraId="4FC03038" w14:textId="77777777" w:rsidR="00E504F6" w:rsidRPr="00C9068C" w:rsidRDefault="00E504F6" w:rsidP="00E504F6">
      <w:pPr>
        <w:spacing w:line="240" w:lineRule="auto"/>
        <w:rPr>
          <w:szCs w:val="22"/>
        </w:rPr>
      </w:pPr>
    </w:p>
    <w:p w14:paraId="4FC03039"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t>INFORMACE V BRAILLOVĚ PÍSMU</w:t>
      </w:r>
    </w:p>
    <w:p w14:paraId="4FC0303A" w14:textId="77777777" w:rsidR="00E504F6" w:rsidRPr="00C9068C" w:rsidRDefault="00E504F6" w:rsidP="00E504F6">
      <w:pPr>
        <w:spacing w:line="240" w:lineRule="auto"/>
        <w:rPr>
          <w:szCs w:val="22"/>
        </w:rPr>
      </w:pPr>
    </w:p>
    <w:p w14:paraId="4FC0303B" w14:textId="77777777" w:rsidR="00E504F6" w:rsidRPr="00C9068C" w:rsidRDefault="006455D9" w:rsidP="00E504F6">
      <w:pPr>
        <w:rPr>
          <w:szCs w:val="22"/>
        </w:rPr>
      </w:pPr>
      <w:r w:rsidRPr="00C9068C">
        <w:t xml:space="preserve">Cuprior 150 mg </w:t>
      </w:r>
    </w:p>
    <w:p w14:paraId="4FC0303C" w14:textId="77777777" w:rsidR="00E504F6" w:rsidRPr="00C9068C" w:rsidRDefault="00E504F6" w:rsidP="00E504F6">
      <w:pPr>
        <w:spacing w:line="240" w:lineRule="auto"/>
        <w:rPr>
          <w:szCs w:val="22"/>
          <w:shd w:val="clear" w:color="auto" w:fill="CCCCCC"/>
        </w:rPr>
      </w:pPr>
    </w:p>
    <w:p w14:paraId="4FC0303D" w14:textId="77777777" w:rsidR="00E504F6" w:rsidRPr="00C9068C" w:rsidRDefault="00E504F6" w:rsidP="00E504F6">
      <w:pPr>
        <w:spacing w:line="240" w:lineRule="auto"/>
        <w:rPr>
          <w:szCs w:val="22"/>
          <w:shd w:val="clear" w:color="auto" w:fill="CCCCCC"/>
        </w:rPr>
      </w:pPr>
    </w:p>
    <w:p w14:paraId="4FC0303E"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t>JEDINEČNÝ IDENTIFIKÁTOR – 2D ČÁROVÝ KÓD</w:t>
      </w:r>
    </w:p>
    <w:p w14:paraId="4FC0303F" w14:textId="77777777" w:rsidR="00E504F6" w:rsidRPr="00C9068C" w:rsidRDefault="00E504F6" w:rsidP="00E504F6">
      <w:pPr>
        <w:tabs>
          <w:tab w:val="clear" w:pos="567"/>
        </w:tabs>
        <w:spacing w:line="240" w:lineRule="auto"/>
      </w:pPr>
    </w:p>
    <w:p w14:paraId="4FC03040" w14:textId="77777777" w:rsidR="00E504F6" w:rsidRPr="00C9068C" w:rsidRDefault="006455D9" w:rsidP="00E504F6">
      <w:pPr>
        <w:rPr>
          <w:szCs w:val="22"/>
          <w:highlight w:val="lightGray"/>
        </w:rPr>
      </w:pPr>
      <w:r w:rsidRPr="00C9068C">
        <w:rPr>
          <w:highlight w:val="lightGray"/>
        </w:rPr>
        <w:t>2D čárový kód s jedinečným identifikátorem</w:t>
      </w:r>
    </w:p>
    <w:p w14:paraId="4FC03041" w14:textId="77777777" w:rsidR="00E504F6" w:rsidRPr="00C9068C" w:rsidRDefault="00E504F6" w:rsidP="00E504F6">
      <w:pPr>
        <w:tabs>
          <w:tab w:val="clear" w:pos="567"/>
        </w:tabs>
        <w:spacing w:line="240" w:lineRule="auto"/>
      </w:pPr>
    </w:p>
    <w:p w14:paraId="4FC03042" w14:textId="77777777" w:rsidR="00E504F6" w:rsidRPr="00C9068C" w:rsidRDefault="00E504F6" w:rsidP="00E504F6">
      <w:pPr>
        <w:tabs>
          <w:tab w:val="clear" w:pos="567"/>
        </w:tabs>
        <w:spacing w:line="240" w:lineRule="auto"/>
      </w:pPr>
    </w:p>
    <w:p w14:paraId="4FC03043" w14:textId="77777777" w:rsidR="00E504F6" w:rsidRPr="00C9068C" w:rsidRDefault="006455D9" w:rsidP="00E504F6">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9068C">
        <w:rPr>
          <w:b/>
        </w:rPr>
        <w:t>JEDINEČNÝ IDENTIFIKÁTOR – DATA ČITELNÁ OKEM</w:t>
      </w:r>
    </w:p>
    <w:p w14:paraId="4FC03044" w14:textId="77777777" w:rsidR="00E504F6" w:rsidRPr="00C9068C" w:rsidRDefault="00E504F6" w:rsidP="00E504F6">
      <w:pPr>
        <w:tabs>
          <w:tab w:val="clear" w:pos="567"/>
        </w:tabs>
        <w:spacing w:line="240" w:lineRule="auto"/>
      </w:pPr>
    </w:p>
    <w:p w14:paraId="4FC03045" w14:textId="389474B5" w:rsidR="00E504F6" w:rsidRPr="00C9068C" w:rsidRDefault="006455D9" w:rsidP="00E504F6">
      <w:pPr>
        <w:rPr>
          <w:color w:val="008000"/>
          <w:szCs w:val="22"/>
        </w:rPr>
      </w:pPr>
      <w:r w:rsidRPr="00C9068C">
        <w:t xml:space="preserve">PC: </w:t>
      </w:r>
    </w:p>
    <w:p w14:paraId="4FC03046" w14:textId="324E0F35" w:rsidR="00E504F6" w:rsidRPr="00C9068C" w:rsidRDefault="006455D9" w:rsidP="00E504F6">
      <w:pPr>
        <w:rPr>
          <w:szCs w:val="22"/>
        </w:rPr>
      </w:pPr>
      <w:r w:rsidRPr="00C9068C">
        <w:t xml:space="preserve">SN: </w:t>
      </w:r>
    </w:p>
    <w:p w14:paraId="4FC03047" w14:textId="77AA3AB8" w:rsidR="00E504F6" w:rsidRPr="00C9068C" w:rsidRDefault="006455D9" w:rsidP="00E504F6">
      <w:pPr>
        <w:rPr>
          <w:szCs w:val="22"/>
        </w:rPr>
      </w:pPr>
      <w:r w:rsidRPr="00C9068C">
        <w:t>NN:</w:t>
      </w:r>
    </w:p>
    <w:p w14:paraId="4FC03048" w14:textId="77777777" w:rsidR="00E504F6" w:rsidRPr="00C9068C" w:rsidRDefault="00E504F6" w:rsidP="00E504F6">
      <w:pPr>
        <w:spacing w:line="240" w:lineRule="auto"/>
        <w:rPr>
          <w:szCs w:val="22"/>
        </w:rPr>
      </w:pPr>
    </w:p>
    <w:p w14:paraId="4FC03049" w14:textId="77777777" w:rsidR="00E504F6" w:rsidRPr="00C9068C" w:rsidRDefault="00E504F6" w:rsidP="00E504F6">
      <w:pPr>
        <w:spacing w:line="240" w:lineRule="auto"/>
        <w:rPr>
          <w:szCs w:val="22"/>
          <w:shd w:val="clear" w:color="auto" w:fill="CCCCCC"/>
        </w:rPr>
      </w:pPr>
    </w:p>
    <w:p w14:paraId="4FC0304A" w14:textId="77777777" w:rsidR="00E504F6" w:rsidRPr="00C9068C" w:rsidRDefault="006455D9" w:rsidP="00E504F6">
      <w:pPr>
        <w:spacing w:line="240" w:lineRule="auto"/>
        <w:rPr>
          <w:b/>
          <w:szCs w:val="22"/>
        </w:rPr>
      </w:pPr>
      <w:r w:rsidRPr="00C9068C">
        <w:br w:type="page"/>
      </w:r>
    </w:p>
    <w:p w14:paraId="4FC0304B" w14:textId="77777777" w:rsidR="00E504F6" w:rsidRPr="00C9068C" w:rsidRDefault="006455D9" w:rsidP="00E504F6">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C9068C">
        <w:rPr>
          <w:b/>
        </w:rPr>
        <w:lastRenderedPageBreak/>
        <w:t xml:space="preserve">MINIMÁLNÍ ÚDAJE UVÁDĚNÉ NA </w:t>
      </w:r>
      <w:r w:rsidRPr="00C9068C">
        <w:rPr>
          <w:b/>
        </w:rPr>
        <w:t>BLISTRECH NEBO STRIPECH</w:t>
      </w:r>
    </w:p>
    <w:p w14:paraId="4FC0304C" w14:textId="77777777" w:rsidR="00E504F6" w:rsidRPr="00C9068C" w:rsidRDefault="00E504F6" w:rsidP="00E504F6">
      <w:pPr>
        <w:pBdr>
          <w:top w:val="single" w:sz="4" w:space="1" w:color="auto"/>
          <w:left w:val="single" w:sz="4" w:space="4" w:color="auto"/>
          <w:bottom w:val="single" w:sz="4" w:space="1" w:color="auto"/>
          <w:right w:val="single" w:sz="4" w:space="4" w:color="auto"/>
        </w:pBdr>
        <w:spacing w:line="240" w:lineRule="auto"/>
        <w:ind w:left="567" w:hanging="567"/>
        <w:rPr>
          <w:b/>
          <w:szCs w:val="22"/>
        </w:rPr>
      </w:pPr>
    </w:p>
    <w:p w14:paraId="4FC0304D" w14:textId="77777777" w:rsidR="00E504F6" w:rsidRPr="00C9068C" w:rsidRDefault="006455D9" w:rsidP="00E504F6">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C9068C">
        <w:rPr>
          <w:b/>
        </w:rPr>
        <w:t>BLISTR</w:t>
      </w:r>
    </w:p>
    <w:p w14:paraId="4FC0304E" w14:textId="77777777" w:rsidR="00E504F6" w:rsidRPr="00C9068C" w:rsidRDefault="00E504F6" w:rsidP="00E504F6">
      <w:pPr>
        <w:spacing w:line="240" w:lineRule="auto"/>
        <w:rPr>
          <w:szCs w:val="22"/>
        </w:rPr>
      </w:pPr>
    </w:p>
    <w:p w14:paraId="4FC0304F" w14:textId="77777777" w:rsidR="00E504F6" w:rsidRPr="00C9068C" w:rsidRDefault="00E504F6" w:rsidP="00E504F6">
      <w:pPr>
        <w:spacing w:line="240" w:lineRule="auto"/>
        <w:rPr>
          <w:szCs w:val="22"/>
        </w:rPr>
      </w:pPr>
    </w:p>
    <w:p w14:paraId="4FC03050" w14:textId="77777777" w:rsidR="00E504F6" w:rsidRPr="00C9068C" w:rsidRDefault="006455D9" w:rsidP="00E504F6">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C9068C">
        <w:rPr>
          <w:b/>
        </w:rPr>
        <w:t>NÁZEV PŘÍPRAVKU</w:t>
      </w:r>
    </w:p>
    <w:p w14:paraId="4FC03051" w14:textId="77777777" w:rsidR="00E504F6" w:rsidRPr="00C9068C" w:rsidRDefault="00E504F6" w:rsidP="00E504F6">
      <w:pPr>
        <w:spacing w:line="240" w:lineRule="auto"/>
        <w:rPr>
          <w:i/>
          <w:szCs w:val="22"/>
        </w:rPr>
      </w:pPr>
    </w:p>
    <w:p w14:paraId="4FC03052" w14:textId="77777777" w:rsidR="00E504F6" w:rsidRPr="00C9068C" w:rsidRDefault="006455D9" w:rsidP="00E504F6">
      <w:pPr>
        <w:rPr>
          <w:szCs w:val="22"/>
        </w:rPr>
      </w:pPr>
      <w:r w:rsidRPr="00C9068C">
        <w:t xml:space="preserve">Cuprior 150 mg </w:t>
      </w:r>
      <w:r w:rsidR="003E6709">
        <w:t xml:space="preserve">potahované </w:t>
      </w:r>
      <w:r w:rsidRPr="00C9068C">
        <w:t>tablety</w:t>
      </w:r>
    </w:p>
    <w:p w14:paraId="4FC03053" w14:textId="77777777" w:rsidR="00E504F6" w:rsidRPr="00C9068C" w:rsidRDefault="006455D9" w:rsidP="00E504F6">
      <w:pPr>
        <w:spacing w:line="240" w:lineRule="auto"/>
        <w:rPr>
          <w:szCs w:val="22"/>
        </w:rPr>
      </w:pPr>
      <w:r w:rsidRPr="00C9068C">
        <w:t>trientinum</w:t>
      </w:r>
    </w:p>
    <w:p w14:paraId="4FC03054" w14:textId="77777777" w:rsidR="00E504F6" w:rsidRPr="00C9068C" w:rsidRDefault="00E504F6" w:rsidP="00E504F6">
      <w:pPr>
        <w:spacing w:line="240" w:lineRule="auto"/>
      </w:pPr>
    </w:p>
    <w:p w14:paraId="4FC03055" w14:textId="77777777" w:rsidR="00E504F6" w:rsidRPr="00C9068C" w:rsidRDefault="00E504F6" w:rsidP="00E504F6">
      <w:pPr>
        <w:spacing w:line="240" w:lineRule="auto"/>
      </w:pPr>
    </w:p>
    <w:p w14:paraId="4FC03056" w14:textId="77777777" w:rsidR="00E504F6" w:rsidRPr="00C9068C" w:rsidRDefault="006455D9" w:rsidP="00E504F6">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C9068C">
        <w:rPr>
          <w:b/>
        </w:rPr>
        <w:t>NÁZEV DRŽITELE ROZHODNUTÍ O REGISTRACI</w:t>
      </w:r>
    </w:p>
    <w:p w14:paraId="4FC03057" w14:textId="77777777" w:rsidR="00E504F6" w:rsidRPr="00C9068C" w:rsidRDefault="00E504F6" w:rsidP="00E504F6">
      <w:pPr>
        <w:spacing w:line="240" w:lineRule="auto"/>
        <w:rPr>
          <w:szCs w:val="22"/>
        </w:rPr>
      </w:pPr>
    </w:p>
    <w:p w14:paraId="4FC03058" w14:textId="564CAC71" w:rsidR="00E504F6" w:rsidRPr="00C9068C" w:rsidRDefault="007609DA" w:rsidP="00E504F6">
      <w:pPr>
        <w:rPr>
          <w:szCs w:val="22"/>
        </w:rPr>
      </w:pPr>
      <w:proofErr w:type="spellStart"/>
      <w:r>
        <w:t>Orphalan</w:t>
      </w:r>
      <w:proofErr w:type="spellEnd"/>
    </w:p>
    <w:p w14:paraId="4FC03059" w14:textId="77777777" w:rsidR="00E504F6" w:rsidRPr="00C9068C" w:rsidRDefault="00E504F6" w:rsidP="00E504F6">
      <w:pPr>
        <w:spacing w:line="240" w:lineRule="auto"/>
        <w:rPr>
          <w:szCs w:val="22"/>
        </w:rPr>
      </w:pPr>
    </w:p>
    <w:p w14:paraId="4FC0305A" w14:textId="77777777" w:rsidR="00E504F6" w:rsidRPr="00C9068C" w:rsidRDefault="00E504F6" w:rsidP="00E504F6">
      <w:pPr>
        <w:spacing w:line="240" w:lineRule="auto"/>
        <w:rPr>
          <w:szCs w:val="22"/>
        </w:rPr>
      </w:pPr>
    </w:p>
    <w:p w14:paraId="4FC0305B" w14:textId="77777777" w:rsidR="00E504F6" w:rsidRPr="00C9068C" w:rsidRDefault="006455D9" w:rsidP="00E504F6">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C9068C">
        <w:rPr>
          <w:b/>
        </w:rPr>
        <w:t>POUŽITELNOST</w:t>
      </w:r>
    </w:p>
    <w:p w14:paraId="4FC0305C" w14:textId="77777777" w:rsidR="00E504F6" w:rsidRPr="00C9068C" w:rsidRDefault="00E504F6" w:rsidP="00E504F6">
      <w:pPr>
        <w:spacing w:line="240" w:lineRule="auto"/>
        <w:rPr>
          <w:szCs w:val="22"/>
        </w:rPr>
      </w:pPr>
    </w:p>
    <w:p w14:paraId="4FC0305D" w14:textId="77777777" w:rsidR="00E504F6" w:rsidRPr="00C9068C" w:rsidRDefault="006455D9" w:rsidP="00E504F6">
      <w:pPr>
        <w:spacing w:line="240" w:lineRule="auto"/>
        <w:rPr>
          <w:szCs w:val="22"/>
        </w:rPr>
      </w:pPr>
      <w:r w:rsidRPr="00C9068C">
        <w:t>EXP</w:t>
      </w:r>
    </w:p>
    <w:p w14:paraId="4FC0305E" w14:textId="77777777" w:rsidR="00E504F6" w:rsidRPr="00C9068C" w:rsidRDefault="00E504F6" w:rsidP="00E504F6">
      <w:pPr>
        <w:spacing w:line="240" w:lineRule="auto"/>
        <w:rPr>
          <w:szCs w:val="22"/>
        </w:rPr>
      </w:pPr>
    </w:p>
    <w:p w14:paraId="4FC0305F" w14:textId="77777777" w:rsidR="00E504F6" w:rsidRPr="00C9068C" w:rsidRDefault="00E504F6" w:rsidP="00E504F6">
      <w:pPr>
        <w:spacing w:line="240" w:lineRule="auto"/>
        <w:rPr>
          <w:szCs w:val="22"/>
        </w:rPr>
      </w:pPr>
    </w:p>
    <w:p w14:paraId="4FC03060" w14:textId="77777777" w:rsidR="00E504F6" w:rsidRPr="00C9068C" w:rsidRDefault="006455D9" w:rsidP="00E504F6">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C9068C">
        <w:rPr>
          <w:b/>
        </w:rPr>
        <w:t>ČÍSLO ŠARŽE</w:t>
      </w:r>
    </w:p>
    <w:p w14:paraId="4FC03061" w14:textId="77777777" w:rsidR="00E504F6" w:rsidRPr="00C9068C" w:rsidRDefault="00E504F6" w:rsidP="00E504F6">
      <w:pPr>
        <w:spacing w:line="240" w:lineRule="auto"/>
        <w:rPr>
          <w:szCs w:val="22"/>
        </w:rPr>
      </w:pPr>
    </w:p>
    <w:p w14:paraId="4FC03062" w14:textId="77777777" w:rsidR="00E504F6" w:rsidRPr="00C9068C" w:rsidRDefault="006455D9" w:rsidP="00E504F6">
      <w:pPr>
        <w:rPr>
          <w:szCs w:val="22"/>
        </w:rPr>
      </w:pPr>
      <w:r w:rsidRPr="00C9068C">
        <w:t>Lot</w:t>
      </w:r>
    </w:p>
    <w:p w14:paraId="4FC03063" w14:textId="77777777" w:rsidR="00E504F6" w:rsidRPr="00C9068C" w:rsidRDefault="00E504F6" w:rsidP="00E504F6">
      <w:pPr>
        <w:spacing w:line="240" w:lineRule="auto"/>
        <w:rPr>
          <w:szCs w:val="22"/>
        </w:rPr>
      </w:pPr>
    </w:p>
    <w:p w14:paraId="4FC03064" w14:textId="77777777" w:rsidR="00E504F6" w:rsidRPr="00C9068C" w:rsidRDefault="00E504F6" w:rsidP="00E504F6">
      <w:pPr>
        <w:spacing w:line="240" w:lineRule="auto"/>
        <w:rPr>
          <w:szCs w:val="22"/>
        </w:rPr>
      </w:pPr>
    </w:p>
    <w:p w14:paraId="4FC03065" w14:textId="77777777" w:rsidR="00E504F6" w:rsidRPr="00C9068C" w:rsidRDefault="006455D9" w:rsidP="00E504F6">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szCs w:val="22"/>
        </w:rPr>
      </w:pPr>
      <w:r w:rsidRPr="00C9068C">
        <w:rPr>
          <w:b/>
        </w:rPr>
        <w:t>JINÉ</w:t>
      </w:r>
    </w:p>
    <w:p w14:paraId="4FC03066" w14:textId="77777777" w:rsidR="00E504F6" w:rsidRPr="00C9068C" w:rsidRDefault="00E504F6" w:rsidP="00E504F6">
      <w:pPr>
        <w:spacing w:line="240" w:lineRule="auto"/>
        <w:rPr>
          <w:szCs w:val="22"/>
        </w:rPr>
      </w:pPr>
    </w:p>
    <w:p w14:paraId="4FC03067" w14:textId="77777777" w:rsidR="00E504F6" w:rsidRPr="00C9068C" w:rsidRDefault="00E504F6" w:rsidP="00E504F6">
      <w:pPr>
        <w:spacing w:line="240" w:lineRule="auto"/>
        <w:rPr>
          <w:szCs w:val="22"/>
        </w:rPr>
      </w:pPr>
    </w:p>
    <w:p w14:paraId="4FC03068" w14:textId="77777777" w:rsidR="00E504F6" w:rsidRPr="00C9068C" w:rsidRDefault="006455D9" w:rsidP="00E504F6">
      <w:r w:rsidRPr="00C9068C">
        <w:br w:type="page"/>
      </w:r>
    </w:p>
    <w:p w14:paraId="4FC03069" w14:textId="77777777" w:rsidR="00E504F6" w:rsidRPr="00C9068C" w:rsidRDefault="00E504F6" w:rsidP="00E504F6"/>
    <w:p w14:paraId="4FC0306A" w14:textId="77777777" w:rsidR="00E504F6" w:rsidRPr="00C9068C" w:rsidRDefault="00E504F6" w:rsidP="00E504F6"/>
    <w:p w14:paraId="4FC0306B" w14:textId="77777777" w:rsidR="00E504F6" w:rsidRPr="00C9068C" w:rsidRDefault="00E504F6" w:rsidP="00E504F6"/>
    <w:p w14:paraId="4FC0306C" w14:textId="77777777" w:rsidR="00E504F6" w:rsidRPr="00C9068C" w:rsidRDefault="00E504F6" w:rsidP="00E504F6"/>
    <w:p w14:paraId="4FC0306D" w14:textId="77777777" w:rsidR="00E504F6" w:rsidRPr="00C9068C" w:rsidRDefault="00E504F6" w:rsidP="00E504F6"/>
    <w:p w14:paraId="4FC0306E" w14:textId="77777777" w:rsidR="00E504F6" w:rsidRPr="00C9068C" w:rsidRDefault="00E504F6" w:rsidP="00E504F6"/>
    <w:p w14:paraId="4FC0306F" w14:textId="77777777" w:rsidR="00E504F6" w:rsidRPr="00C9068C" w:rsidRDefault="00E504F6" w:rsidP="00E504F6"/>
    <w:p w14:paraId="4FC03070" w14:textId="77777777" w:rsidR="00E504F6" w:rsidRPr="00C9068C" w:rsidRDefault="00E504F6" w:rsidP="00E504F6"/>
    <w:p w14:paraId="4FC03071" w14:textId="77777777" w:rsidR="00E504F6" w:rsidRPr="00C9068C" w:rsidRDefault="00E504F6" w:rsidP="00E504F6"/>
    <w:p w14:paraId="4FC03072" w14:textId="77777777" w:rsidR="00E504F6" w:rsidRPr="00C9068C" w:rsidRDefault="00E504F6" w:rsidP="00E504F6"/>
    <w:p w14:paraId="4FC03073" w14:textId="77777777" w:rsidR="00E504F6" w:rsidRPr="00C9068C" w:rsidRDefault="00E504F6" w:rsidP="00E504F6"/>
    <w:p w14:paraId="4FC03074" w14:textId="77777777" w:rsidR="00E504F6" w:rsidRPr="00C9068C" w:rsidRDefault="00E504F6" w:rsidP="00E504F6"/>
    <w:p w14:paraId="4FC03075" w14:textId="77777777" w:rsidR="00E504F6" w:rsidRPr="00C9068C" w:rsidRDefault="00E504F6" w:rsidP="00E504F6"/>
    <w:p w14:paraId="4FC03076" w14:textId="77777777" w:rsidR="00E504F6" w:rsidRPr="00C9068C" w:rsidRDefault="00E504F6" w:rsidP="00E504F6"/>
    <w:p w14:paraId="4FC03077" w14:textId="77777777" w:rsidR="00E504F6" w:rsidRPr="00C9068C" w:rsidRDefault="00E504F6" w:rsidP="00E504F6"/>
    <w:p w14:paraId="4FC03078" w14:textId="77777777" w:rsidR="00E504F6" w:rsidRPr="00C9068C" w:rsidRDefault="00E504F6" w:rsidP="00E504F6"/>
    <w:p w14:paraId="4FC03079" w14:textId="77777777" w:rsidR="00E504F6" w:rsidRPr="00C9068C" w:rsidRDefault="00E504F6" w:rsidP="00E504F6"/>
    <w:p w14:paraId="4FC0307A" w14:textId="77777777" w:rsidR="00E504F6" w:rsidRPr="00C9068C" w:rsidRDefault="00E504F6" w:rsidP="00E504F6"/>
    <w:p w14:paraId="4FC0307B" w14:textId="77777777" w:rsidR="00E504F6" w:rsidRPr="00C9068C" w:rsidRDefault="00E504F6" w:rsidP="00E504F6"/>
    <w:p w14:paraId="4FC0307C" w14:textId="77777777" w:rsidR="00E504F6" w:rsidRPr="00C9068C" w:rsidRDefault="00E504F6" w:rsidP="00E504F6"/>
    <w:p w14:paraId="4FC0307D" w14:textId="77777777" w:rsidR="00E504F6" w:rsidRPr="00C9068C" w:rsidRDefault="00E504F6" w:rsidP="00E504F6"/>
    <w:p w14:paraId="4FC0307E" w14:textId="77777777" w:rsidR="00E504F6" w:rsidRPr="00C9068C" w:rsidRDefault="00E504F6" w:rsidP="00E504F6"/>
    <w:p w14:paraId="4FC0307F" w14:textId="77777777" w:rsidR="00E504F6" w:rsidRPr="00C9068C" w:rsidRDefault="006455D9" w:rsidP="00E504F6">
      <w:pPr>
        <w:pStyle w:val="ListParagraph"/>
        <w:numPr>
          <w:ilvl w:val="0"/>
          <w:numId w:val="31"/>
        </w:numPr>
        <w:spacing w:line="240" w:lineRule="auto"/>
        <w:ind w:left="357" w:hanging="357"/>
        <w:jc w:val="center"/>
        <w:outlineLvl w:val="0"/>
        <w:rPr>
          <w:b/>
        </w:rPr>
      </w:pPr>
      <w:r w:rsidRPr="00C9068C">
        <w:rPr>
          <w:b/>
        </w:rPr>
        <w:t xml:space="preserve">PŘÍBALOVÁ </w:t>
      </w:r>
      <w:r w:rsidRPr="00C9068C">
        <w:rPr>
          <w:b/>
        </w:rPr>
        <w:t>INFORMACE</w:t>
      </w:r>
    </w:p>
    <w:p w14:paraId="4FC03080" w14:textId="77777777" w:rsidR="00E504F6" w:rsidRPr="00C9068C" w:rsidRDefault="006455D9" w:rsidP="00E504F6">
      <w:pPr>
        <w:tabs>
          <w:tab w:val="clear" w:pos="567"/>
        </w:tabs>
        <w:spacing w:line="240" w:lineRule="auto"/>
        <w:jc w:val="center"/>
        <w:outlineLvl w:val="0"/>
        <w:rPr>
          <w:szCs w:val="22"/>
        </w:rPr>
      </w:pPr>
      <w:r w:rsidRPr="00C9068C">
        <w:br w:type="page"/>
      </w:r>
      <w:r w:rsidRPr="00C9068C">
        <w:rPr>
          <w:b/>
        </w:rPr>
        <w:lastRenderedPageBreak/>
        <w:t>Příbalová informace: informace pro pacienta</w:t>
      </w:r>
    </w:p>
    <w:p w14:paraId="4FC03081" w14:textId="77777777" w:rsidR="00E504F6" w:rsidRPr="00C9068C" w:rsidRDefault="00E504F6" w:rsidP="00E504F6">
      <w:pPr>
        <w:numPr>
          <w:ilvl w:val="12"/>
          <w:numId w:val="0"/>
        </w:numPr>
        <w:shd w:val="clear" w:color="auto" w:fill="FFFFFF"/>
        <w:tabs>
          <w:tab w:val="clear" w:pos="567"/>
        </w:tabs>
        <w:spacing w:line="240" w:lineRule="auto"/>
        <w:jc w:val="center"/>
        <w:rPr>
          <w:szCs w:val="22"/>
        </w:rPr>
      </w:pPr>
    </w:p>
    <w:p w14:paraId="4FC03082" w14:textId="77777777" w:rsidR="00E504F6" w:rsidRPr="00C9068C" w:rsidRDefault="006455D9" w:rsidP="00E504F6">
      <w:pPr>
        <w:jc w:val="center"/>
        <w:rPr>
          <w:b/>
          <w:szCs w:val="22"/>
        </w:rPr>
      </w:pPr>
      <w:r w:rsidRPr="00C9068C">
        <w:rPr>
          <w:b/>
        </w:rPr>
        <w:t xml:space="preserve">Cuprior 150 mg </w:t>
      </w:r>
      <w:r w:rsidR="003E6709" w:rsidRPr="00CF30F4">
        <w:rPr>
          <w:b/>
        </w:rPr>
        <w:t>potahované</w:t>
      </w:r>
      <w:r w:rsidR="003E6709">
        <w:t xml:space="preserve"> </w:t>
      </w:r>
      <w:r w:rsidRPr="00C9068C">
        <w:rPr>
          <w:b/>
        </w:rPr>
        <w:t>tablety</w:t>
      </w:r>
    </w:p>
    <w:p w14:paraId="4FC03083" w14:textId="77777777" w:rsidR="00E504F6" w:rsidRPr="00C9068C" w:rsidRDefault="006455D9" w:rsidP="00E504F6">
      <w:pPr>
        <w:numPr>
          <w:ilvl w:val="12"/>
          <w:numId w:val="0"/>
        </w:numPr>
        <w:tabs>
          <w:tab w:val="clear" w:pos="567"/>
        </w:tabs>
        <w:spacing w:line="240" w:lineRule="auto"/>
        <w:jc w:val="center"/>
        <w:rPr>
          <w:szCs w:val="22"/>
        </w:rPr>
      </w:pPr>
      <w:r w:rsidRPr="00C9068C">
        <w:t>trientinum</w:t>
      </w:r>
    </w:p>
    <w:p w14:paraId="4FC03084" w14:textId="77777777" w:rsidR="00E504F6" w:rsidRPr="00C9068C" w:rsidRDefault="00E504F6" w:rsidP="00E504F6">
      <w:pPr>
        <w:jc w:val="center"/>
        <w:rPr>
          <w:szCs w:val="22"/>
        </w:rPr>
      </w:pPr>
    </w:p>
    <w:p w14:paraId="4FC03085" w14:textId="77777777" w:rsidR="00E504F6" w:rsidRPr="00C9068C" w:rsidRDefault="006455D9" w:rsidP="00E504F6">
      <w:r w:rsidRPr="00C9068C">
        <w:t xml:space="preserve">Informace můžete nalézt také tak, že načtete níže uvedený QR kód pomocí chytrého telefonu nebo zadáním </w:t>
      </w:r>
      <w:r w:rsidRPr="00C9068C">
        <w:rPr>
          <w:i/>
          <w:highlight w:val="lightGray"/>
        </w:rPr>
        <w:t>vložit QR kód</w:t>
      </w:r>
      <w:r w:rsidRPr="00C9068C">
        <w:rPr>
          <w:i/>
        </w:rPr>
        <w:t xml:space="preserve"> </w:t>
      </w:r>
      <w:r w:rsidRPr="00C9068C">
        <w:t xml:space="preserve">na webových stránkách </w:t>
      </w:r>
      <w:hyperlink r:id="rId14" w:history="1">
        <w:r w:rsidRPr="00C9068C">
          <w:rPr>
            <w:rStyle w:val="Hyperlink"/>
          </w:rPr>
          <w:t>http://www.cuprior.com</w:t>
        </w:r>
      </w:hyperlink>
      <w:r w:rsidRPr="00C9068C">
        <w:t>.</w:t>
      </w:r>
    </w:p>
    <w:p w14:paraId="4FC03086" w14:textId="77777777" w:rsidR="00E504F6" w:rsidRPr="00C9068C" w:rsidRDefault="00E504F6" w:rsidP="00E504F6">
      <w:pPr>
        <w:tabs>
          <w:tab w:val="clear" w:pos="567"/>
        </w:tabs>
        <w:spacing w:line="240" w:lineRule="auto"/>
        <w:rPr>
          <w:szCs w:val="22"/>
        </w:rPr>
      </w:pPr>
    </w:p>
    <w:p w14:paraId="4FC03087" w14:textId="77777777" w:rsidR="00E504F6" w:rsidRPr="00C9068C" w:rsidRDefault="006455D9" w:rsidP="00E504F6">
      <w:pPr>
        <w:tabs>
          <w:tab w:val="clear" w:pos="567"/>
        </w:tabs>
        <w:suppressAutoHyphens/>
        <w:spacing w:line="240" w:lineRule="auto"/>
        <w:ind w:left="142" w:hanging="142"/>
        <w:rPr>
          <w:szCs w:val="22"/>
        </w:rPr>
      </w:pPr>
      <w:r w:rsidRPr="00C9068C">
        <w:rPr>
          <w:b/>
        </w:rPr>
        <w:t>Přečtěte si pozorně celou příbalovou informaci dříve</w:t>
      </w:r>
      <w:r w:rsidRPr="00C9068C">
        <w:rPr>
          <w:b/>
        </w:rPr>
        <w:t>, než začnete tento přípravek užívat, protože obsahuje pro Vás důležité údaje.</w:t>
      </w:r>
    </w:p>
    <w:p w14:paraId="4FC03088" w14:textId="77777777" w:rsidR="00E504F6" w:rsidRPr="00C9068C" w:rsidRDefault="006455D9" w:rsidP="00E504F6">
      <w:pPr>
        <w:numPr>
          <w:ilvl w:val="0"/>
          <w:numId w:val="3"/>
        </w:numPr>
        <w:tabs>
          <w:tab w:val="clear" w:pos="567"/>
        </w:tabs>
        <w:spacing w:line="240" w:lineRule="auto"/>
        <w:ind w:left="567" w:right="-2" w:hanging="567"/>
        <w:rPr>
          <w:szCs w:val="22"/>
        </w:rPr>
      </w:pPr>
      <w:r w:rsidRPr="00C9068C">
        <w:t xml:space="preserve">Ponechte si příbalovou informaci pro případ, že si ji budete potřebovat přečíst znovu. </w:t>
      </w:r>
    </w:p>
    <w:p w14:paraId="4FC03089" w14:textId="77777777" w:rsidR="00E504F6" w:rsidRPr="00C9068C" w:rsidRDefault="006455D9" w:rsidP="00E504F6">
      <w:pPr>
        <w:numPr>
          <w:ilvl w:val="0"/>
          <w:numId w:val="3"/>
        </w:numPr>
        <w:tabs>
          <w:tab w:val="clear" w:pos="567"/>
        </w:tabs>
        <w:spacing w:line="240" w:lineRule="auto"/>
        <w:ind w:left="567" w:right="-2" w:hanging="567"/>
        <w:rPr>
          <w:szCs w:val="22"/>
        </w:rPr>
      </w:pPr>
      <w:r w:rsidRPr="00C9068C">
        <w:t>Máte-li jakékoli další otázky, zeptejte se svého lékaře nebo lékárníka.</w:t>
      </w:r>
    </w:p>
    <w:p w14:paraId="4FC0308A" w14:textId="77777777" w:rsidR="00E504F6" w:rsidRPr="00C9068C" w:rsidRDefault="006455D9" w:rsidP="00E504F6">
      <w:pPr>
        <w:spacing w:line="240" w:lineRule="auto"/>
        <w:ind w:left="567" w:right="-2" w:hanging="567"/>
        <w:rPr>
          <w:szCs w:val="22"/>
        </w:rPr>
      </w:pPr>
      <w:r w:rsidRPr="00C9068C">
        <w:t>-</w:t>
      </w:r>
      <w:r w:rsidRPr="00C9068C">
        <w:tab/>
        <w:t>Tento přípravek</w:t>
      </w:r>
      <w:r w:rsidRPr="00C9068C">
        <w:t xml:space="preserve"> byl předepsán výhradně Vám. Nedávejte jej žádné další osobě. Mohl by jí ublížit, a to i tehdy, má-li stejné známky onemocnění jako Vy.</w:t>
      </w:r>
      <w:r w:rsidRPr="00C9068C">
        <w:rPr>
          <w:color w:val="008000"/>
        </w:rPr>
        <w:t xml:space="preserve"> </w:t>
      </w:r>
    </w:p>
    <w:p w14:paraId="4FC0308B" w14:textId="77777777" w:rsidR="00E504F6" w:rsidRPr="00C9068C" w:rsidRDefault="006455D9" w:rsidP="00E504F6">
      <w:pPr>
        <w:numPr>
          <w:ilvl w:val="0"/>
          <w:numId w:val="3"/>
        </w:numPr>
        <w:spacing w:line="240" w:lineRule="auto"/>
        <w:ind w:left="567" w:hanging="567"/>
        <w:rPr>
          <w:szCs w:val="22"/>
        </w:rPr>
      </w:pPr>
      <w:r w:rsidRPr="00C9068C">
        <w:t>Pokud se u Vás vyskytne kterýkoli z nežádoucích účinků, sdělte to svému lékaři nebo lékárníkovi.</w:t>
      </w:r>
      <w:r w:rsidRPr="00C9068C">
        <w:rPr>
          <w:color w:val="FF0000"/>
        </w:rPr>
        <w:t xml:space="preserve"> </w:t>
      </w:r>
      <w:r w:rsidRPr="00C9068C">
        <w:t>Stejně postupujte v př</w:t>
      </w:r>
      <w:r w:rsidRPr="00C9068C">
        <w:t>ípadě jakýchkoli nežádoucích účinků, které nejsou uvedeny v této příbalové informaci. Viz bod 4.</w:t>
      </w:r>
    </w:p>
    <w:p w14:paraId="4FC0308C" w14:textId="77777777" w:rsidR="00E504F6" w:rsidRPr="00C9068C" w:rsidRDefault="00E504F6" w:rsidP="00E504F6">
      <w:pPr>
        <w:tabs>
          <w:tab w:val="clear" w:pos="567"/>
        </w:tabs>
        <w:spacing w:line="240" w:lineRule="auto"/>
        <w:ind w:right="-2"/>
        <w:rPr>
          <w:szCs w:val="22"/>
        </w:rPr>
      </w:pPr>
    </w:p>
    <w:p w14:paraId="4FC0308D" w14:textId="77777777" w:rsidR="00E504F6" w:rsidRPr="00C9068C" w:rsidRDefault="00E504F6" w:rsidP="00E504F6">
      <w:pPr>
        <w:tabs>
          <w:tab w:val="clear" w:pos="567"/>
        </w:tabs>
        <w:spacing w:line="240" w:lineRule="auto"/>
        <w:ind w:right="-2"/>
        <w:rPr>
          <w:szCs w:val="22"/>
        </w:rPr>
      </w:pPr>
    </w:p>
    <w:p w14:paraId="4FC0308E" w14:textId="77777777" w:rsidR="00E504F6" w:rsidRPr="00C9068C" w:rsidRDefault="006455D9" w:rsidP="00E504F6">
      <w:pPr>
        <w:numPr>
          <w:ilvl w:val="12"/>
          <w:numId w:val="0"/>
        </w:numPr>
        <w:tabs>
          <w:tab w:val="clear" w:pos="567"/>
        </w:tabs>
        <w:spacing w:line="240" w:lineRule="auto"/>
        <w:ind w:right="-2"/>
        <w:rPr>
          <w:b/>
          <w:szCs w:val="22"/>
        </w:rPr>
      </w:pPr>
      <w:r w:rsidRPr="00C9068C">
        <w:rPr>
          <w:b/>
        </w:rPr>
        <w:t>Co naleznete v této příbalové informaci</w:t>
      </w:r>
    </w:p>
    <w:p w14:paraId="4FC0308F" w14:textId="77777777" w:rsidR="00E504F6" w:rsidRPr="00C9068C" w:rsidRDefault="00E504F6" w:rsidP="00E504F6"/>
    <w:p w14:paraId="4FC03090" w14:textId="77777777" w:rsidR="00E504F6" w:rsidRPr="00C9068C" w:rsidRDefault="006455D9" w:rsidP="00E504F6">
      <w:pPr>
        <w:pStyle w:val="ListParagraph"/>
        <w:numPr>
          <w:ilvl w:val="0"/>
          <w:numId w:val="32"/>
        </w:numPr>
        <w:tabs>
          <w:tab w:val="clear" w:pos="567"/>
          <w:tab w:val="left" w:pos="426"/>
        </w:tabs>
        <w:spacing w:line="240" w:lineRule="auto"/>
        <w:ind w:left="420" w:right="-28"/>
        <w:rPr>
          <w:szCs w:val="22"/>
        </w:rPr>
      </w:pPr>
      <w:r w:rsidRPr="00C9068C">
        <w:t xml:space="preserve">Co je přípravek Cuprior a k čemu se používá </w:t>
      </w:r>
    </w:p>
    <w:p w14:paraId="4FC03091" w14:textId="77777777" w:rsidR="00E504F6" w:rsidRPr="00C9068C" w:rsidRDefault="006455D9" w:rsidP="00E504F6">
      <w:pPr>
        <w:pStyle w:val="ListParagraph"/>
        <w:numPr>
          <w:ilvl w:val="0"/>
          <w:numId w:val="32"/>
        </w:numPr>
        <w:tabs>
          <w:tab w:val="clear" w:pos="567"/>
          <w:tab w:val="left" w:pos="426"/>
        </w:tabs>
        <w:spacing w:line="240" w:lineRule="auto"/>
        <w:ind w:left="420" w:right="-28"/>
        <w:rPr>
          <w:szCs w:val="22"/>
        </w:rPr>
      </w:pPr>
      <w:r w:rsidRPr="00C9068C">
        <w:t xml:space="preserve">Čemu musíte věnovat pozornost, než začnete přípravek Cuprior užívat </w:t>
      </w:r>
    </w:p>
    <w:p w14:paraId="4FC03092" w14:textId="77777777" w:rsidR="00E504F6" w:rsidRPr="00C9068C" w:rsidRDefault="006455D9" w:rsidP="00E504F6">
      <w:pPr>
        <w:pStyle w:val="ListParagraph"/>
        <w:numPr>
          <w:ilvl w:val="0"/>
          <w:numId w:val="32"/>
        </w:numPr>
        <w:tabs>
          <w:tab w:val="clear" w:pos="567"/>
          <w:tab w:val="left" w:pos="426"/>
        </w:tabs>
        <w:spacing w:line="240" w:lineRule="auto"/>
        <w:ind w:left="420" w:right="-28"/>
        <w:rPr>
          <w:szCs w:val="22"/>
        </w:rPr>
      </w:pPr>
      <w:r w:rsidRPr="00C9068C">
        <w:t xml:space="preserve">Jak se přípravek Cuprior užívá </w:t>
      </w:r>
    </w:p>
    <w:p w14:paraId="4FC03093" w14:textId="77777777" w:rsidR="00E504F6" w:rsidRPr="00C9068C" w:rsidRDefault="006455D9" w:rsidP="00E504F6">
      <w:pPr>
        <w:pStyle w:val="ListParagraph"/>
        <w:numPr>
          <w:ilvl w:val="0"/>
          <w:numId w:val="32"/>
        </w:numPr>
        <w:tabs>
          <w:tab w:val="clear" w:pos="567"/>
          <w:tab w:val="left" w:pos="426"/>
        </w:tabs>
        <w:spacing w:line="240" w:lineRule="auto"/>
        <w:ind w:left="420" w:right="-28"/>
        <w:rPr>
          <w:szCs w:val="22"/>
        </w:rPr>
      </w:pPr>
      <w:r w:rsidRPr="00C9068C">
        <w:t xml:space="preserve">Možné nežádoucí účinky </w:t>
      </w:r>
    </w:p>
    <w:p w14:paraId="4FC03094" w14:textId="77777777" w:rsidR="00E504F6" w:rsidRPr="00C9068C" w:rsidRDefault="006455D9" w:rsidP="00E504F6">
      <w:pPr>
        <w:pStyle w:val="ListParagraph"/>
        <w:numPr>
          <w:ilvl w:val="0"/>
          <w:numId w:val="32"/>
        </w:numPr>
        <w:tabs>
          <w:tab w:val="clear" w:pos="567"/>
          <w:tab w:val="left" w:pos="426"/>
        </w:tabs>
        <w:spacing w:line="240" w:lineRule="auto"/>
        <w:ind w:left="420" w:right="-28"/>
        <w:rPr>
          <w:szCs w:val="22"/>
        </w:rPr>
      </w:pPr>
      <w:r w:rsidRPr="00C9068C">
        <w:t xml:space="preserve">Jak přípravek Cuprior uchovávat </w:t>
      </w:r>
    </w:p>
    <w:p w14:paraId="4FC03095" w14:textId="77777777" w:rsidR="00E504F6" w:rsidRPr="00C9068C" w:rsidRDefault="006455D9" w:rsidP="00E504F6">
      <w:pPr>
        <w:pStyle w:val="ListParagraph"/>
        <w:numPr>
          <w:ilvl w:val="0"/>
          <w:numId w:val="32"/>
        </w:numPr>
        <w:tabs>
          <w:tab w:val="clear" w:pos="567"/>
          <w:tab w:val="left" w:pos="426"/>
        </w:tabs>
        <w:spacing w:line="240" w:lineRule="auto"/>
        <w:ind w:left="420" w:right="-28"/>
        <w:rPr>
          <w:szCs w:val="22"/>
        </w:rPr>
      </w:pPr>
      <w:r w:rsidRPr="00C9068C">
        <w:t>Obsah balení a další informace</w:t>
      </w:r>
    </w:p>
    <w:p w14:paraId="4FC03096" w14:textId="77777777" w:rsidR="00E504F6" w:rsidRPr="00C9068C" w:rsidRDefault="00E504F6" w:rsidP="00E504F6">
      <w:pPr>
        <w:numPr>
          <w:ilvl w:val="12"/>
          <w:numId w:val="0"/>
        </w:numPr>
        <w:tabs>
          <w:tab w:val="clear" w:pos="567"/>
        </w:tabs>
        <w:spacing w:line="240" w:lineRule="auto"/>
        <w:ind w:right="-2"/>
        <w:rPr>
          <w:szCs w:val="22"/>
        </w:rPr>
      </w:pPr>
    </w:p>
    <w:p w14:paraId="4FC03097" w14:textId="77777777" w:rsidR="00E504F6" w:rsidRPr="00C9068C" w:rsidRDefault="00E504F6" w:rsidP="00E504F6">
      <w:pPr>
        <w:numPr>
          <w:ilvl w:val="12"/>
          <w:numId w:val="0"/>
        </w:numPr>
        <w:tabs>
          <w:tab w:val="clear" w:pos="567"/>
        </w:tabs>
        <w:spacing w:line="240" w:lineRule="auto"/>
        <w:rPr>
          <w:szCs w:val="22"/>
        </w:rPr>
      </w:pPr>
    </w:p>
    <w:p w14:paraId="4FC03098" w14:textId="77777777" w:rsidR="00E504F6" w:rsidRPr="00C9068C" w:rsidRDefault="006455D9" w:rsidP="00E504F6">
      <w:pPr>
        <w:pStyle w:val="ListParagraph"/>
        <w:numPr>
          <w:ilvl w:val="0"/>
          <w:numId w:val="33"/>
        </w:numPr>
        <w:tabs>
          <w:tab w:val="clear" w:pos="567"/>
        </w:tabs>
        <w:spacing w:line="240" w:lineRule="auto"/>
        <w:ind w:left="720"/>
        <w:outlineLvl w:val="0"/>
        <w:rPr>
          <w:b/>
          <w:szCs w:val="22"/>
        </w:rPr>
      </w:pPr>
      <w:r w:rsidRPr="00C9068C">
        <w:rPr>
          <w:b/>
        </w:rPr>
        <w:t>Co je přípravek Cuprior a k čemu se používá</w:t>
      </w:r>
    </w:p>
    <w:p w14:paraId="4FC03099" w14:textId="77777777" w:rsidR="00E504F6" w:rsidRPr="00C9068C" w:rsidRDefault="00E504F6" w:rsidP="00E504F6">
      <w:pPr>
        <w:numPr>
          <w:ilvl w:val="12"/>
          <w:numId w:val="0"/>
        </w:numPr>
        <w:tabs>
          <w:tab w:val="clear" w:pos="567"/>
        </w:tabs>
        <w:spacing w:line="240" w:lineRule="auto"/>
        <w:rPr>
          <w:szCs w:val="22"/>
        </w:rPr>
      </w:pPr>
    </w:p>
    <w:p w14:paraId="4FC0309A" w14:textId="77777777" w:rsidR="00E504F6" w:rsidRPr="00C9068C" w:rsidRDefault="006455D9" w:rsidP="00E504F6">
      <w:pPr>
        <w:numPr>
          <w:ilvl w:val="12"/>
          <w:numId w:val="0"/>
        </w:numPr>
        <w:tabs>
          <w:tab w:val="clear" w:pos="567"/>
        </w:tabs>
        <w:spacing w:line="240" w:lineRule="auto"/>
        <w:rPr>
          <w:szCs w:val="22"/>
        </w:rPr>
      </w:pPr>
      <w:r w:rsidRPr="00C9068C">
        <w:t>Cuprior je léčivý př</w:t>
      </w:r>
      <w:r w:rsidRPr="00C9068C">
        <w:t xml:space="preserve">ípravek používaný k léčbě Wilsonovy choroby, který obsahuje léčivou látku trientin. </w:t>
      </w:r>
    </w:p>
    <w:p w14:paraId="4FC0309B" w14:textId="77777777" w:rsidR="00E504F6" w:rsidRPr="00C9068C" w:rsidRDefault="00E504F6" w:rsidP="00E504F6">
      <w:pPr>
        <w:numPr>
          <w:ilvl w:val="12"/>
          <w:numId w:val="0"/>
        </w:numPr>
        <w:tabs>
          <w:tab w:val="clear" w:pos="567"/>
        </w:tabs>
        <w:spacing w:line="240" w:lineRule="auto"/>
        <w:rPr>
          <w:szCs w:val="22"/>
        </w:rPr>
      </w:pPr>
    </w:p>
    <w:p w14:paraId="4FC0309C" w14:textId="77777777" w:rsidR="00E504F6" w:rsidRPr="00C9068C" w:rsidRDefault="006455D9" w:rsidP="00E504F6">
      <w:pPr>
        <w:numPr>
          <w:ilvl w:val="12"/>
          <w:numId w:val="0"/>
        </w:numPr>
        <w:tabs>
          <w:tab w:val="clear" w:pos="567"/>
        </w:tabs>
        <w:spacing w:line="240" w:lineRule="auto"/>
        <w:rPr>
          <w:szCs w:val="22"/>
        </w:rPr>
      </w:pPr>
      <w:r w:rsidRPr="00C9068C">
        <w:t xml:space="preserve">Wilsonova choroba je vrozené onemocnění, při kterém není organismus schopen přenášet měď v těle normálním způsobem ani měď odstraňovat normální cestou vylučování z jater </w:t>
      </w:r>
      <w:r w:rsidRPr="00C9068C">
        <w:t>do střev. To znamená, že malá množství mědi z jídla a pití postupně dosáhnou nadměrných hladin a mohou vést k poškození jater a problémům s nervovým systémem. Tento léčivý přípravek funguje především tak, že na sebe v organismu naváže měď, která se poté mů</w:t>
      </w:r>
      <w:r w:rsidRPr="00C9068C">
        <w:t xml:space="preserve">že vyloučit močí, což pomáhá snížit hladinu mědi. Může také navázat měď ve střevech a snížit tak její množství, které se vstřebá do organismu. </w:t>
      </w:r>
    </w:p>
    <w:p w14:paraId="4FC0309D" w14:textId="77777777" w:rsidR="00E504F6" w:rsidRPr="00C9068C" w:rsidRDefault="006455D9" w:rsidP="00E504F6">
      <w:pPr>
        <w:numPr>
          <w:ilvl w:val="12"/>
          <w:numId w:val="0"/>
        </w:numPr>
        <w:tabs>
          <w:tab w:val="clear" w:pos="567"/>
        </w:tabs>
        <w:spacing w:line="240" w:lineRule="auto"/>
        <w:rPr>
          <w:szCs w:val="22"/>
        </w:rPr>
      </w:pPr>
      <w:r w:rsidRPr="00C9068C">
        <w:t xml:space="preserve">Přípravek Cuprior se podává dospělým, dospívajícím a dětem od 5 let věku, kteří nesnášejí jiný léčivý přípravek </w:t>
      </w:r>
      <w:r w:rsidRPr="00C9068C">
        <w:t>používaný k léčbě této choroby, zvaný penicilamin.</w:t>
      </w:r>
    </w:p>
    <w:p w14:paraId="4FC0309E" w14:textId="77777777" w:rsidR="00E504F6" w:rsidRPr="00C9068C" w:rsidRDefault="00E504F6" w:rsidP="00E504F6">
      <w:pPr>
        <w:tabs>
          <w:tab w:val="clear" w:pos="567"/>
        </w:tabs>
        <w:spacing w:line="240" w:lineRule="auto"/>
        <w:ind w:right="-2"/>
        <w:rPr>
          <w:szCs w:val="22"/>
        </w:rPr>
      </w:pPr>
    </w:p>
    <w:p w14:paraId="4FC0309F" w14:textId="77777777" w:rsidR="00E504F6" w:rsidRPr="00C9068C" w:rsidRDefault="00E504F6" w:rsidP="00E504F6">
      <w:pPr>
        <w:tabs>
          <w:tab w:val="clear" w:pos="567"/>
        </w:tabs>
        <w:spacing w:line="240" w:lineRule="auto"/>
        <w:ind w:right="-2"/>
        <w:rPr>
          <w:szCs w:val="22"/>
        </w:rPr>
      </w:pPr>
    </w:p>
    <w:p w14:paraId="4FC030A0" w14:textId="77777777" w:rsidR="00E504F6" w:rsidRPr="00C9068C" w:rsidRDefault="006455D9" w:rsidP="00E504F6">
      <w:pPr>
        <w:pStyle w:val="ListParagraph"/>
        <w:numPr>
          <w:ilvl w:val="0"/>
          <w:numId w:val="33"/>
        </w:numPr>
        <w:tabs>
          <w:tab w:val="clear" w:pos="567"/>
        </w:tabs>
        <w:spacing w:line="240" w:lineRule="auto"/>
        <w:ind w:left="720"/>
        <w:outlineLvl w:val="0"/>
        <w:rPr>
          <w:b/>
          <w:szCs w:val="22"/>
        </w:rPr>
      </w:pPr>
      <w:r w:rsidRPr="00C9068C">
        <w:rPr>
          <w:b/>
        </w:rPr>
        <w:t xml:space="preserve">Čemu musíte věnovat pozornost, než začnete přípravek Cuprior užívat </w:t>
      </w:r>
    </w:p>
    <w:p w14:paraId="4FC030A1" w14:textId="77777777" w:rsidR="00E504F6" w:rsidRPr="00C9068C" w:rsidRDefault="00E504F6" w:rsidP="00E504F6"/>
    <w:p w14:paraId="4FC030A2" w14:textId="77777777" w:rsidR="00E504F6" w:rsidRPr="00C9068C" w:rsidRDefault="006455D9" w:rsidP="00E504F6">
      <w:pPr>
        <w:numPr>
          <w:ilvl w:val="12"/>
          <w:numId w:val="0"/>
        </w:numPr>
        <w:tabs>
          <w:tab w:val="clear" w:pos="567"/>
        </w:tabs>
        <w:spacing w:line="240" w:lineRule="auto"/>
        <w:rPr>
          <w:b/>
          <w:szCs w:val="22"/>
        </w:rPr>
      </w:pPr>
      <w:r w:rsidRPr="00C9068C">
        <w:rPr>
          <w:b/>
        </w:rPr>
        <w:t>Neužívejte přípravek Cuprior</w:t>
      </w:r>
    </w:p>
    <w:p w14:paraId="4FC030A3" w14:textId="77777777" w:rsidR="00E504F6" w:rsidRPr="00C9068C" w:rsidRDefault="006455D9" w:rsidP="00E504F6">
      <w:pPr>
        <w:numPr>
          <w:ilvl w:val="12"/>
          <w:numId w:val="0"/>
        </w:numPr>
        <w:tabs>
          <w:tab w:val="clear" w:pos="567"/>
        </w:tabs>
        <w:spacing w:line="240" w:lineRule="auto"/>
        <w:rPr>
          <w:szCs w:val="22"/>
        </w:rPr>
      </w:pPr>
      <w:r w:rsidRPr="00C9068C">
        <w:t xml:space="preserve">jestliže jste alergický(á) na trientin nebo na kteroukoli další složku tohoto přípravku (uvedenou v bodě 6). </w:t>
      </w:r>
    </w:p>
    <w:p w14:paraId="4FC030A4" w14:textId="77777777" w:rsidR="00E504F6" w:rsidRPr="00C9068C" w:rsidRDefault="00E504F6" w:rsidP="00E504F6">
      <w:pPr>
        <w:numPr>
          <w:ilvl w:val="12"/>
          <w:numId w:val="0"/>
        </w:numPr>
        <w:tabs>
          <w:tab w:val="clear" w:pos="567"/>
        </w:tabs>
        <w:spacing w:line="240" w:lineRule="auto"/>
        <w:rPr>
          <w:szCs w:val="22"/>
        </w:rPr>
      </w:pPr>
    </w:p>
    <w:p w14:paraId="4FC030A5" w14:textId="77777777" w:rsidR="00E504F6" w:rsidRPr="00C9068C" w:rsidRDefault="006455D9" w:rsidP="00E504F6">
      <w:pPr>
        <w:numPr>
          <w:ilvl w:val="12"/>
          <w:numId w:val="0"/>
        </w:numPr>
        <w:tabs>
          <w:tab w:val="clear" w:pos="567"/>
        </w:tabs>
        <w:spacing w:line="240" w:lineRule="auto"/>
        <w:rPr>
          <w:b/>
          <w:szCs w:val="22"/>
        </w:rPr>
      </w:pPr>
      <w:r w:rsidRPr="00C9068C">
        <w:rPr>
          <w:b/>
        </w:rPr>
        <w:t xml:space="preserve">Upozornění a opatření </w:t>
      </w:r>
    </w:p>
    <w:p w14:paraId="4FC030A6" w14:textId="77777777" w:rsidR="00E504F6" w:rsidRPr="00C9068C" w:rsidRDefault="006455D9" w:rsidP="00E504F6">
      <w:pPr>
        <w:numPr>
          <w:ilvl w:val="12"/>
          <w:numId w:val="0"/>
        </w:numPr>
        <w:tabs>
          <w:tab w:val="clear" w:pos="567"/>
        </w:tabs>
        <w:spacing w:line="240" w:lineRule="auto"/>
        <w:rPr>
          <w:szCs w:val="22"/>
        </w:rPr>
      </w:pPr>
      <w:r w:rsidRPr="00C9068C">
        <w:t>Před užitím přípravku Cuprior se poraďte se svým lékařem nebo lékárníkem.</w:t>
      </w:r>
    </w:p>
    <w:p w14:paraId="4FC030A7" w14:textId="77777777" w:rsidR="00E504F6" w:rsidRPr="00C9068C" w:rsidRDefault="00E504F6" w:rsidP="00E504F6">
      <w:pPr>
        <w:numPr>
          <w:ilvl w:val="12"/>
          <w:numId w:val="0"/>
        </w:numPr>
        <w:tabs>
          <w:tab w:val="clear" w:pos="567"/>
        </w:tabs>
        <w:spacing w:line="240" w:lineRule="auto"/>
        <w:rPr>
          <w:szCs w:val="22"/>
        </w:rPr>
      </w:pPr>
    </w:p>
    <w:p w14:paraId="4FC030A8" w14:textId="73F2172C" w:rsidR="00E504F6" w:rsidRPr="00C9068C" w:rsidRDefault="006455D9" w:rsidP="00E504F6">
      <w:pPr>
        <w:numPr>
          <w:ilvl w:val="12"/>
          <w:numId w:val="0"/>
        </w:numPr>
        <w:tabs>
          <w:tab w:val="clear" w:pos="567"/>
        </w:tabs>
        <w:spacing w:line="240" w:lineRule="auto"/>
        <w:rPr>
          <w:szCs w:val="22"/>
        </w:rPr>
      </w:pPr>
      <w:r w:rsidRPr="00C9068C">
        <w:t xml:space="preserve">Pokud jste již užíval(a) jiný léčivý přípravek </w:t>
      </w:r>
      <w:r w:rsidRPr="00C9068C">
        <w:t xml:space="preserve">obsahující trientin, může Vám lékař při přechodu na přípravek Cuprior upravit denní dávku, počet tablet nebo počet dávek za den. </w:t>
      </w:r>
    </w:p>
    <w:p w14:paraId="4FC030A9" w14:textId="77777777" w:rsidR="00E504F6" w:rsidRPr="00C9068C" w:rsidRDefault="00E504F6" w:rsidP="00E504F6">
      <w:pPr>
        <w:numPr>
          <w:ilvl w:val="12"/>
          <w:numId w:val="0"/>
        </w:numPr>
        <w:tabs>
          <w:tab w:val="clear" w:pos="567"/>
        </w:tabs>
        <w:spacing w:line="240" w:lineRule="auto"/>
        <w:rPr>
          <w:szCs w:val="22"/>
        </w:rPr>
      </w:pPr>
    </w:p>
    <w:p w14:paraId="4FC030AA" w14:textId="77777777" w:rsidR="00E504F6" w:rsidRPr="00C9068C" w:rsidRDefault="006455D9" w:rsidP="00E504F6">
      <w:pPr>
        <w:numPr>
          <w:ilvl w:val="12"/>
          <w:numId w:val="0"/>
        </w:numPr>
        <w:tabs>
          <w:tab w:val="clear" w:pos="567"/>
        </w:tabs>
        <w:spacing w:line="240" w:lineRule="auto"/>
        <w:rPr>
          <w:szCs w:val="22"/>
        </w:rPr>
      </w:pPr>
      <w:r w:rsidRPr="00C9068C">
        <w:lastRenderedPageBreak/>
        <w:t>Vaše příznaky se mohou po zahájení léčby nejprve zhoršit. Pokud k tomu dojde, musíte to oznámit svému lékaři.</w:t>
      </w:r>
    </w:p>
    <w:p w14:paraId="4FC030AB" w14:textId="77777777" w:rsidR="00E504F6" w:rsidRPr="00C9068C" w:rsidRDefault="00E504F6" w:rsidP="00E504F6">
      <w:pPr>
        <w:numPr>
          <w:ilvl w:val="12"/>
          <w:numId w:val="0"/>
        </w:numPr>
        <w:tabs>
          <w:tab w:val="clear" w:pos="567"/>
        </w:tabs>
        <w:spacing w:line="240" w:lineRule="auto"/>
        <w:rPr>
          <w:szCs w:val="22"/>
        </w:rPr>
      </w:pPr>
    </w:p>
    <w:p w14:paraId="4FC030AC" w14:textId="77777777" w:rsidR="00E504F6" w:rsidRPr="00C9068C" w:rsidRDefault="006455D9" w:rsidP="00E504F6">
      <w:pPr>
        <w:numPr>
          <w:ilvl w:val="12"/>
          <w:numId w:val="0"/>
        </w:numPr>
        <w:tabs>
          <w:tab w:val="clear" w:pos="567"/>
        </w:tabs>
        <w:spacing w:line="240" w:lineRule="auto"/>
        <w:rPr>
          <w:szCs w:val="22"/>
        </w:rPr>
      </w:pPr>
      <w:r w:rsidRPr="00C9068C">
        <w:t>Lékař Vám bude</w:t>
      </w:r>
      <w:r w:rsidRPr="00C9068C">
        <w:t xml:space="preserve"> pravidelně kontrolovat krev a moč, aby zajistil, že dostáváte správnou dávku přípravku Cuprior, která řádně kontroluje Vaše příznaky a hladinu mědi. </w:t>
      </w:r>
    </w:p>
    <w:p w14:paraId="4FC030AD" w14:textId="77777777" w:rsidR="00E504F6" w:rsidRPr="00C9068C" w:rsidRDefault="00E504F6" w:rsidP="00E504F6">
      <w:pPr>
        <w:numPr>
          <w:ilvl w:val="12"/>
          <w:numId w:val="0"/>
        </w:numPr>
        <w:tabs>
          <w:tab w:val="clear" w:pos="567"/>
        </w:tabs>
        <w:spacing w:line="240" w:lineRule="auto"/>
        <w:rPr>
          <w:szCs w:val="22"/>
        </w:rPr>
      </w:pPr>
    </w:p>
    <w:p w14:paraId="4FC030AE" w14:textId="77777777" w:rsidR="00E504F6" w:rsidRPr="00C9068C" w:rsidRDefault="006455D9" w:rsidP="00E504F6">
      <w:pPr>
        <w:numPr>
          <w:ilvl w:val="12"/>
          <w:numId w:val="0"/>
        </w:numPr>
        <w:tabs>
          <w:tab w:val="clear" w:pos="567"/>
        </w:tabs>
        <w:spacing w:line="240" w:lineRule="auto"/>
        <w:rPr>
          <w:szCs w:val="22"/>
        </w:rPr>
      </w:pPr>
      <w:r w:rsidRPr="00C9068C">
        <w:t>Informujte svého lékaře také v případě, že se u Vás objeví nějaké nežádoucí účinky, protože to může znam</w:t>
      </w:r>
      <w:r w:rsidRPr="00C9068C">
        <w:t xml:space="preserve">enat, že je nutné u Vás dávku přípravku Cuprior upravit (zvýšit nebo snížit). </w:t>
      </w:r>
    </w:p>
    <w:p w14:paraId="4FC030AF" w14:textId="77777777" w:rsidR="00E504F6" w:rsidRPr="00C9068C" w:rsidRDefault="00E504F6" w:rsidP="00E504F6">
      <w:pPr>
        <w:numPr>
          <w:ilvl w:val="12"/>
          <w:numId w:val="0"/>
        </w:numPr>
        <w:tabs>
          <w:tab w:val="clear" w:pos="567"/>
        </w:tabs>
        <w:spacing w:line="240" w:lineRule="auto"/>
        <w:rPr>
          <w:szCs w:val="22"/>
        </w:rPr>
      </w:pPr>
    </w:p>
    <w:p w14:paraId="4FC030B0" w14:textId="77777777" w:rsidR="00E504F6" w:rsidRPr="00C9068C" w:rsidRDefault="006455D9" w:rsidP="00E504F6">
      <w:pPr>
        <w:numPr>
          <w:ilvl w:val="12"/>
          <w:numId w:val="0"/>
        </w:numPr>
        <w:tabs>
          <w:tab w:val="clear" w:pos="567"/>
        </w:tabs>
        <w:spacing w:line="240" w:lineRule="auto"/>
        <w:ind w:right="-2"/>
        <w:rPr>
          <w:szCs w:val="22"/>
        </w:rPr>
      </w:pPr>
      <w:r w:rsidRPr="00C9068C">
        <w:t>Tento léčivý přípravek může také snižovat hladinu železa v krvi a lékař Vám může předepsat potravinové doplňky obsahující železo (viz bod „Další léčivé přípravky a přípravek Cu</w:t>
      </w:r>
      <w:r w:rsidRPr="00C9068C">
        <w:t>prior“ níže).</w:t>
      </w:r>
    </w:p>
    <w:p w14:paraId="4FC030B1" w14:textId="77777777" w:rsidR="00E504F6" w:rsidRPr="00C9068C" w:rsidRDefault="00E504F6" w:rsidP="00E504F6">
      <w:pPr>
        <w:numPr>
          <w:ilvl w:val="12"/>
          <w:numId w:val="0"/>
        </w:numPr>
        <w:tabs>
          <w:tab w:val="clear" w:pos="567"/>
        </w:tabs>
        <w:spacing w:line="240" w:lineRule="auto"/>
        <w:ind w:right="-2"/>
        <w:rPr>
          <w:szCs w:val="22"/>
        </w:rPr>
      </w:pPr>
    </w:p>
    <w:p w14:paraId="4FC030B2" w14:textId="77777777" w:rsidR="00E504F6" w:rsidRPr="00C9068C" w:rsidRDefault="006455D9" w:rsidP="00E504F6">
      <w:pPr>
        <w:numPr>
          <w:ilvl w:val="12"/>
          <w:numId w:val="0"/>
        </w:numPr>
        <w:tabs>
          <w:tab w:val="clear" w:pos="567"/>
        </w:tabs>
        <w:spacing w:line="240" w:lineRule="auto"/>
        <w:ind w:right="-2"/>
        <w:rPr>
          <w:szCs w:val="22"/>
        </w:rPr>
      </w:pPr>
      <w:r w:rsidRPr="00C9068C">
        <w:t>Pokud máte onemocnění ledvin, bude lékař pravidelně kontrolovat, zda je léčebná dávka vhodná a nenarušuje funkci ledvin.</w:t>
      </w:r>
    </w:p>
    <w:p w14:paraId="4FC030B3" w14:textId="77777777" w:rsidR="00E504F6" w:rsidRPr="00C9068C" w:rsidRDefault="00E504F6" w:rsidP="00E504F6">
      <w:pPr>
        <w:numPr>
          <w:ilvl w:val="12"/>
          <w:numId w:val="0"/>
        </w:numPr>
        <w:tabs>
          <w:tab w:val="clear" w:pos="567"/>
        </w:tabs>
        <w:spacing w:line="240" w:lineRule="auto"/>
        <w:ind w:right="-2"/>
        <w:rPr>
          <w:szCs w:val="22"/>
        </w:rPr>
      </w:pPr>
    </w:p>
    <w:p w14:paraId="4FC030B4" w14:textId="77777777" w:rsidR="00E504F6" w:rsidRPr="00C9068C" w:rsidRDefault="006455D9" w:rsidP="00E504F6">
      <w:pPr>
        <w:numPr>
          <w:ilvl w:val="12"/>
          <w:numId w:val="0"/>
        </w:numPr>
        <w:tabs>
          <w:tab w:val="clear" w:pos="567"/>
        </w:tabs>
        <w:spacing w:line="240" w:lineRule="auto"/>
        <w:ind w:right="-2"/>
        <w:rPr>
          <w:szCs w:val="22"/>
        </w:rPr>
      </w:pPr>
      <w:r w:rsidRPr="00C9068C">
        <w:t xml:space="preserve">Nedoporučuje se společné podávání trientinu s jiným léčivým přípravkem, který obsahuje zinek. </w:t>
      </w:r>
    </w:p>
    <w:p w14:paraId="4FC030B5" w14:textId="77777777" w:rsidR="00E504F6" w:rsidRPr="00C9068C" w:rsidRDefault="00E504F6" w:rsidP="00E504F6">
      <w:pPr>
        <w:numPr>
          <w:ilvl w:val="12"/>
          <w:numId w:val="0"/>
        </w:numPr>
        <w:tabs>
          <w:tab w:val="clear" w:pos="567"/>
        </w:tabs>
        <w:spacing w:line="240" w:lineRule="auto"/>
        <w:ind w:right="-2"/>
        <w:rPr>
          <w:szCs w:val="22"/>
        </w:rPr>
      </w:pPr>
    </w:p>
    <w:p w14:paraId="4FC030B6" w14:textId="77777777" w:rsidR="00E504F6" w:rsidRPr="00C9068C" w:rsidRDefault="006455D9" w:rsidP="00E504F6">
      <w:pPr>
        <w:tabs>
          <w:tab w:val="clear" w:pos="567"/>
        </w:tabs>
        <w:autoSpaceDE w:val="0"/>
        <w:autoSpaceDN w:val="0"/>
        <w:adjustRightInd w:val="0"/>
        <w:spacing w:line="240" w:lineRule="auto"/>
        <w:rPr>
          <w:rFonts w:eastAsia="SimSun"/>
          <w:szCs w:val="22"/>
        </w:rPr>
      </w:pPr>
      <w:r w:rsidRPr="00C9068C">
        <w:t xml:space="preserve">U některých pacientů, kteří byli převedeni na trientin po léčivém přípravku obsahujícím penicilamin, byly hlášeny reakce podobné lupusu. Nebylo však množné určit, zda byla reakce způsobena trientinem nebo předchozí léčbou penicilaminem. </w:t>
      </w:r>
    </w:p>
    <w:p w14:paraId="4FC030B7" w14:textId="77777777" w:rsidR="00E504F6" w:rsidRPr="00C9068C" w:rsidRDefault="00E504F6" w:rsidP="00E504F6">
      <w:pPr>
        <w:numPr>
          <w:ilvl w:val="12"/>
          <w:numId w:val="0"/>
        </w:numPr>
        <w:tabs>
          <w:tab w:val="clear" w:pos="567"/>
        </w:tabs>
        <w:spacing w:line="240" w:lineRule="auto"/>
        <w:ind w:right="-2"/>
        <w:rPr>
          <w:szCs w:val="22"/>
        </w:rPr>
      </w:pPr>
    </w:p>
    <w:p w14:paraId="4FC030B8" w14:textId="77777777" w:rsidR="00E504F6" w:rsidRPr="00C9068C" w:rsidRDefault="006455D9" w:rsidP="00E504F6">
      <w:pPr>
        <w:rPr>
          <w:rFonts w:eastAsia="SimSun"/>
          <w:b/>
          <w:bCs/>
          <w:szCs w:val="22"/>
        </w:rPr>
      </w:pPr>
      <w:r w:rsidRPr="00C9068C">
        <w:rPr>
          <w:b/>
        </w:rPr>
        <w:t>Děti a dospívajíc</w:t>
      </w:r>
      <w:r w:rsidRPr="00C9068C">
        <w:rPr>
          <w:b/>
        </w:rPr>
        <w:t>í</w:t>
      </w:r>
    </w:p>
    <w:p w14:paraId="4FC030B9" w14:textId="77777777" w:rsidR="00E504F6" w:rsidRPr="00C9068C" w:rsidRDefault="006455D9" w:rsidP="00E504F6">
      <w:pPr>
        <w:rPr>
          <w:szCs w:val="22"/>
        </w:rPr>
      </w:pPr>
      <w:r w:rsidRPr="00C9068C">
        <w:t xml:space="preserve">Lékař Vás bude kontrolovat častěji, aby zajistil, že hladina mědi je udržována na úrovni vhodné pro normální růst a duševní vývoj. </w:t>
      </w:r>
    </w:p>
    <w:p w14:paraId="4FC030BA" w14:textId="77777777" w:rsidR="00E504F6" w:rsidRPr="00C9068C" w:rsidRDefault="006455D9" w:rsidP="00E504F6">
      <w:pPr>
        <w:rPr>
          <w:szCs w:val="22"/>
        </w:rPr>
      </w:pPr>
      <w:r w:rsidRPr="00C9068C">
        <w:t>Podávání tohoto přípravku dětem do 5 let věku se nedoporučuje.</w:t>
      </w:r>
    </w:p>
    <w:p w14:paraId="4FC030BB" w14:textId="77777777" w:rsidR="00E504F6" w:rsidRPr="00C9068C" w:rsidRDefault="00E504F6" w:rsidP="00E504F6">
      <w:pPr>
        <w:rPr>
          <w:szCs w:val="22"/>
          <w:highlight w:val="yellow"/>
        </w:rPr>
      </w:pPr>
    </w:p>
    <w:p w14:paraId="4FC030BC" w14:textId="77777777" w:rsidR="00E504F6" w:rsidRPr="00C9068C" w:rsidRDefault="006455D9" w:rsidP="00E504F6">
      <w:pPr>
        <w:numPr>
          <w:ilvl w:val="12"/>
          <w:numId w:val="0"/>
        </w:numPr>
        <w:tabs>
          <w:tab w:val="clear" w:pos="567"/>
        </w:tabs>
        <w:spacing w:line="240" w:lineRule="auto"/>
        <w:ind w:right="-2"/>
        <w:rPr>
          <w:szCs w:val="22"/>
        </w:rPr>
      </w:pPr>
      <w:r w:rsidRPr="00C9068C">
        <w:rPr>
          <w:b/>
        </w:rPr>
        <w:t>Další léčivé přípravky a přípravek Cuprior</w:t>
      </w:r>
    </w:p>
    <w:p w14:paraId="4FC030BD" w14:textId="77777777" w:rsidR="00E504F6" w:rsidRPr="00C9068C" w:rsidRDefault="006455D9" w:rsidP="00E504F6">
      <w:pPr>
        <w:numPr>
          <w:ilvl w:val="12"/>
          <w:numId w:val="0"/>
        </w:numPr>
        <w:tabs>
          <w:tab w:val="clear" w:pos="567"/>
        </w:tabs>
        <w:spacing w:line="240" w:lineRule="auto"/>
        <w:ind w:right="-2"/>
        <w:rPr>
          <w:szCs w:val="22"/>
        </w:rPr>
      </w:pPr>
      <w:r w:rsidRPr="00C9068C">
        <w:t>Informujte svéh</w:t>
      </w:r>
      <w:r w:rsidRPr="00C9068C">
        <w:t xml:space="preserve">o lékaře o všech lécích, které užíváte, které jste v nedávné době užíval(a) nebo které možná budete užívat. </w:t>
      </w:r>
    </w:p>
    <w:p w14:paraId="4FC030BE" w14:textId="77777777" w:rsidR="00E504F6" w:rsidRPr="00C9068C" w:rsidRDefault="00E504F6" w:rsidP="00E504F6">
      <w:pPr>
        <w:numPr>
          <w:ilvl w:val="12"/>
          <w:numId w:val="0"/>
        </w:numPr>
        <w:tabs>
          <w:tab w:val="clear" w:pos="567"/>
        </w:tabs>
        <w:spacing w:line="240" w:lineRule="auto"/>
        <w:ind w:right="-2"/>
        <w:rPr>
          <w:szCs w:val="22"/>
        </w:rPr>
      </w:pPr>
    </w:p>
    <w:p w14:paraId="4FC030BF" w14:textId="77777777" w:rsidR="00E504F6" w:rsidRPr="00C9068C" w:rsidRDefault="006455D9" w:rsidP="00E504F6">
      <w:pPr>
        <w:rPr>
          <w:szCs w:val="22"/>
        </w:rPr>
      </w:pPr>
      <w:r w:rsidRPr="00C9068C">
        <w:t>Zejména musíte lékaře informovat, zda již užíváte potravinové doplňky obsahující železo nebo zda užíváte léky na poruchy trávení (léky, které sniž</w:t>
      </w:r>
      <w:r w:rsidRPr="00C9068C">
        <w:t>ují nepříjemný pocit po jídle). Pokud tyto léky užíváte, možná bude nutné, abyste přípravek Cuprior užíval(a) v jinou denní dobu, protože jinak by přípravek Cuprior nemusel být účinný. Pokud užíváte potravinové doplňky obsahující železo, ujistěte se, že me</w:t>
      </w:r>
      <w:r w:rsidRPr="00C9068C">
        <w:t>zi užitím přípravku Cuprior a užitím potravinových doplňků obsahujících železo uplynuly nejméně dvě hodiny.</w:t>
      </w:r>
    </w:p>
    <w:p w14:paraId="4FC030C0" w14:textId="77777777" w:rsidR="00E504F6" w:rsidRPr="00C9068C" w:rsidRDefault="00E504F6" w:rsidP="00E504F6">
      <w:pPr>
        <w:rPr>
          <w:szCs w:val="22"/>
        </w:rPr>
      </w:pPr>
    </w:p>
    <w:p w14:paraId="4FC030C1" w14:textId="77777777" w:rsidR="00E504F6" w:rsidRPr="00C9068C" w:rsidRDefault="006455D9" w:rsidP="00E504F6">
      <w:pPr>
        <w:numPr>
          <w:ilvl w:val="12"/>
          <w:numId w:val="0"/>
        </w:numPr>
        <w:tabs>
          <w:tab w:val="clear" w:pos="567"/>
        </w:tabs>
        <w:spacing w:line="240" w:lineRule="auto"/>
        <w:rPr>
          <w:b/>
          <w:szCs w:val="22"/>
        </w:rPr>
      </w:pPr>
      <w:r w:rsidRPr="00C9068C">
        <w:rPr>
          <w:b/>
        </w:rPr>
        <w:t xml:space="preserve">Těhotenství a kojení </w:t>
      </w:r>
    </w:p>
    <w:p w14:paraId="4FC030C2" w14:textId="77777777" w:rsidR="00E504F6" w:rsidRPr="00C9068C" w:rsidRDefault="006455D9" w:rsidP="00E504F6">
      <w:pPr>
        <w:numPr>
          <w:ilvl w:val="12"/>
          <w:numId w:val="0"/>
        </w:numPr>
        <w:tabs>
          <w:tab w:val="clear" w:pos="567"/>
        </w:tabs>
        <w:spacing w:line="240" w:lineRule="auto"/>
        <w:rPr>
          <w:szCs w:val="22"/>
        </w:rPr>
      </w:pPr>
      <w:r w:rsidRPr="00C9068C">
        <w:t>Pokud jste těhotná nebo kojíte, domníváte se, že můžete být těhotná, nebo plánujete otěhotnět, poraďte se se svým lékařem dří</w:t>
      </w:r>
      <w:r w:rsidRPr="00C9068C">
        <w:t xml:space="preserve">ve, než začnete tento přípravek užívat. </w:t>
      </w:r>
    </w:p>
    <w:p w14:paraId="4FC030C3" w14:textId="77777777" w:rsidR="00E504F6" w:rsidRPr="00C9068C" w:rsidRDefault="00E504F6" w:rsidP="00E504F6">
      <w:pPr>
        <w:numPr>
          <w:ilvl w:val="12"/>
          <w:numId w:val="0"/>
        </w:numPr>
        <w:tabs>
          <w:tab w:val="clear" w:pos="567"/>
        </w:tabs>
        <w:spacing w:line="240" w:lineRule="auto"/>
        <w:rPr>
          <w:szCs w:val="22"/>
        </w:rPr>
      </w:pPr>
    </w:p>
    <w:p w14:paraId="4FC030C4" w14:textId="77777777" w:rsidR="00E504F6" w:rsidRPr="00C9068C" w:rsidRDefault="006455D9" w:rsidP="00E504F6">
      <w:pPr>
        <w:numPr>
          <w:ilvl w:val="12"/>
          <w:numId w:val="0"/>
        </w:numPr>
        <w:tabs>
          <w:tab w:val="clear" w:pos="567"/>
        </w:tabs>
        <w:spacing w:line="240" w:lineRule="auto"/>
        <w:rPr>
          <w:szCs w:val="22"/>
        </w:rPr>
      </w:pPr>
      <w:r w:rsidRPr="00C9068C">
        <w:t>Během těhotenství je velmi důležité pokračovat v léčbě snižující hladinu mědi. Je třeba, abyste se svým lékařem podrobně probrala možný přínos léčby se zohledněním všech možných rizik, která se mohou vyskytnout. Lé</w:t>
      </w:r>
      <w:r w:rsidRPr="00C9068C">
        <w:t>kař Vám poradí, jaká léčba a jaká dávka je ve Vaší situaci nejlepší.</w:t>
      </w:r>
    </w:p>
    <w:p w14:paraId="4FC030C5" w14:textId="77777777" w:rsidR="00E504F6" w:rsidRPr="00C9068C" w:rsidRDefault="00E504F6" w:rsidP="00E504F6">
      <w:pPr>
        <w:numPr>
          <w:ilvl w:val="12"/>
          <w:numId w:val="0"/>
        </w:numPr>
        <w:tabs>
          <w:tab w:val="clear" w:pos="567"/>
        </w:tabs>
        <w:spacing w:line="240" w:lineRule="auto"/>
        <w:rPr>
          <w:szCs w:val="22"/>
        </w:rPr>
      </w:pPr>
    </w:p>
    <w:p w14:paraId="4FC030C6" w14:textId="77777777" w:rsidR="00E504F6" w:rsidRPr="00C9068C" w:rsidRDefault="006455D9" w:rsidP="00E504F6">
      <w:pPr>
        <w:rPr>
          <w:szCs w:val="22"/>
        </w:rPr>
      </w:pPr>
      <w:r w:rsidRPr="00C9068C">
        <w:t>Pokud jste těhotná a užíváte přípravek Cuprior, budou u Vás po celou dobu těhotenství sledovány všechny účinky na dítě nebo změny hladiny mědi. Až se Vám dítě narodí, bude sledována také</w:t>
      </w:r>
      <w:r w:rsidRPr="00C9068C">
        <w:t xml:space="preserve"> hladina mědi v krvi dítěte. </w:t>
      </w:r>
    </w:p>
    <w:p w14:paraId="4FC030C7" w14:textId="77777777" w:rsidR="00E504F6" w:rsidRPr="00C9068C" w:rsidRDefault="00E504F6" w:rsidP="00E504F6">
      <w:pPr>
        <w:rPr>
          <w:szCs w:val="22"/>
        </w:rPr>
      </w:pPr>
    </w:p>
    <w:p w14:paraId="4FC030C8" w14:textId="77777777" w:rsidR="00E504F6" w:rsidRPr="00C9068C" w:rsidRDefault="006455D9" w:rsidP="00E504F6">
      <w:pPr>
        <w:rPr>
          <w:szCs w:val="22"/>
        </w:rPr>
      </w:pPr>
      <w:r w:rsidRPr="00C9068C">
        <w:t>Není známo, zda se přípravek Cuprior vylučuje do mateřského mléka. Je důležité, abyste lékaři informovala, pokud kojíte nebo plánujete kojit. Lékař Vám poté pomůže se rozhodnout, zda přestat kojit nebo zda přestat užívat příp</w:t>
      </w:r>
      <w:r w:rsidRPr="00C9068C">
        <w:t>ravek Cuprior, a to poté, co zváží prospěšnost kojení pro dítě a prospěšnost přípravku Cuprior pro matku. Lékař rozhodne, jaká léčba a jaká dávka je ve Vaší situaci nejlepší.</w:t>
      </w:r>
    </w:p>
    <w:p w14:paraId="4FC030C9" w14:textId="77777777" w:rsidR="00E504F6" w:rsidRPr="00C9068C" w:rsidRDefault="00E504F6" w:rsidP="00E504F6">
      <w:pPr>
        <w:numPr>
          <w:ilvl w:val="12"/>
          <w:numId w:val="0"/>
        </w:numPr>
        <w:tabs>
          <w:tab w:val="clear" w:pos="567"/>
        </w:tabs>
        <w:spacing w:line="240" w:lineRule="auto"/>
        <w:rPr>
          <w:szCs w:val="22"/>
        </w:rPr>
      </w:pPr>
    </w:p>
    <w:p w14:paraId="4FC030CA" w14:textId="77777777" w:rsidR="00E504F6" w:rsidRPr="00C9068C" w:rsidRDefault="006455D9" w:rsidP="00E504F6">
      <w:pPr>
        <w:numPr>
          <w:ilvl w:val="12"/>
          <w:numId w:val="0"/>
        </w:numPr>
        <w:tabs>
          <w:tab w:val="clear" w:pos="567"/>
        </w:tabs>
        <w:spacing w:line="240" w:lineRule="auto"/>
        <w:rPr>
          <w:b/>
          <w:szCs w:val="22"/>
        </w:rPr>
      </w:pPr>
      <w:r w:rsidRPr="00C9068C">
        <w:rPr>
          <w:b/>
        </w:rPr>
        <w:t>Řízení dopravních prostředků a obsluha strojů</w:t>
      </w:r>
    </w:p>
    <w:p w14:paraId="4FC030CB" w14:textId="77777777" w:rsidR="00E504F6" w:rsidRPr="00C9068C" w:rsidRDefault="006455D9" w:rsidP="00E504F6">
      <w:pPr>
        <w:numPr>
          <w:ilvl w:val="12"/>
          <w:numId w:val="0"/>
        </w:numPr>
        <w:tabs>
          <w:tab w:val="clear" w:pos="567"/>
        </w:tabs>
        <w:spacing w:line="240" w:lineRule="auto"/>
        <w:ind w:right="-2"/>
        <w:rPr>
          <w:szCs w:val="22"/>
        </w:rPr>
      </w:pPr>
      <w:r w:rsidRPr="00C9068C">
        <w:t>Neočekává se, že by přípravek Cupr</w:t>
      </w:r>
      <w:r w:rsidRPr="00C9068C">
        <w:t>ior ovlivnil schopnost řídit auto nebo používat nástroje či stroje.</w:t>
      </w:r>
    </w:p>
    <w:p w14:paraId="4FC030CC" w14:textId="77777777" w:rsidR="00E504F6" w:rsidRPr="00C9068C" w:rsidRDefault="00E504F6" w:rsidP="00E504F6">
      <w:pPr>
        <w:numPr>
          <w:ilvl w:val="12"/>
          <w:numId w:val="0"/>
        </w:numPr>
        <w:tabs>
          <w:tab w:val="clear" w:pos="567"/>
        </w:tabs>
        <w:spacing w:line="240" w:lineRule="auto"/>
        <w:ind w:right="-2"/>
        <w:rPr>
          <w:szCs w:val="22"/>
        </w:rPr>
      </w:pPr>
    </w:p>
    <w:p w14:paraId="4FC030CD" w14:textId="77777777" w:rsidR="00E504F6" w:rsidRPr="00C9068C" w:rsidRDefault="00E504F6" w:rsidP="00E504F6">
      <w:pPr>
        <w:numPr>
          <w:ilvl w:val="12"/>
          <w:numId w:val="0"/>
        </w:numPr>
        <w:tabs>
          <w:tab w:val="clear" w:pos="567"/>
        </w:tabs>
        <w:spacing w:line="240" w:lineRule="auto"/>
        <w:ind w:right="-2"/>
        <w:rPr>
          <w:szCs w:val="22"/>
        </w:rPr>
      </w:pPr>
    </w:p>
    <w:p w14:paraId="4FC030CE" w14:textId="77777777" w:rsidR="00E504F6" w:rsidRPr="00C9068C" w:rsidRDefault="006455D9" w:rsidP="00E504F6">
      <w:pPr>
        <w:pStyle w:val="ListParagraph"/>
        <w:numPr>
          <w:ilvl w:val="0"/>
          <w:numId w:val="33"/>
        </w:numPr>
        <w:tabs>
          <w:tab w:val="clear" w:pos="567"/>
        </w:tabs>
        <w:spacing w:line="240" w:lineRule="auto"/>
        <w:ind w:left="720"/>
        <w:outlineLvl w:val="0"/>
        <w:rPr>
          <w:b/>
          <w:szCs w:val="22"/>
        </w:rPr>
      </w:pPr>
      <w:r w:rsidRPr="00C9068C">
        <w:rPr>
          <w:b/>
        </w:rPr>
        <w:t>Jak se přípravek Cuprior užívá</w:t>
      </w:r>
    </w:p>
    <w:p w14:paraId="4FC030CF" w14:textId="77777777" w:rsidR="00E504F6" w:rsidRPr="00C9068C" w:rsidRDefault="00E504F6" w:rsidP="00E504F6">
      <w:pPr>
        <w:numPr>
          <w:ilvl w:val="12"/>
          <w:numId w:val="0"/>
        </w:numPr>
        <w:tabs>
          <w:tab w:val="clear" w:pos="567"/>
        </w:tabs>
        <w:spacing w:line="240" w:lineRule="auto"/>
        <w:ind w:right="-2"/>
        <w:rPr>
          <w:szCs w:val="22"/>
        </w:rPr>
      </w:pPr>
    </w:p>
    <w:p w14:paraId="4FC030D0" w14:textId="77777777" w:rsidR="00E504F6" w:rsidRPr="00C9068C" w:rsidRDefault="006455D9" w:rsidP="00E504F6">
      <w:pPr>
        <w:numPr>
          <w:ilvl w:val="12"/>
          <w:numId w:val="0"/>
        </w:numPr>
        <w:tabs>
          <w:tab w:val="clear" w:pos="567"/>
        </w:tabs>
        <w:spacing w:line="240" w:lineRule="auto"/>
        <w:ind w:right="-2"/>
        <w:rPr>
          <w:szCs w:val="22"/>
        </w:rPr>
      </w:pPr>
      <w:r w:rsidRPr="00C9068C">
        <w:t xml:space="preserve">Vždy užívejte tento přípravek přesně podle pokynů svého lékaře nebo lékárníka. Pokud si nejste jistý(á), poraďte se se svým lékařem nebo lékárníkem. </w:t>
      </w:r>
    </w:p>
    <w:p w14:paraId="4FC030D1" w14:textId="77777777" w:rsidR="00E504F6" w:rsidRPr="00C9068C" w:rsidRDefault="00E504F6" w:rsidP="00E504F6">
      <w:pPr>
        <w:numPr>
          <w:ilvl w:val="12"/>
          <w:numId w:val="0"/>
        </w:numPr>
        <w:tabs>
          <w:tab w:val="clear" w:pos="567"/>
        </w:tabs>
        <w:spacing w:line="240" w:lineRule="auto"/>
        <w:ind w:right="-2"/>
        <w:rPr>
          <w:szCs w:val="22"/>
        </w:rPr>
      </w:pPr>
    </w:p>
    <w:p w14:paraId="4FC030D2" w14:textId="2B93B63C" w:rsidR="00E504F6" w:rsidRPr="00C9068C" w:rsidRDefault="006455D9" w:rsidP="00E504F6">
      <w:pPr>
        <w:numPr>
          <w:ilvl w:val="12"/>
          <w:numId w:val="0"/>
        </w:numPr>
        <w:tabs>
          <w:tab w:val="clear" w:pos="567"/>
        </w:tabs>
        <w:spacing w:line="240" w:lineRule="auto"/>
        <w:ind w:right="-2"/>
        <w:rPr>
          <w:szCs w:val="22"/>
        </w:rPr>
      </w:pPr>
      <w:r w:rsidRPr="00C9068C">
        <w:t>U dospělých jakéhokoliv věku je doporučená denní dávka přípravku 3 až 6</w:t>
      </w:r>
      <w:r w:rsidRPr="00C9068C">
        <w:rPr>
          <w:b/>
        </w:rPr>
        <w:t>½</w:t>
      </w:r>
      <w:r w:rsidRPr="00C9068C">
        <w:t xml:space="preserve"> tablety denně (což celkem činí 4</w:t>
      </w:r>
      <w:r w:rsidRPr="00C9068C">
        <w:t>50 až 975 mg). Tato celková denní dávka se rozdělí na 2 až 4 menší dávky, které užijete během dne. Lékař Vám sdělí, kolik tablet máte brát a kolikrát denně. Tablety lze v případě potřeby rozpůlit.</w:t>
      </w:r>
    </w:p>
    <w:p w14:paraId="4FC030D3" w14:textId="77777777" w:rsidR="00E504F6" w:rsidRPr="00C9068C" w:rsidRDefault="00E504F6" w:rsidP="00E504F6">
      <w:pPr>
        <w:rPr>
          <w:szCs w:val="22"/>
        </w:rPr>
      </w:pPr>
    </w:p>
    <w:p w14:paraId="4FC030D4" w14:textId="77777777" w:rsidR="00E504F6" w:rsidRPr="00C9068C" w:rsidRDefault="006455D9" w:rsidP="00E504F6">
      <w:pPr>
        <w:keepNext/>
        <w:autoSpaceDE w:val="0"/>
        <w:autoSpaceDN w:val="0"/>
        <w:adjustRightInd w:val="0"/>
        <w:spacing w:line="240" w:lineRule="auto"/>
        <w:rPr>
          <w:b/>
          <w:bCs/>
          <w:szCs w:val="22"/>
        </w:rPr>
      </w:pPr>
      <w:r w:rsidRPr="00C9068C">
        <w:rPr>
          <w:b/>
        </w:rPr>
        <w:t>Použití u dětí a dospívajících</w:t>
      </w:r>
    </w:p>
    <w:p w14:paraId="4FC030D5" w14:textId="77777777" w:rsidR="00E504F6" w:rsidRPr="00C9068C" w:rsidRDefault="006455D9" w:rsidP="00E504F6">
      <w:pPr>
        <w:rPr>
          <w:szCs w:val="22"/>
        </w:rPr>
      </w:pPr>
      <w:r w:rsidRPr="00C9068C">
        <w:t xml:space="preserve">Dávka, jakou budete užívat, je obvykle nižší než u dospělých a závisí na Vašem věku a tělesné hmotnosti. </w:t>
      </w:r>
    </w:p>
    <w:p w14:paraId="4FC030D6" w14:textId="3C621664" w:rsidR="00E504F6" w:rsidRPr="00C9068C" w:rsidRDefault="006455D9" w:rsidP="00E504F6">
      <w:pPr>
        <w:numPr>
          <w:ilvl w:val="12"/>
          <w:numId w:val="0"/>
        </w:numPr>
        <w:tabs>
          <w:tab w:val="clear" w:pos="567"/>
        </w:tabs>
        <w:spacing w:line="240" w:lineRule="auto"/>
        <w:ind w:right="-2"/>
        <w:rPr>
          <w:szCs w:val="22"/>
        </w:rPr>
      </w:pPr>
      <w:r w:rsidRPr="00C9068C">
        <w:t>Obvyklá celková denní dávka je 225 až 600 mg (1</w:t>
      </w:r>
      <w:r w:rsidRPr="00C9068C">
        <w:rPr>
          <w:b/>
        </w:rPr>
        <w:t>½</w:t>
      </w:r>
      <w:r w:rsidRPr="00C9068C">
        <w:t xml:space="preserve"> až 4 tablety denně) a rozdělí se do 2 až 4 menších dávek, které užijete během dne. Lékař Vám sdělí, k</w:t>
      </w:r>
      <w:r w:rsidRPr="00C9068C">
        <w:t>olik tablet máte brát a kolikrát denně.</w:t>
      </w:r>
    </w:p>
    <w:p w14:paraId="4FC030D7" w14:textId="77777777" w:rsidR="00E504F6" w:rsidRPr="00C9068C" w:rsidRDefault="00E504F6" w:rsidP="00E504F6">
      <w:pPr>
        <w:numPr>
          <w:ilvl w:val="12"/>
          <w:numId w:val="0"/>
        </w:numPr>
        <w:tabs>
          <w:tab w:val="clear" w:pos="567"/>
        </w:tabs>
        <w:spacing w:line="240" w:lineRule="auto"/>
        <w:ind w:right="-2"/>
        <w:rPr>
          <w:szCs w:val="22"/>
        </w:rPr>
      </w:pPr>
    </w:p>
    <w:p w14:paraId="4FC030D8" w14:textId="77777777" w:rsidR="00E504F6" w:rsidRPr="00C9068C" w:rsidRDefault="006455D9" w:rsidP="00E504F6">
      <w:pPr>
        <w:rPr>
          <w:szCs w:val="22"/>
        </w:rPr>
      </w:pPr>
      <w:r w:rsidRPr="00C9068C">
        <w:t>Jakmile začnete s léčbou, lékař Vám může upravit dávku podle odpovědi na léčbu.</w:t>
      </w:r>
    </w:p>
    <w:p w14:paraId="4FC030D9" w14:textId="77777777" w:rsidR="00E504F6" w:rsidRPr="00C9068C" w:rsidRDefault="00E504F6" w:rsidP="00E504F6">
      <w:pPr>
        <w:rPr>
          <w:szCs w:val="22"/>
        </w:rPr>
      </w:pPr>
    </w:p>
    <w:p w14:paraId="4FC030DA" w14:textId="1A01C7E2" w:rsidR="00E504F6" w:rsidRPr="00C9068C" w:rsidRDefault="006455D9" w:rsidP="00E504F6">
      <w:pPr>
        <w:rPr>
          <w:szCs w:val="22"/>
        </w:rPr>
      </w:pPr>
      <w:r w:rsidRPr="00C9068C">
        <w:t>Tablety zapijte vodou na lačný žaludek, nejméně jednu hodinu před jídlem nebo dvě hodiny po jídle a nejméně jednu hodinu od podání jak</w:t>
      </w:r>
      <w:r w:rsidRPr="00C9068C">
        <w:t>éhokoli jiného léčivého přípravku, jídla nebo mléka.</w:t>
      </w:r>
    </w:p>
    <w:p w14:paraId="4FC030DB" w14:textId="77777777" w:rsidR="00E504F6" w:rsidRPr="00C9068C" w:rsidRDefault="00E504F6" w:rsidP="00E504F6">
      <w:pPr>
        <w:rPr>
          <w:szCs w:val="22"/>
        </w:rPr>
      </w:pPr>
    </w:p>
    <w:p w14:paraId="4FC030DC" w14:textId="77777777" w:rsidR="00E504F6" w:rsidRPr="00C9068C" w:rsidRDefault="006455D9" w:rsidP="00E504F6">
      <w:pPr>
        <w:rPr>
          <w:szCs w:val="22"/>
        </w:rPr>
      </w:pPr>
      <w:r w:rsidRPr="00C9068C">
        <w:t>Pokud užíváte doplňky stravy obsahující železo, užijte je nejméně dvě hodiny poté, co si vezmete dávku přípravku Cuprior.</w:t>
      </w:r>
    </w:p>
    <w:p w14:paraId="4FC030DD" w14:textId="77777777" w:rsidR="00E504F6" w:rsidRPr="00C9068C" w:rsidRDefault="00E504F6" w:rsidP="00E504F6">
      <w:pPr>
        <w:numPr>
          <w:ilvl w:val="12"/>
          <w:numId w:val="0"/>
        </w:numPr>
        <w:tabs>
          <w:tab w:val="clear" w:pos="567"/>
        </w:tabs>
        <w:spacing w:line="240" w:lineRule="auto"/>
        <w:ind w:right="-2"/>
        <w:rPr>
          <w:szCs w:val="22"/>
        </w:rPr>
      </w:pPr>
    </w:p>
    <w:p w14:paraId="4FC030DE" w14:textId="77777777" w:rsidR="00E504F6" w:rsidRPr="00C9068C" w:rsidRDefault="006455D9" w:rsidP="00E504F6">
      <w:pPr>
        <w:rPr>
          <w:b/>
          <w:szCs w:val="22"/>
        </w:rPr>
      </w:pPr>
      <w:r w:rsidRPr="00C9068C">
        <w:rPr>
          <w:b/>
        </w:rPr>
        <w:t>Jestliže jste užil(a) více přípravku Cuprior, než jste měl(a)</w:t>
      </w:r>
    </w:p>
    <w:p w14:paraId="4FC030DF" w14:textId="77777777" w:rsidR="00E504F6" w:rsidRPr="00C9068C" w:rsidRDefault="006455D9" w:rsidP="00E504F6">
      <w:pPr>
        <w:rPr>
          <w:szCs w:val="22"/>
        </w:rPr>
      </w:pPr>
      <w:r w:rsidRPr="00C9068C">
        <w:t>Užívejte příprave</w:t>
      </w:r>
      <w:r w:rsidRPr="00C9068C">
        <w:t>k Cuprior pouze tak, jak Vám byl předepsán. Pokud si myslíte, že jste možná užil(a) více přípravku Cuprior, než jste měl(a), obraťte se na svého lékaře nebo lékárníka.</w:t>
      </w:r>
    </w:p>
    <w:p w14:paraId="4FC030E0" w14:textId="77777777" w:rsidR="00E504F6" w:rsidRPr="00C9068C" w:rsidRDefault="00E504F6" w:rsidP="00E504F6">
      <w:pPr>
        <w:rPr>
          <w:szCs w:val="22"/>
        </w:rPr>
      </w:pPr>
    </w:p>
    <w:p w14:paraId="4FC030E1" w14:textId="77777777" w:rsidR="00E504F6" w:rsidRPr="00C9068C" w:rsidRDefault="006455D9" w:rsidP="00E504F6">
      <w:pPr>
        <w:rPr>
          <w:b/>
          <w:szCs w:val="22"/>
        </w:rPr>
      </w:pPr>
      <w:r w:rsidRPr="00C9068C">
        <w:rPr>
          <w:b/>
        </w:rPr>
        <w:t>Jestliže jste zapomněl(a) užít přípravek Cuprior</w:t>
      </w:r>
    </w:p>
    <w:p w14:paraId="4FC030E2" w14:textId="77777777" w:rsidR="00E504F6" w:rsidRPr="00C9068C" w:rsidRDefault="006455D9" w:rsidP="00E504F6">
      <w:pPr>
        <w:numPr>
          <w:ilvl w:val="12"/>
          <w:numId w:val="0"/>
        </w:numPr>
        <w:tabs>
          <w:tab w:val="clear" w:pos="567"/>
        </w:tabs>
        <w:spacing w:line="240" w:lineRule="auto"/>
        <w:ind w:right="-2"/>
        <w:rPr>
          <w:szCs w:val="22"/>
        </w:rPr>
      </w:pPr>
      <w:r w:rsidRPr="00C9068C">
        <w:t>Nezdvojnásobujte následující dávku, ab</w:t>
      </w:r>
      <w:r w:rsidRPr="00C9068C">
        <w:t>yste nahradil(a) vynechanou dávku. Prostě užijte další dávku v pravidelném naplánovaném čase.</w:t>
      </w:r>
    </w:p>
    <w:p w14:paraId="4FC030E3" w14:textId="77777777" w:rsidR="00E504F6" w:rsidRPr="00C9068C" w:rsidRDefault="00E504F6" w:rsidP="00E504F6">
      <w:pPr>
        <w:numPr>
          <w:ilvl w:val="12"/>
          <w:numId w:val="0"/>
        </w:numPr>
        <w:tabs>
          <w:tab w:val="clear" w:pos="567"/>
        </w:tabs>
        <w:spacing w:line="240" w:lineRule="auto"/>
        <w:ind w:right="-29"/>
        <w:rPr>
          <w:szCs w:val="22"/>
        </w:rPr>
      </w:pPr>
    </w:p>
    <w:p w14:paraId="4FC030E4" w14:textId="77777777" w:rsidR="00E504F6" w:rsidRPr="00C9068C" w:rsidRDefault="006455D9" w:rsidP="00E504F6">
      <w:pPr>
        <w:numPr>
          <w:ilvl w:val="12"/>
          <w:numId w:val="0"/>
        </w:numPr>
        <w:tabs>
          <w:tab w:val="clear" w:pos="567"/>
        </w:tabs>
        <w:spacing w:line="240" w:lineRule="auto"/>
        <w:ind w:right="-2"/>
        <w:rPr>
          <w:szCs w:val="22"/>
        </w:rPr>
      </w:pPr>
      <w:r w:rsidRPr="00C9068C">
        <w:t>Máte-li jakékoli další otázky týkající se užívání tohoto přípravku, zeptejte se svého lékaře nebo lékárníka.</w:t>
      </w:r>
    </w:p>
    <w:p w14:paraId="4FC030E5" w14:textId="77777777" w:rsidR="00E504F6" w:rsidRPr="00C9068C" w:rsidRDefault="00E504F6" w:rsidP="00E504F6">
      <w:pPr>
        <w:numPr>
          <w:ilvl w:val="12"/>
          <w:numId w:val="0"/>
        </w:numPr>
        <w:tabs>
          <w:tab w:val="clear" w:pos="567"/>
        </w:tabs>
        <w:spacing w:line="240" w:lineRule="auto"/>
        <w:ind w:right="-2"/>
        <w:rPr>
          <w:szCs w:val="22"/>
        </w:rPr>
      </w:pPr>
    </w:p>
    <w:p w14:paraId="4FC030E6" w14:textId="77777777" w:rsidR="00E504F6" w:rsidRPr="00C9068C" w:rsidRDefault="006455D9" w:rsidP="00E504F6">
      <w:pPr>
        <w:rPr>
          <w:b/>
          <w:szCs w:val="22"/>
        </w:rPr>
      </w:pPr>
      <w:r w:rsidRPr="00C9068C">
        <w:rPr>
          <w:b/>
        </w:rPr>
        <w:t xml:space="preserve">Jestliže jste přestal(a) užívat přípravek </w:t>
      </w:r>
      <w:r w:rsidRPr="00C9068C">
        <w:rPr>
          <w:b/>
        </w:rPr>
        <w:t>Cuprior</w:t>
      </w:r>
    </w:p>
    <w:p w14:paraId="4FC030E7" w14:textId="77777777" w:rsidR="00E504F6" w:rsidRPr="00C9068C" w:rsidRDefault="006455D9" w:rsidP="00E504F6">
      <w:pPr>
        <w:numPr>
          <w:ilvl w:val="12"/>
          <w:numId w:val="0"/>
        </w:numPr>
        <w:tabs>
          <w:tab w:val="clear" w:pos="567"/>
        </w:tabs>
        <w:spacing w:line="240" w:lineRule="auto"/>
        <w:ind w:right="-29"/>
        <w:rPr>
          <w:szCs w:val="22"/>
        </w:rPr>
      </w:pPr>
      <w:r w:rsidRPr="00C9068C">
        <w:t>Tento léčivý přípravek se užívá dlouhodobě. Nepřestávejte s léčbou bez předchozí porady s lékařem, ani když se cítíte lépe, protože Wilsonova choroba je celoživotní onemocnění.</w:t>
      </w:r>
    </w:p>
    <w:p w14:paraId="4FC030E8" w14:textId="77777777" w:rsidR="00E504F6" w:rsidRPr="00C9068C" w:rsidRDefault="00E504F6" w:rsidP="00E504F6">
      <w:pPr>
        <w:numPr>
          <w:ilvl w:val="12"/>
          <w:numId w:val="0"/>
        </w:numPr>
        <w:tabs>
          <w:tab w:val="clear" w:pos="567"/>
        </w:tabs>
        <w:spacing w:line="240" w:lineRule="auto"/>
        <w:ind w:right="-29"/>
        <w:rPr>
          <w:szCs w:val="22"/>
          <w:highlight w:val="yellow"/>
        </w:rPr>
      </w:pPr>
    </w:p>
    <w:p w14:paraId="4FC030E9" w14:textId="77777777" w:rsidR="00E504F6" w:rsidRPr="00C9068C" w:rsidRDefault="006455D9" w:rsidP="00E504F6">
      <w:pPr>
        <w:numPr>
          <w:ilvl w:val="12"/>
          <w:numId w:val="0"/>
        </w:numPr>
        <w:tabs>
          <w:tab w:val="clear" w:pos="567"/>
        </w:tabs>
        <w:spacing w:line="240" w:lineRule="auto"/>
        <w:ind w:right="-29"/>
        <w:rPr>
          <w:szCs w:val="22"/>
        </w:rPr>
      </w:pPr>
      <w:r w:rsidRPr="00C9068C">
        <w:t>Máte-li jakékoli další otázky týkající se užívání tohoto přípravku, ze</w:t>
      </w:r>
      <w:r w:rsidRPr="00C9068C">
        <w:t>ptejte se svého lékaře nebo lékárníka.</w:t>
      </w:r>
    </w:p>
    <w:p w14:paraId="4FC030EA" w14:textId="77777777" w:rsidR="00E504F6" w:rsidRPr="00C9068C" w:rsidRDefault="00E504F6" w:rsidP="00E504F6">
      <w:pPr>
        <w:numPr>
          <w:ilvl w:val="12"/>
          <w:numId w:val="0"/>
        </w:numPr>
        <w:tabs>
          <w:tab w:val="clear" w:pos="567"/>
        </w:tabs>
        <w:spacing w:line="240" w:lineRule="auto"/>
        <w:rPr>
          <w:szCs w:val="22"/>
        </w:rPr>
      </w:pPr>
    </w:p>
    <w:p w14:paraId="4FC030EB" w14:textId="77777777" w:rsidR="00E504F6" w:rsidRPr="00C9068C" w:rsidRDefault="00E504F6" w:rsidP="00E504F6">
      <w:pPr>
        <w:numPr>
          <w:ilvl w:val="12"/>
          <w:numId w:val="0"/>
        </w:numPr>
        <w:tabs>
          <w:tab w:val="clear" w:pos="567"/>
        </w:tabs>
        <w:spacing w:line="240" w:lineRule="auto"/>
        <w:rPr>
          <w:szCs w:val="22"/>
        </w:rPr>
      </w:pPr>
    </w:p>
    <w:p w14:paraId="4FC030EC" w14:textId="77777777" w:rsidR="00E504F6" w:rsidRPr="00C9068C" w:rsidRDefault="006455D9" w:rsidP="00E504F6">
      <w:pPr>
        <w:pStyle w:val="ListParagraph"/>
        <w:numPr>
          <w:ilvl w:val="0"/>
          <w:numId w:val="33"/>
        </w:numPr>
        <w:tabs>
          <w:tab w:val="clear" w:pos="567"/>
        </w:tabs>
        <w:spacing w:line="240" w:lineRule="auto"/>
        <w:ind w:left="720"/>
        <w:outlineLvl w:val="0"/>
        <w:rPr>
          <w:b/>
          <w:szCs w:val="22"/>
        </w:rPr>
      </w:pPr>
      <w:r w:rsidRPr="00C9068C">
        <w:rPr>
          <w:b/>
        </w:rPr>
        <w:t>Možné nežádoucí účinky</w:t>
      </w:r>
    </w:p>
    <w:p w14:paraId="4FC030ED" w14:textId="77777777" w:rsidR="00E504F6" w:rsidRPr="00C9068C" w:rsidRDefault="00E504F6" w:rsidP="00E504F6">
      <w:pPr>
        <w:numPr>
          <w:ilvl w:val="12"/>
          <w:numId w:val="0"/>
        </w:numPr>
        <w:tabs>
          <w:tab w:val="clear" w:pos="567"/>
        </w:tabs>
        <w:spacing w:line="240" w:lineRule="auto"/>
        <w:rPr>
          <w:szCs w:val="22"/>
        </w:rPr>
      </w:pPr>
    </w:p>
    <w:p w14:paraId="4FC030EE" w14:textId="77777777" w:rsidR="00E504F6" w:rsidRPr="00C9068C" w:rsidRDefault="006455D9" w:rsidP="00E504F6">
      <w:pPr>
        <w:numPr>
          <w:ilvl w:val="12"/>
          <w:numId w:val="0"/>
        </w:numPr>
        <w:tabs>
          <w:tab w:val="clear" w:pos="567"/>
        </w:tabs>
        <w:spacing w:line="240" w:lineRule="auto"/>
        <w:ind w:right="-29"/>
        <w:rPr>
          <w:szCs w:val="22"/>
        </w:rPr>
      </w:pPr>
      <w:r w:rsidRPr="00C9068C">
        <w:t>Podobně jako všechny léky může mít i tento přípravek nežádoucí účinky, které se ale nemusí vyskytnout u každého.</w:t>
      </w:r>
    </w:p>
    <w:p w14:paraId="4FC030EF" w14:textId="77777777" w:rsidR="00E504F6" w:rsidRPr="00C9068C" w:rsidRDefault="00E504F6" w:rsidP="00E504F6">
      <w:pPr>
        <w:numPr>
          <w:ilvl w:val="12"/>
          <w:numId w:val="0"/>
        </w:numPr>
        <w:tabs>
          <w:tab w:val="clear" w:pos="567"/>
        </w:tabs>
        <w:spacing w:line="240" w:lineRule="auto"/>
        <w:ind w:right="-29"/>
        <w:rPr>
          <w:szCs w:val="22"/>
        </w:rPr>
      </w:pPr>
    </w:p>
    <w:p w14:paraId="4FC030F0" w14:textId="77777777" w:rsidR="00E504F6" w:rsidRPr="00C9068C" w:rsidRDefault="006455D9" w:rsidP="00E504F6">
      <w:pPr>
        <w:numPr>
          <w:ilvl w:val="12"/>
          <w:numId w:val="0"/>
        </w:numPr>
        <w:tabs>
          <w:tab w:val="clear" w:pos="567"/>
        </w:tabs>
        <w:spacing w:line="240" w:lineRule="auto"/>
        <w:ind w:right="-29"/>
        <w:rPr>
          <w:szCs w:val="22"/>
        </w:rPr>
      </w:pPr>
      <w:r w:rsidRPr="00C9068C">
        <w:t>Byly hlášeny tyto nežádoucí účinky:</w:t>
      </w:r>
    </w:p>
    <w:p w14:paraId="4FC030F1" w14:textId="77777777" w:rsidR="00E504F6" w:rsidRPr="00C9068C" w:rsidRDefault="00E504F6" w:rsidP="00E504F6">
      <w:pPr>
        <w:numPr>
          <w:ilvl w:val="12"/>
          <w:numId w:val="0"/>
        </w:numPr>
        <w:tabs>
          <w:tab w:val="clear" w:pos="567"/>
        </w:tabs>
        <w:spacing w:line="240" w:lineRule="auto"/>
        <w:ind w:right="-29"/>
        <w:rPr>
          <w:szCs w:val="22"/>
        </w:rPr>
      </w:pPr>
    </w:p>
    <w:p w14:paraId="4FC030F2" w14:textId="77777777" w:rsidR="00E504F6" w:rsidRPr="00C9068C" w:rsidRDefault="006455D9" w:rsidP="00E504F6">
      <w:pPr>
        <w:tabs>
          <w:tab w:val="clear" w:pos="567"/>
        </w:tabs>
        <w:autoSpaceDE w:val="0"/>
        <w:autoSpaceDN w:val="0"/>
        <w:adjustRightInd w:val="0"/>
        <w:spacing w:line="240" w:lineRule="auto"/>
        <w:rPr>
          <w:i/>
          <w:szCs w:val="22"/>
        </w:rPr>
      </w:pPr>
      <w:r w:rsidRPr="00C9068C">
        <w:rPr>
          <w:i/>
        </w:rPr>
        <w:t>Časté (mohou postihovat až 1 osobu z 10)</w:t>
      </w:r>
    </w:p>
    <w:p w14:paraId="4FC030F3" w14:textId="77777777" w:rsidR="00E504F6" w:rsidRPr="00C9068C" w:rsidRDefault="006455D9" w:rsidP="00E504F6">
      <w:pPr>
        <w:numPr>
          <w:ilvl w:val="0"/>
          <w:numId w:val="15"/>
        </w:numPr>
        <w:tabs>
          <w:tab w:val="clear" w:pos="567"/>
        </w:tabs>
        <w:spacing w:line="240" w:lineRule="auto"/>
        <w:ind w:right="-29"/>
        <w:rPr>
          <w:szCs w:val="22"/>
        </w:rPr>
      </w:pPr>
      <w:r w:rsidRPr="00C9068C">
        <w:t xml:space="preserve">pocit na zvracení (nauzea) </w:t>
      </w:r>
    </w:p>
    <w:p w14:paraId="4FC030F4" w14:textId="77777777" w:rsidR="00E504F6" w:rsidRPr="00C9068C" w:rsidRDefault="00E504F6" w:rsidP="00E504F6">
      <w:pPr>
        <w:tabs>
          <w:tab w:val="clear" w:pos="567"/>
        </w:tabs>
        <w:autoSpaceDE w:val="0"/>
        <w:autoSpaceDN w:val="0"/>
        <w:adjustRightInd w:val="0"/>
        <w:spacing w:line="240" w:lineRule="auto"/>
        <w:rPr>
          <w:i/>
          <w:szCs w:val="22"/>
        </w:rPr>
      </w:pPr>
    </w:p>
    <w:p w14:paraId="4FC030F5" w14:textId="77777777" w:rsidR="00E504F6" w:rsidRPr="00C9068C" w:rsidRDefault="006455D9" w:rsidP="00E504F6">
      <w:pPr>
        <w:keepNext/>
        <w:tabs>
          <w:tab w:val="clear" w:pos="567"/>
        </w:tabs>
        <w:autoSpaceDE w:val="0"/>
        <w:autoSpaceDN w:val="0"/>
        <w:adjustRightInd w:val="0"/>
        <w:spacing w:line="240" w:lineRule="auto"/>
        <w:rPr>
          <w:i/>
          <w:szCs w:val="22"/>
        </w:rPr>
      </w:pPr>
      <w:r w:rsidRPr="00C9068C">
        <w:rPr>
          <w:i/>
        </w:rPr>
        <w:lastRenderedPageBreak/>
        <w:t>Méně časté (mohou postihovat až 1 osobu ze 100):</w:t>
      </w:r>
    </w:p>
    <w:p w14:paraId="4FC030F6" w14:textId="77777777" w:rsidR="00E504F6" w:rsidRPr="00C9068C" w:rsidRDefault="006455D9" w:rsidP="00E504F6">
      <w:pPr>
        <w:keepNext/>
        <w:numPr>
          <w:ilvl w:val="0"/>
          <w:numId w:val="15"/>
        </w:numPr>
        <w:tabs>
          <w:tab w:val="clear" w:pos="567"/>
        </w:tabs>
        <w:spacing w:line="240" w:lineRule="auto"/>
        <w:ind w:right="-29"/>
        <w:rPr>
          <w:szCs w:val="22"/>
        </w:rPr>
      </w:pPr>
      <w:r w:rsidRPr="00C9068C">
        <w:t>kožní vyrážky</w:t>
      </w:r>
    </w:p>
    <w:p w14:paraId="4FC030F7" w14:textId="5774FC5C" w:rsidR="00E504F6" w:rsidRPr="00DF56B4" w:rsidRDefault="006455D9" w:rsidP="00E504F6">
      <w:pPr>
        <w:keepNext/>
        <w:numPr>
          <w:ilvl w:val="0"/>
          <w:numId w:val="15"/>
        </w:numPr>
        <w:tabs>
          <w:tab w:val="clear" w:pos="567"/>
        </w:tabs>
        <w:spacing w:line="240" w:lineRule="auto"/>
        <w:ind w:right="-29"/>
        <w:rPr>
          <w:szCs w:val="22"/>
        </w:rPr>
      </w:pPr>
      <w:r w:rsidRPr="00C9068C">
        <w:t>svědění</w:t>
      </w:r>
    </w:p>
    <w:p w14:paraId="3E0231CF" w14:textId="67BE280A" w:rsidR="00DF56B4" w:rsidRPr="00C9068C" w:rsidRDefault="006455D9" w:rsidP="00E504F6">
      <w:pPr>
        <w:keepNext/>
        <w:numPr>
          <w:ilvl w:val="0"/>
          <w:numId w:val="15"/>
        </w:numPr>
        <w:tabs>
          <w:tab w:val="clear" w:pos="567"/>
        </w:tabs>
        <w:spacing w:line="240" w:lineRule="auto"/>
        <w:ind w:right="-29"/>
        <w:rPr>
          <w:szCs w:val="22"/>
        </w:rPr>
      </w:pPr>
      <w:r w:rsidRPr="00DF56B4">
        <w:rPr>
          <w:szCs w:val="22"/>
        </w:rPr>
        <w:t>anémie</w:t>
      </w:r>
    </w:p>
    <w:p w14:paraId="4FC030F8" w14:textId="77777777" w:rsidR="00E504F6" w:rsidRPr="00C9068C" w:rsidRDefault="00E504F6" w:rsidP="00E504F6">
      <w:pPr>
        <w:keepNext/>
        <w:tabs>
          <w:tab w:val="clear" w:pos="567"/>
        </w:tabs>
        <w:spacing w:line="240" w:lineRule="auto"/>
        <w:ind w:left="360" w:right="-29"/>
        <w:rPr>
          <w:szCs w:val="22"/>
        </w:rPr>
      </w:pPr>
    </w:p>
    <w:p w14:paraId="4FC030F9" w14:textId="77777777" w:rsidR="00E504F6" w:rsidRPr="00C9068C" w:rsidRDefault="006455D9" w:rsidP="00E504F6">
      <w:pPr>
        <w:keepNext/>
        <w:tabs>
          <w:tab w:val="clear" w:pos="567"/>
        </w:tabs>
        <w:spacing w:line="240" w:lineRule="auto"/>
        <w:ind w:right="-29"/>
        <w:rPr>
          <w:i/>
          <w:szCs w:val="22"/>
        </w:rPr>
      </w:pPr>
      <w:r w:rsidRPr="00C9068C">
        <w:rPr>
          <w:i/>
        </w:rPr>
        <w:t>Není známo (frekvenci z dostupných údajů nelze určit)</w:t>
      </w:r>
    </w:p>
    <w:p w14:paraId="4FC030FA" w14:textId="77777777" w:rsidR="00E504F6" w:rsidRPr="00C9068C" w:rsidRDefault="006455D9" w:rsidP="00E504F6">
      <w:pPr>
        <w:keepNext/>
        <w:numPr>
          <w:ilvl w:val="0"/>
          <w:numId w:val="15"/>
        </w:numPr>
        <w:tabs>
          <w:tab w:val="clear" w:pos="567"/>
        </w:tabs>
        <w:spacing w:line="240" w:lineRule="auto"/>
        <w:ind w:right="-29"/>
        <w:rPr>
          <w:szCs w:val="22"/>
        </w:rPr>
      </w:pPr>
      <w:r w:rsidRPr="00C9068C">
        <w:t xml:space="preserve">podráždění žaludku a nepříjemný pocit v žaludku, včetně silné bolesti žaludku (duodenitida) </w:t>
      </w:r>
    </w:p>
    <w:p w14:paraId="4FC030FB" w14:textId="77777777" w:rsidR="00E504F6" w:rsidRPr="00C9068C" w:rsidRDefault="006455D9" w:rsidP="00E504F6">
      <w:pPr>
        <w:numPr>
          <w:ilvl w:val="0"/>
          <w:numId w:val="15"/>
        </w:numPr>
        <w:tabs>
          <w:tab w:val="clear" w:pos="567"/>
        </w:tabs>
        <w:spacing w:line="240" w:lineRule="auto"/>
        <w:ind w:right="-29"/>
        <w:rPr>
          <w:szCs w:val="22"/>
        </w:rPr>
      </w:pPr>
      <w:r w:rsidRPr="00C9068C">
        <w:t>zánět střev, který může vést např. k bolesti břicha, opakovaným průjmům a přítomnosti krve ve stolici (kolitida)</w:t>
      </w:r>
    </w:p>
    <w:p w14:paraId="4FC030FC" w14:textId="0049A597" w:rsidR="00E504F6" w:rsidRPr="00C9068C" w:rsidRDefault="006455D9" w:rsidP="00E504F6">
      <w:pPr>
        <w:numPr>
          <w:ilvl w:val="0"/>
          <w:numId w:val="15"/>
        </w:numPr>
        <w:tabs>
          <w:tab w:val="clear" w:pos="567"/>
        </w:tabs>
        <w:spacing w:line="240" w:lineRule="auto"/>
        <w:ind w:right="-29"/>
        <w:rPr>
          <w:szCs w:val="22"/>
        </w:rPr>
      </w:pPr>
      <w:r w:rsidRPr="00C9068C">
        <w:t>snížení počtu červených krvinek z důvodu nízké hla</w:t>
      </w:r>
      <w:r w:rsidRPr="00C9068C">
        <w:t xml:space="preserve">diny železa v krvi (nedostatku železa) </w:t>
      </w:r>
    </w:p>
    <w:p w14:paraId="4FC030FD" w14:textId="77777777" w:rsidR="00E504F6" w:rsidRPr="00C9068C" w:rsidRDefault="006455D9" w:rsidP="00E504F6">
      <w:pPr>
        <w:numPr>
          <w:ilvl w:val="0"/>
          <w:numId w:val="15"/>
        </w:numPr>
        <w:tabs>
          <w:tab w:val="clear" w:pos="567"/>
        </w:tabs>
        <w:spacing w:line="240" w:lineRule="auto"/>
        <w:ind w:right="-29"/>
        <w:rPr>
          <w:szCs w:val="22"/>
        </w:rPr>
      </w:pPr>
      <w:r w:rsidRPr="00C9068C">
        <w:t>kopřivka.</w:t>
      </w:r>
    </w:p>
    <w:p w14:paraId="4FC030FE" w14:textId="77777777" w:rsidR="00E504F6" w:rsidRPr="00C9068C" w:rsidRDefault="00E504F6" w:rsidP="00E504F6">
      <w:pPr>
        <w:numPr>
          <w:ilvl w:val="12"/>
          <w:numId w:val="0"/>
        </w:numPr>
        <w:tabs>
          <w:tab w:val="clear" w:pos="567"/>
        </w:tabs>
        <w:spacing w:line="240" w:lineRule="auto"/>
        <w:ind w:right="-2"/>
        <w:rPr>
          <w:b/>
          <w:szCs w:val="22"/>
        </w:rPr>
      </w:pPr>
    </w:p>
    <w:p w14:paraId="4FC030FF" w14:textId="77777777" w:rsidR="00E504F6" w:rsidRPr="00C9068C" w:rsidRDefault="006455D9" w:rsidP="00E504F6">
      <w:pPr>
        <w:rPr>
          <w:b/>
          <w:szCs w:val="22"/>
        </w:rPr>
      </w:pPr>
      <w:r w:rsidRPr="00C9068C">
        <w:rPr>
          <w:b/>
        </w:rPr>
        <w:t>Hlášení nežádoucích účinků</w:t>
      </w:r>
    </w:p>
    <w:p w14:paraId="4FC03100" w14:textId="77777777" w:rsidR="00E504F6" w:rsidRPr="00C9068C" w:rsidRDefault="006455D9" w:rsidP="00E504F6">
      <w:pPr>
        <w:pStyle w:val="BodytextAgency"/>
        <w:spacing w:after="0" w:line="240" w:lineRule="auto"/>
        <w:rPr>
          <w:rFonts w:ascii="Times New Roman" w:hAnsi="Times New Roman" w:cs="Times New Roman"/>
          <w:sz w:val="22"/>
          <w:szCs w:val="22"/>
        </w:rPr>
      </w:pPr>
      <w:r w:rsidRPr="00C9068C">
        <w:rPr>
          <w:rFonts w:ascii="Times New Roman" w:hAnsi="Times New Roman"/>
          <w:sz w:val="22"/>
        </w:rPr>
        <w:t>Pokud se u Vás vyskytne kterýkoli z nežádoucích účinků, sdělte to svému lékaři nebo lékárníkovi.</w:t>
      </w:r>
      <w:r w:rsidRPr="00C9068C">
        <w:rPr>
          <w:rFonts w:ascii="Times New Roman" w:hAnsi="Times New Roman"/>
          <w:color w:val="FF0000"/>
          <w:sz w:val="22"/>
        </w:rPr>
        <w:t xml:space="preserve"> </w:t>
      </w:r>
      <w:r w:rsidRPr="00C9068C">
        <w:rPr>
          <w:rFonts w:ascii="Times New Roman" w:hAnsi="Times New Roman"/>
          <w:sz w:val="22"/>
        </w:rPr>
        <w:t xml:space="preserve">Stejně postupujte v případě jakýchkoli nežádoucích účinků, které nejsou uvedeny v této příbalové informaci. Nežádoucí účinky můžete hlásit také přímo prostřednictvím </w:t>
      </w:r>
      <w:r w:rsidRPr="00C9068C">
        <w:rPr>
          <w:rFonts w:ascii="Times New Roman" w:hAnsi="Times New Roman"/>
          <w:sz w:val="22"/>
          <w:highlight w:val="lightGray"/>
        </w:rPr>
        <w:t>národního systému hlášení nežádoucích účinků uvedeného v </w:t>
      </w:r>
      <w:hyperlink r:id="rId15" w:history="1">
        <w:r w:rsidRPr="00C9068C">
          <w:rPr>
            <w:rStyle w:val="Hyperlink"/>
            <w:rFonts w:ascii="Times New Roman" w:hAnsi="Times New Roman"/>
            <w:sz w:val="22"/>
            <w:highlight w:val="lightGray"/>
          </w:rPr>
          <w:t>Dodatku V</w:t>
        </w:r>
      </w:hyperlink>
      <w:r w:rsidRPr="00C9068C">
        <w:rPr>
          <w:rFonts w:ascii="Times New Roman" w:hAnsi="Times New Roman"/>
          <w:sz w:val="22"/>
        </w:rPr>
        <w:t>. Nahlášením nežádoucích účinků můžete přispět k získání více informací o bezpečnosti tohoto přípravku.</w:t>
      </w:r>
    </w:p>
    <w:p w14:paraId="4FC03101" w14:textId="77777777" w:rsidR="00E504F6" w:rsidRPr="00C9068C" w:rsidRDefault="00E504F6" w:rsidP="00E504F6">
      <w:pPr>
        <w:autoSpaceDE w:val="0"/>
        <w:autoSpaceDN w:val="0"/>
        <w:adjustRightInd w:val="0"/>
        <w:spacing w:line="240" w:lineRule="auto"/>
        <w:rPr>
          <w:szCs w:val="22"/>
        </w:rPr>
      </w:pPr>
    </w:p>
    <w:p w14:paraId="4FC03102" w14:textId="77777777" w:rsidR="00E504F6" w:rsidRPr="00C9068C" w:rsidRDefault="00E504F6" w:rsidP="00E504F6">
      <w:pPr>
        <w:autoSpaceDE w:val="0"/>
        <w:autoSpaceDN w:val="0"/>
        <w:adjustRightInd w:val="0"/>
        <w:spacing w:line="240" w:lineRule="auto"/>
        <w:rPr>
          <w:szCs w:val="22"/>
        </w:rPr>
      </w:pPr>
    </w:p>
    <w:p w14:paraId="4FC03103" w14:textId="77777777" w:rsidR="00E504F6" w:rsidRPr="00C9068C" w:rsidRDefault="006455D9" w:rsidP="00E504F6">
      <w:pPr>
        <w:pStyle w:val="ListParagraph"/>
        <w:numPr>
          <w:ilvl w:val="0"/>
          <w:numId w:val="33"/>
        </w:numPr>
        <w:tabs>
          <w:tab w:val="clear" w:pos="567"/>
        </w:tabs>
        <w:spacing w:line="240" w:lineRule="auto"/>
        <w:ind w:left="720"/>
        <w:outlineLvl w:val="0"/>
        <w:rPr>
          <w:b/>
          <w:szCs w:val="22"/>
        </w:rPr>
      </w:pPr>
      <w:r w:rsidRPr="00C9068C">
        <w:rPr>
          <w:b/>
        </w:rPr>
        <w:t>Jak přípravek Cuprior uchovávat</w:t>
      </w:r>
    </w:p>
    <w:p w14:paraId="4FC03104" w14:textId="77777777" w:rsidR="00E504F6" w:rsidRPr="00C9068C" w:rsidRDefault="00E504F6" w:rsidP="00E504F6">
      <w:pPr>
        <w:numPr>
          <w:ilvl w:val="12"/>
          <w:numId w:val="0"/>
        </w:numPr>
        <w:tabs>
          <w:tab w:val="clear" w:pos="567"/>
        </w:tabs>
        <w:spacing w:line="240" w:lineRule="auto"/>
        <w:ind w:right="-2"/>
        <w:rPr>
          <w:szCs w:val="22"/>
        </w:rPr>
      </w:pPr>
    </w:p>
    <w:p w14:paraId="4FC03105" w14:textId="77777777" w:rsidR="00E504F6" w:rsidRPr="00C9068C" w:rsidRDefault="006455D9" w:rsidP="00E504F6">
      <w:pPr>
        <w:numPr>
          <w:ilvl w:val="12"/>
          <w:numId w:val="0"/>
        </w:numPr>
        <w:tabs>
          <w:tab w:val="clear" w:pos="567"/>
        </w:tabs>
        <w:spacing w:line="240" w:lineRule="auto"/>
        <w:ind w:right="-2"/>
        <w:rPr>
          <w:szCs w:val="22"/>
        </w:rPr>
      </w:pPr>
      <w:r w:rsidRPr="00C9068C">
        <w:t>Uchovávejte tento přípravek mim</w:t>
      </w:r>
      <w:r w:rsidRPr="00C9068C">
        <w:t>o dohled a dosah dětí.</w:t>
      </w:r>
    </w:p>
    <w:p w14:paraId="4FC03106" w14:textId="77777777" w:rsidR="00E504F6" w:rsidRPr="00C9068C" w:rsidRDefault="00E504F6" w:rsidP="00E504F6">
      <w:pPr>
        <w:numPr>
          <w:ilvl w:val="12"/>
          <w:numId w:val="0"/>
        </w:numPr>
        <w:tabs>
          <w:tab w:val="clear" w:pos="567"/>
        </w:tabs>
        <w:spacing w:line="240" w:lineRule="auto"/>
        <w:ind w:right="-2"/>
        <w:rPr>
          <w:szCs w:val="22"/>
        </w:rPr>
      </w:pPr>
    </w:p>
    <w:p w14:paraId="4FC03107" w14:textId="77777777" w:rsidR="00E504F6" w:rsidRPr="00C9068C" w:rsidRDefault="006455D9" w:rsidP="00E504F6">
      <w:pPr>
        <w:numPr>
          <w:ilvl w:val="12"/>
          <w:numId w:val="0"/>
        </w:numPr>
        <w:tabs>
          <w:tab w:val="clear" w:pos="567"/>
        </w:tabs>
        <w:spacing w:line="240" w:lineRule="auto"/>
        <w:ind w:right="-2"/>
        <w:rPr>
          <w:szCs w:val="22"/>
        </w:rPr>
      </w:pPr>
      <w:r w:rsidRPr="00C9068C">
        <w:t>Nepoužívejte tento přípravek po uplynutí doby použitelnosti uvedené na krabičce a blistru za zkratkou EXP. Doba použitelnosti se vztahuje k poslednímu dni uvedeného měsíce.</w:t>
      </w:r>
    </w:p>
    <w:p w14:paraId="4FC03108" w14:textId="77777777" w:rsidR="00E504F6" w:rsidRPr="00C9068C" w:rsidRDefault="00E504F6" w:rsidP="00E504F6">
      <w:pPr>
        <w:numPr>
          <w:ilvl w:val="12"/>
          <w:numId w:val="0"/>
        </w:numPr>
        <w:tabs>
          <w:tab w:val="clear" w:pos="567"/>
        </w:tabs>
        <w:spacing w:line="240" w:lineRule="auto"/>
        <w:ind w:right="-2"/>
        <w:rPr>
          <w:szCs w:val="22"/>
        </w:rPr>
      </w:pPr>
    </w:p>
    <w:p w14:paraId="4FC03109" w14:textId="77777777" w:rsidR="00E504F6" w:rsidRPr="00C9068C" w:rsidRDefault="006455D9" w:rsidP="00E504F6">
      <w:pPr>
        <w:numPr>
          <w:ilvl w:val="12"/>
          <w:numId w:val="0"/>
        </w:numPr>
        <w:tabs>
          <w:tab w:val="clear" w:pos="567"/>
        </w:tabs>
        <w:spacing w:line="240" w:lineRule="auto"/>
        <w:ind w:right="-2"/>
        <w:rPr>
          <w:szCs w:val="22"/>
        </w:rPr>
      </w:pPr>
      <w:r w:rsidRPr="00C9068C">
        <w:t>Tento přípravek nevyžaduje žádné zvláštní podmínky uchováv</w:t>
      </w:r>
      <w:r w:rsidRPr="00C9068C">
        <w:t>ání.</w:t>
      </w:r>
    </w:p>
    <w:p w14:paraId="4FC0310A" w14:textId="77777777" w:rsidR="00E504F6" w:rsidRPr="00C9068C" w:rsidRDefault="00E504F6" w:rsidP="00E504F6">
      <w:pPr>
        <w:numPr>
          <w:ilvl w:val="12"/>
          <w:numId w:val="0"/>
        </w:numPr>
        <w:tabs>
          <w:tab w:val="clear" w:pos="567"/>
        </w:tabs>
        <w:spacing w:line="240" w:lineRule="auto"/>
        <w:ind w:right="-2"/>
        <w:rPr>
          <w:szCs w:val="22"/>
        </w:rPr>
      </w:pPr>
    </w:p>
    <w:p w14:paraId="4FC0310B" w14:textId="77777777" w:rsidR="00E504F6" w:rsidRPr="00C9068C" w:rsidRDefault="006455D9" w:rsidP="00E504F6">
      <w:pPr>
        <w:numPr>
          <w:ilvl w:val="12"/>
          <w:numId w:val="0"/>
        </w:numPr>
        <w:tabs>
          <w:tab w:val="clear" w:pos="567"/>
        </w:tabs>
        <w:spacing w:line="240" w:lineRule="auto"/>
        <w:ind w:right="-2"/>
        <w:rPr>
          <w:szCs w:val="22"/>
        </w:rPr>
      </w:pPr>
      <w:r w:rsidRPr="00C9068C">
        <w:t>Nevyhazujte žádné léčivé přípravky do odpadních vod nebo domácího odpadu. Zeptejte se svého lékárníka, jak naložit s přípravky, které již nepoužíváte. Tato opatření pomáhají chránit životní prostředí.</w:t>
      </w:r>
    </w:p>
    <w:p w14:paraId="4FC0310C" w14:textId="77777777" w:rsidR="00E504F6" w:rsidRPr="00C9068C" w:rsidRDefault="00E504F6" w:rsidP="00E504F6">
      <w:pPr>
        <w:numPr>
          <w:ilvl w:val="12"/>
          <w:numId w:val="0"/>
        </w:numPr>
        <w:tabs>
          <w:tab w:val="clear" w:pos="567"/>
        </w:tabs>
        <w:spacing w:line="240" w:lineRule="auto"/>
        <w:ind w:right="-2"/>
        <w:rPr>
          <w:szCs w:val="22"/>
        </w:rPr>
      </w:pPr>
    </w:p>
    <w:p w14:paraId="4FC0310D" w14:textId="77777777" w:rsidR="00E504F6" w:rsidRPr="00C9068C" w:rsidRDefault="00E504F6" w:rsidP="00E504F6">
      <w:pPr>
        <w:numPr>
          <w:ilvl w:val="12"/>
          <w:numId w:val="0"/>
        </w:numPr>
        <w:tabs>
          <w:tab w:val="clear" w:pos="567"/>
        </w:tabs>
        <w:spacing w:line="240" w:lineRule="auto"/>
        <w:ind w:right="-2"/>
        <w:rPr>
          <w:szCs w:val="22"/>
        </w:rPr>
      </w:pPr>
    </w:p>
    <w:p w14:paraId="4FC0310E" w14:textId="77777777" w:rsidR="00E504F6" w:rsidRPr="00C9068C" w:rsidRDefault="006455D9" w:rsidP="00E504F6">
      <w:pPr>
        <w:pStyle w:val="ListParagraph"/>
        <w:numPr>
          <w:ilvl w:val="0"/>
          <w:numId w:val="33"/>
        </w:numPr>
        <w:tabs>
          <w:tab w:val="clear" w:pos="567"/>
        </w:tabs>
        <w:spacing w:line="240" w:lineRule="auto"/>
        <w:ind w:left="720"/>
        <w:outlineLvl w:val="0"/>
        <w:rPr>
          <w:b/>
          <w:szCs w:val="22"/>
        </w:rPr>
      </w:pPr>
      <w:r w:rsidRPr="00C9068C">
        <w:rPr>
          <w:b/>
        </w:rPr>
        <w:t>Obsah balení a další informace</w:t>
      </w:r>
    </w:p>
    <w:p w14:paraId="4FC0310F" w14:textId="77777777" w:rsidR="00E504F6" w:rsidRPr="00C9068C" w:rsidRDefault="00E504F6" w:rsidP="00E504F6">
      <w:pPr>
        <w:numPr>
          <w:ilvl w:val="12"/>
          <w:numId w:val="0"/>
        </w:numPr>
        <w:tabs>
          <w:tab w:val="clear" w:pos="567"/>
        </w:tabs>
        <w:spacing w:line="240" w:lineRule="auto"/>
        <w:rPr>
          <w:szCs w:val="22"/>
        </w:rPr>
      </w:pPr>
    </w:p>
    <w:p w14:paraId="4FC03110" w14:textId="77777777" w:rsidR="00E504F6" w:rsidRPr="00C9068C" w:rsidRDefault="006455D9" w:rsidP="00E504F6">
      <w:pPr>
        <w:numPr>
          <w:ilvl w:val="12"/>
          <w:numId w:val="0"/>
        </w:numPr>
        <w:tabs>
          <w:tab w:val="clear" w:pos="567"/>
        </w:tabs>
        <w:spacing w:line="240" w:lineRule="auto"/>
        <w:ind w:right="-2"/>
        <w:rPr>
          <w:b/>
          <w:szCs w:val="22"/>
        </w:rPr>
      </w:pPr>
      <w:r w:rsidRPr="00C9068C">
        <w:rPr>
          <w:b/>
        </w:rPr>
        <w:t>Co přípravek Cu</w:t>
      </w:r>
      <w:r w:rsidRPr="00C9068C">
        <w:rPr>
          <w:b/>
        </w:rPr>
        <w:t xml:space="preserve">prior obsahuje </w:t>
      </w:r>
    </w:p>
    <w:p w14:paraId="4FC03111" w14:textId="07941829" w:rsidR="00E504F6" w:rsidRPr="00C9068C" w:rsidRDefault="006455D9" w:rsidP="00E504F6">
      <w:pPr>
        <w:numPr>
          <w:ilvl w:val="12"/>
          <w:numId w:val="0"/>
        </w:numPr>
        <w:tabs>
          <w:tab w:val="clear" w:pos="567"/>
        </w:tabs>
        <w:spacing w:line="240" w:lineRule="auto"/>
        <w:ind w:right="-2"/>
        <w:rPr>
          <w:szCs w:val="22"/>
        </w:rPr>
      </w:pPr>
      <w:r w:rsidRPr="00C9068C">
        <w:t xml:space="preserve">Léčivou látkou je trientinum. Jedna </w:t>
      </w:r>
      <w:r w:rsidR="003E6709">
        <w:t xml:space="preserve">potahovaná </w:t>
      </w:r>
      <w:r w:rsidRPr="00C9068C">
        <w:t xml:space="preserve">tableta </w:t>
      </w:r>
      <w:r w:rsidR="00550AE4">
        <w:t>(</w:t>
      </w:r>
      <w:r w:rsidR="00550AE4" w:rsidRPr="00C9068C">
        <w:t>tableta</w:t>
      </w:r>
      <w:r w:rsidR="00550AE4">
        <w:t>)</w:t>
      </w:r>
      <w:r w:rsidR="00550AE4" w:rsidRPr="00C9068C">
        <w:t xml:space="preserve"> </w:t>
      </w:r>
      <w:r w:rsidRPr="00C9068C">
        <w:t xml:space="preserve">obsahuje trientini tetrahydrochloridum, což odpovídá trientinum 150 mg. </w:t>
      </w:r>
    </w:p>
    <w:p w14:paraId="4FC03112" w14:textId="77777777" w:rsidR="003E6709" w:rsidRDefault="006455D9" w:rsidP="00E504F6">
      <w:pPr>
        <w:numPr>
          <w:ilvl w:val="12"/>
          <w:numId w:val="0"/>
        </w:numPr>
        <w:tabs>
          <w:tab w:val="clear" w:pos="567"/>
        </w:tabs>
        <w:spacing w:line="240" w:lineRule="auto"/>
        <w:ind w:right="-2"/>
      </w:pPr>
      <w:r w:rsidRPr="00C9068C">
        <w:t>Dalšími složkami jsou</w:t>
      </w:r>
      <w:r>
        <w:t>:</w:t>
      </w:r>
    </w:p>
    <w:p w14:paraId="4FC03113" w14:textId="77777777" w:rsidR="00E504F6" w:rsidRDefault="006455D9" w:rsidP="00E504F6">
      <w:pPr>
        <w:numPr>
          <w:ilvl w:val="12"/>
          <w:numId w:val="0"/>
        </w:numPr>
        <w:tabs>
          <w:tab w:val="clear" w:pos="567"/>
        </w:tabs>
        <w:spacing w:line="240" w:lineRule="auto"/>
        <w:ind w:right="-2"/>
      </w:pPr>
      <w:r>
        <w:t>Jádro tablety:</w:t>
      </w:r>
      <w:r w:rsidR="00D83D73" w:rsidRPr="00C9068C">
        <w:t xml:space="preserve"> mannitol, koloidní bezvodý oxid křemičitý a glycerol-dibehenát.</w:t>
      </w:r>
    </w:p>
    <w:p w14:paraId="4FC03114" w14:textId="016437B6" w:rsidR="003E6709" w:rsidRPr="000770C8" w:rsidRDefault="006455D9" w:rsidP="003E6709">
      <w:pPr>
        <w:rPr>
          <w:noProof/>
          <w:szCs w:val="22"/>
        </w:rPr>
      </w:pPr>
      <w:r>
        <w:t>Potah tablety: p</w:t>
      </w:r>
      <w:r w:rsidRPr="00940A33">
        <w:rPr>
          <w:noProof/>
          <w:szCs w:val="22"/>
        </w:rPr>
        <w:t>olyvinylal</w:t>
      </w:r>
      <w:r>
        <w:rPr>
          <w:noProof/>
          <w:szCs w:val="22"/>
        </w:rPr>
        <w:t>k</w:t>
      </w:r>
      <w:r w:rsidRPr="00940A33">
        <w:rPr>
          <w:noProof/>
          <w:szCs w:val="22"/>
        </w:rPr>
        <w:t>ohol</w:t>
      </w:r>
      <w:r>
        <w:rPr>
          <w:noProof/>
          <w:szCs w:val="22"/>
        </w:rPr>
        <w:t xml:space="preserve">, </w:t>
      </w:r>
      <w:r w:rsidR="00BD66C5">
        <w:rPr>
          <w:noProof/>
          <w:szCs w:val="22"/>
        </w:rPr>
        <w:t>mast</w:t>
      </w:r>
      <w:r>
        <w:rPr>
          <w:noProof/>
          <w:szCs w:val="22"/>
        </w:rPr>
        <w:t xml:space="preserve">ek, </w:t>
      </w:r>
      <w:r w:rsidR="00CF30F4">
        <w:rPr>
          <w:noProof/>
          <w:szCs w:val="22"/>
        </w:rPr>
        <w:t xml:space="preserve">oxid titaničitý </w:t>
      </w:r>
      <w:r w:rsidRPr="00940A33">
        <w:rPr>
          <w:noProof/>
          <w:szCs w:val="22"/>
        </w:rPr>
        <w:t>(E171)</w:t>
      </w:r>
      <w:r>
        <w:rPr>
          <w:noProof/>
          <w:szCs w:val="22"/>
        </w:rPr>
        <w:t>, g</w:t>
      </w:r>
      <w:r w:rsidRPr="000770C8">
        <w:rPr>
          <w:noProof/>
          <w:szCs w:val="22"/>
        </w:rPr>
        <w:t>lycerol</w:t>
      </w:r>
      <w:r w:rsidR="00BD66C5">
        <w:rPr>
          <w:noProof/>
          <w:szCs w:val="22"/>
        </w:rPr>
        <w:t>-</w:t>
      </w:r>
      <w:r w:rsidR="00BD66C5" w:rsidRPr="00BD66C5">
        <w:rPr>
          <w:noProof/>
          <w:szCs w:val="22"/>
        </w:rPr>
        <w:t>monooktanodekanoát</w:t>
      </w:r>
      <w:r w:rsidR="00BD66C5">
        <w:rPr>
          <w:noProof/>
          <w:szCs w:val="22"/>
        </w:rPr>
        <w:t xml:space="preserve"> </w:t>
      </w:r>
      <w:r w:rsidRPr="000770C8">
        <w:rPr>
          <w:noProof/>
          <w:szCs w:val="22"/>
        </w:rPr>
        <w:t>(</w:t>
      </w:r>
      <w:r w:rsidRPr="00BD66C5">
        <w:rPr>
          <w:noProof/>
          <w:szCs w:val="22"/>
        </w:rPr>
        <w:t xml:space="preserve">typ I), </w:t>
      </w:r>
      <w:r w:rsidR="00BD66C5" w:rsidRPr="00154BEF">
        <w:rPr>
          <w:noProof/>
          <w:szCs w:val="22"/>
        </w:rPr>
        <w:t xml:space="preserve">žlutý </w:t>
      </w:r>
      <w:r w:rsidRPr="00BD66C5">
        <w:rPr>
          <w:noProof/>
          <w:szCs w:val="22"/>
        </w:rPr>
        <w:t>oxid želez</w:t>
      </w:r>
      <w:r w:rsidR="00BD66C5">
        <w:rPr>
          <w:noProof/>
          <w:szCs w:val="22"/>
        </w:rPr>
        <w:t>itý</w:t>
      </w:r>
      <w:r w:rsidRPr="00BD66C5">
        <w:rPr>
          <w:noProof/>
          <w:szCs w:val="22"/>
        </w:rPr>
        <w:t xml:space="preserve"> (E172) a </w:t>
      </w:r>
      <w:r w:rsidR="00BD66C5" w:rsidRPr="00BD66C5">
        <w:rPr>
          <w:noProof/>
          <w:szCs w:val="22"/>
        </w:rPr>
        <w:t>natrium-</w:t>
      </w:r>
      <w:r w:rsidRPr="00BD66C5">
        <w:rPr>
          <w:noProof/>
          <w:szCs w:val="22"/>
        </w:rPr>
        <w:t>lauryl</w:t>
      </w:r>
      <w:r w:rsidR="00BD66C5" w:rsidRPr="00BD66C5">
        <w:rPr>
          <w:noProof/>
          <w:szCs w:val="22"/>
        </w:rPr>
        <w:t>-</w:t>
      </w:r>
      <w:r w:rsidRPr="00BD66C5">
        <w:rPr>
          <w:noProof/>
          <w:szCs w:val="22"/>
        </w:rPr>
        <w:t>sulfát</w:t>
      </w:r>
    </w:p>
    <w:p w14:paraId="4FC03116" w14:textId="77777777" w:rsidR="00E504F6" w:rsidRPr="00C9068C" w:rsidRDefault="00E504F6" w:rsidP="00E504F6">
      <w:pPr>
        <w:numPr>
          <w:ilvl w:val="12"/>
          <w:numId w:val="0"/>
        </w:numPr>
        <w:tabs>
          <w:tab w:val="clear" w:pos="567"/>
        </w:tabs>
        <w:spacing w:line="240" w:lineRule="auto"/>
        <w:ind w:right="-2"/>
        <w:rPr>
          <w:szCs w:val="22"/>
        </w:rPr>
      </w:pPr>
    </w:p>
    <w:p w14:paraId="4FC03117" w14:textId="77777777" w:rsidR="00E504F6" w:rsidRPr="00C9068C" w:rsidRDefault="006455D9" w:rsidP="00E504F6">
      <w:pPr>
        <w:numPr>
          <w:ilvl w:val="12"/>
          <w:numId w:val="0"/>
        </w:numPr>
        <w:tabs>
          <w:tab w:val="clear" w:pos="567"/>
        </w:tabs>
        <w:spacing w:line="240" w:lineRule="auto"/>
        <w:ind w:right="-2"/>
        <w:rPr>
          <w:b/>
          <w:szCs w:val="22"/>
        </w:rPr>
      </w:pPr>
      <w:r w:rsidRPr="00C9068C">
        <w:rPr>
          <w:b/>
        </w:rPr>
        <w:t>Jak přípravek Cuprior vypadá a co obsahuje toto balení</w:t>
      </w:r>
    </w:p>
    <w:p w14:paraId="4FC03118" w14:textId="0EB7A892" w:rsidR="00E504F6" w:rsidRPr="00C9068C" w:rsidRDefault="006455D9" w:rsidP="00E504F6">
      <w:pPr>
        <w:rPr>
          <w:szCs w:val="22"/>
        </w:rPr>
      </w:pPr>
      <w:r>
        <w:t>Žlutá</w:t>
      </w:r>
      <w:r w:rsidR="00D83D73" w:rsidRPr="00C9068C">
        <w:t xml:space="preserve"> podlouhlá</w:t>
      </w:r>
      <w:r>
        <w:t xml:space="preserve"> potahovaná</w:t>
      </w:r>
      <w:r w:rsidR="00D83D73" w:rsidRPr="00C9068C">
        <w:t xml:space="preserve"> tableta velikosti 16 mm x 8 mm s půlicí rýhou na </w:t>
      </w:r>
      <w:r>
        <w:t>každé</w:t>
      </w:r>
      <w:r w:rsidR="00D83D73" w:rsidRPr="00C9068C">
        <w:t xml:space="preserve"> straně. </w:t>
      </w:r>
      <w:r w:rsidR="007C2C35">
        <w:t>Potahovanou t</w:t>
      </w:r>
      <w:r w:rsidR="00D83D73" w:rsidRPr="00C9068C">
        <w:t>abletu lze rozdělit na stejné dávky.</w:t>
      </w:r>
    </w:p>
    <w:p w14:paraId="4FC03119" w14:textId="77777777" w:rsidR="00E504F6" w:rsidRPr="00C9068C" w:rsidRDefault="00E504F6" w:rsidP="00E504F6">
      <w:pPr>
        <w:rPr>
          <w:szCs w:val="22"/>
        </w:rPr>
      </w:pPr>
    </w:p>
    <w:p w14:paraId="4FC0311A" w14:textId="7DF2136E" w:rsidR="00E504F6" w:rsidRDefault="006455D9" w:rsidP="00E504F6">
      <w:pPr>
        <w:numPr>
          <w:ilvl w:val="12"/>
          <w:numId w:val="0"/>
        </w:numPr>
        <w:tabs>
          <w:tab w:val="clear" w:pos="567"/>
        </w:tabs>
        <w:spacing w:line="240" w:lineRule="auto"/>
      </w:pPr>
      <w:r w:rsidRPr="00C9068C">
        <w:t xml:space="preserve">OPA/Al/PVC-Al blistry, z nichž každý obsahuje 8 </w:t>
      </w:r>
      <w:r w:rsidR="003E6709">
        <w:t xml:space="preserve">potahovaných </w:t>
      </w:r>
      <w:r w:rsidRPr="00C9068C">
        <w:t xml:space="preserve">tablet. </w:t>
      </w:r>
      <w:r w:rsidR="00C40E78" w:rsidRPr="00C40E78">
        <w:t xml:space="preserve">Přípravek Cuprior je dostupný v baleních obsahujících </w:t>
      </w:r>
      <w:r w:rsidRPr="00C9068C">
        <w:t xml:space="preserve">72 </w:t>
      </w:r>
      <w:r w:rsidR="00C40E78" w:rsidRPr="00C40E78">
        <w:t xml:space="preserve">nebo 96 potahovaných </w:t>
      </w:r>
      <w:r w:rsidRPr="00C9068C">
        <w:t>tablet.</w:t>
      </w:r>
    </w:p>
    <w:p w14:paraId="490031A3" w14:textId="05ED0F48" w:rsidR="00C40E78" w:rsidRPr="00C9068C" w:rsidRDefault="006455D9" w:rsidP="00E504F6">
      <w:pPr>
        <w:numPr>
          <w:ilvl w:val="12"/>
          <w:numId w:val="0"/>
        </w:numPr>
        <w:tabs>
          <w:tab w:val="clear" w:pos="567"/>
        </w:tabs>
        <w:spacing w:line="240" w:lineRule="auto"/>
        <w:rPr>
          <w:szCs w:val="22"/>
        </w:rPr>
      </w:pPr>
      <w:r w:rsidRPr="00C40E78">
        <w:rPr>
          <w:szCs w:val="22"/>
        </w:rPr>
        <w:t>Na trhu nemusí být všechny velikosti balení.</w:t>
      </w:r>
    </w:p>
    <w:p w14:paraId="4FC0311B" w14:textId="77777777" w:rsidR="00E504F6" w:rsidRPr="00C9068C" w:rsidRDefault="00E504F6" w:rsidP="00E504F6">
      <w:pPr>
        <w:numPr>
          <w:ilvl w:val="12"/>
          <w:numId w:val="0"/>
        </w:numPr>
        <w:tabs>
          <w:tab w:val="clear" w:pos="567"/>
        </w:tabs>
        <w:spacing w:line="240" w:lineRule="auto"/>
        <w:rPr>
          <w:szCs w:val="22"/>
        </w:rPr>
      </w:pPr>
    </w:p>
    <w:p w14:paraId="4FC0311C" w14:textId="77777777" w:rsidR="00E504F6" w:rsidRPr="00C9068C" w:rsidRDefault="006455D9" w:rsidP="00E504F6">
      <w:pPr>
        <w:numPr>
          <w:ilvl w:val="12"/>
          <w:numId w:val="0"/>
        </w:numPr>
        <w:tabs>
          <w:tab w:val="clear" w:pos="567"/>
        </w:tabs>
        <w:spacing w:line="240" w:lineRule="auto"/>
        <w:ind w:right="-2"/>
        <w:rPr>
          <w:b/>
          <w:szCs w:val="22"/>
        </w:rPr>
      </w:pPr>
      <w:r w:rsidRPr="00C9068C">
        <w:rPr>
          <w:b/>
        </w:rPr>
        <w:t xml:space="preserve">Držitel rozhodnutí o registraci </w:t>
      </w:r>
    </w:p>
    <w:p w14:paraId="4FC0311D" w14:textId="56804DA8" w:rsidR="00E504F6" w:rsidRPr="00C9068C" w:rsidRDefault="007609DA" w:rsidP="00E504F6">
      <w:pPr>
        <w:rPr>
          <w:szCs w:val="22"/>
        </w:rPr>
      </w:pPr>
      <w:proofErr w:type="spellStart"/>
      <w:r>
        <w:t>Orphalan</w:t>
      </w:r>
      <w:proofErr w:type="spellEnd"/>
    </w:p>
    <w:p w14:paraId="573DCA35" w14:textId="77777777" w:rsidR="00012F06" w:rsidRPr="006455D9" w:rsidRDefault="006455D9" w:rsidP="00012F06">
      <w:pPr>
        <w:rPr>
          <w:szCs w:val="22"/>
        </w:rPr>
      </w:pPr>
      <w:r w:rsidRPr="006455D9">
        <w:rPr>
          <w:szCs w:val="22"/>
        </w:rPr>
        <w:t xml:space="preserve">226 </w:t>
      </w:r>
      <w:proofErr w:type="spellStart"/>
      <w:r w:rsidRPr="006455D9">
        <w:rPr>
          <w:szCs w:val="22"/>
        </w:rPr>
        <w:t>Boulevard</w:t>
      </w:r>
      <w:proofErr w:type="spellEnd"/>
      <w:r w:rsidRPr="006455D9">
        <w:rPr>
          <w:szCs w:val="22"/>
        </w:rPr>
        <w:t xml:space="preserve"> Voltaire</w:t>
      </w:r>
    </w:p>
    <w:p w14:paraId="788336E8" w14:textId="77777777" w:rsidR="00012F06" w:rsidRPr="0036776A" w:rsidRDefault="006455D9" w:rsidP="00012F06">
      <w:pPr>
        <w:rPr>
          <w:szCs w:val="22"/>
          <w:lang w:val="fr-FR"/>
        </w:rPr>
      </w:pPr>
      <w:r w:rsidRPr="002503BA">
        <w:rPr>
          <w:szCs w:val="22"/>
          <w:lang w:val="fr-FR"/>
        </w:rPr>
        <w:t>75011 Paris</w:t>
      </w:r>
    </w:p>
    <w:p w14:paraId="4FC03121" w14:textId="77777777" w:rsidR="00E504F6" w:rsidRDefault="00E504F6" w:rsidP="00E504F6"/>
    <w:p w14:paraId="4FC03122" w14:textId="77777777" w:rsidR="00E504F6" w:rsidRPr="00C9068C" w:rsidRDefault="006455D9" w:rsidP="00E504F6">
      <w:pPr>
        <w:rPr>
          <w:szCs w:val="22"/>
        </w:rPr>
      </w:pPr>
      <w:r w:rsidRPr="00C9068C">
        <w:lastRenderedPageBreak/>
        <w:t>Francie</w:t>
      </w:r>
    </w:p>
    <w:p w14:paraId="4FC03123" w14:textId="77777777" w:rsidR="00E504F6" w:rsidRPr="00C9068C" w:rsidRDefault="00E504F6" w:rsidP="00E504F6">
      <w:pPr>
        <w:numPr>
          <w:ilvl w:val="12"/>
          <w:numId w:val="0"/>
        </w:numPr>
        <w:tabs>
          <w:tab w:val="clear" w:pos="567"/>
        </w:tabs>
        <w:spacing w:line="240" w:lineRule="auto"/>
        <w:ind w:right="-2"/>
        <w:rPr>
          <w:szCs w:val="22"/>
        </w:rPr>
      </w:pPr>
    </w:p>
    <w:p w14:paraId="4FC03124" w14:textId="77777777" w:rsidR="00E504F6" w:rsidRPr="00C9068C" w:rsidRDefault="006455D9" w:rsidP="00E504F6">
      <w:pPr>
        <w:keepNext/>
        <w:numPr>
          <w:ilvl w:val="12"/>
          <w:numId w:val="0"/>
        </w:numPr>
        <w:tabs>
          <w:tab w:val="clear" w:pos="567"/>
        </w:tabs>
        <w:spacing w:line="240" w:lineRule="auto"/>
        <w:ind w:right="-2"/>
        <w:rPr>
          <w:b/>
          <w:szCs w:val="22"/>
        </w:rPr>
      </w:pPr>
      <w:r w:rsidRPr="00C9068C">
        <w:rPr>
          <w:b/>
        </w:rPr>
        <w:t>Výrobce</w:t>
      </w:r>
    </w:p>
    <w:p w14:paraId="4FC03125" w14:textId="77777777" w:rsidR="00E504F6" w:rsidRPr="00C9068C" w:rsidRDefault="006455D9" w:rsidP="00E504F6">
      <w:pPr>
        <w:keepNext/>
        <w:numPr>
          <w:ilvl w:val="12"/>
          <w:numId w:val="0"/>
        </w:numPr>
        <w:tabs>
          <w:tab w:val="clear" w:pos="567"/>
        </w:tabs>
        <w:spacing w:line="240" w:lineRule="auto"/>
        <w:ind w:right="-2"/>
        <w:rPr>
          <w:szCs w:val="22"/>
        </w:rPr>
      </w:pPr>
      <w:r w:rsidRPr="00C9068C">
        <w:t>Delpharm Evreux</w:t>
      </w:r>
    </w:p>
    <w:p w14:paraId="4FC03126" w14:textId="77777777" w:rsidR="00E504F6" w:rsidRPr="00C9068C" w:rsidRDefault="006455D9" w:rsidP="00E504F6">
      <w:pPr>
        <w:keepNext/>
        <w:numPr>
          <w:ilvl w:val="12"/>
          <w:numId w:val="0"/>
        </w:numPr>
        <w:tabs>
          <w:tab w:val="clear" w:pos="567"/>
        </w:tabs>
        <w:spacing w:line="240" w:lineRule="auto"/>
        <w:ind w:right="-2"/>
        <w:rPr>
          <w:szCs w:val="22"/>
        </w:rPr>
      </w:pPr>
      <w:r w:rsidRPr="00C9068C">
        <w:t>5 rue du Guesclin</w:t>
      </w:r>
    </w:p>
    <w:p w14:paraId="4FC03127" w14:textId="77777777" w:rsidR="00E504F6" w:rsidRPr="00C9068C" w:rsidRDefault="006455D9" w:rsidP="00E504F6">
      <w:pPr>
        <w:keepNext/>
        <w:numPr>
          <w:ilvl w:val="12"/>
          <w:numId w:val="0"/>
        </w:numPr>
        <w:tabs>
          <w:tab w:val="clear" w:pos="567"/>
        </w:tabs>
        <w:spacing w:line="240" w:lineRule="auto"/>
        <w:ind w:right="-2"/>
        <w:rPr>
          <w:szCs w:val="22"/>
        </w:rPr>
      </w:pPr>
      <w:r w:rsidRPr="00C9068C">
        <w:t>27000 Evreux</w:t>
      </w:r>
    </w:p>
    <w:p w14:paraId="4FC03128" w14:textId="77777777" w:rsidR="00E504F6" w:rsidRPr="00C9068C" w:rsidRDefault="006455D9" w:rsidP="00E504F6">
      <w:pPr>
        <w:numPr>
          <w:ilvl w:val="12"/>
          <w:numId w:val="0"/>
        </w:numPr>
        <w:tabs>
          <w:tab w:val="clear" w:pos="567"/>
        </w:tabs>
        <w:spacing w:line="240" w:lineRule="auto"/>
        <w:ind w:right="-2"/>
        <w:rPr>
          <w:szCs w:val="22"/>
        </w:rPr>
      </w:pPr>
      <w:r w:rsidRPr="00C9068C">
        <w:t>Francie</w:t>
      </w:r>
    </w:p>
    <w:p w14:paraId="4FC03129" w14:textId="77777777" w:rsidR="00E504F6" w:rsidRPr="00C9068C" w:rsidRDefault="00E504F6" w:rsidP="00E504F6">
      <w:pPr>
        <w:numPr>
          <w:ilvl w:val="12"/>
          <w:numId w:val="0"/>
        </w:numPr>
        <w:tabs>
          <w:tab w:val="clear" w:pos="567"/>
        </w:tabs>
        <w:spacing w:line="240" w:lineRule="auto"/>
        <w:ind w:right="-2"/>
        <w:rPr>
          <w:szCs w:val="22"/>
        </w:rPr>
      </w:pPr>
    </w:p>
    <w:tbl>
      <w:tblPr>
        <w:tblW w:w="9356" w:type="dxa"/>
        <w:tblInd w:w="-34" w:type="dxa"/>
        <w:tblLayout w:type="fixed"/>
        <w:tblLook w:val="0000" w:firstRow="0" w:lastRow="0" w:firstColumn="0" w:lastColumn="0" w:noHBand="0" w:noVBand="0"/>
      </w:tblPr>
      <w:tblGrid>
        <w:gridCol w:w="4678"/>
        <w:gridCol w:w="4678"/>
      </w:tblGrid>
      <w:tr w:rsidR="00E56948" w14:paraId="4FC0312C" w14:textId="77777777" w:rsidTr="00E504F6">
        <w:tc>
          <w:tcPr>
            <w:tcW w:w="4678" w:type="dxa"/>
          </w:tcPr>
          <w:p w14:paraId="4FC0312A" w14:textId="77777777" w:rsidR="00E504F6" w:rsidRPr="00C9068C" w:rsidRDefault="00E504F6" w:rsidP="00E504F6">
            <w:pPr>
              <w:tabs>
                <w:tab w:val="left" w:pos="-720"/>
              </w:tabs>
              <w:suppressAutoHyphens/>
              <w:spacing w:line="240" w:lineRule="auto"/>
              <w:rPr>
                <w:szCs w:val="22"/>
              </w:rPr>
            </w:pPr>
          </w:p>
        </w:tc>
        <w:tc>
          <w:tcPr>
            <w:tcW w:w="4678" w:type="dxa"/>
          </w:tcPr>
          <w:p w14:paraId="4FC0312B" w14:textId="77777777" w:rsidR="00E504F6" w:rsidRPr="00C9068C" w:rsidRDefault="00E504F6" w:rsidP="00E504F6">
            <w:pPr>
              <w:tabs>
                <w:tab w:val="left" w:pos="-720"/>
              </w:tabs>
              <w:suppressAutoHyphens/>
              <w:spacing w:line="240" w:lineRule="auto"/>
              <w:rPr>
                <w:szCs w:val="22"/>
              </w:rPr>
            </w:pPr>
          </w:p>
        </w:tc>
      </w:tr>
    </w:tbl>
    <w:p w14:paraId="4FC0312D" w14:textId="77777777" w:rsidR="00E504F6" w:rsidRPr="00C9068C" w:rsidRDefault="006455D9" w:rsidP="00E504F6">
      <w:pPr>
        <w:numPr>
          <w:ilvl w:val="12"/>
          <w:numId w:val="0"/>
        </w:numPr>
        <w:tabs>
          <w:tab w:val="clear" w:pos="567"/>
        </w:tabs>
        <w:spacing w:line="240" w:lineRule="auto"/>
        <w:ind w:right="-2"/>
        <w:rPr>
          <w:b/>
          <w:szCs w:val="22"/>
        </w:rPr>
      </w:pPr>
      <w:r w:rsidRPr="00C9068C">
        <w:rPr>
          <w:b/>
        </w:rPr>
        <w:t xml:space="preserve">Tato příbalová </w:t>
      </w:r>
      <w:r w:rsidRPr="00C9068C">
        <w:rPr>
          <w:b/>
        </w:rPr>
        <w:t>informace byla naposledy revidována</w:t>
      </w:r>
    </w:p>
    <w:p w14:paraId="4FC0312E" w14:textId="77777777" w:rsidR="00E504F6" w:rsidRPr="00C9068C" w:rsidRDefault="00E504F6" w:rsidP="00E504F6">
      <w:pPr>
        <w:numPr>
          <w:ilvl w:val="12"/>
          <w:numId w:val="0"/>
        </w:numPr>
        <w:spacing w:line="240" w:lineRule="auto"/>
        <w:ind w:right="-2"/>
        <w:rPr>
          <w:szCs w:val="22"/>
        </w:rPr>
      </w:pPr>
    </w:p>
    <w:p w14:paraId="4FC0312F" w14:textId="77777777" w:rsidR="00E504F6" w:rsidRPr="00C9068C" w:rsidRDefault="006455D9" w:rsidP="00E504F6">
      <w:pPr>
        <w:numPr>
          <w:ilvl w:val="12"/>
          <w:numId w:val="0"/>
        </w:numPr>
        <w:tabs>
          <w:tab w:val="clear" w:pos="567"/>
        </w:tabs>
        <w:spacing w:line="240" w:lineRule="auto"/>
        <w:ind w:right="-2"/>
        <w:rPr>
          <w:b/>
          <w:szCs w:val="22"/>
        </w:rPr>
      </w:pPr>
      <w:r w:rsidRPr="00C9068C">
        <w:rPr>
          <w:b/>
        </w:rPr>
        <w:t>Další zdroje informací</w:t>
      </w:r>
    </w:p>
    <w:p w14:paraId="4FC03130" w14:textId="77777777" w:rsidR="00E504F6" w:rsidRDefault="006455D9" w:rsidP="00E504F6">
      <w:pPr>
        <w:numPr>
          <w:ilvl w:val="12"/>
          <w:numId w:val="0"/>
        </w:numPr>
        <w:spacing w:line="240" w:lineRule="auto"/>
        <w:ind w:right="-2"/>
      </w:pPr>
      <w:r w:rsidRPr="00C9068C">
        <w:t xml:space="preserve">Podrobné informace o tomto léčivém přípravku jsou k dispozici na webových stránkách Evropské agentury pro léčivé přípravky </w:t>
      </w:r>
      <w:hyperlink w:history="1">
        <w:r w:rsidRPr="00C9068C">
          <w:rPr>
            <w:rStyle w:val="Hyperlink"/>
          </w:rPr>
          <w:t>http://www.ema.europa.eu</w:t>
        </w:r>
      </w:hyperlink>
      <w:r w:rsidRPr="00C9068C">
        <w:t>. Na těchto stránkách naleznete též</w:t>
      </w:r>
      <w:r w:rsidRPr="00C9068C">
        <w:t xml:space="preserve"> odkazy na další webové stránky týkající se vzácných onemocnění a jejich léčby. </w:t>
      </w:r>
    </w:p>
    <w:sectPr w:rsidR="00E504F6" w:rsidSect="00E504F6">
      <w:footerReference w:type="default" r:id="rId16"/>
      <w:footerReference w:type="first" r:id="rId17"/>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96F0A" w14:textId="77777777" w:rsidR="00000000" w:rsidRDefault="006455D9">
      <w:pPr>
        <w:spacing w:line="240" w:lineRule="auto"/>
      </w:pPr>
      <w:r>
        <w:separator/>
      </w:r>
    </w:p>
  </w:endnote>
  <w:endnote w:type="continuationSeparator" w:id="0">
    <w:p w14:paraId="2CE74CC7" w14:textId="77777777" w:rsidR="00000000" w:rsidRDefault="00645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auto"/>
    <w:notTrueType/>
    <w:pitch w:val="default"/>
    <w:sig w:usb0="00000000"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03135" w14:textId="555E6AF4" w:rsidR="009B5ADF" w:rsidRDefault="006455D9">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4D1222">
      <w:rPr>
        <w:rStyle w:val="PageNumber"/>
        <w:rFonts w:cs="Arial"/>
      </w:rPr>
      <w:t>22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03136" w14:textId="23995513" w:rsidR="009B5ADF" w:rsidRDefault="006455D9">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4D1222">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E5799" w14:textId="77777777" w:rsidR="00000000" w:rsidRDefault="006455D9">
      <w:pPr>
        <w:spacing w:line="240" w:lineRule="auto"/>
      </w:pPr>
      <w:r>
        <w:separator/>
      </w:r>
    </w:p>
  </w:footnote>
  <w:footnote w:type="continuationSeparator" w:id="0">
    <w:p w14:paraId="23EB01A2" w14:textId="77777777" w:rsidR="00000000" w:rsidRDefault="006455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F19A5A96">
      <w:start w:val="1"/>
      <w:numFmt w:val="bullet"/>
      <w:lvlText w:val=""/>
      <w:lvlJc w:val="left"/>
      <w:pPr>
        <w:tabs>
          <w:tab w:val="num" w:pos="360"/>
        </w:tabs>
        <w:ind w:left="360" w:hanging="360"/>
      </w:pPr>
      <w:rPr>
        <w:rFonts w:ascii="Symbol" w:hAnsi="Symbol" w:hint="default"/>
      </w:rPr>
    </w:lvl>
    <w:lvl w:ilvl="1" w:tplc="91A027CA" w:tentative="1">
      <w:start w:val="1"/>
      <w:numFmt w:val="bullet"/>
      <w:lvlText w:val="o"/>
      <w:lvlJc w:val="left"/>
      <w:pPr>
        <w:tabs>
          <w:tab w:val="num" w:pos="1080"/>
        </w:tabs>
        <w:ind w:left="1080" w:hanging="360"/>
      </w:pPr>
      <w:rPr>
        <w:rFonts w:ascii="Courier New" w:hAnsi="Courier New" w:cs="Courier New" w:hint="default"/>
      </w:rPr>
    </w:lvl>
    <w:lvl w:ilvl="2" w:tplc="EEE09A4E" w:tentative="1">
      <w:start w:val="1"/>
      <w:numFmt w:val="bullet"/>
      <w:lvlText w:val=""/>
      <w:lvlJc w:val="left"/>
      <w:pPr>
        <w:tabs>
          <w:tab w:val="num" w:pos="1800"/>
        </w:tabs>
        <w:ind w:left="1800" w:hanging="360"/>
      </w:pPr>
      <w:rPr>
        <w:rFonts w:ascii="Wingdings" w:hAnsi="Wingdings" w:hint="default"/>
      </w:rPr>
    </w:lvl>
    <w:lvl w:ilvl="3" w:tplc="0E4AAFB2" w:tentative="1">
      <w:start w:val="1"/>
      <w:numFmt w:val="bullet"/>
      <w:lvlText w:val=""/>
      <w:lvlJc w:val="left"/>
      <w:pPr>
        <w:tabs>
          <w:tab w:val="num" w:pos="2520"/>
        </w:tabs>
        <w:ind w:left="2520" w:hanging="360"/>
      </w:pPr>
      <w:rPr>
        <w:rFonts w:ascii="Symbol" w:hAnsi="Symbol" w:hint="default"/>
      </w:rPr>
    </w:lvl>
    <w:lvl w:ilvl="4" w:tplc="F09C5A8E" w:tentative="1">
      <w:start w:val="1"/>
      <w:numFmt w:val="bullet"/>
      <w:lvlText w:val="o"/>
      <w:lvlJc w:val="left"/>
      <w:pPr>
        <w:tabs>
          <w:tab w:val="num" w:pos="3240"/>
        </w:tabs>
        <w:ind w:left="3240" w:hanging="360"/>
      </w:pPr>
      <w:rPr>
        <w:rFonts w:ascii="Courier New" w:hAnsi="Courier New" w:cs="Courier New" w:hint="default"/>
      </w:rPr>
    </w:lvl>
    <w:lvl w:ilvl="5" w:tplc="5520402E" w:tentative="1">
      <w:start w:val="1"/>
      <w:numFmt w:val="bullet"/>
      <w:lvlText w:val=""/>
      <w:lvlJc w:val="left"/>
      <w:pPr>
        <w:tabs>
          <w:tab w:val="num" w:pos="3960"/>
        </w:tabs>
        <w:ind w:left="3960" w:hanging="360"/>
      </w:pPr>
      <w:rPr>
        <w:rFonts w:ascii="Wingdings" w:hAnsi="Wingdings" w:hint="default"/>
      </w:rPr>
    </w:lvl>
    <w:lvl w:ilvl="6" w:tplc="AAAAEB7C" w:tentative="1">
      <w:start w:val="1"/>
      <w:numFmt w:val="bullet"/>
      <w:lvlText w:val=""/>
      <w:lvlJc w:val="left"/>
      <w:pPr>
        <w:tabs>
          <w:tab w:val="num" w:pos="4680"/>
        </w:tabs>
        <w:ind w:left="4680" w:hanging="360"/>
      </w:pPr>
      <w:rPr>
        <w:rFonts w:ascii="Symbol" w:hAnsi="Symbol" w:hint="default"/>
      </w:rPr>
    </w:lvl>
    <w:lvl w:ilvl="7" w:tplc="AEC2DB5E" w:tentative="1">
      <w:start w:val="1"/>
      <w:numFmt w:val="bullet"/>
      <w:lvlText w:val="o"/>
      <w:lvlJc w:val="left"/>
      <w:pPr>
        <w:tabs>
          <w:tab w:val="num" w:pos="5400"/>
        </w:tabs>
        <w:ind w:left="5400" w:hanging="360"/>
      </w:pPr>
      <w:rPr>
        <w:rFonts w:ascii="Courier New" w:hAnsi="Courier New" w:cs="Courier New" w:hint="default"/>
      </w:rPr>
    </w:lvl>
    <w:lvl w:ilvl="8" w:tplc="4CE2F606"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5BE74D3"/>
    <w:multiLevelType w:val="hybridMultilevel"/>
    <w:tmpl w:val="80502282"/>
    <w:lvl w:ilvl="0" w:tplc="5F1AE49E">
      <w:start w:val="1"/>
      <w:numFmt w:val="upperLetter"/>
      <w:lvlText w:val="%1."/>
      <w:lvlJc w:val="left"/>
      <w:pPr>
        <w:ind w:left="720" w:hanging="360"/>
      </w:pPr>
      <w:rPr>
        <w:rFonts w:hint="default"/>
        <w:b/>
      </w:rPr>
    </w:lvl>
    <w:lvl w:ilvl="1" w:tplc="2D48B06C" w:tentative="1">
      <w:start w:val="1"/>
      <w:numFmt w:val="lowerLetter"/>
      <w:lvlText w:val="%2."/>
      <w:lvlJc w:val="left"/>
      <w:pPr>
        <w:ind w:left="1440" w:hanging="360"/>
      </w:pPr>
    </w:lvl>
    <w:lvl w:ilvl="2" w:tplc="B8D2086E" w:tentative="1">
      <w:start w:val="1"/>
      <w:numFmt w:val="lowerRoman"/>
      <w:lvlText w:val="%3."/>
      <w:lvlJc w:val="right"/>
      <w:pPr>
        <w:ind w:left="2160" w:hanging="180"/>
      </w:pPr>
    </w:lvl>
    <w:lvl w:ilvl="3" w:tplc="D2B03808" w:tentative="1">
      <w:start w:val="1"/>
      <w:numFmt w:val="decimal"/>
      <w:lvlText w:val="%4."/>
      <w:lvlJc w:val="left"/>
      <w:pPr>
        <w:ind w:left="2880" w:hanging="360"/>
      </w:pPr>
    </w:lvl>
    <w:lvl w:ilvl="4" w:tplc="D3C0F3DA" w:tentative="1">
      <w:start w:val="1"/>
      <w:numFmt w:val="lowerLetter"/>
      <w:lvlText w:val="%5."/>
      <w:lvlJc w:val="left"/>
      <w:pPr>
        <w:ind w:left="3600" w:hanging="360"/>
      </w:pPr>
    </w:lvl>
    <w:lvl w:ilvl="5" w:tplc="9B966AFC" w:tentative="1">
      <w:start w:val="1"/>
      <w:numFmt w:val="lowerRoman"/>
      <w:lvlText w:val="%6."/>
      <w:lvlJc w:val="right"/>
      <w:pPr>
        <w:ind w:left="4320" w:hanging="180"/>
      </w:pPr>
    </w:lvl>
    <w:lvl w:ilvl="6" w:tplc="B9C2FEC2" w:tentative="1">
      <w:start w:val="1"/>
      <w:numFmt w:val="decimal"/>
      <w:lvlText w:val="%7."/>
      <w:lvlJc w:val="left"/>
      <w:pPr>
        <w:ind w:left="5040" w:hanging="360"/>
      </w:pPr>
    </w:lvl>
    <w:lvl w:ilvl="7" w:tplc="0EA051B8" w:tentative="1">
      <w:start w:val="1"/>
      <w:numFmt w:val="lowerLetter"/>
      <w:lvlText w:val="%8."/>
      <w:lvlJc w:val="left"/>
      <w:pPr>
        <w:ind w:left="5760" w:hanging="360"/>
      </w:pPr>
    </w:lvl>
    <w:lvl w:ilvl="8" w:tplc="690A2950" w:tentative="1">
      <w:start w:val="1"/>
      <w:numFmt w:val="lowerRoman"/>
      <w:lvlText w:val="%9."/>
      <w:lvlJc w:val="right"/>
      <w:pPr>
        <w:ind w:left="6480" w:hanging="180"/>
      </w:pPr>
    </w:lvl>
  </w:abstractNum>
  <w:abstractNum w:abstractNumId="4" w15:restartNumberingAfterBreak="0">
    <w:nsid w:val="07AF6289"/>
    <w:multiLevelType w:val="hybridMultilevel"/>
    <w:tmpl w:val="4B6610B4"/>
    <w:lvl w:ilvl="0" w:tplc="48AEA638">
      <w:start w:val="1"/>
      <w:numFmt w:val="upperLetter"/>
      <w:lvlText w:val="%1."/>
      <w:lvlJc w:val="left"/>
      <w:pPr>
        <w:ind w:left="577" w:hanging="450"/>
      </w:pPr>
      <w:rPr>
        <w:rFonts w:hint="default"/>
      </w:rPr>
    </w:lvl>
    <w:lvl w:ilvl="1" w:tplc="3482A58C">
      <w:start w:val="1"/>
      <w:numFmt w:val="decimal"/>
      <w:lvlText w:val="%2."/>
      <w:lvlJc w:val="left"/>
      <w:pPr>
        <w:ind w:left="1417" w:hanging="570"/>
      </w:pPr>
      <w:rPr>
        <w:rFonts w:hint="default"/>
      </w:rPr>
    </w:lvl>
    <w:lvl w:ilvl="2" w:tplc="8830012A" w:tentative="1">
      <w:start w:val="1"/>
      <w:numFmt w:val="lowerRoman"/>
      <w:lvlText w:val="%3."/>
      <w:lvlJc w:val="right"/>
      <w:pPr>
        <w:ind w:left="1927" w:hanging="180"/>
      </w:pPr>
    </w:lvl>
    <w:lvl w:ilvl="3" w:tplc="28FCB46A" w:tentative="1">
      <w:start w:val="1"/>
      <w:numFmt w:val="decimal"/>
      <w:lvlText w:val="%4."/>
      <w:lvlJc w:val="left"/>
      <w:pPr>
        <w:ind w:left="2647" w:hanging="360"/>
      </w:pPr>
    </w:lvl>
    <w:lvl w:ilvl="4" w:tplc="FA4E1D22" w:tentative="1">
      <w:start w:val="1"/>
      <w:numFmt w:val="lowerLetter"/>
      <w:lvlText w:val="%5."/>
      <w:lvlJc w:val="left"/>
      <w:pPr>
        <w:ind w:left="3367" w:hanging="360"/>
      </w:pPr>
    </w:lvl>
    <w:lvl w:ilvl="5" w:tplc="10B666C6" w:tentative="1">
      <w:start w:val="1"/>
      <w:numFmt w:val="lowerRoman"/>
      <w:lvlText w:val="%6."/>
      <w:lvlJc w:val="right"/>
      <w:pPr>
        <w:ind w:left="4087" w:hanging="180"/>
      </w:pPr>
    </w:lvl>
    <w:lvl w:ilvl="6" w:tplc="25688050" w:tentative="1">
      <w:start w:val="1"/>
      <w:numFmt w:val="decimal"/>
      <w:lvlText w:val="%7."/>
      <w:lvlJc w:val="left"/>
      <w:pPr>
        <w:ind w:left="4807" w:hanging="360"/>
      </w:pPr>
    </w:lvl>
    <w:lvl w:ilvl="7" w:tplc="1A6ADEF6" w:tentative="1">
      <w:start w:val="1"/>
      <w:numFmt w:val="lowerLetter"/>
      <w:lvlText w:val="%8."/>
      <w:lvlJc w:val="left"/>
      <w:pPr>
        <w:ind w:left="5527" w:hanging="360"/>
      </w:pPr>
    </w:lvl>
    <w:lvl w:ilvl="8" w:tplc="0334654C" w:tentative="1">
      <w:start w:val="1"/>
      <w:numFmt w:val="lowerRoman"/>
      <w:lvlText w:val="%9."/>
      <w:lvlJc w:val="right"/>
      <w:pPr>
        <w:ind w:left="6247" w:hanging="180"/>
      </w:pPr>
    </w:lvl>
  </w:abstractNum>
  <w:abstractNum w:abstractNumId="5" w15:restartNumberingAfterBreak="0">
    <w:nsid w:val="09C44CC1"/>
    <w:multiLevelType w:val="hybridMultilevel"/>
    <w:tmpl w:val="7FF2C56E"/>
    <w:lvl w:ilvl="0" w:tplc="E93C50F8">
      <w:start w:val="1"/>
      <w:numFmt w:val="bullet"/>
      <w:lvlText w:val=""/>
      <w:lvlJc w:val="left"/>
      <w:pPr>
        <w:tabs>
          <w:tab w:val="num" w:pos="720"/>
        </w:tabs>
        <w:ind w:left="720" w:hanging="360"/>
      </w:pPr>
      <w:rPr>
        <w:rFonts w:ascii="Symbol" w:hAnsi="Symbol" w:hint="default"/>
      </w:rPr>
    </w:lvl>
    <w:lvl w:ilvl="1" w:tplc="CE760196" w:tentative="1">
      <w:start w:val="1"/>
      <w:numFmt w:val="bullet"/>
      <w:lvlText w:val="o"/>
      <w:lvlJc w:val="left"/>
      <w:pPr>
        <w:tabs>
          <w:tab w:val="num" w:pos="1440"/>
        </w:tabs>
        <w:ind w:left="1440" w:hanging="360"/>
      </w:pPr>
      <w:rPr>
        <w:rFonts w:ascii="Courier New" w:hAnsi="Courier New" w:cs="Courier New" w:hint="default"/>
      </w:rPr>
    </w:lvl>
    <w:lvl w:ilvl="2" w:tplc="53C41394" w:tentative="1">
      <w:start w:val="1"/>
      <w:numFmt w:val="bullet"/>
      <w:lvlText w:val=""/>
      <w:lvlJc w:val="left"/>
      <w:pPr>
        <w:tabs>
          <w:tab w:val="num" w:pos="2160"/>
        </w:tabs>
        <w:ind w:left="2160" w:hanging="360"/>
      </w:pPr>
      <w:rPr>
        <w:rFonts w:ascii="Wingdings" w:hAnsi="Wingdings" w:hint="default"/>
      </w:rPr>
    </w:lvl>
    <w:lvl w:ilvl="3" w:tplc="5EC8B3F6" w:tentative="1">
      <w:start w:val="1"/>
      <w:numFmt w:val="bullet"/>
      <w:lvlText w:val=""/>
      <w:lvlJc w:val="left"/>
      <w:pPr>
        <w:tabs>
          <w:tab w:val="num" w:pos="2880"/>
        </w:tabs>
        <w:ind w:left="2880" w:hanging="360"/>
      </w:pPr>
      <w:rPr>
        <w:rFonts w:ascii="Symbol" w:hAnsi="Symbol" w:hint="default"/>
      </w:rPr>
    </w:lvl>
    <w:lvl w:ilvl="4" w:tplc="8B5CCDAE" w:tentative="1">
      <w:start w:val="1"/>
      <w:numFmt w:val="bullet"/>
      <w:lvlText w:val="o"/>
      <w:lvlJc w:val="left"/>
      <w:pPr>
        <w:tabs>
          <w:tab w:val="num" w:pos="3600"/>
        </w:tabs>
        <w:ind w:left="3600" w:hanging="360"/>
      </w:pPr>
      <w:rPr>
        <w:rFonts w:ascii="Courier New" w:hAnsi="Courier New" w:cs="Courier New" w:hint="default"/>
      </w:rPr>
    </w:lvl>
    <w:lvl w:ilvl="5" w:tplc="0FFCA2CE" w:tentative="1">
      <w:start w:val="1"/>
      <w:numFmt w:val="bullet"/>
      <w:lvlText w:val=""/>
      <w:lvlJc w:val="left"/>
      <w:pPr>
        <w:tabs>
          <w:tab w:val="num" w:pos="4320"/>
        </w:tabs>
        <w:ind w:left="4320" w:hanging="360"/>
      </w:pPr>
      <w:rPr>
        <w:rFonts w:ascii="Wingdings" w:hAnsi="Wingdings" w:hint="default"/>
      </w:rPr>
    </w:lvl>
    <w:lvl w:ilvl="6" w:tplc="52981F46" w:tentative="1">
      <w:start w:val="1"/>
      <w:numFmt w:val="bullet"/>
      <w:lvlText w:val=""/>
      <w:lvlJc w:val="left"/>
      <w:pPr>
        <w:tabs>
          <w:tab w:val="num" w:pos="5040"/>
        </w:tabs>
        <w:ind w:left="5040" w:hanging="360"/>
      </w:pPr>
      <w:rPr>
        <w:rFonts w:ascii="Symbol" w:hAnsi="Symbol" w:hint="default"/>
      </w:rPr>
    </w:lvl>
    <w:lvl w:ilvl="7" w:tplc="1076F9F2" w:tentative="1">
      <w:start w:val="1"/>
      <w:numFmt w:val="bullet"/>
      <w:lvlText w:val="o"/>
      <w:lvlJc w:val="left"/>
      <w:pPr>
        <w:tabs>
          <w:tab w:val="num" w:pos="5760"/>
        </w:tabs>
        <w:ind w:left="5760" w:hanging="360"/>
      </w:pPr>
      <w:rPr>
        <w:rFonts w:ascii="Courier New" w:hAnsi="Courier New" w:cs="Courier New" w:hint="default"/>
      </w:rPr>
    </w:lvl>
    <w:lvl w:ilvl="8" w:tplc="73F028D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D3306"/>
    <w:multiLevelType w:val="hybridMultilevel"/>
    <w:tmpl w:val="956CF4A4"/>
    <w:lvl w:ilvl="0" w:tplc="220EE2C6">
      <w:start w:val="1"/>
      <w:numFmt w:val="decimal"/>
      <w:lvlText w:val="%1."/>
      <w:lvlJc w:val="left"/>
      <w:pPr>
        <w:ind w:left="1080" w:hanging="720"/>
      </w:pPr>
      <w:rPr>
        <w:rFonts w:hint="default"/>
      </w:rPr>
    </w:lvl>
    <w:lvl w:ilvl="1" w:tplc="735AA924" w:tentative="1">
      <w:start w:val="1"/>
      <w:numFmt w:val="lowerLetter"/>
      <w:lvlText w:val="%2."/>
      <w:lvlJc w:val="left"/>
      <w:pPr>
        <w:ind w:left="1440" w:hanging="360"/>
      </w:pPr>
    </w:lvl>
    <w:lvl w:ilvl="2" w:tplc="507E634A" w:tentative="1">
      <w:start w:val="1"/>
      <w:numFmt w:val="lowerRoman"/>
      <w:lvlText w:val="%3."/>
      <w:lvlJc w:val="right"/>
      <w:pPr>
        <w:ind w:left="2160" w:hanging="180"/>
      </w:pPr>
    </w:lvl>
    <w:lvl w:ilvl="3" w:tplc="9DB21DA8" w:tentative="1">
      <w:start w:val="1"/>
      <w:numFmt w:val="decimal"/>
      <w:lvlText w:val="%4."/>
      <w:lvlJc w:val="left"/>
      <w:pPr>
        <w:ind w:left="2880" w:hanging="360"/>
      </w:pPr>
    </w:lvl>
    <w:lvl w:ilvl="4" w:tplc="2688B95A" w:tentative="1">
      <w:start w:val="1"/>
      <w:numFmt w:val="lowerLetter"/>
      <w:lvlText w:val="%5."/>
      <w:lvlJc w:val="left"/>
      <w:pPr>
        <w:ind w:left="3600" w:hanging="360"/>
      </w:pPr>
    </w:lvl>
    <w:lvl w:ilvl="5" w:tplc="5DAE7848" w:tentative="1">
      <w:start w:val="1"/>
      <w:numFmt w:val="lowerRoman"/>
      <w:lvlText w:val="%6."/>
      <w:lvlJc w:val="right"/>
      <w:pPr>
        <w:ind w:left="4320" w:hanging="180"/>
      </w:pPr>
    </w:lvl>
    <w:lvl w:ilvl="6" w:tplc="F086E8F8" w:tentative="1">
      <w:start w:val="1"/>
      <w:numFmt w:val="decimal"/>
      <w:lvlText w:val="%7."/>
      <w:lvlJc w:val="left"/>
      <w:pPr>
        <w:ind w:left="5040" w:hanging="360"/>
      </w:pPr>
    </w:lvl>
    <w:lvl w:ilvl="7" w:tplc="F2240C54" w:tentative="1">
      <w:start w:val="1"/>
      <w:numFmt w:val="lowerLetter"/>
      <w:lvlText w:val="%8."/>
      <w:lvlJc w:val="left"/>
      <w:pPr>
        <w:ind w:left="5760" w:hanging="360"/>
      </w:pPr>
    </w:lvl>
    <w:lvl w:ilvl="8" w:tplc="643EFD30" w:tentative="1">
      <w:start w:val="1"/>
      <w:numFmt w:val="lowerRoman"/>
      <w:lvlText w:val="%9."/>
      <w:lvlJc w:val="right"/>
      <w:pPr>
        <w:ind w:left="6480" w:hanging="180"/>
      </w:p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60A0176"/>
    <w:multiLevelType w:val="hybridMultilevel"/>
    <w:tmpl w:val="718ED2D0"/>
    <w:lvl w:ilvl="0" w:tplc="016E4C8A">
      <w:start w:val="1"/>
      <w:numFmt w:val="decimal"/>
      <w:lvlText w:val="%1."/>
      <w:lvlJc w:val="left"/>
      <w:pPr>
        <w:ind w:left="780" w:hanging="420"/>
      </w:pPr>
      <w:rPr>
        <w:rFonts w:hint="default"/>
      </w:rPr>
    </w:lvl>
    <w:lvl w:ilvl="1" w:tplc="D376F618" w:tentative="1">
      <w:start w:val="1"/>
      <w:numFmt w:val="lowerLetter"/>
      <w:lvlText w:val="%2."/>
      <w:lvlJc w:val="left"/>
      <w:pPr>
        <w:ind w:left="1440" w:hanging="360"/>
      </w:pPr>
    </w:lvl>
    <w:lvl w:ilvl="2" w:tplc="95B6E1EA" w:tentative="1">
      <w:start w:val="1"/>
      <w:numFmt w:val="lowerRoman"/>
      <w:lvlText w:val="%3."/>
      <w:lvlJc w:val="right"/>
      <w:pPr>
        <w:ind w:left="2160" w:hanging="180"/>
      </w:pPr>
    </w:lvl>
    <w:lvl w:ilvl="3" w:tplc="626A1774" w:tentative="1">
      <w:start w:val="1"/>
      <w:numFmt w:val="decimal"/>
      <w:lvlText w:val="%4."/>
      <w:lvlJc w:val="left"/>
      <w:pPr>
        <w:ind w:left="2880" w:hanging="360"/>
      </w:pPr>
    </w:lvl>
    <w:lvl w:ilvl="4" w:tplc="3E745992" w:tentative="1">
      <w:start w:val="1"/>
      <w:numFmt w:val="lowerLetter"/>
      <w:lvlText w:val="%5."/>
      <w:lvlJc w:val="left"/>
      <w:pPr>
        <w:ind w:left="3600" w:hanging="360"/>
      </w:pPr>
    </w:lvl>
    <w:lvl w:ilvl="5" w:tplc="A56465E8" w:tentative="1">
      <w:start w:val="1"/>
      <w:numFmt w:val="lowerRoman"/>
      <w:lvlText w:val="%6."/>
      <w:lvlJc w:val="right"/>
      <w:pPr>
        <w:ind w:left="4320" w:hanging="180"/>
      </w:pPr>
    </w:lvl>
    <w:lvl w:ilvl="6" w:tplc="C9F8AC96" w:tentative="1">
      <w:start w:val="1"/>
      <w:numFmt w:val="decimal"/>
      <w:lvlText w:val="%7."/>
      <w:lvlJc w:val="left"/>
      <w:pPr>
        <w:ind w:left="5040" w:hanging="360"/>
      </w:pPr>
    </w:lvl>
    <w:lvl w:ilvl="7" w:tplc="6E94B878" w:tentative="1">
      <w:start w:val="1"/>
      <w:numFmt w:val="lowerLetter"/>
      <w:lvlText w:val="%8."/>
      <w:lvlJc w:val="left"/>
      <w:pPr>
        <w:ind w:left="5760" w:hanging="360"/>
      </w:pPr>
    </w:lvl>
    <w:lvl w:ilvl="8" w:tplc="84B0C502" w:tentative="1">
      <w:start w:val="1"/>
      <w:numFmt w:val="lowerRoman"/>
      <w:lvlText w:val="%9."/>
      <w:lvlJc w:val="right"/>
      <w:pPr>
        <w:ind w:left="6480" w:hanging="180"/>
      </w:pPr>
    </w:lvl>
  </w:abstractNum>
  <w:abstractNum w:abstractNumId="9" w15:restartNumberingAfterBreak="0">
    <w:nsid w:val="2DC110E1"/>
    <w:multiLevelType w:val="hybridMultilevel"/>
    <w:tmpl w:val="22EE80EE"/>
    <w:lvl w:ilvl="0" w:tplc="F7E47598">
      <w:start w:val="1"/>
      <w:numFmt w:val="bullet"/>
      <w:lvlText w:val="-"/>
      <w:lvlJc w:val="left"/>
      <w:pPr>
        <w:ind w:left="720" w:hanging="360"/>
      </w:pPr>
      <w:rPr>
        <w:rFonts w:ascii="Times New Roman" w:eastAsia="Times New Roman" w:hAnsi="Times New Roman" w:cs="Times New Roman" w:hint="default"/>
      </w:rPr>
    </w:lvl>
    <w:lvl w:ilvl="1" w:tplc="D1A2EF7C" w:tentative="1">
      <w:start w:val="1"/>
      <w:numFmt w:val="bullet"/>
      <w:lvlText w:val="o"/>
      <w:lvlJc w:val="left"/>
      <w:pPr>
        <w:ind w:left="1440" w:hanging="360"/>
      </w:pPr>
      <w:rPr>
        <w:rFonts w:ascii="Courier New" w:hAnsi="Courier New" w:cs="Courier New" w:hint="default"/>
      </w:rPr>
    </w:lvl>
    <w:lvl w:ilvl="2" w:tplc="05529A26" w:tentative="1">
      <w:start w:val="1"/>
      <w:numFmt w:val="bullet"/>
      <w:lvlText w:val=""/>
      <w:lvlJc w:val="left"/>
      <w:pPr>
        <w:ind w:left="2160" w:hanging="360"/>
      </w:pPr>
      <w:rPr>
        <w:rFonts w:ascii="Wingdings" w:hAnsi="Wingdings" w:hint="default"/>
      </w:rPr>
    </w:lvl>
    <w:lvl w:ilvl="3" w:tplc="2466A88E" w:tentative="1">
      <w:start w:val="1"/>
      <w:numFmt w:val="bullet"/>
      <w:lvlText w:val=""/>
      <w:lvlJc w:val="left"/>
      <w:pPr>
        <w:ind w:left="2880" w:hanging="360"/>
      </w:pPr>
      <w:rPr>
        <w:rFonts w:ascii="Symbol" w:hAnsi="Symbol" w:hint="default"/>
      </w:rPr>
    </w:lvl>
    <w:lvl w:ilvl="4" w:tplc="F74A9C20" w:tentative="1">
      <w:start w:val="1"/>
      <w:numFmt w:val="bullet"/>
      <w:lvlText w:val="o"/>
      <w:lvlJc w:val="left"/>
      <w:pPr>
        <w:ind w:left="3600" w:hanging="360"/>
      </w:pPr>
      <w:rPr>
        <w:rFonts w:ascii="Courier New" w:hAnsi="Courier New" w:cs="Courier New" w:hint="default"/>
      </w:rPr>
    </w:lvl>
    <w:lvl w:ilvl="5" w:tplc="00C4BF48" w:tentative="1">
      <w:start w:val="1"/>
      <w:numFmt w:val="bullet"/>
      <w:lvlText w:val=""/>
      <w:lvlJc w:val="left"/>
      <w:pPr>
        <w:ind w:left="4320" w:hanging="360"/>
      </w:pPr>
      <w:rPr>
        <w:rFonts w:ascii="Wingdings" w:hAnsi="Wingdings" w:hint="default"/>
      </w:rPr>
    </w:lvl>
    <w:lvl w:ilvl="6" w:tplc="B4E68E94" w:tentative="1">
      <w:start w:val="1"/>
      <w:numFmt w:val="bullet"/>
      <w:lvlText w:val=""/>
      <w:lvlJc w:val="left"/>
      <w:pPr>
        <w:ind w:left="5040" w:hanging="360"/>
      </w:pPr>
      <w:rPr>
        <w:rFonts w:ascii="Symbol" w:hAnsi="Symbol" w:hint="default"/>
      </w:rPr>
    </w:lvl>
    <w:lvl w:ilvl="7" w:tplc="4358F074" w:tentative="1">
      <w:start w:val="1"/>
      <w:numFmt w:val="bullet"/>
      <w:lvlText w:val="o"/>
      <w:lvlJc w:val="left"/>
      <w:pPr>
        <w:ind w:left="5760" w:hanging="360"/>
      </w:pPr>
      <w:rPr>
        <w:rFonts w:ascii="Courier New" w:hAnsi="Courier New" w:cs="Courier New" w:hint="default"/>
      </w:rPr>
    </w:lvl>
    <w:lvl w:ilvl="8" w:tplc="12BCFB0A" w:tentative="1">
      <w:start w:val="1"/>
      <w:numFmt w:val="bullet"/>
      <w:lvlText w:val=""/>
      <w:lvlJc w:val="left"/>
      <w:pPr>
        <w:ind w:left="6480" w:hanging="360"/>
      </w:pPr>
      <w:rPr>
        <w:rFonts w:ascii="Wingdings" w:hAnsi="Wingdings" w:hint="default"/>
      </w:rPr>
    </w:lvl>
  </w:abstractNum>
  <w:abstractNum w:abstractNumId="10" w15:restartNumberingAfterBreak="0">
    <w:nsid w:val="2E135BD9"/>
    <w:multiLevelType w:val="hybridMultilevel"/>
    <w:tmpl w:val="DAD6C0E0"/>
    <w:lvl w:ilvl="0" w:tplc="B64E73DE">
      <w:start w:val="1"/>
      <w:numFmt w:val="bullet"/>
      <w:lvlText w:val=""/>
      <w:lvlJc w:val="left"/>
      <w:pPr>
        <w:tabs>
          <w:tab w:val="num" w:pos="397"/>
        </w:tabs>
        <w:ind w:left="397" w:hanging="397"/>
      </w:pPr>
      <w:rPr>
        <w:rFonts w:ascii="Symbol" w:hAnsi="Symbol" w:hint="default"/>
      </w:rPr>
    </w:lvl>
    <w:lvl w:ilvl="1" w:tplc="9EF0D7F8" w:tentative="1">
      <w:start w:val="1"/>
      <w:numFmt w:val="bullet"/>
      <w:lvlText w:val="o"/>
      <w:lvlJc w:val="left"/>
      <w:pPr>
        <w:tabs>
          <w:tab w:val="num" w:pos="1440"/>
        </w:tabs>
        <w:ind w:left="1440" w:hanging="360"/>
      </w:pPr>
      <w:rPr>
        <w:rFonts w:ascii="Courier New" w:hAnsi="Courier New" w:cs="Courier New" w:hint="default"/>
      </w:rPr>
    </w:lvl>
    <w:lvl w:ilvl="2" w:tplc="DCAC4446" w:tentative="1">
      <w:start w:val="1"/>
      <w:numFmt w:val="bullet"/>
      <w:lvlText w:val=""/>
      <w:lvlJc w:val="left"/>
      <w:pPr>
        <w:tabs>
          <w:tab w:val="num" w:pos="2160"/>
        </w:tabs>
        <w:ind w:left="2160" w:hanging="360"/>
      </w:pPr>
      <w:rPr>
        <w:rFonts w:ascii="Wingdings" w:hAnsi="Wingdings" w:hint="default"/>
      </w:rPr>
    </w:lvl>
    <w:lvl w:ilvl="3" w:tplc="AF0CF34C" w:tentative="1">
      <w:start w:val="1"/>
      <w:numFmt w:val="bullet"/>
      <w:lvlText w:val=""/>
      <w:lvlJc w:val="left"/>
      <w:pPr>
        <w:tabs>
          <w:tab w:val="num" w:pos="2880"/>
        </w:tabs>
        <w:ind w:left="2880" w:hanging="360"/>
      </w:pPr>
      <w:rPr>
        <w:rFonts w:ascii="Symbol" w:hAnsi="Symbol" w:hint="default"/>
      </w:rPr>
    </w:lvl>
    <w:lvl w:ilvl="4" w:tplc="66403F64" w:tentative="1">
      <w:start w:val="1"/>
      <w:numFmt w:val="bullet"/>
      <w:lvlText w:val="o"/>
      <w:lvlJc w:val="left"/>
      <w:pPr>
        <w:tabs>
          <w:tab w:val="num" w:pos="3600"/>
        </w:tabs>
        <w:ind w:left="3600" w:hanging="360"/>
      </w:pPr>
      <w:rPr>
        <w:rFonts w:ascii="Courier New" w:hAnsi="Courier New" w:cs="Courier New" w:hint="default"/>
      </w:rPr>
    </w:lvl>
    <w:lvl w:ilvl="5" w:tplc="49325274" w:tentative="1">
      <w:start w:val="1"/>
      <w:numFmt w:val="bullet"/>
      <w:lvlText w:val=""/>
      <w:lvlJc w:val="left"/>
      <w:pPr>
        <w:tabs>
          <w:tab w:val="num" w:pos="4320"/>
        </w:tabs>
        <w:ind w:left="4320" w:hanging="360"/>
      </w:pPr>
      <w:rPr>
        <w:rFonts w:ascii="Wingdings" w:hAnsi="Wingdings" w:hint="default"/>
      </w:rPr>
    </w:lvl>
    <w:lvl w:ilvl="6" w:tplc="86C6EAB6" w:tentative="1">
      <w:start w:val="1"/>
      <w:numFmt w:val="bullet"/>
      <w:lvlText w:val=""/>
      <w:lvlJc w:val="left"/>
      <w:pPr>
        <w:tabs>
          <w:tab w:val="num" w:pos="5040"/>
        </w:tabs>
        <w:ind w:left="5040" w:hanging="360"/>
      </w:pPr>
      <w:rPr>
        <w:rFonts w:ascii="Symbol" w:hAnsi="Symbol" w:hint="default"/>
      </w:rPr>
    </w:lvl>
    <w:lvl w:ilvl="7" w:tplc="ECFAC852" w:tentative="1">
      <w:start w:val="1"/>
      <w:numFmt w:val="bullet"/>
      <w:lvlText w:val="o"/>
      <w:lvlJc w:val="left"/>
      <w:pPr>
        <w:tabs>
          <w:tab w:val="num" w:pos="5760"/>
        </w:tabs>
        <w:ind w:left="5760" w:hanging="360"/>
      </w:pPr>
      <w:rPr>
        <w:rFonts w:ascii="Courier New" w:hAnsi="Courier New" w:cs="Courier New" w:hint="default"/>
      </w:rPr>
    </w:lvl>
    <w:lvl w:ilvl="8" w:tplc="93C2271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745C6948">
      <w:start w:val="1"/>
      <w:numFmt w:val="decimal"/>
      <w:lvlText w:val="%1."/>
      <w:lvlJc w:val="left"/>
      <w:pPr>
        <w:tabs>
          <w:tab w:val="num" w:pos="570"/>
        </w:tabs>
        <w:ind w:left="570" w:hanging="570"/>
      </w:pPr>
      <w:rPr>
        <w:rFonts w:hint="default"/>
      </w:rPr>
    </w:lvl>
    <w:lvl w:ilvl="1" w:tplc="819E203C" w:tentative="1">
      <w:start w:val="1"/>
      <w:numFmt w:val="lowerLetter"/>
      <w:lvlText w:val="%2."/>
      <w:lvlJc w:val="left"/>
      <w:pPr>
        <w:tabs>
          <w:tab w:val="num" w:pos="1080"/>
        </w:tabs>
        <w:ind w:left="1080" w:hanging="360"/>
      </w:pPr>
    </w:lvl>
    <w:lvl w:ilvl="2" w:tplc="200CC34E" w:tentative="1">
      <w:start w:val="1"/>
      <w:numFmt w:val="lowerRoman"/>
      <w:lvlText w:val="%3."/>
      <w:lvlJc w:val="right"/>
      <w:pPr>
        <w:tabs>
          <w:tab w:val="num" w:pos="1800"/>
        </w:tabs>
        <w:ind w:left="1800" w:hanging="180"/>
      </w:pPr>
    </w:lvl>
    <w:lvl w:ilvl="3" w:tplc="3800AC82" w:tentative="1">
      <w:start w:val="1"/>
      <w:numFmt w:val="decimal"/>
      <w:lvlText w:val="%4."/>
      <w:lvlJc w:val="left"/>
      <w:pPr>
        <w:tabs>
          <w:tab w:val="num" w:pos="2520"/>
        </w:tabs>
        <w:ind w:left="2520" w:hanging="360"/>
      </w:pPr>
    </w:lvl>
    <w:lvl w:ilvl="4" w:tplc="8E5027B4" w:tentative="1">
      <w:start w:val="1"/>
      <w:numFmt w:val="lowerLetter"/>
      <w:lvlText w:val="%5."/>
      <w:lvlJc w:val="left"/>
      <w:pPr>
        <w:tabs>
          <w:tab w:val="num" w:pos="3240"/>
        </w:tabs>
        <w:ind w:left="3240" w:hanging="360"/>
      </w:pPr>
    </w:lvl>
    <w:lvl w:ilvl="5" w:tplc="7F566D6A" w:tentative="1">
      <w:start w:val="1"/>
      <w:numFmt w:val="lowerRoman"/>
      <w:lvlText w:val="%6."/>
      <w:lvlJc w:val="right"/>
      <w:pPr>
        <w:tabs>
          <w:tab w:val="num" w:pos="3960"/>
        </w:tabs>
        <w:ind w:left="3960" w:hanging="180"/>
      </w:pPr>
    </w:lvl>
    <w:lvl w:ilvl="6" w:tplc="FBA23992" w:tentative="1">
      <w:start w:val="1"/>
      <w:numFmt w:val="decimal"/>
      <w:lvlText w:val="%7."/>
      <w:lvlJc w:val="left"/>
      <w:pPr>
        <w:tabs>
          <w:tab w:val="num" w:pos="4680"/>
        </w:tabs>
        <w:ind w:left="4680" w:hanging="360"/>
      </w:pPr>
    </w:lvl>
    <w:lvl w:ilvl="7" w:tplc="FBD0E120" w:tentative="1">
      <w:start w:val="1"/>
      <w:numFmt w:val="lowerLetter"/>
      <w:lvlText w:val="%8."/>
      <w:lvlJc w:val="left"/>
      <w:pPr>
        <w:tabs>
          <w:tab w:val="num" w:pos="5400"/>
        </w:tabs>
        <w:ind w:left="5400" w:hanging="360"/>
      </w:pPr>
    </w:lvl>
    <w:lvl w:ilvl="8" w:tplc="20E08E32"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B8C3C56"/>
    <w:multiLevelType w:val="hybridMultilevel"/>
    <w:tmpl w:val="BFBE97F2"/>
    <w:lvl w:ilvl="0" w:tplc="D4A07DC2">
      <w:start w:val="1"/>
      <w:numFmt w:val="decimal"/>
      <w:lvlText w:val="%1."/>
      <w:lvlJc w:val="left"/>
      <w:pPr>
        <w:ind w:left="720" w:hanging="360"/>
      </w:pPr>
    </w:lvl>
    <w:lvl w:ilvl="1" w:tplc="EDCE760E" w:tentative="1">
      <w:start w:val="1"/>
      <w:numFmt w:val="lowerLetter"/>
      <w:lvlText w:val="%2."/>
      <w:lvlJc w:val="left"/>
      <w:pPr>
        <w:ind w:left="1440" w:hanging="360"/>
      </w:pPr>
    </w:lvl>
    <w:lvl w:ilvl="2" w:tplc="6066C2C0" w:tentative="1">
      <w:start w:val="1"/>
      <w:numFmt w:val="lowerRoman"/>
      <w:lvlText w:val="%3."/>
      <w:lvlJc w:val="right"/>
      <w:pPr>
        <w:ind w:left="2160" w:hanging="180"/>
      </w:pPr>
    </w:lvl>
    <w:lvl w:ilvl="3" w:tplc="E6DAF248" w:tentative="1">
      <w:start w:val="1"/>
      <w:numFmt w:val="decimal"/>
      <w:lvlText w:val="%4."/>
      <w:lvlJc w:val="left"/>
      <w:pPr>
        <w:ind w:left="2880" w:hanging="360"/>
      </w:pPr>
    </w:lvl>
    <w:lvl w:ilvl="4" w:tplc="6688FE16" w:tentative="1">
      <w:start w:val="1"/>
      <w:numFmt w:val="lowerLetter"/>
      <w:lvlText w:val="%5."/>
      <w:lvlJc w:val="left"/>
      <w:pPr>
        <w:ind w:left="3600" w:hanging="360"/>
      </w:pPr>
    </w:lvl>
    <w:lvl w:ilvl="5" w:tplc="4B820902" w:tentative="1">
      <w:start w:val="1"/>
      <w:numFmt w:val="lowerRoman"/>
      <w:lvlText w:val="%6."/>
      <w:lvlJc w:val="right"/>
      <w:pPr>
        <w:ind w:left="4320" w:hanging="180"/>
      </w:pPr>
    </w:lvl>
    <w:lvl w:ilvl="6" w:tplc="FEC0B1B4" w:tentative="1">
      <w:start w:val="1"/>
      <w:numFmt w:val="decimal"/>
      <w:lvlText w:val="%7."/>
      <w:lvlJc w:val="left"/>
      <w:pPr>
        <w:ind w:left="5040" w:hanging="360"/>
      </w:pPr>
    </w:lvl>
    <w:lvl w:ilvl="7" w:tplc="ED9C0F2C" w:tentative="1">
      <w:start w:val="1"/>
      <w:numFmt w:val="lowerLetter"/>
      <w:lvlText w:val="%8."/>
      <w:lvlJc w:val="left"/>
      <w:pPr>
        <w:ind w:left="5760" w:hanging="360"/>
      </w:pPr>
    </w:lvl>
    <w:lvl w:ilvl="8" w:tplc="69CAE8DA" w:tentative="1">
      <w:start w:val="1"/>
      <w:numFmt w:val="lowerRoman"/>
      <w:lvlText w:val="%9."/>
      <w:lvlJc w:val="right"/>
      <w:pPr>
        <w:ind w:left="6480" w:hanging="180"/>
      </w:p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53E83375"/>
    <w:multiLevelType w:val="multilevel"/>
    <w:tmpl w:val="18221FCC"/>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8" w15:restartNumberingAfterBreak="0">
    <w:nsid w:val="58B56C73"/>
    <w:multiLevelType w:val="hybridMultilevel"/>
    <w:tmpl w:val="5BA42128"/>
    <w:lvl w:ilvl="0" w:tplc="780CFC46">
      <w:start w:val="2"/>
      <w:numFmt w:val="decimal"/>
      <w:lvlText w:val="%1."/>
      <w:lvlJc w:val="left"/>
      <w:pPr>
        <w:tabs>
          <w:tab w:val="num" w:pos="570"/>
        </w:tabs>
        <w:ind w:left="570" w:hanging="570"/>
      </w:pPr>
      <w:rPr>
        <w:rFonts w:hint="default"/>
      </w:rPr>
    </w:lvl>
    <w:lvl w:ilvl="1" w:tplc="91AE33F4" w:tentative="1">
      <w:start w:val="1"/>
      <w:numFmt w:val="lowerLetter"/>
      <w:lvlText w:val="%2."/>
      <w:lvlJc w:val="left"/>
      <w:pPr>
        <w:tabs>
          <w:tab w:val="num" w:pos="1080"/>
        </w:tabs>
        <w:ind w:left="1080" w:hanging="360"/>
      </w:pPr>
    </w:lvl>
    <w:lvl w:ilvl="2" w:tplc="74F2CE2E" w:tentative="1">
      <w:start w:val="1"/>
      <w:numFmt w:val="lowerRoman"/>
      <w:lvlText w:val="%3."/>
      <w:lvlJc w:val="right"/>
      <w:pPr>
        <w:tabs>
          <w:tab w:val="num" w:pos="1800"/>
        </w:tabs>
        <w:ind w:left="1800" w:hanging="180"/>
      </w:pPr>
    </w:lvl>
    <w:lvl w:ilvl="3" w:tplc="45F40C66" w:tentative="1">
      <w:start w:val="1"/>
      <w:numFmt w:val="decimal"/>
      <w:lvlText w:val="%4."/>
      <w:lvlJc w:val="left"/>
      <w:pPr>
        <w:tabs>
          <w:tab w:val="num" w:pos="2520"/>
        </w:tabs>
        <w:ind w:left="2520" w:hanging="360"/>
      </w:pPr>
    </w:lvl>
    <w:lvl w:ilvl="4" w:tplc="20B05024" w:tentative="1">
      <w:start w:val="1"/>
      <w:numFmt w:val="lowerLetter"/>
      <w:lvlText w:val="%5."/>
      <w:lvlJc w:val="left"/>
      <w:pPr>
        <w:tabs>
          <w:tab w:val="num" w:pos="3240"/>
        </w:tabs>
        <w:ind w:left="3240" w:hanging="360"/>
      </w:pPr>
    </w:lvl>
    <w:lvl w:ilvl="5" w:tplc="E7F646FA" w:tentative="1">
      <w:start w:val="1"/>
      <w:numFmt w:val="lowerRoman"/>
      <w:lvlText w:val="%6."/>
      <w:lvlJc w:val="right"/>
      <w:pPr>
        <w:tabs>
          <w:tab w:val="num" w:pos="3960"/>
        </w:tabs>
        <w:ind w:left="3960" w:hanging="180"/>
      </w:pPr>
    </w:lvl>
    <w:lvl w:ilvl="6" w:tplc="49F6C5EA" w:tentative="1">
      <w:start w:val="1"/>
      <w:numFmt w:val="decimal"/>
      <w:lvlText w:val="%7."/>
      <w:lvlJc w:val="left"/>
      <w:pPr>
        <w:tabs>
          <w:tab w:val="num" w:pos="4680"/>
        </w:tabs>
        <w:ind w:left="4680" w:hanging="360"/>
      </w:pPr>
    </w:lvl>
    <w:lvl w:ilvl="7" w:tplc="1B1073E2" w:tentative="1">
      <w:start w:val="1"/>
      <w:numFmt w:val="lowerLetter"/>
      <w:lvlText w:val="%8."/>
      <w:lvlJc w:val="left"/>
      <w:pPr>
        <w:tabs>
          <w:tab w:val="num" w:pos="5400"/>
        </w:tabs>
        <w:ind w:left="5400" w:hanging="360"/>
      </w:pPr>
    </w:lvl>
    <w:lvl w:ilvl="8" w:tplc="1ECE232C" w:tentative="1">
      <w:start w:val="1"/>
      <w:numFmt w:val="lowerRoman"/>
      <w:lvlText w:val="%9."/>
      <w:lvlJc w:val="right"/>
      <w:pPr>
        <w:tabs>
          <w:tab w:val="num" w:pos="6120"/>
        </w:tabs>
        <w:ind w:left="6120" w:hanging="180"/>
      </w:pPr>
    </w:lvl>
  </w:abstractNum>
  <w:abstractNum w:abstractNumId="19"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2" w15:restartNumberingAfterBreak="0">
    <w:nsid w:val="69E95A54"/>
    <w:multiLevelType w:val="hybridMultilevel"/>
    <w:tmpl w:val="3C18EFB0"/>
    <w:lvl w:ilvl="0" w:tplc="9FF02CEA">
      <w:start w:val="1"/>
      <w:numFmt w:val="bullet"/>
      <w:lvlText w:val=""/>
      <w:lvlJc w:val="left"/>
      <w:pPr>
        <w:tabs>
          <w:tab w:val="num" w:pos="397"/>
        </w:tabs>
        <w:ind w:left="397" w:hanging="397"/>
      </w:pPr>
      <w:rPr>
        <w:rFonts w:ascii="Symbol" w:hAnsi="Symbol" w:hint="default"/>
      </w:rPr>
    </w:lvl>
    <w:lvl w:ilvl="1" w:tplc="7EAE5634" w:tentative="1">
      <w:start w:val="1"/>
      <w:numFmt w:val="bullet"/>
      <w:lvlText w:val="o"/>
      <w:lvlJc w:val="left"/>
      <w:pPr>
        <w:tabs>
          <w:tab w:val="num" w:pos="1440"/>
        </w:tabs>
        <w:ind w:left="1440" w:hanging="360"/>
      </w:pPr>
      <w:rPr>
        <w:rFonts w:ascii="Courier New" w:hAnsi="Courier New" w:cs="Courier New" w:hint="default"/>
      </w:rPr>
    </w:lvl>
    <w:lvl w:ilvl="2" w:tplc="7CA8A276" w:tentative="1">
      <w:start w:val="1"/>
      <w:numFmt w:val="bullet"/>
      <w:lvlText w:val=""/>
      <w:lvlJc w:val="left"/>
      <w:pPr>
        <w:tabs>
          <w:tab w:val="num" w:pos="2160"/>
        </w:tabs>
        <w:ind w:left="2160" w:hanging="360"/>
      </w:pPr>
      <w:rPr>
        <w:rFonts w:ascii="Wingdings" w:hAnsi="Wingdings" w:hint="default"/>
      </w:rPr>
    </w:lvl>
    <w:lvl w:ilvl="3" w:tplc="2C74A652" w:tentative="1">
      <w:start w:val="1"/>
      <w:numFmt w:val="bullet"/>
      <w:lvlText w:val=""/>
      <w:lvlJc w:val="left"/>
      <w:pPr>
        <w:tabs>
          <w:tab w:val="num" w:pos="2880"/>
        </w:tabs>
        <w:ind w:left="2880" w:hanging="360"/>
      </w:pPr>
      <w:rPr>
        <w:rFonts w:ascii="Symbol" w:hAnsi="Symbol" w:hint="default"/>
      </w:rPr>
    </w:lvl>
    <w:lvl w:ilvl="4" w:tplc="22E03E16" w:tentative="1">
      <w:start w:val="1"/>
      <w:numFmt w:val="bullet"/>
      <w:lvlText w:val="o"/>
      <w:lvlJc w:val="left"/>
      <w:pPr>
        <w:tabs>
          <w:tab w:val="num" w:pos="3600"/>
        </w:tabs>
        <w:ind w:left="3600" w:hanging="360"/>
      </w:pPr>
      <w:rPr>
        <w:rFonts w:ascii="Courier New" w:hAnsi="Courier New" w:cs="Courier New" w:hint="default"/>
      </w:rPr>
    </w:lvl>
    <w:lvl w:ilvl="5" w:tplc="2258FDA0" w:tentative="1">
      <w:start w:val="1"/>
      <w:numFmt w:val="bullet"/>
      <w:lvlText w:val=""/>
      <w:lvlJc w:val="left"/>
      <w:pPr>
        <w:tabs>
          <w:tab w:val="num" w:pos="4320"/>
        </w:tabs>
        <w:ind w:left="4320" w:hanging="360"/>
      </w:pPr>
      <w:rPr>
        <w:rFonts w:ascii="Wingdings" w:hAnsi="Wingdings" w:hint="default"/>
      </w:rPr>
    </w:lvl>
    <w:lvl w:ilvl="6" w:tplc="8362DB44" w:tentative="1">
      <w:start w:val="1"/>
      <w:numFmt w:val="bullet"/>
      <w:lvlText w:val=""/>
      <w:lvlJc w:val="left"/>
      <w:pPr>
        <w:tabs>
          <w:tab w:val="num" w:pos="5040"/>
        </w:tabs>
        <w:ind w:left="5040" w:hanging="360"/>
      </w:pPr>
      <w:rPr>
        <w:rFonts w:ascii="Symbol" w:hAnsi="Symbol" w:hint="default"/>
      </w:rPr>
    </w:lvl>
    <w:lvl w:ilvl="7" w:tplc="3BBCEBAA" w:tentative="1">
      <w:start w:val="1"/>
      <w:numFmt w:val="bullet"/>
      <w:lvlText w:val="o"/>
      <w:lvlJc w:val="left"/>
      <w:pPr>
        <w:tabs>
          <w:tab w:val="num" w:pos="5760"/>
        </w:tabs>
        <w:ind w:left="5760" w:hanging="360"/>
      </w:pPr>
      <w:rPr>
        <w:rFonts w:ascii="Courier New" w:hAnsi="Courier New" w:cs="Courier New" w:hint="default"/>
      </w:rPr>
    </w:lvl>
    <w:lvl w:ilvl="8" w:tplc="5C90620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5" w15:restartNumberingAfterBreak="0">
    <w:nsid w:val="6F9337D0"/>
    <w:multiLevelType w:val="hybridMultilevel"/>
    <w:tmpl w:val="B6C885E6"/>
    <w:lvl w:ilvl="0" w:tplc="81508194">
      <w:start w:val="1"/>
      <w:numFmt w:val="bullet"/>
      <w:lvlText w:val=""/>
      <w:lvlJc w:val="left"/>
      <w:pPr>
        <w:tabs>
          <w:tab w:val="num" w:pos="720"/>
        </w:tabs>
        <w:ind w:left="720" w:hanging="360"/>
      </w:pPr>
      <w:rPr>
        <w:rFonts w:ascii="Symbol" w:hAnsi="Symbol" w:hint="default"/>
      </w:rPr>
    </w:lvl>
    <w:lvl w:ilvl="1" w:tplc="9856BA86" w:tentative="1">
      <w:start w:val="1"/>
      <w:numFmt w:val="bullet"/>
      <w:lvlText w:val="o"/>
      <w:lvlJc w:val="left"/>
      <w:pPr>
        <w:tabs>
          <w:tab w:val="num" w:pos="1440"/>
        </w:tabs>
        <w:ind w:left="1440" w:hanging="360"/>
      </w:pPr>
      <w:rPr>
        <w:rFonts w:ascii="Courier New" w:hAnsi="Courier New" w:cs="Courier New" w:hint="default"/>
      </w:rPr>
    </w:lvl>
    <w:lvl w:ilvl="2" w:tplc="59B00FB6" w:tentative="1">
      <w:start w:val="1"/>
      <w:numFmt w:val="bullet"/>
      <w:lvlText w:val=""/>
      <w:lvlJc w:val="left"/>
      <w:pPr>
        <w:tabs>
          <w:tab w:val="num" w:pos="2160"/>
        </w:tabs>
        <w:ind w:left="2160" w:hanging="360"/>
      </w:pPr>
      <w:rPr>
        <w:rFonts w:ascii="Wingdings" w:hAnsi="Wingdings" w:hint="default"/>
      </w:rPr>
    </w:lvl>
    <w:lvl w:ilvl="3" w:tplc="3814BF5E" w:tentative="1">
      <w:start w:val="1"/>
      <w:numFmt w:val="bullet"/>
      <w:lvlText w:val=""/>
      <w:lvlJc w:val="left"/>
      <w:pPr>
        <w:tabs>
          <w:tab w:val="num" w:pos="2880"/>
        </w:tabs>
        <w:ind w:left="2880" w:hanging="360"/>
      </w:pPr>
      <w:rPr>
        <w:rFonts w:ascii="Symbol" w:hAnsi="Symbol" w:hint="default"/>
      </w:rPr>
    </w:lvl>
    <w:lvl w:ilvl="4" w:tplc="FA7ADA8A" w:tentative="1">
      <w:start w:val="1"/>
      <w:numFmt w:val="bullet"/>
      <w:lvlText w:val="o"/>
      <w:lvlJc w:val="left"/>
      <w:pPr>
        <w:tabs>
          <w:tab w:val="num" w:pos="3600"/>
        </w:tabs>
        <w:ind w:left="3600" w:hanging="360"/>
      </w:pPr>
      <w:rPr>
        <w:rFonts w:ascii="Courier New" w:hAnsi="Courier New" w:cs="Courier New" w:hint="default"/>
      </w:rPr>
    </w:lvl>
    <w:lvl w:ilvl="5" w:tplc="9E2A1BD8" w:tentative="1">
      <w:start w:val="1"/>
      <w:numFmt w:val="bullet"/>
      <w:lvlText w:val=""/>
      <w:lvlJc w:val="left"/>
      <w:pPr>
        <w:tabs>
          <w:tab w:val="num" w:pos="4320"/>
        </w:tabs>
        <w:ind w:left="4320" w:hanging="360"/>
      </w:pPr>
      <w:rPr>
        <w:rFonts w:ascii="Wingdings" w:hAnsi="Wingdings" w:hint="default"/>
      </w:rPr>
    </w:lvl>
    <w:lvl w:ilvl="6" w:tplc="7DA6BBFA" w:tentative="1">
      <w:start w:val="1"/>
      <w:numFmt w:val="bullet"/>
      <w:lvlText w:val=""/>
      <w:lvlJc w:val="left"/>
      <w:pPr>
        <w:tabs>
          <w:tab w:val="num" w:pos="5040"/>
        </w:tabs>
        <w:ind w:left="5040" w:hanging="360"/>
      </w:pPr>
      <w:rPr>
        <w:rFonts w:ascii="Symbol" w:hAnsi="Symbol" w:hint="default"/>
      </w:rPr>
    </w:lvl>
    <w:lvl w:ilvl="7" w:tplc="0F38173A" w:tentative="1">
      <w:start w:val="1"/>
      <w:numFmt w:val="bullet"/>
      <w:lvlText w:val="o"/>
      <w:lvlJc w:val="left"/>
      <w:pPr>
        <w:tabs>
          <w:tab w:val="num" w:pos="5760"/>
        </w:tabs>
        <w:ind w:left="5760" w:hanging="360"/>
      </w:pPr>
      <w:rPr>
        <w:rFonts w:ascii="Courier New" w:hAnsi="Courier New" w:cs="Courier New" w:hint="default"/>
      </w:rPr>
    </w:lvl>
    <w:lvl w:ilvl="8" w:tplc="6ABE915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AB50F1"/>
    <w:multiLevelType w:val="hybridMultilevel"/>
    <w:tmpl w:val="64CEA6CC"/>
    <w:lvl w:ilvl="0" w:tplc="4F4EBB38">
      <w:start w:val="1"/>
      <w:numFmt w:val="decimal"/>
      <w:lvlText w:val="%1)"/>
      <w:lvlJc w:val="left"/>
      <w:pPr>
        <w:ind w:left="720" w:hanging="360"/>
      </w:pPr>
      <w:rPr>
        <w:rFonts w:hint="default"/>
      </w:rPr>
    </w:lvl>
    <w:lvl w:ilvl="1" w:tplc="EA4A9A34" w:tentative="1">
      <w:start w:val="1"/>
      <w:numFmt w:val="lowerLetter"/>
      <w:lvlText w:val="%2."/>
      <w:lvlJc w:val="left"/>
      <w:pPr>
        <w:ind w:left="1440" w:hanging="360"/>
      </w:pPr>
    </w:lvl>
    <w:lvl w:ilvl="2" w:tplc="34CCE5BC" w:tentative="1">
      <w:start w:val="1"/>
      <w:numFmt w:val="lowerRoman"/>
      <w:lvlText w:val="%3."/>
      <w:lvlJc w:val="right"/>
      <w:pPr>
        <w:ind w:left="2160" w:hanging="180"/>
      </w:pPr>
    </w:lvl>
    <w:lvl w:ilvl="3" w:tplc="F412044A" w:tentative="1">
      <w:start w:val="1"/>
      <w:numFmt w:val="decimal"/>
      <w:lvlText w:val="%4."/>
      <w:lvlJc w:val="left"/>
      <w:pPr>
        <w:ind w:left="2880" w:hanging="360"/>
      </w:pPr>
    </w:lvl>
    <w:lvl w:ilvl="4" w:tplc="D0C0D022" w:tentative="1">
      <w:start w:val="1"/>
      <w:numFmt w:val="lowerLetter"/>
      <w:lvlText w:val="%5."/>
      <w:lvlJc w:val="left"/>
      <w:pPr>
        <w:ind w:left="3600" w:hanging="360"/>
      </w:pPr>
    </w:lvl>
    <w:lvl w:ilvl="5" w:tplc="661A6900" w:tentative="1">
      <w:start w:val="1"/>
      <w:numFmt w:val="lowerRoman"/>
      <w:lvlText w:val="%6."/>
      <w:lvlJc w:val="right"/>
      <w:pPr>
        <w:ind w:left="4320" w:hanging="180"/>
      </w:pPr>
    </w:lvl>
    <w:lvl w:ilvl="6" w:tplc="9C98EAF4" w:tentative="1">
      <w:start w:val="1"/>
      <w:numFmt w:val="decimal"/>
      <w:lvlText w:val="%7."/>
      <w:lvlJc w:val="left"/>
      <w:pPr>
        <w:ind w:left="5040" w:hanging="360"/>
      </w:pPr>
    </w:lvl>
    <w:lvl w:ilvl="7" w:tplc="14E4E34E" w:tentative="1">
      <w:start w:val="1"/>
      <w:numFmt w:val="lowerLetter"/>
      <w:lvlText w:val="%8."/>
      <w:lvlJc w:val="left"/>
      <w:pPr>
        <w:ind w:left="5760" w:hanging="360"/>
      </w:pPr>
    </w:lvl>
    <w:lvl w:ilvl="8" w:tplc="D506CFD4" w:tentative="1">
      <w:start w:val="1"/>
      <w:numFmt w:val="lowerRoman"/>
      <w:lvlText w:val="%9."/>
      <w:lvlJc w:val="right"/>
      <w:pPr>
        <w:ind w:left="6480" w:hanging="180"/>
      </w:pPr>
    </w:lvl>
  </w:abstractNum>
  <w:abstractNum w:abstractNumId="27"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B136C31"/>
    <w:multiLevelType w:val="hybridMultilevel"/>
    <w:tmpl w:val="D8E2FC5A"/>
    <w:lvl w:ilvl="0" w:tplc="CFB4B8E6">
      <w:start w:val="1"/>
      <w:numFmt w:val="upperLetter"/>
      <w:lvlText w:val="%1."/>
      <w:lvlJc w:val="left"/>
      <w:pPr>
        <w:ind w:left="577" w:hanging="450"/>
      </w:pPr>
      <w:rPr>
        <w:rFonts w:hint="default"/>
      </w:rPr>
    </w:lvl>
    <w:lvl w:ilvl="1" w:tplc="E59AD6D0">
      <w:start w:val="1"/>
      <w:numFmt w:val="decimal"/>
      <w:lvlText w:val="%2."/>
      <w:lvlJc w:val="left"/>
      <w:pPr>
        <w:ind w:left="1417" w:hanging="570"/>
      </w:pPr>
      <w:rPr>
        <w:rFonts w:hint="default"/>
        <w:b/>
      </w:rPr>
    </w:lvl>
    <w:lvl w:ilvl="2" w:tplc="90D026CA" w:tentative="1">
      <w:start w:val="1"/>
      <w:numFmt w:val="lowerRoman"/>
      <w:lvlText w:val="%3."/>
      <w:lvlJc w:val="right"/>
      <w:pPr>
        <w:ind w:left="1927" w:hanging="180"/>
      </w:pPr>
    </w:lvl>
    <w:lvl w:ilvl="3" w:tplc="8D9E6604" w:tentative="1">
      <w:start w:val="1"/>
      <w:numFmt w:val="decimal"/>
      <w:lvlText w:val="%4."/>
      <w:lvlJc w:val="left"/>
      <w:pPr>
        <w:ind w:left="2647" w:hanging="360"/>
      </w:pPr>
    </w:lvl>
    <w:lvl w:ilvl="4" w:tplc="37FE7808" w:tentative="1">
      <w:start w:val="1"/>
      <w:numFmt w:val="lowerLetter"/>
      <w:lvlText w:val="%5."/>
      <w:lvlJc w:val="left"/>
      <w:pPr>
        <w:ind w:left="3367" w:hanging="360"/>
      </w:pPr>
    </w:lvl>
    <w:lvl w:ilvl="5" w:tplc="31D65DD0" w:tentative="1">
      <w:start w:val="1"/>
      <w:numFmt w:val="lowerRoman"/>
      <w:lvlText w:val="%6."/>
      <w:lvlJc w:val="right"/>
      <w:pPr>
        <w:ind w:left="4087" w:hanging="180"/>
      </w:pPr>
    </w:lvl>
    <w:lvl w:ilvl="6" w:tplc="5AA860D8" w:tentative="1">
      <w:start w:val="1"/>
      <w:numFmt w:val="decimal"/>
      <w:lvlText w:val="%7."/>
      <w:lvlJc w:val="left"/>
      <w:pPr>
        <w:ind w:left="4807" w:hanging="360"/>
      </w:pPr>
    </w:lvl>
    <w:lvl w:ilvl="7" w:tplc="C0EE0256" w:tentative="1">
      <w:start w:val="1"/>
      <w:numFmt w:val="lowerLetter"/>
      <w:lvlText w:val="%8."/>
      <w:lvlJc w:val="left"/>
      <w:pPr>
        <w:ind w:left="5527" w:hanging="360"/>
      </w:pPr>
    </w:lvl>
    <w:lvl w:ilvl="8" w:tplc="DFA09382" w:tentative="1">
      <w:start w:val="1"/>
      <w:numFmt w:val="lowerRoman"/>
      <w:lvlText w:val="%9."/>
      <w:lvlJc w:val="right"/>
      <w:pPr>
        <w:ind w:left="6247" w:hanging="180"/>
      </w:pPr>
    </w:lvl>
  </w:abstractNum>
  <w:num w:numId="1">
    <w:abstractNumId w:val="2"/>
  </w:num>
  <w:num w:numId="2">
    <w:abstractNumId w:val="2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1"/>
  </w:num>
  <w:num w:numId="6">
    <w:abstractNumId w:val="18"/>
  </w:num>
  <w:num w:numId="7">
    <w:abstractNumId w:val="11"/>
  </w:num>
  <w:num w:numId="8">
    <w:abstractNumId w:val="14"/>
  </w:num>
  <w:num w:numId="9">
    <w:abstractNumId w:val="26"/>
  </w:num>
  <w:num w:numId="10">
    <w:abstractNumId w:val="1"/>
  </w:num>
  <w:num w:numId="11">
    <w:abstractNumId w:val="23"/>
  </w:num>
  <w:num w:numId="12">
    <w:abstractNumId w:val="12"/>
  </w:num>
  <w:num w:numId="13">
    <w:abstractNumId w:val="7"/>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24"/>
  </w:num>
  <w:num w:numId="17">
    <w:abstractNumId w:val="15"/>
  </w:num>
  <w:num w:numId="18">
    <w:abstractNumId w:val="17"/>
  </w:num>
  <w:num w:numId="19">
    <w:abstractNumId w:val="27"/>
  </w:num>
  <w:num w:numId="20">
    <w:abstractNumId w:val="19"/>
  </w:num>
  <w:num w:numId="21">
    <w:abstractNumId w:val="25"/>
  </w:num>
  <w:num w:numId="22">
    <w:abstractNumId w:val="22"/>
  </w:num>
  <w:num w:numId="23">
    <w:abstractNumId w:val="10"/>
  </w:num>
  <w:num w:numId="24">
    <w:abstractNumId w:val="25"/>
  </w:num>
  <w:num w:numId="25">
    <w:abstractNumId w:val="5"/>
  </w:num>
  <w:num w:numId="26">
    <w:abstractNumId w:val="9"/>
  </w:num>
  <w:num w:numId="27">
    <w:abstractNumId w:val="13"/>
  </w:num>
  <w:num w:numId="28">
    <w:abstractNumId w:val="16"/>
  </w:num>
  <w:num w:numId="29">
    <w:abstractNumId w:val="4"/>
  </w:num>
  <w:num w:numId="30">
    <w:abstractNumId w:val="28"/>
  </w:num>
  <w:num w:numId="31">
    <w:abstractNumId w:val="3"/>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EE0DE6"/>
    <w:rsid w:val="000064EF"/>
    <w:rsid w:val="00012BC9"/>
    <w:rsid w:val="00012F06"/>
    <w:rsid w:val="00041F81"/>
    <w:rsid w:val="00054688"/>
    <w:rsid w:val="000770C8"/>
    <w:rsid w:val="000E1DB9"/>
    <w:rsid w:val="001359B4"/>
    <w:rsid w:val="001406CD"/>
    <w:rsid w:val="00154BEF"/>
    <w:rsid w:val="0015771B"/>
    <w:rsid w:val="00194D76"/>
    <w:rsid w:val="001A68B9"/>
    <w:rsid w:val="002039DB"/>
    <w:rsid w:val="002503BA"/>
    <w:rsid w:val="0027616F"/>
    <w:rsid w:val="002F17B8"/>
    <w:rsid w:val="00301129"/>
    <w:rsid w:val="00364FFE"/>
    <w:rsid w:val="0036776A"/>
    <w:rsid w:val="003D2C5D"/>
    <w:rsid w:val="003E6709"/>
    <w:rsid w:val="003F4CAD"/>
    <w:rsid w:val="004136FC"/>
    <w:rsid w:val="004279D8"/>
    <w:rsid w:val="00453188"/>
    <w:rsid w:val="004A5CE1"/>
    <w:rsid w:val="004D1222"/>
    <w:rsid w:val="004D588C"/>
    <w:rsid w:val="004F4333"/>
    <w:rsid w:val="00516B81"/>
    <w:rsid w:val="00525E4F"/>
    <w:rsid w:val="00550AE4"/>
    <w:rsid w:val="005C4EEA"/>
    <w:rsid w:val="005D2B6B"/>
    <w:rsid w:val="005E15EF"/>
    <w:rsid w:val="005F19DA"/>
    <w:rsid w:val="00614344"/>
    <w:rsid w:val="006455D9"/>
    <w:rsid w:val="00651B2F"/>
    <w:rsid w:val="00652030"/>
    <w:rsid w:val="006562DA"/>
    <w:rsid w:val="006C35A6"/>
    <w:rsid w:val="006F2372"/>
    <w:rsid w:val="007059B1"/>
    <w:rsid w:val="00736012"/>
    <w:rsid w:val="00755683"/>
    <w:rsid w:val="007609DA"/>
    <w:rsid w:val="00793AEE"/>
    <w:rsid w:val="007A69A2"/>
    <w:rsid w:val="007C2C35"/>
    <w:rsid w:val="007F00BF"/>
    <w:rsid w:val="00827071"/>
    <w:rsid w:val="008355A1"/>
    <w:rsid w:val="0084786A"/>
    <w:rsid w:val="008928A0"/>
    <w:rsid w:val="008A57FB"/>
    <w:rsid w:val="008A7384"/>
    <w:rsid w:val="008B6EC3"/>
    <w:rsid w:val="008D460A"/>
    <w:rsid w:val="00900DED"/>
    <w:rsid w:val="009325EE"/>
    <w:rsid w:val="00940A33"/>
    <w:rsid w:val="00941A41"/>
    <w:rsid w:val="00945CAE"/>
    <w:rsid w:val="009B5ADF"/>
    <w:rsid w:val="009F52CB"/>
    <w:rsid w:val="00A1385D"/>
    <w:rsid w:val="00A31F8C"/>
    <w:rsid w:val="00A46995"/>
    <w:rsid w:val="00A47F8B"/>
    <w:rsid w:val="00A72414"/>
    <w:rsid w:val="00A819F1"/>
    <w:rsid w:val="00AC5A38"/>
    <w:rsid w:val="00AD254F"/>
    <w:rsid w:val="00AD7F1B"/>
    <w:rsid w:val="00AF50F3"/>
    <w:rsid w:val="00AF5AF7"/>
    <w:rsid w:val="00BD0622"/>
    <w:rsid w:val="00BD31E6"/>
    <w:rsid w:val="00BD66C5"/>
    <w:rsid w:val="00BE6FEB"/>
    <w:rsid w:val="00C052F4"/>
    <w:rsid w:val="00C40E78"/>
    <w:rsid w:val="00C9068C"/>
    <w:rsid w:val="00C96159"/>
    <w:rsid w:val="00C97614"/>
    <w:rsid w:val="00CA00EF"/>
    <w:rsid w:val="00CA1744"/>
    <w:rsid w:val="00CD0945"/>
    <w:rsid w:val="00CF30F4"/>
    <w:rsid w:val="00D52456"/>
    <w:rsid w:val="00D61C41"/>
    <w:rsid w:val="00D754E5"/>
    <w:rsid w:val="00D83D73"/>
    <w:rsid w:val="00D92215"/>
    <w:rsid w:val="00DC3E6B"/>
    <w:rsid w:val="00DD1417"/>
    <w:rsid w:val="00DF4B2C"/>
    <w:rsid w:val="00DF56B4"/>
    <w:rsid w:val="00E23091"/>
    <w:rsid w:val="00E504F6"/>
    <w:rsid w:val="00E56948"/>
    <w:rsid w:val="00E758F6"/>
    <w:rsid w:val="00EA25EA"/>
    <w:rsid w:val="00EE0DE6"/>
    <w:rsid w:val="00F02AD8"/>
    <w:rsid w:val="00F241E9"/>
    <w:rsid w:val="00F83D4B"/>
    <w:rsid w:val="00F90E0F"/>
    <w:rsid w:val="00FE0ADF"/>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83852358-E27B-46E9-8BF5-112993DD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cs-CZ" w:eastAsia="cs-CZ" w:bidi="cs-CZ"/>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semiHidden/>
    <w:unhideWhenUsed/>
    <w:pPr>
      <w:spacing w:line="240" w:lineRule="auto"/>
    </w:pPr>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cs-CZ" w:eastAsia="cs-CZ" w:bidi="cs-CZ"/>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cs-CZ" w:eastAsia="cs-CZ" w:bidi="cs-CZ"/>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cs-CZ" w:eastAsia="cs-CZ" w:bidi="cs-CZ"/>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lang w:eastAsia="cs-CZ"/>
    </w:rPr>
  </w:style>
  <w:style w:type="character" w:customStyle="1" w:styleId="CommentSubjectChar">
    <w:name w:val="Comment Subject Char"/>
    <w:link w:val="CommentSubject"/>
    <w:rsid w:val="00BC6DC2"/>
    <w:rPr>
      <w:rFonts w:eastAsia="Times New Roman"/>
      <w:b/>
      <w:bCs/>
      <w:lang w:eastAsia="cs-CZ"/>
    </w:rPr>
  </w:style>
  <w:style w:type="paragraph" w:styleId="Revision">
    <w:name w:val="Revision"/>
    <w:hidden/>
    <w:uiPriority w:val="99"/>
    <w:semiHidden/>
    <w:rsid w:val="00B21BE7"/>
    <w:rPr>
      <w:rFonts w:eastAsia="Times New Roman"/>
      <w:sz w:val="22"/>
    </w:rPr>
  </w:style>
  <w:style w:type="paragraph" w:customStyle="1" w:styleId="Default">
    <w:name w:val="Default"/>
    <w:rsid w:val="00C63A97"/>
    <w:pPr>
      <w:autoSpaceDE w:val="0"/>
      <w:autoSpaceDN w:val="0"/>
      <w:adjustRightInd w:val="0"/>
    </w:pPr>
    <w:rPr>
      <w:color w:val="000000"/>
      <w:sz w:val="24"/>
      <w:szCs w:val="24"/>
    </w:rPr>
  </w:style>
  <w:style w:type="paragraph" w:styleId="ListParagraph">
    <w:name w:val="List Paragraph"/>
    <w:basedOn w:val="Normal"/>
    <w:uiPriority w:val="34"/>
    <w:qFormat/>
    <w:rsid w:val="005C6784"/>
    <w:pPr>
      <w:ind w:left="720"/>
      <w:contextualSpacing/>
    </w:pPr>
  </w:style>
  <w:style w:type="paragraph" w:customStyle="1" w:styleId="No-numheading3Agency">
    <w:name w:val="No-num heading 3 (Agency)"/>
    <w:basedOn w:val="Normal"/>
    <w:next w:val="BodytextAgency"/>
    <w:link w:val="No-numheading3AgencyChar"/>
    <w:rsid w:val="006F2372"/>
    <w:pPr>
      <w:keepNext/>
      <w:tabs>
        <w:tab w:val="clear" w:pos="567"/>
      </w:tabs>
      <w:spacing w:before="280" w:after="220" w:line="240" w:lineRule="auto"/>
      <w:outlineLvl w:val="2"/>
    </w:pPr>
    <w:rPr>
      <w:rFonts w:ascii="Verdana" w:eastAsia="Verdana" w:hAnsi="Verdana"/>
      <w:b/>
      <w:bCs/>
      <w:kern w:val="32"/>
      <w:szCs w:val="22"/>
    </w:rPr>
  </w:style>
  <w:style w:type="character" w:customStyle="1" w:styleId="No-numheading3AgencyChar">
    <w:name w:val="No-num heading 3 (Agency) Char"/>
    <w:link w:val="No-numheading3Agency"/>
    <w:rsid w:val="006F2372"/>
    <w:rPr>
      <w:rFonts w:ascii="Verdana" w:eastAsia="Verdana" w:hAnsi="Verdana"/>
      <w:b/>
      <w:bCs/>
      <w:kern w:val="3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prio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upri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900FF-B6FD-4C8B-AA15-4A131532BD4E}">
  <ds:schemaRefs>
    <ds:schemaRef ds:uri="http://schemas.microsoft.com/sharepoint/v3/contenttype/forms"/>
  </ds:schemaRefs>
</ds:datastoreItem>
</file>

<file path=customXml/itemProps2.xml><?xml version="1.0" encoding="utf-8"?>
<ds:datastoreItem xmlns:ds="http://schemas.openxmlformats.org/officeDocument/2006/customXml" ds:itemID="{19AB08B2-0731-43AD-9985-53120A3AE61A}">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schemas.microsoft.com/sharepoint/v3"/>
    <ds:schemaRef ds:uri="http://www.w3.org/XML/1998/namespace"/>
  </ds:schemaRefs>
</ds:datastoreItem>
</file>

<file path=customXml/itemProps3.xml><?xml version="1.0" encoding="utf-8"?>
<ds:datastoreItem xmlns:ds="http://schemas.openxmlformats.org/officeDocument/2006/customXml" ds:itemID="{C65F099E-F399-4FAA-A32A-23316B3EC9EA}"/>
</file>

<file path=customXml/itemProps4.xml><?xml version="1.0" encoding="utf-8"?>
<ds:datastoreItem xmlns:ds="http://schemas.openxmlformats.org/officeDocument/2006/customXml" ds:itemID="{373F0CD0-7719-405B-A0F9-6AA81DB4A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4323</Words>
  <Characters>26066</Characters>
  <Application>Microsoft Office Word</Application>
  <DocSecurity>0</DocSecurity>
  <Lines>217</Lines>
  <Paragraphs>60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Cuprior, INN-Trientine tetrahydrochloride</vt:lpstr>
      <vt:lpstr>Cuprior, INN-Trientine tetrahydrochloride</vt:lpstr>
    </vt:vector>
  </TitlesOfParts>
  <Company>VCLS</Company>
  <LinksUpToDate>false</LinksUpToDate>
  <CharactersWithSpaces>30329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ema-combined-h-4005-cs-annotated</dc:title>
  <dc:subject>EPAR</dc:subject>
  <dc:creator>CHMP</dc:creator>
  <cp:keywords>Cuprior, INN-Trientine tetrahydrochloride</cp:keywords>
  <cp:lastModifiedBy>Scanlan Elizabeth</cp:lastModifiedBy>
  <cp:revision>11</cp:revision>
  <dcterms:created xsi:type="dcterms:W3CDTF">2019-08-27T09:12:00Z</dcterms:created>
  <dcterms:modified xsi:type="dcterms:W3CDTF">2021-05-24T19:51:00Z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15:43:28</vt:lpwstr>
  </property>
  <property fmtid="{D5CDD505-2E9C-101B-9397-08002B2CF9AE}" pid="6" name="DM_Creator_Name">
    <vt:lpwstr>Leszczynska Edyta</vt:lpwstr>
  </property>
  <property fmtid="{D5CDD505-2E9C-101B-9397-08002B2CF9AE}" pid="7" name="DM_DocRefId">
    <vt:lpwstr>EMA/458150/2020</vt:lpwstr>
  </property>
  <property fmtid="{D5CDD505-2E9C-101B-9397-08002B2CF9AE}" pid="8" name="DM_emea_doc_ref_id">
    <vt:lpwstr>EMA/458150/2020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15:43:28</vt:lpwstr>
  </property>
  <property fmtid="{D5CDD505-2E9C-101B-9397-08002B2CF9AE}" pid="13" name="DM_Modifier_Name">
    <vt:lpwstr>Leszczynska Edyta</vt:lpwstr>
  </property>
  <property fmtid="{D5CDD505-2E9C-101B-9397-08002B2CF9AE}" pid="14" name="DM_Modify_Date">
    <vt:lpwstr>28/08/2020 15:43:28</vt:lpwstr>
  </property>
  <property fmtid="{D5CDD505-2E9C-101B-9397-08002B2CF9AE}" pid="15" name="DM_Name">
    <vt:lpwstr>ema-combined-h-4005-cs-annotated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2021-05-24T19:51:31Z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53bee37e-f9d8-4f93-9b57-d1a09da5043f</vt:lpwstr>
  </property>
  <property fmtid="{D5CDD505-2E9C-101B-9397-08002B2CF9AE}" pid="28" name="MSIP_Label_0eea11ca-d417-4147-80ed-01a58412c458_ContentBits">
    <vt:lpwstr>2</vt:lpwstr>
  </property>
</Properties>
</file>