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F986" w14:textId="77777777" w:rsidR="00057B27" w:rsidRPr="007F7A39" w:rsidRDefault="00057B27" w:rsidP="00057B27">
      <w:pPr>
        <w:rPr>
          <w:noProof/>
        </w:rPr>
      </w:pPr>
      <w:bookmarkStart w:id="0" w:name="_GoBack"/>
      <w:bookmarkEnd w:id="0"/>
    </w:p>
    <w:p w14:paraId="7165F987" w14:textId="77777777" w:rsidR="00057B27" w:rsidRPr="007F7A39" w:rsidRDefault="00057B27" w:rsidP="00057B27">
      <w:pPr>
        <w:rPr>
          <w:noProof/>
        </w:rPr>
      </w:pPr>
    </w:p>
    <w:p w14:paraId="7165F988" w14:textId="77777777" w:rsidR="00057B27" w:rsidRPr="007F7A39" w:rsidRDefault="00057B27" w:rsidP="00057B27">
      <w:pPr>
        <w:rPr>
          <w:noProof/>
        </w:rPr>
      </w:pPr>
    </w:p>
    <w:p w14:paraId="7165F989" w14:textId="77777777" w:rsidR="00057B27" w:rsidRPr="007F7A39" w:rsidRDefault="00057B27" w:rsidP="00057B27">
      <w:pPr>
        <w:rPr>
          <w:noProof/>
        </w:rPr>
      </w:pPr>
    </w:p>
    <w:p w14:paraId="7165F98A" w14:textId="77777777" w:rsidR="00057B27" w:rsidRPr="007F7A39" w:rsidRDefault="00057B27" w:rsidP="00057B27">
      <w:pPr>
        <w:rPr>
          <w:noProof/>
          <w:szCs w:val="22"/>
        </w:rPr>
      </w:pPr>
    </w:p>
    <w:p w14:paraId="7165F98B" w14:textId="77777777" w:rsidR="00057B27" w:rsidRPr="007F7A39" w:rsidRDefault="00057B27" w:rsidP="00057B27">
      <w:pPr>
        <w:rPr>
          <w:noProof/>
          <w:szCs w:val="22"/>
        </w:rPr>
      </w:pPr>
    </w:p>
    <w:p w14:paraId="7165F98C" w14:textId="77777777" w:rsidR="00057B27" w:rsidRPr="007F7A39" w:rsidRDefault="00057B27" w:rsidP="00057B27">
      <w:pPr>
        <w:rPr>
          <w:noProof/>
          <w:szCs w:val="22"/>
        </w:rPr>
      </w:pPr>
    </w:p>
    <w:p w14:paraId="7165F98D" w14:textId="77777777" w:rsidR="00057B27" w:rsidRPr="007F7A39" w:rsidRDefault="00057B27" w:rsidP="00057B27">
      <w:pPr>
        <w:rPr>
          <w:noProof/>
          <w:szCs w:val="22"/>
        </w:rPr>
      </w:pPr>
    </w:p>
    <w:p w14:paraId="7165F98E" w14:textId="77777777" w:rsidR="00057B27" w:rsidRPr="007F7A39" w:rsidRDefault="00057B27" w:rsidP="00057B27">
      <w:pPr>
        <w:rPr>
          <w:noProof/>
          <w:szCs w:val="22"/>
        </w:rPr>
      </w:pPr>
    </w:p>
    <w:p w14:paraId="7165F98F" w14:textId="77777777" w:rsidR="00057B27" w:rsidRPr="007F7A39" w:rsidRDefault="00057B27" w:rsidP="00057B27">
      <w:pPr>
        <w:rPr>
          <w:noProof/>
          <w:szCs w:val="22"/>
        </w:rPr>
      </w:pPr>
    </w:p>
    <w:p w14:paraId="7165F990" w14:textId="77777777" w:rsidR="00057B27" w:rsidRPr="007F7A39" w:rsidRDefault="00057B27" w:rsidP="00057B27">
      <w:pPr>
        <w:rPr>
          <w:noProof/>
          <w:szCs w:val="22"/>
        </w:rPr>
      </w:pPr>
    </w:p>
    <w:p w14:paraId="7165F991" w14:textId="77777777" w:rsidR="00057B27" w:rsidRPr="007F7A39" w:rsidRDefault="00057B27" w:rsidP="00057B27">
      <w:pPr>
        <w:rPr>
          <w:noProof/>
          <w:szCs w:val="22"/>
        </w:rPr>
      </w:pPr>
    </w:p>
    <w:p w14:paraId="7165F992" w14:textId="77777777" w:rsidR="00057B27" w:rsidRPr="007F7A39" w:rsidRDefault="00057B27" w:rsidP="00057B27">
      <w:pPr>
        <w:rPr>
          <w:noProof/>
          <w:szCs w:val="22"/>
        </w:rPr>
      </w:pPr>
    </w:p>
    <w:p w14:paraId="7165F993" w14:textId="77777777" w:rsidR="00057B27" w:rsidRPr="007F7A39" w:rsidRDefault="00057B27" w:rsidP="00057B27">
      <w:pPr>
        <w:rPr>
          <w:noProof/>
          <w:szCs w:val="22"/>
        </w:rPr>
      </w:pPr>
    </w:p>
    <w:p w14:paraId="7165F994" w14:textId="77777777" w:rsidR="00057B27" w:rsidRPr="007F7A39" w:rsidRDefault="00057B27" w:rsidP="00057B27">
      <w:pPr>
        <w:rPr>
          <w:noProof/>
          <w:szCs w:val="22"/>
        </w:rPr>
      </w:pPr>
    </w:p>
    <w:p w14:paraId="7165F995" w14:textId="77777777" w:rsidR="00057B27" w:rsidRPr="007F7A39" w:rsidRDefault="00057B27" w:rsidP="00057B27">
      <w:pPr>
        <w:rPr>
          <w:noProof/>
          <w:szCs w:val="22"/>
        </w:rPr>
      </w:pPr>
    </w:p>
    <w:p w14:paraId="7165F996" w14:textId="77777777" w:rsidR="00057B27" w:rsidRPr="007F7A39" w:rsidRDefault="00057B27" w:rsidP="00057B27">
      <w:pPr>
        <w:rPr>
          <w:noProof/>
          <w:szCs w:val="22"/>
        </w:rPr>
      </w:pPr>
    </w:p>
    <w:p w14:paraId="7165F997" w14:textId="77777777" w:rsidR="00057B27" w:rsidRPr="007F7A39" w:rsidRDefault="00057B27" w:rsidP="00057B27"/>
    <w:p w14:paraId="7165F998" w14:textId="77777777" w:rsidR="00057B27" w:rsidRPr="007F7A39" w:rsidRDefault="00057B27" w:rsidP="00057B27"/>
    <w:p w14:paraId="7165F999" w14:textId="77777777" w:rsidR="00057B27" w:rsidRPr="007F7A39" w:rsidRDefault="00057B27" w:rsidP="00057B27"/>
    <w:p w14:paraId="7165F99A" w14:textId="77777777" w:rsidR="00057B27" w:rsidRPr="007F7A39" w:rsidRDefault="00057B27" w:rsidP="00057B27"/>
    <w:p w14:paraId="7165F99B" w14:textId="77777777" w:rsidR="00057B27" w:rsidRPr="007F7A39" w:rsidRDefault="00057B27" w:rsidP="00057B27"/>
    <w:p w14:paraId="7165F99C" w14:textId="77777777" w:rsidR="00057B27" w:rsidRPr="007F7A39" w:rsidRDefault="0092445A" w:rsidP="00057B27">
      <w:pPr>
        <w:spacing w:line="240" w:lineRule="auto"/>
        <w:jc w:val="center"/>
        <w:outlineLvl w:val="0"/>
      </w:pPr>
      <w:r w:rsidRPr="007F7A39">
        <w:rPr>
          <w:b/>
        </w:rPr>
        <w:t>ANHANG I</w:t>
      </w:r>
    </w:p>
    <w:p w14:paraId="7165F99D" w14:textId="77777777" w:rsidR="00057B27" w:rsidRPr="007F7A39" w:rsidRDefault="00057B27" w:rsidP="00057B27"/>
    <w:p w14:paraId="7165F99E" w14:textId="77777777" w:rsidR="00057B27" w:rsidRPr="007F7A39" w:rsidRDefault="0092445A" w:rsidP="00057B27">
      <w:pPr>
        <w:spacing w:line="240" w:lineRule="auto"/>
        <w:jc w:val="center"/>
        <w:outlineLvl w:val="0"/>
      </w:pPr>
      <w:r w:rsidRPr="007F7A39">
        <w:rPr>
          <w:b/>
        </w:rPr>
        <w:t>ZUSAMMENFASSUNG DER MERKMALE DES ARZNEIMITTELS</w:t>
      </w:r>
    </w:p>
    <w:p w14:paraId="7165F99F" w14:textId="77777777" w:rsidR="00057B27" w:rsidRPr="007F7A39" w:rsidRDefault="0092445A" w:rsidP="00057B27">
      <w:pPr>
        <w:pStyle w:val="ListParagraph"/>
        <w:numPr>
          <w:ilvl w:val="0"/>
          <w:numId w:val="28"/>
        </w:numPr>
        <w:spacing w:line="240" w:lineRule="auto"/>
        <w:ind w:hanging="930"/>
        <w:rPr>
          <w:b/>
        </w:rPr>
      </w:pPr>
      <w:r w:rsidRPr="007F7A39">
        <w:br w:type="page"/>
      </w:r>
      <w:r w:rsidRPr="007F7A39">
        <w:rPr>
          <w:b/>
        </w:rPr>
        <w:lastRenderedPageBreak/>
        <w:t>BEZEICHNUNG DES ARZNEIMITTELS</w:t>
      </w:r>
    </w:p>
    <w:p w14:paraId="7165F9A0" w14:textId="77777777" w:rsidR="00057B27" w:rsidRPr="007F7A39" w:rsidRDefault="00057B27" w:rsidP="00057B27">
      <w:pPr>
        <w:spacing w:line="240" w:lineRule="auto"/>
        <w:rPr>
          <w:iCs/>
          <w:noProof/>
          <w:szCs w:val="22"/>
        </w:rPr>
      </w:pPr>
    </w:p>
    <w:p w14:paraId="7165F9A1" w14:textId="6C630DA5" w:rsidR="00057B27" w:rsidRPr="007F7A39" w:rsidRDefault="0092445A" w:rsidP="00057B27">
      <w:pPr>
        <w:spacing w:line="240" w:lineRule="auto"/>
        <w:rPr>
          <w:noProof/>
          <w:szCs w:val="22"/>
        </w:rPr>
      </w:pPr>
      <w:r w:rsidRPr="007F7A39">
        <w:t xml:space="preserve">Cuprior 150 mg </w:t>
      </w:r>
      <w:r w:rsidR="0072407F" w:rsidRPr="007F7A39">
        <w:t>Filmt</w:t>
      </w:r>
      <w:r w:rsidRPr="007F7A39">
        <w:t>abletten</w:t>
      </w:r>
    </w:p>
    <w:p w14:paraId="7165F9A2" w14:textId="77777777" w:rsidR="00057B27" w:rsidRPr="007F7A39" w:rsidRDefault="00057B27" w:rsidP="00057B27">
      <w:pPr>
        <w:spacing w:line="240" w:lineRule="auto"/>
        <w:rPr>
          <w:iCs/>
          <w:noProof/>
          <w:szCs w:val="22"/>
        </w:rPr>
      </w:pPr>
    </w:p>
    <w:p w14:paraId="7165F9A3" w14:textId="77777777" w:rsidR="00057B27" w:rsidRPr="007F7A39" w:rsidRDefault="00057B27" w:rsidP="00057B27">
      <w:pPr>
        <w:spacing w:line="240" w:lineRule="auto"/>
        <w:rPr>
          <w:iCs/>
          <w:noProof/>
          <w:szCs w:val="22"/>
        </w:rPr>
      </w:pPr>
    </w:p>
    <w:p w14:paraId="7165F9A4" w14:textId="77777777" w:rsidR="00057B27" w:rsidRPr="007F7A39" w:rsidRDefault="0092445A" w:rsidP="00057B27">
      <w:pPr>
        <w:pStyle w:val="ListParagraph"/>
        <w:numPr>
          <w:ilvl w:val="0"/>
          <w:numId w:val="28"/>
        </w:numPr>
        <w:spacing w:line="240" w:lineRule="auto"/>
        <w:ind w:hanging="930"/>
        <w:rPr>
          <w:b/>
        </w:rPr>
      </w:pPr>
      <w:r w:rsidRPr="007F7A39">
        <w:rPr>
          <w:b/>
        </w:rPr>
        <w:t>QUALITATIVE UND QUANTITATIVE ZUSAMMENSETZUNG</w:t>
      </w:r>
    </w:p>
    <w:p w14:paraId="7165F9A5" w14:textId="77777777" w:rsidR="00057B27" w:rsidRPr="007F7A39" w:rsidRDefault="00057B27" w:rsidP="00057B27">
      <w:pPr>
        <w:spacing w:line="240" w:lineRule="auto"/>
        <w:rPr>
          <w:iCs/>
          <w:noProof/>
          <w:szCs w:val="22"/>
        </w:rPr>
      </w:pPr>
    </w:p>
    <w:p w14:paraId="7165F9A6" w14:textId="2F0F51CD" w:rsidR="00057B27" w:rsidRPr="007F7A39" w:rsidRDefault="0092445A" w:rsidP="00057B27">
      <w:pPr>
        <w:rPr>
          <w:szCs w:val="22"/>
        </w:rPr>
      </w:pPr>
      <w:r w:rsidRPr="007F7A39">
        <w:t xml:space="preserve">Jede </w:t>
      </w:r>
      <w:r w:rsidR="0072407F" w:rsidRPr="007F7A39">
        <w:t>Film</w:t>
      </w:r>
      <w:r w:rsidR="006D5882" w:rsidRPr="007F7A39">
        <w:t>t</w:t>
      </w:r>
      <w:r w:rsidRPr="007F7A39">
        <w:t xml:space="preserve">ablette enthält </w:t>
      </w:r>
      <w:r w:rsidRPr="007F7A39">
        <w:t>Trientintetrahydrochlorid, entsprechend 150 mg Trientin.</w:t>
      </w:r>
    </w:p>
    <w:p w14:paraId="7165F9A7" w14:textId="77777777" w:rsidR="00057B27" w:rsidRPr="007F7A39" w:rsidRDefault="00057B27" w:rsidP="00057B27">
      <w:pPr>
        <w:rPr>
          <w:szCs w:val="22"/>
        </w:rPr>
      </w:pPr>
    </w:p>
    <w:p w14:paraId="7165F9A8" w14:textId="77777777" w:rsidR="00057B27" w:rsidRPr="007F7A39" w:rsidRDefault="0092445A" w:rsidP="00057B27">
      <w:pPr>
        <w:outlineLvl w:val="0"/>
        <w:rPr>
          <w:noProof/>
          <w:szCs w:val="22"/>
        </w:rPr>
      </w:pPr>
      <w:r w:rsidRPr="007F7A39">
        <w:t>Vollständige Auflistung der sonstigen Bestandteile, siehe Abschnitt 6.1.</w:t>
      </w:r>
    </w:p>
    <w:p w14:paraId="7165F9A9" w14:textId="77777777" w:rsidR="00057B27" w:rsidRPr="007F7A39" w:rsidRDefault="00057B27" w:rsidP="00057B27">
      <w:pPr>
        <w:rPr>
          <w:noProof/>
          <w:szCs w:val="22"/>
        </w:rPr>
      </w:pPr>
    </w:p>
    <w:p w14:paraId="7165F9AA" w14:textId="77777777" w:rsidR="00057B27" w:rsidRPr="007F7A39" w:rsidRDefault="00057B27" w:rsidP="00057B27">
      <w:pPr>
        <w:spacing w:line="240" w:lineRule="auto"/>
        <w:rPr>
          <w:noProof/>
          <w:szCs w:val="22"/>
        </w:rPr>
      </w:pPr>
    </w:p>
    <w:p w14:paraId="7165F9AB" w14:textId="77777777" w:rsidR="00057B27" w:rsidRPr="007F7A39" w:rsidRDefault="0092445A" w:rsidP="00057B27">
      <w:pPr>
        <w:pStyle w:val="ListParagraph"/>
        <w:numPr>
          <w:ilvl w:val="0"/>
          <w:numId w:val="28"/>
        </w:numPr>
        <w:spacing w:line="240" w:lineRule="auto"/>
        <w:ind w:hanging="930"/>
        <w:rPr>
          <w:b/>
        </w:rPr>
      </w:pPr>
      <w:r w:rsidRPr="007F7A39">
        <w:rPr>
          <w:b/>
        </w:rPr>
        <w:t>DARREICHUNGSFORM</w:t>
      </w:r>
    </w:p>
    <w:p w14:paraId="7165F9AC" w14:textId="77777777" w:rsidR="00057B27" w:rsidRPr="007F7A39" w:rsidRDefault="00057B27" w:rsidP="00057B27">
      <w:pPr>
        <w:spacing w:line="240" w:lineRule="auto"/>
        <w:rPr>
          <w:noProof/>
          <w:szCs w:val="22"/>
        </w:rPr>
      </w:pPr>
    </w:p>
    <w:p w14:paraId="7165F9AD" w14:textId="79C1FDA9" w:rsidR="00057B27" w:rsidRPr="007F7A39" w:rsidRDefault="0092445A" w:rsidP="00057B27">
      <w:pPr>
        <w:rPr>
          <w:noProof/>
          <w:szCs w:val="22"/>
        </w:rPr>
      </w:pPr>
      <w:r w:rsidRPr="007F7A39">
        <w:t>Filmt</w:t>
      </w:r>
      <w:r w:rsidR="00F45D4A" w:rsidRPr="007F7A39">
        <w:t>ablette</w:t>
      </w:r>
      <w:r w:rsidRPr="007F7A39">
        <w:t xml:space="preserve"> (Tablette)</w:t>
      </w:r>
      <w:r w:rsidR="00F45D4A" w:rsidRPr="007F7A39">
        <w:t>.</w:t>
      </w:r>
    </w:p>
    <w:p w14:paraId="7165F9AE" w14:textId="77777777" w:rsidR="00057B27" w:rsidRPr="007F7A39" w:rsidRDefault="00057B27" w:rsidP="00057B27">
      <w:pPr>
        <w:rPr>
          <w:noProof/>
          <w:szCs w:val="22"/>
        </w:rPr>
      </w:pPr>
    </w:p>
    <w:p w14:paraId="7165F9AF" w14:textId="159C6CE5" w:rsidR="00057B27" w:rsidRPr="007F7A39" w:rsidRDefault="0092445A" w:rsidP="00057B27">
      <w:pPr>
        <w:rPr>
          <w:noProof/>
          <w:szCs w:val="22"/>
        </w:rPr>
      </w:pPr>
      <w:r w:rsidRPr="007F7A39">
        <w:t>Gelbe</w:t>
      </w:r>
      <w:r w:rsidR="00F45D4A" w:rsidRPr="007F7A39">
        <w:t xml:space="preserve">, </w:t>
      </w:r>
      <w:r w:rsidR="00FE3A19" w:rsidRPr="007F7A39">
        <w:t xml:space="preserve">16 mm x 8 mm </w:t>
      </w:r>
      <w:r w:rsidR="00F45D4A" w:rsidRPr="007F7A39">
        <w:t xml:space="preserve">längliche </w:t>
      </w:r>
      <w:r w:rsidRPr="007F7A39">
        <w:t>Filmt</w:t>
      </w:r>
      <w:r w:rsidR="00F45D4A" w:rsidRPr="007F7A39">
        <w:t xml:space="preserve">ablette mit </w:t>
      </w:r>
      <w:r w:rsidRPr="007F7A39">
        <w:t xml:space="preserve">beidseitiger </w:t>
      </w:r>
      <w:r w:rsidR="00F45D4A" w:rsidRPr="007F7A39">
        <w:t>Bruchkerbe.</w:t>
      </w:r>
    </w:p>
    <w:p w14:paraId="7165F9B0" w14:textId="77777777" w:rsidR="00057B27" w:rsidRPr="007F7A39" w:rsidRDefault="00057B27" w:rsidP="00057B27">
      <w:pPr>
        <w:rPr>
          <w:noProof/>
          <w:szCs w:val="22"/>
        </w:rPr>
      </w:pPr>
    </w:p>
    <w:p w14:paraId="7165F9B1" w14:textId="77777777" w:rsidR="00057B27" w:rsidRPr="007F7A39" w:rsidRDefault="0092445A" w:rsidP="00057B27">
      <w:pPr>
        <w:rPr>
          <w:noProof/>
          <w:szCs w:val="22"/>
        </w:rPr>
      </w:pPr>
      <w:r w:rsidRPr="007F7A39">
        <w:t>Die Ta</w:t>
      </w:r>
      <w:r w:rsidRPr="007F7A39">
        <w:t>blette kann in gleiche Dosen geteilt werden.</w:t>
      </w:r>
    </w:p>
    <w:p w14:paraId="7165F9B2" w14:textId="77777777" w:rsidR="00057B27" w:rsidRPr="007F7A39" w:rsidRDefault="00057B27" w:rsidP="00057B27">
      <w:pPr>
        <w:rPr>
          <w:noProof/>
          <w:szCs w:val="22"/>
        </w:rPr>
      </w:pPr>
    </w:p>
    <w:p w14:paraId="7165F9B3" w14:textId="77777777" w:rsidR="00057B27" w:rsidRPr="007F7A39" w:rsidRDefault="00057B27" w:rsidP="00057B27">
      <w:pPr>
        <w:rPr>
          <w:noProof/>
          <w:szCs w:val="22"/>
        </w:rPr>
      </w:pPr>
    </w:p>
    <w:p w14:paraId="7165F9B4" w14:textId="77777777" w:rsidR="00057B27" w:rsidRPr="007F7A39" w:rsidRDefault="0092445A" w:rsidP="00057B27">
      <w:pPr>
        <w:pStyle w:val="ListParagraph"/>
        <w:numPr>
          <w:ilvl w:val="0"/>
          <w:numId w:val="28"/>
        </w:numPr>
        <w:spacing w:line="240" w:lineRule="auto"/>
        <w:ind w:hanging="930"/>
        <w:rPr>
          <w:b/>
        </w:rPr>
      </w:pPr>
      <w:r w:rsidRPr="007F7A39">
        <w:rPr>
          <w:b/>
        </w:rPr>
        <w:t>KLINISCHE ANGABEN</w:t>
      </w:r>
    </w:p>
    <w:p w14:paraId="7165F9B5" w14:textId="77777777" w:rsidR="00057B27" w:rsidRPr="007F7A39" w:rsidRDefault="00057B27" w:rsidP="00057B27">
      <w:pPr>
        <w:spacing w:line="240" w:lineRule="auto"/>
        <w:rPr>
          <w:noProof/>
          <w:szCs w:val="22"/>
        </w:rPr>
      </w:pPr>
    </w:p>
    <w:p w14:paraId="7165F9B6" w14:textId="77777777" w:rsidR="00057B27" w:rsidRPr="007F7A39" w:rsidRDefault="0092445A" w:rsidP="00057B27">
      <w:pPr>
        <w:pStyle w:val="ListParagraph"/>
        <w:numPr>
          <w:ilvl w:val="1"/>
          <w:numId w:val="28"/>
        </w:numPr>
        <w:spacing w:line="240" w:lineRule="auto"/>
        <w:ind w:hanging="930"/>
        <w:outlineLvl w:val="0"/>
        <w:rPr>
          <w:noProof/>
          <w:szCs w:val="22"/>
        </w:rPr>
      </w:pPr>
      <w:r w:rsidRPr="007F7A39">
        <w:rPr>
          <w:b/>
          <w:noProof/>
        </w:rPr>
        <w:t>Anwendungsgebiete</w:t>
      </w:r>
    </w:p>
    <w:p w14:paraId="7165F9B7" w14:textId="77777777" w:rsidR="00057B27" w:rsidRPr="007F7A39" w:rsidRDefault="00057B27" w:rsidP="00057B27">
      <w:pPr>
        <w:spacing w:line="240" w:lineRule="auto"/>
        <w:rPr>
          <w:noProof/>
          <w:szCs w:val="22"/>
        </w:rPr>
      </w:pPr>
    </w:p>
    <w:p w14:paraId="7165F9B8" w14:textId="77777777" w:rsidR="00057B27" w:rsidRPr="007F7A39" w:rsidRDefault="0092445A" w:rsidP="00057B27">
      <w:pPr>
        <w:rPr>
          <w:i/>
          <w:color w:val="000000"/>
          <w:szCs w:val="22"/>
        </w:rPr>
      </w:pPr>
      <w:r w:rsidRPr="007F7A39">
        <w:t xml:space="preserve">Cuprior wird angewendet zur Behandlung von Morbus Wilson bei Erwachsenen, Jugendlichen und Kindern im Alter von 5 Jahren oder darüber mit </w:t>
      </w:r>
      <w:r w:rsidRPr="007F7A39">
        <w:t>Unverträglichkeit gegenüber einer D-Penicillamin-Therapie.</w:t>
      </w:r>
    </w:p>
    <w:p w14:paraId="7165F9B9" w14:textId="77777777" w:rsidR="00057B27" w:rsidRPr="007F7A39" w:rsidRDefault="00057B27" w:rsidP="00057B27">
      <w:pPr>
        <w:spacing w:line="240" w:lineRule="auto"/>
        <w:rPr>
          <w:noProof/>
          <w:szCs w:val="22"/>
        </w:rPr>
      </w:pPr>
    </w:p>
    <w:p w14:paraId="7165F9BA" w14:textId="77777777" w:rsidR="00057B27" w:rsidRPr="007F7A39" w:rsidRDefault="0092445A" w:rsidP="00057B27">
      <w:pPr>
        <w:pStyle w:val="ListParagraph"/>
        <w:numPr>
          <w:ilvl w:val="1"/>
          <w:numId w:val="28"/>
        </w:numPr>
        <w:spacing w:line="240" w:lineRule="auto"/>
        <w:ind w:hanging="930"/>
        <w:outlineLvl w:val="0"/>
        <w:rPr>
          <w:b/>
          <w:noProof/>
          <w:szCs w:val="22"/>
        </w:rPr>
      </w:pPr>
      <w:r w:rsidRPr="007F7A39">
        <w:rPr>
          <w:b/>
          <w:noProof/>
        </w:rPr>
        <w:t>Dosierung und Art der Anwendung</w:t>
      </w:r>
    </w:p>
    <w:p w14:paraId="7165F9BB" w14:textId="77777777" w:rsidR="00057B27" w:rsidRPr="007F7A39" w:rsidRDefault="00057B27" w:rsidP="00057B27">
      <w:pPr>
        <w:spacing w:line="240" w:lineRule="auto"/>
        <w:rPr>
          <w:szCs w:val="22"/>
        </w:rPr>
      </w:pPr>
    </w:p>
    <w:p w14:paraId="7165F9BC" w14:textId="77777777" w:rsidR="00057B27" w:rsidRPr="007F7A39" w:rsidRDefault="0092445A" w:rsidP="00057B27">
      <w:pPr>
        <w:rPr>
          <w:szCs w:val="22"/>
        </w:rPr>
      </w:pPr>
      <w:r w:rsidRPr="007F7A39">
        <w:t xml:space="preserve">Die Behandlung darf nur von Fachärzten eingeleitet werden, die Erfahrung in der Behandlung von Morbus Wilson besitzen. </w:t>
      </w:r>
    </w:p>
    <w:p w14:paraId="7165F9BD" w14:textId="77777777" w:rsidR="00057B27" w:rsidRPr="007F7A39" w:rsidRDefault="00057B27" w:rsidP="00057B27">
      <w:pPr>
        <w:rPr>
          <w:szCs w:val="22"/>
        </w:rPr>
      </w:pPr>
    </w:p>
    <w:p w14:paraId="7165F9BE" w14:textId="77777777" w:rsidR="00057B27" w:rsidRPr="007F7A39" w:rsidRDefault="0092445A" w:rsidP="00057B27">
      <w:pPr>
        <w:rPr>
          <w:szCs w:val="22"/>
        </w:rPr>
      </w:pPr>
      <w:r w:rsidRPr="007F7A39">
        <w:rPr>
          <w:u w:val="single"/>
        </w:rPr>
        <w:t>Dosierung</w:t>
      </w:r>
    </w:p>
    <w:p w14:paraId="7165F9BF" w14:textId="77777777" w:rsidR="00057B27" w:rsidRPr="007F7A39" w:rsidRDefault="0092445A" w:rsidP="00057B27">
      <w:pPr>
        <w:rPr>
          <w:rFonts w:eastAsia="SimSun"/>
          <w:szCs w:val="22"/>
        </w:rPr>
      </w:pPr>
      <w:r w:rsidRPr="007F7A39">
        <w:t xml:space="preserve">Die Anfangsdosis entspricht für </w:t>
      </w:r>
      <w:r w:rsidRPr="007F7A39">
        <w:t>gewöhnlich der niedrigsten Dosis im Dosierungsbereich und die Dosis muss nachfolgend entsprechend des klinischen Ansprechens des Patienten angepasst werden (siehe Abschnitt 4.4).</w:t>
      </w:r>
    </w:p>
    <w:p w14:paraId="7165F9C0" w14:textId="77777777" w:rsidR="00057B27" w:rsidRPr="007F7A39" w:rsidRDefault="00057B27" w:rsidP="00057B27">
      <w:pPr>
        <w:tabs>
          <w:tab w:val="clear" w:pos="567"/>
        </w:tabs>
        <w:autoSpaceDE w:val="0"/>
        <w:autoSpaceDN w:val="0"/>
        <w:adjustRightInd w:val="0"/>
        <w:spacing w:line="240" w:lineRule="auto"/>
        <w:rPr>
          <w:rFonts w:eastAsia="SimSun"/>
          <w:i/>
          <w:iCs/>
          <w:szCs w:val="22"/>
        </w:rPr>
      </w:pPr>
    </w:p>
    <w:p w14:paraId="7165F9C1" w14:textId="2D0A5220" w:rsidR="00057B27" w:rsidRPr="007F7A39" w:rsidRDefault="0092445A" w:rsidP="00057B27">
      <w:pPr>
        <w:tabs>
          <w:tab w:val="clear" w:pos="567"/>
        </w:tabs>
        <w:autoSpaceDE w:val="0"/>
        <w:autoSpaceDN w:val="0"/>
        <w:adjustRightInd w:val="0"/>
        <w:spacing w:line="240" w:lineRule="auto"/>
        <w:rPr>
          <w:rFonts w:eastAsia="SimSun"/>
          <w:iCs/>
          <w:szCs w:val="22"/>
        </w:rPr>
      </w:pPr>
      <w:r w:rsidRPr="007F7A39">
        <w:t>Die empfohlene Dosis liegt zwischen 450 mg und 975 mg (3 bis 6 </w:t>
      </w:r>
      <w:r w:rsidRPr="007F7A39">
        <w:rPr>
          <w:b/>
        </w:rPr>
        <w:t xml:space="preserve">½ </w:t>
      </w:r>
      <w:r w:rsidR="0072407F" w:rsidRPr="007F7A39">
        <w:t>Filmt</w:t>
      </w:r>
      <w:r w:rsidRPr="007F7A39">
        <w:t>ablett</w:t>
      </w:r>
      <w:r w:rsidRPr="007F7A39">
        <w:t xml:space="preserve">en) täglich, gegeben in 2 bis 4 Einzeldosen. </w:t>
      </w:r>
    </w:p>
    <w:p w14:paraId="7165F9C2" w14:textId="77777777" w:rsidR="00057B27" w:rsidRPr="007F7A39" w:rsidRDefault="00057B27" w:rsidP="00057B27">
      <w:pPr>
        <w:tabs>
          <w:tab w:val="clear" w:pos="567"/>
        </w:tabs>
        <w:autoSpaceDE w:val="0"/>
        <w:autoSpaceDN w:val="0"/>
        <w:adjustRightInd w:val="0"/>
        <w:spacing w:line="240" w:lineRule="auto"/>
        <w:rPr>
          <w:rFonts w:eastAsia="SimSun"/>
          <w:iCs/>
          <w:szCs w:val="22"/>
          <w:u w:val="single"/>
        </w:rPr>
      </w:pPr>
    </w:p>
    <w:p w14:paraId="7165F9C3" w14:textId="77777777" w:rsidR="00057B27" w:rsidRPr="007F7A39" w:rsidRDefault="0092445A" w:rsidP="00057B27">
      <w:pPr>
        <w:tabs>
          <w:tab w:val="clear" w:pos="567"/>
        </w:tabs>
        <w:autoSpaceDE w:val="0"/>
        <w:autoSpaceDN w:val="0"/>
        <w:adjustRightInd w:val="0"/>
        <w:spacing w:line="240" w:lineRule="auto"/>
        <w:rPr>
          <w:rFonts w:eastAsia="SimSun"/>
          <w:i/>
          <w:iCs/>
          <w:szCs w:val="22"/>
          <w:u w:val="single"/>
        </w:rPr>
      </w:pPr>
      <w:r w:rsidRPr="007F7A39">
        <w:rPr>
          <w:i/>
          <w:u w:val="single"/>
        </w:rPr>
        <w:t>Besondere Patientengruppen</w:t>
      </w:r>
    </w:p>
    <w:p w14:paraId="7165F9C4" w14:textId="77777777" w:rsidR="00057B27" w:rsidRPr="007F7A39" w:rsidRDefault="0092445A" w:rsidP="00057B27">
      <w:pPr>
        <w:tabs>
          <w:tab w:val="clear" w:pos="567"/>
        </w:tabs>
        <w:autoSpaceDE w:val="0"/>
        <w:autoSpaceDN w:val="0"/>
        <w:adjustRightInd w:val="0"/>
        <w:spacing w:line="240" w:lineRule="auto"/>
        <w:rPr>
          <w:rFonts w:eastAsia="SimSun"/>
          <w:i/>
          <w:iCs/>
          <w:szCs w:val="22"/>
        </w:rPr>
      </w:pPr>
      <w:r w:rsidRPr="007F7A39">
        <w:rPr>
          <w:i/>
        </w:rPr>
        <w:t xml:space="preserve">Ältere Patienten </w:t>
      </w:r>
    </w:p>
    <w:p w14:paraId="7165F9C5" w14:textId="77777777" w:rsidR="00057B27" w:rsidRPr="007F7A39" w:rsidRDefault="0092445A" w:rsidP="00057B27">
      <w:pPr>
        <w:rPr>
          <w:rFonts w:eastAsia="TimesNewRoman"/>
          <w:szCs w:val="22"/>
        </w:rPr>
      </w:pPr>
      <w:r w:rsidRPr="007F7A39">
        <w:t>Bei älteren Patienten ist keine Dosisanpassung erforderlich.</w:t>
      </w:r>
    </w:p>
    <w:p w14:paraId="7165F9C6" w14:textId="77777777" w:rsidR="00057B27" w:rsidRPr="007F7A39" w:rsidRDefault="00057B27" w:rsidP="00057B27">
      <w:pPr>
        <w:rPr>
          <w:rFonts w:eastAsia="TimesNewRoman"/>
          <w:szCs w:val="22"/>
        </w:rPr>
      </w:pPr>
    </w:p>
    <w:p w14:paraId="7165F9C7" w14:textId="77777777" w:rsidR="00057B27" w:rsidRPr="007F7A39" w:rsidRDefault="0092445A" w:rsidP="00057B27">
      <w:pPr>
        <w:tabs>
          <w:tab w:val="clear" w:pos="567"/>
        </w:tabs>
        <w:autoSpaceDE w:val="0"/>
        <w:autoSpaceDN w:val="0"/>
        <w:adjustRightInd w:val="0"/>
        <w:spacing w:line="240" w:lineRule="auto"/>
        <w:rPr>
          <w:rFonts w:eastAsia="SimSun"/>
          <w:i/>
          <w:iCs/>
          <w:szCs w:val="22"/>
        </w:rPr>
      </w:pPr>
      <w:r w:rsidRPr="007F7A39">
        <w:rPr>
          <w:i/>
        </w:rPr>
        <w:t>Nierenfunktionsstörung</w:t>
      </w:r>
    </w:p>
    <w:p w14:paraId="7165F9C8" w14:textId="77777777" w:rsidR="00057B27" w:rsidRPr="007F7A39" w:rsidRDefault="0092445A" w:rsidP="00057B27">
      <w:pPr>
        <w:tabs>
          <w:tab w:val="clear" w:pos="567"/>
        </w:tabs>
        <w:autoSpaceDE w:val="0"/>
        <w:autoSpaceDN w:val="0"/>
        <w:adjustRightInd w:val="0"/>
        <w:spacing w:line="240" w:lineRule="auto"/>
        <w:rPr>
          <w:rFonts w:eastAsia="TimesNewRoman"/>
          <w:szCs w:val="22"/>
        </w:rPr>
      </w:pPr>
      <w:r w:rsidRPr="007F7A39">
        <w:t xml:space="preserve">Es liegen nur begrenzte Informationen bei Patienten mit Nierenfunktionsstörung </w:t>
      </w:r>
      <w:r w:rsidRPr="007F7A39">
        <w:t>vor. Bei diesen Patienten ist keine spezielle Dosisanpassung erforderlich (siehe Abschnitt 4.4).</w:t>
      </w:r>
    </w:p>
    <w:p w14:paraId="7165F9C9" w14:textId="77777777" w:rsidR="00057B27" w:rsidRPr="007F7A39" w:rsidRDefault="00057B27" w:rsidP="00057B27">
      <w:pPr>
        <w:rPr>
          <w:szCs w:val="22"/>
        </w:rPr>
      </w:pPr>
    </w:p>
    <w:p w14:paraId="7165F9CA" w14:textId="77777777" w:rsidR="00057B27" w:rsidRPr="007F7A39" w:rsidRDefault="0092445A" w:rsidP="00057B27">
      <w:pPr>
        <w:rPr>
          <w:rFonts w:eastAsia="SimSun"/>
          <w:iCs/>
          <w:szCs w:val="22"/>
          <w:u w:val="single"/>
        </w:rPr>
      </w:pPr>
      <w:r w:rsidRPr="007F7A39">
        <w:rPr>
          <w:u w:val="single"/>
        </w:rPr>
        <w:t>Kinder und Jugendliche</w:t>
      </w:r>
    </w:p>
    <w:p w14:paraId="7165F9CB" w14:textId="77777777" w:rsidR="00057B27" w:rsidRPr="007F7A39" w:rsidRDefault="0092445A" w:rsidP="00057B27">
      <w:pPr>
        <w:rPr>
          <w:szCs w:val="22"/>
        </w:rPr>
      </w:pPr>
      <w:r w:rsidRPr="007F7A39">
        <w:t xml:space="preserve">Die Anfangsdosis für Kinder und Jugendliche ist niedriger als die für Erwachsene und ist abhängig von Alter und Körpergewicht. </w:t>
      </w:r>
    </w:p>
    <w:p w14:paraId="7165F9CC" w14:textId="77777777" w:rsidR="00057B27" w:rsidRPr="007F7A39" w:rsidRDefault="00057B27" w:rsidP="00057B27">
      <w:pPr>
        <w:rPr>
          <w:szCs w:val="22"/>
        </w:rPr>
      </w:pPr>
    </w:p>
    <w:p w14:paraId="7165F9CD" w14:textId="77777777" w:rsidR="00057B27" w:rsidRPr="007F7A39" w:rsidRDefault="0092445A" w:rsidP="00057B27">
      <w:pPr>
        <w:keepNext/>
        <w:rPr>
          <w:i/>
          <w:szCs w:val="22"/>
        </w:rPr>
      </w:pPr>
      <w:r w:rsidRPr="007F7A39">
        <w:rPr>
          <w:i/>
        </w:rPr>
        <w:lastRenderedPageBreak/>
        <w:t xml:space="preserve">Kinder im Alter von 5 Jahren und darüber </w:t>
      </w:r>
    </w:p>
    <w:p w14:paraId="7165F9CE" w14:textId="7FFD73A8" w:rsidR="00057B27" w:rsidRPr="007F7A39" w:rsidRDefault="0092445A" w:rsidP="00057B27">
      <w:pPr>
        <w:rPr>
          <w:szCs w:val="22"/>
        </w:rPr>
      </w:pPr>
      <w:r w:rsidRPr="007F7A39">
        <w:t>Die Dosis liegt normalerweise zwischen 225 mg und 600 mg täglich (1</w:t>
      </w:r>
      <w:r w:rsidRPr="007F7A39">
        <w:rPr>
          <w:b/>
        </w:rPr>
        <w:t>½</w:t>
      </w:r>
      <w:r w:rsidRPr="007F7A39">
        <w:t xml:space="preserve"> bis 4 </w:t>
      </w:r>
      <w:r w:rsidR="000050DB" w:rsidRPr="007F7A39">
        <w:t>Filmt</w:t>
      </w:r>
      <w:r w:rsidRPr="007F7A39">
        <w:t xml:space="preserve">abletten), gegeben in 2 bis 4 Einzeldosen. </w:t>
      </w:r>
    </w:p>
    <w:p w14:paraId="7165F9CF" w14:textId="77777777" w:rsidR="00057B27" w:rsidRPr="007F7A39" w:rsidRDefault="00057B27" w:rsidP="00057B27">
      <w:pPr>
        <w:rPr>
          <w:szCs w:val="22"/>
        </w:rPr>
      </w:pPr>
    </w:p>
    <w:p w14:paraId="7165F9D0" w14:textId="77777777" w:rsidR="00057B27" w:rsidRPr="007F7A39" w:rsidRDefault="0092445A" w:rsidP="00057B27">
      <w:pPr>
        <w:rPr>
          <w:i/>
          <w:iCs/>
          <w:szCs w:val="22"/>
        </w:rPr>
      </w:pPr>
      <w:r w:rsidRPr="007F7A39">
        <w:rPr>
          <w:i/>
        </w:rPr>
        <w:t>Kinder unter 5 Jahren</w:t>
      </w:r>
    </w:p>
    <w:p w14:paraId="7165F9D1" w14:textId="77777777" w:rsidR="00057B27" w:rsidRPr="007F7A39" w:rsidRDefault="0092445A" w:rsidP="00057B27">
      <w:pPr>
        <w:tabs>
          <w:tab w:val="clear" w:pos="567"/>
        </w:tabs>
        <w:autoSpaceDE w:val="0"/>
        <w:autoSpaceDN w:val="0"/>
        <w:adjustRightInd w:val="0"/>
        <w:spacing w:line="240" w:lineRule="auto"/>
        <w:rPr>
          <w:szCs w:val="22"/>
        </w:rPr>
      </w:pPr>
      <w:r w:rsidRPr="007F7A39">
        <w:t xml:space="preserve">Die Sicherheit und Wirksamkeit von Trientin bei Kindern unter 5 Jahren ist nicht erwiesen. </w:t>
      </w:r>
    </w:p>
    <w:p w14:paraId="7165F9D2" w14:textId="77777777" w:rsidR="00057B27" w:rsidRPr="007F7A39" w:rsidRDefault="0092445A" w:rsidP="00057B27">
      <w:pPr>
        <w:tabs>
          <w:tab w:val="clear" w:pos="567"/>
        </w:tabs>
        <w:autoSpaceDE w:val="0"/>
        <w:autoSpaceDN w:val="0"/>
        <w:adjustRightInd w:val="0"/>
        <w:spacing w:line="240" w:lineRule="auto"/>
        <w:rPr>
          <w:szCs w:val="22"/>
        </w:rPr>
      </w:pPr>
      <w:r w:rsidRPr="007F7A39">
        <w:t>Die Darreichungsform ist für Kinder unter 5 Jahren nicht geeignet.</w:t>
      </w:r>
    </w:p>
    <w:p w14:paraId="7165F9D3" w14:textId="77777777" w:rsidR="00057B27" w:rsidRPr="007F7A39" w:rsidRDefault="00057B27" w:rsidP="00057B27">
      <w:pPr>
        <w:rPr>
          <w:rFonts w:eastAsia="SimSun"/>
          <w:highlight w:val="yellow"/>
        </w:rPr>
      </w:pPr>
    </w:p>
    <w:p w14:paraId="7165F9D4" w14:textId="77777777" w:rsidR="00057B27" w:rsidRPr="007F7A39" w:rsidRDefault="0092445A" w:rsidP="00057B27">
      <w:pPr>
        <w:rPr>
          <w:szCs w:val="22"/>
        </w:rPr>
      </w:pPr>
      <w:r w:rsidRPr="007F7A39">
        <w:t>Die empfohlenen Dosen von Cuprior werden in mg Trientin-Base angegeben (d. h. nicht in mg der Sa</w:t>
      </w:r>
      <w:r w:rsidRPr="007F7A39">
        <w:t xml:space="preserve">lzform von Trientintetrahydrochlorid). </w:t>
      </w:r>
    </w:p>
    <w:p w14:paraId="7165F9D5" w14:textId="77777777" w:rsidR="00057B27" w:rsidRPr="007F7A39" w:rsidRDefault="00057B27" w:rsidP="00057B27">
      <w:pPr>
        <w:tabs>
          <w:tab w:val="clear" w:pos="567"/>
          <w:tab w:val="left" w:pos="7309"/>
        </w:tabs>
        <w:rPr>
          <w:szCs w:val="22"/>
        </w:rPr>
      </w:pPr>
    </w:p>
    <w:p w14:paraId="7165F9D6" w14:textId="77777777" w:rsidR="00057B27" w:rsidRPr="007F7A39" w:rsidRDefault="0092445A" w:rsidP="00057B27">
      <w:pPr>
        <w:autoSpaceDE w:val="0"/>
        <w:autoSpaceDN w:val="0"/>
        <w:adjustRightInd w:val="0"/>
        <w:rPr>
          <w:szCs w:val="22"/>
          <w:u w:val="single"/>
        </w:rPr>
      </w:pPr>
      <w:r w:rsidRPr="007F7A39">
        <w:rPr>
          <w:u w:val="single"/>
        </w:rPr>
        <w:t>Art der Anwendung</w:t>
      </w:r>
    </w:p>
    <w:p w14:paraId="7165F9D7" w14:textId="0B4C1630" w:rsidR="00057B27" w:rsidRPr="007F7A39" w:rsidRDefault="0092445A" w:rsidP="00057B27">
      <w:pPr>
        <w:autoSpaceDE w:val="0"/>
        <w:autoSpaceDN w:val="0"/>
        <w:adjustRightInd w:val="0"/>
        <w:rPr>
          <w:szCs w:val="22"/>
        </w:rPr>
      </w:pPr>
      <w:r w:rsidRPr="007F7A39">
        <w:t xml:space="preserve">Cuprior ist zum Einnehmen. Die </w:t>
      </w:r>
      <w:r w:rsidR="003B7756" w:rsidRPr="007F7A39">
        <w:t>Filmt</w:t>
      </w:r>
      <w:r w:rsidRPr="007F7A39">
        <w:t xml:space="preserve">abletten müssen mit Wasser geschluckt werden. Falls nötig, kann die </w:t>
      </w:r>
      <w:r w:rsidR="003B7756" w:rsidRPr="007F7A39">
        <w:t>Filmt</w:t>
      </w:r>
      <w:r w:rsidRPr="007F7A39">
        <w:t>ablette mit Bruchkerbe in zwei gleiche Hälften geteilt werden, um eine genauere Dosis zu</w:t>
      </w:r>
      <w:r w:rsidRPr="007F7A39">
        <w:t xml:space="preserve"> erhalten oder um die Gabe zu vereinfachen.</w:t>
      </w:r>
    </w:p>
    <w:p w14:paraId="7165F9D8" w14:textId="77777777" w:rsidR="00057B27" w:rsidRPr="007F7A39" w:rsidRDefault="00057B27" w:rsidP="00057B27">
      <w:pPr>
        <w:autoSpaceDE w:val="0"/>
        <w:autoSpaceDN w:val="0"/>
        <w:adjustRightInd w:val="0"/>
        <w:rPr>
          <w:szCs w:val="22"/>
        </w:rPr>
      </w:pPr>
    </w:p>
    <w:p w14:paraId="7165F9D9" w14:textId="77777777" w:rsidR="00057B27" w:rsidRPr="007F7A39" w:rsidRDefault="0092445A" w:rsidP="00057B27">
      <w:pPr>
        <w:autoSpaceDE w:val="0"/>
        <w:autoSpaceDN w:val="0"/>
        <w:adjustRightInd w:val="0"/>
        <w:rPr>
          <w:noProof/>
          <w:szCs w:val="22"/>
        </w:rPr>
      </w:pPr>
      <w:r w:rsidRPr="007F7A39">
        <w:t>Es ist wichtig, dass Cuprior auf nüchternen Magen eingenommen wird, mindestens eine Stunde vor den Mahlzeiten oder zwei Stunden nach den Mahlzeiten und mit mindestens einer Stunde Abstand zu allen anderen Arznei</w:t>
      </w:r>
      <w:r w:rsidRPr="007F7A39">
        <w:t xml:space="preserve">mitteln, Nahrungsmitteln oder Milch (siehe Abschnitt 4.5). </w:t>
      </w:r>
    </w:p>
    <w:p w14:paraId="7165F9DA" w14:textId="77777777" w:rsidR="00057B27" w:rsidRPr="007F7A39" w:rsidRDefault="00057B27" w:rsidP="00057B27">
      <w:pPr>
        <w:spacing w:line="240" w:lineRule="auto"/>
        <w:ind w:left="567" w:hanging="567"/>
        <w:rPr>
          <w:b/>
          <w:noProof/>
          <w:szCs w:val="22"/>
        </w:rPr>
      </w:pPr>
    </w:p>
    <w:p w14:paraId="7165F9DB" w14:textId="77777777" w:rsidR="00057B27" w:rsidRPr="007F7A39" w:rsidRDefault="0092445A" w:rsidP="00057B27">
      <w:pPr>
        <w:pStyle w:val="ListParagraph"/>
        <w:numPr>
          <w:ilvl w:val="1"/>
          <w:numId w:val="28"/>
        </w:numPr>
        <w:spacing w:line="240" w:lineRule="auto"/>
        <w:ind w:hanging="930"/>
        <w:outlineLvl w:val="0"/>
        <w:rPr>
          <w:b/>
          <w:noProof/>
          <w:szCs w:val="22"/>
        </w:rPr>
      </w:pPr>
      <w:r w:rsidRPr="007F7A39">
        <w:rPr>
          <w:b/>
          <w:noProof/>
        </w:rPr>
        <w:t>Gegenanzeigen</w:t>
      </w:r>
    </w:p>
    <w:p w14:paraId="7165F9DC" w14:textId="77777777" w:rsidR="00057B27" w:rsidRPr="007F7A39" w:rsidRDefault="00057B27" w:rsidP="00057B27">
      <w:pPr>
        <w:spacing w:line="240" w:lineRule="auto"/>
        <w:rPr>
          <w:noProof/>
          <w:szCs w:val="22"/>
        </w:rPr>
      </w:pPr>
    </w:p>
    <w:p w14:paraId="7165F9DD" w14:textId="77777777" w:rsidR="00057B27" w:rsidRPr="007F7A39" w:rsidRDefault="0092445A" w:rsidP="00057B27">
      <w:pPr>
        <w:rPr>
          <w:noProof/>
          <w:szCs w:val="22"/>
        </w:rPr>
      </w:pPr>
      <w:r w:rsidRPr="007F7A39">
        <w:t>Überempfindlichkeit gegen den Wirkstoff oder einen der in Abschnitt 6.1 genannten sonstigen Bestandteile.</w:t>
      </w:r>
    </w:p>
    <w:p w14:paraId="7165F9DE" w14:textId="77777777" w:rsidR="00057B27" w:rsidRPr="007F7A39" w:rsidRDefault="00057B27" w:rsidP="00057B27">
      <w:pPr>
        <w:spacing w:line="240" w:lineRule="auto"/>
        <w:rPr>
          <w:noProof/>
          <w:szCs w:val="22"/>
        </w:rPr>
      </w:pPr>
    </w:p>
    <w:p w14:paraId="7165F9DF" w14:textId="77777777" w:rsidR="00057B27" w:rsidRPr="007F7A39" w:rsidRDefault="0092445A" w:rsidP="00057B27">
      <w:pPr>
        <w:pStyle w:val="ListParagraph"/>
        <w:numPr>
          <w:ilvl w:val="1"/>
          <w:numId w:val="28"/>
        </w:numPr>
        <w:spacing w:line="240" w:lineRule="auto"/>
        <w:ind w:hanging="930"/>
        <w:outlineLvl w:val="0"/>
        <w:rPr>
          <w:b/>
          <w:noProof/>
          <w:szCs w:val="22"/>
        </w:rPr>
      </w:pPr>
      <w:r w:rsidRPr="007F7A39">
        <w:rPr>
          <w:b/>
          <w:noProof/>
        </w:rPr>
        <w:t>Besondere Warnhinweise und Vorsichtsmaßnahmen für die Anwendung</w:t>
      </w:r>
    </w:p>
    <w:p w14:paraId="7165F9E0" w14:textId="77777777" w:rsidR="00057B27" w:rsidRPr="007F7A39" w:rsidRDefault="00057B27" w:rsidP="00057B27">
      <w:pPr>
        <w:spacing w:line="240" w:lineRule="auto"/>
        <w:ind w:left="567" w:hanging="567"/>
        <w:rPr>
          <w:b/>
          <w:noProof/>
          <w:szCs w:val="22"/>
        </w:rPr>
      </w:pPr>
    </w:p>
    <w:p w14:paraId="7165F9E1" w14:textId="77777777" w:rsidR="00057B27" w:rsidRPr="007F7A39" w:rsidRDefault="0092445A" w:rsidP="00057B27">
      <w:pPr>
        <w:rPr>
          <w:szCs w:val="22"/>
        </w:rPr>
      </w:pPr>
      <w:r w:rsidRPr="007F7A39">
        <w:t xml:space="preserve">Bei der </w:t>
      </w:r>
      <w:r w:rsidRPr="007F7A39">
        <w:t xml:space="preserve">Umstellung eines Patienten von Trientin in einer anderen Darreichungsform ist Vorsicht geboten, da Dosen, die als Trientin-Base angegeben werden, möglicherweise nicht äquivalent sind (siehe Abschnitt 4.2). </w:t>
      </w:r>
    </w:p>
    <w:p w14:paraId="7165F9E2" w14:textId="77777777" w:rsidR="00057B27" w:rsidRPr="007F7A39" w:rsidRDefault="00057B27" w:rsidP="00057B27">
      <w:pPr>
        <w:rPr>
          <w:rFonts w:eastAsia="SimSun"/>
          <w:szCs w:val="22"/>
        </w:rPr>
      </w:pPr>
    </w:p>
    <w:p w14:paraId="7165F9E3" w14:textId="77777777" w:rsidR="00057B27" w:rsidRPr="007F7A39" w:rsidRDefault="0092445A" w:rsidP="00057B27">
      <w:pPr>
        <w:tabs>
          <w:tab w:val="clear" w:pos="567"/>
        </w:tabs>
        <w:autoSpaceDE w:val="0"/>
        <w:autoSpaceDN w:val="0"/>
        <w:adjustRightInd w:val="0"/>
        <w:spacing w:line="240" w:lineRule="auto"/>
        <w:rPr>
          <w:noProof/>
          <w:szCs w:val="22"/>
        </w:rPr>
      </w:pPr>
      <w:r w:rsidRPr="007F7A39">
        <w:t xml:space="preserve">Trientin ist ein Chelatbildner, der erwiesenermaßen die Eisenkonzentration im Serum senkt. Bei Auftreten einer Eisenmangelanämie sind gegebenenfalls Eisenpräparate erforderlich, die zu einem anderen Zeitpunkt gegeben werden müssen (siehe Abschnitt 4.5). </w:t>
      </w:r>
    </w:p>
    <w:p w14:paraId="7165F9E4" w14:textId="77777777" w:rsidR="00057B27" w:rsidRPr="007F7A39" w:rsidRDefault="00057B27" w:rsidP="00057B27">
      <w:pPr>
        <w:tabs>
          <w:tab w:val="clear" w:pos="567"/>
        </w:tabs>
        <w:autoSpaceDE w:val="0"/>
        <w:autoSpaceDN w:val="0"/>
        <w:adjustRightInd w:val="0"/>
        <w:spacing w:line="240" w:lineRule="auto"/>
        <w:rPr>
          <w:noProof/>
          <w:szCs w:val="22"/>
        </w:rPr>
      </w:pPr>
    </w:p>
    <w:p w14:paraId="7165F9E5" w14:textId="77777777" w:rsidR="00057B27" w:rsidRPr="007F7A39" w:rsidRDefault="0092445A" w:rsidP="00057B27">
      <w:pPr>
        <w:tabs>
          <w:tab w:val="clear" w:pos="567"/>
        </w:tabs>
        <w:autoSpaceDE w:val="0"/>
        <w:autoSpaceDN w:val="0"/>
        <w:adjustRightInd w:val="0"/>
        <w:spacing w:line="240" w:lineRule="auto"/>
        <w:rPr>
          <w:noProof/>
          <w:szCs w:val="22"/>
        </w:rPr>
      </w:pPr>
      <w:r w:rsidRPr="007F7A39">
        <w:t>Es wird nicht empfohlen, Trientin mit Zink zu kombinieren. Es liegen nur begrenzte Daten zur gleichzeitigen Anwendung vor, daher können keine speziellen Dosierungsempfehlungen gegeben werden.</w:t>
      </w:r>
    </w:p>
    <w:p w14:paraId="7165F9E6" w14:textId="77777777" w:rsidR="00057B27" w:rsidRPr="007F7A39" w:rsidRDefault="00057B27" w:rsidP="00057B27">
      <w:pPr>
        <w:tabs>
          <w:tab w:val="clear" w:pos="567"/>
        </w:tabs>
        <w:autoSpaceDE w:val="0"/>
        <w:autoSpaceDN w:val="0"/>
        <w:adjustRightInd w:val="0"/>
        <w:spacing w:line="240" w:lineRule="auto"/>
        <w:rPr>
          <w:noProof/>
          <w:szCs w:val="22"/>
        </w:rPr>
      </w:pPr>
    </w:p>
    <w:p w14:paraId="7165F9E7" w14:textId="77777777" w:rsidR="00057B27" w:rsidRPr="007F7A39" w:rsidRDefault="0092445A" w:rsidP="00057B27">
      <w:pPr>
        <w:tabs>
          <w:tab w:val="clear" w:pos="567"/>
        </w:tabs>
        <w:autoSpaceDE w:val="0"/>
        <w:autoSpaceDN w:val="0"/>
        <w:adjustRightInd w:val="0"/>
        <w:spacing w:line="240" w:lineRule="auto"/>
        <w:rPr>
          <w:noProof/>
          <w:szCs w:val="22"/>
        </w:rPr>
      </w:pPr>
      <w:r w:rsidRPr="007F7A39">
        <w:t>Bei Patienten, die zuvor mit D-Penicillamin behandelt wurden, t</w:t>
      </w:r>
      <w:r w:rsidRPr="007F7A39">
        <w:t>raten während der anschließenden Behandlung mit Trientin lupusähnliche Reaktionen auf, es ist jedoch nicht möglich festzustellen, ob dies in einem Kausalzusammenhang mit Trientin steht.</w:t>
      </w:r>
    </w:p>
    <w:p w14:paraId="7165F9E8" w14:textId="77777777" w:rsidR="00057B27" w:rsidRPr="007F7A39" w:rsidRDefault="00057B27" w:rsidP="00057B27">
      <w:pPr>
        <w:tabs>
          <w:tab w:val="clear" w:pos="567"/>
        </w:tabs>
        <w:autoSpaceDE w:val="0"/>
        <w:autoSpaceDN w:val="0"/>
        <w:adjustRightInd w:val="0"/>
        <w:spacing w:line="240" w:lineRule="auto"/>
        <w:rPr>
          <w:noProof/>
          <w:szCs w:val="22"/>
        </w:rPr>
      </w:pPr>
    </w:p>
    <w:p w14:paraId="7165F9E9" w14:textId="77777777" w:rsidR="00057B27" w:rsidRPr="007F7A39" w:rsidRDefault="0092445A" w:rsidP="00057B27">
      <w:pPr>
        <w:rPr>
          <w:noProof/>
          <w:szCs w:val="22"/>
          <w:u w:val="single"/>
        </w:rPr>
      </w:pPr>
      <w:r w:rsidRPr="007F7A39">
        <w:rPr>
          <w:noProof/>
          <w:u w:val="single"/>
        </w:rPr>
        <w:t>Überwachung</w:t>
      </w:r>
    </w:p>
    <w:p w14:paraId="7165F9EA" w14:textId="77777777" w:rsidR="00057B27" w:rsidRPr="007F7A39" w:rsidRDefault="0092445A" w:rsidP="00057B27">
      <w:pPr>
        <w:rPr>
          <w:noProof/>
          <w:szCs w:val="22"/>
        </w:rPr>
      </w:pPr>
      <w:r w:rsidRPr="007F7A39">
        <w:t xml:space="preserve">Patienten, die mit Cuprior behandelt werden, sollten regelmäßig medizinisch überwacht werden und im Hinblick auf eine angemessene Kontrolle der Symptome und der Kupferkonzentrationen untersucht werden, um die Dosis zu optimieren (siehe Abschnitt 4.2). </w:t>
      </w:r>
    </w:p>
    <w:p w14:paraId="7165F9EB" w14:textId="77777777" w:rsidR="00057B27" w:rsidRPr="007F7A39" w:rsidRDefault="00057B27" w:rsidP="00057B27">
      <w:pPr>
        <w:rPr>
          <w:noProof/>
          <w:szCs w:val="22"/>
        </w:rPr>
      </w:pPr>
    </w:p>
    <w:p w14:paraId="7165F9EC" w14:textId="77777777" w:rsidR="00057B27" w:rsidRPr="007F7A39" w:rsidRDefault="0092445A" w:rsidP="00057B27">
      <w:pPr>
        <w:rPr>
          <w:noProof/>
          <w:szCs w:val="22"/>
        </w:rPr>
      </w:pPr>
      <w:r w:rsidRPr="007F7A39">
        <w:t>Mi</w:t>
      </w:r>
      <w:r w:rsidRPr="007F7A39">
        <w:t>t der Erhaltungsbehandlung sollen die Konzentrationen des freien Kupfers im Serum innerhalb vertretbarer Grenzen gehalten werden. Der zuverlässigste Indikator zur Überwachung der Therapie ist die Bestimmung freien Kupfers im Serum, das aus der Differenz zw</w:t>
      </w:r>
      <w:r w:rsidRPr="007F7A39">
        <w:t xml:space="preserve">ischen Gesamtkupfer und an Caeruloplasmin gebundenem Kupfer errechnet wird (die normale Konzentration freien Kupfers im Serum liegt normalerweise bei 100 bis 150 Mikrogramm/l). </w:t>
      </w:r>
    </w:p>
    <w:p w14:paraId="7165F9ED" w14:textId="77777777" w:rsidR="00057B27" w:rsidRPr="007F7A39" w:rsidRDefault="00057B27" w:rsidP="00057B27">
      <w:pPr>
        <w:rPr>
          <w:noProof/>
          <w:szCs w:val="22"/>
        </w:rPr>
      </w:pPr>
    </w:p>
    <w:p w14:paraId="7165F9EE" w14:textId="77777777" w:rsidR="00057B27" w:rsidRPr="007F7A39" w:rsidRDefault="0092445A" w:rsidP="00057B27">
      <w:pPr>
        <w:rPr>
          <w:noProof/>
          <w:szCs w:val="22"/>
        </w:rPr>
      </w:pPr>
      <w:r w:rsidRPr="007F7A39">
        <w:t>Die Messung der Kupferausscheidung mit dem Urin kann während der Therapie vor</w:t>
      </w:r>
      <w:r w:rsidRPr="007F7A39">
        <w:t xml:space="preserve">genommen werden. Da die Chelat-Therapie zu einer Erhöhung der Kupferkonzentrationen im Urin führt, </w:t>
      </w:r>
      <w:r w:rsidRPr="007F7A39">
        <w:lastRenderedPageBreak/>
        <w:t>kann/wird der Kupferüberschuss im Körper mit dieser Methode möglicherweise nicht korrekt dargestellt werden, sie dient jedoch als nützliches Maß für die Ther</w:t>
      </w:r>
      <w:r w:rsidRPr="007F7A39">
        <w:t>apietreue.</w:t>
      </w:r>
    </w:p>
    <w:p w14:paraId="7165F9EF" w14:textId="77777777" w:rsidR="00057B27" w:rsidRPr="007F7A39" w:rsidRDefault="00057B27" w:rsidP="00057B27">
      <w:pPr>
        <w:rPr>
          <w:noProof/>
          <w:szCs w:val="22"/>
        </w:rPr>
      </w:pPr>
    </w:p>
    <w:p w14:paraId="7165F9F0" w14:textId="77777777" w:rsidR="00057B27" w:rsidRPr="007F7A39" w:rsidRDefault="0092445A" w:rsidP="00057B27">
      <w:pPr>
        <w:rPr>
          <w:noProof/>
          <w:szCs w:val="22"/>
        </w:rPr>
      </w:pPr>
      <w:r w:rsidRPr="007F7A39">
        <w:t>Eine Verschlimmerung der klinischen Symptome, einschließlich einer Verschlechterung der neurologischen Parameter, kann zu Beginn der Chelat-Therapie aufgrund des Überschusses an freiem Kupfer im Serum während der initialen Antwort auf die Behan</w:t>
      </w:r>
      <w:r w:rsidRPr="007F7A39">
        <w:t>dlung auftreten. Eine sorgfältige Überwachung ist erforderlich, um die Dosis zu optimieren oder die Behandlung falls nötig anzupassen.</w:t>
      </w:r>
    </w:p>
    <w:p w14:paraId="7165F9F1" w14:textId="77777777" w:rsidR="00057B27" w:rsidRPr="007F7A39" w:rsidRDefault="00057B27" w:rsidP="00057B27">
      <w:pPr>
        <w:rPr>
          <w:noProof/>
          <w:szCs w:val="22"/>
        </w:rPr>
      </w:pPr>
    </w:p>
    <w:p w14:paraId="7165F9F2" w14:textId="77777777" w:rsidR="00057B27" w:rsidRPr="007F7A39" w:rsidRDefault="0092445A" w:rsidP="00057B27">
      <w:pPr>
        <w:keepNext/>
        <w:rPr>
          <w:noProof/>
          <w:szCs w:val="22"/>
          <w:u w:val="single"/>
        </w:rPr>
      </w:pPr>
      <w:r w:rsidRPr="007F7A39">
        <w:rPr>
          <w:noProof/>
          <w:u w:val="single"/>
        </w:rPr>
        <w:t>Besondere Patientengruppen</w:t>
      </w:r>
    </w:p>
    <w:p w14:paraId="7165F9F3" w14:textId="77777777" w:rsidR="00057B27" w:rsidRPr="007F7A39" w:rsidRDefault="0092445A" w:rsidP="00057B27">
      <w:pPr>
        <w:rPr>
          <w:noProof/>
          <w:szCs w:val="22"/>
        </w:rPr>
      </w:pPr>
      <w:r w:rsidRPr="007F7A39">
        <w:t>Eine Überbehandlung ist mit dem Risiko eines Kupfermangels verbunden. Eine Überwachung im Hin</w:t>
      </w:r>
      <w:r w:rsidRPr="007F7A39">
        <w:t>blick auf die Manifestation einer Überbehandlung sollte vorgenommen werden, besonders dann, wenn der Bedarf an Kupfer sich verändern kann, wie beispielsweise während der Schwangerschaft (siehe Abschnitt 4.6) und bei Kindern, bei denen eine angemessene Kont</w:t>
      </w:r>
      <w:r w:rsidRPr="007F7A39">
        <w:t>rolle der Kupferkonzentrationen erforderlich ist, um ein gesundes Wachstum und eine gesunde geistige Entwicklung zu gewährleisten.</w:t>
      </w:r>
    </w:p>
    <w:p w14:paraId="7165F9F4" w14:textId="77777777" w:rsidR="00057B27" w:rsidRPr="007F7A39" w:rsidRDefault="00057B27" w:rsidP="00057B27">
      <w:pPr>
        <w:rPr>
          <w:noProof/>
          <w:szCs w:val="22"/>
        </w:rPr>
      </w:pPr>
    </w:p>
    <w:p w14:paraId="7165F9F5" w14:textId="77777777" w:rsidR="00057B27" w:rsidRPr="007F7A39" w:rsidRDefault="0092445A" w:rsidP="00057B27">
      <w:pPr>
        <w:rPr>
          <w:noProof/>
          <w:szCs w:val="22"/>
        </w:rPr>
      </w:pPr>
      <w:r w:rsidRPr="007F7A39">
        <w:t>Patienten mit Nierenfunktionsstörung, die mit Trientin behandelt werden, sollten regelmäßig medizinisch im Hinblick auf eine</w:t>
      </w:r>
      <w:r w:rsidRPr="007F7A39">
        <w:t xml:space="preserve"> angemessene Kontrolle der Symptome und der Kupferkonzentrationen überwacht werden. Eine sorgfältige Überwachung der Nierenfunktion wird bei diesen Patienten ebenfalls empfohlen (siehe Abschnitt 4.2).</w:t>
      </w:r>
    </w:p>
    <w:p w14:paraId="7165F9F6" w14:textId="77777777" w:rsidR="00057B27" w:rsidRPr="007F7A39" w:rsidRDefault="00057B27" w:rsidP="00057B27">
      <w:pPr>
        <w:rPr>
          <w:noProof/>
        </w:rPr>
      </w:pPr>
    </w:p>
    <w:p w14:paraId="7165F9F7" w14:textId="77777777" w:rsidR="00057B27" w:rsidRPr="007F7A39" w:rsidRDefault="0092445A" w:rsidP="00057B27">
      <w:pPr>
        <w:pStyle w:val="ListParagraph"/>
        <w:numPr>
          <w:ilvl w:val="1"/>
          <w:numId w:val="28"/>
        </w:numPr>
        <w:spacing w:line="240" w:lineRule="auto"/>
        <w:ind w:hanging="930"/>
        <w:outlineLvl w:val="0"/>
        <w:rPr>
          <w:b/>
          <w:noProof/>
          <w:szCs w:val="22"/>
        </w:rPr>
      </w:pPr>
      <w:r w:rsidRPr="007F7A39">
        <w:rPr>
          <w:b/>
          <w:noProof/>
        </w:rPr>
        <w:t>Wechselwirkungen mit anderen Arzneimitteln und sonstig</w:t>
      </w:r>
      <w:r w:rsidRPr="007F7A39">
        <w:rPr>
          <w:b/>
          <w:noProof/>
        </w:rPr>
        <w:t>e Wechselwirkungen</w:t>
      </w:r>
    </w:p>
    <w:p w14:paraId="7165F9F8" w14:textId="77777777" w:rsidR="00057B27" w:rsidRPr="007F7A39" w:rsidRDefault="00057B27" w:rsidP="00057B27">
      <w:pPr>
        <w:spacing w:line="240" w:lineRule="auto"/>
        <w:rPr>
          <w:noProof/>
          <w:szCs w:val="22"/>
        </w:rPr>
      </w:pPr>
    </w:p>
    <w:p w14:paraId="7165F9F9" w14:textId="77777777" w:rsidR="00057B27" w:rsidRPr="007F7A39" w:rsidRDefault="0092445A" w:rsidP="00057B27">
      <w:pPr>
        <w:spacing w:line="240" w:lineRule="auto"/>
        <w:rPr>
          <w:noProof/>
          <w:szCs w:val="22"/>
        </w:rPr>
      </w:pPr>
      <w:r w:rsidRPr="007F7A39">
        <w:t>Es wurden keine Studien zur Erfassung von Wechselwirkungen durchgeführt.</w:t>
      </w:r>
    </w:p>
    <w:p w14:paraId="7165F9FA" w14:textId="77777777" w:rsidR="00057B27" w:rsidRPr="007F7A39" w:rsidRDefault="00057B27" w:rsidP="00057B27">
      <w:pPr>
        <w:spacing w:line="240" w:lineRule="auto"/>
        <w:rPr>
          <w:noProof/>
          <w:szCs w:val="22"/>
        </w:rPr>
      </w:pPr>
    </w:p>
    <w:p w14:paraId="7165F9FB" w14:textId="77777777" w:rsidR="00057B27" w:rsidRPr="007F7A39" w:rsidRDefault="0092445A" w:rsidP="00057B27">
      <w:pPr>
        <w:rPr>
          <w:noProof/>
          <w:szCs w:val="22"/>
        </w:rPr>
      </w:pPr>
      <w:r w:rsidRPr="007F7A39">
        <w:t xml:space="preserve">Trientin senkt erwiesenermaßen die Eisenkonzentration im Serum, möglicherweise indem es die Resorption von Eisen senkt, daher sind gegebenenfalls </w:t>
      </w:r>
      <w:r w:rsidRPr="007F7A39">
        <w:t>Eisenpräparate erforderlich. Da Eisen und Trientin sich gegenseitig bei der Resorption beeinträchtigen können, sollten Eisenpräparate erst nach dem Ablauf von mindesten zwei Stunden nach der Gabe von Trientin eingenommen werden.</w:t>
      </w:r>
    </w:p>
    <w:p w14:paraId="7165F9FC" w14:textId="77777777" w:rsidR="00057B27" w:rsidRPr="007F7A39" w:rsidRDefault="00057B27" w:rsidP="00057B27">
      <w:pPr>
        <w:rPr>
          <w:noProof/>
          <w:szCs w:val="22"/>
        </w:rPr>
      </w:pPr>
    </w:p>
    <w:p w14:paraId="7165F9FD" w14:textId="00FBEC49" w:rsidR="00057B27" w:rsidRPr="007F7A39" w:rsidRDefault="0092445A" w:rsidP="00057B27">
      <w:pPr>
        <w:rPr>
          <w:noProof/>
          <w:szCs w:val="22"/>
        </w:rPr>
      </w:pPr>
      <w:r w:rsidRPr="007F7A39">
        <w:t>Da Trientin nach oraler Au</w:t>
      </w:r>
      <w:r w:rsidRPr="007F7A39">
        <w:t xml:space="preserve">fnahme nur schwach resorbiert wird und der hauptsächliche Wirkmechanismus die systemische Exposition von Trientin erfordert (siehe Abschnitt 5.1), ist es wichtig, dass die </w:t>
      </w:r>
      <w:r w:rsidR="006545BA" w:rsidRPr="007F7A39">
        <w:t>Filmt</w:t>
      </w:r>
      <w:r w:rsidRPr="007F7A39">
        <w:t xml:space="preserve">abletten auf nüchternen Magen mindestens eine Stunde vor den Mahlzeiten oder 2 </w:t>
      </w:r>
      <w:r w:rsidRPr="007F7A39">
        <w:t>Stunden nach den Mahlzeiten und mit mindestens einer Stunde Abstand zu allen anderen Arzneimitteln, Nahrungsmitteln oder Milch eingenommen werden (siehe Abschnitt 4.2). Dadurch wird die Resorption von Trientin optimiert und die Wahrscheinlichkeit, dass sic</w:t>
      </w:r>
      <w:r w:rsidRPr="007F7A39">
        <w:t>h das Arzneimittel im Gastrointestinaltrakt an Metalle bindet, reduziert. Es wurden jedoch keine Studien zur Erfassung von Wechselwirkungen mit Nahrungsmitteln durchgeführt, daher ist das Ausmaß des Einflusses von Nahrungsmitteln auf die systemische Exposi</w:t>
      </w:r>
      <w:r w:rsidRPr="007F7A39">
        <w:t xml:space="preserve">tion von Trientin unbekannt. </w:t>
      </w:r>
    </w:p>
    <w:p w14:paraId="7165F9FE" w14:textId="77777777" w:rsidR="00057B27" w:rsidRPr="007F7A39" w:rsidRDefault="00057B27" w:rsidP="00057B27">
      <w:pPr>
        <w:rPr>
          <w:noProof/>
          <w:szCs w:val="22"/>
        </w:rPr>
      </w:pPr>
    </w:p>
    <w:p w14:paraId="7165F9FF" w14:textId="77777777" w:rsidR="00057B27" w:rsidRPr="007F7A39" w:rsidRDefault="0092445A" w:rsidP="00057B27">
      <w:pPr>
        <w:rPr>
          <w:noProof/>
          <w:szCs w:val="22"/>
        </w:rPr>
      </w:pPr>
      <w:r w:rsidRPr="007F7A39">
        <w:t>Obwohl es keine Hinweise darauf gibt, dass die Wirksamkeit von Trientin durch Kalzium- oder Magnesium-haltige Antazida verändert wird, empfiehlt es sich, diese getrennt zu geben.</w:t>
      </w:r>
    </w:p>
    <w:p w14:paraId="7165FA00" w14:textId="77777777" w:rsidR="00057B27" w:rsidRPr="007F7A39" w:rsidRDefault="00057B27" w:rsidP="00057B27">
      <w:pPr>
        <w:spacing w:line="240" w:lineRule="auto"/>
        <w:rPr>
          <w:szCs w:val="22"/>
        </w:rPr>
      </w:pPr>
    </w:p>
    <w:p w14:paraId="7165FA01" w14:textId="77777777" w:rsidR="00057B27" w:rsidRPr="007F7A39" w:rsidRDefault="0092445A" w:rsidP="00057B27">
      <w:pPr>
        <w:pStyle w:val="ListParagraph"/>
        <w:numPr>
          <w:ilvl w:val="1"/>
          <w:numId w:val="28"/>
        </w:numPr>
        <w:spacing w:line="240" w:lineRule="auto"/>
        <w:ind w:hanging="930"/>
        <w:outlineLvl w:val="0"/>
        <w:rPr>
          <w:b/>
          <w:noProof/>
          <w:szCs w:val="22"/>
        </w:rPr>
      </w:pPr>
      <w:r w:rsidRPr="007F7A39">
        <w:rPr>
          <w:b/>
          <w:noProof/>
        </w:rPr>
        <w:t>Fertilität, Schwangerschaft und Stillzeit</w:t>
      </w:r>
    </w:p>
    <w:p w14:paraId="7165FA02" w14:textId="77777777" w:rsidR="00057B27" w:rsidRPr="007F7A39" w:rsidRDefault="00057B27" w:rsidP="00057B27">
      <w:pPr>
        <w:spacing w:line="240" w:lineRule="auto"/>
        <w:rPr>
          <w:noProof/>
          <w:szCs w:val="22"/>
        </w:rPr>
      </w:pPr>
    </w:p>
    <w:p w14:paraId="7165FA03" w14:textId="77777777" w:rsidR="00057B27" w:rsidRPr="007F7A39" w:rsidRDefault="0092445A" w:rsidP="00057B27">
      <w:pPr>
        <w:rPr>
          <w:noProof/>
          <w:szCs w:val="22"/>
        </w:rPr>
      </w:pPr>
      <w:r w:rsidRPr="007F7A39">
        <w:rPr>
          <w:noProof/>
          <w:u w:val="single"/>
        </w:rPr>
        <w:t>Sc</w:t>
      </w:r>
      <w:r w:rsidRPr="007F7A39">
        <w:rPr>
          <w:noProof/>
          <w:u w:val="single"/>
        </w:rPr>
        <w:t>hwangerschaft</w:t>
      </w:r>
    </w:p>
    <w:p w14:paraId="7165FA04" w14:textId="77777777" w:rsidR="00057B27" w:rsidRPr="007F7A39" w:rsidRDefault="0092445A" w:rsidP="00057B27">
      <w:pPr>
        <w:rPr>
          <w:noProof/>
          <w:szCs w:val="22"/>
        </w:rPr>
      </w:pPr>
      <w:r w:rsidRPr="007F7A39">
        <w:t>Es liegen nur begrenzte Daten zur Anwendung von Trientin bei Schwangeren vor.</w:t>
      </w:r>
    </w:p>
    <w:p w14:paraId="7165FA05" w14:textId="77777777" w:rsidR="00057B27" w:rsidRPr="007F7A39" w:rsidRDefault="00057B27" w:rsidP="00057B27">
      <w:pPr>
        <w:rPr>
          <w:noProof/>
          <w:szCs w:val="22"/>
        </w:rPr>
      </w:pPr>
    </w:p>
    <w:p w14:paraId="7165FA06" w14:textId="77777777" w:rsidR="00057B27" w:rsidRPr="007F7A39" w:rsidRDefault="0092445A" w:rsidP="00057B27">
      <w:pPr>
        <w:rPr>
          <w:noProof/>
          <w:szCs w:val="22"/>
        </w:rPr>
      </w:pPr>
      <w:r w:rsidRPr="007F7A39">
        <w:t>Tierexperimentelle Studien haben eine Reproduktionstoxizität gezeigt, die wahrscheinlich auf einen Trientin-induzierten Kupfermangel zurückzuführen ist (siehe Absc</w:t>
      </w:r>
      <w:r w:rsidRPr="007F7A39">
        <w:t>hnitt 5.3).</w:t>
      </w:r>
    </w:p>
    <w:p w14:paraId="7165FA07" w14:textId="77777777" w:rsidR="00057B27" w:rsidRPr="007F7A39" w:rsidRDefault="00057B27" w:rsidP="00057B27">
      <w:pPr>
        <w:rPr>
          <w:noProof/>
          <w:szCs w:val="22"/>
        </w:rPr>
      </w:pPr>
    </w:p>
    <w:p w14:paraId="7165FA08" w14:textId="77777777" w:rsidR="00057B27" w:rsidRPr="007F7A39" w:rsidRDefault="0092445A" w:rsidP="00057B27">
      <w:pPr>
        <w:rPr>
          <w:noProof/>
          <w:szCs w:val="22"/>
        </w:rPr>
      </w:pPr>
      <w:r w:rsidRPr="007F7A39">
        <w:t>Die Anwendung von Cuprior während der Schwangerschaft sollte nur nach sorgfältiger Nutzen-Risiko-Abwägung bei der einzelnen Patientin erfolgen. Faktoren, die berücksichtigt werden müssen, umfassen das Risiko, das mit der Krankheit selbst verbu</w:t>
      </w:r>
      <w:r w:rsidRPr="007F7A39">
        <w:t xml:space="preserve">nden ist, das Risiko der alternativen </w:t>
      </w:r>
      <w:r w:rsidRPr="007F7A39">
        <w:lastRenderedPageBreak/>
        <w:t>Behandlungsmethoden, die verfügbar sind, und die mögliche teratogene Wirkung von Trientin (siehe Abschnitt 5.3).</w:t>
      </w:r>
    </w:p>
    <w:p w14:paraId="7165FA09" w14:textId="77777777" w:rsidR="00057B27" w:rsidRPr="007F7A39" w:rsidRDefault="00057B27" w:rsidP="00057B27">
      <w:pPr>
        <w:rPr>
          <w:noProof/>
          <w:szCs w:val="22"/>
        </w:rPr>
      </w:pPr>
    </w:p>
    <w:p w14:paraId="7165FA0A" w14:textId="77777777" w:rsidR="00057B27" w:rsidRPr="007F7A39" w:rsidRDefault="0092445A" w:rsidP="00057B27">
      <w:pPr>
        <w:rPr>
          <w:szCs w:val="22"/>
        </w:rPr>
      </w:pPr>
      <w:r w:rsidRPr="007F7A39">
        <w:t>Da Kupfer für ein gesundes Wachstum und eine gesunde geistige Entwicklung erforderlich ist, sind möglich</w:t>
      </w:r>
      <w:r w:rsidRPr="007F7A39">
        <w:t>erweise Dosisanpassungen nötig, um sicherzustellen, dass beim Fötus kein Kupfermangel auftritt und eine sorgfältige Überwachung der Patientin ist unerlässlich (siehe Abschnitt 4.4).</w:t>
      </w:r>
    </w:p>
    <w:p w14:paraId="7165FA0B" w14:textId="77777777" w:rsidR="00057B27" w:rsidRPr="007F7A39" w:rsidRDefault="00057B27" w:rsidP="00057B27">
      <w:pPr>
        <w:rPr>
          <w:noProof/>
          <w:szCs w:val="22"/>
        </w:rPr>
      </w:pPr>
    </w:p>
    <w:p w14:paraId="7165FA0C" w14:textId="77777777" w:rsidR="00057B27" w:rsidRPr="007F7A39" w:rsidRDefault="0092445A" w:rsidP="00057B27">
      <w:pPr>
        <w:rPr>
          <w:noProof/>
          <w:szCs w:val="22"/>
        </w:rPr>
      </w:pPr>
      <w:r w:rsidRPr="007F7A39">
        <w:t>Die Schwangerschaft muss sorgfältig überwacht werden, um mögliche Fehlbil</w:t>
      </w:r>
      <w:r w:rsidRPr="007F7A39">
        <w:t>dungen des Fötus zu erkennen, und um die Konzentration des Kupfers im Serum der Mutter im Verlauf der Schwangerschaft zu beurteilen. Die verwendete Trientin-Dosis sollte angepasst werden, um die Konzentration des Kupfers im Serum innerhalb der normalen Gre</w:t>
      </w:r>
      <w:r w:rsidRPr="007F7A39">
        <w:t xml:space="preserve">nzen zu halten. </w:t>
      </w:r>
    </w:p>
    <w:p w14:paraId="7165FA0D" w14:textId="77777777" w:rsidR="00057B27" w:rsidRPr="007F7A39" w:rsidRDefault="00057B27" w:rsidP="00057B27">
      <w:pPr>
        <w:rPr>
          <w:noProof/>
          <w:szCs w:val="22"/>
        </w:rPr>
      </w:pPr>
    </w:p>
    <w:p w14:paraId="7165FA0E" w14:textId="77777777" w:rsidR="00057B27" w:rsidRPr="007F7A39" w:rsidRDefault="0092445A" w:rsidP="00057B27">
      <w:pPr>
        <w:rPr>
          <w:noProof/>
          <w:szCs w:val="22"/>
        </w:rPr>
      </w:pPr>
      <w:r w:rsidRPr="007F7A39">
        <w:t>Babys von Müttern, die mit Trientin behandelt werden, sollten gegebenenfalls auf ihre Serumkupferkonzentrationen überwacht werden.</w:t>
      </w:r>
    </w:p>
    <w:p w14:paraId="7165FA0F" w14:textId="77777777" w:rsidR="00057B27" w:rsidRPr="007F7A39" w:rsidRDefault="00057B27" w:rsidP="00057B27">
      <w:pPr>
        <w:rPr>
          <w:noProof/>
          <w:szCs w:val="22"/>
        </w:rPr>
      </w:pPr>
    </w:p>
    <w:p w14:paraId="7165FA10" w14:textId="77777777" w:rsidR="00057B27" w:rsidRPr="007F7A39" w:rsidRDefault="0092445A" w:rsidP="00057B27">
      <w:pPr>
        <w:rPr>
          <w:color w:val="000000"/>
          <w:szCs w:val="22"/>
        </w:rPr>
      </w:pPr>
      <w:r w:rsidRPr="007F7A39">
        <w:rPr>
          <w:noProof/>
          <w:u w:val="single"/>
        </w:rPr>
        <w:t>Stillzeit</w:t>
      </w:r>
    </w:p>
    <w:p w14:paraId="7165FA11" w14:textId="77777777" w:rsidR="00057B27" w:rsidRPr="007F7A39" w:rsidRDefault="0092445A" w:rsidP="00057B27">
      <w:pPr>
        <w:autoSpaceDE w:val="0"/>
        <w:autoSpaceDN w:val="0"/>
        <w:adjustRightInd w:val="0"/>
        <w:rPr>
          <w:color w:val="000000"/>
          <w:szCs w:val="22"/>
        </w:rPr>
      </w:pPr>
      <w:r w:rsidRPr="007F7A39">
        <w:rPr>
          <w:color w:val="000000"/>
        </w:rPr>
        <w:t>Es ist nicht bekannt, ob Trientin in die Muttermilch übergeht. Ein Risiko für das neugeborene Ki</w:t>
      </w:r>
      <w:r w:rsidRPr="007F7A39">
        <w:rPr>
          <w:color w:val="000000"/>
        </w:rPr>
        <w:t>nd bzw. den Säugling kann nicht ausgeschlossen werden. Es muss eine Entscheidung darüber getroffen werden, ob das Stillen zu unterbrechen ist oder ob die Behandlung mit Cuprior zu unterbrechen ist bzw. auf die Behandlung mit Cuprior verzichtet werden soll.</w:t>
      </w:r>
      <w:r w:rsidRPr="007F7A39">
        <w:rPr>
          <w:color w:val="000000"/>
        </w:rPr>
        <w:t xml:space="preserve"> Dabei ist sowohl der Nutzen des Stillens für das Kind als auch der Nutzen der Therapie für die Mutter zu berücksichtigen.</w:t>
      </w:r>
    </w:p>
    <w:p w14:paraId="7165FA12" w14:textId="77777777" w:rsidR="00057B27" w:rsidRPr="007F7A39" w:rsidRDefault="00057B27" w:rsidP="00057B27">
      <w:pPr>
        <w:rPr>
          <w:szCs w:val="22"/>
          <w:u w:val="single"/>
        </w:rPr>
      </w:pPr>
    </w:p>
    <w:p w14:paraId="7165FA13" w14:textId="77777777" w:rsidR="00057B27" w:rsidRPr="007F7A39" w:rsidRDefault="0092445A" w:rsidP="00057B27">
      <w:pPr>
        <w:keepNext/>
        <w:rPr>
          <w:noProof/>
          <w:szCs w:val="22"/>
          <w:u w:val="single"/>
        </w:rPr>
      </w:pPr>
      <w:r w:rsidRPr="007F7A39">
        <w:rPr>
          <w:noProof/>
          <w:u w:val="single"/>
        </w:rPr>
        <w:t>Fertilität</w:t>
      </w:r>
    </w:p>
    <w:p w14:paraId="7165FA14" w14:textId="77777777" w:rsidR="00057B27" w:rsidRPr="007F7A39" w:rsidRDefault="0092445A" w:rsidP="00057B27">
      <w:pPr>
        <w:rPr>
          <w:szCs w:val="22"/>
        </w:rPr>
      </w:pPr>
      <w:r w:rsidRPr="007F7A39">
        <w:rPr>
          <w:color w:val="000000"/>
        </w:rPr>
        <w:t>Es ist nicht bekannt, ob Trientin Auswirkungen auf die menschliche Fertilität hat</w:t>
      </w:r>
      <w:r w:rsidRPr="007F7A39">
        <w:t>.</w:t>
      </w:r>
    </w:p>
    <w:p w14:paraId="7165FA15" w14:textId="77777777" w:rsidR="00057B27" w:rsidRPr="007F7A39" w:rsidRDefault="00057B27" w:rsidP="00057B27">
      <w:pPr>
        <w:spacing w:line="240" w:lineRule="auto"/>
        <w:rPr>
          <w:i/>
          <w:noProof/>
          <w:szCs w:val="22"/>
        </w:rPr>
      </w:pPr>
    </w:p>
    <w:p w14:paraId="7165FA16" w14:textId="77777777" w:rsidR="00057B27" w:rsidRPr="007F7A39" w:rsidRDefault="0092445A" w:rsidP="00057B27">
      <w:pPr>
        <w:pStyle w:val="ListParagraph"/>
        <w:numPr>
          <w:ilvl w:val="1"/>
          <w:numId w:val="28"/>
        </w:numPr>
        <w:spacing w:line="240" w:lineRule="auto"/>
        <w:ind w:hanging="930"/>
        <w:outlineLvl w:val="0"/>
        <w:rPr>
          <w:b/>
          <w:noProof/>
          <w:szCs w:val="22"/>
        </w:rPr>
      </w:pPr>
      <w:r w:rsidRPr="007F7A39">
        <w:rPr>
          <w:b/>
          <w:noProof/>
        </w:rPr>
        <w:t xml:space="preserve">Auswirkungen auf die </w:t>
      </w:r>
      <w:r w:rsidRPr="007F7A39">
        <w:rPr>
          <w:b/>
          <w:noProof/>
        </w:rPr>
        <w:t>Verkehrstüchtigkeit und die Fähigkeit zum Bedienen von Maschinen</w:t>
      </w:r>
    </w:p>
    <w:p w14:paraId="7165FA17" w14:textId="77777777" w:rsidR="00057B27" w:rsidRPr="007F7A39" w:rsidRDefault="00057B27" w:rsidP="00057B27">
      <w:pPr>
        <w:spacing w:line="240" w:lineRule="auto"/>
        <w:rPr>
          <w:noProof/>
          <w:szCs w:val="22"/>
        </w:rPr>
      </w:pPr>
    </w:p>
    <w:p w14:paraId="7165FA18" w14:textId="77777777" w:rsidR="00057B27" w:rsidRPr="007F7A39" w:rsidRDefault="0092445A" w:rsidP="00057B27">
      <w:pPr>
        <w:rPr>
          <w:noProof/>
          <w:szCs w:val="22"/>
        </w:rPr>
      </w:pPr>
      <w:r w:rsidRPr="007F7A39">
        <w:t xml:space="preserve">Cuprior hat keinen oder einen zu vernachlässigenden Einfluss auf die Verkehrstüchtigkeit und die Fähigkeit zum Bedienen von Maschinen. </w:t>
      </w:r>
    </w:p>
    <w:p w14:paraId="7165FA19" w14:textId="77777777" w:rsidR="00057B27" w:rsidRPr="007F7A39" w:rsidRDefault="00057B27" w:rsidP="00057B27">
      <w:pPr>
        <w:spacing w:line="240" w:lineRule="auto"/>
        <w:rPr>
          <w:noProof/>
          <w:szCs w:val="22"/>
        </w:rPr>
      </w:pPr>
    </w:p>
    <w:p w14:paraId="7165FA1A" w14:textId="77777777" w:rsidR="00057B27" w:rsidRPr="007F7A39" w:rsidRDefault="0092445A" w:rsidP="00057B27">
      <w:pPr>
        <w:pStyle w:val="ListParagraph"/>
        <w:numPr>
          <w:ilvl w:val="1"/>
          <w:numId w:val="28"/>
        </w:numPr>
        <w:spacing w:line="240" w:lineRule="auto"/>
        <w:ind w:hanging="930"/>
        <w:outlineLvl w:val="0"/>
        <w:rPr>
          <w:b/>
          <w:noProof/>
          <w:szCs w:val="22"/>
        </w:rPr>
      </w:pPr>
      <w:r w:rsidRPr="007F7A39">
        <w:rPr>
          <w:b/>
          <w:noProof/>
        </w:rPr>
        <w:t>Nebenwirkungen</w:t>
      </w:r>
    </w:p>
    <w:p w14:paraId="7165FA1B" w14:textId="77777777" w:rsidR="00057B27" w:rsidRPr="007F7A39" w:rsidRDefault="00057B27" w:rsidP="00057B27">
      <w:pPr>
        <w:autoSpaceDE w:val="0"/>
        <w:autoSpaceDN w:val="0"/>
        <w:adjustRightInd w:val="0"/>
        <w:rPr>
          <w:noProof/>
          <w:szCs w:val="22"/>
        </w:rPr>
      </w:pPr>
    </w:p>
    <w:p w14:paraId="7165FA1C" w14:textId="77777777" w:rsidR="00057B27" w:rsidRPr="007F7A39" w:rsidRDefault="0092445A" w:rsidP="00057B27">
      <w:pPr>
        <w:autoSpaceDE w:val="0"/>
        <w:autoSpaceDN w:val="0"/>
        <w:adjustRightInd w:val="0"/>
        <w:rPr>
          <w:noProof/>
          <w:szCs w:val="22"/>
          <w:u w:val="single"/>
        </w:rPr>
      </w:pPr>
      <w:r w:rsidRPr="007F7A39">
        <w:rPr>
          <w:noProof/>
          <w:u w:val="single"/>
        </w:rPr>
        <w:t>Zusammenfassung des Sicherheitsprofil</w:t>
      </w:r>
      <w:r w:rsidRPr="007F7A39">
        <w:rPr>
          <w:noProof/>
          <w:u w:val="single"/>
        </w:rPr>
        <w:t>s</w:t>
      </w:r>
    </w:p>
    <w:p w14:paraId="7165FA1D" w14:textId="77777777" w:rsidR="00057B27" w:rsidRPr="007F7A39" w:rsidRDefault="0092445A" w:rsidP="00057B27">
      <w:pPr>
        <w:autoSpaceDE w:val="0"/>
        <w:autoSpaceDN w:val="0"/>
        <w:adjustRightInd w:val="0"/>
        <w:rPr>
          <w:rFonts w:eastAsia="TimesNewRoman"/>
          <w:szCs w:val="22"/>
        </w:rPr>
      </w:pPr>
      <w:r w:rsidRPr="007F7A39">
        <w:t xml:space="preserve">Die am häufigsten unter Trientin beobachtete Nebenwirkung ist Übelkeit. Eine schwere Eisenmangelanämie und eine schwere Kolitis können während der Behandlung auftreten. </w:t>
      </w:r>
    </w:p>
    <w:p w14:paraId="7165FA1E" w14:textId="77777777" w:rsidR="00057B27" w:rsidRPr="007F7A39" w:rsidRDefault="00057B27" w:rsidP="00057B27">
      <w:pPr>
        <w:autoSpaceDE w:val="0"/>
        <w:autoSpaceDN w:val="0"/>
        <w:adjustRightInd w:val="0"/>
        <w:rPr>
          <w:noProof/>
          <w:szCs w:val="22"/>
        </w:rPr>
      </w:pPr>
    </w:p>
    <w:p w14:paraId="7165FA1F" w14:textId="77777777" w:rsidR="00057B27" w:rsidRPr="007F7A39" w:rsidRDefault="0092445A" w:rsidP="00057B27">
      <w:pPr>
        <w:autoSpaceDE w:val="0"/>
        <w:autoSpaceDN w:val="0"/>
        <w:adjustRightInd w:val="0"/>
        <w:rPr>
          <w:noProof/>
          <w:szCs w:val="22"/>
          <w:u w:val="single"/>
        </w:rPr>
      </w:pPr>
      <w:r w:rsidRPr="007F7A39">
        <w:rPr>
          <w:noProof/>
          <w:u w:val="single"/>
        </w:rPr>
        <w:t>Tabellarische Auflistung der Nebenwirkungen</w:t>
      </w:r>
    </w:p>
    <w:p w14:paraId="7165FA20" w14:textId="77777777" w:rsidR="00057B27" w:rsidRPr="007F7A39" w:rsidRDefault="0092445A" w:rsidP="00057B27">
      <w:pPr>
        <w:autoSpaceDE w:val="0"/>
        <w:autoSpaceDN w:val="0"/>
        <w:adjustRightInd w:val="0"/>
        <w:rPr>
          <w:noProof/>
          <w:szCs w:val="22"/>
        </w:rPr>
      </w:pPr>
      <w:r w:rsidRPr="007F7A39">
        <w:t xml:space="preserve">Die folgenden Nebenwirkungen wurden im </w:t>
      </w:r>
      <w:r w:rsidRPr="007F7A39">
        <w:t xml:space="preserve">Rahmen der Anwendung von Trientin zur Behandlung von Morbus Wilson gemeldet. </w:t>
      </w:r>
    </w:p>
    <w:p w14:paraId="7165FA21" w14:textId="77777777" w:rsidR="00057B27" w:rsidRPr="007F7A39" w:rsidRDefault="0092445A" w:rsidP="00057B27">
      <w:pPr>
        <w:autoSpaceDE w:val="0"/>
        <w:autoSpaceDN w:val="0"/>
        <w:adjustRightInd w:val="0"/>
        <w:rPr>
          <w:noProof/>
          <w:szCs w:val="22"/>
        </w:rPr>
      </w:pPr>
      <w:r w:rsidRPr="007F7A39">
        <w:t>Die Häufigkeiten werden wie folgt definiert: sehr häufig (≥1/10), häufig (≥1/100, &lt;1/10), gelegentlich (≥1/1.000, &lt;1/100), selten (≥1/10.000, &lt;1/1.000), sehr selten (&lt;1/10.000) u</w:t>
      </w:r>
      <w:r w:rsidRPr="007F7A39">
        <w:t>nd nicht bekannt (auf Grundlage der verfügbaren Daten nicht abschätzbar).</w:t>
      </w:r>
    </w:p>
    <w:p w14:paraId="7165FA22" w14:textId="77777777" w:rsidR="00057B27" w:rsidRPr="007F7A39" w:rsidRDefault="00057B27" w:rsidP="00057B27">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043F12" w14:paraId="7165FA25" w14:textId="77777777" w:rsidTr="00057B27">
        <w:tc>
          <w:tcPr>
            <w:tcW w:w="3936" w:type="dxa"/>
            <w:tcBorders>
              <w:top w:val="single" w:sz="4" w:space="0" w:color="auto"/>
              <w:left w:val="single" w:sz="4" w:space="0" w:color="auto"/>
              <w:bottom w:val="single" w:sz="4" w:space="0" w:color="auto"/>
              <w:right w:val="single" w:sz="4" w:space="0" w:color="auto"/>
            </w:tcBorders>
            <w:hideMark/>
          </w:tcPr>
          <w:p w14:paraId="7165FA23" w14:textId="77777777" w:rsidR="00057B27" w:rsidRPr="007F7A39" w:rsidRDefault="0092445A" w:rsidP="00057B27">
            <w:pPr>
              <w:autoSpaceDE w:val="0"/>
              <w:autoSpaceDN w:val="0"/>
              <w:adjustRightInd w:val="0"/>
              <w:jc w:val="both"/>
              <w:rPr>
                <w:noProof/>
                <w:szCs w:val="22"/>
              </w:rPr>
            </w:pPr>
            <w:r w:rsidRPr="007F7A39">
              <w:rPr>
                <w:b/>
              </w:rPr>
              <w:t>Systemorganklasse</w:t>
            </w:r>
          </w:p>
        </w:tc>
        <w:tc>
          <w:tcPr>
            <w:tcW w:w="3969" w:type="dxa"/>
            <w:tcBorders>
              <w:top w:val="single" w:sz="4" w:space="0" w:color="auto"/>
              <w:left w:val="single" w:sz="4" w:space="0" w:color="auto"/>
              <w:bottom w:val="single" w:sz="4" w:space="0" w:color="auto"/>
              <w:right w:val="single" w:sz="4" w:space="0" w:color="auto"/>
            </w:tcBorders>
            <w:hideMark/>
          </w:tcPr>
          <w:p w14:paraId="7165FA24" w14:textId="77777777" w:rsidR="00057B27" w:rsidRPr="007F7A39" w:rsidRDefault="0092445A" w:rsidP="00057B27">
            <w:pPr>
              <w:autoSpaceDE w:val="0"/>
              <w:autoSpaceDN w:val="0"/>
              <w:adjustRightInd w:val="0"/>
              <w:jc w:val="both"/>
              <w:rPr>
                <w:noProof/>
                <w:szCs w:val="22"/>
              </w:rPr>
            </w:pPr>
            <w:r w:rsidRPr="007F7A39">
              <w:rPr>
                <w:b/>
              </w:rPr>
              <w:t>Nebenwirkungen</w:t>
            </w:r>
          </w:p>
        </w:tc>
      </w:tr>
      <w:tr w:rsidR="00043F12" w14:paraId="7165FA28" w14:textId="77777777" w:rsidTr="00057B27">
        <w:tc>
          <w:tcPr>
            <w:tcW w:w="3936" w:type="dxa"/>
            <w:tcBorders>
              <w:top w:val="single" w:sz="4" w:space="0" w:color="auto"/>
              <w:left w:val="single" w:sz="4" w:space="0" w:color="auto"/>
              <w:bottom w:val="single" w:sz="4" w:space="0" w:color="auto"/>
              <w:right w:val="single" w:sz="4" w:space="0" w:color="auto"/>
            </w:tcBorders>
            <w:hideMark/>
          </w:tcPr>
          <w:p w14:paraId="7165FA26" w14:textId="77777777" w:rsidR="00057B27" w:rsidRPr="007F7A39" w:rsidRDefault="0092445A" w:rsidP="00057B27">
            <w:pPr>
              <w:autoSpaceDE w:val="0"/>
              <w:autoSpaceDN w:val="0"/>
              <w:adjustRightInd w:val="0"/>
              <w:rPr>
                <w:noProof/>
                <w:szCs w:val="22"/>
              </w:rPr>
            </w:pPr>
            <w:r w:rsidRPr="007F7A39">
              <w:t>Erkrankungen des Blutes und des Lymphsystems</w:t>
            </w:r>
          </w:p>
        </w:tc>
        <w:tc>
          <w:tcPr>
            <w:tcW w:w="3969" w:type="dxa"/>
            <w:tcBorders>
              <w:top w:val="single" w:sz="4" w:space="0" w:color="auto"/>
              <w:left w:val="single" w:sz="4" w:space="0" w:color="auto"/>
              <w:bottom w:val="single" w:sz="4" w:space="0" w:color="auto"/>
              <w:right w:val="single" w:sz="4" w:space="0" w:color="auto"/>
            </w:tcBorders>
            <w:hideMark/>
          </w:tcPr>
          <w:p w14:paraId="04E3E8D8" w14:textId="77777777" w:rsidR="001B4B2A" w:rsidRDefault="0092445A" w:rsidP="001B4B2A">
            <w:pPr>
              <w:pStyle w:val="Default"/>
              <w:rPr>
                <w:sz w:val="22"/>
                <w:szCs w:val="22"/>
              </w:rPr>
            </w:pPr>
            <w:r w:rsidRPr="001B4B2A">
              <w:rPr>
                <w:i/>
                <w:iCs/>
                <w:sz w:val="22"/>
                <w:szCs w:val="22"/>
              </w:rPr>
              <w:t>Gelegentlich:</w:t>
            </w:r>
            <w:r>
              <w:rPr>
                <w:sz w:val="22"/>
                <w:szCs w:val="22"/>
              </w:rPr>
              <w:t xml:space="preserve"> Sideroblastische Anämie </w:t>
            </w:r>
          </w:p>
          <w:p w14:paraId="7165FA27" w14:textId="5BF64E98" w:rsidR="00057B27" w:rsidRPr="007F7A39" w:rsidRDefault="0092445A" w:rsidP="00057B27">
            <w:pPr>
              <w:autoSpaceDE w:val="0"/>
              <w:autoSpaceDN w:val="0"/>
              <w:adjustRightInd w:val="0"/>
              <w:rPr>
                <w:noProof/>
                <w:szCs w:val="22"/>
              </w:rPr>
            </w:pPr>
            <w:r w:rsidRPr="007F7A39">
              <w:rPr>
                <w:i/>
                <w:noProof/>
              </w:rPr>
              <w:t xml:space="preserve">Nicht bekannt: </w:t>
            </w:r>
            <w:r w:rsidRPr="007F7A39">
              <w:t>Eisenmangelanämie.</w:t>
            </w:r>
          </w:p>
        </w:tc>
      </w:tr>
      <w:tr w:rsidR="00043F12" w14:paraId="7165FA2C" w14:textId="77777777" w:rsidTr="00057B27">
        <w:tc>
          <w:tcPr>
            <w:tcW w:w="3936" w:type="dxa"/>
            <w:tcBorders>
              <w:top w:val="single" w:sz="4" w:space="0" w:color="auto"/>
              <w:left w:val="single" w:sz="4" w:space="0" w:color="auto"/>
              <w:bottom w:val="single" w:sz="4" w:space="0" w:color="auto"/>
              <w:right w:val="single" w:sz="4" w:space="0" w:color="auto"/>
            </w:tcBorders>
            <w:hideMark/>
          </w:tcPr>
          <w:p w14:paraId="7165FA29" w14:textId="77777777" w:rsidR="00057B27" w:rsidRPr="007F7A39" w:rsidRDefault="0092445A" w:rsidP="00057B27">
            <w:pPr>
              <w:autoSpaceDE w:val="0"/>
              <w:autoSpaceDN w:val="0"/>
              <w:adjustRightInd w:val="0"/>
              <w:rPr>
                <w:noProof/>
                <w:szCs w:val="22"/>
              </w:rPr>
            </w:pPr>
            <w:r w:rsidRPr="007F7A39">
              <w:t xml:space="preserve">Erkrankungen des </w:t>
            </w:r>
            <w:r w:rsidRPr="007F7A39">
              <w:t>Gastrointestinaltrakts</w:t>
            </w:r>
          </w:p>
        </w:tc>
        <w:tc>
          <w:tcPr>
            <w:tcW w:w="3969" w:type="dxa"/>
            <w:tcBorders>
              <w:top w:val="single" w:sz="4" w:space="0" w:color="auto"/>
              <w:left w:val="single" w:sz="4" w:space="0" w:color="auto"/>
              <w:bottom w:val="single" w:sz="4" w:space="0" w:color="auto"/>
              <w:right w:val="single" w:sz="4" w:space="0" w:color="auto"/>
            </w:tcBorders>
            <w:hideMark/>
          </w:tcPr>
          <w:p w14:paraId="7165FA2A" w14:textId="77777777" w:rsidR="00057B27" w:rsidRPr="007F7A39" w:rsidRDefault="0092445A" w:rsidP="00057B27">
            <w:pPr>
              <w:autoSpaceDE w:val="0"/>
              <w:autoSpaceDN w:val="0"/>
              <w:adjustRightInd w:val="0"/>
              <w:rPr>
                <w:noProof/>
                <w:szCs w:val="22"/>
              </w:rPr>
            </w:pPr>
            <w:r w:rsidRPr="007F7A39">
              <w:rPr>
                <w:i/>
                <w:noProof/>
              </w:rPr>
              <w:t>Häufig:</w:t>
            </w:r>
            <w:r w:rsidRPr="007F7A39">
              <w:t xml:space="preserve"> Übelkeit. </w:t>
            </w:r>
          </w:p>
          <w:p w14:paraId="7165FA2B" w14:textId="77777777" w:rsidR="00057B27" w:rsidRPr="007F7A39" w:rsidRDefault="0092445A" w:rsidP="00057B27">
            <w:pPr>
              <w:autoSpaceDE w:val="0"/>
              <w:autoSpaceDN w:val="0"/>
              <w:adjustRightInd w:val="0"/>
              <w:rPr>
                <w:noProof/>
                <w:szCs w:val="22"/>
              </w:rPr>
            </w:pPr>
            <w:r w:rsidRPr="007F7A39">
              <w:rPr>
                <w:i/>
                <w:noProof/>
              </w:rPr>
              <w:t xml:space="preserve">Nicht bekannt: </w:t>
            </w:r>
            <w:r w:rsidRPr="007F7A39">
              <w:t>Duodenitis, Kolitis (einschließlich schwere Kolitis).</w:t>
            </w:r>
          </w:p>
        </w:tc>
      </w:tr>
      <w:tr w:rsidR="00043F12" w14:paraId="7165FA30" w14:textId="77777777" w:rsidTr="00057B27">
        <w:tc>
          <w:tcPr>
            <w:tcW w:w="3936" w:type="dxa"/>
            <w:tcBorders>
              <w:top w:val="single" w:sz="4" w:space="0" w:color="auto"/>
              <w:left w:val="single" w:sz="4" w:space="0" w:color="auto"/>
              <w:bottom w:val="single" w:sz="4" w:space="0" w:color="auto"/>
              <w:right w:val="single" w:sz="4" w:space="0" w:color="auto"/>
            </w:tcBorders>
            <w:hideMark/>
          </w:tcPr>
          <w:p w14:paraId="7165FA2D" w14:textId="77777777" w:rsidR="00057B27" w:rsidRPr="007F7A39" w:rsidRDefault="0092445A" w:rsidP="00057B27">
            <w:pPr>
              <w:autoSpaceDE w:val="0"/>
              <w:autoSpaceDN w:val="0"/>
              <w:adjustRightInd w:val="0"/>
              <w:rPr>
                <w:noProof/>
                <w:szCs w:val="22"/>
              </w:rPr>
            </w:pPr>
            <w:r w:rsidRPr="007F7A39">
              <w:t>Erkrankungen der Haut und des Unterhautzellgewebes</w:t>
            </w:r>
          </w:p>
        </w:tc>
        <w:tc>
          <w:tcPr>
            <w:tcW w:w="3969" w:type="dxa"/>
            <w:tcBorders>
              <w:top w:val="single" w:sz="4" w:space="0" w:color="auto"/>
              <w:left w:val="single" w:sz="4" w:space="0" w:color="auto"/>
              <w:bottom w:val="single" w:sz="4" w:space="0" w:color="auto"/>
              <w:right w:val="single" w:sz="4" w:space="0" w:color="auto"/>
            </w:tcBorders>
            <w:hideMark/>
          </w:tcPr>
          <w:p w14:paraId="7165FA2E" w14:textId="77777777" w:rsidR="00057B27" w:rsidRPr="007F7A39" w:rsidRDefault="0092445A" w:rsidP="00057B27">
            <w:pPr>
              <w:autoSpaceDE w:val="0"/>
              <w:autoSpaceDN w:val="0"/>
              <w:adjustRightInd w:val="0"/>
              <w:rPr>
                <w:noProof/>
                <w:szCs w:val="22"/>
              </w:rPr>
            </w:pPr>
            <w:r w:rsidRPr="007F7A39">
              <w:rPr>
                <w:i/>
                <w:noProof/>
              </w:rPr>
              <w:t xml:space="preserve">Gelegentlich: </w:t>
            </w:r>
            <w:r w:rsidRPr="007F7A39">
              <w:t xml:space="preserve">Ausschlag, Pruritus, Erythem. </w:t>
            </w:r>
          </w:p>
          <w:p w14:paraId="7165FA2F" w14:textId="77777777" w:rsidR="00057B27" w:rsidRPr="007F7A39" w:rsidRDefault="0092445A" w:rsidP="00057B27">
            <w:pPr>
              <w:autoSpaceDE w:val="0"/>
              <w:autoSpaceDN w:val="0"/>
              <w:adjustRightInd w:val="0"/>
              <w:rPr>
                <w:noProof/>
                <w:szCs w:val="22"/>
              </w:rPr>
            </w:pPr>
            <w:r w:rsidRPr="007F7A39">
              <w:rPr>
                <w:i/>
                <w:noProof/>
              </w:rPr>
              <w:t>Nicht bekannt</w:t>
            </w:r>
            <w:r w:rsidRPr="007F7A39">
              <w:t>: Urtikaria</w:t>
            </w:r>
          </w:p>
        </w:tc>
      </w:tr>
    </w:tbl>
    <w:p w14:paraId="7165FA31" w14:textId="77777777" w:rsidR="00057B27" w:rsidRPr="007F7A39" w:rsidRDefault="00057B27" w:rsidP="00057B27">
      <w:pPr>
        <w:autoSpaceDE w:val="0"/>
        <w:autoSpaceDN w:val="0"/>
        <w:adjustRightInd w:val="0"/>
        <w:rPr>
          <w:noProof/>
          <w:szCs w:val="22"/>
        </w:rPr>
      </w:pPr>
    </w:p>
    <w:p w14:paraId="7165FA32" w14:textId="77777777" w:rsidR="00057B27" w:rsidRPr="007F7A39" w:rsidRDefault="0092445A" w:rsidP="00057B27">
      <w:pPr>
        <w:keepNext/>
        <w:autoSpaceDE w:val="0"/>
        <w:autoSpaceDN w:val="0"/>
        <w:adjustRightInd w:val="0"/>
        <w:spacing w:line="240" w:lineRule="auto"/>
        <w:rPr>
          <w:szCs w:val="22"/>
          <w:u w:val="single"/>
        </w:rPr>
      </w:pPr>
      <w:r w:rsidRPr="007F7A39">
        <w:rPr>
          <w:u w:val="single"/>
        </w:rPr>
        <w:lastRenderedPageBreak/>
        <w:t xml:space="preserve">Meldung des </w:t>
      </w:r>
      <w:r w:rsidRPr="007F7A39">
        <w:rPr>
          <w:u w:val="single"/>
        </w:rPr>
        <w:t>Verdachts auf Nebenwirkungen</w:t>
      </w:r>
    </w:p>
    <w:p w14:paraId="7165FA33" w14:textId="77777777" w:rsidR="00057B27" w:rsidRPr="007F7A39" w:rsidRDefault="0092445A" w:rsidP="00057B27">
      <w:pPr>
        <w:autoSpaceDE w:val="0"/>
        <w:autoSpaceDN w:val="0"/>
        <w:adjustRightInd w:val="0"/>
        <w:spacing w:line="240" w:lineRule="auto"/>
        <w:rPr>
          <w:noProof/>
          <w:szCs w:val="22"/>
        </w:rPr>
      </w:pPr>
      <w:r w:rsidRPr="007F7A39">
        <w:t>Die Meldung des Verdachts auf Nebenwirkungen nach der Zulassung ist von großer Wichtigkeit. Sie ermöglicht eine kontinuierliche Überwachung des Nutzen-Risiko-Verhältnisses des Arzneimittels. Angehörige von Gesundheitsberufen si</w:t>
      </w:r>
      <w:r w:rsidRPr="007F7A39">
        <w:t xml:space="preserve">nd aufgefordert, jeden Verdachtsfall einer Nebenwirkung über das in </w:t>
      </w:r>
      <w:hyperlink r:id="rId11" w:history="1">
        <w:r w:rsidRPr="007F7A39">
          <w:rPr>
            <w:rStyle w:val="Hyperlink"/>
            <w:highlight w:val="lightGray"/>
          </w:rPr>
          <w:t>Anhang V</w:t>
        </w:r>
      </w:hyperlink>
      <w:r w:rsidRPr="007F7A39">
        <w:t xml:space="preserve"> </w:t>
      </w:r>
      <w:r w:rsidRPr="007F7A39">
        <w:rPr>
          <w:highlight w:val="lightGray"/>
        </w:rPr>
        <w:t>aufgeführte nationale Meldesystem</w:t>
      </w:r>
      <w:r w:rsidRPr="007F7A39">
        <w:t xml:space="preserve"> anzuzeigen.</w:t>
      </w:r>
    </w:p>
    <w:p w14:paraId="7165FA34" w14:textId="77777777" w:rsidR="00057B27" w:rsidRPr="007F7A39" w:rsidRDefault="00057B27" w:rsidP="00057B27">
      <w:pPr>
        <w:spacing w:line="240" w:lineRule="auto"/>
        <w:rPr>
          <w:noProof/>
          <w:szCs w:val="22"/>
        </w:rPr>
      </w:pPr>
    </w:p>
    <w:p w14:paraId="7165FA35" w14:textId="77777777" w:rsidR="00057B27" w:rsidRPr="007F7A39" w:rsidRDefault="0092445A" w:rsidP="00057B27">
      <w:pPr>
        <w:pStyle w:val="ListParagraph"/>
        <w:numPr>
          <w:ilvl w:val="1"/>
          <w:numId w:val="28"/>
        </w:numPr>
        <w:spacing w:line="240" w:lineRule="auto"/>
        <w:ind w:hanging="930"/>
        <w:outlineLvl w:val="0"/>
        <w:rPr>
          <w:b/>
          <w:noProof/>
          <w:szCs w:val="22"/>
        </w:rPr>
      </w:pPr>
      <w:r w:rsidRPr="007F7A39">
        <w:rPr>
          <w:b/>
          <w:noProof/>
        </w:rPr>
        <w:t>Überdosierung</w:t>
      </w:r>
    </w:p>
    <w:p w14:paraId="7165FA36" w14:textId="77777777" w:rsidR="00057B27" w:rsidRPr="007F7A39" w:rsidRDefault="00057B27" w:rsidP="00057B27">
      <w:pPr>
        <w:spacing w:line="240" w:lineRule="auto"/>
        <w:rPr>
          <w:noProof/>
          <w:szCs w:val="22"/>
        </w:rPr>
      </w:pPr>
    </w:p>
    <w:p w14:paraId="3DAB9B03" w14:textId="6E9AC04A" w:rsidR="00546791" w:rsidRPr="007F7A39" w:rsidRDefault="0092445A" w:rsidP="00057B27">
      <w:r w:rsidRPr="007F7A39">
        <w:t>Es lieg</w:t>
      </w:r>
      <w:r w:rsidRPr="007F7A39">
        <w:t>en Berichte über eine gelegentliche Überdosierung von Trientin vor. In Fällen von bis zu 20 g Trientin-Base wurden keine erkennbaren Nebenwirkungen gemeldet. Eine höhere Überdosierung von 40 g Trientin führte zu selbstbegrenzendem Schwindelgefühl und Erbre</w:t>
      </w:r>
      <w:r w:rsidRPr="007F7A39">
        <w:t>chen</w:t>
      </w:r>
      <w:r w:rsidR="00F53C53" w:rsidRPr="007F7A39">
        <w:t>.</w:t>
      </w:r>
      <w:r w:rsidR="00A221BA" w:rsidRPr="007F7A39">
        <w:t xml:space="preserve"> Es wurden</w:t>
      </w:r>
      <w:r w:rsidRPr="007F7A39">
        <w:t xml:space="preserve"> keine </w:t>
      </w:r>
      <w:r w:rsidR="00AA7B22" w:rsidRPr="007F7A39">
        <w:t>anderen</w:t>
      </w:r>
      <w:r w:rsidRPr="007F7A39">
        <w:t xml:space="preserve"> klinischen Folgeerscheinungen oder signifikanten</w:t>
      </w:r>
      <w:r w:rsidR="00AA7B22" w:rsidRPr="007F7A39">
        <w:t xml:space="preserve"> Abweichungen </w:t>
      </w:r>
      <w:r w:rsidRPr="007F7A39">
        <w:t>biochemische</w:t>
      </w:r>
      <w:r w:rsidR="00AD7A08" w:rsidRPr="007F7A39">
        <w:t>r Werte</w:t>
      </w:r>
      <w:r w:rsidRPr="007F7A39">
        <w:t xml:space="preserve"> gemeldet.</w:t>
      </w:r>
    </w:p>
    <w:p w14:paraId="7282FCEC" w14:textId="77777777" w:rsidR="00546791" w:rsidRPr="007F7A39" w:rsidRDefault="00546791" w:rsidP="00057B27"/>
    <w:p w14:paraId="7165FA37" w14:textId="7B669E06" w:rsidR="00057B27" w:rsidRPr="007F7A39" w:rsidRDefault="0092445A" w:rsidP="00057B27">
      <w:pPr>
        <w:rPr>
          <w:noProof/>
          <w:szCs w:val="22"/>
        </w:rPr>
      </w:pPr>
      <w:r w:rsidRPr="007F7A39">
        <w:t>Es existiert kein Antidot für den Fall einer akuten Überdosierung mit Trientin.</w:t>
      </w:r>
    </w:p>
    <w:p w14:paraId="7165FA38" w14:textId="77777777" w:rsidR="00057B27" w:rsidRPr="007F7A39" w:rsidRDefault="00057B27" w:rsidP="00057B27">
      <w:pPr>
        <w:spacing w:line="240" w:lineRule="auto"/>
        <w:rPr>
          <w:szCs w:val="22"/>
        </w:rPr>
      </w:pPr>
    </w:p>
    <w:p w14:paraId="7165FA39" w14:textId="77777777" w:rsidR="00057B27" w:rsidRPr="007F7A39" w:rsidRDefault="0092445A" w:rsidP="00057B27">
      <w:pPr>
        <w:spacing w:line="240" w:lineRule="auto"/>
        <w:rPr>
          <w:noProof/>
          <w:szCs w:val="22"/>
        </w:rPr>
      </w:pPr>
      <w:r w:rsidRPr="007F7A39">
        <w:t xml:space="preserve">Eine chronische Überbehandlung kann zu </w:t>
      </w:r>
      <w:r w:rsidRPr="007F7A39">
        <w:t>Kupfermangel und reversibler sideroachrestischer Anämie führen. Eine Überbehandlung und ein übermäßiges Entfernen von Kupfer können anhand der Werte der Kupferausscheidung mit dem Urin und des nicht an Caeruloplasmin gebundenen Kupfers überwacht werden. Ei</w:t>
      </w:r>
      <w:r w:rsidRPr="007F7A39">
        <w:t>ne sorgfältige Überwachung ist erforderlich, um die Dosis zu optimieren oder die Behandlung falls nötig anzupassen (siehe Abschnitt 4.4).</w:t>
      </w:r>
    </w:p>
    <w:p w14:paraId="7165FA3A" w14:textId="77777777" w:rsidR="00057B27" w:rsidRPr="007F7A39" w:rsidRDefault="00057B27" w:rsidP="00057B27">
      <w:pPr>
        <w:suppressAutoHyphens/>
        <w:spacing w:line="240" w:lineRule="auto"/>
        <w:rPr>
          <w:b/>
          <w:szCs w:val="22"/>
        </w:rPr>
      </w:pPr>
    </w:p>
    <w:p w14:paraId="7165FA3B" w14:textId="77777777" w:rsidR="00057B27" w:rsidRPr="007F7A39" w:rsidRDefault="00057B27" w:rsidP="00057B27">
      <w:pPr>
        <w:suppressAutoHyphens/>
        <w:spacing w:line="240" w:lineRule="auto"/>
        <w:rPr>
          <w:b/>
          <w:szCs w:val="22"/>
        </w:rPr>
      </w:pPr>
    </w:p>
    <w:p w14:paraId="7165FA3C" w14:textId="77777777" w:rsidR="00057B27" w:rsidRPr="007F7A39" w:rsidRDefault="0092445A" w:rsidP="00057B27">
      <w:pPr>
        <w:pStyle w:val="ListParagraph"/>
        <w:numPr>
          <w:ilvl w:val="0"/>
          <w:numId w:val="28"/>
        </w:numPr>
        <w:spacing w:line="240" w:lineRule="auto"/>
        <w:ind w:hanging="930"/>
        <w:rPr>
          <w:b/>
        </w:rPr>
      </w:pPr>
      <w:r w:rsidRPr="007F7A39">
        <w:rPr>
          <w:b/>
        </w:rPr>
        <w:t>PHARMAKOLOGISCHE EIGENSCHAFTEN</w:t>
      </w:r>
    </w:p>
    <w:p w14:paraId="7165FA3D" w14:textId="77777777" w:rsidR="00057B27" w:rsidRPr="007F7A39" w:rsidRDefault="00057B27" w:rsidP="00057B27">
      <w:pPr>
        <w:spacing w:line="240" w:lineRule="auto"/>
        <w:rPr>
          <w:szCs w:val="22"/>
        </w:rPr>
      </w:pPr>
    </w:p>
    <w:p w14:paraId="7165FA3E" w14:textId="77777777" w:rsidR="00057B27" w:rsidRPr="007F7A39" w:rsidRDefault="0092445A" w:rsidP="00057B27">
      <w:pPr>
        <w:pStyle w:val="ListParagraph"/>
        <w:numPr>
          <w:ilvl w:val="1"/>
          <w:numId w:val="28"/>
        </w:numPr>
        <w:spacing w:line="240" w:lineRule="auto"/>
        <w:ind w:hanging="930"/>
        <w:outlineLvl w:val="0"/>
        <w:rPr>
          <w:szCs w:val="22"/>
        </w:rPr>
      </w:pPr>
      <w:r w:rsidRPr="007F7A39">
        <w:rPr>
          <w:b/>
        </w:rPr>
        <w:t>Pharmakodynamische Eigenschaften</w:t>
      </w:r>
    </w:p>
    <w:p w14:paraId="7165FA3F" w14:textId="77777777" w:rsidR="00057B27" w:rsidRPr="007F7A39" w:rsidRDefault="00057B27" w:rsidP="00057B27">
      <w:pPr>
        <w:spacing w:line="240" w:lineRule="auto"/>
        <w:rPr>
          <w:szCs w:val="22"/>
        </w:rPr>
      </w:pPr>
    </w:p>
    <w:p w14:paraId="7165FA40" w14:textId="77777777" w:rsidR="00057B27" w:rsidRPr="007F7A39" w:rsidRDefault="0092445A" w:rsidP="00057B27">
      <w:pPr>
        <w:numPr>
          <w:ilvl w:val="12"/>
          <w:numId w:val="0"/>
        </w:numPr>
        <w:ind w:right="-2"/>
        <w:rPr>
          <w:szCs w:val="22"/>
        </w:rPr>
      </w:pPr>
      <w:r w:rsidRPr="007F7A39">
        <w:t>Pharmakotherapeutische Gruppe: Andere Mittel für d</w:t>
      </w:r>
      <w:r w:rsidRPr="007F7A39">
        <w:t>as alimentäre System und den Stoffwechsel, sonstige Mittel für das alimentäre System und den Stoffwechsel, ATC-Code: A16AX12.</w:t>
      </w:r>
    </w:p>
    <w:p w14:paraId="7165FA41" w14:textId="77777777" w:rsidR="00057B27" w:rsidRPr="007F7A39" w:rsidRDefault="00057B27" w:rsidP="00057B27">
      <w:pPr>
        <w:numPr>
          <w:ilvl w:val="12"/>
          <w:numId w:val="0"/>
        </w:numPr>
        <w:ind w:right="-2"/>
        <w:rPr>
          <w:szCs w:val="22"/>
        </w:rPr>
      </w:pPr>
    </w:p>
    <w:p w14:paraId="7165FA42" w14:textId="77777777" w:rsidR="00057B27" w:rsidRPr="007F7A39" w:rsidRDefault="0092445A" w:rsidP="00057B27">
      <w:pPr>
        <w:keepNext/>
        <w:numPr>
          <w:ilvl w:val="12"/>
          <w:numId w:val="0"/>
        </w:numPr>
        <w:rPr>
          <w:szCs w:val="22"/>
          <w:u w:val="single"/>
        </w:rPr>
      </w:pPr>
      <w:r w:rsidRPr="007F7A39">
        <w:rPr>
          <w:u w:val="single"/>
        </w:rPr>
        <w:t xml:space="preserve">Wirkmechanismus </w:t>
      </w:r>
    </w:p>
    <w:p w14:paraId="7165FA43" w14:textId="77777777" w:rsidR="00057B27" w:rsidRPr="007F7A39" w:rsidRDefault="0092445A" w:rsidP="00057B27">
      <w:pPr>
        <w:numPr>
          <w:ilvl w:val="12"/>
          <w:numId w:val="0"/>
        </w:numPr>
        <w:ind w:right="-2"/>
        <w:rPr>
          <w:szCs w:val="22"/>
        </w:rPr>
      </w:pPr>
      <w:r w:rsidRPr="007F7A39">
        <w:t xml:space="preserve">Trientin ist ein Kupferchelatbildner, dessen hauptsächlicher Wirkmechanismus die Elimination </w:t>
      </w:r>
      <w:r w:rsidRPr="007F7A39">
        <w:t>resorbierten Kupfers aus dem Körper ist, indem ein stabiler Komplex gebildet wird, der dann mit dem Urin ausgeschieden wird. Trientin kann auch Kupfer im Darmtrakt komplexieren und dadurch die Kupferresorption hemmen.</w:t>
      </w:r>
    </w:p>
    <w:p w14:paraId="7165FA44" w14:textId="77777777" w:rsidR="00057B27" w:rsidRPr="007F7A39" w:rsidRDefault="00057B27" w:rsidP="00057B27">
      <w:pPr>
        <w:numPr>
          <w:ilvl w:val="12"/>
          <w:numId w:val="0"/>
        </w:numPr>
        <w:ind w:right="-2"/>
        <w:rPr>
          <w:iCs/>
          <w:noProof/>
          <w:szCs w:val="22"/>
        </w:rPr>
      </w:pPr>
    </w:p>
    <w:p w14:paraId="7165FA45" w14:textId="77777777" w:rsidR="00057B27" w:rsidRPr="007F7A39" w:rsidRDefault="0092445A" w:rsidP="00057B27">
      <w:pPr>
        <w:pStyle w:val="ListParagraph"/>
        <w:numPr>
          <w:ilvl w:val="1"/>
          <w:numId w:val="28"/>
        </w:numPr>
        <w:spacing w:line="240" w:lineRule="auto"/>
        <w:ind w:hanging="930"/>
        <w:outlineLvl w:val="0"/>
        <w:rPr>
          <w:b/>
          <w:szCs w:val="22"/>
        </w:rPr>
      </w:pPr>
      <w:r w:rsidRPr="007F7A39">
        <w:rPr>
          <w:b/>
        </w:rPr>
        <w:t>Pharmakokinetische Eigenschaften</w:t>
      </w:r>
    </w:p>
    <w:p w14:paraId="7165FA46" w14:textId="77777777" w:rsidR="00057B27" w:rsidRPr="007F7A39" w:rsidRDefault="00057B27" w:rsidP="00057B27">
      <w:pPr>
        <w:rPr>
          <w:noProof/>
        </w:rPr>
      </w:pPr>
    </w:p>
    <w:p w14:paraId="7165FA47" w14:textId="77777777" w:rsidR="00057B27" w:rsidRPr="007F7A39" w:rsidRDefault="0092445A" w:rsidP="00057B27">
      <w:pPr>
        <w:rPr>
          <w:noProof/>
          <w:szCs w:val="22"/>
          <w:u w:val="single"/>
        </w:rPr>
      </w:pPr>
      <w:r w:rsidRPr="007F7A39">
        <w:rPr>
          <w:noProof/>
          <w:u w:val="single"/>
        </w:rPr>
        <w:t>Res</w:t>
      </w:r>
      <w:r w:rsidRPr="007F7A39">
        <w:rPr>
          <w:noProof/>
          <w:u w:val="single"/>
        </w:rPr>
        <w:t>orption</w:t>
      </w:r>
    </w:p>
    <w:p w14:paraId="7165FA48" w14:textId="77777777" w:rsidR="00057B27" w:rsidRPr="007F7A39" w:rsidRDefault="0092445A" w:rsidP="00057B27">
      <w:pPr>
        <w:rPr>
          <w:noProof/>
          <w:szCs w:val="22"/>
        </w:rPr>
      </w:pPr>
      <w:r w:rsidRPr="007F7A39">
        <w:t>Nach oraler Gabe wird Trientin langsam resorbiert und die Resorption ist bei Patienten mit Morbus Wilson variabel. Das pharmakokinetische Profil von Cuprior wurde nach einer oralen Einzeldosis von 450 mg, 600 mg und 750 mg Trientin in gesunden männ</w:t>
      </w:r>
      <w:r w:rsidRPr="007F7A39">
        <w:t>lichen und weiblichen Probanden untersucht. Die Plasmawerte von Trientin stiegen nach der Gabe schnell an und der mediane Spitzenwert wurde nach 1,25 bis 2 Stunden erreicht. Die Plasmakonzentration von Trientin nahm daraufhin mehrphasig ab, zu Beginn schne</w:t>
      </w:r>
      <w:r w:rsidRPr="007F7A39">
        <w:t xml:space="preserve">ll, gefolgt von einer langsameren Eliminationsphase. Die gesamten pharmakokinetischen Profile waren zwischen Männern und Frauen ähnlich, jedoch lagen bei Männern höhere Trientinkonzentrationen vor. </w:t>
      </w:r>
    </w:p>
    <w:p w14:paraId="7165FA49" w14:textId="77777777" w:rsidR="00057B27" w:rsidRPr="007F7A39" w:rsidRDefault="00057B27" w:rsidP="00057B27">
      <w:pPr>
        <w:rPr>
          <w:noProof/>
          <w:szCs w:val="22"/>
        </w:rPr>
      </w:pPr>
    </w:p>
    <w:p w14:paraId="7165FA4A" w14:textId="77777777" w:rsidR="00057B27" w:rsidRPr="007F7A39" w:rsidRDefault="0092445A" w:rsidP="00057B27">
      <w:pPr>
        <w:rPr>
          <w:noProof/>
          <w:szCs w:val="22"/>
          <w:u w:val="single"/>
        </w:rPr>
      </w:pPr>
      <w:r w:rsidRPr="007F7A39">
        <w:rPr>
          <w:noProof/>
          <w:u w:val="single"/>
        </w:rPr>
        <w:t>Verteilung</w:t>
      </w:r>
    </w:p>
    <w:p w14:paraId="7165FA4B" w14:textId="77777777" w:rsidR="00057B27" w:rsidRPr="007F7A39" w:rsidRDefault="0092445A" w:rsidP="00057B27">
      <w:pPr>
        <w:rPr>
          <w:noProof/>
          <w:szCs w:val="22"/>
        </w:rPr>
      </w:pPr>
      <w:r w:rsidRPr="007F7A39">
        <w:t>Über die Verteilung von Trientin in Organen u</w:t>
      </w:r>
      <w:r w:rsidRPr="007F7A39">
        <w:t xml:space="preserve">nd Geweben ist wenig bekannt. </w:t>
      </w:r>
    </w:p>
    <w:p w14:paraId="7165FA4C" w14:textId="77777777" w:rsidR="00057B27" w:rsidRPr="007F7A39" w:rsidRDefault="00057B27" w:rsidP="00057B27">
      <w:pPr>
        <w:rPr>
          <w:noProof/>
          <w:szCs w:val="22"/>
        </w:rPr>
      </w:pPr>
    </w:p>
    <w:p w14:paraId="7165FA4D" w14:textId="77777777" w:rsidR="00057B27" w:rsidRPr="007F7A39" w:rsidRDefault="0092445A" w:rsidP="00057B27">
      <w:pPr>
        <w:rPr>
          <w:noProof/>
          <w:szCs w:val="22"/>
          <w:u w:val="single"/>
        </w:rPr>
      </w:pPr>
      <w:r w:rsidRPr="007F7A39">
        <w:rPr>
          <w:noProof/>
          <w:u w:val="single"/>
        </w:rPr>
        <w:t>Biotransformation</w:t>
      </w:r>
    </w:p>
    <w:p w14:paraId="7165FA4E" w14:textId="77777777" w:rsidR="00057B27" w:rsidRPr="007F7A39" w:rsidRDefault="0092445A" w:rsidP="00057B27">
      <w:pPr>
        <w:rPr>
          <w:szCs w:val="22"/>
        </w:rPr>
      </w:pPr>
      <w:r w:rsidRPr="007F7A39">
        <w:t>Trientin wird in zwei Hauptmetabolite acetyliert, N(1)-Acetyltriethylenetetramin (MAT) und N(1), N(10)-Diacetyltriethylenetetramin (DAT). MAT kann sich auch an der klinischen Gesamtaktivität von Cuprior bet</w:t>
      </w:r>
      <w:r w:rsidRPr="007F7A39">
        <w:t>eiligen, das Ausmaß, in dem MAT sich an der Gesamtwirkung von Cuprior auf die Kupferkonzentrationen beteiligt, muss jedoch noch geprüft werden.</w:t>
      </w:r>
    </w:p>
    <w:p w14:paraId="7165FA4F" w14:textId="77777777" w:rsidR="00057B27" w:rsidRPr="007F7A39" w:rsidRDefault="00057B27" w:rsidP="00057B27">
      <w:pPr>
        <w:rPr>
          <w:szCs w:val="22"/>
        </w:rPr>
      </w:pPr>
    </w:p>
    <w:p w14:paraId="7165FA50" w14:textId="77777777" w:rsidR="00057B27" w:rsidRPr="007F7A39" w:rsidRDefault="0092445A" w:rsidP="00057B27">
      <w:pPr>
        <w:keepNext/>
        <w:rPr>
          <w:noProof/>
          <w:szCs w:val="22"/>
        </w:rPr>
      </w:pPr>
      <w:r w:rsidRPr="007F7A39">
        <w:rPr>
          <w:noProof/>
          <w:u w:val="single"/>
        </w:rPr>
        <w:lastRenderedPageBreak/>
        <w:t>Elimination</w:t>
      </w:r>
    </w:p>
    <w:p w14:paraId="7165FA51" w14:textId="77777777" w:rsidR="00057B27" w:rsidRPr="007F7A39" w:rsidRDefault="0092445A" w:rsidP="00057B27">
      <w:pPr>
        <w:rPr>
          <w:noProof/>
          <w:szCs w:val="22"/>
        </w:rPr>
      </w:pPr>
      <w:r w:rsidRPr="007F7A39">
        <w:t>Trientin und seine Metaboliten werden schnell über den Urin ausgeschieden, niedrige Trientinkonzent</w:t>
      </w:r>
      <w:r w:rsidRPr="007F7A39">
        <w:t>rationen konnten jedoch noch nach 20 Stunden im Plasma festgestellt werden. Nicht resorbiertes Trientin wird mit dem Stuhl ausgeschieden.</w:t>
      </w:r>
    </w:p>
    <w:p w14:paraId="7165FA52" w14:textId="77777777" w:rsidR="00057B27" w:rsidRPr="007F7A39" w:rsidRDefault="00057B27" w:rsidP="00057B27">
      <w:pPr>
        <w:rPr>
          <w:noProof/>
          <w:szCs w:val="22"/>
        </w:rPr>
      </w:pPr>
    </w:p>
    <w:p w14:paraId="7165FA53" w14:textId="77777777" w:rsidR="00057B27" w:rsidRPr="007F7A39" w:rsidRDefault="0092445A" w:rsidP="00057B27">
      <w:pPr>
        <w:rPr>
          <w:noProof/>
          <w:szCs w:val="22"/>
          <w:u w:val="single"/>
        </w:rPr>
      </w:pPr>
      <w:r w:rsidRPr="007F7A39">
        <w:rPr>
          <w:noProof/>
          <w:u w:val="single"/>
        </w:rPr>
        <w:t>Linearität/Nicht-Linearität</w:t>
      </w:r>
    </w:p>
    <w:p w14:paraId="7165FA54" w14:textId="77777777" w:rsidR="00057B27" w:rsidRPr="007F7A39" w:rsidRDefault="0092445A" w:rsidP="00057B27">
      <w:pPr>
        <w:rPr>
          <w:noProof/>
          <w:szCs w:val="22"/>
        </w:rPr>
      </w:pPr>
      <w:r w:rsidRPr="007F7A39">
        <w:t>Die Plasmaexpositionen beim Menschen wiesen ein lineares Verhältnis zu oralen Dosen von T</w:t>
      </w:r>
      <w:r w:rsidRPr="007F7A39">
        <w:t>rientin auf.</w:t>
      </w:r>
    </w:p>
    <w:p w14:paraId="7165FA55" w14:textId="77777777" w:rsidR="00057B27" w:rsidRPr="007F7A39" w:rsidRDefault="00057B27" w:rsidP="00057B27">
      <w:pPr>
        <w:numPr>
          <w:ilvl w:val="12"/>
          <w:numId w:val="0"/>
        </w:numPr>
        <w:spacing w:line="240" w:lineRule="auto"/>
        <w:ind w:right="-2"/>
        <w:rPr>
          <w:iCs/>
          <w:noProof/>
          <w:szCs w:val="22"/>
        </w:rPr>
      </w:pPr>
    </w:p>
    <w:p w14:paraId="7165FA56" w14:textId="77777777" w:rsidR="00057B27" w:rsidRPr="007F7A39" w:rsidRDefault="0092445A" w:rsidP="00057B27">
      <w:pPr>
        <w:pStyle w:val="ListParagraph"/>
        <w:numPr>
          <w:ilvl w:val="1"/>
          <w:numId w:val="28"/>
        </w:numPr>
        <w:spacing w:line="240" w:lineRule="auto"/>
        <w:ind w:hanging="930"/>
        <w:outlineLvl w:val="0"/>
        <w:rPr>
          <w:b/>
          <w:szCs w:val="22"/>
        </w:rPr>
      </w:pPr>
      <w:r w:rsidRPr="007F7A39">
        <w:rPr>
          <w:b/>
        </w:rPr>
        <w:t>Präklinische Daten zur Sicherheit</w:t>
      </w:r>
    </w:p>
    <w:p w14:paraId="7165FA57" w14:textId="77777777" w:rsidR="00057B27" w:rsidRPr="007F7A39" w:rsidRDefault="00057B27" w:rsidP="00057B27">
      <w:pPr>
        <w:spacing w:line="240" w:lineRule="auto"/>
        <w:rPr>
          <w:noProof/>
          <w:szCs w:val="22"/>
        </w:rPr>
      </w:pPr>
    </w:p>
    <w:p w14:paraId="7165FA58" w14:textId="77777777" w:rsidR="00057B27" w:rsidRPr="007F7A39" w:rsidRDefault="0092445A" w:rsidP="00057B27">
      <w:pPr>
        <w:rPr>
          <w:noProof/>
          <w:szCs w:val="22"/>
        </w:rPr>
      </w:pPr>
      <w:r w:rsidRPr="007F7A39">
        <w:t xml:space="preserve">Folgende Nebenwirkungen wurden nicht in klinischen Studien beobachtet, traten aber bei Tieren nach Exposition im humantherapeutischen Bereich auf und sind als möglicherweise relevant für die </w:t>
      </w:r>
      <w:r w:rsidRPr="007F7A39">
        <w:t>klinische Anwendung zu bewerten:</w:t>
      </w:r>
    </w:p>
    <w:p w14:paraId="7165FA59" w14:textId="77777777" w:rsidR="00057B27" w:rsidRPr="007F7A39" w:rsidRDefault="00057B27" w:rsidP="00057B27">
      <w:pPr>
        <w:rPr>
          <w:szCs w:val="22"/>
        </w:rPr>
      </w:pPr>
    </w:p>
    <w:p w14:paraId="7165FA5A" w14:textId="77777777" w:rsidR="00057B27" w:rsidRPr="007F7A39" w:rsidRDefault="0092445A" w:rsidP="00057B27">
      <w:pPr>
        <w:rPr>
          <w:noProof/>
          <w:szCs w:val="22"/>
          <w:u w:val="single"/>
        </w:rPr>
      </w:pPr>
      <w:r w:rsidRPr="007F7A39">
        <w:rPr>
          <w:noProof/>
          <w:u w:val="single"/>
        </w:rPr>
        <w:t>Toxizität bei wiederholter Gabe</w:t>
      </w:r>
    </w:p>
    <w:p w14:paraId="7165FA5B" w14:textId="77777777" w:rsidR="00057B27" w:rsidRPr="007F7A39" w:rsidRDefault="0092445A" w:rsidP="00057B27">
      <w:pPr>
        <w:rPr>
          <w:noProof/>
          <w:szCs w:val="22"/>
        </w:rPr>
      </w:pPr>
      <w:r w:rsidRPr="007F7A39">
        <w:t>Bei Mäusen, die Trientin mit dem Trinkwasser erhielten, traten vermehrt Entzündungen des Lungeninterstitiums und periportal fettige Infiltrationen der Leber auf. Eine hämatopoetische Zellpro</w:t>
      </w:r>
      <w:r w:rsidRPr="007F7A39">
        <w:t>liferation wurde in der Milz männlicher Tiere beobachtet. Das Gewicht der Nieren und das Körpergewicht waren bei männlichen Tieren reduziert, ebenso die Häufigkeit zytoplasmatischer Vakuolisierung in den Nieren. Der NOAEL-Wert wurde für männliche Tiere bei</w:t>
      </w:r>
      <w:r w:rsidRPr="007F7A39">
        <w:t xml:space="preserve"> ungefähr 92 mg/kg/Tag festgelegt und für weibliche bei 99 mg/kg/Tag. Bei Ratten, denen Trientin oral in Dosen von bis zu 600 mg/kg/Tag über 26 Wochen verabreicht wurde, zeigte die Histopathologie eine dosisabhängige</w:t>
      </w:r>
      <w:r w:rsidRPr="007F7A39">
        <w:softHyphen/>
        <w:t xml:space="preserve"> Häufigkeit und Schwere fokaler chronis</w:t>
      </w:r>
      <w:r w:rsidRPr="007F7A39">
        <w:t>cher interstitieller Pneumonitis, begleitet von einer Fibrose der Alveolarwand. Die mikroskopischen Veränderungen in der Lunge wurden als indikativ für eine anhaltende entzündliche Reaktion oder eine anhaltende toxische Wirkung auf die Alveolarzellen anges</w:t>
      </w:r>
      <w:r w:rsidRPr="007F7A39">
        <w:t>ehen. Unter Berücksichtigung der Tatsache, dass Trientin reizende Eigenschaften hat, wurde davon ausgegangen, dass die beobachtete chronische interstitielle Pneumonitis von einer zytotoxischen Wirkung von Trientin nach Akkumulation in bronchiolären Epithel</w:t>
      </w:r>
      <w:r w:rsidRPr="007F7A39">
        <w:t>zellen und alveolären Pneumozyten verursacht wurde. Diese Befunde waren nicht reversibel. Der NOAEL-Wert für weibliche Ratten wurde bei 50 mg/kg/Tag eingestuft, für männliche Ratten wurde kein NOAEL-Wert festgelegt.</w:t>
      </w:r>
    </w:p>
    <w:p w14:paraId="7165FA5C" w14:textId="77777777" w:rsidR="00057B27" w:rsidRPr="007F7A39" w:rsidRDefault="0092445A" w:rsidP="00057B27">
      <w:pPr>
        <w:rPr>
          <w:noProof/>
          <w:szCs w:val="22"/>
        </w:rPr>
      </w:pPr>
      <w:r w:rsidRPr="007F7A39">
        <w:t xml:space="preserve">Bei Hunden, denen Trientin oral in </w:t>
      </w:r>
      <w:r w:rsidRPr="007F7A39">
        <w:t>Dosen von bis zu 300 mg/kg/Tag verabreicht wurde, traten in Toxizitätsstudien mit wiederholter Gabe klinische Symptome des Nerven- und/oder Muskel-Skelett-Systems auf (anormaler Gang, Ataxie, Schwäche der Gliedmaßen, Tremor), die der Kupfer-dezimierenden A</w:t>
      </w:r>
      <w:r w:rsidRPr="007F7A39">
        <w:t>ktivität von Trientin zugeschrieben wurden. Der NOAEL-Wert wurde bei 50 mg/kg/Tag festgesetzt, woraus sich eine Sicherheitsspanne von ca. 4 für Männer und 17 für Frauen bei humantherapeutischer Exposition ergibt.</w:t>
      </w:r>
    </w:p>
    <w:p w14:paraId="7165FA5D" w14:textId="77777777" w:rsidR="00057B27" w:rsidRPr="007F7A39" w:rsidRDefault="00057B27" w:rsidP="00057B27">
      <w:pPr>
        <w:rPr>
          <w:noProof/>
          <w:szCs w:val="22"/>
        </w:rPr>
      </w:pPr>
    </w:p>
    <w:p w14:paraId="7165FA5E" w14:textId="77777777" w:rsidR="00057B27" w:rsidRPr="007F7A39" w:rsidRDefault="0092445A" w:rsidP="00057B27">
      <w:pPr>
        <w:keepNext/>
        <w:rPr>
          <w:noProof/>
          <w:szCs w:val="22"/>
          <w:u w:val="single"/>
        </w:rPr>
      </w:pPr>
      <w:r w:rsidRPr="007F7A39">
        <w:rPr>
          <w:noProof/>
          <w:u w:val="single"/>
        </w:rPr>
        <w:t>Genotoxizität</w:t>
      </w:r>
    </w:p>
    <w:p w14:paraId="7165FA5F" w14:textId="77777777" w:rsidR="00057B27" w:rsidRPr="007F7A39" w:rsidRDefault="0092445A" w:rsidP="00057B27">
      <w:pPr>
        <w:rPr>
          <w:noProof/>
          <w:szCs w:val="22"/>
        </w:rPr>
      </w:pPr>
      <w:r w:rsidRPr="007F7A39">
        <w:t>Insgesamt zeigte Trientin po</w:t>
      </w:r>
      <w:r w:rsidRPr="007F7A39">
        <w:t xml:space="preserve">sitive Effekte in </w:t>
      </w:r>
      <w:r w:rsidRPr="007F7A39">
        <w:rPr>
          <w:i/>
          <w:noProof/>
        </w:rPr>
        <w:t>In-vitro</w:t>
      </w:r>
      <w:r w:rsidRPr="007F7A39">
        <w:t xml:space="preserve">-Studien zur Genotoxizität, einschließlich Ames-Test und Studien zur Genotoxizität in Säugerzellen. </w:t>
      </w:r>
      <w:r w:rsidRPr="007F7A39">
        <w:rPr>
          <w:i/>
          <w:noProof/>
        </w:rPr>
        <w:t>In-vivo</w:t>
      </w:r>
      <w:r w:rsidRPr="007F7A39">
        <w:t xml:space="preserve"> zeigte Trientin jedoch ein negatives Ergebnis im Mikrokerntest (Maus).</w:t>
      </w:r>
    </w:p>
    <w:p w14:paraId="7165FA60" w14:textId="77777777" w:rsidR="00057B27" w:rsidRPr="007F7A39" w:rsidRDefault="00057B27" w:rsidP="00057B27">
      <w:pPr>
        <w:rPr>
          <w:noProof/>
          <w:szCs w:val="22"/>
        </w:rPr>
      </w:pPr>
    </w:p>
    <w:p w14:paraId="7165FA61" w14:textId="77777777" w:rsidR="00057B27" w:rsidRPr="007F7A39" w:rsidRDefault="0092445A" w:rsidP="00057B27">
      <w:pPr>
        <w:rPr>
          <w:noProof/>
          <w:szCs w:val="22"/>
          <w:u w:val="single"/>
        </w:rPr>
      </w:pPr>
      <w:r w:rsidRPr="007F7A39">
        <w:rPr>
          <w:noProof/>
          <w:u w:val="single"/>
        </w:rPr>
        <w:t>Reproduktions- und Entwicklungstoxizität</w:t>
      </w:r>
    </w:p>
    <w:p w14:paraId="7165FA62" w14:textId="77777777" w:rsidR="00057B27" w:rsidRPr="007F7A39" w:rsidRDefault="0092445A" w:rsidP="00057B27">
      <w:pPr>
        <w:rPr>
          <w:noProof/>
          <w:szCs w:val="22"/>
        </w:rPr>
      </w:pPr>
      <w:r w:rsidRPr="007F7A39">
        <w:t>Wenn Nage</w:t>
      </w:r>
      <w:r w:rsidRPr="007F7A39">
        <w:t xml:space="preserve">r im Verlauf der Trächtigkeit Trientin mit dem Futter erhielten, wurde im Hinblick auf die Häufigkeit von Resorptionen und die Häufigkeit fehlgebildeter reifgeborener Feten eine dosisabhängige Zunahme beobachtet. Diese Auswirkungen sind wahrscheinlich auf </w:t>
      </w:r>
      <w:r w:rsidRPr="007F7A39">
        <w:t xml:space="preserve">einen durch Trientin verursachten Kupfer- und Zinkmangel zurückzuführen. </w:t>
      </w:r>
    </w:p>
    <w:p w14:paraId="7165FA63" w14:textId="77777777" w:rsidR="00057B27" w:rsidRPr="007F7A39" w:rsidRDefault="00057B27" w:rsidP="00057B27">
      <w:pPr>
        <w:rPr>
          <w:noProof/>
          <w:szCs w:val="22"/>
        </w:rPr>
      </w:pPr>
    </w:p>
    <w:p w14:paraId="7165FA64" w14:textId="77777777" w:rsidR="00057B27" w:rsidRPr="007F7A39" w:rsidRDefault="0092445A" w:rsidP="00057B27">
      <w:pPr>
        <w:rPr>
          <w:noProof/>
          <w:szCs w:val="22"/>
          <w:u w:val="single"/>
        </w:rPr>
      </w:pPr>
      <w:r w:rsidRPr="007F7A39">
        <w:rPr>
          <w:noProof/>
          <w:u w:val="single"/>
        </w:rPr>
        <w:t>Lokale Verträglichkeit</w:t>
      </w:r>
    </w:p>
    <w:p w14:paraId="7165FA65" w14:textId="77777777" w:rsidR="00057B27" w:rsidRPr="007F7A39" w:rsidRDefault="0092445A" w:rsidP="00057B27">
      <w:pPr>
        <w:rPr>
          <w:noProof/>
          <w:szCs w:val="22"/>
        </w:rPr>
      </w:pPr>
      <w:r w:rsidRPr="007F7A39">
        <w:rPr>
          <w:i/>
          <w:noProof/>
        </w:rPr>
        <w:t>In-silico</w:t>
      </w:r>
      <w:r w:rsidRPr="007F7A39">
        <w:t xml:space="preserve">-Daten prognostizieren, dass Trientin reizende und sensibilisierende Eigenschaften besitzt. Positive Ergebnisse wurden im Hinblick auf das Potential </w:t>
      </w:r>
      <w:r w:rsidRPr="007F7A39">
        <w:t>zur Sensibilisierung in Meerschweinchen-Maximierungstests berichtet.</w:t>
      </w:r>
    </w:p>
    <w:p w14:paraId="7165FA66" w14:textId="77777777" w:rsidR="00057B27" w:rsidRPr="007F7A39" w:rsidRDefault="00057B27" w:rsidP="00057B27">
      <w:pPr>
        <w:spacing w:line="240" w:lineRule="auto"/>
        <w:rPr>
          <w:noProof/>
          <w:szCs w:val="22"/>
        </w:rPr>
      </w:pPr>
    </w:p>
    <w:p w14:paraId="7165FA67" w14:textId="77777777" w:rsidR="00057B27" w:rsidRPr="007F7A39" w:rsidRDefault="00057B27" w:rsidP="00057B27">
      <w:pPr>
        <w:spacing w:line="240" w:lineRule="auto"/>
        <w:rPr>
          <w:noProof/>
          <w:szCs w:val="22"/>
        </w:rPr>
      </w:pPr>
    </w:p>
    <w:p w14:paraId="7165FA68" w14:textId="77777777" w:rsidR="00057B27" w:rsidRPr="007F7A39" w:rsidRDefault="0092445A" w:rsidP="00057B27">
      <w:pPr>
        <w:pStyle w:val="ListParagraph"/>
        <w:numPr>
          <w:ilvl w:val="0"/>
          <w:numId w:val="28"/>
        </w:numPr>
        <w:spacing w:line="240" w:lineRule="auto"/>
        <w:ind w:hanging="930"/>
        <w:rPr>
          <w:b/>
        </w:rPr>
      </w:pPr>
      <w:r w:rsidRPr="007F7A39">
        <w:rPr>
          <w:b/>
        </w:rPr>
        <w:lastRenderedPageBreak/>
        <w:t>PHARMAZEUTISCHE ANGABEN</w:t>
      </w:r>
    </w:p>
    <w:p w14:paraId="7165FA69" w14:textId="77777777" w:rsidR="00057B27" w:rsidRPr="007F7A39" w:rsidRDefault="00057B27" w:rsidP="00057B27">
      <w:pPr>
        <w:spacing w:line="240" w:lineRule="auto"/>
        <w:rPr>
          <w:noProof/>
          <w:szCs w:val="22"/>
        </w:rPr>
      </w:pPr>
    </w:p>
    <w:p w14:paraId="7165FA6A" w14:textId="77777777" w:rsidR="00057B27" w:rsidRPr="007F7A39" w:rsidRDefault="0092445A" w:rsidP="00057B27">
      <w:pPr>
        <w:pStyle w:val="ListParagraph"/>
        <w:numPr>
          <w:ilvl w:val="1"/>
          <w:numId w:val="28"/>
        </w:numPr>
        <w:spacing w:line="240" w:lineRule="auto"/>
        <w:ind w:hanging="930"/>
        <w:outlineLvl w:val="0"/>
        <w:rPr>
          <w:b/>
          <w:szCs w:val="22"/>
        </w:rPr>
      </w:pPr>
      <w:r w:rsidRPr="007F7A39">
        <w:rPr>
          <w:b/>
        </w:rPr>
        <w:t>Liste der sonstigen Bestandteile</w:t>
      </w:r>
    </w:p>
    <w:p w14:paraId="7165FA6B" w14:textId="77777777" w:rsidR="00057B27" w:rsidRPr="007F7A39" w:rsidRDefault="00057B27" w:rsidP="00057B27">
      <w:pPr>
        <w:spacing w:line="240" w:lineRule="auto"/>
        <w:rPr>
          <w:i/>
          <w:noProof/>
          <w:szCs w:val="22"/>
        </w:rPr>
      </w:pPr>
    </w:p>
    <w:p w14:paraId="7165FA6C" w14:textId="77777777" w:rsidR="00BD0A35" w:rsidRPr="007F7A39" w:rsidRDefault="0092445A" w:rsidP="00057B27">
      <w:pPr>
        <w:rPr>
          <w:u w:val="single"/>
        </w:rPr>
      </w:pPr>
      <w:r w:rsidRPr="007F7A39">
        <w:rPr>
          <w:u w:val="single"/>
        </w:rPr>
        <w:t>Tablettenkern:</w:t>
      </w:r>
    </w:p>
    <w:p w14:paraId="7165FA6D" w14:textId="186F333A" w:rsidR="00057B27" w:rsidRPr="007F7A39" w:rsidRDefault="0092445A" w:rsidP="00057B27">
      <w:pPr>
        <w:rPr>
          <w:noProof/>
          <w:szCs w:val="22"/>
        </w:rPr>
      </w:pPr>
      <w:r w:rsidRPr="007F7A39">
        <w:t>Mannitol</w:t>
      </w:r>
      <w:r w:rsidR="00FE3A19" w:rsidRPr="007F7A39">
        <w:t xml:space="preserve"> (Ph.Eur.)</w:t>
      </w:r>
      <w:r w:rsidRPr="007F7A39">
        <w:t xml:space="preserve"> (E 421). </w:t>
      </w:r>
    </w:p>
    <w:p w14:paraId="7165FA6E" w14:textId="77777777" w:rsidR="00057B27" w:rsidRPr="007F7A39" w:rsidRDefault="0092445A" w:rsidP="00057B27">
      <w:pPr>
        <w:rPr>
          <w:noProof/>
          <w:szCs w:val="22"/>
        </w:rPr>
      </w:pPr>
      <w:r w:rsidRPr="007F7A39">
        <w:t>Hochdisperses Siliciumdioxid.</w:t>
      </w:r>
    </w:p>
    <w:p w14:paraId="7165FA6F" w14:textId="636AAD12" w:rsidR="00057B27" w:rsidRPr="007F7A39" w:rsidRDefault="0092445A" w:rsidP="00057B27">
      <w:r w:rsidRPr="007F7A39">
        <w:t>Glyceroldibehenat</w:t>
      </w:r>
      <w:r w:rsidR="00FE3A19" w:rsidRPr="007F7A39">
        <w:t xml:space="preserve"> (Ph.Eur.)</w:t>
      </w:r>
      <w:r w:rsidRPr="007F7A39">
        <w:t>.</w:t>
      </w:r>
    </w:p>
    <w:p w14:paraId="7165FA70" w14:textId="77777777" w:rsidR="00BD0A35" w:rsidRPr="007F7A39" w:rsidRDefault="00BD0A35" w:rsidP="00057B27"/>
    <w:p w14:paraId="7165FA71" w14:textId="77777777" w:rsidR="00BD0A35" w:rsidRPr="007F7A39" w:rsidRDefault="0092445A" w:rsidP="00057B27">
      <w:pPr>
        <w:rPr>
          <w:u w:val="single"/>
        </w:rPr>
      </w:pPr>
      <w:r w:rsidRPr="007F7A39">
        <w:rPr>
          <w:u w:val="single"/>
        </w:rPr>
        <w:t>Filmüberzug:</w:t>
      </w:r>
    </w:p>
    <w:p w14:paraId="7165FA72" w14:textId="2B3D55B7" w:rsidR="00BD0A35" w:rsidRPr="007F7A39" w:rsidRDefault="0092445A" w:rsidP="00057B27">
      <w:pPr>
        <w:rPr>
          <w:noProof/>
          <w:szCs w:val="22"/>
        </w:rPr>
      </w:pPr>
      <w:r w:rsidRPr="007F7A39">
        <w:rPr>
          <w:noProof/>
          <w:szCs w:val="22"/>
        </w:rPr>
        <w:t>Poly</w:t>
      </w:r>
      <w:r w:rsidR="00FE3A19" w:rsidRPr="007F7A39">
        <w:rPr>
          <w:noProof/>
          <w:szCs w:val="22"/>
        </w:rPr>
        <w:t>(</w:t>
      </w:r>
      <w:r w:rsidRPr="007F7A39">
        <w:rPr>
          <w:noProof/>
          <w:szCs w:val="22"/>
        </w:rPr>
        <w:t>vinylalkohol</w:t>
      </w:r>
      <w:r w:rsidR="00FE3A19" w:rsidRPr="007F7A39">
        <w:rPr>
          <w:noProof/>
          <w:szCs w:val="22"/>
        </w:rPr>
        <w:t>)</w:t>
      </w:r>
      <w:r w:rsidR="006D5882" w:rsidRPr="007F7A39">
        <w:rPr>
          <w:noProof/>
          <w:szCs w:val="22"/>
        </w:rPr>
        <w:t>.</w:t>
      </w:r>
    </w:p>
    <w:p w14:paraId="7165FA73" w14:textId="77777777" w:rsidR="00BD0A35" w:rsidRPr="007F7A39" w:rsidRDefault="0092445A" w:rsidP="00057B27">
      <w:pPr>
        <w:rPr>
          <w:noProof/>
          <w:szCs w:val="22"/>
        </w:rPr>
      </w:pPr>
      <w:r w:rsidRPr="007F7A39">
        <w:rPr>
          <w:noProof/>
          <w:szCs w:val="22"/>
        </w:rPr>
        <w:t>Talkum</w:t>
      </w:r>
      <w:r w:rsidR="006D5882" w:rsidRPr="007F7A39">
        <w:rPr>
          <w:noProof/>
          <w:szCs w:val="22"/>
        </w:rPr>
        <w:t>.</w:t>
      </w:r>
    </w:p>
    <w:p w14:paraId="7165FA74" w14:textId="77777777" w:rsidR="00BD0A35" w:rsidRPr="007F7A39" w:rsidRDefault="0092445A" w:rsidP="00057B27">
      <w:pPr>
        <w:rPr>
          <w:noProof/>
          <w:szCs w:val="22"/>
        </w:rPr>
      </w:pPr>
      <w:r w:rsidRPr="007F7A39">
        <w:rPr>
          <w:noProof/>
          <w:szCs w:val="22"/>
        </w:rPr>
        <w:t>Titandioxid (E171)</w:t>
      </w:r>
      <w:r w:rsidR="002B5366" w:rsidRPr="007F7A39">
        <w:rPr>
          <w:noProof/>
          <w:szCs w:val="22"/>
        </w:rPr>
        <w:t>.</w:t>
      </w:r>
    </w:p>
    <w:p w14:paraId="7165FA75" w14:textId="3D12B3F3" w:rsidR="00EE73A6" w:rsidRPr="004E4ACF" w:rsidRDefault="0092445A" w:rsidP="00057B27">
      <w:pPr>
        <w:rPr>
          <w:noProof/>
          <w:szCs w:val="22"/>
        </w:rPr>
      </w:pPr>
      <w:r w:rsidRPr="004E4ACF">
        <w:rPr>
          <w:noProof/>
          <w:szCs w:val="22"/>
        </w:rPr>
        <w:t xml:space="preserve">Glycerolmonocaprylocaprat </w:t>
      </w:r>
      <w:r w:rsidR="00FE3A19" w:rsidRPr="004E4ACF">
        <w:rPr>
          <w:noProof/>
          <w:szCs w:val="22"/>
        </w:rPr>
        <w:t xml:space="preserve">(Ph.Eur.) </w:t>
      </w:r>
      <w:r w:rsidRPr="004E4ACF">
        <w:rPr>
          <w:noProof/>
          <w:szCs w:val="22"/>
        </w:rPr>
        <w:t>(Typ I)</w:t>
      </w:r>
      <w:r w:rsidR="006D5882" w:rsidRPr="004E4ACF">
        <w:rPr>
          <w:noProof/>
          <w:szCs w:val="22"/>
        </w:rPr>
        <w:t>.</w:t>
      </w:r>
    </w:p>
    <w:p w14:paraId="7165FA76" w14:textId="5BA44C83" w:rsidR="00EE73A6" w:rsidRPr="004E4ACF" w:rsidRDefault="0092445A" w:rsidP="00057B27">
      <w:pPr>
        <w:rPr>
          <w:noProof/>
          <w:szCs w:val="22"/>
          <w:lang w:val="pt-PT"/>
        </w:rPr>
      </w:pPr>
      <w:r w:rsidRPr="004E4ACF">
        <w:rPr>
          <w:noProof/>
          <w:szCs w:val="22"/>
          <w:lang w:val="pt-PT"/>
        </w:rPr>
        <w:t>Eisen</w:t>
      </w:r>
      <w:r w:rsidR="00FE3A19" w:rsidRPr="004E4ACF">
        <w:rPr>
          <w:noProof/>
          <w:szCs w:val="22"/>
          <w:lang w:val="pt-PT"/>
        </w:rPr>
        <w:t>(III)-hydroxid-oxid x H</w:t>
      </w:r>
      <w:r w:rsidR="00FE3A19" w:rsidRPr="004E4ACF">
        <w:rPr>
          <w:noProof/>
          <w:szCs w:val="22"/>
          <w:vertAlign w:val="subscript"/>
          <w:lang w:val="pt-PT"/>
        </w:rPr>
        <w:t>2</w:t>
      </w:r>
      <w:r w:rsidR="00FE3A19" w:rsidRPr="004E4ACF">
        <w:rPr>
          <w:noProof/>
          <w:szCs w:val="22"/>
          <w:lang w:val="pt-PT"/>
        </w:rPr>
        <w:t>O</w:t>
      </w:r>
      <w:r w:rsidRPr="004E4ACF">
        <w:rPr>
          <w:noProof/>
          <w:szCs w:val="22"/>
          <w:lang w:val="pt-PT"/>
        </w:rPr>
        <w:t xml:space="preserve"> (E172)</w:t>
      </w:r>
      <w:r w:rsidR="006D5882" w:rsidRPr="004E4ACF">
        <w:rPr>
          <w:noProof/>
          <w:szCs w:val="22"/>
          <w:lang w:val="pt-PT"/>
        </w:rPr>
        <w:t>.</w:t>
      </w:r>
    </w:p>
    <w:p w14:paraId="7165FA77" w14:textId="49182CEF" w:rsidR="00EE73A6" w:rsidRPr="007F7A39" w:rsidRDefault="0092445A" w:rsidP="00057B27">
      <w:pPr>
        <w:rPr>
          <w:noProof/>
          <w:szCs w:val="22"/>
        </w:rPr>
      </w:pPr>
      <w:r w:rsidRPr="007F7A39">
        <w:rPr>
          <w:noProof/>
          <w:szCs w:val="22"/>
        </w:rPr>
        <w:t>Natrium</w:t>
      </w:r>
      <w:r w:rsidR="0013499D" w:rsidRPr="007F7A39">
        <w:rPr>
          <w:noProof/>
          <w:szCs w:val="22"/>
        </w:rPr>
        <w:t>dodecyl</w:t>
      </w:r>
      <w:r w:rsidRPr="007F7A39">
        <w:rPr>
          <w:noProof/>
          <w:szCs w:val="22"/>
        </w:rPr>
        <w:t>sulfat</w:t>
      </w:r>
      <w:r w:rsidR="006D5882" w:rsidRPr="007F7A39">
        <w:rPr>
          <w:noProof/>
          <w:szCs w:val="22"/>
        </w:rPr>
        <w:t>.</w:t>
      </w:r>
    </w:p>
    <w:p w14:paraId="7165FA78" w14:textId="77777777" w:rsidR="00057B27" w:rsidRPr="007F7A39" w:rsidRDefault="00057B27" w:rsidP="00057B27">
      <w:pPr>
        <w:spacing w:line="240" w:lineRule="auto"/>
        <w:rPr>
          <w:noProof/>
          <w:szCs w:val="22"/>
        </w:rPr>
      </w:pPr>
    </w:p>
    <w:p w14:paraId="7165FA79" w14:textId="77777777" w:rsidR="00057B27" w:rsidRPr="007F7A39" w:rsidRDefault="0092445A" w:rsidP="00057B27">
      <w:pPr>
        <w:pStyle w:val="ListParagraph"/>
        <w:numPr>
          <w:ilvl w:val="1"/>
          <w:numId w:val="28"/>
        </w:numPr>
        <w:spacing w:line="240" w:lineRule="auto"/>
        <w:ind w:hanging="930"/>
        <w:outlineLvl w:val="0"/>
        <w:rPr>
          <w:b/>
          <w:szCs w:val="22"/>
        </w:rPr>
      </w:pPr>
      <w:r w:rsidRPr="007F7A39">
        <w:rPr>
          <w:b/>
        </w:rPr>
        <w:t>Inkompatibilitäten</w:t>
      </w:r>
    </w:p>
    <w:p w14:paraId="7165FA7A" w14:textId="77777777" w:rsidR="00057B27" w:rsidRPr="007F7A39" w:rsidRDefault="00057B27" w:rsidP="00057B27">
      <w:pPr>
        <w:spacing w:line="240" w:lineRule="auto"/>
        <w:rPr>
          <w:noProof/>
          <w:szCs w:val="22"/>
        </w:rPr>
      </w:pPr>
    </w:p>
    <w:p w14:paraId="7165FA7B" w14:textId="77777777" w:rsidR="00057B27" w:rsidRPr="007F7A39" w:rsidRDefault="0092445A" w:rsidP="00057B27">
      <w:pPr>
        <w:rPr>
          <w:noProof/>
          <w:szCs w:val="22"/>
        </w:rPr>
      </w:pPr>
      <w:r w:rsidRPr="007F7A39">
        <w:t>Nicht zutreffend.</w:t>
      </w:r>
    </w:p>
    <w:p w14:paraId="7165FA7C" w14:textId="77777777" w:rsidR="00057B27" w:rsidRPr="007F7A39" w:rsidRDefault="00057B27" w:rsidP="00057B27">
      <w:pPr>
        <w:spacing w:line="240" w:lineRule="auto"/>
        <w:rPr>
          <w:noProof/>
          <w:szCs w:val="22"/>
        </w:rPr>
      </w:pPr>
    </w:p>
    <w:p w14:paraId="7165FA7D" w14:textId="77777777" w:rsidR="00057B27" w:rsidRPr="007F7A39" w:rsidRDefault="0092445A" w:rsidP="00057B27">
      <w:pPr>
        <w:pStyle w:val="ListParagraph"/>
        <w:numPr>
          <w:ilvl w:val="1"/>
          <w:numId w:val="28"/>
        </w:numPr>
        <w:spacing w:line="240" w:lineRule="auto"/>
        <w:ind w:hanging="930"/>
        <w:outlineLvl w:val="0"/>
        <w:rPr>
          <w:b/>
          <w:szCs w:val="22"/>
        </w:rPr>
      </w:pPr>
      <w:r w:rsidRPr="007F7A39">
        <w:rPr>
          <w:b/>
        </w:rPr>
        <w:t>Dauer der Haltbarkeit</w:t>
      </w:r>
    </w:p>
    <w:p w14:paraId="7165FA7E" w14:textId="77777777" w:rsidR="00057B27" w:rsidRPr="007F7A39" w:rsidRDefault="00057B27" w:rsidP="00057B27">
      <w:pPr>
        <w:spacing w:line="240" w:lineRule="auto"/>
        <w:rPr>
          <w:noProof/>
          <w:szCs w:val="22"/>
        </w:rPr>
      </w:pPr>
    </w:p>
    <w:p w14:paraId="7165FA7F" w14:textId="67015758" w:rsidR="00057B27" w:rsidRPr="007F7A39" w:rsidRDefault="0092445A" w:rsidP="00057B27">
      <w:pPr>
        <w:rPr>
          <w:noProof/>
          <w:szCs w:val="22"/>
        </w:rPr>
      </w:pPr>
      <w:r>
        <w:t>30</w:t>
      </w:r>
      <w:r w:rsidRPr="007F7A39">
        <w:t xml:space="preserve"> </w:t>
      </w:r>
      <w:r w:rsidR="00F45D4A" w:rsidRPr="007F7A39">
        <w:t>Monate.</w:t>
      </w:r>
    </w:p>
    <w:p w14:paraId="7165FA80" w14:textId="77777777" w:rsidR="00057B27" w:rsidRPr="007F7A39" w:rsidRDefault="00057B27" w:rsidP="00057B27">
      <w:pPr>
        <w:spacing w:line="240" w:lineRule="auto"/>
        <w:rPr>
          <w:noProof/>
          <w:szCs w:val="22"/>
        </w:rPr>
      </w:pPr>
    </w:p>
    <w:p w14:paraId="7165FA81" w14:textId="77777777" w:rsidR="00057B27" w:rsidRPr="007F7A39" w:rsidRDefault="0092445A" w:rsidP="00057B27">
      <w:pPr>
        <w:pStyle w:val="ListParagraph"/>
        <w:numPr>
          <w:ilvl w:val="1"/>
          <w:numId w:val="28"/>
        </w:numPr>
        <w:spacing w:line="240" w:lineRule="auto"/>
        <w:ind w:hanging="930"/>
        <w:outlineLvl w:val="0"/>
        <w:rPr>
          <w:b/>
          <w:szCs w:val="22"/>
        </w:rPr>
      </w:pPr>
      <w:r w:rsidRPr="007F7A39">
        <w:rPr>
          <w:b/>
        </w:rPr>
        <w:t>Besondere Vorsichtsmaßnahmen für die Aufbewahrung</w:t>
      </w:r>
    </w:p>
    <w:p w14:paraId="7165FA82" w14:textId="77777777" w:rsidR="00057B27" w:rsidRPr="007F7A39" w:rsidRDefault="00057B27" w:rsidP="00057B27">
      <w:pPr>
        <w:rPr>
          <w:noProof/>
        </w:rPr>
      </w:pPr>
    </w:p>
    <w:p w14:paraId="7165FA83" w14:textId="77777777" w:rsidR="00057B27" w:rsidRPr="007F7A39" w:rsidRDefault="0092445A" w:rsidP="00057B27">
      <w:pPr>
        <w:rPr>
          <w:szCs w:val="22"/>
        </w:rPr>
      </w:pPr>
      <w:r w:rsidRPr="007F7A39">
        <w:t>Für dieses Arzneimittel sind keine besonderen Lagerungsbedingungen erforderlich.</w:t>
      </w:r>
    </w:p>
    <w:p w14:paraId="7165FA84" w14:textId="77777777" w:rsidR="00057B27" w:rsidRPr="007F7A39" w:rsidRDefault="00057B27" w:rsidP="00057B27">
      <w:pPr>
        <w:spacing w:line="240" w:lineRule="auto"/>
        <w:rPr>
          <w:noProof/>
          <w:szCs w:val="22"/>
        </w:rPr>
      </w:pPr>
    </w:p>
    <w:p w14:paraId="7165FA85" w14:textId="77777777" w:rsidR="00057B27" w:rsidRPr="007F7A39" w:rsidRDefault="0092445A" w:rsidP="00057B27">
      <w:pPr>
        <w:pStyle w:val="ListParagraph"/>
        <w:numPr>
          <w:ilvl w:val="1"/>
          <w:numId w:val="28"/>
        </w:numPr>
        <w:spacing w:line="240" w:lineRule="auto"/>
        <w:ind w:hanging="930"/>
        <w:outlineLvl w:val="0"/>
        <w:rPr>
          <w:b/>
          <w:szCs w:val="22"/>
        </w:rPr>
      </w:pPr>
      <w:r w:rsidRPr="007F7A39">
        <w:rPr>
          <w:b/>
        </w:rPr>
        <w:t xml:space="preserve">Art und Inhalt des Behältnisses </w:t>
      </w:r>
    </w:p>
    <w:p w14:paraId="7165FA86" w14:textId="77777777" w:rsidR="00057B27" w:rsidRPr="007F7A39" w:rsidRDefault="00057B27" w:rsidP="00057B27">
      <w:pPr>
        <w:rPr>
          <w:noProof/>
        </w:rPr>
      </w:pPr>
    </w:p>
    <w:p w14:paraId="7165FA87" w14:textId="3F80AEFB" w:rsidR="00057B27" w:rsidRPr="007F7A39" w:rsidRDefault="0092445A" w:rsidP="00057B27">
      <w:pPr>
        <w:pStyle w:val="Default"/>
        <w:rPr>
          <w:sz w:val="22"/>
          <w:szCs w:val="22"/>
        </w:rPr>
      </w:pPr>
      <w:r w:rsidRPr="007F7A39">
        <w:rPr>
          <w:sz w:val="22"/>
        </w:rPr>
        <w:t xml:space="preserve">OPA/Alu/PVC-Aluminium-Blisterpackungen, jede Blisterpackung enthält 8 </w:t>
      </w:r>
      <w:r w:rsidR="00EE73A6" w:rsidRPr="007F7A39">
        <w:rPr>
          <w:sz w:val="22"/>
        </w:rPr>
        <w:t>Filmt</w:t>
      </w:r>
      <w:r w:rsidRPr="007F7A39">
        <w:rPr>
          <w:sz w:val="22"/>
        </w:rPr>
        <w:t>abletten.</w:t>
      </w:r>
    </w:p>
    <w:p w14:paraId="33462735" w14:textId="77777777" w:rsidR="001C4824" w:rsidRPr="007F7A39" w:rsidRDefault="0092445A" w:rsidP="00D72FAA">
      <w:pPr>
        <w:rPr>
          <w:color w:val="000000"/>
        </w:rPr>
      </w:pPr>
      <w:r w:rsidRPr="007F7A39">
        <w:t>Packungsgröße: 72 </w:t>
      </w:r>
      <w:r w:rsidRPr="007F7A39">
        <w:rPr>
          <w:color w:val="000000"/>
        </w:rPr>
        <w:t>oder 96 Filmtabletten.</w:t>
      </w:r>
    </w:p>
    <w:p w14:paraId="7165FA89" w14:textId="2AA45395" w:rsidR="00057B27" w:rsidRDefault="0092445A" w:rsidP="00D72FAA">
      <w:pPr>
        <w:rPr>
          <w:color w:val="000000"/>
        </w:rPr>
      </w:pPr>
      <w:r w:rsidRPr="007F7A39">
        <w:rPr>
          <w:color w:val="000000"/>
        </w:rPr>
        <w:t>Möglicherweise werden nicht alle Packungsgrößen in Verkehr gebracht.</w:t>
      </w:r>
    </w:p>
    <w:p w14:paraId="7D273FC3" w14:textId="77777777" w:rsidR="00B80BFC" w:rsidRPr="007F7A39" w:rsidRDefault="00B80BFC" w:rsidP="00D72FAA">
      <w:pPr>
        <w:rPr>
          <w:noProof/>
          <w:szCs w:val="22"/>
        </w:rPr>
      </w:pPr>
    </w:p>
    <w:p w14:paraId="7165FA8A" w14:textId="77777777" w:rsidR="00057B27" w:rsidRPr="007F7A39" w:rsidRDefault="0092445A" w:rsidP="00057B27">
      <w:pPr>
        <w:pStyle w:val="ListParagraph"/>
        <w:numPr>
          <w:ilvl w:val="1"/>
          <w:numId w:val="28"/>
        </w:numPr>
        <w:spacing w:line="240" w:lineRule="auto"/>
        <w:ind w:hanging="930"/>
        <w:outlineLvl w:val="0"/>
        <w:rPr>
          <w:b/>
          <w:szCs w:val="22"/>
        </w:rPr>
      </w:pPr>
      <w:bookmarkStart w:id="1" w:name="OLE_LINK1"/>
      <w:r w:rsidRPr="007F7A39">
        <w:rPr>
          <w:b/>
        </w:rPr>
        <w:t xml:space="preserve">Besondere Vorsichtsmaßnahmen für die Beseitigung </w:t>
      </w:r>
    </w:p>
    <w:p w14:paraId="7165FA8B" w14:textId="77777777" w:rsidR="00057B27" w:rsidRPr="007F7A39" w:rsidRDefault="00057B27" w:rsidP="00057B27">
      <w:pPr>
        <w:spacing w:line="240" w:lineRule="auto"/>
        <w:rPr>
          <w:noProof/>
          <w:szCs w:val="22"/>
        </w:rPr>
      </w:pPr>
    </w:p>
    <w:p w14:paraId="7165FA8C" w14:textId="77777777" w:rsidR="00057B27" w:rsidRPr="007F7A39" w:rsidRDefault="0092445A" w:rsidP="00057B27">
      <w:pPr>
        <w:rPr>
          <w:szCs w:val="22"/>
        </w:rPr>
      </w:pPr>
      <w:r w:rsidRPr="007F7A39">
        <w:t>Keine bes</w:t>
      </w:r>
      <w:r w:rsidRPr="007F7A39">
        <w:t>onderen Anforderungen.</w:t>
      </w:r>
    </w:p>
    <w:p w14:paraId="7165FA8D" w14:textId="25654E81" w:rsidR="00057B27" w:rsidRPr="007F7A39" w:rsidRDefault="00057B27" w:rsidP="00057B27">
      <w:pPr>
        <w:spacing w:line="240" w:lineRule="auto"/>
        <w:rPr>
          <w:szCs w:val="22"/>
        </w:rPr>
      </w:pPr>
    </w:p>
    <w:bookmarkEnd w:id="1"/>
    <w:p w14:paraId="7165FA8E" w14:textId="77777777" w:rsidR="00057B27" w:rsidRPr="007F7A39" w:rsidRDefault="00057B27" w:rsidP="00057B27">
      <w:pPr>
        <w:spacing w:line="240" w:lineRule="auto"/>
        <w:rPr>
          <w:noProof/>
          <w:szCs w:val="22"/>
        </w:rPr>
      </w:pPr>
    </w:p>
    <w:p w14:paraId="7165FA8F" w14:textId="77777777" w:rsidR="00057B27" w:rsidRPr="007F7A39" w:rsidRDefault="0092445A" w:rsidP="00057B27">
      <w:pPr>
        <w:pStyle w:val="ListParagraph"/>
        <w:numPr>
          <w:ilvl w:val="0"/>
          <w:numId w:val="28"/>
        </w:numPr>
        <w:spacing w:line="240" w:lineRule="auto"/>
        <w:ind w:hanging="930"/>
        <w:rPr>
          <w:b/>
        </w:rPr>
      </w:pPr>
      <w:r w:rsidRPr="007F7A39">
        <w:rPr>
          <w:b/>
        </w:rPr>
        <w:t>INHABER DER ZULASSUNG</w:t>
      </w:r>
    </w:p>
    <w:p w14:paraId="7165FA90" w14:textId="77777777" w:rsidR="00057B27" w:rsidRPr="007F7A39" w:rsidRDefault="00057B27" w:rsidP="00057B27">
      <w:pPr>
        <w:spacing w:line="240" w:lineRule="auto"/>
        <w:rPr>
          <w:noProof/>
          <w:szCs w:val="22"/>
        </w:rPr>
      </w:pPr>
    </w:p>
    <w:p w14:paraId="7165FA91" w14:textId="4889C655" w:rsidR="00057B27" w:rsidRPr="007F7A39" w:rsidRDefault="00154099" w:rsidP="00057B27">
      <w:pPr>
        <w:rPr>
          <w:szCs w:val="22"/>
        </w:rPr>
      </w:pPr>
      <w:proofErr w:type="spellStart"/>
      <w:r>
        <w:t>Orphalan</w:t>
      </w:r>
      <w:proofErr w:type="spellEnd"/>
    </w:p>
    <w:p w14:paraId="3BCA735B" w14:textId="77777777" w:rsidR="00082C33" w:rsidRPr="002503BA" w:rsidRDefault="0092445A" w:rsidP="00082C33">
      <w:pPr>
        <w:rPr>
          <w:szCs w:val="22"/>
          <w:lang w:val="fr-FR"/>
        </w:rPr>
      </w:pPr>
      <w:r w:rsidRPr="002503BA">
        <w:rPr>
          <w:szCs w:val="22"/>
          <w:lang w:val="fr-FR"/>
        </w:rPr>
        <w:t>226 Boulevard Voltaire</w:t>
      </w:r>
    </w:p>
    <w:p w14:paraId="60B8368F" w14:textId="77777777" w:rsidR="00082C33" w:rsidRPr="0036776A" w:rsidRDefault="0092445A" w:rsidP="00082C33">
      <w:pPr>
        <w:rPr>
          <w:szCs w:val="22"/>
          <w:lang w:val="fr-FR"/>
        </w:rPr>
      </w:pPr>
      <w:r w:rsidRPr="002503BA">
        <w:rPr>
          <w:szCs w:val="22"/>
          <w:lang w:val="fr-FR"/>
        </w:rPr>
        <w:t>75011 Paris</w:t>
      </w:r>
    </w:p>
    <w:p w14:paraId="7165FA95" w14:textId="77777777" w:rsidR="00057B27" w:rsidRPr="007F7A39" w:rsidRDefault="0092445A" w:rsidP="00057B27">
      <w:pPr>
        <w:rPr>
          <w:szCs w:val="22"/>
        </w:rPr>
      </w:pPr>
      <w:r w:rsidRPr="007F7A39">
        <w:t>Frankreich</w:t>
      </w:r>
    </w:p>
    <w:p w14:paraId="7165FA96" w14:textId="77777777" w:rsidR="00057B27" w:rsidRPr="007F7A39" w:rsidRDefault="00057B27" w:rsidP="00057B27">
      <w:pPr>
        <w:spacing w:line="240" w:lineRule="auto"/>
        <w:rPr>
          <w:noProof/>
          <w:szCs w:val="22"/>
        </w:rPr>
      </w:pPr>
    </w:p>
    <w:p w14:paraId="7165FA97" w14:textId="77777777" w:rsidR="00057B27" w:rsidRPr="007F7A39" w:rsidRDefault="00057B27" w:rsidP="00057B27">
      <w:pPr>
        <w:spacing w:line="240" w:lineRule="auto"/>
        <w:rPr>
          <w:noProof/>
          <w:szCs w:val="22"/>
        </w:rPr>
      </w:pPr>
    </w:p>
    <w:p w14:paraId="7165FA98" w14:textId="77777777" w:rsidR="00057B27" w:rsidRPr="007F7A39" w:rsidRDefault="0092445A" w:rsidP="00057B27">
      <w:pPr>
        <w:pStyle w:val="ListParagraph"/>
        <w:numPr>
          <w:ilvl w:val="0"/>
          <w:numId w:val="28"/>
        </w:numPr>
        <w:spacing w:line="240" w:lineRule="auto"/>
        <w:ind w:hanging="930"/>
        <w:rPr>
          <w:b/>
        </w:rPr>
      </w:pPr>
      <w:r w:rsidRPr="007F7A39">
        <w:rPr>
          <w:b/>
        </w:rPr>
        <w:t xml:space="preserve">ZULASSUNGSNUMMER(N) </w:t>
      </w:r>
    </w:p>
    <w:p w14:paraId="7165FA99" w14:textId="77777777" w:rsidR="00F45D4A" w:rsidRPr="007F7A39" w:rsidRDefault="00F45D4A" w:rsidP="00F45D4A">
      <w:pPr>
        <w:spacing w:line="240" w:lineRule="auto"/>
        <w:rPr>
          <w:color w:val="000000"/>
        </w:rPr>
      </w:pPr>
    </w:p>
    <w:p w14:paraId="17B7A6FC" w14:textId="77777777" w:rsidR="00685619" w:rsidRPr="007F7A39" w:rsidRDefault="0092445A" w:rsidP="00685619">
      <w:r w:rsidRPr="007F7A39">
        <w:rPr>
          <w:color w:val="000000"/>
        </w:rPr>
        <w:t xml:space="preserve">EU/1/17/1199/001 </w:t>
      </w:r>
      <w:r w:rsidRPr="007F7A39">
        <w:t>72 Filmtabletten</w:t>
      </w:r>
    </w:p>
    <w:p w14:paraId="649A0EA5" w14:textId="0530B1CD" w:rsidR="00685619" w:rsidRPr="007F7A39" w:rsidRDefault="0092445A" w:rsidP="00F45D4A">
      <w:pPr>
        <w:spacing w:line="240" w:lineRule="auto"/>
        <w:rPr>
          <w:color w:val="000000"/>
        </w:rPr>
      </w:pPr>
      <w:r w:rsidRPr="007F7A39">
        <w:t>EU/1/17/1199/002 96 Filmtabletten</w:t>
      </w:r>
    </w:p>
    <w:p w14:paraId="7165FA9B" w14:textId="77777777" w:rsidR="00057B27" w:rsidRPr="007F7A39" w:rsidRDefault="00057B27" w:rsidP="00057B27">
      <w:pPr>
        <w:spacing w:line="240" w:lineRule="auto"/>
        <w:rPr>
          <w:noProof/>
          <w:szCs w:val="22"/>
        </w:rPr>
      </w:pPr>
    </w:p>
    <w:p w14:paraId="19C0A2BC" w14:textId="77777777" w:rsidR="0088554B" w:rsidRPr="007F7A39" w:rsidRDefault="0088554B" w:rsidP="00057B27">
      <w:pPr>
        <w:spacing w:line="240" w:lineRule="auto"/>
        <w:rPr>
          <w:noProof/>
          <w:szCs w:val="22"/>
        </w:rPr>
      </w:pPr>
    </w:p>
    <w:p w14:paraId="7165FA9C" w14:textId="77777777" w:rsidR="00057B27" w:rsidRPr="007F7A39" w:rsidRDefault="0092445A" w:rsidP="001B41FB">
      <w:pPr>
        <w:pStyle w:val="ListParagraph"/>
        <w:keepNext/>
        <w:numPr>
          <w:ilvl w:val="0"/>
          <w:numId w:val="28"/>
        </w:numPr>
        <w:spacing w:line="240" w:lineRule="auto"/>
        <w:ind w:hanging="930"/>
        <w:rPr>
          <w:b/>
        </w:rPr>
      </w:pPr>
      <w:r w:rsidRPr="007F7A39">
        <w:rPr>
          <w:b/>
        </w:rPr>
        <w:lastRenderedPageBreak/>
        <w:t>DATUM DER ERTEILUNG DER ZULASSUNG</w:t>
      </w:r>
    </w:p>
    <w:p w14:paraId="7165FA9D" w14:textId="77777777" w:rsidR="00057B27" w:rsidRPr="007F7A39" w:rsidRDefault="00057B27" w:rsidP="001B41FB">
      <w:pPr>
        <w:keepNext/>
        <w:spacing w:line="240" w:lineRule="auto"/>
        <w:rPr>
          <w:i/>
          <w:noProof/>
          <w:szCs w:val="22"/>
        </w:rPr>
      </w:pPr>
    </w:p>
    <w:p w14:paraId="7165FA9E" w14:textId="77777777" w:rsidR="00057B27" w:rsidRPr="007F7A39" w:rsidRDefault="0092445A" w:rsidP="00057B27">
      <w:pPr>
        <w:spacing w:line="240" w:lineRule="auto"/>
        <w:rPr>
          <w:i/>
          <w:noProof/>
          <w:szCs w:val="22"/>
        </w:rPr>
      </w:pPr>
      <w:r w:rsidRPr="007F7A39">
        <w:t xml:space="preserve">Datum der Erteilung der Zulassung: </w:t>
      </w:r>
      <w:r w:rsidR="0071065E" w:rsidRPr="007F7A39">
        <w:t>5. September 2017</w:t>
      </w:r>
    </w:p>
    <w:p w14:paraId="7165FA9F" w14:textId="77777777" w:rsidR="00057B27" w:rsidRPr="007F7A39" w:rsidRDefault="00057B27" w:rsidP="00057B27">
      <w:pPr>
        <w:spacing w:line="240" w:lineRule="auto"/>
        <w:rPr>
          <w:noProof/>
          <w:szCs w:val="22"/>
        </w:rPr>
      </w:pPr>
    </w:p>
    <w:p w14:paraId="7165FAA0" w14:textId="77777777" w:rsidR="00057B27" w:rsidRPr="007F7A39" w:rsidRDefault="00057B27" w:rsidP="00057B27">
      <w:pPr>
        <w:spacing w:line="240" w:lineRule="auto"/>
        <w:rPr>
          <w:noProof/>
          <w:szCs w:val="22"/>
        </w:rPr>
      </w:pPr>
    </w:p>
    <w:p w14:paraId="7165FAA1" w14:textId="77777777" w:rsidR="00057B27" w:rsidRPr="007F7A39" w:rsidRDefault="0092445A" w:rsidP="00057B27">
      <w:pPr>
        <w:pStyle w:val="ListParagraph"/>
        <w:numPr>
          <w:ilvl w:val="0"/>
          <w:numId w:val="28"/>
        </w:numPr>
        <w:spacing w:line="240" w:lineRule="auto"/>
        <w:ind w:hanging="930"/>
        <w:rPr>
          <w:b/>
        </w:rPr>
      </w:pPr>
      <w:r w:rsidRPr="007F7A39">
        <w:rPr>
          <w:b/>
        </w:rPr>
        <w:t>STAND DER INFORMATION</w:t>
      </w:r>
    </w:p>
    <w:p w14:paraId="7165FAA4" w14:textId="77777777" w:rsidR="00057B27" w:rsidRPr="007F7A39" w:rsidRDefault="00057B27" w:rsidP="00057B27">
      <w:pPr>
        <w:numPr>
          <w:ilvl w:val="12"/>
          <w:numId w:val="0"/>
        </w:numPr>
        <w:tabs>
          <w:tab w:val="clear" w:pos="567"/>
          <w:tab w:val="left" w:pos="1004"/>
        </w:tabs>
        <w:spacing w:line="240" w:lineRule="auto"/>
        <w:ind w:right="-2"/>
        <w:rPr>
          <w:szCs w:val="22"/>
        </w:rPr>
      </w:pPr>
    </w:p>
    <w:p w14:paraId="7165FAA5" w14:textId="77777777" w:rsidR="00057B27" w:rsidRPr="007F7A39" w:rsidRDefault="0092445A" w:rsidP="00057B27">
      <w:pPr>
        <w:numPr>
          <w:ilvl w:val="12"/>
          <w:numId w:val="0"/>
        </w:numPr>
        <w:spacing w:line="240" w:lineRule="auto"/>
        <w:ind w:right="-2"/>
        <w:rPr>
          <w:noProof/>
          <w:szCs w:val="22"/>
        </w:rPr>
      </w:pPr>
      <w:r w:rsidRPr="007F7A39">
        <w:t xml:space="preserve">Ausführliche Informationen zu diesem Arzneimittel sind auf den Internetseiten der Europäischen Arzneimittel-Agentur </w:t>
      </w:r>
      <w:hyperlink r:id="rId12" w:history="1">
        <w:r w:rsidRPr="007F7A39">
          <w:rPr>
            <w:rStyle w:val="Hyperlink"/>
            <w:noProof/>
          </w:rPr>
          <w:t>http://www.ema.europa.eu</w:t>
        </w:r>
      </w:hyperlink>
      <w:r w:rsidRPr="007F7A39">
        <w:t xml:space="preserve"> verfügbar.</w:t>
      </w:r>
    </w:p>
    <w:p w14:paraId="7165FAA6" w14:textId="77777777" w:rsidR="00057B27" w:rsidRPr="007F7A39" w:rsidRDefault="00057B27" w:rsidP="00057B27">
      <w:pPr>
        <w:numPr>
          <w:ilvl w:val="12"/>
          <w:numId w:val="0"/>
        </w:numPr>
        <w:spacing w:line="240" w:lineRule="auto"/>
        <w:ind w:right="-2"/>
        <w:rPr>
          <w:noProof/>
          <w:szCs w:val="22"/>
        </w:rPr>
      </w:pPr>
    </w:p>
    <w:p w14:paraId="7165FAA7" w14:textId="77777777" w:rsidR="00057B27" w:rsidRPr="007F7A39" w:rsidRDefault="0092445A" w:rsidP="00057B27">
      <w:pPr>
        <w:autoSpaceDE w:val="0"/>
        <w:autoSpaceDN w:val="0"/>
        <w:adjustRightInd w:val="0"/>
        <w:ind w:left="127" w:right="120"/>
        <w:rPr>
          <w:color w:val="000000"/>
        </w:rPr>
      </w:pPr>
      <w:r w:rsidRPr="007F7A39">
        <w:br w:type="page"/>
      </w:r>
    </w:p>
    <w:p w14:paraId="7165FAA8" w14:textId="77777777" w:rsidR="00057B27" w:rsidRPr="007F7A39" w:rsidRDefault="00057B27" w:rsidP="00057B27">
      <w:pPr>
        <w:autoSpaceDE w:val="0"/>
        <w:autoSpaceDN w:val="0"/>
        <w:adjustRightInd w:val="0"/>
        <w:ind w:left="127" w:right="120"/>
        <w:rPr>
          <w:color w:val="000000"/>
        </w:rPr>
      </w:pPr>
    </w:p>
    <w:p w14:paraId="7165FAA9" w14:textId="77777777" w:rsidR="00057B27" w:rsidRPr="007F7A39" w:rsidRDefault="00057B27" w:rsidP="00057B27">
      <w:pPr>
        <w:autoSpaceDE w:val="0"/>
        <w:autoSpaceDN w:val="0"/>
        <w:adjustRightInd w:val="0"/>
        <w:ind w:left="127" w:right="120"/>
        <w:rPr>
          <w:color w:val="000000"/>
        </w:rPr>
      </w:pPr>
    </w:p>
    <w:p w14:paraId="7165FAAA" w14:textId="77777777" w:rsidR="00057B27" w:rsidRPr="007F7A39" w:rsidRDefault="00057B27" w:rsidP="00057B27">
      <w:pPr>
        <w:autoSpaceDE w:val="0"/>
        <w:autoSpaceDN w:val="0"/>
        <w:adjustRightInd w:val="0"/>
        <w:ind w:left="127" w:right="120"/>
        <w:rPr>
          <w:color w:val="000000"/>
        </w:rPr>
      </w:pPr>
    </w:p>
    <w:p w14:paraId="7165FAAB" w14:textId="77777777" w:rsidR="00057B27" w:rsidRPr="007F7A39" w:rsidRDefault="00057B27" w:rsidP="00057B27">
      <w:pPr>
        <w:autoSpaceDE w:val="0"/>
        <w:autoSpaceDN w:val="0"/>
        <w:adjustRightInd w:val="0"/>
        <w:ind w:left="127" w:right="120"/>
        <w:rPr>
          <w:color w:val="000000"/>
        </w:rPr>
      </w:pPr>
    </w:p>
    <w:p w14:paraId="7165FAAC" w14:textId="77777777" w:rsidR="00057B27" w:rsidRPr="007F7A39" w:rsidRDefault="00057B27" w:rsidP="00057B27">
      <w:pPr>
        <w:autoSpaceDE w:val="0"/>
        <w:autoSpaceDN w:val="0"/>
        <w:adjustRightInd w:val="0"/>
        <w:ind w:left="127" w:right="120"/>
        <w:rPr>
          <w:color w:val="000000"/>
        </w:rPr>
      </w:pPr>
    </w:p>
    <w:p w14:paraId="7165FAAD" w14:textId="77777777" w:rsidR="00057B27" w:rsidRPr="007F7A39" w:rsidRDefault="00057B27" w:rsidP="00057B27">
      <w:pPr>
        <w:autoSpaceDE w:val="0"/>
        <w:autoSpaceDN w:val="0"/>
        <w:adjustRightInd w:val="0"/>
        <w:ind w:left="127" w:right="120"/>
        <w:rPr>
          <w:color w:val="000000"/>
        </w:rPr>
      </w:pPr>
    </w:p>
    <w:p w14:paraId="7165FAAE" w14:textId="77777777" w:rsidR="00057B27" w:rsidRPr="007F7A39" w:rsidRDefault="00057B27" w:rsidP="00057B27">
      <w:pPr>
        <w:autoSpaceDE w:val="0"/>
        <w:autoSpaceDN w:val="0"/>
        <w:adjustRightInd w:val="0"/>
        <w:ind w:left="127" w:right="120"/>
        <w:rPr>
          <w:color w:val="000000"/>
        </w:rPr>
      </w:pPr>
    </w:p>
    <w:p w14:paraId="7165FAAF" w14:textId="77777777" w:rsidR="00057B27" w:rsidRPr="007F7A39" w:rsidRDefault="00057B27" w:rsidP="00057B27">
      <w:pPr>
        <w:autoSpaceDE w:val="0"/>
        <w:autoSpaceDN w:val="0"/>
        <w:adjustRightInd w:val="0"/>
        <w:ind w:left="127" w:right="120"/>
        <w:rPr>
          <w:color w:val="000000"/>
        </w:rPr>
      </w:pPr>
    </w:p>
    <w:p w14:paraId="7165FAB0" w14:textId="77777777" w:rsidR="00057B27" w:rsidRPr="007F7A39" w:rsidRDefault="00057B27" w:rsidP="00057B27">
      <w:pPr>
        <w:autoSpaceDE w:val="0"/>
        <w:autoSpaceDN w:val="0"/>
        <w:adjustRightInd w:val="0"/>
        <w:ind w:left="127" w:right="120"/>
        <w:rPr>
          <w:color w:val="000000"/>
        </w:rPr>
      </w:pPr>
    </w:p>
    <w:p w14:paraId="7165FAB1" w14:textId="77777777" w:rsidR="00057B27" w:rsidRPr="007F7A39" w:rsidRDefault="00057B27" w:rsidP="00057B27">
      <w:pPr>
        <w:autoSpaceDE w:val="0"/>
        <w:autoSpaceDN w:val="0"/>
        <w:adjustRightInd w:val="0"/>
        <w:ind w:left="127" w:right="120"/>
        <w:rPr>
          <w:color w:val="000000"/>
        </w:rPr>
      </w:pPr>
    </w:p>
    <w:p w14:paraId="7165FAB2" w14:textId="77777777" w:rsidR="00057B27" w:rsidRPr="007F7A39" w:rsidRDefault="00057B27" w:rsidP="00057B27">
      <w:pPr>
        <w:autoSpaceDE w:val="0"/>
        <w:autoSpaceDN w:val="0"/>
        <w:adjustRightInd w:val="0"/>
        <w:ind w:left="127" w:right="120"/>
        <w:rPr>
          <w:color w:val="000000"/>
        </w:rPr>
      </w:pPr>
    </w:p>
    <w:p w14:paraId="7165FAB3" w14:textId="77777777" w:rsidR="00057B27" w:rsidRPr="007F7A39" w:rsidRDefault="00057B27" w:rsidP="00057B27">
      <w:pPr>
        <w:autoSpaceDE w:val="0"/>
        <w:autoSpaceDN w:val="0"/>
        <w:adjustRightInd w:val="0"/>
        <w:ind w:left="127" w:right="120"/>
        <w:rPr>
          <w:color w:val="000000"/>
        </w:rPr>
      </w:pPr>
    </w:p>
    <w:p w14:paraId="7165FAB4" w14:textId="77777777" w:rsidR="00057B27" w:rsidRPr="007F7A39" w:rsidRDefault="00057B27" w:rsidP="00057B27">
      <w:pPr>
        <w:autoSpaceDE w:val="0"/>
        <w:autoSpaceDN w:val="0"/>
        <w:adjustRightInd w:val="0"/>
        <w:ind w:left="127" w:right="120"/>
        <w:rPr>
          <w:color w:val="000000"/>
        </w:rPr>
      </w:pPr>
    </w:p>
    <w:p w14:paraId="7165FAB5" w14:textId="77777777" w:rsidR="00057B27" w:rsidRPr="007F7A39" w:rsidRDefault="00057B27" w:rsidP="00057B27">
      <w:pPr>
        <w:autoSpaceDE w:val="0"/>
        <w:autoSpaceDN w:val="0"/>
        <w:adjustRightInd w:val="0"/>
        <w:ind w:left="127" w:right="120"/>
        <w:rPr>
          <w:color w:val="000000"/>
        </w:rPr>
      </w:pPr>
    </w:p>
    <w:p w14:paraId="7165FAB6" w14:textId="77777777" w:rsidR="00057B27" w:rsidRPr="007F7A39" w:rsidRDefault="00057B27" w:rsidP="00057B27">
      <w:pPr>
        <w:autoSpaceDE w:val="0"/>
        <w:autoSpaceDN w:val="0"/>
        <w:adjustRightInd w:val="0"/>
        <w:ind w:left="127" w:right="120"/>
        <w:rPr>
          <w:color w:val="000000"/>
        </w:rPr>
      </w:pPr>
    </w:p>
    <w:p w14:paraId="7165FAB7" w14:textId="77777777" w:rsidR="00057B27" w:rsidRPr="007F7A39" w:rsidRDefault="00057B27" w:rsidP="00057B27">
      <w:pPr>
        <w:autoSpaceDE w:val="0"/>
        <w:autoSpaceDN w:val="0"/>
        <w:adjustRightInd w:val="0"/>
        <w:ind w:left="127" w:right="120"/>
        <w:rPr>
          <w:color w:val="000000"/>
        </w:rPr>
      </w:pPr>
    </w:p>
    <w:p w14:paraId="7165FAB8" w14:textId="77777777" w:rsidR="00057B27" w:rsidRPr="007F7A39" w:rsidRDefault="00057B27" w:rsidP="00057B27">
      <w:pPr>
        <w:autoSpaceDE w:val="0"/>
        <w:autoSpaceDN w:val="0"/>
        <w:adjustRightInd w:val="0"/>
        <w:ind w:left="127" w:right="120"/>
        <w:rPr>
          <w:color w:val="000000"/>
        </w:rPr>
      </w:pPr>
    </w:p>
    <w:p w14:paraId="7165FAB9" w14:textId="77777777" w:rsidR="00057B27" w:rsidRPr="007F7A39" w:rsidRDefault="0092445A" w:rsidP="00057B27">
      <w:pPr>
        <w:keepNext/>
        <w:autoSpaceDE w:val="0"/>
        <w:autoSpaceDN w:val="0"/>
        <w:adjustRightInd w:val="0"/>
        <w:spacing w:before="280" w:after="220"/>
        <w:ind w:left="127" w:right="120"/>
        <w:jc w:val="center"/>
        <w:rPr>
          <w:b/>
          <w:bCs/>
          <w:color w:val="000000"/>
        </w:rPr>
      </w:pPr>
      <w:r w:rsidRPr="007F7A39">
        <w:rPr>
          <w:b/>
          <w:color w:val="000000"/>
        </w:rPr>
        <w:t>ANHANG II</w:t>
      </w:r>
    </w:p>
    <w:p w14:paraId="7165FABA" w14:textId="77777777" w:rsidR="00057B27" w:rsidRPr="007F7A39" w:rsidRDefault="00057B27" w:rsidP="00057B27">
      <w:pPr>
        <w:autoSpaceDE w:val="0"/>
        <w:autoSpaceDN w:val="0"/>
        <w:adjustRightInd w:val="0"/>
        <w:ind w:left="127" w:right="120"/>
        <w:rPr>
          <w:color w:val="000000"/>
        </w:rPr>
      </w:pPr>
    </w:p>
    <w:p w14:paraId="7165FABB" w14:textId="77777777" w:rsidR="00057B27" w:rsidRPr="007F7A39" w:rsidRDefault="0092445A" w:rsidP="00057B27">
      <w:pPr>
        <w:pStyle w:val="ListParagraph"/>
        <w:keepNext/>
        <w:numPr>
          <w:ilvl w:val="0"/>
          <w:numId w:val="29"/>
        </w:numPr>
        <w:autoSpaceDE w:val="0"/>
        <w:autoSpaceDN w:val="0"/>
        <w:adjustRightInd w:val="0"/>
        <w:spacing w:before="280"/>
        <w:ind w:right="120"/>
        <w:rPr>
          <w:b/>
          <w:bCs/>
          <w:color w:val="000000"/>
        </w:rPr>
      </w:pPr>
      <w:r w:rsidRPr="007F7A39">
        <w:rPr>
          <w:b/>
          <w:color w:val="000000"/>
        </w:rPr>
        <w:t xml:space="preserve">HERSTELLER, DER (DIE) FÜR DIE CHARGENFREIGABE VERANTWORTLICH IST (SIND) </w:t>
      </w:r>
    </w:p>
    <w:p w14:paraId="7165FABC" w14:textId="77777777" w:rsidR="00057B27" w:rsidRPr="007F7A39" w:rsidRDefault="0092445A" w:rsidP="00057B27">
      <w:pPr>
        <w:pStyle w:val="ListParagraph"/>
        <w:keepNext/>
        <w:numPr>
          <w:ilvl w:val="0"/>
          <w:numId w:val="29"/>
        </w:numPr>
        <w:autoSpaceDE w:val="0"/>
        <w:autoSpaceDN w:val="0"/>
        <w:adjustRightInd w:val="0"/>
        <w:spacing w:before="280" w:after="220"/>
        <w:ind w:left="573" w:right="119" w:hanging="448"/>
        <w:contextualSpacing w:val="0"/>
        <w:rPr>
          <w:b/>
          <w:bCs/>
          <w:color w:val="000000"/>
        </w:rPr>
      </w:pPr>
      <w:r w:rsidRPr="007F7A39">
        <w:rPr>
          <w:b/>
          <w:color w:val="000000"/>
        </w:rPr>
        <w:t>BEDINGUNGEN ODER EINSCHRÄNKUNGEN FÜR DIE ABGABE UND DEN GEBRAUCH</w:t>
      </w:r>
    </w:p>
    <w:p w14:paraId="7165FABD" w14:textId="77777777" w:rsidR="00057B27" w:rsidRPr="007F7A39" w:rsidRDefault="00057B27" w:rsidP="00057B27">
      <w:pPr>
        <w:autoSpaceDE w:val="0"/>
        <w:autoSpaceDN w:val="0"/>
        <w:adjustRightInd w:val="0"/>
        <w:ind w:left="127" w:right="120"/>
        <w:rPr>
          <w:color w:val="000000"/>
        </w:rPr>
      </w:pPr>
    </w:p>
    <w:p w14:paraId="7165FABE" w14:textId="77777777" w:rsidR="00057B27" w:rsidRPr="007F7A39" w:rsidRDefault="0092445A" w:rsidP="00057B27">
      <w:pPr>
        <w:pStyle w:val="ListParagraph"/>
        <w:keepNext/>
        <w:numPr>
          <w:ilvl w:val="0"/>
          <w:numId w:val="29"/>
        </w:numPr>
        <w:autoSpaceDE w:val="0"/>
        <w:autoSpaceDN w:val="0"/>
        <w:adjustRightInd w:val="0"/>
        <w:ind w:right="120"/>
        <w:rPr>
          <w:b/>
          <w:bCs/>
          <w:color w:val="000000"/>
        </w:rPr>
      </w:pPr>
      <w:r w:rsidRPr="007F7A39">
        <w:rPr>
          <w:b/>
          <w:color w:val="000000"/>
        </w:rPr>
        <w:t xml:space="preserve">SONSTIGE BEDINGUNGEN UND AUFLAGEN DER GENEHMIGUNG FÜR DAS </w:t>
      </w:r>
      <w:r w:rsidRPr="007F7A39">
        <w:rPr>
          <w:b/>
          <w:color w:val="000000"/>
        </w:rPr>
        <w:t>INVERKEHRBRINGEN</w:t>
      </w:r>
    </w:p>
    <w:p w14:paraId="7165FABF" w14:textId="77777777" w:rsidR="00057B27" w:rsidRPr="007F7A39" w:rsidRDefault="00057B27" w:rsidP="00057B27">
      <w:pPr>
        <w:autoSpaceDE w:val="0"/>
        <w:autoSpaceDN w:val="0"/>
        <w:adjustRightInd w:val="0"/>
        <w:ind w:left="127" w:right="120"/>
        <w:rPr>
          <w:color w:val="000000"/>
        </w:rPr>
      </w:pPr>
    </w:p>
    <w:p w14:paraId="7165FAC0" w14:textId="77777777" w:rsidR="00057B27" w:rsidRPr="007F7A39" w:rsidRDefault="0092445A" w:rsidP="00057B27">
      <w:pPr>
        <w:pStyle w:val="ListParagraph"/>
        <w:keepNext/>
        <w:numPr>
          <w:ilvl w:val="0"/>
          <w:numId w:val="29"/>
        </w:numPr>
        <w:autoSpaceDE w:val="0"/>
        <w:autoSpaceDN w:val="0"/>
        <w:adjustRightInd w:val="0"/>
        <w:ind w:right="120"/>
        <w:rPr>
          <w:b/>
          <w:bCs/>
          <w:color w:val="000000"/>
        </w:rPr>
      </w:pPr>
      <w:r w:rsidRPr="007F7A39">
        <w:rPr>
          <w:b/>
          <w:color w:val="000000"/>
        </w:rPr>
        <w:t>BEDINGUNGEN ODER EINSCHRÄNKUNGEN FÜR DIE SICHERE UND WIRKSAME ANWENDUNG DES ARZNEIMITTELS</w:t>
      </w:r>
    </w:p>
    <w:p w14:paraId="7165FAC1" w14:textId="77777777" w:rsidR="00057B27" w:rsidRPr="007F7A39" w:rsidRDefault="00057B27" w:rsidP="00057B27">
      <w:pPr>
        <w:autoSpaceDE w:val="0"/>
        <w:autoSpaceDN w:val="0"/>
        <w:adjustRightInd w:val="0"/>
        <w:ind w:left="127" w:right="120"/>
        <w:rPr>
          <w:color w:val="000000"/>
        </w:rPr>
      </w:pPr>
    </w:p>
    <w:p w14:paraId="7165FAC2" w14:textId="77777777" w:rsidR="00057B27" w:rsidRPr="007F7A39" w:rsidRDefault="00057B27" w:rsidP="00057B27">
      <w:pPr>
        <w:keepNext/>
        <w:autoSpaceDE w:val="0"/>
        <w:autoSpaceDN w:val="0"/>
        <w:adjustRightInd w:val="0"/>
        <w:spacing w:before="280"/>
        <w:ind w:left="127" w:right="120"/>
        <w:rPr>
          <w:color w:val="000000"/>
        </w:rPr>
      </w:pPr>
    </w:p>
    <w:p w14:paraId="7165FAC3" w14:textId="77777777" w:rsidR="00057B27" w:rsidRPr="007F7A39" w:rsidRDefault="0092445A" w:rsidP="00057B27">
      <w:pPr>
        <w:pStyle w:val="ListParagraph"/>
        <w:keepNext/>
        <w:numPr>
          <w:ilvl w:val="0"/>
          <w:numId w:val="30"/>
        </w:numPr>
        <w:autoSpaceDE w:val="0"/>
        <w:autoSpaceDN w:val="0"/>
        <w:adjustRightInd w:val="0"/>
        <w:spacing w:before="280" w:after="220"/>
        <w:ind w:right="120"/>
        <w:rPr>
          <w:b/>
          <w:bCs/>
          <w:color w:val="000000"/>
        </w:rPr>
      </w:pPr>
      <w:r w:rsidRPr="007F7A39">
        <w:br w:type="page"/>
      </w:r>
      <w:r w:rsidRPr="007F7A39">
        <w:rPr>
          <w:b/>
          <w:color w:val="000000"/>
        </w:rPr>
        <w:lastRenderedPageBreak/>
        <w:t>HERSTELLER, DER (DIE) FÜR DIE CHARGENFREIGABE VERANTWORTLICH IST (SIND)</w:t>
      </w:r>
    </w:p>
    <w:p w14:paraId="7165FAC4" w14:textId="77777777" w:rsidR="00057B27" w:rsidRPr="007F7A39" w:rsidRDefault="0092445A" w:rsidP="00057B27">
      <w:pPr>
        <w:autoSpaceDE w:val="0"/>
        <w:autoSpaceDN w:val="0"/>
        <w:adjustRightInd w:val="0"/>
        <w:spacing w:after="140" w:line="280" w:lineRule="atLeast"/>
        <w:ind w:left="127" w:right="120"/>
        <w:rPr>
          <w:color w:val="000000"/>
        </w:rPr>
      </w:pPr>
      <w:r w:rsidRPr="007F7A39">
        <w:rPr>
          <w:color w:val="000000"/>
          <w:u w:val="single"/>
        </w:rPr>
        <w:t>Name und Anschrift des (der) Hersteller(s), der (die) für die Chargenfrei</w:t>
      </w:r>
      <w:r w:rsidRPr="007F7A39">
        <w:rPr>
          <w:color w:val="000000"/>
          <w:u w:val="single"/>
        </w:rPr>
        <w:t>gabe verantwortlich ist (sind)</w:t>
      </w:r>
    </w:p>
    <w:p w14:paraId="7165FAC5" w14:textId="77777777" w:rsidR="00057B27" w:rsidRPr="007F7A39" w:rsidRDefault="0092445A" w:rsidP="00057B27">
      <w:pPr>
        <w:autoSpaceDE w:val="0"/>
        <w:autoSpaceDN w:val="0"/>
        <w:adjustRightInd w:val="0"/>
        <w:ind w:left="127" w:right="120"/>
        <w:rPr>
          <w:color w:val="000000"/>
          <w:lang w:val="fr-LU"/>
        </w:rPr>
      </w:pPr>
      <w:r w:rsidRPr="007F7A39">
        <w:rPr>
          <w:color w:val="000000"/>
          <w:lang w:val="fr-LU"/>
        </w:rPr>
        <w:t xml:space="preserve">DELPHARM EVREUX </w:t>
      </w:r>
      <w:r w:rsidRPr="007F7A39">
        <w:rPr>
          <w:color w:val="000000"/>
          <w:lang w:val="fr-LU"/>
        </w:rPr>
        <w:br/>
        <w:t xml:space="preserve">5 rue du Guesclin </w:t>
      </w:r>
      <w:r w:rsidRPr="007F7A39">
        <w:rPr>
          <w:color w:val="000000"/>
          <w:lang w:val="fr-LU"/>
        </w:rPr>
        <w:br/>
        <w:t xml:space="preserve">27000 Evreux </w:t>
      </w:r>
      <w:r w:rsidRPr="007F7A39">
        <w:rPr>
          <w:color w:val="000000"/>
          <w:lang w:val="fr-LU"/>
        </w:rPr>
        <w:br/>
      </w:r>
      <w:proofErr w:type="spellStart"/>
      <w:r w:rsidRPr="004E4ACF">
        <w:rPr>
          <w:color w:val="000000"/>
          <w:lang w:val="fr-FR"/>
        </w:rPr>
        <w:t>Frankreich</w:t>
      </w:r>
      <w:proofErr w:type="spellEnd"/>
    </w:p>
    <w:p w14:paraId="7165FAC6" w14:textId="77777777" w:rsidR="00057B27" w:rsidRPr="007F7A39" w:rsidRDefault="0092445A" w:rsidP="00057B27">
      <w:pPr>
        <w:pStyle w:val="ListParagraph"/>
        <w:keepNext/>
        <w:numPr>
          <w:ilvl w:val="0"/>
          <w:numId w:val="30"/>
        </w:numPr>
        <w:autoSpaceDE w:val="0"/>
        <w:autoSpaceDN w:val="0"/>
        <w:adjustRightInd w:val="0"/>
        <w:spacing w:before="280" w:after="220"/>
        <w:ind w:right="120"/>
        <w:rPr>
          <w:b/>
          <w:bCs/>
          <w:color w:val="000000"/>
        </w:rPr>
      </w:pPr>
      <w:r w:rsidRPr="007F7A39">
        <w:rPr>
          <w:b/>
          <w:color w:val="000000"/>
        </w:rPr>
        <w:t>BEDINGUNGEN ODER EINSCHRÄNKUNGEN FÜR DIE ABGABE UND DEN GEBRAUCH</w:t>
      </w:r>
    </w:p>
    <w:p w14:paraId="7165FAC7" w14:textId="77777777" w:rsidR="00057B27" w:rsidRPr="007F7A39" w:rsidRDefault="0092445A" w:rsidP="00057B27">
      <w:pPr>
        <w:autoSpaceDE w:val="0"/>
        <w:autoSpaceDN w:val="0"/>
        <w:adjustRightInd w:val="0"/>
        <w:spacing w:after="140" w:line="280" w:lineRule="atLeast"/>
        <w:ind w:left="127" w:right="120"/>
        <w:rPr>
          <w:color w:val="000000"/>
        </w:rPr>
      </w:pPr>
      <w:r w:rsidRPr="007F7A39">
        <w:rPr>
          <w:color w:val="000000"/>
        </w:rPr>
        <w:t>Arzneimittel auf eingeschränkte ärztliche Verschreibung (siehe Anhang I: Zusammenfassung der Merkma</w:t>
      </w:r>
      <w:r w:rsidRPr="007F7A39">
        <w:rPr>
          <w:color w:val="000000"/>
        </w:rPr>
        <w:t>le des Arzneimittels, Abschnitt 4.2).</w:t>
      </w:r>
    </w:p>
    <w:p w14:paraId="7165FAC8" w14:textId="77777777" w:rsidR="00057B27" w:rsidRPr="007F7A39" w:rsidRDefault="0092445A" w:rsidP="00057B27">
      <w:pPr>
        <w:pStyle w:val="ListParagraph"/>
        <w:keepNext/>
        <w:numPr>
          <w:ilvl w:val="0"/>
          <w:numId w:val="30"/>
        </w:numPr>
        <w:autoSpaceDE w:val="0"/>
        <w:autoSpaceDN w:val="0"/>
        <w:adjustRightInd w:val="0"/>
        <w:spacing w:before="280" w:after="220"/>
        <w:ind w:right="120"/>
        <w:rPr>
          <w:b/>
          <w:bCs/>
          <w:color w:val="000000"/>
        </w:rPr>
      </w:pPr>
      <w:r w:rsidRPr="007F7A39">
        <w:rPr>
          <w:b/>
          <w:color w:val="000000"/>
        </w:rPr>
        <w:t xml:space="preserve">SONSTIGE BEDINGUNGEN UND AUFLAGEN DER GENEHMIGUNG FÜR DAS INVERKEHRBRINGEN </w:t>
      </w:r>
    </w:p>
    <w:p w14:paraId="7165FAC9" w14:textId="77777777" w:rsidR="00057B27" w:rsidRPr="007F7A39" w:rsidRDefault="00057B27" w:rsidP="00057B27">
      <w:pPr>
        <w:autoSpaceDE w:val="0"/>
        <w:autoSpaceDN w:val="0"/>
        <w:adjustRightInd w:val="0"/>
        <w:spacing w:after="140" w:line="280" w:lineRule="atLeast"/>
        <w:ind w:left="127" w:right="120"/>
        <w:rPr>
          <w:color w:val="000000"/>
        </w:rPr>
      </w:pPr>
    </w:p>
    <w:p w14:paraId="7165FACA" w14:textId="77777777" w:rsidR="00057B27" w:rsidRPr="007F7A39" w:rsidRDefault="0092445A" w:rsidP="00057B27">
      <w:pPr>
        <w:numPr>
          <w:ilvl w:val="0"/>
          <w:numId w:val="21"/>
        </w:numPr>
        <w:tabs>
          <w:tab w:val="clear" w:pos="567"/>
          <w:tab w:val="clear" w:pos="720"/>
          <w:tab w:val="left" w:pos="468"/>
        </w:tabs>
        <w:autoSpaceDE w:val="0"/>
        <w:autoSpaceDN w:val="0"/>
        <w:adjustRightInd w:val="0"/>
        <w:spacing w:line="240" w:lineRule="auto"/>
        <w:ind w:left="468"/>
        <w:rPr>
          <w:color w:val="000000"/>
        </w:rPr>
      </w:pPr>
      <w:r w:rsidRPr="007F7A39">
        <w:rPr>
          <w:b/>
          <w:color w:val="000000"/>
        </w:rPr>
        <w:t xml:space="preserve">Regelmäßig aktualisierte Unbedenklichkeitsberichte </w:t>
      </w:r>
    </w:p>
    <w:p w14:paraId="7165FACB" w14:textId="77777777" w:rsidR="00057B27" w:rsidRPr="007F7A39" w:rsidRDefault="00057B27" w:rsidP="00057B27">
      <w:pPr>
        <w:autoSpaceDE w:val="0"/>
        <w:autoSpaceDN w:val="0"/>
        <w:adjustRightInd w:val="0"/>
        <w:spacing w:after="140" w:line="280" w:lineRule="atLeast"/>
        <w:ind w:left="127" w:right="120"/>
        <w:rPr>
          <w:color w:val="000000"/>
        </w:rPr>
      </w:pPr>
    </w:p>
    <w:p w14:paraId="7165FACC" w14:textId="77777777" w:rsidR="00057B27" w:rsidRPr="007F7A39" w:rsidRDefault="0092445A" w:rsidP="00057B27">
      <w:pPr>
        <w:autoSpaceDE w:val="0"/>
        <w:autoSpaceDN w:val="0"/>
        <w:adjustRightInd w:val="0"/>
        <w:spacing w:after="140" w:line="280" w:lineRule="atLeast"/>
        <w:ind w:left="127" w:right="120"/>
        <w:rPr>
          <w:color w:val="000000"/>
        </w:rPr>
      </w:pPr>
      <w:r w:rsidRPr="007F7A39">
        <w:rPr>
          <w:color w:val="000000"/>
        </w:rPr>
        <w:t xml:space="preserve">Die Anforderungen an die Einreichung von regelmäßig aktualisierten </w:t>
      </w:r>
      <w:r w:rsidRPr="007F7A39">
        <w:rPr>
          <w:color w:val="000000"/>
        </w:rPr>
        <w:t>Unbedenklichkeitsberichten für dieses Arzneimittel sind in der nach Artikel 107 c Absatz 7 der Richtlinie 2001/83/EG vorgesehenen und im europäischen Internetportal für Arzneimittel veröffentlichten Liste der in der Union festgelegten Stichtage (EURD-Liste</w:t>
      </w:r>
      <w:r w:rsidRPr="007F7A39">
        <w:rPr>
          <w:color w:val="000000"/>
        </w:rPr>
        <w:t>) – und allen künftigen Aktualisierungen – festgelegt.</w:t>
      </w:r>
    </w:p>
    <w:p w14:paraId="7165FACD" w14:textId="77777777" w:rsidR="00057B27" w:rsidRPr="007F7A39" w:rsidRDefault="0092445A" w:rsidP="00057B27">
      <w:pPr>
        <w:autoSpaceDE w:val="0"/>
        <w:autoSpaceDN w:val="0"/>
        <w:adjustRightInd w:val="0"/>
        <w:spacing w:line="280" w:lineRule="atLeast"/>
        <w:ind w:left="127" w:right="120"/>
        <w:rPr>
          <w:color w:val="000000"/>
        </w:rPr>
      </w:pPr>
      <w:r w:rsidRPr="007F7A39">
        <w:rPr>
          <w:color w:val="000000"/>
        </w:rPr>
        <w:t xml:space="preserve">Der Inhaber der Genehmigung für das Inverkehrbringen legt den ersten regelmäßig aktualisierten Unbedenklichkeitsbericht für dieses Arzneimittel innerhalb von 6 Monaten nach der Zulassung vor. </w:t>
      </w:r>
    </w:p>
    <w:p w14:paraId="7165FACE" w14:textId="77777777" w:rsidR="00057B27" w:rsidRPr="007F7A39" w:rsidRDefault="0092445A" w:rsidP="00057B27">
      <w:pPr>
        <w:pStyle w:val="ListParagraph"/>
        <w:keepNext/>
        <w:numPr>
          <w:ilvl w:val="0"/>
          <w:numId w:val="30"/>
        </w:numPr>
        <w:autoSpaceDE w:val="0"/>
        <w:autoSpaceDN w:val="0"/>
        <w:adjustRightInd w:val="0"/>
        <w:spacing w:before="280" w:after="220"/>
        <w:ind w:right="120"/>
        <w:rPr>
          <w:b/>
          <w:bCs/>
          <w:color w:val="000000"/>
        </w:rPr>
      </w:pPr>
      <w:r w:rsidRPr="007F7A39">
        <w:rPr>
          <w:b/>
          <w:color w:val="000000"/>
        </w:rPr>
        <w:t>BEDINGUN</w:t>
      </w:r>
      <w:r w:rsidRPr="007F7A39">
        <w:rPr>
          <w:b/>
          <w:color w:val="000000"/>
        </w:rPr>
        <w:t>GEN ODER EINSCHRÄNKUNGEN FÜR DIE SICHERE UND WIRKSAME ANWENDUNG DES ARZNEIMITTELS</w:t>
      </w:r>
    </w:p>
    <w:p w14:paraId="7165FAD0" w14:textId="77777777" w:rsidR="00057B27" w:rsidRPr="007F7A39" w:rsidRDefault="0092445A" w:rsidP="00057B27">
      <w:pPr>
        <w:numPr>
          <w:ilvl w:val="0"/>
          <w:numId w:val="21"/>
        </w:numPr>
        <w:tabs>
          <w:tab w:val="clear" w:pos="567"/>
          <w:tab w:val="clear" w:pos="720"/>
          <w:tab w:val="left" w:pos="468"/>
        </w:tabs>
        <w:autoSpaceDE w:val="0"/>
        <w:autoSpaceDN w:val="0"/>
        <w:adjustRightInd w:val="0"/>
        <w:spacing w:line="240" w:lineRule="auto"/>
        <w:ind w:left="468"/>
        <w:rPr>
          <w:color w:val="000000"/>
        </w:rPr>
      </w:pPr>
      <w:r w:rsidRPr="007F7A39">
        <w:rPr>
          <w:b/>
          <w:color w:val="000000"/>
        </w:rPr>
        <w:t>Risikomanagement-Plan (RMP)</w:t>
      </w:r>
    </w:p>
    <w:p w14:paraId="7165FAD1" w14:textId="77777777" w:rsidR="00057B27" w:rsidRPr="007F7A39" w:rsidRDefault="00057B27" w:rsidP="00057B27">
      <w:pPr>
        <w:autoSpaceDE w:val="0"/>
        <w:autoSpaceDN w:val="0"/>
        <w:adjustRightInd w:val="0"/>
        <w:spacing w:after="140" w:line="280" w:lineRule="atLeast"/>
        <w:ind w:left="127" w:right="120"/>
        <w:rPr>
          <w:color w:val="000000"/>
        </w:rPr>
      </w:pPr>
    </w:p>
    <w:p w14:paraId="7165FAD2" w14:textId="77777777" w:rsidR="00057B27" w:rsidRPr="007F7A39" w:rsidRDefault="0092445A" w:rsidP="00057B27">
      <w:pPr>
        <w:autoSpaceDE w:val="0"/>
        <w:autoSpaceDN w:val="0"/>
        <w:adjustRightInd w:val="0"/>
        <w:spacing w:after="140" w:line="280" w:lineRule="atLeast"/>
        <w:ind w:left="127" w:right="120"/>
        <w:rPr>
          <w:color w:val="000000"/>
        </w:rPr>
      </w:pPr>
      <w:r w:rsidRPr="007F7A39">
        <w:rPr>
          <w:color w:val="000000"/>
        </w:rPr>
        <w:t>Der Inhaber der Genehmigung für das Inverkehrbringen führt die notwendigen, im vereinbarten RMP beschriebenen und in Modul 1.8.2 der Zulassung da</w:t>
      </w:r>
      <w:r w:rsidRPr="007F7A39">
        <w:rPr>
          <w:color w:val="000000"/>
        </w:rPr>
        <w:t>rgelegten Pharmakovigilanzaktivitäten und Maßnahmen sowie alle künftigen vereinbarten Aktualisierungen des RMP durch.</w:t>
      </w:r>
    </w:p>
    <w:p w14:paraId="7165FAD3" w14:textId="77777777" w:rsidR="00057B27" w:rsidRPr="007F7A39" w:rsidRDefault="0092445A" w:rsidP="00057B27">
      <w:pPr>
        <w:autoSpaceDE w:val="0"/>
        <w:autoSpaceDN w:val="0"/>
        <w:adjustRightInd w:val="0"/>
        <w:spacing w:after="140" w:line="280" w:lineRule="atLeast"/>
        <w:ind w:left="127" w:right="120"/>
        <w:rPr>
          <w:color w:val="000000"/>
        </w:rPr>
      </w:pPr>
      <w:r w:rsidRPr="007F7A39">
        <w:rPr>
          <w:color w:val="000000"/>
        </w:rPr>
        <w:t>Ein aktualisierter RMP ist einzureichen:</w:t>
      </w:r>
    </w:p>
    <w:p w14:paraId="7165FAD4" w14:textId="77777777" w:rsidR="00057B27" w:rsidRPr="007F7A39" w:rsidRDefault="0092445A" w:rsidP="00057B27">
      <w:pPr>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7F7A39">
        <w:rPr>
          <w:color w:val="000000"/>
        </w:rPr>
        <w:t>nach Aufforderung durch die Europäische Arzneimittel-Agentur;</w:t>
      </w:r>
    </w:p>
    <w:p w14:paraId="7165FAD5" w14:textId="77777777" w:rsidR="00057B27" w:rsidRPr="007F7A39" w:rsidRDefault="0092445A" w:rsidP="00057B27">
      <w:pPr>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7F7A39">
        <w:rPr>
          <w:color w:val="000000"/>
        </w:rPr>
        <w:t>jedes Mal, wenn das Risikomanagemen</w:t>
      </w:r>
      <w:r w:rsidRPr="007F7A39">
        <w:rPr>
          <w:color w:val="000000"/>
        </w:rPr>
        <w:t>t-System geändert wird, insbesondere infolge neuer eingegangener Informationen, die zu einer wesentlichen Änderung des Nutzen-Risiko-Verhältnisses führen können oder infolge des Erreichens eines wichtigen Meilensteins (in Bezug auf Pharmakovigilanz oder Ri</w:t>
      </w:r>
      <w:r w:rsidRPr="007F7A39">
        <w:rPr>
          <w:color w:val="000000"/>
        </w:rPr>
        <w:t xml:space="preserve">sikominimierung). </w:t>
      </w:r>
    </w:p>
    <w:p w14:paraId="7165FAD6" w14:textId="77777777" w:rsidR="00057B27" w:rsidRPr="007F7A39" w:rsidRDefault="00057B27" w:rsidP="00057B27">
      <w:pPr>
        <w:numPr>
          <w:ilvl w:val="12"/>
          <w:numId w:val="0"/>
        </w:numPr>
        <w:spacing w:line="240" w:lineRule="auto"/>
        <w:ind w:right="-2"/>
        <w:rPr>
          <w:noProof/>
          <w:szCs w:val="22"/>
        </w:rPr>
      </w:pPr>
    </w:p>
    <w:p w14:paraId="7165FAD7" w14:textId="77777777" w:rsidR="00057B27" w:rsidRPr="007F7A39" w:rsidRDefault="00057B27" w:rsidP="00057B27">
      <w:pPr>
        <w:spacing w:line="240" w:lineRule="auto"/>
        <w:ind w:right="566"/>
        <w:rPr>
          <w:noProof/>
          <w:szCs w:val="22"/>
        </w:rPr>
      </w:pPr>
    </w:p>
    <w:p w14:paraId="7165FAD8" w14:textId="77777777" w:rsidR="00057B27" w:rsidRPr="007F7A39" w:rsidRDefault="00057B27" w:rsidP="00057B27">
      <w:pPr>
        <w:spacing w:line="240" w:lineRule="auto"/>
        <w:rPr>
          <w:noProof/>
          <w:szCs w:val="22"/>
        </w:rPr>
      </w:pPr>
    </w:p>
    <w:p w14:paraId="7165FAD9" w14:textId="77777777" w:rsidR="00057B27" w:rsidRPr="007F7A39" w:rsidRDefault="00057B27" w:rsidP="00057B27">
      <w:pPr>
        <w:spacing w:line="240" w:lineRule="auto"/>
        <w:rPr>
          <w:noProof/>
          <w:szCs w:val="22"/>
        </w:rPr>
      </w:pPr>
    </w:p>
    <w:p w14:paraId="7165FADA" w14:textId="77777777" w:rsidR="00057B27" w:rsidRPr="007F7A39" w:rsidRDefault="00057B27" w:rsidP="00057B27">
      <w:pPr>
        <w:spacing w:line="240" w:lineRule="auto"/>
        <w:rPr>
          <w:noProof/>
          <w:szCs w:val="22"/>
        </w:rPr>
      </w:pPr>
    </w:p>
    <w:p w14:paraId="7165FADB" w14:textId="77777777" w:rsidR="00057B27" w:rsidRPr="007F7A39" w:rsidRDefault="00057B27" w:rsidP="00057B27">
      <w:pPr>
        <w:spacing w:line="240" w:lineRule="auto"/>
        <w:rPr>
          <w:noProof/>
          <w:szCs w:val="22"/>
        </w:rPr>
      </w:pPr>
    </w:p>
    <w:p w14:paraId="7165FADC" w14:textId="77777777" w:rsidR="00057B27" w:rsidRPr="007F7A39" w:rsidRDefault="00057B27" w:rsidP="00057B27">
      <w:pPr>
        <w:spacing w:line="240" w:lineRule="auto"/>
      </w:pPr>
    </w:p>
    <w:p w14:paraId="7165FADD" w14:textId="77777777" w:rsidR="00057B27" w:rsidRPr="007F7A39" w:rsidRDefault="00057B27" w:rsidP="00057B27">
      <w:pPr>
        <w:spacing w:line="240" w:lineRule="auto"/>
      </w:pPr>
    </w:p>
    <w:p w14:paraId="7165FADE" w14:textId="77777777" w:rsidR="00057B27" w:rsidRPr="007F7A39" w:rsidRDefault="00057B27" w:rsidP="00057B27">
      <w:pPr>
        <w:spacing w:line="240" w:lineRule="auto"/>
      </w:pPr>
    </w:p>
    <w:p w14:paraId="7165FADF" w14:textId="77777777" w:rsidR="00057B27" w:rsidRPr="007F7A39" w:rsidRDefault="00057B27" w:rsidP="00057B27">
      <w:pPr>
        <w:spacing w:line="240" w:lineRule="auto"/>
      </w:pPr>
    </w:p>
    <w:p w14:paraId="7165FAE0" w14:textId="77777777" w:rsidR="00057B27" w:rsidRPr="007F7A39" w:rsidRDefault="00057B27" w:rsidP="00057B27">
      <w:pPr>
        <w:spacing w:line="240" w:lineRule="auto"/>
      </w:pPr>
    </w:p>
    <w:p w14:paraId="7165FAE1" w14:textId="77777777" w:rsidR="00057B27" w:rsidRPr="007F7A39" w:rsidRDefault="00057B27" w:rsidP="00057B27">
      <w:pPr>
        <w:spacing w:line="240" w:lineRule="auto"/>
        <w:rPr>
          <w:noProof/>
          <w:szCs w:val="22"/>
        </w:rPr>
      </w:pPr>
    </w:p>
    <w:p w14:paraId="7165FAE2" w14:textId="77777777" w:rsidR="00057B27" w:rsidRPr="007F7A39" w:rsidRDefault="00057B27" w:rsidP="00057B27">
      <w:pPr>
        <w:spacing w:line="240" w:lineRule="auto"/>
        <w:rPr>
          <w:noProof/>
          <w:szCs w:val="22"/>
        </w:rPr>
      </w:pPr>
    </w:p>
    <w:p w14:paraId="7165FAE3" w14:textId="77777777" w:rsidR="00057B27" w:rsidRPr="007F7A39" w:rsidRDefault="00057B27" w:rsidP="00057B27">
      <w:pPr>
        <w:rPr>
          <w:noProof/>
        </w:rPr>
      </w:pPr>
    </w:p>
    <w:p w14:paraId="7165FAE4" w14:textId="77777777" w:rsidR="00057B27" w:rsidRPr="007F7A39" w:rsidRDefault="00057B27" w:rsidP="00057B27">
      <w:pPr>
        <w:rPr>
          <w:noProof/>
        </w:rPr>
      </w:pPr>
    </w:p>
    <w:p w14:paraId="7165FAE5" w14:textId="77777777" w:rsidR="00057B27" w:rsidRPr="007F7A39" w:rsidRDefault="00057B27" w:rsidP="00057B27">
      <w:pPr>
        <w:rPr>
          <w:noProof/>
        </w:rPr>
      </w:pPr>
    </w:p>
    <w:p w14:paraId="7165FAE6" w14:textId="77777777" w:rsidR="00057B27" w:rsidRPr="007F7A39" w:rsidRDefault="00057B27" w:rsidP="00057B27">
      <w:pPr>
        <w:spacing w:line="240" w:lineRule="auto"/>
        <w:rPr>
          <w:noProof/>
          <w:szCs w:val="22"/>
        </w:rPr>
      </w:pPr>
    </w:p>
    <w:p w14:paraId="7165FAE7" w14:textId="77777777" w:rsidR="00057B27" w:rsidRPr="007F7A39" w:rsidRDefault="00057B27" w:rsidP="00057B27">
      <w:pPr>
        <w:spacing w:line="240" w:lineRule="auto"/>
        <w:rPr>
          <w:noProof/>
          <w:szCs w:val="22"/>
        </w:rPr>
      </w:pPr>
    </w:p>
    <w:p w14:paraId="7165FAE8" w14:textId="77777777" w:rsidR="00057B27" w:rsidRPr="007F7A39" w:rsidRDefault="00057B27" w:rsidP="00057B27">
      <w:pPr>
        <w:spacing w:line="240" w:lineRule="auto"/>
        <w:rPr>
          <w:noProof/>
          <w:szCs w:val="22"/>
        </w:rPr>
      </w:pPr>
    </w:p>
    <w:p w14:paraId="7165FAE9" w14:textId="77777777" w:rsidR="00057B27" w:rsidRPr="007F7A39" w:rsidRDefault="00057B27" w:rsidP="00057B27">
      <w:pPr>
        <w:spacing w:line="240" w:lineRule="auto"/>
        <w:rPr>
          <w:noProof/>
          <w:szCs w:val="22"/>
        </w:rPr>
      </w:pPr>
    </w:p>
    <w:p w14:paraId="7165FAEA" w14:textId="77777777" w:rsidR="00057B27" w:rsidRPr="007F7A39" w:rsidRDefault="00057B27" w:rsidP="00057B27">
      <w:pPr>
        <w:spacing w:line="240" w:lineRule="auto"/>
        <w:rPr>
          <w:noProof/>
          <w:szCs w:val="22"/>
        </w:rPr>
      </w:pPr>
    </w:p>
    <w:p w14:paraId="7165FAEB" w14:textId="77777777" w:rsidR="00057B27" w:rsidRPr="007F7A39" w:rsidRDefault="00057B27" w:rsidP="00057B27">
      <w:pPr>
        <w:spacing w:line="240" w:lineRule="auto"/>
        <w:rPr>
          <w:noProof/>
          <w:szCs w:val="22"/>
        </w:rPr>
      </w:pPr>
    </w:p>
    <w:p w14:paraId="7165FAEC" w14:textId="77777777" w:rsidR="00057B27" w:rsidRPr="007F7A39" w:rsidRDefault="00057B27" w:rsidP="00057B27">
      <w:pPr>
        <w:spacing w:line="240" w:lineRule="auto"/>
        <w:rPr>
          <w:noProof/>
          <w:szCs w:val="22"/>
        </w:rPr>
      </w:pPr>
    </w:p>
    <w:p w14:paraId="7165FAED" w14:textId="77777777" w:rsidR="00057B27" w:rsidRPr="007F7A39" w:rsidRDefault="00057B27" w:rsidP="00057B27">
      <w:pPr>
        <w:spacing w:line="240" w:lineRule="auto"/>
        <w:rPr>
          <w:noProof/>
          <w:szCs w:val="22"/>
        </w:rPr>
      </w:pPr>
    </w:p>
    <w:p w14:paraId="7165FAEE" w14:textId="77777777" w:rsidR="00057B27" w:rsidRPr="007F7A39" w:rsidRDefault="0092445A" w:rsidP="00057B27">
      <w:pPr>
        <w:spacing w:line="240" w:lineRule="auto"/>
        <w:jc w:val="center"/>
        <w:outlineLvl w:val="0"/>
        <w:rPr>
          <w:b/>
          <w:noProof/>
          <w:szCs w:val="22"/>
        </w:rPr>
      </w:pPr>
      <w:r w:rsidRPr="007F7A39">
        <w:rPr>
          <w:b/>
          <w:noProof/>
        </w:rPr>
        <w:t>ANHANG III</w:t>
      </w:r>
    </w:p>
    <w:p w14:paraId="7165FAEF" w14:textId="77777777" w:rsidR="00057B27" w:rsidRPr="007F7A39" w:rsidRDefault="00057B27" w:rsidP="00057B27">
      <w:pPr>
        <w:rPr>
          <w:noProof/>
        </w:rPr>
      </w:pPr>
    </w:p>
    <w:p w14:paraId="7165FAF0" w14:textId="77777777" w:rsidR="00057B27" w:rsidRPr="007F7A39" w:rsidRDefault="0092445A" w:rsidP="00057B27">
      <w:pPr>
        <w:spacing w:line="240" w:lineRule="auto"/>
        <w:jc w:val="center"/>
        <w:outlineLvl w:val="0"/>
        <w:rPr>
          <w:b/>
          <w:noProof/>
          <w:szCs w:val="22"/>
        </w:rPr>
      </w:pPr>
      <w:r w:rsidRPr="007F7A39">
        <w:rPr>
          <w:b/>
          <w:noProof/>
        </w:rPr>
        <w:t>ETIKETTIERUNG UND PACKUNGSBEILAGE</w:t>
      </w:r>
    </w:p>
    <w:p w14:paraId="7165FAF1" w14:textId="77777777" w:rsidR="00057B27" w:rsidRPr="007F7A39" w:rsidRDefault="0092445A" w:rsidP="00057B27">
      <w:pPr>
        <w:rPr>
          <w:noProof/>
        </w:rPr>
      </w:pPr>
      <w:r w:rsidRPr="007F7A39">
        <w:br w:type="page"/>
      </w:r>
    </w:p>
    <w:p w14:paraId="7165FAF2" w14:textId="77777777" w:rsidR="00057B27" w:rsidRPr="007F7A39" w:rsidRDefault="00057B27" w:rsidP="00057B27">
      <w:pPr>
        <w:rPr>
          <w:noProof/>
        </w:rPr>
      </w:pPr>
    </w:p>
    <w:p w14:paraId="7165FAF3" w14:textId="77777777" w:rsidR="00057B27" w:rsidRPr="007F7A39" w:rsidRDefault="00057B27" w:rsidP="00057B27">
      <w:pPr>
        <w:rPr>
          <w:noProof/>
        </w:rPr>
      </w:pPr>
    </w:p>
    <w:p w14:paraId="7165FAF4" w14:textId="77777777" w:rsidR="00057B27" w:rsidRPr="007F7A39" w:rsidRDefault="00057B27" w:rsidP="00057B27">
      <w:pPr>
        <w:rPr>
          <w:noProof/>
        </w:rPr>
      </w:pPr>
    </w:p>
    <w:p w14:paraId="7165FAF5" w14:textId="77777777" w:rsidR="00057B27" w:rsidRPr="007F7A39" w:rsidRDefault="00057B27" w:rsidP="00057B27">
      <w:pPr>
        <w:rPr>
          <w:noProof/>
        </w:rPr>
      </w:pPr>
    </w:p>
    <w:p w14:paraId="7165FAF6" w14:textId="77777777" w:rsidR="00057B27" w:rsidRPr="007F7A39" w:rsidRDefault="00057B27" w:rsidP="00057B27">
      <w:pPr>
        <w:rPr>
          <w:noProof/>
        </w:rPr>
      </w:pPr>
    </w:p>
    <w:p w14:paraId="7165FAF7" w14:textId="77777777" w:rsidR="00057B27" w:rsidRPr="007F7A39" w:rsidRDefault="00057B27" w:rsidP="00057B27">
      <w:pPr>
        <w:rPr>
          <w:noProof/>
        </w:rPr>
      </w:pPr>
    </w:p>
    <w:p w14:paraId="7165FAF8" w14:textId="77777777" w:rsidR="00057B27" w:rsidRPr="007F7A39" w:rsidRDefault="00057B27" w:rsidP="00057B27">
      <w:pPr>
        <w:rPr>
          <w:noProof/>
        </w:rPr>
      </w:pPr>
    </w:p>
    <w:p w14:paraId="7165FAF9" w14:textId="77777777" w:rsidR="00057B27" w:rsidRPr="007F7A39" w:rsidRDefault="00057B27" w:rsidP="00057B27">
      <w:pPr>
        <w:rPr>
          <w:noProof/>
        </w:rPr>
      </w:pPr>
    </w:p>
    <w:p w14:paraId="7165FAFA" w14:textId="77777777" w:rsidR="00057B27" w:rsidRPr="007F7A39" w:rsidRDefault="00057B27" w:rsidP="00057B27">
      <w:pPr>
        <w:rPr>
          <w:noProof/>
        </w:rPr>
      </w:pPr>
    </w:p>
    <w:p w14:paraId="7165FAFB" w14:textId="77777777" w:rsidR="00057B27" w:rsidRPr="007F7A39" w:rsidRDefault="00057B27" w:rsidP="00057B27">
      <w:pPr>
        <w:rPr>
          <w:noProof/>
        </w:rPr>
      </w:pPr>
    </w:p>
    <w:p w14:paraId="7165FAFC" w14:textId="77777777" w:rsidR="00057B27" w:rsidRPr="007F7A39" w:rsidRDefault="00057B27" w:rsidP="00057B27">
      <w:pPr>
        <w:rPr>
          <w:noProof/>
        </w:rPr>
      </w:pPr>
    </w:p>
    <w:p w14:paraId="7165FAFD" w14:textId="77777777" w:rsidR="00057B27" w:rsidRPr="007F7A39" w:rsidRDefault="00057B27" w:rsidP="00057B27">
      <w:pPr>
        <w:rPr>
          <w:noProof/>
        </w:rPr>
      </w:pPr>
    </w:p>
    <w:p w14:paraId="7165FAFE" w14:textId="77777777" w:rsidR="00057B27" w:rsidRPr="007F7A39" w:rsidRDefault="00057B27" w:rsidP="00057B27">
      <w:pPr>
        <w:rPr>
          <w:noProof/>
        </w:rPr>
      </w:pPr>
    </w:p>
    <w:p w14:paraId="7165FAFF" w14:textId="77777777" w:rsidR="00057B27" w:rsidRPr="007F7A39" w:rsidRDefault="00057B27" w:rsidP="00057B27">
      <w:pPr>
        <w:rPr>
          <w:noProof/>
        </w:rPr>
      </w:pPr>
    </w:p>
    <w:p w14:paraId="7165FB00" w14:textId="77777777" w:rsidR="00057B27" w:rsidRPr="007F7A39" w:rsidRDefault="00057B27" w:rsidP="00057B27">
      <w:pPr>
        <w:rPr>
          <w:noProof/>
        </w:rPr>
      </w:pPr>
    </w:p>
    <w:p w14:paraId="7165FB01" w14:textId="77777777" w:rsidR="00057B27" w:rsidRPr="007F7A39" w:rsidRDefault="00057B27" w:rsidP="00057B27">
      <w:pPr>
        <w:rPr>
          <w:noProof/>
        </w:rPr>
      </w:pPr>
    </w:p>
    <w:p w14:paraId="7165FB02" w14:textId="77777777" w:rsidR="00057B27" w:rsidRPr="007F7A39" w:rsidRDefault="00057B27" w:rsidP="00057B27">
      <w:pPr>
        <w:rPr>
          <w:noProof/>
        </w:rPr>
      </w:pPr>
    </w:p>
    <w:p w14:paraId="7165FB03" w14:textId="77777777" w:rsidR="00057B27" w:rsidRPr="007F7A39" w:rsidRDefault="00057B27" w:rsidP="00057B27">
      <w:pPr>
        <w:rPr>
          <w:noProof/>
        </w:rPr>
      </w:pPr>
    </w:p>
    <w:p w14:paraId="7165FB04" w14:textId="77777777" w:rsidR="00057B27" w:rsidRPr="007F7A39" w:rsidRDefault="00057B27" w:rsidP="00057B27">
      <w:pPr>
        <w:rPr>
          <w:noProof/>
        </w:rPr>
      </w:pPr>
    </w:p>
    <w:p w14:paraId="7165FB05" w14:textId="77777777" w:rsidR="00057B27" w:rsidRPr="007F7A39" w:rsidRDefault="00057B27" w:rsidP="00057B27">
      <w:pPr>
        <w:rPr>
          <w:noProof/>
        </w:rPr>
      </w:pPr>
    </w:p>
    <w:p w14:paraId="7165FB06" w14:textId="77777777" w:rsidR="00057B27" w:rsidRPr="007F7A39" w:rsidRDefault="00057B27" w:rsidP="00057B27">
      <w:pPr>
        <w:rPr>
          <w:noProof/>
        </w:rPr>
      </w:pPr>
    </w:p>
    <w:p w14:paraId="7165FB07" w14:textId="77777777" w:rsidR="00057B27" w:rsidRPr="007F7A39" w:rsidRDefault="00057B27" w:rsidP="00057B27">
      <w:pPr>
        <w:rPr>
          <w:noProof/>
        </w:rPr>
      </w:pPr>
    </w:p>
    <w:p w14:paraId="7165FB08" w14:textId="77777777" w:rsidR="00057B27" w:rsidRPr="007F7A39" w:rsidRDefault="0092445A" w:rsidP="00057B27">
      <w:pPr>
        <w:pStyle w:val="ListParagraph"/>
        <w:numPr>
          <w:ilvl w:val="0"/>
          <w:numId w:val="31"/>
        </w:numPr>
        <w:spacing w:line="240" w:lineRule="auto"/>
        <w:ind w:left="357" w:hanging="357"/>
        <w:jc w:val="center"/>
        <w:outlineLvl w:val="0"/>
        <w:rPr>
          <w:noProof/>
          <w:szCs w:val="22"/>
        </w:rPr>
      </w:pPr>
      <w:r w:rsidRPr="007F7A39">
        <w:rPr>
          <w:b/>
          <w:noProof/>
        </w:rPr>
        <w:t>ETIKETTIERUNG</w:t>
      </w:r>
    </w:p>
    <w:p w14:paraId="7165FB09" w14:textId="77777777" w:rsidR="00057B27" w:rsidRPr="007F7A39" w:rsidRDefault="0092445A" w:rsidP="00057B27">
      <w:pPr>
        <w:shd w:val="clear" w:color="auto" w:fill="FFFFFF"/>
        <w:spacing w:line="240" w:lineRule="auto"/>
        <w:rPr>
          <w:noProof/>
          <w:szCs w:val="22"/>
        </w:rPr>
      </w:pPr>
      <w:r w:rsidRPr="007F7A39">
        <w:br w:type="page"/>
      </w:r>
    </w:p>
    <w:p w14:paraId="7165FB0A" w14:textId="77777777" w:rsidR="00057B27" w:rsidRPr="007F7A39" w:rsidRDefault="0092445A" w:rsidP="00057B27">
      <w:pPr>
        <w:pBdr>
          <w:top w:val="single" w:sz="4" w:space="0" w:color="auto"/>
          <w:left w:val="single" w:sz="4" w:space="4" w:color="auto"/>
          <w:bottom w:val="single" w:sz="4" w:space="1" w:color="auto"/>
          <w:right w:val="single" w:sz="4" w:space="4" w:color="auto"/>
        </w:pBdr>
        <w:spacing w:line="240" w:lineRule="auto"/>
        <w:rPr>
          <w:b/>
          <w:noProof/>
          <w:szCs w:val="22"/>
        </w:rPr>
      </w:pPr>
      <w:r w:rsidRPr="007F7A39">
        <w:rPr>
          <w:b/>
          <w:noProof/>
        </w:rPr>
        <w:lastRenderedPageBreak/>
        <w:t>ANGABEN AUF DER ÄUSSEREN UMHÜLLUNG</w:t>
      </w:r>
    </w:p>
    <w:p w14:paraId="7165FB0B" w14:textId="77777777" w:rsidR="00057B27" w:rsidRPr="007F7A39" w:rsidRDefault="00057B27" w:rsidP="00057B27">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7165FB0C" w14:textId="77777777" w:rsidR="00057B27" w:rsidRPr="007F7A39" w:rsidRDefault="0092445A" w:rsidP="00057B27">
      <w:pPr>
        <w:pBdr>
          <w:top w:val="single" w:sz="4" w:space="0" w:color="auto"/>
          <w:left w:val="single" w:sz="4" w:space="4" w:color="auto"/>
          <w:bottom w:val="single" w:sz="4" w:space="1" w:color="auto"/>
          <w:right w:val="single" w:sz="4" w:space="4" w:color="auto"/>
        </w:pBdr>
        <w:spacing w:line="240" w:lineRule="auto"/>
        <w:rPr>
          <w:bCs/>
          <w:noProof/>
          <w:szCs w:val="22"/>
        </w:rPr>
      </w:pPr>
      <w:r w:rsidRPr="007F7A39">
        <w:rPr>
          <w:b/>
          <w:noProof/>
        </w:rPr>
        <w:t>UMKARTON</w:t>
      </w:r>
    </w:p>
    <w:p w14:paraId="7165FB0D" w14:textId="77777777" w:rsidR="00057B27" w:rsidRPr="007F7A39" w:rsidRDefault="00057B27" w:rsidP="00057B27">
      <w:pPr>
        <w:spacing w:line="240" w:lineRule="auto"/>
      </w:pPr>
    </w:p>
    <w:p w14:paraId="7165FB0E" w14:textId="77777777" w:rsidR="00057B27" w:rsidRPr="007F7A39" w:rsidRDefault="00057B27" w:rsidP="00057B27">
      <w:pPr>
        <w:spacing w:line="240" w:lineRule="auto"/>
        <w:rPr>
          <w:noProof/>
          <w:szCs w:val="22"/>
        </w:rPr>
      </w:pPr>
    </w:p>
    <w:p w14:paraId="7165FB0F"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7F7A39">
        <w:rPr>
          <w:b/>
        </w:rPr>
        <w:t>BEZEICHNUNG DES ARZNEIMITTELS</w:t>
      </w:r>
    </w:p>
    <w:p w14:paraId="7165FB10" w14:textId="77777777" w:rsidR="00057B27" w:rsidRPr="007F7A39" w:rsidRDefault="00057B27" w:rsidP="00057B27">
      <w:pPr>
        <w:spacing w:line="240" w:lineRule="auto"/>
        <w:rPr>
          <w:noProof/>
          <w:szCs w:val="22"/>
        </w:rPr>
      </w:pPr>
    </w:p>
    <w:p w14:paraId="7165FB11" w14:textId="46C5AB13" w:rsidR="00057B27" w:rsidRPr="007F7A39" w:rsidRDefault="0092445A" w:rsidP="00057B27">
      <w:pPr>
        <w:rPr>
          <w:noProof/>
          <w:szCs w:val="22"/>
        </w:rPr>
      </w:pPr>
      <w:r w:rsidRPr="007F7A39">
        <w:t xml:space="preserve">Cuprior 150 mg </w:t>
      </w:r>
      <w:r w:rsidR="00263D74" w:rsidRPr="007F7A39">
        <w:t>Filmt</w:t>
      </w:r>
      <w:r w:rsidRPr="007F7A39">
        <w:t xml:space="preserve">abletten </w:t>
      </w:r>
    </w:p>
    <w:p w14:paraId="7165FB12" w14:textId="77777777" w:rsidR="00057B27" w:rsidRPr="007F7A39" w:rsidRDefault="0092445A" w:rsidP="00057B27">
      <w:pPr>
        <w:spacing w:line="240" w:lineRule="auto"/>
        <w:rPr>
          <w:b/>
          <w:szCs w:val="22"/>
        </w:rPr>
      </w:pPr>
      <w:r w:rsidRPr="007F7A39">
        <w:t>Trientin</w:t>
      </w:r>
      <w:r w:rsidRPr="007F7A39">
        <w:rPr>
          <w:b/>
        </w:rPr>
        <w:t xml:space="preserve"> </w:t>
      </w:r>
    </w:p>
    <w:p w14:paraId="7165FB13" w14:textId="77777777" w:rsidR="00057B27" w:rsidRPr="007F7A39" w:rsidRDefault="00057B27" w:rsidP="00057B27">
      <w:pPr>
        <w:spacing w:line="240" w:lineRule="auto"/>
        <w:rPr>
          <w:noProof/>
          <w:szCs w:val="22"/>
        </w:rPr>
      </w:pPr>
    </w:p>
    <w:p w14:paraId="7165FB14" w14:textId="77777777" w:rsidR="00057B27" w:rsidRPr="007F7A39" w:rsidRDefault="00057B27" w:rsidP="00057B27">
      <w:pPr>
        <w:spacing w:line="240" w:lineRule="auto"/>
        <w:rPr>
          <w:noProof/>
          <w:szCs w:val="22"/>
        </w:rPr>
      </w:pPr>
    </w:p>
    <w:p w14:paraId="7165FB15"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WIRKSTOFF(E)</w:t>
      </w:r>
    </w:p>
    <w:p w14:paraId="7165FB16" w14:textId="77777777" w:rsidR="00057B27" w:rsidRPr="007F7A39" w:rsidRDefault="00057B27" w:rsidP="00057B27">
      <w:pPr>
        <w:spacing w:line="240" w:lineRule="auto"/>
        <w:rPr>
          <w:noProof/>
          <w:szCs w:val="22"/>
        </w:rPr>
      </w:pPr>
    </w:p>
    <w:p w14:paraId="7165FB17" w14:textId="2840D437" w:rsidR="00057B27" w:rsidRPr="007F7A39" w:rsidRDefault="0092445A" w:rsidP="00057B27">
      <w:r w:rsidRPr="007F7A39">
        <w:t xml:space="preserve">Jede </w:t>
      </w:r>
      <w:r w:rsidR="00263D74" w:rsidRPr="007F7A39">
        <w:t>Filmt</w:t>
      </w:r>
      <w:r w:rsidRPr="007F7A39">
        <w:t>ablette enthält Trientintetrahydrochlorid, entsprechend 150 mg Trientin.</w:t>
      </w:r>
    </w:p>
    <w:p w14:paraId="7165FB18" w14:textId="77777777" w:rsidR="00057B27" w:rsidRPr="007F7A39" w:rsidRDefault="00057B27" w:rsidP="00057B27">
      <w:pPr>
        <w:spacing w:line="240" w:lineRule="auto"/>
        <w:rPr>
          <w:noProof/>
          <w:szCs w:val="22"/>
        </w:rPr>
      </w:pPr>
    </w:p>
    <w:p w14:paraId="7165FB19" w14:textId="77777777" w:rsidR="00057B27" w:rsidRPr="007F7A39" w:rsidRDefault="00057B27" w:rsidP="00057B27">
      <w:pPr>
        <w:spacing w:line="240" w:lineRule="auto"/>
        <w:rPr>
          <w:noProof/>
          <w:szCs w:val="22"/>
        </w:rPr>
      </w:pPr>
    </w:p>
    <w:p w14:paraId="7165FB1A"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SONSTIGE BESTANDTEILE</w:t>
      </w:r>
    </w:p>
    <w:p w14:paraId="7165FB1B" w14:textId="77777777" w:rsidR="00057B27" w:rsidRPr="007F7A39" w:rsidRDefault="00057B27" w:rsidP="00057B27">
      <w:pPr>
        <w:spacing w:line="240" w:lineRule="auto"/>
        <w:rPr>
          <w:noProof/>
          <w:szCs w:val="22"/>
        </w:rPr>
      </w:pPr>
    </w:p>
    <w:p w14:paraId="7165FB1C" w14:textId="77777777" w:rsidR="00057B27" w:rsidRPr="007F7A39" w:rsidRDefault="00057B27" w:rsidP="00057B27">
      <w:pPr>
        <w:spacing w:line="240" w:lineRule="auto"/>
        <w:rPr>
          <w:noProof/>
          <w:szCs w:val="22"/>
        </w:rPr>
      </w:pPr>
    </w:p>
    <w:p w14:paraId="7165FB1D"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DARREICHUNGSFORM UND INHALT</w:t>
      </w:r>
    </w:p>
    <w:p w14:paraId="7165FB1E" w14:textId="77777777" w:rsidR="00057B27" w:rsidRPr="007F7A39" w:rsidRDefault="00057B27" w:rsidP="00057B27">
      <w:pPr>
        <w:rPr>
          <w:noProof/>
          <w:szCs w:val="22"/>
        </w:rPr>
      </w:pPr>
    </w:p>
    <w:p w14:paraId="7165FB1F" w14:textId="5A1A136D" w:rsidR="00057B27" w:rsidRPr="007F7A39" w:rsidRDefault="0092445A" w:rsidP="00057B27">
      <w:pPr>
        <w:rPr>
          <w:noProof/>
          <w:szCs w:val="22"/>
        </w:rPr>
      </w:pPr>
      <w:r w:rsidRPr="007F7A39">
        <w:rPr>
          <w:noProof/>
          <w:highlight w:val="lightGray"/>
        </w:rPr>
        <w:t>Filmt</w:t>
      </w:r>
      <w:r w:rsidR="00F45D4A" w:rsidRPr="007F7A39">
        <w:rPr>
          <w:noProof/>
          <w:highlight w:val="lightGray"/>
        </w:rPr>
        <w:t>ablette</w:t>
      </w:r>
    </w:p>
    <w:p w14:paraId="7165FB20" w14:textId="505C4FE0" w:rsidR="00057B27" w:rsidRPr="007F7A39" w:rsidRDefault="0092445A" w:rsidP="00057B27">
      <w:r w:rsidRPr="007F7A39">
        <w:t>72 </w:t>
      </w:r>
      <w:r w:rsidR="00263D74" w:rsidRPr="007F7A39">
        <w:t>Filmt</w:t>
      </w:r>
      <w:r w:rsidRPr="007F7A39">
        <w:t>abletten</w:t>
      </w:r>
    </w:p>
    <w:p w14:paraId="400C7737" w14:textId="77777777" w:rsidR="001C4824" w:rsidRPr="007F7A39" w:rsidRDefault="0092445A" w:rsidP="00D72FAA">
      <w:r w:rsidRPr="007F7A39">
        <w:t>96 Filmtabletten</w:t>
      </w:r>
    </w:p>
    <w:p w14:paraId="7165FB21" w14:textId="77777777" w:rsidR="00057B27" w:rsidRPr="007F7A39" w:rsidRDefault="00057B27" w:rsidP="00057B27">
      <w:pPr>
        <w:spacing w:line="240" w:lineRule="auto"/>
        <w:rPr>
          <w:noProof/>
          <w:szCs w:val="22"/>
        </w:rPr>
      </w:pPr>
    </w:p>
    <w:p w14:paraId="7165FB22" w14:textId="77777777" w:rsidR="00057B27" w:rsidRPr="007F7A39" w:rsidRDefault="00057B27" w:rsidP="00057B27">
      <w:pPr>
        <w:spacing w:line="240" w:lineRule="auto"/>
        <w:rPr>
          <w:noProof/>
          <w:szCs w:val="22"/>
        </w:rPr>
      </w:pPr>
    </w:p>
    <w:p w14:paraId="7165FB23"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HINWEISE ZUR UND ART(EN) DER ANWENDUNG</w:t>
      </w:r>
    </w:p>
    <w:p w14:paraId="7165FB24" w14:textId="77777777" w:rsidR="00057B27" w:rsidRPr="007F7A39" w:rsidRDefault="00057B27" w:rsidP="00057B27">
      <w:pPr>
        <w:spacing w:line="240" w:lineRule="auto"/>
        <w:rPr>
          <w:noProof/>
          <w:szCs w:val="22"/>
        </w:rPr>
      </w:pPr>
    </w:p>
    <w:p w14:paraId="7165FB25" w14:textId="77777777" w:rsidR="00057B27" w:rsidRPr="007F7A39" w:rsidRDefault="0092445A" w:rsidP="00057B27">
      <w:pPr>
        <w:rPr>
          <w:noProof/>
          <w:szCs w:val="22"/>
        </w:rPr>
      </w:pPr>
      <w:r w:rsidRPr="007F7A39">
        <w:t>Packungsbeilage beachten.</w:t>
      </w:r>
    </w:p>
    <w:p w14:paraId="7165FB26" w14:textId="77777777" w:rsidR="00057B27" w:rsidRPr="007F7A39" w:rsidRDefault="0092445A" w:rsidP="00057B27">
      <w:r w:rsidRPr="007F7A39">
        <w:t>Packungsbeilage online unter</w:t>
      </w:r>
      <w:r w:rsidRPr="007F7A39">
        <w:rPr>
          <w:i/>
          <w:noProof/>
        </w:rPr>
        <w:t xml:space="preserve"> </w:t>
      </w:r>
      <w:r w:rsidRPr="007F7A39">
        <w:rPr>
          <w:i/>
          <w:noProof/>
          <w:highlight w:val="lightGray"/>
        </w:rPr>
        <w:t>QR-Code ist anzugeben</w:t>
      </w:r>
      <w:r w:rsidRPr="007F7A39">
        <w:rPr>
          <w:i/>
          <w:noProof/>
        </w:rPr>
        <w:t xml:space="preserve"> </w:t>
      </w:r>
      <w:hyperlink r:id="rId13" w:history="1">
        <w:r w:rsidRPr="007F7A39">
          <w:rPr>
            <w:rStyle w:val="Hyperlink"/>
          </w:rPr>
          <w:t>http://www.cuprior.com</w:t>
        </w:r>
      </w:hyperlink>
    </w:p>
    <w:p w14:paraId="7165FB27" w14:textId="77777777" w:rsidR="00057B27" w:rsidRPr="007F7A39" w:rsidRDefault="00057B27" w:rsidP="00057B27">
      <w:pPr>
        <w:spacing w:line="240" w:lineRule="auto"/>
        <w:rPr>
          <w:noProof/>
          <w:szCs w:val="22"/>
        </w:rPr>
      </w:pPr>
    </w:p>
    <w:p w14:paraId="7165FB28" w14:textId="77777777" w:rsidR="00057B27" w:rsidRPr="007F7A39" w:rsidRDefault="0092445A" w:rsidP="00057B27">
      <w:pPr>
        <w:rPr>
          <w:noProof/>
          <w:szCs w:val="22"/>
        </w:rPr>
      </w:pPr>
      <w:r w:rsidRPr="007F7A39">
        <w:t>Zum Einnehmen.</w:t>
      </w:r>
    </w:p>
    <w:p w14:paraId="7165FB29" w14:textId="77777777" w:rsidR="00057B27" w:rsidRPr="007F7A39" w:rsidRDefault="00057B27" w:rsidP="00057B27">
      <w:pPr>
        <w:spacing w:line="240" w:lineRule="auto"/>
        <w:rPr>
          <w:noProof/>
          <w:szCs w:val="22"/>
        </w:rPr>
      </w:pPr>
    </w:p>
    <w:p w14:paraId="7165FB2A" w14:textId="77777777" w:rsidR="00057B27" w:rsidRPr="007F7A39" w:rsidRDefault="00057B27" w:rsidP="00057B27">
      <w:pPr>
        <w:spacing w:line="240" w:lineRule="auto"/>
        <w:rPr>
          <w:noProof/>
          <w:szCs w:val="22"/>
        </w:rPr>
      </w:pPr>
    </w:p>
    <w:p w14:paraId="7165FB2B"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WARNHINWEIS, DASS DAS ARZNEIMITTEL FÜR KINDER UNZUGÄNGLICH AUFZUBEWAHREN IST</w:t>
      </w:r>
    </w:p>
    <w:p w14:paraId="7165FB2C" w14:textId="77777777" w:rsidR="00057B27" w:rsidRPr="007F7A39" w:rsidRDefault="00057B27" w:rsidP="00057B27">
      <w:pPr>
        <w:spacing w:line="240" w:lineRule="auto"/>
        <w:rPr>
          <w:noProof/>
          <w:szCs w:val="22"/>
        </w:rPr>
      </w:pPr>
    </w:p>
    <w:p w14:paraId="7165FB2D" w14:textId="77777777" w:rsidR="00057B27" w:rsidRPr="007F7A39" w:rsidRDefault="0092445A" w:rsidP="00057B27">
      <w:pPr>
        <w:tabs>
          <w:tab w:val="left" w:pos="749"/>
        </w:tabs>
        <w:spacing w:line="240" w:lineRule="auto"/>
        <w:rPr>
          <w:noProof/>
          <w:szCs w:val="22"/>
        </w:rPr>
      </w:pPr>
      <w:r w:rsidRPr="007F7A39">
        <w:t>Arzneimittel für Kinder unzugänglich aufbewahren.</w:t>
      </w:r>
    </w:p>
    <w:p w14:paraId="7165FB2E" w14:textId="77777777" w:rsidR="00057B27" w:rsidRPr="007F7A39" w:rsidRDefault="00057B27" w:rsidP="00057B27">
      <w:pPr>
        <w:spacing w:line="240" w:lineRule="auto"/>
        <w:rPr>
          <w:noProof/>
          <w:szCs w:val="22"/>
        </w:rPr>
      </w:pPr>
    </w:p>
    <w:p w14:paraId="7165FB2F" w14:textId="77777777" w:rsidR="00057B27" w:rsidRPr="007F7A39" w:rsidRDefault="00057B27" w:rsidP="00057B27">
      <w:pPr>
        <w:spacing w:line="240" w:lineRule="auto"/>
        <w:rPr>
          <w:noProof/>
          <w:szCs w:val="22"/>
        </w:rPr>
      </w:pPr>
    </w:p>
    <w:p w14:paraId="7165FB30"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WEITERE WARNHINWEISE, FALLS ERFORDERLICH</w:t>
      </w:r>
    </w:p>
    <w:p w14:paraId="7165FB31" w14:textId="77777777" w:rsidR="00057B27" w:rsidRPr="007F7A39" w:rsidRDefault="00057B27" w:rsidP="00057B27">
      <w:pPr>
        <w:spacing w:line="240" w:lineRule="auto"/>
        <w:rPr>
          <w:noProof/>
          <w:szCs w:val="22"/>
        </w:rPr>
      </w:pPr>
    </w:p>
    <w:p w14:paraId="7165FB32" w14:textId="77777777" w:rsidR="00057B27" w:rsidRPr="007F7A39" w:rsidRDefault="0092445A" w:rsidP="00057B27">
      <w:pPr>
        <w:tabs>
          <w:tab w:val="left" w:pos="749"/>
        </w:tabs>
        <w:spacing w:line="240" w:lineRule="auto"/>
        <w:rPr>
          <w:szCs w:val="22"/>
        </w:rPr>
      </w:pPr>
      <w:r w:rsidRPr="007F7A39">
        <w:t>Auf nüchternen Magen einnehmen, mindestens eine Stunde vor den Mahlzeiten oder zwei Stunden nach den Mahlzeiten und mit mindestens einer Stunde Abstand zu allen a</w:t>
      </w:r>
      <w:r w:rsidRPr="007F7A39">
        <w:t>nderen Arzneimitteln, Nahrungsmitteln oder Milch.</w:t>
      </w:r>
    </w:p>
    <w:p w14:paraId="7165FB33" w14:textId="77777777" w:rsidR="00057B27" w:rsidRPr="007F7A39" w:rsidRDefault="00057B27" w:rsidP="00057B27">
      <w:pPr>
        <w:tabs>
          <w:tab w:val="left" w:pos="749"/>
        </w:tabs>
        <w:spacing w:line="240" w:lineRule="auto"/>
      </w:pPr>
    </w:p>
    <w:p w14:paraId="7165FB34" w14:textId="77777777" w:rsidR="00057B27" w:rsidRPr="007F7A39" w:rsidRDefault="00057B27" w:rsidP="00057B27">
      <w:pPr>
        <w:tabs>
          <w:tab w:val="left" w:pos="749"/>
        </w:tabs>
        <w:spacing w:line="240" w:lineRule="auto"/>
      </w:pPr>
    </w:p>
    <w:p w14:paraId="7165FB35"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VERFALLDATUM</w:t>
      </w:r>
    </w:p>
    <w:p w14:paraId="7165FB36" w14:textId="77777777" w:rsidR="00057B27" w:rsidRPr="007F7A39" w:rsidRDefault="00057B27" w:rsidP="00057B27">
      <w:pPr>
        <w:spacing w:line="240" w:lineRule="auto"/>
      </w:pPr>
    </w:p>
    <w:p w14:paraId="7165FB37" w14:textId="77BE1B00" w:rsidR="00057B27" w:rsidRPr="007F7A39" w:rsidRDefault="0092445A" w:rsidP="00057B27">
      <w:pPr>
        <w:spacing w:line="240" w:lineRule="auto"/>
        <w:rPr>
          <w:noProof/>
          <w:szCs w:val="22"/>
        </w:rPr>
      </w:pPr>
      <w:r w:rsidRPr="007F7A39">
        <w:t>v</w:t>
      </w:r>
      <w:r w:rsidR="00F45D4A" w:rsidRPr="007F7A39">
        <w:t>erwendbar bis</w:t>
      </w:r>
    </w:p>
    <w:p w14:paraId="7165FB38" w14:textId="77777777" w:rsidR="00057B27" w:rsidRPr="007F7A39" w:rsidRDefault="00057B27" w:rsidP="00057B27">
      <w:pPr>
        <w:spacing w:line="240" w:lineRule="auto"/>
        <w:rPr>
          <w:noProof/>
          <w:szCs w:val="22"/>
        </w:rPr>
      </w:pPr>
    </w:p>
    <w:p w14:paraId="7165FB39" w14:textId="77777777" w:rsidR="00057B27" w:rsidRPr="007F7A39" w:rsidRDefault="00057B27" w:rsidP="00057B27">
      <w:pPr>
        <w:spacing w:line="240" w:lineRule="auto"/>
        <w:rPr>
          <w:noProof/>
          <w:szCs w:val="22"/>
        </w:rPr>
      </w:pPr>
    </w:p>
    <w:p w14:paraId="7165FB3A"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BESONDERE VORSICHTSMASSNAHMEN FÜR DIE AUFBEWAHRUNG</w:t>
      </w:r>
    </w:p>
    <w:p w14:paraId="7165FB3B" w14:textId="77777777" w:rsidR="00057B27" w:rsidRPr="007F7A39" w:rsidRDefault="00057B27" w:rsidP="00057B27">
      <w:pPr>
        <w:spacing w:line="240" w:lineRule="auto"/>
        <w:rPr>
          <w:noProof/>
          <w:szCs w:val="22"/>
        </w:rPr>
      </w:pPr>
    </w:p>
    <w:p w14:paraId="7165FB3C" w14:textId="77777777" w:rsidR="00057B27" w:rsidRPr="007F7A39" w:rsidRDefault="00057B27" w:rsidP="00057B27">
      <w:pPr>
        <w:spacing w:line="240" w:lineRule="auto"/>
        <w:ind w:left="567" w:hanging="567"/>
        <w:rPr>
          <w:noProof/>
          <w:szCs w:val="22"/>
        </w:rPr>
      </w:pPr>
    </w:p>
    <w:p w14:paraId="7165FB3D"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lastRenderedPageBreak/>
        <w:t xml:space="preserve">GEGEBENENFALLS BESONDERE VORSICHTSMASSNAHMEN FÜR DIE BESEITIGUNG VON NICHT VERWENDETEM ARZNEIMITTEL ODER DAVON </w:t>
      </w:r>
      <w:r w:rsidRPr="007F7A39">
        <w:rPr>
          <w:b/>
        </w:rPr>
        <w:t>STAMMENDEN ABFALLMATERIALIEN</w:t>
      </w:r>
    </w:p>
    <w:p w14:paraId="7165FB3E" w14:textId="77777777" w:rsidR="00057B27" w:rsidRPr="007F7A39" w:rsidRDefault="00057B27" w:rsidP="00057B27">
      <w:pPr>
        <w:spacing w:line="240" w:lineRule="auto"/>
        <w:rPr>
          <w:noProof/>
          <w:szCs w:val="22"/>
        </w:rPr>
      </w:pPr>
    </w:p>
    <w:p w14:paraId="7165FB3F" w14:textId="77777777" w:rsidR="00057B27" w:rsidRPr="007F7A39" w:rsidRDefault="00057B27" w:rsidP="00057B27">
      <w:pPr>
        <w:spacing w:line="240" w:lineRule="auto"/>
        <w:rPr>
          <w:noProof/>
          <w:szCs w:val="22"/>
        </w:rPr>
      </w:pPr>
    </w:p>
    <w:p w14:paraId="7165FB40"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NAME UND ANSCHRIFT DES PHARMAZEUTISCHEN UNTERNEHMERS</w:t>
      </w:r>
    </w:p>
    <w:p w14:paraId="7165FB41" w14:textId="77777777" w:rsidR="00057B27" w:rsidRPr="007F7A39" w:rsidRDefault="00057B27" w:rsidP="00057B27">
      <w:pPr>
        <w:spacing w:line="240" w:lineRule="auto"/>
        <w:rPr>
          <w:noProof/>
          <w:szCs w:val="22"/>
        </w:rPr>
      </w:pPr>
    </w:p>
    <w:p w14:paraId="7165FB42" w14:textId="688A89A9" w:rsidR="00057B27" w:rsidRPr="007F7A39" w:rsidRDefault="00154099" w:rsidP="00057B27">
      <w:pPr>
        <w:rPr>
          <w:szCs w:val="22"/>
          <w:lang w:val="fr-LU"/>
        </w:rPr>
      </w:pPr>
      <w:proofErr w:type="spellStart"/>
      <w:r>
        <w:rPr>
          <w:lang w:val="fr-LU"/>
        </w:rPr>
        <w:t>Orphalan</w:t>
      </w:r>
      <w:proofErr w:type="spellEnd"/>
    </w:p>
    <w:p w14:paraId="3E1B7D09" w14:textId="77777777" w:rsidR="00082C33" w:rsidRPr="002503BA" w:rsidRDefault="0092445A" w:rsidP="00082C33">
      <w:pPr>
        <w:rPr>
          <w:szCs w:val="22"/>
          <w:lang w:val="fr-FR"/>
        </w:rPr>
      </w:pPr>
      <w:r w:rsidRPr="002503BA">
        <w:rPr>
          <w:szCs w:val="22"/>
          <w:lang w:val="fr-FR"/>
        </w:rPr>
        <w:t>226 Boulevard Voltaire</w:t>
      </w:r>
    </w:p>
    <w:p w14:paraId="7165FB45" w14:textId="1971A9C5" w:rsidR="00057B27" w:rsidRPr="007F7A39" w:rsidRDefault="0092445A" w:rsidP="00057B27">
      <w:pPr>
        <w:rPr>
          <w:szCs w:val="22"/>
          <w:lang w:val="fr-LU"/>
        </w:rPr>
      </w:pPr>
      <w:r w:rsidRPr="007F7A39">
        <w:rPr>
          <w:lang w:val="fr-LU"/>
        </w:rPr>
        <w:t>7501</w:t>
      </w:r>
      <w:r>
        <w:rPr>
          <w:lang w:val="fr-LU"/>
        </w:rPr>
        <w:t>1</w:t>
      </w:r>
      <w:r w:rsidRPr="007F7A39">
        <w:rPr>
          <w:lang w:val="fr-LU"/>
        </w:rPr>
        <w:t xml:space="preserve"> </w:t>
      </w:r>
      <w:r w:rsidR="00F45D4A" w:rsidRPr="007F7A39">
        <w:rPr>
          <w:lang w:val="fr-LU"/>
        </w:rPr>
        <w:t>Paris, Frankreich</w:t>
      </w:r>
      <w:r w:rsidR="00F45D4A" w:rsidRPr="007F7A39">
        <w:rPr>
          <w:i/>
          <w:noProof/>
          <w:lang w:val="fr-LU"/>
        </w:rPr>
        <w:t xml:space="preserve"> </w:t>
      </w:r>
    </w:p>
    <w:p w14:paraId="7165FB46" w14:textId="77777777" w:rsidR="00057B27" w:rsidRPr="007F7A39" w:rsidRDefault="00057B27" w:rsidP="00057B27">
      <w:pPr>
        <w:spacing w:line="240" w:lineRule="auto"/>
        <w:rPr>
          <w:noProof/>
          <w:szCs w:val="22"/>
          <w:lang w:val="fr-LU"/>
        </w:rPr>
      </w:pPr>
    </w:p>
    <w:p w14:paraId="7165FB47" w14:textId="77777777" w:rsidR="00057B27" w:rsidRPr="007F7A39" w:rsidRDefault="00057B27" w:rsidP="00057B27">
      <w:pPr>
        <w:spacing w:line="240" w:lineRule="auto"/>
        <w:rPr>
          <w:noProof/>
          <w:szCs w:val="22"/>
          <w:lang w:val="fr-LU"/>
        </w:rPr>
      </w:pPr>
    </w:p>
    <w:p w14:paraId="7165FB48"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 xml:space="preserve">ZULASSUNGSNUMMER(N) </w:t>
      </w:r>
    </w:p>
    <w:p w14:paraId="7165FB49" w14:textId="77777777" w:rsidR="00057B27" w:rsidRPr="007F7A39" w:rsidRDefault="00057B27" w:rsidP="00057B27">
      <w:pPr>
        <w:spacing w:line="240" w:lineRule="auto"/>
        <w:rPr>
          <w:noProof/>
          <w:szCs w:val="22"/>
        </w:rPr>
      </w:pPr>
    </w:p>
    <w:p w14:paraId="34193C2E" w14:textId="77777777" w:rsidR="001C4824" w:rsidRPr="007F7A39" w:rsidRDefault="0092445A" w:rsidP="00D72FAA">
      <w:r w:rsidRPr="007F7A39">
        <w:rPr>
          <w:color w:val="000000"/>
        </w:rPr>
        <w:t xml:space="preserve">EU/1/17/1199/001 </w:t>
      </w:r>
      <w:r w:rsidRPr="007F7A39">
        <w:t>72 Filmtabletten</w:t>
      </w:r>
    </w:p>
    <w:p w14:paraId="7165FB4A" w14:textId="47267FE9" w:rsidR="00F45D4A" w:rsidRPr="007F7A39" w:rsidRDefault="0092445A" w:rsidP="001C4824">
      <w:pPr>
        <w:spacing w:line="240" w:lineRule="auto"/>
        <w:rPr>
          <w:color w:val="000000"/>
        </w:rPr>
      </w:pPr>
      <w:r w:rsidRPr="007F7A39">
        <w:t xml:space="preserve">EU/1/17/1199/002 </w:t>
      </w:r>
      <w:r w:rsidRPr="007F7A39">
        <w:t>96 Filmtabletten</w:t>
      </w:r>
    </w:p>
    <w:p w14:paraId="7165FB4B" w14:textId="77777777" w:rsidR="00057B27" w:rsidRPr="007F7A39" w:rsidRDefault="00057B27" w:rsidP="00057B27">
      <w:pPr>
        <w:spacing w:line="240" w:lineRule="auto"/>
        <w:rPr>
          <w:noProof/>
          <w:szCs w:val="22"/>
        </w:rPr>
      </w:pPr>
    </w:p>
    <w:p w14:paraId="7165FB4C" w14:textId="77777777" w:rsidR="00057B27" w:rsidRPr="007F7A39" w:rsidRDefault="00057B27" w:rsidP="00057B27">
      <w:pPr>
        <w:spacing w:line="240" w:lineRule="auto"/>
        <w:rPr>
          <w:noProof/>
          <w:szCs w:val="22"/>
        </w:rPr>
      </w:pPr>
    </w:p>
    <w:p w14:paraId="7165FB4D"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CHARGENBEZEICHNUNG</w:t>
      </w:r>
    </w:p>
    <w:p w14:paraId="7165FB4E" w14:textId="77777777" w:rsidR="00057B27" w:rsidRPr="007F7A39" w:rsidRDefault="00057B27" w:rsidP="00057B27">
      <w:pPr>
        <w:spacing w:line="240" w:lineRule="auto"/>
        <w:rPr>
          <w:i/>
          <w:noProof/>
          <w:szCs w:val="22"/>
        </w:rPr>
      </w:pPr>
    </w:p>
    <w:p w14:paraId="7165FB4F" w14:textId="77777777" w:rsidR="00057B27" w:rsidRPr="007F7A39" w:rsidRDefault="0092445A" w:rsidP="00057B27">
      <w:pPr>
        <w:spacing w:line="240" w:lineRule="auto"/>
        <w:rPr>
          <w:noProof/>
          <w:szCs w:val="22"/>
        </w:rPr>
      </w:pPr>
      <w:r w:rsidRPr="007F7A39">
        <w:t xml:space="preserve">Ch.-B.: </w:t>
      </w:r>
    </w:p>
    <w:p w14:paraId="7165FB50" w14:textId="77777777" w:rsidR="00057B27" w:rsidRPr="007F7A39" w:rsidRDefault="00057B27" w:rsidP="00057B27">
      <w:pPr>
        <w:spacing w:line="240" w:lineRule="auto"/>
        <w:rPr>
          <w:noProof/>
          <w:szCs w:val="22"/>
        </w:rPr>
      </w:pPr>
    </w:p>
    <w:p w14:paraId="7165FB51" w14:textId="77777777" w:rsidR="00057B27" w:rsidRPr="007F7A39" w:rsidRDefault="00057B27" w:rsidP="00057B27">
      <w:pPr>
        <w:spacing w:line="240" w:lineRule="auto"/>
        <w:rPr>
          <w:noProof/>
          <w:szCs w:val="22"/>
        </w:rPr>
      </w:pPr>
    </w:p>
    <w:p w14:paraId="7165FB52"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VERKAUFSABGRENZUNG</w:t>
      </w:r>
    </w:p>
    <w:p w14:paraId="7165FB53" w14:textId="77777777" w:rsidR="00057B27" w:rsidRPr="007F7A39" w:rsidRDefault="00057B27" w:rsidP="00057B27">
      <w:pPr>
        <w:spacing w:line="240" w:lineRule="auto"/>
        <w:rPr>
          <w:i/>
          <w:noProof/>
          <w:szCs w:val="22"/>
        </w:rPr>
      </w:pPr>
    </w:p>
    <w:p w14:paraId="7165FB54" w14:textId="77777777" w:rsidR="00057B27" w:rsidRPr="007F7A39" w:rsidRDefault="00057B27" w:rsidP="00057B27">
      <w:pPr>
        <w:spacing w:line="240" w:lineRule="auto"/>
        <w:rPr>
          <w:noProof/>
          <w:szCs w:val="22"/>
        </w:rPr>
      </w:pPr>
    </w:p>
    <w:p w14:paraId="7165FB55"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HINWEISE FÜR DEN GEBRAUCH</w:t>
      </w:r>
    </w:p>
    <w:p w14:paraId="7165FB56" w14:textId="77777777" w:rsidR="00057B27" w:rsidRPr="007F7A39" w:rsidRDefault="00057B27" w:rsidP="00057B27">
      <w:pPr>
        <w:spacing w:line="240" w:lineRule="auto"/>
        <w:rPr>
          <w:noProof/>
          <w:szCs w:val="22"/>
        </w:rPr>
      </w:pPr>
    </w:p>
    <w:p w14:paraId="7165FB57" w14:textId="77777777" w:rsidR="00057B27" w:rsidRPr="007F7A39" w:rsidRDefault="00057B27" w:rsidP="00057B27">
      <w:pPr>
        <w:spacing w:line="240" w:lineRule="auto"/>
        <w:rPr>
          <w:noProof/>
          <w:szCs w:val="22"/>
        </w:rPr>
      </w:pPr>
    </w:p>
    <w:p w14:paraId="7165FB58"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ANGABEN IN BLINDENSCHRIFT</w:t>
      </w:r>
    </w:p>
    <w:p w14:paraId="7165FB59" w14:textId="77777777" w:rsidR="00057B27" w:rsidRPr="007F7A39" w:rsidRDefault="00057B27" w:rsidP="00057B27">
      <w:pPr>
        <w:spacing w:line="240" w:lineRule="auto"/>
        <w:rPr>
          <w:noProof/>
          <w:szCs w:val="22"/>
        </w:rPr>
      </w:pPr>
    </w:p>
    <w:p w14:paraId="7165FB5A" w14:textId="77777777" w:rsidR="00057B27" w:rsidRPr="007F7A39" w:rsidRDefault="0092445A" w:rsidP="00057B27">
      <w:pPr>
        <w:rPr>
          <w:noProof/>
          <w:szCs w:val="22"/>
        </w:rPr>
      </w:pPr>
      <w:r w:rsidRPr="007F7A39">
        <w:t xml:space="preserve">Cuprior 150 mg </w:t>
      </w:r>
    </w:p>
    <w:p w14:paraId="7165FB5B" w14:textId="77777777" w:rsidR="00057B27" w:rsidRPr="007F7A39" w:rsidRDefault="00057B27" w:rsidP="00057B27">
      <w:pPr>
        <w:spacing w:line="240" w:lineRule="auto"/>
        <w:rPr>
          <w:noProof/>
          <w:szCs w:val="22"/>
          <w:shd w:val="clear" w:color="auto" w:fill="CCCCCC"/>
        </w:rPr>
      </w:pPr>
    </w:p>
    <w:p w14:paraId="7165FB5C" w14:textId="77777777" w:rsidR="00057B27" w:rsidRPr="007F7A39" w:rsidRDefault="00057B27" w:rsidP="00057B27">
      <w:pPr>
        <w:spacing w:line="240" w:lineRule="auto"/>
        <w:rPr>
          <w:noProof/>
          <w:szCs w:val="22"/>
          <w:shd w:val="clear" w:color="auto" w:fill="CCCCCC"/>
        </w:rPr>
      </w:pPr>
    </w:p>
    <w:p w14:paraId="7165FB5D"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INDIVIDUELLES ERKENNUNGSMERKMAL – 2D-BARCODE</w:t>
      </w:r>
    </w:p>
    <w:p w14:paraId="7165FB5E" w14:textId="77777777" w:rsidR="00057B27" w:rsidRPr="007F7A39" w:rsidRDefault="00057B27" w:rsidP="00057B27">
      <w:pPr>
        <w:tabs>
          <w:tab w:val="clear" w:pos="567"/>
        </w:tabs>
        <w:spacing w:line="240" w:lineRule="auto"/>
        <w:rPr>
          <w:noProof/>
        </w:rPr>
      </w:pPr>
    </w:p>
    <w:p w14:paraId="7165FB5F" w14:textId="77777777" w:rsidR="00057B27" w:rsidRPr="007F7A39" w:rsidRDefault="0092445A" w:rsidP="00057B27">
      <w:pPr>
        <w:rPr>
          <w:noProof/>
          <w:szCs w:val="22"/>
          <w:highlight w:val="lightGray"/>
        </w:rPr>
      </w:pPr>
      <w:r w:rsidRPr="007F7A39">
        <w:rPr>
          <w:noProof/>
          <w:highlight w:val="lightGray"/>
        </w:rPr>
        <w:t>2D-Barcode mit individuellem Erkennungsmerkmal</w:t>
      </w:r>
    </w:p>
    <w:p w14:paraId="7165FB60" w14:textId="77777777" w:rsidR="00057B27" w:rsidRPr="007F7A39" w:rsidRDefault="00057B27" w:rsidP="00057B27">
      <w:pPr>
        <w:tabs>
          <w:tab w:val="clear" w:pos="567"/>
        </w:tabs>
        <w:spacing w:line="240" w:lineRule="auto"/>
        <w:rPr>
          <w:noProof/>
        </w:rPr>
      </w:pPr>
    </w:p>
    <w:p w14:paraId="7165FB61" w14:textId="77777777" w:rsidR="00057B27" w:rsidRPr="007F7A39" w:rsidRDefault="00057B27" w:rsidP="00057B27">
      <w:pPr>
        <w:tabs>
          <w:tab w:val="clear" w:pos="567"/>
        </w:tabs>
        <w:spacing w:line="240" w:lineRule="auto"/>
        <w:rPr>
          <w:noProof/>
        </w:rPr>
      </w:pPr>
    </w:p>
    <w:p w14:paraId="7165FB62" w14:textId="77777777" w:rsidR="00057B27" w:rsidRPr="007F7A39" w:rsidRDefault="0092445A" w:rsidP="00057B27">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7F7A39">
        <w:rPr>
          <w:b/>
        </w:rPr>
        <w:t>INDIVIDUELLES ERKENNUNGSMERKMAL – VOM MENSCHEN LESBARES FORMAT</w:t>
      </w:r>
    </w:p>
    <w:p w14:paraId="7165FB63" w14:textId="77777777" w:rsidR="00057B27" w:rsidRPr="007F7A39" w:rsidRDefault="00057B27" w:rsidP="00057B27">
      <w:pPr>
        <w:tabs>
          <w:tab w:val="clear" w:pos="567"/>
        </w:tabs>
        <w:spacing w:line="240" w:lineRule="auto"/>
        <w:rPr>
          <w:noProof/>
        </w:rPr>
      </w:pPr>
    </w:p>
    <w:p w14:paraId="7165FB64" w14:textId="77777777" w:rsidR="00057B27" w:rsidRPr="007F7A39" w:rsidRDefault="0092445A" w:rsidP="00057B27">
      <w:pPr>
        <w:rPr>
          <w:color w:val="008000"/>
          <w:szCs w:val="22"/>
        </w:rPr>
      </w:pPr>
      <w:r w:rsidRPr="007F7A39">
        <w:t xml:space="preserve">PC: {Nummer} </w:t>
      </w:r>
    </w:p>
    <w:p w14:paraId="7165FB65" w14:textId="77777777" w:rsidR="00057B27" w:rsidRPr="007F7A39" w:rsidRDefault="0092445A" w:rsidP="00057B27">
      <w:pPr>
        <w:rPr>
          <w:szCs w:val="22"/>
        </w:rPr>
      </w:pPr>
      <w:r w:rsidRPr="007F7A39">
        <w:t xml:space="preserve">SN: {Nummer} </w:t>
      </w:r>
    </w:p>
    <w:p w14:paraId="7165FB66" w14:textId="77777777" w:rsidR="00057B27" w:rsidRPr="007F7A39" w:rsidRDefault="0092445A" w:rsidP="00057B27">
      <w:pPr>
        <w:rPr>
          <w:szCs w:val="22"/>
        </w:rPr>
      </w:pPr>
      <w:r w:rsidRPr="007F7A39">
        <w:t xml:space="preserve">NN: {Nummer} </w:t>
      </w:r>
    </w:p>
    <w:p w14:paraId="7165FB67" w14:textId="77777777" w:rsidR="00057B27" w:rsidRPr="007F7A39" w:rsidRDefault="00057B27" w:rsidP="00057B27">
      <w:pPr>
        <w:spacing w:line="240" w:lineRule="auto"/>
        <w:rPr>
          <w:noProof/>
          <w:szCs w:val="22"/>
        </w:rPr>
      </w:pPr>
    </w:p>
    <w:p w14:paraId="7165FB68" w14:textId="77777777" w:rsidR="00057B27" w:rsidRPr="007F7A39" w:rsidRDefault="00057B27" w:rsidP="00057B27">
      <w:pPr>
        <w:spacing w:line="240" w:lineRule="auto"/>
        <w:rPr>
          <w:noProof/>
          <w:szCs w:val="22"/>
          <w:shd w:val="clear" w:color="auto" w:fill="CCCCCC"/>
        </w:rPr>
      </w:pPr>
    </w:p>
    <w:p w14:paraId="7165FB69" w14:textId="77777777" w:rsidR="00057B27" w:rsidRPr="007F7A39" w:rsidRDefault="0092445A" w:rsidP="00057B27">
      <w:pPr>
        <w:spacing w:line="240" w:lineRule="auto"/>
        <w:rPr>
          <w:b/>
          <w:noProof/>
          <w:szCs w:val="22"/>
        </w:rPr>
      </w:pPr>
      <w:r w:rsidRPr="007F7A39">
        <w:br w:type="page"/>
      </w:r>
    </w:p>
    <w:p w14:paraId="7165FB6A" w14:textId="77777777" w:rsidR="00057B27" w:rsidRPr="007F7A39" w:rsidRDefault="0092445A" w:rsidP="00057B27">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7F7A39">
        <w:rPr>
          <w:b/>
          <w:noProof/>
        </w:rPr>
        <w:lastRenderedPageBreak/>
        <w:t>MINDESTANGABEN AUF BLISTERPACKUNGEN ODER FOLIENSTREIFEN</w:t>
      </w:r>
    </w:p>
    <w:p w14:paraId="7165FB6B" w14:textId="77777777" w:rsidR="00057B27" w:rsidRPr="007F7A39" w:rsidRDefault="00057B27" w:rsidP="00057B27">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7165FB6C" w14:textId="77777777" w:rsidR="00057B27" w:rsidRPr="007F7A39" w:rsidRDefault="0092445A" w:rsidP="00057B27">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7F7A39">
        <w:rPr>
          <w:b/>
          <w:noProof/>
        </w:rPr>
        <w:t>BLISTERPACKUNG</w:t>
      </w:r>
    </w:p>
    <w:p w14:paraId="7165FB6D" w14:textId="77777777" w:rsidR="00057B27" w:rsidRPr="007F7A39" w:rsidRDefault="00057B27" w:rsidP="00057B27">
      <w:pPr>
        <w:spacing w:line="240" w:lineRule="auto"/>
        <w:rPr>
          <w:noProof/>
          <w:szCs w:val="22"/>
        </w:rPr>
      </w:pPr>
    </w:p>
    <w:p w14:paraId="7165FB6E" w14:textId="77777777" w:rsidR="00057B27" w:rsidRPr="007F7A39" w:rsidRDefault="00057B27" w:rsidP="00057B27">
      <w:pPr>
        <w:spacing w:line="240" w:lineRule="auto"/>
        <w:rPr>
          <w:noProof/>
          <w:szCs w:val="22"/>
        </w:rPr>
      </w:pPr>
    </w:p>
    <w:p w14:paraId="7165FB6F" w14:textId="77777777" w:rsidR="00057B27" w:rsidRPr="007F7A39" w:rsidRDefault="0092445A" w:rsidP="00057B2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7F7A39">
        <w:rPr>
          <w:b/>
          <w:noProof/>
        </w:rPr>
        <w:t>BEZEICHNUNG DES ARZNEIMITTELS</w:t>
      </w:r>
    </w:p>
    <w:p w14:paraId="7165FB70" w14:textId="77777777" w:rsidR="00057B27" w:rsidRPr="007F7A39" w:rsidRDefault="00057B27" w:rsidP="00057B27">
      <w:pPr>
        <w:spacing w:line="240" w:lineRule="auto"/>
        <w:rPr>
          <w:i/>
          <w:noProof/>
          <w:szCs w:val="22"/>
        </w:rPr>
      </w:pPr>
    </w:p>
    <w:p w14:paraId="7165FB71" w14:textId="531EBFFE" w:rsidR="00057B27" w:rsidRPr="007F7A39" w:rsidRDefault="0092445A" w:rsidP="00057B27">
      <w:pPr>
        <w:rPr>
          <w:noProof/>
          <w:szCs w:val="22"/>
        </w:rPr>
      </w:pPr>
      <w:r w:rsidRPr="007F7A39">
        <w:t xml:space="preserve">Cuprior 150 mg </w:t>
      </w:r>
      <w:r w:rsidR="00410200" w:rsidRPr="007F7A39">
        <w:t>Filmt</w:t>
      </w:r>
      <w:r w:rsidRPr="007F7A39">
        <w:t>abletten</w:t>
      </w:r>
    </w:p>
    <w:p w14:paraId="7165FB72" w14:textId="77777777" w:rsidR="00057B27" w:rsidRPr="007F7A39" w:rsidRDefault="0092445A" w:rsidP="00057B27">
      <w:pPr>
        <w:spacing w:line="240" w:lineRule="auto"/>
        <w:rPr>
          <w:noProof/>
          <w:szCs w:val="22"/>
        </w:rPr>
      </w:pPr>
      <w:r w:rsidRPr="007F7A39">
        <w:t>Trientin</w:t>
      </w:r>
    </w:p>
    <w:p w14:paraId="7165FB73" w14:textId="77777777" w:rsidR="00057B27" w:rsidRPr="007F7A39" w:rsidRDefault="00057B27" w:rsidP="00057B27">
      <w:pPr>
        <w:spacing w:line="240" w:lineRule="auto"/>
      </w:pPr>
    </w:p>
    <w:p w14:paraId="7165FB74" w14:textId="77777777" w:rsidR="00057B27" w:rsidRPr="007F7A39" w:rsidRDefault="00057B27" w:rsidP="00057B27">
      <w:pPr>
        <w:spacing w:line="240" w:lineRule="auto"/>
      </w:pPr>
    </w:p>
    <w:p w14:paraId="7165FB75" w14:textId="77777777" w:rsidR="00057B27" w:rsidRPr="007F7A39" w:rsidRDefault="0092445A" w:rsidP="00057B2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7F7A39">
        <w:rPr>
          <w:b/>
          <w:noProof/>
        </w:rPr>
        <w:t>NAME DES PHARMAZEUTISCHEN UNTERNEHMERS</w:t>
      </w:r>
    </w:p>
    <w:p w14:paraId="7165FB76" w14:textId="77777777" w:rsidR="00057B27" w:rsidRPr="007F7A39" w:rsidRDefault="00057B27" w:rsidP="00057B27">
      <w:pPr>
        <w:spacing w:line="240" w:lineRule="auto"/>
        <w:rPr>
          <w:noProof/>
          <w:szCs w:val="22"/>
        </w:rPr>
      </w:pPr>
    </w:p>
    <w:p w14:paraId="7165FB77" w14:textId="25D00FFB" w:rsidR="00057B27" w:rsidRPr="007F7A39" w:rsidRDefault="00154099" w:rsidP="00057B27">
      <w:pPr>
        <w:rPr>
          <w:szCs w:val="22"/>
        </w:rPr>
      </w:pPr>
      <w:proofErr w:type="spellStart"/>
      <w:r>
        <w:t>Orphalan</w:t>
      </w:r>
      <w:proofErr w:type="spellEnd"/>
    </w:p>
    <w:p w14:paraId="7165FB78" w14:textId="77777777" w:rsidR="00057B27" w:rsidRPr="007F7A39" w:rsidRDefault="00057B27" w:rsidP="00057B27">
      <w:pPr>
        <w:spacing w:line="240" w:lineRule="auto"/>
        <w:rPr>
          <w:noProof/>
          <w:szCs w:val="22"/>
        </w:rPr>
      </w:pPr>
    </w:p>
    <w:p w14:paraId="7165FB79" w14:textId="77777777" w:rsidR="00057B27" w:rsidRPr="007F7A39" w:rsidRDefault="00057B27" w:rsidP="00057B27">
      <w:pPr>
        <w:spacing w:line="240" w:lineRule="auto"/>
        <w:rPr>
          <w:noProof/>
          <w:szCs w:val="22"/>
        </w:rPr>
      </w:pPr>
    </w:p>
    <w:p w14:paraId="7165FB7A" w14:textId="77777777" w:rsidR="00057B27" w:rsidRPr="007F7A39" w:rsidRDefault="0092445A" w:rsidP="00057B2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7F7A39">
        <w:rPr>
          <w:b/>
          <w:noProof/>
        </w:rPr>
        <w:t>VERFALLDATUM</w:t>
      </w:r>
    </w:p>
    <w:p w14:paraId="7165FB7B" w14:textId="77777777" w:rsidR="00057B27" w:rsidRPr="007F7A39" w:rsidRDefault="00057B27" w:rsidP="00057B27">
      <w:pPr>
        <w:spacing w:line="240" w:lineRule="auto"/>
        <w:rPr>
          <w:noProof/>
          <w:szCs w:val="22"/>
        </w:rPr>
      </w:pPr>
    </w:p>
    <w:p w14:paraId="7165FB7C" w14:textId="5DB849D0" w:rsidR="00057B27" w:rsidRPr="007F7A39" w:rsidRDefault="0092445A" w:rsidP="00057B27">
      <w:pPr>
        <w:spacing w:line="240" w:lineRule="auto"/>
        <w:rPr>
          <w:noProof/>
          <w:szCs w:val="22"/>
        </w:rPr>
      </w:pPr>
      <w:r w:rsidRPr="007F7A39">
        <w:t>v</w:t>
      </w:r>
      <w:r w:rsidR="00F45D4A" w:rsidRPr="007F7A39">
        <w:t>erwendbar bis</w:t>
      </w:r>
    </w:p>
    <w:p w14:paraId="7165FB7D" w14:textId="77777777" w:rsidR="00057B27" w:rsidRPr="007F7A39" w:rsidRDefault="00057B27" w:rsidP="00057B27">
      <w:pPr>
        <w:spacing w:line="240" w:lineRule="auto"/>
        <w:rPr>
          <w:noProof/>
          <w:szCs w:val="22"/>
        </w:rPr>
      </w:pPr>
    </w:p>
    <w:p w14:paraId="7165FB7E" w14:textId="77777777" w:rsidR="00057B27" w:rsidRPr="007F7A39" w:rsidRDefault="00057B27" w:rsidP="00057B27">
      <w:pPr>
        <w:spacing w:line="240" w:lineRule="auto"/>
        <w:rPr>
          <w:noProof/>
          <w:szCs w:val="22"/>
        </w:rPr>
      </w:pPr>
    </w:p>
    <w:p w14:paraId="7165FB7F" w14:textId="77777777" w:rsidR="00057B27" w:rsidRPr="007F7A39" w:rsidRDefault="0092445A" w:rsidP="00057B2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7F7A39">
        <w:rPr>
          <w:b/>
          <w:noProof/>
        </w:rPr>
        <w:t>CHARGENBEZEICHNUNG</w:t>
      </w:r>
    </w:p>
    <w:p w14:paraId="7165FB80" w14:textId="77777777" w:rsidR="00057B27" w:rsidRPr="007F7A39" w:rsidRDefault="00057B27" w:rsidP="00057B27">
      <w:pPr>
        <w:spacing w:line="240" w:lineRule="auto"/>
        <w:rPr>
          <w:noProof/>
          <w:szCs w:val="22"/>
        </w:rPr>
      </w:pPr>
    </w:p>
    <w:p w14:paraId="7165FB81" w14:textId="77777777" w:rsidR="00057B27" w:rsidRPr="007F7A39" w:rsidRDefault="0092445A" w:rsidP="00057B27">
      <w:pPr>
        <w:rPr>
          <w:noProof/>
          <w:szCs w:val="22"/>
        </w:rPr>
      </w:pPr>
      <w:r w:rsidRPr="007F7A39">
        <w:t>Ch.-B.:</w:t>
      </w:r>
    </w:p>
    <w:p w14:paraId="7165FB82" w14:textId="77777777" w:rsidR="00057B27" w:rsidRPr="007F7A39" w:rsidRDefault="00057B27" w:rsidP="00057B27">
      <w:pPr>
        <w:spacing w:line="240" w:lineRule="auto"/>
        <w:rPr>
          <w:noProof/>
          <w:szCs w:val="22"/>
        </w:rPr>
      </w:pPr>
    </w:p>
    <w:p w14:paraId="7165FB83" w14:textId="77777777" w:rsidR="00057B27" w:rsidRPr="007F7A39" w:rsidRDefault="00057B27" w:rsidP="00057B27">
      <w:pPr>
        <w:spacing w:line="240" w:lineRule="auto"/>
        <w:rPr>
          <w:noProof/>
          <w:szCs w:val="22"/>
        </w:rPr>
      </w:pPr>
    </w:p>
    <w:p w14:paraId="7165FB84" w14:textId="77777777" w:rsidR="00057B27" w:rsidRPr="007F7A39" w:rsidRDefault="0092445A" w:rsidP="00057B27">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7F7A39">
        <w:rPr>
          <w:b/>
          <w:noProof/>
        </w:rPr>
        <w:t>WEITERE ANGABEN</w:t>
      </w:r>
    </w:p>
    <w:p w14:paraId="7165FB85" w14:textId="77777777" w:rsidR="00057B27" w:rsidRPr="007F7A39" w:rsidRDefault="00057B27" w:rsidP="00057B27">
      <w:pPr>
        <w:spacing w:line="240" w:lineRule="auto"/>
        <w:rPr>
          <w:noProof/>
          <w:szCs w:val="22"/>
        </w:rPr>
      </w:pPr>
    </w:p>
    <w:p w14:paraId="7165FB86" w14:textId="77777777" w:rsidR="00057B27" w:rsidRPr="007F7A39" w:rsidRDefault="00057B27" w:rsidP="00057B27">
      <w:pPr>
        <w:spacing w:line="240" w:lineRule="auto"/>
        <w:rPr>
          <w:noProof/>
          <w:szCs w:val="22"/>
        </w:rPr>
      </w:pPr>
    </w:p>
    <w:p w14:paraId="7165FB87" w14:textId="77777777" w:rsidR="00057B27" w:rsidRPr="007F7A39" w:rsidRDefault="0092445A" w:rsidP="00057B27">
      <w:r w:rsidRPr="007F7A39">
        <w:br w:type="page"/>
      </w:r>
    </w:p>
    <w:p w14:paraId="7165FB88" w14:textId="77777777" w:rsidR="00057B27" w:rsidRPr="007F7A39" w:rsidRDefault="00057B27" w:rsidP="00057B27">
      <w:pPr>
        <w:rPr>
          <w:noProof/>
        </w:rPr>
      </w:pPr>
    </w:p>
    <w:p w14:paraId="7165FB89" w14:textId="77777777" w:rsidR="00057B27" w:rsidRPr="007F7A39" w:rsidRDefault="00057B27" w:rsidP="00057B27">
      <w:pPr>
        <w:rPr>
          <w:noProof/>
        </w:rPr>
      </w:pPr>
    </w:p>
    <w:p w14:paraId="7165FB8A" w14:textId="77777777" w:rsidR="00057B27" w:rsidRPr="007F7A39" w:rsidRDefault="00057B27" w:rsidP="00057B27">
      <w:pPr>
        <w:rPr>
          <w:noProof/>
        </w:rPr>
      </w:pPr>
    </w:p>
    <w:p w14:paraId="7165FB8B" w14:textId="77777777" w:rsidR="00057B27" w:rsidRPr="007F7A39" w:rsidRDefault="00057B27" w:rsidP="00057B27">
      <w:pPr>
        <w:rPr>
          <w:noProof/>
        </w:rPr>
      </w:pPr>
    </w:p>
    <w:p w14:paraId="7165FB8C" w14:textId="77777777" w:rsidR="00057B27" w:rsidRPr="007F7A39" w:rsidRDefault="00057B27" w:rsidP="00057B27">
      <w:pPr>
        <w:rPr>
          <w:noProof/>
        </w:rPr>
      </w:pPr>
    </w:p>
    <w:p w14:paraId="7165FB8D" w14:textId="77777777" w:rsidR="00057B27" w:rsidRPr="007F7A39" w:rsidRDefault="00057B27" w:rsidP="00057B27">
      <w:pPr>
        <w:rPr>
          <w:noProof/>
        </w:rPr>
      </w:pPr>
    </w:p>
    <w:p w14:paraId="7165FB8E" w14:textId="77777777" w:rsidR="00057B27" w:rsidRPr="007F7A39" w:rsidRDefault="00057B27" w:rsidP="00057B27">
      <w:pPr>
        <w:rPr>
          <w:noProof/>
        </w:rPr>
      </w:pPr>
    </w:p>
    <w:p w14:paraId="7165FB8F" w14:textId="77777777" w:rsidR="00057B27" w:rsidRPr="007F7A39" w:rsidRDefault="00057B27" w:rsidP="00057B27">
      <w:pPr>
        <w:rPr>
          <w:noProof/>
        </w:rPr>
      </w:pPr>
    </w:p>
    <w:p w14:paraId="7165FB90" w14:textId="77777777" w:rsidR="00057B27" w:rsidRPr="007F7A39" w:rsidRDefault="00057B27" w:rsidP="00057B27">
      <w:pPr>
        <w:rPr>
          <w:noProof/>
        </w:rPr>
      </w:pPr>
    </w:p>
    <w:p w14:paraId="7165FB91" w14:textId="77777777" w:rsidR="00057B27" w:rsidRPr="007F7A39" w:rsidRDefault="00057B27" w:rsidP="00057B27">
      <w:pPr>
        <w:rPr>
          <w:noProof/>
        </w:rPr>
      </w:pPr>
    </w:p>
    <w:p w14:paraId="7165FB92" w14:textId="77777777" w:rsidR="00057B27" w:rsidRPr="007F7A39" w:rsidRDefault="00057B27" w:rsidP="00057B27">
      <w:pPr>
        <w:rPr>
          <w:noProof/>
        </w:rPr>
      </w:pPr>
    </w:p>
    <w:p w14:paraId="7165FB93" w14:textId="77777777" w:rsidR="00057B27" w:rsidRPr="007F7A39" w:rsidRDefault="00057B27" w:rsidP="00057B27">
      <w:pPr>
        <w:rPr>
          <w:noProof/>
        </w:rPr>
      </w:pPr>
    </w:p>
    <w:p w14:paraId="7165FB94" w14:textId="77777777" w:rsidR="00057B27" w:rsidRPr="007F7A39" w:rsidRDefault="00057B27" w:rsidP="00057B27">
      <w:pPr>
        <w:rPr>
          <w:noProof/>
        </w:rPr>
      </w:pPr>
    </w:p>
    <w:p w14:paraId="7165FB95" w14:textId="77777777" w:rsidR="00057B27" w:rsidRPr="007F7A39" w:rsidRDefault="00057B27" w:rsidP="00057B27">
      <w:pPr>
        <w:rPr>
          <w:noProof/>
        </w:rPr>
      </w:pPr>
    </w:p>
    <w:p w14:paraId="7165FB96" w14:textId="77777777" w:rsidR="00057B27" w:rsidRPr="007F7A39" w:rsidRDefault="00057B27" w:rsidP="00057B27">
      <w:pPr>
        <w:rPr>
          <w:noProof/>
        </w:rPr>
      </w:pPr>
    </w:p>
    <w:p w14:paraId="7165FB97" w14:textId="77777777" w:rsidR="00057B27" w:rsidRPr="007F7A39" w:rsidRDefault="00057B27" w:rsidP="00057B27">
      <w:pPr>
        <w:rPr>
          <w:noProof/>
        </w:rPr>
      </w:pPr>
    </w:p>
    <w:p w14:paraId="7165FB98" w14:textId="77777777" w:rsidR="00057B27" w:rsidRPr="007F7A39" w:rsidRDefault="00057B27" w:rsidP="00057B27">
      <w:pPr>
        <w:rPr>
          <w:noProof/>
        </w:rPr>
      </w:pPr>
    </w:p>
    <w:p w14:paraId="7165FB99" w14:textId="77777777" w:rsidR="00057B27" w:rsidRPr="007F7A39" w:rsidRDefault="00057B27" w:rsidP="00057B27">
      <w:pPr>
        <w:rPr>
          <w:noProof/>
        </w:rPr>
      </w:pPr>
    </w:p>
    <w:p w14:paraId="7165FB9A" w14:textId="77777777" w:rsidR="00057B27" w:rsidRPr="007F7A39" w:rsidRDefault="00057B27" w:rsidP="00057B27">
      <w:pPr>
        <w:rPr>
          <w:noProof/>
        </w:rPr>
      </w:pPr>
    </w:p>
    <w:p w14:paraId="7165FB9B" w14:textId="77777777" w:rsidR="00057B27" w:rsidRPr="007F7A39" w:rsidRDefault="00057B27" w:rsidP="00057B27">
      <w:pPr>
        <w:rPr>
          <w:noProof/>
        </w:rPr>
      </w:pPr>
    </w:p>
    <w:p w14:paraId="7165FB9C" w14:textId="77777777" w:rsidR="00057B27" w:rsidRPr="007F7A39" w:rsidRDefault="00057B27" w:rsidP="00057B27">
      <w:pPr>
        <w:rPr>
          <w:noProof/>
        </w:rPr>
      </w:pPr>
    </w:p>
    <w:p w14:paraId="7165FB9D" w14:textId="77777777" w:rsidR="00057B27" w:rsidRPr="007F7A39" w:rsidRDefault="00057B27" w:rsidP="00057B27">
      <w:pPr>
        <w:rPr>
          <w:noProof/>
        </w:rPr>
      </w:pPr>
    </w:p>
    <w:p w14:paraId="7165FB9E" w14:textId="77777777" w:rsidR="00057B27" w:rsidRPr="007F7A39" w:rsidRDefault="0092445A" w:rsidP="00057B27">
      <w:pPr>
        <w:pStyle w:val="ListParagraph"/>
        <w:numPr>
          <w:ilvl w:val="0"/>
          <w:numId w:val="31"/>
        </w:numPr>
        <w:spacing w:line="240" w:lineRule="auto"/>
        <w:ind w:left="357" w:hanging="357"/>
        <w:jc w:val="center"/>
        <w:outlineLvl w:val="0"/>
        <w:rPr>
          <w:b/>
          <w:noProof/>
        </w:rPr>
      </w:pPr>
      <w:r w:rsidRPr="007F7A39">
        <w:rPr>
          <w:b/>
          <w:noProof/>
        </w:rPr>
        <w:t>PACKUNGSBEILAGE</w:t>
      </w:r>
    </w:p>
    <w:p w14:paraId="7165FB9F" w14:textId="77777777" w:rsidR="00057B27" w:rsidRPr="007F7A39" w:rsidRDefault="0092445A" w:rsidP="00057B27">
      <w:pPr>
        <w:tabs>
          <w:tab w:val="clear" w:pos="567"/>
        </w:tabs>
        <w:spacing w:line="240" w:lineRule="auto"/>
        <w:jc w:val="center"/>
        <w:outlineLvl w:val="0"/>
        <w:rPr>
          <w:noProof/>
          <w:szCs w:val="22"/>
        </w:rPr>
      </w:pPr>
      <w:r w:rsidRPr="007F7A39">
        <w:br w:type="page"/>
      </w:r>
      <w:r w:rsidRPr="007F7A39">
        <w:rPr>
          <w:b/>
          <w:noProof/>
        </w:rPr>
        <w:lastRenderedPageBreak/>
        <w:t>Gebrauchsinformation: Information für Patienten</w:t>
      </w:r>
    </w:p>
    <w:p w14:paraId="7165FBA0" w14:textId="77777777" w:rsidR="00057B27" w:rsidRPr="007F7A39" w:rsidRDefault="00057B27" w:rsidP="00057B27">
      <w:pPr>
        <w:numPr>
          <w:ilvl w:val="12"/>
          <w:numId w:val="0"/>
        </w:numPr>
        <w:shd w:val="clear" w:color="auto" w:fill="FFFFFF"/>
        <w:tabs>
          <w:tab w:val="clear" w:pos="567"/>
        </w:tabs>
        <w:spacing w:line="240" w:lineRule="auto"/>
        <w:jc w:val="center"/>
        <w:rPr>
          <w:noProof/>
          <w:szCs w:val="22"/>
        </w:rPr>
      </w:pPr>
    </w:p>
    <w:p w14:paraId="7165FBA1" w14:textId="01F4A8E7" w:rsidR="00057B27" w:rsidRPr="007F7A39" w:rsidRDefault="0092445A" w:rsidP="00057B27">
      <w:pPr>
        <w:jc w:val="center"/>
        <w:rPr>
          <w:b/>
          <w:noProof/>
          <w:szCs w:val="22"/>
        </w:rPr>
      </w:pPr>
      <w:r w:rsidRPr="007F7A39">
        <w:rPr>
          <w:b/>
          <w:noProof/>
        </w:rPr>
        <w:t xml:space="preserve">Cuprior 150 mg </w:t>
      </w:r>
      <w:r w:rsidR="008555B7" w:rsidRPr="007F7A39">
        <w:rPr>
          <w:b/>
          <w:noProof/>
        </w:rPr>
        <w:t>Filmt</w:t>
      </w:r>
      <w:r w:rsidRPr="007F7A39">
        <w:rPr>
          <w:b/>
          <w:noProof/>
        </w:rPr>
        <w:t>abletten</w:t>
      </w:r>
    </w:p>
    <w:p w14:paraId="7165FBA2" w14:textId="77777777" w:rsidR="00057B27" w:rsidRPr="007F7A39" w:rsidRDefault="0092445A" w:rsidP="00057B27">
      <w:pPr>
        <w:numPr>
          <w:ilvl w:val="12"/>
          <w:numId w:val="0"/>
        </w:numPr>
        <w:tabs>
          <w:tab w:val="clear" w:pos="567"/>
        </w:tabs>
        <w:spacing w:line="240" w:lineRule="auto"/>
        <w:jc w:val="center"/>
        <w:rPr>
          <w:noProof/>
          <w:szCs w:val="22"/>
        </w:rPr>
      </w:pPr>
      <w:r w:rsidRPr="007F7A39">
        <w:t>Trientin</w:t>
      </w:r>
    </w:p>
    <w:p w14:paraId="7165FBA3" w14:textId="77777777" w:rsidR="00057B27" w:rsidRPr="007F7A39" w:rsidRDefault="00057B27" w:rsidP="00057B27">
      <w:pPr>
        <w:jc w:val="center"/>
        <w:rPr>
          <w:szCs w:val="22"/>
        </w:rPr>
      </w:pPr>
    </w:p>
    <w:p w14:paraId="7165FBA4" w14:textId="77777777" w:rsidR="00057B27" w:rsidRPr="007F7A39" w:rsidRDefault="0092445A" w:rsidP="00057B27">
      <w:r w:rsidRPr="007F7A39">
        <w:t xml:space="preserve">Sie können die Information auch finden, wenn Sie den untenstehenden QR-Code mit einem Smartphone scannen oder über die Webseite </w:t>
      </w:r>
      <w:r w:rsidRPr="007F7A39">
        <w:rPr>
          <w:i/>
          <w:noProof/>
        </w:rPr>
        <w:t xml:space="preserve"> </w:t>
      </w:r>
      <w:r w:rsidRPr="007F7A39">
        <w:rPr>
          <w:i/>
          <w:noProof/>
          <w:highlight w:val="lightGray"/>
        </w:rPr>
        <w:t>QR-Code wird eingefügt</w:t>
      </w:r>
      <w:r w:rsidRPr="007F7A39">
        <w:rPr>
          <w:i/>
          <w:noProof/>
        </w:rPr>
        <w:t xml:space="preserve"> </w:t>
      </w:r>
      <w:hyperlink r:id="rId14" w:history="1">
        <w:r w:rsidRPr="007F7A39">
          <w:rPr>
            <w:rStyle w:val="Hyperlink"/>
          </w:rPr>
          <w:t>http://www.cuprior.com</w:t>
        </w:r>
      </w:hyperlink>
    </w:p>
    <w:p w14:paraId="7165FBA5" w14:textId="77777777" w:rsidR="00057B27" w:rsidRPr="007F7A39" w:rsidRDefault="00057B27" w:rsidP="00057B27">
      <w:pPr>
        <w:tabs>
          <w:tab w:val="clear" w:pos="567"/>
        </w:tabs>
        <w:spacing w:line="240" w:lineRule="auto"/>
        <w:rPr>
          <w:noProof/>
          <w:szCs w:val="22"/>
        </w:rPr>
      </w:pPr>
    </w:p>
    <w:p w14:paraId="7165FBA6" w14:textId="77777777" w:rsidR="00057B27" w:rsidRPr="007F7A39" w:rsidRDefault="0092445A" w:rsidP="00057B27">
      <w:pPr>
        <w:tabs>
          <w:tab w:val="clear" w:pos="567"/>
        </w:tabs>
        <w:suppressAutoHyphens/>
        <w:spacing w:line="240" w:lineRule="auto"/>
        <w:ind w:left="142" w:hanging="142"/>
        <w:rPr>
          <w:noProof/>
          <w:szCs w:val="22"/>
        </w:rPr>
      </w:pPr>
      <w:r w:rsidRPr="007F7A39">
        <w:rPr>
          <w:b/>
          <w:noProof/>
        </w:rPr>
        <w:t>Lesen Sie die gesamte Packungsbeilage sorgfältig durch, bevor Sie mit der Einnahme dieses Arzneimittels beginnen, denn sie enthält wichtige Informationen.</w:t>
      </w:r>
    </w:p>
    <w:p w14:paraId="7165FBA7" w14:textId="77777777" w:rsidR="00057B27" w:rsidRPr="007F7A39" w:rsidRDefault="0092445A" w:rsidP="00057B27">
      <w:pPr>
        <w:numPr>
          <w:ilvl w:val="0"/>
          <w:numId w:val="3"/>
        </w:numPr>
        <w:tabs>
          <w:tab w:val="clear" w:pos="567"/>
        </w:tabs>
        <w:spacing w:line="240" w:lineRule="auto"/>
        <w:ind w:left="567" w:right="-2" w:hanging="567"/>
        <w:rPr>
          <w:noProof/>
          <w:szCs w:val="22"/>
        </w:rPr>
      </w:pPr>
      <w:r w:rsidRPr="007F7A39">
        <w:t xml:space="preserve">Heben Sie die Packungsbeilage auf. Vielleicht möchten Sie diese später nochmals lesen. </w:t>
      </w:r>
    </w:p>
    <w:p w14:paraId="7165FBA8" w14:textId="77777777" w:rsidR="00057B27" w:rsidRPr="007F7A39" w:rsidRDefault="0092445A" w:rsidP="00057B27">
      <w:pPr>
        <w:numPr>
          <w:ilvl w:val="0"/>
          <w:numId w:val="3"/>
        </w:numPr>
        <w:tabs>
          <w:tab w:val="clear" w:pos="567"/>
        </w:tabs>
        <w:spacing w:line="240" w:lineRule="auto"/>
        <w:ind w:left="567" w:right="-2" w:hanging="567"/>
        <w:rPr>
          <w:noProof/>
          <w:szCs w:val="22"/>
        </w:rPr>
      </w:pPr>
      <w:r w:rsidRPr="007F7A39">
        <w:t>Wenn Sie weitere Fragen haben, wenden Sie sich an Ihren Arzt oder Apotheker.</w:t>
      </w:r>
    </w:p>
    <w:p w14:paraId="7165FBA9" w14:textId="77777777" w:rsidR="00057B27" w:rsidRPr="007F7A39" w:rsidRDefault="0092445A" w:rsidP="00057B27">
      <w:pPr>
        <w:spacing w:line="240" w:lineRule="auto"/>
        <w:ind w:left="567" w:right="-2" w:hanging="567"/>
        <w:rPr>
          <w:noProof/>
          <w:szCs w:val="22"/>
        </w:rPr>
      </w:pPr>
      <w:r w:rsidRPr="007F7A39">
        <w:tab/>
        <w:t>Dieses Arzneimittel wurde Ihnen persönlich verschrieben. Geben Sie es nicht an Dritte weit</w:t>
      </w:r>
      <w:r w:rsidRPr="007F7A39">
        <w:t>er. Es kann anderen Menschen schaden, auch wenn diese die gleichen Beschwerden haben wie Sie.</w:t>
      </w:r>
      <w:r w:rsidRPr="007F7A39">
        <w:rPr>
          <w:noProof/>
          <w:color w:val="008000"/>
        </w:rPr>
        <w:t xml:space="preserve"> </w:t>
      </w:r>
    </w:p>
    <w:p w14:paraId="7165FBAA" w14:textId="77777777" w:rsidR="00057B27" w:rsidRPr="007F7A39" w:rsidRDefault="0092445A" w:rsidP="00057B27">
      <w:pPr>
        <w:numPr>
          <w:ilvl w:val="0"/>
          <w:numId w:val="3"/>
        </w:numPr>
        <w:spacing w:line="240" w:lineRule="auto"/>
        <w:ind w:left="567" w:hanging="567"/>
        <w:rPr>
          <w:szCs w:val="22"/>
        </w:rPr>
      </w:pPr>
      <w:r w:rsidRPr="007F7A39">
        <w:t>Wenn Sie Nebenwirkungen bemerken, wenden Sie sich an Ihren Arzt oder Apotheker.</w:t>
      </w:r>
      <w:r w:rsidRPr="007F7A39">
        <w:rPr>
          <w:color w:val="FF0000"/>
        </w:rPr>
        <w:t xml:space="preserve"> </w:t>
      </w:r>
      <w:r w:rsidRPr="007F7A39">
        <w:t xml:space="preserve">Dies gilt auch für Nebenwirkungen, die nicht in dieser Packungsbeilage angegeben </w:t>
      </w:r>
      <w:r w:rsidRPr="007F7A39">
        <w:t>sind. Siehe Abschnitt 4.</w:t>
      </w:r>
    </w:p>
    <w:p w14:paraId="7165FBAB" w14:textId="77777777" w:rsidR="00057B27" w:rsidRPr="007F7A39" w:rsidRDefault="00057B27" w:rsidP="00057B27">
      <w:pPr>
        <w:tabs>
          <w:tab w:val="clear" w:pos="567"/>
        </w:tabs>
        <w:spacing w:line="240" w:lineRule="auto"/>
        <w:ind w:right="-2"/>
        <w:rPr>
          <w:szCs w:val="22"/>
        </w:rPr>
      </w:pPr>
    </w:p>
    <w:p w14:paraId="7165FBAC" w14:textId="77777777" w:rsidR="00057B27" w:rsidRPr="007F7A39" w:rsidRDefault="00057B27" w:rsidP="00057B27">
      <w:pPr>
        <w:tabs>
          <w:tab w:val="clear" w:pos="567"/>
        </w:tabs>
        <w:spacing w:line="240" w:lineRule="auto"/>
        <w:ind w:right="-2"/>
        <w:rPr>
          <w:noProof/>
          <w:szCs w:val="22"/>
        </w:rPr>
      </w:pPr>
    </w:p>
    <w:p w14:paraId="7165FBAD" w14:textId="77777777" w:rsidR="00057B27" w:rsidRPr="007F7A39" w:rsidRDefault="0092445A" w:rsidP="00057B27">
      <w:pPr>
        <w:numPr>
          <w:ilvl w:val="12"/>
          <w:numId w:val="0"/>
        </w:numPr>
        <w:tabs>
          <w:tab w:val="clear" w:pos="567"/>
        </w:tabs>
        <w:spacing w:line="240" w:lineRule="auto"/>
        <w:ind w:right="-2"/>
        <w:rPr>
          <w:b/>
          <w:noProof/>
          <w:szCs w:val="22"/>
        </w:rPr>
      </w:pPr>
      <w:r w:rsidRPr="007F7A39">
        <w:rPr>
          <w:b/>
          <w:noProof/>
        </w:rPr>
        <w:t>Was in dieser Packungsbeilage steht</w:t>
      </w:r>
    </w:p>
    <w:p w14:paraId="7165FBAE" w14:textId="77777777" w:rsidR="00057B27" w:rsidRPr="007F7A39" w:rsidRDefault="00057B27" w:rsidP="00057B27">
      <w:pPr>
        <w:rPr>
          <w:noProof/>
        </w:rPr>
      </w:pPr>
    </w:p>
    <w:p w14:paraId="7165FBAF" w14:textId="77777777" w:rsidR="00057B27" w:rsidRPr="007F7A39" w:rsidRDefault="0092445A" w:rsidP="00057B27">
      <w:pPr>
        <w:pStyle w:val="ListParagraph"/>
        <w:numPr>
          <w:ilvl w:val="0"/>
          <w:numId w:val="32"/>
        </w:numPr>
        <w:tabs>
          <w:tab w:val="clear" w:pos="567"/>
          <w:tab w:val="left" w:pos="426"/>
        </w:tabs>
        <w:spacing w:line="240" w:lineRule="auto"/>
        <w:ind w:left="420" w:right="-28"/>
        <w:rPr>
          <w:noProof/>
          <w:szCs w:val="22"/>
        </w:rPr>
      </w:pPr>
      <w:r w:rsidRPr="007F7A39">
        <w:t xml:space="preserve">Was ist Cuprior und wofür wird es angewendet? </w:t>
      </w:r>
    </w:p>
    <w:p w14:paraId="7165FBB0" w14:textId="77777777" w:rsidR="00057B27" w:rsidRPr="007F7A39" w:rsidRDefault="0092445A" w:rsidP="00057B27">
      <w:pPr>
        <w:pStyle w:val="ListParagraph"/>
        <w:numPr>
          <w:ilvl w:val="0"/>
          <w:numId w:val="32"/>
        </w:numPr>
        <w:tabs>
          <w:tab w:val="clear" w:pos="567"/>
          <w:tab w:val="left" w:pos="426"/>
        </w:tabs>
        <w:spacing w:line="240" w:lineRule="auto"/>
        <w:ind w:left="420" w:right="-28"/>
        <w:rPr>
          <w:noProof/>
          <w:szCs w:val="22"/>
        </w:rPr>
      </w:pPr>
      <w:r w:rsidRPr="007F7A39">
        <w:t xml:space="preserve">Was sollten Sie vor der Einnahme von Cuprior beachten? </w:t>
      </w:r>
    </w:p>
    <w:p w14:paraId="7165FBB1" w14:textId="77777777" w:rsidR="00057B27" w:rsidRPr="007F7A39" w:rsidRDefault="0092445A" w:rsidP="00057B27">
      <w:pPr>
        <w:pStyle w:val="ListParagraph"/>
        <w:numPr>
          <w:ilvl w:val="0"/>
          <w:numId w:val="32"/>
        </w:numPr>
        <w:tabs>
          <w:tab w:val="clear" w:pos="567"/>
          <w:tab w:val="left" w:pos="426"/>
        </w:tabs>
        <w:spacing w:line="240" w:lineRule="auto"/>
        <w:ind w:left="420" w:right="-28"/>
        <w:rPr>
          <w:noProof/>
          <w:szCs w:val="22"/>
        </w:rPr>
      </w:pPr>
      <w:r w:rsidRPr="007F7A39">
        <w:t xml:space="preserve">Wie ist Cuprior einzunehmen? </w:t>
      </w:r>
    </w:p>
    <w:p w14:paraId="7165FBB2" w14:textId="77777777" w:rsidR="00057B27" w:rsidRPr="007F7A39" w:rsidRDefault="0092445A" w:rsidP="00057B27">
      <w:pPr>
        <w:pStyle w:val="ListParagraph"/>
        <w:numPr>
          <w:ilvl w:val="0"/>
          <w:numId w:val="32"/>
        </w:numPr>
        <w:tabs>
          <w:tab w:val="clear" w:pos="567"/>
          <w:tab w:val="left" w:pos="426"/>
        </w:tabs>
        <w:spacing w:line="240" w:lineRule="auto"/>
        <w:ind w:left="420" w:right="-28"/>
        <w:rPr>
          <w:noProof/>
          <w:szCs w:val="22"/>
        </w:rPr>
      </w:pPr>
      <w:r w:rsidRPr="007F7A39">
        <w:t xml:space="preserve">Welche Nebenwirkungen sind möglich? </w:t>
      </w:r>
    </w:p>
    <w:p w14:paraId="7165FBB3" w14:textId="77777777" w:rsidR="00057B27" w:rsidRPr="007F7A39" w:rsidRDefault="0092445A" w:rsidP="00057B27">
      <w:pPr>
        <w:pStyle w:val="ListParagraph"/>
        <w:numPr>
          <w:ilvl w:val="0"/>
          <w:numId w:val="32"/>
        </w:numPr>
        <w:tabs>
          <w:tab w:val="clear" w:pos="567"/>
          <w:tab w:val="left" w:pos="426"/>
        </w:tabs>
        <w:spacing w:line="240" w:lineRule="auto"/>
        <w:ind w:left="420" w:right="-28"/>
        <w:rPr>
          <w:noProof/>
          <w:szCs w:val="22"/>
        </w:rPr>
      </w:pPr>
      <w:r w:rsidRPr="007F7A39">
        <w:t>Wie ist Cuprior aufzub</w:t>
      </w:r>
      <w:r w:rsidRPr="007F7A39">
        <w:t xml:space="preserve">ewahren? </w:t>
      </w:r>
    </w:p>
    <w:p w14:paraId="7165FBB4" w14:textId="77777777" w:rsidR="00057B27" w:rsidRPr="007F7A39" w:rsidRDefault="0092445A" w:rsidP="00057B27">
      <w:pPr>
        <w:pStyle w:val="ListParagraph"/>
        <w:numPr>
          <w:ilvl w:val="0"/>
          <w:numId w:val="32"/>
        </w:numPr>
        <w:tabs>
          <w:tab w:val="clear" w:pos="567"/>
          <w:tab w:val="left" w:pos="426"/>
        </w:tabs>
        <w:spacing w:line="240" w:lineRule="auto"/>
        <w:ind w:left="420" w:right="-28"/>
        <w:rPr>
          <w:noProof/>
          <w:szCs w:val="22"/>
        </w:rPr>
      </w:pPr>
      <w:r w:rsidRPr="007F7A39">
        <w:t>Inhalt der Packung und weitere Informationen</w:t>
      </w:r>
    </w:p>
    <w:p w14:paraId="7165FBB5" w14:textId="77777777" w:rsidR="00057B27" w:rsidRPr="007F7A39" w:rsidRDefault="00057B27" w:rsidP="00057B27">
      <w:pPr>
        <w:numPr>
          <w:ilvl w:val="12"/>
          <w:numId w:val="0"/>
        </w:numPr>
        <w:tabs>
          <w:tab w:val="clear" w:pos="567"/>
        </w:tabs>
        <w:spacing w:line="240" w:lineRule="auto"/>
        <w:ind w:right="-2"/>
        <w:rPr>
          <w:noProof/>
          <w:szCs w:val="22"/>
        </w:rPr>
      </w:pPr>
    </w:p>
    <w:p w14:paraId="7165FBB6" w14:textId="77777777" w:rsidR="00057B27" w:rsidRPr="007F7A39" w:rsidRDefault="00057B27" w:rsidP="00057B27">
      <w:pPr>
        <w:numPr>
          <w:ilvl w:val="12"/>
          <w:numId w:val="0"/>
        </w:numPr>
        <w:tabs>
          <w:tab w:val="clear" w:pos="567"/>
        </w:tabs>
        <w:spacing w:line="240" w:lineRule="auto"/>
        <w:rPr>
          <w:noProof/>
          <w:szCs w:val="22"/>
        </w:rPr>
      </w:pPr>
    </w:p>
    <w:p w14:paraId="7165FBB7" w14:textId="77777777" w:rsidR="00057B27" w:rsidRPr="007F7A39" w:rsidRDefault="0092445A" w:rsidP="00057B27">
      <w:pPr>
        <w:pStyle w:val="ListParagraph"/>
        <w:numPr>
          <w:ilvl w:val="0"/>
          <w:numId w:val="33"/>
        </w:numPr>
        <w:tabs>
          <w:tab w:val="clear" w:pos="567"/>
        </w:tabs>
        <w:spacing w:line="240" w:lineRule="auto"/>
        <w:ind w:left="720"/>
        <w:outlineLvl w:val="0"/>
        <w:rPr>
          <w:b/>
          <w:noProof/>
          <w:szCs w:val="22"/>
        </w:rPr>
      </w:pPr>
      <w:r w:rsidRPr="007F7A39">
        <w:rPr>
          <w:b/>
          <w:noProof/>
        </w:rPr>
        <w:t>Was ist Cuprior und wofür wird es angewendet?</w:t>
      </w:r>
    </w:p>
    <w:p w14:paraId="7165FBB8" w14:textId="77777777" w:rsidR="00057B27" w:rsidRPr="007F7A39" w:rsidRDefault="00057B27" w:rsidP="00057B27">
      <w:pPr>
        <w:numPr>
          <w:ilvl w:val="12"/>
          <w:numId w:val="0"/>
        </w:numPr>
        <w:tabs>
          <w:tab w:val="clear" w:pos="567"/>
        </w:tabs>
        <w:spacing w:line="240" w:lineRule="auto"/>
        <w:rPr>
          <w:noProof/>
          <w:szCs w:val="22"/>
        </w:rPr>
      </w:pPr>
    </w:p>
    <w:p w14:paraId="7165FBB9" w14:textId="77777777" w:rsidR="00057B27" w:rsidRPr="007F7A39" w:rsidRDefault="0092445A" w:rsidP="00057B27">
      <w:pPr>
        <w:numPr>
          <w:ilvl w:val="12"/>
          <w:numId w:val="0"/>
        </w:numPr>
        <w:tabs>
          <w:tab w:val="clear" w:pos="567"/>
        </w:tabs>
        <w:spacing w:line="240" w:lineRule="auto"/>
        <w:rPr>
          <w:noProof/>
          <w:szCs w:val="22"/>
        </w:rPr>
      </w:pPr>
      <w:r w:rsidRPr="007F7A39">
        <w:t xml:space="preserve">Cuprior ist ein Arzneimittel, das zur Behandlung von Morbus Wilson angewendet wird und den Wirkstoff Trientin enthält. </w:t>
      </w:r>
    </w:p>
    <w:p w14:paraId="7165FBBA" w14:textId="77777777" w:rsidR="00057B27" w:rsidRPr="007F7A39" w:rsidRDefault="00057B27" w:rsidP="00057B27">
      <w:pPr>
        <w:numPr>
          <w:ilvl w:val="12"/>
          <w:numId w:val="0"/>
        </w:numPr>
        <w:tabs>
          <w:tab w:val="clear" w:pos="567"/>
        </w:tabs>
        <w:spacing w:line="240" w:lineRule="auto"/>
        <w:rPr>
          <w:noProof/>
          <w:szCs w:val="22"/>
        </w:rPr>
      </w:pPr>
    </w:p>
    <w:p w14:paraId="7165FBBB" w14:textId="77777777" w:rsidR="00057B27" w:rsidRPr="007F7A39" w:rsidRDefault="0092445A" w:rsidP="00057B27">
      <w:pPr>
        <w:numPr>
          <w:ilvl w:val="12"/>
          <w:numId w:val="0"/>
        </w:numPr>
        <w:tabs>
          <w:tab w:val="clear" w:pos="567"/>
        </w:tabs>
        <w:spacing w:line="240" w:lineRule="auto"/>
        <w:rPr>
          <w:noProof/>
          <w:szCs w:val="22"/>
        </w:rPr>
      </w:pPr>
      <w:r w:rsidRPr="007F7A39">
        <w:t>Bei Morbus Wilson handelt es sich um eine Erbkrankheit, bei der der Körper Kupfer nicht auf normalem Weg durch den Körper transportiere</w:t>
      </w:r>
      <w:r w:rsidRPr="007F7A39">
        <w:t>n oder Kupfer auf normalem Weg entfernen kann (Ausscheidung von der Leber in den Darm). Dies bedeutet, dass sich die kleinen Mengen an Kupfer aus Nahrung und Getränken ansammeln und übermäßig hohe Spiegel erreichen und zu Leberschädigung und Problemen im N</w:t>
      </w:r>
      <w:r w:rsidRPr="007F7A39">
        <w:t>ervensystem führen können. Dieses Arzneimittel wirkt hauptsächlich, indem es sich im Körper an Kupfer bindet, welches dann stattdessen mit dem Harn ausgeschieden werden kann, was dazu beiträgt, die Kupferspiegel zu senken. Es kann sich auch an das Kupfer i</w:t>
      </w:r>
      <w:r w:rsidRPr="007F7A39">
        <w:t xml:space="preserve">m Darm binden und so die Menge, die in den Körper aufgenommen wird, verringern. </w:t>
      </w:r>
    </w:p>
    <w:p w14:paraId="7165FBBC" w14:textId="77777777" w:rsidR="00057B27" w:rsidRPr="007F7A39" w:rsidRDefault="0092445A" w:rsidP="00057B27">
      <w:pPr>
        <w:numPr>
          <w:ilvl w:val="12"/>
          <w:numId w:val="0"/>
        </w:numPr>
        <w:tabs>
          <w:tab w:val="clear" w:pos="567"/>
        </w:tabs>
        <w:spacing w:line="240" w:lineRule="auto"/>
        <w:rPr>
          <w:noProof/>
          <w:szCs w:val="22"/>
        </w:rPr>
      </w:pPr>
      <w:r w:rsidRPr="007F7A39">
        <w:t>Cuprior wird Erwachsenen, Jugendlichen und Kindern im Alter von 5 Jahren und älter verschrieben, die ein anderes Arzneimittel namens Penicillamin, das zur Behandlung von Morbu</w:t>
      </w:r>
      <w:r w:rsidRPr="007F7A39">
        <w:t>s Wilson angewendet wird, nicht vertragen können.</w:t>
      </w:r>
    </w:p>
    <w:p w14:paraId="7165FBBD" w14:textId="77777777" w:rsidR="00057B27" w:rsidRPr="007F7A39" w:rsidRDefault="00057B27" w:rsidP="00057B27">
      <w:pPr>
        <w:tabs>
          <w:tab w:val="clear" w:pos="567"/>
        </w:tabs>
        <w:spacing w:line="240" w:lineRule="auto"/>
        <w:ind w:right="-2"/>
        <w:rPr>
          <w:noProof/>
          <w:szCs w:val="22"/>
        </w:rPr>
      </w:pPr>
    </w:p>
    <w:p w14:paraId="7165FBBE" w14:textId="77777777" w:rsidR="00057B27" w:rsidRPr="007F7A39" w:rsidRDefault="00057B27" w:rsidP="00057B27">
      <w:pPr>
        <w:tabs>
          <w:tab w:val="clear" w:pos="567"/>
        </w:tabs>
        <w:spacing w:line="240" w:lineRule="auto"/>
        <w:ind w:right="-2"/>
        <w:rPr>
          <w:noProof/>
          <w:szCs w:val="22"/>
        </w:rPr>
      </w:pPr>
    </w:p>
    <w:p w14:paraId="7165FBBF" w14:textId="77777777" w:rsidR="00057B27" w:rsidRPr="007F7A39" w:rsidRDefault="0092445A" w:rsidP="00057B27">
      <w:pPr>
        <w:pStyle w:val="ListParagraph"/>
        <w:numPr>
          <w:ilvl w:val="0"/>
          <w:numId w:val="33"/>
        </w:numPr>
        <w:tabs>
          <w:tab w:val="clear" w:pos="567"/>
        </w:tabs>
        <w:spacing w:line="240" w:lineRule="auto"/>
        <w:ind w:left="720"/>
        <w:outlineLvl w:val="0"/>
        <w:rPr>
          <w:b/>
          <w:noProof/>
          <w:szCs w:val="22"/>
        </w:rPr>
      </w:pPr>
      <w:r w:rsidRPr="007F7A39">
        <w:rPr>
          <w:b/>
          <w:noProof/>
        </w:rPr>
        <w:t xml:space="preserve">Was sollten Sie vor der Einnahme von Cuprior beachten? </w:t>
      </w:r>
    </w:p>
    <w:p w14:paraId="7165FBC0" w14:textId="77777777" w:rsidR="00057B27" w:rsidRPr="007F7A39" w:rsidRDefault="00057B27" w:rsidP="00057B27">
      <w:pPr>
        <w:rPr>
          <w:noProof/>
        </w:rPr>
      </w:pPr>
    </w:p>
    <w:p w14:paraId="7165FBC1" w14:textId="77777777" w:rsidR="00057B27" w:rsidRPr="007F7A39" w:rsidRDefault="0092445A" w:rsidP="00057B27">
      <w:pPr>
        <w:numPr>
          <w:ilvl w:val="12"/>
          <w:numId w:val="0"/>
        </w:numPr>
        <w:tabs>
          <w:tab w:val="clear" w:pos="567"/>
        </w:tabs>
        <w:spacing w:line="240" w:lineRule="auto"/>
        <w:rPr>
          <w:b/>
          <w:szCs w:val="22"/>
        </w:rPr>
      </w:pPr>
      <w:r w:rsidRPr="007F7A39">
        <w:rPr>
          <w:b/>
        </w:rPr>
        <w:t>Cuprior darf nicht eingenommen werden,</w:t>
      </w:r>
    </w:p>
    <w:p w14:paraId="7165FBC2" w14:textId="77777777" w:rsidR="00057B27" w:rsidRPr="007F7A39" w:rsidRDefault="0092445A" w:rsidP="00057B27">
      <w:pPr>
        <w:numPr>
          <w:ilvl w:val="12"/>
          <w:numId w:val="0"/>
        </w:numPr>
        <w:tabs>
          <w:tab w:val="clear" w:pos="567"/>
        </w:tabs>
        <w:spacing w:line="240" w:lineRule="auto"/>
        <w:rPr>
          <w:szCs w:val="22"/>
        </w:rPr>
      </w:pPr>
      <w:r w:rsidRPr="007F7A39">
        <w:t>wenn Sie allergisch gegen Trientin oder einen der in Abschnitt 6. genannten sonstigen Bestandteile dieses Ar</w:t>
      </w:r>
      <w:r w:rsidRPr="007F7A39">
        <w:t xml:space="preserve">zneimittels sind. </w:t>
      </w:r>
    </w:p>
    <w:p w14:paraId="7165FBC3" w14:textId="77777777" w:rsidR="00057B27" w:rsidRPr="007F7A39" w:rsidRDefault="00057B27" w:rsidP="00057B27">
      <w:pPr>
        <w:numPr>
          <w:ilvl w:val="12"/>
          <w:numId w:val="0"/>
        </w:numPr>
        <w:tabs>
          <w:tab w:val="clear" w:pos="567"/>
        </w:tabs>
        <w:spacing w:line="240" w:lineRule="auto"/>
        <w:rPr>
          <w:noProof/>
          <w:szCs w:val="22"/>
        </w:rPr>
      </w:pPr>
    </w:p>
    <w:p w14:paraId="7165FBC4" w14:textId="77777777" w:rsidR="00057B27" w:rsidRPr="007F7A39" w:rsidRDefault="0092445A" w:rsidP="00057B27">
      <w:pPr>
        <w:numPr>
          <w:ilvl w:val="12"/>
          <w:numId w:val="0"/>
        </w:numPr>
        <w:tabs>
          <w:tab w:val="clear" w:pos="567"/>
        </w:tabs>
        <w:spacing w:line="240" w:lineRule="auto"/>
        <w:rPr>
          <w:b/>
          <w:szCs w:val="22"/>
        </w:rPr>
      </w:pPr>
      <w:r w:rsidRPr="007F7A39">
        <w:rPr>
          <w:b/>
        </w:rPr>
        <w:t xml:space="preserve">Warnhinweise und Vorsichtsmaßnahmen </w:t>
      </w:r>
    </w:p>
    <w:p w14:paraId="7165FBC5" w14:textId="77777777" w:rsidR="00057B27" w:rsidRPr="007F7A39" w:rsidRDefault="0092445A" w:rsidP="00057B27">
      <w:pPr>
        <w:numPr>
          <w:ilvl w:val="12"/>
          <w:numId w:val="0"/>
        </w:numPr>
        <w:tabs>
          <w:tab w:val="clear" w:pos="567"/>
        </w:tabs>
        <w:spacing w:line="240" w:lineRule="auto"/>
        <w:rPr>
          <w:szCs w:val="22"/>
        </w:rPr>
      </w:pPr>
      <w:r w:rsidRPr="007F7A39">
        <w:t>Bitte sprechen Sie mit Ihrem Arzt oder Apotheker, bevor Sie Cuprior einnehmen.</w:t>
      </w:r>
    </w:p>
    <w:p w14:paraId="7165FBC6" w14:textId="77777777" w:rsidR="00057B27" w:rsidRPr="007F7A39" w:rsidRDefault="00057B27" w:rsidP="00057B27">
      <w:pPr>
        <w:numPr>
          <w:ilvl w:val="12"/>
          <w:numId w:val="0"/>
        </w:numPr>
        <w:tabs>
          <w:tab w:val="clear" w:pos="567"/>
        </w:tabs>
        <w:spacing w:line="240" w:lineRule="auto"/>
        <w:rPr>
          <w:noProof/>
          <w:szCs w:val="22"/>
        </w:rPr>
      </w:pPr>
    </w:p>
    <w:p w14:paraId="7165FBC7" w14:textId="78B29E37" w:rsidR="00057B27" w:rsidRPr="007F7A39" w:rsidRDefault="0092445A" w:rsidP="00057B27">
      <w:pPr>
        <w:numPr>
          <w:ilvl w:val="12"/>
          <w:numId w:val="0"/>
        </w:numPr>
        <w:tabs>
          <w:tab w:val="clear" w:pos="567"/>
        </w:tabs>
        <w:spacing w:line="240" w:lineRule="auto"/>
        <w:rPr>
          <w:noProof/>
          <w:szCs w:val="22"/>
        </w:rPr>
      </w:pPr>
      <w:r w:rsidRPr="007F7A39">
        <w:lastRenderedPageBreak/>
        <w:t>Falls Sie bereits ein anderes Arzneimittel, das Trientin enthält, einnehmen, kann Ihr Arzt bei der Umstellung auf die B</w:t>
      </w:r>
      <w:r w:rsidRPr="007F7A39">
        <w:t xml:space="preserve">ehandlung mit Cuprior Ihre tägliche Dosis, die Anzahl der Tabletten oder die Anzahl der Einnahmen pro Tag verändern. </w:t>
      </w:r>
    </w:p>
    <w:p w14:paraId="7165FBC8" w14:textId="77777777" w:rsidR="00057B27" w:rsidRPr="007F7A39" w:rsidRDefault="00057B27" w:rsidP="00057B27">
      <w:pPr>
        <w:numPr>
          <w:ilvl w:val="12"/>
          <w:numId w:val="0"/>
        </w:numPr>
        <w:tabs>
          <w:tab w:val="clear" w:pos="567"/>
        </w:tabs>
        <w:spacing w:line="240" w:lineRule="auto"/>
        <w:rPr>
          <w:noProof/>
          <w:szCs w:val="22"/>
        </w:rPr>
      </w:pPr>
    </w:p>
    <w:p w14:paraId="7165FBC9" w14:textId="77777777" w:rsidR="00057B27" w:rsidRPr="007F7A39" w:rsidRDefault="0092445A" w:rsidP="00057B27">
      <w:pPr>
        <w:numPr>
          <w:ilvl w:val="12"/>
          <w:numId w:val="0"/>
        </w:numPr>
        <w:tabs>
          <w:tab w:val="clear" w:pos="567"/>
        </w:tabs>
        <w:spacing w:line="240" w:lineRule="auto"/>
        <w:rPr>
          <w:noProof/>
          <w:szCs w:val="22"/>
        </w:rPr>
      </w:pPr>
      <w:r w:rsidRPr="007F7A39">
        <w:t>Nach Beginn der Behandlung können sich Ihre Symptome anfangs verschlimmern. Falls dies der Fall ist, müssen Sie Ihren Arzt informieren.</w:t>
      </w:r>
    </w:p>
    <w:p w14:paraId="7165FBCA" w14:textId="77777777" w:rsidR="00057B27" w:rsidRPr="007F7A39" w:rsidRDefault="00057B27" w:rsidP="00057B27">
      <w:pPr>
        <w:numPr>
          <w:ilvl w:val="12"/>
          <w:numId w:val="0"/>
        </w:numPr>
        <w:tabs>
          <w:tab w:val="clear" w:pos="567"/>
        </w:tabs>
        <w:spacing w:line="240" w:lineRule="auto"/>
        <w:rPr>
          <w:noProof/>
          <w:szCs w:val="22"/>
        </w:rPr>
      </w:pPr>
    </w:p>
    <w:p w14:paraId="7165FBCB" w14:textId="77777777" w:rsidR="00057B27" w:rsidRPr="007F7A39" w:rsidRDefault="0092445A" w:rsidP="00057B27">
      <w:pPr>
        <w:numPr>
          <w:ilvl w:val="12"/>
          <w:numId w:val="0"/>
        </w:numPr>
        <w:tabs>
          <w:tab w:val="clear" w:pos="567"/>
        </w:tabs>
        <w:spacing w:line="240" w:lineRule="auto"/>
        <w:rPr>
          <w:noProof/>
          <w:szCs w:val="22"/>
        </w:rPr>
      </w:pPr>
      <w:r w:rsidRPr="007F7A39">
        <w:t xml:space="preserve">Ihr Arzt wird Ihr Blut und Ihren Urin regelmäßig untersuchen, um sicherzustellen, dass Sie die richtige Cuprior-Dosis erhalten, um Ihre Symptome und Kupferspiegel angemessen zu kontrollieren. </w:t>
      </w:r>
    </w:p>
    <w:p w14:paraId="7165FBCC" w14:textId="77777777" w:rsidR="00057B27" w:rsidRPr="007F7A39" w:rsidRDefault="00057B27" w:rsidP="00057B27">
      <w:pPr>
        <w:numPr>
          <w:ilvl w:val="12"/>
          <w:numId w:val="0"/>
        </w:numPr>
        <w:tabs>
          <w:tab w:val="clear" w:pos="567"/>
        </w:tabs>
        <w:spacing w:line="240" w:lineRule="auto"/>
        <w:rPr>
          <w:noProof/>
          <w:szCs w:val="22"/>
        </w:rPr>
      </w:pPr>
    </w:p>
    <w:p w14:paraId="7165FBCD" w14:textId="77777777" w:rsidR="00057B27" w:rsidRPr="007F7A39" w:rsidRDefault="0092445A" w:rsidP="00057B27">
      <w:pPr>
        <w:numPr>
          <w:ilvl w:val="12"/>
          <w:numId w:val="0"/>
        </w:numPr>
        <w:tabs>
          <w:tab w:val="clear" w:pos="567"/>
        </w:tabs>
        <w:spacing w:line="240" w:lineRule="auto"/>
        <w:rPr>
          <w:noProof/>
          <w:szCs w:val="22"/>
        </w:rPr>
      </w:pPr>
      <w:r w:rsidRPr="007F7A39">
        <w:t>Teilen Sie Ihrem Arzt mit, wenn bei Ihnen Nebenwirkungen auft</w:t>
      </w:r>
      <w:r w:rsidRPr="007F7A39">
        <w:t xml:space="preserve">reten, da dies bedeuten kann, dass Ihre Cuprior-Dosis nach oben oder unten angepasst werden muss. </w:t>
      </w:r>
    </w:p>
    <w:p w14:paraId="7165FBCE" w14:textId="77777777" w:rsidR="00057B27" w:rsidRPr="007F7A39" w:rsidRDefault="00057B27" w:rsidP="00057B27">
      <w:pPr>
        <w:numPr>
          <w:ilvl w:val="12"/>
          <w:numId w:val="0"/>
        </w:numPr>
        <w:tabs>
          <w:tab w:val="clear" w:pos="567"/>
        </w:tabs>
        <w:spacing w:line="240" w:lineRule="auto"/>
        <w:rPr>
          <w:noProof/>
          <w:szCs w:val="22"/>
        </w:rPr>
      </w:pPr>
    </w:p>
    <w:p w14:paraId="7165FBCF" w14:textId="77777777" w:rsidR="00057B27" w:rsidRPr="007F7A39" w:rsidRDefault="0092445A" w:rsidP="00057B27">
      <w:pPr>
        <w:numPr>
          <w:ilvl w:val="12"/>
          <w:numId w:val="0"/>
        </w:numPr>
        <w:tabs>
          <w:tab w:val="clear" w:pos="567"/>
        </w:tabs>
        <w:spacing w:line="240" w:lineRule="auto"/>
        <w:ind w:right="-2"/>
        <w:rPr>
          <w:noProof/>
          <w:szCs w:val="22"/>
        </w:rPr>
      </w:pPr>
      <w:r w:rsidRPr="007F7A39">
        <w:t xml:space="preserve">Dieses Arzneimittel kann außerdem Ihren Eisenspiegel im Blut senken und Ihr Arzt wird Ihnen gegebenenfalls Eisenpräparate verschreiben (siehe </w:t>
      </w:r>
      <w:r w:rsidRPr="007F7A39">
        <w:t>Abschnitt unten „Einnahme von Cuprior zusammen mit anderen Arzneimitteln“).</w:t>
      </w:r>
    </w:p>
    <w:p w14:paraId="7165FBD0" w14:textId="77777777" w:rsidR="00057B27" w:rsidRPr="007F7A39" w:rsidRDefault="00057B27" w:rsidP="00057B27">
      <w:pPr>
        <w:numPr>
          <w:ilvl w:val="12"/>
          <w:numId w:val="0"/>
        </w:numPr>
        <w:tabs>
          <w:tab w:val="clear" w:pos="567"/>
        </w:tabs>
        <w:spacing w:line="240" w:lineRule="auto"/>
        <w:ind w:right="-2"/>
        <w:rPr>
          <w:noProof/>
          <w:szCs w:val="22"/>
        </w:rPr>
      </w:pPr>
    </w:p>
    <w:p w14:paraId="7165FBD1" w14:textId="77777777" w:rsidR="00057B27" w:rsidRPr="007F7A39" w:rsidRDefault="0092445A" w:rsidP="00057B27">
      <w:pPr>
        <w:numPr>
          <w:ilvl w:val="12"/>
          <w:numId w:val="0"/>
        </w:numPr>
        <w:tabs>
          <w:tab w:val="clear" w:pos="567"/>
        </w:tabs>
        <w:spacing w:line="240" w:lineRule="auto"/>
        <w:ind w:right="-2"/>
        <w:rPr>
          <w:noProof/>
          <w:szCs w:val="22"/>
        </w:rPr>
      </w:pPr>
      <w:r w:rsidRPr="007F7A39">
        <w:t>Falls Ihre Nierenfunktion eingeschränkt ist, wird Ihr Arzt regelmäßig überprüfen, dass die Behandlungsdosis angemessen ist und Ihre Nierenfunktion nicht beeinträchtigt.</w:t>
      </w:r>
    </w:p>
    <w:p w14:paraId="7165FBD2" w14:textId="77777777" w:rsidR="00057B27" w:rsidRPr="007F7A39" w:rsidRDefault="00057B27" w:rsidP="00057B27">
      <w:pPr>
        <w:numPr>
          <w:ilvl w:val="12"/>
          <w:numId w:val="0"/>
        </w:numPr>
        <w:tabs>
          <w:tab w:val="clear" w:pos="567"/>
        </w:tabs>
        <w:spacing w:line="240" w:lineRule="auto"/>
        <w:ind w:right="-2"/>
        <w:rPr>
          <w:noProof/>
          <w:szCs w:val="22"/>
        </w:rPr>
      </w:pPr>
    </w:p>
    <w:p w14:paraId="7165FBD3" w14:textId="77777777" w:rsidR="00057B27" w:rsidRPr="007F7A39" w:rsidRDefault="0092445A" w:rsidP="00057B27">
      <w:pPr>
        <w:numPr>
          <w:ilvl w:val="12"/>
          <w:numId w:val="0"/>
        </w:numPr>
        <w:tabs>
          <w:tab w:val="clear" w:pos="567"/>
        </w:tabs>
        <w:spacing w:line="240" w:lineRule="auto"/>
        <w:ind w:right="-2"/>
        <w:rPr>
          <w:noProof/>
          <w:szCs w:val="22"/>
        </w:rPr>
      </w:pPr>
      <w:r w:rsidRPr="007F7A39">
        <w:t>Es wird n</w:t>
      </w:r>
      <w:r w:rsidRPr="007F7A39">
        <w:t xml:space="preserve">icht empfohlen, Trientin mit einem anderen Arzneimittel, das Zink enthält, zu verbinden. </w:t>
      </w:r>
    </w:p>
    <w:p w14:paraId="7165FBD4" w14:textId="77777777" w:rsidR="00057B27" w:rsidRPr="007F7A39" w:rsidRDefault="00057B27" w:rsidP="00057B27">
      <w:pPr>
        <w:numPr>
          <w:ilvl w:val="12"/>
          <w:numId w:val="0"/>
        </w:numPr>
        <w:tabs>
          <w:tab w:val="clear" w:pos="567"/>
        </w:tabs>
        <w:spacing w:line="240" w:lineRule="auto"/>
        <w:ind w:right="-2"/>
        <w:rPr>
          <w:noProof/>
          <w:szCs w:val="22"/>
        </w:rPr>
      </w:pPr>
    </w:p>
    <w:p w14:paraId="7165FBD5" w14:textId="77777777" w:rsidR="00057B27" w:rsidRPr="007F7A39" w:rsidRDefault="0092445A" w:rsidP="00057B27">
      <w:pPr>
        <w:tabs>
          <w:tab w:val="clear" w:pos="567"/>
        </w:tabs>
        <w:autoSpaceDE w:val="0"/>
        <w:autoSpaceDN w:val="0"/>
        <w:adjustRightInd w:val="0"/>
        <w:spacing w:line="240" w:lineRule="auto"/>
        <w:rPr>
          <w:rFonts w:eastAsia="SimSun"/>
          <w:szCs w:val="22"/>
        </w:rPr>
      </w:pPr>
      <w:r w:rsidRPr="007F7A39">
        <w:t>Bei einigen Patienten, die nach einem Penicillamin-Arzneimittel auf ein Trientin-Arzneimittel umgestellt wurden, wurden lupusähnliche Reaktionen gemeldet (die Sympto</w:t>
      </w:r>
      <w:r w:rsidRPr="007F7A39">
        <w:t xml:space="preserve">me können ein anhaltender Hautausschlag, Fieber, Gelenkschmerzen und Müdigkeit sein). Es war jedoch nicht möglich festzustellen, ob die Reaktion von Trientin oder der vorangegangenen Behandlung mit Penicillamin verursacht wurde. </w:t>
      </w:r>
    </w:p>
    <w:p w14:paraId="7165FBD6" w14:textId="77777777" w:rsidR="00057B27" w:rsidRPr="007F7A39" w:rsidRDefault="00057B27" w:rsidP="00057B27">
      <w:pPr>
        <w:numPr>
          <w:ilvl w:val="12"/>
          <w:numId w:val="0"/>
        </w:numPr>
        <w:tabs>
          <w:tab w:val="clear" w:pos="567"/>
        </w:tabs>
        <w:spacing w:line="240" w:lineRule="auto"/>
        <w:ind w:right="-2"/>
        <w:rPr>
          <w:noProof/>
          <w:szCs w:val="22"/>
        </w:rPr>
      </w:pPr>
    </w:p>
    <w:p w14:paraId="7165FBD7" w14:textId="77777777" w:rsidR="00057B27" w:rsidRPr="007F7A39" w:rsidRDefault="0092445A" w:rsidP="00057B27">
      <w:pPr>
        <w:rPr>
          <w:rFonts w:eastAsia="SimSun"/>
          <w:b/>
          <w:bCs/>
          <w:szCs w:val="22"/>
        </w:rPr>
      </w:pPr>
      <w:r w:rsidRPr="007F7A39">
        <w:rPr>
          <w:b/>
        </w:rPr>
        <w:t>Kinder und Jugendliche</w:t>
      </w:r>
    </w:p>
    <w:p w14:paraId="7165FBD8" w14:textId="77777777" w:rsidR="00057B27" w:rsidRPr="007F7A39" w:rsidRDefault="0092445A" w:rsidP="00057B27">
      <w:pPr>
        <w:rPr>
          <w:noProof/>
          <w:szCs w:val="22"/>
        </w:rPr>
      </w:pPr>
      <w:r w:rsidRPr="007F7A39">
        <w:t>Ih</w:t>
      </w:r>
      <w:r w:rsidRPr="007F7A39">
        <w:t xml:space="preserve">r Arzt wird häufiger Kontrollen durchführen, um sicherzustellen, dass Ihre Kupferspiegel auf einem Wert gehalten werden, der für ein normales Wachstum und eine normale geistige Entwicklung angemessen ist. </w:t>
      </w:r>
    </w:p>
    <w:p w14:paraId="7165FBD9" w14:textId="77777777" w:rsidR="00057B27" w:rsidRPr="007F7A39" w:rsidRDefault="0092445A" w:rsidP="00057B27">
      <w:pPr>
        <w:rPr>
          <w:noProof/>
          <w:szCs w:val="22"/>
        </w:rPr>
      </w:pPr>
      <w:r w:rsidRPr="007F7A39">
        <w:t>Cuprior wird nicht für Kinder unter 5 Jahren empfo</w:t>
      </w:r>
      <w:r w:rsidRPr="007F7A39">
        <w:t>hlen.</w:t>
      </w:r>
    </w:p>
    <w:p w14:paraId="7165FBDA" w14:textId="77777777" w:rsidR="00057B27" w:rsidRPr="007F7A39" w:rsidRDefault="00057B27" w:rsidP="00057B27">
      <w:pPr>
        <w:rPr>
          <w:noProof/>
          <w:szCs w:val="22"/>
          <w:highlight w:val="yellow"/>
        </w:rPr>
      </w:pPr>
    </w:p>
    <w:p w14:paraId="7165FBDB" w14:textId="77777777" w:rsidR="00057B27" w:rsidRPr="007F7A39" w:rsidRDefault="0092445A" w:rsidP="00057B27">
      <w:pPr>
        <w:numPr>
          <w:ilvl w:val="12"/>
          <w:numId w:val="0"/>
        </w:numPr>
        <w:tabs>
          <w:tab w:val="clear" w:pos="567"/>
        </w:tabs>
        <w:spacing w:line="240" w:lineRule="auto"/>
        <w:ind w:right="-2"/>
        <w:rPr>
          <w:szCs w:val="22"/>
        </w:rPr>
      </w:pPr>
      <w:r w:rsidRPr="007F7A39">
        <w:rPr>
          <w:b/>
        </w:rPr>
        <w:t>Einnahme von Cuprior zusammen mit anderen Arzneimitteln</w:t>
      </w:r>
    </w:p>
    <w:p w14:paraId="7165FBDC" w14:textId="77777777" w:rsidR="00057B27" w:rsidRPr="007F7A39" w:rsidRDefault="0092445A" w:rsidP="00057B27">
      <w:pPr>
        <w:numPr>
          <w:ilvl w:val="12"/>
          <w:numId w:val="0"/>
        </w:numPr>
        <w:tabs>
          <w:tab w:val="clear" w:pos="567"/>
        </w:tabs>
        <w:spacing w:line="240" w:lineRule="auto"/>
        <w:ind w:right="-2"/>
        <w:rPr>
          <w:noProof/>
          <w:szCs w:val="22"/>
        </w:rPr>
      </w:pPr>
      <w:r w:rsidRPr="007F7A39">
        <w:t xml:space="preserve">Informieren Sie Ihren Arzt, wenn Sie andere Arzneimittel einnehmen, kürzlich andere Arzneimittel eingenommen haben oder beabsichtigen, andere Arzneimittel einzunehmen. </w:t>
      </w:r>
    </w:p>
    <w:p w14:paraId="7165FBDD" w14:textId="77777777" w:rsidR="00057B27" w:rsidRPr="007F7A39" w:rsidRDefault="00057B27" w:rsidP="00057B27">
      <w:pPr>
        <w:numPr>
          <w:ilvl w:val="12"/>
          <w:numId w:val="0"/>
        </w:numPr>
        <w:tabs>
          <w:tab w:val="clear" w:pos="567"/>
        </w:tabs>
        <w:spacing w:line="240" w:lineRule="auto"/>
        <w:ind w:right="-2"/>
        <w:rPr>
          <w:noProof/>
          <w:szCs w:val="22"/>
        </w:rPr>
      </w:pPr>
    </w:p>
    <w:p w14:paraId="7165FBDE" w14:textId="77777777" w:rsidR="00057B27" w:rsidRPr="007F7A39" w:rsidRDefault="0092445A" w:rsidP="00057B27">
      <w:pPr>
        <w:rPr>
          <w:noProof/>
          <w:szCs w:val="22"/>
        </w:rPr>
      </w:pPr>
      <w:r w:rsidRPr="007F7A39">
        <w:t>Insbesondere müssen Sie</w:t>
      </w:r>
      <w:r w:rsidRPr="007F7A39">
        <w:t xml:space="preserve"> Ihren Arzt informieren, falls Sie bereits Eisenpräparate einnehmen, oder falls Sie Arzneimittel zur Behandlung von Verdauungsbeschwerden einnehmen (Arzneimittel, die Unwohlsein nach dem Essen lindern). Falls Sie dieses Arzneimittel einnehmen, kann es sein</w:t>
      </w:r>
      <w:r w:rsidRPr="007F7A39">
        <w:t>, dass Sie Cuprior zu einem anderen Zeitpunkt während des Tages einnehmen müssen, da Cuprior sonst möglicherweise weniger wirksam ist Falls Sie Eisenpräparate einnehmen, versichern Sie sich, dass mindestens zwei Stunden zwischen der Einnahme von Cuprior un</w:t>
      </w:r>
      <w:r w:rsidRPr="007F7A39">
        <w:t>d Ihren Eisenpräparaten vergangen sind.</w:t>
      </w:r>
    </w:p>
    <w:p w14:paraId="7165FBDF" w14:textId="77777777" w:rsidR="00057B27" w:rsidRPr="007F7A39" w:rsidRDefault="00057B27" w:rsidP="00057B27">
      <w:pPr>
        <w:rPr>
          <w:noProof/>
          <w:szCs w:val="22"/>
        </w:rPr>
      </w:pPr>
    </w:p>
    <w:p w14:paraId="7165FBE0" w14:textId="77777777" w:rsidR="00057B27" w:rsidRPr="007F7A39" w:rsidRDefault="0092445A" w:rsidP="00057B27">
      <w:pPr>
        <w:numPr>
          <w:ilvl w:val="12"/>
          <w:numId w:val="0"/>
        </w:numPr>
        <w:tabs>
          <w:tab w:val="clear" w:pos="567"/>
        </w:tabs>
        <w:spacing w:line="240" w:lineRule="auto"/>
        <w:rPr>
          <w:b/>
          <w:szCs w:val="22"/>
        </w:rPr>
      </w:pPr>
      <w:r w:rsidRPr="007F7A39">
        <w:rPr>
          <w:b/>
        </w:rPr>
        <w:t xml:space="preserve">Schwangerschaft und Stillzeit </w:t>
      </w:r>
    </w:p>
    <w:p w14:paraId="7165FBE1" w14:textId="77777777" w:rsidR="00057B27" w:rsidRPr="007F7A39" w:rsidRDefault="0092445A" w:rsidP="00057B27">
      <w:pPr>
        <w:numPr>
          <w:ilvl w:val="12"/>
          <w:numId w:val="0"/>
        </w:numPr>
        <w:tabs>
          <w:tab w:val="clear" w:pos="567"/>
        </w:tabs>
        <w:spacing w:line="240" w:lineRule="auto"/>
        <w:rPr>
          <w:noProof/>
          <w:szCs w:val="22"/>
        </w:rPr>
      </w:pPr>
      <w:r w:rsidRPr="007F7A39">
        <w:t xml:space="preserve">Wenn Sie schwanger sind oder stillen, oder wenn Sie vermuten, schwanger zu sein oder beabsichtigen, schwanger zu werden, fragen Sie vor der Einnahme dieses Arzneimittels Ihren Arzt um Rat. </w:t>
      </w:r>
    </w:p>
    <w:p w14:paraId="7165FBE2" w14:textId="77777777" w:rsidR="00057B27" w:rsidRPr="007F7A39" w:rsidRDefault="00057B27" w:rsidP="00057B27">
      <w:pPr>
        <w:numPr>
          <w:ilvl w:val="12"/>
          <w:numId w:val="0"/>
        </w:numPr>
        <w:tabs>
          <w:tab w:val="clear" w:pos="567"/>
        </w:tabs>
        <w:spacing w:line="240" w:lineRule="auto"/>
        <w:rPr>
          <w:szCs w:val="22"/>
        </w:rPr>
      </w:pPr>
    </w:p>
    <w:p w14:paraId="7165FBE3" w14:textId="77777777" w:rsidR="00057B27" w:rsidRPr="007F7A39" w:rsidRDefault="0092445A" w:rsidP="00057B27">
      <w:pPr>
        <w:numPr>
          <w:ilvl w:val="12"/>
          <w:numId w:val="0"/>
        </w:numPr>
        <w:tabs>
          <w:tab w:val="clear" w:pos="567"/>
        </w:tabs>
        <w:spacing w:line="240" w:lineRule="auto"/>
        <w:rPr>
          <w:szCs w:val="22"/>
        </w:rPr>
      </w:pPr>
      <w:r w:rsidRPr="007F7A39">
        <w:t>Es ist sehr wichtig, die Behandlung weiterzuführen, um die Kupfer</w:t>
      </w:r>
      <w:r w:rsidRPr="007F7A39">
        <w:t>spiegel während der Schwangerschaft zu senken. Sie sollten mit Ihrem Arzt ausführlich über die möglichen Vorteile einer Behandlung sprechen und dabei alle möglichen Risiken, die bestehen können, in Betracht ziehen. Ihr Arzt wird Sie bezüglich der besten Be</w:t>
      </w:r>
      <w:r w:rsidRPr="007F7A39">
        <w:t>handlung und der besten Dosis in Ihrer Situation beraten.</w:t>
      </w:r>
    </w:p>
    <w:p w14:paraId="7165FBE4" w14:textId="77777777" w:rsidR="00057B27" w:rsidRPr="007F7A39" w:rsidRDefault="00057B27" w:rsidP="00057B27">
      <w:pPr>
        <w:numPr>
          <w:ilvl w:val="12"/>
          <w:numId w:val="0"/>
        </w:numPr>
        <w:tabs>
          <w:tab w:val="clear" w:pos="567"/>
        </w:tabs>
        <w:spacing w:line="240" w:lineRule="auto"/>
        <w:rPr>
          <w:noProof/>
          <w:szCs w:val="22"/>
        </w:rPr>
      </w:pPr>
    </w:p>
    <w:p w14:paraId="7165FBE5" w14:textId="77777777" w:rsidR="00057B27" w:rsidRPr="007F7A39" w:rsidRDefault="0092445A" w:rsidP="00057B27">
      <w:pPr>
        <w:rPr>
          <w:noProof/>
          <w:szCs w:val="22"/>
        </w:rPr>
      </w:pPr>
      <w:r w:rsidRPr="007F7A39">
        <w:t xml:space="preserve">Falls Sie schwanger sind und Cuprior einnehmen, werden Sie im Verlauf der Schwangerschaft auf etwaige Auswirkungen auf Ihr Kind oder Veränderungen Ihrer Kupferspiegel überwacht werden. </w:t>
      </w:r>
      <w:r w:rsidRPr="007F7A39">
        <w:lastRenderedPageBreak/>
        <w:t>Wenn Ihr Kin</w:t>
      </w:r>
      <w:r w:rsidRPr="007F7A39">
        <w:t xml:space="preserve">d zur Welt kommt, werden außerdem die Kupferspiegel im Blut des Kindes überwacht werden. </w:t>
      </w:r>
    </w:p>
    <w:p w14:paraId="7165FBE6" w14:textId="77777777" w:rsidR="00057B27" w:rsidRPr="007F7A39" w:rsidRDefault="00057B27" w:rsidP="00057B27">
      <w:pPr>
        <w:rPr>
          <w:noProof/>
          <w:szCs w:val="22"/>
        </w:rPr>
      </w:pPr>
    </w:p>
    <w:p w14:paraId="7165FBE7" w14:textId="77777777" w:rsidR="00057B27" w:rsidRPr="007F7A39" w:rsidRDefault="0092445A" w:rsidP="00057B27">
      <w:pPr>
        <w:rPr>
          <w:noProof/>
          <w:szCs w:val="22"/>
        </w:rPr>
      </w:pPr>
      <w:r w:rsidRPr="007F7A39">
        <w:t>Es ist nicht bekannt, ob Cuprior in die Muttermilch übergeht. Es ist wichtig, dass Sie Ihren Arzt informieren, falls Sie stillen oder beabsichtigen, dies zu tun. Ihr</w:t>
      </w:r>
      <w:r w:rsidRPr="007F7A39">
        <w:t xml:space="preserve"> Arzt wird Ihnen dabei helfen zu entscheiden, ob Sie mit dem Stillen aufhören oder die Einnahme von Cuprior aussetzen und dabei die Vorteile des Stillens für das Kind und die Vorteile von Cuprior für die Mutter in Betracht ziehen. Ihr Arzt wird entscheiden</w:t>
      </w:r>
      <w:r w:rsidRPr="007F7A39">
        <w:t>, welche Behandlung und welche Dosis für Sie in Ihrer Situation am besten sind.</w:t>
      </w:r>
    </w:p>
    <w:p w14:paraId="7165FBE8" w14:textId="77777777" w:rsidR="00057B27" w:rsidRPr="007F7A39" w:rsidRDefault="00057B27" w:rsidP="00057B27">
      <w:pPr>
        <w:numPr>
          <w:ilvl w:val="12"/>
          <w:numId w:val="0"/>
        </w:numPr>
        <w:tabs>
          <w:tab w:val="clear" w:pos="567"/>
        </w:tabs>
        <w:spacing w:line="240" w:lineRule="auto"/>
        <w:rPr>
          <w:noProof/>
          <w:szCs w:val="22"/>
        </w:rPr>
      </w:pPr>
    </w:p>
    <w:p w14:paraId="7165FBE9" w14:textId="77777777" w:rsidR="00057B27" w:rsidRPr="007F7A39" w:rsidRDefault="0092445A" w:rsidP="00057B27">
      <w:pPr>
        <w:numPr>
          <w:ilvl w:val="12"/>
          <w:numId w:val="0"/>
        </w:numPr>
        <w:tabs>
          <w:tab w:val="clear" w:pos="567"/>
        </w:tabs>
        <w:spacing w:line="240" w:lineRule="auto"/>
        <w:rPr>
          <w:b/>
          <w:szCs w:val="22"/>
        </w:rPr>
      </w:pPr>
      <w:r w:rsidRPr="007F7A39">
        <w:rPr>
          <w:b/>
        </w:rPr>
        <w:t>Verkehrstüchtigkeit und Fähigkeit zum Bedienen von Maschinen</w:t>
      </w:r>
    </w:p>
    <w:p w14:paraId="7165FBEA" w14:textId="77777777" w:rsidR="00057B27" w:rsidRPr="007F7A39" w:rsidRDefault="0092445A" w:rsidP="00057B27">
      <w:pPr>
        <w:numPr>
          <w:ilvl w:val="12"/>
          <w:numId w:val="0"/>
        </w:numPr>
        <w:tabs>
          <w:tab w:val="clear" w:pos="567"/>
        </w:tabs>
        <w:spacing w:line="240" w:lineRule="auto"/>
        <w:ind w:right="-2"/>
        <w:rPr>
          <w:noProof/>
          <w:szCs w:val="22"/>
        </w:rPr>
      </w:pPr>
      <w:r w:rsidRPr="007F7A39">
        <w:t>Es wird nicht davon ausgegangen, dass Cuprior Ihre Verkehrstüchtigkeit oder Fähigkeit zum Bedienen von Maschinen b</w:t>
      </w:r>
      <w:r w:rsidRPr="007F7A39">
        <w:t>eeinträchtigt.</w:t>
      </w:r>
    </w:p>
    <w:p w14:paraId="7165FBEB" w14:textId="77777777" w:rsidR="00057B27" w:rsidRPr="007F7A39" w:rsidRDefault="00057B27" w:rsidP="00057B27">
      <w:pPr>
        <w:numPr>
          <w:ilvl w:val="12"/>
          <w:numId w:val="0"/>
        </w:numPr>
        <w:tabs>
          <w:tab w:val="clear" w:pos="567"/>
        </w:tabs>
        <w:spacing w:line="240" w:lineRule="auto"/>
        <w:ind w:right="-2"/>
        <w:rPr>
          <w:noProof/>
          <w:szCs w:val="22"/>
        </w:rPr>
      </w:pPr>
    </w:p>
    <w:p w14:paraId="7165FBEC" w14:textId="77777777" w:rsidR="00057B27" w:rsidRPr="007F7A39" w:rsidRDefault="00057B27" w:rsidP="00057B27">
      <w:pPr>
        <w:numPr>
          <w:ilvl w:val="12"/>
          <w:numId w:val="0"/>
        </w:numPr>
        <w:tabs>
          <w:tab w:val="clear" w:pos="567"/>
        </w:tabs>
        <w:spacing w:line="240" w:lineRule="auto"/>
        <w:ind w:right="-2"/>
        <w:rPr>
          <w:noProof/>
          <w:szCs w:val="22"/>
        </w:rPr>
      </w:pPr>
    </w:p>
    <w:p w14:paraId="7165FBED" w14:textId="77777777" w:rsidR="00057B27" w:rsidRPr="007F7A39" w:rsidRDefault="0092445A" w:rsidP="00057B27">
      <w:pPr>
        <w:pStyle w:val="ListParagraph"/>
        <w:numPr>
          <w:ilvl w:val="0"/>
          <w:numId w:val="33"/>
        </w:numPr>
        <w:tabs>
          <w:tab w:val="clear" w:pos="567"/>
        </w:tabs>
        <w:spacing w:line="240" w:lineRule="auto"/>
        <w:ind w:left="720"/>
        <w:outlineLvl w:val="0"/>
        <w:rPr>
          <w:b/>
          <w:noProof/>
          <w:szCs w:val="22"/>
        </w:rPr>
      </w:pPr>
      <w:r w:rsidRPr="007F7A39">
        <w:rPr>
          <w:b/>
          <w:noProof/>
        </w:rPr>
        <w:t>Wie ist Cuprior einzunehmen?</w:t>
      </w:r>
    </w:p>
    <w:p w14:paraId="7165FBEE" w14:textId="77777777" w:rsidR="00057B27" w:rsidRPr="007F7A39" w:rsidRDefault="00057B27" w:rsidP="00057B27">
      <w:pPr>
        <w:numPr>
          <w:ilvl w:val="12"/>
          <w:numId w:val="0"/>
        </w:numPr>
        <w:tabs>
          <w:tab w:val="clear" w:pos="567"/>
        </w:tabs>
        <w:spacing w:line="240" w:lineRule="auto"/>
        <w:ind w:right="-2"/>
        <w:rPr>
          <w:noProof/>
          <w:szCs w:val="22"/>
        </w:rPr>
      </w:pPr>
    </w:p>
    <w:p w14:paraId="7165FBEF" w14:textId="77777777" w:rsidR="00057B27" w:rsidRPr="007F7A39" w:rsidRDefault="0092445A" w:rsidP="00057B27">
      <w:pPr>
        <w:numPr>
          <w:ilvl w:val="12"/>
          <w:numId w:val="0"/>
        </w:numPr>
        <w:tabs>
          <w:tab w:val="clear" w:pos="567"/>
        </w:tabs>
        <w:spacing w:line="240" w:lineRule="auto"/>
        <w:ind w:right="-2"/>
        <w:rPr>
          <w:noProof/>
          <w:szCs w:val="22"/>
        </w:rPr>
      </w:pPr>
      <w:r w:rsidRPr="007F7A39">
        <w:t xml:space="preserve">Nehmen Sie dieses Arzneimittel immer genau nach Anweisung Ihres Arztes oder Apothekers ein. Fragen Sie bei Ihrem Arzt oder Apotheker nach, wenn Sie sich nicht sicher sind. </w:t>
      </w:r>
    </w:p>
    <w:p w14:paraId="7165FBF0" w14:textId="77777777" w:rsidR="00057B27" w:rsidRPr="007F7A39" w:rsidRDefault="00057B27" w:rsidP="00057B27">
      <w:pPr>
        <w:numPr>
          <w:ilvl w:val="12"/>
          <w:numId w:val="0"/>
        </w:numPr>
        <w:tabs>
          <w:tab w:val="clear" w:pos="567"/>
        </w:tabs>
        <w:spacing w:line="240" w:lineRule="auto"/>
        <w:ind w:right="-2"/>
        <w:rPr>
          <w:noProof/>
          <w:szCs w:val="22"/>
        </w:rPr>
      </w:pPr>
    </w:p>
    <w:p w14:paraId="7165FBF1" w14:textId="410798FA" w:rsidR="00057B27" w:rsidRPr="007F7A39" w:rsidRDefault="0092445A" w:rsidP="00057B27">
      <w:pPr>
        <w:numPr>
          <w:ilvl w:val="12"/>
          <w:numId w:val="0"/>
        </w:numPr>
        <w:tabs>
          <w:tab w:val="clear" w:pos="567"/>
        </w:tabs>
        <w:spacing w:line="240" w:lineRule="auto"/>
        <w:ind w:right="-2"/>
        <w:rPr>
          <w:noProof/>
          <w:szCs w:val="22"/>
        </w:rPr>
      </w:pPr>
      <w:r w:rsidRPr="007F7A39">
        <w:t>Für Erwachsene jeden Alters beträgt</w:t>
      </w:r>
      <w:r w:rsidRPr="007F7A39">
        <w:t xml:space="preserve"> die empfohlene tägliche Gesamtdosis 3 bis 6 </w:t>
      </w:r>
      <w:r w:rsidRPr="007F7A39">
        <w:rPr>
          <w:b/>
        </w:rPr>
        <w:t>½</w:t>
      </w:r>
      <w:r w:rsidRPr="007F7A39">
        <w:t xml:space="preserve"> Tabletten täglich (insgesamt zwischen 450 mg und 975 mg). Diese tägliche Gesamtdosis wird in 2 bis 4 kleinere Dosen aufgeteilt, die während des Tages einzunehmen sind. Ihr Arzt wird Ihnen mitteilen, wie viele </w:t>
      </w:r>
      <w:r w:rsidRPr="007F7A39">
        <w:t>Tabletten Sie einnehmen müssen und wie oft am Tag. Die Tabletten können bei Bedarf halbiert werden.</w:t>
      </w:r>
    </w:p>
    <w:p w14:paraId="7165FBF2" w14:textId="77777777" w:rsidR="00057B27" w:rsidRPr="007F7A39" w:rsidRDefault="00057B27" w:rsidP="00057B27">
      <w:pPr>
        <w:rPr>
          <w:noProof/>
          <w:szCs w:val="22"/>
        </w:rPr>
      </w:pPr>
    </w:p>
    <w:p w14:paraId="7165FBF3" w14:textId="77777777" w:rsidR="00057B27" w:rsidRPr="007F7A39" w:rsidRDefault="0092445A" w:rsidP="00057B27">
      <w:pPr>
        <w:keepNext/>
        <w:autoSpaceDE w:val="0"/>
        <w:autoSpaceDN w:val="0"/>
        <w:adjustRightInd w:val="0"/>
        <w:spacing w:line="240" w:lineRule="auto"/>
        <w:rPr>
          <w:b/>
          <w:bCs/>
          <w:szCs w:val="22"/>
        </w:rPr>
      </w:pPr>
      <w:r w:rsidRPr="007F7A39">
        <w:rPr>
          <w:b/>
        </w:rPr>
        <w:t>Anwendung bei Kindern und Jugendlichen</w:t>
      </w:r>
    </w:p>
    <w:p w14:paraId="7165FBF4" w14:textId="77777777" w:rsidR="00057B27" w:rsidRPr="007F7A39" w:rsidRDefault="0092445A" w:rsidP="00057B27">
      <w:pPr>
        <w:rPr>
          <w:noProof/>
          <w:szCs w:val="22"/>
        </w:rPr>
      </w:pPr>
      <w:r w:rsidRPr="007F7A39">
        <w:t>Die Dosis, die Sie einnehmen werden, ist normalerweise niedriger als die Dosis für einen Erwachsenen und hängt von I</w:t>
      </w:r>
      <w:r w:rsidRPr="007F7A39">
        <w:t xml:space="preserve">hrem Alter und Ihrem Körpergewicht ab. </w:t>
      </w:r>
    </w:p>
    <w:p w14:paraId="7165FBF5" w14:textId="0781214D" w:rsidR="00057B27" w:rsidRPr="007F7A39" w:rsidRDefault="0092445A" w:rsidP="00057B27">
      <w:pPr>
        <w:numPr>
          <w:ilvl w:val="12"/>
          <w:numId w:val="0"/>
        </w:numPr>
        <w:tabs>
          <w:tab w:val="clear" w:pos="567"/>
        </w:tabs>
        <w:spacing w:line="240" w:lineRule="auto"/>
        <w:ind w:right="-2"/>
        <w:rPr>
          <w:noProof/>
          <w:szCs w:val="22"/>
        </w:rPr>
      </w:pPr>
      <w:r w:rsidRPr="007F7A39">
        <w:t>Die übliche tägliche Gesamtdosis liegt zwischen 225 mg und 600 mg (1 </w:t>
      </w:r>
      <w:r w:rsidRPr="007F7A39">
        <w:rPr>
          <w:b/>
        </w:rPr>
        <w:t>½</w:t>
      </w:r>
      <w:r w:rsidRPr="007F7A39">
        <w:t xml:space="preserve"> bis 4 Tabletten täglich), die in 2 bis 4 kleinere Dosen aufgeteilt wird, die während des Tages einzunehmen sind. Ihr Arzt wird Ihnen mitteilen, wie viele Tabletten Sie einnehmen müssen und wie oft am Tag.</w:t>
      </w:r>
    </w:p>
    <w:p w14:paraId="7165FBF6" w14:textId="77777777" w:rsidR="00057B27" w:rsidRPr="007F7A39" w:rsidRDefault="00057B27" w:rsidP="00057B27">
      <w:pPr>
        <w:numPr>
          <w:ilvl w:val="12"/>
          <w:numId w:val="0"/>
        </w:numPr>
        <w:tabs>
          <w:tab w:val="clear" w:pos="567"/>
        </w:tabs>
        <w:spacing w:line="240" w:lineRule="auto"/>
        <w:ind w:right="-2"/>
        <w:rPr>
          <w:noProof/>
          <w:szCs w:val="22"/>
        </w:rPr>
      </w:pPr>
    </w:p>
    <w:p w14:paraId="7165FBF7" w14:textId="77777777" w:rsidR="00057B27" w:rsidRPr="007F7A39" w:rsidRDefault="0092445A" w:rsidP="00057B27">
      <w:pPr>
        <w:rPr>
          <w:noProof/>
          <w:szCs w:val="22"/>
        </w:rPr>
      </w:pPr>
      <w:r w:rsidRPr="007F7A39">
        <w:t xml:space="preserve">Wenn Sie die Behandlung einmal begonnen </w:t>
      </w:r>
      <w:r w:rsidRPr="007F7A39">
        <w:t>haben, kann Ihr Arzt ausgehend vom Behandlungserfolg die Dosis anpassen.</w:t>
      </w:r>
    </w:p>
    <w:p w14:paraId="7165FBF8" w14:textId="77777777" w:rsidR="00057B27" w:rsidRPr="007F7A39" w:rsidRDefault="00057B27" w:rsidP="00057B27">
      <w:pPr>
        <w:rPr>
          <w:noProof/>
          <w:szCs w:val="22"/>
        </w:rPr>
      </w:pPr>
    </w:p>
    <w:p w14:paraId="7165FBF9" w14:textId="22004E75" w:rsidR="00057B27" w:rsidRPr="007F7A39" w:rsidRDefault="0092445A" w:rsidP="00057B27">
      <w:pPr>
        <w:rPr>
          <w:szCs w:val="22"/>
        </w:rPr>
      </w:pPr>
      <w:r w:rsidRPr="007F7A39">
        <w:t>Schlucken Sie die Tabletten mit Wasser auf nüchternen Magen, mindestens eine Stunde vor den Mahlzeiten oder zwei Stunden nach den Mahlzeiten und mit mindestens einer Stunde Abstand z</w:t>
      </w:r>
      <w:r w:rsidRPr="007F7A39">
        <w:t>u allen anderen Arzneimitteln, Nahrungsmitteln oder Milch.</w:t>
      </w:r>
    </w:p>
    <w:p w14:paraId="7165FBFA" w14:textId="77777777" w:rsidR="00057B27" w:rsidRPr="007F7A39" w:rsidRDefault="00057B27" w:rsidP="00057B27">
      <w:pPr>
        <w:rPr>
          <w:szCs w:val="22"/>
        </w:rPr>
      </w:pPr>
    </w:p>
    <w:p w14:paraId="7165FBFB" w14:textId="77777777" w:rsidR="00057B27" w:rsidRPr="007F7A39" w:rsidRDefault="0092445A" w:rsidP="00057B27">
      <w:pPr>
        <w:rPr>
          <w:noProof/>
          <w:szCs w:val="22"/>
        </w:rPr>
      </w:pPr>
      <w:r w:rsidRPr="007F7A39">
        <w:t>Falls Sie Eisenpräparate einnehmen, nehmen Sie diese mindesten zwei Stunden nach der Einnahme einer Cuprior-Dosis ein.</w:t>
      </w:r>
    </w:p>
    <w:p w14:paraId="7165FBFC" w14:textId="77777777" w:rsidR="00057B27" w:rsidRPr="007F7A39" w:rsidRDefault="00057B27" w:rsidP="00057B27">
      <w:pPr>
        <w:numPr>
          <w:ilvl w:val="12"/>
          <w:numId w:val="0"/>
        </w:numPr>
        <w:tabs>
          <w:tab w:val="clear" w:pos="567"/>
        </w:tabs>
        <w:spacing w:line="240" w:lineRule="auto"/>
        <w:ind w:right="-2"/>
        <w:rPr>
          <w:noProof/>
          <w:szCs w:val="22"/>
        </w:rPr>
      </w:pPr>
    </w:p>
    <w:p w14:paraId="7165FBFD" w14:textId="77777777" w:rsidR="00057B27" w:rsidRPr="007F7A39" w:rsidRDefault="0092445A" w:rsidP="00057B27">
      <w:pPr>
        <w:rPr>
          <w:b/>
          <w:szCs w:val="22"/>
        </w:rPr>
      </w:pPr>
      <w:r w:rsidRPr="007F7A39">
        <w:rPr>
          <w:b/>
        </w:rPr>
        <w:t>Wenn Sie eine größere Menge von Cuprior eingenommen haben, als Sie sollten</w:t>
      </w:r>
    </w:p>
    <w:p w14:paraId="7165FBFE" w14:textId="77777777" w:rsidR="00057B27" w:rsidRPr="007F7A39" w:rsidRDefault="0092445A" w:rsidP="00057B27">
      <w:pPr>
        <w:rPr>
          <w:szCs w:val="22"/>
        </w:rPr>
      </w:pPr>
      <w:r w:rsidRPr="007F7A39">
        <w:t>N</w:t>
      </w:r>
      <w:r w:rsidRPr="007F7A39">
        <w:t>ehmen Sie Cuprior genau so ein, wie es Ihnen verschrieben wurde. Wenn Sie meinen, dass Sie möglicherweise mehr Cuprior eingenommen haben, als Sie sollten, wenden Sie sich an Ihren Arzt oder Apotheker.</w:t>
      </w:r>
    </w:p>
    <w:p w14:paraId="7165FBFF" w14:textId="77777777" w:rsidR="00057B27" w:rsidRPr="007F7A39" w:rsidRDefault="00057B27" w:rsidP="00057B27">
      <w:pPr>
        <w:rPr>
          <w:noProof/>
          <w:szCs w:val="22"/>
        </w:rPr>
      </w:pPr>
    </w:p>
    <w:p w14:paraId="7165FC00" w14:textId="77777777" w:rsidR="00057B27" w:rsidRPr="007F7A39" w:rsidRDefault="0092445A" w:rsidP="00057B27">
      <w:pPr>
        <w:rPr>
          <w:b/>
          <w:szCs w:val="22"/>
        </w:rPr>
      </w:pPr>
      <w:r w:rsidRPr="007F7A39">
        <w:rPr>
          <w:b/>
        </w:rPr>
        <w:t>Wenn Sie die Einnahme von Cuprior vergessen haben</w:t>
      </w:r>
    </w:p>
    <w:p w14:paraId="7165FC01" w14:textId="77777777" w:rsidR="00057B27" w:rsidRPr="007F7A39" w:rsidRDefault="0092445A" w:rsidP="00057B27">
      <w:pPr>
        <w:numPr>
          <w:ilvl w:val="12"/>
          <w:numId w:val="0"/>
        </w:numPr>
        <w:tabs>
          <w:tab w:val="clear" w:pos="567"/>
        </w:tabs>
        <w:spacing w:line="240" w:lineRule="auto"/>
        <w:ind w:right="-2"/>
        <w:rPr>
          <w:noProof/>
          <w:szCs w:val="22"/>
        </w:rPr>
      </w:pPr>
      <w:r w:rsidRPr="007F7A39">
        <w:t>Nehm</w:t>
      </w:r>
      <w:r w:rsidRPr="007F7A39">
        <w:t>en Sie nicht die doppelte Menge ein, wenn Sie die vorherige Einnahme vergessen haben. Nehmen Sie einfach die nächste Dosis zum regelmäßig vorgesehenen Zeitpunkt ein.</w:t>
      </w:r>
    </w:p>
    <w:p w14:paraId="7165FC02" w14:textId="77777777" w:rsidR="00057B27" w:rsidRPr="007F7A39" w:rsidRDefault="00057B27" w:rsidP="00057B27">
      <w:pPr>
        <w:numPr>
          <w:ilvl w:val="12"/>
          <w:numId w:val="0"/>
        </w:numPr>
        <w:tabs>
          <w:tab w:val="clear" w:pos="567"/>
        </w:tabs>
        <w:spacing w:line="240" w:lineRule="auto"/>
        <w:ind w:right="-29"/>
        <w:rPr>
          <w:noProof/>
          <w:szCs w:val="22"/>
        </w:rPr>
      </w:pPr>
    </w:p>
    <w:p w14:paraId="7165FC03" w14:textId="77777777" w:rsidR="00057B27" w:rsidRPr="007F7A39" w:rsidRDefault="0092445A" w:rsidP="00057B27">
      <w:pPr>
        <w:numPr>
          <w:ilvl w:val="12"/>
          <w:numId w:val="0"/>
        </w:numPr>
        <w:tabs>
          <w:tab w:val="clear" w:pos="567"/>
        </w:tabs>
        <w:spacing w:line="240" w:lineRule="auto"/>
        <w:ind w:right="-2"/>
        <w:rPr>
          <w:szCs w:val="22"/>
        </w:rPr>
      </w:pPr>
      <w:r w:rsidRPr="007F7A39">
        <w:t>Wenn Sie weitere Fragen zur Einnahme dieses Arzneimittels haben, wenden Sie sich an Ihren</w:t>
      </w:r>
      <w:r w:rsidRPr="007F7A39">
        <w:t xml:space="preserve"> Arzt oder Apotheker.</w:t>
      </w:r>
    </w:p>
    <w:p w14:paraId="7165FC04" w14:textId="77777777" w:rsidR="00057B27" w:rsidRPr="007F7A39" w:rsidRDefault="00057B27" w:rsidP="00057B27">
      <w:pPr>
        <w:numPr>
          <w:ilvl w:val="12"/>
          <w:numId w:val="0"/>
        </w:numPr>
        <w:tabs>
          <w:tab w:val="clear" w:pos="567"/>
        </w:tabs>
        <w:spacing w:line="240" w:lineRule="auto"/>
        <w:ind w:right="-2"/>
        <w:rPr>
          <w:noProof/>
          <w:szCs w:val="22"/>
        </w:rPr>
      </w:pPr>
    </w:p>
    <w:p w14:paraId="7165FC05" w14:textId="77777777" w:rsidR="00057B27" w:rsidRPr="007F7A39" w:rsidRDefault="0092445A" w:rsidP="00057B27">
      <w:pPr>
        <w:keepNext/>
        <w:rPr>
          <w:b/>
          <w:szCs w:val="22"/>
        </w:rPr>
      </w:pPr>
      <w:r w:rsidRPr="007F7A39">
        <w:rPr>
          <w:b/>
        </w:rPr>
        <w:lastRenderedPageBreak/>
        <w:t>Wenn Sie die Einnahme von Cuprior abbrechen</w:t>
      </w:r>
    </w:p>
    <w:p w14:paraId="7165FC06" w14:textId="77777777" w:rsidR="00057B27" w:rsidRPr="007F7A39" w:rsidRDefault="0092445A" w:rsidP="00057B27">
      <w:pPr>
        <w:numPr>
          <w:ilvl w:val="12"/>
          <w:numId w:val="0"/>
        </w:numPr>
        <w:tabs>
          <w:tab w:val="clear" w:pos="567"/>
        </w:tabs>
        <w:spacing w:line="240" w:lineRule="auto"/>
        <w:ind w:right="-29"/>
        <w:rPr>
          <w:noProof/>
          <w:szCs w:val="22"/>
        </w:rPr>
      </w:pPr>
      <w:r w:rsidRPr="007F7A39">
        <w:t>Dieses Arzneimittel ist zur Langzeitanwendung bestimmt. Brechen Sie die Behandlung nicht ohne den Rat Ihres Arztes ab, auch wenn Sie sich besser fühlen, da es sich bei Morbus Wilson um eine</w:t>
      </w:r>
      <w:r w:rsidRPr="007F7A39">
        <w:t xml:space="preserve"> lebenslang andauernde Erkrankung handelt.</w:t>
      </w:r>
    </w:p>
    <w:p w14:paraId="7165FC07" w14:textId="77777777" w:rsidR="00057B27" w:rsidRPr="007F7A39" w:rsidRDefault="00057B27" w:rsidP="00057B27">
      <w:pPr>
        <w:numPr>
          <w:ilvl w:val="12"/>
          <w:numId w:val="0"/>
        </w:numPr>
        <w:tabs>
          <w:tab w:val="clear" w:pos="567"/>
        </w:tabs>
        <w:spacing w:line="240" w:lineRule="auto"/>
        <w:ind w:right="-29"/>
        <w:rPr>
          <w:noProof/>
          <w:szCs w:val="22"/>
          <w:highlight w:val="yellow"/>
        </w:rPr>
      </w:pPr>
    </w:p>
    <w:p w14:paraId="7165FC08" w14:textId="77777777" w:rsidR="00057B27" w:rsidRPr="007F7A39" w:rsidRDefault="0092445A" w:rsidP="00057B27">
      <w:pPr>
        <w:numPr>
          <w:ilvl w:val="12"/>
          <w:numId w:val="0"/>
        </w:numPr>
        <w:tabs>
          <w:tab w:val="clear" w:pos="567"/>
        </w:tabs>
        <w:spacing w:line="240" w:lineRule="auto"/>
        <w:ind w:right="-29"/>
        <w:rPr>
          <w:szCs w:val="22"/>
        </w:rPr>
      </w:pPr>
      <w:r w:rsidRPr="007F7A39">
        <w:t>Wenn Sie weitere Fragen zur Einnahme dieses Arzneimittels haben, wenden Sie sich an Ihren Arzt oder Apotheker.</w:t>
      </w:r>
    </w:p>
    <w:p w14:paraId="7165FC09" w14:textId="77777777" w:rsidR="00057B27" w:rsidRPr="007F7A39" w:rsidRDefault="00057B27" w:rsidP="00057B27">
      <w:pPr>
        <w:numPr>
          <w:ilvl w:val="12"/>
          <w:numId w:val="0"/>
        </w:numPr>
        <w:tabs>
          <w:tab w:val="clear" w:pos="567"/>
        </w:tabs>
        <w:spacing w:line="240" w:lineRule="auto"/>
        <w:rPr>
          <w:szCs w:val="22"/>
        </w:rPr>
      </w:pPr>
    </w:p>
    <w:p w14:paraId="7165FC0A" w14:textId="77777777" w:rsidR="00057B27" w:rsidRPr="007F7A39" w:rsidRDefault="00057B27" w:rsidP="00057B27">
      <w:pPr>
        <w:numPr>
          <w:ilvl w:val="12"/>
          <w:numId w:val="0"/>
        </w:numPr>
        <w:tabs>
          <w:tab w:val="clear" w:pos="567"/>
        </w:tabs>
        <w:spacing w:line="240" w:lineRule="auto"/>
        <w:rPr>
          <w:szCs w:val="22"/>
        </w:rPr>
      </w:pPr>
    </w:p>
    <w:p w14:paraId="7165FC0B" w14:textId="77777777" w:rsidR="00057B27" w:rsidRPr="007F7A39" w:rsidRDefault="0092445A" w:rsidP="00057B27">
      <w:pPr>
        <w:pStyle w:val="ListParagraph"/>
        <w:numPr>
          <w:ilvl w:val="0"/>
          <w:numId w:val="33"/>
        </w:numPr>
        <w:tabs>
          <w:tab w:val="clear" w:pos="567"/>
        </w:tabs>
        <w:spacing w:line="240" w:lineRule="auto"/>
        <w:ind w:left="720"/>
        <w:outlineLvl w:val="0"/>
        <w:rPr>
          <w:b/>
          <w:noProof/>
          <w:szCs w:val="22"/>
        </w:rPr>
      </w:pPr>
      <w:r w:rsidRPr="007F7A39">
        <w:rPr>
          <w:b/>
          <w:noProof/>
        </w:rPr>
        <w:t>Welche Nebenwirkungen sind möglich?</w:t>
      </w:r>
    </w:p>
    <w:p w14:paraId="7165FC0C" w14:textId="77777777" w:rsidR="00057B27" w:rsidRPr="007F7A39" w:rsidRDefault="00057B27" w:rsidP="00057B27">
      <w:pPr>
        <w:numPr>
          <w:ilvl w:val="12"/>
          <w:numId w:val="0"/>
        </w:numPr>
        <w:tabs>
          <w:tab w:val="clear" w:pos="567"/>
        </w:tabs>
        <w:spacing w:line="240" w:lineRule="auto"/>
        <w:rPr>
          <w:szCs w:val="22"/>
        </w:rPr>
      </w:pPr>
    </w:p>
    <w:p w14:paraId="7165FC0D" w14:textId="77777777" w:rsidR="00057B27" w:rsidRPr="007F7A39" w:rsidRDefault="0092445A" w:rsidP="00057B27">
      <w:pPr>
        <w:numPr>
          <w:ilvl w:val="12"/>
          <w:numId w:val="0"/>
        </w:numPr>
        <w:tabs>
          <w:tab w:val="clear" w:pos="567"/>
        </w:tabs>
        <w:spacing w:line="240" w:lineRule="auto"/>
        <w:ind w:right="-29"/>
        <w:rPr>
          <w:noProof/>
          <w:szCs w:val="22"/>
        </w:rPr>
      </w:pPr>
      <w:r w:rsidRPr="007F7A39">
        <w:t xml:space="preserve">Wie alle Arzneimittel kann auch dieses </w:t>
      </w:r>
      <w:r w:rsidRPr="007F7A39">
        <w:t>Arzneimittel Nebenwirkungen haben, die aber nicht bei jedem auftreten müssen.</w:t>
      </w:r>
    </w:p>
    <w:p w14:paraId="7165FC0E" w14:textId="77777777" w:rsidR="00057B27" w:rsidRPr="007F7A39" w:rsidRDefault="00057B27" w:rsidP="00057B27">
      <w:pPr>
        <w:numPr>
          <w:ilvl w:val="12"/>
          <w:numId w:val="0"/>
        </w:numPr>
        <w:tabs>
          <w:tab w:val="clear" w:pos="567"/>
        </w:tabs>
        <w:spacing w:line="240" w:lineRule="auto"/>
        <w:ind w:right="-29"/>
        <w:rPr>
          <w:noProof/>
          <w:szCs w:val="22"/>
        </w:rPr>
      </w:pPr>
    </w:p>
    <w:p w14:paraId="7165FC0F" w14:textId="77777777" w:rsidR="00057B27" w:rsidRPr="007F7A39" w:rsidRDefault="0092445A" w:rsidP="00057B27">
      <w:pPr>
        <w:numPr>
          <w:ilvl w:val="12"/>
          <w:numId w:val="0"/>
        </w:numPr>
        <w:tabs>
          <w:tab w:val="clear" w:pos="567"/>
        </w:tabs>
        <w:spacing w:line="240" w:lineRule="auto"/>
        <w:ind w:right="-29"/>
        <w:rPr>
          <w:noProof/>
          <w:szCs w:val="22"/>
        </w:rPr>
      </w:pPr>
      <w:r w:rsidRPr="007F7A39">
        <w:t>Folgende Nebenwirkungen wurden gemeldet:</w:t>
      </w:r>
    </w:p>
    <w:p w14:paraId="7165FC10" w14:textId="77777777" w:rsidR="00057B27" w:rsidRPr="007F7A39" w:rsidRDefault="00057B27" w:rsidP="00057B27">
      <w:pPr>
        <w:numPr>
          <w:ilvl w:val="12"/>
          <w:numId w:val="0"/>
        </w:numPr>
        <w:tabs>
          <w:tab w:val="clear" w:pos="567"/>
        </w:tabs>
        <w:spacing w:line="240" w:lineRule="auto"/>
        <w:ind w:right="-29"/>
        <w:rPr>
          <w:noProof/>
          <w:szCs w:val="22"/>
        </w:rPr>
      </w:pPr>
    </w:p>
    <w:p w14:paraId="7165FC11" w14:textId="77777777" w:rsidR="00057B27" w:rsidRPr="007F7A39" w:rsidRDefault="0092445A" w:rsidP="00057B27">
      <w:pPr>
        <w:tabs>
          <w:tab w:val="clear" w:pos="567"/>
        </w:tabs>
        <w:autoSpaceDE w:val="0"/>
        <w:autoSpaceDN w:val="0"/>
        <w:adjustRightInd w:val="0"/>
        <w:spacing w:line="240" w:lineRule="auto"/>
        <w:rPr>
          <w:i/>
          <w:noProof/>
          <w:szCs w:val="22"/>
        </w:rPr>
      </w:pPr>
      <w:r w:rsidRPr="007F7A39">
        <w:rPr>
          <w:i/>
          <w:noProof/>
        </w:rPr>
        <w:t>Häufig (kann bis zu 1 von 10 Behandelten betreffen):</w:t>
      </w:r>
    </w:p>
    <w:p w14:paraId="7165FC12" w14:textId="77777777" w:rsidR="00057B27" w:rsidRPr="007F7A39" w:rsidRDefault="0092445A" w:rsidP="00057B27">
      <w:pPr>
        <w:numPr>
          <w:ilvl w:val="0"/>
          <w:numId w:val="15"/>
        </w:numPr>
        <w:tabs>
          <w:tab w:val="clear" w:pos="567"/>
        </w:tabs>
        <w:spacing w:line="240" w:lineRule="auto"/>
        <w:ind w:right="-29"/>
        <w:rPr>
          <w:noProof/>
          <w:szCs w:val="22"/>
        </w:rPr>
      </w:pPr>
      <w:r w:rsidRPr="007F7A39">
        <w:t xml:space="preserve">Übelkeit (Nausea) </w:t>
      </w:r>
    </w:p>
    <w:p w14:paraId="7165FC13" w14:textId="77777777" w:rsidR="00057B27" w:rsidRPr="007F7A39" w:rsidRDefault="00057B27" w:rsidP="00057B27">
      <w:pPr>
        <w:tabs>
          <w:tab w:val="clear" w:pos="567"/>
        </w:tabs>
        <w:autoSpaceDE w:val="0"/>
        <w:autoSpaceDN w:val="0"/>
        <w:adjustRightInd w:val="0"/>
        <w:spacing w:line="240" w:lineRule="auto"/>
        <w:rPr>
          <w:i/>
          <w:noProof/>
          <w:szCs w:val="22"/>
        </w:rPr>
      </w:pPr>
    </w:p>
    <w:p w14:paraId="7165FC14" w14:textId="77777777" w:rsidR="00057B27" w:rsidRPr="007F7A39" w:rsidRDefault="0092445A" w:rsidP="00057B27">
      <w:pPr>
        <w:tabs>
          <w:tab w:val="clear" w:pos="567"/>
        </w:tabs>
        <w:autoSpaceDE w:val="0"/>
        <w:autoSpaceDN w:val="0"/>
        <w:adjustRightInd w:val="0"/>
        <w:spacing w:line="240" w:lineRule="auto"/>
        <w:rPr>
          <w:i/>
          <w:noProof/>
          <w:szCs w:val="22"/>
        </w:rPr>
      </w:pPr>
      <w:r w:rsidRPr="007F7A39">
        <w:rPr>
          <w:i/>
          <w:noProof/>
        </w:rPr>
        <w:t>Gelegentlich (kann bis zu 1 von 100 Behandelten betreffen):</w:t>
      </w:r>
    </w:p>
    <w:p w14:paraId="7165FC15" w14:textId="77777777" w:rsidR="00057B27" w:rsidRPr="007F7A39" w:rsidRDefault="0092445A" w:rsidP="00057B27">
      <w:pPr>
        <w:numPr>
          <w:ilvl w:val="0"/>
          <w:numId w:val="15"/>
        </w:numPr>
        <w:tabs>
          <w:tab w:val="clear" w:pos="567"/>
        </w:tabs>
        <w:spacing w:line="240" w:lineRule="auto"/>
        <w:ind w:right="-29"/>
        <w:rPr>
          <w:noProof/>
          <w:szCs w:val="22"/>
        </w:rPr>
      </w:pPr>
      <w:r w:rsidRPr="007F7A39">
        <w:t>Ha</w:t>
      </w:r>
      <w:r w:rsidRPr="007F7A39">
        <w:t>utausschläge</w:t>
      </w:r>
    </w:p>
    <w:p w14:paraId="7165FC16" w14:textId="217C06D5" w:rsidR="00057B27" w:rsidRPr="001B4B2A" w:rsidRDefault="0092445A" w:rsidP="00057B27">
      <w:pPr>
        <w:numPr>
          <w:ilvl w:val="0"/>
          <w:numId w:val="15"/>
        </w:numPr>
        <w:tabs>
          <w:tab w:val="clear" w:pos="567"/>
        </w:tabs>
        <w:spacing w:line="240" w:lineRule="auto"/>
        <w:ind w:right="-29"/>
        <w:rPr>
          <w:noProof/>
          <w:szCs w:val="22"/>
        </w:rPr>
      </w:pPr>
      <w:r w:rsidRPr="007F7A39">
        <w:t>Juckreiz</w:t>
      </w:r>
    </w:p>
    <w:p w14:paraId="2E1ED7F2" w14:textId="4D6DB6E1" w:rsidR="001B4B2A" w:rsidRPr="007F7A39" w:rsidRDefault="0092445A" w:rsidP="00057B27">
      <w:pPr>
        <w:numPr>
          <w:ilvl w:val="0"/>
          <w:numId w:val="15"/>
        </w:numPr>
        <w:tabs>
          <w:tab w:val="clear" w:pos="567"/>
        </w:tabs>
        <w:spacing w:line="240" w:lineRule="auto"/>
        <w:ind w:right="-29"/>
        <w:rPr>
          <w:noProof/>
          <w:szCs w:val="22"/>
        </w:rPr>
      </w:pPr>
      <w:r w:rsidRPr="001B4B2A">
        <w:rPr>
          <w:noProof/>
          <w:szCs w:val="22"/>
        </w:rPr>
        <w:t>Anämie</w:t>
      </w:r>
    </w:p>
    <w:p w14:paraId="7165FC17" w14:textId="77777777" w:rsidR="00057B27" w:rsidRPr="007F7A39" w:rsidRDefault="00057B27" w:rsidP="00057B27">
      <w:pPr>
        <w:tabs>
          <w:tab w:val="clear" w:pos="567"/>
        </w:tabs>
        <w:spacing w:line="240" w:lineRule="auto"/>
        <w:ind w:left="360" w:right="-29"/>
        <w:rPr>
          <w:noProof/>
          <w:szCs w:val="22"/>
        </w:rPr>
      </w:pPr>
    </w:p>
    <w:p w14:paraId="7165FC18" w14:textId="77777777" w:rsidR="00057B27" w:rsidRPr="007F7A39" w:rsidRDefault="0092445A" w:rsidP="00057B27">
      <w:pPr>
        <w:tabs>
          <w:tab w:val="clear" w:pos="567"/>
        </w:tabs>
        <w:spacing w:line="240" w:lineRule="auto"/>
        <w:ind w:right="-29"/>
        <w:rPr>
          <w:i/>
          <w:noProof/>
          <w:szCs w:val="22"/>
        </w:rPr>
      </w:pPr>
      <w:r w:rsidRPr="007F7A39">
        <w:rPr>
          <w:i/>
          <w:noProof/>
        </w:rPr>
        <w:t>Nicht bekannt (Häufigkeit auf Grundlage der verfügbaren Daten nicht abschätzbar):</w:t>
      </w:r>
    </w:p>
    <w:p w14:paraId="7165FC19" w14:textId="77777777" w:rsidR="00057B27" w:rsidRPr="007F7A39" w:rsidRDefault="0092445A" w:rsidP="00057B27">
      <w:pPr>
        <w:numPr>
          <w:ilvl w:val="0"/>
          <w:numId w:val="15"/>
        </w:numPr>
        <w:tabs>
          <w:tab w:val="clear" w:pos="567"/>
        </w:tabs>
        <w:spacing w:line="240" w:lineRule="auto"/>
        <w:ind w:right="-29"/>
        <w:rPr>
          <w:noProof/>
          <w:szCs w:val="22"/>
        </w:rPr>
      </w:pPr>
      <w:r w:rsidRPr="007F7A39">
        <w:t xml:space="preserve">Magenverstimmungen und Unwohlsein, einschließlich schwerer Magenschmerzen (Duodenitis) </w:t>
      </w:r>
    </w:p>
    <w:p w14:paraId="7165FC1A" w14:textId="77777777" w:rsidR="00057B27" w:rsidRPr="007F7A39" w:rsidRDefault="0092445A" w:rsidP="00057B27">
      <w:pPr>
        <w:numPr>
          <w:ilvl w:val="0"/>
          <w:numId w:val="15"/>
        </w:numPr>
        <w:tabs>
          <w:tab w:val="clear" w:pos="567"/>
        </w:tabs>
        <w:spacing w:line="240" w:lineRule="auto"/>
        <w:ind w:right="-29"/>
        <w:rPr>
          <w:noProof/>
          <w:szCs w:val="22"/>
        </w:rPr>
      </w:pPr>
      <w:r w:rsidRPr="007F7A39">
        <w:t>Darmentzündungen, die unter anderem zu Unterleibsschmerzen, wiederkehrenden Durchfällen und Blut im Stuhl führen können (Kolitis)</w:t>
      </w:r>
    </w:p>
    <w:p w14:paraId="7165FC1B" w14:textId="388AA83C" w:rsidR="00057B27" w:rsidRPr="007F7A39" w:rsidRDefault="0092445A" w:rsidP="00057B27">
      <w:pPr>
        <w:numPr>
          <w:ilvl w:val="0"/>
          <w:numId w:val="15"/>
        </w:numPr>
        <w:tabs>
          <w:tab w:val="clear" w:pos="567"/>
        </w:tabs>
        <w:spacing w:line="240" w:lineRule="auto"/>
        <w:ind w:right="-29"/>
        <w:rPr>
          <w:noProof/>
          <w:szCs w:val="22"/>
        </w:rPr>
      </w:pPr>
      <w:r w:rsidRPr="007F7A39">
        <w:t>Abnahme der Anzahl roter Blutkörperche</w:t>
      </w:r>
      <w:r w:rsidRPr="007F7A39">
        <w:t xml:space="preserve">n aufgrund eines niedrigen Eisenspiegels in Ihrem Blut (Eisenmangel) </w:t>
      </w:r>
    </w:p>
    <w:p w14:paraId="7165FC1C" w14:textId="77777777" w:rsidR="00057B27" w:rsidRPr="007F7A39" w:rsidRDefault="0092445A" w:rsidP="00057B27">
      <w:pPr>
        <w:numPr>
          <w:ilvl w:val="0"/>
          <w:numId w:val="15"/>
        </w:numPr>
        <w:tabs>
          <w:tab w:val="clear" w:pos="567"/>
        </w:tabs>
        <w:spacing w:line="240" w:lineRule="auto"/>
        <w:ind w:right="-29"/>
        <w:rPr>
          <w:noProof/>
          <w:szCs w:val="22"/>
        </w:rPr>
      </w:pPr>
      <w:r w:rsidRPr="007F7A39">
        <w:t>Urtikaria (Nesselfieber oder Nesselsucht).</w:t>
      </w:r>
    </w:p>
    <w:p w14:paraId="7165FC1D" w14:textId="77777777" w:rsidR="00057B27" w:rsidRPr="007F7A39" w:rsidRDefault="00057B27" w:rsidP="00057B27">
      <w:pPr>
        <w:numPr>
          <w:ilvl w:val="12"/>
          <w:numId w:val="0"/>
        </w:numPr>
        <w:tabs>
          <w:tab w:val="clear" w:pos="567"/>
        </w:tabs>
        <w:spacing w:line="240" w:lineRule="auto"/>
        <w:ind w:right="-2"/>
        <w:rPr>
          <w:b/>
          <w:szCs w:val="22"/>
        </w:rPr>
      </w:pPr>
    </w:p>
    <w:p w14:paraId="7165FC1E" w14:textId="77777777" w:rsidR="00057B27" w:rsidRPr="007F7A39" w:rsidRDefault="0092445A" w:rsidP="00057B27">
      <w:pPr>
        <w:rPr>
          <w:b/>
          <w:szCs w:val="22"/>
        </w:rPr>
      </w:pPr>
      <w:r w:rsidRPr="007F7A39">
        <w:rPr>
          <w:b/>
        </w:rPr>
        <w:t>Meldung von Nebenwirkungen</w:t>
      </w:r>
    </w:p>
    <w:p w14:paraId="7165FC1F" w14:textId="77777777" w:rsidR="00057B27" w:rsidRPr="007F7A39" w:rsidRDefault="0092445A" w:rsidP="00057B27">
      <w:pPr>
        <w:pStyle w:val="BodytextAgency"/>
        <w:spacing w:after="0" w:line="240" w:lineRule="auto"/>
        <w:rPr>
          <w:rFonts w:ascii="Times New Roman" w:hAnsi="Times New Roman" w:cs="Times New Roman"/>
          <w:sz w:val="22"/>
          <w:szCs w:val="22"/>
        </w:rPr>
      </w:pPr>
      <w:r w:rsidRPr="007F7A39">
        <w:rPr>
          <w:rFonts w:ascii="Times New Roman" w:hAnsi="Times New Roman" w:cs="Times New Roman"/>
          <w:noProof/>
          <w:sz w:val="22"/>
        </w:rPr>
        <w:t>Wenn Sie Nebenwirkungen bemerken, wenden Sie sich an Ihren Arzt oder Apotheker.</w:t>
      </w:r>
      <w:r w:rsidRPr="007F7A39">
        <w:rPr>
          <w:rFonts w:ascii="Times New Roman" w:hAnsi="Times New Roman" w:cs="Times New Roman"/>
          <w:color w:val="FF0000"/>
          <w:sz w:val="22"/>
        </w:rPr>
        <w:t xml:space="preserve"> </w:t>
      </w:r>
      <w:r w:rsidRPr="007F7A39">
        <w:rPr>
          <w:rFonts w:ascii="Times New Roman" w:hAnsi="Times New Roman" w:cs="Times New Roman"/>
          <w:noProof/>
          <w:sz w:val="22"/>
        </w:rPr>
        <w:t xml:space="preserve">Dies gilt auch für Nebenwirkungen, </w:t>
      </w:r>
      <w:r w:rsidRPr="007F7A39">
        <w:rPr>
          <w:rFonts w:ascii="Times New Roman" w:hAnsi="Times New Roman" w:cs="Times New Roman"/>
          <w:noProof/>
          <w:sz w:val="22"/>
        </w:rPr>
        <w:t xml:space="preserve">die nicht in dieser Packungsbeilage angegeben sind. Sie können Nebenwirkungen auch direkt über </w:t>
      </w:r>
      <w:r w:rsidRPr="007F7A39">
        <w:rPr>
          <w:rFonts w:ascii="Times New Roman" w:hAnsi="Times New Roman" w:cs="Times New Roman"/>
          <w:sz w:val="22"/>
          <w:highlight w:val="lightGray"/>
        </w:rPr>
        <w:t xml:space="preserve">das in </w:t>
      </w:r>
      <w:hyperlink r:id="rId15" w:history="1">
        <w:r w:rsidRPr="007F7A39">
          <w:rPr>
            <w:rStyle w:val="Hyperlink"/>
            <w:rFonts w:ascii="Times New Roman" w:hAnsi="Times New Roman" w:cs="Times New Roman"/>
            <w:sz w:val="22"/>
            <w:highlight w:val="lightGray"/>
          </w:rPr>
          <w:t>Anhang V</w:t>
        </w:r>
      </w:hyperlink>
      <w:r w:rsidRPr="007F7A39">
        <w:rPr>
          <w:rFonts w:ascii="Times New Roman" w:hAnsi="Times New Roman" w:cs="Times New Roman"/>
          <w:sz w:val="22"/>
        </w:rPr>
        <w:t xml:space="preserve"> </w:t>
      </w:r>
      <w:r w:rsidRPr="007F7A39">
        <w:rPr>
          <w:rFonts w:ascii="Times New Roman" w:hAnsi="Times New Roman" w:cs="Times New Roman"/>
          <w:sz w:val="22"/>
          <w:highlight w:val="lightGray"/>
        </w:rPr>
        <w:t xml:space="preserve">aufgeführte nationale </w:t>
      </w:r>
      <w:r w:rsidRPr="007F7A39">
        <w:rPr>
          <w:rFonts w:ascii="Times New Roman" w:hAnsi="Times New Roman" w:cs="Times New Roman"/>
          <w:sz w:val="22"/>
          <w:highlight w:val="lightGray"/>
        </w:rPr>
        <w:t>Meldesystem</w:t>
      </w:r>
      <w:r w:rsidRPr="007F7A39">
        <w:rPr>
          <w:rFonts w:ascii="Times New Roman" w:hAnsi="Times New Roman" w:cs="Times New Roman"/>
          <w:sz w:val="22"/>
        </w:rPr>
        <w:t xml:space="preserve"> anzeigen. Indem Sie Nebenwirkungen melden, können Sie dazu beitragen, dass mehr Informationen über die Sicherheit dieses Arzneimittels zur Verfügung gestellt werden.</w:t>
      </w:r>
    </w:p>
    <w:p w14:paraId="7165FC20" w14:textId="77777777" w:rsidR="00057B27" w:rsidRPr="007F7A39" w:rsidRDefault="00057B27" w:rsidP="00057B27">
      <w:pPr>
        <w:autoSpaceDE w:val="0"/>
        <w:autoSpaceDN w:val="0"/>
        <w:adjustRightInd w:val="0"/>
        <w:spacing w:line="240" w:lineRule="auto"/>
        <w:rPr>
          <w:szCs w:val="22"/>
        </w:rPr>
      </w:pPr>
    </w:p>
    <w:p w14:paraId="7165FC21" w14:textId="77777777" w:rsidR="00057B27" w:rsidRPr="007F7A39" w:rsidRDefault="00057B27" w:rsidP="00057B27">
      <w:pPr>
        <w:autoSpaceDE w:val="0"/>
        <w:autoSpaceDN w:val="0"/>
        <w:adjustRightInd w:val="0"/>
        <w:spacing w:line="240" w:lineRule="auto"/>
        <w:rPr>
          <w:szCs w:val="22"/>
        </w:rPr>
      </w:pPr>
    </w:p>
    <w:p w14:paraId="7165FC22" w14:textId="77777777" w:rsidR="00057B27" w:rsidRPr="007F7A39" w:rsidRDefault="0092445A" w:rsidP="00057B27">
      <w:pPr>
        <w:pStyle w:val="ListParagraph"/>
        <w:numPr>
          <w:ilvl w:val="0"/>
          <w:numId w:val="33"/>
        </w:numPr>
        <w:tabs>
          <w:tab w:val="clear" w:pos="567"/>
        </w:tabs>
        <w:spacing w:line="240" w:lineRule="auto"/>
        <w:ind w:left="720"/>
        <w:outlineLvl w:val="0"/>
        <w:rPr>
          <w:b/>
          <w:noProof/>
          <w:szCs w:val="22"/>
        </w:rPr>
      </w:pPr>
      <w:r w:rsidRPr="007F7A39">
        <w:rPr>
          <w:b/>
          <w:noProof/>
        </w:rPr>
        <w:t>Wie ist Cuprior aufzubewahren?</w:t>
      </w:r>
    </w:p>
    <w:p w14:paraId="7165FC23" w14:textId="77777777" w:rsidR="00057B27" w:rsidRPr="007F7A39" w:rsidRDefault="00057B27" w:rsidP="00057B27">
      <w:pPr>
        <w:numPr>
          <w:ilvl w:val="12"/>
          <w:numId w:val="0"/>
        </w:numPr>
        <w:tabs>
          <w:tab w:val="clear" w:pos="567"/>
        </w:tabs>
        <w:spacing w:line="240" w:lineRule="auto"/>
        <w:ind w:right="-2"/>
        <w:rPr>
          <w:noProof/>
          <w:szCs w:val="22"/>
        </w:rPr>
      </w:pPr>
    </w:p>
    <w:p w14:paraId="7165FC24" w14:textId="77777777" w:rsidR="00057B27" w:rsidRPr="007F7A39" w:rsidRDefault="0092445A" w:rsidP="00057B27">
      <w:pPr>
        <w:numPr>
          <w:ilvl w:val="12"/>
          <w:numId w:val="0"/>
        </w:numPr>
        <w:tabs>
          <w:tab w:val="clear" w:pos="567"/>
        </w:tabs>
        <w:spacing w:line="240" w:lineRule="auto"/>
        <w:ind w:right="-2"/>
        <w:rPr>
          <w:noProof/>
          <w:szCs w:val="22"/>
        </w:rPr>
      </w:pPr>
      <w:r w:rsidRPr="007F7A39">
        <w:t xml:space="preserve">Bewahren Sie dieses Arzneimittel für Kinder </w:t>
      </w:r>
      <w:r w:rsidRPr="007F7A39">
        <w:t>unzugänglich auf.</w:t>
      </w:r>
    </w:p>
    <w:p w14:paraId="7165FC25" w14:textId="77777777" w:rsidR="00057B27" w:rsidRPr="007F7A39" w:rsidRDefault="00057B27" w:rsidP="00057B27">
      <w:pPr>
        <w:numPr>
          <w:ilvl w:val="12"/>
          <w:numId w:val="0"/>
        </w:numPr>
        <w:tabs>
          <w:tab w:val="clear" w:pos="567"/>
        </w:tabs>
        <w:spacing w:line="240" w:lineRule="auto"/>
        <w:ind w:right="-2"/>
        <w:rPr>
          <w:noProof/>
          <w:szCs w:val="22"/>
        </w:rPr>
      </w:pPr>
    </w:p>
    <w:p w14:paraId="7165FC26" w14:textId="00CE9C40" w:rsidR="00057B27" w:rsidRPr="007F7A39" w:rsidRDefault="0092445A" w:rsidP="00057B27">
      <w:pPr>
        <w:numPr>
          <w:ilvl w:val="12"/>
          <w:numId w:val="0"/>
        </w:numPr>
        <w:tabs>
          <w:tab w:val="clear" w:pos="567"/>
        </w:tabs>
        <w:spacing w:line="240" w:lineRule="auto"/>
        <w:ind w:right="-2"/>
        <w:rPr>
          <w:noProof/>
          <w:szCs w:val="22"/>
        </w:rPr>
      </w:pPr>
      <w:r w:rsidRPr="007F7A39">
        <w:t>Sie dürfen dieses Arzneimittel nach dem auf dem Umkarton und der Blisterpackung nach „verwendbar bis“ angegebenen Verfalldatum nicht mehr verwenden. Das Verfalldatum bezieht sich auf den letzten Tag des angegebenen Monats.</w:t>
      </w:r>
    </w:p>
    <w:p w14:paraId="7165FC27" w14:textId="77777777" w:rsidR="00057B27" w:rsidRPr="007F7A39" w:rsidRDefault="00057B27" w:rsidP="00057B27">
      <w:pPr>
        <w:numPr>
          <w:ilvl w:val="12"/>
          <w:numId w:val="0"/>
        </w:numPr>
        <w:tabs>
          <w:tab w:val="clear" w:pos="567"/>
        </w:tabs>
        <w:spacing w:line="240" w:lineRule="auto"/>
        <w:ind w:right="-2"/>
        <w:rPr>
          <w:noProof/>
          <w:szCs w:val="22"/>
        </w:rPr>
      </w:pPr>
    </w:p>
    <w:p w14:paraId="7165FC28" w14:textId="77777777" w:rsidR="00057B27" w:rsidRPr="007F7A39" w:rsidRDefault="0092445A" w:rsidP="00057B27">
      <w:pPr>
        <w:numPr>
          <w:ilvl w:val="12"/>
          <w:numId w:val="0"/>
        </w:numPr>
        <w:tabs>
          <w:tab w:val="clear" w:pos="567"/>
        </w:tabs>
        <w:spacing w:line="240" w:lineRule="auto"/>
        <w:ind w:right="-2"/>
        <w:rPr>
          <w:noProof/>
          <w:szCs w:val="22"/>
        </w:rPr>
      </w:pPr>
      <w:r w:rsidRPr="007F7A39">
        <w:t>Für dieses Ar</w:t>
      </w:r>
      <w:r w:rsidRPr="007F7A39">
        <w:t>zneimittel sind keine besonderen Lagerungsbedingungen erforderlich.</w:t>
      </w:r>
    </w:p>
    <w:p w14:paraId="7165FC29" w14:textId="77777777" w:rsidR="00057B27" w:rsidRPr="007F7A39" w:rsidRDefault="00057B27" w:rsidP="00057B27">
      <w:pPr>
        <w:numPr>
          <w:ilvl w:val="12"/>
          <w:numId w:val="0"/>
        </w:numPr>
        <w:tabs>
          <w:tab w:val="clear" w:pos="567"/>
        </w:tabs>
        <w:spacing w:line="240" w:lineRule="auto"/>
        <w:ind w:right="-2"/>
        <w:rPr>
          <w:noProof/>
          <w:szCs w:val="22"/>
        </w:rPr>
      </w:pPr>
    </w:p>
    <w:p w14:paraId="7165FC2A" w14:textId="77777777" w:rsidR="00057B27" w:rsidRPr="007F7A39" w:rsidRDefault="0092445A" w:rsidP="00057B27">
      <w:pPr>
        <w:numPr>
          <w:ilvl w:val="12"/>
          <w:numId w:val="0"/>
        </w:numPr>
        <w:tabs>
          <w:tab w:val="clear" w:pos="567"/>
        </w:tabs>
        <w:spacing w:line="240" w:lineRule="auto"/>
        <w:ind w:right="-2"/>
        <w:rPr>
          <w:noProof/>
          <w:szCs w:val="22"/>
        </w:rPr>
      </w:pPr>
      <w:r w:rsidRPr="007F7A39">
        <w:t>Entsorgen Sie Arzneimittel nicht im Abwasser oder Haushaltsabfall. Fragen Sie Ihren Apotheker, wie das Arzneimittel zu entsorgen ist, wenn Sie es nicht mehr verwenden. Sie tragen damit zu</w:t>
      </w:r>
      <w:r w:rsidRPr="007F7A39">
        <w:t>m Schutz der Umwelt bei.</w:t>
      </w:r>
    </w:p>
    <w:p w14:paraId="7165FC2B" w14:textId="77777777" w:rsidR="00057B27" w:rsidRPr="007F7A39" w:rsidRDefault="00057B27" w:rsidP="00057B27">
      <w:pPr>
        <w:numPr>
          <w:ilvl w:val="12"/>
          <w:numId w:val="0"/>
        </w:numPr>
        <w:tabs>
          <w:tab w:val="clear" w:pos="567"/>
        </w:tabs>
        <w:spacing w:line="240" w:lineRule="auto"/>
        <w:ind w:right="-2"/>
        <w:rPr>
          <w:noProof/>
          <w:szCs w:val="22"/>
        </w:rPr>
      </w:pPr>
    </w:p>
    <w:p w14:paraId="7165FC2C" w14:textId="77777777" w:rsidR="00057B27" w:rsidRPr="007F7A39" w:rsidRDefault="00057B27" w:rsidP="00057B27">
      <w:pPr>
        <w:numPr>
          <w:ilvl w:val="12"/>
          <w:numId w:val="0"/>
        </w:numPr>
        <w:tabs>
          <w:tab w:val="clear" w:pos="567"/>
        </w:tabs>
        <w:spacing w:line="240" w:lineRule="auto"/>
        <w:ind w:right="-2"/>
        <w:rPr>
          <w:noProof/>
          <w:szCs w:val="22"/>
        </w:rPr>
      </w:pPr>
    </w:p>
    <w:p w14:paraId="7165FC2D" w14:textId="77777777" w:rsidR="00057B27" w:rsidRPr="007F7A39" w:rsidRDefault="0092445A" w:rsidP="00057B27">
      <w:pPr>
        <w:pStyle w:val="ListParagraph"/>
        <w:keepNext/>
        <w:numPr>
          <w:ilvl w:val="0"/>
          <w:numId w:val="33"/>
        </w:numPr>
        <w:tabs>
          <w:tab w:val="clear" w:pos="567"/>
        </w:tabs>
        <w:spacing w:line="240" w:lineRule="auto"/>
        <w:ind w:left="720"/>
        <w:outlineLvl w:val="0"/>
        <w:rPr>
          <w:b/>
          <w:noProof/>
          <w:szCs w:val="22"/>
        </w:rPr>
      </w:pPr>
      <w:r w:rsidRPr="007F7A39">
        <w:rPr>
          <w:b/>
          <w:noProof/>
        </w:rPr>
        <w:lastRenderedPageBreak/>
        <w:t>Inhalt der Packung und weitere Informationen</w:t>
      </w:r>
    </w:p>
    <w:p w14:paraId="7165FC2E" w14:textId="77777777" w:rsidR="00057B27" w:rsidRPr="007F7A39" w:rsidRDefault="00057B27" w:rsidP="00057B27">
      <w:pPr>
        <w:keepNext/>
        <w:numPr>
          <w:ilvl w:val="12"/>
          <w:numId w:val="0"/>
        </w:numPr>
        <w:tabs>
          <w:tab w:val="clear" w:pos="567"/>
        </w:tabs>
        <w:spacing w:line="240" w:lineRule="auto"/>
        <w:rPr>
          <w:szCs w:val="22"/>
        </w:rPr>
      </w:pPr>
    </w:p>
    <w:p w14:paraId="7165FC2F" w14:textId="77777777" w:rsidR="00057B27" w:rsidRPr="007F7A39" w:rsidRDefault="0092445A" w:rsidP="00057B27">
      <w:pPr>
        <w:keepNext/>
        <w:numPr>
          <w:ilvl w:val="12"/>
          <w:numId w:val="0"/>
        </w:numPr>
        <w:tabs>
          <w:tab w:val="clear" w:pos="567"/>
        </w:tabs>
        <w:spacing w:line="240" w:lineRule="auto"/>
        <w:ind w:right="-2"/>
        <w:rPr>
          <w:b/>
          <w:szCs w:val="22"/>
        </w:rPr>
      </w:pPr>
      <w:r w:rsidRPr="007F7A39">
        <w:rPr>
          <w:b/>
        </w:rPr>
        <w:t xml:space="preserve">Was Cuprior enthält </w:t>
      </w:r>
    </w:p>
    <w:p w14:paraId="7165FC30" w14:textId="114D0125" w:rsidR="00057B27" w:rsidRPr="007F7A39" w:rsidRDefault="0092445A" w:rsidP="00057B27">
      <w:pPr>
        <w:numPr>
          <w:ilvl w:val="12"/>
          <w:numId w:val="0"/>
        </w:numPr>
        <w:tabs>
          <w:tab w:val="clear" w:pos="567"/>
        </w:tabs>
        <w:spacing w:line="240" w:lineRule="auto"/>
        <w:ind w:right="-2"/>
        <w:rPr>
          <w:noProof/>
          <w:szCs w:val="22"/>
        </w:rPr>
      </w:pPr>
      <w:r w:rsidRPr="007F7A39">
        <w:t xml:space="preserve">Der Wirkstoff ist: Trientin. Jede </w:t>
      </w:r>
      <w:r w:rsidR="00007FC2" w:rsidRPr="007F7A39">
        <w:t>Filmt</w:t>
      </w:r>
      <w:r w:rsidRPr="007F7A39">
        <w:t xml:space="preserve">ablette </w:t>
      </w:r>
      <w:r w:rsidR="00EB6740" w:rsidRPr="007F7A39">
        <w:t xml:space="preserve">(Tablette) </w:t>
      </w:r>
      <w:r w:rsidRPr="007F7A39">
        <w:t xml:space="preserve">enthält Trientintetrahydrochlorid, entsprechend 150 mg Trientin. </w:t>
      </w:r>
    </w:p>
    <w:p w14:paraId="7165FC31" w14:textId="77777777" w:rsidR="00A82C04" w:rsidRPr="007F7A39" w:rsidRDefault="0092445A" w:rsidP="00057B27">
      <w:pPr>
        <w:numPr>
          <w:ilvl w:val="12"/>
          <w:numId w:val="0"/>
        </w:numPr>
        <w:tabs>
          <w:tab w:val="clear" w:pos="567"/>
        </w:tabs>
        <w:spacing w:line="240" w:lineRule="auto"/>
        <w:ind w:right="-2"/>
      </w:pPr>
      <w:r w:rsidRPr="007F7A39">
        <w:t xml:space="preserve">Die sonstigen Bestandteile sind: </w:t>
      </w:r>
    </w:p>
    <w:p w14:paraId="7165FC32" w14:textId="5A194A41" w:rsidR="00057B27" w:rsidRPr="007F7A39" w:rsidRDefault="0092445A" w:rsidP="00057B27">
      <w:pPr>
        <w:numPr>
          <w:ilvl w:val="12"/>
          <w:numId w:val="0"/>
        </w:numPr>
        <w:tabs>
          <w:tab w:val="clear" w:pos="567"/>
        </w:tabs>
        <w:spacing w:line="240" w:lineRule="auto"/>
        <w:ind w:right="-2"/>
      </w:pPr>
      <w:r w:rsidRPr="007F7A39">
        <w:rPr>
          <w:u w:val="single"/>
        </w:rPr>
        <w:t>Tablettenkern:</w:t>
      </w:r>
      <w:r w:rsidRPr="007F7A39">
        <w:t xml:space="preserve"> </w:t>
      </w:r>
      <w:r w:rsidR="00F45D4A" w:rsidRPr="007F7A39">
        <w:t>Mannitol</w:t>
      </w:r>
      <w:r w:rsidR="00AD58D3" w:rsidRPr="007F7A39">
        <w:rPr>
          <w:noProof/>
          <w:szCs w:val="22"/>
        </w:rPr>
        <w:t>(Ph.Eur.) (E 421)</w:t>
      </w:r>
      <w:r w:rsidR="00F45D4A" w:rsidRPr="007F7A39">
        <w:t>, hochdisperses Siliciumdioxid und Glyceroldibehenat</w:t>
      </w:r>
      <w:r w:rsidR="00AD58D3" w:rsidRPr="007F7A39">
        <w:rPr>
          <w:noProof/>
          <w:szCs w:val="22"/>
        </w:rPr>
        <w:t>(Ph.Eur.)</w:t>
      </w:r>
      <w:r w:rsidR="00F45D4A" w:rsidRPr="007F7A39">
        <w:t>.</w:t>
      </w:r>
    </w:p>
    <w:p w14:paraId="7165FC33" w14:textId="546B2137" w:rsidR="006B495F" w:rsidRPr="007F7A39" w:rsidRDefault="0092445A" w:rsidP="00057B27">
      <w:pPr>
        <w:numPr>
          <w:ilvl w:val="12"/>
          <w:numId w:val="0"/>
        </w:numPr>
        <w:tabs>
          <w:tab w:val="clear" w:pos="567"/>
        </w:tabs>
        <w:spacing w:line="240" w:lineRule="auto"/>
        <w:ind w:right="-2"/>
        <w:rPr>
          <w:noProof/>
          <w:szCs w:val="22"/>
        </w:rPr>
      </w:pPr>
      <w:r w:rsidRPr="007F7A39">
        <w:rPr>
          <w:u w:val="single"/>
        </w:rPr>
        <w:t>Filmüberzug:</w:t>
      </w:r>
      <w:r w:rsidRPr="007F7A39">
        <w:t xml:space="preserve"> Poly</w:t>
      </w:r>
      <w:r w:rsidR="00AD58D3" w:rsidRPr="007F7A39">
        <w:t>(</w:t>
      </w:r>
      <w:r w:rsidRPr="007F7A39">
        <w:t>vinylalkohol</w:t>
      </w:r>
      <w:r w:rsidR="00AD58D3" w:rsidRPr="007F7A39">
        <w:t>)</w:t>
      </w:r>
      <w:r w:rsidRPr="007F7A39">
        <w:t>, Talku</w:t>
      </w:r>
      <w:r w:rsidR="00942881" w:rsidRPr="007F7A39">
        <w:t>m, Titandioxid (E171), Glycerolmonocaprylocaprat</w:t>
      </w:r>
      <w:r w:rsidRPr="007F7A39">
        <w:t xml:space="preserve"> </w:t>
      </w:r>
      <w:r w:rsidR="00AD58D3" w:rsidRPr="007F7A39">
        <w:rPr>
          <w:noProof/>
          <w:szCs w:val="22"/>
        </w:rPr>
        <w:t xml:space="preserve">(Ph.Eur.) </w:t>
      </w:r>
      <w:r w:rsidRPr="007F7A39">
        <w:t xml:space="preserve">(Typ I), </w:t>
      </w:r>
      <w:r w:rsidR="00AD58D3" w:rsidRPr="007F7A39">
        <w:rPr>
          <w:noProof/>
          <w:szCs w:val="22"/>
        </w:rPr>
        <w:t>Eisen(III)-hydroxid-oxid x H</w:t>
      </w:r>
      <w:r w:rsidR="00AD58D3" w:rsidRPr="007F7A39">
        <w:rPr>
          <w:noProof/>
          <w:szCs w:val="22"/>
          <w:vertAlign w:val="subscript"/>
        </w:rPr>
        <w:t>2</w:t>
      </w:r>
      <w:r w:rsidR="00AD58D3" w:rsidRPr="007F7A39">
        <w:rPr>
          <w:noProof/>
          <w:szCs w:val="22"/>
        </w:rPr>
        <w:t>O</w:t>
      </w:r>
      <w:r w:rsidR="00AD58D3" w:rsidRPr="007F7A39">
        <w:t xml:space="preserve"> </w:t>
      </w:r>
      <w:r w:rsidRPr="007F7A39">
        <w:t>(E172) und Natrium</w:t>
      </w:r>
      <w:r w:rsidR="00AD58D3" w:rsidRPr="007F7A39">
        <w:t>dodecyl</w:t>
      </w:r>
      <w:r w:rsidRPr="007F7A39">
        <w:t>sulfat</w:t>
      </w:r>
    </w:p>
    <w:p w14:paraId="7165FC34" w14:textId="4AB23C88" w:rsidR="00057B27" w:rsidRPr="007F7A39" w:rsidRDefault="00057B27" w:rsidP="00AD58D3">
      <w:pPr>
        <w:numPr>
          <w:ilvl w:val="12"/>
          <w:numId w:val="0"/>
        </w:numPr>
        <w:tabs>
          <w:tab w:val="clear" w:pos="567"/>
        </w:tabs>
        <w:spacing w:line="240" w:lineRule="auto"/>
        <w:ind w:right="-2"/>
        <w:rPr>
          <w:noProof/>
          <w:szCs w:val="22"/>
        </w:rPr>
      </w:pPr>
    </w:p>
    <w:p w14:paraId="7165FC35" w14:textId="77777777" w:rsidR="00057B27" w:rsidRPr="007F7A39" w:rsidRDefault="0092445A" w:rsidP="00057B27">
      <w:pPr>
        <w:numPr>
          <w:ilvl w:val="12"/>
          <w:numId w:val="0"/>
        </w:numPr>
        <w:tabs>
          <w:tab w:val="clear" w:pos="567"/>
        </w:tabs>
        <w:spacing w:line="240" w:lineRule="auto"/>
        <w:ind w:right="-2"/>
        <w:rPr>
          <w:b/>
          <w:szCs w:val="22"/>
        </w:rPr>
      </w:pPr>
      <w:r w:rsidRPr="007F7A39">
        <w:rPr>
          <w:b/>
        </w:rPr>
        <w:t>Wie Cuprior aussieht und Inhalt der Packung</w:t>
      </w:r>
    </w:p>
    <w:p w14:paraId="7165FC36" w14:textId="5ACBE11F" w:rsidR="00057B27" w:rsidRPr="007F7A39" w:rsidRDefault="0092445A" w:rsidP="00057B27">
      <w:pPr>
        <w:rPr>
          <w:noProof/>
          <w:szCs w:val="22"/>
        </w:rPr>
      </w:pPr>
      <w:r w:rsidRPr="007F7A39">
        <w:t>Gelbe</w:t>
      </w:r>
      <w:r w:rsidR="00F45D4A" w:rsidRPr="007F7A39">
        <w:t xml:space="preserve">, längliche </w:t>
      </w:r>
      <w:r w:rsidR="00396098" w:rsidRPr="007F7A39">
        <w:t>Filmt</w:t>
      </w:r>
      <w:r w:rsidR="00F45D4A" w:rsidRPr="007F7A39">
        <w:t xml:space="preserve">ablette (16 mm x 8 mm) mit </w:t>
      </w:r>
      <w:r w:rsidR="009A2E83" w:rsidRPr="007F7A39">
        <w:t xml:space="preserve">beidseitiger </w:t>
      </w:r>
      <w:r w:rsidR="00F45D4A" w:rsidRPr="007F7A39">
        <w:t xml:space="preserve">Bruchkerbe. Die </w:t>
      </w:r>
      <w:r w:rsidR="009A2E83" w:rsidRPr="007F7A39">
        <w:t>Filmt</w:t>
      </w:r>
      <w:r w:rsidR="00F45D4A" w:rsidRPr="007F7A39">
        <w:t>ablette kann in gleiche Dosen geteilt werden.</w:t>
      </w:r>
    </w:p>
    <w:p w14:paraId="7165FC37" w14:textId="77777777" w:rsidR="00057B27" w:rsidRPr="007F7A39" w:rsidRDefault="00057B27" w:rsidP="00057B27">
      <w:pPr>
        <w:rPr>
          <w:noProof/>
          <w:szCs w:val="22"/>
        </w:rPr>
      </w:pPr>
    </w:p>
    <w:p w14:paraId="1000DF8B" w14:textId="59F842A2" w:rsidR="00611FD5" w:rsidRPr="007F7A39" w:rsidRDefault="0092445A" w:rsidP="00611FD5">
      <w:pPr>
        <w:numPr>
          <w:ilvl w:val="12"/>
          <w:numId w:val="0"/>
        </w:numPr>
        <w:tabs>
          <w:tab w:val="clear" w:pos="567"/>
        </w:tabs>
        <w:spacing w:line="240" w:lineRule="auto"/>
      </w:pPr>
      <w:r w:rsidRPr="007F7A39">
        <w:t xml:space="preserve">OPA/Alu/PVC-Aluminium-Blisterpackungen, jede Blisterpackung enthält 8 </w:t>
      </w:r>
      <w:r w:rsidR="009A2E83" w:rsidRPr="007F7A39">
        <w:t>Filmt</w:t>
      </w:r>
      <w:r w:rsidRPr="007F7A39">
        <w:t>abletten. Cuprior ist in Packungen mit 72 oder 96 Filmtabletten erhältlich.</w:t>
      </w:r>
    </w:p>
    <w:p w14:paraId="7165FC39" w14:textId="65C6045D" w:rsidR="00057B27" w:rsidRDefault="0092445A" w:rsidP="00057B27">
      <w:pPr>
        <w:numPr>
          <w:ilvl w:val="12"/>
          <w:numId w:val="0"/>
        </w:numPr>
        <w:tabs>
          <w:tab w:val="clear" w:pos="567"/>
        </w:tabs>
        <w:spacing w:line="240" w:lineRule="auto"/>
      </w:pPr>
      <w:r w:rsidRPr="007F7A39">
        <w:t>Möglicherweise werden nicht alle Packungsgrößen in Verkehr</w:t>
      </w:r>
      <w:r w:rsidRPr="007F7A39">
        <w:t xml:space="preserve"> gebracht.</w:t>
      </w:r>
    </w:p>
    <w:p w14:paraId="78A24C9B" w14:textId="77777777" w:rsidR="00B80BFC" w:rsidRPr="007F7A39" w:rsidRDefault="00B80BFC" w:rsidP="00057B27">
      <w:pPr>
        <w:numPr>
          <w:ilvl w:val="12"/>
          <w:numId w:val="0"/>
        </w:numPr>
        <w:tabs>
          <w:tab w:val="clear" w:pos="567"/>
        </w:tabs>
        <w:spacing w:line="240" w:lineRule="auto"/>
        <w:rPr>
          <w:szCs w:val="22"/>
        </w:rPr>
      </w:pPr>
    </w:p>
    <w:p w14:paraId="7165FC3A" w14:textId="77777777" w:rsidR="00057B27" w:rsidRPr="007F7A39" w:rsidRDefault="0092445A" w:rsidP="00057B27">
      <w:pPr>
        <w:numPr>
          <w:ilvl w:val="12"/>
          <w:numId w:val="0"/>
        </w:numPr>
        <w:tabs>
          <w:tab w:val="clear" w:pos="567"/>
        </w:tabs>
        <w:spacing w:line="240" w:lineRule="auto"/>
        <w:ind w:right="-2"/>
        <w:rPr>
          <w:b/>
          <w:szCs w:val="22"/>
        </w:rPr>
      </w:pPr>
      <w:r w:rsidRPr="007F7A39">
        <w:rPr>
          <w:b/>
        </w:rPr>
        <w:t xml:space="preserve">Pharmazeutischer Unternehmer </w:t>
      </w:r>
    </w:p>
    <w:p w14:paraId="7165FC3B" w14:textId="3A01E621" w:rsidR="00057B27" w:rsidRPr="007F7A39" w:rsidRDefault="00154099" w:rsidP="00057B27">
      <w:pPr>
        <w:rPr>
          <w:szCs w:val="22"/>
        </w:rPr>
      </w:pPr>
      <w:proofErr w:type="spellStart"/>
      <w:r>
        <w:t>Orphalan</w:t>
      </w:r>
      <w:proofErr w:type="spellEnd"/>
    </w:p>
    <w:p w14:paraId="4F389F89" w14:textId="77777777" w:rsidR="00082C33" w:rsidRPr="004E4ACF" w:rsidRDefault="0092445A" w:rsidP="00082C33">
      <w:pPr>
        <w:rPr>
          <w:szCs w:val="22"/>
        </w:rPr>
      </w:pPr>
      <w:r w:rsidRPr="004E4ACF">
        <w:rPr>
          <w:szCs w:val="22"/>
        </w:rPr>
        <w:t>226 Boulevard Voltaire</w:t>
      </w:r>
    </w:p>
    <w:p w14:paraId="4A4D2043" w14:textId="77777777" w:rsidR="00082C33" w:rsidRPr="004E4ACF" w:rsidRDefault="0092445A" w:rsidP="00082C33">
      <w:pPr>
        <w:rPr>
          <w:szCs w:val="22"/>
        </w:rPr>
      </w:pPr>
      <w:r w:rsidRPr="004E4ACF">
        <w:rPr>
          <w:szCs w:val="22"/>
        </w:rPr>
        <w:t>75011 Paris</w:t>
      </w:r>
    </w:p>
    <w:p w14:paraId="7165FC3F" w14:textId="77777777" w:rsidR="00057B27" w:rsidRPr="004E4ACF" w:rsidRDefault="0092445A" w:rsidP="00057B27">
      <w:pPr>
        <w:rPr>
          <w:szCs w:val="22"/>
        </w:rPr>
      </w:pPr>
      <w:r w:rsidRPr="004E4ACF">
        <w:t>Frankreich</w:t>
      </w:r>
    </w:p>
    <w:p w14:paraId="7165FC40" w14:textId="77777777" w:rsidR="00057B27" w:rsidRPr="004E4ACF" w:rsidRDefault="00057B27" w:rsidP="00057B27">
      <w:pPr>
        <w:numPr>
          <w:ilvl w:val="12"/>
          <w:numId w:val="0"/>
        </w:numPr>
        <w:tabs>
          <w:tab w:val="clear" w:pos="567"/>
        </w:tabs>
        <w:spacing w:line="240" w:lineRule="auto"/>
        <w:ind w:right="-2"/>
        <w:rPr>
          <w:noProof/>
          <w:szCs w:val="22"/>
        </w:rPr>
      </w:pPr>
    </w:p>
    <w:p w14:paraId="7165FC41" w14:textId="77777777" w:rsidR="00057B27" w:rsidRPr="004E4ACF" w:rsidRDefault="0092445A" w:rsidP="00057B27">
      <w:pPr>
        <w:numPr>
          <w:ilvl w:val="12"/>
          <w:numId w:val="0"/>
        </w:numPr>
        <w:tabs>
          <w:tab w:val="clear" w:pos="567"/>
        </w:tabs>
        <w:spacing w:line="240" w:lineRule="auto"/>
        <w:ind w:right="-2"/>
        <w:rPr>
          <w:b/>
          <w:szCs w:val="22"/>
        </w:rPr>
      </w:pPr>
      <w:r w:rsidRPr="004E4ACF">
        <w:rPr>
          <w:b/>
        </w:rPr>
        <w:t>Hersteller</w:t>
      </w:r>
    </w:p>
    <w:p w14:paraId="7165FC42" w14:textId="77777777" w:rsidR="00057B27" w:rsidRPr="004E4ACF" w:rsidRDefault="0092445A" w:rsidP="00057B27">
      <w:pPr>
        <w:numPr>
          <w:ilvl w:val="12"/>
          <w:numId w:val="0"/>
        </w:numPr>
        <w:tabs>
          <w:tab w:val="clear" w:pos="567"/>
        </w:tabs>
        <w:spacing w:line="240" w:lineRule="auto"/>
        <w:ind w:right="-2"/>
        <w:rPr>
          <w:szCs w:val="22"/>
        </w:rPr>
      </w:pPr>
      <w:proofErr w:type="spellStart"/>
      <w:r w:rsidRPr="004E4ACF">
        <w:t>Delpharm</w:t>
      </w:r>
      <w:proofErr w:type="spellEnd"/>
      <w:r w:rsidRPr="004E4ACF">
        <w:t xml:space="preserve"> </w:t>
      </w:r>
      <w:proofErr w:type="spellStart"/>
      <w:r w:rsidRPr="004E4ACF">
        <w:t>Evreux</w:t>
      </w:r>
      <w:proofErr w:type="spellEnd"/>
    </w:p>
    <w:p w14:paraId="7165FC43" w14:textId="77777777" w:rsidR="00057B27" w:rsidRPr="004E4ACF" w:rsidRDefault="0092445A" w:rsidP="00057B27">
      <w:pPr>
        <w:numPr>
          <w:ilvl w:val="12"/>
          <w:numId w:val="0"/>
        </w:numPr>
        <w:tabs>
          <w:tab w:val="clear" w:pos="567"/>
        </w:tabs>
        <w:spacing w:line="240" w:lineRule="auto"/>
        <w:ind w:right="-2"/>
        <w:rPr>
          <w:szCs w:val="22"/>
        </w:rPr>
      </w:pPr>
      <w:r w:rsidRPr="004E4ACF">
        <w:t xml:space="preserve">5 </w:t>
      </w:r>
      <w:proofErr w:type="spellStart"/>
      <w:r w:rsidRPr="004E4ACF">
        <w:t>rue</w:t>
      </w:r>
      <w:proofErr w:type="spellEnd"/>
      <w:r w:rsidRPr="004E4ACF">
        <w:t xml:space="preserve"> du Guesclin</w:t>
      </w:r>
    </w:p>
    <w:p w14:paraId="7165FC44" w14:textId="77777777" w:rsidR="00057B27" w:rsidRPr="004E4ACF" w:rsidRDefault="0092445A" w:rsidP="00057B27">
      <w:pPr>
        <w:numPr>
          <w:ilvl w:val="12"/>
          <w:numId w:val="0"/>
        </w:numPr>
        <w:tabs>
          <w:tab w:val="clear" w:pos="567"/>
        </w:tabs>
        <w:spacing w:line="240" w:lineRule="auto"/>
        <w:ind w:right="-2"/>
        <w:rPr>
          <w:szCs w:val="22"/>
        </w:rPr>
      </w:pPr>
      <w:r w:rsidRPr="004E4ACF">
        <w:t xml:space="preserve">27000 </w:t>
      </w:r>
      <w:proofErr w:type="spellStart"/>
      <w:r w:rsidRPr="004E4ACF">
        <w:t>Evreux</w:t>
      </w:r>
      <w:proofErr w:type="spellEnd"/>
    </w:p>
    <w:p w14:paraId="7165FC45" w14:textId="77777777" w:rsidR="00057B27" w:rsidRPr="007F7A39" w:rsidRDefault="0092445A" w:rsidP="00057B27">
      <w:pPr>
        <w:numPr>
          <w:ilvl w:val="12"/>
          <w:numId w:val="0"/>
        </w:numPr>
        <w:tabs>
          <w:tab w:val="clear" w:pos="567"/>
        </w:tabs>
        <w:spacing w:line="240" w:lineRule="auto"/>
        <w:ind w:right="-2"/>
        <w:rPr>
          <w:noProof/>
          <w:szCs w:val="22"/>
        </w:rPr>
      </w:pPr>
      <w:r w:rsidRPr="007F7A39">
        <w:t>Frankreich</w:t>
      </w:r>
    </w:p>
    <w:p w14:paraId="7165FC46" w14:textId="77777777" w:rsidR="00057B27" w:rsidRPr="007F7A39" w:rsidRDefault="00057B27" w:rsidP="00057B27">
      <w:pPr>
        <w:numPr>
          <w:ilvl w:val="12"/>
          <w:numId w:val="0"/>
        </w:numPr>
        <w:tabs>
          <w:tab w:val="clear" w:pos="567"/>
        </w:tabs>
        <w:spacing w:line="240" w:lineRule="auto"/>
        <w:ind w:right="-2"/>
        <w:rPr>
          <w:noProof/>
          <w:szCs w:val="22"/>
        </w:rPr>
      </w:pPr>
    </w:p>
    <w:tbl>
      <w:tblPr>
        <w:tblW w:w="9356" w:type="dxa"/>
        <w:tblInd w:w="-34" w:type="dxa"/>
        <w:tblLayout w:type="fixed"/>
        <w:tblLook w:val="0000" w:firstRow="0" w:lastRow="0" w:firstColumn="0" w:lastColumn="0" w:noHBand="0" w:noVBand="0"/>
      </w:tblPr>
      <w:tblGrid>
        <w:gridCol w:w="4678"/>
        <w:gridCol w:w="4678"/>
      </w:tblGrid>
      <w:tr w:rsidR="00043F12" w14:paraId="7165FC49" w14:textId="77777777" w:rsidTr="00057B27">
        <w:tc>
          <w:tcPr>
            <w:tcW w:w="4678" w:type="dxa"/>
          </w:tcPr>
          <w:p w14:paraId="7165FC47" w14:textId="77777777" w:rsidR="00057B27" w:rsidRPr="007F7A39" w:rsidRDefault="00057B27" w:rsidP="00057B27">
            <w:pPr>
              <w:tabs>
                <w:tab w:val="left" w:pos="-720"/>
              </w:tabs>
              <w:suppressAutoHyphens/>
              <w:spacing w:line="240" w:lineRule="auto"/>
              <w:rPr>
                <w:noProof/>
                <w:szCs w:val="22"/>
              </w:rPr>
            </w:pPr>
          </w:p>
        </w:tc>
        <w:tc>
          <w:tcPr>
            <w:tcW w:w="4678" w:type="dxa"/>
          </w:tcPr>
          <w:p w14:paraId="7165FC48" w14:textId="77777777" w:rsidR="00057B27" w:rsidRPr="007F7A39" w:rsidRDefault="00057B27" w:rsidP="00057B27">
            <w:pPr>
              <w:tabs>
                <w:tab w:val="left" w:pos="-720"/>
              </w:tabs>
              <w:suppressAutoHyphens/>
              <w:spacing w:line="240" w:lineRule="auto"/>
              <w:rPr>
                <w:noProof/>
                <w:szCs w:val="22"/>
              </w:rPr>
            </w:pPr>
          </w:p>
        </w:tc>
      </w:tr>
    </w:tbl>
    <w:p w14:paraId="7165FC4A" w14:textId="77777777" w:rsidR="00057B27" w:rsidRPr="007F7A39" w:rsidRDefault="0092445A" w:rsidP="00057B27">
      <w:pPr>
        <w:numPr>
          <w:ilvl w:val="12"/>
          <w:numId w:val="0"/>
        </w:numPr>
        <w:tabs>
          <w:tab w:val="clear" w:pos="567"/>
        </w:tabs>
        <w:spacing w:line="240" w:lineRule="auto"/>
        <w:ind w:right="-2"/>
        <w:rPr>
          <w:b/>
          <w:szCs w:val="22"/>
        </w:rPr>
      </w:pPr>
      <w:r w:rsidRPr="007F7A39">
        <w:rPr>
          <w:b/>
        </w:rPr>
        <w:t>Diese Packungsbeilage wurde zuletzt überarbeitet im.</w:t>
      </w:r>
    </w:p>
    <w:p w14:paraId="7165FC4B" w14:textId="77777777" w:rsidR="00057B27" w:rsidRPr="007F7A39" w:rsidRDefault="00057B27" w:rsidP="00057B27">
      <w:pPr>
        <w:numPr>
          <w:ilvl w:val="12"/>
          <w:numId w:val="0"/>
        </w:numPr>
        <w:spacing w:line="240" w:lineRule="auto"/>
        <w:ind w:right="-2"/>
        <w:rPr>
          <w:noProof/>
          <w:szCs w:val="22"/>
        </w:rPr>
      </w:pPr>
    </w:p>
    <w:p w14:paraId="7165FC4C" w14:textId="77777777" w:rsidR="00057B27" w:rsidRPr="007F7A39" w:rsidRDefault="0092445A" w:rsidP="00057B27">
      <w:pPr>
        <w:numPr>
          <w:ilvl w:val="12"/>
          <w:numId w:val="0"/>
        </w:numPr>
        <w:tabs>
          <w:tab w:val="clear" w:pos="567"/>
        </w:tabs>
        <w:spacing w:line="240" w:lineRule="auto"/>
        <w:ind w:right="-2"/>
        <w:rPr>
          <w:b/>
          <w:noProof/>
          <w:szCs w:val="22"/>
        </w:rPr>
      </w:pPr>
      <w:r w:rsidRPr="007F7A39">
        <w:rPr>
          <w:b/>
          <w:noProof/>
        </w:rPr>
        <w:t xml:space="preserve">Weitere </w:t>
      </w:r>
      <w:r w:rsidRPr="007F7A39">
        <w:rPr>
          <w:b/>
          <w:noProof/>
        </w:rPr>
        <w:t>Informationsquellen</w:t>
      </w:r>
    </w:p>
    <w:p w14:paraId="7165FC4D" w14:textId="2E60A527" w:rsidR="008823F6" w:rsidRPr="007F7A39" w:rsidRDefault="0092445A" w:rsidP="00057B27">
      <w:pPr>
        <w:numPr>
          <w:ilvl w:val="12"/>
          <w:numId w:val="0"/>
        </w:numPr>
        <w:spacing w:line="240" w:lineRule="auto"/>
        <w:ind w:right="-2"/>
      </w:pPr>
      <w:r w:rsidRPr="007F7A39">
        <w:t xml:space="preserve">Ausführliche Informationen zu diesem Arzneimittel sind auf den Internetseiten der Europäischen Arzneimittel-Agentur </w:t>
      </w:r>
      <w:hyperlink w:history="1">
        <w:r w:rsidRPr="007F7A39">
          <w:rPr>
            <w:rStyle w:val="Hyperlink"/>
            <w:noProof/>
          </w:rPr>
          <w:t>http://www.ema.europa.eu</w:t>
        </w:r>
      </w:hyperlink>
      <w:r w:rsidRPr="007F7A39">
        <w:t xml:space="preserve"> verfügbar. Sie finden dort auch Links zu anderen Internetseiten über seltene Erkr</w:t>
      </w:r>
      <w:r w:rsidRPr="007F7A39">
        <w:t xml:space="preserve">ankungen und Behandlungen. </w:t>
      </w:r>
    </w:p>
    <w:sectPr w:rsidR="008823F6" w:rsidRPr="007F7A39" w:rsidSect="00057B27">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C02BE" w14:textId="77777777" w:rsidR="00000000" w:rsidRDefault="0092445A">
      <w:pPr>
        <w:spacing w:line="240" w:lineRule="auto"/>
      </w:pPr>
      <w:r>
        <w:separator/>
      </w:r>
    </w:p>
  </w:endnote>
  <w:endnote w:type="continuationSeparator" w:id="0">
    <w:p w14:paraId="6E960609" w14:textId="77777777" w:rsidR="00000000" w:rsidRDefault="00924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5FC52" w14:textId="06116F38" w:rsidR="001C4824" w:rsidRDefault="0092445A">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7F7A39">
      <w:rPr>
        <w:rStyle w:val="PageNumber"/>
        <w:rFonts w:cs="Arial"/>
      </w:rPr>
      <w:t>19</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5FC53" w14:textId="33E8C316" w:rsidR="001C4824" w:rsidRDefault="0092445A">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7F7A39">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A6892" w14:textId="77777777" w:rsidR="00000000" w:rsidRDefault="0092445A">
      <w:pPr>
        <w:spacing w:line="240" w:lineRule="auto"/>
      </w:pPr>
      <w:r>
        <w:separator/>
      </w:r>
    </w:p>
  </w:footnote>
  <w:footnote w:type="continuationSeparator" w:id="0">
    <w:p w14:paraId="73A2D2BB" w14:textId="77777777" w:rsidR="00000000" w:rsidRDefault="009244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9CCE1658">
      <w:start w:val="1"/>
      <w:numFmt w:val="bullet"/>
      <w:lvlText w:val=""/>
      <w:lvlJc w:val="left"/>
      <w:pPr>
        <w:tabs>
          <w:tab w:val="num" w:pos="360"/>
        </w:tabs>
        <w:ind w:left="360" w:hanging="360"/>
      </w:pPr>
      <w:rPr>
        <w:rFonts w:ascii="Symbol" w:hAnsi="Symbol" w:hint="default"/>
      </w:rPr>
    </w:lvl>
    <w:lvl w:ilvl="1" w:tplc="81287B52" w:tentative="1">
      <w:start w:val="1"/>
      <w:numFmt w:val="bullet"/>
      <w:lvlText w:val="o"/>
      <w:lvlJc w:val="left"/>
      <w:pPr>
        <w:tabs>
          <w:tab w:val="num" w:pos="1080"/>
        </w:tabs>
        <w:ind w:left="1080" w:hanging="360"/>
      </w:pPr>
      <w:rPr>
        <w:rFonts w:ascii="Courier New" w:hAnsi="Courier New" w:cs="Courier New" w:hint="default"/>
      </w:rPr>
    </w:lvl>
    <w:lvl w:ilvl="2" w:tplc="7A0CC06E" w:tentative="1">
      <w:start w:val="1"/>
      <w:numFmt w:val="bullet"/>
      <w:lvlText w:val=""/>
      <w:lvlJc w:val="left"/>
      <w:pPr>
        <w:tabs>
          <w:tab w:val="num" w:pos="1800"/>
        </w:tabs>
        <w:ind w:left="1800" w:hanging="360"/>
      </w:pPr>
      <w:rPr>
        <w:rFonts w:ascii="Wingdings" w:hAnsi="Wingdings" w:hint="default"/>
      </w:rPr>
    </w:lvl>
    <w:lvl w:ilvl="3" w:tplc="E3E8D4D8" w:tentative="1">
      <w:start w:val="1"/>
      <w:numFmt w:val="bullet"/>
      <w:lvlText w:val=""/>
      <w:lvlJc w:val="left"/>
      <w:pPr>
        <w:tabs>
          <w:tab w:val="num" w:pos="2520"/>
        </w:tabs>
        <w:ind w:left="2520" w:hanging="360"/>
      </w:pPr>
      <w:rPr>
        <w:rFonts w:ascii="Symbol" w:hAnsi="Symbol" w:hint="default"/>
      </w:rPr>
    </w:lvl>
    <w:lvl w:ilvl="4" w:tplc="FC088CD8" w:tentative="1">
      <w:start w:val="1"/>
      <w:numFmt w:val="bullet"/>
      <w:lvlText w:val="o"/>
      <w:lvlJc w:val="left"/>
      <w:pPr>
        <w:tabs>
          <w:tab w:val="num" w:pos="3240"/>
        </w:tabs>
        <w:ind w:left="3240" w:hanging="360"/>
      </w:pPr>
      <w:rPr>
        <w:rFonts w:ascii="Courier New" w:hAnsi="Courier New" w:cs="Courier New" w:hint="default"/>
      </w:rPr>
    </w:lvl>
    <w:lvl w:ilvl="5" w:tplc="D45C5214" w:tentative="1">
      <w:start w:val="1"/>
      <w:numFmt w:val="bullet"/>
      <w:lvlText w:val=""/>
      <w:lvlJc w:val="left"/>
      <w:pPr>
        <w:tabs>
          <w:tab w:val="num" w:pos="3960"/>
        </w:tabs>
        <w:ind w:left="3960" w:hanging="360"/>
      </w:pPr>
      <w:rPr>
        <w:rFonts w:ascii="Wingdings" w:hAnsi="Wingdings" w:hint="default"/>
      </w:rPr>
    </w:lvl>
    <w:lvl w:ilvl="6" w:tplc="5C00DD40" w:tentative="1">
      <w:start w:val="1"/>
      <w:numFmt w:val="bullet"/>
      <w:lvlText w:val=""/>
      <w:lvlJc w:val="left"/>
      <w:pPr>
        <w:tabs>
          <w:tab w:val="num" w:pos="4680"/>
        </w:tabs>
        <w:ind w:left="4680" w:hanging="360"/>
      </w:pPr>
      <w:rPr>
        <w:rFonts w:ascii="Symbol" w:hAnsi="Symbol" w:hint="default"/>
      </w:rPr>
    </w:lvl>
    <w:lvl w:ilvl="7" w:tplc="8232188E" w:tentative="1">
      <w:start w:val="1"/>
      <w:numFmt w:val="bullet"/>
      <w:lvlText w:val="o"/>
      <w:lvlJc w:val="left"/>
      <w:pPr>
        <w:tabs>
          <w:tab w:val="num" w:pos="5400"/>
        </w:tabs>
        <w:ind w:left="5400" w:hanging="360"/>
      </w:pPr>
      <w:rPr>
        <w:rFonts w:ascii="Courier New" w:hAnsi="Courier New" w:cs="Courier New" w:hint="default"/>
      </w:rPr>
    </w:lvl>
    <w:lvl w:ilvl="8" w:tplc="84201ED2"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F022D2EC">
      <w:start w:val="1"/>
      <w:numFmt w:val="upperLetter"/>
      <w:lvlText w:val="%1."/>
      <w:lvlJc w:val="left"/>
      <w:pPr>
        <w:ind w:left="720" w:hanging="360"/>
      </w:pPr>
      <w:rPr>
        <w:rFonts w:hint="default"/>
        <w:b/>
      </w:rPr>
    </w:lvl>
    <w:lvl w:ilvl="1" w:tplc="4D1E061A" w:tentative="1">
      <w:start w:val="1"/>
      <w:numFmt w:val="lowerLetter"/>
      <w:lvlText w:val="%2."/>
      <w:lvlJc w:val="left"/>
      <w:pPr>
        <w:ind w:left="1440" w:hanging="360"/>
      </w:pPr>
    </w:lvl>
    <w:lvl w:ilvl="2" w:tplc="7404522A" w:tentative="1">
      <w:start w:val="1"/>
      <w:numFmt w:val="lowerRoman"/>
      <w:lvlText w:val="%3."/>
      <w:lvlJc w:val="right"/>
      <w:pPr>
        <w:ind w:left="2160" w:hanging="180"/>
      </w:pPr>
    </w:lvl>
    <w:lvl w:ilvl="3" w:tplc="82E6364A" w:tentative="1">
      <w:start w:val="1"/>
      <w:numFmt w:val="decimal"/>
      <w:lvlText w:val="%4."/>
      <w:lvlJc w:val="left"/>
      <w:pPr>
        <w:ind w:left="2880" w:hanging="360"/>
      </w:pPr>
    </w:lvl>
    <w:lvl w:ilvl="4" w:tplc="2D986750" w:tentative="1">
      <w:start w:val="1"/>
      <w:numFmt w:val="lowerLetter"/>
      <w:lvlText w:val="%5."/>
      <w:lvlJc w:val="left"/>
      <w:pPr>
        <w:ind w:left="3600" w:hanging="360"/>
      </w:pPr>
    </w:lvl>
    <w:lvl w:ilvl="5" w:tplc="FF8C3E02" w:tentative="1">
      <w:start w:val="1"/>
      <w:numFmt w:val="lowerRoman"/>
      <w:lvlText w:val="%6."/>
      <w:lvlJc w:val="right"/>
      <w:pPr>
        <w:ind w:left="4320" w:hanging="180"/>
      </w:pPr>
    </w:lvl>
    <w:lvl w:ilvl="6" w:tplc="216EBA82" w:tentative="1">
      <w:start w:val="1"/>
      <w:numFmt w:val="decimal"/>
      <w:lvlText w:val="%7."/>
      <w:lvlJc w:val="left"/>
      <w:pPr>
        <w:ind w:left="5040" w:hanging="360"/>
      </w:pPr>
    </w:lvl>
    <w:lvl w:ilvl="7" w:tplc="B2423030" w:tentative="1">
      <w:start w:val="1"/>
      <w:numFmt w:val="lowerLetter"/>
      <w:lvlText w:val="%8."/>
      <w:lvlJc w:val="left"/>
      <w:pPr>
        <w:ind w:left="5760" w:hanging="360"/>
      </w:pPr>
    </w:lvl>
    <w:lvl w:ilvl="8" w:tplc="12DE313E"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1DE68428">
      <w:start w:val="1"/>
      <w:numFmt w:val="upperLetter"/>
      <w:lvlText w:val="%1."/>
      <w:lvlJc w:val="left"/>
      <w:pPr>
        <w:ind w:left="577" w:hanging="450"/>
      </w:pPr>
      <w:rPr>
        <w:rFonts w:hint="default"/>
      </w:rPr>
    </w:lvl>
    <w:lvl w:ilvl="1" w:tplc="64D0165E">
      <w:start w:val="1"/>
      <w:numFmt w:val="decimal"/>
      <w:lvlText w:val="%2."/>
      <w:lvlJc w:val="left"/>
      <w:pPr>
        <w:ind w:left="1417" w:hanging="570"/>
      </w:pPr>
      <w:rPr>
        <w:rFonts w:hint="default"/>
      </w:rPr>
    </w:lvl>
    <w:lvl w:ilvl="2" w:tplc="519406CC" w:tentative="1">
      <w:start w:val="1"/>
      <w:numFmt w:val="lowerRoman"/>
      <w:lvlText w:val="%3."/>
      <w:lvlJc w:val="right"/>
      <w:pPr>
        <w:ind w:left="1927" w:hanging="180"/>
      </w:pPr>
    </w:lvl>
    <w:lvl w:ilvl="3" w:tplc="02F48CAC" w:tentative="1">
      <w:start w:val="1"/>
      <w:numFmt w:val="decimal"/>
      <w:lvlText w:val="%4."/>
      <w:lvlJc w:val="left"/>
      <w:pPr>
        <w:ind w:left="2647" w:hanging="360"/>
      </w:pPr>
    </w:lvl>
    <w:lvl w:ilvl="4" w:tplc="11D21D04" w:tentative="1">
      <w:start w:val="1"/>
      <w:numFmt w:val="lowerLetter"/>
      <w:lvlText w:val="%5."/>
      <w:lvlJc w:val="left"/>
      <w:pPr>
        <w:ind w:left="3367" w:hanging="360"/>
      </w:pPr>
    </w:lvl>
    <w:lvl w:ilvl="5" w:tplc="9522A080" w:tentative="1">
      <w:start w:val="1"/>
      <w:numFmt w:val="lowerRoman"/>
      <w:lvlText w:val="%6."/>
      <w:lvlJc w:val="right"/>
      <w:pPr>
        <w:ind w:left="4087" w:hanging="180"/>
      </w:pPr>
    </w:lvl>
    <w:lvl w:ilvl="6" w:tplc="F8F460EA" w:tentative="1">
      <w:start w:val="1"/>
      <w:numFmt w:val="decimal"/>
      <w:lvlText w:val="%7."/>
      <w:lvlJc w:val="left"/>
      <w:pPr>
        <w:ind w:left="4807" w:hanging="360"/>
      </w:pPr>
    </w:lvl>
    <w:lvl w:ilvl="7" w:tplc="522CB3BC" w:tentative="1">
      <w:start w:val="1"/>
      <w:numFmt w:val="lowerLetter"/>
      <w:lvlText w:val="%8."/>
      <w:lvlJc w:val="left"/>
      <w:pPr>
        <w:ind w:left="5527" w:hanging="360"/>
      </w:pPr>
    </w:lvl>
    <w:lvl w:ilvl="8" w:tplc="BA4EBB34"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B84A6FCA">
      <w:start w:val="1"/>
      <w:numFmt w:val="bullet"/>
      <w:lvlText w:val=""/>
      <w:lvlJc w:val="left"/>
      <w:pPr>
        <w:tabs>
          <w:tab w:val="num" w:pos="720"/>
        </w:tabs>
        <w:ind w:left="720" w:hanging="360"/>
      </w:pPr>
      <w:rPr>
        <w:rFonts w:ascii="Symbol" w:hAnsi="Symbol" w:hint="default"/>
      </w:rPr>
    </w:lvl>
    <w:lvl w:ilvl="1" w:tplc="F60CEBE6" w:tentative="1">
      <w:start w:val="1"/>
      <w:numFmt w:val="bullet"/>
      <w:lvlText w:val="o"/>
      <w:lvlJc w:val="left"/>
      <w:pPr>
        <w:tabs>
          <w:tab w:val="num" w:pos="1440"/>
        </w:tabs>
        <w:ind w:left="1440" w:hanging="360"/>
      </w:pPr>
      <w:rPr>
        <w:rFonts w:ascii="Courier New" w:hAnsi="Courier New" w:cs="Courier New" w:hint="default"/>
      </w:rPr>
    </w:lvl>
    <w:lvl w:ilvl="2" w:tplc="65B443E0" w:tentative="1">
      <w:start w:val="1"/>
      <w:numFmt w:val="bullet"/>
      <w:lvlText w:val=""/>
      <w:lvlJc w:val="left"/>
      <w:pPr>
        <w:tabs>
          <w:tab w:val="num" w:pos="2160"/>
        </w:tabs>
        <w:ind w:left="2160" w:hanging="360"/>
      </w:pPr>
      <w:rPr>
        <w:rFonts w:ascii="Wingdings" w:hAnsi="Wingdings" w:hint="default"/>
      </w:rPr>
    </w:lvl>
    <w:lvl w:ilvl="3" w:tplc="7D0CD2F2" w:tentative="1">
      <w:start w:val="1"/>
      <w:numFmt w:val="bullet"/>
      <w:lvlText w:val=""/>
      <w:lvlJc w:val="left"/>
      <w:pPr>
        <w:tabs>
          <w:tab w:val="num" w:pos="2880"/>
        </w:tabs>
        <w:ind w:left="2880" w:hanging="360"/>
      </w:pPr>
      <w:rPr>
        <w:rFonts w:ascii="Symbol" w:hAnsi="Symbol" w:hint="default"/>
      </w:rPr>
    </w:lvl>
    <w:lvl w:ilvl="4" w:tplc="0FB4BF5A" w:tentative="1">
      <w:start w:val="1"/>
      <w:numFmt w:val="bullet"/>
      <w:lvlText w:val="o"/>
      <w:lvlJc w:val="left"/>
      <w:pPr>
        <w:tabs>
          <w:tab w:val="num" w:pos="3600"/>
        </w:tabs>
        <w:ind w:left="3600" w:hanging="360"/>
      </w:pPr>
      <w:rPr>
        <w:rFonts w:ascii="Courier New" w:hAnsi="Courier New" w:cs="Courier New" w:hint="default"/>
      </w:rPr>
    </w:lvl>
    <w:lvl w:ilvl="5" w:tplc="6DB64010" w:tentative="1">
      <w:start w:val="1"/>
      <w:numFmt w:val="bullet"/>
      <w:lvlText w:val=""/>
      <w:lvlJc w:val="left"/>
      <w:pPr>
        <w:tabs>
          <w:tab w:val="num" w:pos="4320"/>
        </w:tabs>
        <w:ind w:left="4320" w:hanging="360"/>
      </w:pPr>
      <w:rPr>
        <w:rFonts w:ascii="Wingdings" w:hAnsi="Wingdings" w:hint="default"/>
      </w:rPr>
    </w:lvl>
    <w:lvl w:ilvl="6" w:tplc="FA80886A" w:tentative="1">
      <w:start w:val="1"/>
      <w:numFmt w:val="bullet"/>
      <w:lvlText w:val=""/>
      <w:lvlJc w:val="left"/>
      <w:pPr>
        <w:tabs>
          <w:tab w:val="num" w:pos="5040"/>
        </w:tabs>
        <w:ind w:left="5040" w:hanging="360"/>
      </w:pPr>
      <w:rPr>
        <w:rFonts w:ascii="Symbol" w:hAnsi="Symbol" w:hint="default"/>
      </w:rPr>
    </w:lvl>
    <w:lvl w:ilvl="7" w:tplc="B09CDFC8" w:tentative="1">
      <w:start w:val="1"/>
      <w:numFmt w:val="bullet"/>
      <w:lvlText w:val="o"/>
      <w:lvlJc w:val="left"/>
      <w:pPr>
        <w:tabs>
          <w:tab w:val="num" w:pos="5760"/>
        </w:tabs>
        <w:ind w:left="5760" w:hanging="360"/>
      </w:pPr>
      <w:rPr>
        <w:rFonts w:ascii="Courier New" w:hAnsi="Courier New" w:cs="Courier New" w:hint="default"/>
      </w:rPr>
    </w:lvl>
    <w:lvl w:ilvl="8" w:tplc="BF500C3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8AF08826">
      <w:start w:val="1"/>
      <w:numFmt w:val="decimal"/>
      <w:lvlText w:val="%1."/>
      <w:lvlJc w:val="left"/>
      <w:pPr>
        <w:ind w:left="1080" w:hanging="720"/>
      </w:pPr>
      <w:rPr>
        <w:rFonts w:hint="default"/>
      </w:rPr>
    </w:lvl>
    <w:lvl w:ilvl="1" w:tplc="B086AAA2" w:tentative="1">
      <w:start w:val="1"/>
      <w:numFmt w:val="lowerLetter"/>
      <w:lvlText w:val="%2."/>
      <w:lvlJc w:val="left"/>
      <w:pPr>
        <w:ind w:left="1440" w:hanging="360"/>
      </w:pPr>
    </w:lvl>
    <w:lvl w:ilvl="2" w:tplc="A5900692" w:tentative="1">
      <w:start w:val="1"/>
      <w:numFmt w:val="lowerRoman"/>
      <w:lvlText w:val="%3."/>
      <w:lvlJc w:val="right"/>
      <w:pPr>
        <w:ind w:left="2160" w:hanging="180"/>
      </w:pPr>
    </w:lvl>
    <w:lvl w:ilvl="3" w:tplc="4ADEA27C" w:tentative="1">
      <w:start w:val="1"/>
      <w:numFmt w:val="decimal"/>
      <w:lvlText w:val="%4."/>
      <w:lvlJc w:val="left"/>
      <w:pPr>
        <w:ind w:left="2880" w:hanging="360"/>
      </w:pPr>
    </w:lvl>
    <w:lvl w:ilvl="4" w:tplc="F2FAE128" w:tentative="1">
      <w:start w:val="1"/>
      <w:numFmt w:val="lowerLetter"/>
      <w:lvlText w:val="%5."/>
      <w:lvlJc w:val="left"/>
      <w:pPr>
        <w:ind w:left="3600" w:hanging="360"/>
      </w:pPr>
    </w:lvl>
    <w:lvl w:ilvl="5" w:tplc="444C71DE" w:tentative="1">
      <w:start w:val="1"/>
      <w:numFmt w:val="lowerRoman"/>
      <w:lvlText w:val="%6."/>
      <w:lvlJc w:val="right"/>
      <w:pPr>
        <w:ind w:left="4320" w:hanging="180"/>
      </w:pPr>
    </w:lvl>
    <w:lvl w:ilvl="6" w:tplc="D7C8B5A0" w:tentative="1">
      <w:start w:val="1"/>
      <w:numFmt w:val="decimal"/>
      <w:lvlText w:val="%7."/>
      <w:lvlJc w:val="left"/>
      <w:pPr>
        <w:ind w:left="5040" w:hanging="360"/>
      </w:pPr>
    </w:lvl>
    <w:lvl w:ilvl="7" w:tplc="4E743704" w:tentative="1">
      <w:start w:val="1"/>
      <w:numFmt w:val="lowerLetter"/>
      <w:lvlText w:val="%8."/>
      <w:lvlJc w:val="left"/>
      <w:pPr>
        <w:ind w:left="5760" w:hanging="360"/>
      </w:pPr>
    </w:lvl>
    <w:lvl w:ilvl="8" w:tplc="EB0CDD02"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A972FB4A">
      <w:start w:val="1"/>
      <w:numFmt w:val="decimal"/>
      <w:lvlText w:val="%1."/>
      <w:lvlJc w:val="left"/>
      <w:pPr>
        <w:ind w:left="780" w:hanging="420"/>
      </w:pPr>
      <w:rPr>
        <w:rFonts w:hint="default"/>
      </w:rPr>
    </w:lvl>
    <w:lvl w:ilvl="1" w:tplc="FA66CF30" w:tentative="1">
      <w:start w:val="1"/>
      <w:numFmt w:val="lowerLetter"/>
      <w:lvlText w:val="%2."/>
      <w:lvlJc w:val="left"/>
      <w:pPr>
        <w:ind w:left="1440" w:hanging="360"/>
      </w:pPr>
    </w:lvl>
    <w:lvl w:ilvl="2" w:tplc="E33E554E" w:tentative="1">
      <w:start w:val="1"/>
      <w:numFmt w:val="lowerRoman"/>
      <w:lvlText w:val="%3."/>
      <w:lvlJc w:val="right"/>
      <w:pPr>
        <w:ind w:left="2160" w:hanging="180"/>
      </w:pPr>
    </w:lvl>
    <w:lvl w:ilvl="3" w:tplc="0BF2B56C" w:tentative="1">
      <w:start w:val="1"/>
      <w:numFmt w:val="decimal"/>
      <w:lvlText w:val="%4."/>
      <w:lvlJc w:val="left"/>
      <w:pPr>
        <w:ind w:left="2880" w:hanging="360"/>
      </w:pPr>
    </w:lvl>
    <w:lvl w:ilvl="4" w:tplc="73201E3C" w:tentative="1">
      <w:start w:val="1"/>
      <w:numFmt w:val="lowerLetter"/>
      <w:lvlText w:val="%5."/>
      <w:lvlJc w:val="left"/>
      <w:pPr>
        <w:ind w:left="3600" w:hanging="360"/>
      </w:pPr>
    </w:lvl>
    <w:lvl w:ilvl="5" w:tplc="4A54F218" w:tentative="1">
      <w:start w:val="1"/>
      <w:numFmt w:val="lowerRoman"/>
      <w:lvlText w:val="%6."/>
      <w:lvlJc w:val="right"/>
      <w:pPr>
        <w:ind w:left="4320" w:hanging="180"/>
      </w:pPr>
    </w:lvl>
    <w:lvl w:ilvl="6" w:tplc="110AFC2E" w:tentative="1">
      <w:start w:val="1"/>
      <w:numFmt w:val="decimal"/>
      <w:lvlText w:val="%7."/>
      <w:lvlJc w:val="left"/>
      <w:pPr>
        <w:ind w:left="5040" w:hanging="360"/>
      </w:pPr>
    </w:lvl>
    <w:lvl w:ilvl="7" w:tplc="0E809E2A" w:tentative="1">
      <w:start w:val="1"/>
      <w:numFmt w:val="lowerLetter"/>
      <w:lvlText w:val="%8."/>
      <w:lvlJc w:val="left"/>
      <w:pPr>
        <w:ind w:left="5760" w:hanging="360"/>
      </w:pPr>
    </w:lvl>
    <w:lvl w:ilvl="8" w:tplc="230ABC7C"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616CE6EE">
      <w:start w:val="1"/>
      <w:numFmt w:val="bullet"/>
      <w:lvlText w:val="-"/>
      <w:lvlJc w:val="left"/>
      <w:pPr>
        <w:ind w:left="720" w:hanging="360"/>
      </w:pPr>
      <w:rPr>
        <w:rFonts w:ascii="Times New Roman" w:eastAsia="Times New Roman" w:hAnsi="Times New Roman" w:cs="Times New Roman" w:hint="default"/>
      </w:rPr>
    </w:lvl>
    <w:lvl w:ilvl="1" w:tplc="D9648B70" w:tentative="1">
      <w:start w:val="1"/>
      <w:numFmt w:val="bullet"/>
      <w:lvlText w:val="o"/>
      <w:lvlJc w:val="left"/>
      <w:pPr>
        <w:ind w:left="1440" w:hanging="360"/>
      </w:pPr>
      <w:rPr>
        <w:rFonts w:ascii="Courier New" w:hAnsi="Courier New" w:cs="Courier New" w:hint="default"/>
      </w:rPr>
    </w:lvl>
    <w:lvl w:ilvl="2" w:tplc="B7F4C138" w:tentative="1">
      <w:start w:val="1"/>
      <w:numFmt w:val="bullet"/>
      <w:lvlText w:val=""/>
      <w:lvlJc w:val="left"/>
      <w:pPr>
        <w:ind w:left="2160" w:hanging="360"/>
      </w:pPr>
      <w:rPr>
        <w:rFonts w:ascii="Wingdings" w:hAnsi="Wingdings" w:hint="default"/>
      </w:rPr>
    </w:lvl>
    <w:lvl w:ilvl="3" w:tplc="3AA09FEA" w:tentative="1">
      <w:start w:val="1"/>
      <w:numFmt w:val="bullet"/>
      <w:lvlText w:val=""/>
      <w:lvlJc w:val="left"/>
      <w:pPr>
        <w:ind w:left="2880" w:hanging="360"/>
      </w:pPr>
      <w:rPr>
        <w:rFonts w:ascii="Symbol" w:hAnsi="Symbol" w:hint="default"/>
      </w:rPr>
    </w:lvl>
    <w:lvl w:ilvl="4" w:tplc="5C08226C" w:tentative="1">
      <w:start w:val="1"/>
      <w:numFmt w:val="bullet"/>
      <w:lvlText w:val="o"/>
      <w:lvlJc w:val="left"/>
      <w:pPr>
        <w:ind w:left="3600" w:hanging="360"/>
      </w:pPr>
      <w:rPr>
        <w:rFonts w:ascii="Courier New" w:hAnsi="Courier New" w:cs="Courier New" w:hint="default"/>
      </w:rPr>
    </w:lvl>
    <w:lvl w:ilvl="5" w:tplc="EC2ACAA6" w:tentative="1">
      <w:start w:val="1"/>
      <w:numFmt w:val="bullet"/>
      <w:lvlText w:val=""/>
      <w:lvlJc w:val="left"/>
      <w:pPr>
        <w:ind w:left="4320" w:hanging="360"/>
      </w:pPr>
      <w:rPr>
        <w:rFonts w:ascii="Wingdings" w:hAnsi="Wingdings" w:hint="default"/>
      </w:rPr>
    </w:lvl>
    <w:lvl w:ilvl="6" w:tplc="BF3CF842" w:tentative="1">
      <w:start w:val="1"/>
      <w:numFmt w:val="bullet"/>
      <w:lvlText w:val=""/>
      <w:lvlJc w:val="left"/>
      <w:pPr>
        <w:ind w:left="5040" w:hanging="360"/>
      </w:pPr>
      <w:rPr>
        <w:rFonts w:ascii="Symbol" w:hAnsi="Symbol" w:hint="default"/>
      </w:rPr>
    </w:lvl>
    <w:lvl w:ilvl="7" w:tplc="A8EAAC00" w:tentative="1">
      <w:start w:val="1"/>
      <w:numFmt w:val="bullet"/>
      <w:lvlText w:val="o"/>
      <w:lvlJc w:val="left"/>
      <w:pPr>
        <w:ind w:left="5760" w:hanging="360"/>
      </w:pPr>
      <w:rPr>
        <w:rFonts w:ascii="Courier New" w:hAnsi="Courier New" w:cs="Courier New" w:hint="default"/>
      </w:rPr>
    </w:lvl>
    <w:lvl w:ilvl="8" w:tplc="0AFE2420"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1B3642F6">
      <w:start w:val="1"/>
      <w:numFmt w:val="bullet"/>
      <w:lvlText w:val=""/>
      <w:lvlJc w:val="left"/>
      <w:pPr>
        <w:tabs>
          <w:tab w:val="num" w:pos="397"/>
        </w:tabs>
        <w:ind w:left="397" w:hanging="397"/>
      </w:pPr>
      <w:rPr>
        <w:rFonts w:ascii="Symbol" w:hAnsi="Symbol" w:hint="default"/>
      </w:rPr>
    </w:lvl>
    <w:lvl w:ilvl="1" w:tplc="6B540BD8" w:tentative="1">
      <w:start w:val="1"/>
      <w:numFmt w:val="bullet"/>
      <w:lvlText w:val="o"/>
      <w:lvlJc w:val="left"/>
      <w:pPr>
        <w:tabs>
          <w:tab w:val="num" w:pos="1440"/>
        </w:tabs>
        <w:ind w:left="1440" w:hanging="360"/>
      </w:pPr>
      <w:rPr>
        <w:rFonts w:ascii="Courier New" w:hAnsi="Courier New" w:cs="Courier New" w:hint="default"/>
      </w:rPr>
    </w:lvl>
    <w:lvl w:ilvl="2" w:tplc="B746795A" w:tentative="1">
      <w:start w:val="1"/>
      <w:numFmt w:val="bullet"/>
      <w:lvlText w:val=""/>
      <w:lvlJc w:val="left"/>
      <w:pPr>
        <w:tabs>
          <w:tab w:val="num" w:pos="2160"/>
        </w:tabs>
        <w:ind w:left="2160" w:hanging="360"/>
      </w:pPr>
      <w:rPr>
        <w:rFonts w:ascii="Wingdings" w:hAnsi="Wingdings" w:hint="default"/>
      </w:rPr>
    </w:lvl>
    <w:lvl w:ilvl="3" w:tplc="F4FA9F20" w:tentative="1">
      <w:start w:val="1"/>
      <w:numFmt w:val="bullet"/>
      <w:lvlText w:val=""/>
      <w:lvlJc w:val="left"/>
      <w:pPr>
        <w:tabs>
          <w:tab w:val="num" w:pos="2880"/>
        </w:tabs>
        <w:ind w:left="2880" w:hanging="360"/>
      </w:pPr>
      <w:rPr>
        <w:rFonts w:ascii="Symbol" w:hAnsi="Symbol" w:hint="default"/>
      </w:rPr>
    </w:lvl>
    <w:lvl w:ilvl="4" w:tplc="2DE4F616" w:tentative="1">
      <w:start w:val="1"/>
      <w:numFmt w:val="bullet"/>
      <w:lvlText w:val="o"/>
      <w:lvlJc w:val="left"/>
      <w:pPr>
        <w:tabs>
          <w:tab w:val="num" w:pos="3600"/>
        </w:tabs>
        <w:ind w:left="3600" w:hanging="360"/>
      </w:pPr>
      <w:rPr>
        <w:rFonts w:ascii="Courier New" w:hAnsi="Courier New" w:cs="Courier New" w:hint="default"/>
      </w:rPr>
    </w:lvl>
    <w:lvl w:ilvl="5" w:tplc="70D2B056" w:tentative="1">
      <w:start w:val="1"/>
      <w:numFmt w:val="bullet"/>
      <w:lvlText w:val=""/>
      <w:lvlJc w:val="left"/>
      <w:pPr>
        <w:tabs>
          <w:tab w:val="num" w:pos="4320"/>
        </w:tabs>
        <w:ind w:left="4320" w:hanging="360"/>
      </w:pPr>
      <w:rPr>
        <w:rFonts w:ascii="Wingdings" w:hAnsi="Wingdings" w:hint="default"/>
      </w:rPr>
    </w:lvl>
    <w:lvl w:ilvl="6" w:tplc="3F8A0E7C" w:tentative="1">
      <w:start w:val="1"/>
      <w:numFmt w:val="bullet"/>
      <w:lvlText w:val=""/>
      <w:lvlJc w:val="left"/>
      <w:pPr>
        <w:tabs>
          <w:tab w:val="num" w:pos="5040"/>
        </w:tabs>
        <w:ind w:left="5040" w:hanging="360"/>
      </w:pPr>
      <w:rPr>
        <w:rFonts w:ascii="Symbol" w:hAnsi="Symbol" w:hint="default"/>
      </w:rPr>
    </w:lvl>
    <w:lvl w:ilvl="7" w:tplc="269EC296" w:tentative="1">
      <w:start w:val="1"/>
      <w:numFmt w:val="bullet"/>
      <w:lvlText w:val="o"/>
      <w:lvlJc w:val="left"/>
      <w:pPr>
        <w:tabs>
          <w:tab w:val="num" w:pos="5760"/>
        </w:tabs>
        <w:ind w:left="5760" w:hanging="360"/>
      </w:pPr>
      <w:rPr>
        <w:rFonts w:ascii="Courier New" w:hAnsi="Courier New" w:cs="Courier New" w:hint="default"/>
      </w:rPr>
    </w:lvl>
    <w:lvl w:ilvl="8" w:tplc="A1BC39F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003EA4B0">
      <w:start w:val="1"/>
      <w:numFmt w:val="decimal"/>
      <w:lvlText w:val="%1."/>
      <w:lvlJc w:val="left"/>
      <w:pPr>
        <w:tabs>
          <w:tab w:val="num" w:pos="570"/>
        </w:tabs>
        <w:ind w:left="570" w:hanging="570"/>
      </w:pPr>
      <w:rPr>
        <w:rFonts w:hint="default"/>
      </w:rPr>
    </w:lvl>
    <w:lvl w:ilvl="1" w:tplc="66067C4A" w:tentative="1">
      <w:start w:val="1"/>
      <w:numFmt w:val="lowerLetter"/>
      <w:lvlText w:val="%2."/>
      <w:lvlJc w:val="left"/>
      <w:pPr>
        <w:tabs>
          <w:tab w:val="num" w:pos="1080"/>
        </w:tabs>
        <w:ind w:left="1080" w:hanging="360"/>
      </w:pPr>
    </w:lvl>
    <w:lvl w:ilvl="2" w:tplc="B96C0750" w:tentative="1">
      <w:start w:val="1"/>
      <w:numFmt w:val="lowerRoman"/>
      <w:lvlText w:val="%3."/>
      <w:lvlJc w:val="right"/>
      <w:pPr>
        <w:tabs>
          <w:tab w:val="num" w:pos="1800"/>
        </w:tabs>
        <w:ind w:left="1800" w:hanging="180"/>
      </w:pPr>
    </w:lvl>
    <w:lvl w:ilvl="3" w:tplc="FF60C13E" w:tentative="1">
      <w:start w:val="1"/>
      <w:numFmt w:val="decimal"/>
      <w:lvlText w:val="%4."/>
      <w:lvlJc w:val="left"/>
      <w:pPr>
        <w:tabs>
          <w:tab w:val="num" w:pos="2520"/>
        </w:tabs>
        <w:ind w:left="2520" w:hanging="360"/>
      </w:pPr>
    </w:lvl>
    <w:lvl w:ilvl="4" w:tplc="DF5EB748" w:tentative="1">
      <w:start w:val="1"/>
      <w:numFmt w:val="lowerLetter"/>
      <w:lvlText w:val="%5."/>
      <w:lvlJc w:val="left"/>
      <w:pPr>
        <w:tabs>
          <w:tab w:val="num" w:pos="3240"/>
        </w:tabs>
        <w:ind w:left="3240" w:hanging="360"/>
      </w:pPr>
    </w:lvl>
    <w:lvl w:ilvl="5" w:tplc="B67A004E" w:tentative="1">
      <w:start w:val="1"/>
      <w:numFmt w:val="lowerRoman"/>
      <w:lvlText w:val="%6."/>
      <w:lvlJc w:val="right"/>
      <w:pPr>
        <w:tabs>
          <w:tab w:val="num" w:pos="3960"/>
        </w:tabs>
        <w:ind w:left="3960" w:hanging="180"/>
      </w:pPr>
    </w:lvl>
    <w:lvl w:ilvl="6" w:tplc="25742D4E" w:tentative="1">
      <w:start w:val="1"/>
      <w:numFmt w:val="decimal"/>
      <w:lvlText w:val="%7."/>
      <w:lvlJc w:val="left"/>
      <w:pPr>
        <w:tabs>
          <w:tab w:val="num" w:pos="4680"/>
        </w:tabs>
        <w:ind w:left="4680" w:hanging="360"/>
      </w:pPr>
    </w:lvl>
    <w:lvl w:ilvl="7" w:tplc="99724626" w:tentative="1">
      <w:start w:val="1"/>
      <w:numFmt w:val="lowerLetter"/>
      <w:lvlText w:val="%8."/>
      <w:lvlJc w:val="left"/>
      <w:pPr>
        <w:tabs>
          <w:tab w:val="num" w:pos="5400"/>
        </w:tabs>
        <w:ind w:left="5400" w:hanging="360"/>
      </w:pPr>
    </w:lvl>
    <w:lvl w:ilvl="8" w:tplc="75CCA58C"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9222C4CE">
      <w:start w:val="1"/>
      <w:numFmt w:val="decimal"/>
      <w:lvlText w:val="%1."/>
      <w:lvlJc w:val="left"/>
      <w:pPr>
        <w:ind w:left="720" w:hanging="360"/>
      </w:pPr>
    </w:lvl>
    <w:lvl w:ilvl="1" w:tplc="AF46AE9A" w:tentative="1">
      <w:start w:val="1"/>
      <w:numFmt w:val="lowerLetter"/>
      <w:lvlText w:val="%2."/>
      <w:lvlJc w:val="left"/>
      <w:pPr>
        <w:ind w:left="1440" w:hanging="360"/>
      </w:pPr>
    </w:lvl>
    <w:lvl w:ilvl="2" w:tplc="EFF8B868" w:tentative="1">
      <w:start w:val="1"/>
      <w:numFmt w:val="lowerRoman"/>
      <w:lvlText w:val="%3."/>
      <w:lvlJc w:val="right"/>
      <w:pPr>
        <w:ind w:left="2160" w:hanging="180"/>
      </w:pPr>
    </w:lvl>
    <w:lvl w:ilvl="3" w:tplc="DDF82E4C" w:tentative="1">
      <w:start w:val="1"/>
      <w:numFmt w:val="decimal"/>
      <w:lvlText w:val="%4."/>
      <w:lvlJc w:val="left"/>
      <w:pPr>
        <w:ind w:left="2880" w:hanging="360"/>
      </w:pPr>
    </w:lvl>
    <w:lvl w:ilvl="4" w:tplc="6A0E39CA" w:tentative="1">
      <w:start w:val="1"/>
      <w:numFmt w:val="lowerLetter"/>
      <w:lvlText w:val="%5."/>
      <w:lvlJc w:val="left"/>
      <w:pPr>
        <w:ind w:left="3600" w:hanging="360"/>
      </w:pPr>
    </w:lvl>
    <w:lvl w:ilvl="5" w:tplc="8CD07BC4" w:tentative="1">
      <w:start w:val="1"/>
      <w:numFmt w:val="lowerRoman"/>
      <w:lvlText w:val="%6."/>
      <w:lvlJc w:val="right"/>
      <w:pPr>
        <w:ind w:left="4320" w:hanging="180"/>
      </w:pPr>
    </w:lvl>
    <w:lvl w:ilvl="6" w:tplc="9CC492B4" w:tentative="1">
      <w:start w:val="1"/>
      <w:numFmt w:val="decimal"/>
      <w:lvlText w:val="%7."/>
      <w:lvlJc w:val="left"/>
      <w:pPr>
        <w:ind w:left="5040" w:hanging="360"/>
      </w:pPr>
    </w:lvl>
    <w:lvl w:ilvl="7" w:tplc="79AE966E" w:tentative="1">
      <w:start w:val="1"/>
      <w:numFmt w:val="lowerLetter"/>
      <w:lvlText w:val="%8."/>
      <w:lvlJc w:val="left"/>
      <w:pPr>
        <w:ind w:left="5760" w:hanging="360"/>
      </w:pPr>
    </w:lvl>
    <w:lvl w:ilvl="8" w:tplc="84AE9066"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4DE6C67A">
      <w:start w:val="2"/>
      <w:numFmt w:val="decimal"/>
      <w:lvlText w:val="%1."/>
      <w:lvlJc w:val="left"/>
      <w:pPr>
        <w:tabs>
          <w:tab w:val="num" w:pos="570"/>
        </w:tabs>
        <w:ind w:left="570" w:hanging="570"/>
      </w:pPr>
      <w:rPr>
        <w:rFonts w:hint="default"/>
      </w:rPr>
    </w:lvl>
    <w:lvl w:ilvl="1" w:tplc="E4A89B2E" w:tentative="1">
      <w:start w:val="1"/>
      <w:numFmt w:val="lowerLetter"/>
      <w:lvlText w:val="%2."/>
      <w:lvlJc w:val="left"/>
      <w:pPr>
        <w:tabs>
          <w:tab w:val="num" w:pos="1080"/>
        </w:tabs>
        <w:ind w:left="1080" w:hanging="360"/>
      </w:pPr>
    </w:lvl>
    <w:lvl w:ilvl="2" w:tplc="A6BE5EB0" w:tentative="1">
      <w:start w:val="1"/>
      <w:numFmt w:val="lowerRoman"/>
      <w:lvlText w:val="%3."/>
      <w:lvlJc w:val="right"/>
      <w:pPr>
        <w:tabs>
          <w:tab w:val="num" w:pos="1800"/>
        </w:tabs>
        <w:ind w:left="1800" w:hanging="180"/>
      </w:pPr>
    </w:lvl>
    <w:lvl w:ilvl="3" w:tplc="D93C7094" w:tentative="1">
      <w:start w:val="1"/>
      <w:numFmt w:val="decimal"/>
      <w:lvlText w:val="%4."/>
      <w:lvlJc w:val="left"/>
      <w:pPr>
        <w:tabs>
          <w:tab w:val="num" w:pos="2520"/>
        </w:tabs>
        <w:ind w:left="2520" w:hanging="360"/>
      </w:pPr>
    </w:lvl>
    <w:lvl w:ilvl="4" w:tplc="5F82628A" w:tentative="1">
      <w:start w:val="1"/>
      <w:numFmt w:val="lowerLetter"/>
      <w:lvlText w:val="%5."/>
      <w:lvlJc w:val="left"/>
      <w:pPr>
        <w:tabs>
          <w:tab w:val="num" w:pos="3240"/>
        </w:tabs>
        <w:ind w:left="3240" w:hanging="360"/>
      </w:pPr>
    </w:lvl>
    <w:lvl w:ilvl="5" w:tplc="C9EAD420" w:tentative="1">
      <w:start w:val="1"/>
      <w:numFmt w:val="lowerRoman"/>
      <w:lvlText w:val="%6."/>
      <w:lvlJc w:val="right"/>
      <w:pPr>
        <w:tabs>
          <w:tab w:val="num" w:pos="3960"/>
        </w:tabs>
        <w:ind w:left="3960" w:hanging="180"/>
      </w:pPr>
    </w:lvl>
    <w:lvl w:ilvl="6" w:tplc="59128D00" w:tentative="1">
      <w:start w:val="1"/>
      <w:numFmt w:val="decimal"/>
      <w:lvlText w:val="%7."/>
      <w:lvlJc w:val="left"/>
      <w:pPr>
        <w:tabs>
          <w:tab w:val="num" w:pos="4680"/>
        </w:tabs>
        <w:ind w:left="4680" w:hanging="360"/>
      </w:pPr>
    </w:lvl>
    <w:lvl w:ilvl="7" w:tplc="B4E078CA" w:tentative="1">
      <w:start w:val="1"/>
      <w:numFmt w:val="lowerLetter"/>
      <w:lvlText w:val="%8."/>
      <w:lvlJc w:val="left"/>
      <w:pPr>
        <w:tabs>
          <w:tab w:val="num" w:pos="5400"/>
        </w:tabs>
        <w:ind w:left="5400" w:hanging="360"/>
      </w:pPr>
    </w:lvl>
    <w:lvl w:ilvl="8" w:tplc="4DBE064E"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2CB0BE68">
      <w:start w:val="1"/>
      <w:numFmt w:val="bullet"/>
      <w:lvlText w:val=""/>
      <w:lvlJc w:val="left"/>
      <w:pPr>
        <w:tabs>
          <w:tab w:val="num" w:pos="397"/>
        </w:tabs>
        <w:ind w:left="397" w:hanging="397"/>
      </w:pPr>
      <w:rPr>
        <w:rFonts w:ascii="Symbol" w:hAnsi="Symbol" w:hint="default"/>
      </w:rPr>
    </w:lvl>
    <w:lvl w:ilvl="1" w:tplc="4DB0D41C" w:tentative="1">
      <w:start w:val="1"/>
      <w:numFmt w:val="bullet"/>
      <w:lvlText w:val="o"/>
      <w:lvlJc w:val="left"/>
      <w:pPr>
        <w:tabs>
          <w:tab w:val="num" w:pos="1440"/>
        </w:tabs>
        <w:ind w:left="1440" w:hanging="360"/>
      </w:pPr>
      <w:rPr>
        <w:rFonts w:ascii="Courier New" w:hAnsi="Courier New" w:cs="Courier New" w:hint="default"/>
      </w:rPr>
    </w:lvl>
    <w:lvl w:ilvl="2" w:tplc="AC6C4C5E" w:tentative="1">
      <w:start w:val="1"/>
      <w:numFmt w:val="bullet"/>
      <w:lvlText w:val=""/>
      <w:lvlJc w:val="left"/>
      <w:pPr>
        <w:tabs>
          <w:tab w:val="num" w:pos="2160"/>
        </w:tabs>
        <w:ind w:left="2160" w:hanging="360"/>
      </w:pPr>
      <w:rPr>
        <w:rFonts w:ascii="Wingdings" w:hAnsi="Wingdings" w:hint="default"/>
      </w:rPr>
    </w:lvl>
    <w:lvl w:ilvl="3" w:tplc="09705576" w:tentative="1">
      <w:start w:val="1"/>
      <w:numFmt w:val="bullet"/>
      <w:lvlText w:val=""/>
      <w:lvlJc w:val="left"/>
      <w:pPr>
        <w:tabs>
          <w:tab w:val="num" w:pos="2880"/>
        </w:tabs>
        <w:ind w:left="2880" w:hanging="360"/>
      </w:pPr>
      <w:rPr>
        <w:rFonts w:ascii="Symbol" w:hAnsi="Symbol" w:hint="default"/>
      </w:rPr>
    </w:lvl>
    <w:lvl w:ilvl="4" w:tplc="2AA2DD66" w:tentative="1">
      <w:start w:val="1"/>
      <w:numFmt w:val="bullet"/>
      <w:lvlText w:val="o"/>
      <w:lvlJc w:val="left"/>
      <w:pPr>
        <w:tabs>
          <w:tab w:val="num" w:pos="3600"/>
        </w:tabs>
        <w:ind w:left="3600" w:hanging="360"/>
      </w:pPr>
      <w:rPr>
        <w:rFonts w:ascii="Courier New" w:hAnsi="Courier New" w:cs="Courier New" w:hint="default"/>
      </w:rPr>
    </w:lvl>
    <w:lvl w:ilvl="5" w:tplc="2FF8C590" w:tentative="1">
      <w:start w:val="1"/>
      <w:numFmt w:val="bullet"/>
      <w:lvlText w:val=""/>
      <w:lvlJc w:val="left"/>
      <w:pPr>
        <w:tabs>
          <w:tab w:val="num" w:pos="4320"/>
        </w:tabs>
        <w:ind w:left="4320" w:hanging="360"/>
      </w:pPr>
      <w:rPr>
        <w:rFonts w:ascii="Wingdings" w:hAnsi="Wingdings" w:hint="default"/>
      </w:rPr>
    </w:lvl>
    <w:lvl w:ilvl="6" w:tplc="C3B81A86" w:tentative="1">
      <w:start w:val="1"/>
      <w:numFmt w:val="bullet"/>
      <w:lvlText w:val=""/>
      <w:lvlJc w:val="left"/>
      <w:pPr>
        <w:tabs>
          <w:tab w:val="num" w:pos="5040"/>
        </w:tabs>
        <w:ind w:left="5040" w:hanging="360"/>
      </w:pPr>
      <w:rPr>
        <w:rFonts w:ascii="Symbol" w:hAnsi="Symbol" w:hint="default"/>
      </w:rPr>
    </w:lvl>
    <w:lvl w:ilvl="7" w:tplc="CD6A0E0C" w:tentative="1">
      <w:start w:val="1"/>
      <w:numFmt w:val="bullet"/>
      <w:lvlText w:val="o"/>
      <w:lvlJc w:val="left"/>
      <w:pPr>
        <w:tabs>
          <w:tab w:val="num" w:pos="5760"/>
        </w:tabs>
        <w:ind w:left="5760" w:hanging="360"/>
      </w:pPr>
      <w:rPr>
        <w:rFonts w:ascii="Courier New" w:hAnsi="Courier New" w:cs="Courier New" w:hint="default"/>
      </w:rPr>
    </w:lvl>
    <w:lvl w:ilvl="8" w:tplc="6896D15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728E0D14">
      <w:start w:val="1"/>
      <w:numFmt w:val="bullet"/>
      <w:lvlText w:val=""/>
      <w:lvlJc w:val="left"/>
      <w:pPr>
        <w:tabs>
          <w:tab w:val="num" w:pos="720"/>
        </w:tabs>
        <w:ind w:left="720" w:hanging="360"/>
      </w:pPr>
      <w:rPr>
        <w:rFonts w:ascii="Symbol" w:hAnsi="Symbol" w:hint="default"/>
      </w:rPr>
    </w:lvl>
    <w:lvl w:ilvl="1" w:tplc="34366F52" w:tentative="1">
      <w:start w:val="1"/>
      <w:numFmt w:val="bullet"/>
      <w:lvlText w:val="o"/>
      <w:lvlJc w:val="left"/>
      <w:pPr>
        <w:tabs>
          <w:tab w:val="num" w:pos="1440"/>
        </w:tabs>
        <w:ind w:left="1440" w:hanging="360"/>
      </w:pPr>
      <w:rPr>
        <w:rFonts w:ascii="Courier New" w:hAnsi="Courier New" w:cs="Courier New" w:hint="default"/>
      </w:rPr>
    </w:lvl>
    <w:lvl w:ilvl="2" w:tplc="38D6EA5C" w:tentative="1">
      <w:start w:val="1"/>
      <w:numFmt w:val="bullet"/>
      <w:lvlText w:val=""/>
      <w:lvlJc w:val="left"/>
      <w:pPr>
        <w:tabs>
          <w:tab w:val="num" w:pos="2160"/>
        </w:tabs>
        <w:ind w:left="2160" w:hanging="360"/>
      </w:pPr>
      <w:rPr>
        <w:rFonts w:ascii="Wingdings" w:hAnsi="Wingdings" w:hint="default"/>
      </w:rPr>
    </w:lvl>
    <w:lvl w:ilvl="3" w:tplc="81EA7524" w:tentative="1">
      <w:start w:val="1"/>
      <w:numFmt w:val="bullet"/>
      <w:lvlText w:val=""/>
      <w:lvlJc w:val="left"/>
      <w:pPr>
        <w:tabs>
          <w:tab w:val="num" w:pos="2880"/>
        </w:tabs>
        <w:ind w:left="2880" w:hanging="360"/>
      </w:pPr>
      <w:rPr>
        <w:rFonts w:ascii="Symbol" w:hAnsi="Symbol" w:hint="default"/>
      </w:rPr>
    </w:lvl>
    <w:lvl w:ilvl="4" w:tplc="58449766" w:tentative="1">
      <w:start w:val="1"/>
      <w:numFmt w:val="bullet"/>
      <w:lvlText w:val="o"/>
      <w:lvlJc w:val="left"/>
      <w:pPr>
        <w:tabs>
          <w:tab w:val="num" w:pos="3600"/>
        </w:tabs>
        <w:ind w:left="3600" w:hanging="360"/>
      </w:pPr>
      <w:rPr>
        <w:rFonts w:ascii="Courier New" w:hAnsi="Courier New" w:cs="Courier New" w:hint="default"/>
      </w:rPr>
    </w:lvl>
    <w:lvl w:ilvl="5" w:tplc="9A30BE36" w:tentative="1">
      <w:start w:val="1"/>
      <w:numFmt w:val="bullet"/>
      <w:lvlText w:val=""/>
      <w:lvlJc w:val="left"/>
      <w:pPr>
        <w:tabs>
          <w:tab w:val="num" w:pos="4320"/>
        </w:tabs>
        <w:ind w:left="4320" w:hanging="360"/>
      </w:pPr>
      <w:rPr>
        <w:rFonts w:ascii="Wingdings" w:hAnsi="Wingdings" w:hint="default"/>
      </w:rPr>
    </w:lvl>
    <w:lvl w:ilvl="6" w:tplc="9DCABF9E" w:tentative="1">
      <w:start w:val="1"/>
      <w:numFmt w:val="bullet"/>
      <w:lvlText w:val=""/>
      <w:lvlJc w:val="left"/>
      <w:pPr>
        <w:tabs>
          <w:tab w:val="num" w:pos="5040"/>
        </w:tabs>
        <w:ind w:left="5040" w:hanging="360"/>
      </w:pPr>
      <w:rPr>
        <w:rFonts w:ascii="Symbol" w:hAnsi="Symbol" w:hint="default"/>
      </w:rPr>
    </w:lvl>
    <w:lvl w:ilvl="7" w:tplc="CC707DD8" w:tentative="1">
      <w:start w:val="1"/>
      <w:numFmt w:val="bullet"/>
      <w:lvlText w:val="o"/>
      <w:lvlJc w:val="left"/>
      <w:pPr>
        <w:tabs>
          <w:tab w:val="num" w:pos="5760"/>
        </w:tabs>
        <w:ind w:left="5760" w:hanging="360"/>
      </w:pPr>
      <w:rPr>
        <w:rFonts w:ascii="Courier New" w:hAnsi="Courier New" w:cs="Courier New" w:hint="default"/>
      </w:rPr>
    </w:lvl>
    <w:lvl w:ilvl="8" w:tplc="60FAD84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EFAAE972">
      <w:start w:val="1"/>
      <w:numFmt w:val="decimal"/>
      <w:lvlText w:val="%1)"/>
      <w:lvlJc w:val="left"/>
      <w:pPr>
        <w:ind w:left="720" w:hanging="360"/>
      </w:pPr>
      <w:rPr>
        <w:rFonts w:hint="default"/>
      </w:rPr>
    </w:lvl>
    <w:lvl w:ilvl="1" w:tplc="5FC0BD78" w:tentative="1">
      <w:start w:val="1"/>
      <w:numFmt w:val="lowerLetter"/>
      <w:lvlText w:val="%2."/>
      <w:lvlJc w:val="left"/>
      <w:pPr>
        <w:ind w:left="1440" w:hanging="360"/>
      </w:pPr>
    </w:lvl>
    <w:lvl w:ilvl="2" w:tplc="5FA80DFA" w:tentative="1">
      <w:start w:val="1"/>
      <w:numFmt w:val="lowerRoman"/>
      <w:lvlText w:val="%3."/>
      <w:lvlJc w:val="right"/>
      <w:pPr>
        <w:ind w:left="2160" w:hanging="180"/>
      </w:pPr>
    </w:lvl>
    <w:lvl w:ilvl="3" w:tplc="82DCABF8" w:tentative="1">
      <w:start w:val="1"/>
      <w:numFmt w:val="decimal"/>
      <w:lvlText w:val="%4."/>
      <w:lvlJc w:val="left"/>
      <w:pPr>
        <w:ind w:left="2880" w:hanging="360"/>
      </w:pPr>
    </w:lvl>
    <w:lvl w:ilvl="4" w:tplc="D5522952" w:tentative="1">
      <w:start w:val="1"/>
      <w:numFmt w:val="lowerLetter"/>
      <w:lvlText w:val="%5."/>
      <w:lvlJc w:val="left"/>
      <w:pPr>
        <w:ind w:left="3600" w:hanging="360"/>
      </w:pPr>
    </w:lvl>
    <w:lvl w:ilvl="5" w:tplc="8A2E8F00" w:tentative="1">
      <w:start w:val="1"/>
      <w:numFmt w:val="lowerRoman"/>
      <w:lvlText w:val="%6."/>
      <w:lvlJc w:val="right"/>
      <w:pPr>
        <w:ind w:left="4320" w:hanging="180"/>
      </w:pPr>
    </w:lvl>
    <w:lvl w:ilvl="6" w:tplc="862E060E" w:tentative="1">
      <w:start w:val="1"/>
      <w:numFmt w:val="decimal"/>
      <w:lvlText w:val="%7."/>
      <w:lvlJc w:val="left"/>
      <w:pPr>
        <w:ind w:left="5040" w:hanging="360"/>
      </w:pPr>
    </w:lvl>
    <w:lvl w:ilvl="7" w:tplc="850215C6" w:tentative="1">
      <w:start w:val="1"/>
      <w:numFmt w:val="lowerLetter"/>
      <w:lvlText w:val="%8."/>
      <w:lvlJc w:val="left"/>
      <w:pPr>
        <w:ind w:left="5760" w:hanging="360"/>
      </w:pPr>
    </w:lvl>
    <w:lvl w:ilvl="8" w:tplc="ABECF85C"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78E2ECFE">
      <w:start w:val="1"/>
      <w:numFmt w:val="upperLetter"/>
      <w:lvlText w:val="%1."/>
      <w:lvlJc w:val="left"/>
      <w:pPr>
        <w:ind w:left="577" w:hanging="450"/>
      </w:pPr>
      <w:rPr>
        <w:rFonts w:hint="default"/>
      </w:rPr>
    </w:lvl>
    <w:lvl w:ilvl="1" w:tplc="6362165A">
      <w:start w:val="1"/>
      <w:numFmt w:val="decimal"/>
      <w:lvlText w:val="%2."/>
      <w:lvlJc w:val="left"/>
      <w:pPr>
        <w:ind w:left="1417" w:hanging="570"/>
      </w:pPr>
      <w:rPr>
        <w:rFonts w:hint="default"/>
        <w:b/>
      </w:rPr>
    </w:lvl>
    <w:lvl w:ilvl="2" w:tplc="C4907538" w:tentative="1">
      <w:start w:val="1"/>
      <w:numFmt w:val="lowerRoman"/>
      <w:lvlText w:val="%3."/>
      <w:lvlJc w:val="right"/>
      <w:pPr>
        <w:ind w:left="1927" w:hanging="180"/>
      </w:pPr>
    </w:lvl>
    <w:lvl w:ilvl="3" w:tplc="7EF2AC78" w:tentative="1">
      <w:start w:val="1"/>
      <w:numFmt w:val="decimal"/>
      <w:lvlText w:val="%4."/>
      <w:lvlJc w:val="left"/>
      <w:pPr>
        <w:ind w:left="2647" w:hanging="360"/>
      </w:pPr>
    </w:lvl>
    <w:lvl w:ilvl="4" w:tplc="E8E64372" w:tentative="1">
      <w:start w:val="1"/>
      <w:numFmt w:val="lowerLetter"/>
      <w:lvlText w:val="%5."/>
      <w:lvlJc w:val="left"/>
      <w:pPr>
        <w:ind w:left="3367" w:hanging="360"/>
      </w:pPr>
    </w:lvl>
    <w:lvl w:ilvl="5" w:tplc="E7343F0A" w:tentative="1">
      <w:start w:val="1"/>
      <w:numFmt w:val="lowerRoman"/>
      <w:lvlText w:val="%6."/>
      <w:lvlJc w:val="right"/>
      <w:pPr>
        <w:ind w:left="4087" w:hanging="180"/>
      </w:pPr>
    </w:lvl>
    <w:lvl w:ilvl="6" w:tplc="E8CEC4FC" w:tentative="1">
      <w:start w:val="1"/>
      <w:numFmt w:val="decimal"/>
      <w:lvlText w:val="%7."/>
      <w:lvlJc w:val="left"/>
      <w:pPr>
        <w:ind w:left="4807" w:hanging="360"/>
      </w:pPr>
    </w:lvl>
    <w:lvl w:ilvl="7" w:tplc="A4443572" w:tentative="1">
      <w:start w:val="1"/>
      <w:numFmt w:val="lowerLetter"/>
      <w:lvlText w:val="%8."/>
      <w:lvlJc w:val="left"/>
      <w:pPr>
        <w:ind w:left="5527" w:hanging="360"/>
      </w:pPr>
    </w:lvl>
    <w:lvl w:ilvl="8" w:tplc="D9BE04FC"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011A96"/>
    <w:rsid w:val="000050DB"/>
    <w:rsid w:val="00007FC2"/>
    <w:rsid w:val="00011A96"/>
    <w:rsid w:val="00043F12"/>
    <w:rsid w:val="00057B27"/>
    <w:rsid w:val="00082C33"/>
    <w:rsid w:val="000B5A08"/>
    <w:rsid w:val="000D68F8"/>
    <w:rsid w:val="000E52CF"/>
    <w:rsid w:val="000F1905"/>
    <w:rsid w:val="0013262D"/>
    <w:rsid w:val="0013499D"/>
    <w:rsid w:val="00154099"/>
    <w:rsid w:val="00163376"/>
    <w:rsid w:val="00184749"/>
    <w:rsid w:val="00187230"/>
    <w:rsid w:val="001936F1"/>
    <w:rsid w:val="001B0784"/>
    <w:rsid w:val="001B41FB"/>
    <w:rsid w:val="001B4B2A"/>
    <w:rsid w:val="001C4824"/>
    <w:rsid w:val="001E7D4F"/>
    <w:rsid w:val="002503BA"/>
    <w:rsid w:val="00263D74"/>
    <w:rsid w:val="002B5366"/>
    <w:rsid w:val="0036776A"/>
    <w:rsid w:val="00396098"/>
    <w:rsid w:val="003B7756"/>
    <w:rsid w:val="003E7300"/>
    <w:rsid w:val="00410200"/>
    <w:rsid w:val="004266C2"/>
    <w:rsid w:val="00466B06"/>
    <w:rsid w:val="004A2398"/>
    <w:rsid w:val="004E4ACF"/>
    <w:rsid w:val="00530524"/>
    <w:rsid w:val="00530AC4"/>
    <w:rsid w:val="005312B9"/>
    <w:rsid w:val="00546791"/>
    <w:rsid w:val="005510EC"/>
    <w:rsid w:val="00602E06"/>
    <w:rsid w:val="00605EF9"/>
    <w:rsid w:val="00611FD5"/>
    <w:rsid w:val="00613EE2"/>
    <w:rsid w:val="00621EE0"/>
    <w:rsid w:val="0062653F"/>
    <w:rsid w:val="006277EB"/>
    <w:rsid w:val="00637445"/>
    <w:rsid w:val="006545BA"/>
    <w:rsid w:val="00685619"/>
    <w:rsid w:val="006B495F"/>
    <w:rsid w:val="006D5882"/>
    <w:rsid w:val="007102D0"/>
    <w:rsid w:val="0071065E"/>
    <w:rsid w:val="00720CCC"/>
    <w:rsid w:val="0072407F"/>
    <w:rsid w:val="0077724E"/>
    <w:rsid w:val="0078398B"/>
    <w:rsid w:val="007A0E33"/>
    <w:rsid w:val="007F63C0"/>
    <w:rsid w:val="007F7A39"/>
    <w:rsid w:val="008262EA"/>
    <w:rsid w:val="008334E5"/>
    <w:rsid w:val="008555B7"/>
    <w:rsid w:val="008823F6"/>
    <w:rsid w:val="0088554B"/>
    <w:rsid w:val="008A1E0A"/>
    <w:rsid w:val="008D3194"/>
    <w:rsid w:val="008F311C"/>
    <w:rsid w:val="00907578"/>
    <w:rsid w:val="0092445A"/>
    <w:rsid w:val="00942881"/>
    <w:rsid w:val="00943CBD"/>
    <w:rsid w:val="009A2E83"/>
    <w:rsid w:val="009E4760"/>
    <w:rsid w:val="009F7BB7"/>
    <w:rsid w:val="00A010D0"/>
    <w:rsid w:val="00A221BA"/>
    <w:rsid w:val="00A82C04"/>
    <w:rsid w:val="00A97039"/>
    <w:rsid w:val="00AA0458"/>
    <w:rsid w:val="00AA7B22"/>
    <w:rsid w:val="00AD58D3"/>
    <w:rsid w:val="00AD7A08"/>
    <w:rsid w:val="00AF1C57"/>
    <w:rsid w:val="00B1309E"/>
    <w:rsid w:val="00B5711A"/>
    <w:rsid w:val="00B80BFC"/>
    <w:rsid w:val="00B90F62"/>
    <w:rsid w:val="00BD0A35"/>
    <w:rsid w:val="00BF28B4"/>
    <w:rsid w:val="00C65069"/>
    <w:rsid w:val="00C979F3"/>
    <w:rsid w:val="00CA6B0B"/>
    <w:rsid w:val="00D104E9"/>
    <w:rsid w:val="00D36A85"/>
    <w:rsid w:val="00D7117F"/>
    <w:rsid w:val="00D72FAA"/>
    <w:rsid w:val="00DC4D46"/>
    <w:rsid w:val="00DD4888"/>
    <w:rsid w:val="00DD5A77"/>
    <w:rsid w:val="00DF0EBB"/>
    <w:rsid w:val="00DF1D8D"/>
    <w:rsid w:val="00E731AB"/>
    <w:rsid w:val="00EB6740"/>
    <w:rsid w:val="00EC03F4"/>
    <w:rsid w:val="00EE73A6"/>
    <w:rsid w:val="00F118E8"/>
    <w:rsid w:val="00F27D53"/>
    <w:rsid w:val="00F45D4A"/>
    <w:rsid w:val="00F53C53"/>
    <w:rsid w:val="00F90C98"/>
    <w:rsid w:val="00FB079F"/>
    <w:rsid w:val="00FE05F5"/>
    <w:rsid w:val="00FE1D12"/>
    <w:rsid w:val="00FE3A19"/>
    <w:rsid w:val="00FE693E"/>
  </w:rsids>
  <m:mathPr>
    <m:mathFont m:val="Cambria Math"/>
    <m:brkBin m:val="before"/>
    <m:brkBinSub m:val="--"/>
    <m:smallFrac m:val="0"/>
    <m:dispDef/>
    <m:lMargin m:val="0"/>
    <m:rMargin m:val="0"/>
    <m:defJc m:val="centerGroup"/>
    <m:wrapIndent m:val="1440"/>
    <m:intLim m:val="subSup"/>
    <m:naryLim m:val="undOvr"/>
  </m:mathPr>
  <w:themeFontLang w:val="en-GB"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D7BDD441-BC5C-4898-8374-B3BC8E63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de-DE"/>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Char,Char Char,Comment Text Char Char Char,Comment Text Char1,Comment Text Char1 Char"/>
    <w:basedOn w:val="Normal"/>
    <w:link w:val="CommentTextChar"/>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de-DE" w:eastAsia="de-DE" w:bidi="de-DE"/>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de-DE" w:eastAsia="de-DE" w:bidi="de-DE"/>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de-DE" w:eastAsia="de-DE" w:bidi="de-D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Char Char1,Char Char Char,Comment Text Char Char Char Char,Comment Text Char1 Char1,Comment Text Char1 Char Char"/>
    <w:link w:val="CommentText"/>
    <w:semiHidden/>
    <w:rsid w:val="00BC6DC2"/>
    <w:rPr>
      <w:rFonts w:eastAsia="Times New Roman"/>
      <w:lang w:eastAsia="de-DE"/>
    </w:rPr>
  </w:style>
  <w:style w:type="character" w:customStyle="1" w:styleId="CommentSubjectChar">
    <w:name w:val="Comment Subject Char"/>
    <w:link w:val="CommentSubject"/>
    <w:rsid w:val="00BC6DC2"/>
    <w:rPr>
      <w:rFonts w:eastAsia="Times New Roman"/>
      <w:b/>
      <w:bCs/>
      <w:lang w:eastAsia="de-DE"/>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character" w:customStyle="1" w:styleId="KommentartextZchn1">
    <w:name w:val="Kommentartext Zchn1"/>
    <w:rsid w:val="00A010D0"/>
    <w:rPr>
      <w:sz w:val="24"/>
      <w:szCs w:val="24"/>
      <w:lang w:val="en-GB" w:eastAsia="en-US" w:bidi="ar-SA"/>
    </w:rPr>
  </w:style>
  <w:style w:type="paragraph" w:customStyle="1" w:styleId="No-numheading3Agency">
    <w:name w:val="No-num heading 3 (Agency)"/>
    <w:basedOn w:val="Normal"/>
    <w:next w:val="BodytextAgency"/>
    <w:link w:val="No-numheading3AgencyChar"/>
    <w:rsid w:val="008823F6"/>
    <w:pPr>
      <w:keepNext/>
      <w:tabs>
        <w:tab w:val="clear" w:pos="567"/>
      </w:tabs>
      <w:spacing w:before="280" w:after="220" w:line="240" w:lineRule="auto"/>
      <w:outlineLvl w:val="2"/>
    </w:pPr>
    <w:rPr>
      <w:rFonts w:ascii="Verdana" w:eastAsia="Verdana" w:hAnsi="Verdana"/>
      <w:b/>
      <w:bCs/>
      <w:kern w:val="32"/>
      <w:szCs w:val="22"/>
    </w:rPr>
  </w:style>
  <w:style w:type="character" w:customStyle="1" w:styleId="No-numheading3AgencyChar">
    <w:name w:val="No-num heading 3 (Agency) Char"/>
    <w:link w:val="No-numheading3Agency"/>
    <w:rsid w:val="008823F6"/>
    <w:rPr>
      <w:rFonts w:ascii="Verdana" w:eastAsia="Verdana" w:hAnsi="Verdana"/>
      <w:b/>
      <w:bCs/>
      <w:kern w:val="3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DB706-2369-4E3A-A735-617473988E14}">
  <ds:schemaRefs>
    <ds:schemaRef ds:uri="http://schemas.microsoft.com/sharepoint/v3/contenttype/forms"/>
  </ds:schemaRefs>
</ds:datastoreItem>
</file>

<file path=customXml/itemProps2.xml><?xml version="1.0" encoding="utf-8"?>
<ds:datastoreItem xmlns:ds="http://schemas.openxmlformats.org/officeDocument/2006/customXml" ds:itemID="{F5949C0F-9CC2-4B02-A440-2E5F6A9A4233}"/>
</file>

<file path=customXml/itemProps3.xml><?xml version="1.0" encoding="utf-8"?>
<ds:datastoreItem xmlns:ds="http://schemas.openxmlformats.org/officeDocument/2006/customXml" ds:itemID="{9364F7D2-DC4A-4D5F-8493-0A70EF2F2B78}">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microsoft.com/sharepoint/v3"/>
    <ds:schemaRef ds:uri="http://www.w3.org/XML/1998/namespace"/>
  </ds:schemaRefs>
</ds:datastoreItem>
</file>

<file path=customXml/itemProps4.xml><?xml version="1.0" encoding="utf-8"?>
<ds:datastoreItem xmlns:ds="http://schemas.openxmlformats.org/officeDocument/2006/customXml" ds:itemID="{5DF35047-DBC4-48A5-B5D1-D618956C0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4652</Words>
  <Characters>31652</Characters>
  <Application>Microsoft Office Word</Application>
  <DocSecurity>0</DocSecurity>
  <Lines>263</Lines>
  <Paragraphs>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Cuprior, INN-Trientine tetrahydrochloride</vt:lpstr>
      <vt:lpstr>Cuprior, INN-Trientine tetrahydrochloride</vt:lpstr>
    </vt:vector>
  </TitlesOfParts>
  <Company>VCLS</Company>
  <LinksUpToDate>false</LinksUpToDate>
  <CharactersWithSpaces>36232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ema-combined-h-4005-de-annotated</dc:title>
  <dc:subject>EPAR</dc:subject>
  <dc:creator>CHMP</dc:creator>
  <cp:keywords>Cuprior, INN-Trientine tetrahydrochloride</cp:keywords>
  <cp:lastModifiedBy>Scanlan Elizabeth</cp:lastModifiedBy>
  <cp:revision>11</cp:revision>
  <dcterms:created xsi:type="dcterms:W3CDTF">2019-08-28T15:36:00Z</dcterms:created>
  <dcterms:modified xsi:type="dcterms:W3CDTF">2021-05-24T19:54:00Z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15:43:31</vt:lpwstr>
  </property>
  <property fmtid="{D5CDD505-2E9C-101B-9397-08002B2CF9AE}" pid="6" name="DM_Creator_Name">
    <vt:lpwstr>Leszczynska Edyta</vt:lpwstr>
  </property>
  <property fmtid="{D5CDD505-2E9C-101B-9397-08002B2CF9AE}" pid="7" name="DM_DocRefId">
    <vt:lpwstr>EMA/458152/2020</vt:lpwstr>
  </property>
  <property fmtid="{D5CDD505-2E9C-101B-9397-08002B2CF9AE}" pid="8" name="DM_emea_doc_ref_id">
    <vt:lpwstr>EMA/458152/2020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15:43:31</vt:lpwstr>
  </property>
  <property fmtid="{D5CDD505-2E9C-101B-9397-08002B2CF9AE}" pid="13" name="DM_Modifier_Name">
    <vt:lpwstr>Leszczynska Edyta</vt:lpwstr>
  </property>
  <property fmtid="{D5CDD505-2E9C-101B-9397-08002B2CF9AE}" pid="14" name="DM_Modify_Date">
    <vt:lpwstr>28/08/2020 15:43:31</vt:lpwstr>
  </property>
  <property fmtid="{D5CDD505-2E9C-101B-9397-08002B2CF9AE}" pid="15" name="DM_Name">
    <vt:lpwstr>ema-combined-h-4005-de-annotated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2021-05-24T19:54:03Z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c324cc6f-4dcf-435e-88ff-154962a1dc7f</vt:lpwstr>
  </property>
  <property fmtid="{D5CDD505-2E9C-101B-9397-08002B2CF9AE}" pid="28" name="MSIP_Label_0eea11ca-d417-4147-80ed-01a58412c458_ContentBits">
    <vt:lpwstr>2</vt:lpwstr>
  </property>
</Properties>
</file>