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DFF2E" w14:textId="77777777" w:rsidR="00422F80" w:rsidRPr="00564D92" w:rsidRDefault="00422F80" w:rsidP="00067FBE">
      <w:pPr>
        <w:rPr>
          <w:noProof/>
        </w:rPr>
      </w:pPr>
      <w:bookmarkStart w:id="0" w:name="_GoBack"/>
      <w:bookmarkEnd w:id="0"/>
    </w:p>
    <w:p w14:paraId="797DFF2F" w14:textId="77777777" w:rsidR="00422F80" w:rsidRPr="00564D92" w:rsidRDefault="00422F80" w:rsidP="00067FBE">
      <w:pPr>
        <w:rPr>
          <w:noProof/>
        </w:rPr>
      </w:pPr>
    </w:p>
    <w:p w14:paraId="797DFF30" w14:textId="77777777" w:rsidR="00422F80" w:rsidRPr="00564D92" w:rsidRDefault="00422F80" w:rsidP="00067FBE">
      <w:pPr>
        <w:rPr>
          <w:noProof/>
        </w:rPr>
      </w:pPr>
    </w:p>
    <w:p w14:paraId="797DFF31" w14:textId="77777777" w:rsidR="00422F80" w:rsidRPr="00564D92" w:rsidRDefault="00422F80" w:rsidP="00067FBE">
      <w:pPr>
        <w:rPr>
          <w:noProof/>
        </w:rPr>
      </w:pPr>
    </w:p>
    <w:p w14:paraId="797DFF32" w14:textId="77777777" w:rsidR="00422F80" w:rsidRPr="00564D92" w:rsidRDefault="00422F80" w:rsidP="00067FBE">
      <w:pPr>
        <w:rPr>
          <w:noProof/>
        </w:rPr>
      </w:pPr>
    </w:p>
    <w:p w14:paraId="797DFF33" w14:textId="77777777" w:rsidR="00422F80" w:rsidRPr="00564D92" w:rsidRDefault="00422F80" w:rsidP="00067FBE">
      <w:pPr>
        <w:rPr>
          <w:noProof/>
        </w:rPr>
      </w:pPr>
    </w:p>
    <w:p w14:paraId="797DFF34" w14:textId="77777777" w:rsidR="00422F80" w:rsidRPr="00564D92" w:rsidRDefault="00422F80" w:rsidP="00067FBE">
      <w:pPr>
        <w:rPr>
          <w:noProof/>
        </w:rPr>
      </w:pPr>
    </w:p>
    <w:p w14:paraId="797DFF35" w14:textId="77777777" w:rsidR="00422F80" w:rsidRPr="00564D92" w:rsidRDefault="00422F80" w:rsidP="00067FBE">
      <w:pPr>
        <w:rPr>
          <w:noProof/>
        </w:rPr>
      </w:pPr>
    </w:p>
    <w:p w14:paraId="797DFF36" w14:textId="77777777" w:rsidR="00422F80" w:rsidRPr="00564D92" w:rsidRDefault="00422F80" w:rsidP="00067FBE">
      <w:pPr>
        <w:rPr>
          <w:noProof/>
        </w:rPr>
      </w:pPr>
    </w:p>
    <w:p w14:paraId="797DFF37" w14:textId="77777777" w:rsidR="00422F80" w:rsidRPr="00564D92" w:rsidRDefault="00422F80" w:rsidP="00067FBE">
      <w:pPr>
        <w:rPr>
          <w:noProof/>
        </w:rPr>
      </w:pPr>
    </w:p>
    <w:p w14:paraId="797DFF38" w14:textId="77777777" w:rsidR="00422F80" w:rsidRPr="00564D92" w:rsidRDefault="00422F80" w:rsidP="00067FBE">
      <w:pPr>
        <w:rPr>
          <w:noProof/>
        </w:rPr>
      </w:pPr>
    </w:p>
    <w:p w14:paraId="797DFF39" w14:textId="77777777" w:rsidR="00422F80" w:rsidRPr="00564D92" w:rsidRDefault="00422F80" w:rsidP="00067FBE">
      <w:pPr>
        <w:rPr>
          <w:noProof/>
        </w:rPr>
      </w:pPr>
    </w:p>
    <w:p w14:paraId="797DFF3A" w14:textId="77777777" w:rsidR="00422F80" w:rsidRPr="00564D92" w:rsidRDefault="00422F80" w:rsidP="00067FBE">
      <w:pPr>
        <w:rPr>
          <w:noProof/>
        </w:rPr>
      </w:pPr>
    </w:p>
    <w:p w14:paraId="797DFF3B" w14:textId="77777777" w:rsidR="00422F80" w:rsidRPr="00564D92" w:rsidRDefault="00422F80" w:rsidP="00067FBE">
      <w:pPr>
        <w:rPr>
          <w:noProof/>
        </w:rPr>
      </w:pPr>
    </w:p>
    <w:p w14:paraId="797DFF3C" w14:textId="77777777" w:rsidR="00422F80" w:rsidRPr="00564D92" w:rsidRDefault="00422F80" w:rsidP="00067FBE">
      <w:pPr>
        <w:rPr>
          <w:noProof/>
        </w:rPr>
      </w:pPr>
    </w:p>
    <w:p w14:paraId="797DFF3D" w14:textId="77777777" w:rsidR="00422F80" w:rsidRPr="00564D92" w:rsidRDefault="00422F80" w:rsidP="00067FBE">
      <w:pPr>
        <w:rPr>
          <w:noProof/>
        </w:rPr>
      </w:pPr>
    </w:p>
    <w:p w14:paraId="797DFF3E" w14:textId="77777777" w:rsidR="00422F80" w:rsidRPr="00564D92" w:rsidRDefault="00422F80" w:rsidP="00067FBE">
      <w:pPr>
        <w:rPr>
          <w:noProof/>
        </w:rPr>
      </w:pPr>
    </w:p>
    <w:p w14:paraId="797DFF3F" w14:textId="77777777" w:rsidR="00422F80" w:rsidRPr="00564D92" w:rsidRDefault="00422F80" w:rsidP="00067FBE"/>
    <w:p w14:paraId="797DFF40" w14:textId="77777777" w:rsidR="00422F80" w:rsidRPr="00564D92" w:rsidRDefault="00422F80" w:rsidP="00067FBE"/>
    <w:p w14:paraId="797DFF41" w14:textId="77777777" w:rsidR="00422F80" w:rsidRPr="00564D92" w:rsidRDefault="00422F80" w:rsidP="00067FBE"/>
    <w:p w14:paraId="797DFF42" w14:textId="77777777" w:rsidR="00422F80" w:rsidRPr="00564D92" w:rsidRDefault="00422F80" w:rsidP="00067FBE"/>
    <w:p w14:paraId="797DFF43" w14:textId="77777777" w:rsidR="00422F80" w:rsidRPr="00564D92" w:rsidRDefault="00422F80" w:rsidP="00067FBE"/>
    <w:p w14:paraId="797DFF44" w14:textId="77777777" w:rsidR="00422F80" w:rsidRPr="00564D92" w:rsidRDefault="001E1647" w:rsidP="00067FBE">
      <w:pPr>
        <w:spacing w:line="240" w:lineRule="auto"/>
        <w:jc w:val="center"/>
        <w:outlineLvl w:val="0"/>
      </w:pPr>
      <w:r>
        <w:rPr>
          <w:b/>
          <w:bCs/>
        </w:rPr>
        <w:t>ΠΑΡΑΡΤΗΜΑ Ι</w:t>
      </w:r>
    </w:p>
    <w:p w14:paraId="797DFF45" w14:textId="77777777" w:rsidR="00422F80" w:rsidRPr="00564D92" w:rsidRDefault="00422F80" w:rsidP="00067FBE"/>
    <w:p w14:paraId="797DFF46" w14:textId="77777777" w:rsidR="00422F80" w:rsidRPr="00564D92" w:rsidRDefault="001E1647" w:rsidP="00067FBE">
      <w:pPr>
        <w:spacing w:line="240" w:lineRule="auto"/>
        <w:jc w:val="center"/>
        <w:outlineLvl w:val="0"/>
      </w:pPr>
      <w:r>
        <w:rPr>
          <w:b/>
          <w:bCs/>
        </w:rPr>
        <w:t>ΠΕΡΙΛΗΨΗ ΤΩΝ ΧΑΡΑΚΤΗΡΙΣΤΙΚΩΝ ΤΟΥ ΠΡΟΪΟΝΤΟΣ</w:t>
      </w:r>
    </w:p>
    <w:p w14:paraId="797DFF47" w14:textId="77777777" w:rsidR="00422F80" w:rsidRPr="005C6784" w:rsidRDefault="001E1647" w:rsidP="00067FBE">
      <w:pPr>
        <w:pStyle w:val="ListParagraph"/>
        <w:numPr>
          <w:ilvl w:val="0"/>
          <w:numId w:val="28"/>
        </w:numPr>
        <w:spacing w:line="240" w:lineRule="auto"/>
        <w:ind w:hanging="930"/>
        <w:rPr>
          <w:b/>
          <w:bCs/>
        </w:rPr>
      </w:pPr>
      <w:r>
        <w:br w:type="page"/>
      </w:r>
      <w:r>
        <w:rPr>
          <w:b/>
          <w:bCs/>
        </w:rPr>
        <w:lastRenderedPageBreak/>
        <w:t>ΟΝΟΜΑΣΙΑ ΤΟΥ ΦΑΡΜΑΚΕΥΤΙΚΟΥ ΠΡΟΪΟΝΤΟΣ</w:t>
      </w:r>
    </w:p>
    <w:p w14:paraId="797DFF48" w14:textId="77777777" w:rsidR="00422F80" w:rsidRPr="00564D92" w:rsidRDefault="00422F80" w:rsidP="00067FBE">
      <w:pPr>
        <w:spacing w:line="240" w:lineRule="auto"/>
        <w:rPr>
          <w:noProof/>
        </w:rPr>
      </w:pPr>
    </w:p>
    <w:p w14:paraId="797DFF49" w14:textId="77777777" w:rsidR="00422F80" w:rsidRPr="00564D92" w:rsidRDefault="001E1647" w:rsidP="00067FBE">
      <w:pPr>
        <w:widowControl w:val="0"/>
        <w:spacing w:line="240" w:lineRule="auto"/>
        <w:rPr>
          <w:noProof/>
        </w:rPr>
      </w:pPr>
      <w:r>
        <w:t>Cuprior 150 mg επικαλυμμένα με λεπτό υμένιο δισκία</w:t>
      </w:r>
    </w:p>
    <w:p w14:paraId="797DFF4A" w14:textId="77777777" w:rsidR="00422F80" w:rsidRPr="00564D92" w:rsidRDefault="00422F80" w:rsidP="00067FBE">
      <w:pPr>
        <w:spacing w:line="240" w:lineRule="auto"/>
        <w:rPr>
          <w:noProof/>
        </w:rPr>
      </w:pPr>
    </w:p>
    <w:p w14:paraId="797DFF4B" w14:textId="77777777" w:rsidR="00422F80" w:rsidRPr="00564D92" w:rsidRDefault="00422F80" w:rsidP="00067FBE">
      <w:pPr>
        <w:spacing w:line="240" w:lineRule="auto"/>
        <w:rPr>
          <w:noProof/>
        </w:rPr>
      </w:pPr>
    </w:p>
    <w:p w14:paraId="797DFF4C" w14:textId="77777777" w:rsidR="00422F80" w:rsidRPr="005C6784" w:rsidRDefault="001E1647" w:rsidP="00067FBE">
      <w:pPr>
        <w:pStyle w:val="ListParagraph"/>
        <w:numPr>
          <w:ilvl w:val="0"/>
          <w:numId w:val="28"/>
        </w:numPr>
        <w:spacing w:line="240" w:lineRule="auto"/>
        <w:ind w:hanging="930"/>
        <w:rPr>
          <w:b/>
          <w:bCs/>
        </w:rPr>
      </w:pPr>
      <w:r>
        <w:rPr>
          <w:b/>
          <w:bCs/>
        </w:rPr>
        <w:t>ΠΟΙΟΤΙΚΗ ΚΑΙ ΠΟΣΟΤΙΚΗ ΣΥΝΘΕΣΗ</w:t>
      </w:r>
    </w:p>
    <w:p w14:paraId="797DFF4D" w14:textId="77777777" w:rsidR="00422F80" w:rsidRPr="00564D92" w:rsidRDefault="00422F80" w:rsidP="00067FBE">
      <w:pPr>
        <w:spacing w:line="240" w:lineRule="auto"/>
        <w:rPr>
          <w:noProof/>
        </w:rPr>
      </w:pPr>
    </w:p>
    <w:p w14:paraId="797DFF4E" w14:textId="77777777" w:rsidR="00422F80" w:rsidRPr="00564D92" w:rsidRDefault="001E1647" w:rsidP="00067FBE">
      <w:pPr>
        <w:widowControl w:val="0"/>
      </w:pPr>
      <w:r>
        <w:t xml:space="preserve">Κάθε επικαλυμμένο με λεπτό υμένιο δισκίο </w:t>
      </w:r>
      <w:r>
        <w:t>περιέχει τετραϋδροχλωρική τριεντίνη, η οποία ισοδυναμεί με 150 mg τριεντίνης.</w:t>
      </w:r>
    </w:p>
    <w:p w14:paraId="797DFF4F" w14:textId="77777777" w:rsidR="00422F80" w:rsidRPr="00564D92" w:rsidRDefault="00422F80" w:rsidP="00067FBE"/>
    <w:p w14:paraId="797DFF50" w14:textId="77777777" w:rsidR="00422F80" w:rsidRPr="00564D92" w:rsidRDefault="001E1647" w:rsidP="00067FBE">
      <w:pPr>
        <w:outlineLvl w:val="0"/>
        <w:rPr>
          <w:noProof/>
        </w:rPr>
      </w:pPr>
      <w:r>
        <w:t>Για τον πλήρη κατάλογο των εκδόχων, βλ. παράγραφο 6.1.</w:t>
      </w:r>
    </w:p>
    <w:p w14:paraId="797DFF51" w14:textId="77777777" w:rsidR="00422F80" w:rsidRPr="00564D92" w:rsidRDefault="00422F80" w:rsidP="00067FBE">
      <w:pPr>
        <w:rPr>
          <w:noProof/>
        </w:rPr>
      </w:pPr>
    </w:p>
    <w:p w14:paraId="797DFF52" w14:textId="77777777" w:rsidR="00422F80" w:rsidRPr="00564D92" w:rsidRDefault="00422F80" w:rsidP="00067FBE">
      <w:pPr>
        <w:spacing w:line="240" w:lineRule="auto"/>
        <w:rPr>
          <w:noProof/>
        </w:rPr>
      </w:pPr>
    </w:p>
    <w:p w14:paraId="797DFF53" w14:textId="77777777" w:rsidR="00422F80" w:rsidRPr="003E448A" w:rsidRDefault="001E1647" w:rsidP="00067FBE">
      <w:pPr>
        <w:pStyle w:val="ListParagraph"/>
        <w:numPr>
          <w:ilvl w:val="0"/>
          <w:numId w:val="28"/>
        </w:numPr>
        <w:spacing w:line="240" w:lineRule="auto"/>
        <w:ind w:hanging="930"/>
        <w:rPr>
          <w:b/>
          <w:bCs/>
        </w:rPr>
      </w:pPr>
      <w:r>
        <w:rPr>
          <w:b/>
          <w:bCs/>
        </w:rPr>
        <w:t>ΦΑΡΜΑΚΟΤΕΧΝΙΚΗ ΜΟΡΦΗ</w:t>
      </w:r>
    </w:p>
    <w:p w14:paraId="797DFF54" w14:textId="77777777" w:rsidR="00422F80" w:rsidRPr="00564D92" w:rsidRDefault="00422F80" w:rsidP="00067FBE">
      <w:pPr>
        <w:spacing w:line="240" w:lineRule="auto"/>
        <w:rPr>
          <w:noProof/>
        </w:rPr>
      </w:pPr>
    </w:p>
    <w:p w14:paraId="797DFF55" w14:textId="77777777" w:rsidR="00422F80" w:rsidRPr="00564D92" w:rsidRDefault="001E1647" w:rsidP="00067FBE">
      <w:pPr>
        <w:rPr>
          <w:noProof/>
        </w:rPr>
      </w:pPr>
      <w:r>
        <w:t>Επικαλυμμένο με λεπτό υμένιο δισκίο (δισκίο).</w:t>
      </w:r>
    </w:p>
    <w:p w14:paraId="797DFF56" w14:textId="77777777" w:rsidR="00422F80" w:rsidRPr="00564D92" w:rsidRDefault="00422F80" w:rsidP="00067FBE">
      <w:pPr>
        <w:rPr>
          <w:noProof/>
        </w:rPr>
      </w:pPr>
    </w:p>
    <w:p w14:paraId="797DFF57" w14:textId="77777777" w:rsidR="00422F80" w:rsidRPr="00564D92" w:rsidRDefault="001E1647" w:rsidP="00067FBE">
      <w:pPr>
        <w:rPr>
          <w:noProof/>
        </w:rPr>
      </w:pPr>
      <w:r>
        <w:t>Κίτρινο, 16 mm x 8 mm επίμηκες επικαλυμμένο με λεπτ</w:t>
      </w:r>
      <w:r>
        <w:t>ό υμένιο δισκίο με εγκοπή σε κάθε πλευρά.</w:t>
      </w:r>
    </w:p>
    <w:p w14:paraId="797DFF58" w14:textId="77777777" w:rsidR="00422F80" w:rsidRPr="00564D92" w:rsidRDefault="00422F80" w:rsidP="00067FBE">
      <w:pPr>
        <w:rPr>
          <w:noProof/>
        </w:rPr>
      </w:pPr>
    </w:p>
    <w:p w14:paraId="797DFF59" w14:textId="77777777" w:rsidR="00422F80" w:rsidRPr="00564D92" w:rsidRDefault="001E1647" w:rsidP="00067FBE">
      <w:pPr>
        <w:rPr>
          <w:noProof/>
        </w:rPr>
      </w:pPr>
      <w:r>
        <w:t>Το δισκίο μπορεί να διαχωριστεί σε δύο ίσες δόσεις.</w:t>
      </w:r>
    </w:p>
    <w:p w14:paraId="797DFF5A" w14:textId="77777777" w:rsidR="00422F80" w:rsidRPr="00564D92" w:rsidRDefault="00422F80" w:rsidP="00067FBE">
      <w:pPr>
        <w:rPr>
          <w:noProof/>
        </w:rPr>
      </w:pPr>
    </w:p>
    <w:p w14:paraId="797DFF5B" w14:textId="77777777" w:rsidR="00422F80" w:rsidRPr="00564D92" w:rsidRDefault="00422F80" w:rsidP="00067FBE">
      <w:pPr>
        <w:rPr>
          <w:noProof/>
        </w:rPr>
      </w:pPr>
    </w:p>
    <w:p w14:paraId="797DFF5C" w14:textId="77777777" w:rsidR="00422F80" w:rsidRPr="00134E95" w:rsidRDefault="001E1647" w:rsidP="00067FBE">
      <w:pPr>
        <w:pStyle w:val="ListParagraph"/>
        <w:numPr>
          <w:ilvl w:val="0"/>
          <w:numId w:val="28"/>
        </w:numPr>
        <w:spacing w:line="240" w:lineRule="auto"/>
        <w:ind w:hanging="930"/>
        <w:rPr>
          <w:b/>
          <w:bCs/>
        </w:rPr>
      </w:pPr>
      <w:r>
        <w:rPr>
          <w:b/>
          <w:bCs/>
        </w:rPr>
        <w:t>ΚΛΙΝΙΚΑ ΣΤΟΙΧΕΙΑ</w:t>
      </w:r>
    </w:p>
    <w:p w14:paraId="797DFF5D" w14:textId="77777777" w:rsidR="00422F80" w:rsidRPr="00564D92" w:rsidRDefault="00422F80" w:rsidP="00067FBE">
      <w:pPr>
        <w:spacing w:line="240" w:lineRule="auto"/>
        <w:rPr>
          <w:noProof/>
        </w:rPr>
      </w:pPr>
    </w:p>
    <w:p w14:paraId="797DFF5E" w14:textId="77777777" w:rsidR="00422F80" w:rsidRPr="004C65FB" w:rsidRDefault="001E1647" w:rsidP="00067FBE">
      <w:pPr>
        <w:pStyle w:val="ListParagraph"/>
        <w:numPr>
          <w:ilvl w:val="1"/>
          <w:numId w:val="28"/>
        </w:numPr>
        <w:spacing w:line="240" w:lineRule="auto"/>
        <w:ind w:hanging="930"/>
        <w:outlineLvl w:val="0"/>
        <w:rPr>
          <w:noProof/>
        </w:rPr>
      </w:pPr>
      <w:r>
        <w:rPr>
          <w:b/>
          <w:bCs/>
          <w:noProof/>
        </w:rPr>
        <w:t>Θεραπευτικές ενδείξεις</w:t>
      </w:r>
    </w:p>
    <w:p w14:paraId="797DFF5F" w14:textId="77777777" w:rsidR="00422F80" w:rsidRPr="00564D92" w:rsidRDefault="00422F80" w:rsidP="00067FBE">
      <w:pPr>
        <w:spacing w:line="240" w:lineRule="auto"/>
        <w:rPr>
          <w:noProof/>
        </w:rPr>
      </w:pPr>
    </w:p>
    <w:p w14:paraId="797DFF60" w14:textId="77777777" w:rsidR="00422F80" w:rsidRPr="00564D92" w:rsidRDefault="001E1647" w:rsidP="00067FBE">
      <w:pPr>
        <w:rPr>
          <w:i/>
          <w:iCs/>
          <w:color w:val="000000"/>
        </w:rPr>
      </w:pPr>
      <w:r>
        <w:t xml:space="preserve">Το Cuprior ενδείκνυται για τη θεραπεία της νόσου του Wilson σε ενήλικες, εφήβους και παιδιά ηλικίας ≥ 5 με </w:t>
      </w:r>
      <w:r>
        <w:t>δυσανεξία στη θεραπεία με D-πενικιλλαμίνη.</w:t>
      </w:r>
    </w:p>
    <w:p w14:paraId="797DFF61" w14:textId="77777777" w:rsidR="00422F80" w:rsidRPr="00564D92" w:rsidRDefault="00422F80" w:rsidP="00067FBE">
      <w:pPr>
        <w:spacing w:line="240" w:lineRule="auto"/>
        <w:rPr>
          <w:noProof/>
        </w:rPr>
      </w:pPr>
    </w:p>
    <w:p w14:paraId="797DFF62" w14:textId="77777777" w:rsidR="00422F80" w:rsidRPr="00564D92" w:rsidRDefault="001E1647" w:rsidP="00067FBE">
      <w:pPr>
        <w:pStyle w:val="ListParagraph"/>
        <w:numPr>
          <w:ilvl w:val="1"/>
          <w:numId w:val="28"/>
        </w:numPr>
        <w:spacing w:line="240" w:lineRule="auto"/>
        <w:ind w:hanging="930"/>
        <w:outlineLvl w:val="0"/>
        <w:rPr>
          <w:b/>
          <w:bCs/>
          <w:noProof/>
        </w:rPr>
      </w:pPr>
      <w:r>
        <w:rPr>
          <w:b/>
          <w:bCs/>
          <w:noProof/>
        </w:rPr>
        <w:t>Δοσολογία και τρόπος χορήγησης</w:t>
      </w:r>
    </w:p>
    <w:p w14:paraId="797DFF63" w14:textId="77777777" w:rsidR="00422F80" w:rsidRPr="00564D92" w:rsidRDefault="00422F80" w:rsidP="00067FBE">
      <w:pPr>
        <w:spacing w:line="240" w:lineRule="auto"/>
      </w:pPr>
    </w:p>
    <w:p w14:paraId="797DFF64" w14:textId="77777777" w:rsidR="00422F80" w:rsidRPr="00564D92" w:rsidRDefault="001E1647" w:rsidP="00067FBE">
      <w:r>
        <w:t xml:space="preserve">Η θεραπεία πρέπει να χορηγείται μόνο από εξειδικευμένο γιατρό με εμπειρία στην αντιμετώπιση της νόσου του Wilson. </w:t>
      </w:r>
    </w:p>
    <w:p w14:paraId="797DFF65" w14:textId="77777777" w:rsidR="00422F80" w:rsidRPr="00564D92" w:rsidRDefault="00422F80" w:rsidP="00067FBE"/>
    <w:p w14:paraId="797DFF66" w14:textId="77777777" w:rsidR="00422F80" w:rsidRPr="00564D92" w:rsidRDefault="001E1647" w:rsidP="00067FBE">
      <w:r>
        <w:rPr>
          <w:u w:val="single"/>
        </w:rPr>
        <w:t>Δοσολογία</w:t>
      </w:r>
    </w:p>
    <w:p w14:paraId="797DFF67" w14:textId="77777777" w:rsidR="00422F80" w:rsidRPr="00564D92" w:rsidRDefault="001E1647" w:rsidP="00067FBE">
      <w:r>
        <w:t xml:space="preserve">Η δόση εφόδου αντιστοιχεί συνήθως στη χαμηλότερη δόση </w:t>
      </w:r>
      <w:r>
        <w:t>εντός του συνιστώμενου εύρους η οποία, στη συνέχεια, πρέπει να προσαρμόζεται σύμφωνα με την κλινική απόκριση του ασθενή (βλ. παράγραφο 4.4)</w:t>
      </w:r>
    </w:p>
    <w:p w14:paraId="797DFF68" w14:textId="77777777" w:rsidR="00422F80" w:rsidRPr="000A5224" w:rsidRDefault="00422F80" w:rsidP="00067FBE">
      <w:pPr>
        <w:tabs>
          <w:tab w:val="clear" w:pos="567"/>
        </w:tabs>
        <w:autoSpaceDE w:val="0"/>
        <w:autoSpaceDN w:val="0"/>
        <w:adjustRightInd w:val="0"/>
        <w:spacing w:line="240" w:lineRule="auto"/>
        <w:rPr>
          <w:i/>
          <w:iCs/>
        </w:rPr>
      </w:pPr>
    </w:p>
    <w:p w14:paraId="797DFF69" w14:textId="77777777" w:rsidR="00422F80" w:rsidRPr="000A5224" w:rsidRDefault="001E1647" w:rsidP="00067FBE">
      <w:pPr>
        <w:tabs>
          <w:tab w:val="clear" w:pos="567"/>
        </w:tabs>
        <w:autoSpaceDE w:val="0"/>
        <w:autoSpaceDN w:val="0"/>
        <w:adjustRightInd w:val="0"/>
        <w:spacing w:line="240" w:lineRule="auto"/>
      </w:pPr>
      <w:r>
        <w:t>Η συνιστώμενη δοσολογία κυμαίνεται μεταξύ 450 mg και 975 mg (3 έως 6</w:t>
      </w:r>
      <w:r>
        <w:rPr>
          <w:b/>
          <w:bCs/>
        </w:rPr>
        <w:t xml:space="preserve">½ </w:t>
      </w:r>
      <w:r>
        <w:t>επικαλυμμένα με λεπτό υμένιο δισκία) ημερησίω</w:t>
      </w:r>
      <w:r>
        <w:t xml:space="preserve">ς και κατανέμεται σε 2 έως 4 δόσεις. </w:t>
      </w:r>
    </w:p>
    <w:p w14:paraId="797DFF6A" w14:textId="77777777" w:rsidR="00422F80" w:rsidRPr="000A5224" w:rsidRDefault="00422F80" w:rsidP="00067FBE">
      <w:pPr>
        <w:tabs>
          <w:tab w:val="clear" w:pos="567"/>
        </w:tabs>
        <w:autoSpaceDE w:val="0"/>
        <w:autoSpaceDN w:val="0"/>
        <w:adjustRightInd w:val="0"/>
        <w:spacing w:line="240" w:lineRule="auto"/>
        <w:rPr>
          <w:u w:val="single"/>
        </w:rPr>
      </w:pPr>
    </w:p>
    <w:p w14:paraId="797DFF6B" w14:textId="77777777" w:rsidR="00422F80" w:rsidRPr="000A5224" w:rsidRDefault="001E1647" w:rsidP="00067FBE">
      <w:pPr>
        <w:tabs>
          <w:tab w:val="clear" w:pos="567"/>
        </w:tabs>
        <w:autoSpaceDE w:val="0"/>
        <w:autoSpaceDN w:val="0"/>
        <w:adjustRightInd w:val="0"/>
        <w:spacing w:line="240" w:lineRule="auto"/>
        <w:rPr>
          <w:i/>
          <w:iCs/>
          <w:u w:val="single"/>
        </w:rPr>
      </w:pPr>
      <w:r>
        <w:rPr>
          <w:i/>
          <w:iCs/>
          <w:u w:val="single"/>
        </w:rPr>
        <w:t>Ειδικοί πληθυσμοί</w:t>
      </w:r>
    </w:p>
    <w:p w14:paraId="797DFF6C" w14:textId="77777777" w:rsidR="00422F80" w:rsidRPr="000A5224" w:rsidRDefault="001E1647" w:rsidP="00067FBE">
      <w:pPr>
        <w:tabs>
          <w:tab w:val="clear" w:pos="567"/>
        </w:tabs>
        <w:autoSpaceDE w:val="0"/>
        <w:autoSpaceDN w:val="0"/>
        <w:adjustRightInd w:val="0"/>
        <w:spacing w:line="240" w:lineRule="auto"/>
        <w:rPr>
          <w:i/>
          <w:iCs/>
        </w:rPr>
      </w:pPr>
      <w:r>
        <w:rPr>
          <w:i/>
          <w:iCs/>
        </w:rPr>
        <w:t xml:space="preserve">Ηλικιωμένοι </w:t>
      </w:r>
    </w:p>
    <w:p w14:paraId="797DFF6D" w14:textId="77777777" w:rsidR="00422F80" w:rsidRPr="000A5224" w:rsidRDefault="001E1647" w:rsidP="00067FBE">
      <w:pPr>
        <w:rPr>
          <w:rFonts w:eastAsia="Times New Roman"/>
        </w:rPr>
      </w:pPr>
      <w:r>
        <w:t>Δεν απαιτείται προσαρμογή της δόσης σε ηλικιωμένους ασθενείς.</w:t>
      </w:r>
    </w:p>
    <w:p w14:paraId="797DFF6E" w14:textId="77777777" w:rsidR="00422F80" w:rsidRPr="000A5224" w:rsidRDefault="00422F80" w:rsidP="00067FBE">
      <w:pPr>
        <w:rPr>
          <w:rFonts w:eastAsia="Times New Roman"/>
        </w:rPr>
      </w:pPr>
    </w:p>
    <w:p w14:paraId="797DFF6F" w14:textId="77777777" w:rsidR="00422F80" w:rsidRPr="000A5224" w:rsidRDefault="001E1647" w:rsidP="00067FBE">
      <w:pPr>
        <w:tabs>
          <w:tab w:val="clear" w:pos="567"/>
        </w:tabs>
        <w:autoSpaceDE w:val="0"/>
        <w:autoSpaceDN w:val="0"/>
        <w:adjustRightInd w:val="0"/>
        <w:spacing w:line="240" w:lineRule="auto"/>
        <w:rPr>
          <w:i/>
          <w:iCs/>
        </w:rPr>
      </w:pPr>
      <w:r>
        <w:rPr>
          <w:i/>
          <w:iCs/>
        </w:rPr>
        <w:t>Νεφρική δυσλειτουργία</w:t>
      </w:r>
    </w:p>
    <w:p w14:paraId="797DFF70" w14:textId="77777777" w:rsidR="00422F80" w:rsidRPr="000A5224" w:rsidRDefault="001E1647" w:rsidP="00067FBE">
      <w:pPr>
        <w:tabs>
          <w:tab w:val="clear" w:pos="567"/>
        </w:tabs>
        <w:autoSpaceDE w:val="0"/>
        <w:autoSpaceDN w:val="0"/>
        <w:adjustRightInd w:val="0"/>
        <w:spacing w:line="240" w:lineRule="auto"/>
        <w:rPr>
          <w:rFonts w:eastAsia="Times New Roman"/>
        </w:rPr>
      </w:pPr>
      <w:r>
        <w:t xml:space="preserve">Διατίθενται περιορισμένες πληροφορίες για τη χρήση σε ασθενείς με νεφρική </w:t>
      </w:r>
      <w:r>
        <w:t>δυσλειτουργία. Δεν απαιτείται ειδική προσαρμογή της δόσης στους συγκεκριμένους ασθενείς (βλ. παράγραφο 4.4).</w:t>
      </w:r>
    </w:p>
    <w:p w14:paraId="797DFF71" w14:textId="77777777" w:rsidR="00422F80" w:rsidRPr="00564D92" w:rsidRDefault="00422F80" w:rsidP="00067FBE"/>
    <w:p w14:paraId="797DFF72" w14:textId="77777777" w:rsidR="00422F80" w:rsidRPr="000A5224" w:rsidRDefault="001E1647" w:rsidP="00067FBE">
      <w:pPr>
        <w:rPr>
          <w:u w:val="single"/>
        </w:rPr>
      </w:pPr>
      <w:r>
        <w:rPr>
          <w:u w:val="single"/>
        </w:rPr>
        <w:t>Παιδιατρικός πληθυσμός</w:t>
      </w:r>
    </w:p>
    <w:p w14:paraId="797DFF73" w14:textId="77777777" w:rsidR="00422F80" w:rsidRPr="00564D92" w:rsidRDefault="001E1647" w:rsidP="00067FBE">
      <w:r>
        <w:t xml:space="preserve">Η δόση εφόδου στην παιδιατρική είναι χαμηλότερη από αυτήν των ενηλίκων και εξαρτάται από την ηλικία και το σωματικό βάρος. </w:t>
      </w:r>
    </w:p>
    <w:p w14:paraId="797DFF74" w14:textId="77777777" w:rsidR="00422F80" w:rsidRPr="00564D92" w:rsidRDefault="00422F80" w:rsidP="00067FBE"/>
    <w:p w14:paraId="797DFF75" w14:textId="77777777" w:rsidR="00422F80" w:rsidRPr="00564D92" w:rsidRDefault="001E1647" w:rsidP="00067FBE">
      <w:pPr>
        <w:rPr>
          <w:i/>
          <w:iCs/>
        </w:rPr>
      </w:pPr>
      <w:r>
        <w:rPr>
          <w:i/>
          <w:iCs/>
        </w:rPr>
        <w:t>Παιδιά ηλικίας</w:t>
      </w:r>
      <w:r>
        <w:t xml:space="preserve"> ≥ </w:t>
      </w:r>
      <w:r>
        <w:rPr>
          <w:i/>
          <w:iCs/>
        </w:rPr>
        <w:t xml:space="preserve">5 ετών </w:t>
      </w:r>
    </w:p>
    <w:p w14:paraId="797DFF76" w14:textId="77777777" w:rsidR="00422F80" w:rsidRPr="00564D92" w:rsidRDefault="001E1647" w:rsidP="00067FBE">
      <w:r>
        <w:lastRenderedPageBreak/>
        <w:t>Η δοσολογία κυμαίνεται συνήθως μεταξύ 225 mg και 600 mg ημερησίως (1</w:t>
      </w:r>
      <w:r>
        <w:rPr>
          <w:b/>
          <w:bCs/>
        </w:rPr>
        <w:t>½</w:t>
      </w:r>
      <w:r>
        <w:t xml:space="preserve"> έως4 επικαλυμμένα με λεπτό υμένιο δισκία) και κατανέμεται σε 2 έως 4 δόσεις. </w:t>
      </w:r>
    </w:p>
    <w:p w14:paraId="797DFF77" w14:textId="77777777" w:rsidR="00422F80" w:rsidRPr="00564D92" w:rsidRDefault="00422F80" w:rsidP="00067FBE"/>
    <w:p w14:paraId="797DFF78" w14:textId="77777777" w:rsidR="00422F80" w:rsidRPr="00564D92" w:rsidRDefault="001E1647" w:rsidP="00067FBE">
      <w:pPr>
        <w:rPr>
          <w:i/>
          <w:iCs/>
        </w:rPr>
      </w:pPr>
      <w:r>
        <w:rPr>
          <w:i/>
          <w:iCs/>
        </w:rPr>
        <w:t>Παιδιά ηλικίας &lt; 5 ετών</w:t>
      </w:r>
    </w:p>
    <w:p w14:paraId="797DFF79" w14:textId="77777777" w:rsidR="00422F80" w:rsidRPr="00F73BB4" w:rsidRDefault="001E1647" w:rsidP="00067FBE">
      <w:pPr>
        <w:tabs>
          <w:tab w:val="clear" w:pos="567"/>
        </w:tabs>
        <w:autoSpaceDE w:val="0"/>
        <w:autoSpaceDN w:val="0"/>
        <w:adjustRightInd w:val="0"/>
        <w:spacing w:line="240" w:lineRule="auto"/>
      </w:pPr>
      <w:r>
        <w:t xml:space="preserve">Η ασφάλεια και η αποτελεσματικότητα της τριεντίνης σε παιδιά ηλικίας &lt; 5 ετών δεν έχουν ακόμη τεκμηριωθεί. </w:t>
      </w:r>
    </w:p>
    <w:p w14:paraId="797DFF7A" w14:textId="77777777" w:rsidR="00422F80" w:rsidRPr="00F73BB4" w:rsidRDefault="001E1647" w:rsidP="00067FBE">
      <w:pPr>
        <w:tabs>
          <w:tab w:val="clear" w:pos="567"/>
        </w:tabs>
        <w:autoSpaceDE w:val="0"/>
        <w:autoSpaceDN w:val="0"/>
        <w:adjustRightInd w:val="0"/>
        <w:spacing w:line="240" w:lineRule="auto"/>
      </w:pPr>
      <w:r>
        <w:t>Η φαρμακευτική μορφή δεν ενδείκνυται για χορήγηση σε παιδιά ηλικίας &lt; 5 ετών.</w:t>
      </w:r>
    </w:p>
    <w:p w14:paraId="797DFF7B" w14:textId="77777777" w:rsidR="00422F80" w:rsidRPr="00045896" w:rsidRDefault="00422F80" w:rsidP="00067FBE">
      <w:pPr>
        <w:rPr>
          <w:highlight w:val="yellow"/>
        </w:rPr>
      </w:pPr>
    </w:p>
    <w:p w14:paraId="797DFF7C" w14:textId="77777777" w:rsidR="00422F80" w:rsidRPr="00564D92" w:rsidRDefault="001E1647" w:rsidP="00067FBE">
      <w:r>
        <w:t>Οι συνιστώμενες δόσεις του Cuprior εκφράζονται σε mg βάσης τριεντίνης</w:t>
      </w:r>
      <w:r>
        <w:t xml:space="preserve"> (</w:t>
      </w:r>
      <w:r w:rsidRPr="00EF3C63">
        <w:t>ήτοι</w:t>
      </w:r>
      <w:r>
        <w:t xml:space="preserve"> όχι σε mg του τετραϋδροχλωρικού άλατος τριεντίνης). </w:t>
      </w:r>
    </w:p>
    <w:p w14:paraId="797DFF7D" w14:textId="77777777" w:rsidR="00422F80" w:rsidRPr="00564D92" w:rsidRDefault="00422F80" w:rsidP="00067FBE">
      <w:pPr>
        <w:tabs>
          <w:tab w:val="clear" w:pos="567"/>
          <w:tab w:val="left" w:pos="7309"/>
        </w:tabs>
      </w:pPr>
    </w:p>
    <w:p w14:paraId="797DFF7E" w14:textId="77777777" w:rsidR="00422F80" w:rsidRPr="00564D92" w:rsidRDefault="001E1647" w:rsidP="00067FBE">
      <w:pPr>
        <w:autoSpaceDE w:val="0"/>
        <w:autoSpaceDN w:val="0"/>
        <w:adjustRightInd w:val="0"/>
        <w:rPr>
          <w:u w:val="single"/>
        </w:rPr>
      </w:pPr>
      <w:r>
        <w:rPr>
          <w:u w:val="single"/>
        </w:rPr>
        <w:t>Τρόπος χορήγησης</w:t>
      </w:r>
    </w:p>
    <w:p w14:paraId="797DFF7F" w14:textId="77777777" w:rsidR="00422F80" w:rsidRPr="00564D92" w:rsidRDefault="001E1647" w:rsidP="00067FBE">
      <w:pPr>
        <w:autoSpaceDE w:val="0"/>
        <w:autoSpaceDN w:val="0"/>
        <w:adjustRightInd w:val="0"/>
      </w:pPr>
      <w:r>
        <w:t>Το Cuprior προορίζεται για χρήση από το στόμα. Τα επικαλυμμένα με λεπτό υμένιο δισκία πρέπει να καταπίνονται με νερό. Το επικαλυμμένο με λεπτό υμένιο δισκίο με εγκοπή μπορεί να δ</w:t>
      </w:r>
      <w:r>
        <w:t>ιαχωριστεί σε δύο ίσες δόσεις, εφόσον κριθεί αναγκαίο, για μεγαλύτερη ακρίβεια κατά τη χορήγηση της δόσης ή για διευκόλυνση της λήψης.</w:t>
      </w:r>
    </w:p>
    <w:p w14:paraId="797DFF80" w14:textId="77777777" w:rsidR="00422F80" w:rsidRPr="00564D92" w:rsidRDefault="00422F80" w:rsidP="00067FBE">
      <w:pPr>
        <w:autoSpaceDE w:val="0"/>
        <w:autoSpaceDN w:val="0"/>
        <w:adjustRightInd w:val="0"/>
      </w:pPr>
    </w:p>
    <w:p w14:paraId="797DFF81" w14:textId="77777777" w:rsidR="00422F80" w:rsidRPr="00564D92" w:rsidRDefault="001E1647" w:rsidP="00067FBE">
      <w:pPr>
        <w:autoSpaceDE w:val="0"/>
        <w:autoSpaceDN w:val="0"/>
        <w:adjustRightInd w:val="0"/>
        <w:rPr>
          <w:noProof/>
        </w:rPr>
      </w:pPr>
      <w:r>
        <w:t>Είναι σημαντικό το Cuprior να λαμβάνεται με άδειο στομάχι, τουλάχιστον μία ώρα πριν από γεύμα ή δύο ώρες μετά από γεύμα,</w:t>
      </w:r>
      <w:r>
        <w:t xml:space="preserve"> και τουλάχιστον μία ώρα πριν ή/και μετά από άλλο φαρμακευτικό προϊόν, τροφές, ή γάλα (βλ. παράγραφο 4.5). </w:t>
      </w:r>
    </w:p>
    <w:p w14:paraId="797DFF82" w14:textId="77777777" w:rsidR="00422F80" w:rsidRPr="00564D92" w:rsidRDefault="00422F80" w:rsidP="00067FBE">
      <w:pPr>
        <w:spacing w:line="240" w:lineRule="auto"/>
        <w:ind w:left="567" w:hanging="567"/>
        <w:rPr>
          <w:b/>
          <w:bCs/>
          <w:noProof/>
        </w:rPr>
      </w:pPr>
    </w:p>
    <w:p w14:paraId="797DFF83" w14:textId="77777777" w:rsidR="00422F80" w:rsidRPr="00226A4A" w:rsidRDefault="001E1647" w:rsidP="00067FBE">
      <w:pPr>
        <w:pStyle w:val="ListParagraph"/>
        <w:numPr>
          <w:ilvl w:val="1"/>
          <w:numId w:val="28"/>
        </w:numPr>
        <w:spacing w:line="240" w:lineRule="auto"/>
        <w:ind w:hanging="930"/>
        <w:outlineLvl w:val="0"/>
        <w:rPr>
          <w:b/>
          <w:bCs/>
          <w:noProof/>
        </w:rPr>
      </w:pPr>
      <w:r>
        <w:rPr>
          <w:b/>
          <w:bCs/>
          <w:noProof/>
        </w:rPr>
        <w:t>Αντενδείξεις</w:t>
      </w:r>
    </w:p>
    <w:p w14:paraId="797DFF84" w14:textId="77777777" w:rsidR="00422F80" w:rsidRPr="00564D92" w:rsidRDefault="00422F80" w:rsidP="00067FBE">
      <w:pPr>
        <w:spacing w:line="240" w:lineRule="auto"/>
        <w:rPr>
          <w:noProof/>
        </w:rPr>
      </w:pPr>
    </w:p>
    <w:p w14:paraId="797DFF85" w14:textId="77777777" w:rsidR="00422F80" w:rsidRPr="00564D92" w:rsidRDefault="001E1647" w:rsidP="00067FBE">
      <w:pPr>
        <w:rPr>
          <w:noProof/>
        </w:rPr>
      </w:pPr>
      <w:r>
        <w:t>Υπερευαισθησία στη δραστική ουσία ή σε κάποιο από τα έκδοχα που αναφέρονται στην παράγραφο 6.1.</w:t>
      </w:r>
    </w:p>
    <w:p w14:paraId="797DFF86" w14:textId="77777777" w:rsidR="00422F80" w:rsidRPr="00564D92" w:rsidRDefault="00422F80" w:rsidP="00067FBE">
      <w:pPr>
        <w:spacing w:line="240" w:lineRule="auto"/>
        <w:rPr>
          <w:noProof/>
        </w:rPr>
      </w:pPr>
    </w:p>
    <w:p w14:paraId="797DFF87" w14:textId="77777777" w:rsidR="00422F80" w:rsidRPr="00564D92" w:rsidRDefault="001E1647" w:rsidP="00067FBE">
      <w:pPr>
        <w:pStyle w:val="ListParagraph"/>
        <w:numPr>
          <w:ilvl w:val="1"/>
          <w:numId w:val="28"/>
        </w:numPr>
        <w:spacing w:line="240" w:lineRule="auto"/>
        <w:ind w:hanging="930"/>
        <w:outlineLvl w:val="0"/>
        <w:rPr>
          <w:b/>
          <w:bCs/>
          <w:noProof/>
        </w:rPr>
      </w:pPr>
      <w:r>
        <w:rPr>
          <w:b/>
          <w:bCs/>
          <w:noProof/>
        </w:rPr>
        <w:t xml:space="preserve">Ειδικές </w:t>
      </w:r>
      <w:r>
        <w:rPr>
          <w:b/>
          <w:bCs/>
          <w:noProof/>
        </w:rPr>
        <w:t>προειδοποιήσεις και προφυλάξεις κατά τη χρήση</w:t>
      </w:r>
    </w:p>
    <w:p w14:paraId="797DFF88" w14:textId="77777777" w:rsidR="00422F80" w:rsidRPr="00564D92" w:rsidRDefault="00422F80" w:rsidP="00067FBE">
      <w:pPr>
        <w:spacing w:line="240" w:lineRule="auto"/>
        <w:ind w:left="567" w:hanging="567"/>
        <w:rPr>
          <w:b/>
          <w:bCs/>
          <w:noProof/>
        </w:rPr>
      </w:pPr>
    </w:p>
    <w:p w14:paraId="797DFF89" w14:textId="77777777" w:rsidR="00422F80" w:rsidRPr="000A5224" w:rsidRDefault="001E1647" w:rsidP="00067FBE">
      <w:r>
        <w:t xml:space="preserve">Κατά τη μετάβαση ενός ασθενή από άλλο σκεύασμα τριεντίνης, συνιστάται προσοχή διότι οι δόσεις που εκφράζονται σε βάση τριεντίνης ενδέχεται να μην είναι ισοδύναμες (βλ. παράγραφο 4.2). </w:t>
      </w:r>
    </w:p>
    <w:p w14:paraId="797DFF8A" w14:textId="77777777" w:rsidR="00422F80" w:rsidRPr="000A5224" w:rsidRDefault="00422F80" w:rsidP="00067FBE"/>
    <w:p w14:paraId="797DFF8B" w14:textId="77777777" w:rsidR="00422F80" w:rsidRPr="00564D92" w:rsidRDefault="001E1647" w:rsidP="00067FBE">
      <w:pPr>
        <w:tabs>
          <w:tab w:val="clear" w:pos="567"/>
        </w:tabs>
        <w:autoSpaceDE w:val="0"/>
        <w:autoSpaceDN w:val="0"/>
        <w:adjustRightInd w:val="0"/>
        <w:spacing w:line="240" w:lineRule="auto"/>
        <w:rPr>
          <w:noProof/>
        </w:rPr>
      </w:pPr>
      <w:r>
        <w:t>Η τριεντίνη είναι παράγοντας χηλίωσης και έχει καταδειχθεί ότι μειώνει τα επίπεδα σιδήρου του ορού. Σε περίπτωση σιδηροπενικής αναιμίας ενδέχεται να απαιτούνται συμπληρώματα σιδήρου τα οποία πρέπει να χορηγούνται σε διαφορετική χρονική στιγμή (βλ. παράγραφ</w:t>
      </w:r>
      <w:r>
        <w:t xml:space="preserve">ο 4.5) </w:t>
      </w:r>
    </w:p>
    <w:p w14:paraId="797DFF8C" w14:textId="77777777" w:rsidR="00422F80" w:rsidRDefault="00422F80" w:rsidP="00067FBE">
      <w:pPr>
        <w:tabs>
          <w:tab w:val="clear" w:pos="567"/>
        </w:tabs>
        <w:autoSpaceDE w:val="0"/>
        <w:autoSpaceDN w:val="0"/>
        <w:adjustRightInd w:val="0"/>
        <w:spacing w:line="240" w:lineRule="auto"/>
        <w:rPr>
          <w:noProof/>
        </w:rPr>
      </w:pPr>
    </w:p>
    <w:p w14:paraId="797DFF8D" w14:textId="77777777" w:rsidR="00422F80" w:rsidRPr="00564D92" w:rsidRDefault="001E1647" w:rsidP="00067FBE">
      <w:pPr>
        <w:tabs>
          <w:tab w:val="clear" w:pos="567"/>
        </w:tabs>
        <w:autoSpaceDE w:val="0"/>
        <w:autoSpaceDN w:val="0"/>
        <w:adjustRightInd w:val="0"/>
        <w:spacing w:line="240" w:lineRule="auto"/>
        <w:rPr>
          <w:noProof/>
        </w:rPr>
      </w:pPr>
      <w:r>
        <w:t>Δεν συνιστάται ο συνδυασμός τριεντίνης και ψευδαργύρου. Υπάρχουν περιορισμένα μόνο δεδομένα σχετικά με την ταυτόχρονη χρήση των δύο ουσιών και δεν μπορούν να δοθούν συγκεκριμένες συστάσεις δοσολογίας.</w:t>
      </w:r>
    </w:p>
    <w:p w14:paraId="797DFF8E" w14:textId="77777777" w:rsidR="00422F80" w:rsidRPr="00564D92" w:rsidRDefault="00422F80" w:rsidP="00067FBE">
      <w:pPr>
        <w:tabs>
          <w:tab w:val="clear" w:pos="567"/>
        </w:tabs>
        <w:autoSpaceDE w:val="0"/>
        <w:autoSpaceDN w:val="0"/>
        <w:adjustRightInd w:val="0"/>
        <w:spacing w:line="240" w:lineRule="auto"/>
        <w:rPr>
          <w:noProof/>
        </w:rPr>
      </w:pPr>
    </w:p>
    <w:p w14:paraId="797DFF8F" w14:textId="77777777" w:rsidR="00422F80" w:rsidRPr="00564D92" w:rsidRDefault="001E1647" w:rsidP="00067FBE">
      <w:pPr>
        <w:tabs>
          <w:tab w:val="clear" w:pos="567"/>
        </w:tabs>
        <w:autoSpaceDE w:val="0"/>
        <w:autoSpaceDN w:val="0"/>
        <w:adjustRightInd w:val="0"/>
        <w:spacing w:line="240" w:lineRule="auto"/>
        <w:rPr>
          <w:noProof/>
        </w:rPr>
      </w:pPr>
      <w:r>
        <w:t>Σε ασθενείς οι οποίοι έλαβαν προηγούμενη θερα</w:t>
      </w:r>
      <w:r>
        <w:t>πεία με D-πενικιλλαμίνη, έχουν αναφερθεί αντιδράσεις τύπου λύκου κατά την επακόλουθη θεραπεία με τριεντίνη. Ωστόσο, δεν μπορεί να διαπιστωθεί κατά πόσον υφίσταται αιτιολογική σχέση με την τριεντίνη.</w:t>
      </w:r>
    </w:p>
    <w:p w14:paraId="797DFF90" w14:textId="77777777" w:rsidR="00422F80" w:rsidRPr="00564D92" w:rsidRDefault="00422F80" w:rsidP="00067FBE">
      <w:pPr>
        <w:tabs>
          <w:tab w:val="clear" w:pos="567"/>
        </w:tabs>
        <w:autoSpaceDE w:val="0"/>
        <w:autoSpaceDN w:val="0"/>
        <w:adjustRightInd w:val="0"/>
        <w:spacing w:line="240" w:lineRule="auto"/>
        <w:rPr>
          <w:noProof/>
        </w:rPr>
      </w:pPr>
    </w:p>
    <w:p w14:paraId="797DFF91" w14:textId="77777777" w:rsidR="00422F80" w:rsidRPr="00564D92" w:rsidRDefault="001E1647" w:rsidP="00067FBE">
      <w:pPr>
        <w:rPr>
          <w:noProof/>
          <w:u w:val="single"/>
        </w:rPr>
      </w:pPr>
      <w:r>
        <w:rPr>
          <w:noProof/>
          <w:u w:val="single"/>
        </w:rPr>
        <w:t>Παρακολούθηση</w:t>
      </w:r>
    </w:p>
    <w:p w14:paraId="797DFF92" w14:textId="77777777" w:rsidR="00422F80" w:rsidRPr="00564D92" w:rsidRDefault="001E1647" w:rsidP="00067FBE">
      <w:pPr>
        <w:rPr>
          <w:noProof/>
        </w:rPr>
      </w:pPr>
      <w:r>
        <w:t>Ασθενείς οι οποίοι λαμβάνουν το Cuprior πρ</w:t>
      </w:r>
      <w:r>
        <w:t xml:space="preserve">έπει να τελούν υπό συστηματική ιατρική επίβλεψη και να παρακολουθούνται με σκοπό τον κατάλληλο έλεγχο των συμπτωμάτων και των επιπέδων χαλκού ώστε να επιτυγχάνεται η βελτιστοποίηση της δόσης (βλ. παράγραφο 4.2). </w:t>
      </w:r>
    </w:p>
    <w:p w14:paraId="797DFF93" w14:textId="77777777" w:rsidR="00422F80" w:rsidRPr="00564D92" w:rsidRDefault="00422F80" w:rsidP="00067FBE">
      <w:pPr>
        <w:rPr>
          <w:noProof/>
        </w:rPr>
      </w:pPr>
    </w:p>
    <w:p w14:paraId="797DFF94" w14:textId="77777777" w:rsidR="00422F80" w:rsidRPr="00564D92" w:rsidRDefault="001E1647" w:rsidP="00067FBE">
      <w:pPr>
        <w:rPr>
          <w:noProof/>
        </w:rPr>
      </w:pPr>
      <w:r>
        <w:t>Στόχος της θεραπείας συντήρησης είναι η δι</w:t>
      </w:r>
      <w:r>
        <w:t>ατήρηση των επιπέδων του ελεύθερου χαλκού στον ορό εντός αποδεκτών ορίων. Ο πιο αξιόπιστος δείκτης για την παρακολούθηση της θεραπείας είναι ο προσδιορισμός του ελεύθερου χαλκού στον ορό, ο οποίος υπολογίζεται βάσει της διαφοράς μεταξύ του ολικού χαλκού κα</w:t>
      </w:r>
      <w:r>
        <w:t xml:space="preserve">ι του δεσμευμένου στη σερουλοπλασμίνη χαλκού (το φυσιολογικό επίπεδο του ελεύθερου χαλκού στον ορό είναι συνήθως 100 έως 150 μικρογραμμάρια/L). </w:t>
      </w:r>
    </w:p>
    <w:p w14:paraId="797DFF95" w14:textId="77777777" w:rsidR="00422F80" w:rsidRPr="00564D92" w:rsidRDefault="00422F80" w:rsidP="00067FBE">
      <w:pPr>
        <w:rPr>
          <w:noProof/>
        </w:rPr>
      </w:pPr>
    </w:p>
    <w:p w14:paraId="797DFF96" w14:textId="77777777" w:rsidR="00422F80" w:rsidRPr="00564D92" w:rsidRDefault="001E1647" w:rsidP="00067FBE">
      <w:pPr>
        <w:rPr>
          <w:noProof/>
        </w:rPr>
      </w:pPr>
      <w:r>
        <w:t>Η μέτρηση της απέκκρισης του χαλκού στα ούρα μπορεί να διενεργείται κατά τη διάρκεια της θεραπείας. Παρ' όλο π</w:t>
      </w:r>
      <w:r>
        <w:t xml:space="preserve">ου η θεραπεία χηλίωσης προκαλεί αύξηση των επιπέδων χαλκού στα ούρα, δεν </w:t>
      </w:r>
      <w:r>
        <w:lastRenderedPageBreak/>
        <w:t>αποτυπώνεται με ακρίβεια το πλεονάζον φορτίο χαλκού στον οργανισμό. Μπορεί όμως το επίπεδο αυτό να αποτελέσει χρήσιμο μέτρο ελέγχου της συμμόρφωσης στη θεραπεία.</w:t>
      </w:r>
    </w:p>
    <w:p w14:paraId="797DFF97" w14:textId="77777777" w:rsidR="00422F80" w:rsidRPr="00564D92" w:rsidRDefault="00422F80" w:rsidP="00067FBE">
      <w:pPr>
        <w:rPr>
          <w:noProof/>
        </w:rPr>
      </w:pPr>
    </w:p>
    <w:p w14:paraId="797DFF98" w14:textId="77777777" w:rsidR="00422F80" w:rsidRPr="00564D92" w:rsidRDefault="001E1647" w:rsidP="00067FBE">
      <w:pPr>
        <w:rPr>
          <w:noProof/>
        </w:rPr>
      </w:pPr>
      <w:r>
        <w:t xml:space="preserve">Κατά την έναρξη της </w:t>
      </w:r>
      <w:r>
        <w:t xml:space="preserve">θεραπείας χηλίωσης ενδέχεται να παρατηρηθεί επιδείνωση των κλινικών συμπτωμάτων, συμπεριλαμβανομένης της νευρολογικής επιδείνωσης, λόγω του πλεονάζοντος ελεύθερου χαλκού στον ορό κατά την αρχική απόκριση στη θεραπεία. Απαιτείται στενή παρακολούθηση για τη </w:t>
      </w:r>
      <w:r>
        <w:t>βελτιστοποίηση της δοσολογίας ή την προσαρμογή της θεραπείας, εάν συντρέχει ανάγκη.</w:t>
      </w:r>
    </w:p>
    <w:p w14:paraId="797DFF99" w14:textId="77777777" w:rsidR="00422F80" w:rsidRPr="00564D92" w:rsidRDefault="00422F80" w:rsidP="00067FBE">
      <w:pPr>
        <w:rPr>
          <w:noProof/>
        </w:rPr>
      </w:pPr>
    </w:p>
    <w:p w14:paraId="797DFF9A" w14:textId="77777777" w:rsidR="00422F80" w:rsidRPr="00564D92" w:rsidRDefault="001E1647" w:rsidP="00067FBE">
      <w:pPr>
        <w:keepNext/>
        <w:rPr>
          <w:noProof/>
          <w:u w:val="single"/>
        </w:rPr>
      </w:pPr>
      <w:r>
        <w:rPr>
          <w:noProof/>
          <w:u w:val="single"/>
        </w:rPr>
        <w:t>Ειδικοί πληθυσμοί</w:t>
      </w:r>
    </w:p>
    <w:p w14:paraId="797DFF9B" w14:textId="77777777" w:rsidR="00422F80" w:rsidRPr="00564D92" w:rsidRDefault="001E1647" w:rsidP="00067FBE">
      <w:pPr>
        <w:rPr>
          <w:noProof/>
        </w:rPr>
      </w:pPr>
      <w:r>
        <w:t>Η υπερθεραπεία ενέχει τον κίνδυνο πρόκλησης ανεπάρκειας χαλκού. Απαιτείται παρακολούθηση των εκδηλώσεων υπερθεραπείας, ιδίως σε περιπτώσεις κατά τις οποί</w:t>
      </w:r>
      <w:r>
        <w:t>ες οι ανάγκες σε χαλκό μπορεί να μεταβληθούν, όπως κατά την κύηση (βλ. παράγραφο 4.6) ή σε παιδιά στα οποία απαιτείται κατάλληλος έλεγχος των επιπέδων χαλκού προκειμένου να διασφαλίζεται η ορθή σωματική και νοητική ανάπτυξη.</w:t>
      </w:r>
    </w:p>
    <w:p w14:paraId="797DFF9C" w14:textId="77777777" w:rsidR="00422F80" w:rsidRPr="00564D92" w:rsidRDefault="00422F80" w:rsidP="00067FBE">
      <w:pPr>
        <w:rPr>
          <w:noProof/>
        </w:rPr>
      </w:pPr>
    </w:p>
    <w:p w14:paraId="797DFF9D" w14:textId="77777777" w:rsidR="00422F80" w:rsidRPr="00564D92" w:rsidRDefault="001E1647" w:rsidP="00067FBE">
      <w:pPr>
        <w:rPr>
          <w:noProof/>
        </w:rPr>
      </w:pPr>
      <w:r>
        <w:t>Ασθενείς με νεφρική δυσλειτουρ</w:t>
      </w:r>
      <w:r>
        <w:t>γία οι οποίοι λαμβάνουν τριεντίνη πρέπει να τελούν υπό συστηματική ιατρική επίβλεψη προκειμένου να ελέγχονται δεόντως τα συμπτώματα και τα επίπεδα χαλκού. Στους ασθενείς αυτούς συνιστάται επίσης στενή παρακολούθηση της νεφρικής τους λειτουργίας (βλ. παράγρ</w:t>
      </w:r>
      <w:r>
        <w:t>αφο 4.2).</w:t>
      </w:r>
    </w:p>
    <w:p w14:paraId="797DFF9E" w14:textId="77777777" w:rsidR="00422F80" w:rsidRPr="00564D92" w:rsidRDefault="00422F80" w:rsidP="00067FBE">
      <w:pPr>
        <w:rPr>
          <w:noProof/>
        </w:rPr>
      </w:pPr>
    </w:p>
    <w:p w14:paraId="797DFF9F" w14:textId="77777777" w:rsidR="00422F80" w:rsidRPr="00FE293C" w:rsidRDefault="001E1647" w:rsidP="00067FBE">
      <w:pPr>
        <w:pStyle w:val="ListParagraph"/>
        <w:numPr>
          <w:ilvl w:val="1"/>
          <w:numId w:val="28"/>
        </w:numPr>
        <w:spacing w:line="240" w:lineRule="auto"/>
        <w:ind w:hanging="930"/>
        <w:outlineLvl w:val="0"/>
        <w:rPr>
          <w:b/>
          <w:bCs/>
          <w:noProof/>
        </w:rPr>
      </w:pPr>
      <w:r>
        <w:rPr>
          <w:b/>
          <w:bCs/>
          <w:noProof/>
        </w:rPr>
        <w:t>Αλληλεπιδράσεις με άλλα φαρμακευτικά προϊόντα και άλλες μορφές αλληλεπίδρασης</w:t>
      </w:r>
    </w:p>
    <w:p w14:paraId="797DFFA0" w14:textId="77777777" w:rsidR="00422F80" w:rsidRPr="00564D92" w:rsidRDefault="00422F80" w:rsidP="00067FBE">
      <w:pPr>
        <w:spacing w:line="240" w:lineRule="auto"/>
        <w:rPr>
          <w:noProof/>
        </w:rPr>
      </w:pPr>
    </w:p>
    <w:p w14:paraId="797DFFA1" w14:textId="77777777" w:rsidR="00422F80" w:rsidRPr="00564D92" w:rsidRDefault="001E1647" w:rsidP="00067FBE">
      <w:pPr>
        <w:spacing w:line="240" w:lineRule="auto"/>
        <w:rPr>
          <w:noProof/>
        </w:rPr>
      </w:pPr>
      <w:r>
        <w:t>Δεν έχουν πραγματοποιηθεί μελέτες αλληλεπιδράσεων.</w:t>
      </w:r>
    </w:p>
    <w:p w14:paraId="797DFFA2" w14:textId="77777777" w:rsidR="00422F80" w:rsidRPr="00564D92" w:rsidRDefault="00422F80" w:rsidP="00067FBE">
      <w:pPr>
        <w:spacing w:line="240" w:lineRule="auto"/>
        <w:rPr>
          <w:noProof/>
        </w:rPr>
      </w:pPr>
    </w:p>
    <w:p w14:paraId="797DFFA3" w14:textId="77777777" w:rsidR="00422F80" w:rsidRPr="00564D92" w:rsidRDefault="001E1647" w:rsidP="00067FBE">
      <w:pPr>
        <w:rPr>
          <w:noProof/>
        </w:rPr>
      </w:pPr>
      <w:r>
        <w:t xml:space="preserve">Έχει καταδειχθεί ότι η τριεντίνη μειώνει τα επίπεδα σιδήρου στον ορό, μειώνοντας πιθανόν την απορρόφησή του </w:t>
      </w:r>
      <w:r>
        <w:t>και, ως εκ τούτου, ενδέχεται να απαιτείται η λήψη συμπληρωμάτων σιδήρου. Καθότι ο σίδηρος και η τριεντίνη ενδέχεται να δρουν ανταγωνιστικά σε ό,τι αφορά την απορρόφησή τους, τα συμπληρώματα σιδήρου πρέπει να λαμβάνονται τουλάχιστον δύο ώρες μετά τη χορήγησ</w:t>
      </w:r>
      <w:r>
        <w:t>η της τριεντίνης.</w:t>
      </w:r>
    </w:p>
    <w:p w14:paraId="797DFFA4" w14:textId="77777777" w:rsidR="00422F80" w:rsidRPr="00564D92" w:rsidRDefault="00422F80" w:rsidP="00067FBE">
      <w:pPr>
        <w:rPr>
          <w:noProof/>
        </w:rPr>
      </w:pPr>
    </w:p>
    <w:p w14:paraId="797DFFA5" w14:textId="77777777" w:rsidR="00422F80" w:rsidRPr="00564D92" w:rsidRDefault="001E1647" w:rsidP="00067FBE">
      <w:pPr>
        <w:rPr>
          <w:noProof/>
        </w:rPr>
      </w:pPr>
      <w:r>
        <w:t>Δεδομένου ότι η απορρόφηση της τριεντίνης είναι μειωμένη όταν λαμβάνεται από το στόμα και ο κύριος μηχανισμός δράσης προϋποθέτει τη συστημική της έκθεση (βλ. παράγραφο 5.1), είναι σημαντικό τα επικαλυμμένα με λεπτό υμένιο δισκία να λαμβά</w:t>
      </w:r>
      <w:r>
        <w:t>νονται με άδειο στομάχι τουλάχιστον μία ώρα πριν ή 2 ώρες μετά από γεύμα και τουλάχιστον μια ώρα από τη λήψη άλλου φαρμακευτικού προϊόντος, τροφής ή γάλακτος (βλ. Παράγραφο 4.2). Με τον τρόπο αυτό μεγιστοποιείται η απορρόφηση της τριεντίνης και μειώνεται η</w:t>
      </w:r>
      <w:r>
        <w:t xml:space="preserve"> πιθανότητα της δέσμευσης του φαρμακευτικού προϊόντος σε μέταλλα στον γαστρεντερικό σωλήνα. Ωστόσο, δεν έχουν διεξαχθεί μελέτες αλληλεπίδρασης με τροφές και, συνεπώς, δεν είναι γνωστός ο βαθμός επίδρασης των τροφών στη συστημική έκθεση της τριεντίνης. </w:t>
      </w:r>
    </w:p>
    <w:p w14:paraId="797DFFA6" w14:textId="77777777" w:rsidR="00422F80" w:rsidRPr="00564D92" w:rsidRDefault="00422F80" w:rsidP="00067FBE">
      <w:pPr>
        <w:rPr>
          <w:noProof/>
        </w:rPr>
      </w:pPr>
    </w:p>
    <w:p w14:paraId="797DFFA7" w14:textId="77777777" w:rsidR="00422F80" w:rsidRPr="00564D92" w:rsidRDefault="001E1647" w:rsidP="00067FBE">
      <w:pPr>
        <w:rPr>
          <w:noProof/>
        </w:rPr>
      </w:pPr>
      <w:r>
        <w:t>Πα</w:t>
      </w:r>
      <w:r>
        <w:t>ρόλο που δεν έχει καταδειχθεί ότι τα αντιόξινα ασβεστίου ή μαγνησίου αλλοιώνουν την αποτελεσματικότητα της τριεντίνης, συνιστάται να λαμβάνονται ξεχωριστά.</w:t>
      </w:r>
    </w:p>
    <w:p w14:paraId="797DFFA8" w14:textId="77777777" w:rsidR="00422F80" w:rsidRPr="00564D92" w:rsidRDefault="00422F80" w:rsidP="00067FBE">
      <w:pPr>
        <w:spacing w:line="240" w:lineRule="auto"/>
      </w:pPr>
    </w:p>
    <w:p w14:paraId="797DFFA9" w14:textId="77777777" w:rsidR="00422F80" w:rsidRPr="00F63DB3" w:rsidRDefault="001E1647" w:rsidP="00067FBE">
      <w:pPr>
        <w:pStyle w:val="ListParagraph"/>
        <w:numPr>
          <w:ilvl w:val="1"/>
          <w:numId w:val="28"/>
        </w:numPr>
        <w:spacing w:line="240" w:lineRule="auto"/>
        <w:ind w:hanging="930"/>
        <w:outlineLvl w:val="0"/>
        <w:rPr>
          <w:b/>
          <w:bCs/>
          <w:noProof/>
        </w:rPr>
      </w:pPr>
      <w:r>
        <w:rPr>
          <w:b/>
          <w:bCs/>
          <w:noProof/>
        </w:rPr>
        <w:t>Γονιμότητα, κύηση και γαλουχία</w:t>
      </w:r>
    </w:p>
    <w:p w14:paraId="797DFFAA" w14:textId="77777777" w:rsidR="00422F80" w:rsidRPr="00564D92" w:rsidRDefault="00422F80" w:rsidP="00067FBE">
      <w:pPr>
        <w:spacing w:line="240" w:lineRule="auto"/>
        <w:rPr>
          <w:noProof/>
        </w:rPr>
      </w:pPr>
    </w:p>
    <w:p w14:paraId="797DFFAB" w14:textId="77777777" w:rsidR="00422F80" w:rsidRPr="00564D92" w:rsidRDefault="001E1647" w:rsidP="00067FBE">
      <w:pPr>
        <w:rPr>
          <w:noProof/>
        </w:rPr>
      </w:pPr>
      <w:r>
        <w:rPr>
          <w:noProof/>
          <w:u w:val="single"/>
        </w:rPr>
        <w:t>Κύηση</w:t>
      </w:r>
    </w:p>
    <w:p w14:paraId="797DFFAC" w14:textId="77777777" w:rsidR="00422F80" w:rsidRPr="00564D92" w:rsidRDefault="001E1647" w:rsidP="00067FBE">
      <w:pPr>
        <w:rPr>
          <w:noProof/>
        </w:rPr>
      </w:pPr>
      <w:r>
        <w:t>Τα δεδομένα σχετικά με τη χρήση της τριεντίνης στις έγκυες γυ</w:t>
      </w:r>
      <w:r>
        <w:t>ναίκες είναι περιορισμένα.</w:t>
      </w:r>
    </w:p>
    <w:p w14:paraId="797DFFAD" w14:textId="77777777" w:rsidR="00422F80" w:rsidRPr="00564D92" w:rsidRDefault="00422F80" w:rsidP="00067FBE">
      <w:pPr>
        <w:rPr>
          <w:noProof/>
        </w:rPr>
      </w:pPr>
    </w:p>
    <w:p w14:paraId="797DFFAE" w14:textId="77777777" w:rsidR="00422F80" w:rsidRPr="00564D92" w:rsidRDefault="001E1647" w:rsidP="00067FBE">
      <w:pPr>
        <w:rPr>
          <w:noProof/>
        </w:rPr>
      </w:pPr>
      <w:r>
        <w:t>Μελέτες σε ζώα κατέδειξαν τοξικότητα στην αναπαραγωγή, η οποία οφείλεται πιθανόν στην ανεπάρκεια χαλκού που προκαλεί η τριεντίνη (βλ. παράγραφο 5.3).</w:t>
      </w:r>
    </w:p>
    <w:p w14:paraId="797DFFAF" w14:textId="77777777" w:rsidR="00422F80" w:rsidRPr="00564D92" w:rsidRDefault="00422F80" w:rsidP="00067FBE">
      <w:pPr>
        <w:rPr>
          <w:noProof/>
        </w:rPr>
      </w:pPr>
    </w:p>
    <w:p w14:paraId="797DFFB0" w14:textId="77777777" w:rsidR="00422F80" w:rsidRPr="00564D92" w:rsidRDefault="001E1647" w:rsidP="00067FBE">
      <w:pPr>
        <w:rPr>
          <w:noProof/>
        </w:rPr>
      </w:pPr>
      <w:r>
        <w:t>Το Cuprior μπορεί να χρησιμοποιείται κατά την κύηση μόνο εφόσον αξιολογηθούν προσεκτικά τα οφέλη έναντι των κινδύνων που συνεπάγεται η θεραπεία για την εκάστοτε ασθενή. Μεταξύ των παραγόντων που πρέπει να λαμβάνονται υπόψη συγκαταλέγονται οι κίνδυνοι που σ</w:t>
      </w:r>
      <w:r>
        <w:t xml:space="preserve">υνδέονται με την </w:t>
      </w:r>
      <w:r>
        <w:lastRenderedPageBreak/>
        <w:t>ασθένεια καθεαυτή, τον κίνδυνο των διαθέσιμων εναλλακτικών θεραπειών και την πιθανή τερατογόνο δράση της τριεντίνης (βλ. παράγραφο 5.3).</w:t>
      </w:r>
    </w:p>
    <w:p w14:paraId="797DFFB1" w14:textId="77777777" w:rsidR="00422F80" w:rsidRPr="00564D92" w:rsidRDefault="00422F80" w:rsidP="00067FBE">
      <w:pPr>
        <w:rPr>
          <w:noProof/>
        </w:rPr>
      </w:pPr>
    </w:p>
    <w:p w14:paraId="797DFFB2" w14:textId="77777777" w:rsidR="00422F80" w:rsidRPr="00564D92" w:rsidRDefault="001E1647" w:rsidP="00067FBE">
      <w:r>
        <w:t>Δεδομένου ότι ο χαλκός είναι απαραίτητος για την ορθή σωματική και νοητική ανάπτυξη, ενδέχεται να απα</w:t>
      </w:r>
      <w:r>
        <w:t>ιτούνται προσαρμογές της δοσολογίας για να διασφαλιστεί ότι το έμβρυο δεν θα παρουσιάσει ανεπάρκεια χαλκού, η δε στενή παρακολούθηση της ασθενούς είναι ζωτικής σημασίας (βλ. παράγραφο 4.4).</w:t>
      </w:r>
    </w:p>
    <w:p w14:paraId="797DFFB3" w14:textId="77777777" w:rsidR="00422F80" w:rsidRPr="00564D92" w:rsidRDefault="00422F80" w:rsidP="00067FBE">
      <w:pPr>
        <w:rPr>
          <w:noProof/>
        </w:rPr>
      </w:pPr>
    </w:p>
    <w:p w14:paraId="797DFFB4" w14:textId="77777777" w:rsidR="00422F80" w:rsidRPr="00564D92" w:rsidRDefault="001E1647" w:rsidP="00067FBE">
      <w:pPr>
        <w:rPr>
          <w:noProof/>
        </w:rPr>
      </w:pPr>
      <w:r>
        <w:t>Απαιτείται στενή παρακολούθηση της κύησης για την ανίχνευση πιθαν</w:t>
      </w:r>
      <w:r>
        <w:t>ής εμβρυϊκής ανωμαλίας και για την αξιολόγηση των επιπέδων χαλκού στον ορό της μητέρας καθ’ όλη τη διάρκεια της εγκυμοσύνης. Η δοσολογία της τριεντίνης πρέπει να προσαρμόζεται κατά τρόπο που να διατηρούνται τα επίπεδα χαλκού στον ορό εντός του φυσιολογικού</w:t>
      </w:r>
      <w:r>
        <w:t xml:space="preserve"> εύρους τιμών. </w:t>
      </w:r>
    </w:p>
    <w:p w14:paraId="797DFFB5" w14:textId="77777777" w:rsidR="00422F80" w:rsidRPr="00564D92" w:rsidRDefault="00422F80" w:rsidP="00067FBE">
      <w:pPr>
        <w:rPr>
          <w:noProof/>
        </w:rPr>
      </w:pPr>
    </w:p>
    <w:p w14:paraId="797DFFB6" w14:textId="77777777" w:rsidR="00422F80" w:rsidRPr="00564D92" w:rsidRDefault="001E1647" w:rsidP="00067FBE">
      <w:pPr>
        <w:rPr>
          <w:noProof/>
        </w:rPr>
      </w:pPr>
      <w:r>
        <w:t>Για τα βρέφη που γεννιούνται από μητέρες οι οποίες λαμβάνουν τριεντίνη απαιτείται έλεγχος των επιπέδων χαλκού στον ορό, εάν συντρέχει ανάγκη.</w:t>
      </w:r>
    </w:p>
    <w:p w14:paraId="797DFFB7" w14:textId="77777777" w:rsidR="00422F80" w:rsidRPr="00564D92" w:rsidRDefault="00422F80" w:rsidP="00067FBE">
      <w:pPr>
        <w:rPr>
          <w:noProof/>
        </w:rPr>
      </w:pPr>
    </w:p>
    <w:p w14:paraId="797DFFB8" w14:textId="77777777" w:rsidR="00422F80" w:rsidRPr="00564D92" w:rsidRDefault="001E1647" w:rsidP="00067FBE">
      <w:pPr>
        <w:rPr>
          <w:color w:val="000000"/>
        </w:rPr>
      </w:pPr>
      <w:r>
        <w:rPr>
          <w:noProof/>
          <w:u w:val="single"/>
        </w:rPr>
        <w:t>Θηλασμός</w:t>
      </w:r>
    </w:p>
    <w:p w14:paraId="797DFFB9" w14:textId="77777777" w:rsidR="00422F80" w:rsidRPr="00564D92" w:rsidRDefault="001E1647" w:rsidP="00067FBE">
      <w:pPr>
        <w:autoSpaceDE w:val="0"/>
        <w:autoSpaceDN w:val="0"/>
        <w:adjustRightInd w:val="0"/>
        <w:rPr>
          <w:color w:val="000000"/>
        </w:rPr>
      </w:pPr>
      <w:r>
        <w:rPr>
          <w:color w:val="000000"/>
        </w:rPr>
        <w:t>Δεν είναι γνωστό εάν η τριεντίνη απεκκρίνεται στο μητρικό γάλα. Ο κίνδυνος στα νεογέννη</w:t>
      </w:r>
      <w:r>
        <w:rPr>
          <w:color w:val="000000"/>
        </w:rPr>
        <w:t>τα / βρέφη δεν μπορεί να αποκλειστεί. Η απόφαση για το εάν πρέπει να διακοπεί ο θηλασμός ή να διακοπεί/ να αποφευχθεί η θεραπεία με το Cuprior λαμβάνεται κατόπιν αξιολόγησης του οφέλους του θηλασμού για το παιδί και του οφέλους της θεραπείας για τη γυναίκα</w:t>
      </w:r>
      <w:r>
        <w:rPr>
          <w:color w:val="000000"/>
        </w:rPr>
        <w:t>.</w:t>
      </w:r>
    </w:p>
    <w:p w14:paraId="797DFFBA" w14:textId="77777777" w:rsidR="00422F80" w:rsidRPr="00564D92" w:rsidRDefault="00422F80" w:rsidP="00067FBE">
      <w:pPr>
        <w:rPr>
          <w:u w:val="single"/>
        </w:rPr>
      </w:pPr>
    </w:p>
    <w:p w14:paraId="797DFFBB" w14:textId="77777777" w:rsidR="00422F80" w:rsidRPr="00564D92" w:rsidRDefault="001E1647" w:rsidP="00067FBE">
      <w:pPr>
        <w:keepNext/>
        <w:rPr>
          <w:noProof/>
          <w:u w:val="single"/>
        </w:rPr>
      </w:pPr>
      <w:r>
        <w:rPr>
          <w:noProof/>
          <w:u w:val="single"/>
        </w:rPr>
        <w:t>Γονιμότητα</w:t>
      </w:r>
    </w:p>
    <w:p w14:paraId="797DFFBC" w14:textId="77777777" w:rsidR="00422F80" w:rsidRPr="00564D92" w:rsidRDefault="001E1647" w:rsidP="00067FBE">
      <w:r>
        <w:t>Δεν είναι γνωστό εάν την τριεντίνη επηρεάζει την ανθρώπινη γονιμότητα.</w:t>
      </w:r>
    </w:p>
    <w:p w14:paraId="797DFFBD" w14:textId="77777777" w:rsidR="00422F80" w:rsidRPr="00564D92" w:rsidRDefault="00422F80" w:rsidP="00067FBE">
      <w:pPr>
        <w:spacing w:line="240" w:lineRule="auto"/>
        <w:rPr>
          <w:i/>
          <w:iCs/>
          <w:noProof/>
        </w:rPr>
      </w:pPr>
    </w:p>
    <w:p w14:paraId="797DFFBE" w14:textId="77777777" w:rsidR="00422F80" w:rsidRPr="00F918C1" w:rsidRDefault="001E1647" w:rsidP="00067FBE">
      <w:pPr>
        <w:pStyle w:val="ListParagraph"/>
        <w:numPr>
          <w:ilvl w:val="1"/>
          <w:numId w:val="28"/>
        </w:numPr>
        <w:spacing w:line="240" w:lineRule="auto"/>
        <w:ind w:hanging="930"/>
        <w:outlineLvl w:val="0"/>
        <w:rPr>
          <w:b/>
          <w:bCs/>
          <w:noProof/>
        </w:rPr>
      </w:pPr>
      <w:r>
        <w:rPr>
          <w:b/>
          <w:bCs/>
          <w:noProof/>
        </w:rPr>
        <w:t>Επιδράσεις στην ικανότητα οδήγησης και χειρισμού μηχανημάτων</w:t>
      </w:r>
    </w:p>
    <w:p w14:paraId="797DFFBF" w14:textId="77777777" w:rsidR="00422F80" w:rsidRPr="00564D92" w:rsidRDefault="00422F80" w:rsidP="00067FBE">
      <w:pPr>
        <w:spacing w:line="240" w:lineRule="auto"/>
        <w:rPr>
          <w:noProof/>
        </w:rPr>
      </w:pPr>
    </w:p>
    <w:p w14:paraId="797DFFC0" w14:textId="77777777" w:rsidR="00422F80" w:rsidRPr="00564D92" w:rsidRDefault="001E1647" w:rsidP="00067FBE">
      <w:pPr>
        <w:rPr>
          <w:noProof/>
        </w:rPr>
      </w:pPr>
      <w:r>
        <w:t xml:space="preserve">Το Cuprior δεν έχει καμιά ή έχει ασήμαντη επίδραση στην ικανότητα οδήγησης και χειρισμού μηχανημάτων. </w:t>
      </w:r>
    </w:p>
    <w:p w14:paraId="797DFFC1" w14:textId="77777777" w:rsidR="00422F80" w:rsidRPr="00564D92" w:rsidRDefault="00422F80" w:rsidP="00067FBE">
      <w:pPr>
        <w:spacing w:line="240" w:lineRule="auto"/>
        <w:rPr>
          <w:noProof/>
        </w:rPr>
      </w:pPr>
    </w:p>
    <w:p w14:paraId="797DFFC2" w14:textId="77777777" w:rsidR="00422F80" w:rsidRPr="00564D92" w:rsidRDefault="001E1647" w:rsidP="00067FBE">
      <w:pPr>
        <w:pStyle w:val="ListParagraph"/>
        <w:numPr>
          <w:ilvl w:val="1"/>
          <w:numId w:val="28"/>
        </w:numPr>
        <w:spacing w:line="240" w:lineRule="auto"/>
        <w:ind w:hanging="930"/>
        <w:outlineLvl w:val="0"/>
        <w:rPr>
          <w:b/>
          <w:bCs/>
          <w:noProof/>
        </w:rPr>
      </w:pPr>
      <w:r>
        <w:rPr>
          <w:b/>
          <w:bCs/>
          <w:noProof/>
        </w:rPr>
        <w:t>Ανεπιθύμητες ενέργειες</w:t>
      </w:r>
    </w:p>
    <w:p w14:paraId="797DFFC3" w14:textId="77777777" w:rsidR="00422F80" w:rsidRPr="00564D92" w:rsidRDefault="00422F80" w:rsidP="00067FBE">
      <w:pPr>
        <w:autoSpaceDE w:val="0"/>
        <w:autoSpaceDN w:val="0"/>
        <w:adjustRightInd w:val="0"/>
        <w:rPr>
          <w:noProof/>
        </w:rPr>
      </w:pPr>
    </w:p>
    <w:p w14:paraId="797DFFC4" w14:textId="77777777" w:rsidR="00422F80" w:rsidRPr="000A5224" w:rsidRDefault="001E1647" w:rsidP="00067FBE">
      <w:pPr>
        <w:autoSpaceDE w:val="0"/>
        <w:autoSpaceDN w:val="0"/>
        <w:adjustRightInd w:val="0"/>
        <w:rPr>
          <w:noProof/>
          <w:u w:val="single"/>
        </w:rPr>
      </w:pPr>
      <w:r>
        <w:rPr>
          <w:noProof/>
          <w:u w:val="single"/>
        </w:rPr>
        <w:t>Σύνοψη της εικόνας ασφάλειας</w:t>
      </w:r>
    </w:p>
    <w:p w14:paraId="797DFFC5" w14:textId="77777777" w:rsidR="00422F80" w:rsidRPr="000A5224" w:rsidRDefault="001E1647" w:rsidP="00067FBE">
      <w:pPr>
        <w:autoSpaceDE w:val="0"/>
        <w:autoSpaceDN w:val="0"/>
        <w:adjustRightInd w:val="0"/>
        <w:rPr>
          <w:rFonts w:eastAsia="Times New Roman"/>
        </w:rPr>
      </w:pPr>
      <w:r>
        <w:t>Η πιο συχνά αναφερόμενη ανεπιθύμητη ενέργεια της τριεντίνης είναι η ναυτία. Κατά τη θεραπεία ενδέχε</w:t>
      </w:r>
      <w:r>
        <w:t xml:space="preserve">ται να εκδηλωθούν σοβαρή σιδηροπενική αναιμία και σοβαρή κολίτιδα. </w:t>
      </w:r>
    </w:p>
    <w:p w14:paraId="797DFFC6" w14:textId="77777777" w:rsidR="00422F80" w:rsidRPr="00564D92" w:rsidRDefault="00422F80" w:rsidP="00067FBE">
      <w:pPr>
        <w:autoSpaceDE w:val="0"/>
        <w:autoSpaceDN w:val="0"/>
        <w:adjustRightInd w:val="0"/>
        <w:rPr>
          <w:noProof/>
        </w:rPr>
      </w:pPr>
    </w:p>
    <w:p w14:paraId="797DFFC7" w14:textId="77777777" w:rsidR="00422F80" w:rsidRPr="000A5224" w:rsidRDefault="001E1647" w:rsidP="00067FBE">
      <w:pPr>
        <w:autoSpaceDE w:val="0"/>
        <w:autoSpaceDN w:val="0"/>
        <w:adjustRightInd w:val="0"/>
        <w:rPr>
          <w:noProof/>
          <w:u w:val="single"/>
        </w:rPr>
      </w:pPr>
      <w:r>
        <w:rPr>
          <w:noProof/>
          <w:u w:val="single"/>
        </w:rPr>
        <w:t>Κατάλογος ανεπιθύμητων ενεργειών σε μορφή πίνακα</w:t>
      </w:r>
    </w:p>
    <w:p w14:paraId="797DFFC8" w14:textId="77777777" w:rsidR="00422F80" w:rsidRPr="00564D92" w:rsidRDefault="001E1647" w:rsidP="00067FBE">
      <w:pPr>
        <w:autoSpaceDE w:val="0"/>
        <w:autoSpaceDN w:val="0"/>
        <w:adjustRightInd w:val="0"/>
        <w:rPr>
          <w:noProof/>
        </w:rPr>
      </w:pPr>
      <w:r>
        <w:t xml:space="preserve">Με τη χρήση της τριεντίνης για τη θεραπεία της νόσου του Wilson έχουν αναφερθεί οι ακόλουθες ανεπιθύμητες ενέργειες. </w:t>
      </w:r>
    </w:p>
    <w:p w14:paraId="797DFFC9" w14:textId="77777777" w:rsidR="00422F80" w:rsidRPr="00564D92" w:rsidRDefault="001E1647" w:rsidP="00067FBE">
      <w:pPr>
        <w:autoSpaceDE w:val="0"/>
        <w:autoSpaceDN w:val="0"/>
        <w:adjustRightInd w:val="0"/>
        <w:rPr>
          <w:noProof/>
        </w:rPr>
      </w:pPr>
      <w:r>
        <w:t>Η συχνότητα εμφάνιση</w:t>
      </w:r>
      <w:r>
        <w:t>ς ορίζεται ως ακολούθως: πολύ συχνές (≥1/10), συχνές (≥1/100 και &lt;1/10), όχι συχνές (≥1/1.000 &lt;1/100), σπάνιες (≥1/10.000 και &lt;1/1.000), πολύ σπάνιες (&lt;1/10.000), μη γνωστές (δεν μπορούν να εκτιμηθούν με βάση τα διαθέσιμα δεδομένα).</w:t>
      </w:r>
    </w:p>
    <w:p w14:paraId="797DFFCA" w14:textId="77777777" w:rsidR="00422F80" w:rsidRPr="00564D92" w:rsidRDefault="00422F80" w:rsidP="00067FBE">
      <w:pPr>
        <w:autoSpaceDE w:val="0"/>
        <w:autoSpaceDN w:val="0"/>
        <w:adjustRightInd w:val="0"/>
        <w:jc w:val="both"/>
        <w:rPr>
          <w:noProof/>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6"/>
        <w:gridCol w:w="3969"/>
      </w:tblGrid>
      <w:tr w:rsidR="00512144" w14:paraId="797DFFCD" w14:textId="77777777">
        <w:tc>
          <w:tcPr>
            <w:tcW w:w="3936" w:type="dxa"/>
          </w:tcPr>
          <w:p w14:paraId="797DFFCB" w14:textId="77777777" w:rsidR="00422F80" w:rsidRPr="00564D92" w:rsidRDefault="001E1647" w:rsidP="00067FBE">
            <w:pPr>
              <w:autoSpaceDE w:val="0"/>
              <w:autoSpaceDN w:val="0"/>
              <w:adjustRightInd w:val="0"/>
              <w:jc w:val="both"/>
              <w:rPr>
                <w:noProof/>
              </w:rPr>
            </w:pPr>
            <w:r>
              <w:rPr>
                <w:b/>
                <w:bCs/>
              </w:rPr>
              <w:t>Κατηγορία/οργανικό σύσ</w:t>
            </w:r>
            <w:r>
              <w:rPr>
                <w:b/>
                <w:bCs/>
              </w:rPr>
              <w:t>τημα</w:t>
            </w:r>
          </w:p>
        </w:tc>
        <w:tc>
          <w:tcPr>
            <w:tcW w:w="3969" w:type="dxa"/>
          </w:tcPr>
          <w:p w14:paraId="797DFFCC" w14:textId="77777777" w:rsidR="00422F80" w:rsidRPr="00564D92" w:rsidRDefault="001E1647" w:rsidP="00067FBE">
            <w:pPr>
              <w:autoSpaceDE w:val="0"/>
              <w:autoSpaceDN w:val="0"/>
              <w:adjustRightInd w:val="0"/>
              <w:jc w:val="both"/>
              <w:rPr>
                <w:noProof/>
              </w:rPr>
            </w:pPr>
            <w:r>
              <w:rPr>
                <w:b/>
                <w:bCs/>
              </w:rPr>
              <w:t>Ανεπιθύμητες ενέργειες</w:t>
            </w:r>
          </w:p>
        </w:tc>
      </w:tr>
      <w:tr w:rsidR="00512144" w14:paraId="797DFFD0" w14:textId="77777777">
        <w:tc>
          <w:tcPr>
            <w:tcW w:w="3936" w:type="dxa"/>
          </w:tcPr>
          <w:p w14:paraId="797DFFCE" w14:textId="77777777" w:rsidR="00422F80" w:rsidRPr="00564D92" w:rsidRDefault="001E1647" w:rsidP="00067FBE">
            <w:pPr>
              <w:autoSpaceDE w:val="0"/>
              <w:autoSpaceDN w:val="0"/>
              <w:adjustRightInd w:val="0"/>
              <w:jc w:val="both"/>
              <w:rPr>
                <w:noProof/>
              </w:rPr>
            </w:pPr>
            <w:r>
              <w:t>Διαταραχές του αιμοποιητικού και του λεμφικού συστήματος</w:t>
            </w:r>
          </w:p>
        </w:tc>
        <w:tc>
          <w:tcPr>
            <w:tcW w:w="3969" w:type="dxa"/>
          </w:tcPr>
          <w:p w14:paraId="0D7F437C" w14:textId="77777777" w:rsidR="00F46478" w:rsidRDefault="001E1647" w:rsidP="00F46478">
            <w:pPr>
              <w:pStyle w:val="Default"/>
              <w:jc w:val="both"/>
            </w:pPr>
            <w:r w:rsidRPr="00F46478">
              <w:rPr>
                <w:i/>
                <w:iCs/>
                <w:sz w:val="22"/>
                <w:szCs w:val="22"/>
              </w:rPr>
              <w:t>Όχι συχνές:</w:t>
            </w:r>
            <w:r>
              <w:rPr>
                <w:sz w:val="22"/>
                <w:szCs w:val="22"/>
              </w:rPr>
              <w:t xml:space="preserve"> Σιδηροβλαστική αναιμία </w:t>
            </w:r>
          </w:p>
          <w:p w14:paraId="797DFFCF" w14:textId="26E68E74" w:rsidR="00422F80" w:rsidRPr="00564D92" w:rsidRDefault="001E1647" w:rsidP="00067FBE">
            <w:pPr>
              <w:autoSpaceDE w:val="0"/>
              <w:autoSpaceDN w:val="0"/>
              <w:adjustRightInd w:val="0"/>
              <w:jc w:val="both"/>
              <w:rPr>
                <w:noProof/>
              </w:rPr>
            </w:pPr>
            <w:r>
              <w:rPr>
                <w:i/>
                <w:iCs/>
                <w:noProof/>
              </w:rPr>
              <w:t xml:space="preserve">Μη γνωστές: </w:t>
            </w:r>
            <w:r>
              <w:t>σιδηροπενική αναιμία.</w:t>
            </w:r>
          </w:p>
        </w:tc>
      </w:tr>
      <w:tr w:rsidR="00512144" w14:paraId="797DFFD4" w14:textId="77777777">
        <w:tc>
          <w:tcPr>
            <w:tcW w:w="3936" w:type="dxa"/>
          </w:tcPr>
          <w:p w14:paraId="797DFFD1" w14:textId="77777777" w:rsidR="00422F80" w:rsidRPr="00564D92" w:rsidRDefault="001E1647" w:rsidP="00067FBE">
            <w:pPr>
              <w:autoSpaceDE w:val="0"/>
              <w:autoSpaceDN w:val="0"/>
              <w:adjustRightInd w:val="0"/>
              <w:jc w:val="both"/>
              <w:rPr>
                <w:noProof/>
              </w:rPr>
            </w:pPr>
            <w:r>
              <w:t>Διαταραχές του γαστρεντερικού</w:t>
            </w:r>
          </w:p>
        </w:tc>
        <w:tc>
          <w:tcPr>
            <w:tcW w:w="3969" w:type="dxa"/>
          </w:tcPr>
          <w:p w14:paraId="797DFFD2" w14:textId="77777777" w:rsidR="00422F80" w:rsidRPr="00564D92" w:rsidRDefault="001E1647" w:rsidP="00067FBE">
            <w:pPr>
              <w:autoSpaceDE w:val="0"/>
              <w:autoSpaceDN w:val="0"/>
              <w:adjustRightInd w:val="0"/>
              <w:jc w:val="both"/>
              <w:rPr>
                <w:noProof/>
              </w:rPr>
            </w:pPr>
            <w:r>
              <w:rPr>
                <w:i/>
                <w:iCs/>
              </w:rPr>
              <w:t>Συχνές</w:t>
            </w:r>
            <w:r>
              <w:rPr>
                <w:i/>
                <w:iCs/>
                <w:noProof/>
              </w:rPr>
              <w:t>:</w:t>
            </w:r>
            <w:r>
              <w:t xml:space="preserve"> ναυτία. </w:t>
            </w:r>
          </w:p>
          <w:p w14:paraId="797DFFD3" w14:textId="77777777" w:rsidR="00422F80" w:rsidRPr="00564D92" w:rsidRDefault="001E1647" w:rsidP="00067FBE">
            <w:pPr>
              <w:autoSpaceDE w:val="0"/>
              <w:autoSpaceDN w:val="0"/>
              <w:adjustRightInd w:val="0"/>
              <w:jc w:val="both"/>
              <w:rPr>
                <w:noProof/>
              </w:rPr>
            </w:pPr>
            <w:r>
              <w:rPr>
                <w:i/>
                <w:iCs/>
                <w:noProof/>
              </w:rPr>
              <w:t xml:space="preserve">Μη γνωστές: </w:t>
            </w:r>
            <w:r>
              <w:t xml:space="preserve">δωδεκαδακτυλίτιδα, κολίτιδα </w:t>
            </w:r>
            <w:r>
              <w:t>(συμπεριλαμβανομένης της σοβαρής κολίτιδας).</w:t>
            </w:r>
          </w:p>
        </w:tc>
      </w:tr>
      <w:tr w:rsidR="00512144" w14:paraId="797DFFD8" w14:textId="77777777">
        <w:tc>
          <w:tcPr>
            <w:tcW w:w="3936" w:type="dxa"/>
          </w:tcPr>
          <w:p w14:paraId="797DFFD5" w14:textId="77777777" w:rsidR="00422F80" w:rsidRPr="00564D92" w:rsidRDefault="001E1647" w:rsidP="00067FBE">
            <w:pPr>
              <w:autoSpaceDE w:val="0"/>
              <w:autoSpaceDN w:val="0"/>
              <w:adjustRightInd w:val="0"/>
              <w:jc w:val="both"/>
              <w:rPr>
                <w:noProof/>
              </w:rPr>
            </w:pPr>
            <w:r>
              <w:t>Διαταραχές του δέρματος και του υποδόριου ιστού</w:t>
            </w:r>
          </w:p>
        </w:tc>
        <w:tc>
          <w:tcPr>
            <w:tcW w:w="3969" w:type="dxa"/>
          </w:tcPr>
          <w:p w14:paraId="797DFFD6" w14:textId="77777777" w:rsidR="00422F80" w:rsidRPr="00564D92" w:rsidRDefault="001E1647" w:rsidP="00067FBE">
            <w:pPr>
              <w:autoSpaceDE w:val="0"/>
              <w:autoSpaceDN w:val="0"/>
              <w:adjustRightInd w:val="0"/>
              <w:jc w:val="both"/>
              <w:rPr>
                <w:noProof/>
              </w:rPr>
            </w:pPr>
            <w:r>
              <w:rPr>
                <w:i/>
                <w:iCs/>
                <w:noProof/>
              </w:rPr>
              <w:t xml:space="preserve">Όχι συχνές: </w:t>
            </w:r>
            <w:r>
              <w:t xml:space="preserve">δερματικό εξάνθημα, κνησμός, ερύθημα. </w:t>
            </w:r>
          </w:p>
          <w:p w14:paraId="797DFFD7" w14:textId="77777777" w:rsidR="00422F80" w:rsidRPr="00564D92" w:rsidRDefault="001E1647" w:rsidP="00067FBE">
            <w:pPr>
              <w:autoSpaceDE w:val="0"/>
              <w:autoSpaceDN w:val="0"/>
              <w:adjustRightInd w:val="0"/>
              <w:jc w:val="both"/>
              <w:rPr>
                <w:noProof/>
              </w:rPr>
            </w:pPr>
            <w:r>
              <w:rPr>
                <w:i/>
                <w:iCs/>
                <w:noProof/>
              </w:rPr>
              <w:t>Μη γνωστές</w:t>
            </w:r>
            <w:r>
              <w:t>: κνίδωση.</w:t>
            </w:r>
          </w:p>
        </w:tc>
      </w:tr>
    </w:tbl>
    <w:p w14:paraId="797DFFD9" w14:textId="77777777" w:rsidR="00422F80" w:rsidRPr="00564D92" w:rsidRDefault="00422F80" w:rsidP="00067FBE">
      <w:pPr>
        <w:autoSpaceDE w:val="0"/>
        <w:autoSpaceDN w:val="0"/>
        <w:adjustRightInd w:val="0"/>
        <w:rPr>
          <w:noProof/>
        </w:rPr>
      </w:pPr>
    </w:p>
    <w:p w14:paraId="797DFFDA" w14:textId="77777777" w:rsidR="00422F80" w:rsidRPr="00564D92" w:rsidRDefault="001E1647" w:rsidP="00236D4A">
      <w:pPr>
        <w:keepNext/>
        <w:autoSpaceDE w:val="0"/>
        <w:autoSpaceDN w:val="0"/>
        <w:adjustRightInd w:val="0"/>
        <w:spacing w:line="240" w:lineRule="auto"/>
        <w:rPr>
          <w:u w:val="single"/>
        </w:rPr>
      </w:pPr>
      <w:r>
        <w:rPr>
          <w:u w:val="single"/>
        </w:rPr>
        <w:lastRenderedPageBreak/>
        <w:t>Αναφορά πιθανολογούμενων ανεπιθύμητων ενεργειών</w:t>
      </w:r>
    </w:p>
    <w:p w14:paraId="797DFFDB" w14:textId="77777777" w:rsidR="00422F80" w:rsidRPr="00564D92" w:rsidRDefault="001E1647" w:rsidP="00067FBE">
      <w:pPr>
        <w:autoSpaceDE w:val="0"/>
        <w:autoSpaceDN w:val="0"/>
        <w:adjustRightInd w:val="0"/>
        <w:spacing w:line="240" w:lineRule="auto"/>
        <w:rPr>
          <w:noProof/>
        </w:rPr>
      </w:pPr>
      <w:r>
        <w:t>Η αναφορά πιθανολογούμενων ανεπιθύμητων ενεργειών μετά τη χορήγηση αδείας κυκλοφορίας του φαρμακευτικού προϊόντος είναι σημαντική. Επιτρέπει τη συνεχή παρακολούθηση της σχέσης οφέλους-κινδύνου του φαρμακευτικού προϊόντος. Ζητείται από τους επαγγελματίες υγ</w:t>
      </w:r>
      <w:r>
        <w:t xml:space="preserve">είας να αναφέρουν οποιεσδήποτε πιθανολογούμενες ανεπιθύμητες ενέργειες μέσω </w:t>
      </w:r>
      <w:r>
        <w:rPr>
          <w:highlight w:val="lightGray"/>
        </w:rPr>
        <w:t xml:space="preserve">του εθνικού συστήματος αναφοράς που αναγράφεται στο </w:t>
      </w:r>
      <w:hyperlink r:id="rId10" w:history="1">
        <w:r>
          <w:rPr>
            <w:rStyle w:val="Hyperlink"/>
          </w:rPr>
          <w:t>Παράρτημα V</w:t>
        </w:r>
      </w:hyperlink>
      <w:r>
        <w:t>.</w:t>
      </w:r>
    </w:p>
    <w:p w14:paraId="797DFFDC" w14:textId="77777777" w:rsidR="00422F80" w:rsidRPr="00564D92" w:rsidRDefault="00422F80" w:rsidP="00067FBE">
      <w:pPr>
        <w:spacing w:line="240" w:lineRule="auto"/>
        <w:rPr>
          <w:noProof/>
        </w:rPr>
      </w:pPr>
    </w:p>
    <w:p w14:paraId="797DFFDD" w14:textId="77777777" w:rsidR="00422F80" w:rsidRPr="00DE1521" w:rsidRDefault="001E1647" w:rsidP="00067FBE">
      <w:pPr>
        <w:pStyle w:val="ListParagraph"/>
        <w:numPr>
          <w:ilvl w:val="1"/>
          <w:numId w:val="28"/>
        </w:numPr>
        <w:spacing w:line="240" w:lineRule="auto"/>
        <w:ind w:hanging="930"/>
        <w:outlineLvl w:val="0"/>
        <w:rPr>
          <w:b/>
          <w:bCs/>
          <w:noProof/>
        </w:rPr>
      </w:pPr>
      <w:r>
        <w:rPr>
          <w:b/>
          <w:bCs/>
          <w:noProof/>
        </w:rPr>
        <w:t>Υπερ</w:t>
      </w:r>
      <w:r>
        <w:rPr>
          <w:b/>
          <w:bCs/>
          <w:noProof/>
        </w:rPr>
        <w:t>δοσολογία</w:t>
      </w:r>
    </w:p>
    <w:p w14:paraId="797DFFDE" w14:textId="77777777" w:rsidR="00422F80" w:rsidRPr="00564D92" w:rsidRDefault="00422F80" w:rsidP="00067FBE">
      <w:pPr>
        <w:spacing w:line="240" w:lineRule="auto"/>
        <w:rPr>
          <w:noProof/>
        </w:rPr>
      </w:pPr>
    </w:p>
    <w:p w14:paraId="797DFFDF" w14:textId="77777777" w:rsidR="00422F80" w:rsidRDefault="001E1647" w:rsidP="00067FBE">
      <w:pPr>
        <w:spacing w:line="240" w:lineRule="auto"/>
      </w:pPr>
      <w:r>
        <w:t>Έ</w:t>
      </w:r>
      <w:r w:rsidRPr="00454D21">
        <w:t xml:space="preserve">χουν αναφερθεί σποραδικά περιστατικά υπερδοσολογίας με τριεντίνη. Σε περιστατικά μέχρι 20 g βάσης τριεντίνης δεν αναφέρθηκαν εμφανείς ανεπιθύμητες αντιδράσεις. Μια μεγάλη υπερδοσολογία με 40 g βάσης τριεντίνης οδήγησε σε αυτοπεριοριζόμενη ζάλη </w:t>
      </w:r>
      <w:r w:rsidRPr="00454D21">
        <w:t xml:space="preserve">και έμετο χωρίς να αναφερθούν άλλα κλινικά συμβάματα ή σημαντικές βιοχημικές ανωμαλίες. </w:t>
      </w:r>
    </w:p>
    <w:p w14:paraId="797DFFE0" w14:textId="77777777" w:rsidR="00422F80" w:rsidRDefault="00422F80" w:rsidP="00067FBE">
      <w:pPr>
        <w:spacing w:line="240" w:lineRule="auto"/>
      </w:pPr>
    </w:p>
    <w:p w14:paraId="797DFFE1" w14:textId="203F3F94" w:rsidR="00422F80" w:rsidRDefault="001E1647" w:rsidP="00067FBE">
      <w:pPr>
        <w:spacing w:line="240" w:lineRule="auto"/>
      </w:pPr>
      <w:r>
        <w:t>Δεν υπάρχει αντίδοτο για την οξεία υπερδοσολογία</w:t>
      </w:r>
      <w:r w:rsidRPr="00236D4A">
        <w:t xml:space="preserve"> </w:t>
      </w:r>
      <w:r>
        <w:t>τριεντίνης.</w:t>
      </w:r>
    </w:p>
    <w:p w14:paraId="797DFFE2" w14:textId="77777777" w:rsidR="00422F80" w:rsidRPr="00564D92" w:rsidRDefault="00422F80" w:rsidP="00067FBE">
      <w:pPr>
        <w:spacing w:line="240" w:lineRule="auto"/>
      </w:pPr>
    </w:p>
    <w:p w14:paraId="797DFFE3" w14:textId="77777777" w:rsidR="00422F80" w:rsidRPr="00564D92" w:rsidRDefault="001E1647" w:rsidP="00067FBE">
      <w:pPr>
        <w:spacing w:line="240" w:lineRule="auto"/>
        <w:rPr>
          <w:noProof/>
        </w:rPr>
      </w:pPr>
      <w:r>
        <w:t>Η χρόνια υπερθεραπεία μπορεί να προκαλέσει ανεπάρκεια χαλκού και αναστρέψιμη σιδηροβλαστική αναιμία. Η υ</w:t>
      </w:r>
      <w:r>
        <w:t>περθεραπεία και η απομάκρυνση του πλεονάζοντος χαλκού μπορεί να παρακολουθείται βάσει των τιμών αποβολής του χαλκού στα ούρα και του μη δεσμευμένου χαλκού στη σερουλοπλασμίνη. Απαιτείται στενή παρακολούθηση για τη βελτιστοποίηση της δοσολογίας ή την προσαρ</w:t>
      </w:r>
      <w:r>
        <w:t>μογή της θεραπείας, εάν συντρέχει ανάγκη (βλ. παράγραφο 4.4).</w:t>
      </w:r>
    </w:p>
    <w:p w14:paraId="797DFFE4" w14:textId="77777777" w:rsidR="00422F80" w:rsidRPr="00564D92" w:rsidRDefault="00422F80" w:rsidP="00067FBE">
      <w:pPr>
        <w:suppressAutoHyphens/>
        <w:spacing w:line="240" w:lineRule="auto"/>
        <w:rPr>
          <w:b/>
          <w:bCs/>
        </w:rPr>
      </w:pPr>
    </w:p>
    <w:p w14:paraId="797DFFE5" w14:textId="77777777" w:rsidR="00422F80" w:rsidRPr="00564D92" w:rsidRDefault="00422F80" w:rsidP="00067FBE">
      <w:pPr>
        <w:suppressAutoHyphens/>
        <w:spacing w:line="240" w:lineRule="auto"/>
        <w:rPr>
          <w:b/>
          <w:bCs/>
        </w:rPr>
      </w:pPr>
    </w:p>
    <w:p w14:paraId="797DFFE6" w14:textId="77777777" w:rsidR="00422F80" w:rsidRPr="00341189" w:rsidRDefault="001E1647" w:rsidP="00067FBE">
      <w:pPr>
        <w:pStyle w:val="ListParagraph"/>
        <w:numPr>
          <w:ilvl w:val="0"/>
          <w:numId w:val="28"/>
        </w:numPr>
        <w:spacing w:line="240" w:lineRule="auto"/>
        <w:ind w:hanging="930"/>
        <w:rPr>
          <w:b/>
          <w:bCs/>
        </w:rPr>
      </w:pPr>
      <w:r>
        <w:rPr>
          <w:b/>
          <w:bCs/>
        </w:rPr>
        <w:t>ΦΑΡΜΑΚΟΛΟΓΙΚΕΣ ΙΔΙΟΤΗΤΕΣ</w:t>
      </w:r>
    </w:p>
    <w:p w14:paraId="797DFFE7" w14:textId="77777777" w:rsidR="00422F80" w:rsidRPr="00564D92" w:rsidRDefault="00422F80" w:rsidP="00067FBE">
      <w:pPr>
        <w:spacing w:line="240" w:lineRule="auto"/>
      </w:pPr>
    </w:p>
    <w:p w14:paraId="797DFFE8" w14:textId="77777777" w:rsidR="00422F80" w:rsidRPr="00341189" w:rsidRDefault="001E1647" w:rsidP="00067FBE">
      <w:pPr>
        <w:pStyle w:val="ListParagraph"/>
        <w:numPr>
          <w:ilvl w:val="1"/>
          <w:numId w:val="28"/>
        </w:numPr>
        <w:spacing w:line="240" w:lineRule="auto"/>
        <w:ind w:hanging="930"/>
        <w:outlineLvl w:val="0"/>
      </w:pPr>
      <w:r>
        <w:rPr>
          <w:b/>
          <w:bCs/>
        </w:rPr>
        <w:t>Φαρμακοδυναμικές ιδιότητες</w:t>
      </w:r>
    </w:p>
    <w:p w14:paraId="797DFFE9" w14:textId="77777777" w:rsidR="00422F80" w:rsidRPr="00564D92" w:rsidRDefault="00422F80" w:rsidP="00067FBE">
      <w:pPr>
        <w:spacing w:line="240" w:lineRule="auto"/>
      </w:pPr>
    </w:p>
    <w:p w14:paraId="797DFFEA" w14:textId="77777777" w:rsidR="00422F80" w:rsidRPr="00564D92" w:rsidRDefault="001E1647" w:rsidP="00067FBE">
      <w:pPr>
        <w:numPr>
          <w:ilvl w:val="12"/>
          <w:numId w:val="0"/>
        </w:numPr>
        <w:ind w:right="-2"/>
      </w:pPr>
      <w:r>
        <w:t xml:space="preserve">Φαρμακοθεραπευτική κατηγορία: Άλλα φάρμακα της πεπτικής οδού και του μεταβολισμού, διάφορα φάρμακα της πεπτικής οδού και του </w:t>
      </w:r>
      <w:r>
        <w:t>μεταβολισμού, κωδικός ATC: A16AX12.</w:t>
      </w:r>
    </w:p>
    <w:p w14:paraId="797DFFEB" w14:textId="77777777" w:rsidR="00422F80" w:rsidRPr="00564D92" w:rsidRDefault="00422F80" w:rsidP="00067FBE">
      <w:pPr>
        <w:numPr>
          <w:ilvl w:val="12"/>
          <w:numId w:val="0"/>
        </w:numPr>
        <w:ind w:right="-2"/>
      </w:pPr>
    </w:p>
    <w:p w14:paraId="797DFFEC" w14:textId="77777777" w:rsidR="00422F80" w:rsidRPr="00564D92" w:rsidRDefault="001E1647" w:rsidP="00067FBE">
      <w:pPr>
        <w:keepNext/>
        <w:numPr>
          <w:ilvl w:val="12"/>
          <w:numId w:val="0"/>
        </w:numPr>
        <w:rPr>
          <w:u w:val="single"/>
        </w:rPr>
      </w:pPr>
      <w:r>
        <w:rPr>
          <w:u w:val="single"/>
        </w:rPr>
        <w:t xml:space="preserve">Μηχανισμός δράσης </w:t>
      </w:r>
    </w:p>
    <w:p w14:paraId="797DFFED" w14:textId="77777777" w:rsidR="00422F80" w:rsidRPr="00564D92" w:rsidRDefault="001E1647" w:rsidP="00067FBE">
      <w:pPr>
        <w:numPr>
          <w:ilvl w:val="12"/>
          <w:numId w:val="0"/>
        </w:numPr>
        <w:ind w:right="-2"/>
      </w:pPr>
      <w:r>
        <w:t xml:space="preserve">Η τριεντίνη είναι παράγοντας χηλίωσης του χαλκού της οποίας ο κύριος μηχανισμός δράσης είναι η απομάκρυνση του απορροφηθέντος χαλκού από το σώμα μέσω του σχηματισμού ενός σταθερού συμπλόκου, το </w:t>
      </w:r>
      <w:r>
        <w:t>οποίο απεκκρίνεται στη συνέχεια μέσω των ούρων. Η τριεντίνη μπορεί επίσης να επιτύχει τη χηλίωση του χαλκού στο έντερο και να εμποδίζει, επομένως, την απορρόφηση χαλκού.</w:t>
      </w:r>
    </w:p>
    <w:p w14:paraId="797DFFEE" w14:textId="77777777" w:rsidR="00422F80" w:rsidRPr="00564D92" w:rsidRDefault="00422F80" w:rsidP="00067FBE">
      <w:pPr>
        <w:numPr>
          <w:ilvl w:val="12"/>
          <w:numId w:val="0"/>
        </w:numPr>
        <w:ind w:right="-2"/>
        <w:rPr>
          <w:noProof/>
        </w:rPr>
      </w:pPr>
    </w:p>
    <w:p w14:paraId="797DFFEF" w14:textId="77777777" w:rsidR="00422F80" w:rsidRPr="00564D92" w:rsidRDefault="001E1647" w:rsidP="00067FBE">
      <w:pPr>
        <w:pStyle w:val="ListParagraph"/>
        <w:numPr>
          <w:ilvl w:val="1"/>
          <w:numId w:val="28"/>
        </w:numPr>
        <w:spacing w:line="240" w:lineRule="auto"/>
        <w:ind w:hanging="930"/>
        <w:outlineLvl w:val="0"/>
        <w:rPr>
          <w:b/>
          <w:bCs/>
        </w:rPr>
      </w:pPr>
      <w:r>
        <w:rPr>
          <w:b/>
          <w:bCs/>
        </w:rPr>
        <w:t>Φαρμακοκινητικές ιδιότητες</w:t>
      </w:r>
    </w:p>
    <w:p w14:paraId="797DFFF0" w14:textId="77777777" w:rsidR="00422F80" w:rsidRPr="00564D92" w:rsidRDefault="00422F80" w:rsidP="00067FBE">
      <w:pPr>
        <w:rPr>
          <w:noProof/>
        </w:rPr>
      </w:pPr>
    </w:p>
    <w:p w14:paraId="797DFFF1" w14:textId="77777777" w:rsidR="00422F80" w:rsidRPr="00564D92" w:rsidRDefault="001E1647" w:rsidP="00067FBE">
      <w:pPr>
        <w:rPr>
          <w:noProof/>
          <w:u w:val="single"/>
        </w:rPr>
      </w:pPr>
      <w:r>
        <w:rPr>
          <w:noProof/>
          <w:u w:val="single"/>
        </w:rPr>
        <w:t>Απορρόφηση</w:t>
      </w:r>
    </w:p>
    <w:p w14:paraId="797DFFF2" w14:textId="77777777" w:rsidR="00422F80" w:rsidRPr="00564D92" w:rsidRDefault="001E1647" w:rsidP="00067FBE">
      <w:pPr>
        <w:rPr>
          <w:noProof/>
        </w:rPr>
      </w:pPr>
      <w:r>
        <w:t>Η απορρόφηση της τριεντίνης όταν χορηγείται απ</w:t>
      </w:r>
      <w:r>
        <w:t xml:space="preserve">ό το στόμα είναι χαμηλή και μεταβαλλόμενη σε ασθενείς που πάσχουν από τη νόσο του Wilson. Η φαρμακοκινητική εικόνα του Cuprior έχει αξιολογηθεί μετά από άπαξ χορήγηση από το στόμα δόσης των 450mg, 600mg και 750 mg τριεντίνης σε υγιείς άνδρες και γυναίκες. </w:t>
      </w:r>
      <w:r>
        <w:t>Τα επίπεδα τριεντίνης στο πλάσμα αυξήθηκαν γρήγορα μετά τη χορήγηση, το δε μέσο μέγιστο επίπεδο επιτεύχθηκε μετά από 1,25 έως 2 ώρες. Η συγκέντρωση τριεντίνης στο πλάσμα μειώθηκε στη συνέχεια σε πολλαπλά στάδια, στην αρχή γρήγορα και στη συνέχεια με πιο βρ</w:t>
      </w:r>
      <w:r>
        <w:t xml:space="preserve">αδείς ρυθμούς αποβολής. Η συνολική φαρμακοκινητική εικόνα παρουσίαζε ομοιότητες μεταξύ ανδρών και γυναικών, μολονότι οι άνδρες εμφάνισαν υψηλότερα επίπεδα τριεντίνης. </w:t>
      </w:r>
    </w:p>
    <w:p w14:paraId="797DFFF3" w14:textId="77777777" w:rsidR="00422F80" w:rsidRPr="00564D92" w:rsidRDefault="00422F80" w:rsidP="00067FBE">
      <w:pPr>
        <w:rPr>
          <w:noProof/>
        </w:rPr>
      </w:pPr>
    </w:p>
    <w:p w14:paraId="797DFFF4" w14:textId="77777777" w:rsidR="00422F80" w:rsidRPr="00564D92" w:rsidRDefault="001E1647" w:rsidP="00067FBE">
      <w:pPr>
        <w:rPr>
          <w:noProof/>
          <w:u w:val="single"/>
        </w:rPr>
      </w:pPr>
      <w:r>
        <w:rPr>
          <w:noProof/>
          <w:u w:val="single"/>
        </w:rPr>
        <w:t>Κατανομή</w:t>
      </w:r>
    </w:p>
    <w:p w14:paraId="797DFFF5" w14:textId="77777777" w:rsidR="00422F80" w:rsidRPr="00564D92" w:rsidRDefault="001E1647" w:rsidP="00067FBE">
      <w:pPr>
        <w:rPr>
          <w:noProof/>
        </w:rPr>
      </w:pPr>
      <w:r>
        <w:t>Δεν υπάρχουν διαθέσιμες πληροφορίες σχετικά με την κατανομή της τριεντίνης στα</w:t>
      </w:r>
      <w:r>
        <w:t xml:space="preserve"> όργανα και στους ιστούς. </w:t>
      </w:r>
    </w:p>
    <w:p w14:paraId="797DFFF6" w14:textId="77777777" w:rsidR="00422F80" w:rsidRPr="00564D92" w:rsidRDefault="00422F80" w:rsidP="00067FBE">
      <w:pPr>
        <w:rPr>
          <w:noProof/>
        </w:rPr>
      </w:pPr>
    </w:p>
    <w:p w14:paraId="797DFFF7" w14:textId="77777777" w:rsidR="00422F80" w:rsidRPr="00564D92" w:rsidRDefault="001E1647" w:rsidP="00067FBE">
      <w:pPr>
        <w:rPr>
          <w:noProof/>
          <w:u w:val="single"/>
        </w:rPr>
      </w:pPr>
      <w:r>
        <w:rPr>
          <w:noProof/>
          <w:u w:val="single"/>
        </w:rPr>
        <w:t>Βιομετασχηματισμός</w:t>
      </w:r>
    </w:p>
    <w:p w14:paraId="797DFFF8" w14:textId="77777777" w:rsidR="00422F80" w:rsidRPr="00564D92" w:rsidRDefault="001E1647" w:rsidP="00067FBE">
      <w:r>
        <w:t xml:space="preserve">Η τριεντίνη ακετυλιώνεται σε δύο βασικούς μεταβολίτες, την N(1)-ακετυλτριαιθυλενοτετραμίνη (MAT) και την N(1),N(10)-διακετυλτριαιθυλενοτετραμίνη (DAT). Η ΜΑΤ ενδέχεται να συμμετέχει </w:t>
      </w:r>
      <w:r>
        <w:lastRenderedPageBreak/>
        <w:t>επίσης στη συνολική κλινική</w:t>
      </w:r>
      <w:r>
        <w:t xml:space="preserve"> δράση του Cuprior. Ωστόσο, ο βαθμός συμμετοχής της ΜΑΤ στη συνολική επίδραση του Cuprior στα επίπεδα χαλκού παραμένει άγνωστος.</w:t>
      </w:r>
    </w:p>
    <w:p w14:paraId="797DFFF9" w14:textId="77777777" w:rsidR="00422F80" w:rsidRPr="00564D92" w:rsidRDefault="00422F80" w:rsidP="00067FBE"/>
    <w:p w14:paraId="797DFFFA" w14:textId="77777777" w:rsidR="00422F80" w:rsidRPr="00564D92" w:rsidRDefault="001E1647" w:rsidP="00067FBE">
      <w:pPr>
        <w:rPr>
          <w:noProof/>
        </w:rPr>
      </w:pPr>
      <w:r>
        <w:rPr>
          <w:noProof/>
          <w:u w:val="single"/>
        </w:rPr>
        <w:t>Αποβολή</w:t>
      </w:r>
    </w:p>
    <w:p w14:paraId="797DFFFB" w14:textId="77777777" w:rsidR="00422F80" w:rsidRPr="00564D92" w:rsidRDefault="001E1647" w:rsidP="00067FBE">
      <w:pPr>
        <w:rPr>
          <w:noProof/>
        </w:rPr>
      </w:pPr>
      <w:r>
        <w:t>Η τριεντίνη και οι μεταβολίτες της απεκκρίνονται γρήγορα στα ούρα, παρόλο που χαμηλά επίπεδα τριεντίνης ανιχνεύονται σ</w:t>
      </w:r>
      <w:r>
        <w:t>το πλάσμα ακόμη και 20 ώρες μετά τη χορήγησή της. Η μη απορροφηθείσα τριεντίνη αποβάλλεται μέσω των κοπράνων.</w:t>
      </w:r>
    </w:p>
    <w:p w14:paraId="797DFFFC" w14:textId="77777777" w:rsidR="00422F80" w:rsidRPr="00564D92" w:rsidRDefault="00422F80" w:rsidP="00067FBE">
      <w:pPr>
        <w:rPr>
          <w:noProof/>
        </w:rPr>
      </w:pPr>
    </w:p>
    <w:p w14:paraId="797DFFFD" w14:textId="77777777" w:rsidR="00422F80" w:rsidRPr="00564D92" w:rsidRDefault="001E1647" w:rsidP="00067FBE">
      <w:pPr>
        <w:keepNext/>
        <w:rPr>
          <w:noProof/>
          <w:u w:val="single"/>
        </w:rPr>
      </w:pPr>
      <w:r>
        <w:rPr>
          <w:noProof/>
          <w:u w:val="single"/>
        </w:rPr>
        <w:t>Γραμμικότητα/μη γραμμικότητα</w:t>
      </w:r>
    </w:p>
    <w:p w14:paraId="797DFFFE" w14:textId="77777777" w:rsidR="00422F80" w:rsidRPr="00564D92" w:rsidRDefault="001E1647" w:rsidP="00067FBE">
      <w:pPr>
        <w:rPr>
          <w:noProof/>
        </w:rPr>
      </w:pPr>
      <w:r>
        <w:t>Η έκθεση στο πλάσμα ανθρώπων κατέδειξε γραμμικότητα των δόσεων της τριεντίνης που χορηγήθηκαν από το στόμα.</w:t>
      </w:r>
    </w:p>
    <w:p w14:paraId="797DFFFF" w14:textId="77777777" w:rsidR="00422F80" w:rsidRPr="00564D92" w:rsidRDefault="00422F80" w:rsidP="00067FBE">
      <w:pPr>
        <w:numPr>
          <w:ilvl w:val="12"/>
          <w:numId w:val="0"/>
        </w:numPr>
        <w:spacing w:line="240" w:lineRule="auto"/>
        <w:ind w:right="-2"/>
        <w:rPr>
          <w:noProof/>
        </w:rPr>
      </w:pPr>
    </w:p>
    <w:p w14:paraId="797E0000" w14:textId="77777777" w:rsidR="00422F80" w:rsidRPr="00EC49EF" w:rsidRDefault="001E1647" w:rsidP="00067FBE">
      <w:pPr>
        <w:pStyle w:val="ListParagraph"/>
        <w:numPr>
          <w:ilvl w:val="1"/>
          <w:numId w:val="28"/>
        </w:numPr>
        <w:spacing w:line="240" w:lineRule="auto"/>
        <w:ind w:hanging="930"/>
        <w:outlineLvl w:val="0"/>
        <w:rPr>
          <w:b/>
          <w:bCs/>
        </w:rPr>
      </w:pPr>
      <w:r>
        <w:rPr>
          <w:b/>
          <w:bCs/>
        </w:rPr>
        <w:t>Προκλιν</w:t>
      </w:r>
      <w:r>
        <w:rPr>
          <w:b/>
          <w:bCs/>
        </w:rPr>
        <w:t>ικά δεδομένα για την ασφάλεια</w:t>
      </w:r>
    </w:p>
    <w:p w14:paraId="797E0001" w14:textId="77777777" w:rsidR="00422F80" w:rsidRPr="00564D92" w:rsidRDefault="00422F80" w:rsidP="00067FBE">
      <w:pPr>
        <w:spacing w:line="240" w:lineRule="auto"/>
        <w:rPr>
          <w:noProof/>
        </w:rPr>
      </w:pPr>
    </w:p>
    <w:p w14:paraId="797E0002" w14:textId="77777777" w:rsidR="00422F80" w:rsidRPr="00564D92" w:rsidRDefault="001E1647" w:rsidP="00067FBE">
      <w:pPr>
        <w:rPr>
          <w:noProof/>
        </w:rPr>
      </w:pPr>
      <w:r>
        <w:t xml:space="preserve">Τα προκλινικά δεδομένα υποδεικνύουν ανεπιθύμητες ενέργειες οι οποίες δεν παρατηρήθηκαν στις κλινικές μελέτες, παρατηρήθηκαν όμως σε ζώα σε επίπεδα έκθεσης παρόμοια με τα κλινικά επίπεδα έκθεσης και με την ακόλουθη </w:t>
      </w:r>
      <w:r>
        <w:t>πιθανή σχέση ως προς την κλινική χρήση:</w:t>
      </w:r>
    </w:p>
    <w:p w14:paraId="797E0003" w14:textId="77777777" w:rsidR="00422F80" w:rsidRPr="00564D92" w:rsidRDefault="00422F80" w:rsidP="00067FBE"/>
    <w:p w14:paraId="797E0004" w14:textId="77777777" w:rsidR="00422F80" w:rsidRPr="00564D92" w:rsidRDefault="001E1647" w:rsidP="00067FBE">
      <w:pPr>
        <w:rPr>
          <w:noProof/>
          <w:u w:val="single"/>
        </w:rPr>
      </w:pPr>
      <w:r>
        <w:rPr>
          <w:noProof/>
          <w:u w:val="single"/>
        </w:rPr>
        <w:t>Τοξικότητα επαναλαμβανόμενης δόσης</w:t>
      </w:r>
    </w:p>
    <w:p w14:paraId="797E0005" w14:textId="77777777" w:rsidR="00422F80" w:rsidRPr="00564D92" w:rsidRDefault="001E1647" w:rsidP="00067FBE">
      <w:pPr>
        <w:rPr>
          <w:noProof/>
        </w:rPr>
      </w:pPr>
      <w:r>
        <w:t>Όταν χορηγήθηκε σε ποντίκια μέσω του νερού πόσης, η τριεντίνη προκάλεσε αυξημένη συχνότητα φλεγμονής του διάμεσου πνευμονικού χώρου και περιπυλαία λιπώδη διήθηση του ήπατος. Στον σ</w:t>
      </w:r>
      <w:r>
        <w:t xml:space="preserve">πλήνα των αρρένων ζώων παρατηρήθηκε πολλαπλασιασμός των αιμοποιητικών κυττάρων. Στα άρρενα ζώα μειώθηκε το βάρος των νεφρών και του σώματος, όπως επίσης και η κενοτοπίωση του κυτταροπλάσματος των νεφρών. Το επίπεδο στο οποίο δεν παρατηρούνται ανεπιθύμητες </w:t>
      </w:r>
      <w:r>
        <w:t>ενέργειες (NOAEL) προσδιορίστηκε σε περίπου 92 mg/kg/ημερησίως για τα άρρενα και 99 mg/kg/ημερησίως για τα θήλεα. Σε επίμυες στους οποίους χορηγήθηκαν από το στόμα δόσεις τριεντίνης έως 600 mg/kg/ημερησίως για διάρκεια 26 εβδομάδων, τα ιστοπαθολογικά ευρήμ</w:t>
      </w:r>
      <w:r>
        <w:t>ατα κατέδειξαν δοσοεξαρτώμενη επίπτωση και σοβαρότητα της εστιακής χρόνιας διάμεσης πνευμονoπάθειας συνοδευόμενης από ίνωση του κυψελιδικού τοιχώματος. Οι μικροσκοπικές αλλαγές στους πνεύμονες χαρακτηρίστηκαν ως ενδεικτικές μιας εμμένουσας φλεγμονώδους αντ</w:t>
      </w:r>
      <w:r>
        <w:t>ίδρασης ή εμμένουσας τοξικής δράσης στα κυψελιδικά κύτταρα. Έχοντας υπόψη ότι η τριεντίνη διαθέτει ερεθιστικές ιδιότητες, εκτιμήθηκε ότι η χρόνια διάμεση πνευμονοπάθεια που παρατηρήθηκε αιτιολογείται από την κυτταροτοξική δράση της τριεντίνης κατά τη συσσώ</w:t>
      </w:r>
      <w:r>
        <w:t>ρευσή της στα κύτταρα του επιθηλίου των βρογχιολίων και στα κυψελιδικά πνευμονοκύτταρα. Τα ευρήματα αυτά δεν ήταν αναστρέψιμα. Το NOAEL στους επίμυες ορίστηκε στα 50 mg/kg/ημερησίως για τα θήλεα, ενώ δεν ορίστηκε NOAEL για τα άρρενα.</w:t>
      </w:r>
    </w:p>
    <w:p w14:paraId="797E0006" w14:textId="77777777" w:rsidR="00422F80" w:rsidRPr="00564D92" w:rsidRDefault="001E1647" w:rsidP="00067FBE">
      <w:pPr>
        <w:rPr>
          <w:noProof/>
        </w:rPr>
      </w:pPr>
      <w:r>
        <w:t>Στο πλαίσιο μελετών το</w:t>
      </w:r>
      <w:r>
        <w:t>ξικότητας επαναλαμβανόμενων δόσεων, σκύλοι οι οποίοι έλαβαν από το στόμα δόσεις τριεντίνης έως 300 mg/kg/ημερησίως παρουσίασαν νευρολογικά ή/και μυοσκελετικά κλινικά συμπτώματα (μη φυσιολογικό βάδισμα, αταξία, αδύναμα άκρα, τρόμο), τα οποία αποδόθηκαν στην</w:t>
      </w:r>
      <w:r>
        <w:t xml:space="preserve"> εξάντληση του χαλκού που προκαλεί η δράση της τριεντίνης. Τo NOAEL ορίστηκε στα 50 mg/kg/ημερησίως διασφαλίζοντας περιθώρια ασφάλειας περίπου 4 στα άρρενα και 17 στα θήλεα, τα οποία προσεγγίζουν τα θεραπευτικά επίπεδα έκθεσης στους ανθρώπους.</w:t>
      </w:r>
    </w:p>
    <w:p w14:paraId="797E0007" w14:textId="77777777" w:rsidR="00422F80" w:rsidRPr="00564D92" w:rsidRDefault="00422F80" w:rsidP="00067FBE">
      <w:pPr>
        <w:rPr>
          <w:noProof/>
        </w:rPr>
      </w:pPr>
    </w:p>
    <w:p w14:paraId="797E0008" w14:textId="77777777" w:rsidR="00422F80" w:rsidRPr="00564D92" w:rsidRDefault="001E1647" w:rsidP="00067FBE">
      <w:pPr>
        <w:keepNext/>
        <w:rPr>
          <w:noProof/>
          <w:u w:val="single"/>
        </w:rPr>
      </w:pPr>
      <w:r>
        <w:rPr>
          <w:noProof/>
          <w:u w:val="single"/>
        </w:rPr>
        <w:t>Γονιδιοτοξι</w:t>
      </w:r>
      <w:r>
        <w:rPr>
          <w:noProof/>
          <w:u w:val="single"/>
        </w:rPr>
        <w:t>κότητα</w:t>
      </w:r>
    </w:p>
    <w:p w14:paraId="797E0009" w14:textId="77777777" w:rsidR="00422F80" w:rsidRDefault="001E1647" w:rsidP="00067FBE">
      <w:pPr>
        <w:rPr>
          <w:noProof/>
        </w:rPr>
      </w:pPr>
      <w:r>
        <w:t xml:space="preserve">Συνολικά, η τριεντίνη κατέδειξε θετική δράση σε μελέτες γονιδιοτοξικότητας </w:t>
      </w:r>
      <w:r>
        <w:rPr>
          <w:i/>
          <w:iCs/>
          <w:noProof/>
        </w:rPr>
        <w:t>in vitro</w:t>
      </w:r>
      <w:r>
        <w:t xml:space="preserve">, συμπεριλαμβανομένης της δοκιμής Ames και των δοκιμών γονιδιοτοξικότητας σε κύτταρα θηλαστικών. Ωστόσο, </w:t>
      </w:r>
      <w:r>
        <w:rPr>
          <w:i/>
          <w:iCs/>
          <w:noProof/>
        </w:rPr>
        <w:t>μελέτες in vivo</w:t>
      </w:r>
      <w:r>
        <w:t xml:space="preserve"> σε ποντικούς κατέδειξαν αρνητική δράση της τριεντίνης στη δοκιμή μικροπυρήνων.</w:t>
      </w:r>
    </w:p>
    <w:p w14:paraId="797E000A" w14:textId="77777777" w:rsidR="00422F80" w:rsidRDefault="00422F80" w:rsidP="00067FBE">
      <w:pPr>
        <w:rPr>
          <w:noProof/>
        </w:rPr>
      </w:pPr>
    </w:p>
    <w:p w14:paraId="797E000B" w14:textId="77777777" w:rsidR="00422F80" w:rsidRPr="00564D92" w:rsidRDefault="001E1647" w:rsidP="00067FBE">
      <w:pPr>
        <w:rPr>
          <w:noProof/>
          <w:u w:val="single"/>
        </w:rPr>
      </w:pPr>
      <w:r>
        <w:rPr>
          <w:noProof/>
          <w:u w:val="single"/>
        </w:rPr>
        <w:t>Αναπαραγωγική και αναπτυξιακή τοξικότητα</w:t>
      </w:r>
    </w:p>
    <w:p w14:paraId="797E000C" w14:textId="77777777" w:rsidR="00422F80" w:rsidRPr="00564D92" w:rsidRDefault="001E1647" w:rsidP="00067FBE">
      <w:pPr>
        <w:rPr>
          <w:noProof/>
        </w:rPr>
      </w:pPr>
      <w:r>
        <w:t>Όταν τα τρωκτικά κατά τη διάρκεια της κύησης λάμβαναν διατροφή που περιείχε τριεντίνη, η συχνότητα των περιστατικών εμβρυϊκής απορρόφη</w:t>
      </w:r>
      <w:r>
        <w:t xml:space="preserve">σης και η συχνότητα των μη φυσιολογικών τελειόμηνων εμβρύων κατέδειξε δοσοεξαρτώμενη αύξηση. Οι επιδράσεις αυτές προκαλούνται πιθανόν από ανεπάρκεια χαλκού και ψευδαργύρου οφειλόμενη στην τριεντίνη. </w:t>
      </w:r>
    </w:p>
    <w:p w14:paraId="797E000D" w14:textId="77777777" w:rsidR="00422F80" w:rsidRPr="00564D92" w:rsidRDefault="00422F80" w:rsidP="00067FBE">
      <w:pPr>
        <w:rPr>
          <w:noProof/>
        </w:rPr>
      </w:pPr>
    </w:p>
    <w:p w14:paraId="797E000E" w14:textId="77777777" w:rsidR="00422F80" w:rsidRPr="00564D92" w:rsidRDefault="001E1647" w:rsidP="00236D4A">
      <w:pPr>
        <w:keepNext/>
        <w:rPr>
          <w:noProof/>
          <w:u w:val="single"/>
        </w:rPr>
      </w:pPr>
      <w:r>
        <w:rPr>
          <w:noProof/>
          <w:u w:val="single"/>
        </w:rPr>
        <w:lastRenderedPageBreak/>
        <w:t>Τοπική ανοχή</w:t>
      </w:r>
    </w:p>
    <w:p w14:paraId="797E000F" w14:textId="77777777" w:rsidR="00422F80" w:rsidRPr="00564D92" w:rsidRDefault="001E1647" w:rsidP="00067FBE">
      <w:pPr>
        <w:rPr>
          <w:noProof/>
        </w:rPr>
      </w:pPr>
      <w:r>
        <w:t xml:space="preserve">Δεδομένα </w:t>
      </w:r>
      <w:r>
        <w:rPr>
          <w:i/>
          <w:iCs/>
          <w:noProof/>
        </w:rPr>
        <w:t>που προέκυψαν μέσω προσομοίωσης σ</w:t>
      </w:r>
      <w:r>
        <w:rPr>
          <w:i/>
          <w:iCs/>
          <w:noProof/>
        </w:rPr>
        <w:t xml:space="preserve">ε υπολογιστή (in silico) </w:t>
      </w:r>
      <w:r>
        <w:t>υποδεικνύουν ότι η τριεντίνη διαθέτει ερεθιστικές και ευαισθητοποιητικές ιδιότητες. Στο πλαίσιο δοκιμών μεγιστοποίησης που διενεργήθηκαν σε ινδικά χοιρίδια έχουν αναφερθεί θετικά αποτελέσματα στο δυναμικό ευαισθητοποίησης.</w:t>
      </w:r>
    </w:p>
    <w:p w14:paraId="797E0010" w14:textId="77777777" w:rsidR="00422F80" w:rsidRPr="00564D92" w:rsidRDefault="00422F80" w:rsidP="00067FBE">
      <w:pPr>
        <w:spacing w:line="240" w:lineRule="auto"/>
        <w:rPr>
          <w:noProof/>
        </w:rPr>
      </w:pPr>
    </w:p>
    <w:p w14:paraId="797E0011" w14:textId="77777777" w:rsidR="00422F80" w:rsidRPr="00564D92" w:rsidRDefault="00422F80" w:rsidP="00067FBE">
      <w:pPr>
        <w:spacing w:line="240" w:lineRule="auto"/>
        <w:rPr>
          <w:noProof/>
        </w:rPr>
      </w:pPr>
    </w:p>
    <w:p w14:paraId="797E0012" w14:textId="77777777" w:rsidR="00422F80" w:rsidRPr="00252194" w:rsidRDefault="001E1647" w:rsidP="00067FBE">
      <w:pPr>
        <w:pStyle w:val="ListParagraph"/>
        <w:keepNext/>
        <w:numPr>
          <w:ilvl w:val="0"/>
          <w:numId w:val="28"/>
        </w:numPr>
        <w:spacing w:line="240" w:lineRule="auto"/>
        <w:ind w:hanging="930"/>
        <w:rPr>
          <w:b/>
          <w:bCs/>
        </w:rPr>
      </w:pPr>
      <w:r>
        <w:rPr>
          <w:b/>
          <w:bCs/>
        </w:rPr>
        <w:t>ΦΑΡΜΑΚ</w:t>
      </w:r>
      <w:r>
        <w:rPr>
          <w:b/>
          <w:bCs/>
        </w:rPr>
        <w:t>ΕΥΤΙΚΕΣ ΠΛΗΡΟΦΟΡΙΕΣ</w:t>
      </w:r>
    </w:p>
    <w:p w14:paraId="797E0013" w14:textId="77777777" w:rsidR="00422F80" w:rsidRPr="00564D92" w:rsidRDefault="00422F80" w:rsidP="00067FBE">
      <w:pPr>
        <w:keepNext/>
        <w:spacing w:line="240" w:lineRule="auto"/>
        <w:rPr>
          <w:noProof/>
        </w:rPr>
      </w:pPr>
    </w:p>
    <w:p w14:paraId="797E0014" w14:textId="77777777" w:rsidR="00422F80" w:rsidRPr="00252194" w:rsidRDefault="001E1647" w:rsidP="00067FBE">
      <w:pPr>
        <w:pStyle w:val="ListParagraph"/>
        <w:numPr>
          <w:ilvl w:val="1"/>
          <w:numId w:val="28"/>
        </w:numPr>
        <w:spacing w:line="240" w:lineRule="auto"/>
        <w:ind w:hanging="930"/>
        <w:outlineLvl w:val="0"/>
        <w:rPr>
          <w:b/>
          <w:bCs/>
        </w:rPr>
      </w:pPr>
      <w:r>
        <w:rPr>
          <w:b/>
          <w:bCs/>
        </w:rPr>
        <w:t>Κατάλογος εκδόχων</w:t>
      </w:r>
    </w:p>
    <w:p w14:paraId="797E0015" w14:textId="77777777" w:rsidR="00422F80" w:rsidRPr="00564D92" w:rsidRDefault="00422F80" w:rsidP="00067FBE">
      <w:pPr>
        <w:spacing w:line="240" w:lineRule="auto"/>
        <w:rPr>
          <w:i/>
          <w:iCs/>
          <w:noProof/>
        </w:rPr>
      </w:pPr>
    </w:p>
    <w:p w14:paraId="797E0016" w14:textId="77777777" w:rsidR="00422F80" w:rsidRPr="005F62DB" w:rsidRDefault="001E1647" w:rsidP="00067FBE">
      <w:pPr>
        <w:rPr>
          <w:lang w:val="en-US"/>
        </w:rPr>
      </w:pPr>
      <w:r>
        <w:t>Πυρήνας δισκίου</w:t>
      </w:r>
      <w:r>
        <w:rPr>
          <w:lang w:val="en-US"/>
        </w:rPr>
        <w:t>:</w:t>
      </w:r>
    </w:p>
    <w:p w14:paraId="797E0017" w14:textId="77777777" w:rsidR="00422F80" w:rsidRPr="00564D92" w:rsidRDefault="001E1647" w:rsidP="00067FBE">
      <w:pPr>
        <w:rPr>
          <w:noProof/>
        </w:rPr>
      </w:pPr>
      <w:r>
        <w:t xml:space="preserve">Μαννιτόλη. </w:t>
      </w:r>
    </w:p>
    <w:p w14:paraId="797E0018" w14:textId="77777777" w:rsidR="00422F80" w:rsidRPr="00564D92" w:rsidRDefault="001E1647" w:rsidP="00067FBE">
      <w:pPr>
        <w:rPr>
          <w:noProof/>
        </w:rPr>
      </w:pPr>
      <w:r>
        <w:t>Κολλοειδές άνυδρο πυρίτιο.</w:t>
      </w:r>
    </w:p>
    <w:p w14:paraId="797E0019" w14:textId="77777777" w:rsidR="00422F80" w:rsidRPr="00564D92" w:rsidRDefault="001E1647" w:rsidP="00067FBE">
      <w:pPr>
        <w:rPr>
          <w:noProof/>
        </w:rPr>
      </w:pPr>
      <w:r>
        <w:t>Διβεχενικός εστέρας της γλυκερόλης.</w:t>
      </w:r>
    </w:p>
    <w:p w14:paraId="797E001A" w14:textId="77777777" w:rsidR="00422F80" w:rsidRDefault="00422F80" w:rsidP="00067FBE">
      <w:pPr>
        <w:spacing w:line="240" w:lineRule="auto"/>
        <w:rPr>
          <w:noProof/>
        </w:rPr>
      </w:pPr>
    </w:p>
    <w:p w14:paraId="797E001B" w14:textId="77777777" w:rsidR="00422F80" w:rsidRPr="005F62DB" w:rsidRDefault="001E1647" w:rsidP="00067FBE">
      <w:pPr>
        <w:spacing w:line="240" w:lineRule="auto"/>
        <w:rPr>
          <w:noProof/>
        </w:rPr>
      </w:pPr>
      <w:r>
        <w:rPr>
          <w:noProof/>
        </w:rPr>
        <w:t>Επικάλυψη με λεπτό υμένιο δισκίου</w:t>
      </w:r>
      <w:r w:rsidRPr="005F62DB">
        <w:rPr>
          <w:noProof/>
        </w:rPr>
        <w:t>:</w:t>
      </w:r>
    </w:p>
    <w:p w14:paraId="797E001C" w14:textId="77777777" w:rsidR="00422F80" w:rsidRDefault="001E1647" w:rsidP="005F62DB">
      <w:hyperlink r:id="rId11" w:history="1">
        <w:proofErr w:type="spellStart"/>
        <w:r w:rsidRPr="005F62DB">
          <w:t>Πολυβινυλική</w:t>
        </w:r>
        <w:proofErr w:type="spellEnd"/>
        <w:r w:rsidRPr="005F62DB">
          <w:t xml:space="preserve"> αλκοόλη</w:t>
        </w:r>
      </w:hyperlink>
      <w:r>
        <w:t>.</w:t>
      </w:r>
    </w:p>
    <w:p w14:paraId="797E001D" w14:textId="77777777" w:rsidR="00422F80" w:rsidRDefault="001E1647" w:rsidP="005F62DB">
      <w:r>
        <w:t>Τάλκης.</w:t>
      </w:r>
    </w:p>
    <w:p w14:paraId="797E001E" w14:textId="77777777" w:rsidR="00422F80" w:rsidRDefault="001E1647" w:rsidP="005F62DB">
      <w:pPr>
        <w:rPr>
          <w:rStyle w:val="st"/>
        </w:rPr>
      </w:pPr>
      <w:r>
        <w:rPr>
          <w:rStyle w:val="st"/>
        </w:rPr>
        <w:t>Διοξείδιο του τιτανίου (Ε171).</w:t>
      </w:r>
    </w:p>
    <w:p w14:paraId="797E001F" w14:textId="77777777" w:rsidR="00422F80" w:rsidRPr="005F62DB" w:rsidRDefault="001E1647" w:rsidP="00067FBE">
      <w:pPr>
        <w:rPr>
          <w:noProof/>
        </w:rPr>
      </w:pPr>
      <w:r w:rsidRPr="00940A33">
        <w:rPr>
          <w:noProof/>
          <w:lang w:val="en-US"/>
        </w:rPr>
        <w:t>Glycerolmonocaprylocaprate</w:t>
      </w:r>
      <w:r w:rsidRPr="005F62DB">
        <w:rPr>
          <w:noProof/>
        </w:rPr>
        <w:t xml:space="preserve"> (</w:t>
      </w:r>
      <w:r>
        <w:rPr>
          <w:noProof/>
        </w:rPr>
        <w:t>Τύπου</w:t>
      </w:r>
      <w:r w:rsidRPr="00940A33">
        <w:rPr>
          <w:noProof/>
          <w:lang w:val="en-US"/>
        </w:rPr>
        <w:t>I</w:t>
      </w:r>
      <w:r w:rsidRPr="005F62DB">
        <w:rPr>
          <w:noProof/>
        </w:rPr>
        <w:t>).</w:t>
      </w:r>
    </w:p>
    <w:p w14:paraId="797E0020" w14:textId="77777777" w:rsidR="00422F80" w:rsidRDefault="001E1647" w:rsidP="005F62DB">
      <w:pPr>
        <w:rPr>
          <w:noProof/>
        </w:rPr>
      </w:pPr>
      <w:r w:rsidRPr="005F62DB">
        <w:rPr>
          <w:noProof/>
        </w:rPr>
        <w:t>Κίτρινο οξείδιο του σιδήρου</w:t>
      </w:r>
      <w:r>
        <w:rPr>
          <w:noProof/>
        </w:rPr>
        <w:t xml:space="preserve"> (Ε172).</w:t>
      </w:r>
    </w:p>
    <w:p w14:paraId="797E0021" w14:textId="77777777" w:rsidR="00422F80" w:rsidRPr="005F62DB" w:rsidRDefault="001E1647" w:rsidP="005F62DB">
      <w:pPr>
        <w:rPr>
          <w:noProof/>
        </w:rPr>
      </w:pPr>
      <w:hyperlink r:id="rId12" w:anchor="3995948" w:history="1">
        <w:proofErr w:type="spellStart"/>
        <w:r w:rsidRPr="005F62DB">
          <w:rPr>
            <w:color w:val="0000FF"/>
            <w:u w:val="single"/>
          </w:rPr>
          <w:t>Λαουρυλοθειικό</w:t>
        </w:r>
        <w:proofErr w:type="spellEnd"/>
        <w:r w:rsidRPr="005F62DB">
          <w:rPr>
            <w:color w:val="0000FF"/>
            <w:u w:val="single"/>
          </w:rPr>
          <w:t xml:space="preserve"> νάτριο</w:t>
        </w:r>
      </w:hyperlink>
      <w:r>
        <w:t>.</w:t>
      </w:r>
    </w:p>
    <w:p w14:paraId="797E0022" w14:textId="77777777" w:rsidR="00422F80" w:rsidRPr="005F62DB" w:rsidRDefault="00422F80" w:rsidP="00067FBE">
      <w:pPr>
        <w:spacing w:line="240" w:lineRule="auto"/>
        <w:rPr>
          <w:noProof/>
          <w:lang w:val="en-US"/>
        </w:rPr>
      </w:pPr>
    </w:p>
    <w:p w14:paraId="797E0023" w14:textId="77777777" w:rsidR="00422F80" w:rsidRPr="002C04ED" w:rsidRDefault="001E1647" w:rsidP="00067FBE">
      <w:pPr>
        <w:pStyle w:val="ListParagraph"/>
        <w:numPr>
          <w:ilvl w:val="1"/>
          <w:numId w:val="28"/>
        </w:numPr>
        <w:spacing w:line="240" w:lineRule="auto"/>
        <w:ind w:hanging="930"/>
        <w:outlineLvl w:val="0"/>
        <w:rPr>
          <w:b/>
          <w:bCs/>
        </w:rPr>
      </w:pPr>
      <w:r>
        <w:rPr>
          <w:b/>
          <w:bCs/>
        </w:rPr>
        <w:t>Ασυμβατότητες</w:t>
      </w:r>
    </w:p>
    <w:p w14:paraId="797E0024" w14:textId="77777777" w:rsidR="00422F80" w:rsidRPr="00564D92" w:rsidRDefault="00422F80" w:rsidP="00067FBE">
      <w:pPr>
        <w:spacing w:line="240" w:lineRule="auto"/>
        <w:rPr>
          <w:noProof/>
        </w:rPr>
      </w:pPr>
    </w:p>
    <w:p w14:paraId="797E0025" w14:textId="77777777" w:rsidR="00422F80" w:rsidRPr="00564D92" w:rsidRDefault="001E1647" w:rsidP="00067FBE">
      <w:pPr>
        <w:rPr>
          <w:noProof/>
        </w:rPr>
      </w:pPr>
      <w:r>
        <w:t>Δεν εφαρμόζεται.</w:t>
      </w:r>
    </w:p>
    <w:p w14:paraId="797E0026" w14:textId="77777777" w:rsidR="00422F80" w:rsidRPr="00564D92" w:rsidRDefault="00422F80" w:rsidP="00067FBE">
      <w:pPr>
        <w:spacing w:line="240" w:lineRule="auto"/>
        <w:rPr>
          <w:noProof/>
        </w:rPr>
      </w:pPr>
    </w:p>
    <w:p w14:paraId="797E0027" w14:textId="77777777" w:rsidR="00422F80" w:rsidRPr="002C04ED" w:rsidRDefault="001E1647" w:rsidP="00067FBE">
      <w:pPr>
        <w:pStyle w:val="ListParagraph"/>
        <w:numPr>
          <w:ilvl w:val="1"/>
          <w:numId w:val="28"/>
        </w:numPr>
        <w:spacing w:line="240" w:lineRule="auto"/>
        <w:ind w:hanging="930"/>
        <w:outlineLvl w:val="0"/>
        <w:rPr>
          <w:b/>
          <w:bCs/>
        </w:rPr>
      </w:pPr>
      <w:r>
        <w:rPr>
          <w:b/>
          <w:bCs/>
        </w:rPr>
        <w:t>Διάρκεια ζωής</w:t>
      </w:r>
    </w:p>
    <w:p w14:paraId="797E0028" w14:textId="77777777" w:rsidR="00422F80" w:rsidRPr="00564D92" w:rsidRDefault="00422F80" w:rsidP="00067FBE">
      <w:pPr>
        <w:spacing w:line="240" w:lineRule="auto"/>
        <w:rPr>
          <w:noProof/>
        </w:rPr>
      </w:pPr>
    </w:p>
    <w:p w14:paraId="797E0029" w14:textId="54A8F8BF" w:rsidR="00422F80" w:rsidRPr="00564D92" w:rsidRDefault="001E1647" w:rsidP="00067FBE">
      <w:pPr>
        <w:rPr>
          <w:noProof/>
        </w:rPr>
      </w:pPr>
      <w:r>
        <w:rPr>
          <w:lang w:val="en-GB"/>
        </w:rPr>
        <w:t>30</w:t>
      </w:r>
      <w:r>
        <w:t xml:space="preserve"> μήνες.</w:t>
      </w:r>
    </w:p>
    <w:p w14:paraId="797E002A" w14:textId="77777777" w:rsidR="00422F80" w:rsidRPr="00564D92" w:rsidRDefault="00422F80" w:rsidP="00067FBE">
      <w:pPr>
        <w:spacing w:line="240" w:lineRule="auto"/>
        <w:rPr>
          <w:noProof/>
        </w:rPr>
      </w:pPr>
    </w:p>
    <w:p w14:paraId="797E002B" w14:textId="77777777" w:rsidR="00422F80" w:rsidRPr="00564D92" w:rsidRDefault="001E1647" w:rsidP="00067FBE">
      <w:pPr>
        <w:pStyle w:val="ListParagraph"/>
        <w:numPr>
          <w:ilvl w:val="1"/>
          <w:numId w:val="28"/>
        </w:numPr>
        <w:spacing w:line="240" w:lineRule="auto"/>
        <w:ind w:hanging="930"/>
        <w:outlineLvl w:val="0"/>
        <w:rPr>
          <w:b/>
          <w:bCs/>
        </w:rPr>
      </w:pPr>
      <w:r>
        <w:rPr>
          <w:b/>
          <w:bCs/>
        </w:rPr>
        <w:t xml:space="preserve">Ιδιαίτερες προφυλάξεις κατά τη φύλαξη του </w:t>
      </w:r>
      <w:r>
        <w:rPr>
          <w:b/>
          <w:bCs/>
        </w:rPr>
        <w:t>προϊόντος</w:t>
      </w:r>
    </w:p>
    <w:p w14:paraId="797E002C" w14:textId="77777777" w:rsidR="00422F80" w:rsidRPr="00564D92" w:rsidRDefault="00422F80" w:rsidP="00067FBE">
      <w:pPr>
        <w:rPr>
          <w:noProof/>
        </w:rPr>
      </w:pPr>
    </w:p>
    <w:p w14:paraId="797E002D" w14:textId="77777777" w:rsidR="00422F80" w:rsidRPr="00564D92" w:rsidRDefault="001E1647" w:rsidP="00067FBE">
      <w:r>
        <w:t>Δεν υπάρχουν ειδικές οδηγίες διατήρησης για το προϊόν αυτό.</w:t>
      </w:r>
    </w:p>
    <w:p w14:paraId="797E002E" w14:textId="77777777" w:rsidR="00422F80" w:rsidRPr="00564D92" w:rsidRDefault="00422F80" w:rsidP="00067FBE">
      <w:pPr>
        <w:spacing w:line="240" w:lineRule="auto"/>
        <w:rPr>
          <w:noProof/>
        </w:rPr>
      </w:pPr>
    </w:p>
    <w:p w14:paraId="797E002F" w14:textId="77777777" w:rsidR="00422F80" w:rsidRPr="00564D92" w:rsidRDefault="001E1647" w:rsidP="00067FBE">
      <w:pPr>
        <w:pStyle w:val="ListParagraph"/>
        <w:numPr>
          <w:ilvl w:val="1"/>
          <w:numId w:val="28"/>
        </w:numPr>
        <w:spacing w:line="240" w:lineRule="auto"/>
        <w:ind w:hanging="930"/>
        <w:outlineLvl w:val="0"/>
        <w:rPr>
          <w:b/>
          <w:bCs/>
        </w:rPr>
      </w:pPr>
      <w:r>
        <w:rPr>
          <w:b/>
          <w:bCs/>
        </w:rPr>
        <w:t xml:space="preserve">Φύση και συστατικά του περιέκτη </w:t>
      </w:r>
    </w:p>
    <w:p w14:paraId="797E0030" w14:textId="77777777" w:rsidR="00422F80" w:rsidRPr="00564D92" w:rsidRDefault="00422F80" w:rsidP="00067FBE">
      <w:pPr>
        <w:rPr>
          <w:noProof/>
        </w:rPr>
      </w:pPr>
    </w:p>
    <w:p w14:paraId="797E0031" w14:textId="77777777" w:rsidR="00422F80" w:rsidRPr="000A5224" w:rsidRDefault="001E1647" w:rsidP="00067FBE">
      <w:pPr>
        <w:pStyle w:val="Default"/>
        <w:rPr>
          <w:sz w:val="22"/>
          <w:szCs w:val="22"/>
        </w:rPr>
      </w:pPr>
      <w:r>
        <w:rPr>
          <w:sz w:val="22"/>
          <w:szCs w:val="22"/>
        </w:rPr>
        <w:t xml:space="preserve">Συσκευασίες κυψέλης από προσανατολισμένο πολυαμίδιο (OPA)/αλουμίνιο/πολυβινυλοχλωρίδιο-αλουμίνιο, κάθε συσκευασία κυψέλης περιέχει 8 </w:t>
      </w:r>
      <w:r>
        <w:rPr>
          <w:sz w:val="22"/>
          <w:szCs w:val="22"/>
        </w:rPr>
        <w:t>επικαλυμμένα με λεπτό υμένιο δισκία.</w:t>
      </w:r>
    </w:p>
    <w:p w14:paraId="5CF5A7C3" w14:textId="218F1CBD" w:rsidR="00D24BAB" w:rsidRDefault="001E1647" w:rsidP="00D24BAB">
      <w:r>
        <w:t>Μέγεθος συσκευασίας: 72</w:t>
      </w:r>
      <w:r w:rsidRPr="00BE297D">
        <w:t xml:space="preserve"> </w:t>
      </w:r>
      <w:r>
        <w:t>ή 96 επικαλυμμένα με λεπτό υμένιο δισκία.</w:t>
      </w:r>
    </w:p>
    <w:p w14:paraId="797E0032" w14:textId="0A4E4DB7" w:rsidR="00422F80" w:rsidRPr="00564D92" w:rsidRDefault="001E1647" w:rsidP="00D24BAB">
      <w:pPr>
        <w:rPr>
          <w:noProof/>
        </w:rPr>
      </w:pPr>
      <w:r>
        <w:t>Μπορεί να μην κυκλοφορούν όλες οι συσκευασίες.</w:t>
      </w:r>
    </w:p>
    <w:p w14:paraId="797E0033" w14:textId="77777777" w:rsidR="00422F80" w:rsidRPr="00564D92" w:rsidRDefault="00422F80" w:rsidP="00067FBE">
      <w:pPr>
        <w:spacing w:line="240" w:lineRule="auto"/>
        <w:rPr>
          <w:noProof/>
        </w:rPr>
      </w:pPr>
    </w:p>
    <w:p w14:paraId="797E0034" w14:textId="77777777" w:rsidR="00422F80" w:rsidRPr="004B3C5D" w:rsidRDefault="001E1647" w:rsidP="00067FBE">
      <w:pPr>
        <w:pStyle w:val="ListParagraph"/>
        <w:numPr>
          <w:ilvl w:val="1"/>
          <w:numId w:val="28"/>
        </w:numPr>
        <w:spacing w:line="240" w:lineRule="auto"/>
        <w:ind w:hanging="930"/>
        <w:outlineLvl w:val="0"/>
        <w:rPr>
          <w:b/>
          <w:bCs/>
        </w:rPr>
      </w:pPr>
      <w:bookmarkStart w:id="1" w:name="OLE_LINK1"/>
      <w:r>
        <w:rPr>
          <w:b/>
          <w:bCs/>
        </w:rPr>
        <w:t xml:space="preserve">Ιδιαίτερες προφυλάξεις απόρριψης </w:t>
      </w:r>
    </w:p>
    <w:p w14:paraId="797E0035" w14:textId="77777777" w:rsidR="00422F80" w:rsidRPr="00564D92" w:rsidRDefault="00422F80" w:rsidP="00067FBE">
      <w:pPr>
        <w:spacing w:line="240" w:lineRule="auto"/>
        <w:rPr>
          <w:noProof/>
        </w:rPr>
      </w:pPr>
    </w:p>
    <w:p w14:paraId="797E0036" w14:textId="77777777" w:rsidR="00422F80" w:rsidRPr="00564D92" w:rsidRDefault="001E1647" w:rsidP="00067FBE">
      <w:r>
        <w:t>Καμία ειδική υποχρέωση.</w:t>
      </w:r>
    </w:p>
    <w:p w14:paraId="797E0037" w14:textId="77777777" w:rsidR="00422F80" w:rsidRPr="00564D92" w:rsidRDefault="00422F80" w:rsidP="00067FBE">
      <w:pPr>
        <w:spacing w:line="240" w:lineRule="auto"/>
      </w:pPr>
    </w:p>
    <w:bookmarkEnd w:id="1"/>
    <w:p w14:paraId="797E0038" w14:textId="77777777" w:rsidR="00422F80" w:rsidRPr="00564D92" w:rsidRDefault="00422F80" w:rsidP="00067FBE">
      <w:pPr>
        <w:spacing w:line="240" w:lineRule="auto"/>
        <w:rPr>
          <w:noProof/>
        </w:rPr>
      </w:pPr>
    </w:p>
    <w:p w14:paraId="797E0039" w14:textId="77777777" w:rsidR="00422F80" w:rsidRPr="00F83286" w:rsidRDefault="001E1647" w:rsidP="00067FBE">
      <w:pPr>
        <w:pStyle w:val="ListParagraph"/>
        <w:numPr>
          <w:ilvl w:val="0"/>
          <w:numId w:val="28"/>
        </w:numPr>
        <w:spacing w:line="240" w:lineRule="auto"/>
        <w:ind w:hanging="930"/>
        <w:rPr>
          <w:b/>
          <w:bCs/>
        </w:rPr>
      </w:pPr>
      <w:r>
        <w:rPr>
          <w:b/>
          <w:bCs/>
        </w:rPr>
        <w:t>ΚΑΤΟΧΟΣ ΤΗΣ ΑΔΕΙΑΣ ΚΥΚΛΟΦΟΡΙΑΣ</w:t>
      </w:r>
    </w:p>
    <w:p w14:paraId="797E003A" w14:textId="77777777" w:rsidR="00422F80" w:rsidRPr="00564D92" w:rsidRDefault="00422F80" w:rsidP="00067FBE">
      <w:pPr>
        <w:spacing w:line="240" w:lineRule="auto"/>
        <w:rPr>
          <w:noProof/>
        </w:rPr>
      </w:pPr>
    </w:p>
    <w:p w14:paraId="797E003B" w14:textId="54A6698D" w:rsidR="00422F80" w:rsidRPr="0036776A" w:rsidRDefault="007C397D" w:rsidP="00067FBE">
      <w:proofErr w:type="spellStart"/>
      <w:r>
        <w:t>Orphalan</w:t>
      </w:r>
      <w:proofErr w:type="spellEnd"/>
    </w:p>
    <w:p w14:paraId="67311FC3" w14:textId="77777777" w:rsidR="008A619B" w:rsidRPr="002503BA" w:rsidRDefault="001E1647" w:rsidP="008A619B">
      <w:pPr>
        <w:rPr>
          <w:lang w:val="fr-FR"/>
        </w:rPr>
      </w:pPr>
      <w:r w:rsidRPr="002503BA">
        <w:rPr>
          <w:lang w:val="fr-FR"/>
        </w:rPr>
        <w:t>226 Boulevard Voltaire</w:t>
      </w:r>
    </w:p>
    <w:p w14:paraId="629C6111" w14:textId="77777777" w:rsidR="008A619B" w:rsidRPr="0036776A" w:rsidRDefault="001E1647" w:rsidP="008A619B">
      <w:pPr>
        <w:rPr>
          <w:lang w:val="fr-FR"/>
        </w:rPr>
      </w:pPr>
      <w:r w:rsidRPr="002503BA">
        <w:rPr>
          <w:lang w:val="fr-FR"/>
        </w:rPr>
        <w:t>75011 Paris</w:t>
      </w:r>
    </w:p>
    <w:p w14:paraId="797E003F" w14:textId="77777777" w:rsidR="00422F80" w:rsidRPr="006E6635" w:rsidRDefault="001E1647" w:rsidP="00067FBE">
      <w:r>
        <w:t>Γαλλία</w:t>
      </w:r>
    </w:p>
    <w:p w14:paraId="797E0040" w14:textId="77777777" w:rsidR="00422F80" w:rsidRPr="006E6635" w:rsidRDefault="00422F80" w:rsidP="00067FBE">
      <w:pPr>
        <w:spacing w:line="240" w:lineRule="auto"/>
        <w:rPr>
          <w:noProof/>
        </w:rPr>
      </w:pPr>
    </w:p>
    <w:p w14:paraId="797E0041" w14:textId="77777777" w:rsidR="00422F80" w:rsidRPr="006E6635" w:rsidRDefault="00422F80" w:rsidP="00067FBE">
      <w:pPr>
        <w:spacing w:line="240" w:lineRule="auto"/>
        <w:rPr>
          <w:noProof/>
        </w:rPr>
      </w:pPr>
    </w:p>
    <w:p w14:paraId="797E0042" w14:textId="77777777" w:rsidR="00422F80" w:rsidRPr="005049C9" w:rsidRDefault="001E1647" w:rsidP="00067FBE">
      <w:pPr>
        <w:pStyle w:val="ListParagraph"/>
        <w:numPr>
          <w:ilvl w:val="0"/>
          <w:numId w:val="28"/>
        </w:numPr>
        <w:spacing w:line="240" w:lineRule="auto"/>
        <w:ind w:hanging="930"/>
        <w:rPr>
          <w:b/>
          <w:bCs/>
        </w:rPr>
      </w:pPr>
      <w:r>
        <w:rPr>
          <w:b/>
          <w:bCs/>
        </w:rPr>
        <w:lastRenderedPageBreak/>
        <w:t xml:space="preserve">ΑΡΙΘΜΟΣ(ΟΙ) ΑΔΕΙΑΣ ΚΥΚΛΟΦΟΡΙΑΣ </w:t>
      </w:r>
    </w:p>
    <w:p w14:paraId="797E0043" w14:textId="77777777" w:rsidR="00422F80" w:rsidRDefault="00422F80" w:rsidP="00067FBE">
      <w:pPr>
        <w:spacing w:line="240" w:lineRule="auto"/>
        <w:ind w:left="567" w:hanging="567"/>
        <w:rPr>
          <w:b/>
          <w:bCs/>
          <w:noProof/>
          <w:lang w:val="en-GB"/>
        </w:rPr>
      </w:pPr>
    </w:p>
    <w:p w14:paraId="54C73434" w14:textId="77777777" w:rsidR="00E5145B" w:rsidRPr="00D24BAB" w:rsidRDefault="001E1647" w:rsidP="00E5145B">
      <w:pPr>
        <w:spacing w:line="240" w:lineRule="auto"/>
        <w:rPr>
          <w:color w:val="000000"/>
        </w:rPr>
      </w:pPr>
      <w:r w:rsidRPr="00C34DB7">
        <w:rPr>
          <w:color w:val="000000"/>
        </w:rPr>
        <w:t>EU/1/17/1199/001</w:t>
      </w:r>
      <w:r w:rsidRPr="00BE297D">
        <w:rPr>
          <w:color w:val="000000"/>
        </w:rPr>
        <w:t xml:space="preserve"> </w:t>
      </w:r>
      <w:r w:rsidRPr="00D24BAB">
        <w:rPr>
          <w:color w:val="000000"/>
        </w:rPr>
        <w:t>72 επικαλυμμένα με λεπτό υμένιο δισκία</w:t>
      </w:r>
    </w:p>
    <w:p w14:paraId="797E0044" w14:textId="4CD781A6" w:rsidR="00422F80" w:rsidRDefault="001E1647" w:rsidP="006E0A6E">
      <w:pPr>
        <w:spacing w:line="240" w:lineRule="auto"/>
        <w:rPr>
          <w:color w:val="000000"/>
        </w:rPr>
      </w:pPr>
      <w:r w:rsidRPr="00D24BAB">
        <w:rPr>
          <w:color w:val="000000"/>
        </w:rPr>
        <w:t>EU/1/17/1199/002 96 επικαλυμμένα με λεπτό υμένιο δισκία</w:t>
      </w:r>
    </w:p>
    <w:p w14:paraId="797E0045" w14:textId="77777777" w:rsidR="00422F80" w:rsidRPr="00564D92" w:rsidRDefault="00422F80" w:rsidP="00067FBE">
      <w:pPr>
        <w:spacing w:line="240" w:lineRule="auto"/>
        <w:rPr>
          <w:noProof/>
        </w:rPr>
      </w:pPr>
    </w:p>
    <w:p w14:paraId="797E0046" w14:textId="77777777" w:rsidR="00422F80" w:rsidRPr="005049C9" w:rsidRDefault="001E1647" w:rsidP="00067FBE">
      <w:pPr>
        <w:pStyle w:val="ListParagraph"/>
        <w:numPr>
          <w:ilvl w:val="0"/>
          <w:numId w:val="28"/>
        </w:numPr>
        <w:spacing w:line="240" w:lineRule="auto"/>
        <w:ind w:hanging="930"/>
        <w:rPr>
          <w:b/>
          <w:bCs/>
        </w:rPr>
      </w:pPr>
      <w:r>
        <w:rPr>
          <w:b/>
          <w:bCs/>
        </w:rPr>
        <w:t xml:space="preserve">ΗΜΕΡΟΜΗΝΙΑ ΠΡΩΤΗΣ </w:t>
      </w:r>
      <w:r>
        <w:rPr>
          <w:b/>
          <w:bCs/>
        </w:rPr>
        <w:t>ΕΓΚΡΙΣΗΣ/ΑΝΑΝΕΩΣΗΣ ΤΗΣ ΑΔΕΙΑΣ</w:t>
      </w:r>
    </w:p>
    <w:p w14:paraId="797E0047" w14:textId="77777777" w:rsidR="00422F80" w:rsidRPr="00564D92" w:rsidRDefault="00422F80" w:rsidP="00067FBE">
      <w:pPr>
        <w:spacing w:line="240" w:lineRule="auto"/>
        <w:rPr>
          <w:i/>
          <w:iCs/>
          <w:noProof/>
        </w:rPr>
      </w:pPr>
    </w:p>
    <w:p w14:paraId="797E0048" w14:textId="77777777" w:rsidR="00422F80" w:rsidRPr="00564D92" w:rsidRDefault="001E1647" w:rsidP="00067FBE">
      <w:pPr>
        <w:spacing w:line="240" w:lineRule="auto"/>
        <w:rPr>
          <w:i/>
          <w:iCs/>
          <w:noProof/>
        </w:rPr>
      </w:pPr>
      <w:r>
        <w:t xml:space="preserve">Ημερομηνία πρώτης έγκρισης: </w:t>
      </w:r>
      <w:r w:rsidRPr="00F82CEB">
        <w:t>5 Σεπτεμβρίου 2017</w:t>
      </w:r>
    </w:p>
    <w:p w14:paraId="797E0049" w14:textId="77777777" w:rsidR="00422F80" w:rsidRPr="00564D92" w:rsidRDefault="00422F80" w:rsidP="00067FBE">
      <w:pPr>
        <w:spacing w:line="240" w:lineRule="auto"/>
        <w:rPr>
          <w:noProof/>
        </w:rPr>
      </w:pPr>
    </w:p>
    <w:p w14:paraId="797E004A" w14:textId="77777777" w:rsidR="00422F80" w:rsidRPr="00564D92" w:rsidRDefault="00422F80" w:rsidP="00067FBE">
      <w:pPr>
        <w:spacing w:line="240" w:lineRule="auto"/>
        <w:rPr>
          <w:noProof/>
        </w:rPr>
      </w:pPr>
    </w:p>
    <w:p w14:paraId="797E004B" w14:textId="77777777" w:rsidR="00422F80" w:rsidRPr="00C31185" w:rsidRDefault="001E1647" w:rsidP="00067FBE">
      <w:pPr>
        <w:pStyle w:val="ListParagraph"/>
        <w:numPr>
          <w:ilvl w:val="0"/>
          <w:numId w:val="28"/>
        </w:numPr>
        <w:spacing w:line="240" w:lineRule="auto"/>
        <w:ind w:hanging="930"/>
        <w:rPr>
          <w:b/>
          <w:bCs/>
        </w:rPr>
      </w:pPr>
      <w:r>
        <w:rPr>
          <w:b/>
          <w:bCs/>
        </w:rPr>
        <w:t>ΗΜΕΡΟΜΗΝΙΑ ΑΝΑΘΕΩΡΗΣΗΣ ΤΟΥ ΚΕΙΜΕΝΟΥ</w:t>
      </w:r>
    </w:p>
    <w:p w14:paraId="797E004C" w14:textId="77777777" w:rsidR="00422F80" w:rsidRPr="00564D92" w:rsidRDefault="00422F80" w:rsidP="00067FBE">
      <w:pPr>
        <w:spacing w:line="240" w:lineRule="auto"/>
        <w:rPr>
          <w:noProof/>
        </w:rPr>
      </w:pPr>
    </w:p>
    <w:p w14:paraId="797E004D" w14:textId="77777777" w:rsidR="00422F80" w:rsidRPr="00564D92" w:rsidRDefault="00422F80" w:rsidP="00067FBE">
      <w:pPr>
        <w:numPr>
          <w:ilvl w:val="12"/>
          <w:numId w:val="0"/>
        </w:numPr>
        <w:tabs>
          <w:tab w:val="clear" w:pos="567"/>
          <w:tab w:val="left" w:pos="1004"/>
        </w:tabs>
        <w:spacing w:line="240" w:lineRule="auto"/>
        <w:ind w:right="-2"/>
      </w:pPr>
    </w:p>
    <w:p w14:paraId="797E004E" w14:textId="77777777" w:rsidR="00422F80" w:rsidRPr="00564D92" w:rsidRDefault="001E1647" w:rsidP="00067FBE">
      <w:pPr>
        <w:numPr>
          <w:ilvl w:val="12"/>
          <w:numId w:val="0"/>
        </w:numPr>
        <w:spacing w:line="240" w:lineRule="auto"/>
        <w:ind w:right="-2"/>
        <w:rPr>
          <w:noProof/>
        </w:rPr>
      </w:pPr>
      <w:r>
        <w:t xml:space="preserve">Λεπτομερείς πληροφορίες για το παρόν φαρμακευτικό προϊόν είναι διαθέσιμες στον δικτυακό τόπο του Ευρωπαϊκού Οργανισμού Φαρμάκων </w:t>
      </w:r>
      <w:hyperlink r:id="rId13" w:history="1">
        <w:r>
          <w:rPr>
            <w:rStyle w:val="Hyperlink"/>
            <w:noProof/>
          </w:rPr>
          <w:t>http://www.ema.europa.eu</w:t>
        </w:r>
      </w:hyperlink>
      <w:r>
        <w:t>.</w:t>
      </w:r>
    </w:p>
    <w:p w14:paraId="797E004F" w14:textId="77777777" w:rsidR="00422F80" w:rsidRPr="00564D92" w:rsidRDefault="00422F80" w:rsidP="00067FBE">
      <w:pPr>
        <w:numPr>
          <w:ilvl w:val="12"/>
          <w:numId w:val="0"/>
        </w:numPr>
        <w:spacing w:line="240" w:lineRule="auto"/>
        <w:ind w:right="-2"/>
        <w:rPr>
          <w:noProof/>
        </w:rPr>
      </w:pPr>
    </w:p>
    <w:p w14:paraId="797E0050" w14:textId="77777777" w:rsidR="00422F80" w:rsidRPr="0040295B" w:rsidRDefault="001E1647" w:rsidP="00067FBE">
      <w:pPr>
        <w:widowControl w:val="0"/>
        <w:autoSpaceDE w:val="0"/>
        <w:autoSpaceDN w:val="0"/>
        <w:adjustRightInd w:val="0"/>
        <w:ind w:left="127" w:right="120"/>
        <w:rPr>
          <w:color w:val="000000"/>
        </w:rPr>
      </w:pPr>
      <w:r>
        <w:br w:type="page"/>
      </w:r>
    </w:p>
    <w:p w14:paraId="797E0051" w14:textId="77777777" w:rsidR="00422F80" w:rsidRPr="0040295B" w:rsidRDefault="00422F80" w:rsidP="00067FBE">
      <w:pPr>
        <w:widowControl w:val="0"/>
        <w:autoSpaceDE w:val="0"/>
        <w:autoSpaceDN w:val="0"/>
        <w:adjustRightInd w:val="0"/>
        <w:ind w:left="127" w:right="120"/>
        <w:rPr>
          <w:color w:val="000000"/>
        </w:rPr>
      </w:pPr>
    </w:p>
    <w:p w14:paraId="797E0052" w14:textId="77777777" w:rsidR="00422F80" w:rsidRPr="0040295B" w:rsidRDefault="00422F80" w:rsidP="00067FBE">
      <w:pPr>
        <w:widowControl w:val="0"/>
        <w:autoSpaceDE w:val="0"/>
        <w:autoSpaceDN w:val="0"/>
        <w:adjustRightInd w:val="0"/>
        <w:ind w:left="127" w:right="120"/>
        <w:rPr>
          <w:color w:val="000000"/>
        </w:rPr>
      </w:pPr>
    </w:p>
    <w:p w14:paraId="797E0053" w14:textId="77777777" w:rsidR="00422F80" w:rsidRPr="0040295B" w:rsidRDefault="00422F80" w:rsidP="00067FBE">
      <w:pPr>
        <w:widowControl w:val="0"/>
        <w:autoSpaceDE w:val="0"/>
        <w:autoSpaceDN w:val="0"/>
        <w:adjustRightInd w:val="0"/>
        <w:ind w:left="127" w:right="120"/>
        <w:rPr>
          <w:color w:val="000000"/>
        </w:rPr>
      </w:pPr>
    </w:p>
    <w:p w14:paraId="797E0054" w14:textId="77777777" w:rsidR="00422F80" w:rsidRPr="0040295B" w:rsidRDefault="00422F80" w:rsidP="00067FBE">
      <w:pPr>
        <w:widowControl w:val="0"/>
        <w:autoSpaceDE w:val="0"/>
        <w:autoSpaceDN w:val="0"/>
        <w:adjustRightInd w:val="0"/>
        <w:ind w:left="127" w:right="120"/>
        <w:rPr>
          <w:color w:val="000000"/>
        </w:rPr>
      </w:pPr>
    </w:p>
    <w:p w14:paraId="797E0055" w14:textId="77777777" w:rsidR="00422F80" w:rsidRPr="0040295B" w:rsidRDefault="00422F80" w:rsidP="00067FBE">
      <w:pPr>
        <w:widowControl w:val="0"/>
        <w:autoSpaceDE w:val="0"/>
        <w:autoSpaceDN w:val="0"/>
        <w:adjustRightInd w:val="0"/>
        <w:ind w:left="127" w:right="120"/>
        <w:rPr>
          <w:color w:val="000000"/>
        </w:rPr>
      </w:pPr>
    </w:p>
    <w:p w14:paraId="797E0056" w14:textId="77777777" w:rsidR="00422F80" w:rsidRPr="0040295B" w:rsidRDefault="00422F80" w:rsidP="00067FBE">
      <w:pPr>
        <w:widowControl w:val="0"/>
        <w:autoSpaceDE w:val="0"/>
        <w:autoSpaceDN w:val="0"/>
        <w:adjustRightInd w:val="0"/>
        <w:ind w:left="127" w:right="120"/>
        <w:rPr>
          <w:color w:val="000000"/>
        </w:rPr>
      </w:pPr>
    </w:p>
    <w:p w14:paraId="797E0057" w14:textId="77777777" w:rsidR="00422F80" w:rsidRPr="0040295B" w:rsidRDefault="00422F80" w:rsidP="00067FBE">
      <w:pPr>
        <w:widowControl w:val="0"/>
        <w:autoSpaceDE w:val="0"/>
        <w:autoSpaceDN w:val="0"/>
        <w:adjustRightInd w:val="0"/>
        <w:ind w:left="127" w:right="120"/>
        <w:rPr>
          <w:color w:val="000000"/>
        </w:rPr>
      </w:pPr>
    </w:p>
    <w:p w14:paraId="797E0058" w14:textId="77777777" w:rsidR="00422F80" w:rsidRPr="0040295B" w:rsidRDefault="00422F80" w:rsidP="00067FBE">
      <w:pPr>
        <w:widowControl w:val="0"/>
        <w:autoSpaceDE w:val="0"/>
        <w:autoSpaceDN w:val="0"/>
        <w:adjustRightInd w:val="0"/>
        <w:ind w:left="127" w:right="120"/>
        <w:rPr>
          <w:color w:val="000000"/>
        </w:rPr>
      </w:pPr>
    </w:p>
    <w:p w14:paraId="797E0059" w14:textId="77777777" w:rsidR="00422F80" w:rsidRPr="0040295B" w:rsidRDefault="00422F80" w:rsidP="00067FBE">
      <w:pPr>
        <w:widowControl w:val="0"/>
        <w:autoSpaceDE w:val="0"/>
        <w:autoSpaceDN w:val="0"/>
        <w:adjustRightInd w:val="0"/>
        <w:ind w:left="127" w:right="120"/>
        <w:rPr>
          <w:color w:val="000000"/>
        </w:rPr>
      </w:pPr>
    </w:p>
    <w:p w14:paraId="797E005A" w14:textId="77777777" w:rsidR="00422F80" w:rsidRPr="0040295B" w:rsidRDefault="00422F80" w:rsidP="00067FBE">
      <w:pPr>
        <w:widowControl w:val="0"/>
        <w:autoSpaceDE w:val="0"/>
        <w:autoSpaceDN w:val="0"/>
        <w:adjustRightInd w:val="0"/>
        <w:ind w:left="127" w:right="120"/>
        <w:rPr>
          <w:color w:val="000000"/>
        </w:rPr>
      </w:pPr>
    </w:p>
    <w:p w14:paraId="797E005B" w14:textId="77777777" w:rsidR="00422F80" w:rsidRPr="0040295B" w:rsidRDefault="00422F80" w:rsidP="00067FBE">
      <w:pPr>
        <w:widowControl w:val="0"/>
        <w:autoSpaceDE w:val="0"/>
        <w:autoSpaceDN w:val="0"/>
        <w:adjustRightInd w:val="0"/>
        <w:ind w:left="127" w:right="120"/>
        <w:rPr>
          <w:color w:val="000000"/>
        </w:rPr>
      </w:pPr>
    </w:p>
    <w:p w14:paraId="797E005C" w14:textId="77777777" w:rsidR="00422F80" w:rsidRPr="0040295B" w:rsidRDefault="00422F80" w:rsidP="00067FBE">
      <w:pPr>
        <w:widowControl w:val="0"/>
        <w:autoSpaceDE w:val="0"/>
        <w:autoSpaceDN w:val="0"/>
        <w:adjustRightInd w:val="0"/>
        <w:ind w:left="127" w:right="120"/>
        <w:rPr>
          <w:color w:val="000000"/>
        </w:rPr>
      </w:pPr>
    </w:p>
    <w:p w14:paraId="797E005D" w14:textId="77777777" w:rsidR="00422F80" w:rsidRPr="0040295B" w:rsidRDefault="00422F80" w:rsidP="00067FBE">
      <w:pPr>
        <w:widowControl w:val="0"/>
        <w:autoSpaceDE w:val="0"/>
        <w:autoSpaceDN w:val="0"/>
        <w:adjustRightInd w:val="0"/>
        <w:ind w:left="127" w:right="120"/>
        <w:rPr>
          <w:color w:val="000000"/>
        </w:rPr>
      </w:pPr>
    </w:p>
    <w:p w14:paraId="797E005E" w14:textId="77777777" w:rsidR="00422F80" w:rsidRPr="0040295B" w:rsidRDefault="00422F80" w:rsidP="00067FBE">
      <w:pPr>
        <w:widowControl w:val="0"/>
        <w:autoSpaceDE w:val="0"/>
        <w:autoSpaceDN w:val="0"/>
        <w:adjustRightInd w:val="0"/>
        <w:ind w:left="127" w:right="120"/>
        <w:rPr>
          <w:color w:val="000000"/>
        </w:rPr>
      </w:pPr>
    </w:p>
    <w:p w14:paraId="797E005F" w14:textId="77777777" w:rsidR="00422F80" w:rsidRPr="0040295B" w:rsidRDefault="00422F80" w:rsidP="00067FBE">
      <w:pPr>
        <w:widowControl w:val="0"/>
        <w:autoSpaceDE w:val="0"/>
        <w:autoSpaceDN w:val="0"/>
        <w:adjustRightInd w:val="0"/>
        <w:ind w:left="127" w:right="120"/>
        <w:rPr>
          <w:color w:val="000000"/>
        </w:rPr>
      </w:pPr>
    </w:p>
    <w:p w14:paraId="797E0060" w14:textId="77777777" w:rsidR="00422F80" w:rsidRPr="0040295B" w:rsidRDefault="00422F80" w:rsidP="00067FBE">
      <w:pPr>
        <w:widowControl w:val="0"/>
        <w:autoSpaceDE w:val="0"/>
        <w:autoSpaceDN w:val="0"/>
        <w:adjustRightInd w:val="0"/>
        <w:ind w:left="127" w:right="120"/>
        <w:rPr>
          <w:color w:val="000000"/>
        </w:rPr>
      </w:pPr>
    </w:p>
    <w:p w14:paraId="797E0061" w14:textId="77777777" w:rsidR="00422F80" w:rsidRPr="0040295B" w:rsidRDefault="00422F80" w:rsidP="00067FBE">
      <w:pPr>
        <w:widowControl w:val="0"/>
        <w:autoSpaceDE w:val="0"/>
        <w:autoSpaceDN w:val="0"/>
        <w:adjustRightInd w:val="0"/>
        <w:ind w:left="127" w:right="120"/>
        <w:rPr>
          <w:color w:val="000000"/>
        </w:rPr>
      </w:pPr>
    </w:p>
    <w:p w14:paraId="797E0062" w14:textId="77777777" w:rsidR="00422F80" w:rsidRPr="0040295B" w:rsidRDefault="001E1647" w:rsidP="00067FBE">
      <w:pPr>
        <w:keepNext/>
        <w:widowControl w:val="0"/>
        <w:autoSpaceDE w:val="0"/>
        <w:autoSpaceDN w:val="0"/>
        <w:adjustRightInd w:val="0"/>
        <w:spacing w:before="280" w:after="220"/>
        <w:ind w:left="127" w:right="120"/>
        <w:jc w:val="center"/>
        <w:rPr>
          <w:b/>
          <w:bCs/>
          <w:color w:val="000000"/>
        </w:rPr>
      </w:pPr>
      <w:r>
        <w:rPr>
          <w:b/>
          <w:bCs/>
          <w:color w:val="000000"/>
        </w:rPr>
        <w:t>ΠΑΡΑΡΤΗΜΑ ΙΙ</w:t>
      </w:r>
    </w:p>
    <w:p w14:paraId="797E0063" w14:textId="77777777" w:rsidR="00422F80" w:rsidRPr="0040295B" w:rsidRDefault="00422F80" w:rsidP="00067FBE">
      <w:pPr>
        <w:widowControl w:val="0"/>
        <w:autoSpaceDE w:val="0"/>
        <w:autoSpaceDN w:val="0"/>
        <w:adjustRightInd w:val="0"/>
        <w:ind w:left="127" w:right="120"/>
        <w:rPr>
          <w:color w:val="000000"/>
        </w:rPr>
      </w:pPr>
    </w:p>
    <w:p w14:paraId="797E0064" w14:textId="77777777" w:rsidR="00422F80" w:rsidRPr="003240D9" w:rsidRDefault="001E1647" w:rsidP="00067FBE">
      <w:pPr>
        <w:pStyle w:val="ListParagraph"/>
        <w:keepNext/>
        <w:widowControl w:val="0"/>
        <w:numPr>
          <w:ilvl w:val="0"/>
          <w:numId w:val="29"/>
        </w:numPr>
        <w:autoSpaceDE w:val="0"/>
        <w:autoSpaceDN w:val="0"/>
        <w:adjustRightInd w:val="0"/>
        <w:spacing w:before="280"/>
        <w:ind w:right="120"/>
        <w:rPr>
          <w:b/>
          <w:bCs/>
          <w:color w:val="000000"/>
        </w:rPr>
      </w:pPr>
      <w:r>
        <w:rPr>
          <w:b/>
          <w:bCs/>
          <w:color w:val="000000"/>
        </w:rPr>
        <w:t xml:space="preserve">ΠΑΡΑΣΚΕΥΑΣΤΗΣ(ΕΣ) ΥΠΕΥΘΥΝΟΣ(ΟΙ) ΓΙΑ ΤΗΝ ΑΠΟΔΕΣΜΕΥΣΗ ΤΩΝ ΠΑΡΤΙΔΩΝ </w:t>
      </w:r>
    </w:p>
    <w:p w14:paraId="797E0065" w14:textId="77777777" w:rsidR="00422F80" w:rsidRPr="00FF1FCF" w:rsidRDefault="001E1647" w:rsidP="00067FBE">
      <w:pPr>
        <w:keepNext/>
        <w:widowControl w:val="0"/>
        <w:autoSpaceDE w:val="0"/>
        <w:autoSpaceDN w:val="0"/>
        <w:adjustRightInd w:val="0"/>
        <w:spacing w:before="280" w:after="220"/>
        <w:ind w:left="127" w:right="119"/>
        <w:rPr>
          <w:b/>
          <w:bCs/>
          <w:color w:val="000000"/>
        </w:rPr>
      </w:pPr>
      <w:r>
        <w:rPr>
          <w:b/>
          <w:bCs/>
          <w:color w:val="000000"/>
        </w:rPr>
        <w:t xml:space="preserve">Β. </w:t>
      </w:r>
      <w:r w:rsidRPr="00FF1FCF">
        <w:rPr>
          <w:b/>
          <w:bCs/>
          <w:color w:val="000000"/>
        </w:rPr>
        <w:t>ΟΡΟΙ Ή ΠΕΡΙΟΡΙΣΜΟΙ ΣΧΕΤΙΚΑ ΜΕ ΤΗ ΔΙΑΘΕΣΗ ΚΑΙ ΤΗ ΧΡΗΣΗ</w:t>
      </w:r>
    </w:p>
    <w:p w14:paraId="797E0066" w14:textId="77777777" w:rsidR="00422F80" w:rsidRPr="0040295B" w:rsidRDefault="00422F80" w:rsidP="00067FBE">
      <w:pPr>
        <w:widowControl w:val="0"/>
        <w:autoSpaceDE w:val="0"/>
        <w:autoSpaceDN w:val="0"/>
        <w:adjustRightInd w:val="0"/>
        <w:ind w:left="127" w:right="120"/>
        <w:rPr>
          <w:color w:val="000000"/>
        </w:rPr>
      </w:pPr>
    </w:p>
    <w:p w14:paraId="797E0067" w14:textId="77777777" w:rsidR="00422F80" w:rsidRPr="00FF1FCF" w:rsidRDefault="001E1647" w:rsidP="00067FBE">
      <w:pPr>
        <w:keepNext/>
        <w:widowControl w:val="0"/>
        <w:autoSpaceDE w:val="0"/>
        <w:autoSpaceDN w:val="0"/>
        <w:adjustRightInd w:val="0"/>
        <w:ind w:left="127" w:right="120"/>
        <w:rPr>
          <w:b/>
          <w:bCs/>
          <w:color w:val="000000"/>
        </w:rPr>
      </w:pPr>
      <w:r>
        <w:rPr>
          <w:b/>
          <w:bCs/>
          <w:color w:val="000000"/>
        </w:rPr>
        <w:t xml:space="preserve">Γ. </w:t>
      </w:r>
      <w:r w:rsidRPr="00FF1FCF">
        <w:rPr>
          <w:b/>
          <w:bCs/>
          <w:color w:val="000000"/>
        </w:rPr>
        <w:t>ΑΛΛΟΙ ΟΡΟΙ ΚΑΙ ΑΠΑΙΤΗΣΕΙΣ ΤΗΣ ΑΔΕΙΑΣ ΚΥΚΛΟΦΟΡΙΑΣ</w:t>
      </w:r>
    </w:p>
    <w:p w14:paraId="797E0068" w14:textId="77777777" w:rsidR="00422F80" w:rsidRPr="0040295B" w:rsidRDefault="00422F80" w:rsidP="00067FBE">
      <w:pPr>
        <w:widowControl w:val="0"/>
        <w:autoSpaceDE w:val="0"/>
        <w:autoSpaceDN w:val="0"/>
        <w:adjustRightInd w:val="0"/>
        <w:ind w:left="127" w:right="120"/>
        <w:rPr>
          <w:color w:val="000000"/>
        </w:rPr>
      </w:pPr>
    </w:p>
    <w:p w14:paraId="797E0069" w14:textId="77777777" w:rsidR="00422F80" w:rsidRPr="00FF1FCF" w:rsidRDefault="001E1647" w:rsidP="00067FBE">
      <w:pPr>
        <w:keepNext/>
        <w:widowControl w:val="0"/>
        <w:autoSpaceDE w:val="0"/>
        <w:autoSpaceDN w:val="0"/>
        <w:adjustRightInd w:val="0"/>
        <w:ind w:left="127" w:right="120"/>
        <w:rPr>
          <w:b/>
          <w:bCs/>
          <w:color w:val="000000"/>
        </w:rPr>
      </w:pPr>
      <w:r>
        <w:rPr>
          <w:b/>
          <w:bCs/>
          <w:color w:val="000000"/>
        </w:rPr>
        <w:t xml:space="preserve">Δ. </w:t>
      </w:r>
      <w:r w:rsidRPr="00FF1FCF">
        <w:rPr>
          <w:b/>
          <w:bCs/>
          <w:color w:val="000000"/>
        </w:rPr>
        <w:t xml:space="preserve">ΟΡΟΙ Ή ΠΕΡΙΟΡΙΣΜΟΙ ΣΧΕΤΙΚΑ ΜΕ ΤΗΝ ΑΣΦΑΛΗ ΚΑΙ ΑΠΟΤΕΛΕΣΜΑΤΙΚΗ ΧΡΗΣΗ ΤΟΥ </w:t>
      </w:r>
      <w:r w:rsidRPr="00FF1FCF">
        <w:rPr>
          <w:b/>
          <w:bCs/>
          <w:color w:val="000000"/>
        </w:rPr>
        <w:t>ΦΑΡΜΑΚΕΥΤΙΚΟΥ ΠΡΟΪΟΝΤΟΣ</w:t>
      </w:r>
    </w:p>
    <w:p w14:paraId="797E006A" w14:textId="77777777" w:rsidR="00422F80" w:rsidRPr="0040295B" w:rsidRDefault="00422F80" w:rsidP="00067FBE">
      <w:pPr>
        <w:widowControl w:val="0"/>
        <w:autoSpaceDE w:val="0"/>
        <w:autoSpaceDN w:val="0"/>
        <w:adjustRightInd w:val="0"/>
        <w:ind w:left="127" w:right="120"/>
        <w:rPr>
          <w:color w:val="000000"/>
        </w:rPr>
      </w:pPr>
    </w:p>
    <w:p w14:paraId="797E006B" w14:textId="77777777" w:rsidR="00422F80" w:rsidRPr="0040295B" w:rsidRDefault="00422F80" w:rsidP="00067FBE">
      <w:pPr>
        <w:keepNext/>
        <w:widowControl w:val="0"/>
        <w:autoSpaceDE w:val="0"/>
        <w:autoSpaceDN w:val="0"/>
        <w:adjustRightInd w:val="0"/>
        <w:spacing w:before="280"/>
        <w:ind w:left="127" w:right="120"/>
        <w:rPr>
          <w:color w:val="000000"/>
        </w:rPr>
      </w:pPr>
    </w:p>
    <w:p w14:paraId="797E006C" w14:textId="77777777" w:rsidR="00422F80" w:rsidRPr="00BD0959" w:rsidRDefault="001E1647" w:rsidP="00067FBE">
      <w:pPr>
        <w:pStyle w:val="ListParagraph"/>
        <w:keepNext/>
        <w:widowControl w:val="0"/>
        <w:numPr>
          <w:ilvl w:val="0"/>
          <w:numId w:val="30"/>
        </w:numPr>
        <w:autoSpaceDE w:val="0"/>
        <w:autoSpaceDN w:val="0"/>
        <w:adjustRightInd w:val="0"/>
        <w:spacing w:before="280" w:after="220"/>
        <w:ind w:right="120"/>
        <w:rPr>
          <w:b/>
          <w:bCs/>
          <w:color w:val="000000"/>
        </w:rPr>
      </w:pPr>
      <w:r>
        <w:br w:type="page"/>
      </w:r>
      <w:r>
        <w:rPr>
          <w:b/>
          <w:bCs/>
          <w:color w:val="000000"/>
        </w:rPr>
        <w:lastRenderedPageBreak/>
        <w:t>ΠΑΡΑΣΚΕΥΑΣΤΗΣ(ΕΣ) ΥΠΕΥΘΥΝΟΣ(ΟΙ) ΓΙΑ ΤΗΝ ΑΠΟΔΕΣΜΕΥΣΗ ΤΩΝ ΠΑΡΤΙΔΩΝ</w:t>
      </w:r>
    </w:p>
    <w:p w14:paraId="797E006D" w14:textId="77777777" w:rsidR="00422F80" w:rsidRPr="0040295B" w:rsidRDefault="001E1647" w:rsidP="00067FBE">
      <w:pPr>
        <w:widowControl w:val="0"/>
        <w:autoSpaceDE w:val="0"/>
        <w:autoSpaceDN w:val="0"/>
        <w:adjustRightInd w:val="0"/>
        <w:spacing w:after="140" w:line="280" w:lineRule="atLeast"/>
        <w:ind w:left="127" w:right="120"/>
        <w:rPr>
          <w:color w:val="000000"/>
          <w:u w:val="single"/>
        </w:rPr>
      </w:pPr>
      <w:r>
        <w:rPr>
          <w:color w:val="000000"/>
          <w:u w:val="single"/>
        </w:rPr>
        <w:t>Όνομα και διεύθυνση του(των) παρασκευαστή(ών) που είναι υπεύθυνος(οι) για την αποδέσμευση των παρτίδων</w:t>
      </w:r>
    </w:p>
    <w:p w14:paraId="797E006E" w14:textId="77777777" w:rsidR="00422F80" w:rsidRPr="00BC4B8B" w:rsidRDefault="00422F80" w:rsidP="00067FBE">
      <w:pPr>
        <w:widowControl w:val="0"/>
        <w:autoSpaceDE w:val="0"/>
        <w:autoSpaceDN w:val="0"/>
        <w:adjustRightInd w:val="0"/>
        <w:spacing w:after="140" w:line="280" w:lineRule="atLeast"/>
        <w:ind w:left="127" w:right="120"/>
        <w:rPr>
          <w:color w:val="000000"/>
        </w:rPr>
      </w:pPr>
    </w:p>
    <w:p w14:paraId="797E006F" w14:textId="77777777" w:rsidR="00422F80" w:rsidRPr="00FF1FCF" w:rsidRDefault="001E1647" w:rsidP="00067FBE">
      <w:pPr>
        <w:widowControl w:val="0"/>
        <w:autoSpaceDE w:val="0"/>
        <w:autoSpaceDN w:val="0"/>
        <w:adjustRightInd w:val="0"/>
        <w:ind w:left="127" w:right="120"/>
        <w:rPr>
          <w:color w:val="000000"/>
          <w:lang w:val="fr-LU"/>
        </w:rPr>
      </w:pPr>
      <w:r w:rsidRPr="00FF1FCF">
        <w:rPr>
          <w:color w:val="000000"/>
          <w:lang w:val="fr-LU"/>
        </w:rPr>
        <w:t>DELPHARM EVREUX</w:t>
      </w:r>
      <w:r w:rsidRPr="00FF1FCF">
        <w:rPr>
          <w:color w:val="000000"/>
          <w:lang w:val="fr-LU"/>
        </w:rPr>
        <w:br/>
        <w:t>5 rue du Guesclin</w:t>
      </w:r>
      <w:r w:rsidRPr="00FF1FCF">
        <w:rPr>
          <w:color w:val="000000"/>
          <w:lang w:val="fr-LU"/>
        </w:rPr>
        <w:br/>
        <w:t>27000 Evreux</w:t>
      </w:r>
      <w:r w:rsidRPr="00FF1FCF">
        <w:rPr>
          <w:color w:val="000000"/>
          <w:lang w:val="fr-LU"/>
        </w:rPr>
        <w:br/>
      </w:r>
      <w:r>
        <w:rPr>
          <w:color w:val="000000"/>
        </w:rPr>
        <w:t>Γαλλία</w:t>
      </w:r>
    </w:p>
    <w:p w14:paraId="797E0070" w14:textId="77777777" w:rsidR="00422F80" w:rsidRPr="00BD0959" w:rsidRDefault="001E1647" w:rsidP="00067FBE">
      <w:pPr>
        <w:pStyle w:val="ListParagraph"/>
        <w:keepNext/>
        <w:widowControl w:val="0"/>
        <w:numPr>
          <w:ilvl w:val="0"/>
          <w:numId w:val="30"/>
        </w:numPr>
        <w:autoSpaceDE w:val="0"/>
        <w:autoSpaceDN w:val="0"/>
        <w:adjustRightInd w:val="0"/>
        <w:spacing w:before="280" w:after="220"/>
        <w:ind w:right="120"/>
        <w:rPr>
          <w:b/>
          <w:bCs/>
          <w:color w:val="000000"/>
        </w:rPr>
      </w:pPr>
      <w:r>
        <w:rPr>
          <w:b/>
          <w:bCs/>
          <w:color w:val="000000"/>
        </w:rPr>
        <w:t>ΟΡΟΙ Ή ΠΕΡΙΟΡΙΣΜΟΙ ΣΧΕΤΙΚΑ ΜΕ ΤΗ ΔΙΑΘΕΣΗ ΚΑΙ ΤΗ ΧΡΗΣΗ</w:t>
      </w:r>
    </w:p>
    <w:p w14:paraId="797E0071" w14:textId="77777777" w:rsidR="00422F80" w:rsidRPr="0040295B" w:rsidRDefault="001E1647" w:rsidP="00067FBE">
      <w:pPr>
        <w:widowControl w:val="0"/>
        <w:autoSpaceDE w:val="0"/>
        <w:autoSpaceDN w:val="0"/>
        <w:adjustRightInd w:val="0"/>
        <w:spacing w:line="280" w:lineRule="exact"/>
        <w:ind w:left="127" w:right="120"/>
        <w:rPr>
          <w:color w:val="000000"/>
        </w:rPr>
      </w:pPr>
      <w:r>
        <w:rPr>
          <w:color w:val="000000"/>
        </w:rPr>
        <w:t>Φαρμακευτικό προϊόν για το οποίο απαιτείται περιορισμένη ιατρική συνταγή (βλ. παράρτημα Ι: Περίληψη των Χαρακτηριστικών του Προϊόντος, παράγραφος 4.2).</w:t>
      </w:r>
    </w:p>
    <w:p w14:paraId="797E0072" w14:textId="77777777" w:rsidR="00422F80" w:rsidRPr="00BC4B8B" w:rsidRDefault="00422F80" w:rsidP="00067FBE">
      <w:pPr>
        <w:widowControl w:val="0"/>
        <w:autoSpaceDE w:val="0"/>
        <w:autoSpaceDN w:val="0"/>
        <w:adjustRightInd w:val="0"/>
        <w:spacing w:after="140" w:line="280" w:lineRule="atLeast"/>
        <w:ind w:left="127" w:right="120"/>
        <w:rPr>
          <w:color w:val="000000"/>
        </w:rPr>
      </w:pPr>
    </w:p>
    <w:p w14:paraId="797E0073" w14:textId="77777777" w:rsidR="00422F80" w:rsidRPr="00107B32" w:rsidRDefault="001E1647" w:rsidP="00067FBE">
      <w:pPr>
        <w:pStyle w:val="ListParagraph"/>
        <w:keepNext/>
        <w:widowControl w:val="0"/>
        <w:numPr>
          <w:ilvl w:val="0"/>
          <w:numId w:val="30"/>
        </w:numPr>
        <w:autoSpaceDE w:val="0"/>
        <w:autoSpaceDN w:val="0"/>
        <w:adjustRightInd w:val="0"/>
        <w:spacing w:before="280" w:after="220"/>
        <w:ind w:right="120"/>
        <w:rPr>
          <w:b/>
          <w:bCs/>
          <w:color w:val="000000"/>
        </w:rPr>
      </w:pPr>
      <w:r>
        <w:rPr>
          <w:b/>
          <w:bCs/>
          <w:color w:val="000000"/>
        </w:rPr>
        <w:t xml:space="preserve">ΑΛΛΟΙ ΟΡΟΙ ΚΑΙ ΑΠΑΙΤΗΣΕΙΣ ΤΗΣ ΑΔΕΙΑΣ ΚΥΚΛΟΦΟΡΙΑΣ </w:t>
      </w:r>
    </w:p>
    <w:p w14:paraId="797E0074" w14:textId="77777777" w:rsidR="00422F80" w:rsidRPr="0040295B" w:rsidRDefault="00422F80" w:rsidP="00067FBE">
      <w:pPr>
        <w:widowControl w:val="0"/>
        <w:autoSpaceDE w:val="0"/>
        <w:autoSpaceDN w:val="0"/>
        <w:adjustRightInd w:val="0"/>
        <w:spacing w:after="140" w:line="280" w:lineRule="atLeast"/>
        <w:ind w:left="127" w:right="120"/>
        <w:rPr>
          <w:color w:val="000000"/>
        </w:rPr>
      </w:pPr>
    </w:p>
    <w:p w14:paraId="797E0075" w14:textId="77777777" w:rsidR="00422F80" w:rsidRPr="0040295B" w:rsidRDefault="001E1647" w:rsidP="00067FBE">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Pr>
          <w:b/>
          <w:bCs/>
          <w:color w:val="000000"/>
        </w:rPr>
        <w:t xml:space="preserve">Περιοδικές επικαιροποιημένες εκθέσεις για την ασφάλεια </w:t>
      </w:r>
    </w:p>
    <w:p w14:paraId="797E0076" w14:textId="77777777" w:rsidR="00422F80" w:rsidRPr="0040295B" w:rsidRDefault="00422F80" w:rsidP="00067FBE">
      <w:pPr>
        <w:widowControl w:val="0"/>
        <w:autoSpaceDE w:val="0"/>
        <w:autoSpaceDN w:val="0"/>
        <w:adjustRightInd w:val="0"/>
        <w:spacing w:after="140" w:line="280" w:lineRule="atLeast"/>
        <w:ind w:left="127" w:right="120"/>
        <w:rPr>
          <w:color w:val="000000"/>
        </w:rPr>
      </w:pPr>
    </w:p>
    <w:p w14:paraId="797E0077" w14:textId="77777777" w:rsidR="00422F80" w:rsidRPr="0040295B" w:rsidRDefault="001E1647" w:rsidP="00067FBE">
      <w:pPr>
        <w:widowControl w:val="0"/>
        <w:autoSpaceDE w:val="0"/>
        <w:autoSpaceDN w:val="0"/>
        <w:adjustRightInd w:val="0"/>
        <w:spacing w:after="140" w:line="280" w:lineRule="atLeast"/>
        <w:ind w:left="127" w:right="120"/>
        <w:rPr>
          <w:color w:val="000000"/>
        </w:rPr>
      </w:pPr>
      <w:r>
        <w:rPr>
          <w:color w:val="000000"/>
        </w:rPr>
        <w:t>Οι απαιτήσεις για την υποβολή εκθέσεων περιοδικής παρακολούθησης της ασφάλειας για το εν λόγω φαρμακευτικό προϊόν ορίζονται στον κατάλογο με τις ημε</w:t>
      </w:r>
      <w:r>
        <w:rPr>
          <w:color w:val="000000"/>
        </w:rPr>
        <w:t>ρομηνίες αναφοράς της Ένωσης (κατάλογος EURD)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p>
    <w:p w14:paraId="797E0078" w14:textId="77777777" w:rsidR="00422F80" w:rsidRPr="0040295B" w:rsidRDefault="001E1647" w:rsidP="00067FBE">
      <w:pPr>
        <w:widowControl w:val="0"/>
        <w:autoSpaceDE w:val="0"/>
        <w:autoSpaceDN w:val="0"/>
        <w:adjustRightInd w:val="0"/>
        <w:spacing w:line="280" w:lineRule="atLeast"/>
        <w:ind w:left="127" w:right="120"/>
        <w:rPr>
          <w:color w:val="000000"/>
        </w:rPr>
      </w:pPr>
      <w:r>
        <w:rPr>
          <w:color w:val="000000"/>
        </w:rPr>
        <w:t>Ο Κάτοχος Άδειας Κυκλοφορίας θα υποβάλ</w:t>
      </w:r>
      <w:r>
        <w:rPr>
          <w:color w:val="000000"/>
        </w:rPr>
        <w:t xml:space="preserve">ει την πρώτη έκθεση περιοδικής παρακολούθησης της ασφαλείας για το προϊόν μέσα σε 6 μήνες από την έγκριση. </w:t>
      </w:r>
    </w:p>
    <w:p w14:paraId="797E0079" w14:textId="77777777" w:rsidR="00422F80" w:rsidRPr="00107B32" w:rsidRDefault="001E1647" w:rsidP="00067FBE">
      <w:pPr>
        <w:pStyle w:val="ListParagraph"/>
        <w:keepNext/>
        <w:widowControl w:val="0"/>
        <w:numPr>
          <w:ilvl w:val="0"/>
          <w:numId w:val="30"/>
        </w:numPr>
        <w:autoSpaceDE w:val="0"/>
        <w:autoSpaceDN w:val="0"/>
        <w:adjustRightInd w:val="0"/>
        <w:spacing w:before="280" w:after="220"/>
        <w:ind w:right="120"/>
        <w:rPr>
          <w:b/>
          <w:bCs/>
          <w:color w:val="000000"/>
        </w:rPr>
      </w:pPr>
      <w:r>
        <w:rPr>
          <w:b/>
          <w:bCs/>
          <w:color w:val="000000"/>
        </w:rPr>
        <w:t>ΟΡΟΙ Ή ΠΕΡΙΟΡΙΣΜΟΙ ΣΧΕΤΙΚΑ ΜΕ ΤΗΝ ΑΣΦΑΛΗ ΚΑΙ ΑΠΟΤΕΛΕΣΜΑΤΙΚΗ ΧΡΗΣΗ ΤΟΥ ΦΑΡΜΑΚΕΥΤΙΚΟΥ ΠΡΟΪΟΝΤΟΣ</w:t>
      </w:r>
    </w:p>
    <w:p w14:paraId="797E007A" w14:textId="77777777" w:rsidR="00422F80" w:rsidRPr="0040295B" w:rsidRDefault="00422F80" w:rsidP="00067FBE">
      <w:pPr>
        <w:widowControl w:val="0"/>
        <w:autoSpaceDE w:val="0"/>
        <w:autoSpaceDN w:val="0"/>
        <w:adjustRightInd w:val="0"/>
        <w:spacing w:after="140" w:line="280" w:lineRule="atLeast"/>
        <w:ind w:left="127" w:right="120"/>
        <w:rPr>
          <w:color w:val="000000"/>
        </w:rPr>
      </w:pPr>
    </w:p>
    <w:p w14:paraId="797E007B" w14:textId="77777777" w:rsidR="00422F80" w:rsidRPr="0040295B" w:rsidRDefault="001E1647" w:rsidP="00067FBE">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Pr>
          <w:b/>
          <w:bCs/>
          <w:color w:val="000000"/>
        </w:rPr>
        <w:t>Σχέδιο Διαχείρισης Κινδύνου (ΣΔΚ)</w:t>
      </w:r>
    </w:p>
    <w:p w14:paraId="797E007C" w14:textId="77777777" w:rsidR="00422F80" w:rsidRPr="0040295B" w:rsidRDefault="00422F80" w:rsidP="00067FBE">
      <w:pPr>
        <w:widowControl w:val="0"/>
        <w:autoSpaceDE w:val="0"/>
        <w:autoSpaceDN w:val="0"/>
        <w:adjustRightInd w:val="0"/>
        <w:spacing w:after="140" w:line="280" w:lineRule="atLeast"/>
        <w:ind w:left="127" w:right="120"/>
        <w:rPr>
          <w:color w:val="000000"/>
        </w:rPr>
      </w:pPr>
    </w:p>
    <w:p w14:paraId="797E007D" w14:textId="77777777" w:rsidR="00422F80" w:rsidRPr="0040295B" w:rsidRDefault="001E1647" w:rsidP="00067FBE">
      <w:pPr>
        <w:widowControl w:val="0"/>
        <w:autoSpaceDE w:val="0"/>
        <w:autoSpaceDN w:val="0"/>
        <w:adjustRightInd w:val="0"/>
        <w:spacing w:after="140" w:line="280" w:lineRule="atLeast"/>
        <w:ind w:left="127" w:right="120"/>
        <w:rPr>
          <w:color w:val="000000"/>
        </w:rPr>
      </w:pPr>
      <w:r>
        <w:rPr>
          <w:color w:val="000000"/>
        </w:rPr>
        <w:t>Ο Κάτοχος Άδειας Κ</w:t>
      </w:r>
      <w:r>
        <w:rPr>
          <w:color w:val="000000"/>
        </w:rPr>
        <w:t>υκλοφορίας 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14:paraId="797E007E" w14:textId="77777777" w:rsidR="00422F80" w:rsidRPr="0040295B" w:rsidRDefault="001E1647" w:rsidP="00067FBE">
      <w:pPr>
        <w:widowControl w:val="0"/>
        <w:autoSpaceDE w:val="0"/>
        <w:autoSpaceDN w:val="0"/>
        <w:adjustRightInd w:val="0"/>
        <w:spacing w:after="140" w:line="280" w:lineRule="atLeast"/>
        <w:ind w:left="127" w:right="120"/>
        <w:rPr>
          <w:color w:val="000000"/>
        </w:rPr>
      </w:pPr>
      <w:r>
        <w:rPr>
          <w:color w:val="000000"/>
        </w:rPr>
        <w:t>Ένα επικαιροποιημένο ΣΔΚ θα πρέπει να κατατεθεί:</w:t>
      </w:r>
    </w:p>
    <w:p w14:paraId="797E007F" w14:textId="77777777" w:rsidR="00422F80" w:rsidRPr="0040295B" w:rsidRDefault="001E1647" w:rsidP="00067FBE">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Pr>
          <w:color w:val="000000"/>
        </w:rPr>
        <w:t>μετά από αίτημα του Ευρωπαϊκού Οργανισμού Φαρμάκων,</w:t>
      </w:r>
    </w:p>
    <w:p w14:paraId="797E0080" w14:textId="77777777" w:rsidR="00422F80" w:rsidRPr="0040295B" w:rsidRDefault="001E1647" w:rsidP="00067FBE">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Pr>
          <w:color w:val="000000"/>
        </w:rPr>
        <w:t>οποτεδήποτε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w:t>
      </w:r>
      <w:r>
        <w:rPr>
          <w:color w:val="000000"/>
        </w:rPr>
        <w:t xml:space="preserve">οποίηση κινδύνου). </w:t>
      </w:r>
    </w:p>
    <w:p w14:paraId="797E0081" w14:textId="77777777" w:rsidR="00422F80" w:rsidRPr="00564D92" w:rsidRDefault="00422F80" w:rsidP="00067FBE">
      <w:pPr>
        <w:numPr>
          <w:ilvl w:val="12"/>
          <w:numId w:val="0"/>
        </w:numPr>
        <w:spacing w:line="240" w:lineRule="auto"/>
        <w:ind w:right="-2"/>
        <w:rPr>
          <w:noProof/>
        </w:rPr>
      </w:pPr>
    </w:p>
    <w:p w14:paraId="797E0082" w14:textId="77777777" w:rsidR="00422F80" w:rsidRPr="00564D92" w:rsidRDefault="00422F80" w:rsidP="00067FBE">
      <w:pPr>
        <w:spacing w:line="240" w:lineRule="auto"/>
        <w:ind w:right="566"/>
        <w:rPr>
          <w:noProof/>
        </w:rPr>
      </w:pPr>
    </w:p>
    <w:p w14:paraId="797E0083" w14:textId="77777777" w:rsidR="00422F80" w:rsidRPr="00564D92" w:rsidRDefault="00422F80" w:rsidP="00067FBE">
      <w:pPr>
        <w:spacing w:line="240" w:lineRule="auto"/>
        <w:rPr>
          <w:noProof/>
        </w:rPr>
      </w:pPr>
    </w:p>
    <w:p w14:paraId="797E0084" w14:textId="77777777" w:rsidR="00422F80" w:rsidRPr="00564D92" w:rsidRDefault="00422F80" w:rsidP="00067FBE">
      <w:pPr>
        <w:spacing w:line="240" w:lineRule="auto"/>
        <w:rPr>
          <w:noProof/>
        </w:rPr>
      </w:pPr>
    </w:p>
    <w:p w14:paraId="797E0085" w14:textId="77777777" w:rsidR="00422F80" w:rsidRPr="00564D92" w:rsidRDefault="00422F80" w:rsidP="00067FBE">
      <w:pPr>
        <w:spacing w:line="240" w:lineRule="auto"/>
        <w:rPr>
          <w:noProof/>
        </w:rPr>
      </w:pPr>
    </w:p>
    <w:p w14:paraId="797E0086" w14:textId="77777777" w:rsidR="00422F80" w:rsidRPr="00564D92" w:rsidRDefault="00422F80" w:rsidP="00067FBE">
      <w:pPr>
        <w:spacing w:line="240" w:lineRule="auto"/>
        <w:rPr>
          <w:noProof/>
        </w:rPr>
      </w:pPr>
    </w:p>
    <w:p w14:paraId="797E0087" w14:textId="77777777" w:rsidR="00422F80" w:rsidRPr="00564D92" w:rsidRDefault="00422F80" w:rsidP="00067FBE">
      <w:pPr>
        <w:spacing w:line="240" w:lineRule="auto"/>
      </w:pPr>
    </w:p>
    <w:p w14:paraId="797E0088" w14:textId="77777777" w:rsidR="00422F80" w:rsidRPr="00564D92" w:rsidRDefault="00422F80" w:rsidP="00067FBE">
      <w:pPr>
        <w:spacing w:line="240" w:lineRule="auto"/>
      </w:pPr>
    </w:p>
    <w:p w14:paraId="797E0089" w14:textId="77777777" w:rsidR="00422F80" w:rsidRPr="00564D92" w:rsidRDefault="00422F80" w:rsidP="00067FBE">
      <w:pPr>
        <w:spacing w:line="240" w:lineRule="auto"/>
      </w:pPr>
    </w:p>
    <w:p w14:paraId="797E008A" w14:textId="77777777" w:rsidR="00422F80" w:rsidRPr="00564D92" w:rsidRDefault="00422F80" w:rsidP="00067FBE">
      <w:pPr>
        <w:spacing w:line="240" w:lineRule="auto"/>
      </w:pPr>
    </w:p>
    <w:p w14:paraId="797E008B" w14:textId="77777777" w:rsidR="00422F80" w:rsidRPr="00564D92" w:rsidRDefault="00422F80" w:rsidP="00067FBE">
      <w:pPr>
        <w:spacing w:line="240" w:lineRule="auto"/>
      </w:pPr>
    </w:p>
    <w:p w14:paraId="797E008C" w14:textId="77777777" w:rsidR="00422F80" w:rsidRPr="00564D92" w:rsidRDefault="00422F80" w:rsidP="00067FBE">
      <w:pPr>
        <w:spacing w:line="240" w:lineRule="auto"/>
        <w:rPr>
          <w:noProof/>
        </w:rPr>
      </w:pPr>
    </w:p>
    <w:p w14:paraId="797E008D" w14:textId="77777777" w:rsidR="00422F80" w:rsidRPr="00564D92" w:rsidRDefault="00422F80" w:rsidP="00067FBE">
      <w:pPr>
        <w:spacing w:line="240" w:lineRule="auto"/>
        <w:rPr>
          <w:noProof/>
        </w:rPr>
      </w:pPr>
    </w:p>
    <w:p w14:paraId="797E008E" w14:textId="77777777" w:rsidR="00422F80" w:rsidRPr="00564D92" w:rsidRDefault="00422F80" w:rsidP="00067FBE">
      <w:pPr>
        <w:rPr>
          <w:noProof/>
        </w:rPr>
      </w:pPr>
    </w:p>
    <w:p w14:paraId="797E008F" w14:textId="77777777" w:rsidR="00422F80" w:rsidRPr="00564D92" w:rsidRDefault="00422F80" w:rsidP="00067FBE">
      <w:pPr>
        <w:rPr>
          <w:noProof/>
        </w:rPr>
      </w:pPr>
    </w:p>
    <w:p w14:paraId="797E0090" w14:textId="77777777" w:rsidR="00422F80" w:rsidRPr="00564D92" w:rsidRDefault="00422F80" w:rsidP="00067FBE">
      <w:pPr>
        <w:rPr>
          <w:noProof/>
        </w:rPr>
      </w:pPr>
    </w:p>
    <w:p w14:paraId="797E0091" w14:textId="77777777" w:rsidR="00422F80" w:rsidRPr="00226A4A" w:rsidRDefault="00422F80" w:rsidP="00067FBE">
      <w:pPr>
        <w:spacing w:line="240" w:lineRule="auto"/>
        <w:rPr>
          <w:noProof/>
        </w:rPr>
      </w:pPr>
    </w:p>
    <w:p w14:paraId="797E0092" w14:textId="77777777" w:rsidR="00422F80" w:rsidRPr="00226A4A" w:rsidRDefault="00422F80" w:rsidP="00067FBE">
      <w:pPr>
        <w:spacing w:line="240" w:lineRule="auto"/>
        <w:rPr>
          <w:noProof/>
        </w:rPr>
      </w:pPr>
    </w:p>
    <w:p w14:paraId="797E0093" w14:textId="77777777" w:rsidR="00422F80" w:rsidRPr="00226A4A" w:rsidRDefault="00422F80" w:rsidP="00067FBE">
      <w:pPr>
        <w:spacing w:line="240" w:lineRule="auto"/>
        <w:rPr>
          <w:noProof/>
        </w:rPr>
      </w:pPr>
    </w:p>
    <w:p w14:paraId="797E0094" w14:textId="77777777" w:rsidR="00422F80" w:rsidRPr="00226A4A" w:rsidRDefault="00422F80" w:rsidP="00067FBE">
      <w:pPr>
        <w:spacing w:line="240" w:lineRule="auto"/>
        <w:rPr>
          <w:noProof/>
        </w:rPr>
      </w:pPr>
    </w:p>
    <w:p w14:paraId="797E0095" w14:textId="77777777" w:rsidR="00422F80" w:rsidRPr="00226A4A" w:rsidRDefault="00422F80" w:rsidP="00067FBE">
      <w:pPr>
        <w:spacing w:line="240" w:lineRule="auto"/>
        <w:rPr>
          <w:noProof/>
        </w:rPr>
      </w:pPr>
    </w:p>
    <w:p w14:paraId="797E0096" w14:textId="77777777" w:rsidR="00422F80" w:rsidRPr="00226A4A" w:rsidRDefault="00422F80" w:rsidP="00067FBE">
      <w:pPr>
        <w:spacing w:line="240" w:lineRule="auto"/>
        <w:rPr>
          <w:noProof/>
        </w:rPr>
      </w:pPr>
    </w:p>
    <w:p w14:paraId="797E0097" w14:textId="77777777" w:rsidR="00422F80" w:rsidRPr="00226A4A" w:rsidRDefault="00422F80" w:rsidP="00067FBE">
      <w:pPr>
        <w:spacing w:line="240" w:lineRule="auto"/>
        <w:rPr>
          <w:noProof/>
        </w:rPr>
      </w:pPr>
    </w:p>
    <w:p w14:paraId="797E0098" w14:textId="77777777" w:rsidR="00422F80" w:rsidRPr="00226A4A" w:rsidRDefault="00422F80" w:rsidP="00067FBE">
      <w:pPr>
        <w:spacing w:line="240" w:lineRule="auto"/>
        <w:rPr>
          <w:noProof/>
        </w:rPr>
      </w:pPr>
    </w:p>
    <w:p w14:paraId="797E0099" w14:textId="77777777" w:rsidR="00422F80" w:rsidRPr="00564D92" w:rsidRDefault="001E1647" w:rsidP="00067FBE">
      <w:pPr>
        <w:spacing w:line="240" w:lineRule="auto"/>
        <w:jc w:val="center"/>
        <w:outlineLvl w:val="0"/>
        <w:rPr>
          <w:b/>
          <w:bCs/>
          <w:noProof/>
        </w:rPr>
      </w:pPr>
      <w:r>
        <w:rPr>
          <w:b/>
          <w:bCs/>
          <w:noProof/>
        </w:rPr>
        <w:t>ΠΑΡΑΡΤΗΜΑ ΙΙΙ</w:t>
      </w:r>
    </w:p>
    <w:p w14:paraId="797E009A" w14:textId="77777777" w:rsidR="00422F80" w:rsidRPr="00564D92" w:rsidRDefault="00422F80" w:rsidP="00067FBE">
      <w:pPr>
        <w:rPr>
          <w:noProof/>
        </w:rPr>
      </w:pPr>
    </w:p>
    <w:p w14:paraId="797E009B" w14:textId="77777777" w:rsidR="00422F80" w:rsidRPr="00564D92" w:rsidRDefault="001E1647" w:rsidP="00067FBE">
      <w:pPr>
        <w:spacing w:line="240" w:lineRule="auto"/>
        <w:jc w:val="center"/>
        <w:outlineLvl w:val="0"/>
        <w:rPr>
          <w:b/>
          <w:bCs/>
          <w:noProof/>
        </w:rPr>
      </w:pPr>
      <w:r>
        <w:rPr>
          <w:b/>
          <w:bCs/>
          <w:noProof/>
        </w:rPr>
        <w:t>ΕΠΙΣΗΜΑΝΣΗ ΚΑΙ ΦΥΛΛΟ ΟΔΗΓΙΩΝ</w:t>
      </w:r>
    </w:p>
    <w:p w14:paraId="797E009C" w14:textId="77777777" w:rsidR="00422F80" w:rsidRPr="00564D92" w:rsidRDefault="001E1647" w:rsidP="00067FBE">
      <w:pPr>
        <w:rPr>
          <w:noProof/>
        </w:rPr>
      </w:pPr>
      <w:r>
        <w:br w:type="page"/>
      </w:r>
    </w:p>
    <w:p w14:paraId="797E009D" w14:textId="77777777" w:rsidR="00422F80" w:rsidRPr="00564D92" w:rsidRDefault="00422F80" w:rsidP="00067FBE">
      <w:pPr>
        <w:rPr>
          <w:noProof/>
        </w:rPr>
      </w:pPr>
    </w:p>
    <w:p w14:paraId="797E009E" w14:textId="77777777" w:rsidR="00422F80" w:rsidRPr="00564D92" w:rsidRDefault="00422F80" w:rsidP="00067FBE">
      <w:pPr>
        <w:rPr>
          <w:noProof/>
        </w:rPr>
      </w:pPr>
    </w:p>
    <w:p w14:paraId="797E009F" w14:textId="77777777" w:rsidR="00422F80" w:rsidRPr="00564D92" w:rsidRDefault="00422F80" w:rsidP="00067FBE">
      <w:pPr>
        <w:rPr>
          <w:noProof/>
        </w:rPr>
      </w:pPr>
    </w:p>
    <w:p w14:paraId="797E00A0" w14:textId="77777777" w:rsidR="00422F80" w:rsidRPr="00564D92" w:rsidRDefault="00422F80" w:rsidP="00067FBE">
      <w:pPr>
        <w:rPr>
          <w:noProof/>
        </w:rPr>
      </w:pPr>
    </w:p>
    <w:p w14:paraId="797E00A1" w14:textId="77777777" w:rsidR="00422F80" w:rsidRPr="00564D92" w:rsidRDefault="00422F80" w:rsidP="00067FBE">
      <w:pPr>
        <w:rPr>
          <w:noProof/>
        </w:rPr>
      </w:pPr>
    </w:p>
    <w:p w14:paraId="797E00A2" w14:textId="77777777" w:rsidR="00422F80" w:rsidRPr="00564D92" w:rsidRDefault="00422F80" w:rsidP="00067FBE">
      <w:pPr>
        <w:rPr>
          <w:noProof/>
        </w:rPr>
      </w:pPr>
    </w:p>
    <w:p w14:paraId="797E00A3" w14:textId="77777777" w:rsidR="00422F80" w:rsidRPr="00564D92" w:rsidRDefault="00422F80" w:rsidP="00067FBE">
      <w:pPr>
        <w:rPr>
          <w:noProof/>
        </w:rPr>
      </w:pPr>
    </w:p>
    <w:p w14:paraId="797E00A4" w14:textId="77777777" w:rsidR="00422F80" w:rsidRPr="00564D92" w:rsidRDefault="00422F80" w:rsidP="00067FBE">
      <w:pPr>
        <w:rPr>
          <w:noProof/>
        </w:rPr>
      </w:pPr>
    </w:p>
    <w:p w14:paraId="797E00A5" w14:textId="77777777" w:rsidR="00422F80" w:rsidRPr="00564D92" w:rsidRDefault="00422F80" w:rsidP="00067FBE">
      <w:pPr>
        <w:rPr>
          <w:noProof/>
        </w:rPr>
      </w:pPr>
    </w:p>
    <w:p w14:paraId="797E00A6" w14:textId="77777777" w:rsidR="00422F80" w:rsidRPr="00564D92" w:rsidRDefault="00422F80" w:rsidP="00067FBE">
      <w:pPr>
        <w:rPr>
          <w:noProof/>
        </w:rPr>
      </w:pPr>
    </w:p>
    <w:p w14:paraId="797E00A7" w14:textId="77777777" w:rsidR="00422F80" w:rsidRPr="00564D92" w:rsidRDefault="00422F80" w:rsidP="00067FBE">
      <w:pPr>
        <w:rPr>
          <w:noProof/>
        </w:rPr>
      </w:pPr>
    </w:p>
    <w:p w14:paraId="797E00A8" w14:textId="77777777" w:rsidR="00422F80" w:rsidRPr="00564D92" w:rsidRDefault="00422F80" w:rsidP="00067FBE">
      <w:pPr>
        <w:rPr>
          <w:noProof/>
        </w:rPr>
      </w:pPr>
    </w:p>
    <w:p w14:paraId="797E00A9" w14:textId="77777777" w:rsidR="00422F80" w:rsidRPr="00564D92" w:rsidRDefault="00422F80" w:rsidP="00067FBE">
      <w:pPr>
        <w:rPr>
          <w:noProof/>
        </w:rPr>
      </w:pPr>
    </w:p>
    <w:p w14:paraId="797E00AA" w14:textId="77777777" w:rsidR="00422F80" w:rsidRPr="00564D92" w:rsidRDefault="00422F80" w:rsidP="00067FBE">
      <w:pPr>
        <w:rPr>
          <w:noProof/>
        </w:rPr>
      </w:pPr>
    </w:p>
    <w:p w14:paraId="797E00AB" w14:textId="77777777" w:rsidR="00422F80" w:rsidRPr="00564D92" w:rsidRDefault="00422F80" w:rsidP="00067FBE">
      <w:pPr>
        <w:rPr>
          <w:noProof/>
        </w:rPr>
      </w:pPr>
    </w:p>
    <w:p w14:paraId="797E00AC" w14:textId="77777777" w:rsidR="00422F80" w:rsidRPr="00564D92" w:rsidRDefault="00422F80" w:rsidP="00067FBE">
      <w:pPr>
        <w:rPr>
          <w:noProof/>
        </w:rPr>
      </w:pPr>
    </w:p>
    <w:p w14:paraId="797E00AD" w14:textId="77777777" w:rsidR="00422F80" w:rsidRPr="00564D92" w:rsidRDefault="00422F80" w:rsidP="00067FBE">
      <w:pPr>
        <w:rPr>
          <w:noProof/>
        </w:rPr>
      </w:pPr>
    </w:p>
    <w:p w14:paraId="797E00AE" w14:textId="77777777" w:rsidR="00422F80" w:rsidRPr="00564D92" w:rsidRDefault="00422F80" w:rsidP="00067FBE">
      <w:pPr>
        <w:rPr>
          <w:noProof/>
        </w:rPr>
      </w:pPr>
    </w:p>
    <w:p w14:paraId="797E00AF" w14:textId="77777777" w:rsidR="00422F80" w:rsidRPr="00564D92" w:rsidRDefault="00422F80" w:rsidP="00067FBE">
      <w:pPr>
        <w:rPr>
          <w:noProof/>
        </w:rPr>
      </w:pPr>
    </w:p>
    <w:p w14:paraId="797E00B0" w14:textId="77777777" w:rsidR="00422F80" w:rsidRPr="00564D92" w:rsidRDefault="00422F80" w:rsidP="00067FBE">
      <w:pPr>
        <w:rPr>
          <w:noProof/>
        </w:rPr>
      </w:pPr>
    </w:p>
    <w:p w14:paraId="797E00B1" w14:textId="77777777" w:rsidR="00422F80" w:rsidRPr="00564D92" w:rsidRDefault="00422F80" w:rsidP="00067FBE">
      <w:pPr>
        <w:rPr>
          <w:noProof/>
        </w:rPr>
      </w:pPr>
    </w:p>
    <w:p w14:paraId="797E00B2" w14:textId="77777777" w:rsidR="00422F80" w:rsidRPr="00564D92" w:rsidRDefault="00422F80" w:rsidP="00067FBE">
      <w:pPr>
        <w:rPr>
          <w:noProof/>
        </w:rPr>
      </w:pPr>
    </w:p>
    <w:p w14:paraId="797E00B3" w14:textId="77777777" w:rsidR="00422F80" w:rsidRPr="00107B32" w:rsidRDefault="001E1647" w:rsidP="00067FBE">
      <w:pPr>
        <w:pStyle w:val="ListParagraph"/>
        <w:numPr>
          <w:ilvl w:val="0"/>
          <w:numId w:val="31"/>
        </w:numPr>
        <w:spacing w:line="240" w:lineRule="auto"/>
        <w:ind w:left="357" w:hanging="357"/>
        <w:jc w:val="center"/>
        <w:outlineLvl w:val="0"/>
        <w:rPr>
          <w:noProof/>
        </w:rPr>
      </w:pPr>
      <w:r>
        <w:rPr>
          <w:b/>
          <w:bCs/>
          <w:noProof/>
        </w:rPr>
        <w:t>ΕΠΙΣΗΜΑΝΣΗ</w:t>
      </w:r>
    </w:p>
    <w:p w14:paraId="797E00B4" w14:textId="77777777" w:rsidR="00422F80" w:rsidRPr="00564D92" w:rsidRDefault="001E1647" w:rsidP="00067FBE">
      <w:pPr>
        <w:shd w:val="clear" w:color="auto" w:fill="FFFFFF"/>
        <w:spacing w:line="240" w:lineRule="auto"/>
        <w:rPr>
          <w:noProof/>
        </w:rPr>
      </w:pPr>
      <w:r>
        <w:br w:type="page"/>
      </w:r>
    </w:p>
    <w:p w14:paraId="797E00B5" w14:textId="77777777" w:rsidR="00422F80" w:rsidRPr="00564D92" w:rsidRDefault="001E1647" w:rsidP="00067FBE">
      <w:pPr>
        <w:pBdr>
          <w:top w:val="single" w:sz="4" w:space="0" w:color="auto"/>
          <w:left w:val="single" w:sz="4" w:space="4" w:color="auto"/>
          <w:bottom w:val="single" w:sz="4" w:space="1" w:color="auto"/>
          <w:right w:val="single" w:sz="4" w:space="4" w:color="auto"/>
        </w:pBdr>
        <w:spacing w:line="240" w:lineRule="auto"/>
        <w:rPr>
          <w:b/>
          <w:bCs/>
          <w:noProof/>
        </w:rPr>
      </w:pPr>
      <w:r>
        <w:rPr>
          <w:b/>
          <w:bCs/>
          <w:noProof/>
        </w:rPr>
        <w:lastRenderedPageBreak/>
        <w:t>ΕΝΔΕΙΞΕΙΣ ΠΟΥ ΠΡΕΠΕΙ ΝΑ ΑΝΑΓΡΑΦΟΝΤΑΙ ΣΤΗΝ ΕΞΩΤΕΡΙΚΗ ΣΥΣΚΕΥΑΣΙΑ</w:t>
      </w:r>
    </w:p>
    <w:p w14:paraId="797E00B6" w14:textId="77777777" w:rsidR="00422F80" w:rsidRPr="00564D92" w:rsidRDefault="00422F80" w:rsidP="00067FBE">
      <w:pPr>
        <w:pBdr>
          <w:top w:val="single" w:sz="4" w:space="0" w:color="auto"/>
          <w:left w:val="single" w:sz="4" w:space="4" w:color="auto"/>
          <w:bottom w:val="single" w:sz="4" w:space="1" w:color="auto"/>
          <w:right w:val="single" w:sz="4" w:space="4" w:color="auto"/>
        </w:pBdr>
        <w:spacing w:line="240" w:lineRule="auto"/>
        <w:ind w:left="567" w:hanging="567"/>
        <w:rPr>
          <w:noProof/>
        </w:rPr>
      </w:pPr>
    </w:p>
    <w:p w14:paraId="797E00B7" w14:textId="77777777" w:rsidR="00422F80" w:rsidRPr="00564D92" w:rsidRDefault="001E1647" w:rsidP="00067FBE">
      <w:pPr>
        <w:pBdr>
          <w:top w:val="single" w:sz="4" w:space="0" w:color="auto"/>
          <w:left w:val="single" w:sz="4" w:space="4" w:color="auto"/>
          <w:bottom w:val="single" w:sz="4" w:space="1" w:color="auto"/>
          <w:right w:val="single" w:sz="4" w:space="4" w:color="auto"/>
        </w:pBdr>
        <w:spacing w:line="240" w:lineRule="auto"/>
        <w:rPr>
          <w:noProof/>
        </w:rPr>
      </w:pPr>
      <w:r>
        <w:rPr>
          <w:b/>
          <w:bCs/>
          <w:noProof/>
        </w:rPr>
        <w:t>ΕΞΩΤΕΡΙΚΟ ΚΟΥΤΙ</w:t>
      </w:r>
    </w:p>
    <w:p w14:paraId="797E00B8" w14:textId="77777777" w:rsidR="00422F80" w:rsidRPr="00564D92" w:rsidRDefault="00422F80" w:rsidP="00067FBE">
      <w:pPr>
        <w:spacing w:line="240" w:lineRule="auto"/>
      </w:pPr>
    </w:p>
    <w:p w14:paraId="797E00B9" w14:textId="77777777" w:rsidR="00422F80" w:rsidRPr="00564D92" w:rsidRDefault="00422F80" w:rsidP="00067FBE">
      <w:pPr>
        <w:spacing w:line="240" w:lineRule="auto"/>
        <w:rPr>
          <w:noProof/>
        </w:rPr>
      </w:pPr>
    </w:p>
    <w:p w14:paraId="797E00BA" w14:textId="77777777" w:rsidR="00422F80" w:rsidRPr="00564D92"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Pr>
          <w:b/>
          <w:bCs/>
        </w:rPr>
        <w:t>ΟΝΟΜΑΣΙΑ ΤΟΥ ΦΑΡΜΑΚΕΥΤΙΚΟΥ ΠΡΟΪΟΝΤΟΣ</w:t>
      </w:r>
    </w:p>
    <w:p w14:paraId="797E00BB" w14:textId="77777777" w:rsidR="00422F80" w:rsidRPr="00564D92" w:rsidRDefault="00422F80" w:rsidP="00067FBE">
      <w:pPr>
        <w:spacing w:line="240" w:lineRule="auto"/>
        <w:rPr>
          <w:noProof/>
        </w:rPr>
      </w:pPr>
    </w:p>
    <w:p w14:paraId="797E00BC" w14:textId="77777777" w:rsidR="00422F80" w:rsidRPr="00564D92" w:rsidRDefault="001E1647" w:rsidP="00067FBE">
      <w:pPr>
        <w:rPr>
          <w:noProof/>
        </w:rPr>
      </w:pPr>
      <w:r>
        <w:t xml:space="preserve">Cuprior 150 mg επικαλυμμένα με λεπτό υμένιο δισκία </w:t>
      </w:r>
    </w:p>
    <w:p w14:paraId="797E00BD" w14:textId="77777777" w:rsidR="00422F80" w:rsidRPr="00564D92" w:rsidRDefault="001E1647" w:rsidP="00067FBE">
      <w:pPr>
        <w:spacing w:line="240" w:lineRule="auto"/>
        <w:rPr>
          <w:b/>
          <w:bCs/>
        </w:rPr>
      </w:pPr>
      <w:r>
        <w:t>τριεντίνη</w:t>
      </w:r>
    </w:p>
    <w:p w14:paraId="797E00BE" w14:textId="77777777" w:rsidR="00422F80" w:rsidRPr="00564D92" w:rsidRDefault="00422F80" w:rsidP="00067FBE">
      <w:pPr>
        <w:spacing w:line="240" w:lineRule="auto"/>
        <w:rPr>
          <w:noProof/>
        </w:rPr>
      </w:pPr>
    </w:p>
    <w:p w14:paraId="797E00BF" w14:textId="77777777" w:rsidR="00422F80" w:rsidRPr="00564D92" w:rsidRDefault="00422F80" w:rsidP="00067FBE">
      <w:pPr>
        <w:spacing w:line="240" w:lineRule="auto"/>
        <w:rPr>
          <w:noProof/>
        </w:rPr>
      </w:pPr>
    </w:p>
    <w:p w14:paraId="797E00C0" w14:textId="77777777" w:rsidR="00422F80" w:rsidRPr="00107B32"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ΣΥΝΘΕΣΗ ΣΕ ΔΡΑΣΤΙΚΗ(ΕΣ) ΟΥΣΙΑ(ΕΣ)</w:t>
      </w:r>
    </w:p>
    <w:p w14:paraId="797E00C1" w14:textId="77777777" w:rsidR="00422F80" w:rsidRPr="00564D92" w:rsidRDefault="00422F80" w:rsidP="00067FBE">
      <w:pPr>
        <w:spacing w:line="240" w:lineRule="auto"/>
        <w:rPr>
          <w:noProof/>
        </w:rPr>
      </w:pPr>
    </w:p>
    <w:p w14:paraId="797E00C2" w14:textId="77777777" w:rsidR="00422F80" w:rsidRPr="00564D92" w:rsidRDefault="001E1647" w:rsidP="00067FBE">
      <w:pPr>
        <w:widowControl w:val="0"/>
      </w:pPr>
      <w:r>
        <w:t>Κάθε επικαλυμμένο με λεπτό υμένιο δισκίο περιέχει τετραϋδροχλωρική τριεντίνη, η οποία ισοδυναμεί με 150 mg τριεντίνης.</w:t>
      </w:r>
    </w:p>
    <w:p w14:paraId="797E00C3" w14:textId="77777777" w:rsidR="00422F80" w:rsidRPr="00564D92" w:rsidRDefault="00422F80" w:rsidP="00067FBE">
      <w:pPr>
        <w:spacing w:line="240" w:lineRule="auto"/>
        <w:rPr>
          <w:noProof/>
        </w:rPr>
      </w:pPr>
    </w:p>
    <w:p w14:paraId="797E00C4" w14:textId="77777777" w:rsidR="00422F80" w:rsidRPr="00564D92" w:rsidRDefault="00422F80" w:rsidP="00067FBE">
      <w:pPr>
        <w:spacing w:line="240" w:lineRule="auto"/>
        <w:rPr>
          <w:noProof/>
        </w:rPr>
      </w:pPr>
    </w:p>
    <w:p w14:paraId="797E00C5" w14:textId="77777777" w:rsidR="00422F80" w:rsidRPr="00107B32"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ΚΑΤΑΛΟΓΟΣ ΕΚΔΟΧΩΝ</w:t>
      </w:r>
    </w:p>
    <w:p w14:paraId="797E00C6" w14:textId="77777777" w:rsidR="00422F80" w:rsidRPr="00564D92" w:rsidRDefault="00422F80" w:rsidP="00067FBE">
      <w:pPr>
        <w:spacing w:line="240" w:lineRule="auto"/>
        <w:rPr>
          <w:noProof/>
        </w:rPr>
      </w:pPr>
    </w:p>
    <w:p w14:paraId="797E00C7" w14:textId="77777777" w:rsidR="00422F80" w:rsidRPr="00564D92" w:rsidRDefault="00422F80" w:rsidP="00067FBE">
      <w:pPr>
        <w:spacing w:line="240" w:lineRule="auto"/>
        <w:rPr>
          <w:noProof/>
        </w:rPr>
      </w:pPr>
    </w:p>
    <w:p w14:paraId="797E00C8"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ΦΑΡΜΑΚΟΤΕΧΝΙΚΗ Μ</w:t>
      </w:r>
      <w:r>
        <w:rPr>
          <w:b/>
          <w:bCs/>
        </w:rPr>
        <w:t>ΟΡΦΗ ΚΑΙ ΠΕΡΙΕΧΟΜΕΝΟ</w:t>
      </w:r>
    </w:p>
    <w:p w14:paraId="797E00C9" w14:textId="77777777" w:rsidR="00422F80" w:rsidRPr="00564D92" w:rsidRDefault="00422F80" w:rsidP="00067FBE">
      <w:pPr>
        <w:rPr>
          <w:noProof/>
        </w:rPr>
      </w:pPr>
    </w:p>
    <w:p w14:paraId="797E00CA" w14:textId="77777777" w:rsidR="00422F80" w:rsidRPr="000A5224" w:rsidRDefault="001E1647" w:rsidP="00067FBE">
      <w:pPr>
        <w:rPr>
          <w:noProof/>
        </w:rPr>
      </w:pPr>
      <w:r w:rsidRPr="00637A0F">
        <w:rPr>
          <w:highlight w:val="lightGray"/>
        </w:rPr>
        <w:t xml:space="preserve">Επικαλυμμένο με λεπτό υμένιο </w:t>
      </w:r>
      <w:r w:rsidRPr="00076E49">
        <w:rPr>
          <w:noProof/>
          <w:highlight w:val="lightGray"/>
        </w:rPr>
        <w:t>δ</w:t>
      </w:r>
      <w:r>
        <w:rPr>
          <w:noProof/>
          <w:highlight w:val="lightGray"/>
        </w:rPr>
        <w:t>ισκίο</w:t>
      </w:r>
    </w:p>
    <w:p w14:paraId="797E00CB" w14:textId="51EA2749" w:rsidR="00422F80" w:rsidRDefault="001E1647" w:rsidP="00067FBE">
      <w:r>
        <w:t>72 επικαλυμμένα με λεπτό υμένιο δισκία</w:t>
      </w:r>
    </w:p>
    <w:p w14:paraId="1EF1F25D" w14:textId="66F5A796" w:rsidR="00D24BAB" w:rsidRPr="00564D92" w:rsidRDefault="001E1647" w:rsidP="00067FBE">
      <w:pPr>
        <w:rPr>
          <w:noProof/>
        </w:rPr>
      </w:pPr>
      <w:r w:rsidRPr="00D24BAB">
        <w:rPr>
          <w:noProof/>
        </w:rPr>
        <w:t>96 επικαλυμμένα με λεπτό υμένιο δισκία</w:t>
      </w:r>
    </w:p>
    <w:p w14:paraId="797E00CC" w14:textId="77777777" w:rsidR="00422F80" w:rsidRPr="00564D92" w:rsidRDefault="00422F80" w:rsidP="00067FBE">
      <w:pPr>
        <w:spacing w:line="240" w:lineRule="auto"/>
        <w:rPr>
          <w:noProof/>
        </w:rPr>
      </w:pPr>
    </w:p>
    <w:p w14:paraId="797E00CD" w14:textId="77777777" w:rsidR="00422F80" w:rsidRPr="00564D92" w:rsidRDefault="00422F80" w:rsidP="00067FBE">
      <w:pPr>
        <w:spacing w:line="240" w:lineRule="auto"/>
        <w:rPr>
          <w:noProof/>
        </w:rPr>
      </w:pPr>
    </w:p>
    <w:p w14:paraId="797E00CE"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ΤΡΟΠΟΣ ΚΑΙ ΟΔΟΣ(ΟΙ) ΧΟΡΗΓΗΣΗΣ</w:t>
      </w:r>
    </w:p>
    <w:p w14:paraId="797E00CF" w14:textId="77777777" w:rsidR="00422F80" w:rsidRPr="00564D92" w:rsidRDefault="00422F80" w:rsidP="00067FBE">
      <w:pPr>
        <w:spacing w:line="240" w:lineRule="auto"/>
        <w:rPr>
          <w:noProof/>
        </w:rPr>
      </w:pPr>
    </w:p>
    <w:p w14:paraId="797E00D0" w14:textId="77777777" w:rsidR="00422F80" w:rsidRPr="00564D92" w:rsidRDefault="001E1647" w:rsidP="00067FBE">
      <w:pPr>
        <w:rPr>
          <w:noProof/>
        </w:rPr>
      </w:pPr>
      <w:r>
        <w:t>Διαβάστε το φύλλο οδηγιών χρήσης πριν από τη χρήση.</w:t>
      </w:r>
    </w:p>
    <w:p w14:paraId="797E00D1" w14:textId="77777777" w:rsidR="00422F80" w:rsidRPr="009C5218" w:rsidRDefault="001E1647" w:rsidP="00067FBE">
      <w:r>
        <w:t xml:space="preserve">Φύλλο οδηγιών χρήσης επί </w:t>
      </w:r>
      <w:r>
        <w:t>γραμμής στην ηλεκτρονική διεύθυνση</w:t>
      </w:r>
      <w:r w:rsidRPr="00236D4A">
        <w:t xml:space="preserve"> </w:t>
      </w:r>
      <w:r>
        <w:rPr>
          <w:i/>
          <w:iCs/>
          <w:noProof/>
          <w:highlight w:val="lightGray"/>
        </w:rPr>
        <w:t>να προστεθεί ο κωδικός QR</w:t>
      </w:r>
      <w:r w:rsidRPr="00236D4A">
        <w:rPr>
          <w:i/>
          <w:iCs/>
          <w:noProof/>
        </w:rPr>
        <w:t xml:space="preserve">  </w:t>
      </w:r>
      <w:hyperlink r:id="rId14" w:history="1">
        <w:r>
          <w:rPr>
            <w:rStyle w:val="Hyperlink"/>
          </w:rPr>
          <w:t>http://www.cuprior.com</w:t>
        </w:r>
      </w:hyperlink>
    </w:p>
    <w:p w14:paraId="797E00D2" w14:textId="77777777" w:rsidR="00422F80" w:rsidRPr="00564D92" w:rsidRDefault="00422F80" w:rsidP="00067FBE">
      <w:pPr>
        <w:spacing w:line="240" w:lineRule="auto"/>
        <w:rPr>
          <w:noProof/>
        </w:rPr>
      </w:pPr>
    </w:p>
    <w:p w14:paraId="797E00D3" w14:textId="77777777" w:rsidR="00422F80" w:rsidRPr="00564D92" w:rsidRDefault="001E1647" w:rsidP="00067FBE">
      <w:pPr>
        <w:rPr>
          <w:noProof/>
        </w:rPr>
      </w:pPr>
      <w:r>
        <w:t>Από του στόματος χρήση.</w:t>
      </w:r>
    </w:p>
    <w:p w14:paraId="797E00D4" w14:textId="77777777" w:rsidR="00422F80" w:rsidRPr="00564D92" w:rsidRDefault="00422F80" w:rsidP="00067FBE">
      <w:pPr>
        <w:spacing w:line="240" w:lineRule="auto"/>
        <w:rPr>
          <w:noProof/>
        </w:rPr>
      </w:pPr>
    </w:p>
    <w:p w14:paraId="797E00D5" w14:textId="77777777" w:rsidR="00422F80" w:rsidRPr="00564D92" w:rsidRDefault="00422F80" w:rsidP="00067FBE">
      <w:pPr>
        <w:spacing w:line="240" w:lineRule="auto"/>
        <w:rPr>
          <w:noProof/>
        </w:rPr>
      </w:pPr>
    </w:p>
    <w:p w14:paraId="797E00D6"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 xml:space="preserve">ΕΙΔΙΚΗ ΠΡΟΕΙΔΟΠΟΙΗΣΗ ΣΥΜΦΩΝΑ ΜΕ ΤΗΝ ΟΠΟΙΑ ΤΟ ΦΑΡΜΑΚΕΥΤΙΚΟ ΠΡΟΪΟΝ ΠΡΕΠΕΙ ΝΑ ΦΥΛΑΣΣΕΤΑΙ ΣΕ ΘΕΣΗ ΤΗΝ ΟΠΟΙΑ </w:t>
      </w:r>
      <w:r>
        <w:rPr>
          <w:b/>
          <w:bCs/>
        </w:rPr>
        <w:t>ΔΕΝ ΒΛΕΠΟΥΝ ΚΑΙ ΔΕΝ ΠΡΟΣΕΓΓΙΖΟΥΝ ΤΑ ΠΑΙΔΙΑ</w:t>
      </w:r>
    </w:p>
    <w:p w14:paraId="797E00D7" w14:textId="77777777" w:rsidR="00422F80" w:rsidRPr="00564D92" w:rsidRDefault="00422F80" w:rsidP="00067FBE">
      <w:pPr>
        <w:spacing w:line="240" w:lineRule="auto"/>
        <w:rPr>
          <w:noProof/>
        </w:rPr>
      </w:pPr>
    </w:p>
    <w:p w14:paraId="797E00D8" w14:textId="77777777" w:rsidR="00422F80" w:rsidRPr="00564D92" w:rsidRDefault="001E1647" w:rsidP="00067FBE">
      <w:pPr>
        <w:tabs>
          <w:tab w:val="left" w:pos="749"/>
        </w:tabs>
        <w:spacing w:line="240" w:lineRule="auto"/>
        <w:rPr>
          <w:noProof/>
        </w:rPr>
      </w:pPr>
      <w:r>
        <w:t>Να φυλάσσεται σε θέση, την οποία δεν βλέπουν και δεν προσεγγίζουν τα παιδιά.</w:t>
      </w:r>
    </w:p>
    <w:p w14:paraId="797E00D9" w14:textId="77777777" w:rsidR="00422F80" w:rsidRPr="00564D92" w:rsidRDefault="00422F80" w:rsidP="00067FBE">
      <w:pPr>
        <w:spacing w:line="240" w:lineRule="auto"/>
        <w:rPr>
          <w:noProof/>
        </w:rPr>
      </w:pPr>
    </w:p>
    <w:p w14:paraId="797E00DA" w14:textId="77777777" w:rsidR="00422F80" w:rsidRPr="00564D92" w:rsidRDefault="00422F80" w:rsidP="00067FBE">
      <w:pPr>
        <w:spacing w:line="240" w:lineRule="auto"/>
        <w:rPr>
          <w:noProof/>
        </w:rPr>
      </w:pPr>
    </w:p>
    <w:p w14:paraId="797E00DB"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ΑΛΛΗ(ΕΣ) ΕΙΔΙΚΗ(ΕΣ) ΠΡΟΕΙΔΟΠΟΙΗΣΗ(ΕΙΣ), ΕΑΝ ΕΙΝΑΙ ΑΠΑΡΑΙΤΗΤΗ(ΕΣ)</w:t>
      </w:r>
    </w:p>
    <w:p w14:paraId="797E00DC" w14:textId="77777777" w:rsidR="00422F80" w:rsidRPr="00564D92" w:rsidRDefault="00422F80" w:rsidP="00067FBE">
      <w:pPr>
        <w:spacing w:line="240" w:lineRule="auto"/>
        <w:rPr>
          <w:noProof/>
        </w:rPr>
      </w:pPr>
    </w:p>
    <w:p w14:paraId="797E00DD" w14:textId="77777777" w:rsidR="00422F80" w:rsidRPr="00564D92" w:rsidRDefault="001E1647" w:rsidP="00067FBE">
      <w:pPr>
        <w:tabs>
          <w:tab w:val="left" w:pos="749"/>
        </w:tabs>
        <w:spacing w:line="240" w:lineRule="auto"/>
      </w:pPr>
      <w:r>
        <w:t>Χορηγείται με άδειο στομάχι, τουλάχιστον μία ώρα πριν από γεύμα ή δ</w:t>
      </w:r>
      <w:r>
        <w:t>ύο ώρες μετά από γεύμα, και τουλάχιστον μία ώρα πριν ή/και μετά από άλλο φαρμακευτικό προϊόν, τροφές, ή γάλα (βλ. παράγραφο 4.5).</w:t>
      </w:r>
    </w:p>
    <w:p w14:paraId="797E00DE" w14:textId="77777777" w:rsidR="00422F80" w:rsidRPr="00564D92" w:rsidRDefault="00422F80" w:rsidP="00067FBE">
      <w:pPr>
        <w:tabs>
          <w:tab w:val="left" w:pos="749"/>
        </w:tabs>
        <w:spacing w:line="240" w:lineRule="auto"/>
      </w:pPr>
    </w:p>
    <w:p w14:paraId="797E00DF" w14:textId="77777777" w:rsidR="00422F80" w:rsidRPr="00564D92" w:rsidRDefault="00422F80" w:rsidP="00067FBE">
      <w:pPr>
        <w:tabs>
          <w:tab w:val="left" w:pos="749"/>
        </w:tabs>
        <w:spacing w:line="240" w:lineRule="auto"/>
      </w:pPr>
    </w:p>
    <w:p w14:paraId="797E00E0"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ΗΜΕΡΟΜΗΝΙΑ ΛΗΞΗΣ</w:t>
      </w:r>
    </w:p>
    <w:p w14:paraId="797E00E1" w14:textId="77777777" w:rsidR="00422F80" w:rsidRPr="00564D92" w:rsidRDefault="00422F80" w:rsidP="00067FBE">
      <w:pPr>
        <w:spacing w:line="240" w:lineRule="auto"/>
      </w:pPr>
    </w:p>
    <w:p w14:paraId="797E00E2" w14:textId="77777777" w:rsidR="00422F80" w:rsidRPr="00564D92" w:rsidRDefault="001E1647" w:rsidP="00067FBE">
      <w:pPr>
        <w:spacing w:line="240" w:lineRule="auto"/>
        <w:rPr>
          <w:noProof/>
        </w:rPr>
      </w:pPr>
      <w:r>
        <w:t>ΛΗΞΗ/EXP</w:t>
      </w:r>
    </w:p>
    <w:p w14:paraId="797E00E3" w14:textId="77777777" w:rsidR="00422F80" w:rsidRPr="00564D92" w:rsidRDefault="00422F80" w:rsidP="00067FBE">
      <w:pPr>
        <w:spacing w:line="240" w:lineRule="auto"/>
        <w:rPr>
          <w:noProof/>
        </w:rPr>
      </w:pPr>
    </w:p>
    <w:p w14:paraId="797E00E4" w14:textId="77777777" w:rsidR="00422F80" w:rsidRPr="00564D92" w:rsidRDefault="00422F80" w:rsidP="00067FBE">
      <w:pPr>
        <w:spacing w:line="240" w:lineRule="auto"/>
        <w:rPr>
          <w:noProof/>
        </w:rPr>
      </w:pPr>
    </w:p>
    <w:p w14:paraId="797E00E5"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lastRenderedPageBreak/>
        <w:t>ΕΙΔΙΚΕΣ ΣΥΝΘΗΚΕΣ ΦΥΛΑΞΗΣ</w:t>
      </w:r>
    </w:p>
    <w:p w14:paraId="797E00E6" w14:textId="77777777" w:rsidR="00422F80" w:rsidRPr="00564D92" w:rsidRDefault="00422F80" w:rsidP="00067FBE">
      <w:pPr>
        <w:spacing w:line="240" w:lineRule="auto"/>
        <w:rPr>
          <w:noProof/>
        </w:rPr>
      </w:pPr>
    </w:p>
    <w:p w14:paraId="797E00E7" w14:textId="77777777" w:rsidR="00422F80" w:rsidRPr="00564D92" w:rsidRDefault="00422F80" w:rsidP="00067FBE">
      <w:pPr>
        <w:spacing w:line="240" w:lineRule="auto"/>
        <w:ind w:left="567" w:hanging="567"/>
        <w:rPr>
          <w:noProof/>
        </w:rPr>
      </w:pPr>
    </w:p>
    <w:p w14:paraId="797E00E8"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 xml:space="preserve">ΙΔΙΑΙΤΕΡΕΣ ΠΡΟΦΥΛΑΞΕΙΣ ΓΙΑ ΤΗΝ ΑΠΟΡΡΙΨΗ ΤΩΝ ΜΗ </w:t>
      </w:r>
      <w:r>
        <w:rPr>
          <w:b/>
          <w:bCs/>
        </w:rPr>
        <w:t>ΧΡΗΣΙΜΟΠΟΙΗΘΕΝΤΩΝ ΦΑΡΜΑΚΕΥΤΙΚΩΝ ΠΡΟΪΟΝΤΩΝ Ή ΤΩΝ ΥΠΟΛΕΙΜΜΑΤΩΝ ΠΟΥ ΠΡΟΕΡΧΟΝΤΑΙ ΑΠΟ ΑΥΤΑ, ΕΦΟΣΟΝ ΑΠΑΙΤΕΙΤΑΙ</w:t>
      </w:r>
    </w:p>
    <w:p w14:paraId="797E00E9" w14:textId="77777777" w:rsidR="00422F80" w:rsidRPr="00564D92" w:rsidRDefault="00422F80" w:rsidP="00067FBE">
      <w:pPr>
        <w:spacing w:line="240" w:lineRule="auto"/>
        <w:rPr>
          <w:noProof/>
        </w:rPr>
      </w:pPr>
    </w:p>
    <w:p w14:paraId="797E00EA" w14:textId="77777777" w:rsidR="00422F80" w:rsidRPr="00564D92" w:rsidRDefault="00422F80" w:rsidP="00067FBE">
      <w:pPr>
        <w:spacing w:line="240" w:lineRule="auto"/>
        <w:rPr>
          <w:noProof/>
        </w:rPr>
      </w:pPr>
    </w:p>
    <w:p w14:paraId="797E00EB"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ΟΝΟΜΑ ΚΑΙ ΔΙΕΥΘΥΝΣΗ ΚΑΤΟΧΟΥ ΤΗΣ ΑΔΕΙΑΣ ΚΥΚΛΟΦΟΡΙΑΣ</w:t>
      </w:r>
    </w:p>
    <w:p w14:paraId="797E00EC" w14:textId="77777777" w:rsidR="00422F80" w:rsidRPr="00564D92" w:rsidRDefault="00422F80" w:rsidP="00067FBE">
      <w:pPr>
        <w:spacing w:line="240" w:lineRule="auto"/>
        <w:rPr>
          <w:noProof/>
        </w:rPr>
      </w:pPr>
    </w:p>
    <w:p w14:paraId="797E00ED" w14:textId="0F2C1F8A" w:rsidR="00422F80" w:rsidRPr="00FF1FCF" w:rsidRDefault="007C397D" w:rsidP="00067FBE">
      <w:pPr>
        <w:rPr>
          <w:lang w:val="fr-LU"/>
        </w:rPr>
      </w:pPr>
      <w:proofErr w:type="spellStart"/>
      <w:r>
        <w:rPr>
          <w:lang w:val="fr-LU"/>
        </w:rPr>
        <w:t>Orphalan</w:t>
      </w:r>
      <w:proofErr w:type="spellEnd"/>
    </w:p>
    <w:p w14:paraId="0835BAD4" w14:textId="77777777" w:rsidR="008A619B" w:rsidRPr="002503BA" w:rsidRDefault="001E1647" w:rsidP="008A619B">
      <w:pPr>
        <w:rPr>
          <w:lang w:val="fr-FR"/>
        </w:rPr>
      </w:pPr>
      <w:r w:rsidRPr="002503BA">
        <w:rPr>
          <w:lang w:val="fr-FR"/>
        </w:rPr>
        <w:t>226 Boulevard Voltaire</w:t>
      </w:r>
    </w:p>
    <w:p w14:paraId="797E00F0" w14:textId="1EDF49E9" w:rsidR="00422F80" w:rsidRPr="00FF1FCF" w:rsidRDefault="001E1647" w:rsidP="00067FBE">
      <w:pPr>
        <w:rPr>
          <w:lang w:val="fr-LU"/>
        </w:rPr>
      </w:pPr>
      <w:r w:rsidRPr="00FF1FCF">
        <w:rPr>
          <w:lang w:val="fr-LU"/>
        </w:rPr>
        <w:t>7501</w:t>
      </w:r>
      <w:r>
        <w:rPr>
          <w:lang w:val="fr-LU"/>
        </w:rPr>
        <w:t>1</w:t>
      </w:r>
      <w:r w:rsidRPr="00FF1FCF">
        <w:rPr>
          <w:lang w:val="fr-LU"/>
        </w:rPr>
        <w:t xml:space="preserve"> Paris - </w:t>
      </w:r>
      <w:r>
        <w:t>Γαλλία</w:t>
      </w:r>
    </w:p>
    <w:p w14:paraId="797E00F1" w14:textId="77777777" w:rsidR="00422F80" w:rsidRPr="00FF1FCF" w:rsidRDefault="00422F80" w:rsidP="00067FBE">
      <w:pPr>
        <w:spacing w:line="240" w:lineRule="auto"/>
        <w:rPr>
          <w:noProof/>
          <w:lang w:val="fr-LU"/>
        </w:rPr>
      </w:pPr>
    </w:p>
    <w:p w14:paraId="797E00F2" w14:textId="77777777" w:rsidR="00422F80" w:rsidRPr="00FF1FCF" w:rsidRDefault="00422F80" w:rsidP="00067FBE">
      <w:pPr>
        <w:spacing w:line="240" w:lineRule="auto"/>
        <w:rPr>
          <w:noProof/>
          <w:lang w:val="fr-LU"/>
        </w:rPr>
      </w:pPr>
    </w:p>
    <w:p w14:paraId="797E00F3"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 xml:space="preserve">ΑΡΙΘΜΟΣ(ΟΙ) ΑΔΕΙΑΣ ΚΥΚΛΟΦΟΡΙΑΣ </w:t>
      </w:r>
    </w:p>
    <w:p w14:paraId="797E00F4" w14:textId="77777777" w:rsidR="00422F80" w:rsidRPr="00564D92" w:rsidRDefault="00422F80" w:rsidP="00067FBE">
      <w:pPr>
        <w:spacing w:line="240" w:lineRule="auto"/>
        <w:rPr>
          <w:noProof/>
        </w:rPr>
      </w:pPr>
    </w:p>
    <w:p w14:paraId="571177CD" w14:textId="2F1E506E" w:rsidR="00D24BAB" w:rsidRPr="00D24BAB" w:rsidRDefault="001E1647" w:rsidP="00D24BAB">
      <w:pPr>
        <w:spacing w:line="240" w:lineRule="auto"/>
        <w:rPr>
          <w:color w:val="000000"/>
        </w:rPr>
      </w:pPr>
      <w:r w:rsidRPr="00C34DB7">
        <w:rPr>
          <w:color w:val="000000"/>
        </w:rPr>
        <w:t>EU/1/17/1199/001</w:t>
      </w:r>
      <w:r w:rsidRPr="00BE297D">
        <w:rPr>
          <w:color w:val="000000"/>
        </w:rPr>
        <w:t xml:space="preserve"> </w:t>
      </w:r>
      <w:r w:rsidRPr="00D24BAB">
        <w:rPr>
          <w:color w:val="000000"/>
        </w:rPr>
        <w:t>72 επικαλυμμένα με λεπτό υμένιο δισκία</w:t>
      </w:r>
    </w:p>
    <w:p w14:paraId="797E00F5" w14:textId="542DC5BE" w:rsidR="00422F80" w:rsidRDefault="001E1647" w:rsidP="00D24BAB">
      <w:pPr>
        <w:spacing w:line="240" w:lineRule="auto"/>
        <w:rPr>
          <w:color w:val="000000"/>
        </w:rPr>
      </w:pPr>
      <w:r w:rsidRPr="00D24BAB">
        <w:rPr>
          <w:color w:val="000000"/>
        </w:rPr>
        <w:t>EU/1/17/1199/002 96 επικαλυμμένα με λεπτό υμένιο δισκία</w:t>
      </w:r>
    </w:p>
    <w:p w14:paraId="797E00F6" w14:textId="77777777" w:rsidR="00422F80" w:rsidRPr="00564D92" w:rsidRDefault="00422F80" w:rsidP="00067FBE">
      <w:pPr>
        <w:spacing w:line="240" w:lineRule="auto"/>
        <w:rPr>
          <w:noProof/>
        </w:rPr>
      </w:pPr>
    </w:p>
    <w:p w14:paraId="797E00F7" w14:textId="77777777" w:rsidR="00422F80" w:rsidRPr="00564D92" w:rsidRDefault="00422F80" w:rsidP="00067FBE">
      <w:pPr>
        <w:spacing w:line="240" w:lineRule="auto"/>
        <w:rPr>
          <w:noProof/>
        </w:rPr>
      </w:pPr>
    </w:p>
    <w:p w14:paraId="797E00F8"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ΑΡΙΘΜΟΣ ΠΑΡΤΙΔΑΣ</w:t>
      </w:r>
    </w:p>
    <w:p w14:paraId="797E00F9" w14:textId="77777777" w:rsidR="00422F80" w:rsidRPr="00564D92" w:rsidRDefault="00422F80" w:rsidP="00067FBE">
      <w:pPr>
        <w:spacing w:line="240" w:lineRule="auto"/>
        <w:rPr>
          <w:i/>
          <w:iCs/>
          <w:noProof/>
        </w:rPr>
      </w:pPr>
    </w:p>
    <w:p w14:paraId="797E00FA" w14:textId="77777777" w:rsidR="00422F80" w:rsidRPr="00564D92" w:rsidRDefault="001E1647" w:rsidP="00067FBE">
      <w:pPr>
        <w:spacing w:line="240" w:lineRule="auto"/>
        <w:rPr>
          <w:noProof/>
        </w:rPr>
      </w:pPr>
      <w:r>
        <w:t xml:space="preserve">Παρτίδα/Lot </w:t>
      </w:r>
    </w:p>
    <w:p w14:paraId="797E00FB" w14:textId="77777777" w:rsidR="00422F80" w:rsidRPr="00564D92" w:rsidRDefault="00422F80" w:rsidP="00067FBE">
      <w:pPr>
        <w:spacing w:line="240" w:lineRule="auto"/>
        <w:rPr>
          <w:noProof/>
        </w:rPr>
      </w:pPr>
    </w:p>
    <w:p w14:paraId="797E00FC" w14:textId="77777777" w:rsidR="00422F80" w:rsidRPr="00564D92" w:rsidRDefault="00422F80" w:rsidP="00067FBE">
      <w:pPr>
        <w:spacing w:line="240" w:lineRule="auto"/>
        <w:rPr>
          <w:noProof/>
        </w:rPr>
      </w:pPr>
    </w:p>
    <w:p w14:paraId="797E00FD"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ΓΕΝΙΚΗ ΚΑΤΑΤΑΞΗ ΓΙΑ ΤΗ ΔΙΑΘΕΣΗ</w:t>
      </w:r>
    </w:p>
    <w:p w14:paraId="797E00FE" w14:textId="77777777" w:rsidR="00422F80" w:rsidRPr="00564D92" w:rsidRDefault="00422F80" w:rsidP="00067FBE">
      <w:pPr>
        <w:spacing w:line="240" w:lineRule="auto"/>
        <w:rPr>
          <w:i/>
          <w:iCs/>
          <w:noProof/>
        </w:rPr>
      </w:pPr>
    </w:p>
    <w:p w14:paraId="797E00FF" w14:textId="77777777" w:rsidR="00422F80" w:rsidRPr="00564D92" w:rsidRDefault="00422F80" w:rsidP="00067FBE">
      <w:pPr>
        <w:spacing w:line="240" w:lineRule="auto"/>
        <w:rPr>
          <w:noProof/>
        </w:rPr>
      </w:pPr>
    </w:p>
    <w:p w14:paraId="797E0100"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ΟΔΗΓΙΕΣ ΧΡΗΣΗΣ</w:t>
      </w:r>
    </w:p>
    <w:p w14:paraId="797E0101" w14:textId="77777777" w:rsidR="00422F80" w:rsidRPr="00564D92" w:rsidRDefault="00422F80" w:rsidP="00067FBE">
      <w:pPr>
        <w:spacing w:line="240" w:lineRule="auto"/>
        <w:rPr>
          <w:noProof/>
        </w:rPr>
      </w:pPr>
    </w:p>
    <w:p w14:paraId="797E0102" w14:textId="77777777" w:rsidR="00422F80" w:rsidRPr="00564D92" w:rsidRDefault="00422F80" w:rsidP="00067FBE">
      <w:pPr>
        <w:spacing w:line="240" w:lineRule="auto"/>
        <w:rPr>
          <w:noProof/>
        </w:rPr>
      </w:pPr>
    </w:p>
    <w:p w14:paraId="797E0103"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 xml:space="preserve">ΠΛΗΡΟΦΟΡΙΕΣ ΣΕ </w:t>
      </w:r>
      <w:r>
        <w:rPr>
          <w:b/>
          <w:bCs/>
        </w:rPr>
        <w:t>BRAILLE</w:t>
      </w:r>
    </w:p>
    <w:p w14:paraId="797E0104" w14:textId="77777777" w:rsidR="00422F80" w:rsidRPr="00564D92" w:rsidRDefault="00422F80" w:rsidP="00067FBE">
      <w:pPr>
        <w:spacing w:line="240" w:lineRule="auto"/>
        <w:rPr>
          <w:noProof/>
        </w:rPr>
      </w:pPr>
    </w:p>
    <w:p w14:paraId="797E0105" w14:textId="77777777" w:rsidR="00422F80" w:rsidRPr="00564D92" w:rsidRDefault="001E1647" w:rsidP="00067FBE">
      <w:pPr>
        <w:rPr>
          <w:noProof/>
        </w:rPr>
      </w:pPr>
      <w:r>
        <w:t xml:space="preserve">Cuprior 150 mg </w:t>
      </w:r>
    </w:p>
    <w:p w14:paraId="797E0106" w14:textId="77777777" w:rsidR="00422F80" w:rsidRPr="00564D92" w:rsidRDefault="00422F80" w:rsidP="00067FBE">
      <w:pPr>
        <w:spacing w:line="240" w:lineRule="auto"/>
        <w:rPr>
          <w:noProof/>
          <w:shd w:val="clear" w:color="auto" w:fill="CCCCCC"/>
        </w:rPr>
      </w:pPr>
    </w:p>
    <w:p w14:paraId="797E0107" w14:textId="77777777" w:rsidR="00422F80" w:rsidRPr="00564D92" w:rsidRDefault="00422F80" w:rsidP="00067FBE">
      <w:pPr>
        <w:spacing w:line="240" w:lineRule="auto"/>
        <w:rPr>
          <w:noProof/>
          <w:shd w:val="clear" w:color="auto" w:fill="CCCCCC"/>
        </w:rPr>
      </w:pPr>
    </w:p>
    <w:p w14:paraId="797E0108"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ΜΟΝΑΔΙΚΟΣ ΑΝΑΓΝΩΡΙΣΤΙΚΟΣ ΚΩΔΙΚΟΣ – ΔΙΣΔΙΑΣΤΑΤΟΣ ΓΡΑΜΜΩΤΟΣ ΚΩΔΙΚΑΣ (2D)</w:t>
      </w:r>
    </w:p>
    <w:p w14:paraId="797E0109" w14:textId="77777777" w:rsidR="00422F80" w:rsidRPr="00564D92" w:rsidRDefault="00422F80" w:rsidP="00067FBE">
      <w:pPr>
        <w:tabs>
          <w:tab w:val="clear" w:pos="567"/>
        </w:tabs>
        <w:spacing w:line="240" w:lineRule="auto"/>
        <w:rPr>
          <w:noProof/>
        </w:rPr>
      </w:pPr>
    </w:p>
    <w:p w14:paraId="797E010A" w14:textId="77777777" w:rsidR="00422F80" w:rsidRPr="00564D92" w:rsidRDefault="001E1647" w:rsidP="00067FBE">
      <w:pPr>
        <w:rPr>
          <w:noProof/>
          <w:highlight w:val="lightGray"/>
        </w:rPr>
      </w:pPr>
      <w:r>
        <w:rPr>
          <w:noProof/>
          <w:highlight w:val="lightGray"/>
        </w:rPr>
        <w:t>Δισδιάστατος γραμμωτός κώδικας (2D) που φέρει τον περιληφθέντα μοναδικό αναγνωριστικό κωδικό.</w:t>
      </w:r>
    </w:p>
    <w:p w14:paraId="797E010B" w14:textId="77777777" w:rsidR="00422F80" w:rsidRPr="00564D92" w:rsidRDefault="00422F80" w:rsidP="00067FBE">
      <w:pPr>
        <w:tabs>
          <w:tab w:val="clear" w:pos="567"/>
        </w:tabs>
        <w:spacing w:line="240" w:lineRule="auto"/>
        <w:rPr>
          <w:noProof/>
        </w:rPr>
      </w:pPr>
    </w:p>
    <w:p w14:paraId="797E010C" w14:textId="77777777" w:rsidR="00422F80" w:rsidRPr="00564D92" w:rsidRDefault="00422F80" w:rsidP="00067FBE">
      <w:pPr>
        <w:tabs>
          <w:tab w:val="clear" w:pos="567"/>
        </w:tabs>
        <w:spacing w:line="240" w:lineRule="auto"/>
        <w:rPr>
          <w:noProof/>
        </w:rPr>
      </w:pPr>
    </w:p>
    <w:p w14:paraId="797E010D" w14:textId="77777777" w:rsidR="00422F80" w:rsidRPr="00831D01" w:rsidRDefault="001E1647" w:rsidP="00067FBE">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Pr>
          <w:b/>
          <w:bCs/>
        </w:rPr>
        <w:t xml:space="preserve">ΜΟΝΑΔΙΚΟΣ ΑΝΑΓΝΩΡΙΣΤΙΚΟΣ ΚΩΔΙΚΟΣ – ΔΕΔΟΜΕΝΑ </w:t>
      </w:r>
      <w:r>
        <w:rPr>
          <w:b/>
          <w:bCs/>
        </w:rPr>
        <w:t>ΑΝΑΓΝΩΣΙΜΑ ΑΠΟ ΤΟΝ ΑΝΘΡΩΠΟ</w:t>
      </w:r>
    </w:p>
    <w:p w14:paraId="797E010E" w14:textId="77777777" w:rsidR="00422F80" w:rsidRPr="00564D92" w:rsidRDefault="00422F80" w:rsidP="00067FBE">
      <w:pPr>
        <w:tabs>
          <w:tab w:val="clear" w:pos="567"/>
        </w:tabs>
        <w:spacing w:line="240" w:lineRule="auto"/>
        <w:rPr>
          <w:noProof/>
        </w:rPr>
      </w:pPr>
    </w:p>
    <w:p w14:paraId="797E010F" w14:textId="77777777" w:rsidR="00422F80" w:rsidRPr="00564D92" w:rsidRDefault="001E1647" w:rsidP="00067FBE">
      <w:pPr>
        <w:rPr>
          <w:color w:val="008000"/>
        </w:rPr>
      </w:pPr>
      <w:r>
        <w:t xml:space="preserve">PC: {αριθμός} </w:t>
      </w:r>
    </w:p>
    <w:p w14:paraId="797E0110" w14:textId="77777777" w:rsidR="00422F80" w:rsidRPr="00564D92" w:rsidRDefault="001E1647" w:rsidP="00067FBE">
      <w:r>
        <w:t xml:space="preserve">SN: {αριθμός} </w:t>
      </w:r>
    </w:p>
    <w:p w14:paraId="797E0111" w14:textId="77777777" w:rsidR="00422F80" w:rsidRPr="00564D92" w:rsidRDefault="001E1647" w:rsidP="00067FBE">
      <w:r>
        <w:t xml:space="preserve">NN: {αριθμός} </w:t>
      </w:r>
    </w:p>
    <w:p w14:paraId="797E0112" w14:textId="77777777" w:rsidR="00422F80" w:rsidRPr="00564D92" w:rsidRDefault="00422F80" w:rsidP="00067FBE">
      <w:pPr>
        <w:spacing w:line="240" w:lineRule="auto"/>
        <w:rPr>
          <w:noProof/>
        </w:rPr>
      </w:pPr>
    </w:p>
    <w:p w14:paraId="797E0113" w14:textId="77777777" w:rsidR="00422F80" w:rsidRPr="00564D92" w:rsidRDefault="00422F80" w:rsidP="00067FBE">
      <w:pPr>
        <w:spacing w:line="240" w:lineRule="auto"/>
        <w:rPr>
          <w:noProof/>
          <w:shd w:val="clear" w:color="auto" w:fill="CCCCCC"/>
        </w:rPr>
      </w:pPr>
    </w:p>
    <w:p w14:paraId="797E0114" w14:textId="77777777" w:rsidR="00422F80" w:rsidRPr="00564D92" w:rsidRDefault="001E1647" w:rsidP="00067FBE">
      <w:pPr>
        <w:spacing w:line="240" w:lineRule="auto"/>
        <w:rPr>
          <w:b/>
          <w:bCs/>
          <w:noProof/>
        </w:rPr>
      </w:pPr>
      <w:r>
        <w:br w:type="page"/>
      </w:r>
    </w:p>
    <w:p w14:paraId="797E0115" w14:textId="77777777" w:rsidR="00422F80" w:rsidRPr="00564D92" w:rsidRDefault="001E1647" w:rsidP="00067FBE">
      <w:pPr>
        <w:pBdr>
          <w:top w:val="single" w:sz="4" w:space="1" w:color="auto"/>
          <w:left w:val="single" w:sz="4" w:space="4" w:color="auto"/>
          <w:bottom w:val="single" w:sz="4" w:space="1" w:color="auto"/>
          <w:right w:val="single" w:sz="4" w:space="4" w:color="auto"/>
        </w:pBdr>
        <w:spacing w:line="240" w:lineRule="auto"/>
        <w:ind w:left="567" w:hanging="567"/>
        <w:rPr>
          <w:b/>
          <w:bCs/>
          <w:noProof/>
        </w:rPr>
      </w:pPr>
      <w:r>
        <w:rPr>
          <w:b/>
          <w:bCs/>
          <w:noProof/>
        </w:rPr>
        <w:lastRenderedPageBreak/>
        <w:t>ΕΛΑΧΙΣΤΕΣ ΕΝΔΕΙΞΕΙΣ ΠΟΥ ΠΡΕΠΕΙ ΝΑ ΑΝΑΓΡΑΦΟΝΤΑΙ ΣΤΙΣ ΣΥΣΚΕΥΑΣΙΕΣ ΚΥΨΕΛΗΣ (BLISTER) Ή ΣΤΙΣ ΤΑΙΝΙΕΣ (STRIPS)</w:t>
      </w:r>
    </w:p>
    <w:p w14:paraId="797E0116" w14:textId="77777777" w:rsidR="00422F80" w:rsidRPr="00564D92" w:rsidRDefault="00422F80" w:rsidP="00067FBE">
      <w:pPr>
        <w:pBdr>
          <w:top w:val="single" w:sz="4" w:space="1" w:color="auto"/>
          <w:left w:val="single" w:sz="4" w:space="4" w:color="auto"/>
          <w:bottom w:val="single" w:sz="4" w:space="1" w:color="auto"/>
          <w:right w:val="single" w:sz="4" w:space="4" w:color="auto"/>
        </w:pBdr>
        <w:spacing w:line="240" w:lineRule="auto"/>
        <w:ind w:left="567" w:hanging="567"/>
        <w:rPr>
          <w:b/>
          <w:bCs/>
          <w:noProof/>
        </w:rPr>
      </w:pPr>
    </w:p>
    <w:p w14:paraId="797E0117" w14:textId="77777777" w:rsidR="00422F80" w:rsidRPr="00564D92" w:rsidRDefault="001E1647" w:rsidP="00067FBE">
      <w:pPr>
        <w:pBdr>
          <w:top w:val="single" w:sz="4" w:space="1" w:color="auto"/>
          <w:left w:val="single" w:sz="4" w:space="4" w:color="auto"/>
          <w:bottom w:val="single" w:sz="4" w:space="1" w:color="auto"/>
          <w:right w:val="single" w:sz="4" w:space="4" w:color="auto"/>
        </w:pBdr>
        <w:spacing w:line="240" w:lineRule="auto"/>
        <w:ind w:left="567" w:hanging="567"/>
        <w:rPr>
          <w:b/>
          <w:bCs/>
          <w:noProof/>
        </w:rPr>
      </w:pPr>
      <w:r>
        <w:rPr>
          <w:b/>
          <w:bCs/>
          <w:noProof/>
        </w:rPr>
        <w:t>ΣΥΣΚΕΥΑΣΙΑ ΚΥΨΕΛΗΣ (BLISTER)</w:t>
      </w:r>
    </w:p>
    <w:p w14:paraId="797E0118" w14:textId="77777777" w:rsidR="00422F80" w:rsidRPr="00564D92" w:rsidRDefault="00422F80" w:rsidP="00067FBE">
      <w:pPr>
        <w:spacing w:line="240" w:lineRule="auto"/>
        <w:rPr>
          <w:noProof/>
        </w:rPr>
      </w:pPr>
    </w:p>
    <w:p w14:paraId="797E0119" w14:textId="77777777" w:rsidR="00422F80" w:rsidRPr="00564D92" w:rsidRDefault="00422F80" w:rsidP="00067FBE">
      <w:pPr>
        <w:spacing w:line="240" w:lineRule="auto"/>
        <w:rPr>
          <w:noProof/>
        </w:rPr>
      </w:pPr>
    </w:p>
    <w:p w14:paraId="797E011A" w14:textId="77777777" w:rsidR="00422F80" w:rsidRPr="00E91381" w:rsidRDefault="001E1647" w:rsidP="00067FBE">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bCs/>
          <w:noProof/>
        </w:rPr>
      </w:pPr>
      <w:r>
        <w:rPr>
          <w:b/>
          <w:bCs/>
          <w:noProof/>
        </w:rPr>
        <w:t xml:space="preserve">ΟΝΟΜΑΣΙΑ ΤΟΥ ΦΑΡΜΑΚΕΥΤΙΚΟΥ </w:t>
      </w:r>
      <w:r>
        <w:rPr>
          <w:b/>
          <w:bCs/>
          <w:noProof/>
        </w:rPr>
        <w:t>ΠΡΟΪΟΝΤΟΣ</w:t>
      </w:r>
    </w:p>
    <w:p w14:paraId="797E011B" w14:textId="77777777" w:rsidR="00422F80" w:rsidRPr="00564D92" w:rsidRDefault="00422F80" w:rsidP="00067FBE">
      <w:pPr>
        <w:spacing w:line="240" w:lineRule="auto"/>
        <w:rPr>
          <w:i/>
          <w:iCs/>
          <w:noProof/>
        </w:rPr>
      </w:pPr>
    </w:p>
    <w:p w14:paraId="797E011C" w14:textId="77777777" w:rsidR="00422F80" w:rsidRPr="00564D92" w:rsidRDefault="001E1647" w:rsidP="00067FBE">
      <w:pPr>
        <w:rPr>
          <w:noProof/>
        </w:rPr>
      </w:pPr>
      <w:r>
        <w:t>Cuprior 150 mg επικαλυμμένα με λεπτό υμένιο δισκία</w:t>
      </w:r>
    </w:p>
    <w:p w14:paraId="797E011D" w14:textId="77777777" w:rsidR="00422F80" w:rsidRPr="00564D92" w:rsidRDefault="001E1647" w:rsidP="00067FBE">
      <w:pPr>
        <w:spacing w:line="240" w:lineRule="auto"/>
        <w:rPr>
          <w:noProof/>
        </w:rPr>
      </w:pPr>
      <w:r>
        <w:t>τριεντίνη</w:t>
      </w:r>
    </w:p>
    <w:p w14:paraId="797E011E" w14:textId="77777777" w:rsidR="00422F80" w:rsidRPr="00564D92" w:rsidRDefault="00422F80" w:rsidP="00067FBE">
      <w:pPr>
        <w:spacing w:line="240" w:lineRule="auto"/>
      </w:pPr>
    </w:p>
    <w:p w14:paraId="797E011F" w14:textId="77777777" w:rsidR="00422F80" w:rsidRPr="00564D92" w:rsidRDefault="00422F80" w:rsidP="00067FBE">
      <w:pPr>
        <w:spacing w:line="240" w:lineRule="auto"/>
      </w:pPr>
    </w:p>
    <w:p w14:paraId="797E0120" w14:textId="77777777" w:rsidR="00422F80" w:rsidRPr="00E91381" w:rsidRDefault="001E1647" w:rsidP="00067FBE">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bCs/>
          <w:noProof/>
        </w:rPr>
      </w:pPr>
      <w:r>
        <w:rPr>
          <w:b/>
          <w:bCs/>
          <w:noProof/>
        </w:rPr>
        <w:t>ΟΝΟΜΑ ΚΑΤΟΧΟΥ ΤΗΣ ΑΔΕΙΑΣ ΚΥΚΛΟΦΟΡΙΑΣ</w:t>
      </w:r>
    </w:p>
    <w:p w14:paraId="797E0121" w14:textId="77777777" w:rsidR="00422F80" w:rsidRPr="00564D92" w:rsidRDefault="00422F80" w:rsidP="00067FBE">
      <w:pPr>
        <w:spacing w:line="240" w:lineRule="auto"/>
        <w:rPr>
          <w:noProof/>
        </w:rPr>
      </w:pPr>
    </w:p>
    <w:p w14:paraId="797E0122" w14:textId="2AC2B864" w:rsidR="00422F80" w:rsidRPr="00564D92" w:rsidRDefault="007C397D" w:rsidP="00067FBE">
      <w:proofErr w:type="spellStart"/>
      <w:r>
        <w:t>Orphalan</w:t>
      </w:r>
      <w:proofErr w:type="spellEnd"/>
    </w:p>
    <w:p w14:paraId="797E0123" w14:textId="77777777" w:rsidR="00422F80" w:rsidRPr="00564D92" w:rsidRDefault="00422F80" w:rsidP="00067FBE">
      <w:pPr>
        <w:spacing w:line="240" w:lineRule="auto"/>
        <w:rPr>
          <w:noProof/>
        </w:rPr>
      </w:pPr>
    </w:p>
    <w:p w14:paraId="797E0124" w14:textId="77777777" w:rsidR="00422F80" w:rsidRPr="00564D92" w:rsidRDefault="00422F80" w:rsidP="00067FBE">
      <w:pPr>
        <w:spacing w:line="240" w:lineRule="auto"/>
        <w:rPr>
          <w:noProof/>
        </w:rPr>
      </w:pPr>
    </w:p>
    <w:p w14:paraId="797E0125" w14:textId="77777777" w:rsidR="00422F80" w:rsidRPr="00564D92" w:rsidRDefault="001E1647" w:rsidP="00067FBE">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bCs/>
          <w:noProof/>
        </w:rPr>
      </w:pPr>
      <w:r>
        <w:rPr>
          <w:b/>
          <w:bCs/>
          <w:noProof/>
        </w:rPr>
        <w:t>ΗΜΕΡΟΜΗΝΙΑ ΛΗΞΗΣ</w:t>
      </w:r>
    </w:p>
    <w:p w14:paraId="797E0126" w14:textId="77777777" w:rsidR="00422F80" w:rsidRPr="00564D92" w:rsidRDefault="00422F80" w:rsidP="00067FBE">
      <w:pPr>
        <w:spacing w:line="240" w:lineRule="auto"/>
        <w:rPr>
          <w:noProof/>
        </w:rPr>
      </w:pPr>
    </w:p>
    <w:p w14:paraId="797E0127" w14:textId="77777777" w:rsidR="00422F80" w:rsidRPr="00564D92" w:rsidRDefault="001E1647" w:rsidP="00067FBE">
      <w:pPr>
        <w:spacing w:line="240" w:lineRule="auto"/>
        <w:rPr>
          <w:noProof/>
        </w:rPr>
      </w:pPr>
      <w:r>
        <w:t>ΛΗΞΗ/EXP</w:t>
      </w:r>
    </w:p>
    <w:p w14:paraId="797E0128" w14:textId="77777777" w:rsidR="00422F80" w:rsidRPr="00564D92" w:rsidRDefault="00422F80" w:rsidP="00067FBE">
      <w:pPr>
        <w:spacing w:line="240" w:lineRule="auto"/>
        <w:rPr>
          <w:noProof/>
        </w:rPr>
      </w:pPr>
    </w:p>
    <w:p w14:paraId="797E0129" w14:textId="77777777" w:rsidR="00422F80" w:rsidRPr="00564D92" w:rsidRDefault="00422F80" w:rsidP="00067FBE">
      <w:pPr>
        <w:spacing w:line="240" w:lineRule="auto"/>
        <w:rPr>
          <w:noProof/>
        </w:rPr>
      </w:pPr>
    </w:p>
    <w:p w14:paraId="797E012A" w14:textId="77777777" w:rsidR="00422F80" w:rsidRPr="00564D92" w:rsidRDefault="001E1647" w:rsidP="00067FBE">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bCs/>
          <w:noProof/>
        </w:rPr>
      </w:pPr>
      <w:r>
        <w:rPr>
          <w:b/>
          <w:bCs/>
          <w:noProof/>
        </w:rPr>
        <w:t>ΑΡΙΘΜΟΣ ΠΑΡΤΙΔΑΣ</w:t>
      </w:r>
    </w:p>
    <w:p w14:paraId="797E012B" w14:textId="77777777" w:rsidR="00422F80" w:rsidRPr="00564D92" w:rsidRDefault="00422F80" w:rsidP="00067FBE">
      <w:pPr>
        <w:spacing w:line="240" w:lineRule="auto"/>
        <w:rPr>
          <w:noProof/>
        </w:rPr>
      </w:pPr>
    </w:p>
    <w:p w14:paraId="797E012C" w14:textId="77777777" w:rsidR="00422F80" w:rsidRPr="00564D92" w:rsidRDefault="001E1647" w:rsidP="00067FBE">
      <w:pPr>
        <w:rPr>
          <w:noProof/>
        </w:rPr>
      </w:pPr>
      <w:r>
        <w:t>Παρτίδα/Lot</w:t>
      </w:r>
    </w:p>
    <w:p w14:paraId="797E012D" w14:textId="77777777" w:rsidR="00422F80" w:rsidRPr="00564D92" w:rsidRDefault="00422F80" w:rsidP="00067FBE">
      <w:pPr>
        <w:spacing w:line="240" w:lineRule="auto"/>
        <w:rPr>
          <w:noProof/>
        </w:rPr>
      </w:pPr>
    </w:p>
    <w:p w14:paraId="797E012E" w14:textId="77777777" w:rsidR="00422F80" w:rsidRPr="00564D92" w:rsidRDefault="00422F80" w:rsidP="00067FBE">
      <w:pPr>
        <w:spacing w:line="240" w:lineRule="auto"/>
        <w:rPr>
          <w:noProof/>
        </w:rPr>
      </w:pPr>
    </w:p>
    <w:p w14:paraId="797E012F" w14:textId="77777777" w:rsidR="00422F80" w:rsidRPr="00564D92" w:rsidRDefault="001E1647" w:rsidP="00067FBE">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bCs/>
          <w:noProof/>
        </w:rPr>
      </w:pPr>
      <w:r>
        <w:rPr>
          <w:b/>
          <w:bCs/>
          <w:noProof/>
        </w:rPr>
        <w:t>ΑΛΛΑ ΣΤΟΙΧΕΙΑ</w:t>
      </w:r>
    </w:p>
    <w:p w14:paraId="797E0130" w14:textId="77777777" w:rsidR="00422F80" w:rsidRPr="00564D92" w:rsidRDefault="00422F80" w:rsidP="00067FBE">
      <w:pPr>
        <w:spacing w:line="240" w:lineRule="auto"/>
        <w:rPr>
          <w:noProof/>
        </w:rPr>
      </w:pPr>
    </w:p>
    <w:p w14:paraId="797E0131" w14:textId="77777777" w:rsidR="00422F80" w:rsidRPr="00564D92" w:rsidRDefault="00422F80" w:rsidP="00067FBE">
      <w:pPr>
        <w:spacing w:line="240" w:lineRule="auto"/>
        <w:rPr>
          <w:noProof/>
        </w:rPr>
      </w:pPr>
    </w:p>
    <w:p w14:paraId="797E0132" w14:textId="77777777" w:rsidR="00422F80" w:rsidRPr="00564D92" w:rsidRDefault="001E1647" w:rsidP="00067FBE">
      <w:r>
        <w:br w:type="page"/>
      </w:r>
    </w:p>
    <w:p w14:paraId="797E0133" w14:textId="77777777" w:rsidR="00422F80" w:rsidRPr="00564D92" w:rsidRDefault="00422F80" w:rsidP="00067FBE">
      <w:pPr>
        <w:rPr>
          <w:noProof/>
        </w:rPr>
      </w:pPr>
    </w:p>
    <w:p w14:paraId="797E0134" w14:textId="77777777" w:rsidR="00422F80" w:rsidRPr="00564D92" w:rsidRDefault="00422F80" w:rsidP="00067FBE">
      <w:pPr>
        <w:rPr>
          <w:noProof/>
        </w:rPr>
      </w:pPr>
    </w:p>
    <w:p w14:paraId="797E0135" w14:textId="77777777" w:rsidR="00422F80" w:rsidRPr="00564D92" w:rsidRDefault="00422F80" w:rsidP="00067FBE">
      <w:pPr>
        <w:rPr>
          <w:noProof/>
        </w:rPr>
      </w:pPr>
    </w:p>
    <w:p w14:paraId="797E0136" w14:textId="77777777" w:rsidR="00422F80" w:rsidRPr="00564D92" w:rsidRDefault="00422F80" w:rsidP="00067FBE">
      <w:pPr>
        <w:rPr>
          <w:noProof/>
        </w:rPr>
      </w:pPr>
    </w:p>
    <w:p w14:paraId="797E0137" w14:textId="77777777" w:rsidR="00422F80" w:rsidRPr="00564D92" w:rsidRDefault="00422F80" w:rsidP="00067FBE">
      <w:pPr>
        <w:rPr>
          <w:noProof/>
        </w:rPr>
      </w:pPr>
    </w:p>
    <w:p w14:paraId="797E0138" w14:textId="77777777" w:rsidR="00422F80" w:rsidRPr="00564D92" w:rsidRDefault="00422F80" w:rsidP="00067FBE">
      <w:pPr>
        <w:rPr>
          <w:noProof/>
        </w:rPr>
      </w:pPr>
    </w:p>
    <w:p w14:paraId="797E0139" w14:textId="77777777" w:rsidR="00422F80" w:rsidRPr="00564D92" w:rsidRDefault="00422F80" w:rsidP="00067FBE">
      <w:pPr>
        <w:rPr>
          <w:noProof/>
        </w:rPr>
      </w:pPr>
    </w:p>
    <w:p w14:paraId="797E013A" w14:textId="77777777" w:rsidR="00422F80" w:rsidRPr="00564D92" w:rsidRDefault="00422F80" w:rsidP="00067FBE">
      <w:pPr>
        <w:rPr>
          <w:noProof/>
        </w:rPr>
      </w:pPr>
    </w:p>
    <w:p w14:paraId="797E013B" w14:textId="77777777" w:rsidR="00422F80" w:rsidRPr="00564D92" w:rsidRDefault="00422F80" w:rsidP="00067FBE">
      <w:pPr>
        <w:rPr>
          <w:noProof/>
        </w:rPr>
      </w:pPr>
    </w:p>
    <w:p w14:paraId="797E013C" w14:textId="77777777" w:rsidR="00422F80" w:rsidRPr="00564D92" w:rsidRDefault="00422F80" w:rsidP="00067FBE">
      <w:pPr>
        <w:rPr>
          <w:noProof/>
        </w:rPr>
      </w:pPr>
    </w:p>
    <w:p w14:paraId="797E013D" w14:textId="77777777" w:rsidR="00422F80" w:rsidRPr="00564D92" w:rsidRDefault="00422F80" w:rsidP="00067FBE">
      <w:pPr>
        <w:rPr>
          <w:noProof/>
        </w:rPr>
      </w:pPr>
    </w:p>
    <w:p w14:paraId="797E013E" w14:textId="77777777" w:rsidR="00422F80" w:rsidRPr="00564D92" w:rsidRDefault="00422F80" w:rsidP="00067FBE">
      <w:pPr>
        <w:rPr>
          <w:noProof/>
        </w:rPr>
      </w:pPr>
    </w:p>
    <w:p w14:paraId="797E013F" w14:textId="77777777" w:rsidR="00422F80" w:rsidRPr="00564D92" w:rsidRDefault="00422F80" w:rsidP="00067FBE">
      <w:pPr>
        <w:rPr>
          <w:noProof/>
        </w:rPr>
      </w:pPr>
    </w:p>
    <w:p w14:paraId="797E0140" w14:textId="77777777" w:rsidR="00422F80" w:rsidRPr="00564D92" w:rsidRDefault="00422F80" w:rsidP="00067FBE">
      <w:pPr>
        <w:rPr>
          <w:noProof/>
        </w:rPr>
      </w:pPr>
    </w:p>
    <w:p w14:paraId="797E0141" w14:textId="77777777" w:rsidR="00422F80" w:rsidRPr="00564D92" w:rsidRDefault="00422F80" w:rsidP="00067FBE">
      <w:pPr>
        <w:rPr>
          <w:noProof/>
        </w:rPr>
      </w:pPr>
    </w:p>
    <w:p w14:paraId="797E0142" w14:textId="77777777" w:rsidR="00422F80" w:rsidRPr="00564D92" w:rsidRDefault="00422F80" w:rsidP="00067FBE">
      <w:pPr>
        <w:rPr>
          <w:noProof/>
        </w:rPr>
      </w:pPr>
    </w:p>
    <w:p w14:paraId="797E0143" w14:textId="77777777" w:rsidR="00422F80" w:rsidRPr="00564D92" w:rsidRDefault="00422F80" w:rsidP="00067FBE">
      <w:pPr>
        <w:rPr>
          <w:noProof/>
        </w:rPr>
      </w:pPr>
    </w:p>
    <w:p w14:paraId="797E0144" w14:textId="77777777" w:rsidR="00422F80" w:rsidRPr="00564D92" w:rsidRDefault="00422F80" w:rsidP="00067FBE">
      <w:pPr>
        <w:rPr>
          <w:noProof/>
        </w:rPr>
      </w:pPr>
    </w:p>
    <w:p w14:paraId="797E0145" w14:textId="77777777" w:rsidR="00422F80" w:rsidRPr="00564D92" w:rsidRDefault="00422F80" w:rsidP="00067FBE">
      <w:pPr>
        <w:rPr>
          <w:noProof/>
        </w:rPr>
      </w:pPr>
    </w:p>
    <w:p w14:paraId="797E0146" w14:textId="77777777" w:rsidR="00422F80" w:rsidRPr="00564D92" w:rsidRDefault="00422F80" w:rsidP="00067FBE">
      <w:pPr>
        <w:rPr>
          <w:noProof/>
        </w:rPr>
      </w:pPr>
    </w:p>
    <w:p w14:paraId="797E0147" w14:textId="77777777" w:rsidR="00422F80" w:rsidRPr="00564D92" w:rsidRDefault="00422F80" w:rsidP="00067FBE">
      <w:pPr>
        <w:rPr>
          <w:noProof/>
        </w:rPr>
      </w:pPr>
    </w:p>
    <w:p w14:paraId="797E0148" w14:textId="77777777" w:rsidR="00422F80" w:rsidRPr="00564D92" w:rsidRDefault="00422F80" w:rsidP="00067FBE">
      <w:pPr>
        <w:rPr>
          <w:noProof/>
        </w:rPr>
      </w:pPr>
    </w:p>
    <w:p w14:paraId="797E0149" w14:textId="77777777" w:rsidR="00422F80" w:rsidRPr="002D3730" w:rsidRDefault="001E1647" w:rsidP="00067FBE">
      <w:pPr>
        <w:pStyle w:val="ListParagraph"/>
        <w:numPr>
          <w:ilvl w:val="0"/>
          <w:numId w:val="31"/>
        </w:numPr>
        <w:spacing w:line="240" w:lineRule="auto"/>
        <w:ind w:left="357" w:hanging="357"/>
        <w:jc w:val="center"/>
        <w:outlineLvl w:val="0"/>
        <w:rPr>
          <w:b/>
          <w:bCs/>
          <w:noProof/>
        </w:rPr>
      </w:pPr>
      <w:r>
        <w:rPr>
          <w:b/>
          <w:bCs/>
          <w:noProof/>
        </w:rPr>
        <w:t xml:space="preserve">ΦΥΛΛΟ </w:t>
      </w:r>
      <w:r>
        <w:rPr>
          <w:b/>
          <w:bCs/>
          <w:noProof/>
        </w:rPr>
        <w:t>ΟΔΗΓΙΩΝ ΧΡΗΣΗΣ</w:t>
      </w:r>
    </w:p>
    <w:p w14:paraId="797E014A" w14:textId="77777777" w:rsidR="00422F80" w:rsidRPr="00564D92" w:rsidRDefault="001E1647" w:rsidP="00067FBE">
      <w:pPr>
        <w:tabs>
          <w:tab w:val="clear" w:pos="567"/>
        </w:tabs>
        <w:spacing w:line="240" w:lineRule="auto"/>
        <w:jc w:val="center"/>
        <w:outlineLvl w:val="0"/>
        <w:rPr>
          <w:noProof/>
        </w:rPr>
      </w:pPr>
      <w:r>
        <w:br w:type="page"/>
      </w:r>
      <w:r>
        <w:rPr>
          <w:b/>
          <w:bCs/>
          <w:noProof/>
        </w:rPr>
        <w:lastRenderedPageBreak/>
        <w:t>Φύλλο οδηγιών: Πληροφορίες για τον ασθενή</w:t>
      </w:r>
    </w:p>
    <w:p w14:paraId="797E014B" w14:textId="77777777" w:rsidR="00422F80" w:rsidRPr="00564D92" w:rsidRDefault="00422F80" w:rsidP="00067FBE">
      <w:pPr>
        <w:numPr>
          <w:ilvl w:val="12"/>
          <w:numId w:val="0"/>
        </w:numPr>
        <w:shd w:val="clear" w:color="auto" w:fill="FFFFFF"/>
        <w:tabs>
          <w:tab w:val="clear" w:pos="567"/>
        </w:tabs>
        <w:spacing w:line="240" w:lineRule="auto"/>
        <w:jc w:val="center"/>
        <w:rPr>
          <w:noProof/>
        </w:rPr>
      </w:pPr>
    </w:p>
    <w:p w14:paraId="797E014C" w14:textId="77777777" w:rsidR="00422F80" w:rsidRPr="00564D92" w:rsidRDefault="001E1647" w:rsidP="00067FBE">
      <w:pPr>
        <w:jc w:val="center"/>
        <w:rPr>
          <w:b/>
          <w:bCs/>
          <w:noProof/>
        </w:rPr>
      </w:pPr>
      <w:r>
        <w:rPr>
          <w:b/>
          <w:bCs/>
          <w:noProof/>
        </w:rPr>
        <w:t xml:space="preserve">Cuprior 150 mg </w:t>
      </w:r>
      <w:r w:rsidRPr="00637A0F">
        <w:rPr>
          <w:b/>
          <w:bCs/>
        </w:rPr>
        <w:t>επικαλυμμένα με λεπτό υμένιο</w:t>
      </w:r>
      <w:r w:rsidRPr="00236D4A">
        <w:rPr>
          <w:b/>
          <w:bCs/>
        </w:rPr>
        <w:t xml:space="preserve"> </w:t>
      </w:r>
      <w:r>
        <w:rPr>
          <w:b/>
          <w:bCs/>
          <w:noProof/>
        </w:rPr>
        <w:t>δισκία</w:t>
      </w:r>
    </w:p>
    <w:p w14:paraId="797E014D" w14:textId="77777777" w:rsidR="00422F80" w:rsidRPr="00564D92" w:rsidRDefault="001E1647" w:rsidP="00067FBE">
      <w:pPr>
        <w:numPr>
          <w:ilvl w:val="12"/>
          <w:numId w:val="0"/>
        </w:numPr>
        <w:tabs>
          <w:tab w:val="clear" w:pos="567"/>
        </w:tabs>
        <w:spacing w:line="240" w:lineRule="auto"/>
        <w:jc w:val="center"/>
        <w:rPr>
          <w:noProof/>
        </w:rPr>
      </w:pPr>
      <w:r>
        <w:t>τριεντίνη</w:t>
      </w:r>
    </w:p>
    <w:p w14:paraId="797E014E" w14:textId="77777777" w:rsidR="00422F80" w:rsidRPr="00564D92" w:rsidRDefault="00422F80" w:rsidP="00067FBE">
      <w:pPr>
        <w:jc w:val="center"/>
      </w:pPr>
    </w:p>
    <w:p w14:paraId="797E014F" w14:textId="77777777" w:rsidR="00422F80" w:rsidRPr="0036776A" w:rsidRDefault="001E1647" w:rsidP="00067FBE">
      <w:r>
        <w:t xml:space="preserve">Οι πληροφορίες είναι επίσης διαθέσιμες σαρώνοντας τον παρακάτω κωδικό QR με smartphone ή ανατρέχοντας στον δικτυακό τόπο </w:t>
      </w:r>
      <w:r>
        <w:rPr>
          <w:i/>
          <w:iCs/>
          <w:noProof/>
          <w:highlight w:val="lightGray"/>
        </w:rPr>
        <w:t>να προστεθεί ο κωδικός QR</w:t>
      </w:r>
      <w:r w:rsidRPr="00236D4A">
        <w:rPr>
          <w:i/>
          <w:iCs/>
          <w:noProof/>
        </w:rPr>
        <w:t xml:space="preserve">  </w:t>
      </w:r>
      <w:hyperlink r:id="rId15" w:history="1">
        <w:r>
          <w:rPr>
            <w:rStyle w:val="Hyperlink"/>
          </w:rPr>
          <w:t>http://www.cuprior.com</w:t>
        </w:r>
      </w:hyperlink>
    </w:p>
    <w:p w14:paraId="797E0150" w14:textId="77777777" w:rsidR="00422F80" w:rsidRPr="00564D92" w:rsidRDefault="00422F80" w:rsidP="00067FBE">
      <w:pPr>
        <w:tabs>
          <w:tab w:val="clear" w:pos="567"/>
        </w:tabs>
        <w:spacing w:line="240" w:lineRule="auto"/>
        <w:rPr>
          <w:noProof/>
        </w:rPr>
      </w:pPr>
    </w:p>
    <w:p w14:paraId="797E0151" w14:textId="77777777" w:rsidR="00422F80" w:rsidRPr="00564D92" w:rsidRDefault="001E1647" w:rsidP="00067FBE">
      <w:pPr>
        <w:tabs>
          <w:tab w:val="clear" w:pos="567"/>
        </w:tabs>
        <w:suppressAutoHyphens/>
        <w:spacing w:line="240" w:lineRule="auto"/>
        <w:ind w:left="142" w:hanging="142"/>
        <w:rPr>
          <w:noProof/>
        </w:rPr>
      </w:pPr>
      <w:r>
        <w:rPr>
          <w:b/>
          <w:bCs/>
          <w:noProof/>
        </w:rPr>
        <w:t>Διαβάστε προσεκτικά ολόκληρο το φύλλο οδηγιώ</w:t>
      </w:r>
      <w:r>
        <w:rPr>
          <w:b/>
          <w:bCs/>
          <w:noProof/>
        </w:rPr>
        <w:t>ν χρήσης προτού αρχίσετε να παίρνετε αυτό το φάρμακο, διότι περιλαμβάνει σημαντικές πληροφορίες για σας.</w:t>
      </w:r>
    </w:p>
    <w:p w14:paraId="797E0152" w14:textId="77777777" w:rsidR="00422F80" w:rsidRPr="00564D92" w:rsidRDefault="001E1647" w:rsidP="00067FBE">
      <w:pPr>
        <w:numPr>
          <w:ilvl w:val="0"/>
          <w:numId w:val="3"/>
        </w:numPr>
        <w:tabs>
          <w:tab w:val="clear" w:pos="567"/>
        </w:tabs>
        <w:spacing w:line="240" w:lineRule="auto"/>
        <w:ind w:left="567" w:right="-2" w:hanging="567"/>
        <w:rPr>
          <w:noProof/>
        </w:rPr>
      </w:pPr>
      <w:r>
        <w:t xml:space="preserve">Φυλάξτε αυτό το φύλλο οδηγιών χρήσης. Ίσως χρειαστεί να το διαβάσετε ξανά. </w:t>
      </w:r>
    </w:p>
    <w:p w14:paraId="797E0153" w14:textId="77777777" w:rsidR="00422F80" w:rsidRPr="00564D92" w:rsidRDefault="001E1647" w:rsidP="00067FBE">
      <w:pPr>
        <w:numPr>
          <w:ilvl w:val="0"/>
          <w:numId w:val="3"/>
        </w:numPr>
        <w:tabs>
          <w:tab w:val="clear" w:pos="567"/>
        </w:tabs>
        <w:spacing w:line="240" w:lineRule="auto"/>
        <w:ind w:left="567" w:right="-2" w:hanging="567"/>
        <w:rPr>
          <w:noProof/>
        </w:rPr>
      </w:pPr>
      <w:r>
        <w:t>Εάν έχετε περαιτέρω απορίες, ρωτήστε τον γιατρό ή τον φαρμακοποιό σας.</w:t>
      </w:r>
    </w:p>
    <w:p w14:paraId="797E0154" w14:textId="77777777" w:rsidR="00422F80" w:rsidRPr="00564D92" w:rsidRDefault="001E1647" w:rsidP="00067FBE">
      <w:pPr>
        <w:spacing w:line="240" w:lineRule="auto"/>
        <w:ind w:left="567" w:right="-2" w:hanging="567"/>
        <w:rPr>
          <w:noProof/>
        </w:rPr>
      </w:pPr>
      <w:r>
        <w:t>-</w:t>
      </w:r>
      <w:r>
        <w:tab/>
        <w:t xml:space="preserve">Η </w:t>
      </w:r>
      <w:r>
        <w:t>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ασθένειας τους είναι ίδια με τα δικά σας.</w:t>
      </w:r>
    </w:p>
    <w:p w14:paraId="797E0155" w14:textId="77777777" w:rsidR="00422F80" w:rsidRPr="00564D92" w:rsidRDefault="001E1647" w:rsidP="00067FBE">
      <w:pPr>
        <w:numPr>
          <w:ilvl w:val="0"/>
          <w:numId w:val="3"/>
        </w:numPr>
        <w:spacing w:line="240" w:lineRule="auto"/>
        <w:ind w:left="567" w:hanging="567"/>
      </w:pPr>
      <w:r>
        <w:t>Εάν παρατηρήσετε κάποια ανεπιθύμητη ενέργεια</w:t>
      </w:r>
      <w:r>
        <w:t>, ενημερώστε τον γιατρό ή τον φαρμακοποιό σας.</w:t>
      </w:r>
      <w:r w:rsidRPr="00236D4A">
        <w:t xml:space="preserve"> </w:t>
      </w:r>
      <w:r>
        <w:t>Αυτό ισχύει και για κάθε πιθανή ανεπιθύμητη ενέργεια που δεν αναφέρεται στο παρόν φύλλο οδηγιών χρήσης. Βλέπε παράγραφο 4.</w:t>
      </w:r>
    </w:p>
    <w:p w14:paraId="797E0156" w14:textId="77777777" w:rsidR="00422F80" w:rsidRPr="00564D92" w:rsidRDefault="00422F80" w:rsidP="00067FBE">
      <w:pPr>
        <w:tabs>
          <w:tab w:val="clear" w:pos="567"/>
        </w:tabs>
        <w:spacing w:line="240" w:lineRule="auto"/>
        <w:ind w:right="-2"/>
      </w:pPr>
    </w:p>
    <w:p w14:paraId="797E0157" w14:textId="77777777" w:rsidR="00422F80" w:rsidRPr="00564D92" w:rsidRDefault="00422F80" w:rsidP="00067FBE">
      <w:pPr>
        <w:tabs>
          <w:tab w:val="clear" w:pos="567"/>
        </w:tabs>
        <w:spacing w:line="240" w:lineRule="auto"/>
        <w:ind w:right="-2"/>
        <w:rPr>
          <w:noProof/>
        </w:rPr>
      </w:pPr>
    </w:p>
    <w:p w14:paraId="797E0158" w14:textId="77777777" w:rsidR="00422F80" w:rsidRPr="00564D92" w:rsidRDefault="001E1647" w:rsidP="00067FBE">
      <w:pPr>
        <w:numPr>
          <w:ilvl w:val="12"/>
          <w:numId w:val="0"/>
        </w:numPr>
        <w:tabs>
          <w:tab w:val="clear" w:pos="567"/>
        </w:tabs>
        <w:spacing w:line="240" w:lineRule="auto"/>
        <w:ind w:right="-2"/>
        <w:rPr>
          <w:b/>
          <w:bCs/>
          <w:noProof/>
        </w:rPr>
      </w:pPr>
      <w:r>
        <w:rPr>
          <w:b/>
          <w:bCs/>
          <w:noProof/>
        </w:rPr>
        <w:t>Τι περιέχει το παρόν φύλλο οδηγιών</w:t>
      </w:r>
    </w:p>
    <w:p w14:paraId="797E0159" w14:textId="77777777" w:rsidR="00422F80" w:rsidRPr="00564D92" w:rsidRDefault="00422F80" w:rsidP="00067FBE">
      <w:pPr>
        <w:rPr>
          <w:noProof/>
        </w:rPr>
      </w:pPr>
    </w:p>
    <w:p w14:paraId="797E015A" w14:textId="77777777" w:rsidR="00422F80" w:rsidRPr="002D3730" w:rsidRDefault="001E1647" w:rsidP="00067FBE">
      <w:pPr>
        <w:pStyle w:val="ListParagraph"/>
        <w:numPr>
          <w:ilvl w:val="0"/>
          <w:numId w:val="32"/>
        </w:numPr>
        <w:tabs>
          <w:tab w:val="clear" w:pos="567"/>
          <w:tab w:val="left" w:pos="426"/>
        </w:tabs>
        <w:spacing w:line="240" w:lineRule="auto"/>
        <w:ind w:left="420" w:right="-28"/>
        <w:rPr>
          <w:noProof/>
        </w:rPr>
      </w:pPr>
      <w:r>
        <w:t xml:space="preserve">Τι είναι το Cuprior και ποια είναι η χρήση του </w:t>
      </w:r>
    </w:p>
    <w:p w14:paraId="797E015B" w14:textId="77777777" w:rsidR="00422F80" w:rsidRPr="002D3730" w:rsidRDefault="001E1647" w:rsidP="00067FBE">
      <w:pPr>
        <w:pStyle w:val="ListParagraph"/>
        <w:numPr>
          <w:ilvl w:val="0"/>
          <w:numId w:val="32"/>
        </w:numPr>
        <w:tabs>
          <w:tab w:val="clear" w:pos="567"/>
          <w:tab w:val="left" w:pos="426"/>
        </w:tabs>
        <w:spacing w:line="240" w:lineRule="auto"/>
        <w:ind w:left="420" w:right="-28"/>
        <w:rPr>
          <w:noProof/>
        </w:rPr>
      </w:pPr>
      <w:r>
        <w:t xml:space="preserve">Τι πρέπει να γνωρίζετε πριν πάρετε το Cuprior </w:t>
      </w:r>
    </w:p>
    <w:p w14:paraId="797E015C" w14:textId="77777777" w:rsidR="00422F80" w:rsidRPr="002D3730" w:rsidRDefault="001E1647" w:rsidP="00067FBE">
      <w:pPr>
        <w:pStyle w:val="ListParagraph"/>
        <w:numPr>
          <w:ilvl w:val="0"/>
          <w:numId w:val="32"/>
        </w:numPr>
        <w:tabs>
          <w:tab w:val="clear" w:pos="567"/>
          <w:tab w:val="left" w:pos="426"/>
        </w:tabs>
        <w:spacing w:line="240" w:lineRule="auto"/>
        <w:ind w:left="420" w:right="-28"/>
        <w:rPr>
          <w:noProof/>
        </w:rPr>
      </w:pPr>
      <w:r>
        <w:t xml:space="preserve">Πώς να πάρετε το Cuprior </w:t>
      </w:r>
    </w:p>
    <w:p w14:paraId="797E015D" w14:textId="77777777" w:rsidR="00422F80" w:rsidRPr="002D3730" w:rsidRDefault="001E1647" w:rsidP="00067FBE">
      <w:pPr>
        <w:pStyle w:val="ListParagraph"/>
        <w:numPr>
          <w:ilvl w:val="0"/>
          <w:numId w:val="32"/>
        </w:numPr>
        <w:tabs>
          <w:tab w:val="clear" w:pos="567"/>
          <w:tab w:val="left" w:pos="426"/>
        </w:tabs>
        <w:spacing w:line="240" w:lineRule="auto"/>
        <w:ind w:left="420" w:right="-28"/>
        <w:rPr>
          <w:noProof/>
        </w:rPr>
      </w:pPr>
      <w:r>
        <w:t xml:space="preserve">Πιθανές ανεπιθύμητες ενέργειες </w:t>
      </w:r>
    </w:p>
    <w:p w14:paraId="797E015E" w14:textId="77777777" w:rsidR="00422F80" w:rsidRPr="002D3730" w:rsidRDefault="001E1647" w:rsidP="00067FBE">
      <w:pPr>
        <w:pStyle w:val="ListParagraph"/>
        <w:numPr>
          <w:ilvl w:val="0"/>
          <w:numId w:val="32"/>
        </w:numPr>
        <w:tabs>
          <w:tab w:val="clear" w:pos="567"/>
          <w:tab w:val="left" w:pos="426"/>
        </w:tabs>
        <w:spacing w:line="240" w:lineRule="auto"/>
        <w:ind w:left="420" w:right="-28"/>
        <w:rPr>
          <w:noProof/>
        </w:rPr>
      </w:pPr>
      <w:r>
        <w:t xml:space="preserve">Πώς να φυλάσσετε το Cuprior </w:t>
      </w:r>
    </w:p>
    <w:p w14:paraId="797E015F" w14:textId="77777777" w:rsidR="00422F80" w:rsidRPr="002D3730" w:rsidRDefault="001E1647" w:rsidP="00067FBE">
      <w:pPr>
        <w:pStyle w:val="ListParagraph"/>
        <w:numPr>
          <w:ilvl w:val="0"/>
          <w:numId w:val="32"/>
        </w:numPr>
        <w:tabs>
          <w:tab w:val="clear" w:pos="567"/>
          <w:tab w:val="left" w:pos="426"/>
        </w:tabs>
        <w:spacing w:line="240" w:lineRule="auto"/>
        <w:ind w:left="420" w:right="-28"/>
        <w:rPr>
          <w:noProof/>
        </w:rPr>
      </w:pPr>
      <w:r>
        <w:t>Περιεχόμενο της συσκευασίας και λοιπές πληροφορίες</w:t>
      </w:r>
    </w:p>
    <w:p w14:paraId="797E0160" w14:textId="77777777" w:rsidR="00422F80" w:rsidRPr="00564D92" w:rsidRDefault="00422F80" w:rsidP="00067FBE">
      <w:pPr>
        <w:numPr>
          <w:ilvl w:val="12"/>
          <w:numId w:val="0"/>
        </w:numPr>
        <w:tabs>
          <w:tab w:val="clear" w:pos="567"/>
        </w:tabs>
        <w:spacing w:line="240" w:lineRule="auto"/>
        <w:ind w:right="-2"/>
        <w:rPr>
          <w:noProof/>
        </w:rPr>
      </w:pPr>
    </w:p>
    <w:p w14:paraId="797E0161" w14:textId="77777777" w:rsidR="00422F80" w:rsidRPr="00564D92" w:rsidRDefault="00422F80" w:rsidP="00067FBE">
      <w:pPr>
        <w:numPr>
          <w:ilvl w:val="12"/>
          <w:numId w:val="0"/>
        </w:numPr>
        <w:tabs>
          <w:tab w:val="clear" w:pos="567"/>
        </w:tabs>
        <w:spacing w:line="240" w:lineRule="auto"/>
        <w:rPr>
          <w:noProof/>
        </w:rPr>
      </w:pPr>
    </w:p>
    <w:p w14:paraId="797E0162" w14:textId="77777777" w:rsidR="00422F80" w:rsidRPr="006A16F5" w:rsidRDefault="001E1647" w:rsidP="00067FBE">
      <w:pPr>
        <w:pStyle w:val="ListParagraph"/>
        <w:numPr>
          <w:ilvl w:val="0"/>
          <w:numId w:val="33"/>
        </w:numPr>
        <w:tabs>
          <w:tab w:val="clear" w:pos="567"/>
        </w:tabs>
        <w:spacing w:line="240" w:lineRule="auto"/>
        <w:ind w:left="720"/>
        <w:outlineLvl w:val="0"/>
        <w:rPr>
          <w:b/>
          <w:bCs/>
          <w:noProof/>
        </w:rPr>
      </w:pPr>
      <w:r w:rsidRPr="006A16F5">
        <w:rPr>
          <w:b/>
          <w:bCs/>
          <w:noProof/>
        </w:rPr>
        <w:t>Τι είναι το Cuprior κ</w:t>
      </w:r>
      <w:r w:rsidRPr="006A16F5">
        <w:rPr>
          <w:b/>
          <w:bCs/>
          <w:noProof/>
        </w:rPr>
        <w:t>αι ποια είναι η χρήση του</w:t>
      </w:r>
    </w:p>
    <w:p w14:paraId="797E0163" w14:textId="77777777" w:rsidR="00422F80" w:rsidRPr="00564D92" w:rsidRDefault="00422F80" w:rsidP="00067FBE">
      <w:pPr>
        <w:numPr>
          <w:ilvl w:val="12"/>
          <w:numId w:val="0"/>
        </w:numPr>
        <w:tabs>
          <w:tab w:val="clear" w:pos="567"/>
        </w:tabs>
        <w:spacing w:line="240" w:lineRule="auto"/>
        <w:rPr>
          <w:noProof/>
        </w:rPr>
      </w:pPr>
    </w:p>
    <w:p w14:paraId="797E0164" w14:textId="77777777" w:rsidR="00422F80" w:rsidRPr="00564D92" w:rsidRDefault="001E1647" w:rsidP="00067FBE">
      <w:pPr>
        <w:numPr>
          <w:ilvl w:val="12"/>
          <w:numId w:val="0"/>
        </w:numPr>
        <w:tabs>
          <w:tab w:val="clear" w:pos="567"/>
        </w:tabs>
        <w:spacing w:line="240" w:lineRule="auto"/>
        <w:rPr>
          <w:noProof/>
        </w:rPr>
      </w:pPr>
      <w:r>
        <w:t xml:space="preserve">Το Cuprior είναι φάρμακο για τη θεραπεία της νόσου του Wilson το οποίο περιέχει τη δραστική ουσία τριεντίνη. </w:t>
      </w:r>
    </w:p>
    <w:p w14:paraId="797E0165" w14:textId="77777777" w:rsidR="00422F80" w:rsidRPr="00564D92" w:rsidRDefault="00422F80" w:rsidP="00067FBE">
      <w:pPr>
        <w:numPr>
          <w:ilvl w:val="12"/>
          <w:numId w:val="0"/>
        </w:numPr>
        <w:tabs>
          <w:tab w:val="clear" w:pos="567"/>
        </w:tabs>
        <w:spacing w:line="240" w:lineRule="auto"/>
        <w:rPr>
          <w:noProof/>
        </w:rPr>
      </w:pPr>
    </w:p>
    <w:p w14:paraId="797E0166" w14:textId="77777777" w:rsidR="00422F80" w:rsidRPr="00564D92" w:rsidRDefault="001E1647" w:rsidP="00067FBE">
      <w:pPr>
        <w:numPr>
          <w:ilvl w:val="12"/>
          <w:numId w:val="0"/>
        </w:numPr>
        <w:tabs>
          <w:tab w:val="clear" w:pos="567"/>
        </w:tabs>
        <w:spacing w:line="240" w:lineRule="auto"/>
        <w:rPr>
          <w:noProof/>
        </w:rPr>
      </w:pPr>
      <w:r>
        <w:t>Η νόσος του Wilson είναι μια κληρονομική ασθένεια στην οποία ο οργανισμός δεν μπορεί να μεταφέρει φυσιολογικά τον χαλκ</w:t>
      </w:r>
      <w:r>
        <w:t xml:space="preserve">ό σε όλο το σώμα ή να απομακρύνει τον χαλκό με φυσιολογικό τρόπο, ήτοι μέσω απέκκρισης από το ήπαρ στο έντερο. Αυτό σημαίνει ότι μικρές ποσότητες χαλκού από τα τρόφιμα και τα ποτά συσσωρεύονται σε υπερβολικά υψηλά επίπεδα, γεγονός που μπορεί να προκαλέσει </w:t>
      </w:r>
      <w:r>
        <w:t>βλάβη στο ήπαρ και προβλήματα στο νευρικό σύστημα. Το παρόν φαρμακευτικό προϊόν δρα κυρίως μέσω της δέσμευσής του στον χαλκό που υπάρχει στο σώμα επιτρέποντας έτσι την απομάκρυνσή του μέσω των ούρων και, κατ' επέκταση, τη μείωση των επιπέδων χαλκού. Μπορεί</w:t>
      </w:r>
      <w:r>
        <w:t xml:space="preserve"> επίσης να δεσμευτεί στον χαλκό που βρίσκεται στο έντερο, μειώνοντας έτσι την ποσότητα που απορροφάται από το σώμα. </w:t>
      </w:r>
    </w:p>
    <w:p w14:paraId="797E0167" w14:textId="77777777" w:rsidR="00422F80" w:rsidRPr="00564D92" w:rsidRDefault="001E1647" w:rsidP="00067FBE">
      <w:pPr>
        <w:numPr>
          <w:ilvl w:val="12"/>
          <w:numId w:val="0"/>
        </w:numPr>
        <w:tabs>
          <w:tab w:val="clear" w:pos="567"/>
        </w:tabs>
        <w:spacing w:line="240" w:lineRule="auto"/>
        <w:rPr>
          <w:noProof/>
        </w:rPr>
      </w:pPr>
      <w:r>
        <w:t xml:space="preserve">Το Cuprior χορηγείται σε ενήλικες, εφήβους και παιδιά ηλικίας άνω των 5 ετών που δεν είναι ανεκτικοί στο άλλο φαρμακευτικό προϊόν το οποίο </w:t>
      </w:r>
      <w:r>
        <w:t>χρησιμοποιείται για τη θεραπεία της συγκεκριμένης νόσου, την πενικιλλαμίνη.</w:t>
      </w:r>
    </w:p>
    <w:p w14:paraId="797E0168" w14:textId="77777777" w:rsidR="00422F80" w:rsidRPr="00564D92" w:rsidRDefault="00422F80" w:rsidP="00067FBE">
      <w:pPr>
        <w:tabs>
          <w:tab w:val="clear" w:pos="567"/>
        </w:tabs>
        <w:spacing w:line="240" w:lineRule="auto"/>
        <w:ind w:right="-2"/>
        <w:rPr>
          <w:noProof/>
        </w:rPr>
      </w:pPr>
    </w:p>
    <w:p w14:paraId="797E0169" w14:textId="77777777" w:rsidR="00422F80" w:rsidRPr="00564D92" w:rsidRDefault="00422F80" w:rsidP="00067FBE">
      <w:pPr>
        <w:tabs>
          <w:tab w:val="clear" w:pos="567"/>
        </w:tabs>
        <w:spacing w:line="240" w:lineRule="auto"/>
        <w:ind w:right="-2"/>
        <w:rPr>
          <w:noProof/>
        </w:rPr>
      </w:pPr>
    </w:p>
    <w:p w14:paraId="797E016A" w14:textId="77777777" w:rsidR="00422F80" w:rsidRPr="00564D92" w:rsidRDefault="001E1647" w:rsidP="00067FBE">
      <w:pPr>
        <w:pStyle w:val="ListParagraph"/>
        <w:numPr>
          <w:ilvl w:val="0"/>
          <w:numId w:val="33"/>
        </w:numPr>
        <w:tabs>
          <w:tab w:val="clear" w:pos="567"/>
        </w:tabs>
        <w:spacing w:line="240" w:lineRule="auto"/>
        <w:ind w:left="720"/>
        <w:outlineLvl w:val="0"/>
        <w:rPr>
          <w:b/>
          <w:bCs/>
          <w:noProof/>
        </w:rPr>
      </w:pPr>
      <w:r>
        <w:rPr>
          <w:b/>
          <w:bCs/>
          <w:noProof/>
        </w:rPr>
        <w:t xml:space="preserve">Τι πρέπει να γνωρίζετε προτού πάρετε το Cuprior </w:t>
      </w:r>
    </w:p>
    <w:p w14:paraId="797E016B" w14:textId="77777777" w:rsidR="00422F80" w:rsidRPr="00564D92" w:rsidRDefault="00422F80" w:rsidP="00067FBE">
      <w:pPr>
        <w:rPr>
          <w:noProof/>
        </w:rPr>
      </w:pPr>
    </w:p>
    <w:p w14:paraId="797E016C" w14:textId="77777777" w:rsidR="00422F80" w:rsidRPr="0063326F" w:rsidRDefault="001E1647" w:rsidP="00067FBE">
      <w:pPr>
        <w:numPr>
          <w:ilvl w:val="12"/>
          <w:numId w:val="0"/>
        </w:numPr>
        <w:tabs>
          <w:tab w:val="clear" w:pos="567"/>
        </w:tabs>
        <w:spacing w:line="240" w:lineRule="auto"/>
        <w:rPr>
          <w:b/>
          <w:bCs/>
        </w:rPr>
      </w:pPr>
      <w:r>
        <w:rPr>
          <w:b/>
          <w:bCs/>
        </w:rPr>
        <w:t>Μην πάρετε το Cuprior σε περίπτωση</w:t>
      </w:r>
    </w:p>
    <w:p w14:paraId="797E016D" w14:textId="77777777" w:rsidR="00422F80" w:rsidRPr="00564D92" w:rsidRDefault="001E1647" w:rsidP="00067FBE">
      <w:pPr>
        <w:numPr>
          <w:ilvl w:val="12"/>
          <w:numId w:val="0"/>
        </w:numPr>
        <w:tabs>
          <w:tab w:val="clear" w:pos="567"/>
        </w:tabs>
        <w:spacing w:line="240" w:lineRule="auto"/>
      </w:pPr>
      <w:r>
        <w:t xml:space="preserve">αλλεργίας στην τριεντίνη ή σε οποιοδήποτε άλλο από τα συστατικά αυτού του φαρμάκου (αναφέρονται στην παράγραφο 6) </w:t>
      </w:r>
    </w:p>
    <w:p w14:paraId="797E016E" w14:textId="77777777" w:rsidR="00422F80" w:rsidRPr="00564D92" w:rsidRDefault="00422F80" w:rsidP="00067FBE">
      <w:pPr>
        <w:numPr>
          <w:ilvl w:val="12"/>
          <w:numId w:val="0"/>
        </w:numPr>
        <w:tabs>
          <w:tab w:val="clear" w:pos="567"/>
        </w:tabs>
        <w:spacing w:line="240" w:lineRule="auto"/>
        <w:rPr>
          <w:noProof/>
        </w:rPr>
      </w:pPr>
    </w:p>
    <w:p w14:paraId="797E016F" w14:textId="77777777" w:rsidR="00422F80" w:rsidRPr="0063326F" w:rsidRDefault="001E1647" w:rsidP="00067FBE">
      <w:pPr>
        <w:numPr>
          <w:ilvl w:val="12"/>
          <w:numId w:val="0"/>
        </w:numPr>
        <w:tabs>
          <w:tab w:val="clear" w:pos="567"/>
        </w:tabs>
        <w:spacing w:line="240" w:lineRule="auto"/>
        <w:rPr>
          <w:b/>
          <w:bCs/>
        </w:rPr>
      </w:pPr>
      <w:r>
        <w:rPr>
          <w:b/>
          <w:bCs/>
        </w:rPr>
        <w:t xml:space="preserve">Προειδοποιήσεις και προφυλάξεις </w:t>
      </w:r>
    </w:p>
    <w:p w14:paraId="797E0170" w14:textId="77777777" w:rsidR="00422F80" w:rsidRPr="00564D92" w:rsidRDefault="001E1647" w:rsidP="00067FBE">
      <w:pPr>
        <w:numPr>
          <w:ilvl w:val="12"/>
          <w:numId w:val="0"/>
        </w:numPr>
        <w:tabs>
          <w:tab w:val="clear" w:pos="567"/>
        </w:tabs>
        <w:spacing w:line="240" w:lineRule="auto"/>
      </w:pPr>
      <w:r>
        <w:t>Απευθυνθείτε στον γιατρό ή τον φαρμακοποιό σας προτού πάρετε το Cuprior.</w:t>
      </w:r>
    </w:p>
    <w:p w14:paraId="797E0171" w14:textId="77777777" w:rsidR="00422F80" w:rsidRPr="00564D92" w:rsidRDefault="00422F80" w:rsidP="00067FBE">
      <w:pPr>
        <w:numPr>
          <w:ilvl w:val="12"/>
          <w:numId w:val="0"/>
        </w:numPr>
        <w:tabs>
          <w:tab w:val="clear" w:pos="567"/>
        </w:tabs>
        <w:spacing w:line="240" w:lineRule="auto"/>
        <w:rPr>
          <w:noProof/>
        </w:rPr>
      </w:pPr>
    </w:p>
    <w:p w14:paraId="797E0172" w14:textId="77777777" w:rsidR="00422F80" w:rsidRPr="00564D92" w:rsidRDefault="001E1647" w:rsidP="00067FBE">
      <w:pPr>
        <w:numPr>
          <w:ilvl w:val="12"/>
          <w:numId w:val="0"/>
        </w:numPr>
        <w:tabs>
          <w:tab w:val="clear" w:pos="567"/>
        </w:tabs>
        <w:spacing w:line="240" w:lineRule="auto"/>
        <w:rPr>
          <w:noProof/>
        </w:rPr>
      </w:pPr>
      <w:r>
        <w:t>Αν λαμβάνατε ήδη κάποιο άλλο φαρμ</w:t>
      </w:r>
      <w:r>
        <w:t xml:space="preserve">ακευτικό προϊόν που περιέχει τριεντίνη και ξεκινάτε θεραπεία με Cuprior, ο γιατρός σας ενδέχεται να τροποποιήσει την ημερήσια δόση σας, τον αριθμό δισκίων ή τον ημερήσιο αριθμό προσλήψεων του φαρμάκου. </w:t>
      </w:r>
    </w:p>
    <w:p w14:paraId="797E0173" w14:textId="77777777" w:rsidR="00422F80" w:rsidRPr="00564D92" w:rsidRDefault="00422F80" w:rsidP="00067FBE">
      <w:pPr>
        <w:numPr>
          <w:ilvl w:val="12"/>
          <w:numId w:val="0"/>
        </w:numPr>
        <w:tabs>
          <w:tab w:val="clear" w:pos="567"/>
        </w:tabs>
        <w:spacing w:line="240" w:lineRule="auto"/>
        <w:rPr>
          <w:noProof/>
        </w:rPr>
      </w:pPr>
    </w:p>
    <w:p w14:paraId="797E0174" w14:textId="77777777" w:rsidR="00422F80" w:rsidRPr="00564D92" w:rsidRDefault="001E1647" w:rsidP="00067FBE">
      <w:pPr>
        <w:numPr>
          <w:ilvl w:val="12"/>
          <w:numId w:val="0"/>
        </w:numPr>
        <w:tabs>
          <w:tab w:val="clear" w:pos="567"/>
        </w:tabs>
        <w:spacing w:line="240" w:lineRule="auto"/>
        <w:rPr>
          <w:noProof/>
        </w:rPr>
      </w:pPr>
      <w:r>
        <w:t>Τα συμπτώματά σας ενδέχεται αρχικά να επιδεινωθούν μ</w:t>
      </w:r>
      <w:r>
        <w:t>ετά την έναρξη της θεραπείας. Σε αυτήν την περίπτωση, ενημερώστε τον γιατρό σας.</w:t>
      </w:r>
    </w:p>
    <w:p w14:paraId="797E0175" w14:textId="77777777" w:rsidR="00422F80" w:rsidRPr="00564D92" w:rsidRDefault="00422F80" w:rsidP="00067FBE">
      <w:pPr>
        <w:numPr>
          <w:ilvl w:val="12"/>
          <w:numId w:val="0"/>
        </w:numPr>
        <w:tabs>
          <w:tab w:val="clear" w:pos="567"/>
        </w:tabs>
        <w:spacing w:line="240" w:lineRule="auto"/>
        <w:rPr>
          <w:noProof/>
        </w:rPr>
      </w:pPr>
    </w:p>
    <w:p w14:paraId="797E0176" w14:textId="77777777" w:rsidR="00422F80" w:rsidRPr="00564D92" w:rsidRDefault="001E1647" w:rsidP="00067FBE">
      <w:pPr>
        <w:numPr>
          <w:ilvl w:val="12"/>
          <w:numId w:val="0"/>
        </w:numPr>
        <w:tabs>
          <w:tab w:val="clear" w:pos="567"/>
        </w:tabs>
        <w:spacing w:line="240" w:lineRule="auto"/>
        <w:rPr>
          <w:noProof/>
        </w:rPr>
      </w:pPr>
      <w:r>
        <w:t>Ο γιατρός σας θα ελέγχει συστηματικά το αίμα και τα ούρα σας για να διασφαλιστεί ότι λαμβάνετε τη σωστή δόση του Cuprior που απαιτείται για τον ορθό έλεγχο των συμπτωμάτων σα</w:t>
      </w:r>
      <w:r>
        <w:t xml:space="preserve">ς και των επιπέδων χαλκού. </w:t>
      </w:r>
    </w:p>
    <w:p w14:paraId="797E0177" w14:textId="77777777" w:rsidR="00422F80" w:rsidRPr="00564D92" w:rsidRDefault="00422F80" w:rsidP="00067FBE">
      <w:pPr>
        <w:numPr>
          <w:ilvl w:val="12"/>
          <w:numId w:val="0"/>
        </w:numPr>
        <w:tabs>
          <w:tab w:val="clear" w:pos="567"/>
        </w:tabs>
        <w:spacing w:line="240" w:lineRule="auto"/>
        <w:rPr>
          <w:noProof/>
        </w:rPr>
      </w:pPr>
    </w:p>
    <w:p w14:paraId="797E0178" w14:textId="77777777" w:rsidR="00422F80" w:rsidRPr="00564D92" w:rsidRDefault="001E1647" w:rsidP="00067FBE">
      <w:pPr>
        <w:numPr>
          <w:ilvl w:val="12"/>
          <w:numId w:val="0"/>
        </w:numPr>
        <w:tabs>
          <w:tab w:val="clear" w:pos="567"/>
        </w:tabs>
        <w:spacing w:line="240" w:lineRule="auto"/>
        <w:rPr>
          <w:noProof/>
        </w:rPr>
      </w:pPr>
      <w:r>
        <w:t xml:space="preserve">Πρέπει να ενημερώσετε τον γιατρό σας εάν εμφανίσετε οποιαδήποτε ανεπιθύμητη ενέργεια διότι αποτελεί ίσως ένδειξη ότι η δόση του Cuprior που λαμβάνετε πρέπει να προσαρμοστεί προς τα πάνω ή προς τα κάτω. </w:t>
      </w:r>
    </w:p>
    <w:p w14:paraId="797E0179" w14:textId="77777777" w:rsidR="00422F80" w:rsidRPr="00564D92" w:rsidRDefault="00422F80" w:rsidP="00067FBE">
      <w:pPr>
        <w:numPr>
          <w:ilvl w:val="12"/>
          <w:numId w:val="0"/>
        </w:numPr>
        <w:tabs>
          <w:tab w:val="clear" w:pos="567"/>
        </w:tabs>
        <w:spacing w:line="240" w:lineRule="auto"/>
        <w:rPr>
          <w:noProof/>
        </w:rPr>
      </w:pPr>
    </w:p>
    <w:p w14:paraId="797E017A" w14:textId="77777777" w:rsidR="00422F80" w:rsidRPr="00564D92" w:rsidRDefault="001E1647" w:rsidP="00067FBE">
      <w:pPr>
        <w:numPr>
          <w:ilvl w:val="12"/>
          <w:numId w:val="0"/>
        </w:numPr>
        <w:tabs>
          <w:tab w:val="clear" w:pos="567"/>
        </w:tabs>
        <w:spacing w:line="240" w:lineRule="auto"/>
        <w:ind w:right="-2"/>
        <w:rPr>
          <w:noProof/>
        </w:rPr>
      </w:pPr>
      <w:r>
        <w:t xml:space="preserve">Το φαρμακευτικό προϊόν </w:t>
      </w:r>
      <w:r>
        <w:t>ενδέχεται επίσης να μειώσει το επίπεδο σιδήρου στο αίμα σας και ο γιατρός πιθανόν να σας συνταγογραφήσει συμπληρώματα σιδήρου (βλ. παράγραφο «Άλλα φάρμακα και Cuprior» ακολούθως).</w:t>
      </w:r>
    </w:p>
    <w:p w14:paraId="797E017B" w14:textId="77777777" w:rsidR="00422F80" w:rsidRPr="00564D92" w:rsidRDefault="00422F80" w:rsidP="00067FBE">
      <w:pPr>
        <w:numPr>
          <w:ilvl w:val="12"/>
          <w:numId w:val="0"/>
        </w:numPr>
        <w:tabs>
          <w:tab w:val="clear" w:pos="567"/>
        </w:tabs>
        <w:spacing w:line="240" w:lineRule="auto"/>
        <w:ind w:right="-2"/>
        <w:rPr>
          <w:noProof/>
        </w:rPr>
      </w:pPr>
    </w:p>
    <w:p w14:paraId="797E017C" w14:textId="77777777" w:rsidR="00422F80" w:rsidRPr="00564D92" w:rsidRDefault="001E1647" w:rsidP="00067FBE">
      <w:pPr>
        <w:numPr>
          <w:ilvl w:val="12"/>
          <w:numId w:val="0"/>
        </w:numPr>
        <w:tabs>
          <w:tab w:val="clear" w:pos="567"/>
        </w:tabs>
        <w:spacing w:line="240" w:lineRule="auto"/>
        <w:ind w:right="-2"/>
        <w:rPr>
          <w:noProof/>
        </w:rPr>
      </w:pPr>
      <w:r>
        <w:t>Εάν έχετε προβλήματα στους νεφρούς, ο γιατρός σας θα ελέγχει συστηματικά κα</w:t>
      </w:r>
      <w:r>
        <w:t>τά πόσον η θεραπευτική δόση είναι κατάλληλη και δεν επηρεάζει τη λειτουργία των νεφρών σας.</w:t>
      </w:r>
    </w:p>
    <w:p w14:paraId="797E017D" w14:textId="77777777" w:rsidR="00422F80" w:rsidRPr="00564D92" w:rsidRDefault="00422F80" w:rsidP="00067FBE">
      <w:pPr>
        <w:numPr>
          <w:ilvl w:val="12"/>
          <w:numId w:val="0"/>
        </w:numPr>
        <w:tabs>
          <w:tab w:val="clear" w:pos="567"/>
        </w:tabs>
        <w:spacing w:line="240" w:lineRule="auto"/>
        <w:ind w:right="-2"/>
        <w:rPr>
          <w:noProof/>
        </w:rPr>
      </w:pPr>
    </w:p>
    <w:p w14:paraId="797E017E" w14:textId="77777777" w:rsidR="00422F80" w:rsidRPr="00564D92" w:rsidRDefault="001E1647" w:rsidP="00067FBE">
      <w:pPr>
        <w:numPr>
          <w:ilvl w:val="12"/>
          <w:numId w:val="0"/>
        </w:numPr>
        <w:tabs>
          <w:tab w:val="clear" w:pos="567"/>
        </w:tabs>
        <w:spacing w:line="240" w:lineRule="auto"/>
        <w:ind w:right="-2"/>
        <w:rPr>
          <w:noProof/>
        </w:rPr>
      </w:pPr>
      <w:r>
        <w:t xml:space="preserve">Δεν συνιστάται ο συνδυασμός της τριεντίνης με άλλο φαρμακευτικό προϊόν που περιέχει ψευδάργυρο. </w:t>
      </w:r>
    </w:p>
    <w:p w14:paraId="797E017F" w14:textId="77777777" w:rsidR="00422F80" w:rsidRPr="00564D92" w:rsidRDefault="00422F80" w:rsidP="00067FBE">
      <w:pPr>
        <w:numPr>
          <w:ilvl w:val="12"/>
          <w:numId w:val="0"/>
        </w:numPr>
        <w:tabs>
          <w:tab w:val="clear" w:pos="567"/>
        </w:tabs>
        <w:spacing w:line="240" w:lineRule="auto"/>
        <w:ind w:right="-2"/>
        <w:rPr>
          <w:noProof/>
        </w:rPr>
      </w:pPr>
    </w:p>
    <w:p w14:paraId="797E0180" w14:textId="77777777" w:rsidR="00422F80" w:rsidRPr="000A5224" w:rsidRDefault="001E1647" w:rsidP="00067FBE">
      <w:pPr>
        <w:tabs>
          <w:tab w:val="clear" w:pos="567"/>
        </w:tabs>
        <w:autoSpaceDE w:val="0"/>
        <w:autoSpaceDN w:val="0"/>
        <w:adjustRightInd w:val="0"/>
        <w:spacing w:line="240" w:lineRule="auto"/>
      </w:pPr>
      <w:r>
        <w:t>Αντιδράσεις τύπου λύκου (συμπτώματα όπως εμμένον εξάνθημα, πυρετός, πόνος στις αρθρώσεις και κόπωση) έχουν αναφερθεί από ορισμένους ασθενείς οι οποίοι έλαβαν φαρμακευτικό προϊόν τριεντίνης μετά από θεραπεία με πενικιλλαμίνη. Ωστόσο, δεν ήταν εφικτό να καθο</w:t>
      </w:r>
      <w:r>
        <w:t xml:space="preserve">ριστεί κατά πόσον η αντίδραση οφειλόταν στην τριεντίνη ή στην προηγούμενη θεραπεία με πενικιλλαμίνη. </w:t>
      </w:r>
    </w:p>
    <w:p w14:paraId="797E0181" w14:textId="77777777" w:rsidR="00422F80" w:rsidRPr="00564D92" w:rsidRDefault="00422F80" w:rsidP="00067FBE">
      <w:pPr>
        <w:numPr>
          <w:ilvl w:val="12"/>
          <w:numId w:val="0"/>
        </w:numPr>
        <w:tabs>
          <w:tab w:val="clear" w:pos="567"/>
        </w:tabs>
        <w:spacing w:line="240" w:lineRule="auto"/>
        <w:ind w:right="-2"/>
        <w:rPr>
          <w:noProof/>
        </w:rPr>
      </w:pPr>
    </w:p>
    <w:p w14:paraId="797E0182" w14:textId="77777777" w:rsidR="00422F80" w:rsidRPr="000A5224" w:rsidRDefault="001E1647" w:rsidP="00067FBE">
      <w:pPr>
        <w:rPr>
          <w:b/>
          <w:bCs/>
        </w:rPr>
      </w:pPr>
      <w:r>
        <w:rPr>
          <w:b/>
          <w:bCs/>
        </w:rPr>
        <w:t>Παιδιά και έφηβοι</w:t>
      </w:r>
    </w:p>
    <w:p w14:paraId="797E0183" w14:textId="77777777" w:rsidR="00422F80" w:rsidRPr="00564D92" w:rsidRDefault="001E1647" w:rsidP="00067FBE">
      <w:pPr>
        <w:rPr>
          <w:noProof/>
        </w:rPr>
      </w:pPr>
      <w:r>
        <w:t>Ο γιατρός σας θα διενεργεί πιο συχνά ελέγχους ώστε να διασφαλιστεί η διατήρηση των κατάλληλων επιπέδων χαλκού που απαιτούνται για τη φυ</w:t>
      </w:r>
      <w:r>
        <w:t xml:space="preserve">σιολογική σωματική και νοητική ανάπτυξη. </w:t>
      </w:r>
    </w:p>
    <w:p w14:paraId="797E0184" w14:textId="77777777" w:rsidR="00422F80" w:rsidRPr="00564D92" w:rsidRDefault="001E1647" w:rsidP="00067FBE">
      <w:pPr>
        <w:rPr>
          <w:noProof/>
        </w:rPr>
      </w:pPr>
      <w:r>
        <w:t>Το φάρμακο αυτό δεν συνιστάται για παιδιά ηλικίας κάτω των 5 ετών.</w:t>
      </w:r>
    </w:p>
    <w:p w14:paraId="797E0185" w14:textId="77777777" w:rsidR="00422F80" w:rsidRPr="00564D92" w:rsidRDefault="00422F80" w:rsidP="00067FBE">
      <w:pPr>
        <w:rPr>
          <w:noProof/>
          <w:highlight w:val="yellow"/>
        </w:rPr>
      </w:pPr>
    </w:p>
    <w:p w14:paraId="797E0186" w14:textId="77777777" w:rsidR="00422F80" w:rsidRPr="00564D92" w:rsidRDefault="001E1647" w:rsidP="00067FBE">
      <w:pPr>
        <w:numPr>
          <w:ilvl w:val="12"/>
          <w:numId w:val="0"/>
        </w:numPr>
        <w:tabs>
          <w:tab w:val="clear" w:pos="567"/>
        </w:tabs>
        <w:spacing w:line="240" w:lineRule="auto"/>
        <w:ind w:right="-2"/>
      </w:pPr>
      <w:r>
        <w:rPr>
          <w:b/>
          <w:bCs/>
        </w:rPr>
        <w:t>Άλλα φάρμακα και Cuprior</w:t>
      </w:r>
    </w:p>
    <w:p w14:paraId="797E0187" w14:textId="77777777" w:rsidR="00422F80" w:rsidRPr="00564D92" w:rsidRDefault="001E1647" w:rsidP="00067FBE">
      <w:pPr>
        <w:numPr>
          <w:ilvl w:val="12"/>
          <w:numId w:val="0"/>
        </w:numPr>
        <w:tabs>
          <w:tab w:val="clear" w:pos="567"/>
        </w:tabs>
        <w:spacing w:line="240" w:lineRule="auto"/>
        <w:ind w:right="-2"/>
        <w:rPr>
          <w:noProof/>
        </w:rPr>
      </w:pPr>
      <w:r>
        <w:t xml:space="preserve">Ενημερώστε τον γιατρό σας εάν παίρνετε, έχετε πρόσφατα πάρει ή μπορεί να πάρετε άλλα φάρμακα. </w:t>
      </w:r>
    </w:p>
    <w:p w14:paraId="797E0188" w14:textId="77777777" w:rsidR="00422F80" w:rsidRPr="00564D92" w:rsidRDefault="00422F80" w:rsidP="00067FBE">
      <w:pPr>
        <w:numPr>
          <w:ilvl w:val="12"/>
          <w:numId w:val="0"/>
        </w:numPr>
        <w:tabs>
          <w:tab w:val="clear" w:pos="567"/>
        </w:tabs>
        <w:spacing w:line="240" w:lineRule="auto"/>
        <w:ind w:right="-2"/>
        <w:rPr>
          <w:noProof/>
        </w:rPr>
      </w:pPr>
    </w:p>
    <w:p w14:paraId="797E0189" w14:textId="77777777" w:rsidR="00422F80" w:rsidRPr="00564D92" w:rsidRDefault="001E1647" w:rsidP="00067FBE">
      <w:pPr>
        <w:rPr>
          <w:noProof/>
        </w:rPr>
      </w:pPr>
      <w:r>
        <w:t>Ειδικότερα, πρέπει να ενη</w:t>
      </w:r>
      <w:r>
        <w:t>μερώσετε τον γιατρό σας εάν λαμβάνετε ήδη συμπληρώματα σιδήρου ή εάν λαμβάνετε φαρμακευτικά μέσα κατά της δυσπεψίας (φάρμακα που μειώνουν την ενόχληση μετά το φαγητό). Εάν λαμβάνετε τέτοια φάρμακα, θα πρέπει να λαμβάνετε το Cuprior σε διαφορετική χρονική σ</w:t>
      </w:r>
      <w:r>
        <w:t>τιγμή εντός της ημέρας, ειδάλλως μειώνεται η αποτελεσματικότητα του Cuprior. Εάν λαμβάνετε συμπληρώματα σιδήρου, βεβαιωθείτε ότι έχουν μεσολαβήσει τουλάχιστον δύο ώρες μεταξύ της λήψης του Cuprior και της λήψης των συμπληρωμάτων σιδήρου.</w:t>
      </w:r>
    </w:p>
    <w:p w14:paraId="797E018A" w14:textId="77777777" w:rsidR="00422F80" w:rsidRPr="00564D92" w:rsidRDefault="00422F80" w:rsidP="00067FBE">
      <w:pPr>
        <w:rPr>
          <w:noProof/>
        </w:rPr>
      </w:pPr>
    </w:p>
    <w:p w14:paraId="797E018B" w14:textId="77777777" w:rsidR="00422F80" w:rsidRPr="00564D92" w:rsidRDefault="001E1647" w:rsidP="00067FBE">
      <w:pPr>
        <w:numPr>
          <w:ilvl w:val="12"/>
          <w:numId w:val="0"/>
        </w:numPr>
        <w:tabs>
          <w:tab w:val="clear" w:pos="567"/>
        </w:tabs>
        <w:spacing w:line="240" w:lineRule="auto"/>
        <w:rPr>
          <w:b/>
          <w:bCs/>
        </w:rPr>
      </w:pPr>
      <w:r>
        <w:rPr>
          <w:b/>
          <w:bCs/>
        </w:rPr>
        <w:t>Κύηση και θηλασμό</w:t>
      </w:r>
      <w:r>
        <w:rPr>
          <w:b/>
          <w:bCs/>
        </w:rPr>
        <w:t xml:space="preserve">ς </w:t>
      </w:r>
    </w:p>
    <w:p w14:paraId="797E018C" w14:textId="77777777" w:rsidR="00422F80" w:rsidRPr="00564D92" w:rsidRDefault="001E1647" w:rsidP="00067FBE">
      <w:pPr>
        <w:numPr>
          <w:ilvl w:val="12"/>
          <w:numId w:val="0"/>
        </w:numPr>
        <w:tabs>
          <w:tab w:val="clear" w:pos="567"/>
        </w:tabs>
        <w:spacing w:line="240" w:lineRule="auto"/>
        <w:rPr>
          <w:noProof/>
        </w:rPr>
      </w:pPr>
      <w:r>
        <w:t xml:space="preserve">Εάν είστε έγκυος ή θηλάζετε, νομίζετε ότι μπορεί να είστε έγκυος ή σχεδιάζετε να αποκτήσετε παιδί, ζητήστε τη συμβουλή του γιατρού σας πριν πάρετε αυτό το φάρμακο. </w:t>
      </w:r>
    </w:p>
    <w:p w14:paraId="797E018D" w14:textId="77777777" w:rsidR="00422F80" w:rsidRPr="00564D92" w:rsidRDefault="00422F80" w:rsidP="00067FBE">
      <w:pPr>
        <w:numPr>
          <w:ilvl w:val="12"/>
          <w:numId w:val="0"/>
        </w:numPr>
        <w:tabs>
          <w:tab w:val="clear" w:pos="567"/>
        </w:tabs>
        <w:spacing w:line="240" w:lineRule="auto"/>
      </w:pPr>
    </w:p>
    <w:p w14:paraId="797E018E" w14:textId="77777777" w:rsidR="00422F80" w:rsidRPr="00564D92" w:rsidRDefault="001E1647" w:rsidP="00067FBE">
      <w:pPr>
        <w:numPr>
          <w:ilvl w:val="12"/>
          <w:numId w:val="0"/>
        </w:numPr>
        <w:tabs>
          <w:tab w:val="clear" w:pos="567"/>
        </w:tabs>
        <w:spacing w:line="240" w:lineRule="auto"/>
      </w:pPr>
      <w:r>
        <w:t xml:space="preserve">Είναι πολύ σημαντικό να συνεχίσετε τη θεραπεία μείωσης του χαλκού κατά τη διάρκεια της </w:t>
      </w:r>
      <w:r>
        <w:t xml:space="preserve">εγκυμοσύνης. Πρέπει να συζητήσετε αναλυτικά με τον γιατρό σας σχετικά με τα δυνητικά οφέλη της θεραπείας έχοντας υπόψη τους κινδύνους που ενδέχεται να προκύψουν. Ο γιατρός σας θα σας συμβουλεύσει σχετικά με τη θεραπεία και τη δοσολογία που ενδείκνυται στη </w:t>
      </w:r>
      <w:r>
        <w:t>δική σας περίπτωση.</w:t>
      </w:r>
    </w:p>
    <w:p w14:paraId="797E018F" w14:textId="77777777" w:rsidR="00422F80" w:rsidRPr="00564D92" w:rsidRDefault="00422F80" w:rsidP="00067FBE">
      <w:pPr>
        <w:numPr>
          <w:ilvl w:val="12"/>
          <w:numId w:val="0"/>
        </w:numPr>
        <w:tabs>
          <w:tab w:val="clear" w:pos="567"/>
        </w:tabs>
        <w:spacing w:line="240" w:lineRule="auto"/>
        <w:rPr>
          <w:noProof/>
        </w:rPr>
      </w:pPr>
    </w:p>
    <w:p w14:paraId="797E0190" w14:textId="77777777" w:rsidR="00422F80" w:rsidRPr="00564D92" w:rsidRDefault="001E1647" w:rsidP="00067FBE">
      <w:pPr>
        <w:rPr>
          <w:noProof/>
        </w:rPr>
      </w:pPr>
      <w:r>
        <w:t xml:space="preserve">Εάν είστε έγκυος και λαμβάνετε το Cuprior, θα παρακολουθείστε  καθ’ όλη τη διάρκεια της εγκυμοσύνης σας για τυχόν επιδράσεις στο έμβρυο ή μεταβολές στα επίπεδα χαλκού στον οργανισμό σας. Μόλις γεννηθεί το μωρό σας, θα ελεγχθούν επίσης </w:t>
      </w:r>
      <w:r>
        <w:t xml:space="preserve">τα επίπεδα χαλκού στο αίμα του μωρού σας. </w:t>
      </w:r>
    </w:p>
    <w:p w14:paraId="797E0191" w14:textId="77777777" w:rsidR="00422F80" w:rsidRPr="00564D92" w:rsidRDefault="00422F80" w:rsidP="00067FBE">
      <w:pPr>
        <w:rPr>
          <w:noProof/>
        </w:rPr>
      </w:pPr>
    </w:p>
    <w:p w14:paraId="797E0192" w14:textId="77777777" w:rsidR="00422F80" w:rsidRPr="00564D92" w:rsidRDefault="001E1647" w:rsidP="00067FBE">
      <w:pPr>
        <w:rPr>
          <w:noProof/>
        </w:rPr>
      </w:pPr>
      <w:r>
        <w:t>Δεν είναι ακόμη γνωστό κατά πόσον το Cuprior μπορεί να περάσει στο μητρικό γάλα. Είναι σημαντικό να ενημερώσετε τον γιατρό σας εάν θηλάζετε ή σχεδιάζετε να θηλάσετε. Ο γιατρός σας θα σας βοηθήσει να αποφασίσετε ε</w:t>
      </w:r>
      <w:r>
        <w:t>άν πρέπει να διακόψετε τον θηλασμό ή τη λήψη του Cuprior, εξετάζοντας τα οφέλη του θηλασμού για το βρέφος και τα οφέλη του Cuprior για τη μητέρα. Ο γιατρός σας θα αποφασίσει σχετικά με τη θεραπεία και τη δοσολογία που ενδείκνυται στη δική σας περίπτωση.</w:t>
      </w:r>
    </w:p>
    <w:p w14:paraId="797E0193" w14:textId="77777777" w:rsidR="00422F80" w:rsidRPr="00564D92" w:rsidRDefault="00422F80" w:rsidP="00067FBE">
      <w:pPr>
        <w:numPr>
          <w:ilvl w:val="12"/>
          <w:numId w:val="0"/>
        </w:numPr>
        <w:tabs>
          <w:tab w:val="clear" w:pos="567"/>
        </w:tabs>
        <w:spacing w:line="240" w:lineRule="auto"/>
        <w:rPr>
          <w:noProof/>
        </w:rPr>
      </w:pPr>
    </w:p>
    <w:p w14:paraId="797E0194" w14:textId="77777777" w:rsidR="00422F80" w:rsidRPr="0063326F" w:rsidRDefault="001E1647" w:rsidP="00067FBE">
      <w:pPr>
        <w:numPr>
          <w:ilvl w:val="12"/>
          <w:numId w:val="0"/>
        </w:numPr>
        <w:tabs>
          <w:tab w:val="clear" w:pos="567"/>
        </w:tabs>
        <w:spacing w:line="240" w:lineRule="auto"/>
        <w:rPr>
          <w:b/>
          <w:bCs/>
        </w:rPr>
      </w:pPr>
      <w:r>
        <w:rPr>
          <w:b/>
          <w:bCs/>
        </w:rPr>
        <w:t>Ο</w:t>
      </w:r>
      <w:r>
        <w:rPr>
          <w:b/>
          <w:bCs/>
        </w:rPr>
        <w:t>δήγηση και χειρισμός μηχανημάτων</w:t>
      </w:r>
    </w:p>
    <w:p w14:paraId="797E0195" w14:textId="77777777" w:rsidR="00422F80" w:rsidRPr="00564D92" w:rsidRDefault="001E1647" w:rsidP="00067FBE">
      <w:pPr>
        <w:numPr>
          <w:ilvl w:val="12"/>
          <w:numId w:val="0"/>
        </w:numPr>
        <w:tabs>
          <w:tab w:val="clear" w:pos="567"/>
        </w:tabs>
        <w:spacing w:line="240" w:lineRule="auto"/>
        <w:ind w:right="-2"/>
        <w:rPr>
          <w:noProof/>
        </w:rPr>
      </w:pPr>
      <w:r>
        <w:t>Το Cuprior δεν αναμένεται να επηρεάσει την ικανότητά σας να οδηγείτε αυτοκίνητο ή να χειρίζεστε εργαλεία ή μηχανές.</w:t>
      </w:r>
    </w:p>
    <w:p w14:paraId="797E0196" w14:textId="77777777" w:rsidR="00422F80" w:rsidRPr="00564D92" w:rsidRDefault="00422F80" w:rsidP="00067FBE">
      <w:pPr>
        <w:numPr>
          <w:ilvl w:val="12"/>
          <w:numId w:val="0"/>
        </w:numPr>
        <w:tabs>
          <w:tab w:val="clear" w:pos="567"/>
        </w:tabs>
        <w:spacing w:line="240" w:lineRule="auto"/>
        <w:ind w:right="-2"/>
        <w:rPr>
          <w:noProof/>
        </w:rPr>
      </w:pPr>
    </w:p>
    <w:p w14:paraId="797E0197" w14:textId="77777777" w:rsidR="00422F80" w:rsidRPr="00564D92" w:rsidRDefault="00422F80" w:rsidP="00067FBE">
      <w:pPr>
        <w:numPr>
          <w:ilvl w:val="12"/>
          <w:numId w:val="0"/>
        </w:numPr>
        <w:tabs>
          <w:tab w:val="clear" w:pos="567"/>
        </w:tabs>
        <w:spacing w:line="240" w:lineRule="auto"/>
        <w:ind w:right="-2"/>
        <w:rPr>
          <w:noProof/>
        </w:rPr>
      </w:pPr>
    </w:p>
    <w:p w14:paraId="797E0198" w14:textId="77777777" w:rsidR="00422F80" w:rsidRPr="00564D92" w:rsidRDefault="001E1647" w:rsidP="00067FBE">
      <w:pPr>
        <w:pStyle w:val="ListParagraph"/>
        <w:numPr>
          <w:ilvl w:val="0"/>
          <w:numId w:val="33"/>
        </w:numPr>
        <w:tabs>
          <w:tab w:val="clear" w:pos="567"/>
        </w:tabs>
        <w:spacing w:line="240" w:lineRule="auto"/>
        <w:ind w:left="720"/>
        <w:outlineLvl w:val="0"/>
        <w:rPr>
          <w:b/>
          <w:bCs/>
          <w:noProof/>
        </w:rPr>
      </w:pPr>
      <w:r>
        <w:rPr>
          <w:b/>
          <w:bCs/>
          <w:noProof/>
        </w:rPr>
        <w:t>Πώς να πάρετε το Cuprior</w:t>
      </w:r>
    </w:p>
    <w:p w14:paraId="797E0199" w14:textId="77777777" w:rsidR="00422F80" w:rsidRPr="00564D92" w:rsidRDefault="00422F80" w:rsidP="00067FBE">
      <w:pPr>
        <w:numPr>
          <w:ilvl w:val="12"/>
          <w:numId w:val="0"/>
        </w:numPr>
        <w:tabs>
          <w:tab w:val="clear" w:pos="567"/>
        </w:tabs>
        <w:spacing w:line="240" w:lineRule="auto"/>
        <w:ind w:right="-2"/>
        <w:rPr>
          <w:noProof/>
        </w:rPr>
      </w:pPr>
    </w:p>
    <w:p w14:paraId="797E019A" w14:textId="77777777" w:rsidR="00422F80" w:rsidRPr="00564D92" w:rsidRDefault="001E1647" w:rsidP="00067FBE">
      <w:pPr>
        <w:numPr>
          <w:ilvl w:val="12"/>
          <w:numId w:val="0"/>
        </w:numPr>
        <w:tabs>
          <w:tab w:val="clear" w:pos="567"/>
        </w:tabs>
        <w:spacing w:line="240" w:lineRule="auto"/>
        <w:ind w:right="-2"/>
        <w:rPr>
          <w:noProof/>
        </w:rPr>
      </w:pPr>
      <w:r>
        <w:t xml:space="preserve">Πάντοτε να παίρνετε αυτό το φάρμακο αυστηρά σύμφωνα με τις οδηγίες του γιατρού σας ή του φαρμακοποιού. Εάν έχετε αμφιβολίες, ρωτήστε τον γιατρό ή το φαρμακοποιό σας. </w:t>
      </w:r>
    </w:p>
    <w:p w14:paraId="797E019B" w14:textId="77777777" w:rsidR="00422F80" w:rsidRPr="00564D92" w:rsidRDefault="00422F80" w:rsidP="00067FBE">
      <w:pPr>
        <w:numPr>
          <w:ilvl w:val="12"/>
          <w:numId w:val="0"/>
        </w:numPr>
        <w:tabs>
          <w:tab w:val="clear" w:pos="567"/>
        </w:tabs>
        <w:spacing w:line="240" w:lineRule="auto"/>
        <w:ind w:right="-2"/>
        <w:rPr>
          <w:noProof/>
        </w:rPr>
      </w:pPr>
    </w:p>
    <w:p w14:paraId="797E019C" w14:textId="77777777" w:rsidR="00422F80" w:rsidRPr="00564D92" w:rsidRDefault="001E1647" w:rsidP="00067FBE">
      <w:pPr>
        <w:numPr>
          <w:ilvl w:val="12"/>
          <w:numId w:val="0"/>
        </w:numPr>
        <w:tabs>
          <w:tab w:val="clear" w:pos="567"/>
        </w:tabs>
        <w:spacing w:line="240" w:lineRule="auto"/>
        <w:ind w:right="-2"/>
        <w:rPr>
          <w:noProof/>
        </w:rPr>
      </w:pPr>
      <w:r>
        <w:t>Σε ενήλικες κάθε ηλικίας, η συνιστώμενη συνολική ημερήσια δόση είναι 3 έως 6</w:t>
      </w:r>
      <w:r>
        <w:rPr>
          <w:b/>
          <w:bCs/>
        </w:rPr>
        <w:t>½</w:t>
      </w:r>
      <w:r>
        <w:t xml:space="preserve"> δισκία ημερησίως (που αντιστοιχούν συνολικά σε 450 έως 975 mg). Η συνολική αυτή ημερήσια δόση θα κατανέμεται σε 2 έως 4 μικρότερες δόσεις που θα λαμβάνονται κατά τη διάρκεια της ημέρας. Ο γιατρός σας θα σας συστήνει πόσα δισκία και κάθε πότε θα πρέπει να </w:t>
      </w:r>
      <w:r>
        <w:t>τα λαμβάνετε εντός της ημέρας. Τα δισκία μπορούν να κοπούν στα δύο, εάν χρειαστεί.</w:t>
      </w:r>
    </w:p>
    <w:p w14:paraId="797E019D" w14:textId="77777777" w:rsidR="00422F80" w:rsidRPr="00564D92" w:rsidRDefault="00422F80" w:rsidP="00067FBE">
      <w:pPr>
        <w:rPr>
          <w:noProof/>
        </w:rPr>
      </w:pPr>
    </w:p>
    <w:p w14:paraId="797E019E" w14:textId="77777777" w:rsidR="00422F80" w:rsidRPr="00564D92" w:rsidRDefault="001E1647" w:rsidP="00067FBE">
      <w:pPr>
        <w:keepNext/>
        <w:autoSpaceDE w:val="0"/>
        <w:autoSpaceDN w:val="0"/>
        <w:adjustRightInd w:val="0"/>
        <w:spacing w:line="240" w:lineRule="auto"/>
        <w:rPr>
          <w:b/>
          <w:bCs/>
        </w:rPr>
      </w:pPr>
      <w:r>
        <w:rPr>
          <w:b/>
          <w:bCs/>
        </w:rPr>
        <w:t>Χρήση σε παιδιά και εφήβους</w:t>
      </w:r>
    </w:p>
    <w:p w14:paraId="797E019F" w14:textId="77777777" w:rsidR="00422F80" w:rsidRPr="00564D92" w:rsidRDefault="001E1647" w:rsidP="00067FBE">
      <w:pPr>
        <w:rPr>
          <w:noProof/>
        </w:rPr>
      </w:pPr>
      <w:r>
        <w:t>Η δόση που θα λαμβάνετε είναι συνήθως χαμηλότερη από τη δόση που χορηγείται σε έναν ενήλικα και εξαρτάται από την ηλικία και το σωματικό σας βάρ</w:t>
      </w:r>
      <w:r>
        <w:t xml:space="preserve">ος. </w:t>
      </w:r>
    </w:p>
    <w:p w14:paraId="797E01A0" w14:textId="77777777" w:rsidR="00422F80" w:rsidRDefault="001E1647" w:rsidP="00067FBE">
      <w:pPr>
        <w:numPr>
          <w:ilvl w:val="12"/>
          <w:numId w:val="0"/>
        </w:numPr>
        <w:tabs>
          <w:tab w:val="clear" w:pos="567"/>
        </w:tabs>
        <w:spacing w:line="240" w:lineRule="auto"/>
        <w:ind w:right="-2"/>
        <w:rPr>
          <w:noProof/>
        </w:rPr>
      </w:pPr>
      <w:r>
        <w:t>Η συνήθης συνολική ημερήσια δόση κυμαίνεται μεταξύ 225 και 600 mg (1</w:t>
      </w:r>
      <w:r>
        <w:rPr>
          <w:b/>
          <w:bCs/>
        </w:rPr>
        <w:t>½</w:t>
      </w:r>
      <w:r>
        <w:t xml:space="preserve"> έως 4 δισκία ημερησίως) και θα κατανέμεται σε 2 έως 4 μικρότερες δόσεις που θα λαμβάνονται κατά τη διάρκεια της ημέρας. Ο γιατρός σας θα σας συστήνει πόσα δισκία και κάθε πότε θα πρ</w:t>
      </w:r>
      <w:r>
        <w:t>έπει τα να λαμβάνετε εντός της ημέρας.</w:t>
      </w:r>
    </w:p>
    <w:p w14:paraId="797E01A1" w14:textId="77777777" w:rsidR="00422F80" w:rsidRPr="00564D92" w:rsidRDefault="00422F80" w:rsidP="00067FBE">
      <w:pPr>
        <w:numPr>
          <w:ilvl w:val="12"/>
          <w:numId w:val="0"/>
        </w:numPr>
        <w:tabs>
          <w:tab w:val="clear" w:pos="567"/>
        </w:tabs>
        <w:spacing w:line="240" w:lineRule="auto"/>
        <w:ind w:right="-2"/>
        <w:rPr>
          <w:noProof/>
        </w:rPr>
      </w:pPr>
    </w:p>
    <w:p w14:paraId="797E01A2" w14:textId="77777777" w:rsidR="00422F80" w:rsidRPr="00564D92" w:rsidRDefault="001E1647" w:rsidP="00067FBE">
      <w:pPr>
        <w:rPr>
          <w:noProof/>
        </w:rPr>
      </w:pPr>
      <w:r>
        <w:t>Μόλις ξεκινήσετε τη θεραπεία, ο γιατρός σας ενδέχεται να προσαρμόσει τη δόση βάσει της απόκρισής σας στη θεραπεία.</w:t>
      </w:r>
    </w:p>
    <w:p w14:paraId="797E01A3" w14:textId="77777777" w:rsidR="00422F80" w:rsidRDefault="00422F80" w:rsidP="00067FBE">
      <w:pPr>
        <w:rPr>
          <w:noProof/>
        </w:rPr>
      </w:pPr>
    </w:p>
    <w:p w14:paraId="797E01A4" w14:textId="77777777" w:rsidR="00422F80" w:rsidRPr="00564D92" w:rsidRDefault="001E1647" w:rsidP="00067FBE">
      <w:r>
        <w:t>Καταπίνετε τα δισκία με νερό και με άδειο στομάχι, τουλάχιστον μία ώρα πριν από γεύμα ή δύο ώρες μετ</w:t>
      </w:r>
      <w:r>
        <w:t>ά από γεύμα, και τουλάχιστον μία ώρα πριν ή/και μετά από άλλο φαρμακευτικό προϊόν, τροφές, ή γάλα.</w:t>
      </w:r>
    </w:p>
    <w:p w14:paraId="797E01A5" w14:textId="77777777" w:rsidR="00422F80" w:rsidRDefault="00422F80" w:rsidP="00067FBE"/>
    <w:p w14:paraId="797E01A6" w14:textId="77777777" w:rsidR="00422F80" w:rsidRPr="00564D92" w:rsidRDefault="001E1647" w:rsidP="00067FBE">
      <w:pPr>
        <w:rPr>
          <w:noProof/>
        </w:rPr>
      </w:pPr>
      <w:r>
        <w:t>Εάν λαμβάνετε συμπληρώματα σιδήρου, θα πρέπει να τα λαμβάνετε τουλάχιστον δύο ώρες μετά τη λήψη της δόσης του Cuprior.</w:t>
      </w:r>
    </w:p>
    <w:p w14:paraId="797E01A7" w14:textId="77777777" w:rsidR="00422F80" w:rsidRPr="00564D92" w:rsidRDefault="00422F80" w:rsidP="00067FBE">
      <w:pPr>
        <w:numPr>
          <w:ilvl w:val="12"/>
          <w:numId w:val="0"/>
        </w:numPr>
        <w:tabs>
          <w:tab w:val="clear" w:pos="567"/>
        </w:tabs>
        <w:spacing w:line="240" w:lineRule="auto"/>
        <w:ind w:right="-2"/>
        <w:rPr>
          <w:noProof/>
        </w:rPr>
      </w:pPr>
    </w:p>
    <w:p w14:paraId="797E01A8" w14:textId="77777777" w:rsidR="00422F80" w:rsidRPr="0063326F" w:rsidRDefault="001E1647" w:rsidP="00067FBE">
      <w:pPr>
        <w:rPr>
          <w:b/>
          <w:bCs/>
        </w:rPr>
      </w:pPr>
      <w:r>
        <w:rPr>
          <w:b/>
          <w:bCs/>
        </w:rPr>
        <w:t>Εάν πάρετε μεγαλύτερη δόση Cuprior α</w:t>
      </w:r>
      <w:r>
        <w:rPr>
          <w:b/>
          <w:bCs/>
        </w:rPr>
        <w:t>πό την κανονική</w:t>
      </w:r>
    </w:p>
    <w:p w14:paraId="797E01A9" w14:textId="77777777" w:rsidR="00422F80" w:rsidRPr="00564D92" w:rsidRDefault="001E1647" w:rsidP="00067FBE">
      <w:r>
        <w:t>Λαμβάνετε το Cuprior μόνο όπως έχει συνταγογραφηθεί για εσάς. Εάν νομίζετε ότι λάβατε μεγαλύτερη δόση Cuprior από τη συνιστώμενη, επικοινωνήστε με τον γιατρό ή τον φαρμακοποιό σας.</w:t>
      </w:r>
    </w:p>
    <w:p w14:paraId="797E01AA" w14:textId="77777777" w:rsidR="00422F80" w:rsidRPr="00564D92" w:rsidRDefault="00422F80" w:rsidP="00067FBE">
      <w:pPr>
        <w:rPr>
          <w:noProof/>
        </w:rPr>
      </w:pPr>
    </w:p>
    <w:p w14:paraId="797E01AB" w14:textId="77777777" w:rsidR="00422F80" w:rsidRPr="0063326F" w:rsidRDefault="001E1647" w:rsidP="00067FBE">
      <w:pPr>
        <w:rPr>
          <w:b/>
          <w:bCs/>
        </w:rPr>
      </w:pPr>
      <w:r>
        <w:rPr>
          <w:b/>
          <w:bCs/>
        </w:rPr>
        <w:t>Εάν ξεχάσετε να πάρετε το Cuprior</w:t>
      </w:r>
    </w:p>
    <w:p w14:paraId="797E01AC" w14:textId="77777777" w:rsidR="00422F80" w:rsidRPr="00564D92" w:rsidRDefault="001E1647" w:rsidP="00067FBE">
      <w:pPr>
        <w:numPr>
          <w:ilvl w:val="12"/>
          <w:numId w:val="0"/>
        </w:numPr>
        <w:tabs>
          <w:tab w:val="clear" w:pos="567"/>
        </w:tabs>
        <w:spacing w:line="240" w:lineRule="auto"/>
        <w:ind w:right="-2"/>
        <w:rPr>
          <w:noProof/>
        </w:rPr>
      </w:pPr>
      <w:r>
        <w:t>Μην πάρετε διπλή δόση γι</w:t>
      </w:r>
      <w:r>
        <w:t>α να αναπληρώσετε τη δόση που ξεχάσατε. Πάρτε απλώς την επόμενη δόση σας τη συνήθη προγραμματισμένη ώρα.</w:t>
      </w:r>
    </w:p>
    <w:p w14:paraId="797E01AD" w14:textId="77777777" w:rsidR="00422F80" w:rsidRPr="00564D92" w:rsidRDefault="00422F80" w:rsidP="00067FBE">
      <w:pPr>
        <w:numPr>
          <w:ilvl w:val="12"/>
          <w:numId w:val="0"/>
        </w:numPr>
        <w:tabs>
          <w:tab w:val="clear" w:pos="567"/>
        </w:tabs>
        <w:spacing w:line="240" w:lineRule="auto"/>
        <w:ind w:right="-29"/>
        <w:rPr>
          <w:noProof/>
        </w:rPr>
      </w:pPr>
    </w:p>
    <w:p w14:paraId="797E01AE" w14:textId="77777777" w:rsidR="00422F80" w:rsidRPr="00564D92" w:rsidRDefault="001E1647" w:rsidP="00067FBE">
      <w:pPr>
        <w:numPr>
          <w:ilvl w:val="12"/>
          <w:numId w:val="0"/>
        </w:numPr>
        <w:tabs>
          <w:tab w:val="clear" w:pos="567"/>
        </w:tabs>
        <w:spacing w:line="240" w:lineRule="auto"/>
        <w:ind w:right="-2"/>
      </w:pPr>
      <w:r>
        <w:t>Εάν έχετε περισσότερες ερωτήσεις σχετικά με τη χρήση αυτού του φαρμάκου, ρωτήστε τον γιατρό ή τον φαρμακοποιό σας.</w:t>
      </w:r>
    </w:p>
    <w:p w14:paraId="797E01AF" w14:textId="77777777" w:rsidR="00422F80" w:rsidRPr="00564D92" w:rsidRDefault="00422F80" w:rsidP="00067FBE">
      <w:pPr>
        <w:numPr>
          <w:ilvl w:val="12"/>
          <w:numId w:val="0"/>
        </w:numPr>
        <w:tabs>
          <w:tab w:val="clear" w:pos="567"/>
        </w:tabs>
        <w:spacing w:line="240" w:lineRule="auto"/>
        <w:ind w:right="-2"/>
        <w:rPr>
          <w:noProof/>
        </w:rPr>
      </w:pPr>
    </w:p>
    <w:p w14:paraId="797E01B0" w14:textId="77777777" w:rsidR="00422F80" w:rsidRPr="00564D92" w:rsidRDefault="001E1647" w:rsidP="00067FBE">
      <w:pPr>
        <w:rPr>
          <w:b/>
          <w:bCs/>
        </w:rPr>
      </w:pPr>
      <w:r>
        <w:rPr>
          <w:b/>
          <w:bCs/>
        </w:rPr>
        <w:t xml:space="preserve">Εάν σταματήσετε να </w:t>
      </w:r>
      <w:r>
        <w:rPr>
          <w:b/>
          <w:bCs/>
        </w:rPr>
        <w:t>παίρνετε το Cuprior</w:t>
      </w:r>
    </w:p>
    <w:p w14:paraId="797E01B1" w14:textId="77777777" w:rsidR="00422F80" w:rsidRPr="00564D92" w:rsidRDefault="001E1647" w:rsidP="00067FBE">
      <w:pPr>
        <w:numPr>
          <w:ilvl w:val="12"/>
          <w:numId w:val="0"/>
        </w:numPr>
        <w:tabs>
          <w:tab w:val="clear" w:pos="567"/>
        </w:tabs>
        <w:spacing w:line="240" w:lineRule="auto"/>
        <w:ind w:right="-29"/>
        <w:rPr>
          <w:noProof/>
        </w:rPr>
      </w:pPr>
      <w:r>
        <w:t>Το φάρμακο αυτό συνιστάται για μακροχρόνια χρήση. Μην διακόπτετε τη θεραπεία χωρίς να συμβουλευτείτε τον γιατρό σας ακόμη και αν αισθάνεστε καλύτερα, διότι η νόσος του Wilson είναι μια διά βίου ασθένεια.</w:t>
      </w:r>
    </w:p>
    <w:p w14:paraId="797E01B2" w14:textId="77777777" w:rsidR="00422F80" w:rsidRPr="00564D92" w:rsidRDefault="00422F80" w:rsidP="00067FBE">
      <w:pPr>
        <w:numPr>
          <w:ilvl w:val="12"/>
          <w:numId w:val="0"/>
        </w:numPr>
        <w:tabs>
          <w:tab w:val="clear" w:pos="567"/>
        </w:tabs>
        <w:spacing w:line="240" w:lineRule="auto"/>
        <w:ind w:right="-29"/>
        <w:rPr>
          <w:noProof/>
          <w:highlight w:val="yellow"/>
        </w:rPr>
      </w:pPr>
    </w:p>
    <w:p w14:paraId="797E01B3" w14:textId="77777777" w:rsidR="00422F80" w:rsidRPr="00564D92" w:rsidRDefault="001E1647" w:rsidP="00067FBE">
      <w:pPr>
        <w:numPr>
          <w:ilvl w:val="12"/>
          <w:numId w:val="0"/>
        </w:numPr>
        <w:tabs>
          <w:tab w:val="clear" w:pos="567"/>
        </w:tabs>
        <w:spacing w:line="240" w:lineRule="auto"/>
        <w:ind w:right="-29"/>
      </w:pPr>
      <w:r>
        <w:t>Εάν έχετε περισσότερες ερωτήσει</w:t>
      </w:r>
      <w:r>
        <w:t>ς σχετικά με τη χρήση αυτού του φαρμάκου, ρωτήστε τον γιατρό ή τον φαρμακοποιό σας.</w:t>
      </w:r>
    </w:p>
    <w:p w14:paraId="797E01B4" w14:textId="77777777" w:rsidR="00422F80" w:rsidRPr="00564D92" w:rsidRDefault="00422F80" w:rsidP="00067FBE">
      <w:pPr>
        <w:numPr>
          <w:ilvl w:val="12"/>
          <w:numId w:val="0"/>
        </w:numPr>
        <w:tabs>
          <w:tab w:val="clear" w:pos="567"/>
        </w:tabs>
        <w:spacing w:line="240" w:lineRule="auto"/>
      </w:pPr>
    </w:p>
    <w:p w14:paraId="797E01B5" w14:textId="77777777" w:rsidR="00422F80" w:rsidRPr="00564D92" w:rsidRDefault="00422F80" w:rsidP="00067FBE">
      <w:pPr>
        <w:numPr>
          <w:ilvl w:val="12"/>
          <w:numId w:val="0"/>
        </w:numPr>
        <w:tabs>
          <w:tab w:val="clear" w:pos="567"/>
        </w:tabs>
        <w:spacing w:line="240" w:lineRule="auto"/>
      </w:pPr>
    </w:p>
    <w:p w14:paraId="797E01B6" w14:textId="77777777" w:rsidR="00422F80" w:rsidRPr="0063326F" w:rsidRDefault="001E1647" w:rsidP="00067FBE">
      <w:pPr>
        <w:pStyle w:val="ListParagraph"/>
        <w:numPr>
          <w:ilvl w:val="0"/>
          <w:numId w:val="33"/>
        </w:numPr>
        <w:tabs>
          <w:tab w:val="clear" w:pos="567"/>
        </w:tabs>
        <w:spacing w:line="240" w:lineRule="auto"/>
        <w:ind w:left="720"/>
        <w:outlineLvl w:val="0"/>
        <w:rPr>
          <w:b/>
          <w:bCs/>
          <w:noProof/>
        </w:rPr>
      </w:pPr>
      <w:r>
        <w:rPr>
          <w:b/>
          <w:bCs/>
          <w:noProof/>
        </w:rPr>
        <w:t>Πιθανές ανεπιθύμητες ενέργειες</w:t>
      </w:r>
    </w:p>
    <w:p w14:paraId="797E01B7" w14:textId="77777777" w:rsidR="00422F80" w:rsidRPr="00564D92" w:rsidRDefault="00422F80" w:rsidP="00067FBE">
      <w:pPr>
        <w:numPr>
          <w:ilvl w:val="12"/>
          <w:numId w:val="0"/>
        </w:numPr>
        <w:tabs>
          <w:tab w:val="clear" w:pos="567"/>
        </w:tabs>
        <w:spacing w:line="240" w:lineRule="auto"/>
      </w:pPr>
    </w:p>
    <w:p w14:paraId="797E01B8" w14:textId="77777777" w:rsidR="00422F80" w:rsidRPr="00564D92" w:rsidRDefault="001E1647" w:rsidP="00067FBE">
      <w:pPr>
        <w:numPr>
          <w:ilvl w:val="12"/>
          <w:numId w:val="0"/>
        </w:numPr>
        <w:tabs>
          <w:tab w:val="clear" w:pos="567"/>
        </w:tabs>
        <w:spacing w:line="240" w:lineRule="auto"/>
        <w:ind w:right="-29"/>
        <w:rPr>
          <w:noProof/>
        </w:rPr>
      </w:pPr>
      <w:r>
        <w:t>Όπως όλα τα φάρμακα, έτσι και αυτό το φάρμακο μπορεί να προκαλέσει ανεπιθύμητες ενέργειες, αν και δεν παρουσιάζονται σε όλους τους ανθρώπο</w:t>
      </w:r>
      <w:r>
        <w:t>υς.</w:t>
      </w:r>
    </w:p>
    <w:p w14:paraId="797E01B9" w14:textId="77777777" w:rsidR="00422F80" w:rsidRPr="00564D92" w:rsidRDefault="00422F80" w:rsidP="00067FBE">
      <w:pPr>
        <w:numPr>
          <w:ilvl w:val="12"/>
          <w:numId w:val="0"/>
        </w:numPr>
        <w:tabs>
          <w:tab w:val="clear" w:pos="567"/>
        </w:tabs>
        <w:spacing w:line="240" w:lineRule="auto"/>
        <w:ind w:right="-29"/>
        <w:rPr>
          <w:noProof/>
        </w:rPr>
      </w:pPr>
    </w:p>
    <w:p w14:paraId="797E01BA" w14:textId="77777777" w:rsidR="00422F80" w:rsidRPr="00564D92" w:rsidRDefault="001E1647" w:rsidP="00067FBE">
      <w:pPr>
        <w:numPr>
          <w:ilvl w:val="12"/>
          <w:numId w:val="0"/>
        </w:numPr>
        <w:tabs>
          <w:tab w:val="clear" w:pos="567"/>
        </w:tabs>
        <w:spacing w:line="240" w:lineRule="auto"/>
        <w:ind w:right="-29"/>
        <w:rPr>
          <w:noProof/>
        </w:rPr>
      </w:pPr>
      <w:r>
        <w:t>Έχουν αναφερθεί οι ακόλουθες ανεπιθύμητες ενέργειες:</w:t>
      </w:r>
    </w:p>
    <w:p w14:paraId="797E01BB" w14:textId="77777777" w:rsidR="00422F80" w:rsidRPr="00564D92" w:rsidRDefault="00422F80" w:rsidP="00067FBE">
      <w:pPr>
        <w:numPr>
          <w:ilvl w:val="12"/>
          <w:numId w:val="0"/>
        </w:numPr>
        <w:tabs>
          <w:tab w:val="clear" w:pos="567"/>
        </w:tabs>
        <w:spacing w:line="240" w:lineRule="auto"/>
        <w:ind w:right="-29"/>
        <w:rPr>
          <w:noProof/>
        </w:rPr>
      </w:pPr>
    </w:p>
    <w:p w14:paraId="797E01BC" w14:textId="77777777" w:rsidR="00422F80" w:rsidRPr="00564D92" w:rsidRDefault="001E1647" w:rsidP="00067FBE">
      <w:pPr>
        <w:tabs>
          <w:tab w:val="clear" w:pos="567"/>
        </w:tabs>
        <w:autoSpaceDE w:val="0"/>
        <w:autoSpaceDN w:val="0"/>
        <w:adjustRightInd w:val="0"/>
        <w:spacing w:line="240" w:lineRule="auto"/>
        <w:rPr>
          <w:i/>
          <w:iCs/>
          <w:noProof/>
        </w:rPr>
      </w:pPr>
      <w:r>
        <w:rPr>
          <w:i/>
          <w:iCs/>
          <w:noProof/>
        </w:rPr>
        <w:t>Συχνές (ενδέχεται να εμφανιστούν σε έως και 1 στα 10 άτομα)</w:t>
      </w:r>
    </w:p>
    <w:p w14:paraId="797E01BD" w14:textId="77777777" w:rsidR="00422F80" w:rsidRPr="00564D92" w:rsidRDefault="001E1647" w:rsidP="00067FBE">
      <w:pPr>
        <w:numPr>
          <w:ilvl w:val="0"/>
          <w:numId w:val="15"/>
        </w:numPr>
        <w:tabs>
          <w:tab w:val="clear" w:pos="567"/>
        </w:tabs>
        <w:spacing w:line="240" w:lineRule="auto"/>
        <w:ind w:right="-29"/>
        <w:rPr>
          <w:noProof/>
        </w:rPr>
      </w:pPr>
      <w:r>
        <w:t xml:space="preserve">τάση προς εμετό (ναυτία) </w:t>
      </w:r>
    </w:p>
    <w:p w14:paraId="797E01BE" w14:textId="77777777" w:rsidR="00422F80" w:rsidRPr="00564D92" w:rsidRDefault="00422F80" w:rsidP="00067FBE">
      <w:pPr>
        <w:tabs>
          <w:tab w:val="clear" w:pos="567"/>
        </w:tabs>
        <w:autoSpaceDE w:val="0"/>
        <w:autoSpaceDN w:val="0"/>
        <w:adjustRightInd w:val="0"/>
        <w:spacing w:line="240" w:lineRule="auto"/>
        <w:rPr>
          <w:i/>
          <w:iCs/>
          <w:noProof/>
        </w:rPr>
      </w:pPr>
    </w:p>
    <w:p w14:paraId="797E01BF" w14:textId="77777777" w:rsidR="00422F80" w:rsidRPr="00564D92" w:rsidRDefault="001E1647" w:rsidP="00067FBE">
      <w:pPr>
        <w:tabs>
          <w:tab w:val="clear" w:pos="567"/>
        </w:tabs>
        <w:autoSpaceDE w:val="0"/>
        <w:autoSpaceDN w:val="0"/>
        <w:adjustRightInd w:val="0"/>
        <w:spacing w:line="240" w:lineRule="auto"/>
        <w:rPr>
          <w:i/>
          <w:iCs/>
          <w:noProof/>
        </w:rPr>
      </w:pPr>
      <w:r>
        <w:rPr>
          <w:i/>
          <w:iCs/>
          <w:noProof/>
        </w:rPr>
        <w:t>Όχι συχνές (μπορεί να επηρεάσουν μέχρι 1 στα 100 άτομα)</w:t>
      </w:r>
    </w:p>
    <w:p w14:paraId="797E01C0" w14:textId="77777777" w:rsidR="00422F80" w:rsidRPr="00564D92" w:rsidRDefault="001E1647" w:rsidP="00067FBE">
      <w:pPr>
        <w:numPr>
          <w:ilvl w:val="0"/>
          <w:numId w:val="15"/>
        </w:numPr>
        <w:tabs>
          <w:tab w:val="clear" w:pos="567"/>
        </w:tabs>
        <w:spacing w:line="240" w:lineRule="auto"/>
        <w:ind w:right="-29"/>
        <w:rPr>
          <w:noProof/>
        </w:rPr>
      </w:pPr>
      <w:r>
        <w:t>δερματικό εξάνθημα</w:t>
      </w:r>
    </w:p>
    <w:p w14:paraId="797E01C1" w14:textId="697C64AA" w:rsidR="00422F80" w:rsidRDefault="001E1647" w:rsidP="00067FBE">
      <w:pPr>
        <w:numPr>
          <w:ilvl w:val="0"/>
          <w:numId w:val="15"/>
        </w:numPr>
        <w:tabs>
          <w:tab w:val="clear" w:pos="567"/>
        </w:tabs>
        <w:spacing w:line="240" w:lineRule="auto"/>
        <w:ind w:right="-29"/>
        <w:rPr>
          <w:noProof/>
        </w:rPr>
      </w:pPr>
      <w:r>
        <w:t>κνησμός</w:t>
      </w:r>
    </w:p>
    <w:p w14:paraId="797E01C2" w14:textId="2C5FD02D" w:rsidR="00422F80" w:rsidRPr="00564D92" w:rsidRDefault="001E1647" w:rsidP="00067FBE">
      <w:pPr>
        <w:tabs>
          <w:tab w:val="clear" w:pos="567"/>
        </w:tabs>
        <w:spacing w:line="240" w:lineRule="auto"/>
        <w:ind w:left="360" w:right="-29"/>
        <w:rPr>
          <w:noProof/>
        </w:rPr>
      </w:pPr>
      <w:r w:rsidRPr="00F46478">
        <w:rPr>
          <w:noProof/>
        </w:rPr>
        <w:t>Αναιμία</w:t>
      </w:r>
    </w:p>
    <w:p w14:paraId="797E01C3" w14:textId="77777777" w:rsidR="00422F80" w:rsidRPr="00564D92" w:rsidRDefault="001E1647" w:rsidP="00067FBE">
      <w:pPr>
        <w:tabs>
          <w:tab w:val="clear" w:pos="567"/>
        </w:tabs>
        <w:spacing w:line="240" w:lineRule="auto"/>
        <w:ind w:right="-29"/>
        <w:rPr>
          <w:i/>
          <w:iCs/>
          <w:noProof/>
        </w:rPr>
      </w:pPr>
      <w:r>
        <w:rPr>
          <w:i/>
          <w:iCs/>
          <w:noProof/>
        </w:rPr>
        <w:t xml:space="preserve">Μη γνωστές (η </w:t>
      </w:r>
      <w:r>
        <w:rPr>
          <w:i/>
          <w:iCs/>
          <w:noProof/>
        </w:rPr>
        <w:t>συχνότητα δεν μπορεί να εκτιμηθεί με βάση τα διαθέσιμα δεδομένα)</w:t>
      </w:r>
    </w:p>
    <w:p w14:paraId="797E01C4" w14:textId="77777777" w:rsidR="00422F80" w:rsidRPr="00564D92" w:rsidRDefault="001E1647" w:rsidP="00067FBE">
      <w:pPr>
        <w:numPr>
          <w:ilvl w:val="0"/>
          <w:numId w:val="15"/>
        </w:numPr>
        <w:tabs>
          <w:tab w:val="clear" w:pos="567"/>
        </w:tabs>
        <w:spacing w:line="240" w:lineRule="auto"/>
        <w:ind w:right="-29"/>
        <w:rPr>
          <w:noProof/>
        </w:rPr>
      </w:pPr>
      <w:r>
        <w:t xml:space="preserve">διαταραχές και ενοχλήσεις στομάχου, συμπεριλαμβανομένου του σοβαρού πόνου στο στομάχι (δωδεκαδακτυλίτιδα) </w:t>
      </w:r>
    </w:p>
    <w:p w14:paraId="797E01C5" w14:textId="77777777" w:rsidR="00422F80" w:rsidRPr="00564D92" w:rsidRDefault="001E1647" w:rsidP="00067FBE">
      <w:pPr>
        <w:numPr>
          <w:ilvl w:val="0"/>
          <w:numId w:val="15"/>
        </w:numPr>
        <w:tabs>
          <w:tab w:val="clear" w:pos="567"/>
        </w:tabs>
        <w:spacing w:line="240" w:lineRule="auto"/>
        <w:ind w:right="-29"/>
        <w:rPr>
          <w:noProof/>
        </w:rPr>
      </w:pPr>
      <w:r>
        <w:t>φλεγμονή του εντέρου που ενδέχεται να προκαλέσει π.χ. κοιλιακό άλγος, υποτροπιάζουσα</w:t>
      </w:r>
      <w:r>
        <w:t xml:space="preserve"> διάρροια και αίμα στα κόπρανα (κολίτιδα)</w:t>
      </w:r>
    </w:p>
    <w:p w14:paraId="797E01C6" w14:textId="72C21A06" w:rsidR="00422F80" w:rsidRPr="00564D92" w:rsidRDefault="001E1647" w:rsidP="00067FBE">
      <w:pPr>
        <w:numPr>
          <w:ilvl w:val="0"/>
          <w:numId w:val="15"/>
        </w:numPr>
        <w:tabs>
          <w:tab w:val="clear" w:pos="567"/>
        </w:tabs>
        <w:spacing w:line="240" w:lineRule="auto"/>
        <w:ind w:right="-29"/>
        <w:rPr>
          <w:noProof/>
        </w:rPr>
      </w:pPr>
      <w:r>
        <w:t xml:space="preserve">μείωση του αριθμού των ερυθροκυττάρων λόγω χαμηλών επιπέδων σιδήρου στο αίμα σας (σιδηροπενική) </w:t>
      </w:r>
    </w:p>
    <w:p w14:paraId="797E01C7" w14:textId="77777777" w:rsidR="00422F80" w:rsidRPr="00564D92" w:rsidRDefault="001E1647" w:rsidP="00067FBE">
      <w:pPr>
        <w:numPr>
          <w:ilvl w:val="0"/>
          <w:numId w:val="15"/>
        </w:numPr>
        <w:tabs>
          <w:tab w:val="clear" w:pos="567"/>
        </w:tabs>
        <w:spacing w:line="240" w:lineRule="auto"/>
        <w:ind w:right="-29"/>
        <w:rPr>
          <w:noProof/>
        </w:rPr>
      </w:pPr>
      <w:r>
        <w:t>κνίδωση (εξάνθημα τσουκνίδας ή κυψέλες)</w:t>
      </w:r>
    </w:p>
    <w:p w14:paraId="797E01C8" w14:textId="77777777" w:rsidR="00422F80" w:rsidRPr="00564D92" w:rsidRDefault="00422F80" w:rsidP="00067FBE">
      <w:pPr>
        <w:numPr>
          <w:ilvl w:val="12"/>
          <w:numId w:val="0"/>
        </w:numPr>
        <w:tabs>
          <w:tab w:val="clear" w:pos="567"/>
        </w:tabs>
        <w:spacing w:line="240" w:lineRule="auto"/>
        <w:ind w:right="-2"/>
        <w:rPr>
          <w:b/>
          <w:bCs/>
        </w:rPr>
      </w:pPr>
    </w:p>
    <w:p w14:paraId="797E01C9" w14:textId="77777777" w:rsidR="00422F80" w:rsidRPr="0063326F" w:rsidRDefault="001E1647" w:rsidP="00067FBE">
      <w:pPr>
        <w:rPr>
          <w:b/>
          <w:bCs/>
        </w:rPr>
      </w:pPr>
      <w:r>
        <w:rPr>
          <w:b/>
          <w:bCs/>
        </w:rPr>
        <w:t>Αναφορά ανεπιθύμητων ενεργειών</w:t>
      </w:r>
    </w:p>
    <w:p w14:paraId="797E01CA" w14:textId="77777777" w:rsidR="00422F80" w:rsidRPr="00564D92" w:rsidRDefault="001E1647" w:rsidP="00067FBE">
      <w:pPr>
        <w:pStyle w:val="BodytextAgency"/>
        <w:spacing w:after="0" w:line="240" w:lineRule="auto"/>
        <w:rPr>
          <w:rFonts w:ascii="Times New Roman" w:hAnsi="Times New Roman" w:cs="Times New Roman"/>
          <w:sz w:val="22"/>
          <w:szCs w:val="22"/>
        </w:rPr>
      </w:pPr>
      <w:r>
        <w:rPr>
          <w:rFonts w:ascii="Times New Roman" w:hAnsi="Times New Roman" w:cs="Times New Roman"/>
          <w:noProof/>
          <w:sz w:val="22"/>
          <w:szCs w:val="22"/>
        </w:rPr>
        <w:t>Εάν παρατηρήσετε κάποια ανεπιθύμητη ενέργεια,</w:t>
      </w:r>
      <w:r>
        <w:rPr>
          <w:rFonts w:ascii="Times New Roman" w:hAnsi="Times New Roman" w:cs="Times New Roman"/>
          <w:noProof/>
          <w:sz w:val="22"/>
          <w:szCs w:val="22"/>
        </w:rPr>
        <w:t xml:space="preserve"> ενημερώστε τον γιατρό ή τον φαρμακοποιό σας.Αυτό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Pr>
          <w:rFonts w:ascii="Times New Roman" w:hAnsi="Times New Roman" w:cs="Times New Roman"/>
          <w:sz w:val="22"/>
          <w:szCs w:val="22"/>
          <w:highlight w:val="lightGray"/>
        </w:rPr>
        <w:t>του εθνικού συστήματος αναφοράς που ανα</w:t>
      </w:r>
      <w:r>
        <w:rPr>
          <w:rFonts w:ascii="Times New Roman" w:hAnsi="Times New Roman" w:cs="Times New Roman"/>
          <w:sz w:val="22"/>
          <w:szCs w:val="22"/>
          <w:highlight w:val="lightGray"/>
        </w:rPr>
        <w:t xml:space="preserve">γράφεται </w:t>
      </w:r>
      <w:r w:rsidRPr="00A51055">
        <w:rPr>
          <w:rFonts w:ascii="Times New Roman" w:hAnsi="Times New Roman" w:cs="Times New Roman"/>
          <w:sz w:val="22"/>
          <w:szCs w:val="22"/>
          <w:highlight w:val="lightGray"/>
        </w:rPr>
        <w:t>στο</w:t>
      </w:r>
      <w:r w:rsidRPr="00236D4A">
        <w:rPr>
          <w:rFonts w:ascii="Times New Roman" w:hAnsi="Times New Roman" w:cs="Times New Roman"/>
          <w:sz w:val="22"/>
          <w:szCs w:val="22"/>
          <w:highlight w:val="lightGray"/>
        </w:rPr>
        <w:t xml:space="preserve"> </w:t>
      </w:r>
      <w:hyperlink r:id="rId16" w:history="1">
        <w:r w:rsidRPr="00236D4A">
          <w:rPr>
            <w:rStyle w:val="Hyperlink"/>
            <w:rFonts w:ascii="Times New Roman" w:hAnsi="Times New Roman" w:cs="Times New Roman"/>
            <w:sz w:val="22"/>
            <w:szCs w:val="22"/>
            <w:highlight w:val="lightGray"/>
          </w:rPr>
          <w:t>Παράρτημα V</w:t>
        </w:r>
      </w:hyperlink>
      <w:r>
        <w:rPr>
          <w:rFonts w:ascii="Times New Roman" w:hAnsi="Times New Roman" w:cs="Times New Roman"/>
          <w:sz w:val="22"/>
          <w:szCs w:val="22"/>
        </w:rPr>
        <w:t>. Μέσω της αναφοράς ανεπιθύμητων ενεργειών μπορείτε να βοηθήσετε στη συλλογή περισσότερων πληροφοριών σχετικά με την ασφάλ</w:t>
      </w:r>
      <w:r>
        <w:rPr>
          <w:rFonts w:ascii="Times New Roman" w:hAnsi="Times New Roman" w:cs="Times New Roman"/>
          <w:sz w:val="22"/>
          <w:szCs w:val="22"/>
        </w:rPr>
        <w:t>εια του παρόντος φαρμάκου.</w:t>
      </w:r>
    </w:p>
    <w:p w14:paraId="797E01CB" w14:textId="77777777" w:rsidR="00422F80" w:rsidRPr="00564D92" w:rsidRDefault="00422F80" w:rsidP="00067FBE">
      <w:pPr>
        <w:autoSpaceDE w:val="0"/>
        <w:autoSpaceDN w:val="0"/>
        <w:adjustRightInd w:val="0"/>
        <w:spacing w:line="240" w:lineRule="auto"/>
      </w:pPr>
    </w:p>
    <w:p w14:paraId="797E01CC" w14:textId="77777777" w:rsidR="00422F80" w:rsidRPr="00564D92" w:rsidRDefault="00422F80" w:rsidP="00067FBE">
      <w:pPr>
        <w:autoSpaceDE w:val="0"/>
        <w:autoSpaceDN w:val="0"/>
        <w:adjustRightInd w:val="0"/>
        <w:spacing w:line="240" w:lineRule="auto"/>
      </w:pPr>
    </w:p>
    <w:p w14:paraId="797E01CD" w14:textId="77777777" w:rsidR="00422F80" w:rsidRPr="00564D92" w:rsidRDefault="001E1647" w:rsidP="00067FBE">
      <w:pPr>
        <w:pStyle w:val="ListParagraph"/>
        <w:numPr>
          <w:ilvl w:val="0"/>
          <w:numId w:val="33"/>
        </w:numPr>
        <w:tabs>
          <w:tab w:val="clear" w:pos="567"/>
        </w:tabs>
        <w:spacing w:line="240" w:lineRule="auto"/>
        <w:ind w:left="720"/>
        <w:outlineLvl w:val="0"/>
        <w:rPr>
          <w:b/>
          <w:bCs/>
          <w:noProof/>
        </w:rPr>
      </w:pPr>
      <w:r>
        <w:rPr>
          <w:b/>
          <w:bCs/>
          <w:noProof/>
        </w:rPr>
        <w:t>Πώς να φυλάσσετε το Cuprior</w:t>
      </w:r>
    </w:p>
    <w:p w14:paraId="797E01CE" w14:textId="77777777" w:rsidR="00422F80" w:rsidRPr="00564D92" w:rsidRDefault="00422F80" w:rsidP="00067FBE">
      <w:pPr>
        <w:numPr>
          <w:ilvl w:val="12"/>
          <w:numId w:val="0"/>
        </w:numPr>
        <w:tabs>
          <w:tab w:val="clear" w:pos="567"/>
        </w:tabs>
        <w:spacing w:line="240" w:lineRule="auto"/>
        <w:ind w:right="-2"/>
        <w:rPr>
          <w:noProof/>
        </w:rPr>
      </w:pPr>
    </w:p>
    <w:p w14:paraId="797E01CF" w14:textId="77777777" w:rsidR="00422F80" w:rsidRPr="00564D92" w:rsidRDefault="001E1647" w:rsidP="00067FBE">
      <w:pPr>
        <w:numPr>
          <w:ilvl w:val="12"/>
          <w:numId w:val="0"/>
        </w:numPr>
        <w:tabs>
          <w:tab w:val="clear" w:pos="567"/>
        </w:tabs>
        <w:spacing w:line="240" w:lineRule="auto"/>
        <w:ind w:right="-2"/>
        <w:rPr>
          <w:noProof/>
        </w:rPr>
      </w:pPr>
      <w:r>
        <w:t>Το φάρμακο αυτό πρέπει να φυλάσσεται σε μέρη που δεν το βλέπουν και δεν το φθάνουν τα παιδιά.</w:t>
      </w:r>
    </w:p>
    <w:p w14:paraId="797E01D0" w14:textId="77777777" w:rsidR="00422F80" w:rsidRPr="00564D92" w:rsidRDefault="00422F80" w:rsidP="00067FBE">
      <w:pPr>
        <w:numPr>
          <w:ilvl w:val="12"/>
          <w:numId w:val="0"/>
        </w:numPr>
        <w:tabs>
          <w:tab w:val="clear" w:pos="567"/>
        </w:tabs>
        <w:spacing w:line="240" w:lineRule="auto"/>
        <w:ind w:right="-2"/>
        <w:rPr>
          <w:noProof/>
        </w:rPr>
      </w:pPr>
    </w:p>
    <w:p w14:paraId="797E01D1" w14:textId="77777777" w:rsidR="00422F80" w:rsidRPr="00564D92" w:rsidRDefault="001E1647" w:rsidP="00067FBE">
      <w:pPr>
        <w:numPr>
          <w:ilvl w:val="12"/>
          <w:numId w:val="0"/>
        </w:numPr>
        <w:tabs>
          <w:tab w:val="clear" w:pos="567"/>
        </w:tabs>
        <w:spacing w:line="240" w:lineRule="auto"/>
        <w:ind w:right="-2"/>
        <w:rPr>
          <w:noProof/>
        </w:rPr>
      </w:pPr>
      <w:r>
        <w:t xml:space="preserve">Να μην χρησιμοποιείτε αυτό το φάρμακο μετά την ημερομηνία λήξης που αναφέρεται στο κουτί και στη </w:t>
      </w:r>
      <w:r>
        <w:t>συσκευασία κυψέλης μετά την ένδειξη «EXP» (ΛΗΞΗ). Η ημερομηνία λήξης είναι η τελευταία ημέρα του μήνα που αναφέρεται εκεί.</w:t>
      </w:r>
    </w:p>
    <w:p w14:paraId="797E01D2" w14:textId="77777777" w:rsidR="00422F80" w:rsidRPr="00564D92" w:rsidRDefault="00422F80" w:rsidP="00067FBE">
      <w:pPr>
        <w:numPr>
          <w:ilvl w:val="12"/>
          <w:numId w:val="0"/>
        </w:numPr>
        <w:tabs>
          <w:tab w:val="clear" w:pos="567"/>
        </w:tabs>
        <w:spacing w:line="240" w:lineRule="auto"/>
        <w:ind w:right="-2"/>
        <w:rPr>
          <w:noProof/>
        </w:rPr>
      </w:pPr>
    </w:p>
    <w:p w14:paraId="797E01D3" w14:textId="77777777" w:rsidR="00422F80" w:rsidRPr="00564D92" w:rsidRDefault="001E1647" w:rsidP="00067FBE">
      <w:pPr>
        <w:numPr>
          <w:ilvl w:val="12"/>
          <w:numId w:val="0"/>
        </w:numPr>
        <w:tabs>
          <w:tab w:val="clear" w:pos="567"/>
        </w:tabs>
        <w:spacing w:line="240" w:lineRule="auto"/>
        <w:ind w:right="-2"/>
        <w:rPr>
          <w:noProof/>
        </w:rPr>
      </w:pPr>
      <w:r>
        <w:t>Το φάρμακο αυτό δεν απαιτεί ιδιαίτερες συνθήκες φύλαξης.</w:t>
      </w:r>
    </w:p>
    <w:p w14:paraId="797E01D4" w14:textId="77777777" w:rsidR="00422F80" w:rsidRPr="00564D92" w:rsidRDefault="00422F80" w:rsidP="00067FBE">
      <w:pPr>
        <w:numPr>
          <w:ilvl w:val="12"/>
          <w:numId w:val="0"/>
        </w:numPr>
        <w:tabs>
          <w:tab w:val="clear" w:pos="567"/>
        </w:tabs>
        <w:spacing w:line="240" w:lineRule="auto"/>
        <w:ind w:right="-2"/>
        <w:rPr>
          <w:noProof/>
        </w:rPr>
      </w:pPr>
    </w:p>
    <w:p w14:paraId="797E01D5" w14:textId="77777777" w:rsidR="00422F80" w:rsidRPr="00564D92" w:rsidRDefault="001E1647" w:rsidP="00067FBE">
      <w:pPr>
        <w:numPr>
          <w:ilvl w:val="12"/>
          <w:numId w:val="0"/>
        </w:numPr>
        <w:tabs>
          <w:tab w:val="clear" w:pos="567"/>
        </w:tabs>
        <w:spacing w:line="240" w:lineRule="auto"/>
        <w:ind w:right="-2"/>
        <w:rPr>
          <w:noProof/>
        </w:rPr>
      </w:pPr>
      <w:r>
        <w:t>Μην πετάτε φάρμακα στο νερό της αποχέτευσης ή στα οικιακά απορρίμματα. Ρωτ</w:t>
      </w:r>
      <w:r>
        <w:t>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797E01D6" w14:textId="77777777" w:rsidR="00422F80" w:rsidRPr="00564D92" w:rsidRDefault="00422F80" w:rsidP="00067FBE">
      <w:pPr>
        <w:numPr>
          <w:ilvl w:val="12"/>
          <w:numId w:val="0"/>
        </w:numPr>
        <w:tabs>
          <w:tab w:val="clear" w:pos="567"/>
        </w:tabs>
        <w:spacing w:line="240" w:lineRule="auto"/>
        <w:ind w:right="-2"/>
        <w:rPr>
          <w:noProof/>
        </w:rPr>
      </w:pPr>
    </w:p>
    <w:p w14:paraId="797E01D7" w14:textId="77777777" w:rsidR="00422F80" w:rsidRPr="00564D92" w:rsidRDefault="00422F80" w:rsidP="00067FBE">
      <w:pPr>
        <w:numPr>
          <w:ilvl w:val="12"/>
          <w:numId w:val="0"/>
        </w:numPr>
        <w:tabs>
          <w:tab w:val="clear" w:pos="567"/>
        </w:tabs>
        <w:spacing w:line="240" w:lineRule="auto"/>
        <w:ind w:right="-2"/>
        <w:rPr>
          <w:noProof/>
        </w:rPr>
      </w:pPr>
    </w:p>
    <w:p w14:paraId="797E01D8" w14:textId="77777777" w:rsidR="00422F80" w:rsidRPr="00564D92" w:rsidRDefault="001E1647" w:rsidP="00067FBE">
      <w:pPr>
        <w:pStyle w:val="ListParagraph"/>
        <w:numPr>
          <w:ilvl w:val="0"/>
          <w:numId w:val="33"/>
        </w:numPr>
        <w:tabs>
          <w:tab w:val="clear" w:pos="567"/>
        </w:tabs>
        <w:spacing w:line="240" w:lineRule="auto"/>
        <w:ind w:left="720"/>
        <w:outlineLvl w:val="0"/>
        <w:rPr>
          <w:b/>
          <w:bCs/>
          <w:noProof/>
        </w:rPr>
      </w:pPr>
      <w:r>
        <w:rPr>
          <w:b/>
          <w:bCs/>
          <w:noProof/>
        </w:rPr>
        <w:t>Περιεχόμενο της συσκευασίας και λοιπές πληροφορίες</w:t>
      </w:r>
    </w:p>
    <w:p w14:paraId="797E01D9" w14:textId="77777777" w:rsidR="00422F80" w:rsidRPr="00564D92" w:rsidRDefault="00422F80" w:rsidP="00067FBE">
      <w:pPr>
        <w:numPr>
          <w:ilvl w:val="12"/>
          <w:numId w:val="0"/>
        </w:numPr>
        <w:tabs>
          <w:tab w:val="clear" w:pos="567"/>
        </w:tabs>
        <w:spacing w:line="240" w:lineRule="auto"/>
      </w:pPr>
    </w:p>
    <w:p w14:paraId="797E01DA" w14:textId="77777777" w:rsidR="00422F80" w:rsidRPr="00564D92" w:rsidRDefault="001E1647" w:rsidP="00067FBE">
      <w:pPr>
        <w:numPr>
          <w:ilvl w:val="12"/>
          <w:numId w:val="0"/>
        </w:numPr>
        <w:tabs>
          <w:tab w:val="clear" w:pos="567"/>
        </w:tabs>
        <w:spacing w:line="240" w:lineRule="auto"/>
        <w:ind w:right="-2"/>
        <w:rPr>
          <w:b/>
          <w:bCs/>
        </w:rPr>
      </w:pPr>
      <w:r>
        <w:rPr>
          <w:b/>
          <w:bCs/>
        </w:rPr>
        <w:t xml:space="preserve">Τι περιέχει το Cuprior </w:t>
      </w:r>
    </w:p>
    <w:p w14:paraId="797E01DB" w14:textId="77777777" w:rsidR="00422F80" w:rsidRPr="00564D92" w:rsidRDefault="001E1647" w:rsidP="00067FBE">
      <w:pPr>
        <w:numPr>
          <w:ilvl w:val="12"/>
          <w:numId w:val="0"/>
        </w:numPr>
        <w:tabs>
          <w:tab w:val="clear" w:pos="567"/>
        </w:tabs>
        <w:spacing w:line="240" w:lineRule="auto"/>
        <w:ind w:right="-2"/>
        <w:rPr>
          <w:noProof/>
        </w:rPr>
      </w:pPr>
      <w:r>
        <w:t>Η δραστική ουσία είναι η τριεν</w:t>
      </w:r>
      <w:r>
        <w:t xml:space="preserve">τίνη. Κάθε επικαλυμμένο με λεπτό υμένιο </w:t>
      </w:r>
      <w:r w:rsidRPr="00391ABF">
        <w:t xml:space="preserve">(Δισκίο) </w:t>
      </w:r>
      <w:r>
        <w:t xml:space="preserve">δισκίο περιέχει τετραϋδροχλωρική τριεντίνη, η οποία ισοδυναμεί με 150 mg τριεντίνης. </w:t>
      </w:r>
    </w:p>
    <w:p w14:paraId="797E01DC" w14:textId="77777777" w:rsidR="00422F80" w:rsidRPr="00637A0F" w:rsidRDefault="001E1647" w:rsidP="00067FBE">
      <w:pPr>
        <w:numPr>
          <w:ilvl w:val="12"/>
          <w:numId w:val="0"/>
        </w:numPr>
        <w:tabs>
          <w:tab w:val="clear" w:pos="567"/>
        </w:tabs>
        <w:spacing w:line="240" w:lineRule="auto"/>
        <w:ind w:right="-2"/>
      </w:pPr>
      <w:r>
        <w:lastRenderedPageBreak/>
        <w:t>Τα υπόλοιπα συστατικά είναι</w:t>
      </w:r>
      <w:r w:rsidRPr="00637A0F">
        <w:t>:</w:t>
      </w:r>
    </w:p>
    <w:p w14:paraId="797E01DD" w14:textId="77777777" w:rsidR="00422F80" w:rsidRPr="00564D92" w:rsidRDefault="001E1647" w:rsidP="00067FBE">
      <w:pPr>
        <w:numPr>
          <w:ilvl w:val="12"/>
          <w:numId w:val="0"/>
        </w:numPr>
        <w:tabs>
          <w:tab w:val="clear" w:pos="567"/>
        </w:tabs>
        <w:spacing w:line="240" w:lineRule="auto"/>
        <w:ind w:right="-2"/>
        <w:rPr>
          <w:noProof/>
        </w:rPr>
      </w:pPr>
      <w:r>
        <w:t>Πυρήνας δισκίου</w:t>
      </w:r>
      <w:r w:rsidRPr="00637A0F">
        <w:t xml:space="preserve">: </w:t>
      </w:r>
      <w:r>
        <w:t>μαννιτόλη, κολλοειδές άνυδρο πυρίτιο και διβεχενικός εστέρας της γλυκερόλης</w:t>
      </w:r>
      <w:r>
        <w:t>.</w:t>
      </w:r>
    </w:p>
    <w:p w14:paraId="797E01DE" w14:textId="77777777" w:rsidR="00422F80" w:rsidRDefault="001E1647" w:rsidP="00076E49">
      <w:pPr>
        <w:rPr>
          <w:rStyle w:val="st"/>
        </w:rPr>
      </w:pPr>
      <w:r>
        <w:rPr>
          <w:noProof/>
        </w:rPr>
        <w:t>Επικάλυψη με λεπτό υμένιο δισκίου</w:t>
      </w:r>
      <w:r w:rsidRPr="00637A0F">
        <w:rPr>
          <w:noProof/>
        </w:rPr>
        <w:t xml:space="preserve">: </w:t>
      </w:r>
      <w:hyperlink r:id="rId17" w:history="1">
        <w:proofErr w:type="spellStart"/>
        <w:r>
          <w:t>π</w:t>
        </w:r>
        <w:r w:rsidRPr="003511C5">
          <w:t>ολυβινυλική</w:t>
        </w:r>
        <w:proofErr w:type="spellEnd"/>
        <w:r w:rsidRPr="003511C5">
          <w:t xml:space="preserve"> αλκοόλη</w:t>
        </w:r>
      </w:hyperlink>
      <w:r>
        <w:t>, τάλκης, δ</w:t>
      </w:r>
      <w:r>
        <w:rPr>
          <w:rStyle w:val="st"/>
        </w:rPr>
        <w:t>ιοξείδιο του τιτανίου (Ε171),</w:t>
      </w:r>
    </w:p>
    <w:p w14:paraId="797E01DF" w14:textId="77777777" w:rsidR="00422F80" w:rsidRPr="003511C5" w:rsidRDefault="001E1647" w:rsidP="00076E49">
      <w:pPr>
        <w:rPr>
          <w:noProof/>
        </w:rPr>
      </w:pPr>
      <w:r>
        <w:rPr>
          <w:noProof/>
          <w:lang w:val="en-US"/>
        </w:rPr>
        <w:t>g</w:t>
      </w:r>
      <w:r w:rsidRPr="00940A33">
        <w:rPr>
          <w:noProof/>
          <w:lang w:val="en-US"/>
        </w:rPr>
        <w:t>lycerolmonocaprylocaprate</w:t>
      </w:r>
      <w:r w:rsidRPr="00637A0F">
        <w:rPr>
          <w:noProof/>
        </w:rPr>
        <w:t xml:space="preserve"> (</w:t>
      </w:r>
      <w:r>
        <w:rPr>
          <w:noProof/>
        </w:rPr>
        <w:t>Τύπου</w:t>
      </w:r>
      <w:r w:rsidRPr="00940A33">
        <w:rPr>
          <w:noProof/>
          <w:lang w:val="en-US"/>
        </w:rPr>
        <w:t>I</w:t>
      </w:r>
      <w:r w:rsidRPr="00637A0F">
        <w:rPr>
          <w:noProof/>
        </w:rPr>
        <w:t xml:space="preserve">), </w:t>
      </w:r>
      <w:r>
        <w:rPr>
          <w:noProof/>
        </w:rPr>
        <w:t>κ</w:t>
      </w:r>
      <w:r w:rsidRPr="00637A0F">
        <w:rPr>
          <w:noProof/>
        </w:rPr>
        <w:t>ίτρινο οξείδιο του σιδήρου</w:t>
      </w:r>
      <w:r>
        <w:rPr>
          <w:noProof/>
        </w:rPr>
        <w:t xml:space="preserve"> (Ε172) και</w:t>
      </w:r>
      <w:hyperlink r:id="rId18" w:anchor="3995948" w:history="1">
        <w:r>
          <w:rPr>
            <w:color w:val="0000FF"/>
            <w:u w:val="single"/>
          </w:rPr>
          <w:t xml:space="preserve"> </w:t>
        </w:r>
        <w:proofErr w:type="spellStart"/>
        <w:r>
          <w:rPr>
            <w:color w:val="0000FF"/>
            <w:u w:val="single"/>
          </w:rPr>
          <w:t>λ</w:t>
        </w:r>
        <w:r w:rsidRPr="003511C5">
          <w:rPr>
            <w:color w:val="0000FF"/>
            <w:u w:val="single"/>
          </w:rPr>
          <w:t>αουρυλοθειικό</w:t>
        </w:r>
        <w:proofErr w:type="spellEnd"/>
        <w:r w:rsidRPr="003511C5">
          <w:rPr>
            <w:color w:val="0000FF"/>
            <w:u w:val="single"/>
          </w:rPr>
          <w:t xml:space="preserve"> νάτριο</w:t>
        </w:r>
      </w:hyperlink>
    </w:p>
    <w:p w14:paraId="797E01E0" w14:textId="77777777" w:rsidR="00422F80" w:rsidRPr="005F62DB" w:rsidRDefault="00422F80" w:rsidP="00067FBE">
      <w:pPr>
        <w:numPr>
          <w:ilvl w:val="12"/>
          <w:numId w:val="0"/>
        </w:numPr>
        <w:tabs>
          <w:tab w:val="clear" w:pos="567"/>
        </w:tabs>
        <w:spacing w:line="240" w:lineRule="auto"/>
        <w:ind w:right="-2"/>
        <w:rPr>
          <w:noProof/>
        </w:rPr>
      </w:pPr>
    </w:p>
    <w:p w14:paraId="797E01E1" w14:textId="77777777" w:rsidR="00422F80" w:rsidRPr="00564D92" w:rsidRDefault="001E1647" w:rsidP="00067FBE">
      <w:pPr>
        <w:numPr>
          <w:ilvl w:val="12"/>
          <w:numId w:val="0"/>
        </w:numPr>
        <w:tabs>
          <w:tab w:val="clear" w:pos="567"/>
        </w:tabs>
        <w:spacing w:line="240" w:lineRule="auto"/>
        <w:ind w:right="-2"/>
        <w:rPr>
          <w:b/>
          <w:bCs/>
        </w:rPr>
      </w:pPr>
      <w:r>
        <w:rPr>
          <w:b/>
          <w:bCs/>
        </w:rPr>
        <w:t>Εμφάνιση του Cuprior και περιεχόμενα της συσκευασίας</w:t>
      </w:r>
    </w:p>
    <w:p w14:paraId="797E01E2" w14:textId="77777777" w:rsidR="00422F80" w:rsidRPr="00564D92" w:rsidRDefault="001E1647" w:rsidP="00067FBE">
      <w:pPr>
        <w:rPr>
          <w:noProof/>
        </w:rPr>
      </w:pPr>
      <w:r>
        <w:t xml:space="preserve">Κίτρινο, 16 mm x 8 mm επίμηκες </w:t>
      </w:r>
      <w:r>
        <w:t>επικαλυμμένο με λεπτό υμένιο δισκίο με εγκοπή/σημείο τομής σε κάθε πλευρά. Το επικαλυμμένο με λεπτό υμένιο δισκίο μπορεί να διαχωριστεί σε δύο ίσες δόσεις.</w:t>
      </w:r>
    </w:p>
    <w:p w14:paraId="797E01E3" w14:textId="77777777" w:rsidR="00422F80" w:rsidRPr="00564D92" w:rsidRDefault="00422F80" w:rsidP="00067FBE">
      <w:pPr>
        <w:rPr>
          <w:noProof/>
        </w:rPr>
      </w:pPr>
    </w:p>
    <w:p w14:paraId="1339BAE3" w14:textId="79080ACB" w:rsidR="00D24BAB" w:rsidRDefault="001E1647" w:rsidP="00D24BAB">
      <w:pPr>
        <w:numPr>
          <w:ilvl w:val="12"/>
          <w:numId w:val="0"/>
        </w:numPr>
        <w:tabs>
          <w:tab w:val="clear" w:pos="567"/>
        </w:tabs>
        <w:spacing w:line="240" w:lineRule="auto"/>
      </w:pPr>
      <w:r>
        <w:t xml:space="preserve">Συσκευασίες κυψέλης από προσανατολισμένο πολυαμίδιο (OPA)/αλουμίνιο/πολυβινυλοχλωρίδιο-αλουμίνιο, κάθε συσκευασία κυψέλης περιέχει 8 επικαλυμμένα με λεπτό υμένιο δισκία. </w:t>
      </w:r>
      <w:r w:rsidRPr="00D24BAB">
        <w:t>Το Cuprior διατίθεται σε συσκευασίες που περιέχουν</w:t>
      </w:r>
      <w:r>
        <w:t xml:space="preserve"> 72 ή 96 επικαλυμμένα με λεπτό υμένι</w:t>
      </w:r>
      <w:r>
        <w:t>ο δισκία.</w:t>
      </w:r>
    </w:p>
    <w:p w14:paraId="797E01E4" w14:textId="4492F91E" w:rsidR="00422F80" w:rsidRPr="00564D92" w:rsidRDefault="001E1647" w:rsidP="00D24BAB">
      <w:pPr>
        <w:numPr>
          <w:ilvl w:val="12"/>
          <w:numId w:val="0"/>
        </w:numPr>
        <w:tabs>
          <w:tab w:val="clear" w:pos="567"/>
        </w:tabs>
        <w:spacing w:line="240" w:lineRule="auto"/>
      </w:pPr>
      <w:r>
        <w:t>Μπορεί να μην κυκλοφορούν όλες οι συσκευασίες.</w:t>
      </w:r>
    </w:p>
    <w:p w14:paraId="797E01E5" w14:textId="77777777" w:rsidR="00422F80" w:rsidRPr="00564D92" w:rsidRDefault="00422F80" w:rsidP="00067FBE">
      <w:pPr>
        <w:numPr>
          <w:ilvl w:val="12"/>
          <w:numId w:val="0"/>
        </w:numPr>
        <w:tabs>
          <w:tab w:val="clear" w:pos="567"/>
        </w:tabs>
        <w:spacing w:line="240" w:lineRule="auto"/>
      </w:pPr>
    </w:p>
    <w:p w14:paraId="797E01E6" w14:textId="77777777" w:rsidR="00422F80" w:rsidRPr="00564D92" w:rsidRDefault="001E1647" w:rsidP="00067FBE">
      <w:pPr>
        <w:numPr>
          <w:ilvl w:val="12"/>
          <w:numId w:val="0"/>
        </w:numPr>
        <w:tabs>
          <w:tab w:val="clear" w:pos="567"/>
        </w:tabs>
        <w:spacing w:line="240" w:lineRule="auto"/>
        <w:ind w:right="-2"/>
        <w:rPr>
          <w:b/>
          <w:bCs/>
        </w:rPr>
      </w:pPr>
      <w:r>
        <w:rPr>
          <w:b/>
          <w:bCs/>
        </w:rPr>
        <w:t xml:space="preserve">Κάτοχος Άδειας Κυκλοφορίας </w:t>
      </w:r>
    </w:p>
    <w:p w14:paraId="797E01E7" w14:textId="0B28A435" w:rsidR="00422F80" w:rsidRPr="0036776A" w:rsidRDefault="007C397D" w:rsidP="00067FBE">
      <w:proofErr w:type="spellStart"/>
      <w:r>
        <w:t>Orphalan</w:t>
      </w:r>
      <w:proofErr w:type="spellEnd"/>
    </w:p>
    <w:p w14:paraId="275874D5" w14:textId="77777777" w:rsidR="008A619B" w:rsidRPr="007C397D" w:rsidRDefault="001E1647" w:rsidP="008A619B">
      <w:r w:rsidRPr="007C397D">
        <w:t xml:space="preserve">226 </w:t>
      </w:r>
      <w:r w:rsidRPr="002503BA">
        <w:rPr>
          <w:lang w:val="fr-FR"/>
        </w:rPr>
        <w:t>Boulevard</w:t>
      </w:r>
      <w:r w:rsidRPr="007C397D">
        <w:t xml:space="preserve"> </w:t>
      </w:r>
      <w:r w:rsidRPr="002503BA">
        <w:rPr>
          <w:lang w:val="fr-FR"/>
        </w:rPr>
        <w:t>Voltaire</w:t>
      </w:r>
    </w:p>
    <w:p w14:paraId="0786D810" w14:textId="77777777" w:rsidR="008A619B" w:rsidRPr="001E1647" w:rsidRDefault="001E1647" w:rsidP="008A619B">
      <w:pPr>
        <w:rPr>
          <w:lang w:val="fr-FR"/>
        </w:rPr>
      </w:pPr>
      <w:r w:rsidRPr="001E1647">
        <w:rPr>
          <w:lang w:val="fr-FR"/>
        </w:rPr>
        <w:t xml:space="preserve">75011 </w:t>
      </w:r>
      <w:r w:rsidRPr="002503BA">
        <w:rPr>
          <w:lang w:val="fr-FR"/>
        </w:rPr>
        <w:t>Paris</w:t>
      </w:r>
    </w:p>
    <w:p w14:paraId="797E01EB" w14:textId="77777777" w:rsidR="00422F80" w:rsidRPr="001E1647" w:rsidRDefault="00422F80" w:rsidP="00067FBE">
      <w:pPr>
        <w:rPr>
          <w:lang w:val="fr-FR"/>
        </w:rPr>
      </w:pPr>
    </w:p>
    <w:p w14:paraId="797E01EC" w14:textId="77777777" w:rsidR="00422F80" w:rsidRPr="001E1647" w:rsidRDefault="001E1647" w:rsidP="00067FBE">
      <w:pPr>
        <w:rPr>
          <w:lang w:val="fr-FR"/>
        </w:rPr>
      </w:pPr>
      <w:r>
        <w:t>Γαλλία</w:t>
      </w:r>
    </w:p>
    <w:p w14:paraId="797E01ED" w14:textId="77777777" w:rsidR="00422F80" w:rsidRPr="001E1647" w:rsidRDefault="00422F80" w:rsidP="00067FBE">
      <w:pPr>
        <w:numPr>
          <w:ilvl w:val="12"/>
          <w:numId w:val="0"/>
        </w:numPr>
        <w:tabs>
          <w:tab w:val="clear" w:pos="567"/>
        </w:tabs>
        <w:spacing w:line="240" w:lineRule="auto"/>
        <w:ind w:right="-2"/>
        <w:rPr>
          <w:noProof/>
          <w:lang w:val="fr-FR"/>
        </w:rPr>
      </w:pPr>
    </w:p>
    <w:p w14:paraId="797E01EE" w14:textId="77777777" w:rsidR="00422F80" w:rsidRPr="001E1647" w:rsidRDefault="001E1647" w:rsidP="00067FBE">
      <w:pPr>
        <w:numPr>
          <w:ilvl w:val="12"/>
          <w:numId w:val="0"/>
        </w:numPr>
        <w:tabs>
          <w:tab w:val="clear" w:pos="567"/>
        </w:tabs>
        <w:spacing w:line="240" w:lineRule="auto"/>
        <w:ind w:right="-2"/>
        <w:rPr>
          <w:b/>
          <w:bCs/>
          <w:lang w:val="fr-FR"/>
        </w:rPr>
      </w:pPr>
      <w:r>
        <w:rPr>
          <w:b/>
          <w:bCs/>
        </w:rPr>
        <w:t>Παρασκευαστής</w:t>
      </w:r>
    </w:p>
    <w:p w14:paraId="797E01EF" w14:textId="77777777" w:rsidR="00422F80" w:rsidRPr="001E1647" w:rsidRDefault="001E1647" w:rsidP="00067FBE">
      <w:pPr>
        <w:numPr>
          <w:ilvl w:val="12"/>
          <w:numId w:val="0"/>
        </w:numPr>
        <w:tabs>
          <w:tab w:val="clear" w:pos="567"/>
        </w:tabs>
        <w:spacing w:line="240" w:lineRule="auto"/>
        <w:ind w:right="-2"/>
        <w:rPr>
          <w:lang w:val="fr-FR"/>
        </w:rPr>
      </w:pPr>
      <w:proofErr w:type="spellStart"/>
      <w:r w:rsidRPr="00FF1FCF">
        <w:rPr>
          <w:lang w:val="fr-LU"/>
        </w:rPr>
        <w:t>Delpharm</w:t>
      </w:r>
      <w:proofErr w:type="spellEnd"/>
      <w:r w:rsidRPr="001E1647">
        <w:rPr>
          <w:lang w:val="fr-FR"/>
        </w:rPr>
        <w:t xml:space="preserve"> </w:t>
      </w:r>
      <w:r w:rsidRPr="00FF1FCF">
        <w:rPr>
          <w:lang w:val="fr-LU"/>
        </w:rPr>
        <w:t>Evreux</w:t>
      </w:r>
    </w:p>
    <w:p w14:paraId="797E01F0" w14:textId="77777777" w:rsidR="00422F80" w:rsidRPr="00FF1FCF" w:rsidRDefault="001E1647" w:rsidP="00067FBE">
      <w:pPr>
        <w:numPr>
          <w:ilvl w:val="12"/>
          <w:numId w:val="0"/>
        </w:numPr>
        <w:tabs>
          <w:tab w:val="clear" w:pos="567"/>
        </w:tabs>
        <w:spacing w:line="240" w:lineRule="auto"/>
        <w:ind w:right="-2"/>
        <w:rPr>
          <w:lang w:val="fr-LU"/>
        </w:rPr>
      </w:pPr>
      <w:r w:rsidRPr="00FF1FCF">
        <w:rPr>
          <w:lang w:val="fr-LU"/>
        </w:rPr>
        <w:t>5 rue du Guesclin</w:t>
      </w:r>
    </w:p>
    <w:p w14:paraId="797E01F1" w14:textId="77777777" w:rsidR="00422F80" w:rsidRPr="00564D92" w:rsidRDefault="001E1647" w:rsidP="00067FBE">
      <w:pPr>
        <w:numPr>
          <w:ilvl w:val="12"/>
          <w:numId w:val="0"/>
        </w:numPr>
        <w:tabs>
          <w:tab w:val="clear" w:pos="567"/>
        </w:tabs>
        <w:spacing w:line="240" w:lineRule="auto"/>
        <w:ind w:right="-2"/>
      </w:pPr>
      <w:r>
        <w:t>27000 Evreux</w:t>
      </w:r>
    </w:p>
    <w:p w14:paraId="797E01F2" w14:textId="77777777" w:rsidR="00422F80" w:rsidRPr="00564D92" w:rsidRDefault="001E1647" w:rsidP="00067FBE">
      <w:pPr>
        <w:numPr>
          <w:ilvl w:val="12"/>
          <w:numId w:val="0"/>
        </w:numPr>
        <w:tabs>
          <w:tab w:val="clear" w:pos="567"/>
        </w:tabs>
        <w:spacing w:line="240" w:lineRule="auto"/>
        <w:ind w:right="-2"/>
        <w:rPr>
          <w:noProof/>
        </w:rPr>
      </w:pPr>
      <w:r>
        <w:t>Γαλλία</w:t>
      </w:r>
    </w:p>
    <w:p w14:paraId="797E01F3" w14:textId="77777777" w:rsidR="00422F80" w:rsidRPr="00564D92" w:rsidRDefault="00422F80" w:rsidP="00067FBE">
      <w:pPr>
        <w:numPr>
          <w:ilvl w:val="12"/>
          <w:numId w:val="0"/>
        </w:numPr>
        <w:tabs>
          <w:tab w:val="clear" w:pos="567"/>
        </w:tabs>
        <w:spacing w:line="240" w:lineRule="auto"/>
        <w:ind w:right="-2"/>
        <w:rPr>
          <w:noProof/>
        </w:rPr>
      </w:pPr>
    </w:p>
    <w:tbl>
      <w:tblPr>
        <w:tblW w:w="9356" w:type="dxa"/>
        <w:tblInd w:w="-106" w:type="dxa"/>
        <w:tblLayout w:type="fixed"/>
        <w:tblLook w:val="0000" w:firstRow="0" w:lastRow="0" w:firstColumn="0" w:lastColumn="0" w:noHBand="0" w:noVBand="0"/>
      </w:tblPr>
      <w:tblGrid>
        <w:gridCol w:w="4678"/>
        <w:gridCol w:w="4678"/>
      </w:tblGrid>
      <w:tr w:rsidR="00512144" w14:paraId="797E01F6" w14:textId="77777777">
        <w:tc>
          <w:tcPr>
            <w:tcW w:w="4678" w:type="dxa"/>
          </w:tcPr>
          <w:p w14:paraId="797E01F4" w14:textId="77777777" w:rsidR="00422F80" w:rsidRPr="00564D92" w:rsidRDefault="00422F80" w:rsidP="00067FBE">
            <w:pPr>
              <w:tabs>
                <w:tab w:val="left" w:pos="-720"/>
              </w:tabs>
              <w:suppressAutoHyphens/>
              <w:spacing w:line="240" w:lineRule="auto"/>
              <w:rPr>
                <w:noProof/>
              </w:rPr>
            </w:pPr>
          </w:p>
        </w:tc>
        <w:tc>
          <w:tcPr>
            <w:tcW w:w="4678" w:type="dxa"/>
          </w:tcPr>
          <w:p w14:paraId="797E01F5" w14:textId="77777777" w:rsidR="00422F80" w:rsidRPr="00564D92" w:rsidRDefault="00422F80" w:rsidP="00067FBE">
            <w:pPr>
              <w:tabs>
                <w:tab w:val="left" w:pos="-720"/>
              </w:tabs>
              <w:suppressAutoHyphens/>
              <w:spacing w:line="240" w:lineRule="auto"/>
              <w:rPr>
                <w:noProof/>
              </w:rPr>
            </w:pPr>
          </w:p>
        </w:tc>
      </w:tr>
    </w:tbl>
    <w:p w14:paraId="797E01F7" w14:textId="77777777" w:rsidR="00422F80" w:rsidRPr="0063326F" w:rsidRDefault="001E1647" w:rsidP="00067FBE">
      <w:pPr>
        <w:numPr>
          <w:ilvl w:val="12"/>
          <w:numId w:val="0"/>
        </w:numPr>
        <w:tabs>
          <w:tab w:val="clear" w:pos="567"/>
        </w:tabs>
        <w:spacing w:line="240" w:lineRule="auto"/>
        <w:ind w:right="-2"/>
        <w:rPr>
          <w:b/>
          <w:bCs/>
        </w:rPr>
      </w:pPr>
      <w:r>
        <w:rPr>
          <w:b/>
          <w:bCs/>
        </w:rPr>
        <w:t xml:space="preserve">Το παρόν φύλλο οδηγιών </w:t>
      </w:r>
      <w:r>
        <w:rPr>
          <w:b/>
          <w:bCs/>
        </w:rPr>
        <w:t>χρήσης αναθεωρήθηκε για τελευταία φορά στις</w:t>
      </w:r>
    </w:p>
    <w:p w14:paraId="797E01F8" w14:textId="77777777" w:rsidR="00422F80" w:rsidRPr="00564D92" w:rsidRDefault="00422F80" w:rsidP="00067FBE">
      <w:pPr>
        <w:numPr>
          <w:ilvl w:val="12"/>
          <w:numId w:val="0"/>
        </w:numPr>
        <w:spacing w:line="240" w:lineRule="auto"/>
        <w:ind w:right="-2"/>
        <w:rPr>
          <w:noProof/>
        </w:rPr>
      </w:pPr>
    </w:p>
    <w:p w14:paraId="797E01F9" w14:textId="77777777" w:rsidR="00422F80" w:rsidRPr="00564D92" w:rsidRDefault="001E1647" w:rsidP="00067FBE">
      <w:pPr>
        <w:numPr>
          <w:ilvl w:val="12"/>
          <w:numId w:val="0"/>
        </w:numPr>
        <w:tabs>
          <w:tab w:val="clear" w:pos="567"/>
        </w:tabs>
        <w:spacing w:line="240" w:lineRule="auto"/>
        <w:ind w:right="-2"/>
        <w:rPr>
          <w:b/>
          <w:bCs/>
          <w:noProof/>
        </w:rPr>
      </w:pPr>
      <w:r>
        <w:rPr>
          <w:b/>
          <w:bCs/>
          <w:noProof/>
        </w:rPr>
        <w:t>Άλλες πηγές πληροφοριών</w:t>
      </w:r>
    </w:p>
    <w:p w14:paraId="797E01FA" w14:textId="77777777" w:rsidR="00422F80" w:rsidRDefault="001E1647" w:rsidP="00067FBE">
      <w:pPr>
        <w:numPr>
          <w:ilvl w:val="12"/>
          <w:numId w:val="0"/>
        </w:numPr>
        <w:spacing w:line="240" w:lineRule="auto"/>
        <w:ind w:right="-2"/>
      </w:pPr>
      <w:r>
        <w:t xml:space="preserve">Λεπτομερή πληροφοριακά στοιχεία για το προϊόν αυτό είναι διαθέσιμα στον δικτυακό τόπο του Ευρωπαϊκού Οργανισμού Φαρμάκων: </w:t>
      </w:r>
      <w:hyperlink w:history="1">
        <w:r>
          <w:rPr>
            <w:rStyle w:val="Hyperlink"/>
            <w:noProof/>
          </w:rPr>
          <w:t>http://www.ema.europa.eu</w:t>
        </w:r>
      </w:hyperlink>
      <w:r>
        <w:t>. Υπάρχουν επίσης σύνδεσμοι</w:t>
      </w:r>
      <w:r>
        <w:t xml:space="preserve"> με άλλες ιστοσελίδες που αφορούν σπάνιες ασθένειες και θεραπείες. </w:t>
      </w:r>
    </w:p>
    <w:p w14:paraId="797E022F" w14:textId="77777777" w:rsidR="00422F80" w:rsidRPr="00564D92" w:rsidRDefault="00422F80" w:rsidP="00067FBE">
      <w:pPr>
        <w:numPr>
          <w:ilvl w:val="12"/>
          <w:numId w:val="0"/>
        </w:numPr>
        <w:spacing w:line="240" w:lineRule="auto"/>
        <w:ind w:right="-2"/>
        <w:rPr>
          <w:noProof/>
        </w:rPr>
      </w:pPr>
    </w:p>
    <w:sectPr w:rsidR="00422F80" w:rsidRPr="00564D92" w:rsidSect="00236D4A">
      <w:footerReference w:type="default" r:id="rId19"/>
      <w:footerReference w:type="first" r:id="rId20"/>
      <w:pgSz w:w="11907" w:h="16840" w:code="9"/>
      <w:pgMar w:top="1134" w:right="1418" w:bottom="1134" w:left="1418" w:header="737" w:footer="737"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53DC6" w14:textId="77777777" w:rsidR="00000000" w:rsidRDefault="001E1647">
      <w:pPr>
        <w:spacing w:line="240" w:lineRule="auto"/>
      </w:pPr>
      <w:r>
        <w:separator/>
      </w:r>
    </w:p>
  </w:endnote>
  <w:endnote w:type="continuationSeparator" w:id="0">
    <w:p w14:paraId="49DE4D64" w14:textId="77777777" w:rsidR="00000000" w:rsidRDefault="001E1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E0234" w14:textId="4F2C995C" w:rsidR="00422F80" w:rsidRDefault="001E1647">
    <w:pPr>
      <w:pStyle w:val="Footer"/>
      <w:tabs>
        <w:tab w:val="right" w:pos="8931"/>
      </w:tabs>
      <w:ind w:right="96"/>
      <w:jc w:val="center"/>
      <w:rPr>
        <w:rFonts w:cs="Times New Roman"/>
      </w:rP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0051B3">
      <w:rPr>
        <w:rStyle w:val="PageNumber"/>
      </w:rPr>
      <w:t>24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E0235" w14:textId="1781E6B6" w:rsidR="00422F80" w:rsidRDefault="001E1647">
    <w:pPr>
      <w:pStyle w:val="Footer"/>
      <w:tabs>
        <w:tab w:val="right" w:pos="8931"/>
      </w:tabs>
      <w:ind w:right="96"/>
      <w:jc w:val="center"/>
      <w:rPr>
        <w:rFonts w:cs="Times New Roman"/>
      </w:rP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0051B3">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29106" w14:textId="77777777" w:rsidR="00000000" w:rsidRDefault="001E1647">
      <w:pPr>
        <w:spacing w:line="240" w:lineRule="auto"/>
      </w:pPr>
      <w:r>
        <w:separator/>
      </w:r>
    </w:p>
  </w:footnote>
  <w:footnote w:type="continuationSeparator" w:id="0">
    <w:p w14:paraId="06834E82" w14:textId="77777777" w:rsidR="00000000" w:rsidRDefault="001E16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118A178E">
      <w:start w:val="1"/>
      <w:numFmt w:val="bullet"/>
      <w:lvlText w:val=""/>
      <w:lvlJc w:val="left"/>
      <w:pPr>
        <w:tabs>
          <w:tab w:val="num" w:pos="360"/>
        </w:tabs>
        <w:ind w:left="360" w:hanging="360"/>
      </w:pPr>
      <w:rPr>
        <w:rFonts w:ascii="Symbol" w:hAnsi="Symbol" w:cs="Symbol" w:hint="default"/>
      </w:rPr>
    </w:lvl>
    <w:lvl w:ilvl="1" w:tplc="1910041C">
      <w:start w:val="1"/>
      <w:numFmt w:val="bullet"/>
      <w:lvlText w:val="o"/>
      <w:lvlJc w:val="left"/>
      <w:pPr>
        <w:tabs>
          <w:tab w:val="num" w:pos="1080"/>
        </w:tabs>
        <w:ind w:left="1080" w:hanging="360"/>
      </w:pPr>
      <w:rPr>
        <w:rFonts w:ascii="Courier New" w:hAnsi="Courier New" w:cs="Courier New" w:hint="default"/>
      </w:rPr>
    </w:lvl>
    <w:lvl w:ilvl="2" w:tplc="FC18E2D2">
      <w:start w:val="1"/>
      <w:numFmt w:val="bullet"/>
      <w:lvlText w:val=""/>
      <w:lvlJc w:val="left"/>
      <w:pPr>
        <w:tabs>
          <w:tab w:val="num" w:pos="1800"/>
        </w:tabs>
        <w:ind w:left="1800" w:hanging="360"/>
      </w:pPr>
      <w:rPr>
        <w:rFonts w:ascii="Wingdings" w:hAnsi="Wingdings" w:cs="Wingdings" w:hint="default"/>
      </w:rPr>
    </w:lvl>
    <w:lvl w:ilvl="3" w:tplc="246A4042">
      <w:start w:val="1"/>
      <w:numFmt w:val="bullet"/>
      <w:lvlText w:val=""/>
      <w:lvlJc w:val="left"/>
      <w:pPr>
        <w:tabs>
          <w:tab w:val="num" w:pos="2520"/>
        </w:tabs>
        <w:ind w:left="2520" w:hanging="360"/>
      </w:pPr>
      <w:rPr>
        <w:rFonts w:ascii="Symbol" w:hAnsi="Symbol" w:cs="Symbol" w:hint="default"/>
      </w:rPr>
    </w:lvl>
    <w:lvl w:ilvl="4" w:tplc="8DA6A1D4">
      <w:start w:val="1"/>
      <w:numFmt w:val="bullet"/>
      <w:lvlText w:val="o"/>
      <w:lvlJc w:val="left"/>
      <w:pPr>
        <w:tabs>
          <w:tab w:val="num" w:pos="3240"/>
        </w:tabs>
        <w:ind w:left="3240" w:hanging="360"/>
      </w:pPr>
      <w:rPr>
        <w:rFonts w:ascii="Courier New" w:hAnsi="Courier New" w:cs="Courier New" w:hint="default"/>
      </w:rPr>
    </w:lvl>
    <w:lvl w:ilvl="5" w:tplc="F1FAC972">
      <w:start w:val="1"/>
      <w:numFmt w:val="bullet"/>
      <w:lvlText w:val=""/>
      <w:lvlJc w:val="left"/>
      <w:pPr>
        <w:tabs>
          <w:tab w:val="num" w:pos="3960"/>
        </w:tabs>
        <w:ind w:left="3960" w:hanging="360"/>
      </w:pPr>
      <w:rPr>
        <w:rFonts w:ascii="Wingdings" w:hAnsi="Wingdings" w:cs="Wingdings" w:hint="default"/>
      </w:rPr>
    </w:lvl>
    <w:lvl w:ilvl="6" w:tplc="AB5C82FC">
      <w:start w:val="1"/>
      <w:numFmt w:val="bullet"/>
      <w:lvlText w:val=""/>
      <w:lvlJc w:val="left"/>
      <w:pPr>
        <w:tabs>
          <w:tab w:val="num" w:pos="4680"/>
        </w:tabs>
        <w:ind w:left="4680" w:hanging="360"/>
      </w:pPr>
      <w:rPr>
        <w:rFonts w:ascii="Symbol" w:hAnsi="Symbol" w:cs="Symbol" w:hint="default"/>
      </w:rPr>
    </w:lvl>
    <w:lvl w:ilvl="7" w:tplc="7EC6191E">
      <w:start w:val="1"/>
      <w:numFmt w:val="bullet"/>
      <w:lvlText w:val="o"/>
      <w:lvlJc w:val="left"/>
      <w:pPr>
        <w:tabs>
          <w:tab w:val="num" w:pos="5400"/>
        </w:tabs>
        <w:ind w:left="5400" w:hanging="360"/>
      </w:pPr>
      <w:rPr>
        <w:rFonts w:ascii="Courier New" w:hAnsi="Courier New" w:cs="Courier New" w:hint="default"/>
      </w:rPr>
    </w:lvl>
    <w:lvl w:ilvl="8" w:tplc="D5583656">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16AC20B2">
      <w:start w:val="1"/>
      <w:numFmt w:val="upperLetter"/>
      <w:lvlText w:val="%1."/>
      <w:lvlJc w:val="left"/>
      <w:pPr>
        <w:ind w:left="720" w:hanging="360"/>
      </w:pPr>
      <w:rPr>
        <w:rFonts w:hint="default"/>
        <w:b/>
        <w:bCs/>
      </w:rPr>
    </w:lvl>
    <w:lvl w:ilvl="1" w:tplc="CD84F5B6">
      <w:start w:val="1"/>
      <w:numFmt w:val="lowerLetter"/>
      <w:lvlText w:val="%2."/>
      <w:lvlJc w:val="left"/>
      <w:pPr>
        <w:ind w:left="1440" w:hanging="360"/>
      </w:pPr>
    </w:lvl>
    <w:lvl w:ilvl="2" w:tplc="FEE42C02">
      <w:start w:val="1"/>
      <w:numFmt w:val="lowerRoman"/>
      <w:lvlText w:val="%3."/>
      <w:lvlJc w:val="right"/>
      <w:pPr>
        <w:ind w:left="2160" w:hanging="180"/>
      </w:pPr>
    </w:lvl>
    <w:lvl w:ilvl="3" w:tplc="A8F44684">
      <w:start w:val="1"/>
      <w:numFmt w:val="decimal"/>
      <w:lvlText w:val="%4."/>
      <w:lvlJc w:val="left"/>
      <w:pPr>
        <w:ind w:left="2880" w:hanging="360"/>
      </w:pPr>
    </w:lvl>
    <w:lvl w:ilvl="4" w:tplc="8708DF28">
      <w:start w:val="1"/>
      <w:numFmt w:val="lowerLetter"/>
      <w:lvlText w:val="%5."/>
      <w:lvlJc w:val="left"/>
      <w:pPr>
        <w:ind w:left="3600" w:hanging="360"/>
      </w:pPr>
    </w:lvl>
    <w:lvl w:ilvl="5" w:tplc="8B4C6B90">
      <w:start w:val="1"/>
      <w:numFmt w:val="lowerRoman"/>
      <w:lvlText w:val="%6."/>
      <w:lvlJc w:val="right"/>
      <w:pPr>
        <w:ind w:left="4320" w:hanging="180"/>
      </w:pPr>
    </w:lvl>
    <w:lvl w:ilvl="6" w:tplc="D4CAEF3C">
      <w:start w:val="1"/>
      <w:numFmt w:val="decimal"/>
      <w:lvlText w:val="%7."/>
      <w:lvlJc w:val="left"/>
      <w:pPr>
        <w:ind w:left="5040" w:hanging="360"/>
      </w:pPr>
    </w:lvl>
    <w:lvl w:ilvl="7" w:tplc="53740C3E">
      <w:start w:val="1"/>
      <w:numFmt w:val="lowerLetter"/>
      <w:lvlText w:val="%8."/>
      <w:lvlJc w:val="left"/>
      <w:pPr>
        <w:ind w:left="5760" w:hanging="360"/>
      </w:pPr>
    </w:lvl>
    <w:lvl w:ilvl="8" w:tplc="EE140FE4">
      <w:start w:val="1"/>
      <w:numFmt w:val="lowerRoman"/>
      <w:lvlText w:val="%9."/>
      <w:lvlJc w:val="right"/>
      <w:pPr>
        <w:ind w:left="6480" w:hanging="180"/>
      </w:pPr>
    </w:lvl>
  </w:abstractNum>
  <w:abstractNum w:abstractNumId="4" w15:restartNumberingAfterBreak="0">
    <w:nsid w:val="07AF6289"/>
    <w:multiLevelType w:val="hybridMultilevel"/>
    <w:tmpl w:val="4B6610B4"/>
    <w:lvl w:ilvl="0" w:tplc="5546EF38">
      <w:start w:val="1"/>
      <w:numFmt w:val="upperLetter"/>
      <w:lvlText w:val="%1."/>
      <w:lvlJc w:val="left"/>
      <w:pPr>
        <w:ind w:left="577" w:hanging="450"/>
      </w:pPr>
      <w:rPr>
        <w:rFonts w:hint="default"/>
      </w:rPr>
    </w:lvl>
    <w:lvl w:ilvl="1" w:tplc="CF6624B4">
      <w:start w:val="1"/>
      <w:numFmt w:val="decimal"/>
      <w:lvlText w:val="%2."/>
      <w:lvlJc w:val="left"/>
      <w:pPr>
        <w:ind w:left="1417" w:hanging="570"/>
      </w:pPr>
      <w:rPr>
        <w:rFonts w:hint="default"/>
      </w:rPr>
    </w:lvl>
    <w:lvl w:ilvl="2" w:tplc="82600538">
      <w:start w:val="1"/>
      <w:numFmt w:val="lowerRoman"/>
      <w:lvlText w:val="%3."/>
      <w:lvlJc w:val="right"/>
      <w:pPr>
        <w:ind w:left="1927" w:hanging="180"/>
      </w:pPr>
    </w:lvl>
    <w:lvl w:ilvl="3" w:tplc="9744B4F6">
      <w:start w:val="1"/>
      <w:numFmt w:val="decimal"/>
      <w:lvlText w:val="%4."/>
      <w:lvlJc w:val="left"/>
      <w:pPr>
        <w:ind w:left="2647" w:hanging="360"/>
      </w:pPr>
    </w:lvl>
    <w:lvl w:ilvl="4" w:tplc="DA64EF00">
      <w:start w:val="1"/>
      <w:numFmt w:val="lowerLetter"/>
      <w:lvlText w:val="%5."/>
      <w:lvlJc w:val="left"/>
      <w:pPr>
        <w:ind w:left="3367" w:hanging="360"/>
      </w:pPr>
    </w:lvl>
    <w:lvl w:ilvl="5" w:tplc="8AF8D59E">
      <w:start w:val="1"/>
      <w:numFmt w:val="lowerRoman"/>
      <w:lvlText w:val="%6."/>
      <w:lvlJc w:val="right"/>
      <w:pPr>
        <w:ind w:left="4087" w:hanging="180"/>
      </w:pPr>
    </w:lvl>
    <w:lvl w:ilvl="6" w:tplc="92786FEE">
      <w:start w:val="1"/>
      <w:numFmt w:val="decimal"/>
      <w:lvlText w:val="%7."/>
      <w:lvlJc w:val="left"/>
      <w:pPr>
        <w:ind w:left="4807" w:hanging="360"/>
      </w:pPr>
    </w:lvl>
    <w:lvl w:ilvl="7" w:tplc="63E6F2F6">
      <w:start w:val="1"/>
      <w:numFmt w:val="lowerLetter"/>
      <w:lvlText w:val="%8."/>
      <w:lvlJc w:val="left"/>
      <w:pPr>
        <w:ind w:left="5527" w:hanging="360"/>
      </w:pPr>
    </w:lvl>
    <w:lvl w:ilvl="8" w:tplc="5CD8525E">
      <w:start w:val="1"/>
      <w:numFmt w:val="lowerRoman"/>
      <w:lvlText w:val="%9."/>
      <w:lvlJc w:val="right"/>
      <w:pPr>
        <w:ind w:left="6247" w:hanging="180"/>
      </w:pPr>
    </w:lvl>
  </w:abstractNum>
  <w:abstractNum w:abstractNumId="5" w15:restartNumberingAfterBreak="0">
    <w:nsid w:val="09C44CC1"/>
    <w:multiLevelType w:val="hybridMultilevel"/>
    <w:tmpl w:val="7FF2C56E"/>
    <w:lvl w:ilvl="0" w:tplc="C7AA7046">
      <w:start w:val="1"/>
      <w:numFmt w:val="bullet"/>
      <w:lvlText w:val=""/>
      <w:lvlJc w:val="left"/>
      <w:pPr>
        <w:tabs>
          <w:tab w:val="num" w:pos="720"/>
        </w:tabs>
        <w:ind w:left="720" w:hanging="360"/>
      </w:pPr>
      <w:rPr>
        <w:rFonts w:ascii="Symbol" w:hAnsi="Symbol" w:cs="Symbol" w:hint="default"/>
      </w:rPr>
    </w:lvl>
    <w:lvl w:ilvl="1" w:tplc="9E465780">
      <w:start w:val="1"/>
      <w:numFmt w:val="bullet"/>
      <w:lvlText w:val="o"/>
      <w:lvlJc w:val="left"/>
      <w:pPr>
        <w:tabs>
          <w:tab w:val="num" w:pos="1440"/>
        </w:tabs>
        <w:ind w:left="1440" w:hanging="360"/>
      </w:pPr>
      <w:rPr>
        <w:rFonts w:ascii="Courier New" w:hAnsi="Courier New" w:cs="Courier New" w:hint="default"/>
      </w:rPr>
    </w:lvl>
    <w:lvl w:ilvl="2" w:tplc="2C7CDAF6">
      <w:start w:val="1"/>
      <w:numFmt w:val="bullet"/>
      <w:lvlText w:val=""/>
      <w:lvlJc w:val="left"/>
      <w:pPr>
        <w:tabs>
          <w:tab w:val="num" w:pos="2160"/>
        </w:tabs>
        <w:ind w:left="2160" w:hanging="360"/>
      </w:pPr>
      <w:rPr>
        <w:rFonts w:ascii="Wingdings" w:hAnsi="Wingdings" w:cs="Wingdings" w:hint="default"/>
      </w:rPr>
    </w:lvl>
    <w:lvl w:ilvl="3" w:tplc="A172356C">
      <w:start w:val="1"/>
      <w:numFmt w:val="bullet"/>
      <w:lvlText w:val=""/>
      <w:lvlJc w:val="left"/>
      <w:pPr>
        <w:tabs>
          <w:tab w:val="num" w:pos="2880"/>
        </w:tabs>
        <w:ind w:left="2880" w:hanging="360"/>
      </w:pPr>
      <w:rPr>
        <w:rFonts w:ascii="Symbol" w:hAnsi="Symbol" w:cs="Symbol" w:hint="default"/>
      </w:rPr>
    </w:lvl>
    <w:lvl w:ilvl="4" w:tplc="D7DCC59C">
      <w:start w:val="1"/>
      <w:numFmt w:val="bullet"/>
      <w:lvlText w:val="o"/>
      <w:lvlJc w:val="left"/>
      <w:pPr>
        <w:tabs>
          <w:tab w:val="num" w:pos="3600"/>
        </w:tabs>
        <w:ind w:left="3600" w:hanging="360"/>
      </w:pPr>
      <w:rPr>
        <w:rFonts w:ascii="Courier New" w:hAnsi="Courier New" w:cs="Courier New" w:hint="default"/>
      </w:rPr>
    </w:lvl>
    <w:lvl w:ilvl="5" w:tplc="690C7024">
      <w:start w:val="1"/>
      <w:numFmt w:val="bullet"/>
      <w:lvlText w:val=""/>
      <w:lvlJc w:val="left"/>
      <w:pPr>
        <w:tabs>
          <w:tab w:val="num" w:pos="4320"/>
        </w:tabs>
        <w:ind w:left="4320" w:hanging="360"/>
      </w:pPr>
      <w:rPr>
        <w:rFonts w:ascii="Wingdings" w:hAnsi="Wingdings" w:cs="Wingdings" w:hint="default"/>
      </w:rPr>
    </w:lvl>
    <w:lvl w:ilvl="6" w:tplc="9ABA68A2">
      <w:start w:val="1"/>
      <w:numFmt w:val="bullet"/>
      <w:lvlText w:val=""/>
      <w:lvlJc w:val="left"/>
      <w:pPr>
        <w:tabs>
          <w:tab w:val="num" w:pos="5040"/>
        </w:tabs>
        <w:ind w:left="5040" w:hanging="360"/>
      </w:pPr>
      <w:rPr>
        <w:rFonts w:ascii="Symbol" w:hAnsi="Symbol" w:cs="Symbol" w:hint="default"/>
      </w:rPr>
    </w:lvl>
    <w:lvl w:ilvl="7" w:tplc="85F46072">
      <w:start w:val="1"/>
      <w:numFmt w:val="bullet"/>
      <w:lvlText w:val="o"/>
      <w:lvlJc w:val="left"/>
      <w:pPr>
        <w:tabs>
          <w:tab w:val="num" w:pos="5760"/>
        </w:tabs>
        <w:ind w:left="5760" w:hanging="360"/>
      </w:pPr>
      <w:rPr>
        <w:rFonts w:ascii="Courier New" w:hAnsi="Courier New" w:cs="Courier New" w:hint="default"/>
      </w:rPr>
    </w:lvl>
    <w:lvl w:ilvl="8" w:tplc="741CC53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96D3306"/>
    <w:multiLevelType w:val="hybridMultilevel"/>
    <w:tmpl w:val="956CF4A4"/>
    <w:lvl w:ilvl="0" w:tplc="0C00BFAA">
      <w:start w:val="1"/>
      <w:numFmt w:val="decimal"/>
      <w:lvlText w:val="%1."/>
      <w:lvlJc w:val="left"/>
      <w:pPr>
        <w:ind w:left="1080" w:hanging="720"/>
      </w:pPr>
      <w:rPr>
        <w:rFonts w:hint="default"/>
      </w:rPr>
    </w:lvl>
    <w:lvl w:ilvl="1" w:tplc="7CC408EC">
      <w:start w:val="1"/>
      <w:numFmt w:val="lowerLetter"/>
      <w:lvlText w:val="%2."/>
      <w:lvlJc w:val="left"/>
      <w:pPr>
        <w:ind w:left="1440" w:hanging="360"/>
      </w:pPr>
    </w:lvl>
    <w:lvl w:ilvl="2" w:tplc="C3E6D0AA">
      <w:start w:val="1"/>
      <w:numFmt w:val="lowerRoman"/>
      <w:lvlText w:val="%3."/>
      <w:lvlJc w:val="right"/>
      <w:pPr>
        <w:ind w:left="2160" w:hanging="180"/>
      </w:pPr>
    </w:lvl>
    <w:lvl w:ilvl="3" w:tplc="A54A7758">
      <w:start w:val="1"/>
      <w:numFmt w:val="decimal"/>
      <w:lvlText w:val="%4."/>
      <w:lvlJc w:val="left"/>
      <w:pPr>
        <w:ind w:left="2880" w:hanging="360"/>
      </w:pPr>
    </w:lvl>
    <w:lvl w:ilvl="4" w:tplc="C5886E50">
      <w:start w:val="1"/>
      <w:numFmt w:val="lowerLetter"/>
      <w:lvlText w:val="%5."/>
      <w:lvlJc w:val="left"/>
      <w:pPr>
        <w:ind w:left="3600" w:hanging="360"/>
      </w:pPr>
    </w:lvl>
    <w:lvl w:ilvl="5" w:tplc="8E9C6186">
      <w:start w:val="1"/>
      <w:numFmt w:val="lowerRoman"/>
      <w:lvlText w:val="%6."/>
      <w:lvlJc w:val="right"/>
      <w:pPr>
        <w:ind w:left="4320" w:hanging="180"/>
      </w:pPr>
    </w:lvl>
    <w:lvl w:ilvl="6" w:tplc="B7E0B470">
      <w:start w:val="1"/>
      <w:numFmt w:val="decimal"/>
      <w:lvlText w:val="%7."/>
      <w:lvlJc w:val="left"/>
      <w:pPr>
        <w:ind w:left="5040" w:hanging="360"/>
      </w:pPr>
    </w:lvl>
    <w:lvl w:ilvl="7" w:tplc="A1DA95F4">
      <w:start w:val="1"/>
      <w:numFmt w:val="lowerLetter"/>
      <w:lvlText w:val="%8."/>
      <w:lvlJc w:val="left"/>
      <w:pPr>
        <w:ind w:left="5760" w:hanging="360"/>
      </w:pPr>
    </w:lvl>
    <w:lvl w:ilvl="8" w:tplc="2AFEAD88">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42483950">
      <w:start w:val="1"/>
      <w:numFmt w:val="decimal"/>
      <w:lvlText w:val="%1."/>
      <w:lvlJc w:val="left"/>
      <w:pPr>
        <w:ind w:left="780" w:hanging="420"/>
      </w:pPr>
      <w:rPr>
        <w:rFonts w:hint="default"/>
      </w:rPr>
    </w:lvl>
    <w:lvl w:ilvl="1" w:tplc="09CE94D6">
      <w:start w:val="1"/>
      <w:numFmt w:val="lowerLetter"/>
      <w:lvlText w:val="%2."/>
      <w:lvlJc w:val="left"/>
      <w:pPr>
        <w:ind w:left="1440" w:hanging="360"/>
      </w:pPr>
    </w:lvl>
    <w:lvl w:ilvl="2" w:tplc="55D66A98">
      <w:start w:val="1"/>
      <w:numFmt w:val="lowerRoman"/>
      <w:lvlText w:val="%3."/>
      <w:lvlJc w:val="right"/>
      <w:pPr>
        <w:ind w:left="2160" w:hanging="180"/>
      </w:pPr>
    </w:lvl>
    <w:lvl w:ilvl="3" w:tplc="E2A445A4">
      <w:start w:val="1"/>
      <w:numFmt w:val="decimal"/>
      <w:lvlText w:val="%4."/>
      <w:lvlJc w:val="left"/>
      <w:pPr>
        <w:ind w:left="2880" w:hanging="360"/>
      </w:pPr>
    </w:lvl>
    <w:lvl w:ilvl="4" w:tplc="1A68680A">
      <w:start w:val="1"/>
      <w:numFmt w:val="lowerLetter"/>
      <w:lvlText w:val="%5."/>
      <w:lvlJc w:val="left"/>
      <w:pPr>
        <w:ind w:left="3600" w:hanging="360"/>
      </w:pPr>
    </w:lvl>
    <w:lvl w:ilvl="5" w:tplc="DB608102">
      <w:start w:val="1"/>
      <w:numFmt w:val="lowerRoman"/>
      <w:lvlText w:val="%6."/>
      <w:lvlJc w:val="right"/>
      <w:pPr>
        <w:ind w:left="4320" w:hanging="180"/>
      </w:pPr>
    </w:lvl>
    <w:lvl w:ilvl="6" w:tplc="B2B09AA8">
      <w:start w:val="1"/>
      <w:numFmt w:val="decimal"/>
      <w:lvlText w:val="%7."/>
      <w:lvlJc w:val="left"/>
      <w:pPr>
        <w:ind w:left="5040" w:hanging="360"/>
      </w:pPr>
    </w:lvl>
    <w:lvl w:ilvl="7" w:tplc="8860620C">
      <w:start w:val="1"/>
      <w:numFmt w:val="lowerLetter"/>
      <w:lvlText w:val="%8."/>
      <w:lvlJc w:val="left"/>
      <w:pPr>
        <w:ind w:left="5760" w:hanging="360"/>
      </w:pPr>
    </w:lvl>
    <w:lvl w:ilvl="8" w:tplc="060406E0">
      <w:start w:val="1"/>
      <w:numFmt w:val="lowerRoman"/>
      <w:lvlText w:val="%9."/>
      <w:lvlJc w:val="right"/>
      <w:pPr>
        <w:ind w:left="6480" w:hanging="180"/>
      </w:pPr>
    </w:lvl>
  </w:abstractNum>
  <w:abstractNum w:abstractNumId="9" w15:restartNumberingAfterBreak="0">
    <w:nsid w:val="2DC110E1"/>
    <w:multiLevelType w:val="hybridMultilevel"/>
    <w:tmpl w:val="22EE80EE"/>
    <w:lvl w:ilvl="0" w:tplc="FA4CCA82">
      <w:start w:val="1"/>
      <w:numFmt w:val="bullet"/>
      <w:lvlText w:val="-"/>
      <w:lvlJc w:val="left"/>
      <w:pPr>
        <w:ind w:left="720" w:hanging="360"/>
      </w:pPr>
      <w:rPr>
        <w:rFonts w:ascii="Times New Roman" w:eastAsia="Times New Roman" w:hAnsi="Times New Roman" w:hint="default"/>
      </w:rPr>
    </w:lvl>
    <w:lvl w:ilvl="1" w:tplc="7814F814">
      <w:start w:val="1"/>
      <w:numFmt w:val="bullet"/>
      <w:lvlText w:val="o"/>
      <w:lvlJc w:val="left"/>
      <w:pPr>
        <w:ind w:left="1440" w:hanging="360"/>
      </w:pPr>
      <w:rPr>
        <w:rFonts w:ascii="Courier New" w:hAnsi="Courier New" w:cs="Courier New" w:hint="default"/>
      </w:rPr>
    </w:lvl>
    <w:lvl w:ilvl="2" w:tplc="E4369AC8">
      <w:start w:val="1"/>
      <w:numFmt w:val="bullet"/>
      <w:lvlText w:val=""/>
      <w:lvlJc w:val="left"/>
      <w:pPr>
        <w:ind w:left="2160" w:hanging="360"/>
      </w:pPr>
      <w:rPr>
        <w:rFonts w:ascii="Wingdings" w:hAnsi="Wingdings" w:cs="Wingdings" w:hint="default"/>
      </w:rPr>
    </w:lvl>
    <w:lvl w:ilvl="3" w:tplc="63AAFA0E">
      <w:start w:val="1"/>
      <w:numFmt w:val="bullet"/>
      <w:lvlText w:val=""/>
      <w:lvlJc w:val="left"/>
      <w:pPr>
        <w:ind w:left="2880" w:hanging="360"/>
      </w:pPr>
      <w:rPr>
        <w:rFonts w:ascii="Symbol" w:hAnsi="Symbol" w:cs="Symbol" w:hint="default"/>
      </w:rPr>
    </w:lvl>
    <w:lvl w:ilvl="4" w:tplc="AC9A3764">
      <w:start w:val="1"/>
      <w:numFmt w:val="bullet"/>
      <w:lvlText w:val="o"/>
      <w:lvlJc w:val="left"/>
      <w:pPr>
        <w:ind w:left="3600" w:hanging="360"/>
      </w:pPr>
      <w:rPr>
        <w:rFonts w:ascii="Courier New" w:hAnsi="Courier New" w:cs="Courier New" w:hint="default"/>
      </w:rPr>
    </w:lvl>
    <w:lvl w:ilvl="5" w:tplc="748A56B8">
      <w:start w:val="1"/>
      <w:numFmt w:val="bullet"/>
      <w:lvlText w:val=""/>
      <w:lvlJc w:val="left"/>
      <w:pPr>
        <w:ind w:left="4320" w:hanging="360"/>
      </w:pPr>
      <w:rPr>
        <w:rFonts w:ascii="Wingdings" w:hAnsi="Wingdings" w:cs="Wingdings" w:hint="default"/>
      </w:rPr>
    </w:lvl>
    <w:lvl w:ilvl="6" w:tplc="63FE70D4">
      <w:start w:val="1"/>
      <w:numFmt w:val="bullet"/>
      <w:lvlText w:val=""/>
      <w:lvlJc w:val="left"/>
      <w:pPr>
        <w:ind w:left="5040" w:hanging="360"/>
      </w:pPr>
      <w:rPr>
        <w:rFonts w:ascii="Symbol" w:hAnsi="Symbol" w:cs="Symbol" w:hint="default"/>
      </w:rPr>
    </w:lvl>
    <w:lvl w:ilvl="7" w:tplc="F5FECF68">
      <w:start w:val="1"/>
      <w:numFmt w:val="bullet"/>
      <w:lvlText w:val="o"/>
      <w:lvlJc w:val="left"/>
      <w:pPr>
        <w:ind w:left="5760" w:hanging="360"/>
      </w:pPr>
      <w:rPr>
        <w:rFonts w:ascii="Courier New" w:hAnsi="Courier New" w:cs="Courier New" w:hint="default"/>
      </w:rPr>
    </w:lvl>
    <w:lvl w:ilvl="8" w:tplc="71149022">
      <w:start w:val="1"/>
      <w:numFmt w:val="bullet"/>
      <w:lvlText w:val=""/>
      <w:lvlJc w:val="left"/>
      <w:pPr>
        <w:ind w:left="6480" w:hanging="360"/>
      </w:pPr>
      <w:rPr>
        <w:rFonts w:ascii="Wingdings" w:hAnsi="Wingdings" w:cs="Wingdings" w:hint="default"/>
      </w:rPr>
    </w:lvl>
  </w:abstractNum>
  <w:abstractNum w:abstractNumId="10" w15:restartNumberingAfterBreak="0">
    <w:nsid w:val="2E135BD9"/>
    <w:multiLevelType w:val="hybridMultilevel"/>
    <w:tmpl w:val="DAD6C0E0"/>
    <w:lvl w:ilvl="0" w:tplc="F5AAFD34">
      <w:start w:val="1"/>
      <w:numFmt w:val="bullet"/>
      <w:lvlText w:val=""/>
      <w:lvlJc w:val="left"/>
      <w:pPr>
        <w:tabs>
          <w:tab w:val="num" w:pos="397"/>
        </w:tabs>
        <w:ind w:left="397" w:hanging="397"/>
      </w:pPr>
      <w:rPr>
        <w:rFonts w:ascii="Symbol" w:hAnsi="Symbol" w:cs="Symbol" w:hint="default"/>
      </w:rPr>
    </w:lvl>
    <w:lvl w:ilvl="1" w:tplc="6D3AB888">
      <w:start w:val="1"/>
      <w:numFmt w:val="bullet"/>
      <w:lvlText w:val="o"/>
      <w:lvlJc w:val="left"/>
      <w:pPr>
        <w:tabs>
          <w:tab w:val="num" w:pos="1440"/>
        </w:tabs>
        <w:ind w:left="1440" w:hanging="360"/>
      </w:pPr>
      <w:rPr>
        <w:rFonts w:ascii="Courier New" w:hAnsi="Courier New" w:cs="Courier New" w:hint="default"/>
      </w:rPr>
    </w:lvl>
    <w:lvl w:ilvl="2" w:tplc="C20CC37C">
      <w:start w:val="1"/>
      <w:numFmt w:val="bullet"/>
      <w:lvlText w:val=""/>
      <w:lvlJc w:val="left"/>
      <w:pPr>
        <w:tabs>
          <w:tab w:val="num" w:pos="2160"/>
        </w:tabs>
        <w:ind w:left="2160" w:hanging="360"/>
      </w:pPr>
      <w:rPr>
        <w:rFonts w:ascii="Wingdings" w:hAnsi="Wingdings" w:cs="Wingdings" w:hint="default"/>
      </w:rPr>
    </w:lvl>
    <w:lvl w:ilvl="3" w:tplc="EED4C69C">
      <w:start w:val="1"/>
      <w:numFmt w:val="bullet"/>
      <w:lvlText w:val=""/>
      <w:lvlJc w:val="left"/>
      <w:pPr>
        <w:tabs>
          <w:tab w:val="num" w:pos="2880"/>
        </w:tabs>
        <w:ind w:left="2880" w:hanging="360"/>
      </w:pPr>
      <w:rPr>
        <w:rFonts w:ascii="Symbol" w:hAnsi="Symbol" w:cs="Symbol" w:hint="default"/>
      </w:rPr>
    </w:lvl>
    <w:lvl w:ilvl="4" w:tplc="CB646142">
      <w:start w:val="1"/>
      <w:numFmt w:val="bullet"/>
      <w:lvlText w:val="o"/>
      <w:lvlJc w:val="left"/>
      <w:pPr>
        <w:tabs>
          <w:tab w:val="num" w:pos="3600"/>
        </w:tabs>
        <w:ind w:left="3600" w:hanging="360"/>
      </w:pPr>
      <w:rPr>
        <w:rFonts w:ascii="Courier New" w:hAnsi="Courier New" w:cs="Courier New" w:hint="default"/>
      </w:rPr>
    </w:lvl>
    <w:lvl w:ilvl="5" w:tplc="BCC20BC2">
      <w:start w:val="1"/>
      <w:numFmt w:val="bullet"/>
      <w:lvlText w:val=""/>
      <w:lvlJc w:val="left"/>
      <w:pPr>
        <w:tabs>
          <w:tab w:val="num" w:pos="4320"/>
        </w:tabs>
        <w:ind w:left="4320" w:hanging="360"/>
      </w:pPr>
      <w:rPr>
        <w:rFonts w:ascii="Wingdings" w:hAnsi="Wingdings" w:cs="Wingdings" w:hint="default"/>
      </w:rPr>
    </w:lvl>
    <w:lvl w:ilvl="6" w:tplc="62A4A29E">
      <w:start w:val="1"/>
      <w:numFmt w:val="bullet"/>
      <w:lvlText w:val=""/>
      <w:lvlJc w:val="left"/>
      <w:pPr>
        <w:tabs>
          <w:tab w:val="num" w:pos="5040"/>
        </w:tabs>
        <w:ind w:left="5040" w:hanging="360"/>
      </w:pPr>
      <w:rPr>
        <w:rFonts w:ascii="Symbol" w:hAnsi="Symbol" w:cs="Symbol" w:hint="default"/>
      </w:rPr>
    </w:lvl>
    <w:lvl w:ilvl="7" w:tplc="25020A2A">
      <w:start w:val="1"/>
      <w:numFmt w:val="bullet"/>
      <w:lvlText w:val="o"/>
      <w:lvlJc w:val="left"/>
      <w:pPr>
        <w:tabs>
          <w:tab w:val="num" w:pos="5760"/>
        </w:tabs>
        <w:ind w:left="5760" w:hanging="360"/>
      </w:pPr>
      <w:rPr>
        <w:rFonts w:ascii="Courier New" w:hAnsi="Courier New" w:cs="Courier New" w:hint="default"/>
      </w:rPr>
    </w:lvl>
    <w:lvl w:ilvl="8" w:tplc="2EBEBA5C">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E541609"/>
    <w:multiLevelType w:val="hybridMultilevel"/>
    <w:tmpl w:val="1E5AABE8"/>
    <w:lvl w:ilvl="0" w:tplc="13E0F1B6">
      <w:start w:val="1"/>
      <w:numFmt w:val="decimal"/>
      <w:lvlText w:val="%1."/>
      <w:lvlJc w:val="left"/>
      <w:pPr>
        <w:tabs>
          <w:tab w:val="num" w:pos="570"/>
        </w:tabs>
        <w:ind w:left="570" w:hanging="570"/>
      </w:pPr>
      <w:rPr>
        <w:rFonts w:hint="default"/>
      </w:rPr>
    </w:lvl>
    <w:lvl w:ilvl="1" w:tplc="9ABC9B42">
      <w:start w:val="1"/>
      <w:numFmt w:val="lowerLetter"/>
      <w:lvlText w:val="%2."/>
      <w:lvlJc w:val="left"/>
      <w:pPr>
        <w:tabs>
          <w:tab w:val="num" w:pos="1080"/>
        </w:tabs>
        <w:ind w:left="1080" w:hanging="360"/>
      </w:pPr>
    </w:lvl>
    <w:lvl w:ilvl="2" w:tplc="A30A6238">
      <w:start w:val="1"/>
      <w:numFmt w:val="lowerRoman"/>
      <w:lvlText w:val="%3."/>
      <w:lvlJc w:val="right"/>
      <w:pPr>
        <w:tabs>
          <w:tab w:val="num" w:pos="1800"/>
        </w:tabs>
        <w:ind w:left="1800" w:hanging="180"/>
      </w:pPr>
    </w:lvl>
    <w:lvl w:ilvl="3" w:tplc="55DEAFA0">
      <w:start w:val="1"/>
      <w:numFmt w:val="decimal"/>
      <w:lvlText w:val="%4."/>
      <w:lvlJc w:val="left"/>
      <w:pPr>
        <w:tabs>
          <w:tab w:val="num" w:pos="2520"/>
        </w:tabs>
        <w:ind w:left="2520" w:hanging="360"/>
      </w:pPr>
    </w:lvl>
    <w:lvl w:ilvl="4" w:tplc="266C6108">
      <w:start w:val="1"/>
      <w:numFmt w:val="lowerLetter"/>
      <w:lvlText w:val="%5."/>
      <w:lvlJc w:val="left"/>
      <w:pPr>
        <w:tabs>
          <w:tab w:val="num" w:pos="3240"/>
        </w:tabs>
        <w:ind w:left="3240" w:hanging="360"/>
      </w:pPr>
    </w:lvl>
    <w:lvl w:ilvl="5" w:tplc="DF567A70">
      <w:start w:val="1"/>
      <w:numFmt w:val="lowerRoman"/>
      <w:lvlText w:val="%6."/>
      <w:lvlJc w:val="right"/>
      <w:pPr>
        <w:tabs>
          <w:tab w:val="num" w:pos="3960"/>
        </w:tabs>
        <w:ind w:left="3960" w:hanging="180"/>
      </w:pPr>
    </w:lvl>
    <w:lvl w:ilvl="6" w:tplc="9ED844F4">
      <w:start w:val="1"/>
      <w:numFmt w:val="decimal"/>
      <w:lvlText w:val="%7."/>
      <w:lvlJc w:val="left"/>
      <w:pPr>
        <w:tabs>
          <w:tab w:val="num" w:pos="4680"/>
        </w:tabs>
        <w:ind w:left="4680" w:hanging="360"/>
      </w:pPr>
    </w:lvl>
    <w:lvl w:ilvl="7" w:tplc="C902100E">
      <w:start w:val="1"/>
      <w:numFmt w:val="lowerLetter"/>
      <w:lvlText w:val="%8."/>
      <w:lvlJc w:val="left"/>
      <w:pPr>
        <w:tabs>
          <w:tab w:val="num" w:pos="5400"/>
        </w:tabs>
        <w:ind w:left="5400" w:hanging="360"/>
      </w:pPr>
    </w:lvl>
    <w:lvl w:ilvl="8" w:tplc="5AD05DC8">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454AA238">
      <w:start w:val="1"/>
      <w:numFmt w:val="decimal"/>
      <w:lvlText w:val="%1."/>
      <w:lvlJc w:val="left"/>
      <w:pPr>
        <w:ind w:left="720" w:hanging="360"/>
      </w:pPr>
    </w:lvl>
    <w:lvl w:ilvl="1" w:tplc="E0CC7B3C">
      <w:start w:val="1"/>
      <w:numFmt w:val="lowerLetter"/>
      <w:lvlText w:val="%2."/>
      <w:lvlJc w:val="left"/>
      <w:pPr>
        <w:ind w:left="1440" w:hanging="360"/>
      </w:pPr>
    </w:lvl>
    <w:lvl w:ilvl="2" w:tplc="45F2C33A">
      <w:start w:val="1"/>
      <w:numFmt w:val="lowerRoman"/>
      <w:lvlText w:val="%3."/>
      <w:lvlJc w:val="right"/>
      <w:pPr>
        <w:ind w:left="2160" w:hanging="180"/>
      </w:pPr>
    </w:lvl>
    <w:lvl w:ilvl="3" w:tplc="18ACE7A6">
      <w:start w:val="1"/>
      <w:numFmt w:val="decimal"/>
      <w:lvlText w:val="%4."/>
      <w:lvlJc w:val="left"/>
      <w:pPr>
        <w:ind w:left="2880" w:hanging="360"/>
      </w:pPr>
    </w:lvl>
    <w:lvl w:ilvl="4" w:tplc="63F05760">
      <w:start w:val="1"/>
      <w:numFmt w:val="lowerLetter"/>
      <w:lvlText w:val="%5."/>
      <w:lvlJc w:val="left"/>
      <w:pPr>
        <w:ind w:left="3600" w:hanging="360"/>
      </w:pPr>
    </w:lvl>
    <w:lvl w:ilvl="5" w:tplc="6A84D4A2">
      <w:start w:val="1"/>
      <w:numFmt w:val="lowerRoman"/>
      <w:lvlText w:val="%6."/>
      <w:lvlJc w:val="right"/>
      <w:pPr>
        <w:ind w:left="4320" w:hanging="180"/>
      </w:pPr>
    </w:lvl>
    <w:lvl w:ilvl="6" w:tplc="DA14EC46">
      <w:start w:val="1"/>
      <w:numFmt w:val="decimal"/>
      <w:lvlText w:val="%7."/>
      <w:lvlJc w:val="left"/>
      <w:pPr>
        <w:ind w:left="5040" w:hanging="360"/>
      </w:pPr>
    </w:lvl>
    <w:lvl w:ilvl="7" w:tplc="FCF269B6">
      <w:start w:val="1"/>
      <w:numFmt w:val="lowerLetter"/>
      <w:lvlText w:val="%8."/>
      <w:lvlJc w:val="left"/>
      <w:pPr>
        <w:ind w:left="5760" w:hanging="360"/>
      </w:pPr>
    </w:lvl>
    <w:lvl w:ilvl="8" w:tplc="F7D68832">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cs="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bCs/>
      </w:rPr>
    </w:lvl>
    <w:lvl w:ilvl="1">
      <w:start w:val="1"/>
      <w:numFmt w:val="decimal"/>
      <w:isLgl/>
      <w:lvlText w:val="%1.%2"/>
      <w:lvlJc w:val="left"/>
      <w:pPr>
        <w:ind w:left="930" w:hanging="57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440" w:hanging="1080"/>
      </w:pPr>
      <w:rPr>
        <w:rFonts w:hint="default"/>
        <w:b/>
        <w:bCs/>
      </w:rPr>
    </w:lvl>
    <w:lvl w:ilvl="6">
      <w:start w:val="1"/>
      <w:numFmt w:val="decimal"/>
      <w:isLgl/>
      <w:lvlText w:val="%1.%2.%3.%4.%5.%6.%7"/>
      <w:lvlJc w:val="left"/>
      <w:pPr>
        <w:ind w:left="1800" w:hanging="1440"/>
      </w:pPr>
      <w:rPr>
        <w:rFonts w:hint="default"/>
        <w:b/>
        <w:bCs/>
      </w:rPr>
    </w:lvl>
    <w:lvl w:ilvl="7">
      <w:start w:val="1"/>
      <w:numFmt w:val="decimal"/>
      <w:isLgl/>
      <w:lvlText w:val="%1.%2.%3.%4.%5.%6.%7.%8"/>
      <w:lvlJc w:val="left"/>
      <w:pPr>
        <w:ind w:left="1800" w:hanging="1440"/>
      </w:pPr>
      <w:rPr>
        <w:rFonts w:hint="default"/>
        <w:b/>
        <w:bCs/>
      </w:rPr>
    </w:lvl>
    <w:lvl w:ilvl="8">
      <w:start w:val="1"/>
      <w:numFmt w:val="decimal"/>
      <w:isLgl/>
      <w:lvlText w:val="%1.%2.%3.%4.%5.%6.%7.%8.%9"/>
      <w:lvlJc w:val="left"/>
      <w:pPr>
        <w:ind w:left="1800" w:hanging="1440"/>
      </w:pPr>
      <w:rPr>
        <w:rFonts w:hint="default"/>
        <w:b/>
        <w:bCs/>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6A98D2BE">
      <w:start w:val="2"/>
      <w:numFmt w:val="decimal"/>
      <w:lvlText w:val="%1."/>
      <w:lvlJc w:val="left"/>
      <w:pPr>
        <w:tabs>
          <w:tab w:val="num" w:pos="570"/>
        </w:tabs>
        <w:ind w:left="570" w:hanging="570"/>
      </w:pPr>
      <w:rPr>
        <w:rFonts w:hint="default"/>
      </w:rPr>
    </w:lvl>
    <w:lvl w:ilvl="1" w:tplc="4AEA4392">
      <w:start w:val="1"/>
      <w:numFmt w:val="lowerLetter"/>
      <w:lvlText w:val="%2."/>
      <w:lvlJc w:val="left"/>
      <w:pPr>
        <w:tabs>
          <w:tab w:val="num" w:pos="1080"/>
        </w:tabs>
        <w:ind w:left="1080" w:hanging="360"/>
      </w:pPr>
    </w:lvl>
    <w:lvl w:ilvl="2" w:tplc="B6D48E9A">
      <w:start w:val="1"/>
      <w:numFmt w:val="lowerRoman"/>
      <w:lvlText w:val="%3."/>
      <w:lvlJc w:val="right"/>
      <w:pPr>
        <w:tabs>
          <w:tab w:val="num" w:pos="1800"/>
        </w:tabs>
        <w:ind w:left="1800" w:hanging="180"/>
      </w:pPr>
    </w:lvl>
    <w:lvl w:ilvl="3" w:tplc="4E18678A">
      <w:start w:val="1"/>
      <w:numFmt w:val="decimal"/>
      <w:lvlText w:val="%4."/>
      <w:lvlJc w:val="left"/>
      <w:pPr>
        <w:tabs>
          <w:tab w:val="num" w:pos="2520"/>
        </w:tabs>
        <w:ind w:left="2520" w:hanging="360"/>
      </w:pPr>
    </w:lvl>
    <w:lvl w:ilvl="4" w:tplc="7E90BA76">
      <w:start w:val="1"/>
      <w:numFmt w:val="lowerLetter"/>
      <w:lvlText w:val="%5."/>
      <w:lvlJc w:val="left"/>
      <w:pPr>
        <w:tabs>
          <w:tab w:val="num" w:pos="3240"/>
        </w:tabs>
        <w:ind w:left="3240" w:hanging="360"/>
      </w:pPr>
    </w:lvl>
    <w:lvl w:ilvl="5" w:tplc="D3F85124">
      <w:start w:val="1"/>
      <w:numFmt w:val="lowerRoman"/>
      <w:lvlText w:val="%6."/>
      <w:lvlJc w:val="right"/>
      <w:pPr>
        <w:tabs>
          <w:tab w:val="num" w:pos="3960"/>
        </w:tabs>
        <w:ind w:left="3960" w:hanging="180"/>
      </w:pPr>
    </w:lvl>
    <w:lvl w:ilvl="6" w:tplc="5ABC4ADE">
      <w:start w:val="1"/>
      <w:numFmt w:val="decimal"/>
      <w:lvlText w:val="%7."/>
      <w:lvlJc w:val="left"/>
      <w:pPr>
        <w:tabs>
          <w:tab w:val="num" w:pos="4680"/>
        </w:tabs>
        <w:ind w:left="4680" w:hanging="360"/>
      </w:pPr>
    </w:lvl>
    <w:lvl w:ilvl="7" w:tplc="A3523464">
      <w:start w:val="1"/>
      <w:numFmt w:val="lowerLetter"/>
      <w:lvlText w:val="%8."/>
      <w:lvlJc w:val="left"/>
      <w:pPr>
        <w:tabs>
          <w:tab w:val="num" w:pos="5400"/>
        </w:tabs>
        <w:ind w:left="5400" w:hanging="360"/>
      </w:pPr>
    </w:lvl>
    <w:lvl w:ilvl="8" w:tplc="4FE20EAC">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1B24AF1C">
      <w:start w:val="1"/>
      <w:numFmt w:val="bullet"/>
      <w:lvlText w:val=""/>
      <w:lvlJc w:val="left"/>
      <w:pPr>
        <w:tabs>
          <w:tab w:val="num" w:pos="397"/>
        </w:tabs>
        <w:ind w:left="397" w:hanging="397"/>
      </w:pPr>
      <w:rPr>
        <w:rFonts w:ascii="Symbol" w:hAnsi="Symbol" w:cs="Symbol" w:hint="default"/>
      </w:rPr>
    </w:lvl>
    <w:lvl w:ilvl="1" w:tplc="6F0CB952">
      <w:start w:val="1"/>
      <w:numFmt w:val="bullet"/>
      <w:lvlText w:val="o"/>
      <w:lvlJc w:val="left"/>
      <w:pPr>
        <w:tabs>
          <w:tab w:val="num" w:pos="1440"/>
        </w:tabs>
        <w:ind w:left="1440" w:hanging="360"/>
      </w:pPr>
      <w:rPr>
        <w:rFonts w:ascii="Courier New" w:hAnsi="Courier New" w:cs="Courier New" w:hint="default"/>
      </w:rPr>
    </w:lvl>
    <w:lvl w:ilvl="2" w:tplc="123E24C4">
      <w:start w:val="1"/>
      <w:numFmt w:val="bullet"/>
      <w:lvlText w:val=""/>
      <w:lvlJc w:val="left"/>
      <w:pPr>
        <w:tabs>
          <w:tab w:val="num" w:pos="2160"/>
        </w:tabs>
        <w:ind w:left="2160" w:hanging="360"/>
      </w:pPr>
      <w:rPr>
        <w:rFonts w:ascii="Wingdings" w:hAnsi="Wingdings" w:cs="Wingdings" w:hint="default"/>
      </w:rPr>
    </w:lvl>
    <w:lvl w:ilvl="3" w:tplc="BB1486C4">
      <w:start w:val="1"/>
      <w:numFmt w:val="bullet"/>
      <w:lvlText w:val=""/>
      <w:lvlJc w:val="left"/>
      <w:pPr>
        <w:tabs>
          <w:tab w:val="num" w:pos="2880"/>
        </w:tabs>
        <w:ind w:left="2880" w:hanging="360"/>
      </w:pPr>
      <w:rPr>
        <w:rFonts w:ascii="Symbol" w:hAnsi="Symbol" w:cs="Symbol" w:hint="default"/>
      </w:rPr>
    </w:lvl>
    <w:lvl w:ilvl="4" w:tplc="7404220C">
      <w:start w:val="1"/>
      <w:numFmt w:val="bullet"/>
      <w:lvlText w:val="o"/>
      <w:lvlJc w:val="left"/>
      <w:pPr>
        <w:tabs>
          <w:tab w:val="num" w:pos="3600"/>
        </w:tabs>
        <w:ind w:left="3600" w:hanging="360"/>
      </w:pPr>
      <w:rPr>
        <w:rFonts w:ascii="Courier New" w:hAnsi="Courier New" w:cs="Courier New" w:hint="default"/>
      </w:rPr>
    </w:lvl>
    <w:lvl w:ilvl="5" w:tplc="8B582AE2">
      <w:start w:val="1"/>
      <w:numFmt w:val="bullet"/>
      <w:lvlText w:val=""/>
      <w:lvlJc w:val="left"/>
      <w:pPr>
        <w:tabs>
          <w:tab w:val="num" w:pos="4320"/>
        </w:tabs>
        <w:ind w:left="4320" w:hanging="360"/>
      </w:pPr>
      <w:rPr>
        <w:rFonts w:ascii="Wingdings" w:hAnsi="Wingdings" w:cs="Wingdings" w:hint="default"/>
      </w:rPr>
    </w:lvl>
    <w:lvl w:ilvl="6" w:tplc="8D64D514">
      <w:start w:val="1"/>
      <w:numFmt w:val="bullet"/>
      <w:lvlText w:val=""/>
      <w:lvlJc w:val="left"/>
      <w:pPr>
        <w:tabs>
          <w:tab w:val="num" w:pos="5040"/>
        </w:tabs>
        <w:ind w:left="5040" w:hanging="360"/>
      </w:pPr>
      <w:rPr>
        <w:rFonts w:ascii="Symbol" w:hAnsi="Symbol" w:cs="Symbol" w:hint="default"/>
      </w:rPr>
    </w:lvl>
    <w:lvl w:ilvl="7" w:tplc="DDBADB2A">
      <w:start w:val="1"/>
      <w:numFmt w:val="bullet"/>
      <w:lvlText w:val="o"/>
      <w:lvlJc w:val="left"/>
      <w:pPr>
        <w:tabs>
          <w:tab w:val="num" w:pos="5760"/>
        </w:tabs>
        <w:ind w:left="5760" w:hanging="360"/>
      </w:pPr>
      <w:rPr>
        <w:rFonts w:ascii="Courier New" w:hAnsi="Courier New" w:cs="Courier New" w:hint="default"/>
      </w:rPr>
    </w:lvl>
    <w:lvl w:ilvl="8" w:tplc="7F4ADA06">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bCs/>
      </w:rPr>
    </w:lvl>
  </w:abstractNum>
  <w:abstractNum w:abstractNumId="25" w15:restartNumberingAfterBreak="0">
    <w:nsid w:val="6F9337D0"/>
    <w:multiLevelType w:val="hybridMultilevel"/>
    <w:tmpl w:val="B6C885E6"/>
    <w:lvl w:ilvl="0" w:tplc="58FE64DA">
      <w:start w:val="1"/>
      <w:numFmt w:val="bullet"/>
      <w:lvlText w:val=""/>
      <w:lvlJc w:val="left"/>
      <w:pPr>
        <w:tabs>
          <w:tab w:val="num" w:pos="720"/>
        </w:tabs>
        <w:ind w:left="720" w:hanging="360"/>
      </w:pPr>
      <w:rPr>
        <w:rFonts w:ascii="Symbol" w:hAnsi="Symbol" w:cs="Symbol" w:hint="default"/>
      </w:rPr>
    </w:lvl>
    <w:lvl w:ilvl="1" w:tplc="6A829DDE">
      <w:start w:val="1"/>
      <w:numFmt w:val="bullet"/>
      <w:lvlText w:val="o"/>
      <w:lvlJc w:val="left"/>
      <w:pPr>
        <w:tabs>
          <w:tab w:val="num" w:pos="1440"/>
        </w:tabs>
        <w:ind w:left="1440" w:hanging="360"/>
      </w:pPr>
      <w:rPr>
        <w:rFonts w:ascii="Courier New" w:hAnsi="Courier New" w:cs="Courier New" w:hint="default"/>
      </w:rPr>
    </w:lvl>
    <w:lvl w:ilvl="2" w:tplc="FD7E8548">
      <w:start w:val="1"/>
      <w:numFmt w:val="bullet"/>
      <w:lvlText w:val=""/>
      <w:lvlJc w:val="left"/>
      <w:pPr>
        <w:tabs>
          <w:tab w:val="num" w:pos="2160"/>
        </w:tabs>
        <w:ind w:left="2160" w:hanging="360"/>
      </w:pPr>
      <w:rPr>
        <w:rFonts w:ascii="Wingdings" w:hAnsi="Wingdings" w:cs="Wingdings" w:hint="default"/>
      </w:rPr>
    </w:lvl>
    <w:lvl w:ilvl="3" w:tplc="B6D80B80">
      <w:start w:val="1"/>
      <w:numFmt w:val="bullet"/>
      <w:lvlText w:val=""/>
      <w:lvlJc w:val="left"/>
      <w:pPr>
        <w:tabs>
          <w:tab w:val="num" w:pos="2880"/>
        </w:tabs>
        <w:ind w:left="2880" w:hanging="360"/>
      </w:pPr>
      <w:rPr>
        <w:rFonts w:ascii="Symbol" w:hAnsi="Symbol" w:cs="Symbol" w:hint="default"/>
      </w:rPr>
    </w:lvl>
    <w:lvl w:ilvl="4" w:tplc="AFF25AF0">
      <w:start w:val="1"/>
      <w:numFmt w:val="bullet"/>
      <w:lvlText w:val="o"/>
      <w:lvlJc w:val="left"/>
      <w:pPr>
        <w:tabs>
          <w:tab w:val="num" w:pos="3600"/>
        </w:tabs>
        <w:ind w:left="3600" w:hanging="360"/>
      </w:pPr>
      <w:rPr>
        <w:rFonts w:ascii="Courier New" w:hAnsi="Courier New" w:cs="Courier New" w:hint="default"/>
      </w:rPr>
    </w:lvl>
    <w:lvl w:ilvl="5" w:tplc="13BEA7D0">
      <w:start w:val="1"/>
      <w:numFmt w:val="bullet"/>
      <w:lvlText w:val=""/>
      <w:lvlJc w:val="left"/>
      <w:pPr>
        <w:tabs>
          <w:tab w:val="num" w:pos="4320"/>
        </w:tabs>
        <w:ind w:left="4320" w:hanging="360"/>
      </w:pPr>
      <w:rPr>
        <w:rFonts w:ascii="Wingdings" w:hAnsi="Wingdings" w:cs="Wingdings" w:hint="default"/>
      </w:rPr>
    </w:lvl>
    <w:lvl w:ilvl="6" w:tplc="505A1440">
      <w:start w:val="1"/>
      <w:numFmt w:val="bullet"/>
      <w:lvlText w:val=""/>
      <w:lvlJc w:val="left"/>
      <w:pPr>
        <w:tabs>
          <w:tab w:val="num" w:pos="5040"/>
        </w:tabs>
        <w:ind w:left="5040" w:hanging="360"/>
      </w:pPr>
      <w:rPr>
        <w:rFonts w:ascii="Symbol" w:hAnsi="Symbol" w:cs="Symbol" w:hint="default"/>
      </w:rPr>
    </w:lvl>
    <w:lvl w:ilvl="7" w:tplc="3840694A">
      <w:start w:val="1"/>
      <w:numFmt w:val="bullet"/>
      <w:lvlText w:val="o"/>
      <w:lvlJc w:val="left"/>
      <w:pPr>
        <w:tabs>
          <w:tab w:val="num" w:pos="5760"/>
        </w:tabs>
        <w:ind w:left="5760" w:hanging="360"/>
      </w:pPr>
      <w:rPr>
        <w:rFonts w:ascii="Courier New" w:hAnsi="Courier New" w:cs="Courier New" w:hint="default"/>
      </w:rPr>
    </w:lvl>
    <w:lvl w:ilvl="8" w:tplc="B37C1F90">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2AB50F1"/>
    <w:multiLevelType w:val="hybridMultilevel"/>
    <w:tmpl w:val="64CEA6CC"/>
    <w:lvl w:ilvl="0" w:tplc="85A45A7C">
      <w:start w:val="1"/>
      <w:numFmt w:val="decimal"/>
      <w:lvlText w:val="%1)"/>
      <w:lvlJc w:val="left"/>
      <w:pPr>
        <w:ind w:left="720" w:hanging="360"/>
      </w:pPr>
      <w:rPr>
        <w:rFonts w:hint="default"/>
      </w:rPr>
    </w:lvl>
    <w:lvl w:ilvl="1" w:tplc="DC02ED6A">
      <w:start w:val="1"/>
      <w:numFmt w:val="lowerLetter"/>
      <w:lvlText w:val="%2."/>
      <w:lvlJc w:val="left"/>
      <w:pPr>
        <w:ind w:left="1440" w:hanging="360"/>
      </w:pPr>
    </w:lvl>
    <w:lvl w:ilvl="2" w:tplc="8FF8B7F8">
      <w:start w:val="1"/>
      <w:numFmt w:val="lowerRoman"/>
      <w:lvlText w:val="%3."/>
      <w:lvlJc w:val="right"/>
      <w:pPr>
        <w:ind w:left="2160" w:hanging="180"/>
      </w:pPr>
    </w:lvl>
    <w:lvl w:ilvl="3" w:tplc="16A28764">
      <w:start w:val="1"/>
      <w:numFmt w:val="decimal"/>
      <w:lvlText w:val="%4."/>
      <w:lvlJc w:val="left"/>
      <w:pPr>
        <w:ind w:left="2880" w:hanging="360"/>
      </w:pPr>
    </w:lvl>
    <w:lvl w:ilvl="4" w:tplc="90B628A6">
      <w:start w:val="1"/>
      <w:numFmt w:val="lowerLetter"/>
      <w:lvlText w:val="%5."/>
      <w:lvlJc w:val="left"/>
      <w:pPr>
        <w:ind w:left="3600" w:hanging="360"/>
      </w:pPr>
    </w:lvl>
    <w:lvl w:ilvl="5" w:tplc="B54EE86A">
      <w:start w:val="1"/>
      <w:numFmt w:val="lowerRoman"/>
      <w:lvlText w:val="%6."/>
      <w:lvlJc w:val="right"/>
      <w:pPr>
        <w:ind w:left="4320" w:hanging="180"/>
      </w:pPr>
    </w:lvl>
    <w:lvl w:ilvl="6" w:tplc="F120DC1C">
      <w:start w:val="1"/>
      <w:numFmt w:val="decimal"/>
      <w:lvlText w:val="%7."/>
      <w:lvlJc w:val="left"/>
      <w:pPr>
        <w:ind w:left="5040" w:hanging="360"/>
      </w:pPr>
    </w:lvl>
    <w:lvl w:ilvl="7" w:tplc="DD42B378">
      <w:start w:val="1"/>
      <w:numFmt w:val="lowerLetter"/>
      <w:lvlText w:val="%8."/>
      <w:lvlJc w:val="left"/>
      <w:pPr>
        <w:ind w:left="5760" w:hanging="360"/>
      </w:pPr>
    </w:lvl>
    <w:lvl w:ilvl="8" w:tplc="94F64E0C">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B21EB12E"/>
    <w:lvl w:ilvl="0" w:tplc="EE9A3B82">
      <w:start w:val="1"/>
      <w:numFmt w:val="decimal"/>
      <w:lvlText w:val="%1."/>
      <w:lvlJc w:val="left"/>
      <w:pPr>
        <w:ind w:left="577" w:hanging="450"/>
      </w:pPr>
      <w:rPr>
        <w:rFonts w:hint="default"/>
      </w:rPr>
    </w:lvl>
    <w:lvl w:ilvl="1" w:tplc="3F52A6E8">
      <w:start w:val="1"/>
      <w:numFmt w:val="decimal"/>
      <w:lvlText w:val="%2."/>
      <w:lvlJc w:val="left"/>
      <w:pPr>
        <w:ind w:left="1417" w:hanging="570"/>
      </w:pPr>
      <w:rPr>
        <w:rFonts w:hint="default"/>
        <w:b/>
        <w:bCs/>
      </w:rPr>
    </w:lvl>
    <w:lvl w:ilvl="2" w:tplc="99A6F006">
      <w:start w:val="1"/>
      <w:numFmt w:val="lowerRoman"/>
      <w:lvlText w:val="%3."/>
      <w:lvlJc w:val="right"/>
      <w:pPr>
        <w:ind w:left="1927" w:hanging="180"/>
      </w:pPr>
    </w:lvl>
    <w:lvl w:ilvl="3" w:tplc="9A38CB2C">
      <w:start w:val="1"/>
      <w:numFmt w:val="decimal"/>
      <w:lvlText w:val="%4."/>
      <w:lvlJc w:val="left"/>
      <w:pPr>
        <w:ind w:left="2647" w:hanging="360"/>
      </w:pPr>
    </w:lvl>
    <w:lvl w:ilvl="4" w:tplc="E70C661C">
      <w:start w:val="1"/>
      <w:numFmt w:val="lowerLetter"/>
      <w:lvlText w:val="%5."/>
      <w:lvlJc w:val="left"/>
      <w:pPr>
        <w:ind w:left="3367" w:hanging="360"/>
      </w:pPr>
    </w:lvl>
    <w:lvl w:ilvl="5" w:tplc="AB06B862">
      <w:start w:val="1"/>
      <w:numFmt w:val="lowerRoman"/>
      <w:lvlText w:val="%6."/>
      <w:lvlJc w:val="right"/>
      <w:pPr>
        <w:ind w:left="4087" w:hanging="180"/>
      </w:pPr>
    </w:lvl>
    <w:lvl w:ilvl="6" w:tplc="14426BB6">
      <w:start w:val="1"/>
      <w:numFmt w:val="decimal"/>
      <w:lvlText w:val="%7."/>
      <w:lvlJc w:val="left"/>
      <w:pPr>
        <w:ind w:left="4807" w:hanging="360"/>
      </w:pPr>
    </w:lvl>
    <w:lvl w:ilvl="7" w:tplc="A83CB9F8">
      <w:start w:val="1"/>
      <w:numFmt w:val="lowerLetter"/>
      <w:lvlText w:val="%8."/>
      <w:lvlJc w:val="left"/>
      <w:pPr>
        <w:ind w:left="5527" w:hanging="360"/>
      </w:pPr>
    </w:lvl>
    <w:lvl w:ilvl="8" w:tplc="14EC0FB2">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441B08"/>
    <w:rsid w:val="000051B3"/>
    <w:rsid w:val="00026555"/>
    <w:rsid w:val="00030B12"/>
    <w:rsid w:val="00045896"/>
    <w:rsid w:val="00051FE0"/>
    <w:rsid w:val="00067FBE"/>
    <w:rsid w:val="00076E49"/>
    <w:rsid w:val="000A5224"/>
    <w:rsid w:val="000D4AF5"/>
    <w:rsid w:val="00107B32"/>
    <w:rsid w:val="00134E95"/>
    <w:rsid w:val="00156827"/>
    <w:rsid w:val="0017268C"/>
    <w:rsid w:val="001E1647"/>
    <w:rsid w:val="00224EAB"/>
    <w:rsid w:val="00226A4A"/>
    <w:rsid w:val="00236D4A"/>
    <w:rsid w:val="002503BA"/>
    <w:rsid w:val="00252194"/>
    <w:rsid w:val="002C04ED"/>
    <w:rsid w:val="002D3730"/>
    <w:rsid w:val="003240D9"/>
    <w:rsid w:val="00341189"/>
    <w:rsid w:val="003511C5"/>
    <w:rsid w:val="003624B2"/>
    <w:rsid w:val="0036776A"/>
    <w:rsid w:val="00391ABF"/>
    <w:rsid w:val="00393D54"/>
    <w:rsid w:val="003C329B"/>
    <w:rsid w:val="003E448A"/>
    <w:rsid w:val="004024C0"/>
    <w:rsid w:val="0040295B"/>
    <w:rsid w:val="004153CA"/>
    <w:rsid w:val="00422F80"/>
    <w:rsid w:val="0042678F"/>
    <w:rsid w:val="0043078B"/>
    <w:rsid w:val="00441B08"/>
    <w:rsid w:val="00454D21"/>
    <w:rsid w:val="004A5571"/>
    <w:rsid w:val="004B3C5D"/>
    <w:rsid w:val="004C65FB"/>
    <w:rsid w:val="005049C9"/>
    <w:rsid w:val="00507B0F"/>
    <w:rsid w:val="00512144"/>
    <w:rsid w:val="005225EE"/>
    <w:rsid w:val="00527A72"/>
    <w:rsid w:val="00553615"/>
    <w:rsid w:val="00564D92"/>
    <w:rsid w:val="00581F6E"/>
    <w:rsid w:val="005C6784"/>
    <w:rsid w:val="005F62DB"/>
    <w:rsid w:val="00607488"/>
    <w:rsid w:val="00614315"/>
    <w:rsid w:val="00615136"/>
    <w:rsid w:val="0063326F"/>
    <w:rsid w:val="00637A0F"/>
    <w:rsid w:val="006A16F5"/>
    <w:rsid w:val="006E0A6E"/>
    <w:rsid w:val="006E6635"/>
    <w:rsid w:val="00705CF2"/>
    <w:rsid w:val="00732A73"/>
    <w:rsid w:val="007C397D"/>
    <w:rsid w:val="007C5810"/>
    <w:rsid w:val="00831D01"/>
    <w:rsid w:val="008A619B"/>
    <w:rsid w:val="00914560"/>
    <w:rsid w:val="009158A0"/>
    <w:rsid w:val="00940A33"/>
    <w:rsid w:val="009472C6"/>
    <w:rsid w:val="009523E1"/>
    <w:rsid w:val="009627DA"/>
    <w:rsid w:val="009C5218"/>
    <w:rsid w:val="00A475AF"/>
    <w:rsid w:val="00A51055"/>
    <w:rsid w:val="00A5193F"/>
    <w:rsid w:val="00AE1D12"/>
    <w:rsid w:val="00B05E6E"/>
    <w:rsid w:val="00B16305"/>
    <w:rsid w:val="00B3406E"/>
    <w:rsid w:val="00B436B9"/>
    <w:rsid w:val="00B87B69"/>
    <w:rsid w:val="00BC38E7"/>
    <w:rsid w:val="00BC4B8B"/>
    <w:rsid w:val="00BD0959"/>
    <w:rsid w:val="00BE297D"/>
    <w:rsid w:val="00C31185"/>
    <w:rsid w:val="00C32A9C"/>
    <w:rsid w:val="00C34DB7"/>
    <w:rsid w:val="00CA478D"/>
    <w:rsid w:val="00CB7EE7"/>
    <w:rsid w:val="00CD2727"/>
    <w:rsid w:val="00CD6794"/>
    <w:rsid w:val="00CE2981"/>
    <w:rsid w:val="00D14D4B"/>
    <w:rsid w:val="00D24BAB"/>
    <w:rsid w:val="00D82085"/>
    <w:rsid w:val="00DC6BB2"/>
    <w:rsid w:val="00DE1521"/>
    <w:rsid w:val="00DF4B47"/>
    <w:rsid w:val="00E37D98"/>
    <w:rsid w:val="00E5145B"/>
    <w:rsid w:val="00E51A6A"/>
    <w:rsid w:val="00E91381"/>
    <w:rsid w:val="00EC49EF"/>
    <w:rsid w:val="00EF3C63"/>
    <w:rsid w:val="00F006E3"/>
    <w:rsid w:val="00F32A9D"/>
    <w:rsid w:val="00F410B9"/>
    <w:rsid w:val="00F46478"/>
    <w:rsid w:val="00F63DB3"/>
    <w:rsid w:val="00F73BB4"/>
    <w:rsid w:val="00F82CEB"/>
    <w:rsid w:val="00F83286"/>
    <w:rsid w:val="00F918C1"/>
    <w:rsid w:val="00F93FB7"/>
    <w:rsid w:val="00FE070F"/>
    <w:rsid w:val="00FE293C"/>
    <w:rsid w:val="00FE331B"/>
    <w:rsid w:val="00FF1FC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docId w15:val="{B7F37F5F-0B0A-41F6-BFA0-A71C51C1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it-IT" w:eastAsia="it-IT"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locked="1" w:uiPriority="0"/>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567"/>
      </w:tabs>
      <w:spacing w:line="260" w:lineRule="exact"/>
    </w:pPr>
    <w:rPr>
      <w:lang w:val="el-GR" w:eastAsia="el-GR"/>
    </w:rPr>
  </w:style>
  <w:style w:type="paragraph" w:styleId="Heading3">
    <w:name w:val="heading 3"/>
    <w:basedOn w:val="Normal"/>
    <w:link w:val="Heading3Char"/>
    <w:uiPriority w:val="99"/>
    <w:qFormat/>
    <w:rsid w:val="00067FBE"/>
    <w:pPr>
      <w:tabs>
        <w:tab w:val="clear" w:pos="567"/>
      </w:tabs>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067FBE"/>
    <w:rPr>
      <w:rFonts w:eastAsia="Times New Roman"/>
      <w:b/>
      <w:bCs/>
      <w:sz w:val="27"/>
      <w:szCs w:val="27"/>
    </w:rPr>
  </w:style>
  <w:style w:type="paragraph" w:styleId="Footer">
    <w:name w:val="footer"/>
    <w:basedOn w:val="Normal"/>
    <w:link w:val="FooterChar"/>
    <w:uiPriority w:val="99"/>
    <w:pPr>
      <w:tabs>
        <w:tab w:val="center" w:pos="4536"/>
        <w:tab w:val="right" w:pos="8306"/>
      </w:tabs>
    </w:pPr>
    <w:rPr>
      <w:rFonts w:ascii="Arial" w:hAnsi="Arial" w:cs="Arial"/>
      <w:noProof/>
      <w:sz w:val="16"/>
      <w:szCs w:val="16"/>
    </w:rPr>
  </w:style>
  <w:style w:type="character" w:customStyle="1" w:styleId="FooterChar">
    <w:name w:val="Footer Char"/>
    <w:basedOn w:val="DefaultParagraphFont"/>
    <w:link w:val="Footer"/>
    <w:uiPriority w:val="99"/>
    <w:semiHidden/>
    <w:rsid w:val="00DE03A1"/>
    <w:rPr>
      <w:lang w:val="el-GR" w:eastAsia="el-GR"/>
    </w:rPr>
  </w:style>
  <w:style w:type="paragraph" w:styleId="Header">
    <w:name w:val="header"/>
    <w:basedOn w:val="Normal"/>
    <w:link w:val="HeaderChar"/>
    <w:uiPriority w:val="99"/>
    <w:pPr>
      <w:tabs>
        <w:tab w:val="center" w:pos="4153"/>
        <w:tab w:val="right" w:pos="8306"/>
      </w:tabs>
    </w:pPr>
    <w:rPr>
      <w:rFonts w:ascii="Arial" w:hAnsi="Arial" w:cs="Arial"/>
      <w:sz w:val="20"/>
      <w:szCs w:val="20"/>
    </w:rPr>
  </w:style>
  <w:style w:type="character" w:customStyle="1" w:styleId="HeaderChar">
    <w:name w:val="Header Char"/>
    <w:basedOn w:val="DefaultParagraphFont"/>
    <w:link w:val="Header"/>
    <w:uiPriority w:val="99"/>
    <w:semiHidden/>
    <w:rsid w:val="00DE03A1"/>
    <w:rPr>
      <w:lang w:val="el-GR" w:eastAsia="el-GR"/>
    </w:rPr>
  </w:style>
  <w:style w:type="paragraph" w:customStyle="1" w:styleId="MemoHeaderStyle">
    <w:name w:val="MemoHeaderStyle"/>
    <w:basedOn w:val="Normal"/>
    <w:next w:val="Normal"/>
    <w:uiPriority w:val="99"/>
    <w:pPr>
      <w:spacing w:line="120" w:lineRule="atLeast"/>
      <w:ind w:left="1418"/>
      <w:jc w:val="both"/>
    </w:pPr>
    <w:rPr>
      <w:rFonts w:ascii="Arial" w:hAnsi="Arial" w:cs="Arial"/>
      <w:b/>
      <w:bCs/>
      <w:smallCaps/>
    </w:rPr>
  </w:style>
  <w:style w:type="character" w:styleId="PageNumber">
    <w:name w:val="page number"/>
    <w:basedOn w:val="DefaultParagraphFont"/>
    <w:uiPriority w:val="99"/>
  </w:style>
  <w:style w:type="paragraph" w:styleId="BodyText">
    <w:name w:val="Body Text"/>
    <w:basedOn w:val="Normal"/>
    <w:link w:val="BodyTextChar"/>
    <w:uiPriority w:val="99"/>
    <w:pPr>
      <w:tabs>
        <w:tab w:val="clear" w:pos="567"/>
      </w:tabs>
      <w:spacing w:line="240" w:lineRule="auto"/>
    </w:pPr>
    <w:rPr>
      <w:i/>
      <w:iCs/>
      <w:color w:val="008000"/>
    </w:rPr>
  </w:style>
  <w:style w:type="character" w:customStyle="1" w:styleId="BodyTextChar">
    <w:name w:val="Body Text Char"/>
    <w:basedOn w:val="DefaultParagraphFont"/>
    <w:link w:val="BodyText"/>
    <w:uiPriority w:val="99"/>
    <w:semiHidden/>
    <w:rsid w:val="00DE03A1"/>
    <w:rPr>
      <w:lang w:val="el-GR" w:eastAsia="el-GR"/>
    </w:rPr>
  </w:style>
  <w:style w:type="paragraph" w:styleId="CommentText">
    <w:name w:val="annotation text"/>
    <w:basedOn w:val="Normal"/>
    <w:link w:val="CommentTextChar"/>
    <w:uiPriority w:val="99"/>
    <w:semiHidden/>
    <w:pPr>
      <w:spacing w:line="240" w:lineRule="auto"/>
    </w:pPr>
    <w:rPr>
      <w:sz w:val="20"/>
      <w:szCs w:val="20"/>
      <w:lang w:val="it-IT"/>
    </w:rPr>
  </w:style>
  <w:style w:type="character" w:customStyle="1" w:styleId="CommentTextChar">
    <w:name w:val="Comment Text Char"/>
    <w:basedOn w:val="DefaultParagraphFont"/>
    <w:link w:val="CommentText"/>
    <w:uiPriority w:val="99"/>
    <w:semiHidden/>
    <w:locked/>
    <w:rPr>
      <w:rFonts w:eastAsia="Times New Roman"/>
      <w:lang w:eastAsia="el-GR"/>
    </w:rPr>
  </w:style>
  <w:style w:type="character" w:styleId="Hyperlink">
    <w:name w:val="Hyperlink"/>
    <w:basedOn w:val="DefaultParagraphFont"/>
    <w:uiPriority w:val="99"/>
    <w:rPr>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DE03A1"/>
    <w:rPr>
      <w:lang w:val="el-GR" w:eastAsia="el-GR"/>
    </w:rPr>
  </w:style>
  <w:style w:type="paragraph" w:customStyle="1" w:styleId="BodytextAgency">
    <w:name w:val="Body text (Agency)"/>
    <w:basedOn w:val="Normal"/>
    <w:link w:val="BodytextAgencyChar"/>
    <w:uiPriority w:val="99"/>
    <w:pPr>
      <w:tabs>
        <w:tab w:val="clear" w:pos="567"/>
      </w:tabs>
      <w:spacing w:after="140" w:line="280" w:lineRule="atLeast"/>
    </w:pPr>
    <w:rPr>
      <w:rFonts w:ascii="Verdana" w:hAnsi="Verdana" w:cs="Verdana"/>
      <w:sz w:val="18"/>
      <w:szCs w:val="18"/>
    </w:rPr>
  </w:style>
  <w:style w:type="character" w:customStyle="1" w:styleId="BodytextAgencyChar">
    <w:name w:val="Body text (Agency) Char"/>
    <w:link w:val="BodytextAgency"/>
    <w:uiPriority w:val="99"/>
    <w:locked/>
    <w:rPr>
      <w:rFonts w:ascii="Verdana" w:eastAsia="Times New Roman" w:hAnsi="Verdana" w:cs="Verdana"/>
      <w:sz w:val="18"/>
      <w:szCs w:val="18"/>
      <w:lang w:val="el-GR" w:eastAsia="el-GR"/>
    </w:rPr>
  </w:style>
  <w:style w:type="paragraph" w:customStyle="1" w:styleId="DraftingNotesAgency">
    <w:name w:val="Drafting Notes (Agency)"/>
    <w:basedOn w:val="Normal"/>
    <w:next w:val="BodytextAgency"/>
    <w:link w:val="DraftingNotesAgencyChar"/>
    <w:uiPriority w:val="99"/>
    <w:pPr>
      <w:tabs>
        <w:tab w:val="clear" w:pos="567"/>
      </w:tabs>
      <w:spacing w:after="140" w:line="280" w:lineRule="atLeast"/>
    </w:pPr>
    <w:rPr>
      <w:rFonts w:ascii="Courier New" w:hAnsi="Courier New" w:cs="Courier New"/>
      <w:i/>
      <w:iCs/>
      <w:color w:val="339966"/>
    </w:rPr>
  </w:style>
  <w:style w:type="character" w:customStyle="1" w:styleId="DraftingNotesAgencyChar">
    <w:name w:val="Drafting Notes (Agency) Char"/>
    <w:link w:val="DraftingNotesAgency"/>
    <w:uiPriority w:val="99"/>
    <w:locked/>
    <w:rPr>
      <w:rFonts w:ascii="Courier New" w:eastAsia="Times New Roman" w:hAnsi="Courier New" w:cs="Courier New"/>
      <w:i/>
      <w:iCs/>
      <w:color w:val="339966"/>
      <w:sz w:val="18"/>
      <w:szCs w:val="18"/>
      <w:lang w:val="el-GR" w:eastAsia="el-GR"/>
    </w:rPr>
  </w:style>
  <w:style w:type="paragraph" w:customStyle="1" w:styleId="NormalAgency">
    <w:name w:val="Normal (Agency)"/>
    <w:link w:val="NormalAgencyChar"/>
    <w:uiPriority w:val="99"/>
    <w:rPr>
      <w:rFonts w:ascii="Verdana" w:hAnsi="Verdana" w:cs="Verdana"/>
      <w:sz w:val="18"/>
      <w:szCs w:val="18"/>
      <w:lang w:val="el-GR" w:eastAsia="el-GR"/>
    </w:rPr>
  </w:style>
  <w:style w:type="table" w:customStyle="1" w:styleId="TablegridAgencyblack">
    <w:name w:val="Table grid (Agency) black"/>
    <w:uiPriority w:val="99"/>
    <w:semiHidden/>
    <w:rPr>
      <w:rFonts w:ascii="Verdana" w:hAnsi="Verdana" w:cs="Verdana"/>
      <w:sz w:val="18"/>
      <w:szCs w:val="18"/>
      <w:lang w:val="en-GB" w:eastAsia="en-GB"/>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tblStylePr w:type="firstRow">
      <w:rPr>
        <w:rFonts w:ascii="Times New Roman" w:hAnsi="Times New Roman" w:cs="Times New Roman"/>
        <w:b/>
        <w:bCs/>
        <w:i w:val="0"/>
        <w:iCs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uiPriority w:val="99"/>
    <w:pPr>
      <w:keepNext/>
    </w:pPr>
    <w:rPr>
      <w:b/>
      <w:bCs/>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uiPriority w:val="99"/>
    <w:locked/>
    <w:rPr>
      <w:rFonts w:ascii="Verdana" w:eastAsia="Times New Roman" w:hAnsi="Verdana" w:cs="Verdana"/>
      <w:sz w:val="18"/>
      <w:szCs w:val="18"/>
      <w:lang w:val="el-GR" w:eastAsia="el-GR"/>
    </w:rPr>
  </w:style>
  <w:style w:type="character" w:styleId="CommentReference">
    <w:name w:val="annotation reference"/>
    <w:basedOn w:val="DefaultParagraphFont"/>
    <w:uiPriority w:val="99"/>
    <w:semiHidden/>
    <w:rPr>
      <w:sz w:val="16"/>
      <w:szCs w:val="16"/>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locked/>
    <w:rPr>
      <w:rFonts w:eastAsia="Times New Roman"/>
      <w:b/>
      <w:bCs/>
      <w:lang w:eastAsia="el-GR"/>
    </w:rPr>
  </w:style>
  <w:style w:type="paragraph" w:styleId="Revision">
    <w:name w:val="Revision"/>
    <w:hidden/>
    <w:uiPriority w:val="99"/>
    <w:semiHidden/>
    <w:rPr>
      <w:lang w:val="el-GR" w:eastAsia="el-GR"/>
    </w:rPr>
  </w:style>
  <w:style w:type="paragraph" w:customStyle="1" w:styleId="Default">
    <w:name w:val="Default"/>
    <w:pPr>
      <w:autoSpaceDE w:val="0"/>
      <w:autoSpaceDN w:val="0"/>
      <w:adjustRightInd w:val="0"/>
    </w:pPr>
    <w:rPr>
      <w:color w:val="000000"/>
      <w:sz w:val="24"/>
      <w:szCs w:val="24"/>
      <w:lang w:val="el-GR" w:eastAsia="el-GR"/>
    </w:rPr>
  </w:style>
  <w:style w:type="paragraph" w:styleId="ListParagraph">
    <w:name w:val="List Paragraph"/>
    <w:basedOn w:val="Normal"/>
    <w:uiPriority w:val="99"/>
    <w:qFormat/>
    <w:pPr>
      <w:ind w:left="720"/>
    </w:pPr>
  </w:style>
  <w:style w:type="character" w:customStyle="1" w:styleId="st">
    <w:name w:val="st"/>
    <w:basedOn w:val="DefaultParagraphFont"/>
    <w:uiPriority w:val="99"/>
    <w:rsid w:val="00067FBE"/>
  </w:style>
  <w:style w:type="character" w:styleId="Emphasis">
    <w:name w:val="Emphasis"/>
    <w:basedOn w:val="DefaultParagraphFont"/>
    <w:uiPriority w:val="99"/>
    <w:qFormat/>
    <w:rsid w:val="00067FBE"/>
    <w:rPr>
      <w:i/>
      <w:iCs/>
    </w:rPr>
  </w:style>
  <w:style w:type="character" w:customStyle="1" w:styleId="med1">
    <w:name w:val="med1"/>
    <w:basedOn w:val="DefaultParagraphFont"/>
    <w:uiPriority w:val="99"/>
    <w:rsid w:val="00BC38E7"/>
  </w:style>
  <w:style w:type="paragraph" w:customStyle="1" w:styleId="TitleA">
    <w:name w:val="Title A"/>
    <w:basedOn w:val="Normal"/>
    <w:uiPriority w:val="99"/>
    <w:rsid w:val="007C5810"/>
    <w:pPr>
      <w:widowControl w:val="0"/>
      <w:autoSpaceDE w:val="0"/>
      <w:autoSpaceDN w:val="0"/>
      <w:adjustRightInd w:val="0"/>
      <w:spacing w:after="140" w:line="280" w:lineRule="atLeast"/>
      <w:ind w:right="120"/>
      <w:jc w:val="center"/>
    </w:pPr>
    <w:rPr>
      <w:b/>
      <w:bCs/>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s://www.proz.com/kudoz/english_to_greek/medical_pharmaceuticals/1741612-sodium_laurylsulfate.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proz.com/kudoz/english_to_greek/medical_pharmaceuticals/1741612-sodium_laurylsulfate.html" TargetMode="External"/><Relationship Id="rId17" Type="http://schemas.openxmlformats.org/officeDocument/2006/relationships/hyperlink" Target="https://www.galinos.gr/web/drugs/main/substances/polyvinyl-alcohol"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alinos.gr/web/drugs/main/substances/polyvinyl-alcohol" TargetMode="External"/><Relationship Id="rId5" Type="http://schemas.openxmlformats.org/officeDocument/2006/relationships/styles" Target="styles.xml"/><Relationship Id="rId15" Type="http://schemas.openxmlformats.org/officeDocument/2006/relationships/hyperlink" Target="http://www.cuprior.com/"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uprio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3D63CA-7653-4CAE-BAC9-6521AB19D7AE}">
  <ds:schemaRefs>
    <ds:schemaRef ds:uri="http://schemas.microsoft.com/sharepoint/v3/contenttype/forms"/>
  </ds:schemaRefs>
</ds:datastoreItem>
</file>

<file path=customXml/itemProps2.xml><?xml version="1.0" encoding="utf-8"?>
<ds:datastoreItem xmlns:ds="http://schemas.openxmlformats.org/officeDocument/2006/customXml" ds:itemID="{784601C8-1984-44C9-A4BE-62D9980E5E1E}">
  <ds:schemaRefs>
    <ds:schemaRef ds:uri="http://purl.org/dc/elements/1.1/"/>
    <ds:schemaRef ds:uri="http://schemas.microsoft.com/office/2006/metadata/properties"/>
    <ds:schemaRef ds:uri="http://schemas.microsoft.com/sharepoint/v3"/>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CE19DB3B-15AB-47D9-8A6A-F8C119BD83F8}"/>
</file>

<file path=docProps/app.xml><?xml version="1.0" encoding="utf-8"?>
<Properties xmlns="http://schemas.openxmlformats.org/officeDocument/2006/extended-properties" xmlns:vt="http://schemas.openxmlformats.org/officeDocument/2006/docPropsVTypes">
  <Template>Normal</Template>
  <TotalTime>0</TotalTime>
  <Pages>22</Pages>
  <Words>5161</Words>
  <Characters>31766</Characters>
  <Application>Microsoft Office Word</Application>
  <DocSecurity>0</DocSecurity>
  <Lines>264</Lines>
  <Paragraphs>73</Paragraphs>
  <ScaleCrop>false</ScaleCrop>
  <HeadingPairs>
    <vt:vector size="2" baseType="variant">
      <vt:variant>
        <vt:lpstr>Title</vt:lpstr>
      </vt:variant>
      <vt:variant>
        <vt:i4>1</vt:i4>
      </vt:variant>
    </vt:vector>
  </HeadingPairs>
  <TitlesOfParts>
    <vt:vector size="1" baseType="lpstr">
      <vt:lpstr>Cuprior, INN-Trientine tetrahydrochloride</vt:lpstr>
    </vt:vector>
  </TitlesOfParts>
  <Company/>
  <LinksUpToDate>false</LinksUpToDate>
  <CharactersWithSpaces>36854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ema-combined-h-4005-el-annotated</dc:title>
  <dc:subject>EPAR</dc:subject>
  <dc:creator>VCLS</dc:creator>
  <cp:keywords>Cuprior, INN-Trientine tetrahydrochloride</cp:keywords>
  <cp:lastModifiedBy>Scanlan Elizabeth</cp:lastModifiedBy>
  <cp:revision>10</cp:revision>
  <dcterms:created xsi:type="dcterms:W3CDTF">2019-08-28T15:41:00Z</dcterms:created>
  <dcterms:modified xsi:type="dcterms:W3CDTF">2021-05-24T19:51:00Z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15:43:34</vt:lpwstr>
  </property>
  <property fmtid="{D5CDD505-2E9C-101B-9397-08002B2CF9AE}" pid="6" name="DM_Creator_Name">
    <vt:lpwstr>Leszczynska Edyta</vt:lpwstr>
  </property>
  <property fmtid="{D5CDD505-2E9C-101B-9397-08002B2CF9AE}" pid="7" name="DM_DocRefId">
    <vt:lpwstr>EMA/458153/2020</vt:lpwstr>
  </property>
  <property fmtid="{D5CDD505-2E9C-101B-9397-08002B2CF9AE}" pid="8" name="DM_emea_doc_ref_id">
    <vt:lpwstr>EMA/458153/2020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15:43:34</vt:lpwstr>
  </property>
  <property fmtid="{D5CDD505-2E9C-101B-9397-08002B2CF9AE}" pid="13" name="DM_Modifier_Name">
    <vt:lpwstr>Leszczynska Edyta</vt:lpwstr>
  </property>
  <property fmtid="{D5CDD505-2E9C-101B-9397-08002B2CF9AE}" pid="14" name="DM_Modify_Date">
    <vt:lpwstr>28/08/2020 15:43:34</vt:lpwstr>
  </property>
  <property fmtid="{D5CDD505-2E9C-101B-9397-08002B2CF9AE}" pid="15" name="DM_Name">
    <vt:lpwstr>ema-combined-h-4005-el-annotated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2021-05-24T19:51:16Z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79899e17-6668-4b10-8d8c-be465cb1b8a3</vt:lpwstr>
  </property>
  <property fmtid="{D5CDD505-2E9C-101B-9397-08002B2CF9AE}" pid="28" name="MSIP_Label_0eea11ca-d417-4147-80ed-01a58412c458_ContentBits">
    <vt:lpwstr>2</vt:lpwstr>
  </property>
</Properties>
</file>