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B10D" w14:textId="77777777" w:rsidR="007402DB" w:rsidRPr="00F32F30" w:rsidRDefault="007402DB" w:rsidP="007402DB">
      <w:pPr>
        <w:rPr>
          <w:noProof/>
        </w:rPr>
      </w:pPr>
      <w:bookmarkStart w:id="0" w:name="_GoBack"/>
      <w:bookmarkEnd w:id="0"/>
    </w:p>
    <w:p w14:paraId="7FB41E34" w14:textId="77777777" w:rsidR="007402DB" w:rsidRPr="00F32F30" w:rsidRDefault="007402DB" w:rsidP="007402DB">
      <w:pPr>
        <w:rPr>
          <w:noProof/>
        </w:rPr>
      </w:pPr>
    </w:p>
    <w:p w14:paraId="3BF7B2F7" w14:textId="77777777" w:rsidR="007402DB" w:rsidRPr="00F32F30" w:rsidRDefault="007402DB" w:rsidP="007402DB">
      <w:pPr>
        <w:rPr>
          <w:noProof/>
        </w:rPr>
      </w:pPr>
    </w:p>
    <w:p w14:paraId="28999429" w14:textId="77777777" w:rsidR="007402DB" w:rsidRPr="00F32F30" w:rsidRDefault="007402DB" w:rsidP="007402DB">
      <w:pPr>
        <w:rPr>
          <w:noProof/>
        </w:rPr>
      </w:pPr>
    </w:p>
    <w:p w14:paraId="26D5A7FC" w14:textId="77777777" w:rsidR="007402DB" w:rsidRPr="00F32F30" w:rsidRDefault="007402DB" w:rsidP="007402DB">
      <w:pPr>
        <w:rPr>
          <w:noProof/>
          <w:szCs w:val="22"/>
        </w:rPr>
      </w:pPr>
    </w:p>
    <w:p w14:paraId="6D9A4623" w14:textId="77777777" w:rsidR="007402DB" w:rsidRPr="00F32F30" w:rsidRDefault="007402DB" w:rsidP="007402DB">
      <w:pPr>
        <w:rPr>
          <w:noProof/>
          <w:szCs w:val="22"/>
        </w:rPr>
      </w:pPr>
    </w:p>
    <w:p w14:paraId="52819384" w14:textId="77777777" w:rsidR="007402DB" w:rsidRPr="00F32F30" w:rsidRDefault="007402DB" w:rsidP="007402DB">
      <w:pPr>
        <w:rPr>
          <w:noProof/>
          <w:szCs w:val="22"/>
        </w:rPr>
      </w:pPr>
    </w:p>
    <w:p w14:paraId="500510E2" w14:textId="77777777" w:rsidR="007402DB" w:rsidRPr="00F32F30" w:rsidRDefault="007402DB" w:rsidP="007402DB">
      <w:pPr>
        <w:rPr>
          <w:noProof/>
          <w:szCs w:val="22"/>
        </w:rPr>
      </w:pPr>
    </w:p>
    <w:p w14:paraId="6D659773" w14:textId="77777777" w:rsidR="007402DB" w:rsidRPr="00F32F30" w:rsidRDefault="007402DB" w:rsidP="007402DB">
      <w:pPr>
        <w:rPr>
          <w:noProof/>
          <w:szCs w:val="22"/>
        </w:rPr>
      </w:pPr>
    </w:p>
    <w:p w14:paraId="6D6FFF73" w14:textId="77777777" w:rsidR="007402DB" w:rsidRPr="00F32F30" w:rsidRDefault="007402DB" w:rsidP="007402DB">
      <w:pPr>
        <w:rPr>
          <w:noProof/>
          <w:szCs w:val="22"/>
        </w:rPr>
      </w:pPr>
    </w:p>
    <w:p w14:paraId="7CA7D589" w14:textId="77777777" w:rsidR="007402DB" w:rsidRPr="00F32F30" w:rsidRDefault="007402DB" w:rsidP="007402DB">
      <w:pPr>
        <w:rPr>
          <w:noProof/>
          <w:szCs w:val="22"/>
        </w:rPr>
      </w:pPr>
    </w:p>
    <w:p w14:paraId="4DB7E53A" w14:textId="77777777" w:rsidR="007402DB" w:rsidRPr="00F32F30" w:rsidRDefault="007402DB" w:rsidP="007402DB">
      <w:pPr>
        <w:rPr>
          <w:noProof/>
          <w:szCs w:val="22"/>
        </w:rPr>
      </w:pPr>
    </w:p>
    <w:p w14:paraId="22E1B0AC" w14:textId="77777777" w:rsidR="007402DB" w:rsidRPr="00F32F30" w:rsidRDefault="007402DB" w:rsidP="007402DB">
      <w:pPr>
        <w:rPr>
          <w:noProof/>
          <w:szCs w:val="22"/>
        </w:rPr>
      </w:pPr>
    </w:p>
    <w:p w14:paraId="47437EB7" w14:textId="77777777" w:rsidR="007402DB" w:rsidRPr="00F32F30" w:rsidRDefault="007402DB" w:rsidP="007402DB">
      <w:pPr>
        <w:rPr>
          <w:noProof/>
          <w:szCs w:val="22"/>
        </w:rPr>
      </w:pPr>
    </w:p>
    <w:p w14:paraId="03611038" w14:textId="77777777" w:rsidR="007402DB" w:rsidRPr="00F32F30" w:rsidRDefault="007402DB" w:rsidP="007402DB">
      <w:pPr>
        <w:rPr>
          <w:noProof/>
          <w:szCs w:val="22"/>
        </w:rPr>
      </w:pPr>
    </w:p>
    <w:p w14:paraId="3DB7F0BD" w14:textId="77777777" w:rsidR="007402DB" w:rsidRPr="00F32F30" w:rsidRDefault="007402DB" w:rsidP="007402DB">
      <w:pPr>
        <w:rPr>
          <w:noProof/>
          <w:szCs w:val="22"/>
        </w:rPr>
      </w:pPr>
    </w:p>
    <w:p w14:paraId="549B4592" w14:textId="77777777" w:rsidR="007402DB" w:rsidRPr="00F32F30" w:rsidRDefault="007402DB" w:rsidP="007402DB">
      <w:pPr>
        <w:rPr>
          <w:noProof/>
          <w:szCs w:val="22"/>
        </w:rPr>
      </w:pPr>
    </w:p>
    <w:p w14:paraId="63C8D3BE" w14:textId="77777777" w:rsidR="007402DB" w:rsidRPr="00F32F30" w:rsidRDefault="007402DB" w:rsidP="007402DB"/>
    <w:p w14:paraId="2A701AD5" w14:textId="77777777" w:rsidR="007402DB" w:rsidRPr="00F32F30" w:rsidRDefault="007402DB" w:rsidP="007402DB"/>
    <w:p w14:paraId="29C22C0E" w14:textId="77777777" w:rsidR="007402DB" w:rsidRPr="00F32F30" w:rsidRDefault="007402DB" w:rsidP="007402DB"/>
    <w:p w14:paraId="1920E44A" w14:textId="77777777" w:rsidR="007402DB" w:rsidRPr="00F32F30" w:rsidRDefault="007402DB" w:rsidP="007402DB"/>
    <w:p w14:paraId="1DE29E23" w14:textId="77777777" w:rsidR="007402DB" w:rsidRPr="00F32F30" w:rsidRDefault="007402DB" w:rsidP="007402DB"/>
    <w:p w14:paraId="19D9617C" w14:textId="77777777" w:rsidR="007402DB" w:rsidRPr="00F32F30" w:rsidRDefault="00454592" w:rsidP="007402DB">
      <w:pPr>
        <w:spacing w:line="240" w:lineRule="auto"/>
        <w:jc w:val="center"/>
        <w:outlineLvl w:val="0"/>
      </w:pPr>
      <w:r w:rsidRPr="00F32F30">
        <w:rPr>
          <w:b/>
        </w:rPr>
        <w:t>ANEXO I</w:t>
      </w:r>
    </w:p>
    <w:p w14:paraId="437D9170" w14:textId="77777777" w:rsidR="007402DB" w:rsidRPr="00F32F30" w:rsidRDefault="007402DB" w:rsidP="007402DB"/>
    <w:p w14:paraId="434142CA" w14:textId="77777777" w:rsidR="007402DB" w:rsidRPr="00F32F30" w:rsidRDefault="00454592" w:rsidP="007402DB">
      <w:pPr>
        <w:spacing w:line="240" w:lineRule="auto"/>
        <w:jc w:val="center"/>
        <w:outlineLvl w:val="0"/>
      </w:pPr>
      <w:r w:rsidRPr="00F32F30">
        <w:rPr>
          <w:b/>
        </w:rPr>
        <w:t>FICHA TÉCNICA O RESUMEN DE LAS CARACTERÍSTICAS DEL PRODUCTO</w:t>
      </w:r>
    </w:p>
    <w:p w14:paraId="39AC15B3" w14:textId="77777777" w:rsidR="007402DB" w:rsidRPr="00F32F30" w:rsidRDefault="00454592" w:rsidP="007402DB">
      <w:pPr>
        <w:pStyle w:val="ListParagraph"/>
        <w:numPr>
          <w:ilvl w:val="0"/>
          <w:numId w:val="28"/>
        </w:numPr>
        <w:spacing w:line="240" w:lineRule="auto"/>
        <w:ind w:hanging="930"/>
        <w:rPr>
          <w:b/>
        </w:rPr>
      </w:pPr>
      <w:r w:rsidRPr="00F32F30">
        <w:br w:type="page"/>
      </w:r>
      <w:r w:rsidRPr="00F32F30">
        <w:rPr>
          <w:b/>
        </w:rPr>
        <w:lastRenderedPageBreak/>
        <w:t>NOMBRE DEL MEDICAMENTO</w:t>
      </w:r>
    </w:p>
    <w:p w14:paraId="19C95776" w14:textId="77777777" w:rsidR="007402DB" w:rsidRPr="00F32F30" w:rsidRDefault="007402DB" w:rsidP="007402DB">
      <w:pPr>
        <w:spacing w:line="240" w:lineRule="auto"/>
        <w:rPr>
          <w:iCs/>
          <w:noProof/>
          <w:szCs w:val="22"/>
        </w:rPr>
      </w:pPr>
    </w:p>
    <w:p w14:paraId="5C2CFEC4" w14:textId="77777777" w:rsidR="007402DB" w:rsidRPr="00F32F30" w:rsidRDefault="00454592" w:rsidP="007402DB">
      <w:pPr>
        <w:widowControl w:val="0"/>
        <w:spacing w:line="240" w:lineRule="auto"/>
        <w:rPr>
          <w:noProof/>
          <w:szCs w:val="22"/>
        </w:rPr>
      </w:pPr>
      <w:r w:rsidRPr="00F32F30">
        <w:t>Cuprior 150 mg comprimidos</w:t>
      </w:r>
      <w:r w:rsidR="0081326A" w:rsidRPr="00F32F30">
        <w:t xml:space="preserve"> recubiertos con película</w:t>
      </w:r>
    </w:p>
    <w:p w14:paraId="4536882F" w14:textId="77777777" w:rsidR="007402DB" w:rsidRPr="00F32F30" w:rsidRDefault="007402DB" w:rsidP="007402DB">
      <w:pPr>
        <w:spacing w:line="240" w:lineRule="auto"/>
        <w:rPr>
          <w:iCs/>
          <w:noProof/>
          <w:szCs w:val="22"/>
        </w:rPr>
      </w:pPr>
    </w:p>
    <w:p w14:paraId="58134AE4" w14:textId="77777777" w:rsidR="007402DB" w:rsidRPr="00F32F30" w:rsidRDefault="007402DB" w:rsidP="007402DB">
      <w:pPr>
        <w:spacing w:line="240" w:lineRule="auto"/>
        <w:rPr>
          <w:iCs/>
          <w:noProof/>
          <w:szCs w:val="22"/>
        </w:rPr>
      </w:pPr>
    </w:p>
    <w:p w14:paraId="772CE22B" w14:textId="77777777" w:rsidR="007402DB" w:rsidRPr="00F32F30" w:rsidRDefault="00454592" w:rsidP="007402DB">
      <w:pPr>
        <w:pStyle w:val="ListParagraph"/>
        <w:numPr>
          <w:ilvl w:val="0"/>
          <w:numId w:val="28"/>
        </w:numPr>
        <w:spacing w:line="240" w:lineRule="auto"/>
        <w:ind w:hanging="930"/>
        <w:rPr>
          <w:b/>
        </w:rPr>
      </w:pPr>
      <w:r w:rsidRPr="00F32F30">
        <w:rPr>
          <w:b/>
        </w:rPr>
        <w:t>COMPOSICIÓN CUALITATIVA Y CUANTITATIVA</w:t>
      </w:r>
    </w:p>
    <w:p w14:paraId="0FED878E" w14:textId="77777777" w:rsidR="007402DB" w:rsidRPr="00F32F30" w:rsidRDefault="007402DB" w:rsidP="007402DB">
      <w:pPr>
        <w:spacing w:line="240" w:lineRule="auto"/>
        <w:rPr>
          <w:iCs/>
          <w:noProof/>
          <w:szCs w:val="22"/>
        </w:rPr>
      </w:pPr>
    </w:p>
    <w:p w14:paraId="267616D9" w14:textId="77777777" w:rsidR="007402DB" w:rsidRPr="00F32F30" w:rsidRDefault="00454592" w:rsidP="007402DB">
      <w:pPr>
        <w:widowControl w:val="0"/>
        <w:rPr>
          <w:szCs w:val="22"/>
        </w:rPr>
      </w:pPr>
      <w:r w:rsidRPr="00F32F30">
        <w:t>Cada comprimido</w:t>
      </w:r>
      <w:r w:rsidR="0081326A" w:rsidRPr="00F32F30">
        <w:t xml:space="preserve"> recubierto con película</w:t>
      </w:r>
      <w:r w:rsidRPr="00F32F30">
        <w:t xml:space="preserve"> contiene trientina tetrahidrocloruro equivalente a 150 mg de trientina.</w:t>
      </w:r>
    </w:p>
    <w:p w14:paraId="1B574885" w14:textId="77777777" w:rsidR="007402DB" w:rsidRPr="00F32F30" w:rsidRDefault="007402DB" w:rsidP="007402DB">
      <w:pPr>
        <w:rPr>
          <w:szCs w:val="22"/>
        </w:rPr>
      </w:pPr>
    </w:p>
    <w:p w14:paraId="7E85C6F1" w14:textId="77777777" w:rsidR="007402DB" w:rsidRPr="00F32F30" w:rsidRDefault="00454592" w:rsidP="007402DB">
      <w:pPr>
        <w:outlineLvl w:val="0"/>
        <w:rPr>
          <w:noProof/>
          <w:szCs w:val="22"/>
        </w:rPr>
      </w:pPr>
      <w:r w:rsidRPr="00F32F30">
        <w:t>Para consultar la lista completa de excipientes, ver sección 6.1.</w:t>
      </w:r>
    </w:p>
    <w:p w14:paraId="6D2E0754" w14:textId="77777777" w:rsidR="007402DB" w:rsidRPr="00F32F30" w:rsidRDefault="007402DB" w:rsidP="007402DB">
      <w:pPr>
        <w:rPr>
          <w:noProof/>
          <w:szCs w:val="22"/>
        </w:rPr>
      </w:pPr>
    </w:p>
    <w:p w14:paraId="19DC246B" w14:textId="77777777" w:rsidR="007402DB" w:rsidRPr="00F32F30" w:rsidRDefault="007402DB" w:rsidP="007402DB">
      <w:pPr>
        <w:spacing w:line="240" w:lineRule="auto"/>
        <w:rPr>
          <w:noProof/>
          <w:szCs w:val="22"/>
        </w:rPr>
      </w:pPr>
    </w:p>
    <w:p w14:paraId="2D6DDCF0" w14:textId="77777777" w:rsidR="007402DB" w:rsidRPr="00F32F30" w:rsidRDefault="00454592" w:rsidP="007402DB">
      <w:pPr>
        <w:pStyle w:val="ListParagraph"/>
        <w:numPr>
          <w:ilvl w:val="0"/>
          <w:numId w:val="28"/>
        </w:numPr>
        <w:spacing w:line="240" w:lineRule="auto"/>
        <w:ind w:hanging="930"/>
        <w:rPr>
          <w:b/>
        </w:rPr>
      </w:pPr>
      <w:r w:rsidRPr="00F32F30">
        <w:rPr>
          <w:b/>
        </w:rPr>
        <w:t>FORMA FARMACÉUTICA</w:t>
      </w:r>
    </w:p>
    <w:p w14:paraId="6AC1A246" w14:textId="77777777" w:rsidR="007402DB" w:rsidRPr="00F32F30" w:rsidRDefault="007402DB" w:rsidP="007402DB">
      <w:pPr>
        <w:spacing w:line="240" w:lineRule="auto"/>
        <w:rPr>
          <w:noProof/>
          <w:szCs w:val="22"/>
        </w:rPr>
      </w:pPr>
    </w:p>
    <w:p w14:paraId="217B5563" w14:textId="77777777" w:rsidR="007402DB" w:rsidRPr="00F32F30" w:rsidRDefault="00454592" w:rsidP="007402DB">
      <w:pPr>
        <w:rPr>
          <w:noProof/>
          <w:szCs w:val="22"/>
        </w:rPr>
      </w:pPr>
      <w:r w:rsidRPr="00F32F30">
        <w:t>Comprimido</w:t>
      </w:r>
      <w:r w:rsidR="0081326A" w:rsidRPr="00F32F30">
        <w:t xml:space="preserve"> recubierto con película (comprimido)</w:t>
      </w:r>
      <w:r w:rsidRPr="00F32F30">
        <w:t>.</w:t>
      </w:r>
    </w:p>
    <w:p w14:paraId="13877768" w14:textId="77777777" w:rsidR="007402DB" w:rsidRPr="00F32F30" w:rsidRDefault="007402DB" w:rsidP="007402DB">
      <w:pPr>
        <w:rPr>
          <w:noProof/>
          <w:szCs w:val="22"/>
        </w:rPr>
      </w:pPr>
    </w:p>
    <w:p w14:paraId="4EFC8C59" w14:textId="77777777" w:rsidR="007402DB" w:rsidRPr="00F32F30" w:rsidRDefault="00454592" w:rsidP="007402DB">
      <w:pPr>
        <w:rPr>
          <w:noProof/>
          <w:szCs w:val="22"/>
        </w:rPr>
      </w:pPr>
      <w:r w:rsidRPr="00F32F30">
        <w:t>Comprimido</w:t>
      </w:r>
      <w:r w:rsidR="0081326A" w:rsidRPr="00F32F30">
        <w:t xml:space="preserve"> recubierto con película</w:t>
      </w:r>
      <w:r w:rsidRPr="00F32F30">
        <w:t xml:space="preserve"> </w:t>
      </w:r>
      <w:r w:rsidR="00621C49" w:rsidRPr="00F32F30">
        <w:t>alargado</w:t>
      </w:r>
      <w:r w:rsidRPr="00F32F30">
        <w:t xml:space="preserve">, </w:t>
      </w:r>
      <w:r w:rsidR="0081326A" w:rsidRPr="00F32F30">
        <w:t>amarillo</w:t>
      </w:r>
      <w:r w:rsidRPr="00F32F30">
        <w:t>, de 16 x 8 mm, con una ranura en</w:t>
      </w:r>
      <w:r w:rsidR="0081326A" w:rsidRPr="00F32F30">
        <w:t xml:space="preserve"> cada</w:t>
      </w:r>
      <w:r w:rsidRPr="00F32F30">
        <w:t xml:space="preserve"> cara.</w:t>
      </w:r>
    </w:p>
    <w:p w14:paraId="49A11BAE" w14:textId="77777777" w:rsidR="007402DB" w:rsidRPr="00F32F30" w:rsidRDefault="007402DB" w:rsidP="007402DB">
      <w:pPr>
        <w:rPr>
          <w:noProof/>
          <w:szCs w:val="22"/>
        </w:rPr>
      </w:pPr>
    </w:p>
    <w:p w14:paraId="44AFCAE3" w14:textId="77777777" w:rsidR="007402DB" w:rsidRPr="00F32F30" w:rsidRDefault="00454592" w:rsidP="007402DB">
      <w:pPr>
        <w:rPr>
          <w:noProof/>
          <w:szCs w:val="22"/>
        </w:rPr>
      </w:pPr>
      <w:r w:rsidRPr="00F32F30">
        <w:t>El comprimido se puede dividir en dosis iguales.</w:t>
      </w:r>
    </w:p>
    <w:p w14:paraId="270736CA" w14:textId="77777777" w:rsidR="007402DB" w:rsidRPr="00F32F30" w:rsidRDefault="007402DB" w:rsidP="007402DB">
      <w:pPr>
        <w:rPr>
          <w:noProof/>
          <w:szCs w:val="22"/>
        </w:rPr>
      </w:pPr>
    </w:p>
    <w:p w14:paraId="5ACDB26E" w14:textId="77777777" w:rsidR="007402DB" w:rsidRPr="00F32F30" w:rsidRDefault="007402DB" w:rsidP="007402DB">
      <w:pPr>
        <w:rPr>
          <w:noProof/>
          <w:szCs w:val="22"/>
        </w:rPr>
      </w:pPr>
    </w:p>
    <w:p w14:paraId="20431801" w14:textId="77777777" w:rsidR="007402DB" w:rsidRPr="00F32F30" w:rsidRDefault="00454592" w:rsidP="007402DB">
      <w:pPr>
        <w:pStyle w:val="ListParagraph"/>
        <w:numPr>
          <w:ilvl w:val="0"/>
          <w:numId w:val="28"/>
        </w:numPr>
        <w:spacing w:line="240" w:lineRule="auto"/>
        <w:ind w:hanging="930"/>
        <w:rPr>
          <w:b/>
        </w:rPr>
      </w:pPr>
      <w:r w:rsidRPr="00F32F30">
        <w:rPr>
          <w:b/>
        </w:rPr>
        <w:t>DATOS CLÍNICOS</w:t>
      </w:r>
    </w:p>
    <w:p w14:paraId="48FCA35F" w14:textId="77777777" w:rsidR="007402DB" w:rsidRPr="00F32F30" w:rsidRDefault="007402DB" w:rsidP="007402DB">
      <w:pPr>
        <w:spacing w:line="240" w:lineRule="auto"/>
        <w:rPr>
          <w:noProof/>
          <w:szCs w:val="22"/>
        </w:rPr>
      </w:pPr>
    </w:p>
    <w:p w14:paraId="1F145884" w14:textId="77777777" w:rsidR="007402DB" w:rsidRPr="00F32F30" w:rsidRDefault="00454592" w:rsidP="007402DB">
      <w:pPr>
        <w:pStyle w:val="ListParagraph"/>
        <w:numPr>
          <w:ilvl w:val="1"/>
          <w:numId w:val="28"/>
        </w:numPr>
        <w:spacing w:line="240" w:lineRule="auto"/>
        <w:ind w:hanging="930"/>
        <w:outlineLvl w:val="0"/>
        <w:rPr>
          <w:noProof/>
          <w:szCs w:val="22"/>
        </w:rPr>
      </w:pPr>
      <w:r w:rsidRPr="00F32F30">
        <w:rPr>
          <w:b/>
          <w:noProof/>
        </w:rPr>
        <w:t>Indicaciones terapéuticas</w:t>
      </w:r>
    </w:p>
    <w:p w14:paraId="6A949418" w14:textId="77777777" w:rsidR="007402DB" w:rsidRPr="00F32F30" w:rsidRDefault="007402DB" w:rsidP="007402DB">
      <w:pPr>
        <w:spacing w:line="240" w:lineRule="auto"/>
        <w:rPr>
          <w:noProof/>
          <w:szCs w:val="22"/>
        </w:rPr>
      </w:pPr>
    </w:p>
    <w:p w14:paraId="61025C3F" w14:textId="77777777" w:rsidR="007402DB" w:rsidRPr="00F32F30" w:rsidRDefault="00454592" w:rsidP="007402DB">
      <w:pPr>
        <w:rPr>
          <w:i/>
          <w:color w:val="000000"/>
          <w:szCs w:val="22"/>
        </w:rPr>
      </w:pPr>
      <w:r w:rsidRPr="00F32F30">
        <w:t>Cuprior</w:t>
      </w:r>
      <w:r w:rsidRPr="00F32F30">
        <w:t xml:space="preserve"> está indicado para el tratamiento de la enfermedad de Wilson en adultos, adolescentes y niños de 5 años de edad o mayores que no toleran el tratamiento con D-penicilamina.</w:t>
      </w:r>
    </w:p>
    <w:p w14:paraId="3299BC92" w14:textId="77777777" w:rsidR="007402DB" w:rsidRPr="00F32F30" w:rsidRDefault="007402DB" w:rsidP="007402DB">
      <w:pPr>
        <w:spacing w:line="240" w:lineRule="auto"/>
        <w:rPr>
          <w:noProof/>
          <w:szCs w:val="22"/>
        </w:rPr>
      </w:pPr>
    </w:p>
    <w:p w14:paraId="4EE40527"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Posología y forma de administración</w:t>
      </w:r>
    </w:p>
    <w:p w14:paraId="1CA69A63" w14:textId="77777777" w:rsidR="007402DB" w:rsidRPr="00F32F30" w:rsidRDefault="007402DB" w:rsidP="007402DB">
      <w:pPr>
        <w:spacing w:line="240" w:lineRule="auto"/>
        <w:rPr>
          <w:szCs w:val="22"/>
        </w:rPr>
      </w:pPr>
    </w:p>
    <w:p w14:paraId="3E7D8D0D" w14:textId="77777777" w:rsidR="007402DB" w:rsidRPr="00F32F30" w:rsidRDefault="00454592" w:rsidP="007402DB">
      <w:pPr>
        <w:rPr>
          <w:szCs w:val="22"/>
        </w:rPr>
      </w:pPr>
      <w:r w:rsidRPr="00F32F30">
        <w:t xml:space="preserve">El tratamiento solo debe iniciarlo un médico especialista que tenga experiencia en el tratamiento de la enfermedad de Wilson. </w:t>
      </w:r>
    </w:p>
    <w:p w14:paraId="7198F154" w14:textId="77777777" w:rsidR="007402DB" w:rsidRPr="00F32F30" w:rsidRDefault="007402DB" w:rsidP="007402DB">
      <w:pPr>
        <w:rPr>
          <w:szCs w:val="22"/>
        </w:rPr>
      </w:pPr>
    </w:p>
    <w:p w14:paraId="136F19E8" w14:textId="77777777" w:rsidR="007402DB" w:rsidRPr="00F32F30" w:rsidRDefault="00454592" w:rsidP="007402DB">
      <w:pPr>
        <w:rPr>
          <w:szCs w:val="22"/>
        </w:rPr>
      </w:pPr>
      <w:r w:rsidRPr="00F32F30">
        <w:rPr>
          <w:u w:val="single"/>
        </w:rPr>
        <w:t>Posología</w:t>
      </w:r>
    </w:p>
    <w:p w14:paraId="28418C76" w14:textId="77777777" w:rsidR="007402DB" w:rsidRPr="00F32F30" w:rsidRDefault="00454592" w:rsidP="007402DB">
      <w:pPr>
        <w:rPr>
          <w:rFonts w:eastAsia="SimSun"/>
          <w:szCs w:val="22"/>
        </w:rPr>
      </w:pPr>
      <w:r w:rsidRPr="00F32F30">
        <w:t>La dosis inicial corresponderá habitualmente a la dosis más baja del intervalo y debe adaptarse posteriormente en func</w:t>
      </w:r>
      <w:r w:rsidRPr="00F32F30">
        <w:t>ión de la respuesta clínica del paciente (ver sección 4.4).</w:t>
      </w:r>
    </w:p>
    <w:p w14:paraId="75B640AA" w14:textId="77777777" w:rsidR="007402DB" w:rsidRPr="00F32F30" w:rsidRDefault="007402DB" w:rsidP="007402DB">
      <w:pPr>
        <w:tabs>
          <w:tab w:val="clear" w:pos="567"/>
        </w:tabs>
        <w:autoSpaceDE w:val="0"/>
        <w:autoSpaceDN w:val="0"/>
        <w:adjustRightInd w:val="0"/>
        <w:spacing w:line="240" w:lineRule="auto"/>
        <w:rPr>
          <w:rFonts w:eastAsia="SimSun"/>
          <w:i/>
          <w:iCs/>
          <w:szCs w:val="22"/>
        </w:rPr>
      </w:pPr>
    </w:p>
    <w:p w14:paraId="6BDBA3A1" w14:textId="77777777" w:rsidR="007402DB" w:rsidRPr="00F32F30" w:rsidRDefault="00454592" w:rsidP="007402DB">
      <w:pPr>
        <w:tabs>
          <w:tab w:val="clear" w:pos="567"/>
        </w:tabs>
        <w:autoSpaceDE w:val="0"/>
        <w:autoSpaceDN w:val="0"/>
        <w:adjustRightInd w:val="0"/>
        <w:spacing w:line="240" w:lineRule="auto"/>
        <w:rPr>
          <w:rFonts w:eastAsia="SimSun"/>
          <w:iCs/>
          <w:szCs w:val="22"/>
        </w:rPr>
      </w:pPr>
      <w:r w:rsidRPr="00F32F30">
        <w:t>La dosis recomendada está comprendida entre 450 mg y 975 mg (entre 3 y 6 comprimidos</w:t>
      </w:r>
      <w:r w:rsidR="004E1BF8" w:rsidRPr="00F32F30">
        <w:t xml:space="preserve"> recubiertos con película</w:t>
      </w:r>
      <w:r w:rsidRPr="00F32F30">
        <w:t xml:space="preserve"> y medio) al día en 2 a 4 dosis fraccionadas. </w:t>
      </w:r>
    </w:p>
    <w:p w14:paraId="64214AA7" w14:textId="77777777" w:rsidR="007402DB" w:rsidRPr="00F32F30" w:rsidRDefault="007402DB" w:rsidP="007402DB">
      <w:pPr>
        <w:tabs>
          <w:tab w:val="clear" w:pos="567"/>
        </w:tabs>
        <w:autoSpaceDE w:val="0"/>
        <w:autoSpaceDN w:val="0"/>
        <w:adjustRightInd w:val="0"/>
        <w:spacing w:line="240" w:lineRule="auto"/>
        <w:rPr>
          <w:rFonts w:eastAsia="SimSun"/>
          <w:iCs/>
          <w:szCs w:val="22"/>
          <w:u w:val="single"/>
        </w:rPr>
      </w:pPr>
    </w:p>
    <w:p w14:paraId="6C39C98C" w14:textId="77777777" w:rsidR="007402DB" w:rsidRPr="00F32F30" w:rsidRDefault="00454592" w:rsidP="007402DB">
      <w:pPr>
        <w:tabs>
          <w:tab w:val="clear" w:pos="567"/>
        </w:tabs>
        <w:autoSpaceDE w:val="0"/>
        <w:autoSpaceDN w:val="0"/>
        <w:adjustRightInd w:val="0"/>
        <w:spacing w:line="240" w:lineRule="auto"/>
        <w:rPr>
          <w:rFonts w:eastAsia="SimSun"/>
          <w:i/>
          <w:iCs/>
          <w:szCs w:val="22"/>
          <w:u w:val="single"/>
        </w:rPr>
      </w:pPr>
      <w:r w:rsidRPr="00F32F30">
        <w:rPr>
          <w:i/>
          <w:u w:val="single"/>
        </w:rPr>
        <w:t>Poblaciones especiales</w:t>
      </w:r>
    </w:p>
    <w:p w14:paraId="7FF5FABD" w14:textId="77777777" w:rsidR="007402DB" w:rsidRPr="00F32F30" w:rsidRDefault="00454592" w:rsidP="007402DB">
      <w:pPr>
        <w:tabs>
          <w:tab w:val="clear" w:pos="567"/>
        </w:tabs>
        <w:autoSpaceDE w:val="0"/>
        <w:autoSpaceDN w:val="0"/>
        <w:adjustRightInd w:val="0"/>
        <w:spacing w:line="240" w:lineRule="auto"/>
        <w:rPr>
          <w:rFonts w:eastAsia="SimSun"/>
          <w:i/>
          <w:iCs/>
          <w:szCs w:val="22"/>
        </w:rPr>
      </w:pPr>
      <w:r w:rsidRPr="00F32F30">
        <w:rPr>
          <w:i/>
        </w:rPr>
        <w:t>Pacientes de ed</w:t>
      </w:r>
      <w:r w:rsidRPr="00F32F30">
        <w:rPr>
          <w:i/>
        </w:rPr>
        <w:t xml:space="preserve">ad avanzada </w:t>
      </w:r>
    </w:p>
    <w:p w14:paraId="1AA120AB" w14:textId="77777777" w:rsidR="007402DB" w:rsidRPr="00F32F30" w:rsidRDefault="00454592" w:rsidP="007402DB">
      <w:pPr>
        <w:rPr>
          <w:rFonts w:eastAsia="TimesNewRoman"/>
          <w:szCs w:val="22"/>
        </w:rPr>
      </w:pPr>
      <w:r w:rsidRPr="00F32F30">
        <w:t>No se necesitan ajustes de la dosis en los pacientes de edad avanzada.</w:t>
      </w:r>
    </w:p>
    <w:p w14:paraId="326F0B46" w14:textId="77777777" w:rsidR="007402DB" w:rsidRPr="00F32F30" w:rsidRDefault="007402DB" w:rsidP="007402DB">
      <w:pPr>
        <w:rPr>
          <w:rFonts w:eastAsia="TimesNewRoman"/>
          <w:szCs w:val="22"/>
        </w:rPr>
      </w:pPr>
    </w:p>
    <w:p w14:paraId="69105D62" w14:textId="77777777" w:rsidR="007402DB" w:rsidRPr="00F32F30" w:rsidRDefault="00454592" w:rsidP="007402DB">
      <w:pPr>
        <w:tabs>
          <w:tab w:val="clear" w:pos="567"/>
        </w:tabs>
        <w:autoSpaceDE w:val="0"/>
        <w:autoSpaceDN w:val="0"/>
        <w:adjustRightInd w:val="0"/>
        <w:spacing w:line="240" w:lineRule="auto"/>
        <w:rPr>
          <w:rFonts w:eastAsia="SimSun"/>
          <w:i/>
          <w:iCs/>
          <w:szCs w:val="22"/>
        </w:rPr>
      </w:pPr>
      <w:r w:rsidRPr="00F32F30">
        <w:rPr>
          <w:i/>
        </w:rPr>
        <w:t>Insuficiencia renal</w:t>
      </w:r>
    </w:p>
    <w:p w14:paraId="33DB7A74" w14:textId="77777777" w:rsidR="007402DB" w:rsidRPr="00F32F30" w:rsidRDefault="00454592" w:rsidP="007402DB">
      <w:pPr>
        <w:tabs>
          <w:tab w:val="clear" w:pos="567"/>
        </w:tabs>
        <w:autoSpaceDE w:val="0"/>
        <w:autoSpaceDN w:val="0"/>
        <w:adjustRightInd w:val="0"/>
        <w:spacing w:line="240" w:lineRule="auto"/>
        <w:rPr>
          <w:rFonts w:eastAsia="TimesNewRoman"/>
          <w:szCs w:val="22"/>
        </w:rPr>
      </w:pPr>
      <w:r w:rsidRPr="00F32F30">
        <w:t>Existe poca información en pacientes con insuficiencia renal. No es necesario un ajuste específico de la dosis en estos pacientes (ver sección 4.4).</w:t>
      </w:r>
    </w:p>
    <w:p w14:paraId="05F585AB" w14:textId="77777777" w:rsidR="007402DB" w:rsidRPr="00F32F30" w:rsidRDefault="007402DB" w:rsidP="007402DB">
      <w:pPr>
        <w:rPr>
          <w:szCs w:val="22"/>
        </w:rPr>
      </w:pPr>
    </w:p>
    <w:p w14:paraId="37159636" w14:textId="77777777" w:rsidR="007402DB" w:rsidRPr="00F32F30" w:rsidRDefault="00454592" w:rsidP="007402DB">
      <w:pPr>
        <w:rPr>
          <w:rFonts w:eastAsia="SimSun"/>
          <w:iCs/>
          <w:szCs w:val="22"/>
          <w:u w:val="single"/>
        </w:rPr>
      </w:pPr>
      <w:r w:rsidRPr="00F32F30">
        <w:rPr>
          <w:u w:val="single"/>
        </w:rPr>
        <w:t>P</w:t>
      </w:r>
      <w:r w:rsidRPr="00F32F30">
        <w:rPr>
          <w:u w:val="single"/>
        </w:rPr>
        <w:t>oblación pediátrica</w:t>
      </w:r>
    </w:p>
    <w:p w14:paraId="52306C15" w14:textId="77777777" w:rsidR="007402DB" w:rsidRPr="00F32F30" w:rsidRDefault="00454592" w:rsidP="007402DB">
      <w:pPr>
        <w:rPr>
          <w:szCs w:val="22"/>
        </w:rPr>
      </w:pPr>
      <w:r w:rsidRPr="00F32F30">
        <w:t xml:space="preserve">La dosis inicial en los pacientes pediátricos es menor que en los adultos y depende de la edad y del peso corporal. </w:t>
      </w:r>
    </w:p>
    <w:p w14:paraId="26AF52FF" w14:textId="77777777" w:rsidR="007402DB" w:rsidRPr="00F32F30" w:rsidRDefault="007402DB" w:rsidP="007402DB">
      <w:pPr>
        <w:rPr>
          <w:szCs w:val="22"/>
        </w:rPr>
      </w:pPr>
    </w:p>
    <w:p w14:paraId="2F0FD3A9" w14:textId="77777777" w:rsidR="007402DB" w:rsidRPr="00F32F30" w:rsidRDefault="00454592" w:rsidP="007402DB">
      <w:pPr>
        <w:rPr>
          <w:i/>
          <w:szCs w:val="22"/>
        </w:rPr>
      </w:pPr>
      <w:r w:rsidRPr="00F32F30">
        <w:rPr>
          <w:i/>
        </w:rPr>
        <w:t xml:space="preserve">Niños de 5 años o mayores </w:t>
      </w:r>
    </w:p>
    <w:p w14:paraId="0D37B7C4" w14:textId="77777777" w:rsidR="007402DB" w:rsidRPr="00F32F30" w:rsidRDefault="00454592" w:rsidP="007402DB">
      <w:pPr>
        <w:rPr>
          <w:szCs w:val="22"/>
        </w:rPr>
      </w:pPr>
      <w:r w:rsidRPr="00F32F30">
        <w:t xml:space="preserve">La dosis está comprendida normalmente entre 225 mg y 600 mg (entre 1 comprimido y </w:t>
      </w:r>
      <w:r w:rsidRPr="00F32F30">
        <w:t>medio y 4 comprimidos</w:t>
      </w:r>
      <w:r w:rsidR="0081326A" w:rsidRPr="00F32F30">
        <w:t xml:space="preserve"> recubiertos con película</w:t>
      </w:r>
      <w:r w:rsidRPr="00F32F30">
        <w:t xml:space="preserve">) al día en 2 a 4 dosis fraccionadas. </w:t>
      </w:r>
    </w:p>
    <w:p w14:paraId="2D91849D" w14:textId="77777777" w:rsidR="007402DB" w:rsidRPr="00F32F30" w:rsidRDefault="007402DB" w:rsidP="007402DB">
      <w:pPr>
        <w:rPr>
          <w:szCs w:val="22"/>
        </w:rPr>
      </w:pPr>
    </w:p>
    <w:p w14:paraId="42994D88" w14:textId="77777777" w:rsidR="007402DB" w:rsidRPr="00F32F30" w:rsidRDefault="00454592" w:rsidP="007402DB">
      <w:pPr>
        <w:rPr>
          <w:i/>
          <w:iCs/>
          <w:szCs w:val="22"/>
        </w:rPr>
      </w:pPr>
      <w:r w:rsidRPr="00F32F30">
        <w:rPr>
          <w:i/>
        </w:rPr>
        <w:t>Niños menores de 5 años</w:t>
      </w:r>
    </w:p>
    <w:p w14:paraId="0E4033B9" w14:textId="77777777" w:rsidR="007402DB" w:rsidRPr="00F32F30" w:rsidRDefault="00454592" w:rsidP="007402DB">
      <w:pPr>
        <w:tabs>
          <w:tab w:val="clear" w:pos="567"/>
        </w:tabs>
        <w:autoSpaceDE w:val="0"/>
        <w:autoSpaceDN w:val="0"/>
        <w:adjustRightInd w:val="0"/>
        <w:spacing w:line="240" w:lineRule="auto"/>
        <w:rPr>
          <w:szCs w:val="22"/>
        </w:rPr>
      </w:pPr>
      <w:r w:rsidRPr="00F32F30">
        <w:t xml:space="preserve">No se ha establecido la seguridad y eficacia de la trientina en niños menores de 5 años. </w:t>
      </w:r>
    </w:p>
    <w:p w14:paraId="500D0777" w14:textId="77777777" w:rsidR="007402DB" w:rsidRPr="00F32F30" w:rsidRDefault="00454592" w:rsidP="007402DB">
      <w:pPr>
        <w:tabs>
          <w:tab w:val="clear" w:pos="567"/>
        </w:tabs>
        <w:autoSpaceDE w:val="0"/>
        <w:autoSpaceDN w:val="0"/>
        <w:adjustRightInd w:val="0"/>
        <w:spacing w:line="240" w:lineRule="auto"/>
        <w:rPr>
          <w:szCs w:val="22"/>
        </w:rPr>
      </w:pPr>
      <w:r w:rsidRPr="00F32F30">
        <w:t xml:space="preserve">La forma farmacéutica en comprimidos no es </w:t>
      </w:r>
      <w:r w:rsidRPr="00F32F30">
        <w:t>adecuada para administración a niños menores de 5 años.</w:t>
      </w:r>
    </w:p>
    <w:p w14:paraId="1EE4301B" w14:textId="77777777" w:rsidR="007402DB" w:rsidRPr="00F32F30" w:rsidRDefault="007402DB" w:rsidP="007402DB">
      <w:pPr>
        <w:rPr>
          <w:rFonts w:eastAsia="SimSun"/>
          <w:highlight w:val="yellow"/>
        </w:rPr>
      </w:pPr>
    </w:p>
    <w:p w14:paraId="3316476A" w14:textId="77777777" w:rsidR="007402DB" w:rsidRPr="00F32F30" w:rsidRDefault="00454592" w:rsidP="007402DB">
      <w:pPr>
        <w:rPr>
          <w:szCs w:val="22"/>
        </w:rPr>
      </w:pPr>
      <w:r w:rsidRPr="00F32F30">
        <w:t xml:space="preserve">Las dosis recomendadas de Cuprior se expresan en mg de trientina como base (es decir, no en forma de sal tetrahidrocloruro de trientina). </w:t>
      </w:r>
    </w:p>
    <w:p w14:paraId="78BE6B8C" w14:textId="77777777" w:rsidR="007402DB" w:rsidRPr="00F32F30" w:rsidRDefault="007402DB" w:rsidP="007402DB">
      <w:pPr>
        <w:tabs>
          <w:tab w:val="clear" w:pos="567"/>
          <w:tab w:val="left" w:pos="7309"/>
        </w:tabs>
        <w:rPr>
          <w:szCs w:val="22"/>
        </w:rPr>
      </w:pPr>
    </w:p>
    <w:p w14:paraId="3C30C2FC" w14:textId="77777777" w:rsidR="007402DB" w:rsidRPr="00F32F30" w:rsidRDefault="00454592" w:rsidP="007402DB">
      <w:pPr>
        <w:autoSpaceDE w:val="0"/>
        <w:autoSpaceDN w:val="0"/>
        <w:adjustRightInd w:val="0"/>
        <w:rPr>
          <w:szCs w:val="22"/>
          <w:u w:val="single"/>
        </w:rPr>
      </w:pPr>
      <w:r w:rsidRPr="00F32F30">
        <w:rPr>
          <w:u w:val="single"/>
        </w:rPr>
        <w:t>Forma de administración</w:t>
      </w:r>
    </w:p>
    <w:p w14:paraId="35B51165" w14:textId="77777777" w:rsidR="007402DB" w:rsidRPr="00F32F30" w:rsidRDefault="00454592" w:rsidP="007402DB">
      <w:pPr>
        <w:autoSpaceDE w:val="0"/>
        <w:autoSpaceDN w:val="0"/>
        <w:adjustRightInd w:val="0"/>
        <w:rPr>
          <w:szCs w:val="22"/>
        </w:rPr>
      </w:pPr>
      <w:r w:rsidRPr="00F32F30">
        <w:t>Cuprior se administra por vía oral.</w:t>
      </w:r>
      <w:r w:rsidRPr="00F32F30">
        <w:t xml:space="preserve"> Los comprimidos </w:t>
      </w:r>
      <w:r w:rsidR="0081326A" w:rsidRPr="00F32F30">
        <w:t xml:space="preserve">recubiertos con película </w:t>
      </w:r>
      <w:r w:rsidRPr="00F32F30">
        <w:t xml:space="preserve">deben tragarse con agua. El comprimido </w:t>
      </w:r>
      <w:r w:rsidR="0081326A" w:rsidRPr="00F32F30">
        <w:t xml:space="preserve">recubierto con película </w:t>
      </w:r>
      <w:r w:rsidRPr="00F32F30">
        <w:t>ranurado se puede dividir en dos mitades iguales, en caso necesario, para obtener una dosis más precisa o para facilitar la administración.</w:t>
      </w:r>
    </w:p>
    <w:p w14:paraId="7E690CFB" w14:textId="77777777" w:rsidR="007402DB" w:rsidRPr="00F32F30" w:rsidRDefault="007402DB" w:rsidP="007402DB">
      <w:pPr>
        <w:autoSpaceDE w:val="0"/>
        <w:autoSpaceDN w:val="0"/>
        <w:adjustRightInd w:val="0"/>
        <w:rPr>
          <w:szCs w:val="22"/>
        </w:rPr>
      </w:pPr>
    </w:p>
    <w:p w14:paraId="1F23E95B" w14:textId="77777777" w:rsidR="007402DB" w:rsidRPr="00F32F30" w:rsidRDefault="00454592" w:rsidP="007402DB">
      <w:pPr>
        <w:autoSpaceDE w:val="0"/>
        <w:autoSpaceDN w:val="0"/>
        <w:adjustRightInd w:val="0"/>
        <w:rPr>
          <w:noProof/>
          <w:szCs w:val="22"/>
        </w:rPr>
      </w:pPr>
      <w:r w:rsidRPr="00F32F30">
        <w:t>Es importa</w:t>
      </w:r>
      <w:r w:rsidRPr="00F32F30">
        <w:t xml:space="preserve">nte administrar Cuprior con el estómago vacío, como mínimo una hora antes o dos horas después de las comidas y, al menos, con una hora de diferencia con respecto a otros medicamentos, alimentos o leche (ver sección 4.5). </w:t>
      </w:r>
    </w:p>
    <w:p w14:paraId="3FBBF863" w14:textId="77777777" w:rsidR="007402DB" w:rsidRPr="00F32F30" w:rsidRDefault="007402DB" w:rsidP="007402DB">
      <w:pPr>
        <w:spacing w:line="240" w:lineRule="auto"/>
        <w:ind w:left="567" w:hanging="567"/>
        <w:rPr>
          <w:b/>
          <w:noProof/>
          <w:szCs w:val="22"/>
        </w:rPr>
      </w:pPr>
    </w:p>
    <w:p w14:paraId="2934CDE0"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Contraindicaciones</w:t>
      </w:r>
    </w:p>
    <w:p w14:paraId="69CAD108" w14:textId="77777777" w:rsidR="007402DB" w:rsidRPr="00F32F30" w:rsidRDefault="007402DB" w:rsidP="007402DB">
      <w:pPr>
        <w:spacing w:line="240" w:lineRule="auto"/>
        <w:rPr>
          <w:noProof/>
          <w:szCs w:val="22"/>
        </w:rPr>
      </w:pPr>
    </w:p>
    <w:p w14:paraId="24C204C3" w14:textId="77777777" w:rsidR="007402DB" w:rsidRPr="00F32F30" w:rsidRDefault="00454592" w:rsidP="007402DB">
      <w:pPr>
        <w:rPr>
          <w:noProof/>
          <w:szCs w:val="22"/>
        </w:rPr>
      </w:pPr>
      <w:r w:rsidRPr="00F32F30">
        <w:t>Hipersensibil</w:t>
      </w:r>
      <w:r w:rsidRPr="00F32F30">
        <w:t>idad al principio activo o a alguno de los excipientes incluidos en la sección 6.1.</w:t>
      </w:r>
    </w:p>
    <w:p w14:paraId="423D730C" w14:textId="77777777" w:rsidR="007402DB" w:rsidRPr="00F32F30" w:rsidRDefault="007402DB" w:rsidP="007402DB">
      <w:pPr>
        <w:spacing w:line="240" w:lineRule="auto"/>
        <w:rPr>
          <w:noProof/>
          <w:szCs w:val="22"/>
        </w:rPr>
      </w:pPr>
    </w:p>
    <w:p w14:paraId="4A7374C4"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Advertencias y precauciones especiales de empleo</w:t>
      </w:r>
    </w:p>
    <w:p w14:paraId="4A536223" w14:textId="77777777" w:rsidR="007402DB" w:rsidRPr="00F32F30" w:rsidRDefault="007402DB" w:rsidP="007402DB">
      <w:pPr>
        <w:spacing w:line="240" w:lineRule="auto"/>
        <w:ind w:left="567" w:hanging="567"/>
        <w:rPr>
          <w:b/>
          <w:noProof/>
          <w:szCs w:val="22"/>
        </w:rPr>
      </w:pPr>
    </w:p>
    <w:p w14:paraId="7BE8B7DF" w14:textId="77777777" w:rsidR="007402DB" w:rsidRPr="00F32F30" w:rsidRDefault="00454592" w:rsidP="007402DB">
      <w:pPr>
        <w:rPr>
          <w:szCs w:val="22"/>
        </w:rPr>
      </w:pPr>
      <w:r w:rsidRPr="00F32F30">
        <w:t>Se recomienda precaución cuando se cambie el tratamiento desde otra formulación de trientina, ya que las dosis expresadas</w:t>
      </w:r>
      <w:r w:rsidRPr="00F32F30">
        <w:t xml:space="preserve"> en forma de trientina como base pueden no ser equivalentes (ver sección 4.2). </w:t>
      </w:r>
    </w:p>
    <w:p w14:paraId="29E2DA14" w14:textId="77777777" w:rsidR="007402DB" w:rsidRPr="00F32F30" w:rsidRDefault="007402DB" w:rsidP="007402DB">
      <w:pPr>
        <w:rPr>
          <w:rFonts w:eastAsia="SimSun"/>
          <w:szCs w:val="22"/>
        </w:rPr>
      </w:pPr>
    </w:p>
    <w:p w14:paraId="7ED4F2AD" w14:textId="77777777" w:rsidR="007402DB" w:rsidRPr="00F32F30" w:rsidRDefault="00454592" w:rsidP="007402DB">
      <w:pPr>
        <w:tabs>
          <w:tab w:val="clear" w:pos="567"/>
        </w:tabs>
        <w:autoSpaceDE w:val="0"/>
        <w:autoSpaceDN w:val="0"/>
        <w:adjustRightInd w:val="0"/>
        <w:spacing w:line="240" w:lineRule="auto"/>
        <w:rPr>
          <w:noProof/>
          <w:szCs w:val="22"/>
        </w:rPr>
      </w:pPr>
      <w:r w:rsidRPr="00F32F30">
        <w:t>La trientina</w:t>
      </w:r>
      <w:r w:rsidRPr="00F32F30">
        <w:t xml:space="preserve"> es un quelante que, según se ha demostrado, reduce los niveles séricos de hierro. En caso de anemia ferropénica pueden necesitarse suplementos de hierro, que deben administrarse a una hora diferente (ver sección 4.5). </w:t>
      </w:r>
    </w:p>
    <w:p w14:paraId="4A6EC6A4" w14:textId="77777777" w:rsidR="007402DB" w:rsidRPr="00F32F30" w:rsidRDefault="007402DB" w:rsidP="007402DB">
      <w:pPr>
        <w:tabs>
          <w:tab w:val="clear" w:pos="567"/>
        </w:tabs>
        <w:autoSpaceDE w:val="0"/>
        <w:autoSpaceDN w:val="0"/>
        <w:adjustRightInd w:val="0"/>
        <w:spacing w:line="240" w:lineRule="auto"/>
        <w:rPr>
          <w:noProof/>
          <w:szCs w:val="22"/>
        </w:rPr>
      </w:pPr>
    </w:p>
    <w:p w14:paraId="16C75BB8" w14:textId="77777777" w:rsidR="007402DB" w:rsidRPr="00F32F30" w:rsidRDefault="00454592" w:rsidP="007402DB">
      <w:pPr>
        <w:tabs>
          <w:tab w:val="clear" w:pos="567"/>
        </w:tabs>
        <w:autoSpaceDE w:val="0"/>
        <w:autoSpaceDN w:val="0"/>
        <w:adjustRightInd w:val="0"/>
        <w:spacing w:line="240" w:lineRule="auto"/>
        <w:rPr>
          <w:noProof/>
          <w:szCs w:val="22"/>
        </w:rPr>
      </w:pPr>
      <w:r w:rsidRPr="00F32F30">
        <w:t xml:space="preserve">No se recomienda la combinación de </w:t>
      </w:r>
      <w:r w:rsidRPr="00F32F30">
        <w:t>trientina con cinc. Los datos disponibles sobre el uso concomitante son solo limitados y no se pueden hacer recomendaciones posológicas específicas.</w:t>
      </w:r>
    </w:p>
    <w:p w14:paraId="79166906" w14:textId="77777777" w:rsidR="007402DB" w:rsidRPr="00F32F30" w:rsidRDefault="007402DB" w:rsidP="007402DB">
      <w:pPr>
        <w:tabs>
          <w:tab w:val="clear" w:pos="567"/>
        </w:tabs>
        <w:autoSpaceDE w:val="0"/>
        <w:autoSpaceDN w:val="0"/>
        <w:adjustRightInd w:val="0"/>
        <w:spacing w:line="240" w:lineRule="auto"/>
        <w:rPr>
          <w:noProof/>
          <w:szCs w:val="22"/>
        </w:rPr>
      </w:pPr>
    </w:p>
    <w:p w14:paraId="6BC7FA72" w14:textId="77777777" w:rsidR="007402DB" w:rsidRPr="00F32F30" w:rsidRDefault="00454592" w:rsidP="007402DB">
      <w:pPr>
        <w:tabs>
          <w:tab w:val="clear" w:pos="567"/>
        </w:tabs>
        <w:autoSpaceDE w:val="0"/>
        <w:autoSpaceDN w:val="0"/>
        <w:adjustRightInd w:val="0"/>
        <w:spacing w:line="240" w:lineRule="auto"/>
        <w:rPr>
          <w:noProof/>
          <w:szCs w:val="22"/>
        </w:rPr>
      </w:pPr>
      <w:r w:rsidRPr="00F32F30">
        <w:t xml:space="preserve">En pacientes tratados previamente con D-penicilamina se han notificado reacciones seudolúpicas durante el </w:t>
      </w:r>
      <w:r w:rsidRPr="00F32F30">
        <w:t>tratamiento posterior con trientina, si bien no es posible determinar si existe una relación causal con la trientina.</w:t>
      </w:r>
    </w:p>
    <w:p w14:paraId="71DFDD93" w14:textId="77777777" w:rsidR="007402DB" w:rsidRPr="00F32F30" w:rsidRDefault="007402DB" w:rsidP="007402DB">
      <w:pPr>
        <w:tabs>
          <w:tab w:val="clear" w:pos="567"/>
        </w:tabs>
        <w:autoSpaceDE w:val="0"/>
        <w:autoSpaceDN w:val="0"/>
        <w:adjustRightInd w:val="0"/>
        <w:spacing w:line="240" w:lineRule="auto"/>
        <w:rPr>
          <w:noProof/>
          <w:szCs w:val="22"/>
        </w:rPr>
      </w:pPr>
    </w:p>
    <w:p w14:paraId="34443B7A" w14:textId="77777777" w:rsidR="007402DB" w:rsidRPr="00F32F30" w:rsidRDefault="00454592" w:rsidP="007402DB">
      <w:pPr>
        <w:rPr>
          <w:noProof/>
          <w:szCs w:val="22"/>
          <w:u w:val="single"/>
        </w:rPr>
      </w:pPr>
      <w:r w:rsidRPr="00F32F30">
        <w:rPr>
          <w:noProof/>
          <w:u w:val="single"/>
        </w:rPr>
        <w:t>Vigilancia</w:t>
      </w:r>
    </w:p>
    <w:p w14:paraId="38AA8087" w14:textId="77777777" w:rsidR="007402DB" w:rsidRPr="00F32F30" w:rsidRDefault="00454592" w:rsidP="007402DB">
      <w:pPr>
        <w:rPr>
          <w:noProof/>
          <w:szCs w:val="22"/>
        </w:rPr>
      </w:pPr>
      <w:r w:rsidRPr="00F32F30">
        <w:t>Los pacientes tratados con Cuprior deberán permanecer en supervisión médica periódica y ser vigilados para hacer un control ad</w:t>
      </w:r>
      <w:r w:rsidRPr="00F32F30">
        <w:t xml:space="preserve">ecuado de los síntomas y los niveles de cobre con el fin de optimizar la dosis (ver sección 4.2). </w:t>
      </w:r>
    </w:p>
    <w:p w14:paraId="00118048" w14:textId="77777777" w:rsidR="007402DB" w:rsidRPr="00F32F30" w:rsidRDefault="007402DB" w:rsidP="007402DB">
      <w:pPr>
        <w:rPr>
          <w:noProof/>
          <w:szCs w:val="22"/>
        </w:rPr>
      </w:pPr>
    </w:p>
    <w:p w14:paraId="3A72F757" w14:textId="77777777" w:rsidR="007402DB" w:rsidRPr="00F32F30" w:rsidRDefault="00454592" w:rsidP="007402DB">
      <w:pPr>
        <w:rPr>
          <w:noProof/>
          <w:szCs w:val="22"/>
        </w:rPr>
      </w:pPr>
      <w:r w:rsidRPr="00F32F30">
        <w:t xml:space="preserve">El objetivo del tratamiento de mantenimiento es mantener los niveles séricos de cobre libre dentro de límites aceptables. El índice más fiable para vigilar </w:t>
      </w:r>
      <w:r w:rsidRPr="00F32F30">
        <w:t xml:space="preserve">el tratamiento es la determinación del cobre libre en suero, que se calcula a partir de la diferencia entre el cobre total y el cobre unido a la ceruloplasmina (el nivel normal de cobre libre en el suero suele ser de 100 a 150 microgramos/l). </w:t>
      </w:r>
    </w:p>
    <w:p w14:paraId="67878C63" w14:textId="77777777" w:rsidR="007402DB" w:rsidRPr="00F32F30" w:rsidRDefault="007402DB" w:rsidP="007402DB">
      <w:pPr>
        <w:rPr>
          <w:noProof/>
          <w:szCs w:val="22"/>
        </w:rPr>
      </w:pPr>
    </w:p>
    <w:p w14:paraId="562199E4" w14:textId="77777777" w:rsidR="007402DB" w:rsidRPr="00F32F30" w:rsidRDefault="00454592" w:rsidP="007402DB">
      <w:pPr>
        <w:rPr>
          <w:noProof/>
          <w:szCs w:val="22"/>
        </w:rPr>
      </w:pPr>
      <w:r w:rsidRPr="00F32F30">
        <w:t>La determin</w:t>
      </w:r>
      <w:r w:rsidRPr="00F32F30">
        <w:t>ación de la excreción de cobre en la orina se puede realizar durante el tratamiento. La quelación induce un aumento de los niveles urinarios de cobre, por lo que este parámetro no siempre reflejará con precisión la sobrecarga de cobre en el organismo, aunq</w:t>
      </w:r>
      <w:r w:rsidRPr="00F32F30">
        <w:t>ue puede ser una medida útil del cumplimiento del tratamiento.</w:t>
      </w:r>
    </w:p>
    <w:p w14:paraId="62199731" w14:textId="77777777" w:rsidR="007402DB" w:rsidRPr="00F32F30" w:rsidRDefault="007402DB" w:rsidP="007402DB">
      <w:pPr>
        <w:rPr>
          <w:noProof/>
          <w:szCs w:val="22"/>
        </w:rPr>
      </w:pPr>
    </w:p>
    <w:p w14:paraId="0ACA2B10" w14:textId="77777777" w:rsidR="007402DB" w:rsidRPr="00F32F30" w:rsidRDefault="00454592" w:rsidP="007402DB">
      <w:pPr>
        <w:rPr>
          <w:noProof/>
          <w:szCs w:val="22"/>
        </w:rPr>
      </w:pPr>
      <w:r w:rsidRPr="00F32F30">
        <w:t xml:space="preserve">Al comienzo del tratamiento quelante puede producirse un empeoramiento de los síntomas clínicos, incluido un deterioro neurológico, debido al exceso de cobre sérico libre durante la respuesta </w:t>
      </w:r>
      <w:r w:rsidRPr="00F32F30">
        <w:t xml:space="preserve">inicial al </w:t>
      </w:r>
      <w:r w:rsidRPr="00F32F30">
        <w:lastRenderedPageBreak/>
        <w:t>tratamiento. Se necesita una estrecha vigilancia para optimizar la dosis o para adaptar el tratamiento en caso necesario.</w:t>
      </w:r>
    </w:p>
    <w:p w14:paraId="08E2CCBF" w14:textId="77777777" w:rsidR="007402DB" w:rsidRPr="00F32F30" w:rsidRDefault="007402DB" w:rsidP="007402DB">
      <w:pPr>
        <w:rPr>
          <w:noProof/>
          <w:szCs w:val="22"/>
        </w:rPr>
      </w:pPr>
    </w:p>
    <w:p w14:paraId="7FD57D3F" w14:textId="77777777" w:rsidR="007402DB" w:rsidRPr="00F32F30" w:rsidRDefault="00454592" w:rsidP="007402DB">
      <w:pPr>
        <w:keepNext/>
        <w:rPr>
          <w:noProof/>
          <w:szCs w:val="22"/>
          <w:u w:val="single"/>
        </w:rPr>
      </w:pPr>
      <w:r w:rsidRPr="00F32F30">
        <w:rPr>
          <w:noProof/>
          <w:u w:val="single"/>
        </w:rPr>
        <w:t>Poblaciones especiales</w:t>
      </w:r>
    </w:p>
    <w:p w14:paraId="3C32CD21" w14:textId="77777777" w:rsidR="007402DB" w:rsidRPr="00F32F30" w:rsidRDefault="00454592" w:rsidP="007402DB">
      <w:pPr>
        <w:rPr>
          <w:noProof/>
          <w:szCs w:val="22"/>
        </w:rPr>
      </w:pPr>
      <w:r w:rsidRPr="00F32F30">
        <w:t xml:space="preserve">El sobretratamiento comporta un riesgo de déficit de cobre. Deben adoptarse medidas para </w:t>
      </w:r>
      <w:r w:rsidRPr="00F32F30">
        <w:t>vigilar las manifestaciones del sobretratamiento, en especial, cuando puedan cambiar las necesidades de cobre, por ejemplo, durante la gestación (ver sección 4.6) y en los niños; en estos casos se necesita un control adecuado de los niveles de cobre para g</w:t>
      </w:r>
      <w:r w:rsidRPr="00F32F30">
        <w:t>arantizar un crecimiento y un desarrollo mental correctos.</w:t>
      </w:r>
    </w:p>
    <w:p w14:paraId="03F42C8E" w14:textId="77777777" w:rsidR="007402DB" w:rsidRPr="00F32F30" w:rsidRDefault="007402DB" w:rsidP="007402DB">
      <w:pPr>
        <w:rPr>
          <w:noProof/>
          <w:szCs w:val="22"/>
        </w:rPr>
      </w:pPr>
    </w:p>
    <w:p w14:paraId="495DF497" w14:textId="77777777" w:rsidR="007402DB" w:rsidRPr="00F32F30" w:rsidRDefault="00454592" w:rsidP="007402DB">
      <w:pPr>
        <w:rPr>
          <w:noProof/>
          <w:szCs w:val="22"/>
        </w:rPr>
      </w:pPr>
      <w:r w:rsidRPr="00F32F30">
        <w:t>Los pacientes con insuficiencia renal que reciban trientina deben permanecer bajo supervisión médica periódica para un control adecuado de los síntomas y de los niveles de cobre. También se recomi</w:t>
      </w:r>
      <w:r w:rsidRPr="00F32F30">
        <w:t>enda una vigilancia estrecha de la función renal en estos pacientes (ver sección 4.2).</w:t>
      </w:r>
    </w:p>
    <w:p w14:paraId="347D16C1" w14:textId="77777777" w:rsidR="007402DB" w:rsidRPr="00F32F30" w:rsidRDefault="007402DB" w:rsidP="007402DB">
      <w:pPr>
        <w:rPr>
          <w:noProof/>
        </w:rPr>
      </w:pPr>
    </w:p>
    <w:p w14:paraId="3DDEB20B"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Interacción con otros medicamentos y otras formas de interacción</w:t>
      </w:r>
    </w:p>
    <w:p w14:paraId="23613839" w14:textId="77777777" w:rsidR="007402DB" w:rsidRPr="00F32F30" w:rsidRDefault="007402DB" w:rsidP="007402DB">
      <w:pPr>
        <w:spacing w:line="240" w:lineRule="auto"/>
        <w:rPr>
          <w:noProof/>
          <w:szCs w:val="22"/>
        </w:rPr>
      </w:pPr>
    </w:p>
    <w:p w14:paraId="63B6AF95" w14:textId="77777777" w:rsidR="007402DB" w:rsidRPr="00F32F30" w:rsidRDefault="00454592" w:rsidP="007402DB">
      <w:pPr>
        <w:spacing w:line="240" w:lineRule="auto"/>
        <w:rPr>
          <w:noProof/>
          <w:szCs w:val="22"/>
        </w:rPr>
      </w:pPr>
      <w:r w:rsidRPr="00F32F30">
        <w:t>No se han realizado estudios de interacciones.</w:t>
      </w:r>
    </w:p>
    <w:p w14:paraId="727ACEE7" w14:textId="77777777" w:rsidR="007402DB" w:rsidRPr="00F32F30" w:rsidRDefault="007402DB" w:rsidP="007402DB">
      <w:pPr>
        <w:spacing w:line="240" w:lineRule="auto"/>
        <w:rPr>
          <w:noProof/>
          <w:szCs w:val="22"/>
        </w:rPr>
      </w:pPr>
    </w:p>
    <w:p w14:paraId="6C6063B5" w14:textId="77777777" w:rsidR="007402DB" w:rsidRPr="00F32F30" w:rsidRDefault="00454592" w:rsidP="007402DB">
      <w:pPr>
        <w:rPr>
          <w:noProof/>
          <w:szCs w:val="22"/>
        </w:rPr>
      </w:pPr>
      <w:r w:rsidRPr="00F32F30">
        <w:t>Se ha observado que la trientina</w:t>
      </w:r>
      <w:r w:rsidRPr="00F32F30">
        <w:t xml:space="preserve"> reduce los niveles séricos de hierro, posiblemente al disminuir su absorción, por lo que pueden necesitarse suplementos de hierro. Dado que el hierro y la trientina pueden inhibir mutuamente su absorción, los suplementos de hierro se deben tomar cuando ha</w:t>
      </w:r>
      <w:r w:rsidRPr="00F32F30">
        <w:t>yan pasado al menos dos horas después de la administración de trientina.</w:t>
      </w:r>
    </w:p>
    <w:p w14:paraId="48DE1741" w14:textId="77777777" w:rsidR="007402DB" w:rsidRPr="00F32F30" w:rsidRDefault="007402DB" w:rsidP="007402DB">
      <w:pPr>
        <w:rPr>
          <w:noProof/>
          <w:szCs w:val="22"/>
        </w:rPr>
      </w:pPr>
    </w:p>
    <w:p w14:paraId="0B2F063D" w14:textId="77777777" w:rsidR="007402DB" w:rsidRPr="00F32F30" w:rsidRDefault="00454592" w:rsidP="007402DB">
      <w:pPr>
        <w:rPr>
          <w:noProof/>
          <w:szCs w:val="22"/>
        </w:rPr>
      </w:pPr>
      <w:r w:rsidRPr="00F32F30">
        <w:t>Dado que la trientina se absorbe mal tras su administración oral y que el principal mecanismo de acción requiere su exposición sistémica (ver sección 5.1), es importante tomar los co</w:t>
      </w:r>
      <w:r w:rsidRPr="00F32F30">
        <w:t>mprimidos</w:t>
      </w:r>
      <w:r w:rsidR="0081326A" w:rsidRPr="00F32F30">
        <w:t xml:space="preserve"> recubiertos con película</w:t>
      </w:r>
      <w:r w:rsidRPr="00F32F30">
        <w:t xml:space="preserve"> con el estómago vacío como mínimo una hora antes o dos horas después de las comidas y al menos con una hora de diferencia con respecto a otros medicamentos, alimentos o leche (ver sección 4.2). De este modo se logra la má</w:t>
      </w:r>
      <w:r w:rsidRPr="00F32F30">
        <w:t>xima absorción de trientina y se reduce la probabilidad de que el medicamento se una a los metales en el tubo digestivo. No obstante, no se han realizado estudios de interacciones con alimentos, por lo que se desconoce la magnitud del efecto de los aliment</w:t>
      </w:r>
      <w:r w:rsidRPr="00F32F30">
        <w:t xml:space="preserve">os en la exposición sistémica a la trientina. </w:t>
      </w:r>
    </w:p>
    <w:p w14:paraId="260EFBAC" w14:textId="77777777" w:rsidR="007402DB" w:rsidRPr="00F32F30" w:rsidRDefault="007402DB" w:rsidP="007402DB">
      <w:pPr>
        <w:rPr>
          <w:noProof/>
          <w:szCs w:val="22"/>
        </w:rPr>
      </w:pPr>
    </w:p>
    <w:p w14:paraId="27D9C117" w14:textId="77777777" w:rsidR="007402DB" w:rsidRPr="00F32F30" w:rsidRDefault="00454592" w:rsidP="007402DB">
      <w:pPr>
        <w:rPr>
          <w:noProof/>
          <w:szCs w:val="22"/>
        </w:rPr>
      </w:pPr>
      <w:r w:rsidRPr="00F32F30">
        <w:t>Pese a que no hay pruebas de que los antiácidos con calcio o magnesio alteren la eficacia de la trientina, es recomendable espaciar su administración.</w:t>
      </w:r>
    </w:p>
    <w:p w14:paraId="67D14D65" w14:textId="77777777" w:rsidR="007402DB" w:rsidRPr="00F32F30" w:rsidRDefault="007402DB" w:rsidP="007402DB">
      <w:pPr>
        <w:spacing w:line="240" w:lineRule="auto"/>
        <w:rPr>
          <w:szCs w:val="22"/>
        </w:rPr>
      </w:pPr>
    </w:p>
    <w:p w14:paraId="639304D0"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Fertilidad, embarazo y lactancia</w:t>
      </w:r>
    </w:p>
    <w:p w14:paraId="1A2C99B3" w14:textId="77777777" w:rsidR="007402DB" w:rsidRPr="00F32F30" w:rsidRDefault="007402DB" w:rsidP="007402DB">
      <w:pPr>
        <w:spacing w:line="240" w:lineRule="auto"/>
        <w:rPr>
          <w:noProof/>
          <w:szCs w:val="22"/>
        </w:rPr>
      </w:pPr>
    </w:p>
    <w:p w14:paraId="3C111E5A" w14:textId="77777777" w:rsidR="007402DB" w:rsidRPr="00F32F30" w:rsidRDefault="00454592" w:rsidP="007402DB">
      <w:pPr>
        <w:rPr>
          <w:noProof/>
          <w:szCs w:val="22"/>
        </w:rPr>
      </w:pPr>
      <w:r w:rsidRPr="00F32F30">
        <w:rPr>
          <w:noProof/>
          <w:u w:val="single"/>
        </w:rPr>
        <w:t>Embarazo</w:t>
      </w:r>
    </w:p>
    <w:p w14:paraId="77C6309E" w14:textId="77777777" w:rsidR="007402DB" w:rsidRPr="00F32F30" w:rsidRDefault="00454592" w:rsidP="007402DB">
      <w:pPr>
        <w:rPr>
          <w:noProof/>
          <w:szCs w:val="22"/>
        </w:rPr>
      </w:pPr>
      <w:r w:rsidRPr="00F32F30">
        <w:t>Existen datos</w:t>
      </w:r>
      <w:r w:rsidRPr="00F32F30">
        <w:t xml:space="preserve"> limitados relativos al uso de trientina en mujeres embarazadas.</w:t>
      </w:r>
    </w:p>
    <w:p w14:paraId="09441A02" w14:textId="77777777" w:rsidR="007402DB" w:rsidRPr="00F32F30" w:rsidRDefault="007402DB" w:rsidP="007402DB">
      <w:pPr>
        <w:rPr>
          <w:noProof/>
          <w:szCs w:val="22"/>
        </w:rPr>
      </w:pPr>
    </w:p>
    <w:p w14:paraId="14A674E7" w14:textId="77777777" w:rsidR="007402DB" w:rsidRPr="00F32F30" w:rsidRDefault="00454592" w:rsidP="007402DB">
      <w:pPr>
        <w:rPr>
          <w:noProof/>
          <w:szCs w:val="22"/>
        </w:rPr>
      </w:pPr>
      <w:r w:rsidRPr="00F32F30">
        <w:t>Los estudios en animales han mostrado toxicidad para la reproducción, que fue un resultado probable de una deficiencia de cobre inducida por la trientina (ver sección 5.3).</w:t>
      </w:r>
    </w:p>
    <w:p w14:paraId="50DF81E8" w14:textId="77777777" w:rsidR="007402DB" w:rsidRPr="00F32F30" w:rsidRDefault="007402DB" w:rsidP="007402DB">
      <w:pPr>
        <w:rPr>
          <w:noProof/>
          <w:szCs w:val="22"/>
        </w:rPr>
      </w:pPr>
    </w:p>
    <w:p w14:paraId="29877FC4" w14:textId="77777777" w:rsidR="007402DB" w:rsidRPr="00F32F30" w:rsidRDefault="00454592" w:rsidP="007402DB">
      <w:pPr>
        <w:rPr>
          <w:noProof/>
          <w:szCs w:val="22"/>
        </w:rPr>
      </w:pPr>
      <w:r w:rsidRPr="00F32F30">
        <w:t>Cuprior solo deb</w:t>
      </w:r>
      <w:r w:rsidRPr="00F32F30">
        <w:t>e utilizarse en el embarazo tras sopesar cuidadosamente los beneficios y los riesgos del tratamiento en cada paciente. Los factores que deben tenerse en cuenta son los riesgos asociados a la propia enfermedad, el riesgo de los tratamientos alternativos dis</w:t>
      </w:r>
      <w:r w:rsidRPr="00F32F30">
        <w:t>ponibles y los posibles efectos teratógenos de la trientina (ver sección 5.3).</w:t>
      </w:r>
    </w:p>
    <w:p w14:paraId="4E3D5DEA" w14:textId="77777777" w:rsidR="007402DB" w:rsidRPr="00F32F30" w:rsidRDefault="007402DB" w:rsidP="007402DB">
      <w:pPr>
        <w:rPr>
          <w:noProof/>
          <w:szCs w:val="22"/>
        </w:rPr>
      </w:pPr>
    </w:p>
    <w:p w14:paraId="2348C070" w14:textId="77777777" w:rsidR="007402DB" w:rsidRPr="00F32F30" w:rsidRDefault="00454592" w:rsidP="007402DB">
      <w:pPr>
        <w:rPr>
          <w:szCs w:val="22"/>
        </w:rPr>
      </w:pPr>
      <w:r w:rsidRPr="00F32F30">
        <w:t>El cobre es necesario para el crecimiento y el desarrollo mental correctos, por lo que pueden necesitarse ajustes de la dosis para garantizar que el feto no presente un déficit</w:t>
      </w:r>
      <w:r w:rsidRPr="00F32F30">
        <w:t xml:space="preserve"> de cobre y es fundamental una vigilancia minuciosa de la paciente (ver sección 4.4).</w:t>
      </w:r>
    </w:p>
    <w:p w14:paraId="390B47C7" w14:textId="77777777" w:rsidR="007402DB" w:rsidRPr="00F32F30" w:rsidRDefault="007402DB" w:rsidP="007402DB">
      <w:pPr>
        <w:rPr>
          <w:noProof/>
          <w:szCs w:val="22"/>
        </w:rPr>
      </w:pPr>
    </w:p>
    <w:p w14:paraId="00CD74E3" w14:textId="77777777" w:rsidR="007402DB" w:rsidRPr="00F32F30" w:rsidRDefault="00454592" w:rsidP="007402DB">
      <w:pPr>
        <w:rPr>
          <w:noProof/>
          <w:szCs w:val="22"/>
        </w:rPr>
      </w:pPr>
      <w:r w:rsidRPr="00F32F30">
        <w:t>Se debe realizar un control estricto del embarazo para detectar cualquier posible anomalía fetal y para evaluar los niveles séricos de cobre materno durante toda la gest</w:t>
      </w:r>
      <w:r w:rsidRPr="00F32F30">
        <w:t xml:space="preserve">ación. La dosis de trientina se debe ajustar para mantener los niveles séricos de cobre dentro del intervalo normal. </w:t>
      </w:r>
    </w:p>
    <w:p w14:paraId="6509E8E7" w14:textId="77777777" w:rsidR="007402DB" w:rsidRPr="00F32F30" w:rsidRDefault="007402DB" w:rsidP="007402DB">
      <w:pPr>
        <w:rPr>
          <w:noProof/>
          <w:szCs w:val="22"/>
        </w:rPr>
      </w:pPr>
    </w:p>
    <w:p w14:paraId="4838C7DA" w14:textId="77777777" w:rsidR="007402DB" w:rsidRPr="00F32F30" w:rsidRDefault="00454592" w:rsidP="007402DB">
      <w:pPr>
        <w:rPr>
          <w:noProof/>
          <w:szCs w:val="22"/>
        </w:rPr>
      </w:pPr>
      <w:r w:rsidRPr="00F32F30">
        <w:lastRenderedPageBreak/>
        <w:t>En caso necesario, se deben vigilar los niveles séricos de cobre en los recién nacidos de madres en tratamiento con trientina.</w:t>
      </w:r>
    </w:p>
    <w:p w14:paraId="4557C4A5" w14:textId="77777777" w:rsidR="007402DB" w:rsidRPr="00F32F30" w:rsidRDefault="007402DB" w:rsidP="007402DB">
      <w:pPr>
        <w:rPr>
          <w:noProof/>
          <w:szCs w:val="22"/>
        </w:rPr>
      </w:pPr>
    </w:p>
    <w:p w14:paraId="531FCE99" w14:textId="77777777" w:rsidR="007402DB" w:rsidRPr="00F32F30" w:rsidRDefault="00454592" w:rsidP="007402DB">
      <w:pPr>
        <w:keepNext/>
        <w:rPr>
          <w:color w:val="000000"/>
          <w:szCs w:val="22"/>
        </w:rPr>
      </w:pPr>
      <w:r w:rsidRPr="00F32F30">
        <w:rPr>
          <w:noProof/>
          <w:u w:val="single"/>
        </w:rPr>
        <w:t>Lactancia</w:t>
      </w:r>
    </w:p>
    <w:p w14:paraId="0645A990" w14:textId="77777777" w:rsidR="007402DB" w:rsidRPr="00F32F30" w:rsidRDefault="00454592" w:rsidP="007402DB">
      <w:pPr>
        <w:autoSpaceDE w:val="0"/>
        <w:autoSpaceDN w:val="0"/>
        <w:adjustRightInd w:val="0"/>
        <w:rPr>
          <w:color w:val="000000"/>
          <w:szCs w:val="22"/>
        </w:rPr>
      </w:pPr>
      <w:r w:rsidRPr="00F32F30">
        <w:rPr>
          <w:color w:val="000000"/>
        </w:rPr>
        <w:t>Se desconoce si la trientina</w:t>
      </w:r>
      <w:r w:rsidRPr="00F32F30">
        <w:rPr>
          <w:color w:val="000000"/>
        </w:rPr>
        <w:t xml:space="preserve"> se excreta en la leche materna. No se puede excluir el riesgo en recién nacidos/lactantes. Se debe decidir si es necesario interrumpir la lactancia o interrumpir/evitar el tratamiento con Cuprior tras considerar el beneficio de la lactancia para el niño y</w:t>
      </w:r>
      <w:r w:rsidRPr="00F32F30">
        <w:rPr>
          <w:color w:val="000000"/>
        </w:rPr>
        <w:t xml:space="preserve"> el beneficio del tratamiento para la madre.</w:t>
      </w:r>
    </w:p>
    <w:p w14:paraId="3986B4F5" w14:textId="77777777" w:rsidR="007402DB" w:rsidRPr="00F32F30" w:rsidRDefault="007402DB" w:rsidP="007402DB">
      <w:pPr>
        <w:rPr>
          <w:szCs w:val="22"/>
          <w:u w:val="single"/>
        </w:rPr>
      </w:pPr>
    </w:p>
    <w:p w14:paraId="7FD8E4F4" w14:textId="77777777" w:rsidR="007402DB" w:rsidRPr="00F32F30" w:rsidRDefault="00454592" w:rsidP="007402DB">
      <w:pPr>
        <w:keepNext/>
        <w:rPr>
          <w:noProof/>
          <w:szCs w:val="22"/>
          <w:u w:val="single"/>
        </w:rPr>
      </w:pPr>
      <w:r w:rsidRPr="00F32F30">
        <w:rPr>
          <w:noProof/>
          <w:u w:val="single"/>
        </w:rPr>
        <w:t>Fertilidad</w:t>
      </w:r>
    </w:p>
    <w:p w14:paraId="3ED46F8F" w14:textId="77777777" w:rsidR="007402DB" w:rsidRPr="00F32F30" w:rsidRDefault="00454592" w:rsidP="007402DB">
      <w:pPr>
        <w:rPr>
          <w:szCs w:val="22"/>
        </w:rPr>
      </w:pPr>
      <w:r w:rsidRPr="00F32F30">
        <w:rPr>
          <w:color w:val="000000"/>
        </w:rPr>
        <w:t>No se sabe si la trientina tiene algún efecto en la fertilidad humana</w:t>
      </w:r>
      <w:r w:rsidRPr="00F32F30">
        <w:t>.</w:t>
      </w:r>
    </w:p>
    <w:p w14:paraId="76C891CB" w14:textId="77777777" w:rsidR="007402DB" w:rsidRPr="00F32F30" w:rsidRDefault="007402DB" w:rsidP="007402DB">
      <w:pPr>
        <w:spacing w:line="240" w:lineRule="auto"/>
        <w:rPr>
          <w:i/>
          <w:noProof/>
          <w:szCs w:val="22"/>
        </w:rPr>
      </w:pPr>
    </w:p>
    <w:p w14:paraId="078E1894"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Efectos sobre la capacidad para conducir y utilizar máquinas</w:t>
      </w:r>
    </w:p>
    <w:p w14:paraId="715194BE" w14:textId="77777777" w:rsidR="007402DB" w:rsidRPr="00F32F30" w:rsidRDefault="007402DB" w:rsidP="007402DB">
      <w:pPr>
        <w:spacing w:line="240" w:lineRule="auto"/>
        <w:rPr>
          <w:noProof/>
          <w:szCs w:val="22"/>
        </w:rPr>
      </w:pPr>
    </w:p>
    <w:p w14:paraId="61C438F4" w14:textId="77777777" w:rsidR="007402DB" w:rsidRPr="00F32F30" w:rsidRDefault="00454592" w:rsidP="007402DB">
      <w:pPr>
        <w:rPr>
          <w:noProof/>
          <w:szCs w:val="22"/>
        </w:rPr>
      </w:pPr>
      <w:r w:rsidRPr="00F32F30">
        <w:t>La influencia de Cuprior</w:t>
      </w:r>
      <w:r w:rsidRPr="00F32F30">
        <w:t xml:space="preserve"> sobre la capacidad para conducir y utilizar máquinas es nula o insignificante. </w:t>
      </w:r>
    </w:p>
    <w:p w14:paraId="3FC9D344" w14:textId="77777777" w:rsidR="007402DB" w:rsidRPr="00F32F30" w:rsidRDefault="007402DB" w:rsidP="007402DB">
      <w:pPr>
        <w:spacing w:line="240" w:lineRule="auto"/>
        <w:rPr>
          <w:noProof/>
          <w:szCs w:val="22"/>
        </w:rPr>
      </w:pPr>
    </w:p>
    <w:p w14:paraId="3CBA9D63"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Reacciones adversas</w:t>
      </w:r>
    </w:p>
    <w:p w14:paraId="5E34B5F4" w14:textId="77777777" w:rsidR="007402DB" w:rsidRPr="00F32F30" w:rsidRDefault="007402DB" w:rsidP="007402DB">
      <w:pPr>
        <w:autoSpaceDE w:val="0"/>
        <w:autoSpaceDN w:val="0"/>
        <w:adjustRightInd w:val="0"/>
        <w:rPr>
          <w:noProof/>
          <w:szCs w:val="22"/>
        </w:rPr>
      </w:pPr>
    </w:p>
    <w:p w14:paraId="27354D6D" w14:textId="77777777" w:rsidR="007402DB" w:rsidRPr="00F32F30" w:rsidRDefault="00454592" w:rsidP="007402DB">
      <w:pPr>
        <w:autoSpaceDE w:val="0"/>
        <w:autoSpaceDN w:val="0"/>
        <w:adjustRightInd w:val="0"/>
        <w:rPr>
          <w:noProof/>
          <w:szCs w:val="22"/>
          <w:u w:val="single"/>
        </w:rPr>
      </w:pPr>
      <w:r w:rsidRPr="00F32F30">
        <w:rPr>
          <w:noProof/>
          <w:u w:val="single"/>
        </w:rPr>
        <w:t>Resumen del perfil de seguridad</w:t>
      </w:r>
    </w:p>
    <w:p w14:paraId="42E804C5" w14:textId="77777777" w:rsidR="007402DB" w:rsidRPr="00F32F30" w:rsidRDefault="00454592" w:rsidP="007402DB">
      <w:pPr>
        <w:autoSpaceDE w:val="0"/>
        <w:autoSpaceDN w:val="0"/>
        <w:adjustRightInd w:val="0"/>
        <w:rPr>
          <w:rFonts w:eastAsia="TimesNewRoman"/>
          <w:szCs w:val="22"/>
        </w:rPr>
      </w:pPr>
      <w:r w:rsidRPr="00F32F30">
        <w:t>La reacción adversa notificada con más frecuencia con trientina son las náuseas. Pueden producirse anemia ferropénica gra</w:t>
      </w:r>
      <w:r w:rsidRPr="00F32F30">
        <w:t xml:space="preserve">ve y colitis grave durante el tratamiento. </w:t>
      </w:r>
    </w:p>
    <w:p w14:paraId="5A0BDFEB" w14:textId="77777777" w:rsidR="007402DB" w:rsidRPr="00F32F30" w:rsidRDefault="007402DB" w:rsidP="007402DB">
      <w:pPr>
        <w:autoSpaceDE w:val="0"/>
        <w:autoSpaceDN w:val="0"/>
        <w:adjustRightInd w:val="0"/>
        <w:rPr>
          <w:noProof/>
          <w:szCs w:val="22"/>
        </w:rPr>
      </w:pPr>
    </w:p>
    <w:p w14:paraId="149A18DC" w14:textId="77777777" w:rsidR="007402DB" w:rsidRPr="00F32F30" w:rsidRDefault="00454592" w:rsidP="007402DB">
      <w:pPr>
        <w:autoSpaceDE w:val="0"/>
        <w:autoSpaceDN w:val="0"/>
        <w:adjustRightInd w:val="0"/>
        <w:rPr>
          <w:noProof/>
          <w:szCs w:val="22"/>
          <w:u w:val="single"/>
        </w:rPr>
      </w:pPr>
      <w:r w:rsidRPr="00F32F30">
        <w:rPr>
          <w:noProof/>
          <w:u w:val="single"/>
        </w:rPr>
        <w:t>Tabla de reacciones adversas</w:t>
      </w:r>
    </w:p>
    <w:p w14:paraId="76B86545" w14:textId="77777777" w:rsidR="007402DB" w:rsidRPr="00F32F30" w:rsidRDefault="00454592" w:rsidP="007402DB">
      <w:pPr>
        <w:autoSpaceDE w:val="0"/>
        <w:autoSpaceDN w:val="0"/>
        <w:adjustRightInd w:val="0"/>
        <w:rPr>
          <w:noProof/>
          <w:szCs w:val="22"/>
        </w:rPr>
      </w:pPr>
      <w:r w:rsidRPr="00F32F30">
        <w:t xml:space="preserve">Las reacciones adversas siguientes se han notificado con el uso de trientina para la enfermedad de Wilson. </w:t>
      </w:r>
    </w:p>
    <w:p w14:paraId="1B11EE7F" w14:textId="77777777" w:rsidR="007402DB" w:rsidRPr="00F32F30" w:rsidRDefault="00454592" w:rsidP="007402DB">
      <w:pPr>
        <w:autoSpaceDE w:val="0"/>
        <w:autoSpaceDN w:val="0"/>
        <w:adjustRightInd w:val="0"/>
        <w:rPr>
          <w:noProof/>
          <w:szCs w:val="22"/>
        </w:rPr>
      </w:pPr>
      <w:r w:rsidRPr="00F32F30">
        <w:t>Las frecuencias se definen como sigue: muy frecuentes (≥ 1/10), frecuentes</w:t>
      </w:r>
      <w:r w:rsidRPr="00F32F30">
        <w:t xml:space="preserve"> (≥ 1/100 a &lt; 1/10), poco frecuentes (≥ 1/1 000 a &lt; 1/100), raras (≥ 1/10 000 a &lt; 1/1 000), muy raras (&lt; 1/10 000) y frecuencia no conocida (no puede estimarse a partir de los datos disponibles).</w:t>
      </w:r>
    </w:p>
    <w:p w14:paraId="19F73D4E" w14:textId="77777777" w:rsidR="007402DB" w:rsidRPr="00F32F30" w:rsidRDefault="007402DB" w:rsidP="007402DB">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535D3E" w14:paraId="39ABBB4C" w14:textId="77777777" w:rsidTr="007402DB">
        <w:tc>
          <w:tcPr>
            <w:tcW w:w="3936" w:type="dxa"/>
            <w:tcBorders>
              <w:top w:val="single" w:sz="4" w:space="0" w:color="auto"/>
              <w:left w:val="single" w:sz="4" w:space="0" w:color="auto"/>
              <w:bottom w:val="single" w:sz="4" w:space="0" w:color="auto"/>
              <w:right w:val="single" w:sz="4" w:space="0" w:color="auto"/>
            </w:tcBorders>
            <w:hideMark/>
          </w:tcPr>
          <w:p w14:paraId="3CF79188" w14:textId="77777777" w:rsidR="007402DB" w:rsidRPr="00F32F30" w:rsidRDefault="00454592" w:rsidP="007402DB">
            <w:pPr>
              <w:autoSpaceDE w:val="0"/>
              <w:autoSpaceDN w:val="0"/>
              <w:adjustRightInd w:val="0"/>
              <w:jc w:val="both"/>
              <w:rPr>
                <w:noProof/>
                <w:szCs w:val="22"/>
              </w:rPr>
            </w:pPr>
            <w:r w:rsidRPr="00F32F30">
              <w:rPr>
                <w:b/>
              </w:rPr>
              <w:t>Sistema de clasificación de  órganos</w:t>
            </w:r>
          </w:p>
        </w:tc>
        <w:tc>
          <w:tcPr>
            <w:tcW w:w="3969" w:type="dxa"/>
            <w:tcBorders>
              <w:top w:val="single" w:sz="4" w:space="0" w:color="auto"/>
              <w:left w:val="single" w:sz="4" w:space="0" w:color="auto"/>
              <w:bottom w:val="single" w:sz="4" w:space="0" w:color="auto"/>
              <w:right w:val="single" w:sz="4" w:space="0" w:color="auto"/>
            </w:tcBorders>
            <w:hideMark/>
          </w:tcPr>
          <w:p w14:paraId="0096F117" w14:textId="77777777" w:rsidR="007402DB" w:rsidRPr="00F32F30" w:rsidRDefault="00454592" w:rsidP="007402DB">
            <w:pPr>
              <w:autoSpaceDE w:val="0"/>
              <w:autoSpaceDN w:val="0"/>
              <w:adjustRightInd w:val="0"/>
              <w:jc w:val="both"/>
              <w:rPr>
                <w:noProof/>
                <w:szCs w:val="22"/>
              </w:rPr>
            </w:pPr>
            <w:r w:rsidRPr="00F32F30">
              <w:rPr>
                <w:b/>
              </w:rPr>
              <w:t>Reacciones adversas</w:t>
            </w:r>
          </w:p>
        </w:tc>
      </w:tr>
      <w:tr w:rsidR="00535D3E" w14:paraId="723454E2" w14:textId="77777777" w:rsidTr="007402DB">
        <w:tc>
          <w:tcPr>
            <w:tcW w:w="3936" w:type="dxa"/>
            <w:tcBorders>
              <w:top w:val="single" w:sz="4" w:space="0" w:color="auto"/>
              <w:left w:val="single" w:sz="4" w:space="0" w:color="auto"/>
              <w:bottom w:val="single" w:sz="4" w:space="0" w:color="auto"/>
              <w:right w:val="single" w:sz="4" w:space="0" w:color="auto"/>
            </w:tcBorders>
            <w:hideMark/>
          </w:tcPr>
          <w:p w14:paraId="0C3D3871" w14:textId="77777777" w:rsidR="007402DB" w:rsidRPr="00F32F30" w:rsidRDefault="00454592" w:rsidP="007402DB">
            <w:pPr>
              <w:autoSpaceDE w:val="0"/>
              <w:autoSpaceDN w:val="0"/>
              <w:adjustRightInd w:val="0"/>
              <w:jc w:val="both"/>
              <w:rPr>
                <w:noProof/>
                <w:szCs w:val="22"/>
              </w:rPr>
            </w:pPr>
            <w:r w:rsidRPr="00F32F30">
              <w:t>Trastornos de la sangre y del sistema linfático</w:t>
            </w:r>
          </w:p>
        </w:tc>
        <w:tc>
          <w:tcPr>
            <w:tcW w:w="3969" w:type="dxa"/>
            <w:tcBorders>
              <w:top w:val="single" w:sz="4" w:space="0" w:color="auto"/>
              <w:left w:val="single" w:sz="4" w:space="0" w:color="auto"/>
              <w:bottom w:val="single" w:sz="4" w:space="0" w:color="auto"/>
              <w:right w:val="single" w:sz="4" w:space="0" w:color="auto"/>
            </w:tcBorders>
            <w:hideMark/>
          </w:tcPr>
          <w:p w14:paraId="64F72E3E" w14:textId="77777777" w:rsidR="0068348B" w:rsidRDefault="00454592" w:rsidP="0068348B">
            <w:pPr>
              <w:pStyle w:val="Default"/>
              <w:jc w:val="both"/>
              <w:rPr>
                <w:sz w:val="22"/>
                <w:szCs w:val="22"/>
              </w:rPr>
            </w:pPr>
            <w:r w:rsidRPr="0068348B">
              <w:rPr>
                <w:i/>
                <w:iCs/>
                <w:sz w:val="22"/>
                <w:szCs w:val="22"/>
              </w:rPr>
              <w:t>Poco frecuentes:</w:t>
            </w:r>
            <w:r>
              <w:rPr>
                <w:sz w:val="22"/>
                <w:szCs w:val="22"/>
              </w:rPr>
              <w:t xml:space="preserve"> anemia sideroblástica </w:t>
            </w:r>
          </w:p>
          <w:p w14:paraId="23AB0039" w14:textId="50F9EE49" w:rsidR="007402DB" w:rsidRPr="00F32F30" w:rsidRDefault="00454592" w:rsidP="007402DB">
            <w:pPr>
              <w:autoSpaceDE w:val="0"/>
              <w:autoSpaceDN w:val="0"/>
              <w:adjustRightInd w:val="0"/>
              <w:jc w:val="both"/>
              <w:rPr>
                <w:noProof/>
                <w:szCs w:val="22"/>
              </w:rPr>
            </w:pPr>
            <w:r w:rsidRPr="00F32F30">
              <w:rPr>
                <w:i/>
                <w:noProof/>
              </w:rPr>
              <w:t xml:space="preserve">Frecuencia no conocida: </w:t>
            </w:r>
            <w:r w:rsidRPr="00F32F30">
              <w:t>anemia ferropénica.</w:t>
            </w:r>
          </w:p>
        </w:tc>
      </w:tr>
      <w:tr w:rsidR="00535D3E" w14:paraId="6E054EC3" w14:textId="77777777" w:rsidTr="007402DB">
        <w:tc>
          <w:tcPr>
            <w:tcW w:w="3936" w:type="dxa"/>
            <w:tcBorders>
              <w:top w:val="single" w:sz="4" w:space="0" w:color="auto"/>
              <w:left w:val="single" w:sz="4" w:space="0" w:color="auto"/>
              <w:bottom w:val="single" w:sz="4" w:space="0" w:color="auto"/>
              <w:right w:val="single" w:sz="4" w:space="0" w:color="auto"/>
            </w:tcBorders>
            <w:hideMark/>
          </w:tcPr>
          <w:p w14:paraId="5CA95B8F" w14:textId="77777777" w:rsidR="007402DB" w:rsidRPr="00F32F30" w:rsidRDefault="00454592" w:rsidP="007402DB">
            <w:pPr>
              <w:autoSpaceDE w:val="0"/>
              <w:autoSpaceDN w:val="0"/>
              <w:adjustRightInd w:val="0"/>
              <w:jc w:val="both"/>
              <w:rPr>
                <w:noProof/>
                <w:szCs w:val="22"/>
              </w:rPr>
            </w:pPr>
            <w:r w:rsidRPr="00F32F30">
              <w:t>Trastornos gastrointestinales</w:t>
            </w:r>
          </w:p>
        </w:tc>
        <w:tc>
          <w:tcPr>
            <w:tcW w:w="3969" w:type="dxa"/>
            <w:tcBorders>
              <w:top w:val="single" w:sz="4" w:space="0" w:color="auto"/>
              <w:left w:val="single" w:sz="4" w:space="0" w:color="auto"/>
              <w:bottom w:val="single" w:sz="4" w:space="0" w:color="auto"/>
              <w:right w:val="single" w:sz="4" w:space="0" w:color="auto"/>
            </w:tcBorders>
            <w:hideMark/>
          </w:tcPr>
          <w:p w14:paraId="682A67B8" w14:textId="77777777" w:rsidR="007402DB" w:rsidRPr="00F32F30" w:rsidRDefault="00454592" w:rsidP="007402DB">
            <w:pPr>
              <w:autoSpaceDE w:val="0"/>
              <w:autoSpaceDN w:val="0"/>
              <w:adjustRightInd w:val="0"/>
              <w:jc w:val="both"/>
              <w:rPr>
                <w:noProof/>
                <w:szCs w:val="22"/>
              </w:rPr>
            </w:pPr>
            <w:r w:rsidRPr="00F32F30">
              <w:rPr>
                <w:i/>
                <w:noProof/>
              </w:rPr>
              <w:t>Frecuentes:</w:t>
            </w:r>
            <w:r w:rsidRPr="00F32F30">
              <w:t xml:space="preserve"> náuseas. </w:t>
            </w:r>
          </w:p>
          <w:p w14:paraId="3DD9F7D4" w14:textId="77777777" w:rsidR="007402DB" w:rsidRPr="00F32F30" w:rsidRDefault="00454592" w:rsidP="007402DB">
            <w:pPr>
              <w:autoSpaceDE w:val="0"/>
              <w:autoSpaceDN w:val="0"/>
              <w:adjustRightInd w:val="0"/>
              <w:jc w:val="both"/>
              <w:rPr>
                <w:noProof/>
                <w:szCs w:val="22"/>
              </w:rPr>
            </w:pPr>
            <w:r w:rsidRPr="00F32F30">
              <w:rPr>
                <w:i/>
                <w:noProof/>
              </w:rPr>
              <w:t xml:space="preserve">Frecuencia no conocida: </w:t>
            </w:r>
            <w:r w:rsidRPr="00F32F30">
              <w:t>duodenitis, colitis (incluida colitis grave).</w:t>
            </w:r>
          </w:p>
        </w:tc>
      </w:tr>
      <w:tr w:rsidR="00535D3E" w14:paraId="524A18A9" w14:textId="77777777" w:rsidTr="007402DB">
        <w:tc>
          <w:tcPr>
            <w:tcW w:w="3936" w:type="dxa"/>
            <w:tcBorders>
              <w:top w:val="single" w:sz="4" w:space="0" w:color="auto"/>
              <w:left w:val="single" w:sz="4" w:space="0" w:color="auto"/>
              <w:bottom w:val="single" w:sz="4" w:space="0" w:color="auto"/>
              <w:right w:val="single" w:sz="4" w:space="0" w:color="auto"/>
            </w:tcBorders>
            <w:hideMark/>
          </w:tcPr>
          <w:p w14:paraId="5CAB8B5F" w14:textId="77777777" w:rsidR="007402DB" w:rsidRPr="00F32F30" w:rsidRDefault="00454592" w:rsidP="007402DB">
            <w:pPr>
              <w:autoSpaceDE w:val="0"/>
              <w:autoSpaceDN w:val="0"/>
              <w:adjustRightInd w:val="0"/>
              <w:jc w:val="both"/>
              <w:rPr>
                <w:noProof/>
                <w:szCs w:val="22"/>
              </w:rPr>
            </w:pPr>
            <w:r w:rsidRPr="00F32F30">
              <w:t>Trastornos de la piel y del tejido subcutáneo</w:t>
            </w:r>
          </w:p>
        </w:tc>
        <w:tc>
          <w:tcPr>
            <w:tcW w:w="3969" w:type="dxa"/>
            <w:tcBorders>
              <w:top w:val="single" w:sz="4" w:space="0" w:color="auto"/>
              <w:left w:val="single" w:sz="4" w:space="0" w:color="auto"/>
              <w:bottom w:val="single" w:sz="4" w:space="0" w:color="auto"/>
              <w:right w:val="single" w:sz="4" w:space="0" w:color="auto"/>
            </w:tcBorders>
            <w:hideMark/>
          </w:tcPr>
          <w:p w14:paraId="3C0E9128" w14:textId="77777777" w:rsidR="007402DB" w:rsidRPr="00F32F30" w:rsidRDefault="00454592" w:rsidP="007402DB">
            <w:pPr>
              <w:autoSpaceDE w:val="0"/>
              <w:autoSpaceDN w:val="0"/>
              <w:adjustRightInd w:val="0"/>
              <w:jc w:val="both"/>
              <w:rPr>
                <w:noProof/>
                <w:szCs w:val="22"/>
              </w:rPr>
            </w:pPr>
            <w:r w:rsidRPr="00F32F30">
              <w:rPr>
                <w:i/>
                <w:noProof/>
              </w:rPr>
              <w:t xml:space="preserve">Poco frecuentes: </w:t>
            </w:r>
            <w:r w:rsidRPr="00F32F30">
              <w:t xml:space="preserve">erupción cutánea, prurito, eritema. </w:t>
            </w:r>
          </w:p>
          <w:p w14:paraId="15E3769D" w14:textId="77777777" w:rsidR="007402DB" w:rsidRPr="00F32F30" w:rsidRDefault="00454592" w:rsidP="007402DB">
            <w:pPr>
              <w:autoSpaceDE w:val="0"/>
              <w:autoSpaceDN w:val="0"/>
              <w:adjustRightInd w:val="0"/>
              <w:jc w:val="both"/>
              <w:rPr>
                <w:noProof/>
                <w:szCs w:val="22"/>
              </w:rPr>
            </w:pPr>
            <w:r w:rsidRPr="00F32F30">
              <w:rPr>
                <w:i/>
                <w:noProof/>
              </w:rPr>
              <w:t>Frecuencia no conocida</w:t>
            </w:r>
            <w:r w:rsidRPr="00F32F30">
              <w:t>: urticaria.</w:t>
            </w:r>
          </w:p>
        </w:tc>
      </w:tr>
    </w:tbl>
    <w:p w14:paraId="7FA0EB00" w14:textId="77777777" w:rsidR="007402DB" w:rsidRPr="00F32F30" w:rsidRDefault="007402DB" w:rsidP="007402DB">
      <w:pPr>
        <w:autoSpaceDE w:val="0"/>
        <w:autoSpaceDN w:val="0"/>
        <w:adjustRightInd w:val="0"/>
        <w:rPr>
          <w:noProof/>
          <w:szCs w:val="22"/>
        </w:rPr>
      </w:pPr>
    </w:p>
    <w:p w14:paraId="5B645682" w14:textId="77777777" w:rsidR="007402DB" w:rsidRPr="00F32F30" w:rsidRDefault="00454592" w:rsidP="007402DB">
      <w:pPr>
        <w:autoSpaceDE w:val="0"/>
        <w:autoSpaceDN w:val="0"/>
        <w:adjustRightInd w:val="0"/>
        <w:spacing w:line="240" w:lineRule="auto"/>
        <w:rPr>
          <w:szCs w:val="22"/>
          <w:u w:val="single"/>
        </w:rPr>
      </w:pPr>
      <w:r w:rsidRPr="00F32F30">
        <w:rPr>
          <w:u w:val="single"/>
        </w:rPr>
        <w:t>Notificación de sospechas de reacciones adversas</w:t>
      </w:r>
    </w:p>
    <w:p w14:paraId="3357AEA4" w14:textId="77777777" w:rsidR="007402DB" w:rsidRPr="00F32F30" w:rsidRDefault="00454592" w:rsidP="007402DB">
      <w:pPr>
        <w:autoSpaceDE w:val="0"/>
        <w:autoSpaceDN w:val="0"/>
        <w:adjustRightInd w:val="0"/>
        <w:spacing w:line="240" w:lineRule="auto"/>
        <w:rPr>
          <w:noProof/>
          <w:szCs w:val="22"/>
        </w:rPr>
      </w:pPr>
      <w:r w:rsidRPr="00F32F30">
        <w:t>Es importante notificar sospechas de reacciones adversas al medicamento tras su autorización. Ello permite una supervisión continuada de la relación beneficio/riesgo del medicamento. Se invita a los profesionales sanitarios a notificar las sospechas de rea</w:t>
      </w:r>
      <w:r w:rsidRPr="00F32F30">
        <w:t xml:space="preserve">cciones adversas a través del </w:t>
      </w:r>
      <w:r w:rsidRPr="00F32F30">
        <w:rPr>
          <w:highlight w:val="lightGray"/>
        </w:rPr>
        <w:t xml:space="preserve">sistema nacional de notificación incluido en el </w:t>
      </w:r>
      <w:hyperlink r:id="rId11" w:history="1">
        <w:r w:rsidRPr="00F32F30">
          <w:rPr>
            <w:rStyle w:val="Hyperlink"/>
            <w:highlight w:val="lightGray"/>
          </w:rPr>
          <w:t>Apéndice V</w:t>
        </w:r>
      </w:hyperlink>
      <w:r w:rsidRPr="00F32F30">
        <w:t>.</w:t>
      </w:r>
    </w:p>
    <w:p w14:paraId="45D39541" w14:textId="77777777" w:rsidR="007402DB" w:rsidRPr="00F32F30" w:rsidRDefault="007402DB" w:rsidP="007402DB">
      <w:pPr>
        <w:spacing w:line="240" w:lineRule="auto"/>
        <w:rPr>
          <w:noProof/>
          <w:szCs w:val="22"/>
        </w:rPr>
      </w:pPr>
    </w:p>
    <w:p w14:paraId="6111C9FC" w14:textId="77777777" w:rsidR="007402DB" w:rsidRPr="00F32F30" w:rsidRDefault="00454592" w:rsidP="007402DB">
      <w:pPr>
        <w:pStyle w:val="ListParagraph"/>
        <w:numPr>
          <w:ilvl w:val="1"/>
          <w:numId w:val="28"/>
        </w:numPr>
        <w:spacing w:line="240" w:lineRule="auto"/>
        <w:ind w:hanging="930"/>
        <w:outlineLvl w:val="0"/>
        <w:rPr>
          <w:b/>
          <w:noProof/>
          <w:szCs w:val="22"/>
        </w:rPr>
      </w:pPr>
      <w:r w:rsidRPr="00F32F30">
        <w:rPr>
          <w:b/>
          <w:noProof/>
        </w:rPr>
        <w:t>Sobredosis</w:t>
      </w:r>
    </w:p>
    <w:p w14:paraId="027EAD8E" w14:textId="77777777" w:rsidR="007402DB" w:rsidRPr="00F32F30" w:rsidRDefault="007402DB" w:rsidP="007402DB">
      <w:pPr>
        <w:spacing w:line="240" w:lineRule="auto"/>
        <w:rPr>
          <w:noProof/>
          <w:szCs w:val="22"/>
        </w:rPr>
      </w:pPr>
    </w:p>
    <w:p w14:paraId="50D4CE5E" w14:textId="77777777" w:rsidR="00304483" w:rsidRPr="00F32F30" w:rsidRDefault="00454592" w:rsidP="00701AD0">
      <w:pPr>
        <w:spacing w:line="240" w:lineRule="auto"/>
        <w:rPr>
          <w:bCs/>
          <w:color w:val="000000"/>
          <w:lang w:val="es-ES_tradnl"/>
        </w:rPr>
      </w:pPr>
      <w:r w:rsidRPr="00F32F30">
        <w:rPr>
          <w:bCs/>
          <w:color w:val="000000"/>
          <w:lang w:val="es-ES_tradnl"/>
        </w:rPr>
        <w:t>Se han notificado casos ocasionales de sobr</w:t>
      </w:r>
      <w:r w:rsidRPr="00F32F30">
        <w:rPr>
          <w:bCs/>
          <w:color w:val="000000"/>
          <w:lang w:val="es-ES_tradnl"/>
        </w:rPr>
        <w:t>edosis de trientina. En casos con hasta 20 g de trientina como base no se han notificado efectos adversos aparentes. Una sobredosis importante de 40 g de trientina como base produjo mareos autolimitantes y vómitos, sin que se notificaran otras secuelas clí</w:t>
      </w:r>
      <w:r w:rsidRPr="00F32F30">
        <w:rPr>
          <w:bCs/>
          <w:color w:val="000000"/>
          <w:lang w:val="es-ES_tradnl"/>
        </w:rPr>
        <w:t>nicas ni anomalías bioquímicas significativas.</w:t>
      </w:r>
    </w:p>
    <w:p w14:paraId="0EFDC552" w14:textId="77777777" w:rsidR="00304483" w:rsidRPr="00F32F30" w:rsidRDefault="00304483" w:rsidP="007402DB"/>
    <w:p w14:paraId="388784C0" w14:textId="13E94D39" w:rsidR="007402DB" w:rsidRPr="00F32F30" w:rsidRDefault="00454592" w:rsidP="007402DB">
      <w:pPr>
        <w:rPr>
          <w:noProof/>
          <w:szCs w:val="22"/>
        </w:rPr>
      </w:pPr>
      <w:r w:rsidRPr="00F32F30">
        <w:t>No existe antídoto para la sobredosis aguda de trientina.</w:t>
      </w:r>
    </w:p>
    <w:p w14:paraId="41FC88CD" w14:textId="77777777" w:rsidR="007402DB" w:rsidRPr="00F32F30" w:rsidRDefault="007402DB" w:rsidP="007402DB">
      <w:pPr>
        <w:spacing w:line="240" w:lineRule="auto"/>
        <w:rPr>
          <w:szCs w:val="22"/>
        </w:rPr>
      </w:pPr>
    </w:p>
    <w:p w14:paraId="1018EC27" w14:textId="77777777" w:rsidR="007402DB" w:rsidRPr="00F32F30" w:rsidRDefault="00454592" w:rsidP="007402DB">
      <w:pPr>
        <w:spacing w:line="240" w:lineRule="auto"/>
        <w:rPr>
          <w:noProof/>
          <w:szCs w:val="22"/>
        </w:rPr>
      </w:pPr>
      <w:r w:rsidRPr="00F32F30">
        <w:lastRenderedPageBreak/>
        <w:t>El tratamiento excesivo crónico puede ocasionar un déficit de cobre y anemia sideroblástica reversible. El sobretratamiento y la eliminación del exce</w:t>
      </w:r>
      <w:r w:rsidRPr="00F32F30">
        <w:t>so de cobre se pueden vigilar utilizando los valores de excreción urinaria de cobre y de cobre no unido a la ceruloplasmina. Se necesita una estrecha vigilancia para optimizar la dosis o para adaptar el tratamiento en caso necesario (ver sección 4.4).</w:t>
      </w:r>
    </w:p>
    <w:p w14:paraId="2728592E" w14:textId="77777777" w:rsidR="007402DB" w:rsidRPr="00F32F30" w:rsidRDefault="007402DB" w:rsidP="007402DB">
      <w:pPr>
        <w:suppressAutoHyphens/>
        <w:spacing w:line="240" w:lineRule="auto"/>
        <w:rPr>
          <w:b/>
          <w:szCs w:val="22"/>
        </w:rPr>
      </w:pPr>
    </w:p>
    <w:p w14:paraId="51F1F85A" w14:textId="77777777" w:rsidR="007402DB" w:rsidRPr="00F32F30" w:rsidRDefault="007402DB" w:rsidP="007402DB">
      <w:pPr>
        <w:suppressAutoHyphens/>
        <w:spacing w:line="240" w:lineRule="auto"/>
        <w:rPr>
          <w:b/>
          <w:szCs w:val="22"/>
        </w:rPr>
      </w:pPr>
    </w:p>
    <w:p w14:paraId="4AD168D7" w14:textId="77777777" w:rsidR="007402DB" w:rsidRPr="00F32F30" w:rsidRDefault="00454592" w:rsidP="007402DB">
      <w:pPr>
        <w:pStyle w:val="ListParagraph"/>
        <w:keepNext/>
        <w:numPr>
          <w:ilvl w:val="0"/>
          <w:numId w:val="28"/>
        </w:numPr>
        <w:spacing w:line="240" w:lineRule="auto"/>
        <w:ind w:hanging="930"/>
        <w:rPr>
          <w:b/>
        </w:rPr>
      </w:pPr>
      <w:r w:rsidRPr="00F32F30">
        <w:rPr>
          <w:b/>
        </w:rPr>
        <w:t>PR</w:t>
      </w:r>
      <w:r w:rsidRPr="00F32F30">
        <w:rPr>
          <w:b/>
        </w:rPr>
        <w:t>OPIEDADES FARMACOLÓGICAS</w:t>
      </w:r>
    </w:p>
    <w:p w14:paraId="5EAFD945" w14:textId="77777777" w:rsidR="007402DB" w:rsidRPr="00F32F30" w:rsidRDefault="007402DB" w:rsidP="007402DB">
      <w:pPr>
        <w:keepNext/>
        <w:spacing w:line="240" w:lineRule="auto"/>
        <w:rPr>
          <w:szCs w:val="22"/>
        </w:rPr>
      </w:pPr>
    </w:p>
    <w:p w14:paraId="1B2F0BC1" w14:textId="77777777" w:rsidR="007402DB" w:rsidRPr="00F32F30" w:rsidRDefault="00454592" w:rsidP="007402DB">
      <w:pPr>
        <w:pStyle w:val="ListParagraph"/>
        <w:numPr>
          <w:ilvl w:val="1"/>
          <w:numId w:val="28"/>
        </w:numPr>
        <w:spacing w:line="240" w:lineRule="auto"/>
        <w:ind w:hanging="930"/>
        <w:outlineLvl w:val="0"/>
        <w:rPr>
          <w:szCs w:val="22"/>
        </w:rPr>
      </w:pPr>
      <w:r w:rsidRPr="00F32F30">
        <w:rPr>
          <w:b/>
        </w:rPr>
        <w:t>Propiedades farmacodinámicas</w:t>
      </w:r>
    </w:p>
    <w:p w14:paraId="76E29CDD" w14:textId="77777777" w:rsidR="007402DB" w:rsidRPr="00F32F30" w:rsidRDefault="007402DB" w:rsidP="007402DB">
      <w:pPr>
        <w:spacing w:line="240" w:lineRule="auto"/>
        <w:rPr>
          <w:szCs w:val="22"/>
        </w:rPr>
      </w:pPr>
    </w:p>
    <w:p w14:paraId="6EA8BB80" w14:textId="77777777" w:rsidR="007402DB" w:rsidRPr="00F32F30" w:rsidRDefault="00454592" w:rsidP="007402DB">
      <w:pPr>
        <w:numPr>
          <w:ilvl w:val="12"/>
          <w:numId w:val="0"/>
        </w:numPr>
        <w:ind w:right="-2"/>
        <w:rPr>
          <w:szCs w:val="22"/>
        </w:rPr>
      </w:pPr>
      <w:r w:rsidRPr="00F32F30">
        <w:t>Grupo farmacoterapéutico: Otros productos para el tracto alimentario y metabolismo, productos varios para el tracto alimentario y metabolismo, código ATC: A16AX12.</w:t>
      </w:r>
    </w:p>
    <w:p w14:paraId="5A2E0905" w14:textId="77777777" w:rsidR="007402DB" w:rsidRPr="00F32F30" w:rsidRDefault="007402DB" w:rsidP="007402DB">
      <w:pPr>
        <w:numPr>
          <w:ilvl w:val="12"/>
          <w:numId w:val="0"/>
        </w:numPr>
        <w:ind w:right="-2"/>
        <w:rPr>
          <w:szCs w:val="22"/>
        </w:rPr>
      </w:pPr>
    </w:p>
    <w:p w14:paraId="331CF7D5" w14:textId="77777777" w:rsidR="007402DB" w:rsidRPr="00F32F30" w:rsidRDefault="00454592" w:rsidP="007402DB">
      <w:pPr>
        <w:keepNext/>
        <w:numPr>
          <w:ilvl w:val="12"/>
          <w:numId w:val="0"/>
        </w:numPr>
        <w:rPr>
          <w:szCs w:val="22"/>
          <w:u w:val="single"/>
        </w:rPr>
      </w:pPr>
      <w:r w:rsidRPr="00F32F30">
        <w:rPr>
          <w:u w:val="single"/>
        </w:rPr>
        <w:t xml:space="preserve">Mecanismo de acción </w:t>
      </w:r>
    </w:p>
    <w:p w14:paraId="795C793F" w14:textId="77777777" w:rsidR="007402DB" w:rsidRPr="00F32F30" w:rsidRDefault="00454592" w:rsidP="007402DB">
      <w:pPr>
        <w:numPr>
          <w:ilvl w:val="12"/>
          <w:numId w:val="0"/>
        </w:numPr>
        <w:ind w:right="-2"/>
        <w:rPr>
          <w:szCs w:val="22"/>
        </w:rPr>
      </w:pPr>
      <w:r w:rsidRPr="00F32F30">
        <w:t xml:space="preserve">La trientina es un quelante del cobre cuyo mecanismo de acción principal es la eliminación del organismo del cobre absorbido, para lo cual forma un complejo estable que es eliminado después por excreción urinaria. La trientina también </w:t>
      </w:r>
      <w:r w:rsidRPr="00F32F30">
        <w:t>puede quelar el cobre en el intestino e inhibir de este modo la absorción de cobre.</w:t>
      </w:r>
    </w:p>
    <w:p w14:paraId="6BA4620A" w14:textId="77777777" w:rsidR="007402DB" w:rsidRPr="00F32F30" w:rsidRDefault="007402DB" w:rsidP="007402DB">
      <w:pPr>
        <w:numPr>
          <w:ilvl w:val="12"/>
          <w:numId w:val="0"/>
        </w:numPr>
        <w:ind w:right="-2"/>
        <w:rPr>
          <w:iCs/>
          <w:noProof/>
          <w:szCs w:val="22"/>
        </w:rPr>
      </w:pPr>
    </w:p>
    <w:p w14:paraId="1C521917" w14:textId="77777777" w:rsidR="007402DB" w:rsidRPr="00F32F30" w:rsidRDefault="00454592" w:rsidP="007402DB">
      <w:pPr>
        <w:pStyle w:val="ListParagraph"/>
        <w:numPr>
          <w:ilvl w:val="1"/>
          <w:numId w:val="28"/>
        </w:numPr>
        <w:spacing w:line="240" w:lineRule="auto"/>
        <w:ind w:hanging="930"/>
        <w:outlineLvl w:val="0"/>
        <w:rPr>
          <w:b/>
          <w:szCs w:val="22"/>
        </w:rPr>
      </w:pPr>
      <w:r w:rsidRPr="00F32F30">
        <w:rPr>
          <w:b/>
        </w:rPr>
        <w:t>Propiedades farmacocinéticas</w:t>
      </w:r>
    </w:p>
    <w:p w14:paraId="149939C9" w14:textId="77777777" w:rsidR="007402DB" w:rsidRPr="00F32F30" w:rsidRDefault="007402DB" w:rsidP="007402DB">
      <w:pPr>
        <w:rPr>
          <w:noProof/>
        </w:rPr>
      </w:pPr>
    </w:p>
    <w:p w14:paraId="554A90DC" w14:textId="77777777" w:rsidR="007402DB" w:rsidRPr="00F32F30" w:rsidRDefault="00454592" w:rsidP="007402DB">
      <w:pPr>
        <w:rPr>
          <w:noProof/>
          <w:szCs w:val="22"/>
          <w:u w:val="single"/>
        </w:rPr>
      </w:pPr>
      <w:r w:rsidRPr="00F32F30">
        <w:rPr>
          <w:noProof/>
          <w:u w:val="single"/>
        </w:rPr>
        <w:t>Absorción</w:t>
      </w:r>
    </w:p>
    <w:p w14:paraId="28A434A5" w14:textId="77777777" w:rsidR="007402DB" w:rsidRPr="00F32F30" w:rsidRDefault="00454592" w:rsidP="007402DB">
      <w:pPr>
        <w:rPr>
          <w:noProof/>
          <w:szCs w:val="22"/>
        </w:rPr>
      </w:pPr>
      <w:r w:rsidRPr="00F32F30">
        <w:t>La absorción de trientina</w:t>
      </w:r>
      <w:r w:rsidRPr="00F32F30">
        <w:t xml:space="preserve"> tras su administración oral es baja y variable en los pacientes con enfermedad de Wilson. El perfil farmacocinético de Cuprior se ha evaluado tras una dosis oral única de 450, 600 y 750 mg de trientina en varones y mujeres sanos. Los niveles plasmáticos d</w:t>
      </w:r>
      <w:r w:rsidRPr="00F32F30">
        <w:t>e trientina aumentaron rápidamente tras la administración; la mediana de la concentración máxima se alcanzó al cabo de 1,25 a 2 horas. Después la concentración plasmática de trientina disminuyo de forma multifásica, al principio rápidamente y después en un</w:t>
      </w:r>
      <w:r w:rsidRPr="00F32F30">
        <w:t xml:space="preserve">a fase de eliminación más lenta. El perfil farmacocinético global fue semejante entre los varones y las mujeres, si bien los varones presentaron niveles más altos de trientina. </w:t>
      </w:r>
    </w:p>
    <w:p w14:paraId="3E8466EC" w14:textId="77777777" w:rsidR="007402DB" w:rsidRPr="00F32F30" w:rsidRDefault="007402DB" w:rsidP="007402DB">
      <w:pPr>
        <w:rPr>
          <w:noProof/>
          <w:szCs w:val="22"/>
        </w:rPr>
      </w:pPr>
    </w:p>
    <w:p w14:paraId="786D426C" w14:textId="77777777" w:rsidR="007402DB" w:rsidRPr="00F32F30" w:rsidRDefault="00454592" w:rsidP="007402DB">
      <w:pPr>
        <w:rPr>
          <w:noProof/>
          <w:szCs w:val="22"/>
          <w:u w:val="single"/>
        </w:rPr>
      </w:pPr>
      <w:r w:rsidRPr="00F32F30">
        <w:rPr>
          <w:noProof/>
          <w:u w:val="single"/>
        </w:rPr>
        <w:t>Distribución</w:t>
      </w:r>
    </w:p>
    <w:p w14:paraId="129A2F82" w14:textId="77777777" w:rsidR="007402DB" w:rsidRPr="00F32F30" w:rsidRDefault="00454592" w:rsidP="007402DB">
      <w:pPr>
        <w:rPr>
          <w:noProof/>
          <w:szCs w:val="22"/>
        </w:rPr>
      </w:pPr>
      <w:r w:rsidRPr="00F32F30">
        <w:t>Se conoce muy poco sobre la distribución de trientina en órganos</w:t>
      </w:r>
      <w:r w:rsidRPr="00F32F30">
        <w:t xml:space="preserve"> y tejidos. </w:t>
      </w:r>
    </w:p>
    <w:p w14:paraId="401D54E2" w14:textId="77777777" w:rsidR="007402DB" w:rsidRPr="00F32F30" w:rsidRDefault="007402DB" w:rsidP="007402DB">
      <w:pPr>
        <w:rPr>
          <w:noProof/>
          <w:szCs w:val="22"/>
        </w:rPr>
      </w:pPr>
    </w:p>
    <w:p w14:paraId="404E46F5" w14:textId="77777777" w:rsidR="007402DB" w:rsidRPr="00F32F30" w:rsidRDefault="00454592" w:rsidP="007402DB">
      <w:pPr>
        <w:rPr>
          <w:noProof/>
          <w:szCs w:val="22"/>
          <w:u w:val="single"/>
        </w:rPr>
      </w:pPr>
      <w:r w:rsidRPr="00F32F30">
        <w:rPr>
          <w:noProof/>
          <w:u w:val="single"/>
        </w:rPr>
        <w:t>Biotransformación</w:t>
      </w:r>
    </w:p>
    <w:p w14:paraId="1604EB37" w14:textId="77777777" w:rsidR="007402DB" w:rsidRPr="00F32F30" w:rsidRDefault="00454592" w:rsidP="007402DB">
      <w:pPr>
        <w:rPr>
          <w:szCs w:val="22"/>
        </w:rPr>
      </w:pPr>
      <w:r w:rsidRPr="00F32F30">
        <w:t xml:space="preserve">La trientina es acetilada en dos metabolitos principales, N(1)-acetiltrietilenotetramina (MAT) y N(1),N(10)-diacetiltrietilenotetramina (DAT). La MAT puede participar además en la actividad clínica global de Cuprior, aunque </w:t>
      </w:r>
      <w:r w:rsidRPr="00F32F30">
        <w:t>no se ha cuantificado la contribución de MAT al efecto global de Cuprior sobre los niveles de cobre.</w:t>
      </w:r>
    </w:p>
    <w:p w14:paraId="55C05806" w14:textId="77777777" w:rsidR="007402DB" w:rsidRPr="00F32F30" w:rsidRDefault="007402DB" w:rsidP="007402DB">
      <w:pPr>
        <w:rPr>
          <w:szCs w:val="22"/>
        </w:rPr>
      </w:pPr>
    </w:p>
    <w:p w14:paraId="4EFDBD1D" w14:textId="77777777" w:rsidR="007402DB" w:rsidRPr="00F32F30" w:rsidRDefault="00454592" w:rsidP="007402DB">
      <w:pPr>
        <w:rPr>
          <w:noProof/>
          <w:szCs w:val="22"/>
        </w:rPr>
      </w:pPr>
      <w:r w:rsidRPr="00F32F30">
        <w:rPr>
          <w:noProof/>
          <w:u w:val="single"/>
        </w:rPr>
        <w:t>Eliminación</w:t>
      </w:r>
    </w:p>
    <w:p w14:paraId="774CE0B1" w14:textId="77777777" w:rsidR="007402DB" w:rsidRPr="00F32F30" w:rsidRDefault="00454592" w:rsidP="007402DB">
      <w:pPr>
        <w:rPr>
          <w:noProof/>
          <w:szCs w:val="22"/>
        </w:rPr>
      </w:pPr>
      <w:r w:rsidRPr="00F32F30">
        <w:t>La trientina y sus metabolitos son excretados con rapidez en la orina, si bien todavía pudieron detectarse niveles bajos de trientina en el pl</w:t>
      </w:r>
      <w:r w:rsidRPr="00F32F30">
        <w:t>asma al cabo de 20 horas. La trientina no absorbida se elimina mediante excreción fecal.</w:t>
      </w:r>
    </w:p>
    <w:p w14:paraId="5B54DA5D" w14:textId="77777777" w:rsidR="007402DB" w:rsidRPr="00F32F30" w:rsidRDefault="007402DB" w:rsidP="007402DB">
      <w:pPr>
        <w:rPr>
          <w:noProof/>
          <w:szCs w:val="22"/>
        </w:rPr>
      </w:pPr>
    </w:p>
    <w:p w14:paraId="614A098F" w14:textId="77777777" w:rsidR="007402DB" w:rsidRPr="00F32F30" w:rsidRDefault="00454592" w:rsidP="007402DB">
      <w:pPr>
        <w:rPr>
          <w:noProof/>
          <w:szCs w:val="22"/>
          <w:u w:val="single"/>
        </w:rPr>
      </w:pPr>
      <w:r w:rsidRPr="00F32F30">
        <w:rPr>
          <w:noProof/>
          <w:u w:val="single"/>
        </w:rPr>
        <w:t>Linealidad/No linealidad</w:t>
      </w:r>
    </w:p>
    <w:p w14:paraId="705DA2BD" w14:textId="77777777" w:rsidR="007402DB" w:rsidRPr="00F32F30" w:rsidRDefault="00454592" w:rsidP="007402DB">
      <w:pPr>
        <w:rPr>
          <w:noProof/>
          <w:szCs w:val="22"/>
        </w:rPr>
      </w:pPr>
      <w:r w:rsidRPr="00F32F30">
        <w:t>Las exposiciones plasmáticas en el ser humano han demostrado una relación lineal con las dosis orales de trientina.</w:t>
      </w:r>
    </w:p>
    <w:p w14:paraId="53392D29" w14:textId="77777777" w:rsidR="007402DB" w:rsidRPr="00F32F30" w:rsidRDefault="007402DB" w:rsidP="007402DB">
      <w:pPr>
        <w:numPr>
          <w:ilvl w:val="12"/>
          <w:numId w:val="0"/>
        </w:numPr>
        <w:spacing w:line="240" w:lineRule="auto"/>
        <w:ind w:right="-2"/>
        <w:rPr>
          <w:iCs/>
          <w:noProof/>
          <w:szCs w:val="22"/>
        </w:rPr>
      </w:pPr>
    </w:p>
    <w:p w14:paraId="53866B84" w14:textId="77777777" w:rsidR="007402DB" w:rsidRPr="00F32F30" w:rsidRDefault="00454592" w:rsidP="007402DB">
      <w:pPr>
        <w:pStyle w:val="ListParagraph"/>
        <w:numPr>
          <w:ilvl w:val="1"/>
          <w:numId w:val="28"/>
        </w:numPr>
        <w:spacing w:line="240" w:lineRule="auto"/>
        <w:ind w:hanging="930"/>
        <w:outlineLvl w:val="0"/>
        <w:rPr>
          <w:b/>
          <w:szCs w:val="22"/>
        </w:rPr>
      </w:pPr>
      <w:r w:rsidRPr="00F32F30">
        <w:rPr>
          <w:b/>
        </w:rPr>
        <w:t xml:space="preserve">Datos preclínicos sobre </w:t>
      </w:r>
      <w:r w:rsidRPr="00F32F30">
        <w:rPr>
          <w:b/>
        </w:rPr>
        <w:t>seguridad</w:t>
      </w:r>
    </w:p>
    <w:p w14:paraId="66D776D3" w14:textId="77777777" w:rsidR="007402DB" w:rsidRPr="00F32F30" w:rsidRDefault="007402DB" w:rsidP="007402DB">
      <w:pPr>
        <w:spacing w:line="240" w:lineRule="auto"/>
        <w:rPr>
          <w:noProof/>
          <w:szCs w:val="22"/>
        </w:rPr>
      </w:pPr>
    </w:p>
    <w:p w14:paraId="72F66E9E" w14:textId="77777777" w:rsidR="007402DB" w:rsidRPr="00F32F30" w:rsidRDefault="00454592" w:rsidP="007402DB">
      <w:pPr>
        <w:rPr>
          <w:noProof/>
          <w:szCs w:val="22"/>
        </w:rPr>
      </w:pPr>
      <w:r w:rsidRPr="00F32F30">
        <w:t>Las reacciones adversas que no fueron observadas en ensayos clínicos, pero que se detectaron en animales con niveles de exposición similares a los clínicos y con posible repercusión en el uso clínico fueron las siguientes:</w:t>
      </w:r>
    </w:p>
    <w:p w14:paraId="72FE87CD" w14:textId="77777777" w:rsidR="007402DB" w:rsidRPr="00F32F30" w:rsidRDefault="007402DB" w:rsidP="007402DB">
      <w:pPr>
        <w:rPr>
          <w:szCs w:val="22"/>
        </w:rPr>
      </w:pPr>
    </w:p>
    <w:p w14:paraId="29ACAC99" w14:textId="77777777" w:rsidR="007402DB" w:rsidRPr="00F32F30" w:rsidRDefault="00454592" w:rsidP="007402DB">
      <w:pPr>
        <w:rPr>
          <w:noProof/>
          <w:szCs w:val="22"/>
          <w:u w:val="single"/>
        </w:rPr>
      </w:pPr>
      <w:r w:rsidRPr="00F32F30">
        <w:rPr>
          <w:noProof/>
          <w:u w:val="single"/>
        </w:rPr>
        <w:t xml:space="preserve">Toxicidad por </w:t>
      </w:r>
      <w:r w:rsidRPr="00F32F30">
        <w:rPr>
          <w:noProof/>
          <w:u w:val="single"/>
        </w:rPr>
        <w:t>dosis repetidas</w:t>
      </w:r>
    </w:p>
    <w:p w14:paraId="60663D6D" w14:textId="77777777" w:rsidR="007402DB" w:rsidRPr="00F32F30" w:rsidRDefault="00454592" w:rsidP="007402DB">
      <w:pPr>
        <w:rPr>
          <w:noProof/>
          <w:szCs w:val="22"/>
        </w:rPr>
      </w:pPr>
      <w:r w:rsidRPr="00F32F30">
        <w:lastRenderedPageBreak/>
        <w:t>En ratones, la trientina administrada en el agua de bebida mostró una mayor frecuencia de inflamación del intersticio pulmonar y de infiltración grasa periportal hepática. Se observó proliferación de células hematopoyéticas en el bazo de lo</w:t>
      </w:r>
      <w:r w:rsidRPr="00F32F30">
        <w:t xml:space="preserve">s machos. El peso corporal y el peso de los riñones disminuyeron en los machos, al igual que la incidencia de vacuolización citoplásmica renal. El NOAEL se estableció aproximadamente en 92 mg/kg/día en los machos y en 99 mg/kg/día en las hembras. En ratas </w:t>
      </w:r>
      <w:r w:rsidRPr="00F32F30">
        <w:t>que recibieron dosis orales de trientina de hasta 600 mg/kg/día durante 26 semanas, el análisis histopatológico reveló una incidencia y una intensidad relacionadas con la dosis de neumonitis intersticial crónica focal acompañada de fibrosis de la pared alv</w:t>
      </w:r>
      <w:r w:rsidRPr="00F32F30">
        <w:t>eolar. Los cambios microscópicos del pulmón se consideraron indicativos de una reacción inflamatoria persistente o de un efecto tóxico persistente en las células alveolares. Teniendo en cuenta que la trientina es irritante, se pensó que la neumonitis inter</w:t>
      </w:r>
      <w:r w:rsidRPr="00F32F30">
        <w:t>sticial crónica observada podía obedecer a un efecto citotóxico de la trientina tras su acumulación en células de epitelio bronquiolar y en neumocitos alveolares. Estos hallazgos no fueron reversibles. En las ratas, el NOAEL se fijó en 50 mg/kg/día para la</w:t>
      </w:r>
      <w:r w:rsidRPr="00F32F30">
        <w:t>s hembras; no se estableció el NOAEL para los machos.</w:t>
      </w:r>
    </w:p>
    <w:p w14:paraId="4D4F6240" w14:textId="77777777" w:rsidR="007402DB" w:rsidRPr="00F32F30" w:rsidRDefault="00454592" w:rsidP="007402DB">
      <w:pPr>
        <w:rPr>
          <w:noProof/>
          <w:szCs w:val="22"/>
        </w:rPr>
      </w:pPr>
      <w:r w:rsidRPr="00F32F30">
        <w:t>Los perros que recibieron dosis orales de trientina de hasta 300 mg/kg/día mostraron síntomas clínicos neurológicos y/o musculoesqueléticos (marcha anormal, ataxia, debilidad en las extremidades, temblo</w:t>
      </w:r>
      <w:r w:rsidRPr="00F32F30">
        <w:t>r corporal) en estudios de toxicidad por dosis repetidas, que se atribuyeron a la actividad de eliminación del cobre de la trientina. El NOAEL se estableció en 50 mg/kg/día, lo que dio lugar a márgenes de seguridad de aproximadamente 4 en los machos y 17 e</w:t>
      </w:r>
      <w:r w:rsidRPr="00F32F30">
        <w:t>n las hembras, con respecto a la exposición terapéutica en el ser humano.</w:t>
      </w:r>
    </w:p>
    <w:p w14:paraId="7979216A" w14:textId="77777777" w:rsidR="007402DB" w:rsidRPr="00F32F30" w:rsidRDefault="007402DB" w:rsidP="007402DB">
      <w:pPr>
        <w:rPr>
          <w:noProof/>
          <w:szCs w:val="22"/>
        </w:rPr>
      </w:pPr>
    </w:p>
    <w:p w14:paraId="3703DC7D" w14:textId="77777777" w:rsidR="007402DB" w:rsidRPr="00F32F30" w:rsidRDefault="00454592" w:rsidP="007402DB">
      <w:pPr>
        <w:keepNext/>
        <w:rPr>
          <w:noProof/>
          <w:szCs w:val="22"/>
          <w:u w:val="single"/>
        </w:rPr>
      </w:pPr>
      <w:r w:rsidRPr="00F32F30">
        <w:rPr>
          <w:noProof/>
          <w:u w:val="single"/>
        </w:rPr>
        <w:t>Genotoxicidad</w:t>
      </w:r>
    </w:p>
    <w:p w14:paraId="2A2E805A" w14:textId="77777777" w:rsidR="007402DB" w:rsidRPr="00F32F30" w:rsidRDefault="00454592" w:rsidP="007402DB">
      <w:pPr>
        <w:rPr>
          <w:noProof/>
          <w:szCs w:val="22"/>
        </w:rPr>
      </w:pPr>
      <w:r w:rsidRPr="00F32F30">
        <w:t xml:space="preserve">En general, la trientina ha mostrado efectos positivos en estudios de genotoxicidad </w:t>
      </w:r>
      <w:r w:rsidRPr="00F32F30">
        <w:rPr>
          <w:i/>
          <w:noProof/>
        </w:rPr>
        <w:t>in vitro</w:t>
      </w:r>
      <w:r w:rsidRPr="00F32F30">
        <w:t>, incluida la prueba de Ames y pruebas de genotoxicidad en células de mamíf</w:t>
      </w:r>
      <w:r w:rsidRPr="00F32F30">
        <w:t xml:space="preserve">ero. Sin embargo, </w:t>
      </w:r>
      <w:r w:rsidRPr="00F32F30">
        <w:rPr>
          <w:i/>
          <w:noProof/>
        </w:rPr>
        <w:t>in vivo</w:t>
      </w:r>
      <w:r w:rsidRPr="00F32F30">
        <w:t>, la trientina fue negativa en la prueba de micronúcleos de ratón.</w:t>
      </w:r>
    </w:p>
    <w:p w14:paraId="54FEC779" w14:textId="77777777" w:rsidR="007402DB" w:rsidRPr="00F32F30" w:rsidRDefault="007402DB" w:rsidP="007402DB">
      <w:pPr>
        <w:rPr>
          <w:noProof/>
          <w:szCs w:val="22"/>
        </w:rPr>
      </w:pPr>
    </w:p>
    <w:p w14:paraId="4D37516F" w14:textId="77777777" w:rsidR="007402DB" w:rsidRPr="00F32F30" w:rsidRDefault="00454592" w:rsidP="007402DB">
      <w:pPr>
        <w:rPr>
          <w:noProof/>
          <w:szCs w:val="22"/>
          <w:u w:val="single"/>
        </w:rPr>
      </w:pPr>
      <w:r w:rsidRPr="00F32F30">
        <w:rPr>
          <w:noProof/>
          <w:u w:val="single"/>
        </w:rPr>
        <w:t>Toxicidad para la reproducción y el desarrollo</w:t>
      </w:r>
    </w:p>
    <w:p w14:paraId="5E3BFF6A" w14:textId="77777777" w:rsidR="007402DB" w:rsidRPr="00F32F30" w:rsidRDefault="00454592" w:rsidP="007402DB">
      <w:pPr>
        <w:rPr>
          <w:noProof/>
          <w:szCs w:val="22"/>
        </w:rPr>
      </w:pPr>
      <w:r w:rsidRPr="00F32F30">
        <w:t>Cuando se administró a roedoras una dieta con trientina durante la gestación, la frecuencia de resorciones y la frec</w:t>
      </w:r>
      <w:r w:rsidRPr="00F32F30">
        <w:t xml:space="preserve">uencia de anomalías fetales a término mostraron un aumento relacionado con la dosis. Estos efectos se deben posiblemente a un déficit de cobre y cinc inducido por la trientina. </w:t>
      </w:r>
    </w:p>
    <w:p w14:paraId="3EC27B85" w14:textId="77777777" w:rsidR="007402DB" w:rsidRPr="00F32F30" w:rsidRDefault="007402DB" w:rsidP="007402DB">
      <w:pPr>
        <w:rPr>
          <w:noProof/>
          <w:szCs w:val="22"/>
        </w:rPr>
      </w:pPr>
    </w:p>
    <w:p w14:paraId="46097A61" w14:textId="77777777" w:rsidR="007402DB" w:rsidRPr="00F32F30" w:rsidRDefault="00454592" w:rsidP="007402DB">
      <w:pPr>
        <w:rPr>
          <w:noProof/>
          <w:szCs w:val="22"/>
          <w:u w:val="single"/>
        </w:rPr>
      </w:pPr>
      <w:r w:rsidRPr="00F32F30">
        <w:rPr>
          <w:noProof/>
          <w:u w:val="single"/>
        </w:rPr>
        <w:t>Tolerancia local</w:t>
      </w:r>
    </w:p>
    <w:p w14:paraId="74A8A5A4" w14:textId="77777777" w:rsidR="007402DB" w:rsidRPr="00F32F30" w:rsidRDefault="00454592" w:rsidP="007402DB">
      <w:pPr>
        <w:rPr>
          <w:noProof/>
          <w:szCs w:val="22"/>
        </w:rPr>
      </w:pPr>
      <w:r w:rsidRPr="00F32F30">
        <w:t>Los datos informáticos predicen que la trientina tiene propi</w:t>
      </w:r>
      <w:r w:rsidRPr="00F32F30">
        <w:t>edades irritantes y sensibilizantes. Se notificaron resultados positivos para el potencial de sensibilización en pruebas de maximización con cobayas.</w:t>
      </w:r>
    </w:p>
    <w:p w14:paraId="04E76C95" w14:textId="77777777" w:rsidR="007402DB" w:rsidRPr="00F32F30" w:rsidRDefault="007402DB" w:rsidP="007402DB">
      <w:pPr>
        <w:spacing w:line="240" w:lineRule="auto"/>
        <w:rPr>
          <w:noProof/>
          <w:szCs w:val="22"/>
        </w:rPr>
      </w:pPr>
    </w:p>
    <w:p w14:paraId="3D3D481A" w14:textId="77777777" w:rsidR="007402DB" w:rsidRPr="00F32F30" w:rsidRDefault="007402DB" w:rsidP="007402DB">
      <w:pPr>
        <w:spacing w:line="240" w:lineRule="auto"/>
        <w:rPr>
          <w:noProof/>
          <w:szCs w:val="22"/>
        </w:rPr>
      </w:pPr>
    </w:p>
    <w:p w14:paraId="7303DB38" w14:textId="77777777" w:rsidR="007402DB" w:rsidRPr="00F32F30" w:rsidRDefault="00454592" w:rsidP="007402DB">
      <w:pPr>
        <w:pStyle w:val="ListParagraph"/>
        <w:numPr>
          <w:ilvl w:val="0"/>
          <w:numId w:val="28"/>
        </w:numPr>
        <w:spacing w:line="240" w:lineRule="auto"/>
        <w:ind w:hanging="930"/>
        <w:rPr>
          <w:b/>
        </w:rPr>
      </w:pPr>
      <w:r w:rsidRPr="00F32F30">
        <w:rPr>
          <w:b/>
        </w:rPr>
        <w:t>DATOS FARMACÉUTICOS</w:t>
      </w:r>
    </w:p>
    <w:p w14:paraId="75FDE203" w14:textId="77777777" w:rsidR="007402DB" w:rsidRPr="00F32F30" w:rsidRDefault="007402DB" w:rsidP="007402DB">
      <w:pPr>
        <w:spacing w:line="240" w:lineRule="auto"/>
        <w:rPr>
          <w:noProof/>
          <w:szCs w:val="22"/>
        </w:rPr>
      </w:pPr>
    </w:p>
    <w:p w14:paraId="27D471DF" w14:textId="77777777" w:rsidR="007402DB" w:rsidRPr="00F32F30" w:rsidRDefault="00454592" w:rsidP="007402DB">
      <w:pPr>
        <w:pStyle w:val="ListParagraph"/>
        <w:numPr>
          <w:ilvl w:val="1"/>
          <w:numId w:val="28"/>
        </w:numPr>
        <w:spacing w:line="240" w:lineRule="auto"/>
        <w:ind w:hanging="930"/>
        <w:outlineLvl w:val="0"/>
        <w:rPr>
          <w:b/>
          <w:szCs w:val="22"/>
        </w:rPr>
      </w:pPr>
      <w:r w:rsidRPr="00F32F30">
        <w:rPr>
          <w:b/>
        </w:rPr>
        <w:t>Lista de excipientes</w:t>
      </w:r>
    </w:p>
    <w:p w14:paraId="1C213754" w14:textId="77777777" w:rsidR="007402DB" w:rsidRPr="00F32F30" w:rsidRDefault="007402DB" w:rsidP="007402DB">
      <w:pPr>
        <w:spacing w:line="240" w:lineRule="auto"/>
        <w:rPr>
          <w:i/>
          <w:noProof/>
          <w:szCs w:val="22"/>
        </w:rPr>
      </w:pPr>
    </w:p>
    <w:p w14:paraId="415457A6" w14:textId="77777777" w:rsidR="007402DB" w:rsidRPr="00F32F30" w:rsidRDefault="00454592" w:rsidP="007402DB">
      <w:r w:rsidRPr="00F32F30">
        <w:t>Núcleo del comprimido:</w:t>
      </w:r>
    </w:p>
    <w:p w14:paraId="5BB355BE" w14:textId="77777777" w:rsidR="007402DB" w:rsidRPr="00F32F30" w:rsidRDefault="00454592" w:rsidP="007402DB">
      <w:pPr>
        <w:rPr>
          <w:noProof/>
          <w:szCs w:val="22"/>
        </w:rPr>
      </w:pPr>
      <w:r w:rsidRPr="00F32F30">
        <w:t xml:space="preserve">Manitol. </w:t>
      </w:r>
    </w:p>
    <w:p w14:paraId="09ED3D15" w14:textId="77777777" w:rsidR="007402DB" w:rsidRPr="00F32F30" w:rsidRDefault="00454592" w:rsidP="007402DB">
      <w:pPr>
        <w:rPr>
          <w:noProof/>
          <w:szCs w:val="22"/>
        </w:rPr>
      </w:pPr>
      <w:r w:rsidRPr="00F32F30">
        <w:t xml:space="preserve">Sílice coloidal </w:t>
      </w:r>
      <w:r w:rsidRPr="00F32F30">
        <w:t>anhidra.</w:t>
      </w:r>
    </w:p>
    <w:p w14:paraId="6D4D070C" w14:textId="77777777" w:rsidR="007402DB" w:rsidRPr="00F32F30" w:rsidRDefault="00454592" w:rsidP="007402DB">
      <w:r w:rsidRPr="00F32F30">
        <w:t>Dibehenato de glicerol.</w:t>
      </w:r>
    </w:p>
    <w:p w14:paraId="3F144EF2" w14:textId="77777777" w:rsidR="007402DB" w:rsidRPr="00F32F30" w:rsidRDefault="007402DB" w:rsidP="007402DB">
      <w:pPr>
        <w:rPr>
          <w:noProof/>
          <w:szCs w:val="22"/>
        </w:rPr>
      </w:pPr>
    </w:p>
    <w:p w14:paraId="09256FDC" w14:textId="77777777" w:rsidR="007402DB" w:rsidRPr="00F32F30" w:rsidRDefault="00454592" w:rsidP="007402DB">
      <w:pPr>
        <w:rPr>
          <w:noProof/>
          <w:szCs w:val="22"/>
        </w:rPr>
      </w:pPr>
      <w:r w:rsidRPr="00F32F30">
        <w:rPr>
          <w:noProof/>
          <w:szCs w:val="22"/>
        </w:rPr>
        <w:t>Recubrimiento del comprimido:</w:t>
      </w:r>
    </w:p>
    <w:p w14:paraId="7C410B82" w14:textId="77777777" w:rsidR="007402DB" w:rsidRPr="00F32F30" w:rsidRDefault="00454592" w:rsidP="007402DB">
      <w:r w:rsidRPr="00F32F30">
        <w:t>Alcohol polivinílico.</w:t>
      </w:r>
    </w:p>
    <w:p w14:paraId="66636A18" w14:textId="77777777" w:rsidR="007402DB" w:rsidRPr="00F32F30" w:rsidRDefault="00454592" w:rsidP="007402DB">
      <w:pPr>
        <w:rPr>
          <w:noProof/>
          <w:szCs w:val="22"/>
        </w:rPr>
      </w:pPr>
      <w:r w:rsidRPr="00F32F30">
        <w:rPr>
          <w:noProof/>
          <w:szCs w:val="22"/>
        </w:rPr>
        <w:t>Talco.</w:t>
      </w:r>
    </w:p>
    <w:p w14:paraId="0EE9FBE7" w14:textId="77777777" w:rsidR="007402DB" w:rsidRPr="00F32F30" w:rsidRDefault="00454592" w:rsidP="007402DB">
      <w:pPr>
        <w:rPr>
          <w:noProof/>
          <w:szCs w:val="22"/>
        </w:rPr>
      </w:pPr>
      <w:r w:rsidRPr="00F32F30">
        <w:rPr>
          <w:noProof/>
          <w:szCs w:val="22"/>
        </w:rPr>
        <w:t>Dióxido de titanio (E171).</w:t>
      </w:r>
    </w:p>
    <w:p w14:paraId="417196F3" w14:textId="77777777" w:rsidR="007402DB" w:rsidRPr="00F32F30" w:rsidRDefault="00454592" w:rsidP="007402DB">
      <w:pPr>
        <w:rPr>
          <w:noProof/>
          <w:szCs w:val="22"/>
        </w:rPr>
      </w:pPr>
      <w:r w:rsidRPr="00F32F30">
        <w:rPr>
          <w:noProof/>
          <w:szCs w:val="22"/>
        </w:rPr>
        <w:t>Glicerol monocaprilocaprato</w:t>
      </w:r>
      <w:r w:rsidR="00A35F22" w:rsidRPr="00F32F30">
        <w:rPr>
          <w:noProof/>
          <w:szCs w:val="22"/>
        </w:rPr>
        <w:t xml:space="preserve"> (tipo I).</w:t>
      </w:r>
    </w:p>
    <w:p w14:paraId="3DB8AD70" w14:textId="77777777" w:rsidR="00A35F22" w:rsidRPr="00F32F30" w:rsidRDefault="00454592" w:rsidP="007402DB">
      <w:pPr>
        <w:rPr>
          <w:noProof/>
          <w:szCs w:val="22"/>
        </w:rPr>
      </w:pPr>
      <w:r w:rsidRPr="00F32F30">
        <w:rPr>
          <w:noProof/>
          <w:szCs w:val="22"/>
        </w:rPr>
        <w:t>Óxido de hierro amarillo (E172).</w:t>
      </w:r>
    </w:p>
    <w:p w14:paraId="70E26E43" w14:textId="77777777" w:rsidR="00A35F22" w:rsidRPr="00F32F30" w:rsidRDefault="00454592" w:rsidP="007402DB">
      <w:pPr>
        <w:rPr>
          <w:noProof/>
          <w:szCs w:val="22"/>
        </w:rPr>
      </w:pPr>
      <w:r w:rsidRPr="00F32F30">
        <w:rPr>
          <w:noProof/>
          <w:szCs w:val="22"/>
        </w:rPr>
        <w:t>Laurilsulfato sódico.</w:t>
      </w:r>
    </w:p>
    <w:p w14:paraId="39ACF29B" w14:textId="77777777" w:rsidR="007402DB" w:rsidRPr="00F32F30" w:rsidRDefault="007402DB" w:rsidP="007402DB">
      <w:pPr>
        <w:rPr>
          <w:noProof/>
          <w:szCs w:val="22"/>
        </w:rPr>
      </w:pPr>
    </w:p>
    <w:p w14:paraId="3AE3FE4C" w14:textId="77777777" w:rsidR="007402DB" w:rsidRPr="00F32F30" w:rsidRDefault="007402DB" w:rsidP="007402DB">
      <w:pPr>
        <w:spacing w:line="240" w:lineRule="auto"/>
        <w:rPr>
          <w:noProof/>
          <w:szCs w:val="22"/>
        </w:rPr>
      </w:pPr>
    </w:p>
    <w:p w14:paraId="579F8937" w14:textId="77777777" w:rsidR="007402DB" w:rsidRPr="00F32F30" w:rsidRDefault="00454592" w:rsidP="007402DB">
      <w:pPr>
        <w:pStyle w:val="ListParagraph"/>
        <w:numPr>
          <w:ilvl w:val="1"/>
          <w:numId w:val="28"/>
        </w:numPr>
        <w:spacing w:line="240" w:lineRule="auto"/>
        <w:ind w:hanging="930"/>
        <w:outlineLvl w:val="0"/>
        <w:rPr>
          <w:b/>
          <w:szCs w:val="22"/>
        </w:rPr>
      </w:pPr>
      <w:r w:rsidRPr="00F32F30">
        <w:rPr>
          <w:b/>
        </w:rPr>
        <w:t>Incompatibilidades</w:t>
      </w:r>
    </w:p>
    <w:p w14:paraId="1E5FFA7E" w14:textId="77777777" w:rsidR="007402DB" w:rsidRPr="00F32F30" w:rsidRDefault="007402DB" w:rsidP="007402DB">
      <w:pPr>
        <w:spacing w:line="240" w:lineRule="auto"/>
        <w:rPr>
          <w:noProof/>
          <w:szCs w:val="22"/>
        </w:rPr>
      </w:pPr>
    </w:p>
    <w:p w14:paraId="631982BF" w14:textId="77777777" w:rsidR="007402DB" w:rsidRPr="00F32F30" w:rsidRDefault="00454592" w:rsidP="007402DB">
      <w:pPr>
        <w:rPr>
          <w:noProof/>
          <w:szCs w:val="22"/>
        </w:rPr>
      </w:pPr>
      <w:r w:rsidRPr="00F32F30">
        <w:t>No procede.</w:t>
      </w:r>
    </w:p>
    <w:p w14:paraId="64B9C475" w14:textId="77777777" w:rsidR="007402DB" w:rsidRPr="00F32F30" w:rsidRDefault="007402DB" w:rsidP="007402DB">
      <w:pPr>
        <w:spacing w:line="240" w:lineRule="auto"/>
        <w:rPr>
          <w:noProof/>
          <w:szCs w:val="22"/>
        </w:rPr>
      </w:pPr>
    </w:p>
    <w:p w14:paraId="45B2ABFF" w14:textId="77777777" w:rsidR="007402DB" w:rsidRPr="00F32F30" w:rsidRDefault="00454592" w:rsidP="007402DB">
      <w:pPr>
        <w:pStyle w:val="ListParagraph"/>
        <w:numPr>
          <w:ilvl w:val="1"/>
          <w:numId w:val="28"/>
        </w:numPr>
        <w:spacing w:line="240" w:lineRule="auto"/>
        <w:ind w:hanging="930"/>
        <w:outlineLvl w:val="0"/>
        <w:rPr>
          <w:b/>
          <w:szCs w:val="22"/>
        </w:rPr>
      </w:pPr>
      <w:r w:rsidRPr="00F32F30">
        <w:rPr>
          <w:b/>
        </w:rPr>
        <w:t xml:space="preserve">Periodo </w:t>
      </w:r>
      <w:r w:rsidRPr="00F32F30">
        <w:rPr>
          <w:b/>
        </w:rPr>
        <w:t>de validez</w:t>
      </w:r>
    </w:p>
    <w:p w14:paraId="727D3A43" w14:textId="77777777" w:rsidR="007402DB" w:rsidRPr="00F32F30" w:rsidRDefault="007402DB" w:rsidP="007402DB">
      <w:pPr>
        <w:spacing w:line="240" w:lineRule="auto"/>
        <w:rPr>
          <w:noProof/>
          <w:szCs w:val="22"/>
        </w:rPr>
      </w:pPr>
    </w:p>
    <w:p w14:paraId="49311A5E" w14:textId="1A53E830" w:rsidR="007402DB" w:rsidRPr="00F32F30" w:rsidRDefault="00454592" w:rsidP="007402DB">
      <w:pPr>
        <w:rPr>
          <w:noProof/>
          <w:szCs w:val="22"/>
        </w:rPr>
      </w:pPr>
      <w:r>
        <w:t>30</w:t>
      </w:r>
      <w:r w:rsidRPr="00F32F30">
        <w:t xml:space="preserve"> </w:t>
      </w:r>
      <w:r w:rsidR="008F5A43" w:rsidRPr="00F32F30">
        <w:t>meses.</w:t>
      </w:r>
    </w:p>
    <w:p w14:paraId="7BCD7611" w14:textId="77777777" w:rsidR="007402DB" w:rsidRPr="00F32F30" w:rsidRDefault="007402DB" w:rsidP="007402DB">
      <w:pPr>
        <w:spacing w:line="240" w:lineRule="auto"/>
        <w:rPr>
          <w:noProof/>
          <w:szCs w:val="22"/>
        </w:rPr>
      </w:pPr>
    </w:p>
    <w:p w14:paraId="143755ED" w14:textId="77777777" w:rsidR="007402DB" w:rsidRPr="00F32F30" w:rsidRDefault="00454592" w:rsidP="007402DB">
      <w:pPr>
        <w:pStyle w:val="ListParagraph"/>
        <w:numPr>
          <w:ilvl w:val="1"/>
          <w:numId w:val="28"/>
        </w:numPr>
        <w:spacing w:line="240" w:lineRule="auto"/>
        <w:ind w:hanging="930"/>
        <w:outlineLvl w:val="0"/>
        <w:rPr>
          <w:b/>
          <w:szCs w:val="22"/>
        </w:rPr>
      </w:pPr>
      <w:r w:rsidRPr="00F32F30">
        <w:rPr>
          <w:b/>
        </w:rPr>
        <w:t>Precauciones especiales de conservación</w:t>
      </w:r>
    </w:p>
    <w:p w14:paraId="29E8205E" w14:textId="77777777" w:rsidR="007402DB" w:rsidRPr="00F32F30" w:rsidRDefault="007402DB" w:rsidP="007402DB">
      <w:pPr>
        <w:rPr>
          <w:noProof/>
        </w:rPr>
      </w:pPr>
    </w:p>
    <w:p w14:paraId="492E83A0" w14:textId="77777777" w:rsidR="007402DB" w:rsidRPr="00F32F30" w:rsidRDefault="00454592" w:rsidP="007402DB">
      <w:pPr>
        <w:rPr>
          <w:szCs w:val="22"/>
        </w:rPr>
      </w:pPr>
      <w:r w:rsidRPr="00F32F30">
        <w:t>Este medicamento no requiere condiciones especiales de conservación.</w:t>
      </w:r>
    </w:p>
    <w:p w14:paraId="187C63EC" w14:textId="77777777" w:rsidR="007402DB" w:rsidRPr="00F32F30" w:rsidRDefault="007402DB" w:rsidP="007402DB">
      <w:pPr>
        <w:spacing w:line="240" w:lineRule="auto"/>
        <w:rPr>
          <w:noProof/>
          <w:szCs w:val="22"/>
        </w:rPr>
      </w:pPr>
    </w:p>
    <w:p w14:paraId="7712238E" w14:textId="77777777" w:rsidR="007402DB" w:rsidRPr="00F32F30" w:rsidRDefault="00454592" w:rsidP="007402DB">
      <w:pPr>
        <w:pStyle w:val="ListParagraph"/>
        <w:numPr>
          <w:ilvl w:val="1"/>
          <w:numId w:val="28"/>
        </w:numPr>
        <w:spacing w:line="240" w:lineRule="auto"/>
        <w:ind w:hanging="930"/>
        <w:outlineLvl w:val="0"/>
        <w:rPr>
          <w:b/>
          <w:szCs w:val="22"/>
        </w:rPr>
      </w:pPr>
      <w:r w:rsidRPr="00F32F30">
        <w:rPr>
          <w:b/>
        </w:rPr>
        <w:t xml:space="preserve">Naturaleza y contenido del envase </w:t>
      </w:r>
    </w:p>
    <w:p w14:paraId="0DEB0217" w14:textId="77777777" w:rsidR="007402DB" w:rsidRPr="00F32F30" w:rsidRDefault="007402DB" w:rsidP="007402DB">
      <w:pPr>
        <w:rPr>
          <w:noProof/>
        </w:rPr>
      </w:pPr>
    </w:p>
    <w:p w14:paraId="0BBBD771" w14:textId="77777777" w:rsidR="007402DB" w:rsidRPr="00F32F30" w:rsidRDefault="00454592" w:rsidP="007402DB">
      <w:pPr>
        <w:pStyle w:val="Default"/>
        <w:rPr>
          <w:sz w:val="22"/>
          <w:szCs w:val="22"/>
        </w:rPr>
      </w:pPr>
      <w:r w:rsidRPr="00F32F30">
        <w:rPr>
          <w:sz w:val="22"/>
        </w:rPr>
        <w:t>Blísters de OPA/Alu/PVC-Alu, cada uno con 8 comprimidos</w:t>
      </w:r>
      <w:r w:rsidR="00887C20" w:rsidRPr="00F32F30">
        <w:rPr>
          <w:sz w:val="22"/>
        </w:rPr>
        <w:t xml:space="preserve"> recubiertos con película</w:t>
      </w:r>
      <w:r w:rsidRPr="00F32F30">
        <w:rPr>
          <w:sz w:val="22"/>
        </w:rPr>
        <w:t>.</w:t>
      </w:r>
    </w:p>
    <w:p w14:paraId="227B3C69" w14:textId="77777777" w:rsidR="000A2E85" w:rsidRPr="00F32F30" w:rsidRDefault="00454592" w:rsidP="000A2E85">
      <w:r w:rsidRPr="00F32F30">
        <w:t>Tamaño del envase: 72 o 96 comprimidos recubiertos con película.</w:t>
      </w:r>
    </w:p>
    <w:p w14:paraId="4044CE89" w14:textId="48446C84" w:rsidR="007402DB" w:rsidRPr="00F32F30" w:rsidRDefault="00454592" w:rsidP="000A2E85">
      <w:pPr>
        <w:rPr>
          <w:noProof/>
          <w:szCs w:val="22"/>
        </w:rPr>
      </w:pPr>
      <w:r w:rsidRPr="00F32F30">
        <w:t>Puede que solamente estén comercializados algunos tamaños de envases</w:t>
      </w:r>
      <w:r w:rsidR="008F5A43" w:rsidRPr="00F32F30">
        <w:t>.</w:t>
      </w:r>
    </w:p>
    <w:p w14:paraId="2AB4385C" w14:textId="77777777" w:rsidR="007402DB" w:rsidRPr="00F32F30" w:rsidRDefault="007402DB" w:rsidP="007402DB">
      <w:pPr>
        <w:spacing w:line="240" w:lineRule="auto"/>
        <w:rPr>
          <w:noProof/>
          <w:szCs w:val="22"/>
        </w:rPr>
      </w:pPr>
    </w:p>
    <w:p w14:paraId="5EE2EC0D" w14:textId="77777777" w:rsidR="007402DB" w:rsidRPr="00F32F30" w:rsidRDefault="00454592" w:rsidP="007402DB">
      <w:pPr>
        <w:pStyle w:val="ListParagraph"/>
        <w:keepNext/>
        <w:numPr>
          <w:ilvl w:val="1"/>
          <w:numId w:val="28"/>
        </w:numPr>
        <w:spacing w:line="240" w:lineRule="auto"/>
        <w:ind w:hanging="930"/>
        <w:outlineLvl w:val="0"/>
        <w:rPr>
          <w:b/>
          <w:szCs w:val="22"/>
        </w:rPr>
      </w:pPr>
      <w:bookmarkStart w:id="1" w:name="OLE_LINK1"/>
      <w:r w:rsidRPr="00F32F30">
        <w:rPr>
          <w:b/>
        </w:rPr>
        <w:t xml:space="preserve">Precauciones especiales de eliminación </w:t>
      </w:r>
    </w:p>
    <w:p w14:paraId="42868544" w14:textId="77777777" w:rsidR="007402DB" w:rsidRPr="00F32F30" w:rsidRDefault="007402DB" w:rsidP="007402DB">
      <w:pPr>
        <w:spacing w:line="240" w:lineRule="auto"/>
        <w:rPr>
          <w:noProof/>
          <w:szCs w:val="22"/>
        </w:rPr>
      </w:pPr>
    </w:p>
    <w:p w14:paraId="3DB353AD" w14:textId="77777777" w:rsidR="007402DB" w:rsidRPr="00F32F30" w:rsidRDefault="00454592" w:rsidP="007402DB">
      <w:pPr>
        <w:rPr>
          <w:szCs w:val="22"/>
        </w:rPr>
      </w:pPr>
      <w:r w:rsidRPr="00F32F30">
        <w:t>Ninguna especial.</w:t>
      </w:r>
    </w:p>
    <w:p w14:paraId="239DE2C0" w14:textId="77777777" w:rsidR="007402DB" w:rsidRPr="00F32F30" w:rsidRDefault="007402DB" w:rsidP="007402DB">
      <w:pPr>
        <w:spacing w:line="240" w:lineRule="auto"/>
        <w:rPr>
          <w:szCs w:val="22"/>
        </w:rPr>
      </w:pPr>
    </w:p>
    <w:bookmarkEnd w:id="1"/>
    <w:p w14:paraId="7B109D7D" w14:textId="77777777" w:rsidR="007402DB" w:rsidRPr="00F32F30" w:rsidRDefault="007402DB" w:rsidP="007402DB">
      <w:pPr>
        <w:spacing w:line="240" w:lineRule="auto"/>
        <w:rPr>
          <w:noProof/>
          <w:szCs w:val="22"/>
        </w:rPr>
      </w:pPr>
    </w:p>
    <w:p w14:paraId="4776B806" w14:textId="77777777" w:rsidR="007402DB" w:rsidRPr="00F32F30" w:rsidRDefault="00454592" w:rsidP="007402DB">
      <w:pPr>
        <w:pStyle w:val="ListParagraph"/>
        <w:numPr>
          <w:ilvl w:val="0"/>
          <w:numId w:val="28"/>
        </w:numPr>
        <w:spacing w:line="240" w:lineRule="auto"/>
        <w:ind w:hanging="930"/>
        <w:rPr>
          <w:b/>
        </w:rPr>
      </w:pPr>
      <w:r w:rsidRPr="00F32F30">
        <w:rPr>
          <w:b/>
        </w:rPr>
        <w:t>TITULAR DE LA AUTORIZACIÓN DE CO</w:t>
      </w:r>
      <w:r w:rsidRPr="00F32F30">
        <w:rPr>
          <w:b/>
        </w:rPr>
        <w:t>MERCIALIZACIÓN</w:t>
      </w:r>
    </w:p>
    <w:p w14:paraId="307EA283" w14:textId="77777777" w:rsidR="007402DB" w:rsidRPr="00F32F30" w:rsidRDefault="007402DB" w:rsidP="007402DB">
      <w:pPr>
        <w:spacing w:line="240" w:lineRule="auto"/>
        <w:rPr>
          <w:noProof/>
          <w:szCs w:val="22"/>
        </w:rPr>
      </w:pPr>
    </w:p>
    <w:p w14:paraId="052D3763" w14:textId="7F60FF0C" w:rsidR="007402DB" w:rsidRPr="00F32F30" w:rsidRDefault="00651DA6" w:rsidP="007402DB">
      <w:pPr>
        <w:rPr>
          <w:szCs w:val="22"/>
          <w:lang w:val="fr-LU"/>
        </w:rPr>
      </w:pPr>
      <w:proofErr w:type="spellStart"/>
      <w:r>
        <w:rPr>
          <w:lang w:val="fr-LU"/>
        </w:rPr>
        <w:t>Orphalan</w:t>
      </w:r>
      <w:proofErr w:type="spellEnd"/>
    </w:p>
    <w:p w14:paraId="6CD27EAC" w14:textId="77777777" w:rsidR="00A56A55" w:rsidRPr="002503BA" w:rsidRDefault="00454592" w:rsidP="00A56A55">
      <w:pPr>
        <w:rPr>
          <w:szCs w:val="22"/>
          <w:lang w:val="fr-FR"/>
        </w:rPr>
      </w:pPr>
      <w:r w:rsidRPr="002503BA">
        <w:rPr>
          <w:szCs w:val="22"/>
          <w:lang w:val="fr-FR"/>
        </w:rPr>
        <w:t>226 Boulevard Voltaire</w:t>
      </w:r>
    </w:p>
    <w:p w14:paraId="625277EE" w14:textId="77777777" w:rsidR="00A56A55" w:rsidRPr="0036776A" w:rsidRDefault="00454592" w:rsidP="00A56A55">
      <w:pPr>
        <w:rPr>
          <w:szCs w:val="22"/>
          <w:lang w:val="fr-FR"/>
        </w:rPr>
      </w:pPr>
      <w:r w:rsidRPr="002503BA">
        <w:rPr>
          <w:szCs w:val="22"/>
          <w:lang w:val="fr-FR"/>
        </w:rPr>
        <w:t>75011 Paris</w:t>
      </w:r>
    </w:p>
    <w:p w14:paraId="6A84F488" w14:textId="77777777" w:rsidR="007402DB" w:rsidRPr="00454592" w:rsidRDefault="00454592" w:rsidP="007402DB">
      <w:pPr>
        <w:rPr>
          <w:szCs w:val="22"/>
          <w:lang w:val="fr-FR"/>
        </w:rPr>
      </w:pPr>
      <w:r w:rsidRPr="00454592">
        <w:rPr>
          <w:lang w:val="fr-FR"/>
        </w:rPr>
        <w:t>Francia</w:t>
      </w:r>
    </w:p>
    <w:p w14:paraId="09A6065D" w14:textId="77777777" w:rsidR="007402DB" w:rsidRPr="00454592" w:rsidRDefault="007402DB" w:rsidP="007402DB">
      <w:pPr>
        <w:spacing w:line="240" w:lineRule="auto"/>
        <w:rPr>
          <w:noProof/>
          <w:szCs w:val="22"/>
          <w:lang w:val="fr-FR"/>
        </w:rPr>
      </w:pPr>
    </w:p>
    <w:p w14:paraId="414EC20D" w14:textId="77777777" w:rsidR="007402DB" w:rsidRPr="00454592" w:rsidRDefault="007402DB" w:rsidP="007402DB">
      <w:pPr>
        <w:spacing w:line="240" w:lineRule="auto"/>
        <w:rPr>
          <w:noProof/>
          <w:szCs w:val="22"/>
          <w:lang w:val="fr-FR"/>
        </w:rPr>
      </w:pPr>
    </w:p>
    <w:p w14:paraId="05774345" w14:textId="77777777" w:rsidR="007402DB" w:rsidRPr="00F32F30" w:rsidRDefault="00454592" w:rsidP="007402DB">
      <w:pPr>
        <w:pStyle w:val="ListParagraph"/>
        <w:numPr>
          <w:ilvl w:val="0"/>
          <w:numId w:val="28"/>
        </w:numPr>
        <w:spacing w:line="240" w:lineRule="auto"/>
        <w:ind w:hanging="930"/>
        <w:rPr>
          <w:b/>
        </w:rPr>
      </w:pPr>
      <w:r w:rsidRPr="00F32F30">
        <w:rPr>
          <w:b/>
        </w:rPr>
        <w:t xml:space="preserve">NÚMERO(S) DE AUTORIZACIÓN DE COMERCIALIZACIÓN </w:t>
      </w:r>
    </w:p>
    <w:p w14:paraId="4B5C59AD" w14:textId="77777777" w:rsidR="007402DB" w:rsidRPr="00F32F30" w:rsidRDefault="007402DB" w:rsidP="007402DB">
      <w:pPr>
        <w:spacing w:line="240" w:lineRule="auto"/>
        <w:ind w:left="567" w:hanging="567"/>
        <w:rPr>
          <w:b/>
          <w:noProof/>
          <w:szCs w:val="22"/>
        </w:rPr>
      </w:pPr>
    </w:p>
    <w:p w14:paraId="1A3356B4" w14:textId="77777777" w:rsidR="00D0457D" w:rsidRPr="00F32F30" w:rsidRDefault="00454592" w:rsidP="00D0457D">
      <w:pPr>
        <w:spacing w:line="240" w:lineRule="auto"/>
        <w:rPr>
          <w:color w:val="000000"/>
        </w:rPr>
      </w:pPr>
      <w:r w:rsidRPr="00F32F30">
        <w:rPr>
          <w:color w:val="000000"/>
        </w:rPr>
        <w:t>EU/1/17/1199/001 72 comprimidos recubiertos con película</w:t>
      </w:r>
    </w:p>
    <w:p w14:paraId="30E910C0" w14:textId="239A2F14" w:rsidR="008F5A43" w:rsidRPr="00F32F30" w:rsidRDefault="00454592" w:rsidP="008F5A43">
      <w:pPr>
        <w:spacing w:line="240" w:lineRule="auto"/>
        <w:rPr>
          <w:color w:val="000000"/>
        </w:rPr>
      </w:pPr>
      <w:r w:rsidRPr="00F32F30">
        <w:rPr>
          <w:color w:val="000000"/>
        </w:rPr>
        <w:t>EU/1/17/1199/002 96 comprimidos recubiertos con película</w:t>
      </w:r>
    </w:p>
    <w:p w14:paraId="7834537D" w14:textId="77777777" w:rsidR="007402DB" w:rsidRPr="00F32F30" w:rsidRDefault="007402DB" w:rsidP="007402DB">
      <w:pPr>
        <w:spacing w:line="240" w:lineRule="auto"/>
        <w:rPr>
          <w:noProof/>
          <w:szCs w:val="22"/>
        </w:rPr>
      </w:pPr>
    </w:p>
    <w:p w14:paraId="0A73D607" w14:textId="77777777" w:rsidR="007402DB" w:rsidRPr="00F32F30" w:rsidRDefault="00454592" w:rsidP="007402DB">
      <w:pPr>
        <w:pStyle w:val="ListParagraph"/>
        <w:numPr>
          <w:ilvl w:val="0"/>
          <w:numId w:val="28"/>
        </w:numPr>
        <w:spacing w:line="240" w:lineRule="auto"/>
        <w:ind w:hanging="930"/>
        <w:rPr>
          <w:b/>
        </w:rPr>
      </w:pPr>
      <w:r w:rsidRPr="00F32F30">
        <w:rPr>
          <w:b/>
        </w:rPr>
        <w:t xml:space="preserve">FECHA DE </w:t>
      </w:r>
      <w:r w:rsidRPr="00F32F30">
        <w:rPr>
          <w:b/>
        </w:rPr>
        <w:t>LA PRIMERA AUTORIZACIÓN/RENOVACIÓN DE LA AUTORIZACIÓN</w:t>
      </w:r>
    </w:p>
    <w:p w14:paraId="18E68883" w14:textId="77777777" w:rsidR="007402DB" w:rsidRPr="00F32F30" w:rsidRDefault="007402DB" w:rsidP="007402DB">
      <w:pPr>
        <w:spacing w:line="240" w:lineRule="auto"/>
        <w:rPr>
          <w:i/>
          <w:noProof/>
          <w:szCs w:val="22"/>
        </w:rPr>
      </w:pPr>
    </w:p>
    <w:p w14:paraId="5F0FC562" w14:textId="77777777" w:rsidR="007402DB" w:rsidRPr="00F32F30" w:rsidRDefault="00454592" w:rsidP="007402DB">
      <w:pPr>
        <w:spacing w:line="240" w:lineRule="auto"/>
        <w:rPr>
          <w:i/>
          <w:noProof/>
          <w:szCs w:val="22"/>
        </w:rPr>
      </w:pPr>
      <w:r w:rsidRPr="00F32F30">
        <w:t xml:space="preserve">Fecha de la primera autorización: </w:t>
      </w:r>
      <w:r w:rsidR="00247B70" w:rsidRPr="00F32F30">
        <w:t>5/septiembre/2017</w:t>
      </w:r>
    </w:p>
    <w:p w14:paraId="7B14187D" w14:textId="77777777" w:rsidR="007402DB" w:rsidRPr="00F32F30" w:rsidRDefault="007402DB" w:rsidP="007402DB">
      <w:pPr>
        <w:spacing w:line="240" w:lineRule="auto"/>
        <w:rPr>
          <w:noProof/>
          <w:szCs w:val="22"/>
        </w:rPr>
      </w:pPr>
    </w:p>
    <w:p w14:paraId="4CFC7616" w14:textId="77777777" w:rsidR="007402DB" w:rsidRPr="00F32F30" w:rsidRDefault="007402DB" w:rsidP="007402DB">
      <w:pPr>
        <w:spacing w:line="240" w:lineRule="auto"/>
        <w:rPr>
          <w:noProof/>
          <w:szCs w:val="22"/>
        </w:rPr>
      </w:pPr>
    </w:p>
    <w:p w14:paraId="0C4AFB71" w14:textId="77777777" w:rsidR="007402DB" w:rsidRPr="00F32F30" w:rsidRDefault="00454592" w:rsidP="007402DB">
      <w:pPr>
        <w:pStyle w:val="ListParagraph"/>
        <w:numPr>
          <w:ilvl w:val="0"/>
          <w:numId w:val="28"/>
        </w:numPr>
        <w:spacing w:line="240" w:lineRule="auto"/>
        <w:ind w:hanging="930"/>
        <w:rPr>
          <w:b/>
        </w:rPr>
      </w:pPr>
      <w:r w:rsidRPr="00F32F30">
        <w:rPr>
          <w:b/>
        </w:rPr>
        <w:t>FECHA DE LA REVISIÓN DEL TEXTO</w:t>
      </w:r>
    </w:p>
    <w:p w14:paraId="339CE289" w14:textId="77777777" w:rsidR="007402DB" w:rsidRPr="00F32F30" w:rsidRDefault="007402DB" w:rsidP="007402DB">
      <w:pPr>
        <w:spacing w:line="240" w:lineRule="auto"/>
        <w:rPr>
          <w:noProof/>
          <w:szCs w:val="22"/>
        </w:rPr>
      </w:pPr>
    </w:p>
    <w:p w14:paraId="24AB7C5C" w14:textId="77777777" w:rsidR="007402DB" w:rsidRPr="00F32F30" w:rsidRDefault="007402DB" w:rsidP="007402DB">
      <w:pPr>
        <w:spacing w:line="240" w:lineRule="auto"/>
        <w:rPr>
          <w:noProof/>
          <w:szCs w:val="22"/>
        </w:rPr>
      </w:pPr>
    </w:p>
    <w:p w14:paraId="61CEA00C" w14:textId="77777777" w:rsidR="007402DB" w:rsidRPr="00F32F30" w:rsidRDefault="007402DB" w:rsidP="007402DB">
      <w:pPr>
        <w:numPr>
          <w:ilvl w:val="12"/>
          <w:numId w:val="0"/>
        </w:numPr>
        <w:tabs>
          <w:tab w:val="clear" w:pos="567"/>
          <w:tab w:val="left" w:pos="1004"/>
        </w:tabs>
        <w:spacing w:line="240" w:lineRule="auto"/>
        <w:ind w:right="-2"/>
        <w:rPr>
          <w:szCs w:val="22"/>
        </w:rPr>
      </w:pPr>
    </w:p>
    <w:p w14:paraId="4EDEE944" w14:textId="77777777" w:rsidR="007402DB" w:rsidRPr="00F32F30" w:rsidRDefault="00454592" w:rsidP="007402DB">
      <w:pPr>
        <w:numPr>
          <w:ilvl w:val="12"/>
          <w:numId w:val="0"/>
        </w:numPr>
        <w:spacing w:line="240" w:lineRule="auto"/>
        <w:ind w:right="-2"/>
        <w:rPr>
          <w:noProof/>
          <w:szCs w:val="22"/>
        </w:rPr>
      </w:pPr>
      <w:r w:rsidRPr="00F32F30">
        <w:t>La información detallada de este medicamento está disponible en la página web de la Agencia Europea de Medicament</w:t>
      </w:r>
      <w:r w:rsidRPr="00F32F30">
        <w:t xml:space="preserve">os </w:t>
      </w:r>
      <w:hyperlink r:id="rId12" w:history="1">
        <w:r w:rsidRPr="00F32F30">
          <w:rPr>
            <w:rStyle w:val="Hyperlink"/>
            <w:noProof/>
          </w:rPr>
          <w:t>http://www.ema.europa.eu</w:t>
        </w:r>
      </w:hyperlink>
    </w:p>
    <w:p w14:paraId="58A7A7AC" w14:textId="77777777" w:rsidR="007402DB" w:rsidRPr="00F32F30" w:rsidRDefault="007402DB" w:rsidP="007402DB">
      <w:pPr>
        <w:numPr>
          <w:ilvl w:val="12"/>
          <w:numId w:val="0"/>
        </w:numPr>
        <w:spacing w:line="240" w:lineRule="auto"/>
        <w:ind w:right="-2"/>
        <w:rPr>
          <w:noProof/>
          <w:szCs w:val="22"/>
        </w:rPr>
      </w:pPr>
    </w:p>
    <w:p w14:paraId="32D866C0" w14:textId="77777777" w:rsidR="007402DB" w:rsidRPr="00F32F30" w:rsidRDefault="00454592" w:rsidP="007402DB">
      <w:pPr>
        <w:widowControl w:val="0"/>
        <w:autoSpaceDE w:val="0"/>
        <w:autoSpaceDN w:val="0"/>
        <w:adjustRightInd w:val="0"/>
        <w:ind w:left="127" w:right="120"/>
        <w:rPr>
          <w:color w:val="000000"/>
        </w:rPr>
      </w:pPr>
      <w:r w:rsidRPr="00F32F30">
        <w:br w:type="page"/>
      </w:r>
    </w:p>
    <w:p w14:paraId="32EA917E" w14:textId="77777777" w:rsidR="007402DB" w:rsidRPr="00F32F30" w:rsidRDefault="007402DB" w:rsidP="007402DB">
      <w:pPr>
        <w:widowControl w:val="0"/>
        <w:autoSpaceDE w:val="0"/>
        <w:autoSpaceDN w:val="0"/>
        <w:adjustRightInd w:val="0"/>
        <w:ind w:left="127" w:right="120"/>
        <w:rPr>
          <w:color w:val="000000"/>
        </w:rPr>
      </w:pPr>
    </w:p>
    <w:p w14:paraId="6BDC5C06" w14:textId="77777777" w:rsidR="007402DB" w:rsidRPr="00F32F30" w:rsidRDefault="007402DB" w:rsidP="007402DB">
      <w:pPr>
        <w:widowControl w:val="0"/>
        <w:autoSpaceDE w:val="0"/>
        <w:autoSpaceDN w:val="0"/>
        <w:adjustRightInd w:val="0"/>
        <w:ind w:left="127" w:right="120"/>
        <w:rPr>
          <w:color w:val="000000"/>
        </w:rPr>
      </w:pPr>
    </w:p>
    <w:p w14:paraId="7FC3366E" w14:textId="77777777" w:rsidR="007402DB" w:rsidRPr="00F32F30" w:rsidRDefault="007402DB" w:rsidP="007402DB">
      <w:pPr>
        <w:widowControl w:val="0"/>
        <w:autoSpaceDE w:val="0"/>
        <w:autoSpaceDN w:val="0"/>
        <w:adjustRightInd w:val="0"/>
        <w:ind w:left="127" w:right="120"/>
        <w:rPr>
          <w:color w:val="000000"/>
        </w:rPr>
      </w:pPr>
    </w:p>
    <w:p w14:paraId="7F0C1BA9" w14:textId="77777777" w:rsidR="007402DB" w:rsidRPr="00F32F30" w:rsidRDefault="007402DB" w:rsidP="007402DB">
      <w:pPr>
        <w:widowControl w:val="0"/>
        <w:autoSpaceDE w:val="0"/>
        <w:autoSpaceDN w:val="0"/>
        <w:adjustRightInd w:val="0"/>
        <w:ind w:left="127" w:right="120"/>
        <w:rPr>
          <w:color w:val="000000"/>
        </w:rPr>
      </w:pPr>
    </w:p>
    <w:p w14:paraId="0E8E0C6C" w14:textId="77777777" w:rsidR="007402DB" w:rsidRPr="00F32F30" w:rsidRDefault="007402DB" w:rsidP="007402DB">
      <w:pPr>
        <w:widowControl w:val="0"/>
        <w:autoSpaceDE w:val="0"/>
        <w:autoSpaceDN w:val="0"/>
        <w:adjustRightInd w:val="0"/>
        <w:ind w:left="127" w:right="120"/>
        <w:rPr>
          <w:color w:val="000000"/>
        </w:rPr>
      </w:pPr>
    </w:p>
    <w:p w14:paraId="7A7F3F9B" w14:textId="77777777" w:rsidR="007402DB" w:rsidRPr="00F32F30" w:rsidRDefault="007402DB" w:rsidP="007402DB">
      <w:pPr>
        <w:widowControl w:val="0"/>
        <w:autoSpaceDE w:val="0"/>
        <w:autoSpaceDN w:val="0"/>
        <w:adjustRightInd w:val="0"/>
        <w:ind w:left="127" w:right="120"/>
        <w:rPr>
          <w:color w:val="000000"/>
        </w:rPr>
      </w:pPr>
    </w:p>
    <w:p w14:paraId="7EB81C3C" w14:textId="77777777" w:rsidR="007402DB" w:rsidRPr="00F32F30" w:rsidRDefault="007402DB" w:rsidP="007402DB">
      <w:pPr>
        <w:widowControl w:val="0"/>
        <w:autoSpaceDE w:val="0"/>
        <w:autoSpaceDN w:val="0"/>
        <w:adjustRightInd w:val="0"/>
        <w:ind w:left="127" w:right="120"/>
        <w:rPr>
          <w:color w:val="000000"/>
        </w:rPr>
      </w:pPr>
    </w:p>
    <w:p w14:paraId="78201E9B" w14:textId="77777777" w:rsidR="007402DB" w:rsidRPr="00F32F30" w:rsidRDefault="007402DB" w:rsidP="007402DB">
      <w:pPr>
        <w:widowControl w:val="0"/>
        <w:autoSpaceDE w:val="0"/>
        <w:autoSpaceDN w:val="0"/>
        <w:adjustRightInd w:val="0"/>
        <w:ind w:left="127" w:right="120"/>
        <w:rPr>
          <w:color w:val="000000"/>
        </w:rPr>
      </w:pPr>
    </w:p>
    <w:p w14:paraId="03432769" w14:textId="77777777" w:rsidR="007402DB" w:rsidRPr="00F32F30" w:rsidRDefault="007402DB" w:rsidP="007402DB">
      <w:pPr>
        <w:widowControl w:val="0"/>
        <w:autoSpaceDE w:val="0"/>
        <w:autoSpaceDN w:val="0"/>
        <w:adjustRightInd w:val="0"/>
        <w:ind w:left="127" w:right="120"/>
        <w:rPr>
          <w:color w:val="000000"/>
        </w:rPr>
      </w:pPr>
    </w:p>
    <w:p w14:paraId="424B8770" w14:textId="77777777" w:rsidR="007402DB" w:rsidRPr="00F32F30" w:rsidRDefault="007402DB" w:rsidP="007402DB">
      <w:pPr>
        <w:widowControl w:val="0"/>
        <w:autoSpaceDE w:val="0"/>
        <w:autoSpaceDN w:val="0"/>
        <w:adjustRightInd w:val="0"/>
        <w:ind w:left="127" w:right="120"/>
        <w:rPr>
          <w:color w:val="000000"/>
        </w:rPr>
      </w:pPr>
    </w:p>
    <w:p w14:paraId="6697B88B" w14:textId="77777777" w:rsidR="007402DB" w:rsidRPr="00F32F30" w:rsidRDefault="007402DB" w:rsidP="007402DB">
      <w:pPr>
        <w:widowControl w:val="0"/>
        <w:autoSpaceDE w:val="0"/>
        <w:autoSpaceDN w:val="0"/>
        <w:adjustRightInd w:val="0"/>
        <w:ind w:left="127" w:right="120"/>
        <w:rPr>
          <w:color w:val="000000"/>
        </w:rPr>
      </w:pPr>
    </w:p>
    <w:p w14:paraId="658F89B4" w14:textId="77777777" w:rsidR="007402DB" w:rsidRPr="00F32F30" w:rsidRDefault="007402DB" w:rsidP="007402DB">
      <w:pPr>
        <w:widowControl w:val="0"/>
        <w:autoSpaceDE w:val="0"/>
        <w:autoSpaceDN w:val="0"/>
        <w:adjustRightInd w:val="0"/>
        <w:ind w:left="127" w:right="120"/>
        <w:rPr>
          <w:color w:val="000000"/>
        </w:rPr>
      </w:pPr>
    </w:p>
    <w:p w14:paraId="4EA2BD18" w14:textId="77777777" w:rsidR="007402DB" w:rsidRPr="00F32F30" w:rsidRDefault="007402DB" w:rsidP="007402DB">
      <w:pPr>
        <w:widowControl w:val="0"/>
        <w:autoSpaceDE w:val="0"/>
        <w:autoSpaceDN w:val="0"/>
        <w:adjustRightInd w:val="0"/>
        <w:ind w:left="127" w:right="120"/>
        <w:rPr>
          <w:color w:val="000000"/>
        </w:rPr>
      </w:pPr>
    </w:p>
    <w:p w14:paraId="543D217A" w14:textId="77777777" w:rsidR="007402DB" w:rsidRPr="00F32F30" w:rsidRDefault="007402DB" w:rsidP="007402DB">
      <w:pPr>
        <w:widowControl w:val="0"/>
        <w:autoSpaceDE w:val="0"/>
        <w:autoSpaceDN w:val="0"/>
        <w:adjustRightInd w:val="0"/>
        <w:ind w:left="127" w:right="120"/>
        <w:rPr>
          <w:color w:val="000000"/>
        </w:rPr>
      </w:pPr>
    </w:p>
    <w:p w14:paraId="483A2467" w14:textId="77777777" w:rsidR="007402DB" w:rsidRPr="00F32F30" w:rsidRDefault="007402DB" w:rsidP="007402DB">
      <w:pPr>
        <w:widowControl w:val="0"/>
        <w:autoSpaceDE w:val="0"/>
        <w:autoSpaceDN w:val="0"/>
        <w:adjustRightInd w:val="0"/>
        <w:ind w:left="127" w:right="120"/>
        <w:rPr>
          <w:color w:val="000000"/>
        </w:rPr>
      </w:pPr>
    </w:p>
    <w:p w14:paraId="79937083" w14:textId="77777777" w:rsidR="007402DB" w:rsidRPr="00F32F30" w:rsidRDefault="007402DB" w:rsidP="007402DB">
      <w:pPr>
        <w:widowControl w:val="0"/>
        <w:autoSpaceDE w:val="0"/>
        <w:autoSpaceDN w:val="0"/>
        <w:adjustRightInd w:val="0"/>
        <w:ind w:left="127" w:right="120"/>
        <w:rPr>
          <w:color w:val="000000"/>
        </w:rPr>
      </w:pPr>
    </w:p>
    <w:p w14:paraId="28503D6A" w14:textId="77777777" w:rsidR="007402DB" w:rsidRPr="00F32F30" w:rsidRDefault="007402DB" w:rsidP="007402DB">
      <w:pPr>
        <w:widowControl w:val="0"/>
        <w:autoSpaceDE w:val="0"/>
        <w:autoSpaceDN w:val="0"/>
        <w:adjustRightInd w:val="0"/>
        <w:ind w:left="127" w:right="120"/>
        <w:rPr>
          <w:color w:val="000000"/>
        </w:rPr>
      </w:pPr>
    </w:p>
    <w:p w14:paraId="2950CDAC" w14:textId="77777777" w:rsidR="007402DB" w:rsidRPr="00F32F30" w:rsidRDefault="00454592" w:rsidP="007402DB">
      <w:pPr>
        <w:keepNext/>
        <w:widowControl w:val="0"/>
        <w:autoSpaceDE w:val="0"/>
        <w:autoSpaceDN w:val="0"/>
        <w:adjustRightInd w:val="0"/>
        <w:spacing w:before="280" w:after="220"/>
        <w:ind w:left="127" w:right="120"/>
        <w:jc w:val="center"/>
        <w:rPr>
          <w:b/>
          <w:bCs/>
          <w:color w:val="000000"/>
        </w:rPr>
      </w:pPr>
      <w:r w:rsidRPr="00F32F30">
        <w:rPr>
          <w:b/>
          <w:color w:val="000000"/>
        </w:rPr>
        <w:t>ANEXO II</w:t>
      </w:r>
    </w:p>
    <w:p w14:paraId="1BEF01E0" w14:textId="77777777" w:rsidR="007402DB" w:rsidRPr="00F32F30" w:rsidRDefault="007402DB" w:rsidP="007402DB">
      <w:pPr>
        <w:widowControl w:val="0"/>
        <w:autoSpaceDE w:val="0"/>
        <w:autoSpaceDN w:val="0"/>
        <w:adjustRightInd w:val="0"/>
        <w:ind w:left="127" w:right="120"/>
        <w:rPr>
          <w:color w:val="000000"/>
        </w:rPr>
      </w:pPr>
    </w:p>
    <w:p w14:paraId="3B279F4E" w14:textId="77777777" w:rsidR="007402DB" w:rsidRPr="00F32F30" w:rsidRDefault="00454592" w:rsidP="007402DB">
      <w:pPr>
        <w:pStyle w:val="ListParagraph"/>
        <w:keepNext/>
        <w:widowControl w:val="0"/>
        <w:numPr>
          <w:ilvl w:val="0"/>
          <w:numId w:val="29"/>
        </w:numPr>
        <w:autoSpaceDE w:val="0"/>
        <w:autoSpaceDN w:val="0"/>
        <w:adjustRightInd w:val="0"/>
        <w:spacing w:before="280"/>
        <w:ind w:right="120"/>
        <w:rPr>
          <w:b/>
          <w:bCs/>
          <w:color w:val="000000"/>
        </w:rPr>
      </w:pPr>
      <w:r w:rsidRPr="00F32F30">
        <w:rPr>
          <w:b/>
          <w:color w:val="000000"/>
        </w:rPr>
        <w:t xml:space="preserve">FABRICANTE(S) RESPONSABLE(S) DE LA LIBERACIÓN DE LOS LOTES </w:t>
      </w:r>
    </w:p>
    <w:p w14:paraId="7A173E43" w14:textId="77777777" w:rsidR="007402DB" w:rsidRPr="00F32F30" w:rsidRDefault="00454592" w:rsidP="007402DB">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F32F30">
        <w:rPr>
          <w:b/>
          <w:color w:val="000000"/>
        </w:rPr>
        <w:t>CONDICIONES O RESTRICCIONES DE SUMINISTRO Y USO</w:t>
      </w:r>
    </w:p>
    <w:p w14:paraId="68BC82C1" w14:textId="77777777" w:rsidR="007402DB" w:rsidRPr="00F32F30" w:rsidRDefault="007402DB" w:rsidP="007402DB">
      <w:pPr>
        <w:widowControl w:val="0"/>
        <w:autoSpaceDE w:val="0"/>
        <w:autoSpaceDN w:val="0"/>
        <w:adjustRightInd w:val="0"/>
        <w:ind w:left="127" w:right="120"/>
        <w:rPr>
          <w:color w:val="000000"/>
        </w:rPr>
      </w:pPr>
    </w:p>
    <w:p w14:paraId="22F10E0A" w14:textId="77777777" w:rsidR="007402DB" w:rsidRPr="00F32F30" w:rsidRDefault="00454592" w:rsidP="007402DB">
      <w:pPr>
        <w:pStyle w:val="ListParagraph"/>
        <w:keepNext/>
        <w:widowControl w:val="0"/>
        <w:numPr>
          <w:ilvl w:val="0"/>
          <w:numId w:val="29"/>
        </w:numPr>
        <w:autoSpaceDE w:val="0"/>
        <w:autoSpaceDN w:val="0"/>
        <w:adjustRightInd w:val="0"/>
        <w:ind w:right="120"/>
        <w:rPr>
          <w:b/>
          <w:bCs/>
          <w:color w:val="000000"/>
        </w:rPr>
      </w:pPr>
      <w:r w:rsidRPr="00F32F30">
        <w:rPr>
          <w:b/>
          <w:color w:val="000000"/>
        </w:rPr>
        <w:t xml:space="preserve">OTRAS CONDICIONES Y REQUISITOS DE LA </w:t>
      </w:r>
      <w:r w:rsidRPr="00F32F30">
        <w:rPr>
          <w:b/>
          <w:color w:val="000000"/>
        </w:rPr>
        <w:t>AUTORIZACIÓN DE COMERCIALIZACIÓN</w:t>
      </w:r>
    </w:p>
    <w:p w14:paraId="14B46D01" w14:textId="77777777" w:rsidR="007402DB" w:rsidRPr="00F32F30" w:rsidRDefault="007402DB" w:rsidP="007402DB">
      <w:pPr>
        <w:widowControl w:val="0"/>
        <w:autoSpaceDE w:val="0"/>
        <w:autoSpaceDN w:val="0"/>
        <w:adjustRightInd w:val="0"/>
        <w:ind w:left="127" w:right="120"/>
        <w:rPr>
          <w:color w:val="000000"/>
        </w:rPr>
      </w:pPr>
    </w:p>
    <w:p w14:paraId="68C66AE5" w14:textId="77777777" w:rsidR="007402DB" w:rsidRPr="00F32F30" w:rsidRDefault="00454592" w:rsidP="007402DB">
      <w:pPr>
        <w:pStyle w:val="ListParagraph"/>
        <w:keepNext/>
        <w:widowControl w:val="0"/>
        <w:numPr>
          <w:ilvl w:val="0"/>
          <w:numId w:val="29"/>
        </w:numPr>
        <w:autoSpaceDE w:val="0"/>
        <w:autoSpaceDN w:val="0"/>
        <w:adjustRightInd w:val="0"/>
        <w:ind w:right="120"/>
        <w:rPr>
          <w:b/>
          <w:bCs/>
          <w:color w:val="000000"/>
        </w:rPr>
      </w:pPr>
      <w:r w:rsidRPr="00F32F30">
        <w:rPr>
          <w:b/>
          <w:color w:val="000000"/>
        </w:rPr>
        <w:t>CONDICIONES O RESTRICCIONES EN RELACIÓN CON LA UTILIZACIÓN SEGURA Y EFICAZ DEL MEDICAMENTO</w:t>
      </w:r>
    </w:p>
    <w:p w14:paraId="1EFFC17D" w14:textId="77777777" w:rsidR="007402DB" w:rsidRPr="00F32F30" w:rsidRDefault="007402DB" w:rsidP="007402DB">
      <w:pPr>
        <w:widowControl w:val="0"/>
        <w:autoSpaceDE w:val="0"/>
        <w:autoSpaceDN w:val="0"/>
        <w:adjustRightInd w:val="0"/>
        <w:ind w:left="127" w:right="120"/>
        <w:rPr>
          <w:color w:val="000000"/>
        </w:rPr>
      </w:pPr>
    </w:p>
    <w:p w14:paraId="54AE9A45" w14:textId="77777777" w:rsidR="007402DB" w:rsidRPr="00F32F30" w:rsidRDefault="007402DB" w:rsidP="007402DB">
      <w:pPr>
        <w:keepNext/>
        <w:widowControl w:val="0"/>
        <w:autoSpaceDE w:val="0"/>
        <w:autoSpaceDN w:val="0"/>
        <w:adjustRightInd w:val="0"/>
        <w:spacing w:before="280"/>
        <w:ind w:left="127" w:right="120"/>
        <w:rPr>
          <w:color w:val="000000"/>
        </w:rPr>
      </w:pPr>
    </w:p>
    <w:p w14:paraId="49613C4E" w14:textId="77777777" w:rsidR="007402DB" w:rsidRPr="00F32F30" w:rsidRDefault="00454592" w:rsidP="007402DB">
      <w:pPr>
        <w:pStyle w:val="ListParagraph"/>
        <w:keepNext/>
        <w:widowControl w:val="0"/>
        <w:numPr>
          <w:ilvl w:val="0"/>
          <w:numId w:val="30"/>
        </w:numPr>
        <w:autoSpaceDE w:val="0"/>
        <w:autoSpaceDN w:val="0"/>
        <w:adjustRightInd w:val="0"/>
        <w:spacing w:before="280" w:after="220"/>
        <w:ind w:right="120"/>
        <w:rPr>
          <w:b/>
          <w:bCs/>
          <w:color w:val="000000"/>
        </w:rPr>
      </w:pPr>
      <w:r w:rsidRPr="00F32F30">
        <w:br w:type="page"/>
      </w:r>
      <w:r w:rsidRPr="00F32F30">
        <w:rPr>
          <w:b/>
          <w:color w:val="000000"/>
        </w:rPr>
        <w:lastRenderedPageBreak/>
        <w:t>FABRICANTE(S) RESPONSABLE(S) DE LA LIBERACIÓN DE LOS LOTES</w:t>
      </w:r>
    </w:p>
    <w:p w14:paraId="3253641D" w14:textId="77777777" w:rsidR="007402DB" w:rsidRPr="00F32F30" w:rsidRDefault="00454592" w:rsidP="007402DB">
      <w:pPr>
        <w:widowControl w:val="0"/>
        <w:autoSpaceDE w:val="0"/>
        <w:autoSpaceDN w:val="0"/>
        <w:adjustRightInd w:val="0"/>
        <w:spacing w:after="140" w:line="280" w:lineRule="atLeast"/>
        <w:ind w:left="127" w:right="120"/>
        <w:rPr>
          <w:color w:val="000000"/>
          <w:u w:val="single"/>
        </w:rPr>
      </w:pPr>
      <w:r w:rsidRPr="00F32F30">
        <w:rPr>
          <w:color w:val="000000"/>
          <w:u w:val="single"/>
        </w:rPr>
        <w:t xml:space="preserve">Nombre y dirección del (de los) fabricante(s) </w:t>
      </w:r>
      <w:r w:rsidRPr="00F32F30">
        <w:rPr>
          <w:color w:val="000000"/>
          <w:u w:val="single"/>
        </w:rPr>
        <w:t>responsable(s) de la liberación de los lotes</w:t>
      </w:r>
    </w:p>
    <w:p w14:paraId="443475F7" w14:textId="77777777" w:rsidR="007402DB" w:rsidRPr="00F32F30" w:rsidRDefault="007402DB" w:rsidP="007402DB">
      <w:pPr>
        <w:widowControl w:val="0"/>
        <w:autoSpaceDE w:val="0"/>
        <w:autoSpaceDN w:val="0"/>
        <w:adjustRightInd w:val="0"/>
        <w:spacing w:after="140" w:line="280" w:lineRule="atLeast"/>
        <w:ind w:left="127" w:right="120"/>
        <w:rPr>
          <w:color w:val="000000"/>
        </w:rPr>
      </w:pPr>
    </w:p>
    <w:p w14:paraId="2B9E5EDF" w14:textId="77777777" w:rsidR="007402DB" w:rsidRPr="00F32F30" w:rsidRDefault="00454592" w:rsidP="007402DB">
      <w:pPr>
        <w:widowControl w:val="0"/>
        <w:autoSpaceDE w:val="0"/>
        <w:autoSpaceDN w:val="0"/>
        <w:adjustRightInd w:val="0"/>
        <w:ind w:left="127" w:right="120"/>
        <w:rPr>
          <w:color w:val="000000"/>
          <w:lang w:val="fr-LU"/>
        </w:rPr>
      </w:pPr>
      <w:r w:rsidRPr="00F32F30">
        <w:rPr>
          <w:color w:val="000000"/>
          <w:lang w:val="fr-LU"/>
        </w:rPr>
        <w:t>DELPHARM EVREUX</w:t>
      </w:r>
      <w:r w:rsidRPr="00F32F30">
        <w:rPr>
          <w:color w:val="000000"/>
          <w:lang w:val="fr-LU"/>
        </w:rPr>
        <w:br/>
        <w:t>5 rue du Guesclin</w:t>
      </w:r>
      <w:r w:rsidRPr="00F32F30">
        <w:rPr>
          <w:color w:val="000000"/>
          <w:lang w:val="fr-LU"/>
        </w:rPr>
        <w:br/>
        <w:t>27000 Evreux</w:t>
      </w:r>
      <w:r w:rsidRPr="00F32F30">
        <w:rPr>
          <w:color w:val="000000"/>
          <w:lang w:val="fr-LU"/>
        </w:rPr>
        <w:br/>
        <w:t>Francia</w:t>
      </w:r>
    </w:p>
    <w:p w14:paraId="75AA5831" w14:textId="77777777" w:rsidR="007402DB" w:rsidRPr="00F32F30" w:rsidRDefault="00454592" w:rsidP="007402DB">
      <w:pPr>
        <w:pStyle w:val="ListParagraph"/>
        <w:keepNext/>
        <w:widowControl w:val="0"/>
        <w:numPr>
          <w:ilvl w:val="0"/>
          <w:numId w:val="30"/>
        </w:numPr>
        <w:autoSpaceDE w:val="0"/>
        <w:autoSpaceDN w:val="0"/>
        <w:adjustRightInd w:val="0"/>
        <w:spacing w:before="280" w:after="220"/>
        <w:ind w:right="120"/>
        <w:rPr>
          <w:b/>
          <w:bCs/>
          <w:color w:val="000000"/>
        </w:rPr>
      </w:pPr>
      <w:r w:rsidRPr="00F32F30">
        <w:rPr>
          <w:b/>
          <w:color w:val="000000"/>
        </w:rPr>
        <w:t>CONDICIONES O RESTRICCIONES DE SUMINISTRO Y USO</w:t>
      </w:r>
    </w:p>
    <w:p w14:paraId="23063F12" w14:textId="77777777" w:rsidR="007402DB" w:rsidRPr="00F32F30" w:rsidRDefault="00454592" w:rsidP="007402DB">
      <w:pPr>
        <w:widowControl w:val="0"/>
        <w:autoSpaceDE w:val="0"/>
        <w:autoSpaceDN w:val="0"/>
        <w:adjustRightInd w:val="0"/>
        <w:spacing w:line="280" w:lineRule="exact"/>
        <w:ind w:left="127" w:right="120"/>
        <w:rPr>
          <w:color w:val="000000"/>
        </w:rPr>
      </w:pPr>
      <w:r w:rsidRPr="00F32F30">
        <w:rPr>
          <w:color w:val="000000"/>
        </w:rPr>
        <w:t xml:space="preserve">Medicamento sujeto a prescripción médica restringida (ver Anexo I: Ficha técnica o Resumen de las </w:t>
      </w:r>
      <w:r w:rsidRPr="00F32F30">
        <w:rPr>
          <w:color w:val="000000"/>
        </w:rPr>
        <w:t>Características del Producto, sección 4.2).</w:t>
      </w:r>
    </w:p>
    <w:p w14:paraId="41AE6557" w14:textId="77777777" w:rsidR="007402DB" w:rsidRPr="00F32F30" w:rsidRDefault="007402DB" w:rsidP="007402DB">
      <w:pPr>
        <w:widowControl w:val="0"/>
        <w:autoSpaceDE w:val="0"/>
        <w:autoSpaceDN w:val="0"/>
        <w:adjustRightInd w:val="0"/>
        <w:spacing w:after="140" w:line="280" w:lineRule="atLeast"/>
        <w:ind w:left="127" w:right="120"/>
        <w:rPr>
          <w:color w:val="000000"/>
        </w:rPr>
      </w:pPr>
    </w:p>
    <w:p w14:paraId="5A727F3D" w14:textId="77777777" w:rsidR="007402DB" w:rsidRPr="00F32F30" w:rsidRDefault="00454592" w:rsidP="007402DB">
      <w:pPr>
        <w:pStyle w:val="ListParagraph"/>
        <w:keepNext/>
        <w:widowControl w:val="0"/>
        <w:numPr>
          <w:ilvl w:val="0"/>
          <w:numId w:val="30"/>
        </w:numPr>
        <w:autoSpaceDE w:val="0"/>
        <w:autoSpaceDN w:val="0"/>
        <w:adjustRightInd w:val="0"/>
        <w:spacing w:before="280" w:after="220"/>
        <w:ind w:right="120"/>
        <w:rPr>
          <w:b/>
          <w:bCs/>
          <w:color w:val="000000"/>
        </w:rPr>
      </w:pPr>
      <w:r w:rsidRPr="00F32F30">
        <w:rPr>
          <w:b/>
          <w:color w:val="000000"/>
        </w:rPr>
        <w:t xml:space="preserve">OTRAS CONDICIONES Y REQUISITOS DE LA AUTORIZACIÓN DE COMERCIALIZACIÓN </w:t>
      </w:r>
    </w:p>
    <w:p w14:paraId="75882FAF" w14:textId="77777777" w:rsidR="007402DB" w:rsidRPr="00F32F30" w:rsidRDefault="007402DB" w:rsidP="007402DB">
      <w:pPr>
        <w:widowControl w:val="0"/>
        <w:autoSpaceDE w:val="0"/>
        <w:autoSpaceDN w:val="0"/>
        <w:adjustRightInd w:val="0"/>
        <w:spacing w:after="140" w:line="280" w:lineRule="atLeast"/>
        <w:ind w:left="127" w:right="120"/>
        <w:rPr>
          <w:color w:val="000000"/>
        </w:rPr>
      </w:pPr>
    </w:p>
    <w:p w14:paraId="049A3554" w14:textId="77777777" w:rsidR="007402DB" w:rsidRPr="00F32F30" w:rsidRDefault="00454592" w:rsidP="007402DB">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F32F30">
        <w:rPr>
          <w:b/>
          <w:color w:val="000000"/>
        </w:rPr>
        <w:t xml:space="preserve">Informes periódicos de seguridad (IPS) </w:t>
      </w:r>
    </w:p>
    <w:p w14:paraId="2AFC8898" w14:textId="77777777" w:rsidR="007402DB" w:rsidRPr="00F32F30" w:rsidRDefault="007402DB" w:rsidP="007402DB">
      <w:pPr>
        <w:widowControl w:val="0"/>
        <w:autoSpaceDE w:val="0"/>
        <w:autoSpaceDN w:val="0"/>
        <w:adjustRightInd w:val="0"/>
        <w:spacing w:after="140" w:line="280" w:lineRule="atLeast"/>
        <w:ind w:left="127" w:right="120"/>
        <w:rPr>
          <w:color w:val="000000"/>
        </w:rPr>
      </w:pPr>
    </w:p>
    <w:p w14:paraId="35110816" w14:textId="77777777" w:rsidR="007402DB" w:rsidRPr="00F32F30" w:rsidRDefault="00454592" w:rsidP="007402DB">
      <w:pPr>
        <w:widowControl w:val="0"/>
        <w:autoSpaceDE w:val="0"/>
        <w:autoSpaceDN w:val="0"/>
        <w:adjustRightInd w:val="0"/>
        <w:spacing w:after="140" w:line="280" w:lineRule="atLeast"/>
        <w:ind w:left="127" w:right="120"/>
        <w:rPr>
          <w:color w:val="000000"/>
        </w:rPr>
      </w:pPr>
      <w:r w:rsidRPr="00F32F30">
        <w:rPr>
          <w:color w:val="000000"/>
        </w:rPr>
        <w:t>Los requerimientos para la presentación de los informes periódicos de seguridad para este medicame</w:t>
      </w:r>
      <w:r w:rsidRPr="00F32F30">
        <w:rPr>
          <w:color w:val="000000"/>
        </w:rPr>
        <w:t>nto se establecen en la lista de fechas de referencia de la Unión (lista EURD) prevista en el artículo 107quater, apartado 7, de la Directiva 2001/83/CE y cualquier actualización posterior publicada en el portal web europeo sobre medicamentos.</w:t>
      </w:r>
    </w:p>
    <w:p w14:paraId="696FF7CD" w14:textId="77777777" w:rsidR="007402DB" w:rsidRPr="00F32F30" w:rsidRDefault="00454592" w:rsidP="007402DB">
      <w:pPr>
        <w:widowControl w:val="0"/>
        <w:autoSpaceDE w:val="0"/>
        <w:autoSpaceDN w:val="0"/>
        <w:adjustRightInd w:val="0"/>
        <w:spacing w:line="280" w:lineRule="atLeast"/>
        <w:ind w:left="127" w:right="120"/>
        <w:rPr>
          <w:color w:val="000000"/>
        </w:rPr>
      </w:pPr>
      <w:r w:rsidRPr="00F32F30">
        <w:rPr>
          <w:color w:val="000000"/>
        </w:rPr>
        <w:t>El Titular d</w:t>
      </w:r>
      <w:r w:rsidRPr="00F32F30">
        <w:rPr>
          <w:color w:val="000000"/>
        </w:rPr>
        <w:t xml:space="preserve">e la Autorización de Comercialización (TAC) presentará el primer informe periódico de seguridad para este medicamento en un plazo de 6 meses después de la autorización. </w:t>
      </w:r>
    </w:p>
    <w:p w14:paraId="07825C14" w14:textId="77777777" w:rsidR="007402DB" w:rsidRPr="00F32F30" w:rsidRDefault="00454592" w:rsidP="007402DB">
      <w:pPr>
        <w:pStyle w:val="ListParagraph"/>
        <w:keepNext/>
        <w:widowControl w:val="0"/>
        <w:numPr>
          <w:ilvl w:val="0"/>
          <w:numId w:val="30"/>
        </w:numPr>
        <w:autoSpaceDE w:val="0"/>
        <w:autoSpaceDN w:val="0"/>
        <w:adjustRightInd w:val="0"/>
        <w:spacing w:before="280" w:after="220"/>
        <w:ind w:right="120"/>
        <w:rPr>
          <w:b/>
          <w:bCs/>
          <w:color w:val="000000"/>
        </w:rPr>
      </w:pPr>
      <w:r w:rsidRPr="00F32F30">
        <w:rPr>
          <w:b/>
          <w:color w:val="000000"/>
        </w:rPr>
        <w:t>CONDICIONES O RESTRICCIONES EN RELACIÓN CON LA UTILIZACIÓN SEGURA Y EFICAZ DEL MEDICAM</w:t>
      </w:r>
      <w:r w:rsidRPr="00F32F30">
        <w:rPr>
          <w:b/>
          <w:color w:val="000000"/>
        </w:rPr>
        <w:t>ENTO</w:t>
      </w:r>
    </w:p>
    <w:p w14:paraId="2F130E42" w14:textId="77777777" w:rsidR="007402DB" w:rsidRPr="00F32F30" w:rsidRDefault="007402DB" w:rsidP="007402DB">
      <w:pPr>
        <w:widowControl w:val="0"/>
        <w:autoSpaceDE w:val="0"/>
        <w:autoSpaceDN w:val="0"/>
        <w:adjustRightInd w:val="0"/>
        <w:spacing w:after="140" w:line="280" w:lineRule="atLeast"/>
        <w:ind w:left="127" w:right="120"/>
        <w:rPr>
          <w:color w:val="000000"/>
        </w:rPr>
      </w:pPr>
    </w:p>
    <w:p w14:paraId="0916CD27" w14:textId="77777777" w:rsidR="007402DB" w:rsidRPr="00F32F30" w:rsidRDefault="00454592" w:rsidP="007402DB">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F32F30">
        <w:rPr>
          <w:b/>
          <w:color w:val="000000"/>
        </w:rPr>
        <w:t>Plan de Gestión de Riesgos (PGR)</w:t>
      </w:r>
    </w:p>
    <w:p w14:paraId="4AC8F61B" w14:textId="77777777" w:rsidR="007402DB" w:rsidRPr="00F32F30" w:rsidRDefault="007402DB" w:rsidP="007402DB">
      <w:pPr>
        <w:widowControl w:val="0"/>
        <w:autoSpaceDE w:val="0"/>
        <w:autoSpaceDN w:val="0"/>
        <w:adjustRightInd w:val="0"/>
        <w:spacing w:after="140" w:line="280" w:lineRule="atLeast"/>
        <w:ind w:left="127" w:right="120"/>
        <w:rPr>
          <w:color w:val="000000"/>
        </w:rPr>
      </w:pPr>
    </w:p>
    <w:p w14:paraId="1A9658B4" w14:textId="77777777" w:rsidR="007402DB" w:rsidRPr="00F32F30" w:rsidRDefault="00454592" w:rsidP="007402DB">
      <w:pPr>
        <w:widowControl w:val="0"/>
        <w:autoSpaceDE w:val="0"/>
        <w:autoSpaceDN w:val="0"/>
        <w:adjustRightInd w:val="0"/>
        <w:spacing w:after="140" w:line="280" w:lineRule="atLeast"/>
        <w:ind w:left="127" w:right="120"/>
        <w:rPr>
          <w:color w:val="000000"/>
        </w:rPr>
      </w:pPr>
      <w:r w:rsidRPr="00F32F30">
        <w:rPr>
          <w:color w:val="000000"/>
        </w:rPr>
        <w:t>El TAC realizará las actividades e intervenciones de farmacovigilancia necesarias según lo acordado en la versión del PGR incluido en el Módulo 1.8.2 de la Autorización de Comercialización y en cualquier actualizació</w:t>
      </w:r>
      <w:r w:rsidRPr="00F32F30">
        <w:rPr>
          <w:color w:val="000000"/>
        </w:rPr>
        <w:t>n del PGR que se acuerde posteriormente.</w:t>
      </w:r>
    </w:p>
    <w:p w14:paraId="14D5C4A4" w14:textId="77777777" w:rsidR="007402DB" w:rsidRPr="00F32F30" w:rsidRDefault="00454592" w:rsidP="007402DB">
      <w:pPr>
        <w:widowControl w:val="0"/>
        <w:autoSpaceDE w:val="0"/>
        <w:autoSpaceDN w:val="0"/>
        <w:adjustRightInd w:val="0"/>
        <w:spacing w:after="140" w:line="280" w:lineRule="atLeast"/>
        <w:ind w:left="127" w:right="120"/>
        <w:rPr>
          <w:color w:val="000000"/>
        </w:rPr>
      </w:pPr>
      <w:r w:rsidRPr="00F32F30">
        <w:rPr>
          <w:color w:val="000000"/>
        </w:rPr>
        <w:t>Se debe presentar un PGR actualizado:</w:t>
      </w:r>
    </w:p>
    <w:p w14:paraId="67E5737C" w14:textId="77777777" w:rsidR="007402DB" w:rsidRPr="00F32F30" w:rsidRDefault="00454592" w:rsidP="007402DB">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F32F30">
        <w:rPr>
          <w:color w:val="000000"/>
        </w:rPr>
        <w:t>A petición de la Agencia Europea de Medicamentos.</w:t>
      </w:r>
    </w:p>
    <w:p w14:paraId="688C46D1" w14:textId="77777777" w:rsidR="007402DB" w:rsidRPr="00F32F30" w:rsidRDefault="00454592" w:rsidP="007402DB">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F32F30">
        <w:rPr>
          <w:color w:val="000000"/>
        </w:rPr>
        <w:t>Cuando se modifique el sistema de gestión de riesgos, especialmente como resultado de nueva información disponible que pueda conllevar cambios relevantes en el perfil beneficio/riesgo, o como resultado de la consecución de un hito importante (farmacovigila</w:t>
      </w:r>
      <w:r w:rsidRPr="00F32F30">
        <w:rPr>
          <w:color w:val="000000"/>
        </w:rPr>
        <w:t xml:space="preserve">ncia o minimización de riesgos). </w:t>
      </w:r>
    </w:p>
    <w:p w14:paraId="6885B9E8" w14:textId="77777777" w:rsidR="007402DB" w:rsidRPr="00F32F30" w:rsidRDefault="00454592" w:rsidP="007402DB">
      <w:pPr>
        <w:numPr>
          <w:ilvl w:val="12"/>
          <w:numId w:val="0"/>
        </w:numPr>
        <w:spacing w:line="240" w:lineRule="auto"/>
        <w:ind w:right="-2"/>
        <w:rPr>
          <w:noProof/>
          <w:szCs w:val="22"/>
        </w:rPr>
      </w:pPr>
      <w:r w:rsidRPr="00F32F30">
        <w:br w:type="page"/>
      </w:r>
    </w:p>
    <w:p w14:paraId="6D39EE64" w14:textId="77777777" w:rsidR="007402DB" w:rsidRPr="00F32F30" w:rsidRDefault="007402DB" w:rsidP="007402DB">
      <w:pPr>
        <w:spacing w:line="240" w:lineRule="auto"/>
        <w:ind w:right="566"/>
        <w:rPr>
          <w:noProof/>
          <w:szCs w:val="22"/>
        </w:rPr>
      </w:pPr>
    </w:p>
    <w:p w14:paraId="627B6EDB" w14:textId="77777777" w:rsidR="007402DB" w:rsidRPr="00F32F30" w:rsidRDefault="007402DB" w:rsidP="007402DB">
      <w:pPr>
        <w:spacing w:line="240" w:lineRule="auto"/>
        <w:rPr>
          <w:noProof/>
          <w:szCs w:val="22"/>
        </w:rPr>
      </w:pPr>
    </w:p>
    <w:p w14:paraId="3458C391" w14:textId="77777777" w:rsidR="007402DB" w:rsidRPr="00F32F30" w:rsidRDefault="007402DB" w:rsidP="007402DB">
      <w:pPr>
        <w:spacing w:line="240" w:lineRule="auto"/>
        <w:rPr>
          <w:noProof/>
          <w:szCs w:val="22"/>
        </w:rPr>
      </w:pPr>
    </w:p>
    <w:p w14:paraId="4C535CC1" w14:textId="77777777" w:rsidR="007402DB" w:rsidRPr="00F32F30" w:rsidRDefault="007402DB" w:rsidP="007402DB">
      <w:pPr>
        <w:spacing w:line="240" w:lineRule="auto"/>
        <w:rPr>
          <w:noProof/>
          <w:szCs w:val="22"/>
        </w:rPr>
      </w:pPr>
    </w:p>
    <w:p w14:paraId="351A321A" w14:textId="77777777" w:rsidR="007402DB" w:rsidRPr="00F32F30" w:rsidRDefault="007402DB" w:rsidP="007402DB">
      <w:pPr>
        <w:spacing w:line="240" w:lineRule="auto"/>
        <w:rPr>
          <w:noProof/>
          <w:szCs w:val="22"/>
        </w:rPr>
      </w:pPr>
    </w:p>
    <w:p w14:paraId="4900EF0E" w14:textId="77777777" w:rsidR="007402DB" w:rsidRPr="00F32F30" w:rsidRDefault="007402DB" w:rsidP="007402DB">
      <w:pPr>
        <w:spacing w:line="240" w:lineRule="auto"/>
      </w:pPr>
    </w:p>
    <w:p w14:paraId="43DFBD3C" w14:textId="77777777" w:rsidR="007402DB" w:rsidRPr="00F32F30" w:rsidRDefault="007402DB" w:rsidP="007402DB">
      <w:pPr>
        <w:spacing w:line="240" w:lineRule="auto"/>
      </w:pPr>
    </w:p>
    <w:p w14:paraId="796B75C5" w14:textId="77777777" w:rsidR="007402DB" w:rsidRPr="00F32F30" w:rsidRDefault="007402DB" w:rsidP="007402DB">
      <w:pPr>
        <w:spacing w:line="240" w:lineRule="auto"/>
      </w:pPr>
    </w:p>
    <w:p w14:paraId="2A91F1A4" w14:textId="77777777" w:rsidR="007402DB" w:rsidRPr="00F32F30" w:rsidRDefault="007402DB" w:rsidP="007402DB">
      <w:pPr>
        <w:spacing w:line="240" w:lineRule="auto"/>
      </w:pPr>
    </w:p>
    <w:p w14:paraId="3BEFE9C9" w14:textId="77777777" w:rsidR="007402DB" w:rsidRPr="00F32F30" w:rsidRDefault="007402DB" w:rsidP="007402DB">
      <w:pPr>
        <w:spacing w:line="240" w:lineRule="auto"/>
      </w:pPr>
    </w:p>
    <w:p w14:paraId="7DE88940" w14:textId="77777777" w:rsidR="007402DB" w:rsidRPr="00F32F30" w:rsidRDefault="007402DB" w:rsidP="007402DB">
      <w:pPr>
        <w:spacing w:line="240" w:lineRule="auto"/>
        <w:rPr>
          <w:noProof/>
          <w:szCs w:val="22"/>
        </w:rPr>
      </w:pPr>
    </w:p>
    <w:p w14:paraId="5CE65628" w14:textId="77777777" w:rsidR="007402DB" w:rsidRPr="00F32F30" w:rsidRDefault="007402DB" w:rsidP="007402DB">
      <w:pPr>
        <w:spacing w:line="240" w:lineRule="auto"/>
        <w:rPr>
          <w:noProof/>
          <w:szCs w:val="22"/>
        </w:rPr>
      </w:pPr>
    </w:p>
    <w:p w14:paraId="0B842AC1" w14:textId="77777777" w:rsidR="007402DB" w:rsidRPr="00F32F30" w:rsidRDefault="007402DB" w:rsidP="007402DB">
      <w:pPr>
        <w:rPr>
          <w:noProof/>
        </w:rPr>
      </w:pPr>
    </w:p>
    <w:p w14:paraId="6868E901" w14:textId="77777777" w:rsidR="007402DB" w:rsidRPr="00F32F30" w:rsidRDefault="007402DB" w:rsidP="007402DB">
      <w:pPr>
        <w:rPr>
          <w:noProof/>
        </w:rPr>
      </w:pPr>
    </w:p>
    <w:p w14:paraId="1BBFC2BA" w14:textId="77777777" w:rsidR="007402DB" w:rsidRPr="00F32F30" w:rsidRDefault="007402DB" w:rsidP="007402DB">
      <w:pPr>
        <w:rPr>
          <w:noProof/>
        </w:rPr>
      </w:pPr>
    </w:p>
    <w:p w14:paraId="269E1A9C" w14:textId="77777777" w:rsidR="007402DB" w:rsidRPr="00F32F30" w:rsidRDefault="007402DB" w:rsidP="007402DB">
      <w:pPr>
        <w:spacing w:line="240" w:lineRule="auto"/>
        <w:rPr>
          <w:noProof/>
          <w:szCs w:val="22"/>
        </w:rPr>
      </w:pPr>
    </w:p>
    <w:p w14:paraId="1A6F9FA0" w14:textId="77777777" w:rsidR="007402DB" w:rsidRPr="00F32F30" w:rsidRDefault="007402DB" w:rsidP="007402DB">
      <w:pPr>
        <w:spacing w:line="240" w:lineRule="auto"/>
        <w:rPr>
          <w:noProof/>
          <w:szCs w:val="22"/>
        </w:rPr>
      </w:pPr>
    </w:p>
    <w:p w14:paraId="474B8581" w14:textId="77777777" w:rsidR="007402DB" w:rsidRPr="00F32F30" w:rsidRDefault="007402DB" w:rsidP="007402DB">
      <w:pPr>
        <w:spacing w:line="240" w:lineRule="auto"/>
        <w:rPr>
          <w:noProof/>
          <w:szCs w:val="22"/>
        </w:rPr>
      </w:pPr>
    </w:p>
    <w:p w14:paraId="374D9189" w14:textId="77777777" w:rsidR="007402DB" w:rsidRPr="00F32F30" w:rsidRDefault="007402DB" w:rsidP="007402DB">
      <w:pPr>
        <w:spacing w:line="240" w:lineRule="auto"/>
        <w:rPr>
          <w:noProof/>
          <w:szCs w:val="22"/>
        </w:rPr>
      </w:pPr>
    </w:p>
    <w:p w14:paraId="35D50F49" w14:textId="77777777" w:rsidR="007402DB" w:rsidRPr="00F32F30" w:rsidRDefault="007402DB" w:rsidP="007402DB">
      <w:pPr>
        <w:spacing w:line="240" w:lineRule="auto"/>
        <w:rPr>
          <w:noProof/>
          <w:szCs w:val="22"/>
        </w:rPr>
      </w:pPr>
    </w:p>
    <w:p w14:paraId="49B8272E" w14:textId="77777777" w:rsidR="007402DB" w:rsidRPr="00F32F30" w:rsidRDefault="007402DB" w:rsidP="007402DB">
      <w:pPr>
        <w:spacing w:line="240" w:lineRule="auto"/>
        <w:rPr>
          <w:noProof/>
          <w:szCs w:val="22"/>
        </w:rPr>
      </w:pPr>
    </w:p>
    <w:p w14:paraId="38C3EA60" w14:textId="77777777" w:rsidR="007402DB" w:rsidRPr="00F32F30" w:rsidRDefault="007402DB" w:rsidP="007402DB">
      <w:pPr>
        <w:spacing w:line="240" w:lineRule="auto"/>
        <w:rPr>
          <w:noProof/>
          <w:szCs w:val="22"/>
        </w:rPr>
      </w:pPr>
    </w:p>
    <w:p w14:paraId="4F033679" w14:textId="77777777" w:rsidR="007402DB" w:rsidRPr="00F32F30" w:rsidRDefault="007402DB" w:rsidP="007402DB">
      <w:pPr>
        <w:spacing w:line="240" w:lineRule="auto"/>
        <w:rPr>
          <w:noProof/>
          <w:szCs w:val="22"/>
        </w:rPr>
      </w:pPr>
    </w:p>
    <w:p w14:paraId="494D9261" w14:textId="77777777" w:rsidR="007402DB" w:rsidRPr="00F32F30" w:rsidRDefault="00454592" w:rsidP="007402DB">
      <w:pPr>
        <w:spacing w:line="240" w:lineRule="auto"/>
        <w:jc w:val="center"/>
        <w:outlineLvl w:val="0"/>
        <w:rPr>
          <w:b/>
          <w:noProof/>
          <w:szCs w:val="22"/>
        </w:rPr>
      </w:pPr>
      <w:r w:rsidRPr="00F32F30">
        <w:rPr>
          <w:b/>
          <w:noProof/>
        </w:rPr>
        <w:t>ANEXO III</w:t>
      </w:r>
    </w:p>
    <w:p w14:paraId="3FF56596" w14:textId="77777777" w:rsidR="007402DB" w:rsidRPr="00F32F30" w:rsidRDefault="007402DB" w:rsidP="007402DB">
      <w:pPr>
        <w:rPr>
          <w:noProof/>
        </w:rPr>
      </w:pPr>
    </w:p>
    <w:p w14:paraId="4446F6DF" w14:textId="77777777" w:rsidR="007402DB" w:rsidRPr="00F32F30" w:rsidRDefault="00454592" w:rsidP="007402DB">
      <w:pPr>
        <w:spacing w:line="240" w:lineRule="auto"/>
        <w:jc w:val="center"/>
        <w:outlineLvl w:val="0"/>
        <w:rPr>
          <w:b/>
          <w:noProof/>
          <w:szCs w:val="22"/>
        </w:rPr>
      </w:pPr>
      <w:r w:rsidRPr="00F32F30">
        <w:rPr>
          <w:b/>
          <w:noProof/>
        </w:rPr>
        <w:t>ETIQUETADO Y PROSPECTO</w:t>
      </w:r>
    </w:p>
    <w:p w14:paraId="71799882" w14:textId="77777777" w:rsidR="007402DB" w:rsidRPr="00F32F30" w:rsidRDefault="00454592" w:rsidP="007402DB">
      <w:pPr>
        <w:rPr>
          <w:noProof/>
        </w:rPr>
      </w:pPr>
      <w:r w:rsidRPr="00F32F30">
        <w:br w:type="page"/>
      </w:r>
    </w:p>
    <w:p w14:paraId="60DCA8B6" w14:textId="77777777" w:rsidR="007402DB" w:rsidRPr="00F32F30" w:rsidRDefault="007402DB" w:rsidP="007402DB">
      <w:pPr>
        <w:rPr>
          <w:noProof/>
        </w:rPr>
      </w:pPr>
    </w:p>
    <w:p w14:paraId="0C414721" w14:textId="77777777" w:rsidR="007402DB" w:rsidRPr="00F32F30" w:rsidRDefault="007402DB" w:rsidP="007402DB">
      <w:pPr>
        <w:rPr>
          <w:noProof/>
        </w:rPr>
      </w:pPr>
    </w:p>
    <w:p w14:paraId="3F527DE0" w14:textId="77777777" w:rsidR="007402DB" w:rsidRPr="00F32F30" w:rsidRDefault="007402DB" w:rsidP="007402DB">
      <w:pPr>
        <w:rPr>
          <w:noProof/>
        </w:rPr>
      </w:pPr>
    </w:p>
    <w:p w14:paraId="5AB3DFC0" w14:textId="77777777" w:rsidR="007402DB" w:rsidRPr="00F32F30" w:rsidRDefault="007402DB" w:rsidP="007402DB">
      <w:pPr>
        <w:rPr>
          <w:noProof/>
        </w:rPr>
      </w:pPr>
    </w:p>
    <w:p w14:paraId="419BBFBD" w14:textId="77777777" w:rsidR="007402DB" w:rsidRPr="00F32F30" w:rsidRDefault="007402DB" w:rsidP="007402DB">
      <w:pPr>
        <w:rPr>
          <w:noProof/>
        </w:rPr>
      </w:pPr>
    </w:p>
    <w:p w14:paraId="0F177A39" w14:textId="77777777" w:rsidR="007402DB" w:rsidRPr="00F32F30" w:rsidRDefault="007402DB" w:rsidP="007402DB">
      <w:pPr>
        <w:rPr>
          <w:noProof/>
        </w:rPr>
      </w:pPr>
    </w:p>
    <w:p w14:paraId="12B897E7" w14:textId="77777777" w:rsidR="007402DB" w:rsidRPr="00F32F30" w:rsidRDefault="007402DB" w:rsidP="007402DB">
      <w:pPr>
        <w:rPr>
          <w:noProof/>
        </w:rPr>
      </w:pPr>
    </w:p>
    <w:p w14:paraId="4EA83F6D" w14:textId="77777777" w:rsidR="007402DB" w:rsidRPr="00F32F30" w:rsidRDefault="007402DB" w:rsidP="007402DB">
      <w:pPr>
        <w:rPr>
          <w:noProof/>
        </w:rPr>
      </w:pPr>
    </w:p>
    <w:p w14:paraId="27960F84" w14:textId="77777777" w:rsidR="007402DB" w:rsidRPr="00F32F30" w:rsidRDefault="007402DB" w:rsidP="007402DB">
      <w:pPr>
        <w:rPr>
          <w:noProof/>
        </w:rPr>
      </w:pPr>
    </w:p>
    <w:p w14:paraId="42DE0967" w14:textId="77777777" w:rsidR="007402DB" w:rsidRPr="00F32F30" w:rsidRDefault="007402DB" w:rsidP="007402DB">
      <w:pPr>
        <w:rPr>
          <w:noProof/>
        </w:rPr>
      </w:pPr>
    </w:p>
    <w:p w14:paraId="5B1B9513" w14:textId="77777777" w:rsidR="007402DB" w:rsidRPr="00F32F30" w:rsidRDefault="007402DB" w:rsidP="007402DB">
      <w:pPr>
        <w:rPr>
          <w:noProof/>
        </w:rPr>
      </w:pPr>
    </w:p>
    <w:p w14:paraId="4C32DFE1" w14:textId="77777777" w:rsidR="007402DB" w:rsidRPr="00F32F30" w:rsidRDefault="007402DB" w:rsidP="007402DB">
      <w:pPr>
        <w:rPr>
          <w:noProof/>
        </w:rPr>
      </w:pPr>
    </w:p>
    <w:p w14:paraId="56C39CBE" w14:textId="77777777" w:rsidR="007402DB" w:rsidRPr="00F32F30" w:rsidRDefault="007402DB" w:rsidP="007402DB">
      <w:pPr>
        <w:rPr>
          <w:noProof/>
        </w:rPr>
      </w:pPr>
    </w:p>
    <w:p w14:paraId="29611558" w14:textId="77777777" w:rsidR="007402DB" w:rsidRPr="00F32F30" w:rsidRDefault="007402DB" w:rsidP="007402DB">
      <w:pPr>
        <w:rPr>
          <w:noProof/>
        </w:rPr>
      </w:pPr>
    </w:p>
    <w:p w14:paraId="0C7C8F2A" w14:textId="77777777" w:rsidR="007402DB" w:rsidRPr="00F32F30" w:rsidRDefault="007402DB" w:rsidP="007402DB">
      <w:pPr>
        <w:rPr>
          <w:noProof/>
        </w:rPr>
      </w:pPr>
    </w:p>
    <w:p w14:paraId="218CE898" w14:textId="77777777" w:rsidR="007402DB" w:rsidRPr="00F32F30" w:rsidRDefault="007402DB" w:rsidP="007402DB">
      <w:pPr>
        <w:rPr>
          <w:noProof/>
        </w:rPr>
      </w:pPr>
    </w:p>
    <w:p w14:paraId="35C3DABF" w14:textId="77777777" w:rsidR="007402DB" w:rsidRPr="00F32F30" w:rsidRDefault="007402DB" w:rsidP="007402DB">
      <w:pPr>
        <w:rPr>
          <w:noProof/>
        </w:rPr>
      </w:pPr>
    </w:p>
    <w:p w14:paraId="35ABAED3" w14:textId="77777777" w:rsidR="007402DB" w:rsidRPr="00F32F30" w:rsidRDefault="007402DB" w:rsidP="007402DB">
      <w:pPr>
        <w:rPr>
          <w:noProof/>
        </w:rPr>
      </w:pPr>
    </w:p>
    <w:p w14:paraId="165E9B8A" w14:textId="77777777" w:rsidR="007402DB" w:rsidRPr="00F32F30" w:rsidRDefault="007402DB" w:rsidP="007402DB">
      <w:pPr>
        <w:rPr>
          <w:noProof/>
        </w:rPr>
      </w:pPr>
    </w:p>
    <w:p w14:paraId="4681AA2A" w14:textId="77777777" w:rsidR="007402DB" w:rsidRPr="00F32F30" w:rsidRDefault="007402DB" w:rsidP="007402DB">
      <w:pPr>
        <w:rPr>
          <w:noProof/>
        </w:rPr>
      </w:pPr>
    </w:p>
    <w:p w14:paraId="7769ED76" w14:textId="77777777" w:rsidR="007402DB" w:rsidRPr="00F32F30" w:rsidRDefault="007402DB" w:rsidP="007402DB">
      <w:pPr>
        <w:rPr>
          <w:noProof/>
        </w:rPr>
      </w:pPr>
    </w:p>
    <w:p w14:paraId="35C7D0C3" w14:textId="77777777" w:rsidR="007402DB" w:rsidRPr="00F32F30" w:rsidRDefault="007402DB" w:rsidP="007402DB">
      <w:pPr>
        <w:rPr>
          <w:noProof/>
        </w:rPr>
      </w:pPr>
    </w:p>
    <w:p w14:paraId="4DA09D49" w14:textId="77777777" w:rsidR="007402DB" w:rsidRPr="00F32F30" w:rsidRDefault="00454592" w:rsidP="007402DB">
      <w:pPr>
        <w:pStyle w:val="ListParagraph"/>
        <w:numPr>
          <w:ilvl w:val="0"/>
          <w:numId w:val="31"/>
        </w:numPr>
        <w:spacing w:line="240" w:lineRule="auto"/>
        <w:ind w:left="357" w:hanging="357"/>
        <w:jc w:val="center"/>
        <w:outlineLvl w:val="0"/>
        <w:rPr>
          <w:noProof/>
          <w:szCs w:val="22"/>
        </w:rPr>
      </w:pPr>
      <w:r w:rsidRPr="00F32F30">
        <w:rPr>
          <w:b/>
          <w:noProof/>
        </w:rPr>
        <w:t>ETIQUETADO</w:t>
      </w:r>
    </w:p>
    <w:p w14:paraId="25BEC832" w14:textId="77777777" w:rsidR="007402DB" w:rsidRPr="00F32F30" w:rsidRDefault="00454592" w:rsidP="007402DB">
      <w:pPr>
        <w:shd w:val="clear" w:color="auto" w:fill="FFFFFF"/>
        <w:spacing w:line="240" w:lineRule="auto"/>
        <w:rPr>
          <w:noProof/>
          <w:szCs w:val="22"/>
        </w:rPr>
      </w:pPr>
      <w:r w:rsidRPr="00F32F30">
        <w:br w:type="page"/>
      </w:r>
    </w:p>
    <w:p w14:paraId="2312F55E" w14:textId="77777777" w:rsidR="007402DB" w:rsidRPr="00F32F30" w:rsidRDefault="00454592" w:rsidP="007402DB">
      <w:pPr>
        <w:pBdr>
          <w:top w:val="single" w:sz="4" w:space="0" w:color="auto"/>
          <w:left w:val="single" w:sz="4" w:space="4" w:color="auto"/>
          <w:bottom w:val="single" w:sz="4" w:space="1" w:color="auto"/>
          <w:right w:val="single" w:sz="4" w:space="4" w:color="auto"/>
        </w:pBdr>
        <w:spacing w:line="240" w:lineRule="auto"/>
        <w:rPr>
          <w:b/>
          <w:noProof/>
          <w:szCs w:val="22"/>
        </w:rPr>
      </w:pPr>
      <w:r w:rsidRPr="00F32F30">
        <w:rPr>
          <w:b/>
          <w:noProof/>
        </w:rPr>
        <w:lastRenderedPageBreak/>
        <w:t>INFORMACIÓN QUE DEBE FIGURAR EN EL EMBALAJE EXTERIOR</w:t>
      </w:r>
    </w:p>
    <w:p w14:paraId="295BCA67" w14:textId="77777777" w:rsidR="007402DB" w:rsidRPr="00F32F30" w:rsidRDefault="007402DB" w:rsidP="007402DB">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41708E2F" w14:textId="77777777" w:rsidR="007402DB" w:rsidRPr="00F32F30" w:rsidRDefault="00454592" w:rsidP="007402DB">
      <w:pPr>
        <w:pBdr>
          <w:top w:val="single" w:sz="4" w:space="0" w:color="auto"/>
          <w:left w:val="single" w:sz="4" w:space="4" w:color="auto"/>
          <w:bottom w:val="single" w:sz="4" w:space="1" w:color="auto"/>
          <w:right w:val="single" w:sz="4" w:space="4" w:color="auto"/>
        </w:pBdr>
        <w:spacing w:line="240" w:lineRule="auto"/>
        <w:rPr>
          <w:bCs/>
          <w:noProof/>
          <w:szCs w:val="22"/>
        </w:rPr>
      </w:pPr>
      <w:r w:rsidRPr="00F32F30">
        <w:rPr>
          <w:b/>
          <w:noProof/>
        </w:rPr>
        <w:t>CAJA DE CARTÓN</w:t>
      </w:r>
    </w:p>
    <w:p w14:paraId="160B86D4" w14:textId="77777777" w:rsidR="007402DB" w:rsidRPr="00F32F30" w:rsidRDefault="007402DB" w:rsidP="007402DB">
      <w:pPr>
        <w:spacing w:line="240" w:lineRule="auto"/>
      </w:pPr>
    </w:p>
    <w:p w14:paraId="5340401E" w14:textId="77777777" w:rsidR="007402DB" w:rsidRPr="00F32F30" w:rsidRDefault="007402DB" w:rsidP="007402DB">
      <w:pPr>
        <w:spacing w:line="240" w:lineRule="auto"/>
        <w:rPr>
          <w:noProof/>
          <w:szCs w:val="22"/>
        </w:rPr>
      </w:pPr>
    </w:p>
    <w:p w14:paraId="62E89537"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F32F30">
        <w:rPr>
          <w:b/>
        </w:rPr>
        <w:t>NOMBRE DEL MEDICAMENTO</w:t>
      </w:r>
    </w:p>
    <w:p w14:paraId="0FB1426A" w14:textId="77777777" w:rsidR="007402DB" w:rsidRPr="00F32F30" w:rsidRDefault="007402DB" w:rsidP="007402DB">
      <w:pPr>
        <w:spacing w:line="240" w:lineRule="auto"/>
        <w:rPr>
          <w:noProof/>
          <w:szCs w:val="22"/>
        </w:rPr>
      </w:pPr>
    </w:p>
    <w:p w14:paraId="1E4D9169" w14:textId="77777777" w:rsidR="007402DB" w:rsidRPr="00F32F30" w:rsidRDefault="00454592" w:rsidP="007402DB">
      <w:pPr>
        <w:rPr>
          <w:noProof/>
          <w:szCs w:val="22"/>
        </w:rPr>
      </w:pPr>
      <w:r w:rsidRPr="00F32F30">
        <w:t>Cuprior</w:t>
      </w:r>
      <w:r w:rsidRPr="00F32F30">
        <w:t xml:space="preserve"> 150 mg comprimidos </w:t>
      </w:r>
      <w:r w:rsidR="00345C8B" w:rsidRPr="00F32F30">
        <w:t>recubiertos con película</w:t>
      </w:r>
    </w:p>
    <w:p w14:paraId="20D025C4" w14:textId="77777777" w:rsidR="007402DB" w:rsidRPr="00F32F30" w:rsidRDefault="00454592" w:rsidP="007402DB">
      <w:pPr>
        <w:spacing w:line="240" w:lineRule="auto"/>
        <w:rPr>
          <w:b/>
          <w:szCs w:val="22"/>
        </w:rPr>
      </w:pPr>
      <w:r w:rsidRPr="00F32F30">
        <w:t>trientina</w:t>
      </w:r>
      <w:r w:rsidRPr="00F32F30">
        <w:rPr>
          <w:b/>
        </w:rPr>
        <w:t xml:space="preserve"> </w:t>
      </w:r>
    </w:p>
    <w:p w14:paraId="6C4581A7" w14:textId="77777777" w:rsidR="007402DB" w:rsidRPr="00F32F30" w:rsidRDefault="007402DB" w:rsidP="007402DB">
      <w:pPr>
        <w:spacing w:line="240" w:lineRule="auto"/>
        <w:rPr>
          <w:noProof/>
          <w:szCs w:val="22"/>
        </w:rPr>
      </w:pPr>
    </w:p>
    <w:p w14:paraId="418BDF60" w14:textId="77777777" w:rsidR="007402DB" w:rsidRPr="00F32F30" w:rsidRDefault="007402DB" w:rsidP="007402DB">
      <w:pPr>
        <w:spacing w:line="240" w:lineRule="auto"/>
        <w:rPr>
          <w:noProof/>
          <w:szCs w:val="22"/>
        </w:rPr>
      </w:pPr>
    </w:p>
    <w:p w14:paraId="2E053B85"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PRINCIPIO(S) ACTIVO(S)</w:t>
      </w:r>
    </w:p>
    <w:p w14:paraId="19C92866" w14:textId="77777777" w:rsidR="007402DB" w:rsidRPr="00F32F30" w:rsidRDefault="007402DB" w:rsidP="007402DB">
      <w:pPr>
        <w:spacing w:line="240" w:lineRule="auto"/>
        <w:rPr>
          <w:noProof/>
          <w:szCs w:val="22"/>
        </w:rPr>
      </w:pPr>
    </w:p>
    <w:p w14:paraId="551F84AE" w14:textId="77777777" w:rsidR="007402DB" w:rsidRPr="00F32F30" w:rsidRDefault="00454592" w:rsidP="007402DB">
      <w:pPr>
        <w:widowControl w:val="0"/>
      </w:pPr>
      <w:r w:rsidRPr="00F32F30">
        <w:t>Cada comprimido</w:t>
      </w:r>
      <w:r w:rsidR="00345C8B" w:rsidRPr="00F32F30">
        <w:t xml:space="preserve"> recubierto con película</w:t>
      </w:r>
      <w:r w:rsidRPr="00F32F30">
        <w:t xml:space="preserve"> contiene trientina tetrahidrocloruro equivalente a 150 mg de trientina.</w:t>
      </w:r>
    </w:p>
    <w:p w14:paraId="3531E6D2" w14:textId="77777777" w:rsidR="007402DB" w:rsidRPr="00F32F30" w:rsidRDefault="007402DB" w:rsidP="007402DB">
      <w:pPr>
        <w:spacing w:line="240" w:lineRule="auto"/>
        <w:rPr>
          <w:noProof/>
          <w:szCs w:val="22"/>
        </w:rPr>
      </w:pPr>
    </w:p>
    <w:p w14:paraId="5670D76F" w14:textId="77777777" w:rsidR="007402DB" w:rsidRPr="00F32F30" w:rsidRDefault="007402DB" w:rsidP="007402DB">
      <w:pPr>
        <w:spacing w:line="240" w:lineRule="auto"/>
        <w:rPr>
          <w:noProof/>
          <w:szCs w:val="22"/>
        </w:rPr>
      </w:pPr>
    </w:p>
    <w:p w14:paraId="4205B2AA"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LISTA DE EXCIPIENTES</w:t>
      </w:r>
    </w:p>
    <w:p w14:paraId="6FA3E877" w14:textId="77777777" w:rsidR="007402DB" w:rsidRPr="00F32F30" w:rsidRDefault="007402DB" w:rsidP="007402DB">
      <w:pPr>
        <w:spacing w:line="240" w:lineRule="auto"/>
        <w:rPr>
          <w:noProof/>
          <w:szCs w:val="22"/>
        </w:rPr>
      </w:pPr>
    </w:p>
    <w:p w14:paraId="7E1A0CB8" w14:textId="77777777" w:rsidR="007402DB" w:rsidRPr="00F32F30" w:rsidRDefault="007402DB" w:rsidP="007402DB">
      <w:pPr>
        <w:spacing w:line="240" w:lineRule="auto"/>
        <w:rPr>
          <w:noProof/>
          <w:szCs w:val="22"/>
        </w:rPr>
      </w:pPr>
    </w:p>
    <w:p w14:paraId="4866F9D6"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FORMA FARMACÉUTICA Y CONTENIDO DEL EN</w:t>
      </w:r>
      <w:r w:rsidRPr="00F32F30">
        <w:rPr>
          <w:b/>
        </w:rPr>
        <w:t>VASE</w:t>
      </w:r>
    </w:p>
    <w:p w14:paraId="318B5E7C" w14:textId="77777777" w:rsidR="007402DB" w:rsidRPr="00F32F30" w:rsidRDefault="007402DB" w:rsidP="007402DB">
      <w:pPr>
        <w:rPr>
          <w:noProof/>
          <w:szCs w:val="22"/>
        </w:rPr>
      </w:pPr>
    </w:p>
    <w:p w14:paraId="4AB4896C" w14:textId="77777777" w:rsidR="007402DB" w:rsidRPr="00F32F30" w:rsidRDefault="00454592" w:rsidP="007402DB">
      <w:pPr>
        <w:rPr>
          <w:noProof/>
          <w:szCs w:val="22"/>
        </w:rPr>
      </w:pPr>
      <w:r w:rsidRPr="00F32F30">
        <w:rPr>
          <w:noProof/>
          <w:highlight w:val="lightGray"/>
        </w:rPr>
        <w:t>Comprimido</w:t>
      </w:r>
      <w:r w:rsidR="00345C8B" w:rsidRPr="00F32F30">
        <w:rPr>
          <w:noProof/>
          <w:highlight w:val="lightGray"/>
        </w:rPr>
        <w:t xml:space="preserve"> recubierto con película</w:t>
      </w:r>
    </w:p>
    <w:p w14:paraId="0B08CDED" w14:textId="55E855B1" w:rsidR="007402DB" w:rsidRPr="00F32F30" w:rsidRDefault="00454592" w:rsidP="007402DB">
      <w:r w:rsidRPr="00F32F30">
        <w:t>72 comprimidos</w:t>
      </w:r>
      <w:r w:rsidR="00345C8B" w:rsidRPr="00F32F30">
        <w:t xml:space="preserve"> recubiertos con película</w:t>
      </w:r>
    </w:p>
    <w:p w14:paraId="4D2C3F57" w14:textId="53DDD589" w:rsidR="000A2E85" w:rsidRPr="00F32F30" w:rsidRDefault="00454592" w:rsidP="007402DB">
      <w:pPr>
        <w:rPr>
          <w:noProof/>
          <w:szCs w:val="22"/>
        </w:rPr>
      </w:pPr>
      <w:r w:rsidRPr="00F32F30">
        <w:rPr>
          <w:noProof/>
          <w:szCs w:val="22"/>
        </w:rPr>
        <w:t>96 comprimidos recubiertos con película</w:t>
      </w:r>
    </w:p>
    <w:p w14:paraId="6BD0C0D5" w14:textId="77777777" w:rsidR="007402DB" w:rsidRPr="00F32F30" w:rsidRDefault="007402DB" w:rsidP="007402DB">
      <w:pPr>
        <w:spacing w:line="240" w:lineRule="auto"/>
        <w:rPr>
          <w:noProof/>
          <w:szCs w:val="22"/>
        </w:rPr>
      </w:pPr>
    </w:p>
    <w:p w14:paraId="42828D03" w14:textId="77777777" w:rsidR="007402DB" w:rsidRPr="00F32F30" w:rsidRDefault="007402DB" w:rsidP="007402DB">
      <w:pPr>
        <w:spacing w:line="240" w:lineRule="auto"/>
        <w:rPr>
          <w:noProof/>
          <w:szCs w:val="22"/>
        </w:rPr>
      </w:pPr>
    </w:p>
    <w:p w14:paraId="256879A4"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FORMA Y VÍA(S) DE ADMINISTRACIÓN</w:t>
      </w:r>
    </w:p>
    <w:p w14:paraId="340F6258" w14:textId="77777777" w:rsidR="007402DB" w:rsidRPr="00F32F30" w:rsidRDefault="007402DB" w:rsidP="007402DB">
      <w:pPr>
        <w:spacing w:line="240" w:lineRule="auto"/>
        <w:rPr>
          <w:noProof/>
          <w:szCs w:val="22"/>
        </w:rPr>
      </w:pPr>
    </w:p>
    <w:p w14:paraId="4D3C94AC" w14:textId="77777777" w:rsidR="007402DB" w:rsidRPr="00F32F30" w:rsidRDefault="00454592" w:rsidP="007402DB">
      <w:pPr>
        <w:rPr>
          <w:noProof/>
          <w:szCs w:val="22"/>
        </w:rPr>
      </w:pPr>
      <w:r w:rsidRPr="00F32F30">
        <w:t>Leer el prospecto antes de utilizar este medicamento.</w:t>
      </w:r>
    </w:p>
    <w:p w14:paraId="282067FF" w14:textId="77777777" w:rsidR="007402DB" w:rsidRPr="00F32F30" w:rsidRDefault="00454592" w:rsidP="007402DB">
      <w:r w:rsidRPr="00F32F30">
        <w:t>El prospecto se puede encontrar en</w:t>
      </w:r>
      <w:r w:rsidRPr="00F32F30">
        <w:rPr>
          <w:i/>
          <w:noProof/>
        </w:rPr>
        <w:t xml:space="preserve"> </w:t>
      </w:r>
      <w:r w:rsidRPr="00F32F30">
        <w:rPr>
          <w:i/>
          <w:noProof/>
          <w:highlight w:val="lightGray"/>
        </w:rPr>
        <w:t>código QR</w:t>
      </w:r>
      <w:r w:rsidRPr="00F32F30">
        <w:rPr>
          <w:i/>
          <w:noProof/>
        </w:rPr>
        <w:t xml:space="preserve"> </w:t>
      </w:r>
      <w:hyperlink r:id="rId13" w:history="1">
        <w:r w:rsidRPr="00F32F30">
          <w:rPr>
            <w:rStyle w:val="Hyperlink"/>
          </w:rPr>
          <w:t>http://www.cuprior.com</w:t>
        </w:r>
      </w:hyperlink>
    </w:p>
    <w:p w14:paraId="7E426F7C" w14:textId="77777777" w:rsidR="007402DB" w:rsidRPr="00F32F30" w:rsidRDefault="007402DB" w:rsidP="007402DB">
      <w:pPr>
        <w:spacing w:line="240" w:lineRule="auto"/>
        <w:rPr>
          <w:noProof/>
          <w:szCs w:val="22"/>
        </w:rPr>
      </w:pPr>
    </w:p>
    <w:p w14:paraId="55BBDDAF" w14:textId="77777777" w:rsidR="007402DB" w:rsidRPr="00F32F30" w:rsidRDefault="00454592" w:rsidP="007402DB">
      <w:pPr>
        <w:rPr>
          <w:noProof/>
          <w:szCs w:val="22"/>
        </w:rPr>
      </w:pPr>
      <w:r w:rsidRPr="00F32F30">
        <w:t>Vía oral.</w:t>
      </w:r>
    </w:p>
    <w:p w14:paraId="2334634F" w14:textId="77777777" w:rsidR="007402DB" w:rsidRPr="00F32F30" w:rsidRDefault="007402DB" w:rsidP="007402DB">
      <w:pPr>
        <w:spacing w:line="240" w:lineRule="auto"/>
        <w:rPr>
          <w:noProof/>
          <w:szCs w:val="22"/>
        </w:rPr>
      </w:pPr>
    </w:p>
    <w:p w14:paraId="2BD29449" w14:textId="77777777" w:rsidR="007402DB" w:rsidRPr="00F32F30" w:rsidRDefault="007402DB" w:rsidP="007402DB">
      <w:pPr>
        <w:spacing w:line="240" w:lineRule="auto"/>
        <w:rPr>
          <w:noProof/>
          <w:szCs w:val="22"/>
        </w:rPr>
      </w:pPr>
    </w:p>
    <w:p w14:paraId="488F6C0B"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ADVERTENCIA ESPECIAL DE QUE EL MEDICAMENTO DEBE MANTENERSE FUERA DE LA VISTA Y DEL ALCANCE DE LOS NIÑOS</w:t>
      </w:r>
    </w:p>
    <w:p w14:paraId="4130AC53" w14:textId="77777777" w:rsidR="007402DB" w:rsidRPr="00F32F30" w:rsidRDefault="007402DB" w:rsidP="007402DB">
      <w:pPr>
        <w:spacing w:line="240" w:lineRule="auto"/>
        <w:rPr>
          <w:noProof/>
          <w:szCs w:val="22"/>
        </w:rPr>
      </w:pPr>
    </w:p>
    <w:p w14:paraId="034FCD30" w14:textId="77777777" w:rsidR="007402DB" w:rsidRPr="00F32F30" w:rsidRDefault="00454592" w:rsidP="007402DB">
      <w:pPr>
        <w:tabs>
          <w:tab w:val="left" w:pos="749"/>
        </w:tabs>
        <w:spacing w:line="240" w:lineRule="auto"/>
        <w:rPr>
          <w:noProof/>
          <w:szCs w:val="22"/>
        </w:rPr>
      </w:pPr>
      <w:r w:rsidRPr="00F32F30">
        <w:t>Mantener fuera de la vista y del alcance de los niños.</w:t>
      </w:r>
    </w:p>
    <w:p w14:paraId="277F6688" w14:textId="77777777" w:rsidR="007402DB" w:rsidRPr="00F32F30" w:rsidRDefault="007402DB" w:rsidP="007402DB">
      <w:pPr>
        <w:spacing w:line="240" w:lineRule="auto"/>
        <w:rPr>
          <w:noProof/>
          <w:szCs w:val="22"/>
        </w:rPr>
      </w:pPr>
    </w:p>
    <w:p w14:paraId="5D8D3CCF" w14:textId="77777777" w:rsidR="007402DB" w:rsidRPr="00F32F30" w:rsidRDefault="007402DB" w:rsidP="007402DB">
      <w:pPr>
        <w:spacing w:line="240" w:lineRule="auto"/>
        <w:rPr>
          <w:noProof/>
          <w:szCs w:val="22"/>
        </w:rPr>
      </w:pPr>
    </w:p>
    <w:p w14:paraId="0E62B408"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 xml:space="preserve">OTRA(S) </w:t>
      </w:r>
      <w:r w:rsidRPr="00F32F30">
        <w:rPr>
          <w:b/>
        </w:rPr>
        <w:t>ADVERTENCIA(S) ESPECIAL(ES), SI ES NECESARIO</w:t>
      </w:r>
    </w:p>
    <w:p w14:paraId="7BA160C8" w14:textId="77777777" w:rsidR="007402DB" w:rsidRPr="00F32F30" w:rsidRDefault="007402DB" w:rsidP="007402DB">
      <w:pPr>
        <w:spacing w:line="240" w:lineRule="auto"/>
        <w:rPr>
          <w:noProof/>
          <w:szCs w:val="22"/>
        </w:rPr>
      </w:pPr>
    </w:p>
    <w:p w14:paraId="790ADC9A" w14:textId="77777777" w:rsidR="007402DB" w:rsidRPr="00F32F30" w:rsidRDefault="00454592" w:rsidP="007402DB">
      <w:pPr>
        <w:tabs>
          <w:tab w:val="left" w:pos="749"/>
        </w:tabs>
        <w:spacing w:line="240" w:lineRule="auto"/>
        <w:rPr>
          <w:szCs w:val="22"/>
        </w:rPr>
      </w:pPr>
      <w:r w:rsidRPr="00F32F30">
        <w:t>Tomar con el estómago vacío, como mínimo una hora antes o dos horas después de las comidas y, al menos, con una hora de diferencia con respecto a otros medicamentos, alimentos o leche.</w:t>
      </w:r>
    </w:p>
    <w:p w14:paraId="30BDFB34" w14:textId="77777777" w:rsidR="007402DB" w:rsidRPr="00F32F30" w:rsidRDefault="007402DB" w:rsidP="007402DB">
      <w:pPr>
        <w:tabs>
          <w:tab w:val="left" w:pos="749"/>
        </w:tabs>
        <w:spacing w:line="240" w:lineRule="auto"/>
      </w:pPr>
    </w:p>
    <w:p w14:paraId="035ACC17" w14:textId="77777777" w:rsidR="007402DB" w:rsidRPr="00F32F30" w:rsidRDefault="007402DB" w:rsidP="007402DB">
      <w:pPr>
        <w:tabs>
          <w:tab w:val="left" w:pos="749"/>
        </w:tabs>
        <w:spacing w:line="240" w:lineRule="auto"/>
      </w:pPr>
    </w:p>
    <w:p w14:paraId="4D544BCC"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FECHA DE CADUCIDAD</w:t>
      </w:r>
    </w:p>
    <w:p w14:paraId="35ECA8DA" w14:textId="77777777" w:rsidR="007402DB" w:rsidRPr="00F32F30" w:rsidRDefault="007402DB" w:rsidP="007402DB">
      <w:pPr>
        <w:spacing w:line="240" w:lineRule="auto"/>
      </w:pPr>
    </w:p>
    <w:p w14:paraId="53168192" w14:textId="77777777" w:rsidR="007402DB" w:rsidRPr="00F32F30" w:rsidRDefault="00454592" w:rsidP="007402DB">
      <w:pPr>
        <w:spacing w:line="240" w:lineRule="auto"/>
        <w:rPr>
          <w:noProof/>
          <w:szCs w:val="22"/>
        </w:rPr>
      </w:pPr>
      <w:r w:rsidRPr="00F32F30">
        <w:t>CAD</w:t>
      </w:r>
    </w:p>
    <w:p w14:paraId="217597BB" w14:textId="77777777" w:rsidR="007402DB" w:rsidRPr="00F32F30" w:rsidRDefault="007402DB" w:rsidP="007402DB">
      <w:pPr>
        <w:spacing w:line="240" w:lineRule="auto"/>
        <w:rPr>
          <w:noProof/>
          <w:szCs w:val="22"/>
        </w:rPr>
      </w:pPr>
    </w:p>
    <w:p w14:paraId="374AA4AB" w14:textId="77777777" w:rsidR="007402DB" w:rsidRPr="00F32F30" w:rsidRDefault="007402DB" w:rsidP="007402DB">
      <w:pPr>
        <w:spacing w:line="240" w:lineRule="auto"/>
        <w:rPr>
          <w:noProof/>
          <w:szCs w:val="22"/>
        </w:rPr>
      </w:pPr>
    </w:p>
    <w:p w14:paraId="459C15C1"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CONDICIONES ESPECIALES DE CONSERVACIÓN</w:t>
      </w:r>
    </w:p>
    <w:p w14:paraId="0FFB5A98" w14:textId="77777777" w:rsidR="007402DB" w:rsidRPr="00F32F30" w:rsidRDefault="007402DB" w:rsidP="007402DB">
      <w:pPr>
        <w:spacing w:line="240" w:lineRule="auto"/>
        <w:rPr>
          <w:noProof/>
          <w:szCs w:val="22"/>
        </w:rPr>
      </w:pPr>
    </w:p>
    <w:p w14:paraId="38CF25A7" w14:textId="77777777" w:rsidR="007402DB" w:rsidRPr="00F32F30" w:rsidRDefault="007402DB" w:rsidP="007402DB">
      <w:pPr>
        <w:spacing w:line="240" w:lineRule="auto"/>
        <w:ind w:left="567" w:hanging="567"/>
        <w:rPr>
          <w:noProof/>
          <w:szCs w:val="22"/>
        </w:rPr>
      </w:pPr>
    </w:p>
    <w:p w14:paraId="7DE4467D"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lastRenderedPageBreak/>
        <w:t>PRECAUCIONES ESPECIALES DE ELIMINACIÓN DEL MEDICAMENTO NO UTILIZADO Y DE LOS MATERIALES DERIVADOS DE SU USO, CUANDO CORRESPONDA</w:t>
      </w:r>
    </w:p>
    <w:p w14:paraId="39712CE9" w14:textId="77777777" w:rsidR="007402DB" w:rsidRPr="00F32F30" w:rsidRDefault="007402DB" w:rsidP="007402DB">
      <w:pPr>
        <w:spacing w:line="240" w:lineRule="auto"/>
        <w:rPr>
          <w:noProof/>
          <w:szCs w:val="22"/>
        </w:rPr>
      </w:pPr>
    </w:p>
    <w:p w14:paraId="45D4B817" w14:textId="77777777" w:rsidR="007402DB" w:rsidRPr="00F32F30" w:rsidRDefault="007402DB" w:rsidP="007402DB">
      <w:pPr>
        <w:spacing w:line="240" w:lineRule="auto"/>
        <w:rPr>
          <w:noProof/>
          <w:szCs w:val="22"/>
        </w:rPr>
      </w:pPr>
    </w:p>
    <w:p w14:paraId="0CA73535"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NOMBRE Y DIRECCIÓN DEL TITULAR DE LA AUTORIZACIÓN DE COMERCIALIZACIÓN</w:t>
      </w:r>
    </w:p>
    <w:p w14:paraId="05B0E67C" w14:textId="77777777" w:rsidR="007402DB" w:rsidRPr="00F32F30" w:rsidRDefault="007402DB" w:rsidP="007402DB">
      <w:pPr>
        <w:spacing w:line="240" w:lineRule="auto"/>
        <w:rPr>
          <w:noProof/>
          <w:szCs w:val="22"/>
        </w:rPr>
      </w:pPr>
    </w:p>
    <w:p w14:paraId="6E86C74F" w14:textId="03F624E3" w:rsidR="007402DB" w:rsidRPr="00F32F30" w:rsidRDefault="00651DA6" w:rsidP="007402DB">
      <w:pPr>
        <w:rPr>
          <w:szCs w:val="22"/>
          <w:lang w:val="fr-LU"/>
        </w:rPr>
      </w:pPr>
      <w:proofErr w:type="spellStart"/>
      <w:r>
        <w:rPr>
          <w:lang w:val="fr-LU"/>
        </w:rPr>
        <w:t>Orphalan</w:t>
      </w:r>
      <w:proofErr w:type="spellEnd"/>
    </w:p>
    <w:p w14:paraId="2A536C74" w14:textId="77777777" w:rsidR="00A56A55" w:rsidRPr="002503BA" w:rsidRDefault="00454592" w:rsidP="00A56A55">
      <w:pPr>
        <w:rPr>
          <w:szCs w:val="22"/>
          <w:lang w:val="fr-FR"/>
        </w:rPr>
      </w:pPr>
      <w:r w:rsidRPr="002503BA">
        <w:rPr>
          <w:szCs w:val="22"/>
          <w:lang w:val="fr-FR"/>
        </w:rPr>
        <w:t>226 Boulevard Voltaire</w:t>
      </w:r>
    </w:p>
    <w:p w14:paraId="515962ED" w14:textId="38AFF84F" w:rsidR="007402DB" w:rsidRPr="00F32F30" w:rsidRDefault="00454592" w:rsidP="007402DB">
      <w:pPr>
        <w:rPr>
          <w:szCs w:val="22"/>
          <w:lang w:val="fr-LU"/>
        </w:rPr>
      </w:pPr>
      <w:r w:rsidRPr="00F32F30">
        <w:rPr>
          <w:lang w:val="fr-LU"/>
        </w:rPr>
        <w:t>7501</w:t>
      </w:r>
      <w:r>
        <w:rPr>
          <w:lang w:val="fr-LU"/>
        </w:rPr>
        <w:t>1</w:t>
      </w:r>
      <w:r w:rsidRPr="00F32F30">
        <w:rPr>
          <w:lang w:val="fr-LU"/>
        </w:rPr>
        <w:t xml:space="preserve"> </w:t>
      </w:r>
      <w:r w:rsidR="008F5A43" w:rsidRPr="00F32F30">
        <w:rPr>
          <w:lang w:val="fr-LU"/>
        </w:rPr>
        <w:t>Paris, Francia</w:t>
      </w:r>
      <w:r w:rsidR="008F5A43" w:rsidRPr="00F32F30">
        <w:rPr>
          <w:i/>
          <w:noProof/>
          <w:lang w:val="fr-LU"/>
        </w:rPr>
        <w:t xml:space="preserve"> </w:t>
      </w:r>
    </w:p>
    <w:p w14:paraId="6D34FE14" w14:textId="77777777" w:rsidR="007402DB" w:rsidRPr="00F32F30" w:rsidRDefault="007402DB" w:rsidP="007402DB">
      <w:pPr>
        <w:spacing w:line="240" w:lineRule="auto"/>
        <w:rPr>
          <w:noProof/>
          <w:szCs w:val="22"/>
          <w:lang w:val="fr-LU"/>
        </w:rPr>
      </w:pPr>
    </w:p>
    <w:p w14:paraId="25043942" w14:textId="77777777" w:rsidR="007402DB" w:rsidRPr="00F32F30" w:rsidRDefault="007402DB" w:rsidP="007402DB">
      <w:pPr>
        <w:spacing w:line="240" w:lineRule="auto"/>
        <w:rPr>
          <w:noProof/>
          <w:szCs w:val="22"/>
          <w:lang w:val="fr-LU"/>
        </w:rPr>
      </w:pPr>
    </w:p>
    <w:p w14:paraId="2E155359"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 xml:space="preserve">NÚMERO(S) DE AUTORIZACIÓN DE COMERCIALIZACIÓN </w:t>
      </w:r>
    </w:p>
    <w:p w14:paraId="032B43EB" w14:textId="77777777" w:rsidR="007402DB" w:rsidRPr="00F32F30" w:rsidRDefault="007402DB" w:rsidP="007402DB">
      <w:pPr>
        <w:spacing w:line="240" w:lineRule="auto"/>
        <w:rPr>
          <w:noProof/>
          <w:szCs w:val="22"/>
        </w:rPr>
      </w:pPr>
    </w:p>
    <w:p w14:paraId="4C94C169" w14:textId="77777777" w:rsidR="000A2E85" w:rsidRPr="00F32F30" w:rsidRDefault="00454592" w:rsidP="000A2E85">
      <w:pPr>
        <w:spacing w:line="240" w:lineRule="auto"/>
        <w:rPr>
          <w:color w:val="000000"/>
        </w:rPr>
      </w:pPr>
      <w:r w:rsidRPr="00F32F30">
        <w:rPr>
          <w:color w:val="000000"/>
        </w:rPr>
        <w:t>EU/1/17/1199/001 72 comprimidos recubiertos con película</w:t>
      </w:r>
    </w:p>
    <w:p w14:paraId="2DD945E5" w14:textId="01CCAA12" w:rsidR="008F5A43" w:rsidRPr="00F32F30" w:rsidRDefault="00454592" w:rsidP="000A2E85">
      <w:pPr>
        <w:spacing w:line="240" w:lineRule="auto"/>
        <w:rPr>
          <w:color w:val="000000"/>
        </w:rPr>
      </w:pPr>
      <w:r w:rsidRPr="00F32F30">
        <w:rPr>
          <w:color w:val="000000"/>
        </w:rPr>
        <w:t>EU/1/17/1199/002 96 comprimidos recubiertos con película</w:t>
      </w:r>
    </w:p>
    <w:p w14:paraId="035B2C87" w14:textId="77777777" w:rsidR="007402DB" w:rsidRPr="00F32F30" w:rsidRDefault="007402DB" w:rsidP="007402DB">
      <w:pPr>
        <w:spacing w:line="240" w:lineRule="auto"/>
        <w:rPr>
          <w:noProof/>
          <w:szCs w:val="22"/>
        </w:rPr>
      </w:pPr>
    </w:p>
    <w:p w14:paraId="5BC7E25A" w14:textId="77777777" w:rsidR="007402DB" w:rsidRPr="00F32F30" w:rsidRDefault="007402DB" w:rsidP="007402DB">
      <w:pPr>
        <w:spacing w:line="240" w:lineRule="auto"/>
        <w:rPr>
          <w:noProof/>
          <w:szCs w:val="22"/>
        </w:rPr>
      </w:pPr>
    </w:p>
    <w:p w14:paraId="1E437016"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NÚMERO DE LOTE</w:t>
      </w:r>
    </w:p>
    <w:p w14:paraId="1C2FCA38" w14:textId="77777777" w:rsidR="007402DB" w:rsidRPr="00F32F30" w:rsidRDefault="007402DB" w:rsidP="007402DB">
      <w:pPr>
        <w:spacing w:line="240" w:lineRule="auto"/>
        <w:rPr>
          <w:i/>
          <w:noProof/>
          <w:szCs w:val="22"/>
        </w:rPr>
      </w:pPr>
    </w:p>
    <w:p w14:paraId="706D9218" w14:textId="77777777" w:rsidR="007402DB" w:rsidRPr="00F32F30" w:rsidRDefault="00454592" w:rsidP="007402DB">
      <w:pPr>
        <w:spacing w:line="240" w:lineRule="auto"/>
        <w:rPr>
          <w:noProof/>
          <w:szCs w:val="22"/>
        </w:rPr>
      </w:pPr>
      <w:r w:rsidRPr="00F32F30">
        <w:t xml:space="preserve">Lote </w:t>
      </w:r>
    </w:p>
    <w:p w14:paraId="368A950F" w14:textId="77777777" w:rsidR="007402DB" w:rsidRPr="00F32F30" w:rsidRDefault="007402DB" w:rsidP="007402DB">
      <w:pPr>
        <w:spacing w:line="240" w:lineRule="auto"/>
        <w:rPr>
          <w:noProof/>
          <w:szCs w:val="22"/>
        </w:rPr>
      </w:pPr>
    </w:p>
    <w:p w14:paraId="7D85417A" w14:textId="77777777" w:rsidR="007402DB" w:rsidRPr="00F32F30" w:rsidRDefault="007402DB" w:rsidP="007402DB">
      <w:pPr>
        <w:spacing w:line="240" w:lineRule="auto"/>
        <w:rPr>
          <w:noProof/>
          <w:szCs w:val="22"/>
        </w:rPr>
      </w:pPr>
    </w:p>
    <w:p w14:paraId="7C2DEE23"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CONDICIONES GENERALES DE DISPENSACIÓN</w:t>
      </w:r>
    </w:p>
    <w:p w14:paraId="0915A8A2" w14:textId="77777777" w:rsidR="007402DB" w:rsidRPr="00F32F30" w:rsidRDefault="007402DB" w:rsidP="007402DB">
      <w:pPr>
        <w:spacing w:line="240" w:lineRule="auto"/>
        <w:rPr>
          <w:i/>
          <w:noProof/>
          <w:szCs w:val="22"/>
        </w:rPr>
      </w:pPr>
    </w:p>
    <w:p w14:paraId="1EF30254" w14:textId="77777777" w:rsidR="007402DB" w:rsidRPr="00F32F30" w:rsidRDefault="007402DB" w:rsidP="007402DB">
      <w:pPr>
        <w:spacing w:line="240" w:lineRule="auto"/>
        <w:rPr>
          <w:noProof/>
          <w:szCs w:val="22"/>
        </w:rPr>
      </w:pPr>
    </w:p>
    <w:p w14:paraId="6BAD222F"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INSTRUCCIONES DE USO</w:t>
      </w:r>
    </w:p>
    <w:p w14:paraId="6C0564D3" w14:textId="77777777" w:rsidR="007402DB" w:rsidRPr="00F32F30" w:rsidRDefault="007402DB" w:rsidP="007402DB">
      <w:pPr>
        <w:spacing w:line="240" w:lineRule="auto"/>
        <w:rPr>
          <w:noProof/>
          <w:szCs w:val="22"/>
        </w:rPr>
      </w:pPr>
    </w:p>
    <w:p w14:paraId="25F9E751" w14:textId="77777777" w:rsidR="007402DB" w:rsidRPr="00F32F30" w:rsidRDefault="007402DB" w:rsidP="007402DB">
      <w:pPr>
        <w:spacing w:line="240" w:lineRule="auto"/>
        <w:rPr>
          <w:noProof/>
          <w:szCs w:val="22"/>
        </w:rPr>
      </w:pPr>
    </w:p>
    <w:p w14:paraId="7F2BE138"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INFORMACIÓN EN BRAILLE</w:t>
      </w:r>
    </w:p>
    <w:p w14:paraId="516C1688" w14:textId="77777777" w:rsidR="007402DB" w:rsidRPr="00F32F30" w:rsidRDefault="007402DB" w:rsidP="007402DB">
      <w:pPr>
        <w:spacing w:line="240" w:lineRule="auto"/>
        <w:rPr>
          <w:noProof/>
          <w:szCs w:val="22"/>
        </w:rPr>
      </w:pPr>
    </w:p>
    <w:p w14:paraId="3AA93C8B" w14:textId="77777777" w:rsidR="007402DB" w:rsidRPr="00F32F30" w:rsidRDefault="00454592" w:rsidP="007402DB">
      <w:pPr>
        <w:rPr>
          <w:noProof/>
          <w:szCs w:val="22"/>
        </w:rPr>
      </w:pPr>
      <w:r w:rsidRPr="00F32F30">
        <w:t xml:space="preserve">Cuprior 150 mg </w:t>
      </w:r>
    </w:p>
    <w:p w14:paraId="098471DF" w14:textId="77777777" w:rsidR="007402DB" w:rsidRPr="00F32F30" w:rsidRDefault="007402DB" w:rsidP="007402DB">
      <w:pPr>
        <w:spacing w:line="240" w:lineRule="auto"/>
        <w:rPr>
          <w:noProof/>
          <w:szCs w:val="22"/>
          <w:shd w:val="clear" w:color="auto" w:fill="CCCCCC"/>
        </w:rPr>
      </w:pPr>
    </w:p>
    <w:p w14:paraId="39113587" w14:textId="77777777" w:rsidR="007402DB" w:rsidRPr="00F32F30" w:rsidRDefault="007402DB" w:rsidP="007402DB">
      <w:pPr>
        <w:spacing w:line="240" w:lineRule="auto"/>
        <w:rPr>
          <w:noProof/>
          <w:szCs w:val="22"/>
          <w:shd w:val="clear" w:color="auto" w:fill="CCCCCC"/>
        </w:rPr>
      </w:pPr>
    </w:p>
    <w:p w14:paraId="643F5AC0"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lang w:val="pt-BR"/>
        </w:rPr>
      </w:pPr>
      <w:r w:rsidRPr="00F32F30">
        <w:rPr>
          <w:b/>
          <w:lang w:val="pt-BR"/>
        </w:rPr>
        <w:t>IDENTIFICADOR ÚNICO - CÓDIGO DE BARRAS 2D</w:t>
      </w:r>
    </w:p>
    <w:p w14:paraId="6D89685D" w14:textId="77777777" w:rsidR="007402DB" w:rsidRPr="00F32F30" w:rsidRDefault="007402DB" w:rsidP="007402DB">
      <w:pPr>
        <w:tabs>
          <w:tab w:val="clear" w:pos="567"/>
        </w:tabs>
        <w:spacing w:line="240" w:lineRule="auto"/>
        <w:rPr>
          <w:noProof/>
          <w:lang w:val="pt-BR"/>
        </w:rPr>
      </w:pPr>
    </w:p>
    <w:p w14:paraId="4B75B836" w14:textId="77777777" w:rsidR="007402DB" w:rsidRPr="00F32F30" w:rsidRDefault="00454592" w:rsidP="007402DB">
      <w:pPr>
        <w:rPr>
          <w:noProof/>
          <w:szCs w:val="22"/>
          <w:highlight w:val="lightGray"/>
        </w:rPr>
      </w:pPr>
      <w:r w:rsidRPr="00F32F30">
        <w:rPr>
          <w:noProof/>
          <w:highlight w:val="lightGray"/>
        </w:rPr>
        <w:t>Incluido el código de barras 2D que lleva el identificador único.</w:t>
      </w:r>
    </w:p>
    <w:p w14:paraId="7E28D657" w14:textId="77777777" w:rsidR="007402DB" w:rsidRPr="00F32F30" w:rsidRDefault="007402DB" w:rsidP="007402DB">
      <w:pPr>
        <w:tabs>
          <w:tab w:val="clear" w:pos="567"/>
        </w:tabs>
        <w:spacing w:line="240" w:lineRule="auto"/>
        <w:rPr>
          <w:noProof/>
        </w:rPr>
      </w:pPr>
    </w:p>
    <w:p w14:paraId="7FB3C8EE" w14:textId="77777777" w:rsidR="007402DB" w:rsidRPr="00F32F30" w:rsidRDefault="007402DB" w:rsidP="007402DB">
      <w:pPr>
        <w:tabs>
          <w:tab w:val="clear" w:pos="567"/>
        </w:tabs>
        <w:spacing w:line="240" w:lineRule="auto"/>
        <w:rPr>
          <w:noProof/>
        </w:rPr>
      </w:pPr>
    </w:p>
    <w:p w14:paraId="2F304015" w14:textId="77777777" w:rsidR="007402DB" w:rsidRPr="00F32F30" w:rsidRDefault="00454592" w:rsidP="007402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F32F30">
        <w:rPr>
          <w:b/>
        </w:rPr>
        <w:t xml:space="preserve">IDENTIFICADOR ÚNICO - </w:t>
      </w:r>
      <w:r w:rsidRPr="00F32F30">
        <w:rPr>
          <w:b/>
        </w:rPr>
        <w:t>INFORMACIÓN EN CARACTERES VISUALES</w:t>
      </w:r>
    </w:p>
    <w:p w14:paraId="69173593" w14:textId="77777777" w:rsidR="007402DB" w:rsidRPr="00F32F30" w:rsidRDefault="007402DB" w:rsidP="007402DB">
      <w:pPr>
        <w:tabs>
          <w:tab w:val="clear" w:pos="567"/>
        </w:tabs>
        <w:spacing w:line="240" w:lineRule="auto"/>
        <w:rPr>
          <w:noProof/>
        </w:rPr>
      </w:pPr>
    </w:p>
    <w:p w14:paraId="3A6F4156" w14:textId="77777777" w:rsidR="007402DB" w:rsidRPr="00F32F30" w:rsidRDefault="00454592" w:rsidP="007402DB">
      <w:pPr>
        <w:rPr>
          <w:color w:val="008000"/>
          <w:szCs w:val="22"/>
        </w:rPr>
      </w:pPr>
      <w:r w:rsidRPr="00F32F30">
        <w:t xml:space="preserve">PC: {número} </w:t>
      </w:r>
    </w:p>
    <w:p w14:paraId="592A6086" w14:textId="77777777" w:rsidR="007402DB" w:rsidRPr="00F32F30" w:rsidRDefault="00454592" w:rsidP="007402DB">
      <w:pPr>
        <w:rPr>
          <w:szCs w:val="22"/>
        </w:rPr>
      </w:pPr>
      <w:r w:rsidRPr="00F32F30">
        <w:t xml:space="preserve">SN: {número} </w:t>
      </w:r>
    </w:p>
    <w:p w14:paraId="49C5DE2E" w14:textId="77777777" w:rsidR="007402DB" w:rsidRPr="00F32F30" w:rsidRDefault="00454592" w:rsidP="007402DB">
      <w:pPr>
        <w:rPr>
          <w:szCs w:val="22"/>
        </w:rPr>
      </w:pPr>
      <w:r w:rsidRPr="00F32F30">
        <w:t xml:space="preserve">NN: {número} </w:t>
      </w:r>
    </w:p>
    <w:p w14:paraId="46E95AF6" w14:textId="77777777" w:rsidR="007402DB" w:rsidRPr="00F32F30" w:rsidRDefault="007402DB" w:rsidP="007402DB">
      <w:pPr>
        <w:spacing w:line="240" w:lineRule="auto"/>
        <w:rPr>
          <w:noProof/>
          <w:szCs w:val="22"/>
        </w:rPr>
      </w:pPr>
    </w:p>
    <w:p w14:paraId="01535774" w14:textId="77777777" w:rsidR="007402DB" w:rsidRPr="00F32F30" w:rsidRDefault="007402DB" w:rsidP="007402DB">
      <w:pPr>
        <w:spacing w:line="240" w:lineRule="auto"/>
        <w:rPr>
          <w:noProof/>
          <w:szCs w:val="22"/>
          <w:shd w:val="clear" w:color="auto" w:fill="CCCCCC"/>
        </w:rPr>
      </w:pPr>
    </w:p>
    <w:p w14:paraId="754EA693" w14:textId="77777777" w:rsidR="007402DB" w:rsidRPr="00F32F30" w:rsidRDefault="00454592" w:rsidP="007402DB">
      <w:pPr>
        <w:spacing w:line="240" w:lineRule="auto"/>
        <w:rPr>
          <w:b/>
          <w:noProof/>
          <w:szCs w:val="22"/>
        </w:rPr>
      </w:pPr>
      <w:r w:rsidRPr="00F32F30">
        <w:br w:type="page"/>
      </w:r>
    </w:p>
    <w:p w14:paraId="65594066" w14:textId="77777777" w:rsidR="007402DB" w:rsidRPr="00F32F30" w:rsidRDefault="00454592" w:rsidP="007402D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F32F30">
        <w:rPr>
          <w:b/>
          <w:noProof/>
        </w:rPr>
        <w:lastRenderedPageBreak/>
        <w:t>INFORMACIÓN MÍNIMA A INCLUIR EN BLÍSTERS O TIRAS</w:t>
      </w:r>
    </w:p>
    <w:p w14:paraId="2C087D1F" w14:textId="77777777" w:rsidR="007402DB" w:rsidRPr="00F32F30" w:rsidRDefault="007402DB" w:rsidP="007402D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5CB4CF99" w14:textId="77777777" w:rsidR="007402DB" w:rsidRPr="00F32F30" w:rsidRDefault="00454592" w:rsidP="007402D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F32F30">
        <w:rPr>
          <w:b/>
          <w:noProof/>
        </w:rPr>
        <w:t>BLÍSTER</w:t>
      </w:r>
    </w:p>
    <w:p w14:paraId="1F8D0969" w14:textId="77777777" w:rsidR="007402DB" w:rsidRPr="00F32F30" w:rsidRDefault="007402DB" w:rsidP="007402DB">
      <w:pPr>
        <w:spacing w:line="240" w:lineRule="auto"/>
        <w:rPr>
          <w:noProof/>
          <w:szCs w:val="22"/>
        </w:rPr>
      </w:pPr>
    </w:p>
    <w:p w14:paraId="00AEB90C" w14:textId="77777777" w:rsidR="007402DB" w:rsidRPr="00F32F30" w:rsidRDefault="007402DB" w:rsidP="007402DB">
      <w:pPr>
        <w:spacing w:line="240" w:lineRule="auto"/>
        <w:rPr>
          <w:noProof/>
          <w:szCs w:val="22"/>
        </w:rPr>
      </w:pPr>
    </w:p>
    <w:p w14:paraId="49FDA1CE" w14:textId="77777777" w:rsidR="007402DB" w:rsidRPr="00F32F30" w:rsidRDefault="00454592" w:rsidP="007402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F32F30">
        <w:rPr>
          <w:b/>
          <w:noProof/>
        </w:rPr>
        <w:t>NOMBRE DEL MEDICAMENTO</w:t>
      </w:r>
    </w:p>
    <w:p w14:paraId="22352844" w14:textId="77777777" w:rsidR="007402DB" w:rsidRPr="00F32F30" w:rsidRDefault="007402DB" w:rsidP="007402DB">
      <w:pPr>
        <w:spacing w:line="240" w:lineRule="auto"/>
        <w:rPr>
          <w:i/>
          <w:noProof/>
          <w:szCs w:val="22"/>
        </w:rPr>
      </w:pPr>
    </w:p>
    <w:p w14:paraId="6C568221" w14:textId="77777777" w:rsidR="007402DB" w:rsidRPr="00F32F30" w:rsidRDefault="00454592" w:rsidP="007402DB">
      <w:pPr>
        <w:rPr>
          <w:noProof/>
          <w:szCs w:val="22"/>
        </w:rPr>
      </w:pPr>
      <w:r w:rsidRPr="00F32F30">
        <w:t>Cuprior 150 mg comprimidos</w:t>
      </w:r>
      <w:r w:rsidR="004B4D9B" w:rsidRPr="00F32F30">
        <w:t xml:space="preserve"> recubiertos con película</w:t>
      </w:r>
    </w:p>
    <w:p w14:paraId="4DCB2C7D" w14:textId="77777777" w:rsidR="007402DB" w:rsidRPr="00F32F30" w:rsidRDefault="00454592" w:rsidP="007402DB">
      <w:pPr>
        <w:spacing w:line="240" w:lineRule="auto"/>
        <w:rPr>
          <w:noProof/>
          <w:szCs w:val="22"/>
        </w:rPr>
      </w:pPr>
      <w:r w:rsidRPr="00F32F30">
        <w:t>trientina</w:t>
      </w:r>
    </w:p>
    <w:p w14:paraId="0676A509" w14:textId="77777777" w:rsidR="007402DB" w:rsidRPr="00F32F30" w:rsidRDefault="007402DB" w:rsidP="007402DB">
      <w:pPr>
        <w:spacing w:line="240" w:lineRule="auto"/>
      </w:pPr>
    </w:p>
    <w:p w14:paraId="10A5F3C8" w14:textId="77777777" w:rsidR="007402DB" w:rsidRPr="00F32F30" w:rsidRDefault="007402DB" w:rsidP="007402DB">
      <w:pPr>
        <w:spacing w:line="240" w:lineRule="auto"/>
      </w:pPr>
    </w:p>
    <w:p w14:paraId="49860B42" w14:textId="77777777" w:rsidR="007402DB" w:rsidRPr="00F32F30" w:rsidRDefault="00454592" w:rsidP="007402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F32F30">
        <w:rPr>
          <w:b/>
          <w:noProof/>
        </w:rPr>
        <w:t xml:space="preserve">NOMBRE DEL TITULAR DE LA </w:t>
      </w:r>
      <w:r w:rsidRPr="00F32F30">
        <w:rPr>
          <w:b/>
          <w:noProof/>
        </w:rPr>
        <w:t>AUTORIZACIÓN DE COMERCIALIZACIÓN</w:t>
      </w:r>
    </w:p>
    <w:p w14:paraId="366AC762" w14:textId="77777777" w:rsidR="007402DB" w:rsidRPr="00F32F30" w:rsidRDefault="007402DB" w:rsidP="007402DB">
      <w:pPr>
        <w:spacing w:line="240" w:lineRule="auto"/>
        <w:rPr>
          <w:noProof/>
          <w:szCs w:val="22"/>
        </w:rPr>
      </w:pPr>
    </w:p>
    <w:p w14:paraId="396FBD5D" w14:textId="14F1DBC1" w:rsidR="007402DB" w:rsidRPr="00F32F30" w:rsidRDefault="00651DA6" w:rsidP="007402DB">
      <w:pPr>
        <w:rPr>
          <w:szCs w:val="22"/>
        </w:rPr>
      </w:pPr>
      <w:proofErr w:type="spellStart"/>
      <w:r>
        <w:t>Orphalan</w:t>
      </w:r>
      <w:proofErr w:type="spellEnd"/>
    </w:p>
    <w:p w14:paraId="0EC06C8F" w14:textId="77777777" w:rsidR="007402DB" w:rsidRPr="00F32F30" w:rsidRDefault="007402DB" w:rsidP="007402DB">
      <w:pPr>
        <w:spacing w:line="240" w:lineRule="auto"/>
        <w:rPr>
          <w:noProof/>
          <w:szCs w:val="22"/>
        </w:rPr>
      </w:pPr>
    </w:p>
    <w:p w14:paraId="07116047" w14:textId="77777777" w:rsidR="007402DB" w:rsidRPr="00F32F30" w:rsidRDefault="007402DB" w:rsidP="007402DB">
      <w:pPr>
        <w:spacing w:line="240" w:lineRule="auto"/>
        <w:rPr>
          <w:noProof/>
          <w:szCs w:val="22"/>
        </w:rPr>
      </w:pPr>
    </w:p>
    <w:p w14:paraId="40A72B5B" w14:textId="77777777" w:rsidR="007402DB" w:rsidRPr="00F32F30" w:rsidRDefault="00454592" w:rsidP="007402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F32F30">
        <w:rPr>
          <w:b/>
          <w:noProof/>
        </w:rPr>
        <w:t>FECHA DE CADUCIDAD</w:t>
      </w:r>
    </w:p>
    <w:p w14:paraId="6837184D" w14:textId="77777777" w:rsidR="007402DB" w:rsidRPr="00F32F30" w:rsidRDefault="007402DB" w:rsidP="007402DB">
      <w:pPr>
        <w:spacing w:line="240" w:lineRule="auto"/>
        <w:rPr>
          <w:noProof/>
          <w:szCs w:val="22"/>
        </w:rPr>
      </w:pPr>
    </w:p>
    <w:p w14:paraId="24AC1E70" w14:textId="77777777" w:rsidR="007402DB" w:rsidRPr="00F32F30" w:rsidRDefault="00454592" w:rsidP="007402DB">
      <w:pPr>
        <w:spacing w:line="240" w:lineRule="auto"/>
        <w:rPr>
          <w:noProof/>
          <w:szCs w:val="22"/>
        </w:rPr>
      </w:pPr>
      <w:r w:rsidRPr="00F32F30">
        <w:t>CAD</w:t>
      </w:r>
    </w:p>
    <w:p w14:paraId="7A1867B4" w14:textId="77777777" w:rsidR="007402DB" w:rsidRPr="00F32F30" w:rsidRDefault="007402DB" w:rsidP="007402DB">
      <w:pPr>
        <w:spacing w:line="240" w:lineRule="auto"/>
        <w:rPr>
          <w:noProof/>
          <w:szCs w:val="22"/>
        </w:rPr>
      </w:pPr>
    </w:p>
    <w:p w14:paraId="154F6D5D" w14:textId="77777777" w:rsidR="007402DB" w:rsidRPr="00F32F30" w:rsidRDefault="007402DB" w:rsidP="007402DB">
      <w:pPr>
        <w:spacing w:line="240" w:lineRule="auto"/>
        <w:rPr>
          <w:noProof/>
          <w:szCs w:val="22"/>
        </w:rPr>
      </w:pPr>
    </w:p>
    <w:p w14:paraId="23233DC3" w14:textId="77777777" w:rsidR="007402DB" w:rsidRPr="00F32F30" w:rsidRDefault="00454592" w:rsidP="007402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F32F30">
        <w:rPr>
          <w:b/>
          <w:noProof/>
        </w:rPr>
        <w:t>NÚMERO DE LOTE</w:t>
      </w:r>
    </w:p>
    <w:p w14:paraId="1A05256E" w14:textId="77777777" w:rsidR="007402DB" w:rsidRPr="00F32F30" w:rsidRDefault="007402DB" w:rsidP="007402DB">
      <w:pPr>
        <w:spacing w:line="240" w:lineRule="auto"/>
        <w:rPr>
          <w:noProof/>
          <w:szCs w:val="22"/>
        </w:rPr>
      </w:pPr>
    </w:p>
    <w:p w14:paraId="52799A4B" w14:textId="77777777" w:rsidR="007402DB" w:rsidRPr="00F32F30" w:rsidRDefault="00454592" w:rsidP="007402DB">
      <w:pPr>
        <w:rPr>
          <w:noProof/>
          <w:szCs w:val="22"/>
        </w:rPr>
      </w:pPr>
      <w:r w:rsidRPr="00F32F30">
        <w:t>Lote</w:t>
      </w:r>
    </w:p>
    <w:p w14:paraId="1E2104F7" w14:textId="77777777" w:rsidR="007402DB" w:rsidRPr="00F32F30" w:rsidRDefault="007402DB" w:rsidP="007402DB">
      <w:pPr>
        <w:spacing w:line="240" w:lineRule="auto"/>
        <w:rPr>
          <w:noProof/>
          <w:szCs w:val="22"/>
        </w:rPr>
      </w:pPr>
    </w:p>
    <w:p w14:paraId="73C849C6" w14:textId="77777777" w:rsidR="007402DB" w:rsidRPr="00F32F30" w:rsidRDefault="007402DB" w:rsidP="007402DB">
      <w:pPr>
        <w:spacing w:line="240" w:lineRule="auto"/>
        <w:rPr>
          <w:noProof/>
          <w:szCs w:val="22"/>
        </w:rPr>
      </w:pPr>
    </w:p>
    <w:p w14:paraId="65C32D29" w14:textId="77777777" w:rsidR="007402DB" w:rsidRPr="00F32F30" w:rsidRDefault="00454592" w:rsidP="007402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F32F30">
        <w:rPr>
          <w:b/>
          <w:noProof/>
        </w:rPr>
        <w:t>OTROS</w:t>
      </w:r>
    </w:p>
    <w:p w14:paraId="0BA85E08" w14:textId="77777777" w:rsidR="007402DB" w:rsidRPr="00F32F30" w:rsidRDefault="007402DB" w:rsidP="007402DB">
      <w:pPr>
        <w:spacing w:line="240" w:lineRule="auto"/>
        <w:rPr>
          <w:noProof/>
          <w:szCs w:val="22"/>
        </w:rPr>
      </w:pPr>
    </w:p>
    <w:p w14:paraId="552C0E1B" w14:textId="77777777" w:rsidR="007402DB" w:rsidRPr="00F32F30" w:rsidRDefault="007402DB" w:rsidP="007402DB">
      <w:pPr>
        <w:spacing w:line="240" w:lineRule="auto"/>
        <w:rPr>
          <w:noProof/>
          <w:szCs w:val="22"/>
        </w:rPr>
      </w:pPr>
    </w:p>
    <w:p w14:paraId="1625FA4D" w14:textId="77777777" w:rsidR="007402DB" w:rsidRPr="00F32F30" w:rsidRDefault="00454592" w:rsidP="007402DB">
      <w:r w:rsidRPr="00F32F30">
        <w:br w:type="page"/>
      </w:r>
    </w:p>
    <w:p w14:paraId="4A00234E" w14:textId="77777777" w:rsidR="007402DB" w:rsidRPr="00F32F30" w:rsidRDefault="007402DB" w:rsidP="007402DB">
      <w:pPr>
        <w:rPr>
          <w:noProof/>
        </w:rPr>
      </w:pPr>
    </w:p>
    <w:p w14:paraId="02573E2F" w14:textId="77777777" w:rsidR="007402DB" w:rsidRPr="00F32F30" w:rsidRDefault="007402DB" w:rsidP="007402DB">
      <w:pPr>
        <w:rPr>
          <w:noProof/>
        </w:rPr>
      </w:pPr>
    </w:p>
    <w:p w14:paraId="67F93231" w14:textId="77777777" w:rsidR="007402DB" w:rsidRPr="00F32F30" w:rsidRDefault="007402DB" w:rsidP="007402DB">
      <w:pPr>
        <w:rPr>
          <w:noProof/>
        </w:rPr>
      </w:pPr>
    </w:p>
    <w:p w14:paraId="5E076695" w14:textId="77777777" w:rsidR="007402DB" w:rsidRPr="00F32F30" w:rsidRDefault="007402DB" w:rsidP="007402DB">
      <w:pPr>
        <w:rPr>
          <w:noProof/>
        </w:rPr>
      </w:pPr>
    </w:p>
    <w:p w14:paraId="5CF7385F" w14:textId="77777777" w:rsidR="007402DB" w:rsidRPr="00F32F30" w:rsidRDefault="007402DB" w:rsidP="007402DB">
      <w:pPr>
        <w:rPr>
          <w:noProof/>
        </w:rPr>
      </w:pPr>
    </w:p>
    <w:p w14:paraId="133A70FA" w14:textId="77777777" w:rsidR="007402DB" w:rsidRPr="00F32F30" w:rsidRDefault="007402DB" w:rsidP="007402DB">
      <w:pPr>
        <w:rPr>
          <w:noProof/>
        </w:rPr>
      </w:pPr>
    </w:p>
    <w:p w14:paraId="440CDFD7" w14:textId="77777777" w:rsidR="007402DB" w:rsidRPr="00F32F30" w:rsidRDefault="007402DB" w:rsidP="007402DB">
      <w:pPr>
        <w:rPr>
          <w:noProof/>
        </w:rPr>
      </w:pPr>
    </w:p>
    <w:p w14:paraId="3CF41DB6" w14:textId="77777777" w:rsidR="007402DB" w:rsidRPr="00F32F30" w:rsidRDefault="007402DB" w:rsidP="007402DB">
      <w:pPr>
        <w:rPr>
          <w:noProof/>
        </w:rPr>
      </w:pPr>
    </w:p>
    <w:p w14:paraId="7C24AA74" w14:textId="77777777" w:rsidR="007402DB" w:rsidRPr="00F32F30" w:rsidRDefault="007402DB" w:rsidP="007402DB">
      <w:pPr>
        <w:rPr>
          <w:noProof/>
        </w:rPr>
      </w:pPr>
    </w:p>
    <w:p w14:paraId="25AC0E17" w14:textId="77777777" w:rsidR="007402DB" w:rsidRPr="00F32F30" w:rsidRDefault="007402DB" w:rsidP="007402DB">
      <w:pPr>
        <w:rPr>
          <w:noProof/>
        </w:rPr>
      </w:pPr>
    </w:p>
    <w:p w14:paraId="54A55C33" w14:textId="77777777" w:rsidR="007402DB" w:rsidRPr="00F32F30" w:rsidRDefault="007402DB" w:rsidP="007402DB">
      <w:pPr>
        <w:rPr>
          <w:noProof/>
        </w:rPr>
      </w:pPr>
    </w:p>
    <w:p w14:paraId="66CEF42E" w14:textId="77777777" w:rsidR="007402DB" w:rsidRPr="00F32F30" w:rsidRDefault="007402DB" w:rsidP="007402DB">
      <w:pPr>
        <w:rPr>
          <w:noProof/>
        </w:rPr>
      </w:pPr>
    </w:p>
    <w:p w14:paraId="2C7A78E1" w14:textId="77777777" w:rsidR="007402DB" w:rsidRPr="00F32F30" w:rsidRDefault="007402DB" w:rsidP="007402DB">
      <w:pPr>
        <w:rPr>
          <w:noProof/>
        </w:rPr>
      </w:pPr>
    </w:p>
    <w:p w14:paraId="717C265A" w14:textId="77777777" w:rsidR="007402DB" w:rsidRPr="00F32F30" w:rsidRDefault="007402DB" w:rsidP="007402DB">
      <w:pPr>
        <w:rPr>
          <w:noProof/>
        </w:rPr>
      </w:pPr>
    </w:p>
    <w:p w14:paraId="42D84A00" w14:textId="77777777" w:rsidR="007402DB" w:rsidRPr="00F32F30" w:rsidRDefault="007402DB" w:rsidP="007402DB">
      <w:pPr>
        <w:rPr>
          <w:noProof/>
        </w:rPr>
      </w:pPr>
    </w:p>
    <w:p w14:paraId="7E9BACDA" w14:textId="77777777" w:rsidR="007402DB" w:rsidRPr="00F32F30" w:rsidRDefault="007402DB" w:rsidP="007402DB">
      <w:pPr>
        <w:rPr>
          <w:noProof/>
        </w:rPr>
      </w:pPr>
    </w:p>
    <w:p w14:paraId="354312A5" w14:textId="77777777" w:rsidR="007402DB" w:rsidRPr="00F32F30" w:rsidRDefault="007402DB" w:rsidP="007402DB">
      <w:pPr>
        <w:rPr>
          <w:noProof/>
        </w:rPr>
      </w:pPr>
    </w:p>
    <w:p w14:paraId="692F09B3" w14:textId="77777777" w:rsidR="007402DB" w:rsidRPr="00F32F30" w:rsidRDefault="007402DB" w:rsidP="007402DB">
      <w:pPr>
        <w:rPr>
          <w:noProof/>
        </w:rPr>
      </w:pPr>
    </w:p>
    <w:p w14:paraId="4C93F5FD" w14:textId="77777777" w:rsidR="007402DB" w:rsidRPr="00F32F30" w:rsidRDefault="007402DB" w:rsidP="007402DB">
      <w:pPr>
        <w:rPr>
          <w:noProof/>
        </w:rPr>
      </w:pPr>
    </w:p>
    <w:p w14:paraId="6350BC35" w14:textId="77777777" w:rsidR="007402DB" w:rsidRPr="00F32F30" w:rsidRDefault="007402DB" w:rsidP="007402DB">
      <w:pPr>
        <w:rPr>
          <w:noProof/>
        </w:rPr>
      </w:pPr>
    </w:p>
    <w:p w14:paraId="2B511A2B" w14:textId="77777777" w:rsidR="007402DB" w:rsidRPr="00F32F30" w:rsidRDefault="007402DB" w:rsidP="007402DB">
      <w:pPr>
        <w:rPr>
          <w:noProof/>
        </w:rPr>
      </w:pPr>
    </w:p>
    <w:p w14:paraId="6165A016" w14:textId="77777777" w:rsidR="007402DB" w:rsidRPr="00F32F30" w:rsidRDefault="007402DB" w:rsidP="007402DB">
      <w:pPr>
        <w:rPr>
          <w:noProof/>
        </w:rPr>
      </w:pPr>
    </w:p>
    <w:p w14:paraId="12BB5C3D" w14:textId="77777777" w:rsidR="007402DB" w:rsidRPr="00F32F30" w:rsidRDefault="00454592" w:rsidP="007402DB">
      <w:pPr>
        <w:pStyle w:val="ListParagraph"/>
        <w:numPr>
          <w:ilvl w:val="0"/>
          <w:numId w:val="31"/>
        </w:numPr>
        <w:spacing w:line="240" w:lineRule="auto"/>
        <w:ind w:left="357" w:hanging="357"/>
        <w:jc w:val="center"/>
        <w:outlineLvl w:val="0"/>
        <w:rPr>
          <w:b/>
          <w:noProof/>
        </w:rPr>
      </w:pPr>
      <w:r w:rsidRPr="00F32F30">
        <w:rPr>
          <w:b/>
          <w:noProof/>
        </w:rPr>
        <w:t>PROSPECTO</w:t>
      </w:r>
    </w:p>
    <w:p w14:paraId="38CE4762" w14:textId="77777777" w:rsidR="007402DB" w:rsidRPr="00F32F30" w:rsidRDefault="00454592" w:rsidP="007402DB">
      <w:pPr>
        <w:tabs>
          <w:tab w:val="clear" w:pos="567"/>
        </w:tabs>
        <w:spacing w:line="240" w:lineRule="auto"/>
        <w:jc w:val="center"/>
        <w:outlineLvl w:val="0"/>
        <w:rPr>
          <w:noProof/>
          <w:szCs w:val="22"/>
        </w:rPr>
      </w:pPr>
      <w:r w:rsidRPr="00F32F30">
        <w:br w:type="page"/>
      </w:r>
      <w:r w:rsidRPr="00F32F30">
        <w:rPr>
          <w:b/>
          <w:noProof/>
        </w:rPr>
        <w:lastRenderedPageBreak/>
        <w:t>Prospecto: información para el paciente</w:t>
      </w:r>
    </w:p>
    <w:p w14:paraId="5C954F6B" w14:textId="77777777" w:rsidR="007402DB" w:rsidRPr="00F32F30" w:rsidRDefault="007402DB" w:rsidP="007402DB">
      <w:pPr>
        <w:numPr>
          <w:ilvl w:val="12"/>
          <w:numId w:val="0"/>
        </w:numPr>
        <w:shd w:val="clear" w:color="auto" w:fill="FFFFFF"/>
        <w:tabs>
          <w:tab w:val="clear" w:pos="567"/>
        </w:tabs>
        <w:spacing w:line="240" w:lineRule="auto"/>
        <w:jc w:val="center"/>
        <w:rPr>
          <w:noProof/>
          <w:szCs w:val="22"/>
        </w:rPr>
      </w:pPr>
    </w:p>
    <w:p w14:paraId="6714AD63" w14:textId="77777777" w:rsidR="007402DB" w:rsidRPr="00F32F30" w:rsidRDefault="00454592" w:rsidP="007402DB">
      <w:pPr>
        <w:jc w:val="center"/>
        <w:rPr>
          <w:b/>
          <w:noProof/>
          <w:szCs w:val="22"/>
        </w:rPr>
      </w:pPr>
      <w:r w:rsidRPr="00F32F30">
        <w:rPr>
          <w:b/>
          <w:noProof/>
        </w:rPr>
        <w:t>Cuprior 150 mg comprimidos</w:t>
      </w:r>
      <w:r w:rsidR="00345C8B" w:rsidRPr="00F32F30">
        <w:rPr>
          <w:b/>
          <w:noProof/>
        </w:rPr>
        <w:t xml:space="preserve"> recubiertos con película</w:t>
      </w:r>
    </w:p>
    <w:p w14:paraId="1F4C8FED" w14:textId="77777777" w:rsidR="007402DB" w:rsidRPr="00F32F30" w:rsidRDefault="00454592" w:rsidP="007402DB">
      <w:pPr>
        <w:numPr>
          <w:ilvl w:val="12"/>
          <w:numId w:val="0"/>
        </w:numPr>
        <w:tabs>
          <w:tab w:val="clear" w:pos="567"/>
        </w:tabs>
        <w:spacing w:line="240" w:lineRule="auto"/>
        <w:jc w:val="center"/>
        <w:rPr>
          <w:noProof/>
          <w:szCs w:val="22"/>
        </w:rPr>
      </w:pPr>
      <w:r w:rsidRPr="00F32F30">
        <w:t>trientina</w:t>
      </w:r>
    </w:p>
    <w:p w14:paraId="573A2C39" w14:textId="77777777" w:rsidR="007402DB" w:rsidRPr="00F32F30" w:rsidRDefault="007402DB" w:rsidP="007402DB">
      <w:pPr>
        <w:jc w:val="center"/>
        <w:rPr>
          <w:szCs w:val="22"/>
        </w:rPr>
      </w:pPr>
    </w:p>
    <w:p w14:paraId="6DBF583A" w14:textId="77777777" w:rsidR="007402DB" w:rsidRPr="00F32F30" w:rsidRDefault="00454592" w:rsidP="007402DB">
      <w:r w:rsidRPr="00F32F30">
        <w:t>También puede encontrar esta información capturando el código QR de abajo con un teléfono móvil o en la página web</w:t>
      </w:r>
      <w:r w:rsidRPr="00F32F30">
        <w:rPr>
          <w:i/>
          <w:noProof/>
        </w:rPr>
        <w:t xml:space="preserve"> </w:t>
      </w:r>
      <w:r w:rsidRPr="00F32F30">
        <w:rPr>
          <w:i/>
          <w:noProof/>
          <w:highlight w:val="lightGray"/>
        </w:rPr>
        <w:t>código QR</w:t>
      </w:r>
      <w:r w:rsidRPr="00F32F30">
        <w:rPr>
          <w:i/>
          <w:noProof/>
        </w:rPr>
        <w:t xml:space="preserve"> </w:t>
      </w:r>
      <w:hyperlink r:id="rId14" w:history="1">
        <w:r w:rsidRPr="00F32F30">
          <w:rPr>
            <w:rStyle w:val="Hyperlink"/>
          </w:rPr>
          <w:t>http://www.cuprior.com</w:t>
        </w:r>
      </w:hyperlink>
    </w:p>
    <w:p w14:paraId="60A89AE2" w14:textId="77777777" w:rsidR="007402DB" w:rsidRPr="00F32F30" w:rsidRDefault="007402DB" w:rsidP="007402DB">
      <w:pPr>
        <w:tabs>
          <w:tab w:val="clear" w:pos="567"/>
        </w:tabs>
        <w:spacing w:line="240" w:lineRule="auto"/>
        <w:rPr>
          <w:noProof/>
          <w:szCs w:val="22"/>
        </w:rPr>
      </w:pPr>
    </w:p>
    <w:p w14:paraId="3F4ACD02" w14:textId="77777777" w:rsidR="007402DB" w:rsidRPr="00F32F30" w:rsidRDefault="00454592" w:rsidP="007402DB">
      <w:pPr>
        <w:tabs>
          <w:tab w:val="clear" w:pos="567"/>
        </w:tabs>
        <w:suppressAutoHyphens/>
        <w:spacing w:line="240" w:lineRule="auto"/>
        <w:ind w:left="142" w:hanging="142"/>
        <w:rPr>
          <w:noProof/>
          <w:szCs w:val="22"/>
        </w:rPr>
      </w:pPr>
      <w:r w:rsidRPr="00F32F30">
        <w:rPr>
          <w:b/>
          <w:noProof/>
        </w:rPr>
        <w:t xml:space="preserve">Lea todo el prospecto </w:t>
      </w:r>
      <w:r w:rsidRPr="00F32F30">
        <w:rPr>
          <w:b/>
          <w:noProof/>
        </w:rPr>
        <w:t>detenidamente antes de empezar a tomar este medicamento, porque contiene información importante para usted.</w:t>
      </w:r>
    </w:p>
    <w:p w14:paraId="33A797B3" w14:textId="77777777" w:rsidR="007402DB" w:rsidRPr="00F32F30" w:rsidRDefault="00454592" w:rsidP="007402DB">
      <w:pPr>
        <w:numPr>
          <w:ilvl w:val="0"/>
          <w:numId w:val="3"/>
        </w:numPr>
        <w:tabs>
          <w:tab w:val="clear" w:pos="567"/>
        </w:tabs>
        <w:spacing w:line="240" w:lineRule="auto"/>
        <w:ind w:left="567" w:right="-2" w:hanging="567"/>
        <w:rPr>
          <w:noProof/>
          <w:szCs w:val="22"/>
        </w:rPr>
      </w:pPr>
      <w:r w:rsidRPr="00F32F30">
        <w:t xml:space="preserve">Conserve este prospecto, ya que puede tener que volver a leerlo. </w:t>
      </w:r>
    </w:p>
    <w:p w14:paraId="3F737CED" w14:textId="77777777" w:rsidR="007402DB" w:rsidRPr="00F32F30" w:rsidRDefault="00454592" w:rsidP="007402DB">
      <w:pPr>
        <w:numPr>
          <w:ilvl w:val="0"/>
          <w:numId w:val="3"/>
        </w:numPr>
        <w:tabs>
          <w:tab w:val="clear" w:pos="567"/>
        </w:tabs>
        <w:spacing w:line="240" w:lineRule="auto"/>
        <w:ind w:left="567" w:right="-2" w:hanging="567"/>
        <w:rPr>
          <w:noProof/>
          <w:szCs w:val="22"/>
        </w:rPr>
      </w:pPr>
      <w:r w:rsidRPr="00F32F30">
        <w:t>Si tiene alguna duda, consulte a su médico o farmacéutico.</w:t>
      </w:r>
    </w:p>
    <w:p w14:paraId="4C8C7434" w14:textId="77777777" w:rsidR="007402DB" w:rsidRPr="00F32F30" w:rsidRDefault="00454592" w:rsidP="007402DB">
      <w:pPr>
        <w:numPr>
          <w:ilvl w:val="0"/>
          <w:numId w:val="3"/>
        </w:numPr>
        <w:tabs>
          <w:tab w:val="clear" w:pos="567"/>
        </w:tabs>
        <w:spacing w:line="240" w:lineRule="auto"/>
        <w:ind w:left="567" w:right="-2" w:hanging="567"/>
        <w:rPr>
          <w:noProof/>
          <w:szCs w:val="22"/>
        </w:rPr>
      </w:pPr>
      <w:r w:rsidRPr="00F32F30">
        <w:t xml:space="preserve">Este medicamento se le </w:t>
      </w:r>
      <w:r w:rsidRPr="00F32F30">
        <w:t>ha recetado solamente a usted, y no debe dárselo a otras personas aunque tengan los mismos síntomas que usted, ya que puede perjudicarles.</w:t>
      </w:r>
      <w:r w:rsidRPr="00F32F30">
        <w:rPr>
          <w:noProof/>
          <w:color w:val="008000"/>
        </w:rPr>
        <w:t xml:space="preserve"> </w:t>
      </w:r>
    </w:p>
    <w:p w14:paraId="4352BC24" w14:textId="77777777" w:rsidR="007402DB" w:rsidRPr="00F32F30" w:rsidRDefault="00454592" w:rsidP="007402DB">
      <w:pPr>
        <w:numPr>
          <w:ilvl w:val="0"/>
          <w:numId w:val="3"/>
        </w:numPr>
        <w:spacing w:line="240" w:lineRule="auto"/>
        <w:ind w:left="567" w:hanging="567"/>
        <w:rPr>
          <w:szCs w:val="22"/>
        </w:rPr>
      </w:pPr>
      <w:r w:rsidRPr="00F32F30">
        <w:t>Si experimenta efectos adversos, consulte a su médico o farmacéutico,</w:t>
      </w:r>
      <w:r w:rsidRPr="00F32F30">
        <w:rPr>
          <w:color w:val="FF0000"/>
        </w:rPr>
        <w:t xml:space="preserve"> </w:t>
      </w:r>
      <w:r w:rsidRPr="00F32F30">
        <w:t>incluso si se trata de efectos adversos que no</w:t>
      </w:r>
      <w:r w:rsidRPr="00F32F30">
        <w:t xml:space="preserve"> aparecen en este prospecto. Ver sección 4.</w:t>
      </w:r>
    </w:p>
    <w:p w14:paraId="58089555" w14:textId="77777777" w:rsidR="007402DB" w:rsidRPr="00F32F30" w:rsidRDefault="007402DB" w:rsidP="007402DB">
      <w:pPr>
        <w:tabs>
          <w:tab w:val="clear" w:pos="567"/>
        </w:tabs>
        <w:spacing w:line="240" w:lineRule="auto"/>
        <w:ind w:right="-2"/>
        <w:rPr>
          <w:szCs w:val="22"/>
        </w:rPr>
      </w:pPr>
    </w:p>
    <w:p w14:paraId="5C55B911" w14:textId="77777777" w:rsidR="007402DB" w:rsidRPr="00F32F30" w:rsidRDefault="007402DB" w:rsidP="007402DB">
      <w:pPr>
        <w:tabs>
          <w:tab w:val="clear" w:pos="567"/>
        </w:tabs>
        <w:spacing w:line="240" w:lineRule="auto"/>
        <w:ind w:right="-2"/>
        <w:rPr>
          <w:noProof/>
          <w:szCs w:val="22"/>
        </w:rPr>
      </w:pPr>
    </w:p>
    <w:p w14:paraId="5FA99D30" w14:textId="77777777" w:rsidR="007402DB" w:rsidRPr="00F32F30" w:rsidRDefault="00454592" w:rsidP="007402DB">
      <w:pPr>
        <w:numPr>
          <w:ilvl w:val="12"/>
          <w:numId w:val="0"/>
        </w:numPr>
        <w:tabs>
          <w:tab w:val="clear" w:pos="567"/>
        </w:tabs>
        <w:spacing w:line="240" w:lineRule="auto"/>
        <w:ind w:right="-2"/>
        <w:rPr>
          <w:b/>
          <w:noProof/>
          <w:szCs w:val="22"/>
        </w:rPr>
      </w:pPr>
      <w:r w:rsidRPr="00F32F30">
        <w:rPr>
          <w:b/>
          <w:noProof/>
        </w:rPr>
        <w:t>Contenido del prospecto</w:t>
      </w:r>
    </w:p>
    <w:p w14:paraId="09001661" w14:textId="77777777" w:rsidR="007402DB" w:rsidRPr="00F32F30" w:rsidRDefault="007402DB" w:rsidP="007402DB">
      <w:pPr>
        <w:rPr>
          <w:noProof/>
        </w:rPr>
      </w:pPr>
    </w:p>
    <w:p w14:paraId="636735D8" w14:textId="77777777" w:rsidR="007402DB" w:rsidRPr="00F32F30" w:rsidRDefault="00454592" w:rsidP="007402DB">
      <w:pPr>
        <w:pStyle w:val="ListParagraph"/>
        <w:numPr>
          <w:ilvl w:val="0"/>
          <w:numId w:val="32"/>
        </w:numPr>
        <w:tabs>
          <w:tab w:val="clear" w:pos="567"/>
          <w:tab w:val="left" w:pos="426"/>
        </w:tabs>
        <w:spacing w:line="240" w:lineRule="auto"/>
        <w:ind w:left="420" w:right="-28"/>
        <w:rPr>
          <w:noProof/>
          <w:szCs w:val="22"/>
        </w:rPr>
      </w:pPr>
      <w:r w:rsidRPr="00F32F30">
        <w:t xml:space="preserve">Qué es Cuprior y para qué se utiliza </w:t>
      </w:r>
    </w:p>
    <w:p w14:paraId="09897890" w14:textId="77777777" w:rsidR="007402DB" w:rsidRPr="00F32F30" w:rsidRDefault="00454592" w:rsidP="007402DB">
      <w:pPr>
        <w:pStyle w:val="ListParagraph"/>
        <w:numPr>
          <w:ilvl w:val="0"/>
          <w:numId w:val="32"/>
        </w:numPr>
        <w:tabs>
          <w:tab w:val="clear" w:pos="567"/>
          <w:tab w:val="left" w:pos="426"/>
        </w:tabs>
        <w:spacing w:line="240" w:lineRule="auto"/>
        <w:ind w:left="420" w:right="-28"/>
        <w:rPr>
          <w:noProof/>
          <w:szCs w:val="22"/>
        </w:rPr>
      </w:pPr>
      <w:r w:rsidRPr="00F32F30">
        <w:t xml:space="preserve">Qué necesita saber antes de empezar a tomar Cuprior </w:t>
      </w:r>
    </w:p>
    <w:p w14:paraId="79E2DEA9" w14:textId="77777777" w:rsidR="007402DB" w:rsidRPr="00F32F30" w:rsidRDefault="00454592" w:rsidP="007402DB">
      <w:pPr>
        <w:pStyle w:val="ListParagraph"/>
        <w:numPr>
          <w:ilvl w:val="0"/>
          <w:numId w:val="32"/>
        </w:numPr>
        <w:tabs>
          <w:tab w:val="clear" w:pos="567"/>
          <w:tab w:val="left" w:pos="426"/>
        </w:tabs>
        <w:spacing w:line="240" w:lineRule="auto"/>
        <w:ind w:left="420" w:right="-28"/>
        <w:rPr>
          <w:noProof/>
          <w:szCs w:val="22"/>
        </w:rPr>
      </w:pPr>
      <w:r w:rsidRPr="00F32F30">
        <w:t xml:space="preserve">Cómo tomar Cuprior </w:t>
      </w:r>
    </w:p>
    <w:p w14:paraId="0F84FBFF" w14:textId="77777777" w:rsidR="007402DB" w:rsidRPr="00F32F30" w:rsidRDefault="00454592" w:rsidP="007402DB">
      <w:pPr>
        <w:pStyle w:val="ListParagraph"/>
        <w:numPr>
          <w:ilvl w:val="0"/>
          <w:numId w:val="32"/>
        </w:numPr>
        <w:tabs>
          <w:tab w:val="clear" w:pos="567"/>
          <w:tab w:val="left" w:pos="426"/>
        </w:tabs>
        <w:spacing w:line="240" w:lineRule="auto"/>
        <w:ind w:left="420" w:right="-28"/>
        <w:rPr>
          <w:noProof/>
          <w:szCs w:val="22"/>
        </w:rPr>
      </w:pPr>
      <w:r w:rsidRPr="00F32F30">
        <w:t xml:space="preserve">Posibles efectos adversos </w:t>
      </w:r>
    </w:p>
    <w:p w14:paraId="7BC43030" w14:textId="77777777" w:rsidR="007402DB" w:rsidRPr="00F32F30" w:rsidRDefault="00454592" w:rsidP="007402DB">
      <w:pPr>
        <w:pStyle w:val="ListParagraph"/>
        <w:numPr>
          <w:ilvl w:val="0"/>
          <w:numId w:val="32"/>
        </w:numPr>
        <w:tabs>
          <w:tab w:val="clear" w:pos="567"/>
          <w:tab w:val="left" w:pos="426"/>
        </w:tabs>
        <w:spacing w:line="240" w:lineRule="auto"/>
        <w:ind w:left="420" w:right="-28"/>
        <w:rPr>
          <w:noProof/>
          <w:szCs w:val="22"/>
        </w:rPr>
      </w:pPr>
      <w:r w:rsidRPr="00F32F30">
        <w:t xml:space="preserve">Conservación de Cuprior </w:t>
      </w:r>
    </w:p>
    <w:p w14:paraId="30799760" w14:textId="77777777" w:rsidR="007402DB" w:rsidRPr="00F32F30" w:rsidRDefault="00454592" w:rsidP="007402DB">
      <w:pPr>
        <w:pStyle w:val="ListParagraph"/>
        <w:numPr>
          <w:ilvl w:val="0"/>
          <w:numId w:val="32"/>
        </w:numPr>
        <w:tabs>
          <w:tab w:val="clear" w:pos="567"/>
          <w:tab w:val="left" w:pos="426"/>
        </w:tabs>
        <w:spacing w:line="240" w:lineRule="auto"/>
        <w:ind w:left="420" w:right="-28"/>
        <w:rPr>
          <w:noProof/>
          <w:szCs w:val="22"/>
        </w:rPr>
      </w:pPr>
      <w:r w:rsidRPr="00F32F30">
        <w:t xml:space="preserve">Contenido del </w:t>
      </w:r>
      <w:r w:rsidRPr="00F32F30">
        <w:t>envase e información adicional</w:t>
      </w:r>
    </w:p>
    <w:p w14:paraId="43B1141E" w14:textId="77777777" w:rsidR="007402DB" w:rsidRPr="00F32F30" w:rsidRDefault="007402DB" w:rsidP="007402DB">
      <w:pPr>
        <w:numPr>
          <w:ilvl w:val="12"/>
          <w:numId w:val="0"/>
        </w:numPr>
        <w:tabs>
          <w:tab w:val="clear" w:pos="567"/>
        </w:tabs>
        <w:spacing w:line="240" w:lineRule="auto"/>
        <w:ind w:right="-2"/>
        <w:rPr>
          <w:noProof/>
          <w:szCs w:val="22"/>
        </w:rPr>
      </w:pPr>
    </w:p>
    <w:p w14:paraId="7B5D9F5B" w14:textId="77777777" w:rsidR="007402DB" w:rsidRPr="00F32F30" w:rsidRDefault="007402DB" w:rsidP="007402DB">
      <w:pPr>
        <w:numPr>
          <w:ilvl w:val="12"/>
          <w:numId w:val="0"/>
        </w:numPr>
        <w:tabs>
          <w:tab w:val="clear" w:pos="567"/>
        </w:tabs>
        <w:spacing w:line="240" w:lineRule="auto"/>
        <w:rPr>
          <w:noProof/>
          <w:szCs w:val="22"/>
        </w:rPr>
      </w:pPr>
    </w:p>
    <w:p w14:paraId="51B76BCE" w14:textId="77777777" w:rsidR="007402DB" w:rsidRPr="00F32F30" w:rsidRDefault="00454592" w:rsidP="007402DB">
      <w:pPr>
        <w:pStyle w:val="ListParagraph"/>
        <w:numPr>
          <w:ilvl w:val="0"/>
          <w:numId w:val="33"/>
        </w:numPr>
        <w:tabs>
          <w:tab w:val="clear" w:pos="567"/>
        </w:tabs>
        <w:spacing w:line="240" w:lineRule="auto"/>
        <w:ind w:left="720"/>
        <w:outlineLvl w:val="0"/>
        <w:rPr>
          <w:b/>
          <w:noProof/>
          <w:szCs w:val="22"/>
        </w:rPr>
      </w:pPr>
      <w:r w:rsidRPr="00F32F30">
        <w:rPr>
          <w:b/>
          <w:noProof/>
        </w:rPr>
        <w:t>Qué es Cuprior y para qué se utiliza</w:t>
      </w:r>
    </w:p>
    <w:p w14:paraId="04AFA085" w14:textId="77777777" w:rsidR="007402DB" w:rsidRPr="00F32F30" w:rsidRDefault="007402DB" w:rsidP="007402DB">
      <w:pPr>
        <w:numPr>
          <w:ilvl w:val="12"/>
          <w:numId w:val="0"/>
        </w:numPr>
        <w:tabs>
          <w:tab w:val="clear" w:pos="567"/>
        </w:tabs>
        <w:spacing w:line="240" w:lineRule="auto"/>
        <w:rPr>
          <w:noProof/>
          <w:szCs w:val="22"/>
        </w:rPr>
      </w:pPr>
    </w:p>
    <w:p w14:paraId="60ADCA42" w14:textId="77777777" w:rsidR="007402DB" w:rsidRPr="00F32F30" w:rsidRDefault="00454592" w:rsidP="007402DB">
      <w:pPr>
        <w:numPr>
          <w:ilvl w:val="12"/>
          <w:numId w:val="0"/>
        </w:numPr>
        <w:tabs>
          <w:tab w:val="clear" w:pos="567"/>
        </w:tabs>
        <w:spacing w:line="240" w:lineRule="auto"/>
        <w:rPr>
          <w:noProof/>
          <w:szCs w:val="22"/>
        </w:rPr>
      </w:pPr>
      <w:r w:rsidRPr="00F32F30">
        <w:t xml:space="preserve">Cuprior es un medicamento utilizado para tratar la enfermedad de Wilson que contiene el principio activo trientina. </w:t>
      </w:r>
    </w:p>
    <w:p w14:paraId="06352BCF" w14:textId="77777777" w:rsidR="007402DB" w:rsidRPr="00F32F30" w:rsidRDefault="007402DB" w:rsidP="007402DB">
      <w:pPr>
        <w:numPr>
          <w:ilvl w:val="12"/>
          <w:numId w:val="0"/>
        </w:numPr>
        <w:tabs>
          <w:tab w:val="clear" w:pos="567"/>
        </w:tabs>
        <w:spacing w:line="240" w:lineRule="auto"/>
        <w:rPr>
          <w:noProof/>
          <w:szCs w:val="22"/>
        </w:rPr>
      </w:pPr>
    </w:p>
    <w:p w14:paraId="40DE51E8" w14:textId="77777777" w:rsidR="007402DB" w:rsidRPr="00F32F30" w:rsidRDefault="00454592" w:rsidP="007402DB">
      <w:pPr>
        <w:numPr>
          <w:ilvl w:val="12"/>
          <w:numId w:val="0"/>
        </w:numPr>
        <w:tabs>
          <w:tab w:val="clear" w:pos="567"/>
        </w:tabs>
        <w:spacing w:line="240" w:lineRule="auto"/>
        <w:rPr>
          <w:noProof/>
          <w:szCs w:val="22"/>
        </w:rPr>
      </w:pPr>
      <w:r w:rsidRPr="00F32F30">
        <w:t xml:space="preserve">La enfermedad de Wilson es una enfermedad hereditaria en la que el </w:t>
      </w:r>
      <w:r w:rsidRPr="00F32F30">
        <w:t>organismo no puede transportar el cobre de la manera normal o no puede eliminar el cobre de la manera normal en forma de secreción del hígado en el intestino. Por este motivo, las pequeñas cantidades de cobre ingeridas con los alimentos y bebidas se van ac</w:t>
      </w:r>
      <w:r w:rsidRPr="00F32F30">
        <w:t>umulando en niveles excesivos, lo que puede provocar lesiones hepáticas y problemas en el sistema nervioso. Este medicamento actúa principalmente uniéndose al cobre del organismo, que después puede ser eliminado en la orina, lo que ayuda a reducir los nive</w:t>
      </w:r>
      <w:r w:rsidRPr="00F32F30">
        <w:t xml:space="preserve">les de cobre. También puede unirse al cobre en el intestino y, de este modo, reducir la cantidad de cobre absorbida por el organismo. </w:t>
      </w:r>
    </w:p>
    <w:p w14:paraId="2BF9037B" w14:textId="77777777" w:rsidR="007402DB" w:rsidRPr="00F32F30" w:rsidRDefault="00454592" w:rsidP="007402DB">
      <w:pPr>
        <w:numPr>
          <w:ilvl w:val="12"/>
          <w:numId w:val="0"/>
        </w:numPr>
        <w:tabs>
          <w:tab w:val="clear" w:pos="567"/>
        </w:tabs>
        <w:spacing w:line="240" w:lineRule="auto"/>
        <w:rPr>
          <w:noProof/>
          <w:szCs w:val="22"/>
        </w:rPr>
      </w:pPr>
      <w:r w:rsidRPr="00F32F30">
        <w:t xml:space="preserve">Cuprior se administra a adultos, adolescentes y niños de 5 años de edad o mayores que no pueden tolerar otro medicamento </w:t>
      </w:r>
      <w:r w:rsidRPr="00F32F30">
        <w:t>utilizado para tratar esta enfermedad llamado penicilamina.</w:t>
      </w:r>
    </w:p>
    <w:p w14:paraId="0B074321" w14:textId="77777777" w:rsidR="007402DB" w:rsidRPr="00F32F30" w:rsidRDefault="007402DB" w:rsidP="007402DB">
      <w:pPr>
        <w:tabs>
          <w:tab w:val="clear" w:pos="567"/>
        </w:tabs>
        <w:spacing w:line="240" w:lineRule="auto"/>
        <w:ind w:right="-2"/>
        <w:rPr>
          <w:noProof/>
          <w:szCs w:val="22"/>
        </w:rPr>
      </w:pPr>
    </w:p>
    <w:p w14:paraId="30A6FA5E" w14:textId="77777777" w:rsidR="007402DB" w:rsidRPr="00F32F30" w:rsidRDefault="007402DB" w:rsidP="007402DB">
      <w:pPr>
        <w:tabs>
          <w:tab w:val="clear" w:pos="567"/>
        </w:tabs>
        <w:spacing w:line="240" w:lineRule="auto"/>
        <w:ind w:right="-2"/>
        <w:rPr>
          <w:noProof/>
          <w:szCs w:val="22"/>
        </w:rPr>
      </w:pPr>
    </w:p>
    <w:p w14:paraId="10DFB687" w14:textId="77777777" w:rsidR="007402DB" w:rsidRPr="00F32F30" w:rsidRDefault="00454592" w:rsidP="007402DB">
      <w:pPr>
        <w:pStyle w:val="ListParagraph"/>
        <w:numPr>
          <w:ilvl w:val="0"/>
          <w:numId w:val="33"/>
        </w:numPr>
        <w:tabs>
          <w:tab w:val="clear" w:pos="567"/>
        </w:tabs>
        <w:spacing w:line="240" w:lineRule="auto"/>
        <w:ind w:left="720"/>
        <w:outlineLvl w:val="0"/>
        <w:rPr>
          <w:b/>
          <w:noProof/>
          <w:szCs w:val="22"/>
        </w:rPr>
      </w:pPr>
      <w:r w:rsidRPr="00F32F30">
        <w:rPr>
          <w:b/>
          <w:noProof/>
        </w:rPr>
        <w:t xml:space="preserve">Qué necesita saber antes de empezar a tomar Cuprior </w:t>
      </w:r>
    </w:p>
    <w:p w14:paraId="716A0C5E" w14:textId="77777777" w:rsidR="007402DB" w:rsidRPr="00F32F30" w:rsidRDefault="007402DB" w:rsidP="007402DB">
      <w:pPr>
        <w:rPr>
          <w:noProof/>
        </w:rPr>
      </w:pPr>
    </w:p>
    <w:p w14:paraId="0C695C40" w14:textId="77777777" w:rsidR="007402DB" w:rsidRPr="00F32F30" w:rsidRDefault="00454592" w:rsidP="007402DB">
      <w:pPr>
        <w:numPr>
          <w:ilvl w:val="12"/>
          <w:numId w:val="0"/>
        </w:numPr>
        <w:tabs>
          <w:tab w:val="clear" w:pos="567"/>
        </w:tabs>
        <w:spacing w:line="240" w:lineRule="auto"/>
        <w:rPr>
          <w:b/>
          <w:szCs w:val="22"/>
        </w:rPr>
      </w:pPr>
      <w:r w:rsidRPr="00F32F30">
        <w:rPr>
          <w:b/>
        </w:rPr>
        <w:t>No tome Cuprior</w:t>
      </w:r>
    </w:p>
    <w:p w14:paraId="4104BE85" w14:textId="77777777" w:rsidR="007402DB" w:rsidRPr="00F32F30" w:rsidRDefault="00454592" w:rsidP="007402DB">
      <w:pPr>
        <w:numPr>
          <w:ilvl w:val="12"/>
          <w:numId w:val="0"/>
        </w:numPr>
        <w:tabs>
          <w:tab w:val="clear" w:pos="567"/>
        </w:tabs>
        <w:spacing w:line="240" w:lineRule="auto"/>
        <w:rPr>
          <w:szCs w:val="22"/>
        </w:rPr>
      </w:pPr>
      <w:r w:rsidRPr="00F32F30">
        <w:t>si es alérgico a la trientina</w:t>
      </w:r>
      <w:r w:rsidRPr="00F32F30">
        <w:t xml:space="preserve"> o a alguno de los demás componentes de este medicamento (incluidos en la sección 6); </w:t>
      </w:r>
    </w:p>
    <w:p w14:paraId="6E0DC1CA" w14:textId="77777777" w:rsidR="007402DB" w:rsidRPr="00F32F30" w:rsidRDefault="007402DB" w:rsidP="007402DB">
      <w:pPr>
        <w:numPr>
          <w:ilvl w:val="12"/>
          <w:numId w:val="0"/>
        </w:numPr>
        <w:tabs>
          <w:tab w:val="clear" w:pos="567"/>
        </w:tabs>
        <w:spacing w:line="240" w:lineRule="auto"/>
        <w:rPr>
          <w:noProof/>
          <w:szCs w:val="22"/>
        </w:rPr>
      </w:pPr>
    </w:p>
    <w:p w14:paraId="20D05B8B" w14:textId="77777777" w:rsidR="007402DB" w:rsidRPr="00F32F30" w:rsidRDefault="00454592" w:rsidP="007402DB">
      <w:pPr>
        <w:numPr>
          <w:ilvl w:val="12"/>
          <w:numId w:val="0"/>
        </w:numPr>
        <w:tabs>
          <w:tab w:val="clear" w:pos="567"/>
        </w:tabs>
        <w:spacing w:line="240" w:lineRule="auto"/>
        <w:rPr>
          <w:b/>
          <w:szCs w:val="22"/>
        </w:rPr>
      </w:pPr>
      <w:r w:rsidRPr="00F32F30">
        <w:rPr>
          <w:b/>
        </w:rPr>
        <w:t xml:space="preserve">Advertencias y precauciones </w:t>
      </w:r>
    </w:p>
    <w:p w14:paraId="7454B265" w14:textId="77777777" w:rsidR="007402DB" w:rsidRPr="00F32F30" w:rsidRDefault="00454592" w:rsidP="007402DB">
      <w:pPr>
        <w:numPr>
          <w:ilvl w:val="12"/>
          <w:numId w:val="0"/>
        </w:numPr>
        <w:tabs>
          <w:tab w:val="clear" w:pos="567"/>
        </w:tabs>
        <w:spacing w:line="240" w:lineRule="auto"/>
        <w:rPr>
          <w:szCs w:val="22"/>
        </w:rPr>
      </w:pPr>
      <w:r w:rsidRPr="00F32F30">
        <w:t>Consulte a su médico o farmacéutico antes de empezar a tomar Cuprior.</w:t>
      </w:r>
    </w:p>
    <w:p w14:paraId="704CB0CB" w14:textId="77777777" w:rsidR="007402DB" w:rsidRPr="00F32F30" w:rsidRDefault="007402DB" w:rsidP="007402DB">
      <w:pPr>
        <w:numPr>
          <w:ilvl w:val="12"/>
          <w:numId w:val="0"/>
        </w:numPr>
        <w:tabs>
          <w:tab w:val="clear" w:pos="567"/>
        </w:tabs>
        <w:spacing w:line="240" w:lineRule="auto"/>
        <w:rPr>
          <w:noProof/>
          <w:szCs w:val="22"/>
        </w:rPr>
      </w:pPr>
    </w:p>
    <w:p w14:paraId="49274F5C" w14:textId="77777777" w:rsidR="007402DB" w:rsidRPr="00F32F30" w:rsidRDefault="00454592" w:rsidP="007402DB">
      <w:pPr>
        <w:numPr>
          <w:ilvl w:val="12"/>
          <w:numId w:val="0"/>
        </w:numPr>
        <w:tabs>
          <w:tab w:val="clear" w:pos="567"/>
        </w:tabs>
        <w:spacing w:line="240" w:lineRule="auto"/>
        <w:rPr>
          <w:noProof/>
          <w:szCs w:val="22"/>
        </w:rPr>
      </w:pPr>
      <w:r w:rsidRPr="00F32F30">
        <w:t>Si ya estaba tomando otro medicamento con trientina, su médico podrí</w:t>
      </w:r>
      <w:r w:rsidRPr="00F32F30">
        <w:t xml:space="preserve">a modificar su dosis diaria, el número de comprimidos o el número de tomas al día cuando sustituya su tratamiento por Cuprior. </w:t>
      </w:r>
    </w:p>
    <w:p w14:paraId="041C60C1" w14:textId="77777777" w:rsidR="007402DB" w:rsidRPr="00F32F30" w:rsidRDefault="007402DB" w:rsidP="007402DB">
      <w:pPr>
        <w:numPr>
          <w:ilvl w:val="12"/>
          <w:numId w:val="0"/>
        </w:numPr>
        <w:tabs>
          <w:tab w:val="clear" w:pos="567"/>
        </w:tabs>
        <w:spacing w:line="240" w:lineRule="auto"/>
        <w:rPr>
          <w:noProof/>
          <w:szCs w:val="22"/>
        </w:rPr>
      </w:pPr>
    </w:p>
    <w:p w14:paraId="4FB887E8" w14:textId="77777777" w:rsidR="007402DB" w:rsidRPr="00F32F30" w:rsidRDefault="00454592" w:rsidP="007402DB">
      <w:pPr>
        <w:numPr>
          <w:ilvl w:val="12"/>
          <w:numId w:val="0"/>
        </w:numPr>
        <w:tabs>
          <w:tab w:val="clear" w:pos="567"/>
        </w:tabs>
        <w:spacing w:line="240" w:lineRule="auto"/>
        <w:rPr>
          <w:noProof/>
          <w:szCs w:val="22"/>
        </w:rPr>
      </w:pPr>
      <w:r w:rsidRPr="00F32F30">
        <w:lastRenderedPageBreak/>
        <w:t>Sus síntomas pueden empeorar cuando empiece el tratamiento. En este caso,debeinformar a su médico.</w:t>
      </w:r>
    </w:p>
    <w:p w14:paraId="7542A72B" w14:textId="77777777" w:rsidR="007402DB" w:rsidRPr="00F32F30" w:rsidRDefault="007402DB" w:rsidP="007402DB">
      <w:pPr>
        <w:numPr>
          <w:ilvl w:val="12"/>
          <w:numId w:val="0"/>
        </w:numPr>
        <w:tabs>
          <w:tab w:val="clear" w:pos="567"/>
        </w:tabs>
        <w:spacing w:line="240" w:lineRule="auto"/>
        <w:rPr>
          <w:noProof/>
          <w:szCs w:val="22"/>
        </w:rPr>
      </w:pPr>
    </w:p>
    <w:p w14:paraId="19141F4C" w14:textId="77777777" w:rsidR="007402DB" w:rsidRPr="00F32F30" w:rsidRDefault="00454592" w:rsidP="007402DB">
      <w:pPr>
        <w:numPr>
          <w:ilvl w:val="12"/>
          <w:numId w:val="0"/>
        </w:numPr>
        <w:tabs>
          <w:tab w:val="clear" w:pos="567"/>
        </w:tabs>
        <w:spacing w:line="240" w:lineRule="auto"/>
        <w:rPr>
          <w:noProof/>
          <w:szCs w:val="22"/>
        </w:rPr>
      </w:pPr>
      <w:r w:rsidRPr="00F32F30">
        <w:t xml:space="preserve">Su médico le hará análisis </w:t>
      </w:r>
      <w:r w:rsidRPr="00F32F30">
        <w:t xml:space="preserve">periódicos de sangre y orina para asegurarse de que esté recibiendo la dosis correcta de Cuprior para controlar sus síntomas y sus niveles de cobre. </w:t>
      </w:r>
    </w:p>
    <w:p w14:paraId="3401780F" w14:textId="77777777" w:rsidR="007402DB" w:rsidRPr="00F32F30" w:rsidRDefault="007402DB" w:rsidP="007402DB">
      <w:pPr>
        <w:numPr>
          <w:ilvl w:val="12"/>
          <w:numId w:val="0"/>
        </w:numPr>
        <w:tabs>
          <w:tab w:val="clear" w:pos="567"/>
        </w:tabs>
        <w:spacing w:line="240" w:lineRule="auto"/>
        <w:rPr>
          <w:noProof/>
          <w:szCs w:val="22"/>
        </w:rPr>
      </w:pPr>
    </w:p>
    <w:p w14:paraId="37679BEF" w14:textId="77777777" w:rsidR="007402DB" w:rsidRPr="00F32F30" w:rsidRDefault="00454592" w:rsidP="007402DB">
      <w:pPr>
        <w:numPr>
          <w:ilvl w:val="12"/>
          <w:numId w:val="0"/>
        </w:numPr>
        <w:tabs>
          <w:tab w:val="clear" w:pos="567"/>
        </w:tabs>
        <w:spacing w:line="240" w:lineRule="auto"/>
        <w:rPr>
          <w:noProof/>
          <w:szCs w:val="22"/>
        </w:rPr>
      </w:pPr>
      <w:r w:rsidRPr="00F32F30">
        <w:t xml:space="preserve">Debe informar a su médico si sufre algún efecto adverso, ya que esto podría ser indicativo de que es necesario ajustar su dosis de Cuprior al alza o a la baja. </w:t>
      </w:r>
    </w:p>
    <w:p w14:paraId="1CD5FA6A" w14:textId="77777777" w:rsidR="007402DB" w:rsidRPr="00F32F30" w:rsidRDefault="007402DB" w:rsidP="007402DB">
      <w:pPr>
        <w:numPr>
          <w:ilvl w:val="12"/>
          <w:numId w:val="0"/>
        </w:numPr>
        <w:tabs>
          <w:tab w:val="clear" w:pos="567"/>
        </w:tabs>
        <w:spacing w:line="240" w:lineRule="auto"/>
        <w:rPr>
          <w:noProof/>
          <w:szCs w:val="22"/>
        </w:rPr>
      </w:pPr>
    </w:p>
    <w:p w14:paraId="57F47F23" w14:textId="77777777" w:rsidR="007402DB" w:rsidRPr="00F32F30" w:rsidRDefault="00454592" w:rsidP="007402DB">
      <w:pPr>
        <w:numPr>
          <w:ilvl w:val="12"/>
          <w:numId w:val="0"/>
        </w:numPr>
        <w:tabs>
          <w:tab w:val="clear" w:pos="567"/>
        </w:tabs>
        <w:spacing w:line="240" w:lineRule="auto"/>
        <w:ind w:right="-2"/>
        <w:rPr>
          <w:noProof/>
          <w:szCs w:val="22"/>
        </w:rPr>
      </w:pPr>
      <w:r w:rsidRPr="00F32F30">
        <w:t>Este medicamento también puede reducir el nivel de hierro en la sangre, por lo que su médico p</w:t>
      </w:r>
      <w:r w:rsidRPr="00F32F30">
        <w:t>uede recetarle suplementos de hierro (ver sección «Otros medicamentos y Cuprior», más abajo).</w:t>
      </w:r>
    </w:p>
    <w:p w14:paraId="59BE3841" w14:textId="77777777" w:rsidR="007402DB" w:rsidRPr="00F32F30" w:rsidRDefault="007402DB" w:rsidP="007402DB">
      <w:pPr>
        <w:numPr>
          <w:ilvl w:val="12"/>
          <w:numId w:val="0"/>
        </w:numPr>
        <w:tabs>
          <w:tab w:val="clear" w:pos="567"/>
        </w:tabs>
        <w:spacing w:line="240" w:lineRule="auto"/>
        <w:ind w:right="-2"/>
        <w:rPr>
          <w:noProof/>
          <w:szCs w:val="22"/>
        </w:rPr>
      </w:pPr>
    </w:p>
    <w:p w14:paraId="71810DF2" w14:textId="77777777" w:rsidR="007402DB" w:rsidRPr="00F32F30" w:rsidRDefault="00454592" w:rsidP="007402DB">
      <w:pPr>
        <w:numPr>
          <w:ilvl w:val="12"/>
          <w:numId w:val="0"/>
        </w:numPr>
        <w:tabs>
          <w:tab w:val="clear" w:pos="567"/>
        </w:tabs>
        <w:spacing w:line="240" w:lineRule="auto"/>
        <w:ind w:right="-2"/>
        <w:rPr>
          <w:noProof/>
          <w:szCs w:val="22"/>
        </w:rPr>
      </w:pPr>
      <w:r w:rsidRPr="00F32F30">
        <w:t>Si tiene problemas renales, su médico comprobará periódicamente que la dosis del tratamiento es adecuada y que no está afectando al funcionamiento de los riñones</w:t>
      </w:r>
      <w:r w:rsidRPr="00F32F30">
        <w:t>.</w:t>
      </w:r>
    </w:p>
    <w:p w14:paraId="7F00F22C" w14:textId="77777777" w:rsidR="007402DB" w:rsidRPr="00F32F30" w:rsidRDefault="007402DB" w:rsidP="007402DB">
      <w:pPr>
        <w:numPr>
          <w:ilvl w:val="12"/>
          <w:numId w:val="0"/>
        </w:numPr>
        <w:tabs>
          <w:tab w:val="clear" w:pos="567"/>
        </w:tabs>
        <w:spacing w:line="240" w:lineRule="auto"/>
        <w:ind w:right="-2"/>
        <w:rPr>
          <w:noProof/>
          <w:szCs w:val="22"/>
        </w:rPr>
      </w:pPr>
    </w:p>
    <w:p w14:paraId="62578C86" w14:textId="77777777" w:rsidR="007402DB" w:rsidRPr="00F32F30" w:rsidRDefault="00454592" w:rsidP="007402DB">
      <w:pPr>
        <w:numPr>
          <w:ilvl w:val="12"/>
          <w:numId w:val="0"/>
        </w:numPr>
        <w:tabs>
          <w:tab w:val="clear" w:pos="567"/>
        </w:tabs>
        <w:spacing w:line="240" w:lineRule="auto"/>
        <w:ind w:right="-2"/>
        <w:rPr>
          <w:noProof/>
          <w:szCs w:val="22"/>
        </w:rPr>
      </w:pPr>
      <w:r w:rsidRPr="00F32F30">
        <w:t xml:space="preserve">No se recomienda la asociación de trientina con otro medicamento que contenga cinc. </w:t>
      </w:r>
    </w:p>
    <w:p w14:paraId="53B6EB56" w14:textId="77777777" w:rsidR="007402DB" w:rsidRPr="00F32F30" w:rsidRDefault="007402DB" w:rsidP="007402DB">
      <w:pPr>
        <w:numPr>
          <w:ilvl w:val="12"/>
          <w:numId w:val="0"/>
        </w:numPr>
        <w:tabs>
          <w:tab w:val="clear" w:pos="567"/>
        </w:tabs>
        <w:spacing w:line="240" w:lineRule="auto"/>
        <w:ind w:right="-2"/>
        <w:rPr>
          <w:noProof/>
          <w:szCs w:val="22"/>
        </w:rPr>
      </w:pPr>
    </w:p>
    <w:p w14:paraId="2B6F2958" w14:textId="77777777" w:rsidR="007402DB" w:rsidRPr="00F32F30" w:rsidRDefault="00454592" w:rsidP="007402DB">
      <w:pPr>
        <w:tabs>
          <w:tab w:val="clear" w:pos="567"/>
        </w:tabs>
        <w:autoSpaceDE w:val="0"/>
        <w:autoSpaceDN w:val="0"/>
        <w:adjustRightInd w:val="0"/>
        <w:spacing w:line="240" w:lineRule="auto"/>
        <w:rPr>
          <w:rFonts w:eastAsia="SimSun"/>
          <w:szCs w:val="22"/>
        </w:rPr>
      </w:pPr>
      <w:r w:rsidRPr="00F32F30">
        <w:t>Se han comunicado reacciones pseudolúpicas (con síntomas como erupción cutánea persistente, fiebre, dolor articular y cansancio) en algunos pacientes que cambiaron a t</w:t>
      </w:r>
      <w:r w:rsidRPr="00F32F30">
        <w:t xml:space="preserve">rientina tras recibir el medicamento penicilamina. No obstante, no fue posible determinar si la reacción fue causada por la trientina o por el tratamiento previo con penicilamina. </w:t>
      </w:r>
    </w:p>
    <w:p w14:paraId="6291EC69" w14:textId="77777777" w:rsidR="007402DB" w:rsidRPr="00F32F30" w:rsidRDefault="007402DB" w:rsidP="007402DB">
      <w:pPr>
        <w:numPr>
          <w:ilvl w:val="12"/>
          <w:numId w:val="0"/>
        </w:numPr>
        <w:tabs>
          <w:tab w:val="clear" w:pos="567"/>
        </w:tabs>
        <w:spacing w:line="240" w:lineRule="auto"/>
        <w:ind w:right="-2"/>
        <w:rPr>
          <w:noProof/>
          <w:szCs w:val="22"/>
        </w:rPr>
      </w:pPr>
    </w:p>
    <w:p w14:paraId="13275103" w14:textId="77777777" w:rsidR="007402DB" w:rsidRPr="00F32F30" w:rsidRDefault="00454592" w:rsidP="007402DB">
      <w:pPr>
        <w:rPr>
          <w:rFonts w:eastAsia="SimSun"/>
          <w:b/>
          <w:bCs/>
          <w:szCs w:val="22"/>
        </w:rPr>
      </w:pPr>
      <w:r w:rsidRPr="00F32F30">
        <w:rPr>
          <w:b/>
        </w:rPr>
        <w:t>Niños y adolescentes</w:t>
      </w:r>
    </w:p>
    <w:p w14:paraId="665BA3E6" w14:textId="77777777" w:rsidR="007402DB" w:rsidRPr="00F32F30" w:rsidRDefault="00454592" w:rsidP="007402DB">
      <w:pPr>
        <w:rPr>
          <w:noProof/>
          <w:szCs w:val="22"/>
        </w:rPr>
      </w:pPr>
      <w:r w:rsidRPr="00F32F30">
        <w:t xml:space="preserve">Su médico le hará revisiones más frecuentes para asegurarse de que sus niveles de cobre se mantienen en un nivel adecuado para el crecimiento y el desarrollo mental. </w:t>
      </w:r>
    </w:p>
    <w:p w14:paraId="64AB9727" w14:textId="77777777" w:rsidR="007402DB" w:rsidRPr="00F32F30" w:rsidRDefault="00454592" w:rsidP="007402DB">
      <w:pPr>
        <w:rPr>
          <w:noProof/>
          <w:szCs w:val="22"/>
        </w:rPr>
      </w:pPr>
      <w:r w:rsidRPr="00F32F30">
        <w:t>Este medicamento no está recomendado en niños menores de 5 años.</w:t>
      </w:r>
    </w:p>
    <w:p w14:paraId="25D2A2E3" w14:textId="77777777" w:rsidR="007402DB" w:rsidRPr="00F32F30" w:rsidRDefault="007402DB" w:rsidP="007402DB">
      <w:pPr>
        <w:rPr>
          <w:noProof/>
          <w:szCs w:val="22"/>
          <w:highlight w:val="yellow"/>
        </w:rPr>
      </w:pPr>
    </w:p>
    <w:p w14:paraId="1CBFB1A3" w14:textId="77777777" w:rsidR="007402DB" w:rsidRPr="00F32F30" w:rsidRDefault="00454592" w:rsidP="007402DB">
      <w:pPr>
        <w:numPr>
          <w:ilvl w:val="12"/>
          <w:numId w:val="0"/>
        </w:numPr>
        <w:tabs>
          <w:tab w:val="clear" w:pos="567"/>
        </w:tabs>
        <w:spacing w:line="240" w:lineRule="auto"/>
        <w:ind w:right="-2"/>
        <w:rPr>
          <w:szCs w:val="22"/>
        </w:rPr>
      </w:pPr>
      <w:r w:rsidRPr="00F32F30">
        <w:rPr>
          <w:b/>
        </w:rPr>
        <w:t>Otros medicamentos y Cu</w:t>
      </w:r>
      <w:r w:rsidRPr="00F32F30">
        <w:rPr>
          <w:b/>
        </w:rPr>
        <w:t>prior</w:t>
      </w:r>
    </w:p>
    <w:p w14:paraId="010E8586" w14:textId="77777777" w:rsidR="007402DB" w:rsidRPr="00F32F30" w:rsidRDefault="00454592" w:rsidP="007402DB">
      <w:pPr>
        <w:numPr>
          <w:ilvl w:val="12"/>
          <w:numId w:val="0"/>
        </w:numPr>
        <w:tabs>
          <w:tab w:val="clear" w:pos="567"/>
        </w:tabs>
        <w:spacing w:line="240" w:lineRule="auto"/>
        <w:ind w:right="-2"/>
        <w:rPr>
          <w:noProof/>
          <w:szCs w:val="22"/>
        </w:rPr>
      </w:pPr>
      <w:r w:rsidRPr="00F32F30">
        <w:t xml:space="preserve">Informe a su médico si está tomando, ha tomado recientemente o pudiera tener que tomar cualquier otro medicamento. </w:t>
      </w:r>
    </w:p>
    <w:p w14:paraId="252507D9" w14:textId="77777777" w:rsidR="007402DB" w:rsidRPr="00F32F30" w:rsidRDefault="007402DB" w:rsidP="007402DB">
      <w:pPr>
        <w:numPr>
          <w:ilvl w:val="12"/>
          <w:numId w:val="0"/>
        </w:numPr>
        <w:tabs>
          <w:tab w:val="clear" w:pos="567"/>
        </w:tabs>
        <w:spacing w:line="240" w:lineRule="auto"/>
        <w:ind w:right="-2"/>
        <w:rPr>
          <w:noProof/>
          <w:szCs w:val="22"/>
        </w:rPr>
      </w:pPr>
    </w:p>
    <w:p w14:paraId="18AAE315" w14:textId="77777777" w:rsidR="007402DB" w:rsidRPr="00F32F30" w:rsidRDefault="00454592" w:rsidP="007402DB">
      <w:pPr>
        <w:rPr>
          <w:noProof/>
          <w:szCs w:val="22"/>
        </w:rPr>
      </w:pPr>
      <w:r w:rsidRPr="00F32F30">
        <w:t>En especial, debe informar a su médico si ya está tomando suplementos de hierro o si toma algún remedio para la indigestión (medicame</w:t>
      </w:r>
      <w:r w:rsidRPr="00F32F30">
        <w:t xml:space="preserve">ntos que reducen las molestias después de comer). Si está tomando estos medicamentos, tendrá que tomar Cuprior en un momento diferente del día, pues de lo contrario, Cuprior no será eficaz. Si toma suplementos de hierro, asegúrese de que hayan pasado como </w:t>
      </w:r>
      <w:r w:rsidRPr="00F32F30">
        <w:t>mínimo dos horas entre la toma de Cuprior y la toma de los suplementos de hierro.</w:t>
      </w:r>
    </w:p>
    <w:p w14:paraId="6ED65409" w14:textId="77777777" w:rsidR="007402DB" w:rsidRPr="00F32F30" w:rsidRDefault="007402DB" w:rsidP="007402DB">
      <w:pPr>
        <w:rPr>
          <w:noProof/>
          <w:szCs w:val="22"/>
        </w:rPr>
      </w:pPr>
    </w:p>
    <w:p w14:paraId="2F62D6B1" w14:textId="77777777" w:rsidR="007402DB" w:rsidRPr="00F32F30" w:rsidRDefault="00454592" w:rsidP="007402DB">
      <w:pPr>
        <w:numPr>
          <w:ilvl w:val="12"/>
          <w:numId w:val="0"/>
        </w:numPr>
        <w:tabs>
          <w:tab w:val="clear" w:pos="567"/>
        </w:tabs>
        <w:spacing w:line="240" w:lineRule="auto"/>
        <w:rPr>
          <w:b/>
          <w:szCs w:val="22"/>
        </w:rPr>
      </w:pPr>
      <w:r w:rsidRPr="00F32F30">
        <w:rPr>
          <w:b/>
        </w:rPr>
        <w:t xml:space="preserve">Embarazo y lactancia </w:t>
      </w:r>
    </w:p>
    <w:p w14:paraId="7DD31871" w14:textId="77777777" w:rsidR="007402DB" w:rsidRPr="00F32F30" w:rsidRDefault="00454592" w:rsidP="007402DB">
      <w:pPr>
        <w:numPr>
          <w:ilvl w:val="12"/>
          <w:numId w:val="0"/>
        </w:numPr>
        <w:tabs>
          <w:tab w:val="clear" w:pos="567"/>
        </w:tabs>
        <w:spacing w:line="240" w:lineRule="auto"/>
        <w:rPr>
          <w:noProof/>
          <w:szCs w:val="22"/>
        </w:rPr>
      </w:pPr>
      <w:r w:rsidRPr="00F32F30">
        <w:t xml:space="preserve">Si está embarazada o en periodo de lactancia, cree que podría estar embarazada o tiene intención de quedarse embarazada, consulte a su médico antes de </w:t>
      </w:r>
      <w:r w:rsidRPr="00F32F30">
        <w:t xml:space="preserve">utilizar este medicamento. </w:t>
      </w:r>
    </w:p>
    <w:p w14:paraId="265DA695" w14:textId="77777777" w:rsidR="007402DB" w:rsidRPr="00F32F30" w:rsidRDefault="007402DB" w:rsidP="007402DB">
      <w:pPr>
        <w:numPr>
          <w:ilvl w:val="12"/>
          <w:numId w:val="0"/>
        </w:numPr>
        <w:tabs>
          <w:tab w:val="clear" w:pos="567"/>
        </w:tabs>
        <w:spacing w:line="240" w:lineRule="auto"/>
        <w:rPr>
          <w:szCs w:val="22"/>
        </w:rPr>
      </w:pPr>
    </w:p>
    <w:p w14:paraId="71CC5B99" w14:textId="77777777" w:rsidR="007402DB" w:rsidRPr="00F32F30" w:rsidRDefault="00454592" w:rsidP="007402DB">
      <w:pPr>
        <w:numPr>
          <w:ilvl w:val="12"/>
          <w:numId w:val="0"/>
        </w:numPr>
        <w:tabs>
          <w:tab w:val="clear" w:pos="567"/>
        </w:tabs>
        <w:spacing w:line="240" w:lineRule="auto"/>
        <w:rPr>
          <w:szCs w:val="22"/>
        </w:rPr>
      </w:pPr>
      <w:r w:rsidRPr="00F32F30">
        <w:t>Es muy importante que continúe con el tratamiento para reducir los niveles de cobre durante el embarazo. Debe comentar detenidamente con su médico los posibles beneficios del tratamiento, teniendo en cuenta a la vez los riesgos</w:t>
      </w:r>
      <w:r w:rsidRPr="00F32F30">
        <w:t xml:space="preserve"> que pudieran existir. Su médico le aconsejará cuál es el mejor tratamiento y la mejor dosis en su situación.</w:t>
      </w:r>
    </w:p>
    <w:p w14:paraId="47E2E2A2" w14:textId="77777777" w:rsidR="007402DB" w:rsidRPr="00F32F30" w:rsidRDefault="007402DB" w:rsidP="007402DB">
      <w:pPr>
        <w:numPr>
          <w:ilvl w:val="12"/>
          <w:numId w:val="0"/>
        </w:numPr>
        <w:tabs>
          <w:tab w:val="clear" w:pos="567"/>
        </w:tabs>
        <w:spacing w:line="240" w:lineRule="auto"/>
        <w:rPr>
          <w:noProof/>
          <w:szCs w:val="22"/>
        </w:rPr>
      </w:pPr>
    </w:p>
    <w:p w14:paraId="661D49F9" w14:textId="77777777" w:rsidR="007402DB" w:rsidRPr="00F32F30" w:rsidRDefault="00454592" w:rsidP="007402DB">
      <w:pPr>
        <w:rPr>
          <w:noProof/>
          <w:szCs w:val="22"/>
        </w:rPr>
      </w:pPr>
      <w:r w:rsidRPr="00F32F30">
        <w:t>Si está embarazada y tomando Cuprior, le harán controles durante toda la gestación para detectar cualquier efecto en el bebé o cualquier cambio e</w:t>
      </w:r>
      <w:r w:rsidRPr="00F32F30">
        <w:t xml:space="preserve">n sus niveles de cobre. Cuando nazca su hijo, también se controlará el nivel de cobre en la sangre del bebé. </w:t>
      </w:r>
    </w:p>
    <w:p w14:paraId="0CABCF98" w14:textId="77777777" w:rsidR="007402DB" w:rsidRPr="00F32F30" w:rsidRDefault="007402DB" w:rsidP="007402DB">
      <w:pPr>
        <w:rPr>
          <w:noProof/>
          <w:szCs w:val="22"/>
        </w:rPr>
      </w:pPr>
    </w:p>
    <w:p w14:paraId="3647B08B" w14:textId="77777777" w:rsidR="007402DB" w:rsidRPr="00F32F30" w:rsidRDefault="00454592" w:rsidP="007402DB">
      <w:pPr>
        <w:rPr>
          <w:noProof/>
          <w:szCs w:val="22"/>
        </w:rPr>
      </w:pPr>
      <w:r w:rsidRPr="00F32F30">
        <w:t>No se sabe si Cuprior pasa a la leche materna. Es importante que informe a su médico si está dando el pecho o si tiene intención de hacerlo. Su m</w:t>
      </w:r>
      <w:r w:rsidRPr="00F32F30">
        <w:t>édico la ayudará a decidir si es mejor suspender la lactancia o dejar de tomar Cuprior, teniendo en cuenta el beneficio de la lactancia materna para el niño y el beneficio de Cuprior para la madre. Su médico decidirá cuál es el mejor tratamiento y la mejor</w:t>
      </w:r>
      <w:r w:rsidRPr="00F32F30">
        <w:t xml:space="preserve"> dosis en su situación.</w:t>
      </w:r>
    </w:p>
    <w:p w14:paraId="774C926B" w14:textId="77777777" w:rsidR="007402DB" w:rsidRPr="00F32F30" w:rsidRDefault="007402DB" w:rsidP="007402DB">
      <w:pPr>
        <w:numPr>
          <w:ilvl w:val="12"/>
          <w:numId w:val="0"/>
        </w:numPr>
        <w:tabs>
          <w:tab w:val="clear" w:pos="567"/>
        </w:tabs>
        <w:spacing w:line="240" w:lineRule="auto"/>
        <w:rPr>
          <w:noProof/>
          <w:szCs w:val="22"/>
        </w:rPr>
      </w:pPr>
    </w:p>
    <w:p w14:paraId="4F9A0F7A" w14:textId="77777777" w:rsidR="007402DB" w:rsidRPr="00F32F30" w:rsidRDefault="00454592" w:rsidP="007402DB">
      <w:pPr>
        <w:keepNext/>
        <w:numPr>
          <w:ilvl w:val="12"/>
          <w:numId w:val="0"/>
        </w:numPr>
        <w:tabs>
          <w:tab w:val="clear" w:pos="567"/>
        </w:tabs>
        <w:spacing w:line="240" w:lineRule="auto"/>
        <w:rPr>
          <w:b/>
          <w:szCs w:val="22"/>
        </w:rPr>
      </w:pPr>
      <w:r w:rsidRPr="00F32F30">
        <w:rPr>
          <w:b/>
        </w:rPr>
        <w:lastRenderedPageBreak/>
        <w:t>Conducción y uso de máquinas</w:t>
      </w:r>
    </w:p>
    <w:p w14:paraId="645097DB" w14:textId="77777777" w:rsidR="007402DB" w:rsidRPr="00F32F30" w:rsidRDefault="00454592" w:rsidP="007402DB">
      <w:pPr>
        <w:numPr>
          <w:ilvl w:val="12"/>
          <w:numId w:val="0"/>
        </w:numPr>
        <w:tabs>
          <w:tab w:val="clear" w:pos="567"/>
        </w:tabs>
        <w:spacing w:line="240" w:lineRule="auto"/>
        <w:ind w:right="-2"/>
        <w:rPr>
          <w:noProof/>
          <w:szCs w:val="22"/>
        </w:rPr>
      </w:pPr>
      <w:r w:rsidRPr="00F32F30">
        <w:t>No se espera que Cuprior afecte a su capacidad para conducir o utilizar herramientas o máquinas.</w:t>
      </w:r>
    </w:p>
    <w:p w14:paraId="02DE92EA" w14:textId="77777777" w:rsidR="007402DB" w:rsidRPr="00F32F30" w:rsidRDefault="007402DB" w:rsidP="007402DB">
      <w:pPr>
        <w:numPr>
          <w:ilvl w:val="12"/>
          <w:numId w:val="0"/>
        </w:numPr>
        <w:tabs>
          <w:tab w:val="clear" w:pos="567"/>
        </w:tabs>
        <w:spacing w:line="240" w:lineRule="auto"/>
        <w:ind w:right="-2"/>
        <w:rPr>
          <w:noProof/>
          <w:szCs w:val="22"/>
        </w:rPr>
      </w:pPr>
    </w:p>
    <w:p w14:paraId="2FB6D321" w14:textId="77777777" w:rsidR="007402DB" w:rsidRPr="00F32F30" w:rsidRDefault="007402DB" w:rsidP="007402DB">
      <w:pPr>
        <w:numPr>
          <w:ilvl w:val="12"/>
          <w:numId w:val="0"/>
        </w:numPr>
        <w:tabs>
          <w:tab w:val="clear" w:pos="567"/>
        </w:tabs>
        <w:spacing w:line="240" w:lineRule="auto"/>
        <w:ind w:right="-2"/>
        <w:rPr>
          <w:noProof/>
          <w:szCs w:val="22"/>
        </w:rPr>
      </w:pPr>
    </w:p>
    <w:p w14:paraId="13CE74B5" w14:textId="77777777" w:rsidR="007402DB" w:rsidRPr="00F32F30" w:rsidRDefault="00454592" w:rsidP="007402DB">
      <w:pPr>
        <w:pStyle w:val="ListParagraph"/>
        <w:numPr>
          <w:ilvl w:val="0"/>
          <w:numId w:val="33"/>
        </w:numPr>
        <w:tabs>
          <w:tab w:val="clear" w:pos="567"/>
        </w:tabs>
        <w:spacing w:line="240" w:lineRule="auto"/>
        <w:ind w:left="720"/>
        <w:outlineLvl w:val="0"/>
        <w:rPr>
          <w:b/>
          <w:noProof/>
          <w:szCs w:val="22"/>
        </w:rPr>
      </w:pPr>
      <w:r w:rsidRPr="00F32F30">
        <w:rPr>
          <w:b/>
          <w:noProof/>
        </w:rPr>
        <w:t>Cómo tomar Cuprior</w:t>
      </w:r>
    </w:p>
    <w:p w14:paraId="725FF474" w14:textId="77777777" w:rsidR="007402DB" w:rsidRPr="00F32F30" w:rsidRDefault="007402DB" w:rsidP="007402DB">
      <w:pPr>
        <w:numPr>
          <w:ilvl w:val="12"/>
          <w:numId w:val="0"/>
        </w:numPr>
        <w:tabs>
          <w:tab w:val="clear" w:pos="567"/>
        </w:tabs>
        <w:spacing w:line="240" w:lineRule="auto"/>
        <w:ind w:right="-2"/>
        <w:rPr>
          <w:noProof/>
          <w:szCs w:val="22"/>
        </w:rPr>
      </w:pPr>
    </w:p>
    <w:p w14:paraId="663208E3" w14:textId="77777777" w:rsidR="007402DB" w:rsidRPr="00F32F30" w:rsidRDefault="00454592" w:rsidP="007402DB">
      <w:pPr>
        <w:numPr>
          <w:ilvl w:val="12"/>
          <w:numId w:val="0"/>
        </w:numPr>
        <w:tabs>
          <w:tab w:val="clear" w:pos="567"/>
        </w:tabs>
        <w:spacing w:line="240" w:lineRule="auto"/>
        <w:ind w:right="-2"/>
        <w:rPr>
          <w:noProof/>
          <w:szCs w:val="22"/>
        </w:rPr>
      </w:pPr>
      <w:r w:rsidRPr="00F32F30">
        <w:t xml:space="preserve">Siga exactamente las instrucciones de administración de este medicamento indicadas por su médico o farmacéutico. En caso de duda, consulte de nuevo a su médico o farmacéutico. </w:t>
      </w:r>
    </w:p>
    <w:p w14:paraId="288BEB52" w14:textId="77777777" w:rsidR="007402DB" w:rsidRPr="00F32F30" w:rsidRDefault="007402DB" w:rsidP="007402DB">
      <w:pPr>
        <w:numPr>
          <w:ilvl w:val="12"/>
          <w:numId w:val="0"/>
        </w:numPr>
        <w:tabs>
          <w:tab w:val="clear" w:pos="567"/>
        </w:tabs>
        <w:spacing w:line="240" w:lineRule="auto"/>
        <w:ind w:right="-2"/>
        <w:rPr>
          <w:noProof/>
          <w:szCs w:val="22"/>
        </w:rPr>
      </w:pPr>
    </w:p>
    <w:p w14:paraId="1ACF7020" w14:textId="77777777" w:rsidR="007402DB" w:rsidRPr="00F32F30" w:rsidRDefault="00454592" w:rsidP="007402DB">
      <w:pPr>
        <w:numPr>
          <w:ilvl w:val="12"/>
          <w:numId w:val="0"/>
        </w:numPr>
        <w:tabs>
          <w:tab w:val="clear" w:pos="567"/>
        </w:tabs>
        <w:spacing w:line="240" w:lineRule="auto"/>
        <w:ind w:right="-2"/>
        <w:rPr>
          <w:noProof/>
          <w:szCs w:val="22"/>
        </w:rPr>
      </w:pPr>
      <w:r w:rsidRPr="00F32F30">
        <w:t>En adultos de todas las edades, la dosis diaria recomendada es de 3 a 6 compri</w:t>
      </w:r>
      <w:r w:rsidRPr="00F32F30">
        <w:t>midos y medio al día (lo que supone en total entre 450 y 975 mg). Esta dosis diaria total se dividirá en 2 a 4 dosis más pequeñas que se tomarán durante el día. Su médico le indicará cuántos comprimidos debe tomar y con qué frecuencia durante el día. Los c</w:t>
      </w:r>
      <w:r w:rsidRPr="00F32F30">
        <w:t>omprimidos pueden dividirse por la mitad en caso necesario.</w:t>
      </w:r>
    </w:p>
    <w:p w14:paraId="230D2C1B" w14:textId="77777777" w:rsidR="007402DB" w:rsidRPr="00F32F30" w:rsidRDefault="007402DB" w:rsidP="007402DB">
      <w:pPr>
        <w:rPr>
          <w:noProof/>
          <w:szCs w:val="22"/>
        </w:rPr>
      </w:pPr>
    </w:p>
    <w:p w14:paraId="4B61CF4A" w14:textId="77777777" w:rsidR="007402DB" w:rsidRPr="00F32F30" w:rsidRDefault="00454592" w:rsidP="007402DB">
      <w:pPr>
        <w:keepNext/>
        <w:autoSpaceDE w:val="0"/>
        <w:autoSpaceDN w:val="0"/>
        <w:adjustRightInd w:val="0"/>
        <w:spacing w:line="240" w:lineRule="auto"/>
        <w:rPr>
          <w:b/>
          <w:bCs/>
          <w:szCs w:val="22"/>
        </w:rPr>
      </w:pPr>
      <w:r w:rsidRPr="00F32F30">
        <w:rPr>
          <w:b/>
        </w:rPr>
        <w:t>Uso en niños y adolescentes</w:t>
      </w:r>
    </w:p>
    <w:p w14:paraId="025A2EAA" w14:textId="77777777" w:rsidR="007402DB" w:rsidRPr="00F32F30" w:rsidRDefault="00454592" w:rsidP="007402DB">
      <w:pPr>
        <w:rPr>
          <w:noProof/>
          <w:szCs w:val="22"/>
        </w:rPr>
      </w:pPr>
      <w:r w:rsidRPr="00F32F30">
        <w:t xml:space="preserve">La dosis para niños y adolescentes normalmente será menor que la dosis que corresponde a los adultos y dependerá de la edad y del peso corporal. </w:t>
      </w:r>
    </w:p>
    <w:p w14:paraId="58BCEEFF" w14:textId="77777777" w:rsidR="007402DB" w:rsidRPr="00F32F30" w:rsidRDefault="00454592" w:rsidP="007402DB">
      <w:pPr>
        <w:numPr>
          <w:ilvl w:val="12"/>
          <w:numId w:val="0"/>
        </w:numPr>
        <w:tabs>
          <w:tab w:val="clear" w:pos="567"/>
        </w:tabs>
        <w:spacing w:line="240" w:lineRule="auto"/>
        <w:ind w:right="-2"/>
        <w:rPr>
          <w:noProof/>
          <w:szCs w:val="22"/>
        </w:rPr>
      </w:pPr>
      <w:r w:rsidRPr="00F32F30">
        <w:t xml:space="preserve">La dosis diaria </w:t>
      </w:r>
      <w:r w:rsidRPr="00F32F30">
        <w:t>total habitual está comprendida entre 225 y 600 mg (entre 1 comprimido y medio y 4 comprimidos al día), que se dividirán en 2 a 4 dosis más pequeñas tomadas durante el día. Su médico le indicará cuántos comprimidos debe tomar y con qué frecuencia durante e</w:t>
      </w:r>
      <w:r w:rsidRPr="00F32F30">
        <w:t>l día.</w:t>
      </w:r>
    </w:p>
    <w:p w14:paraId="6329922A" w14:textId="77777777" w:rsidR="007402DB" w:rsidRPr="00F32F30" w:rsidRDefault="007402DB" w:rsidP="007402DB">
      <w:pPr>
        <w:numPr>
          <w:ilvl w:val="12"/>
          <w:numId w:val="0"/>
        </w:numPr>
        <w:tabs>
          <w:tab w:val="clear" w:pos="567"/>
        </w:tabs>
        <w:spacing w:line="240" w:lineRule="auto"/>
        <w:ind w:right="-2"/>
        <w:rPr>
          <w:noProof/>
          <w:szCs w:val="22"/>
        </w:rPr>
      </w:pPr>
    </w:p>
    <w:p w14:paraId="4CD94AD2" w14:textId="77777777" w:rsidR="007402DB" w:rsidRPr="00F32F30" w:rsidRDefault="00454592" w:rsidP="007402DB">
      <w:pPr>
        <w:rPr>
          <w:noProof/>
          <w:szCs w:val="22"/>
        </w:rPr>
      </w:pPr>
      <w:r w:rsidRPr="00F32F30">
        <w:t>Cuando haya empezado el tratamiento, su médico podrá ajustar la dosis dependiendo de su respuesta al tratamiento.</w:t>
      </w:r>
    </w:p>
    <w:p w14:paraId="471833E7" w14:textId="77777777" w:rsidR="007402DB" w:rsidRPr="00F32F30" w:rsidRDefault="007402DB" w:rsidP="007402DB">
      <w:pPr>
        <w:rPr>
          <w:noProof/>
          <w:szCs w:val="22"/>
        </w:rPr>
      </w:pPr>
    </w:p>
    <w:p w14:paraId="068C080D" w14:textId="77777777" w:rsidR="007402DB" w:rsidRPr="00F32F30" w:rsidRDefault="00454592" w:rsidP="007402DB">
      <w:pPr>
        <w:rPr>
          <w:szCs w:val="22"/>
        </w:rPr>
      </w:pPr>
      <w:r w:rsidRPr="00F32F30">
        <w:t>Trague los comprimidos con agua, con el estómago vacío, como mínimo una hora antes o dos horas después de las comidas y, al menos, co</w:t>
      </w:r>
      <w:r w:rsidRPr="00F32F30">
        <w:t>n una hora de diferencia con respecto a otros medicamentos, alimentos o leche.</w:t>
      </w:r>
    </w:p>
    <w:p w14:paraId="451D9A1D" w14:textId="77777777" w:rsidR="007402DB" w:rsidRPr="00F32F30" w:rsidRDefault="007402DB" w:rsidP="007402DB">
      <w:pPr>
        <w:rPr>
          <w:szCs w:val="22"/>
        </w:rPr>
      </w:pPr>
    </w:p>
    <w:p w14:paraId="1BAE17A4" w14:textId="77777777" w:rsidR="007402DB" w:rsidRPr="00F32F30" w:rsidRDefault="00454592" w:rsidP="007402DB">
      <w:pPr>
        <w:rPr>
          <w:noProof/>
          <w:szCs w:val="22"/>
        </w:rPr>
      </w:pPr>
      <w:r w:rsidRPr="00F32F30">
        <w:t>Si toma suplementos de hierro, tómelos como mínimo dos horas después de la dosis de Cuprior.</w:t>
      </w:r>
    </w:p>
    <w:p w14:paraId="00CD9E89" w14:textId="77777777" w:rsidR="007402DB" w:rsidRPr="00F32F30" w:rsidRDefault="007402DB" w:rsidP="007402DB">
      <w:pPr>
        <w:numPr>
          <w:ilvl w:val="12"/>
          <w:numId w:val="0"/>
        </w:numPr>
        <w:tabs>
          <w:tab w:val="clear" w:pos="567"/>
        </w:tabs>
        <w:spacing w:line="240" w:lineRule="auto"/>
        <w:ind w:right="-2"/>
        <w:rPr>
          <w:noProof/>
          <w:szCs w:val="22"/>
        </w:rPr>
      </w:pPr>
    </w:p>
    <w:p w14:paraId="6B47AAD5" w14:textId="77777777" w:rsidR="007402DB" w:rsidRPr="00F32F30" w:rsidRDefault="00454592" w:rsidP="007402DB">
      <w:pPr>
        <w:rPr>
          <w:b/>
          <w:szCs w:val="22"/>
        </w:rPr>
      </w:pPr>
      <w:r w:rsidRPr="00F32F30">
        <w:rPr>
          <w:b/>
        </w:rPr>
        <w:t>Si toma más Cuprior del que debe</w:t>
      </w:r>
    </w:p>
    <w:p w14:paraId="3771AF02" w14:textId="77777777" w:rsidR="007402DB" w:rsidRPr="00F32F30" w:rsidRDefault="00454592" w:rsidP="007402DB">
      <w:pPr>
        <w:rPr>
          <w:szCs w:val="22"/>
        </w:rPr>
      </w:pPr>
      <w:r w:rsidRPr="00F32F30">
        <w:t>Tome Cuprior solo de la forma prescrita por su mé</w:t>
      </w:r>
      <w:r w:rsidRPr="00F32F30">
        <w:t>dico. Si cree que ha tomado más Cuprior del que le indicaron, consulte a su médico o farmacéutico.</w:t>
      </w:r>
    </w:p>
    <w:p w14:paraId="1F53A7E3" w14:textId="77777777" w:rsidR="007402DB" w:rsidRPr="00F32F30" w:rsidRDefault="007402DB" w:rsidP="007402DB">
      <w:pPr>
        <w:rPr>
          <w:noProof/>
          <w:szCs w:val="22"/>
        </w:rPr>
      </w:pPr>
    </w:p>
    <w:p w14:paraId="675C5FDE" w14:textId="77777777" w:rsidR="007402DB" w:rsidRPr="00F32F30" w:rsidRDefault="00454592" w:rsidP="007402DB">
      <w:pPr>
        <w:rPr>
          <w:b/>
          <w:szCs w:val="22"/>
        </w:rPr>
      </w:pPr>
      <w:r w:rsidRPr="00F32F30">
        <w:rPr>
          <w:b/>
        </w:rPr>
        <w:t>Si olvidó tomar Cuprior</w:t>
      </w:r>
    </w:p>
    <w:p w14:paraId="5DD6AE86" w14:textId="77777777" w:rsidR="007402DB" w:rsidRPr="00F32F30" w:rsidRDefault="00454592" w:rsidP="007402DB">
      <w:pPr>
        <w:numPr>
          <w:ilvl w:val="12"/>
          <w:numId w:val="0"/>
        </w:numPr>
        <w:tabs>
          <w:tab w:val="clear" w:pos="567"/>
        </w:tabs>
        <w:spacing w:line="240" w:lineRule="auto"/>
        <w:ind w:right="-2"/>
        <w:rPr>
          <w:noProof/>
          <w:szCs w:val="22"/>
        </w:rPr>
      </w:pPr>
      <w:r w:rsidRPr="00F32F30">
        <w:t>No tome una dosis doble para compensar las dosis olvidadas. Tome la siguiente dosis a la hora habitual.</w:t>
      </w:r>
    </w:p>
    <w:p w14:paraId="0FF23395" w14:textId="77777777" w:rsidR="007402DB" w:rsidRPr="00F32F30" w:rsidRDefault="007402DB" w:rsidP="007402DB">
      <w:pPr>
        <w:numPr>
          <w:ilvl w:val="12"/>
          <w:numId w:val="0"/>
        </w:numPr>
        <w:tabs>
          <w:tab w:val="clear" w:pos="567"/>
        </w:tabs>
        <w:spacing w:line="240" w:lineRule="auto"/>
        <w:ind w:right="-29"/>
        <w:rPr>
          <w:noProof/>
          <w:szCs w:val="22"/>
        </w:rPr>
      </w:pPr>
    </w:p>
    <w:p w14:paraId="59B199FE" w14:textId="77777777" w:rsidR="007402DB" w:rsidRPr="00F32F30" w:rsidRDefault="00454592" w:rsidP="007402DB">
      <w:pPr>
        <w:numPr>
          <w:ilvl w:val="12"/>
          <w:numId w:val="0"/>
        </w:numPr>
        <w:tabs>
          <w:tab w:val="clear" w:pos="567"/>
        </w:tabs>
        <w:spacing w:line="240" w:lineRule="auto"/>
        <w:ind w:right="-2"/>
        <w:rPr>
          <w:szCs w:val="22"/>
        </w:rPr>
      </w:pPr>
      <w:r w:rsidRPr="00F32F30">
        <w:t xml:space="preserve">Si tiene cualquier otra </w:t>
      </w:r>
      <w:r w:rsidRPr="00F32F30">
        <w:t>duda sobre el uso de este medicamento, pregunte a su médico o farmacéutico.</w:t>
      </w:r>
    </w:p>
    <w:p w14:paraId="0D6D8E54" w14:textId="77777777" w:rsidR="007402DB" w:rsidRPr="00F32F30" w:rsidRDefault="007402DB" w:rsidP="007402DB">
      <w:pPr>
        <w:numPr>
          <w:ilvl w:val="12"/>
          <w:numId w:val="0"/>
        </w:numPr>
        <w:tabs>
          <w:tab w:val="clear" w:pos="567"/>
        </w:tabs>
        <w:spacing w:line="240" w:lineRule="auto"/>
        <w:ind w:right="-2"/>
        <w:rPr>
          <w:noProof/>
          <w:szCs w:val="22"/>
        </w:rPr>
      </w:pPr>
    </w:p>
    <w:p w14:paraId="3EF9D2F4" w14:textId="77777777" w:rsidR="007402DB" w:rsidRPr="00F32F30" w:rsidRDefault="00454592" w:rsidP="007402DB">
      <w:pPr>
        <w:rPr>
          <w:b/>
          <w:szCs w:val="22"/>
        </w:rPr>
      </w:pPr>
      <w:r w:rsidRPr="00F32F30">
        <w:rPr>
          <w:b/>
        </w:rPr>
        <w:t>Si interrumpe el tratamiento con Cuprior</w:t>
      </w:r>
    </w:p>
    <w:p w14:paraId="111EBB73" w14:textId="77777777" w:rsidR="007402DB" w:rsidRPr="00F32F30" w:rsidRDefault="00454592" w:rsidP="007402DB">
      <w:pPr>
        <w:numPr>
          <w:ilvl w:val="12"/>
          <w:numId w:val="0"/>
        </w:numPr>
        <w:tabs>
          <w:tab w:val="clear" w:pos="567"/>
        </w:tabs>
        <w:spacing w:line="240" w:lineRule="auto"/>
        <w:ind w:right="-29"/>
        <w:rPr>
          <w:noProof/>
          <w:szCs w:val="22"/>
        </w:rPr>
      </w:pPr>
      <w:r w:rsidRPr="00F32F30">
        <w:t>Este medicamento está indicado para tratamientos de larga duración. No suspenda el tratamiento a menos que se  lo indique su médico, aunqu</w:t>
      </w:r>
      <w:r w:rsidRPr="00F32F30">
        <w:t>e se encuentre mejor, ya que la enfermedad de Wilson es una dolencia de por vida.</w:t>
      </w:r>
    </w:p>
    <w:p w14:paraId="6309F854" w14:textId="77777777" w:rsidR="007402DB" w:rsidRPr="00F32F30" w:rsidRDefault="007402DB" w:rsidP="007402DB">
      <w:pPr>
        <w:numPr>
          <w:ilvl w:val="12"/>
          <w:numId w:val="0"/>
        </w:numPr>
        <w:tabs>
          <w:tab w:val="clear" w:pos="567"/>
        </w:tabs>
        <w:spacing w:line="240" w:lineRule="auto"/>
        <w:ind w:right="-29"/>
        <w:rPr>
          <w:noProof/>
          <w:szCs w:val="22"/>
          <w:highlight w:val="yellow"/>
        </w:rPr>
      </w:pPr>
    </w:p>
    <w:p w14:paraId="10888848" w14:textId="77777777" w:rsidR="007402DB" w:rsidRPr="00F32F30" w:rsidRDefault="00454592" w:rsidP="007402DB">
      <w:pPr>
        <w:numPr>
          <w:ilvl w:val="12"/>
          <w:numId w:val="0"/>
        </w:numPr>
        <w:tabs>
          <w:tab w:val="clear" w:pos="567"/>
        </w:tabs>
        <w:spacing w:line="240" w:lineRule="auto"/>
        <w:ind w:right="-29"/>
        <w:rPr>
          <w:szCs w:val="22"/>
        </w:rPr>
      </w:pPr>
      <w:r w:rsidRPr="00F32F30">
        <w:t>Si tiene cualquier otra duda sobre el uso de este medicamento, pregunte a su médico o farmacéutico.</w:t>
      </w:r>
    </w:p>
    <w:p w14:paraId="60E0FCDC" w14:textId="77777777" w:rsidR="007402DB" w:rsidRPr="00F32F30" w:rsidRDefault="007402DB" w:rsidP="007402DB">
      <w:pPr>
        <w:numPr>
          <w:ilvl w:val="12"/>
          <w:numId w:val="0"/>
        </w:numPr>
        <w:tabs>
          <w:tab w:val="clear" w:pos="567"/>
        </w:tabs>
        <w:spacing w:line="240" w:lineRule="auto"/>
        <w:rPr>
          <w:szCs w:val="22"/>
        </w:rPr>
      </w:pPr>
    </w:p>
    <w:p w14:paraId="3251616F" w14:textId="77777777" w:rsidR="007402DB" w:rsidRPr="00F32F30" w:rsidRDefault="007402DB" w:rsidP="007402DB">
      <w:pPr>
        <w:numPr>
          <w:ilvl w:val="12"/>
          <w:numId w:val="0"/>
        </w:numPr>
        <w:tabs>
          <w:tab w:val="clear" w:pos="567"/>
        </w:tabs>
        <w:spacing w:line="240" w:lineRule="auto"/>
        <w:rPr>
          <w:szCs w:val="22"/>
        </w:rPr>
      </w:pPr>
    </w:p>
    <w:p w14:paraId="7713AD2C" w14:textId="77777777" w:rsidR="007402DB" w:rsidRPr="00F32F30" w:rsidRDefault="00454592" w:rsidP="007402DB">
      <w:pPr>
        <w:pStyle w:val="ListParagraph"/>
        <w:numPr>
          <w:ilvl w:val="0"/>
          <w:numId w:val="33"/>
        </w:numPr>
        <w:tabs>
          <w:tab w:val="clear" w:pos="567"/>
        </w:tabs>
        <w:spacing w:line="240" w:lineRule="auto"/>
        <w:ind w:left="720"/>
        <w:outlineLvl w:val="0"/>
        <w:rPr>
          <w:b/>
          <w:noProof/>
          <w:szCs w:val="22"/>
        </w:rPr>
      </w:pPr>
      <w:r w:rsidRPr="00F32F30">
        <w:rPr>
          <w:b/>
          <w:noProof/>
        </w:rPr>
        <w:t>Posibles efectos adversos</w:t>
      </w:r>
    </w:p>
    <w:p w14:paraId="48E7669F" w14:textId="77777777" w:rsidR="007402DB" w:rsidRPr="00F32F30" w:rsidRDefault="007402DB" w:rsidP="007402DB">
      <w:pPr>
        <w:numPr>
          <w:ilvl w:val="12"/>
          <w:numId w:val="0"/>
        </w:numPr>
        <w:tabs>
          <w:tab w:val="clear" w:pos="567"/>
        </w:tabs>
        <w:spacing w:line="240" w:lineRule="auto"/>
        <w:rPr>
          <w:szCs w:val="22"/>
        </w:rPr>
      </w:pPr>
    </w:p>
    <w:p w14:paraId="7058C27E" w14:textId="77777777" w:rsidR="007402DB" w:rsidRPr="00F32F30" w:rsidRDefault="00454592" w:rsidP="007402DB">
      <w:pPr>
        <w:numPr>
          <w:ilvl w:val="12"/>
          <w:numId w:val="0"/>
        </w:numPr>
        <w:tabs>
          <w:tab w:val="clear" w:pos="567"/>
        </w:tabs>
        <w:spacing w:line="240" w:lineRule="auto"/>
        <w:ind w:right="-29"/>
        <w:rPr>
          <w:noProof/>
          <w:szCs w:val="22"/>
        </w:rPr>
      </w:pPr>
      <w:r w:rsidRPr="00F32F30">
        <w:t>Al igual que todos los medicamentos, este me</w:t>
      </w:r>
      <w:r w:rsidRPr="00F32F30">
        <w:t>dicamento puede producir efectos adversos, aunque no todas las personas los sufran.</w:t>
      </w:r>
    </w:p>
    <w:p w14:paraId="182A48B9" w14:textId="77777777" w:rsidR="007402DB" w:rsidRPr="00F32F30" w:rsidRDefault="007402DB" w:rsidP="007402DB">
      <w:pPr>
        <w:numPr>
          <w:ilvl w:val="12"/>
          <w:numId w:val="0"/>
        </w:numPr>
        <w:tabs>
          <w:tab w:val="clear" w:pos="567"/>
        </w:tabs>
        <w:spacing w:line="240" w:lineRule="auto"/>
        <w:ind w:right="-29"/>
        <w:rPr>
          <w:noProof/>
          <w:szCs w:val="22"/>
        </w:rPr>
      </w:pPr>
    </w:p>
    <w:p w14:paraId="293498E1" w14:textId="77777777" w:rsidR="007402DB" w:rsidRPr="00F32F30" w:rsidRDefault="00454592" w:rsidP="007402DB">
      <w:pPr>
        <w:numPr>
          <w:ilvl w:val="12"/>
          <w:numId w:val="0"/>
        </w:numPr>
        <w:tabs>
          <w:tab w:val="clear" w:pos="567"/>
        </w:tabs>
        <w:spacing w:line="240" w:lineRule="auto"/>
        <w:ind w:right="-29"/>
        <w:rPr>
          <w:noProof/>
          <w:szCs w:val="22"/>
        </w:rPr>
      </w:pPr>
      <w:r w:rsidRPr="00F32F30">
        <w:t>Se han comunicado los efectos adversos siguientes:</w:t>
      </w:r>
    </w:p>
    <w:p w14:paraId="61D9C801" w14:textId="77777777" w:rsidR="007402DB" w:rsidRPr="00F32F30" w:rsidRDefault="007402DB" w:rsidP="007402DB">
      <w:pPr>
        <w:numPr>
          <w:ilvl w:val="12"/>
          <w:numId w:val="0"/>
        </w:numPr>
        <w:tabs>
          <w:tab w:val="clear" w:pos="567"/>
        </w:tabs>
        <w:spacing w:line="240" w:lineRule="auto"/>
        <w:ind w:right="-29"/>
        <w:rPr>
          <w:noProof/>
          <w:szCs w:val="22"/>
        </w:rPr>
      </w:pPr>
    </w:p>
    <w:p w14:paraId="7ADAA726" w14:textId="77777777" w:rsidR="007402DB" w:rsidRPr="00F32F30" w:rsidRDefault="00454592" w:rsidP="007402DB">
      <w:pPr>
        <w:tabs>
          <w:tab w:val="clear" w:pos="567"/>
        </w:tabs>
        <w:autoSpaceDE w:val="0"/>
        <w:autoSpaceDN w:val="0"/>
        <w:adjustRightInd w:val="0"/>
        <w:spacing w:line="240" w:lineRule="auto"/>
        <w:rPr>
          <w:i/>
          <w:noProof/>
          <w:szCs w:val="22"/>
        </w:rPr>
      </w:pPr>
      <w:r w:rsidRPr="00F32F30">
        <w:rPr>
          <w:i/>
          <w:noProof/>
        </w:rPr>
        <w:t>Frecuentes (pueden afectar hasta 1 de cada 10 pacientes)</w:t>
      </w:r>
    </w:p>
    <w:p w14:paraId="314B6660" w14:textId="77777777" w:rsidR="007402DB" w:rsidRPr="00F32F30" w:rsidRDefault="00454592" w:rsidP="007402DB">
      <w:pPr>
        <w:numPr>
          <w:ilvl w:val="0"/>
          <w:numId w:val="15"/>
        </w:numPr>
        <w:tabs>
          <w:tab w:val="clear" w:pos="567"/>
        </w:tabs>
        <w:spacing w:line="240" w:lineRule="auto"/>
        <w:ind w:right="-29"/>
        <w:rPr>
          <w:noProof/>
          <w:szCs w:val="22"/>
        </w:rPr>
      </w:pPr>
      <w:r w:rsidRPr="00F32F30">
        <w:t xml:space="preserve">náuseas </w:t>
      </w:r>
    </w:p>
    <w:p w14:paraId="34A3373C" w14:textId="77777777" w:rsidR="007402DB" w:rsidRPr="00F32F30" w:rsidRDefault="007402DB" w:rsidP="007402DB">
      <w:pPr>
        <w:tabs>
          <w:tab w:val="clear" w:pos="567"/>
        </w:tabs>
        <w:autoSpaceDE w:val="0"/>
        <w:autoSpaceDN w:val="0"/>
        <w:adjustRightInd w:val="0"/>
        <w:spacing w:line="240" w:lineRule="auto"/>
        <w:rPr>
          <w:i/>
          <w:noProof/>
          <w:szCs w:val="22"/>
        </w:rPr>
      </w:pPr>
    </w:p>
    <w:p w14:paraId="748AC1C6" w14:textId="77777777" w:rsidR="007402DB" w:rsidRPr="00F32F30" w:rsidRDefault="00454592" w:rsidP="007402DB">
      <w:pPr>
        <w:tabs>
          <w:tab w:val="clear" w:pos="567"/>
        </w:tabs>
        <w:autoSpaceDE w:val="0"/>
        <w:autoSpaceDN w:val="0"/>
        <w:adjustRightInd w:val="0"/>
        <w:spacing w:line="240" w:lineRule="auto"/>
        <w:rPr>
          <w:i/>
          <w:noProof/>
          <w:szCs w:val="22"/>
        </w:rPr>
      </w:pPr>
      <w:r w:rsidRPr="00F32F30">
        <w:rPr>
          <w:i/>
          <w:noProof/>
        </w:rPr>
        <w:t xml:space="preserve">Poco frecuentes (pueden afectar hasta 1 de cada </w:t>
      </w:r>
      <w:r w:rsidRPr="00F32F30">
        <w:rPr>
          <w:i/>
          <w:noProof/>
        </w:rPr>
        <w:t>100 pacientes)</w:t>
      </w:r>
    </w:p>
    <w:p w14:paraId="0A38C5FD" w14:textId="77777777" w:rsidR="007402DB" w:rsidRPr="00F32F30" w:rsidRDefault="00454592" w:rsidP="007402DB">
      <w:pPr>
        <w:numPr>
          <w:ilvl w:val="0"/>
          <w:numId w:val="15"/>
        </w:numPr>
        <w:tabs>
          <w:tab w:val="clear" w:pos="567"/>
        </w:tabs>
        <w:spacing w:line="240" w:lineRule="auto"/>
        <w:ind w:right="-29"/>
        <w:rPr>
          <w:noProof/>
          <w:szCs w:val="22"/>
        </w:rPr>
      </w:pPr>
      <w:r w:rsidRPr="00F32F30">
        <w:t>erupciones cutáneas</w:t>
      </w:r>
    </w:p>
    <w:p w14:paraId="3F103488" w14:textId="75DC7DC3" w:rsidR="007402DB" w:rsidRPr="0068348B" w:rsidRDefault="00454592" w:rsidP="007402DB">
      <w:pPr>
        <w:numPr>
          <w:ilvl w:val="0"/>
          <w:numId w:val="15"/>
        </w:numPr>
        <w:tabs>
          <w:tab w:val="clear" w:pos="567"/>
        </w:tabs>
        <w:spacing w:line="240" w:lineRule="auto"/>
        <w:ind w:right="-29"/>
        <w:rPr>
          <w:noProof/>
          <w:szCs w:val="22"/>
        </w:rPr>
      </w:pPr>
      <w:r w:rsidRPr="00F32F30">
        <w:t>picor</w:t>
      </w:r>
    </w:p>
    <w:p w14:paraId="26D1A03F" w14:textId="7C200A84" w:rsidR="0068348B" w:rsidRPr="00F32F30" w:rsidRDefault="00454592" w:rsidP="007402DB">
      <w:pPr>
        <w:numPr>
          <w:ilvl w:val="0"/>
          <w:numId w:val="15"/>
        </w:numPr>
        <w:tabs>
          <w:tab w:val="clear" w:pos="567"/>
        </w:tabs>
        <w:spacing w:line="240" w:lineRule="auto"/>
        <w:ind w:right="-29"/>
        <w:rPr>
          <w:noProof/>
          <w:szCs w:val="22"/>
        </w:rPr>
      </w:pPr>
      <w:r>
        <w:t>anemia</w:t>
      </w:r>
    </w:p>
    <w:p w14:paraId="6BBC1308" w14:textId="77777777" w:rsidR="007402DB" w:rsidRPr="00F32F30" w:rsidRDefault="007402DB" w:rsidP="007402DB">
      <w:pPr>
        <w:tabs>
          <w:tab w:val="clear" w:pos="567"/>
        </w:tabs>
        <w:spacing w:line="240" w:lineRule="auto"/>
        <w:ind w:left="360" w:right="-29"/>
        <w:rPr>
          <w:noProof/>
          <w:szCs w:val="22"/>
        </w:rPr>
      </w:pPr>
    </w:p>
    <w:p w14:paraId="2932FAA4" w14:textId="77777777" w:rsidR="007402DB" w:rsidRPr="00F32F30" w:rsidRDefault="00454592" w:rsidP="007402DB">
      <w:pPr>
        <w:tabs>
          <w:tab w:val="clear" w:pos="567"/>
        </w:tabs>
        <w:spacing w:line="240" w:lineRule="auto"/>
        <w:ind w:right="-29"/>
        <w:rPr>
          <w:i/>
          <w:noProof/>
          <w:szCs w:val="22"/>
        </w:rPr>
      </w:pPr>
      <w:r w:rsidRPr="00F32F30">
        <w:rPr>
          <w:i/>
          <w:noProof/>
        </w:rPr>
        <w:t>Frecuencia no conocida (no puede estimarse a partir de los datos disponibles)</w:t>
      </w:r>
    </w:p>
    <w:p w14:paraId="23C62C3D" w14:textId="77777777" w:rsidR="007402DB" w:rsidRPr="00F32F30" w:rsidRDefault="00454592" w:rsidP="007402DB">
      <w:pPr>
        <w:numPr>
          <w:ilvl w:val="0"/>
          <w:numId w:val="15"/>
        </w:numPr>
        <w:tabs>
          <w:tab w:val="clear" w:pos="567"/>
        </w:tabs>
        <w:spacing w:line="240" w:lineRule="auto"/>
        <w:ind w:right="-29"/>
        <w:rPr>
          <w:noProof/>
          <w:szCs w:val="22"/>
        </w:rPr>
      </w:pPr>
      <w:r w:rsidRPr="00F32F30">
        <w:t xml:space="preserve">molestias y malestar de estómago, como dolores fuertes de estómago (duodenitis) </w:t>
      </w:r>
    </w:p>
    <w:p w14:paraId="049BDEA8" w14:textId="77777777" w:rsidR="007402DB" w:rsidRPr="00F32F30" w:rsidRDefault="00454592" w:rsidP="007402DB">
      <w:pPr>
        <w:numPr>
          <w:ilvl w:val="0"/>
          <w:numId w:val="15"/>
        </w:numPr>
        <w:tabs>
          <w:tab w:val="clear" w:pos="567"/>
        </w:tabs>
        <w:spacing w:line="240" w:lineRule="auto"/>
        <w:ind w:right="-29"/>
        <w:rPr>
          <w:noProof/>
          <w:szCs w:val="22"/>
        </w:rPr>
      </w:pPr>
      <w:r w:rsidRPr="00F32F30">
        <w:t>inflamación del intestino que puede provocar, p. ej., dolor abdominal, diarrea recurrente y sangre en las deposiciones (colitis)</w:t>
      </w:r>
    </w:p>
    <w:p w14:paraId="6AB972E0" w14:textId="51D5C58A" w:rsidR="007402DB" w:rsidRPr="00F32F30" w:rsidRDefault="00454592" w:rsidP="007402DB">
      <w:pPr>
        <w:numPr>
          <w:ilvl w:val="0"/>
          <w:numId w:val="15"/>
        </w:numPr>
        <w:tabs>
          <w:tab w:val="clear" w:pos="567"/>
        </w:tabs>
        <w:spacing w:line="240" w:lineRule="auto"/>
        <w:ind w:right="-29"/>
        <w:rPr>
          <w:noProof/>
          <w:szCs w:val="22"/>
        </w:rPr>
      </w:pPr>
      <w:r w:rsidRPr="00F32F30">
        <w:t>disminución del número de glóbulos rojos debid</w:t>
      </w:r>
      <w:r w:rsidRPr="00F32F30">
        <w:t xml:space="preserve">o a un nivel bajo de hierro en la sangre (ferropénica) </w:t>
      </w:r>
    </w:p>
    <w:p w14:paraId="6778DCC8" w14:textId="77777777" w:rsidR="007402DB" w:rsidRPr="00F32F30" w:rsidRDefault="00454592" w:rsidP="007402DB">
      <w:pPr>
        <w:numPr>
          <w:ilvl w:val="0"/>
          <w:numId w:val="15"/>
        </w:numPr>
        <w:tabs>
          <w:tab w:val="clear" w:pos="567"/>
        </w:tabs>
        <w:spacing w:line="240" w:lineRule="auto"/>
        <w:ind w:right="-29"/>
        <w:rPr>
          <w:noProof/>
          <w:szCs w:val="22"/>
        </w:rPr>
      </w:pPr>
      <w:r w:rsidRPr="00F32F30">
        <w:t>urticaria (habones).</w:t>
      </w:r>
    </w:p>
    <w:p w14:paraId="22BAC398" w14:textId="77777777" w:rsidR="007402DB" w:rsidRPr="00F32F30" w:rsidRDefault="007402DB" w:rsidP="007402DB">
      <w:pPr>
        <w:numPr>
          <w:ilvl w:val="12"/>
          <w:numId w:val="0"/>
        </w:numPr>
        <w:tabs>
          <w:tab w:val="clear" w:pos="567"/>
        </w:tabs>
        <w:spacing w:line="240" w:lineRule="auto"/>
        <w:ind w:right="-2"/>
        <w:rPr>
          <w:b/>
          <w:szCs w:val="22"/>
        </w:rPr>
      </w:pPr>
    </w:p>
    <w:p w14:paraId="71EE5703" w14:textId="77777777" w:rsidR="007402DB" w:rsidRPr="00F32F30" w:rsidRDefault="00454592" w:rsidP="007402DB">
      <w:pPr>
        <w:rPr>
          <w:b/>
          <w:szCs w:val="22"/>
        </w:rPr>
      </w:pPr>
      <w:r w:rsidRPr="00F32F30">
        <w:rPr>
          <w:b/>
        </w:rPr>
        <w:t>Comunicación de efectos adversos</w:t>
      </w:r>
    </w:p>
    <w:p w14:paraId="5F8D0227" w14:textId="77777777" w:rsidR="007402DB" w:rsidRPr="00F32F30" w:rsidRDefault="00454592" w:rsidP="007402DB">
      <w:pPr>
        <w:pStyle w:val="BodytextAgency"/>
        <w:spacing w:after="0" w:line="240" w:lineRule="auto"/>
        <w:rPr>
          <w:rFonts w:ascii="Times New Roman" w:hAnsi="Times New Roman" w:cs="Times New Roman"/>
          <w:sz w:val="22"/>
          <w:szCs w:val="22"/>
        </w:rPr>
      </w:pPr>
      <w:r w:rsidRPr="00F32F30">
        <w:rPr>
          <w:rFonts w:ascii="Times New Roman" w:hAnsi="Times New Roman" w:cs="Times New Roman"/>
          <w:noProof/>
          <w:sz w:val="22"/>
        </w:rPr>
        <w:t>Si experimenta cualquier tipo de efecto adverso, consulte a su médico o farmacéutico,</w:t>
      </w:r>
      <w:r w:rsidRPr="00F32F30">
        <w:rPr>
          <w:rFonts w:ascii="Times New Roman" w:hAnsi="Times New Roman" w:cs="Times New Roman"/>
          <w:color w:val="FF0000"/>
          <w:sz w:val="22"/>
        </w:rPr>
        <w:t xml:space="preserve"> </w:t>
      </w:r>
      <w:r w:rsidRPr="00F32F30">
        <w:rPr>
          <w:rFonts w:ascii="Times New Roman" w:hAnsi="Times New Roman" w:cs="Times New Roman"/>
          <w:noProof/>
          <w:sz w:val="22"/>
        </w:rPr>
        <w:t>incluso si se trata de posibles efectos adversos que no apa</w:t>
      </w:r>
      <w:r w:rsidRPr="00F32F30">
        <w:rPr>
          <w:rFonts w:ascii="Times New Roman" w:hAnsi="Times New Roman" w:cs="Times New Roman"/>
          <w:noProof/>
          <w:sz w:val="22"/>
        </w:rPr>
        <w:t xml:space="preserve">recen en este prospecto. También puede comunicarlos directamente a través del </w:t>
      </w:r>
      <w:r w:rsidRPr="00F32F30">
        <w:rPr>
          <w:rFonts w:ascii="Times New Roman" w:hAnsi="Times New Roman" w:cs="Times New Roman"/>
          <w:sz w:val="22"/>
          <w:highlight w:val="lightGray"/>
        </w:rPr>
        <w:t xml:space="preserve">sistema nacional de notificación incluido en el </w:t>
      </w:r>
      <w:hyperlink r:id="rId15" w:history="1">
        <w:r w:rsidRPr="00F32F30">
          <w:rPr>
            <w:rStyle w:val="Hyperlink"/>
            <w:rFonts w:ascii="Times New Roman" w:hAnsi="Times New Roman" w:cs="Times New Roman"/>
            <w:sz w:val="22"/>
            <w:highlight w:val="lightGray"/>
          </w:rPr>
          <w:t>Apéndice V</w:t>
        </w:r>
      </w:hyperlink>
      <w:r w:rsidRPr="00F32F30">
        <w:rPr>
          <w:rFonts w:ascii="Times New Roman" w:hAnsi="Times New Roman" w:cs="Times New Roman"/>
          <w:sz w:val="22"/>
        </w:rPr>
        <w:t>. Mediante</w:t>
      </w:r>
      <w:r w:rsidRPr="00F32F30">
        <w:rPr>
          <w:rFonts w:ascii="Times New Roman" w:hAnsi="Times New Roman" w:cs="Times New Roman"/>
          <w:sz w:val="22"/>
        </w:rPr>
        <w:t xml:space="preserve"> la comunicación de efectos adversos usted puede contribuir a proporcionar más información sobre la seguridad de este medicamento.</w:t>
      </w:r>
    </w:p>
    <w:p w14:paraId="3F9879F2" w14:textId="77777777" w:rsidR="007402DB" w:rsidRPr="00F32F30" w:rsidRDefault="007402DB" w:rsidP="007402DB">
      <w:pPr>
        <w:autoSpaceDE w:val="0"/>
        <w:autoSpaceDN w:val="0"/>
        <w:adjustRightInd w:val="0"/>
        <w:spacing w:line="240" w:lineRule="auto"/>
        <w:rPr>
          <w:szCs w:val="22"/>
        </w:rPr>
      </w:pPr>
    </w:p>
    <w:p w14:paraId="578B0258" w14:textId="77777777" w:rsidR="007402DB" w:rsidRPr="00F32F30" w:rsidRDefault="007402DB" w:rsidP="007402DB">
      <w:pPr>
        <w:autoSpaceDE w:val="0"/>
        <w:autoSpaceDN w:val="0"/>
        <w:adjustRightInd w:val="0"/>
        <w:spacing w:line="240" w:lineRule="auto"/>
        <w:rPr>
          <w:szCs w:val="22"/>
        </w:rPr>
      </w:pPr>
    </w:p>
    <w:p w14:paraId="0AE5C41C" w14:textId="77777777" w:rsidR="007402DB" w:rsidRPr="00F32F30" w:rsidRDefault="00454592" w:rsidP="007402DB">
      <w:pPr>
        <w:pStyle w:val="ListParagraph"/>
        <w:numPr>
          <w:ilvl w:val="0"/>
          <w:numId w:val="33"/>
        </w:numPr>
        <w:tabs>
          <w:tab w:val="clear" w:pos="567"/>
        </w:tabs>
        <w:spacing w:line="240" w:lineRule="auto"/>
        <w:ind w:left="720"/>
        <w:outlineLvl w:val="0"/>
        <w:rPr>
          <w:b/>
          <w:noProof/>
          <w:szCs w:val="22"/>
        </w:rPr>
      </w:pPr>
      <w:r w:rsidRPr="00F32F30">
        <w:rPr>
          <w:b/>
          <w:noProof/>
        </w:rPr>
        <w:t>Conservación de Cuprior</w:t>
      </w:r>
    </w:p>
    <w:p w14:paraId="2BA12D5B" w14:textId="77777777" w:rsidR="007402DB" w:rsidRPr="00F32F30" w:rsidRDefault="007402DB" w:rsidP="007402DB">
      <w:pPr>
        <w:numPr>
          <w:ilvl w:val="12"/>
          <w:numId w:val="0"/>
        </w:numPr>
        <w:tabs>
          <w:tab w:val="clear" w:pos="567"/>
        </w:tabs>
        <w:spacing w:line="240" w:lineRule="auto"/>
        <w:ind w:right="-2"/>
        <w:rPr>
          <w:noProof/>
          <w:szCs w:val="22"/>
        </w:rPr>
      </w:pPr>
    </w:p>
    <w:p w14:paraId="6155C4F6" w14:textId="77777777" w:rsidR="007402DB" w:rsidRPr="00F32F30" w:rsidRDefault="00454592" w:rsidP="007402DB">
      <w:pPr>
        <w:numPr>
          <w:ilvl w:val="12"/>
          <w:numId w:val="0"/>
        </w:numPr>
        <w:tabs>
          <w:tab w:val="clear" w:pos="567"/>
        </w:tabs>
        <w:spacing w:line="240" w:lineRule="auto"/>
        <w:ind w:right="-2"/>
        <w:rPr>
          <w:noProof/>
          <w:szCs w:val="22"/>
        </w:rPr>
      </w:pPr>
      <w:r w:rsidRPr="00F32F30">
        <w:t>Mantener este medicamento fuera de la vista y del alcance de los niños.</w:t>
      </w:r>
    </w:p>
    <w:p w14:paraId="32720775" w14:textId="77777777" w:rsidR="007402DB" w:rsidRPr="00F32F30" w:rsidRDefault="007402DB" w:rsidP="007402DB">
      <w:pPr>
        <w:numPr>
          <w:ilvl w:val="12"/>
          <w:numId w:val="0"/>
        </w:numPr>
        <w:tabs>
          <w:tab w:val="clear" w:pos="567"/>
        </w:tabs>
        <w:spacing w:line="240" w:lineRule="auto"/>
        <w:ind w:right="-2"/>
        <w:rPr>
          <w:noProof/>
          <w:szCs w:val="22"/>
        </w:rPr>
      </w:pPr>
    </w:p>
    <w:p w14:paraId="5B94D12B" w14:textId="77777777" w:rsidR="007402DB" w:rsidRPr="00F32F30" w:rsidRDefault="00454592" w:rsidP="007402DB">
      <w:pPr>
        <w:numPr>
          <w:ilvl w:val="12"/>
          <w:numId w:val="0"/>
        </w:numPr>
        <w:tabs>
          <w:tab w:val="clear" w:pos="567"/>
        </w:tabs>
        <w:spacing w:line="240" w:lineRule="auto"/>
        <w:ind w:right="-2"/>
        <w:rPr>
          <w:noProof/>
          <w:szCs w:val="22"/>
        </w:rPr>
      </w:pPr>
      <w:r w:rsidRPr="00F32F30">
        <w:t xml:space="preserve">No utilice este </w:t>
      </w:r>
      <w:r w:rsidRPr="00F32F30">
        <w:t>medicamento después de la fecha de caducidad que aparece en la caja y el blíster después de CAD. La fecha de caducidad es el último día del mes que se indica.</w:t>
      </w:r>
    </w:p>
    <w:p w14:paraId="77294B44" w14:textId="77777777" w:rsidR="007402DB" w:rsidRPr="00F32F30" w:rsidRDefault="007402DB" w:rsidP="007402DB">
      <w:pPr>
        <w:numPr>
          <w:ilvl w:val="12"/>
          <w:numId w:val="0"/>
        </w:numPr>
        <w:tabs>
          <w:tab w:val="clear" w:pos="567"/>
        </w:tabs>
        <w:spacing w:line="240" w:lineRule="auto"/>
        <w:ind w:right="-2"/>
        <w:rPr>
          <w:noProof/>
          <w:szCs w:val="22"/>
        </w:rPr>
      </w:pPr>
    </w:p>
    <w:p w14:paraId="06395815" w14:textId="77777777" w:rsidR="007402DB" w:rsidRPr="00F32F30" w:rsidRDefault="00454592" w:rsidP="007402DB">
      <w:pPr>
        <w:numPr>
          <w:ilvl w:val="12"/>
          <w:numId w:val="0"/>
        </w:numPr>
        <w:tabs>
          <w:tab w:val="clear" w:pos="567"/>
        </w:tabs>
        <w:spacing w:line="240" w:lineRule="auto"/>
        <w:ind w:right="-2"/>
        <w:rPr>
          <w:noProof/>
          <w:szCs w:val="22"/>
        </w:rPr>
      </w:pPr>
      <w:r w:rsidRPr="00F32F30">
        <w:t>Este medicamento no requiere condiciones especiales de conservación.</w:t>
      </w:r>
    </w:p>
    <w:p w14:paraId="60F4D227" w14:textId="77777777" w:rsidR="007402DB" w:rsidRPr="00F32F30" w:rsidRDefault="007402DB" w:rsidP="007402DB">
      <w:pPr>
        <w:numPr>
          <w:ilvl w:val="12"/>
          <w:numId w:val="0"/>
        </w:numPr>
        <w:tabs>
          <w:tab w:val="clear" w:pos="567"/>
        </w:tabs>
        <w:spacing w:line="240" w:lineRule="auto"/>
        <w:ind w:right="-2"/>
        <w:rPr>
          <w:noProof/>
          <w:szCs w:val="22"/>
        </w:rPr>
      </w:pPr>
    </w:p>
    <w:p w14:paraId="2B2F08AC" w14:textId="77777777" w:rsidR="007402DB" w:rsidRPr="00F32F30" w:rsidRDefault="00454592" w:rsidP="007402DB">
      <w:pPr>
        <w:numPr>
          <w:ilvl w:val="12"/>
          <w:numId w:val="0"/>
        </w:numPr>
        <w:tabs>
          <w:tab w:val="clear" w:pos="567"/>
        </w:tabs>
        <w:spacing w:line="240" w:lineRule="auto"/>
        <w:ind w:right="-2"/>
        <w:rPr>
          <w:noProof/>
          <w:szCs w:val="22"/>
        </w:rPr>
      </w:pPr>
      <w:r w:rsidRPr="00F32F30">
        <w:t>Los medicamentos no se deb</w:t>
      </w:r>
      <w:r w:rsidRPr="00F32F30">
        <w:t>en tirar por los desagües ni a la basura. Pregunte a su farmacéutico cómo deshacerse de los envases y de los medicamentos que ya no necesita. De esta forma, ayudará a proteger el medio ambiente.</w:t>
      </w:r>
    </w:p>
    <w:p w14:paraId="466C748B" w14:textId="77777777" w:rsidR="007402DB" w:rsidRPr="00F32F30" w:rsidRDefault="007402DB" w:rsidP="007402DB">
      <w:pPr>
        <w:numPr>
          <w:ilvl w:val="12"/>
          <w:numId w:val="0"/>
        </w:numPr>
        <w:tabs>
          <w:tab w:val="clear" w:pos="567"/>
        </w:tabs>
        <w:spacing w:line="240" w:lineRule="auto"/>
        <w:ind w:right="-2"/>
        <w:rPr>
          <w:noProof/>
          <w:szCs w:val="22"/>
        </w:rPr>
      </w:pPr>
    </w:p>
    <w:p w14:paraId="49BFCBF7" w14:textId="77777777" w:rsidR="007402DB" w:rsidRPr="00F32F30" w:rsidRDefault="007402DB" w:rsidP="007402DB">
      <w:pPr>
        <w:numPr>
          <w:ilvl w:val="12"/>
          <w:numId w:val="0"/>
        </w:numPr>
        <w:tabs>
          <w:tab w:val="clear" w:pos="567"/>
        </w:tabs>
        <w:spacing w:line="240" w:lineRule="auto"/>
        <w:ind w:right="-2"/>
        <w:rPr>
          <w:noProof/>
          <w:szCs w:val="22"/>
        </w:rPr>
      </w:pPr>
    </w:p>
    <w:p w14:paraId="5E00A9E8" w14:textId="77777777" w:rsidR="007402DB" w:rsidRPr="00F32F30" w:rsidRDefault="00454592" w:rsidP="007402DB">
      <w:pPr>
        <w:pStyle w:val="ListParagraph"/>
        <w:numPr>
          <w:ilvl w:val="0"/>
          <w:numId w:val="33"/>
        </w:numPr>
        <w:tabs>
          <w:tab w:val="clear" w:pos="567"/>
        </w:tabs>
        <w:spacing w:line="240" w:lineRule="auto"/>
        <w:ind w:left="720"/>
        <w:outlineLvl w:val="0"/>
        <w:rPr>
          <w:b/>
          <w:noProof/>
          <w:szCs w:val="22"/>
        </w:rPr>
      </w:pPr>
      <w:r w:rsidRPr="00F32F30">
        <w:rPr>
          <w:b/>
          <w:noProof/>
        </w:rPr>
        <w:t>Contenido del envase e información adicional</w:t>
      </w:r>
    </w:p>
    <w:p w14:paraId="5A8307B1" w14:textId="77777777" w:rsidR="007402DB" w:rsidRPr="00F32F30" w:rsidRDefault="007402DB" w:rsidP="007402DB">
      <w:pPr>
        <w:numPr>
          <w:ilvl w:val="12"/>
          <w:numId w:val="0"/>
        </w:numPr>
        <w:tabs>
          <w:tab w:val="clear" w:pos="567"/>
        </w:tabs>
        <w:spacing w:line="240" w:lineRule="auto"/>
        <w:rPr>
          <w:szCs w:val="22"/>
        </w:rPr>
      </w:pPr>
    </w:p>
    <w:p w14:paraId="6FCAE60B" w14:textId="77777777" w:rsidR="007402DB" w:rsidRPr="00F32F30" w:rsidRDefault="00454592" w:rsidP="007402DB">
      <w:pPr>
        <w:numPr>
          <w:ilvl w:val="12"/>
          <w:numId w:val="0"/>
        </w:numPr>
        <w:tabs>
          <w:tab w:val="clear" w:pos="567"/>
        </w:tabs>
        <w:spacing w:line="240" w:lineRule="auto"/>
        <w:ind w:right="-2"/>
        <w:rPr>
          <w:b/>
          <w:szCs w:val="22"/>
        </w:rPr>
      </w:pPr>
      <w:r w:rsidRPr="00F32F30">
        <w:rPr>
          <w:b/>
        </w:rPr>
        <w:t>Composición d</w:t>
      </w:r>
      <w:r w:rsidRPr="00F32F30">
        <w:rPr>
          <w:b/>
        </w:rPr>
        <w:t xml:space="preserve">e Cuprior </w:t>
      </w:r>
    </w:p>
    <w:p w14:paraId="55E81E8B" w14:textId="77777777" w:rsidR="007402DB" w:rsidRPr="00F32F30" w:rsidRDefault="00454592" w:rsidP="007402DB">
      <w:pPr>
        <w:numPr>
          <w:ilvl w:val="12"/>
          <w:numId w:val="0"/>
        </w:numPr>
        <w:tabs>
          <w:tab w:val="clear" w:pos="567"/>
        </w:tabs>
        <w:spacing w:line="240" w:lineRule="auto"/>
        <w:ind w:right="-2"/>
        <w:rPr>
          <w:noProof/>
          <w:szCs w:val="22"/>
        </w:rPr>
      </w:pPr>
      <w:r w:rsidRPr="00F32F30">
        <w:t xml:space="preserve">El principio activo es la trientina. Cada comprimido </w:t>
      </w:r>
      <w:r w:rsidR="00FC775E" w:rsidRPr="00F32F30">
        <w:t xml:space="preserve">recubierto con película </w:t>
      </w:r>
      <w:r w:rsidR="00525714" w:rsidRPr="00F32F30">
        <w:t xml:space="preserve">(comprimido) </w:t>
      </w:r>
      <w:r w:rsidRPr="00F32F30">
        <w:t xml:space="preserve">contiene trientina tetrahidrocloruro equivalente a 150 mg de trientina. </w:t>
      </w:r>
    </w:p>
    <w:p w14:paraId="44E89FB9" w14:textId="77777777" w:rsidR="00FC775E" w:rsidRPr="00F32F30" w:rsidRDefault="00454592" w:rsidP="007402DB">
      <w:pPr>
        <w:numPr>
          <w:ilvl w:val="12"/>
          <w:numId w:val="0"/>
        </w:numPr>
        <w:tabs>
          <w:tab w:val="clear" w:pos="567"/>
        </w:tabs>
        <w:spacing w:line="240" w:lineRule="auto"/>
        <w:ind w:right="-2"/>
      </w:pPr>
      <w:r w:rsidRPr="00F32F30">
        <w:t>Los demás componentes son:</w:t>
      </w:r>
    </w:p>
    <w:p w14:paraId="2B446542" w14:textId="77777777" w:rsidR="007402DB" w:rsidRPr="00F32F30" w:rsidRDefault="00454592" w:rsidP="007402DB">
      <w:pPr>
        <w:numPr>
          <w:ilvl w:val="12"/>
          <w:numId w:val="0"/>
        </w:numPr>
        <w:tabs>
          <w:tab w:val="clear" w:pos="567"/>
        </w:tabs>
        <w:spacing w:line="240" w:lineRule="auto"/>
        <w:ind w:right="-2"/>
        <w:rPr>
          <w:noProof/>
          <w:szCs w:val="22"/>
        </w:rPr>
      </w:pPr>
      <w:r w:rsidRPr="00F32F30">
        <w:t>Núcleo del comprimido:</w:t>
      </w:r>
      <w:r w:rsidR="008F5A43" w:rsidRPr="00F32F30">
        <w:t xml:space="preserve"> manitol, sílice coloidal anhidra y dibehenato de glicerol.</w:t>
      </w:r>
    </w:p>
    <w:p w14:paraId="79ED61C6" w14:textId="77777777" w:rsidR="00FC775E" w:rsidRPr="00F32F30" w:rsidRDefault="00454592" w:rsidP="00FC775E">
      <w:pPr>
        <w:rPr>
          <w:noProof/>
          <w:szCs w:val="22"/>
        </w:rPr>
      </w:pPr>
      <w:r w:rsidRPr="00F32F30">
        <w:rPr>
          <w:noProof/>
          <w:szCs w:val="22"/>
        </w:rPr>
        <w:t>Recubrimiento del comprimido: a</w:t>
      </w:r>
      <w:r w:rsidRPr="00F32F30">
        <w:t>lcohol polivinílico, t</w:t>
      </w:r>
      <w:r w:rsidRPr="00F32F30">
        <w:rPr>
          <w:noProof/>
          <w:szCs w:val="22"/>
        </w:rPr>
        <w:t>alco, dióxido de titanio (E171), glicerol monocaprilocaprato (tipo I), óxido de hierro amarillo (E172) y laurilsulfato sódico.</w:t>
      </w:r>
    </w:p>
    <w:p w14:paraId="22CCF01A" w14:textId="77777777" w:rsidR="00FC775E" w:rsidRPr="00F32F30" w:rsidRDefault="00FC775E" w:rsidP="00465064">
      <w:pPr>
        <w:rPr>
          <w:noProof/>
          <w:szCs w:val="22"/>
        </w:rPr>
      </w:pPr>
    </w:p>
    <w:p w14:paraId="2B23E2FF" w14:textId="77777777" w:rsidR="007402DB" w:rsidRPr="00F32F30" w:rsidRDefault="00454592" w:rsidP="007402DB">
      <w:pPr>
        <w:numPr>
          <w:ilvl w:val="12"/>
          <w:numId w:val="0"/>
        </w:numPr>
        <w:tabs>
          <w:tab w:val="clear" w:pos="567"/>
        </w:tabs>
        <w:spacing w:line="240" w:lineRule="auto"/>
        <w:ind w:right="-2"/>
        <w:rPr>
          <w:b/>
          <w:szCs w:val="22"/>
        </w:rPr>
      </w:pPr>
      <w:r w:rsidRPr="00F32F30">
        <w:rPr>
          <w:b/>
        </w:rPr>
        <w:t xml:space="preserve">Aspecto del producto y contenido del </w:t>
      </w:r>
      <w:r w:rsidRPr="00F32F30">
        <w:rPr>
          <w:b/>
        </w:rPr>
        <w:t>envase</w:t>
      </w:r>
    </w:p>
    <w:p w14:paraId="1AC82A67" w14:textId="77777777" w:rsidR="007402DB" w:rsidRPr="00F32F30" w:rsidRDefault="00454592" w:rsidP="007402DB">
      <w:pPr>
        <w:rPr>
          <w:noProof/>
          <w:szCs w:val="22"/>
        </w:rPr>
      </w:pPr>
      <w:r w:rsidRPr="00F32F30">
        <w:t xml:space="preserve">Comprimido </w:t>
      </w:r>
      <w:r w:rsidR="00A37A21" w:rsidRPr="00F32F30">
        <w:t xml:space="preserve">recubierto con película </w:t>
      </w:r>
      <w:r w:rsidR="00621C49" w:rsidRPr="00F32F30">
        <w:t>alargado</w:t>
      </w:r>
      <w:r w:rsidRPr="00F32F30">
        <w:t xml:space="preserve">, </w:t>
      </w:r>
      <w:r w:rsidR="00A37A21" w:rsidRPr="00F32F30">
        <w:t>amarillo</w:t>
      </w:r>
      <w:r w:rsidRPr="00F32F30">
        <w:t xml:space="preserve">, de 16 x 8 mm, con una ranura en </w:t>
      </w:r>
      <w:r w:rsidR="00A37A21" w:rsidRPr="00F32F30">
        <w:t xml:space="preserve">cada </w:t>
      </w:r>
      <w:r w:rsidRPr="00F32F30">
        <w:t xml:space="preserve">cara. El comprimido </w:t>
      </w:r>
      <w:r w:rsidR="00583983" w:rsidRPr="00F32F30">
        <w:t xml:space="preserve">recubierto con película </w:t>
      </w:r>
      <w:r w:rsidRPr="00F32F30">
        <w:t>se puede dividir en dosis iguales.</w:t>
      </w:r>
    </w:p>
    <w:p w14:paraId="0C0F7C20" w14:textId="77777777" w:rsidR="007402DB" w:rsidRPr="00F32F30" w:rsidRDefault="007402DB" w:rsidP="007402DB">
      <w:pPr>
        <w:rPr>
          <w:noProof/>
          <w:szCs w:val="22"/>
        </w:rPr>
      </w:pPr>
    </w:p>
    <w:p w14:paraId="33A6F02E" w14:textId="6B01D9EA" w:rsidR="000A2E85" w:rsidRPr="00F32F30" w:rsidRDefault="00454592" w:rsidP="000A2E85">
      <w:pPr>
        <w:numPr>
          <w:ilvl w:val="12"/>
          <w:numId w:val="0"/>
        </w:numPr>
        <w:tabs>
          <w:tab w:val="clear" w:pos="567"/>
        </w:tabs>
        <w:spacing w:line="240" w:lineRule="auto"/>
      </w:pPr>
      <w:r w:rsidRPr="00F32F30">
        <w:t>Blísters de OPA/Alu/PVC-Alu, cada uno con 8 comprimidos</w:t>
      </w:r>
      <w:r w:rsidR="00A37A21" w:rsidRPr="00F32F30">
        <w:t xml:space="preserve"> recubiertos con película</w:t>
      </w:r>
      <w:r w:rsidRPr="00F32F30">
        <w:t>. Cuprior está disponible en envases de 72 o 96 comprimidos recubiertos con película.</w:t>
      </w:r>
    </w:p>
    <w:p w14:paraId="49198EC6" w14:textId="4111D055" w:rsidR="007402DB" w:rsidRPr="00F32F30" w:rsidRDefault="00454592" w:rsidP="000A2E85">
      <w:pPr>
        <w:numPr>
          <w:ilvl w:val="12"/>
          <w:numId w:val="0"/>
        </w:numPr>
        <w:tabs>
          <w:tab w:val="clear" w:pos="567"/>
        </w:tabs>
        <w:spacing w:line="240" w:lineRule="auto"/>
        <w:rPr>
          <w:szCs w:val="22"/>
        </w:rPr>
      </w:pPr>
      <w:r w:rsidRPr="00F32F30">
        <w:t>Puede que solamente estén comercializados algunos tamaños de envases.</w:t>
      </w:r>
    </w:p>
    <w:p w14:paraId="74870FC7" w14:textId="77777777" w:rsidR="007402DB" w:rsidRPr="00F32F30" w:rsidRDefault="007402DB" w:rsidP="007402DB">
      <w:pPr>
        <w:numPr>
          <w:ilvl w:val="12"/>
          <w:numId w:val="0"/>
        </w:numPr>
        <w:tabs>
          <w:tab w:val="clear" w:pos="567"/>
        </w:tabs>
        <w:spacing w:line="240" w:lineRule="auto"/>
        <w:rPr>
          <w:szCs w:val="22"/>
        </w:rPr>
      </w:pPr>
    </w:p>
    <w:p w14:paraId="7C753AED" w14:textId="77777777" w:rsidR="007402DB" w:rsidRPr="00F32F30" w:rsidRDefault="00454592" w:rsidP="007402DB">
      <w:pPr>
        <w:numPr>
          <w:ilvl w:val="12"/>
          <w:numId w:val="0"/>
        </w:numPr>
        <w:tabs>
          <w:tab w:val="clear" w:pos="567"/>
        </w:tabs>
        <w:spacing w:line="240" w:lineRule="auto"/>
        <w:ind w:right="-2"/>
        <w:rPr>
          <w:b/>
          <w:szCs w:val="22"/>
        </w:rPr>
      </w:pPr>
      <w:r w:rsidRPr="00F32F30">
        <w:rPr>
          <w:b/>
        </w:rPr>
        <w:t xml:space="preserve">Titular de la autorización de comercialización </w:t>
      </w:r>
    </w:p>
    <w:p w14:paraId="38629D32" w14:textId="1D8832F0" w:rsidR="007402DB" w:rsidRPr="00454592" w:rsidRDefault="00651DA6" w:rsidP="007402DB">
      <w:pPr>
        <w:rPr>
          <w:szCs w:val="22"/>
          <w:lang w:val="fr-FR"/>
        </w:rPr>
      </w:pPr>
      <w:proofErr w:type="spellStart"/>
      <w:r w:rsidRPr="00454592">
        <w:rPr>
          <w:lang w:val="fr-FR"/>
        </w:rPr>
        <w:t>Orphalan</w:t>
      </w:r>
      <w:proofErr w:type="spellEnd"/>
    </w:p>
    <w:p w14:paraId="2BF17929" w14:textId="77777777" w:rsidR="001150A5" w:rsidRPr="002503BA" w:rsidRDefault="00454592" w:rsidP="001150A5">
      <w:pPr>
        <w:rPr>
          <w:szCs w:val="22"/>
          <w:lang w:val="fr-FR"/>
        </w:rPr>
      </w:pPr>
      <w:r w:rsidRPr="002503BA">
        <w:rPr>
          <w:szCs w:val="22"/>
          <w:lang w:val="fr-FR"/>
        </w:rPr>
        <w:t xml:space="preserve">226 Boulevard </w:t>
      </w:r>
      <w:r w:rsidRPr="002503BA">
        <w:rPr>
          <w:szCs w:val="22"/>
          <w:lang w:val="fr-FR"/>
        </w:rPr>
        <w:t>Voltaire</w:t>
      </w:r>
    </w:p>
    <w:p w14:paraId="69C1D16A" w14:textId="77777777" w:rsidR="001150A5" w:rsidRPr="0036776A" w:rsidRDefault="00454592" w:rsidP="001150A5">
      <w:pPr>
        <w:rPr>
          <w:szCs w:val="22"/>
          <w:lang w:val="fr-FR"/>
        </w:rPr>
      </w:pPr>
      <w:r w:rsidRPr="002503BA">
        <w:rPr>
          <w:szCs w:val="22"/>
          <w:lang w:val="fr-FR"/>
        </w:rPr>
        <w:lastRenderedPageBreak/>
        <w:t>75011 Paris</w:t>
      </w:r>
    </w:p>
    <w:p w14:paraId="6083B4B6" w14:textId="77777777" w:rsidR="007402DB" w:rsidRPr="00F32F30" w:rsidRDefault="007402DB" w:rsidP="007402DB">
      <w:pPr>
        <w:rPr>
          <w:szCs w:val="22"/>
          <w:lang w:val="fr-LU"/>
        </w:rPr>
      </w:pPr>
    </w:p>
    <w:p w14:paraId="37B8890D" w14:textId="77777777" w:rsidR="007402DB" w:rsidRPr="00F32F30" w:rsidRDefault="00454592" w:rsidP="007402DB">
      <w:pPr>
        <w:rPr>
          <w:szCs w:val="22"/>
          <w:lang w:val="fr-LU"/>
        </w:rPr>
      </w:pPr>
      <w:r w:rsidRPr="00F32F30">
        <w:rPr>
          <w:lang w:val="fr-LU"/>
        </w:rPr>
        <w:t>Francia</w:t>
      </w:r>
    </w:p>
    <w:p w14:paraId="3D6E96E2" w14:textId="77777777" w:rsidR="007402DB" w:rsidRPr="00F32F30" w:rsidRDefault="007402DB" w:rsidP="007402DB">
      <w:pPr>
        <w:numPr>
          <w:ilvl w:val="12"/>
          <w:numId w:val="0"/>
        </w:numPr>
        <w:tabs>
          <w:tab w:val="clear" w:pos="567"/>
        </w:tabs>
        <w:spacing w:line="240" w:lineRule="auto"/>
        <w:ind w:right="-2"/>
        <w:rPr>
          <w:noProof/>
          <w:szCs w:val="22"/>
          <w:lang w:val="fr-LU"/>
        </w:rPr>
      </w:pPr>
    </w:p>
    <w:p w14:paraId="569F29CD" w14:textId="77777777" w:rsidR="007402DB" w:rsidRPr="00F32F30" w:rsidRDefault="00454592" w:rsidP="007402DB">
      <w:pPr>
        <w:keepNext/>
        <w:numPr>
          <w:ilvl w:val="12"/>
          <w:numId w:val="0"/>
        </w:numPr>
        <w:tabs>
          <w:tab w:val="clear" w:pos="567"/>
        </w:tabs>
        <w:spacing w:line="240" w:lineRule="auto"/>
        <w:ind w:right="-2"/>
        <w:rPr>
          <w:b/>
          <w:szCs w:val="22"/>
          <w:lang w:val="fr-LU"/>
        </w:rPr>
      </w:pPr>
      <w:r w:rsidRPr="00F32F30">
        <w:rPr>
          <w:b/>
          <w:lang w:val="fr-LU"/>
        </w:rPr>
        <w:t>Responsable de la fabricación</w:t>
      </w:r>
    </w:p>
    <w:p w14:paraId="3313852D" w14:textId="77777777" w:rsidR="007402DB" w:rsidRPr="00F32F30" w:rsidRDefault="00454592" w:rsidP="007402DB">
      <w:pPr>
        <w:numPr>
          <w:ilvl w:val="12"/>
          <w:numId w:val="0"/>
        </w:numPr>
        <w:tabs>
          <w:tab w:val="clear" w:pos="567"/>
        </w:tabs>
        <w:spacing w:line="240" w:lineRule="auto"/>
        <w:ind w:right="-2"/>
        <w:rPr>
          <w:szCs w:val="22"/>
          <w:lang w:val="fr-LU"/>
        </w:rPr>
      </w:pPr>
      <w:r w:rsidRPr="00F32F30">
        <w:rPr>
          <w:lang w:val="fr-LU"/>
        </w:rPr>
        <w:t>Delpharm Evreux</w:t>
      </w:r>
    </w:p>
    <w:p w14:paraId="0EE8D1D0" w14:textId="77777777" w:rsidR="007402DB" w:rsidRPr="00F32F30" w:rsidRDefault="00454592" w:rsidP="007402DB">
      <w:pPr>
        <w:numPr>
          <w:ilvl w:val="12"/>
          <w:numId w:val="0"/>
        </w:numPr>
        <w:tabs>
          <w:tab w:val="clear" w:pos="567"/>
        </w:tabs>
        <w:spacing w:line="240" w:lineRule="auto"/>
        <w:ind w:right="-2"/>
        <w:rPr>
          <w:szCs w:val="22"/>
          <w:lang w:val="fr-LU"/>
        </w:rPr>
      </w:pPr>
      <w:r w:rsidRPr="00F32F30">
        <w:rPr>
          <w:lang w:val="fr-LU"/>
        </w:rPr>
        <w:t>5 rue du Guesclin</w:t>
      </w:r>
    </w:p>
    <w:p w14:paraId="14C5D076" w14:textId="77777777" w:rsidR="007402DB" w:rsidRPr="00F32F30" w:rsidRDefault="00454592" w:rsidP="007402DB">
      <w:pPr>
        <w:numPr>
          <w:ilvl w:val="12"/>
          <w:numId w:val="0"/>
        </w:numPr>
        <w:tabs>
          <w:tab w:val="clear" w:pos="567"/>
        </w:tabs>
        <w:spacing w:line="240" w:lineRule="auto"/>
        <w:ind w:right="-2"/>
        <w:rPr>
          <w:szCs w:val="22"/>
          <w:lang w:val="pt-PT"/>
        </w:rPr>
      </w:pPr>
      <w:r w:rsidRPr="00F32F30">
        <w:rPr>
          <w:lang w:val="pt-PT"/>
        </w:rPr>
        <w:t>27000 Evreux</w:t>
      </w:r>
    </w:p>
    <w:p w14:paraId="03DB05AE" w14:textId="77777777" w:rsidR="007402DB" w:rsidRPr="00F32F30" w:rsidRDefault="00454592" w:rsidP="007402DB">
      <w:pPr>
        <w:numPr>
          <w:ilvl w:val="12"/>
          <w:numId w:val="0"/>
        </w:numPr>
        <w:tabs>
          <w:tab w:val="clear" w:pos="567"/>
        </w:tabs>
        <w:spacing w:line="240" w:lineRule="auto"/>
        <w:ind w:right="-2"/>
        <w:rPr>
          <w:noProof/>
          <w:szCs w:val="22"/>
          <w:lang w:val="pt-PT"/>
        </w:rPr>
      </w:pPr>
      <w:r w:rsidRPr="00F32F30">
        <w:rPr>
          <w:lang w:val="pt-PT"/>
        </w:rPr>
        <w:t>Francia</w:t>
      </w:r>
    </w:p>
    <w:p w14:paraId="04758A47" w14:textId="77777777" w:rsidR="007402DB" w:rsidRPr="00F32F30" w:rsidRDefault="007402DB" w:rsidP="007402DB">
      <w:pPr>
        <w:numPr>
          <w:ilvl w:val="12"/>
          <w:numId w:val="0"/>
        </w:numPr>
        <w:tabs>
          <w:tab w:val="clear" w:pos="567"/>
        </w:tabs>
        <w:spacing w:line="240" w:lineRule="auto"/>
        <w:ind w:right="-2"/>
        <w:rPr>
          <w:noProof/>
          <w:szCs w:val="22"/>
          <w:lang w:val="pt-PT"/>
        </w:rPr>
      </w:pPr>
    </w:p>
    <w:tbl>
      <w:tblPr>
        <w:tblW w:w="9356" w:type="dxa"/>
        <w:tblInd w:w="-34" w:type="dxa"/>
        <w:tblLayout w:type="fixed"/>
        <w:tblLook w:val="0000" w:firstRow="0" w:lastRow="0" w:firstColumn="0" w:lastColumn="0" w:noHBand="0" w:noVBand="0"/>
      </w:tblPr>
      <w:tblGrid>
        <w:gridCol w:w="4678"/>
        <w:gridCol w:w="4678"/>
      </w:tblGrid>
      <w:tr w:rsidR="00535D3E" w14:paraId="42AE9DBE" w14:textId="77777777" w:rsidTr="007402DB">
        <w:tc>
          <w:tcPr>
            <w:tcW w:w="4678" w:type="dxa"/>
          </w:tcPr>
          <w:p w14:paraId="2C4683C3" w14:textId="77777777" w:rsidR="007402DB" w:rsidRPr="00F32F30" w:rsidRDefault="007402DB" w:rsidP="007402DB">
            <w:pPr>
              <w:tabs>
                <w:tab w:val="left" w:pos="-720"/>
              </w:tabs>
              <w:suppressAutoHyphens/>
              <w:spacing w:line="240" w:lineRule="auto"/>
              <w:rPr>
                <w:noProof/>
                <w:szCs w:val="22"/>
                <w:lang w:val="pt-PT"/>
              </w:rPr>
            </w:pPr>
          </w:p>
        </w:tc>
        <w:tc>
          <w:tcPr>
            <w:tcW w:w="4678" w:type="dxa"/>
          </w:tcPr>
          <w:p w14:paraId="28398BA2" w14:textId="77777777" w:rsidR="007402DB" w:rsidRPr="00F32F30" w:rsidRDefault="007402DB" w:rsidP="007402DB">
            <w:pPr>
              <w:tabs>
                <w:tab w:val="left" w:pos="-720"/>
              </w:tabs>
              <w:suppressAutoHyphens/>
              <w:spacing w:line="240" w:lineRule="auto"/>
              <w:rPr>
                <w:noProof/>
                <w:szCs w:val="22"/>
                <w:lang w:val="pt-PT"/>
              </w:rPr>
            </w:pPr>
          </w:p>
        </w:tc>
      </w:tr>
    </w:tbl>
    <w:p w14:paraId="3FE65E56" w14:textId="77777777" w:rsidR="007402DB" w:rsidRPr="00F32F30" w:rsidRDefault="00454592" w:rsidP="007402DB">
      <w:pPr>
        <w:numPr>
          <w:ilvl w:val="12"/>
          <w:numId w:val="0"/>
        </w:numPr>
        <w:tabs>
          <w:tab w:val="clear" w:pos="567"/>
        </w:tabs>
        <w:spacing w:line="240" w:lineRule="auto"/>
        <w:ind w:right="-2"/>
        <w:rPr>
          <w:b/>
          <w:szCs w:val="22"/>
        </w:rPr>
      </w:pPr>
      <w:r w:rsidRPr="00F32F30">
        <w:rPr>
          <w:b/>
        </w:rPr>
        <w:t>Fecha de la última revisión de este prospecto:</w:t>
      </w:r>
    </w:p>
    <w:p w14:paraId="03BDDAB1" w14:textId="77777777" w:rsidR="007402DB" w:rsidRPr="00F32F30" w:rsidRDefault="007402DB" w:rsidP="007402DB">
      <w:pPr>
        <w:numPr>
          <w:ilvl w:val="12"/>
          <w:numId w:val="0"/>
        </w:numPr>
        <w:spacing w:line="240" w:lineRule="auto"/>
        <w:ind w:right="-2"/>
        <w:rPr>
          <w:noProof/>
          <w:szCs w:val="22"/>
        </w:rPr>
      </w:pPr>
    </w:p>
    <w:p w14:paraId="257B7CCA" w14:textId="77777777" w:rsidR="007402DB" w:rsidRPr="00F32F30" w:rsidRDefault="00454592" w:rsidP="007402DB">
      <w:pPr>
        <w:numPr>
          <w:ilvl w:val="12"/>
          <w:numId w:val="0"/>
        </w:numPr>
        <w:tabs>
          <w:tab w:val="clear" w:pos="567"/>
        </w:tabs>
        <w:spacing w:line="240" w:lineRule="auto"/>
        <w:ind w:right="-2"/>
        <w:rPr>
          <w:b/>
          <w:noProof/>
          <w:szCs w:val="22"/>
        </w:rPr>
      </w:pPr>
      <w:r w:rsidRPr="00F32F30">
        <w:rPr>
          <w:b/>
          <w:noProof/>
        </w:rPr>
        <w:t>Otras fuentes de información</w:t>
      </w:r>
    </w:p>
    <w:p w14:paraId="0D6F059C" w14:textId="77777777" w:rsidR="00304483" w:rsidRPr="00F32F30" w:rsidRDefault="00454592" w:rsidP="00304483">
      <w:pPr>
        <w:numPr>
          <w:ilvl w:val="12"/>
          <w:numId w:val="0"/>
        </w:numPr>
        <w:spacing w:line="240" w:lineRule="auto"/>
        <w:ind w:right="-2"/>
        <w:rPr>
          <w:noProof/>
          <w:szCs w:val="22"/>
        </w:rPr>
      </w:pPr>
      <w:r w:rsidRPr="00F32F30">
        <w:t xml:space="preserve">La información detallada de este medicamento está disponible en la página web de la Agencia Europea de Medicamentos: </w:t>
      </w:r>
      <w:hyperlink w:history="1">
        <w:r w:rsidRPr="00F32F30">
          <w:rPr>
            <w:rStyle w:val="Hyperlink"/>
            <w:noProof/>
          </w:rPr>
          <w:t>http://www.ema.europa.eu</w:t>
        </w:r>
      </w:hyperlink>
      <w:r w:rsidRPr="00F32F30">
        <w:t xml:space="preserve">. También existen enlaces a otras páginas web sobre enfermedades raras y medicamentos huérfanos. </w:t>
      </w:r>
    </w:p>
    <w:p w14:paraId="7ED0D93C" w14:textId="77777777" w:rsidR="007402DB" w:rsidRPr="00F32F30" w:rsidRDefault="007402DB" w:rsidP="00304483">
      <w:pPr>
        <w:numPr>
          <w:ilvl w:val="12"/>
          <w:numId w:val="0"/>
        </w:numPr>
        <w:spacing w:line="240" w:lineRule="auto"/>
        <w:ind w:right="-2"/>
        <w:rPr>
          <w:noProof/>
          <w:szCs w:val="22"/>
        </w:rPr>
      </w:pPr>
    </w:p>
    <w:sectPr w:rsidR="007402DB" w:rsidRPr="00F32F30" w:rsidSect="007402DB">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D730D" w14:textId="77777777" w:rsidR="00000000" w:rsidRDefault="00454592">
      <w:pPr>
        <w:spacing w:line="240" w:lineRule="auto"/>
      </w:pPr>
      <w:r>
        <w:separator/>
      </w:r>
    </w:p>
  </w:endnote>
  <w:endnote w:type="continuationSeparator" w:id="0">
    <w:p w14:paraId="0582B4CF" w14:textId="77777777" w:rsidR="00000000" w:rsidRDefault="00454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842A5" w14:textId="3D21F04B" w:rsidR="001A65AB" w:rsidRDefault="00454592">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32F30">
      <w:rPr>
        <w:rStyle w:val="PageNumber"/>
        <w:rFonts w:cs="Arial"/>
      </w:rPr>
      <w:t>21</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F5E2" w14:textId="48823080" w:rsidR="001A65AB" w:rsidRDefault="00454592">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32F30">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F0ACA" w14:textId="77777777" w:rsidR="00000000" w:rsidRDefault="00454592">
      <w:pPr>
        <w:spacing w:line="240" w:lineRule="auto"/>
      </w:pPr>
      <w:r>
        <w:separator/>
      </w:r>
    </w:p>
  </w:footnote>
  <w:footnote w:type="continuationSeparator" w:id="0">
    <w:p w14:paraId="6CE4DC54" w14:textId="77777777" w:rsidR="00000000" w:rsidRDefault="004545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4CF83CEC">
      <w:start w:val="1"/>
      <w:numFmt w:val="bullet"/>
      <w:lvlText w:val=""/>
      <w:lvlJc w:val="left"/>
      <w:pPr>
        <w:tabs>
          <w:tab w:val="num" w:pos="360"/>
        </w:tabs>
        <w:ind w:left="360" w:hanging="360"/>
      </w:pPr>
      <w:rPr>
        <w:rFonts w:ascii="Symbol" w:hAnsi="Symbol" w:hint="default"/>
      </w:rPr>
    </w:lvl>
    <w:lvl w:ilvl="1" w:tplc="B26C498C" w:tentative="1">
      <w:start w:val="1"/>
      <w:numFmt w:val="bullet"/>
      <w:lvlText w:val="o"/>
      <w:lvlJc w:val="left"/>
      <w:pPr>
        <w:tabs>
          <w:tab w:val="num" w:pos="1080"/>
        </w:tabs>
        <w:ind w:left="1080" w:hanging="360"/>
      </w:pPr>
      <w:rPr>
        <w:rFonts w:ascii="Courier New" w:hAnsi="Courier New" w:cs="Courier New" w:hint="default"/>
      </w:rPr>
    </w:lvl>
    <w:lvl w:ilvl="2" w:tplc="F3DA97DE" w:tentative="1">
      <w:start w:val="1"/>
      <w:numFmt w:val="bullet"/>
      <w:lvlText w:val=""/>
      <w:lvlJc w:val="left"/>
      <w:pPr>
        <w:tabs>
          <w:tab w:val="num" w:pos="1800"/>
        </w:tabs>
        <w:ind w:left="1800" w:hanging="360"/>
      </w:pPr>
      <w:rPr>
        <w:rFonts w:ascii="Wingdings" w:hAnsi="Wingdings" w:hint="default"/>
      </w:rPr>
    </w:lvl>
    <w:lvl w:ilvl="3" w:tplc="CA34D09E" w:tentative="1">
      <w:start w:val="1"/>
      <w:numFmt w:val="bullet"/>
      <w:lvlText w:val=""/>
      <w:lvlJc w:val="left"/>
      <w:pPr>
        <w:tabs>
          <w:tab w:val="num" w:pos="2520"/>
        </w:tabs>
        <w:ind w:left="2520" w:hanging="360"/>
      </w:pPr>
      <w:rPr>
        <w:rFonts w:ascii="Symbol" w:hAnsi="Symbol" w:hint="default"/>
      </w:rPr>
    </w:lvl>
    <w:lvl w:ilvl="4" w:tplc="BD3056A6" w:tentative="1">
      <w:start w:val="1"/>
      <w:numFmt w:val="bullet"/>
      <w:lvlText w:val="o"/>
      <w:lvlJc w:val="left"/>
      <w:pPr>
        <w:tabs>
          <w:tab w:val="num" w:pos="3240"/>
        </w:tabs>
        <w:ind w:left="3240" w:hanging="360"/>
      </w:pPr>
      <w:rPr>
        <w:rFonts w:ascii="Courier New" w:hAnsi="Courier New" w:cs="Courier New" w:hint="default"/>
      </w:rPr>
    </w:lvl>
    <w:lvl w:ilvl="5" w:tplc="89F04E78" w:tentative="1">
      <w:start w:val="1"/>
      <w:numFmt w:val="bullet"/>
      <w:lvlText w:val=""/>
      <w:lvlJc w:val="left"/>
      <w:pPr>
        <w:tabs>
          <w:tab w:val="num" w:pos="3960"/>
        </w:tabs>
        <w:ind w:left="3960" w:hanging="360"/>
      </w:pPr>
      <w:rPr>
        <w:rFonts w:ascii="Wingdings" w:hAnsi="Wingdings" w:hint="default"/>
      </w:rPr>
    </w:lvl>
    <w:lvl w:ilvl="6" w:tplc="D5E2E538" w:tentative="1">
      <w:start w:val="1"/>
      <w:numFmt w:val="bullet"/>
      <w:lvlText w:val=""/>
      <w:lvlJc w:val="left"/>
      <w:pPr>
        <w:tabs>
          <w:tab w:val="num" w:pos="4680"/>
        </w:tabs>
        <w:ind w:left="4680" w:hanging="360"/>
      </w:pPr>
      <w:rPr>
        <w:rFonts w:ascii="Symbol" w:hAnsi="Symbol" w:hint="default"/>
      </w:rPr>
    </w:lvl>
    <w:lvl w:ilvl="7" w:tplc="1E70222A" w:tentative="1">
      <w:start w:val="1"/>
      <w:numFmt w:val="bullet"/>
      <w:lvlText w:val="o"/>
      <w:lvlJc w:val="left"/>
      <w:pPr>
        <w:tabs>
          <w:tab w:val="num" w:pos="5400"/>
        </w:tabs>
        <w:ind w:left="5400" w:hanging="360"/>
      </w:pPr>
      <w:rPr>
        <w:rFonts w:ascii="Courier New" w:hAnsi="Courier New" w:cs="Courier New" w:hint="default"/>
      </w:rPr>
    </w:lvl>
    <w:lvl w:ilvl="8" w:tplc="0082CCC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B32E8CAC">
      <w:start w:val="1"/>
      <w:numFmt w:val="upperLetter"/>
      <w:lvlText w:val="%1."/>
      <w:lvlJc w:val="left"/>
      <w:pPr>
        <w:ind w:left="720" w:hanging="360"/>
      </w:pPr>
      <w:rPr>
        <w:rFonts w:hint="default"/>
        <w:b/>
      </w:rPr>
    </w:lvl>
    <w:lvl w:ilvl="1" w:tplc="34BA1688" w:tentative="1">
      <w:start w:val="1"/>
      <w:numFmt w:val="lowerLetter"/>
      <w:lvlText w:val="%2."/>
      <w:lvlJc w:val="left"/>
      <w:pPr>
        <w:ind w:left="1440" w:hanging="360"/>
      </w:pPr>
    </w:lvl>
    <w:lvl w:ilvl="2" w:tplc="A4D6373C" w:tentative="1">
      <w:start w:val="1"/>
      <w:numFmt w:val="lowerRoman"/>
      <w:lvlText w:val="%3."/>
      <w:lvlJc w:val="right"/>
      <w:pPr>
        <w:ind w:left="2160" w:hanging="180"/>
      </w:pPr>
    </w:lvl>
    <w:lvl w:ilvl="3" w:tplc="577ED9B8" w:tentative="1">
      <w:start w:val="1"/>
      <w:numFmt w:val="decimal"/>
      <w:lvlText w:val="%4."/>
      <w:lvlJc w:val="left"/>
      <w:pPr>
        <w:ind w:left="2880" w:hanging="360"/>
      </w:pPr>
    </w:lvl>
    <w:lvl w:ilvl="4" w:tplc="181AF74E" w:tentative="1">
      <w:start w:val="1"/>
      <w:numFmt w:val="lowerLetter"/>
      <w:lvlText w:val="%5."/>
      <w:lvlJc w:val="left"/>
      <w:pPr>
        <w:ind w:left="3600" w:hanging="360"/>
      </w:pPr>
    </w:lvl>
    <w:lvl w:ilvl="5" w:tplc="EFBC7FE2" w:tentative="1">
      <w:start w:val="1"/>
      <w:numFmt w:val="lowerRoman"/>
      <w:lvlText w:val="%6."/>
      <w:lvlJc w:val="right"/>
      <w:pPr>
        <w:ind w:left="4320" w:hanging="180"/>
      </w:pPr>
    </w:lvl>
    <w:lvl w:ilvl="6" w:tplc="68203312" w:tentative="1">
      <w:start w:val="1"/>
      <w:numFmt w:val="decimal"/>
      <w:lvlText w:val="%7."/>
      <w:lvlJc w:val="left"/>
      <w:pPr>
        <w:ind w:left="5040" w:hanging="360"/>
      </w:pPr>
    </w:lvl>
    <w:lvl w:ilvl="7" w:tplc="C0FC0D0C" w:tentative="1">
      <w:start w:val="1"/>
      <w:numFmt w:val="lowerLetter"/>
      <w:lvlText w:val="%8."/>
      <w:lvlJc w:val="left"/>
      <w:pPr>
        <w:ind w:left="5760" w:hanging="360"/>
      </w:pPr>
    </w:lvl>
    <w:lvl w:ilvl="8" w:tplc="DBF26972"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9070A76C">
      <w:start w:val="1"/>
      <w:numFmt w:val="upperLetter"/>
      <w:lvlText w:val="%1."/>
      <w:lvlJc w:val="left"/>
      <w:pPr>
        <w:ind w:left="577" w:hanging="450"/>
      </w:pPr>
      <w:rPr>
        <w:rFonts w:hint="default"/>
      </w:rPr>
    </w:lvl>
    <w:lvl w:ilvl="1" w:tplc="5BE4B2C4">
      <w:start w:val="1"/>
      <w:numFmt w:val="decimal"/>
      <w:lvlText w:val="%2."/>
      <w:lvlJc w:val="left"/>
      <w:pPr>
        <w:ind w:left="1417" w:hanging="570"/>
      </w:pPr>
      <w:rPr>
        <w:rFonts w:hint="default"/>
      </w:rPr>
    </w:lvl>
    <w:lvl w:ilvl="2" w:tplc="B308CF7A" w:tentative="1">
      <w:start w:val="1"/>
      <w:numFmt w:val="lowerRoman"/>
      <w:lvlText w:val="%3."/>
      <w:lvlJc w:val="right"/>
      <w:pPr>
        <w:ind w:left="1927" w:hanging="180"/>
      </w:pPr>
    </w:lvl>
    <w:lvl w:ilvl="3" w:tplc="28107C9C" w:tentative="1">
      <w:start w:val="1"/>
      <w:numFmt w:val="decimal"/>
      <w:lvlText w:val="%4."/>
      <w:lvlJc w:val="left"/>
      <w:pPr>
        <w:ind w:left="2647" w:hanging="360"/>
      </w:pPr>
    </w:lvl>
    <w:lvl w:ilvl="4" w:tplc="D4D8DC96" w:tentative="1">
      <w:start w:val="1"/>
      <w:numFmt w:val="lowerLetter"/>
      <w:lvlText w:val="%5."/>
      <w:lvlJc w:val="left"/>
      <w:pPr>
        <w:ind w:left="3367" w:hanging="360"/>
      </w:pPr>
    </w:lvl>
    <w:lvl w:ilvl="5" w:tplc="E3D64E4C" w:tentative="1">
      <w:start w:val="1"/>
      <w:numFmt w:val="lowerRoman"/>
      <w:lvlText w:val="%6."/>
      <w:lvlJc w:val="right"/>
      <w:pPr>
        <w:ind w:left="4087" w:hanging="180"/>
      </w:pPr>
    </w:lvl>
    <w:lvl w:ilvl="6" w:tplc="18BC645E" w:tentative="1">
      <w:start w:val="1"/>
      <w:numFmt w:val="decimal"/>
      <w:lvlText w:val="%7."/>
      <w:lvlJc w:val="left"/>
      <w:pPr>
        <w:ind w:left="4807" w:hanging="360"/>
      </w:pPr>
    </w:lvl>
    <w:lvl w:ilvl="7" w:tplc="FFF05F1A" w:tentative="1">
      <w:start w:val="1"/>
      <w:numFmt w:val="lowerLetter"/>
      <w:lvlText w:val="%8."/>
      <w:lvlJc w:val="left"/>
      <w:pPr>
        <w:ind w:left="5527" w:hanging="360"/>
      </w:pPr>
    </w:lvl>
    <w:lvl w:ilvl="8" w:tplc="D124E0CE"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B57281B4">
      <w:start w:val="1"/>
      <w:numFmt w:val="bullet"/>
      <w:lvlText w:val=""/>
      <w:lvlJc w:val="left"/>
      <w:pPr>
        <w:tabs>
          <w:tab w:val="num" w:pos="720"/>
        </w:tabs>
        <w:ind w:left="720" w:hanging="360"/>
      </w:pPr>
      <w:rPr>
        <w:rFonts w:ascii="Symbol" w:hAnsi="Symbol" w:hint="default"/>
      </w:rPr>
    </w:lvl>
    <w:lvl w:ilvl="1" w:tplc="686A0FD0" w:tentative="1">
      <w:start w:val="1"/>
      <w:numFmt w:val="bullet"/>
      <w:lvlText w:val="o"/>
      <w:lvlJc w:val="left"/>
      <w:pPr>
        <w:tabs>
          <w:tab w:val="num" w:pos="1440"/>
        </w:tabs>
        <w:ind w:left="1440" w:hanging="360"/>
      </w:pPr>
      <w:rPr>
        <w:rFonts w:ascii="Courier New" w:hAnsi="Courier New" w:cs="Courier New" w:hint="default"/>
      </w:rPr>
    </w:lvl>
    <w:lvl w:ilvl="2" w:tplc="DD7C969C" w:tentative="1">
      <w:start w:val="1"/>
      <w:numFmt w:val="bullet"/>
      <w:lvlText w:val=""/>
      <w:lvlJc w:val="left"/>
      <w:pPr>
        <w:tabs>
          <w:tab w:val="num" w:pos="2160"/>
        </w:tabs>
        <w:ind w:left="2160" w:hanging="360"/>
      </w:pPr>
      <w:rPr>
        <w:rFonts w:ascii="Wingdings" w:hAnsi="Wingdings" w:hint="default"/>
      </w:rPr>
    </w:lvl>
    <w:lvl w:ilvl="3" w:tplc="808047DE" w:tentative="1">
      <w:start w:val="1"/>
      <w:numFmt w:val="bullet"/>
      <w:lvlText w:val=""/>
      <w:lvlJc w:val="left"/>
      <w:pPr>
        <w:tabs>
          <w:tab w:val="num" w:pos="2880"/>
        </w:tabs>
        <w:ind w:left="2880" w:hanging="360"/>
      </w:pPr>
      <w:rPr>
        <w:rFonts w:ascii="Symbol" w:hAnsi="Symbol" w:hint="default"/>
      </w:rPr>
    </w:lvl>
    <w:lvl w:ilvl="4" w:tplc="761C7866" w:tentative="1">
      <w:start w:val="1"/>
      <w:numFmt w:val="bullet"/>
      <w:lvlText w:val="o"/>
      <w:lvlJc w:val="left"/>
      <w:pPr>
        <w:tabs>
          <w:tab w:val="num" w:pos="3600"/>
        </w:tabs>
        <w:ind w:left="3600" w:hanging="360"/>
      </w:pPr>
      <w:rPr>
        <w:rFonts w:ascii="Courier New" w:hAnsi="Courier New" w:cs="Courier New" w:hint="default"/>
      </w:rPr>
    </w:lvl>
    <w:lvl w:ilvl="5" w:tplc="7CBEF218" w:tentative="1">
      <w:start w:val="1"/>
      <w:numFmt w:val="bullet"/>
      <w:lvlText w:val=""/>
      <w:lvlJc w:val="left"/>
      <w:pPr>
        <w:tabs>
          <w:tab w:val="num" w:pos="4320"/>
        </w:tabs>
        <w:ind w:left="4320" w:hanging="360"/>
      </w:pPr>
      <w:rPr>
        <w:rFonts w:ascii="Wingdings" w:hAnsi="Wingdings" w:hint="default"/>
      </w:rPr>
    </w:lvl>
    <w:lvl w:ilvl="6" w:tplc="3FC6F2FA" w:tentative="1">
      <w:start w:val="1"/>
      <w:numFmt w:val="bullet"/>
      <w:lvlText w:val=""/>
      <w:lvlJc w:val="left"/>
      <w:pPr>
        <w:tabs>
          <w:tab w:val="num" w:pos="5040"/>
        </w:tabs>
        <w:ind w:left="5040" w:hanging="360"/>
      </w:pPr>
      <w:rPr>
        <w:rFonts w:ascii="Symbol" w:hAnsi="Symbol" w:hint="default"/>
      </w:rPr>
    </w:lvl>
    <w:lvl w:ilvl="7" w:tplc="E2986A54" w:tentative="1">
      <w:start w:val="1"/>
      <w:numFmt w:val="bullet"/>
      <w:lvlText w:val="o"/>
      <w:lvlJc w:val="left"/>
      <w:pPr>
        <w:tabs>
          <w:tab w:val="num" w:pos="5760"/>
        </w:tabs>
        <w:ind w:left="5760" w:hanging="360"/>
      </w:pPr>
      <w:rPr>
        <w:rFonts w:ascii="Courier New" w:hAnsi="Courier New" w:cs="Courier New" w:hint="default"/>
      </w:rPr>
    </w:lvl>
    <w:lvl w:ilvl="8" w:tplc="A54AAE3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C5A83410">
      <w:start w:val="1"/>
      <w:numFmt w:val="decimal"/>
      <w:lvlText w:val="%1."/>
      <w:lvlJc w:val="left"/>
      <w:pPr>
        <w:ind w:left="1080" w:hanging="720"/>
      </w:pPr>
      <w:rPr>
        <w:rFonts w:hint="default"/>
      </w:rPr>
    </w:lvl>
    <w:lvl w:ilvl="1" w:tplc="93828D18" w:tentative="1">
      <w:start w:val="1"/>
      <w:numFmt w:val="lowerLetter"/>
      <w:lvlText w:val="%2."/>
      <w:lvlJc w:val="left"/>
      <w:pPr>
        <w:ind w:left="1440" w:hanging="360"/>
      </w:pPr>
    </w:lvl>
    <w:lvl w:ilvl="2" w:tplc="6CB0149C" w:tentative="1">
      <w:start w:val="1"/>
      <w:numFmt w:val="lowerRoman"/>
      <w:lvlText w:val="%3."/>
      <w:lvlJc w:val="right"/>
      <w:pPr>
        <w:ind w:left="2160" w:hanging="180"/>
      </w:pPr>
    </w:lvl>
    <w:lvl w:ilvl="3" w:tplc="0DC6AEEE" w:tentative="1">
      <w:start w:val="1"/>
      <w:numFmt w:val="decimal"/>
      <w:lvlText w:val="%4."/>
      <w:lvlJc w:val="left"/>
      <w:pPr>
        <w:ind w:left="2880" w:hanging="360"/>
      </w:pPr>
    </w:lvl>
    <w:lvl w:ilvl="4" w:tplc="89142E46" w:tentative="1">
      <w:start w:val="1"/>
      <w:numFmt w:val="lowerLetter"/>
      <w:lvlText w:val="%5."/>
      <w:lvlJc w:val="left"/>
      <w:pPr>
        <w:ind w:left="3600" w:hanging="360"/>
      </w:pPr>
    </w:lvl>
    <w:lvl w:ilvl="5" w:tplc="C41C1420" w:tentative="1">
      <w:start w:val="1"/>
      <w:numFmt w:val="lowerRoman"/>
      <w:lvlText w:val="%6."/>
      <w:lvlJc w:val="right"/>
      <w:pPr>
        <w:ind w:left="4320" w:hanging="180"/>
      </w:pPr>
    </w:lvl>
    <w:lvl w:ilvl="6" w:tplc="8716D202" w:tentative="1">
      <w:start w:val="1"/>
      <w:numFmt w:val="decimal"/>
      <w:lvlText w:val="%7."/>
      <w:lvlJc w:val="left"/>
      <w:pPr>
        <w:ind w:left="5040" w:hanging="360"/>
      </w:pPr>
    </w:lvl>
    <w:lvl w:ilvl="7" w:tplc="2D8CAB22" w:tentative="1">
      <w:start w:val="1"/>
      <w:numFmt w:val="lowerLetter"/>
      <w:lvlText w:val="%8."/>
      <w:lvlJc w:val="left"/>
      <w:pPr>
        <w:ind w:left="5760" w:hanging="360"/>
      </w:pPr>
    </w:lvl>
    <w:lvl w:ilvl="8" w:tplc="A0D2FECE"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81700FB6">
      <w:start w:val="1"/>
      <w:numFmt w:val="decimal"/>
      <w:lvlText w:val="%1."/>
      <w:lvlJc w:val="left"/>
      <w:pPr>
        <w:ind w:left="780" w:hanging="420"/>
      </w:pPr>
      <w:rPr>
        <w:rFonts w:hint="default"/>
      </w:rPr>
    </w:lvl>
    <w:lvl w:ilvl="1" w:tplc="174C079C" w:tentative="1">
      <w:start w:val="1"/>
      <w:numFmt w:val="lowerLetter"/>
      <w:lvlText w:val="%2."/>
      <w:lvlJc w:val="left"/>
      <w:pPr>
        <w:ind w:left="1440" w:hanging="360"/>
      </w:pPr>
    </w:lvl>
    <w:lvl w:ilvl="2" w:tplc="6B2AAF50" w:tentative="1">
      <w:start w:val="1"/>
      <w:numFmt w:val="lowerRoman"/>
      <w:lvlText w:val="%3."/>
      <w:lvlJc w:val="right"/>
      <w:pPr>
        <w:ind w:left="2160" w:hanging="180"/>
      </w:pPr>
    </w:lvl>
    <w:lvl w:ilvl="3" w:tplc="FCC245D0" w:tentative="1">
      <w:start w:val="1"/>
      <w:numFmt w:val="decimal"/>
      <w:lvlText w:val="%4."/>
      <w:lvlJc w:val="left"/>
      <w:pPr>
        <w:ind w:left="2880" w:hanging="360"/>
      </w:pPr>
    </w:lvl>
    <w:lvl w:ilvl="4" w:tplc="940E62A6" w:tentative="1">
      <w:start w:val="1"/>
      <w:numFmt w:val="lowerLetter"/>
      <w:lvlText w:val="%5."/>
      <w:lvlJc w:val="left"/>
      <w:pPr>
        <w:ind w:left="3600" w:hanging="360"/>
      </w:pPr>
    </w:lvl>
    <w:lvl w:ilvl="5" w:tplc="0A44250A" w:tentative="1">
      <w:start w:val="1"/>
      <w:numFmt w:val="lowerRoman"/>
      <w:lvlText w:val="%6."/>
      <w:lvlJc w:val="right"/>
      <w:pPr>
        <w:ind w:left="4320" w:hanging="180"/>
      </w:pPr>
    </w:lvl>
    <w:lvl w:ilvl="6" w:tplc="533200E6" w:tentative="1">
      <w:start w:val="1"/>
      <w:numFmt w:val="decimal"/>
      <w:lvlText w:val="%7."/>
      <w:lvlJc w:val="left"/>
      <w:pPr>
        <w:ind w:left="5040" w:hanging="360"/>
      </w:pPr>
    </w:lvl>
    <w:lvl w:ilvl="7" w:tplc="F0EC2BCC" w:tentative="1">
      <w:start w:val="1"/>
      <w:numFmt w:val="lowerLetter"/>
      <w:lvlText w:val="%8."/>
      <w:lvlJc w:val="left"/>
      <w:pPr>
        <w:ind w:left="5760" w:hanging="360"/>
      </w:pPr>
    </w:lvl>
    <w:lvl w:ilvl="8" w:tplc="B06E0708"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C5A857AC">
      <w:start w:val="1"/>
      <w:numFmt w:val="bullet"/>
      <w:lvlText w:val="-"/>
      <w:lvlJc w:val="left"/>
      <w:pPr>
        <w:ind w:left="720" w:hanging="360"/>
      </w:pPr>
      <w:rPr>
        <w:rFonts w:ascii="Times New Roman" w:eastAsia="Times New Roman" w:hAnsi="Times New Roman" w:cs="Times New Roman" w:hint="default"/>
      </w:rPr>
    </w:lvl>
    <w:lvl w:ilvl="1" w:tplc="D5361D96" w:tentative="1">
      <w:start w:val="1"/>
      <w:numFmt w:val="bullet"/>
      <w:lvlText w:val="o"/>
      <w:lvlJc w:val="left"/>
      <w:pPr>
        <w:ind w:left="1440" w:hanging="360"/>
      </w:pPr>
      <w:rPr>
        <w:rFonts w:ascii="Courier New" w:hAnsi="Courier New" w:cs="Courier New" w:hint="default"/>
      </w:rPr>
    </w:lvl>
    <w:lvl w:ilvl="2" w:tplc="70A844F8" w:tentative="1">
      <w:start w:val="1"/>
      <w:numFmt w:val="bullet"/>
      <w:lvlText w:val=""/>
      <w:lvlJc w:val="left"/>
      <w:pPr>
        <w:ind w:left="2160" w:hanging="360"/>
      </w:pPr>
      <w:rPr>
        <w:rFonts w:ascii="Wingdings" w:hAnsi="Wingdings" w:hint="default"/>
      </w:rPr>
    </w:lvl>
    <w:lvl w:ilvl="3" w:tplc="481CD8D4" w:tentative="1">
      <w:start w:val="1"/>
      <w:numFmt w:val="bullet"/>
      <w:lvlText w:val=""/>
      <w:lvlJc w:val="left"/>
      <w:pPr>
        <w:ind w:left="2880" w:hanging="360"/>
      </w:pPr>
      <w:rPr>
        <w:rFonts w:ascii="Symbol" w:hAnsi="Symbol" w:hint="default"/>
      </w:rPr>
    </w:lvl>
    <w:lvl w:ilvl="4" w:tplc="E58E02B0" w:tentative="1">
      <w:start w:val="1"/>
      <w:numFmt w:val="bullet"/>
      <w:lvlText w:val="o"/>
      <w:lvlJc w:val="left"/>
      <w:pPr>
        <w:ind w:left="3600" w:hanging="360"/>
      </w:pPr>
      <w:rPr>
        <w:rFonts w:ascii="Courier New" w:hAnsi="Courier New" w:cs="Courier New" w:hint="default"/>
      </w:rPr>
    </w:lvl>
    <w:lvl w:ilvl="5" w:tplc="90CA2BC0" w:tentative="1">
      <w:start w:val="1"/>
      <w:numFmt w:val="bullet"/>
      <w:lvlText w:val=""/>
      <w:lvlJc w:val="left"/>
      <w:pPr>
        <w:ind w:left="4320" w:hanging="360"/>
      </w:pPr>
      <w:rPr>
        <w:rFonts w:ascii="Wingdings" w:hAnsi="Wingdings" w:hint="default"/>
      </w:rPr>
    </w:lvl>
    <w:lvl w:ilvl="6" w:tplc="DFBE26A0" w:tentative="1">
      <w:start w:val="1"/>
      <w:numFmt w:val="bullet"/>
      <w:lvlText w:val=""/>
      <w:lvlJc w:val="left"/>
      <w:pPr>
        <w:ind w:left="5040" w:hanging="360"/>
      </w:pPr>
      <w:rPr>
        <w:rFonts w:ascii="Symbol" w:hAnsi="Symbol" w:hint="default"/>
      </w:rPr>
    </w:lvl>
    <w:lvl w:ilvl="7" w:tplc="14820DDC" w:tentative="1">
      <w:start w:val="1"/>
      <w:numFmt w:val="bullet"/>
      <w:lvlText w:val="o"/>
      <w:lvlJc w:val="left"/>
      <w:pPr>
        <w:ind w:left="5760" w:hanging="360"/>
      </w:pPr>
      <w:rPr>
        <w:rFonts w:ascii="Courier New" w:hAnsi="Courier New" w:cs="Courier New" w:hint="default"/>
      </w:rPr>
    </w:lvl>
    <w:lvl w:ilvl="8" w:tplc="FBE8BA94"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2680510C">
      <w:start w:val="1"/>
      <w:numFmt w:val="bullet"/>
      <w:lvlText w:val=""/>
      <w:lvlJc w:val="left"/>
      <w:pPr>
        <w:tabs>
          <w:tab w:val="num" w:pos="397"/>
        </w:tabs>
        <w:ind w:left="397" w:hanging="397"/>
      </w:pPr>
      <w:rPr>
        <w:rFonts w:ascii="Symbol" w:hAnsi="Symbol" w:hint="default"/>
      </w:rPr>
    </w:lvl>
    <w:lvl w:ilvl="1" w:tplc="BE985056" w:tentative="1">
      <w:start w:val="1"/>
      <w:numFmt w:val="bullet"/>
      <w:lvlText w:val="o"/>
      <w:lvlJc w:val="left"/>
      <w:pPr>
        <w:tabs>
          <w:tab w:val="num" w:pos="1440"/>
        </w:tabs>
        <w:ind w:left="1440" w:hanging="360"/>
      </w:pPr>
      <w:rPr>
        <w:rFonts w:ascii="Courier New" w:hAnsi="Courier New" w:cs="Courier New" w:hint="default"/>
      </w:rPr>
    </w:lvl>
    <w:lvl w:ilvl="2" w:tplc="64B4ACF8" w:tentative="1">
      <w:start w:val="1"/>
      <w:numFmt w:val="bullet"/>
      <w:lvlText w:val=""/>
      <w:lvlJc w:val="left"/>
      <w:pPr>
        <w:tabs>
          <w:tab w:val="num" w:pos="2160"/>
        </w:tabs>
        <w:ind w:left="2160" w:hanging="360"/>
      </w:pPr>
      <w:rPr>
        <w:rFonts w:ascii="Wingdings" w:hAnsi="Wingdings" w:hint="default"/>
      </w:rPr>
    </w:lvl>
    <w:lvl w:ilvl="3" w:tplc="1AE65A96" w:tentative="1">
      <w:start w:val="1"/>
      <w:numFmt w:val="bullet"/>
      <w:lvlText w:val=""/>
      <w:lvlJc w:val="left"/>
      <w:pPr>
        <w:tabs>
          <w:tab w:val="num" w:pos="2880"/>
        </w:tabs>
        <w:ind w:left="2880" w:hanging="360"/>
      </w:pPr>
      <w:rPr>
        <w:rFonts w:ascii="Symbol" w:hAnsi="Symbol" w:hint="default"/>
      </w:rPr>
    </w:lvl>
    <w:lvl w:ilvl="4" w:tplc="850482CE" w:tentative="1">
      <w:start w:val="1"/>
      <w:numFmt w:val="bullet"/>
      <w:lvlText w:val="o"/>
      <w:lvlJc w:val="left"/>
      <w:pPr>
        <w:tabs>
          <w:tab w:val="num" w:pos="3600"/>
        </w:tabs>
        <w:ind w:left="3600" w:hanging="360"/>
      </w:pPr>
      <w:rPr>
        <w:rFonts w:ascii="Courier New" w:hAnsi="Courier New" w:cs="Courier New" w:hint="default"/>
      </w:rPr>
    </w:lvl>
    <w:lvl w:ilvl="5" w:tplc="BBA8BF72" w:tentative="1">
      <w:start w:val="1"/>
      <w:numFmt w:val="bullet"/>
      <w:lvlText w:val=""/>
      <w:lvlJc w:val="left"/>
      <w:pPr>
        <w:tabs>
          <w:tab w:val="num" w:pos="4320"/>
        </w:tabs>
        <w:ind w:left="4320" w:hanging="360"/>
      </w:pPr>
      <w:rPr>
        <w:rFonts w:ascii="Wingdings" w:hAnsi="Wingdings" w:hint="default"/>
      </w:rPr>
    </w:lvl>
    <w:lvl w:ilvl="6" w:tplc="3128353A" w:tentative="1">
      <w:start w:val="1"/>
      <w:numFmt w:val="bullet"/>
      <w:lvlText w:val=""/>
      <w:lvlJc w:val="left"/>
      <w:pPr>
        <w:tabs>
          <w:tab w:val="num" w:pos="5040"/>
        </w:tabs>
        <w:ind w:left="5040" w:hanging="360"/>
      </w:pPr>
      <w:rPr>
        <w:rFonts w:ascii="Symbol" w:hAnsi="Symbol" w:hint="default"/>
      </w:rPr>
    </w:lvl>
    <w:lvl w:ilvl="7" w:tplc="56DA694C" w:tentative="1">
      <w:start w:val="1"/>
      <w:numFmt w:val="bullet"/>
      <w:lvlText w:val="o"/>
      <w:lvlJc w:val="left"/>
      <w:pPr>
        <w:tabs>
          <w:tab w:val="num" w:pos="5760"/>
        </w:tabs>
        <w:ind w:left="5760" w:hanging="360"/>
      </w:pPr>
      <w:rPr>
        <w:rFonts w:ascii="Courier New" w:hAnsi="Courier New" w:cs="Courier New" w:hint="default"/>
      </w:rPr>
    </w:lvl>
    <w:lvl w:ilvl="8" w:tplc="151AEFB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D37CC09A">
      <w:start w:val="1"/>
      <w:numFmt w:val="decimal"/>
      <w:lvlText w:val="%1."/>
      <w:lvlJc w:val="left"/>
      <w:pPr>
        <w:tabs>
          <w:tab w:val="num" w:pos="570"/>
        </w:tabs>
        <w:ind w:left="570" w:hanging="570"/>
      </w:pPr>
      <w:rPr>
        <w:rFonts w:hint="default"/>
      </w:rPr>
    </w:lvl>
    <w:lvl w:ilvl="1" w:tplc="4BCC28E0" w:tentative="1">
      <w:start w:val="1"/>
      <w:numFmt w:val="lowerLetter"/>
      <w:lvlText w:val="%2."/>
      <w:lvlJc w:val="left"/>
      <w:pPr>
        <w:tabs>
          <w:tab w:val="num" w:pos="1080"/>
        </w:tabs>
        <w:ind w:left="1080" w:hanging="360"/>
      </w:pPr>
    </w:lvl>
    <w:lvl w:ilvl="2" w:tplc="62F4C922" w:tentative="1">
      <w:start w:val="1"/>
      <w:numFmt w:val="lowerRoman"/>
      <w:lvlText w:val="%3."/>
      <w:lvlJc w:val="right"/>
      <w:pPr>
        <w:tabs>
          <w:tab w:val="num" w:pos="1800"/>
        </w:tabs>
        <w:ind w:left="1800" w:hanging="180"/>
      </w:pPr>
    </w:lvl>
    <w:lvl w:ilvl="3" w:tplc="C53AEF62" w:tentative="1">
      <w:start w:val="1"/>
      <w:numFmt w:val="decimal"/>
      <w:lvlText w:val="%4."/>
      <w:lvlJc w:val="left"/>
      <w:pPr>
        <w:tabs>
          <w:tab w:val="num" w:pos="2520"/>
        </w:tabs>
        <w:ind w:left="2520" w:hanging="360"/>
      </w:pPr>
    </w:lvl>
    <w:lvl w:ilvl="4" w:tplc="0FE06F5A" w:tentative="1">
      <w:start w:val="1"/>
      <w:numFmt w:val="lowerLetter"/>
      <w:lvlText w:val="%5."/>
      <w:lvlJc w:val="left"/>
      <w:pPr>
        <w:tabs>
          <w:tab w:val="num" w:pos="3240"/>
        </w:tabs>
        <w:ind w:left="3240" w:hanging="360"/>
      </w:pPr>
    </w:lvl>
    <w:lvl w:ilvl="5" w:tplc="70AC0686" w:tentative="1">
      <w:start w:val="1"/>
      <w:numFmt w:val="lowerRoman"/>
      <w:lvlText w:val="%6."/>
      <w:lvlJc w:val="right"/>
      <w:pPr>
        <w:tabs>
          <w:tab w:val="num" w:pos="3960"/>
        </w:tabs>
        <w:ind w:left="3960" w:hanging="180"/>
      </w:pPr>
    </w:lvl>
    <w:lvl w:ilvl="6" w:tplc="805A8226" w:tentative="1">
      <w:start w:val="1"/>
      <w:numFmt w:val="decimal"/>
      <w:lvlText w:val="%7."/>
      <w:lvlJc w:val="left"/>
      <w:pPr>
        <w:tabs>
          <w:tab w:val="num" w:pos="4680"/>
        </w:tabs>
        <w:ind w:left="4680" w:hanging="360"/>
      </w:pPr>
    </w:lvl>
    <w:lvl w:ilvl="7" w:tplc="7EFCF362" w:tentative="1">
      <w:start w:val="1"/>
      <w:numFmt w:val="lowerLetter"/>
      <w:lvlText w:val="%8."/>
      <w:lvlJc w:val="left"/>
      <w:pPr>
        <w:tabs>
          <w:tab w:val="num" w:pos="5400"/>
        </w:tabs>
        <w:ind w:left="5400" w:hanging="360"/>
      </w:pPr>
    </w:lvl>
    <w:lvl w:ilvl="8" w:tplc="880EFB9A"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A2D2D278">
      <w:start w:val="1"/>
      <w:numFmt w:val="decimal"/>
      <w:lvlText w:val="%1."/>
      <w:lvlJc w:val="left"/>
      <w:pPr>
        <w:ind w:left="720" w:hanging="360"/>
      </w:pPr>
    </w:lvl>
    <w:lvl w:ilvl="1" w:tplc="010C70C0" w:tentative="1">
      <w:start w:val="1"/>
      <w:numFmt w:val="lowerLetter"/>
      <w:lvlText w:val="%2."/>
      <w:lvlJc w:val="left"/>
      <w:pPr>
        <w:ind w:left="1440" w:hanging="360"/>
      </w:pPr>
    </w:lvl>
    <w:lvl w:ilvl="2" w:tplc="12409ED2" w:tentative="1">
      <w:start w:val="1"/>
      <w:numFmt w:val="lowerRoman"/>
      <w:lvlText w:val="%3."/>
      <w:lvlJc w:val="right"/>
      <w:pPr>
        <w:ind w:left="2160" w:hanging="180"/>
      </w:pPr>
    </w:lvl>
    <w:lvl w:ilvl="3" w:tplc="78722356" w:tentative="1">
      <w:start w:val="1"/>
      <w:numFmt w:val="decimal"/>
      <w:lvlText w:val="%4."/>
      <w:lvlJc w:val="left"/>
      <w:pPr>
        <w:ind w:left="2880" w:hanging="360"/>
      </w:pPr>
    </w:lvl>
    <w:lvl w:ilvl="4" w:tplc="EB9659F2" w:tentative="1">
      <w:start w:val="1"/>
      <w:numFmt w:val="lowerLetter"/>
      <w:lvlText w:val="%5."/>
      <w:lvlJc w:val="left"/>
      <w:pPr>
        <w:ind w:left="3600" w:hanging="360"/>
      </w:pPr>
    </w:lvl>
    <w:lvl w:ilvl="5" w:tplc="26D2B340" w:tentative="1">
      <w:start w:val="1"/>
      <w:numFmt w:val="lowerRoman"/>
      <w:lvlText w:val="%6."/>
      <w:lvlJc w:val="right"/>
      <w:pPr>
        <w:ind w:left="4320" w:hanging="180"/>
      </w:pPr>
    </w:lvl>
    <w:lvl w:ilvl="6" w:tplc="41163A26" w:tentative="1">
      <w:start w:val="1"/>
      <w:numFmt w:val="decimal"/>
      <w:lvlText w:val="%7."/>
      <w:lvlJc w:val="left"/>
      <w:pPr>
        <w:ind w:left="5040" w:hanging="360"/>
      </w:pPr>
    </w:lvl>
    <w:lvl w:ilvl="7" w:tplc="3B384E3E" w:tentative="1">
      <w:start w:val="1"/>
      <w:numFmt w:val="lowerLetter"/>
      <w:lvlText w:val="%8."/>
      <w:lvlJc w:val="left"/>
      <w:pPr>
        <w:ind w:left="5760" w:hanging="360"/>
      </w:pPr>
    </w:lvl>
    <w:lvl w:ilvl="8" w:tplc="0FBAC8FE"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3420118E">
      <w:start w:val="2"/>
      <w:numFmt w:val="decimal"/>
      <w:lvlText w:val="%1."/>
      <w:lvlJc w:val="left"/>
      <w:pPr>
        <w:tabs>
          <w:tab w:val="num" w:pos="570"/>
        </w:tabs>
        <w:ind w:left="570" w:hanging="570"/>
      </w:pPr>
      <w:rPr>
        <w:rFonts w:hint="default"/>
      </w:rPr>
    </w:lvl>
    <w:lvl w:ilvl="1" w:tplc="E872247E" w:tentative="1">
      <w:start w:val="1"/>
      <w:numFmt w:val="lowerLetter"/>
      <w:lvlText w:val="%2."/>
      <w:lvlJc w:val="left"/>
      <w:pPr>
        <w:tabs>
          <w:tab w:val="num" w:pos="1080"/>
        </w:tabs>
        <w:ind w:left="1080" w:hanging="360"/>
      </w:pPr>
    </w:lvl>
    <w:lvl w:ilvl="2" w:tplc="50F8A878" w:tentative="1">
      <w:start w:val="1"/>
      <w:numFmt w:val="lowerRoman"/>
      <w:lvlText w:val="%3."/>
      <w:lvlJc w:val="right"/>
      <w:pPr>
        <w:tabs>
          <w:tab w:val="num" w:pos="1800"/>
        </w:tabs>
        <w:ind w:left="1800" w:hanging="180"/>
      </w:pPr>
    </w:lvl>
    <w:lvl w:ilvl="3" w:tplc="8BDE36BE" w:tentative="1">
      <w:start w:val="1"/>
      <w:numFmt w:val="decimal"/>
      <w:lvlText w:val="%4."/>
      <w:lvlJc w:val="left"/>
      <w:pPr>
        <w:tabs>
          <w:tab w:val="num" w:pos="2520"/>
        </w:tabs>
        <w:ind w:left="2520" w:hanging="360"/>
      </w:pPr>
    </w:lvl>
    <w:lvl w:ilvl="4" w:tplc="848423A4" w:tentative="1">
      <w:start w:val="1"/>
      <w:numFmt w:val="lowerLetter"/>
      <w:lvlText w:val="%5."/>
      <w:lvlJc w:val="left"/>
      <w:pPr>
        <w:tabs>
          <w:tab w:val="num" w:pos="3240"/>
        </w:tabs>
        <w:ind w:left="3240" w:hanging="360"/>
      </w:pPr>
    </w:lvl>
    <w:lvl w:ilvl="5" w:tplc="A27A987E" w:tentative="1">
      <w:start w:val="1"/>
      <w:numFmt w:val="lowerRoman"/>
      <w:lvlText w:val="%6."/>
      <w:lvlJc w:val="right"/>
      <w:pPr>
        <w:tabs>
          <w:tab w:val="num" w:pos="3960"/>
        </w:tabs>
        <w:ind w:left="3960" w:hanging="180"/>
      </w:pPr>
    </w:lvl>
    <w:lvl w:ilvl="6" w:tplc="C426A0F8" w:tentative="1">
      <w:start w:val="1"/>
      <w:numFmt w:val="decimal"/>
      <w:lvlText w:val="%7."/>
      <w:lvlJc w:val="left"/>
      <w:pPr>
        <w:tabs>
          <w:tab w:val="num" w:pos="4680"/>
        </w:tabs>
        <w:ind w:left="4680" w:hanging="360"/>
      </w:pPr>
    </w:lvl>
    <w:lvl w:ilvl="7" w:tplc="EA26594E" w:tentative="1">
      <w:start w:val="1"/>
      <w:numFmt w:val="lowerLetter"/>
      <w:lvlText w:val="%8."/>
      <w:lvlJc w:val="left"/>
      <w:pPr>
        <w:tabs>
          <w:tab w:val="num" w:pos="5400"/>
        </w:tabs>
        <w:ind w:left="5400" w:hanging="360"/>
      </w:pPr>
    </w:lvl>
    <w:lvl w:ilvl="8" w:tplc="6DF243BA"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82822892">
      <w:start w:val="1"/>
      <w:numFmt w:val="bullet"/>
      <w:lvlText w:val=""/>
      <w:lvlJc w:val="left"/>
      <w:pPr>
        <w:tabs>
          <w:tab w:val="num" w:pos="397"/>
        </w:tabs>
        <w:ind w:left="397" w:hanging="397"/>
      </w:pPr>
      <w:rPr>
        <w:rFonts w:ascii="Symbol" w:hAnsi="Symbol" w:hint="default"/>
      </w:rPr>
    </w:lvl>
    <w:lvl w:ilvl="1" w:tplc="D80CEDF0" w:tentative="1">
      <w:start w:val="1"/>
      <w:numFmt w:val="bullet"/>
      <w:lvlText w:val="o"/>
      <w:lvlJc w:val="left"/>
      <w:pPr>
        <w:tabs>
          <w:tab w:val="num" w:pos="1440"/>
        </w:tabs>
        <w:ind w:left="1440" w:hanging="360"/>
      </w:pPr>
      <w:rPr>
        <w:rFonts w:ascii="Courier New" w:hAnsi="Courier New" w:cs="Courier New" w:hint="default"/>
      </w:rPr>
    </w:lvl>
    <w:lvl w:ilvl="2" w:tplc="CBC86E20" w:tentative="1">
      <w:start w:val="1"/>
      <w:numFmt w:val="bullet"/>
      <w:lvlText w:val=""/>
      <w:lvlJc w:val="left"/>
      <w:pPr>
        <w:tabs>
          <w:tab w:val="num" w:pos="2160"/>
        </w:tabs>
        <w:ind w:left="2160" w:hanging="360"/>
      </w:pPr>
      <w:rPr>
        <w:rFonts w:ascii="Wingdings" w:hAnsi="Wingdings" w:hint="default"/>
      </w:rPr>
    </w:lvl>
    <w:lvl w:ilvl="3" w:tplc="4F723CB2" w:tentative="1">
      <w:start w:val="1"/>
      <w:numFmt w:val="bullet"/>
      <w:lvlText w:val=""/>
      <w:lvlJc w:val="left"/>
      <w:pPr>
        <w:tabs>
          <w:tab w:val="num" w:pos="2880"/>
        </w:tabs>
        <w:ind w:left="2880" w:hanging="360"/>
      </w:pPr>
      <w:rPr>
        <w:rFonts w:ascii="Symbol" w:hAnsi="Symbol" w:hint="default"/>
      </w:rPr>
    </w:lvl>
    <w:lvl w:ilvl="4" w:tplc="CAA83B2C" w:tentative="1">
      <w:start w:val="1"/>
      <w:numFmt w:val="bullet"/>
      <w:lvlText w:val="o"/>
      <w:lvlJc w:val="left"/>
      <w:pPr>
        <w:tabs>
          <w:tab w:val="num" w:pos="3600"/>
        </w:tabs>
        <w:ind w:left="3600" w:hanging="360"/>
      </w:pPr>
      <w:rPr>
        <w:rFonts w:ascii="Courier New" w:hAnsi="Courier New" w:cs="Courier New" w:hint="default"/>
      </w:rPr>
    </w:lvl>
    <w:lvl w:ilvl="5" w:tplc="65AE517E" w:tentative="1">
      <w:start w:val="1"/>
      <w:numFmt w:val="bullet"/>
      <w:lvlText w:val=""/>
      <w:lvlJc w:val="left"/>
      <w:pPr>
        <w:tabs>
          <w:tab w:val="num" w:pos="4320"/>
        </w:tabs>
        <w:ind w:left="4320" w:hanging="360"/>
      </w:pPr>
      <w:rPr>
        <w:rFonts w:ascii="Wingdings" w:hAnsi="Wingdings" w:hint="default"/>
      </w:rPr>
    </w:lvl>
    <w:lvl w:ilvl="6" w:tplc="AB9C3144" w:tentative="1">
      <w:start w:val="1"/>
      <w:numFmt w:val="bullet"/>
      <w:lvlText w:val=""/>
      <w:lvlJc w:val="left"/>
      <w:pPr>
        <w:tabs>
          <w:tab w:val="num" w:pos="5040"/>
        </w:tabs>
        <w:ind w:left="5040" w:hanging="360"/>
      </w:pPr>
      <w:rPr>
        <w:rFonts w:ascii="Symbol" w:hAnsi="Symbol" w:hint="default"/>
      </w:rPr>
    </w:lvl>
    <w:lvl w:ilvl="7" w:tplc="45121996" w:tentative="1">
      <w:start w:val="1"/>
      <w:numFmt w:val="bullet"/>
      <w:lvlText w:val="o"/>
      <w:lvlJc w:val="left"/>
      <w:pPr>
        <w:tabs>
          <w:tab w:val="num" w:pos="5760"/>
        </w:tabs>
        <w:ind w:left="5760" w:hanging="360"/>
      </w:pPr>
      <w:rPr>
        <w:rFonts w:ascii="Courier New" w:hAnsi="Courier New" w:cs="Courier New" w:hint="default"/>
      </w:rPr>
    </w:lvl>
    <w:lvl w:ilvl="8" w:tplc="17A46B6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F43A17B4">
      <w:start w:val="1"/>
      <w:numFmt w:val="bullet"/>
      <w:lvlText w:val=""/>
      <w:lvlJc w:val="left"/>
      <w:pPr>
        <w:tabs>
          <w:tab w:val="num" w:pos="720"/>
        </w:tabs>
        <w:ind w:left="720" w:hanging="360"/>
      </w:pPr>
      <w:rPr>
        <w:rFonts w:ascii="Symbol" w:hAnsi="Symbol" w:hint="default"/>
      </w:rPr>
    </w:lvl>
    <w:lvl w:ilvl="1" w:tplc="A112979E" w:tentative="1">
      <w:start w:val="1"/>
      <w:numFmt w:val="bullet"/>
      <w:lvlText w:val="o"/>
      <w:lvlJc w:val="left"/>
      <w:pPr>
        <w:tabs>
          <w:tab w:val="num" w:pos="1440"/>
        </w:tabs>
        <w:ind w:left="1440" w:hanging="360"/>
      </w:pPr>
      <w:rPr>
        <w:rFonts w:ascii="Courier New" w:hAnsi="Courier New" w:cs="Courier New" w:hint="default"/>
      </w:rPr>
    </w:lvl>
    <w:lvl w:ilvl="2" w:tplc="ED741056" w:tentative="1">
      <w:start w:val="1"/>
      <w:numFmt w:val="bullet"/>
      <w:lvlText w:val=""/>
      <w:lvlJc w:val="left"/>
      <w:pPr>
        <w:tabs>
          <w:tab w:val="num" w:pos="2160"/>
        </w:tabs>
        <w:ind w:left="2160" w:hanging="360"/>
      </w:pPr>
      <w:rPr>
        <w:rFonts w:ascii="Wingdings" w:hAnsi="Wingdings" w:hint="default"/>
      </w:rPr>
    </w:lvl>
    <w:lvl w:ilvl="3" w:tplc="FBE4DD1C" w:tentative="1">
      <w:start w:val="1"/>
      <w:numFmt w:val="bullet"/>
      <w:lvlText w:val=""/>
      <w:lvlJc w:val="left"/>
      <w:pPr>
        <w:tabs>
          <w:tab w:val="num" w:pos="2880"/>
        </w:tabs>
        <w:ind w:left="2880" w:hanging="360"/>
      </w:pPr>
      <w:rPr>
        <w:rFonts w:ascii="Symbol" w:hAnsi="Symbol" w:hint="default"/>
      </w:rPr>
    </w:lvl>
    <w:lvl w:ilvl="4" w:tplc="40402D24" w:tentative="1">
      <w:start w:val="1"/>
      <w:numFmt w:val="bullet"/>
      <w:lvlText w:val="o"/>
      <w:lvlJc w:val="left"/>
      <w:pPr>
        <w:tabs>
          <w:tab w:val="num" w:pos="3600"/>
        </w:tabs>
        <w:ind w:left="3600" w:hanging="360"/>
      </w:pPr>
      <w:rPr>
        <w:rFonts w:ascii="Courier New" w:hAnsi="Courier New" w:cs="Courier New" w:hint="default"/>
      </w:rPr>
    </w:lvl>
    <w:lvl w:ilvl="5" w:tplc="174C07BA" w:tentative="1">
      <w:start w:val="1"/>
      <w:numFmt w:val="bullet"/>
      <w:lvlText w:val=""/>
      <w:lvlJc w:val="left"/>
      <w:pPr>
        <w:tabs>
          <w:tab w:val="num" w:pos="4320"/>
        </w:tabs>
        <w:ind w:left="4320" w:hanging="360"/>
      </w:pPr>
      <w:rPr>
        <w:rFonts w:ascii="Wingdings" w:hAnsi="Wingdings" w:hint="default"/>
      </w:rPr>
    </w:lvl>
    <w:lvl w:ilvl="6" w:tplc="EA66D7F8" w:tentative="1">
      <w:start w:val="1"/>
      <w:numFmt w:val="bullet"/>
      <w:lvlText w:val=""/>
      <w:lvlJc w:val="left"/>
      <w:pPr>
        <w:tabs>
          <w:tab w:val="num" w:pos="5040"/>
        </w:tabs>
        <w:ind w:left="5040" w:hanging="360"/>
      </w:pPr>
      <w:rPr>
        <w:rFonts w:ascii="Symbol" w:hAnsi="Symbol" w:hint="default"/>
      </w:rPr>
    </w:lvl>
    <w:lvl w:ilvl="7" w:tplc="E03CE6C4" w:tentative="1">
      <w:start w:val="1"/>
      <w:numFmt w:val="bullet"/>
      <w:lvlText w:val="o"/>
      <w:lvlJc w:val="left"/>
      <w:pPr>
        <w:tabs>
          <w:tab w:val="num" w:pos="5760"/>
        </w:tabs>
        <w:ind w:left="5760" w:hanging="360"/>
      </w:pPr>
      <w:rPr>
        <w:rFonts w:ascii="Courier New" w:hAnsi="Courier New" w:cs="Courier New" w:hint="default"/>
      </w:rPr>
    </w:lvl>
    <w:lvl w:ilvl="8" w:tplc="6C4C3C6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3E246F30">
      <w:start w:val="1"/>
      <w:numFmt w:val="decimal"/>
      <w:lvlText w:val="%1)"/>
      <w:lvlJc w:val="left"/>
      <w:pPr>
        <w:ind w:left="720" w:hanging="360"/>
      </w:pPr>
      <w:rPr>
        <w:rFonts w:hint="default"/>
      </w:rPr>
    </w:lvl>
    <w:lvl w:ilvl="1" w:tplc="EA6A6538" w:tentative="1">
      <w:start w:val="1"/>
      <w:numFmt w:val="lowerLetter"/>
      <w:lvlText w:val="%2."/>
      <w:lvlJc w:val="left"/>
      <w:pPr>
        <w:ind w:left="1440" w:hanging="360"/>
      </w:pPr>
    </w:lvl>
    <w:lvl w:ilvl="2" w:tplc="A4700DFC" w:tentative="1">
      <w:start w:val="1"/>
      <w:numFmt w:val="lowerRoman"/>
      <w:lvlText w:val="%3."/>
      <w:lvlJc w:val="right"/>
      <w:pPr>
        <w:ind w:left="2160" w:hanging="180"/>
      </w:pPr>
    </w:lvl>
    <w:lvl w:ilvl="3" w:tplc="EE6415A6" w:tentative="1">
      <w:start w:val="1"/>
      <w:numFmt w:val="decimal"/>
      <w:lvlText w:val="%4."/>
      <w:lvlJc w:val="left"/>
      <w:pPr>
        <w:ind w:left="2880" w:hanging="360"/>
      </w:pPr>
    </w:lvl>
    <w:lvl w:ilvl="4" w:tplc="01CC571C" w:tentative="1">
      <w:start w:val="1"/>
      <w:numFmt w:val="lowerLetter"/>
      <w:lvlText w:val="%5."/>
      <w:lvlJc w:val="left"/>
      <w:pPr>
        <w:ind w:left="3600" w:hanging="360"/>
      </w:pPr>
    </w:lvl>
    <w:lvl w:ilvl="5" w:tplc="2E76B49A" w:tentative="1">
      <w:start w:val="1"/>
      <w:numFmt w:val="lowerRoman"/>
      <w:lvlText w:val="%6."/>
      <w:lvlJc w:val="right"/>
      <w:pPr>
        <w:ind w:left="4320" w:hanging="180"/>
      </w:pPr>
    </w:lvl>
    <w:lvl w:ilvl="6" w:tplc="2358508C" w:tentative="1">
      <w:start w:val="1"/>
      <w:numFmt w:val="decimal"/>
      <w:lvlText w:val="%7."/>
      <w:lvlJc w:val="left"/>
      <w:pPr>
        <w:ind w:left="5040" w:hanging="360"/>
      </w:pPr>
    </w:lvl>
    <w:lvl w:ilvl="7" w:tplc="87D4444A" w:tentative="1">
      <w:start w:val="1"/>
      <w:numFmt w:val="lowerLetter"/>
      <w:lvlText w:val="%8."/>
      <w:lvlJc w:val="left"/>
      <w:pPr>
        <w:ind w:left="5760" w:hanging="360"/>
      </w:pPr>
    </w:lvl>
    <w:lvl w:ilvl="8" w:tplc="5DDC5160"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B8A645DE">
      <w:start w:val="1"/>
      <w:numFmt w:val="upperLetter"/>
      <w:lvlText w:val="%1."/>
      <w:lvlJc w:val="left"/>
      <w:pPr>
        <w:ind w:left="577" w:hanging="450"/>
      </w:pPr>
      <w:rPr>
        <w:rFonts w:hint="default"/>
      </w:rPr>
    </w:lvl>
    <w:lvl w:ilvl="1" w:tplc="B9C08BCA">
      <w:start w:val="1"/>
      <w:numFmt w:val="decimal"/>
      <w:lvlText w:val="%2."/>
      <w:lvlJc w:val="left"/>
      <w:pPr>
        <w:ind w:left="1417" w:hanging="570"/>
      </w:pPr>
      <w:rPr>
        <w:rFonts w:hint="default"/>
        <w:b/>
      </w:rPr>
    </w:lvl>
    <w:lvl w:ilvl="2" w:tplc="533806F8" w:tentative="1">
      <w:start w:val="1"/>
      <w:numFmt w:val="lowerRoman"/>
      <w:lvlText w:val="%3."/>
      <w:lvlJc w:val="right"/>
      <w:pPr>
        <w:ind w:left="1927" w:hanging="180"/>
      </w:pPr>
    </w:lvl>
    <w:lvl w:ilvl="3" w:tplc="9D149FD8" w:tentative="1">
      <w:start w:val="1"/>
      <w:numFmt w:val="decimal"/>
      <w:lvlText w:val="%4."/>
      <w:lvlJc w:val="left"/>
      <w:pPr>
        <w:ind w:left="2647" w:hanging="360"/>
      </w:pPr>
    </w:lvl>
    <w:lvl w:ilvl="4" w:tplc="AFB649A2" w:tentative="1">
      <w:start w:val="1"/>
      <w:numFmt w:val="lowerLetter"/>
      <w:lvlText w:val="%5."/>
      <w:lvlJc w:val="left"/>
      <w:pPr>
        <w:ind w:left="3367" w:hanging="360"/>
      </w:pPr>
    </w:lvl>
    <w:lvl w:ilvl="5" w:tplc="57D858E4" w:tentative="1">
      <w:start w:val="1"/>
      <w:numFmt w:val="lowerRoman"/>
      <w:lvlText w:val="%6."/>
      <w:lvlJc w:val="right"/>
      <w:pPr>
        <w:ind w:left="4087" w:hanging="180"/>
      </w:pPr>
    </w:lvl>
    <w:lvl w:ilvl="6" w:tplc="BFC8FBFE" w:tentative="1">
      <w:start w:val="1"/>
      <w:numFmt w:val="decimal"/>
      <w:lvlText w:val="%7."/>
      <w:lvlJc w:val="left"/>
      <w:pPr>
        <w:ind w:left="4807" w:hanging="360"/>
      </w:pPr>
    </w:lvl>
    <w:lvl w:ilvl="7" w:tplc="E80829C6" w:tentative="1">
      <w:start w:val="1"/>
      <w:numFmt w:val="lowerLetter"/>
      <w:lvlText w:val="%8."/>
      <w:lvlJc w:val="left"/>
      <w:pPr>
        <w:ind w:left="5527" w:hanging="360"/>
      </w:pPr>
    </w:lvl>
    <w:lvl w:ilvl="8" w:tplc="0F14E640"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F92391"/>
    <w:rsid w:val="000234F8"/>
    <w:rsid w:val="000534FD"/>
    <w:rsid w:val="000A2167"/>
    <w:rsid w:val="000A2E85"/>
    <w:rsid w:val="000E4891"/>
    <w:rsid w:val="000F18BE"/>
    <w:rsid w:val="001067F0"/>
    <w:rsid w:val="001150A5"/>
    <w:rsid w:val="001A65AB"/>
    <w:rsid w:val="00247B70"/>
    <w:rsid w:val="002503BA"/>
    <w:rsid w:val="002A2AA7"/>
    <w:rsid w:val="002D47E7"/>
    <w:rsid w:val="002E0AAA"/>
    <w:rsid w:val="002F1922"/>
    <w:rsid w:val="00304483"/>
    <w:rsid w:val="00345C8B"/>
    <w:rsid w:val="0035539B"/>
    <w:rsid w:val="0036776A"/>
    <w:rsid w:val="00406C7B"/>
    <w:rsid w:val="0041509D"/>
    <w:rsid w:val="00424450"/>
    <w:rsid w:val="00450F00"/>
    <w:rsid w:val="00454592"/>
    <w:rsid w:val="00465064"/>
    <w:rsid w:val="004803DE"/>
    <w:rsid w:val="004B4D9B"/>
    <w:rsid w:val="004E1BF8"/>
    <w:rsid w:val="004F0791"/>
    <w:rsid w:val="004F4EDA"/>
    <w:rsid w:val="00525714"/>
    <w:rsid w:val="00535D3E"/>
    <w:rsid w:val="00555B6E"/>
    <w:rsid w:val="00573E7E"/>
    <w:rsid w:val="00583983"/>
    <w:rsid w:val="0059771D"/>
    <w:rsid w:val="005A00CE"/>
    <w:rsid w:val="00621C49"/>
    <w:rsid w:val="00651DA6"/>
    <w:rsid w:val="0068348B"/>
    <w:rsid w:val="006D0C8F"/>
    <w:rsid w:val="006E3359"/>
    <w:rsid w:val="00701AD0"/>
    <w:rsid w:val="007402DB"/>
    <w:rsid w:val="007549D1"/>
    <w:rsid w:val="007B0182"/>
    <w:rsid w:val="007D63A6"/>
    <w:rsid w:val="00803D76"/>
    <w:rsid w:val="0081326A"/>
    <w:rsid w:val="00817862"/>
    <w:rsid w:val="00852B72"/>
    <w:rsid w:val="00887C20"/>
    <w:rsid w:val="008B0210"/>
    <w:rsid w:val="008B69B9"/>
    <w:rsid w:val="008C3673"/>
    <w:rsid w:val="008F5A43"/>
    <w:rsid w:val="009013D0"/>
    <w:rsid w:val="00941E01"/>
    <w:rsid w:val="00A35F22"/>
    <w:rsid w:val="00A37A21"/>
    <w:rsid w:val="00A4495A"/>
    <w:rsid w:val="00A44F55"/>
    <w:rsid w:val="00A552D3"/>
    <w:rsid w:val="00A56A55"/>
    <w:rsid w:val="00A64497"/>
    <w:rsid w:val="00A7618F"/>
    <w:rsid w:val="00AA2E5D"/>
    <w:rsid w:val="00BB10EA"/>
    <w:rsid w:val="00BE25BA"/>
    <w:rsid w:val="00BE543E"/>
    <w:rsid w:val="00C548FB"/>
    <w:rsid w:val="00CB440A"/>
    <w:rsid w:val="00CD1BBD"/>
    <w:rsid w:val="00CE7D7A"/>
    <w:rsid w:val="00D0457D"/>
    <w:rsid w:val="00D51B0C"/>
    <w:rsid w:val="00DB25C1"/>
    <w:rsid w:val="00DF7360"/>
    <w:rsid w:val="00E10A4E"/>
    <w:rsid w:val="00EE6CE3"/>
    <w:rsid w:val="00F16F5D"/>
    <w:rsid w:val="00F243AB"/>
    <w:rsid w:val="00F32F30"/>
    <w:rsid w:val="00F33E28"/>
    <w:rsid w:val="00F91285"/>
    <w:rsid w:val="00F92391"/>
    <w:rsid w:val="00FC775E"/>
    <w:rsid w:val="00FE6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48DADC0C-1C29-43A2-9923-98524743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es-ES"/>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10EA"/>
    <w:pPr>
      <w:tabs>
        <w:tab w:val="center" w:pos="4536"/>
        <w:tab w:val="right" w:pos="8306"/>
      </w:tabs>
    </w:pPr>
    <w:rPr>
      <w:rFonts w:ascii="Arial" w:hAnsi="Arial"/>
      <w:noProof/>
      <w:sz w:val="16"/>
    </w:rPr>
  </w:style>
  <w:style w:type="paragraph" w:styleId="Header">
    <w:name w:val="header"/>
    <w:basedOn w:val="Normal"/>
    <w:rsid w:val="00BB10EA"/>
    <w:pPr>
      <w:tabs>
        <w:tab w:val="center" w:pos="4153"/>
        <w:tab w:val="right" w:pos="8306"/>
      </w:tabs>
    </w:pPr>
    <w:rPr>
      <w:rFonts w:ascii="Arial" w:hAnsi="Arial"/>
      <w:sz w:val="20"/>
    </w:rPr>
  </w:style>
  <w:style w:type="paragraph" w:customStyle="1" w:styleId="MemoHeaderStyle">
    <w:name w:val="MemoHeaderStyle"/>
    <w:basedOn w:val="Normal"/>
    <w:next w:val="Normal"/>
    <w:rsid w:val="00BB10EA"/>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semiHidden/>
    <w:unhideWhenUsed/>
    <w:rsid w:val="00BB10EA"/>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es-ES" w:eastAsia="es-ES" w:bidi="es-ES"/>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s-ES" w:eastAsia="es-ES" w:bidi="es-ES"/>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es-ES" w:eastAsia="es-ES" w:bidi="es-ES"/>
    </w:rPr>
  </w:style>
  <w:style w:type="character" w:styleId="CommentReference">
    <w:name w:val="annotation reference"/>
    <w:basedOn w:val="DefaultParagraphFont"/>
    <w:unhideWhenUsed/>
    <w:rsid w:val="00BB10EA"/>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es-ES"/>
    </w:rPr>
  </w:style>
  <w:style w:type="character" w:customStyle="1" w:styleId="CommentSubjectChar">
    <w:name w:val="Comment Subject Char"/>
    <w:link w:val="CommentSubject"/>
    <w:rsid w:val="00BC6DC2"/>
    <w:rPr>
      <w:rFonts w:eastAsia="Times New Roman"/>
      <w:b/>
      <w:bCs/>
      <w:lang w:eastAsia="es-ES"/>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paragraph" w:customStyle="1" w:styleId="TitleA">
    <w:name w:val="Title A"/>
    <w:basedOn w:val="Normal"/>
    <w:qFormat/>
    <w:rsid w:val="00304483"/>
    <w:pPr>
      <w:widowControl w:val="0"/>
      <w:autoSpaceDE w:val="0"/>
      <w:autoSpaceDN w:val="0"/>
      <w:adjustRightInd w:val="0"/>
      <w:spacing w:after="140" w:line="280" w:lineRule="atLeast"/>
      <w:ind w:right="120"/>
      <w:jc w:val="center"/>
    </w:pPr>
    <w:rPr>
      <w:rFonts w:cs="Verdana"/>
      <w:b/>
      <w:bCs/>
      <w:color w:val="000000"/>
      <w:sz w:val="24"/>
      <w:szCs w:val="24"/>
      <w:lang w:val="en-GB" w:eastAsia="en-US" w:bidi="ar-SA"/>
    </w:rPr>
  </w:style>
  <w:style w:type="character" w:styleId="FollowedHyperlink">
    <w:name w:val="FollowedHyperlink"/>
    <w:basedOn w:val="DefaultParagraphFont"/>
    <w:semiHidden/>
    <w:unhideWhenUsed/>
    <w:rsid w:val="00A44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F719-4550-4845-905B-4078A0A18609}">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657C682-988B-4E4C-8435-CF2746B1D302}">
  <ds:schemaRefs>
    <ds:schemaRef ds:uri="http://schemas.microsoft.com/sharepoint/v3/contenttype/forms"/>
  </ds:schemaRefs>
</ds:datastoreItem>
</file>

<file path=customXml/itemProps3.xml><?xml version="1.0" encoding="utf-8"?>
<ds:datastoreItem xmlns:ds="http://schemas.openxmlformats.org/officeDocument/2006/customXml" ds:itemID="{0A661006-5832-42F8-B3A3-0682FBBFF10F}"/>
</file>

<file path=customXml/itemProps4.xml><?xml version="1.0" encoding="utf-8"?>
<ds:datastoreItem xmlns:ds="http://schemas.openxmlformats.org/officeDocument/2006/customXml" ds:itemID="{699DF8E2-F2BE-4136-8A4E-414DC057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5244</Words>
  <Characters>29044</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ema-combined-h-4005-es-annotated</dc:title>
  <dc:subject>EPAR</dc:subject>
  <dc:creator>CHMP</dc:creator>
  <cp:keywords>Cuprior, INN-Trientine tetrahydrochloride</cp:keywords>
  <cp:lastModifiedBy>Scanlan Elizabeth</cp:lastModifiedBy>
  <cp:revision>11</cp:revision>
  <dcterms:created xsi:type="dcterms:W3CDTF">2019-08-28T15:49:00Z</dcterms:created>
  <dcterms:modified xsi:type="dcterms:W3CDTF">2021-05-24T19:53:00Z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15:43:42</vt:lpwstr>
  </property>
  <property fmtid="{D5CDD505-2E9C-101B-9397-08002B2CF9AE}" pid="6" name="DM_Creator_Name">
    <vt:lpwstr>Leszczynska Edyta</vt:lpwstr>
  </property>
  <property fmtid="{D5CDD505-2E9C-101B-9397-08002B2CF9AE}" pid="7" name="DM_DocRefId">
    <vt:lpwstr>EMA/458155/2020</vt:lpwstr>
  </property>
  <property fmtid="{D5CDD505-2E9C-101B-9397-08002B2CF9AE}" pid="8" name="DM_emea_doc_ref_id">
    <vt:lpwstr>EMA/458155/2020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15:43:42</vt:lpwstr>
  </property>
  <property fmtid="{D5CDD505-2E9C-101B-9397-08002B2CF9AE}" pid="13" name="DM_Modifier_Name">
    <vt:lpwstr>Leszczynska Edyta</vt:lpwstr>
  </property>
  <property fmtid="{D5CDD505-2E9C-101B-9397-08002B2CF9AE}" pid="14" name="DM_Modify_Date">
    <vt:lpwstr>28/08/2020 15:43:42</vt:lpwstr>
  </property>
  <property fmtid="{D5CDD505-2E9C-101B-9397-08002B2CF9AE}" pid="15" name="DM_Name">
    <vt:lpwstr>ema-combined-h-4005-es-annotated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2021-05-24T19:53:43Z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0c90e495-9a95-4b70-bf43-28c030f627d5</vt:lpwstr>
  </property>
  <property fmtid="{D5CDD505-2E9C-101B-9397-08002B2CF9AE}" pid="28" name="MSIP_Label_0eea11ca-d417-4147-80ed-01a58412c458_ContentBits">
    <vt:lpwstr>2</vt:lpwstr>
  </property>
</Properties>
</file>