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EC8C" w14:textId="77777777" w:rsidR="00842497" w:rsidRPr="00FD60FD" w:rsidRDefault="00842497" w:rsidP="00842497">
      <w:pPr>
        <w:rPr>
          <w:noProof/>
        </w:rPr>
      </w:pPr>
      <w:bookmarkStart w:id="0" w:name="_GoBack"/>
      <w:bookmarkEnd w:id="0"/>
    </w:p>
    <w:p w14:paraId="166EA202" w14:textId="77777777" w:rsidR="00842497" w:rsidRPr="00FD60FD" w:rsidRDefault="00842497" w:rsidP="00842497">
      <w:pPr>
        <w:rPr>
          <w:noProof/>
        </w:rPr>
      </w:pPr>
    </w:p>
    <w:p w14:paraId="2D49F6FA" w14:textId="77777777" w:rsidR="00842497" w:rsidRPr="00FD60FD" w:rsidRDefault="00842497" w:rsidP="00842497">
      <w:pPr>
        <w:rPr>
          <w:noProof/>
        </w:rPr>
      </w:pPr>
    </w:p>
    <w:p w14:paraId="09949CE8" w14:textId="77777777" w:rsidR="00842497" w:rsidRPr="00FD60FD" w:rsidRDefault="00842497" w:rsidP="00842497">
      <w:pPr>
        <w:rPr>
          <w:noProof/>
        </w:rPr>
      </w:pPr>
    </w:p>
    <w:p w14:paraId="255419B8" w14:textId="77777777" w:rsidR="00842497" w:rsidRPr="00FD60FD" w:rsidRDefault="00842497" w:rsidP="00842497">
      <w:pPr>
        <w:rPr>
          <w:noProof/>
          <w:szCs w:val="22"/>
        </w:rPr>
      </w:pPr>
    </w:p>
    <w:p w14:paraId="266B6C7B" w14:textId="77777777" w:rsidR="00842497" w:rsidRPr="00FD60FD" w:rsidRDefault="00842497" w:rsidP="00842497">
      <w:pPr>
        <w:rPr>
          <w:noProof/>
          <w:szCs w:val="22"/>
        </w:rPr>
      </w:pPr>
    </w:p>
    <w:p w14:paraId="022D6CD9" w14:textId="77777777" w:rsidR="00842497" w:rsidRPr="00FD60FD" w:rsidRDefault="00842497" w:rsidP="00842497">
      <w:pPr>
        <w:rPr>
          <w:noProof/>
          <w:szCs w:val="22"/>
        </w:rPr>
      </w:pPr>
    </w:p>
    <w:p w14:paraId="23B58338" w14:textId="77777777" w:rsidR="00842497" w:rsidRPr="00FD60FD" w:rsidRDefault="00842497" w:rsidP="00842497">
      <w:pPr>
        <w:rPr>
          <w:noProof/>
          <w:szCs w:val="22"/>
        </w:rPr>
      </w:pPr>
    </w:p>
    <w:p w14:paraId="0577D2A4" w14:textId="77777777" w:rsidR="00842497" w:rsidRPr="00FD60FD" w:rsidRDefault="00842497" w:rsidP="00842497">
      <w:pPr>
        <w:rPr>
          <w:noProof/>
          <w:szCs w:val="22"/>
        </w:rPr>
      </w:pPr>
    </w:p>
    <w:p w14:paraId="60D89925" w14:textId="77777777" w:rsidR="00842497" w:rsidRPr="00FD60FD" w:rsidRDefault="00842497" w:rsidP="00842497">
      <w:pPr>
        <w:rPr>
          <w:noProof/>
          <w:szCs w:val="22"/>
        </w:rPr>
      </w:pPr>
    </w:p>
    <w:p w14:paraId="707809CA" w14:textId="77777777" w:rsidR="00842497" w:rsidRPr="00FD60FD" w:rsidRDefault="00842497" w:rsidP="00842497">
      <w:pPr>
        <w:rPr>
          <w:noProof/>
          <w:szCs w:val="22"/>
        </w:rPr>
      </w:pPr>
    </w:p>
    <w:p w14:paraId="481C730F" w14:textId="77777777" w:rsidR="00842497" w:rsidRPr="00FD60FD" w:rsidRDefault="00842497" w:rsidP="00842497">
      <w:pPr>
        <w:rPr>
          <w:noProof/>
          <w:szCs w:val="22"/>
        </w:rPr>
      </w:pPr>
    </w:p>
    <w:p w14:paraId="0676D6DA" w14:textId="77777777" w:rsidR="00842497" w:rsidRPr="00FD60FD" w:rsidRDefault="00842497" w:rsidP="00842497">
      <w:pPr>
        <w:rPr>
          <w:noProof/>
          <w:szCs w:val="22"/>
        </w:rPr>
      </w:pPr>
    </w:p>
    <w:p w14:paraId="181D18DA" w14:textId="77777777" w:rsidR="00842497" w:rsidRPr="00FD60FD" w:rsidRDefault="00842497" w:rsidP="00842497">
      <w:pPr>
        <w:rPr>
          <w:noProof/>
          <w:szCs w:val="22"/>
        </w:rPr>
      </w:pPr>
    </w:p>
    <w:p w14:paraId="2F4F2AC1" w14:textId="77777777" w:rsidR="00842497" w:rsidRPr="00FD60FD" w:rsidRDefault="00842497" w:rsidP="00842497">
      <w:pPr>
        <w:rPr>
          <w:noProof/>
          <w:szCs w:val="22"/>
        </w:rPr>
      </w:pPr>
    </w:p>
    <w:p w14:paraId="0B27F380" w14:textId="77777777" w:rsidR="00842497" w:rsidRPr="00FD60FD" w:rsidRDefault="00842497" w:rsidP="00842497">
      <w:pPr>
        <w:rPr>
          <w:noProof/>
          <w:szCs w:val="22"/>
        </w:rPr>
      </w:pPr>
    </w:p>
    <w:p w14:paraId="16B5309F" w14:textId="77777777" w:rsidR="00842497" w:rsidRPr="00FD60FD" w:rsidRDefault="00842497" w:rsidP="00842497">
      <w:pPr>
        <w:rPr>
          <w:noProof/>
          <w:szCs w:val="22"/>
        </w:rPr>
      </w:pPr>
    </w:p>
    <w:p w14:paraId="4017034D" w14:textId="77777777" w:rsidR="00842497" w:rsidRPr="00FD60FD" w:rsidRDefault="00842497" w:rsidP="00842497"/>
    <w:p w14:paraId="4DE67C03" w14:textId="77777777" w:rsidR="00842497" w:rsidRPr="00FD60FD" w:rsidRDefault="00842497" w:rsidP="00842497"/>
    <w:p w14:paraId="1E304D2B" w14:textId="77777777" w:rsidR="00842497" w:rsidRPr="00FD60FD" w:rsidRDefault="00842497" w:rsidP="00842497"/>
    <w:p w14:paraId="3E0D2870" w14:textId="77777777" w:rsidR="00842497" w:rsidRPr="00FD60FD" w:rsidRDefault="00842497" w:rsidP="00842497"/>
    <w:p w14:paraId="19D524E9" w14:textId="77777777" w:rsidR="00842497" w:rsidRPr="00FD60FD" w:rsidRDefault="00842497" w:rsidP="00842497"/>
    <w:p w14:paraId="20F5B86B" w14:textId="77777777" w:rsidR="00842497" w:rsidRPr="00FD60FD" w:rsidRDefault="00286521" w:rsidP="00842497">
      <w:pPr>
        <w:spacing w:line="240" w:lineRule="auto"/>
        <w:jc w:val="center"/>
        <w:outlineLvl w:val="0"/>
      </w:pPr>
      <w:r w:rsidRPr="00FD60FD">
        <w:rPr>
          <w:b/>
        </w:rPr>
        <w:t>I. MELLÉKLET</w:t>
      </w:r>
    </w:p>
    <w:p w14:paraId="0DB09613" w14:textId="77777777" w:rsidR="00842497" w:rsidRPr="00FD60FD" w:rsidRDefault="00842497" w:rsidP="00842497"/>
    <w:p w14:paraId="4A7A0907" w14:textId="77777777" w:rsidR="00842497" w:rsidRPr="00FD60FD" w:rsidRDefault="00286521" w:rsidP="00842497">
      <w:pPr>
        <w:spacing w:line="240" w:lineRule="auto"/>
        <w:jc w:val="center"/>
        <w:outlineLvl w:val="0"/>
      </w:pPr>
      <w:r w:rsidRPr="00FD60FD">
        <w:rPr>
          <w:b/>
        </w:rPr>
        <w:t>ALKALMAZÁSI ELŐÍRÁS</w:t>
      </w:r>
    </w:p>
    <w:p w14:paraId="46B93F3D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br w:type="page"/>
      </w:r>
      <w:r w:rsidRPr="00FD60FD">
        <w:rPr>
          <w:b/>
        </w:rPr>
        <w:lastRenderedPageBreak/>
        <w:t>A GYÓGYSZER NEVE</w:t>
      </w:r>
    </w:p>
    <w:p w14:paraId="4BBBDE00" w14:textId="77777777" w:rsidR="00842497" w:rsidRPr="00FD60FD" w:rsidRDefault="00842497" w:rsidP="00842497">
      <w:pPr>
        <w:spacing w:line="240" w:lineRule="auto"/>
        <w:rPr>
          <w:iCs/>
          <w:noProof/>
          <w:szCs w:val="22"/>
        </w:rPr>
      </w:pPr>
    </w:p>
    <w:p w14:paraId="014093D9" w14:textId="77777777" w:rsidR="00842497" w:rsidRPr="00FD60FD" w:rsidRDefault="00286521" w:rsidP="00842497">
      <w:pPr>
        <w:widowControl w:val="0"/>
        <w:spacing w:line="240" w:lineRule="auto"/>
        <w:rPr>
          <w:noProof/>
          <w:szCs w:val="22"/>
        </w:rPr>
      </w:pPr>
      <w:r w:rsidRPr="00FD60FD">
        <w:t xml:space="preserve">Cuprior 150 mg </w:t>
      </w:r>
      <w:r w:rsidR="002445CD" w:rsidRPr="00FD60FD">
        <w:t>film</w:t>
      </w:r>
      <w:r w:rsidRPr="00FD60FD">
        <w:t>tabletta</w:t>
      </w:r>
    </w:p>
    <w:p w14:paraId="2574AA40" w14:textId="77777777" w:rsidR="00842497" w:rsidRPr="00FD60FD" w:rsidRDefault="00842497" w:rsidP="00842497">
      <w:pPr>
        <w:spacing w:line="240" w:lineRule="auto"/>
        <w:rPr>
          <w:iCs/>
          <w:noProof/>
          <w:szCs w:val="22"/>
        </w:rPr>
      </w:pPr>
    </w:p>
    <w:p w14:paraId="07B4187F" w14:textId="77777777" w:rsidR="00842497" w:rsidRPr="00FD60FD" w:rsidRDefault="00842497" w:rsidP="00842497">
      <w:pPr>
        <w:spacing w:line="240" w:lineRule="auto"/>
        <w:rPr>
          <w:iCs/>
          <w:noProof/>
          <w:szCs w:val="22"/>
        </w:rPr>
      </w:pPr>
    </w:p>
    <w:p w14:paraId="231C6471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MINŐSÉGI ÉS MENNYISÉGI ÖSSZETÉTEL</w:t>
      </w:r>
    </w:p>
    <w:p w14:paraId="134609E6" w14:textId="77777777" w:rsidR="00842497" w:rsidRPr="00FD60FD" w:rsidRDefault="00842497" w:rsidP="00842497">
      <w:pPr>
        <w:spacing w:line="240" w:lineRule="auto"/>
        <w:rPr>
          <w:iCs/>
          <w:noProof/>
          <w:szCs w:val="22"/>
        </w:rPr>
      </w:pPr>
    </w:p>
    <w:p w14:paraId="00F6794A" w14:textId="77777777" w:rsidR="00842497" w:rsidRPr="00FD60FD" w:rsidRDefault="00286521" w:rsidP="00842497">
      <w:pPr>
        <w:widowControl w:val="0"/>
        <w:rPr>
          <w:szCs w:val="22"/>
        </w:rPr>
      </w:pPr>
      <w:r w:rsidRPr="00FD60FD">
        <w:t xml:space="preserve">150 mg trientinnek megfelelő trientin-tetrahidroklorid </w:t>
      </w:r>
      <w:r w:rsidR="002445CD" w:rsidRPr="00FD60FD">
        <w:t>film</w:t>
      </w:r>
      <w:r w:rsidRPr="00FD60FD">
        <w:t>tablettánként.</w:t>
      </w:r>
    </w:p>
    <w:p w14:paraId="0A97B49C" w14:textId="77777777" w:rsidR="00842497" w:rsidRPr="00FD60FD" w:rsidRDefault="00842497" w:rsidP="00842497">
      <w:pPr>
        <w:rPr>
          <w:szCs w:val="22"/>
        </w:rPr>
      </w:pPr>
    </w:p>
    <w:p w14:paraId="78F880A6" w14:textId="77777777" w:rsidR="00842497" w:rsidRPr="00FD60FD" w:rsidRDefault="00286521" w:rsidP="00842497">
      <w:pPr>
        <w:outlineLvl w:val="0"/>
        <w:rPr>
          <w:noProof/>
          <w:szCs w:val="22"/>
        </w:rPr>
      </w:pPr>
      <w:r w:rsidRPr="00FD60FD">
        <w:t xml:space="preserve">A segédanyagok teljes listáját lásd a </w:t>
      </w:r>
      <w:r w:rsidRPr="00FD60FD">
        <w:t>6.1 pontban.</w:t>
      </w:r>
    </w:p>
    <w:p w14:paraId="706C684C" w14:textId="77777777" w:rsidR="00842497" w:rsidRPr="00FD60FD" w:rsidRDefault="00842497" w:rsidP="00842497">
      <w:pPr>
        <w:rPr>
          <w:noProof/>
          <w:szCs w:val="22"/>
        </w:rPr>
      </w:pPr>
    </w:p>
    <w:p w14:paraId="09EA1F8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5C83184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GYÓGYSZERFORMA</w:t>
      </w:r>
    </w:p>
    <w:p w14:paraId="1C208CF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7CD9F74" w14:textId="77777777" w:rsidR="00842497" w:rsidRPr="00FD60FD" w:rsidRDefault="00286521" w:rsidP="00842497">
      <w:pPr>
        <w:rPr>
          <w:noProof/>
          <w:szCs w:val="22"/>
        </w:rPr>
      </w:pPr>
      <w:r w:rsidRPr="00FD60FD">
        <w:t>Filmtabletta.</w:t>
      </w:r>
    </w:p>
    <w:p w14:paraId="166ADAF1" w14:textId="77777777" w:rsidR="00842497" w:rsidRPr="00FD60FD" w:rsidRDefault="00842497" w:rsidP="00842497">
      <w:pPr>
        <w:rPr>
          <w:noProof/>
          <w:szCs w:val="22"/>
        </w:rPr>
      </w:pPr>
    </w:p>
    <w:p w14:paraId="1C5E1310" w14:textId="77777777" w:rsidR="00842497" w:rsidRPr="00FD60FD" w:rsidRDefault="00286521" w:rsidP="00842497">
      <w:pPr>
        <w:rPr>
          <w:noProof/>
          <w:szCs w:val="22"/>
        </w:rPr>
      </w:pPr>
      <w:r w:rsidRPr="00FD60FD">
        <w:t>Sárga, 16 mm</w:t>
      </w:r>
      <w:r w:rsidR="00FD1A4D" w:rsidRPr="00FD60FD">
        <w:t xml:space="preserve"> </w:t>
      </w:r>
      <w:r w:rsidRPr="00FD60FD">
        <w:t>× 8 mm-es, hosszúkás filmtabletta, mindkét oldalán bemetszéssel.</w:t>
      </w:r>
    </w:p>
    <w:p w14:paraId="600E198A" w14:textId="77777777" w:rsidR="00842497" w:rsidRPr="00FD60FD" w:rsidRDefault="00842497" w:rsidP="00842497">
      <w:pPr>
        <w:rPr>
          <w:noProof/>
          <w:szCs w:val="22"/>
        </w:rPr>
      </w:pPr>
    </w:p>
    <w:p w14:paraId="17F69CF9" w14:textId="77777777" w:rsidR="00842497" w:rsidRPr="00FD60FD" w:rsidRDefault="00286521" w:rsidP="00842497">
      <w:pPr>
        <w:rPr>
          <w:noProof/>
          <w:szCs w:val="22"/>
        </w:rPr>
      </w:pPr>
      <w:r w:rsidRPr="00FD60FD">
        <w:t>A tabletta egyenlő adagokra osztható.</w:t>
      </w:r>
    </w:p>
    <w:p w14:paraId="6AF0CE20" w14:textId="77777777" w:rsidR="00842497" w:rsidRPr="00FD60FD" w:rsidRDefault="00842497" w:rsidP="00842497">
      <w:pPr>
        <w:rPr>
          <w:noProof/>
          <w:szCs w:val="22"/>
        </w:rPr>
      </w:pPr>
    </w:p>
    <w:p w14:paraId="3320A161" w14:textId="77777777" w:rsidR="00842497" w:rsidRPr="00FD60FD" w:rsidRDefault="00842497" w:rsidP="00842497">
      <w:pPr>
        <w:rPr>
          <w:noProof/>
          <w:szCs w:val="22"/>
        </w:rPr>
      </w:pPr>
    </w:p>
    <w:p w14:paraId="05DBD48B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KLINIKAI JELLEMZŐK</w:t>
      </w:r>
    </w:p>
    <w:p w14:paraId="5D7584D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0768D6B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noProof/>
          <w:szCs w:val="22"/>
        </w:rPr>
      </w:pPr>
      <w:r w:rsidRPr="00FD60FD">
        <w:rPr>
          <w:b/>
          <w:noProof/>
        </w:rPr>
        <w:t>Terápiás javallatok</w:t>
      </w:r>
    </w:p>
    <w:p w14:paraId="5F1BFCC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FBCBC33" w14:textId="77777777" w:rsidR="00842497" w:rsidRPr="00FD60FD" w:rsidRDefault="00286521" w:rsidP="00842497">
      <w:pPr>
        <w:rPr>
          <w:i/>
          <w:color w:val="000000"/>
          <w:szCs w:val="22"/>
        </w:rPr>
      </w:pPr>
      <w:r w:rsidRPr="00FD60FD">
        <w:t xml:space="preserve">A Cuprior a Wilson-kór kezelésére </w:t>
      </w:r>
      <w:r w:rsidRPr="00FD60FD">
        <w:t>javallott olyan felnőtteknél, serdülőknél és 5 éves vagy idősebb gyermekeknél, akik nem tolerálják a D-penicillamin kezelést.</w:t>
      </w:r>
    </w:p>
    <w:p w14:paraId="168CE365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5FC5EA0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Adagolás és alkalmazás</w:t>
      </w:r>
    </w:p>
    <w:p w14:paraId="2DC6FE29" w14:textId="77777777" w:rsidR="00842497" w:rsidRPr="00FD60FD" w:rsidRDefault="00842497" w:rsidP="00842497">
      <w:pPr>
        <w:spacing w:line="240" w:lineRule="auto"/>
        <w:rPr>
          <w:szCs w:val="22"/>
        </w:rPr>
      </w:pPr>
    </w:p>
    <w:p w14:paraId="46114329" w14:textId="77777777" w:rsidR="00842497" w:rsidRPr="00FD60FD" w:rsidRDefault="00286521" w:rsidP="00842497">
      <w:pPr>
        <w:rPr>
          <w:szCs w:val="22"/>
        </w:rPr>
      </w:pPr>
      <w:r w:rsidRPr="00FD60FD">
        <w:t xml:space="preserve">A kezelést kizárólag a Wilson-kór kezelésében tapasztalattal rendelkező szakorvos kezdheti meg. </w:t>
      </w:r>
    </w:p>
    <w:p w14:paraId="1F4A54B0" w14:textId="77777777" w:rsidR="00842497" w:rsidRPr="00FD60FD" w:rsidRDefault="00842497" w:rsidP="00842497">
      <w:pPr>
        <w:rPr>
          <w:szCs w:val="22"/>
        </w:rPr>
      </w:pPr>
    </w:p>
    <w:p w14:paraId="019FA0C9" w14:textId="77777777" w:rsidR="00842497" w:rsidRPr="00FD60FD" w:rsidRDefault="00286521" w:rsidP="00842497">
      <w:pPr>
        <w:rPr>
          <w:szCs w:val="22"/>
        </w:rPr>
      </w:pPr>
      <w:r w:rsidRPr="00FD60FD">
        <w:rPr>
          <w:u w:val="single"/>
        </w:rPr>
        <w:t>Adagolá</w:t>
      </w:r>
      <w:r w:rsidRPr="00FD60FD">
        <w:rPr>
          <w:u w:val="single"/>
        </w:rPr>
        <w:t>s</w:t>
      </w:r>
    </w:p>
    <w:p w14:paraId="63E7DF03" w14:textId="77777777" w:rsidR="00842497" w:rsidRPr="00FD60FD" w:rsidRDefault="00286521" w:rsidP="00842497">
      <w:pPr>
        <w:rPr>
          <w:rFonts w:eastAsia="SimSun"/>
          <w:szCs w:val="22"/>
        </w:rPr>
      </w:pPr>
      <w:r w:rsidRPr="00FD60FD">
        <w:t>A kezdő adag általában megfelel a tartomány legalacsonyabb dózisának, ezt követően pedig a beteg által adott klinikai válasznak megfelelően kell az adagot személyre szabni (lásd 4.4 pont).</w:t>
      </w:r>
    </w:p>
    <w:p w14:paraId="5163656F" w14:textId="77777777" w:rsidR="00842497" w:rsidRPr="00FD60FD" w:rsidRDefault="00842497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</w:p>
    <w:p w14:paraId="6D37357A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</w:rPr>
      </w:pPr>
      <w:r w:rsidRPr="00FD60FD">
        <w:t>A javasolt adag naponta 450 mg és 975 mg (3 és 6</w:t>
      </w:r>
      <w:r w:rsidRPr="00FD60FD">
        <w:rPr>
          <w:b/>
        </w:rPr>
        <w:t>½</w:t>
      </w:r>
      <w:r w:rsidRPr="00FD60FD">
        <w:t xml:space="preserve"> </w:t>
      </w:r>
      <w:r w:rsidR="002445CD" w:rsidRPr="00FD60FD">
        <w:t>film</w:t>
      </w:r>
      <w:r w:rsidRPr="00FD60FD">
        <w:t xml:space="preserve">tabletta) között van, 2-4 részre osztva. </w:t>
      </w:r>
    </w:p>
    <w:p w14:paraId="7A0B8792" w14:textId="77777777" w:rsidR="00842497" w:rsidRPr="00FD60FD" w:rsidRDefault="00842497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  <w:u w:val="single"/>
        </w:rPr>
      </w:pPr>
    </w:p>
    <w:p w14:paraId="275CEECA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u w:val="single"/>
        </w:rPr>
      </w:pPr>
      <w:r w:rsidRPr="00FD60FD">
        <w:rPr>
          <w:i/>
          <w:u w:val="single"/>
        </w:rPr>
        <w:t>Különleges betegcsoportok</w:t>
      </w:r>
    </w:p>
    <w:p w14:paraId="334193E0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FD60FD">
        <w:rPr>
          <w:i/>
        </w:rPr>
        <w:t xml:space="preserve">Idős betegek </w:t>
      </w:r>
    </w:p>
    <w:p w14:paraId="75D2BFB4" w14:textId="77777777" w:rsidR="00842497" w:rsidRPr="00FD60FD" w:rsidRDefault="00286521" w:rsidP="00842497">
      <w:pPr>
        <w:rPr>
          <w:rFonts w:eastAsia="TimesNewRoman"/>
          <w:szCs w:val="22"/>
        </w:rPr>
      </w:pPr>
      <w:r w:rsidRPr="00FD60FD">
        <w:t>Idős betegeknél nem szükséges az adag módosítása.</w:t>
      </w:r>
    </w:p>
    <w:p w14:paraId="31115999" w14:textId="77777777" w:rsidR="00842497" w:rsidRPr="00FD60FD" w:rsidRDefault="00842497" w:rsidP="00842497">
      <w:pPr>
        <w:rPr>
          <w:rFonts w:eastAsia="TimesNewRoman"/>
          <w:szCs w:val="22"/>
        </w:rPr>
      </w:pPr>
    </w:p>
    <w:p w14:paraId="01A70A25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FD60FD">
        <w:rPr>
          <w:i/>
        </w:rPr>
        <w:t>Vesekárosodás</w:t>
      </w:r>
    </w:p>
    <w:p w14:paraId="003CCC77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</w:rPr>
      </w:pPr>
      <w:r w:rsidRPr="00FD60FD">
        <w:t>A vesekárosodásban szenvedő betegeknél korlátozott mennyiségű információ áll rendelkezésre. Ezeknél a betege</w:t>
      </w:r>
      <w:r w:rsidRPr="00FD60FD">
        <w:t>knél nincs szükség külön adagmódosításra (lásd 4.4 pont).</w:t>
      </w:r>
    </w:p>
    <w:p w14:paraId="377CAC5A" w14:textId="77777777" w:rsidR="00842497" w:rsidRPr="00FD60FD" w:rsidRDefault="00842497" w:rsidP="00842497">
      <w:pPr>
        <w:rPr>
          <w:szCs w:val="22"/>
        </w:rPr>
      </w:pPr>
    </w:p>
    <w:p w14:paraId="44ECC3BC" w14:textId="77777777" w:rsidR="00842497" w:rsidRPr="00FD60FD" w:rsidRDefault="00286521" w:rsidP="00842497">
      <w:pPr>
        <w:rPr>
          <w:rFonts w:eastAsia="SimSun"/>
          <w:iCs/>
          <w:szCs w:val="22"/>
          <w:u w:val="single"/>
        </w:rPr>
      </w:pPr>
      <w:r w:rsidRPr="00FD60FD">
        <w:rPr>
          <w:u w:val="single"/>
        </w:rPr>
        <w:t>Gyermekek és serdülők</w:t>
      </w:r>
    </w:p>
    <w:p w14:paraId="4A1DD8DD" w14:textId="77777777" w:rsidR="00842497" w:rsidRPr="00FD60FD" w:rsidRDefault="00286521" w:rsidP="00842497">
      <w:pPr>
        <w:rPr>
          <w:szCs w:val="22"/>
        </w:rPr>
      </w:pPr>
      <w:r w:rsidRPr="00FD60FD">
        <w:t xml:space="preserve">Gyermekeknél a kezdőadag alacsonyabb, mint felnőtteknél, és az életkor, valamint a testsúly függvénye. </w:t>
      </w:r>
    </w:p>
    <w:p w14:paraId="761580C1" w14:textId="77777777" w:rsidR="00842497" w:rsidRPr="00FD60FD" w:rsidRDefault="00842497" w:rsidP="00842497">
      <w:pPr>
        <w:rPr>
          <w:szCs w:val="22"/>
        </w:rPr>
      </w:pPr>
    </w:p>
    <w:p w14:paraId="31F97096" w14:textId="77777777" w:rsidR="00842497" w:rsidRPr="00FD60FD" w:rsidRDefault="00286521" w:rsidP="00842497">
      <w:pPr>
        <w:rPr>
          <w:i/>
          <w:szCs w:val="22"/>
        </w:rPr>
      </w:pPr>
      <w:r w:rsidRPr="00FD60FD">
        <w:rPr>
          <w:i/>
        </w:rPr>
        <w:t xml:space="preserve">5 éves vagy idősebb gyermekek </w:t>
      </w:r>
    </w:p>
    <w:p w14:paraId="496109BA" w14:textId="77777777" w:rsidR="00842497" w:rsidRPr="00FD60FD" w:rsidRDefault="00286521" w:rsidP="00842497">
      <w:pPr>
        <w:rPr>
          <w:szCs w:val="22"/>
        </w:rPr>
      </w:pPr>
      <w:r w:rsidRPr="00FD60FD">
        <w:t xml:space="preserve">Az adag általában naponta 225 mg és </w:t>
      </w:r>
      <w:r w:rsidRPr="00FD60FD">
        <w:t>600 mg (1</w:t>
      </w:r>
      <w:r w:rsidRPr="00FD60FD">
        <w:rPr>
          <w:b/>
        </w:rPr>
        <w:t>½</w:t>
      </w:r>
      <w:r w:rsidRPr="00FD60FD">
        <w:t xml:space="preserve"> és 4 </w:t>
      </w:r>
      <w:r w:rsidR="002445CD" w:rsidRPr="00FD60FD">
        <w:t>film</w:t>
      </w:r>
      <w:r w:rsidRPr="00FD60FD">
        <w:t xml:space="preserve">tabletta) között van, 2-4 részre osztva. </w:t>
      </w:r>
    </w:p>
    <w:p w14:paraId="2ABEF93E" w14:textId="77777777" w:rsidR="00842497" w:rsidRPr="00FD60FD" w:rsidRDefault="00842497" w:rsidP="00842497">
      <w:pPr>
        <w:rPr>
          <w:szCs w:val="22"/>
        </w:rPr>
      </w:pPr>
    </w:p>
    <w:p w14:paraId="7B6C7CBD" w14:textId="77777777" w:rsidR="00842497" w:rsidRPr="00FD60FD" w:rsidRDefault="00286521" w:rsidP="00842497">
      <w:pPr>
        <w:rPr>
          <w:i/>
          <w:iCs/>
          <w:szCs w:val="22"/>
        </w:rPr>
      </w:pPr>
      <w:r w:rsidRPr="00FD60FD">
        <w:rPr>
          <w:i/>
        </w:rPr>
        <w:t>5 évesnél fiatalabb gyermekek</w:t>
      </w:r>
    </w:p>
    <w:p w14:paraId="0BFA47DD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FD60FD">
        <w:t xml:space="preserve">A trientin hatásosságát és biztonságosságát 5 évesnél fiatalabb gyermekeknél nem igazolták. </w:t>
      </w:r>
    </w:p>
    <w:p w14:paraId="1BA39DAA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FD60FD">
        <w:t>A gyógyszerforma nem alkalmas az 5 évesnél fiatalabb gyermekeknél tört</w:t>
      </w:r>
      <w:r w:rsidRPr="00FD60FD">
        <w:t>énő alkalmazásra.</w:t>
      </w:r>
    </w:p>
    <w:p w14:paraId="6EE434F5" w14:textId="77777777" w:rsidR="00842497" w:rsidRPr="00FD60FD" w:rsidRDefault="00842497" w:rsidP="00842497">
      <w:pPr>
        <w:rPr>
          <w:rFonts w:eastAsia="SimSun"/>
          <w:highlight w:val="yellow"/>
        </w:rPr>
      </w:pPr>
    </w:p>
    <w:p w14:paraId="43D08FAB" w14:textId="77777777" w:rsidR="00842497" w:rsidRPr="00FD60FD" w:rsidRDefault="00286521" w:rsidP="00842497">
      <w:pPr>
        <w:rPr>
          <w:szCs w:val="22"/>
        </w:rPr>
      </w:pPr>
      <w:r w:rsidRPr="00FD60FD">
        <w:t xml:space="preserve">A Cuprior javasolt adagját trientin-mg bázisban adják meg (vagyis nem mg trientin-tetraklorid sóban). </w:t>
      </w:r>
    </w:p>
    <w:p w14:paraId="332465EB" w14:textId="77777777" w:rsidR="00842497" w:rsidRPr="00FD60FD" w:rsidRDefault="00842497" w:rsidP="00842497">
      <w:pPr>
        <w:tabs>
          <w:tab w:val="clear" w:pos="567"/>
          <w:tab w:val="left" w:pos="7309"/>
        </w:tabs>
        <w:rPr>
          <w:szCs w:val="22"/>
        </w:rPr>
      </w:pPr>
    </w:p>
    <w:p w14:paraId="1666B733" w14:textId="77777777" w:rsidR="00842497" w:rsidRPr="00FD60FD" w:rsidRDefault="00286521" w:rsidP="00842497">
      <w:pPr>
        <w:autoSpaceDE w:val="0"/>
        <w:autoSpaceDN w:val="0"/>
        <w:adjustRightInd w:val="0"/>
        <w:rPr>
          <w:szCs w:val="22"/>
          <w:u w:val="single"/>
        </w:rPr>
      </w:pPr>
      <w:r w:rsidRPr="00FD60FD">
        <w:rPr>
          <w:u w:val="single"/>
        </w:rPr>
        <w:t>Az alkalmazás módja</w:t>
      </w:r>
    </w:p>
    <w:p w14:paraId="7D8ED64C" w14:textId="77777777" w:rsidR="00842497" w:rsidRPr="00FD60FD" w:rsidRDefault="00286521" w:rsidP="00842497">
      <w:pPr>
        <w:autoSpaceDE w:val="0"/>
        <w:autoSpaceDN w:val="0"/>
        <w:adjustRightInd w:val="0"/>
        <w:rPr>
          <w:szCs w:val="22"/>
        </w:rPr>
      </w:pPr>
      <w:r w:rsidRPr="00FD60FD">
        <w:t xml:space="preserve">A Cuprior szájon át alkalmazandó. A </w:t>
      </w:r>
      <w:r w:rsidR="002445CD" w:rsidRPr="00FD60FD">
        <w:t>film</w:t>
      </w:r>
      <w:r w:rsidRPr="00FD60FD">
        <w:t xml:space="preserve">tablettát vízzel kell lenyelni. A </w:t>
      </w:r>
      <w:r w:rsidR="002445CD" w:rsidRPr="00FD60FD">
        <w:t>film</w:t>
      </w:r>
      <w:r w:rsidRPr="00FD60FD">
        <w:t xml:space="preserve">tablettán lévő bemetszés </w:t>
      </w:r>
      <w:r w:rsidRPr="00FD60FD">
        <w:t>mentén szükség esetén a tabletta egyenlő adagokra osztható, ami biztosítja a pontosabb adagolást, illetve megkönnyíti az alkalmazást.</w:t>
      </w:r>
    </w:p>
    <w:p w14:paraId="6BC01958" w14:textId="77777777" w:rsidR="00842497" w:rsidRPr="00FD60FD" w:rsidRDefault="00842497" w:rsidP="00842497">
      <w:pPr>
        <w:autoSpaceDE w:val="0"/>
        <w:autoSpaceDN w:val="0"/>
        <w:adjustRightInd w:val="0"/>
        <w:rPr>
          <w:szCs w:val="22"/>
        </w:rPr>
      </w:pPr>
    </w:p>
    <w:p w14:paraId="43992900" w14:textId="77777777" w:rsidR="00842497" w:rsidRPr="00FD60FD" w:rsidRDefault="00286521" w:rsidP="00842497">
      <w:pPr>
        <w:autoSpaceDE w:val="0"/>
        <w:autoSpaceDN w:val="0"/>
        <w:adjustRightInd w:val="0"/>
        <w:rPr>
          <w:noProof/>
          <w:szCs w:val="22"/>
        </w:rPr>
      </w:pPr>
      <w:r w:rsidRPr="00FD60FD">
        <w:t>Fontos, hogy a Cuprior-t éhgyomorra vegyék be, legalább egy órával az étkezés előtt vagy két órával utána, és legalább eg</w:t>
      </w:r>
      <w:r w:rsidRPr="00FD60FD">
        <w:t xml:space="preserve">y órával minden más gyógyszer, étel vagy tej fogyasztása előtt vagy után (lásd 4.5 pont). </w:t>
      </w:r>
    </w:p>
    <w:p w14:paraId="65C6AB5B" w14:textId="77777777" w:rsidR="00842497" w:rsidRPr="00FD60FD" w:rsidRDefault="00842497" w:rsidP="00842497">
      <w:pPr>
        <w:spacing w:line="240" w:lineRule="auto"/>
        <w:ind w:left="567" w:hanging="567"/>
        <w:rPr>
          <w:b/>
          <w:noProof/>
          <w:szCs w:val="22"/>
        </w:rPr>
      </w:pPr>
    </w:p>
    <w:p w14:paraId="11A8B168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Ellenjavallatok</w:t>
      </w:r>
    </w:p>
    <w:p w14:paraId="0FAA931D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DDA7915" w14:textId="77777777" w:rsidR="00842497" w:rsidRPr="00FD60FD" w:rsidRDefault="00286521" w:rsidP="00842497">
      <w:pPr>
        <w:rPr>
          <w:noProof/>
          <w:szCs w:val="22"/>
        </w:rPr>
      </w:pPr>
      <w:r w:rsidRPr="00FD60FD">
        <w:t>A készítmény hatóanyagával vagy a 6.1 pontban felsorolt bármely segédanyagával szembeni túlérzékenység.</w:t>
      </w:r>
    </w:p>
    <w:p w14:paraId="6163E149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FC6925F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Különleges figyelmeztetések és az alkalmaz</w:t>
      </w:r>
      <w:r w:rsidRPr="00FD60FD">
        <w:rPr>
          <w:b/>
          <w:noProof/>
        </w:rPr>
        <w:t>ással kapcsolatos óvintézkedések</w:t>
      </w:r>
    </w:p>
    <w:p w14:paraId="0FEA3316" w14:textId="77777777" w:rsidR="00842497" w:rsidRPr="00FD60FD" w:rsidRDefault="00842497" w:rsidP="00842497">
      <w:pPr>
        <w:spacing w:line="240" w:lineRule="auto"/>
        <w:ind w:left="567" w:hanging="567"/>
        <w:rPr>
          <w:b/>
          <w:noProof/>
          <w:szCs w:val="22"/>
        </w:rPr>
      </w:pPr>
    </w:p>
    <w:p w14:paraId="26B68E0A" w14:textId="77777777" w:rsidR="00842497" w:rsidRPr="00FD60FD" w:rsidRDefault="00286521" w:rsidP="00842497">
      <w:pPr>
        <w:rPr>
          <w:szCs w:val="22"/>
        </w:rPr>
      </w:pPr>
      <w:r w:rsidRPr="00FD60FD">
        <w:t xml:space="preserve">Elővigyázatosság javasolt, amikor egy másik trientin készítményről állítják át a beteget, mivel a trientin-bázisban kifejezett adagok nem feltétlenül egyenértékűek (lásd 4.2 pont). </w:t>
      </w:r>
    </w:p>
    <w:p w14:paraId="4473CE34" w14:textId="77777777" w:rsidR="00842497" w:rsidRPr="00FD60FD" w:rsidRDefault="00842497" w:rsidP="00842497">
      <w:pPr>
        <w:rPr>
          <w:rFonts w:eastAsia="SimSun"/>
          <w:szCs w:val="22"/>
        </w:rPr>
      </w:pPr>
    </w:p>
    <w:p w14:paraId="29BA800D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FD60FD">
        <w:t xml:space="preserve">A trientin egy kelátképző szer, amelyről kimutatták, hogy csökkenti a szérum vasszintet. Vashiányos anaemia esetén vaspótlásra lehet szükség, amelyet eltérő időpontban kell alkalmazni (lásd 4.5 pont). </w:t>
      </w:r>
    </w:p>
    <w:p w14:paraId="72CF406C" w14:textId="77777777" w:rsidR="00842497" w:rsidRPr="00FD60FD" w:rsidRDefault="00842497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13E756F0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FD60FD">
        <w:t xml:space="preserve">Nem javasolt a trientin és cink kombinációja. Csupán </w:t>
      </w:r>
      <w:r w:rsidRPr="00FD60FD">
        <w:t>korlátozott adatok állnak rendelkezésre az egyidejű alkalmazással kapcsolatosan, és nincs az adagolásra vonatkozó specifikus javaslat.</w:t>
      </w:r>
    </w:p>
    <w:p w14:paraId="2CFEF7A6" w14:textId="77777777" w:rsidR="00842497" w:rsidRPr="00FD60FD" w:rsidRDefault="00842497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4C6F7990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FD60FD">
        <w:t>A korábban D-penicillaminnal kezelt betegeknél a későbbi trientin</w:t>
      </w:r>
      <w:r w:rsidRPr="00FD60FD">
        <w:noBreakHyphen/>
        <w:t>kezelés alatt lupus-szerű reakciókról számoltak be, az</w:t>
      </w:r>
      <w:r w:rsidRPr="00FD60FD">
        <w:t>onban nem lehet meghatározni, hogy a trientinnek van-e oki szerepe ebben.</w:t>
      </w:r>
    </w:p>
    <w:p w14:paraId="6B97767B" w14:textId="77777777" w:rsidR="00842497" w:rsidRPr="00FD60FD" w:rsidRDefault="00842497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2CA93F7A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Monitorozás</w:t>
      </w:r>
    </w:p>
    <w:p w14:paraId="73F4E948" w14:textId="77777777" w:rsidR="00842497" w:rsidRPr="00FD60FD" w:rsidRDefault="00286521" w:rsidP="00842497">
      <w:pPr>
        <w:rPr>
          <w:noProof/>
          <w:szCs w:val="22"/>
        </w:rPr>
      </w:pPr>
      <w:r w:rsidRPr="00FD60FD">
        <w:t>A Cuprior-ral kezelt betegeknek rendszeres orvosi felügyelet alatt kell állniuk, és az adag optimalizálása érdekében monitorozni kell a tünetek és a rézszint megfelelő k</w:t>
      </w:r>
      <w:r w:rsidRPr="00FD60FD">
        <w:t xml:space="preserve">ontrollját (lásd 4.2 pont). </w:t>
      </w:r>
    </w:p>
    <w:p w14:paraId="15A677AE" w14:textId="77777777" w:rsidR="00842497" w:rsidRPr="00FD60FD" w:rsidRDefault="00842497" w:rsidP="00842497">
      <w:pPr>
        <w:rPr>
          <w:noProof/>
          <w:szCs w:val="22"/>
        </w:rPr>
      </w:pPr>
    </w:p>
    <w:p w14:paraId="2E49FFE4" w14:textId="77777777" w:rsidR="00842497" w:rsidRPr="00FD60FD" w:rsidRDefault="00286521" w:rsidP="00842497">
      <w:pPr>
        <w:rPr>
          <w:noProof/>
          <w:szCs w:val="22"/>
        </w:rPr>
      </w:pPr>
      <w:r w:rsidRPr="00FD60FD">
        <w:t>A fenntartó kezelés célja a szérumban a szabad réz szintjének elfogadható határok között tartása. A kezelés monitorozására a legmegbízhatóbb mutató a szérum szabad rézszint, amelyet a teljes rézszint és a ceruloplasminhoz kötö</w:t>
      </w:r>
      <w:r w:rsidRPr="00FD60FD">
        <w:t xml:space="preserve">tt réz különbségéből számítanak ki (a szérumban a szabad réz normál szintje általában 100-150 mikrogramm/l között van). </w:t>
      </w:r>
    </w:p>
    <w:p w14:paraId="67EA91B6" w14:textId="77777777" w:rsidR="00842497" w:rsidRPr="00FD60FD" w:rsidRDefault="00842497" w:rsidP="00842497">
      <w:pPr>
        <w:rPr>
          <w:noProof/>
          <w:szCs w:val="22"/>
        </w:rPr>
      </w:pPr>
    </w:p>
    <w:p w14:paraId="2CE4E2B0" w14:textId="77777777" w:rsidR="00842497" w:rsidRPr="00FD60FD" w:rsidRDefault="00286521" w:rsidP="00842497">
      <w:pPr>
        <w:rPr>
          <w:noProof/>
          <w:szCs w:val="22"/>
        </w:rPr>
      </w:pPr>
      <w:r w:rsidRPr="00FD60FD">
        <w:t>A kezelés alatt mérhető a réz vizelettel történő kiválasztása. Mivel a kelátképzőkkel végzett kezelés a vizelet rézszintjének növekedé</w:t>
      </w:r>
      <w:r w:rsidRPr="00FD60FD">
        <w:t>séhez vezet, ez nem vagy nem feltétlenül ad megfelelő képet a szervezetben a többlet rézterhelésről, azonban a terápiás compliance hasznos mérőszáma lehet.</w:t>
      </w:r>
    </w:p>
    <w:p w14:paraId="63D93F2B" w14:textId="77777777" w:rsidR="00842497" w:rsidRPr="00FD60FD" w:rsidRDefault="00842497" w:rsidP="00842497">
      <w:pPr>
        <w:rPr>
          <w:noProof/>
          <w:szCs w:val="22"/>
        </w:rPr>
      </w:pPr>
    </w:p>
    <w:p w14:paraId="20594E88" w14:textId="77777777" w:rsidR="00842497" w:rsidRPr="00FD60FD" w:rsidRDefault="00286521" w:rsidP="00842497">
      <w:pPr>
        <w:rPr>
          <w:noProof/>
          <w:szCs w:val="22"/>
        </w:rPr>
      </w:pPr>
      <w:r w:rsidRPr="00FD60FD">
        <w:t>A kelátképző terápia elején a kezelésre adott, kezdeti válasz során a szérumban a szabad réztöbblet</w:t>
      </w:r>
      <w:r w:rsidRPr="00FD60FD">
        <w:t xml:space="preserve"> miatt a klinikai tünetek súlyosbodása fordulhat elő, beleértve a neurológiai állapot romlását is. Az adag optimalizálása, illetve szükség esetén a kezelés személyre szabása érdekében szoros monitorozásra van szükség.</w:t>
      </w:r>
    </w:p>
    <w:p w14:paraId="1D267F31" w14:textId="77777777" w:rsidR="00842497" w:rsidRPr="00FD60FD" w:rsidRDefault="00842497" w:rsidP="00842497">
      <w:pPr>
        <w:rPr>
          <w:noProof/>
          <w:szCs w:val="22"/>
        </w:rPr>
      </w:pPr>
    </w:p>
    <w:p w14:paraId="68EA2EB9" w14:textId="77777777" w:rsidR="00842497" w:rsidRPr="00FD60FD" w:rsidRDefault="00286521" w:rsidP="00842497">
      <w:pPr>
        <w:keepNext/>
        <w:rPr>
          <w:noProof/>
          <w:szCs w:val="22"/>
          <w:u w:val="single"/>
        </w:rPr>
      </w:pPr>
      <w:r w:rsidRPr="00FD60FD">
        <w:rPr>
          <w:noProof/>
          <w:u w:val="single"/>
        </w:rPr>
        <w:t>Különleges betegcsoportok</w:t>
      </w:r>
    </w:p>
    <w:p w14:paraId="7B0F6AB0" w14:textId="77777777" w:rsidR="00842497" w:rsidRPr="00FD60FD" w:rsidRDefault="00286521" w:rsidP="00842497">
      <w:pPr>
        <w:rPr>
          <w:noProof/>
          <w:szCs w:val="22"/>
        </w:rPr>
      </w:pPr>
      <w:r w:rsidRPr="00FD60FD">
        <w:t>A túlzott k</w:t>
      </w:r>
      <w:r w:rsidRPr="00FD60FD">
        <w:t xml:space="preserve">ezelés a rézhiány kockázatát hordozza magában. Figyelni kell a túlzott kezelés jeleire, különösen akkor, ha a rézigény változhat, például terhességben (lásd 4.6 pont) és gyermekeknél, akiknél a megfelelő növekedés és mentális fejlődés érdekében a rézszint </w:t>
      </w:r>
      <w:r w:rsidRPr="00FD60FD">
        <w:t>megfelelő szabályozása szükséges.</w:t>
      </w:r>
    </w:p>
    <w:p w14:paraId="197CC8F7" w14:textId="77777777" w:rsidR="00842497" w:rsidRPr="00FD60FD" w:rsidRDefault="00842497" w:rsidP="00842497">
      <w:pPr>
        <w:rPr>
          <w:noProof/>
          <w:szCs w:val="22"/>
        </w:rPr>
      </w:pPr>
    </w:p>
    <w:p w14:paraId="63367C47" w14:textId="77777777" w:rsidR="00842497" w:rsidRPr="00FD60FD" w:rsidRDefault="00286521" w:rsidP="00842497">
      <w:pPr>
        <w:rPr>
          <w:noProof/>
          <w:szCs w:val="22"/>
        </w:rPr>
      </w:pPr>
      <w:r w:rsidRPr="00FD60FD">
        <w:lastRenderedPageBreak/>
        <w:t>A trientinnel kezelt, vesekárosodásban szenvedő betegeket rendszeres orvosi felügyelet alatt kell tartani a tünetek és a rézszint megfelelő ellenőrzése érdekében. Ezeknél a betegeknél javasolt a vesefunkció szoros monitor</w:t>
      </w:r>
      <w:r w:rsidRPr="00FD60FD">
        <w:t>ozása is (lásd 4.2 pont).</w:t>
      </w:r>
    </w:p>
    <w:p w14:paraId="3C4A93BF" w14:textId="77777777" w:rsidR="00842497" w:rsidRPr="00FD60FD" w:rsidRDefault="00842497" w:rsidP="00842497">
      <w:pPr>
        <w:rPr>
          <w:noProof/>
        </w:rPr>
      </w:pPr>
    </w:p>
    <w:p w14:paraId="1412EC11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Gyógyszerkölcsönhatások és egyéb interakciók</w:t>
      </w:r>
    </w:p>
    <w:p w14:paraId="34F70E4F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4ECC724" w14:textId="77777777" w:rsidR="00842497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t>Interakciós vizsgálatokat nem végeztek.</w:t>
      </w:r>
    </w:p>
    <w:p w14:paraId="0AA06CC6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779A05A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A trientinről megállapították, hogy – feltehetően a felszívódás gátlása révén – csökkenti a szérum vasszintet, ezért vaspótlásra lehet </w:t>
      </w:r>
      <w:r w:rsidRPr="00FD60FD">
        <w:t>szükség. Mivel a vas és a trientin megakadályozhatják egymás felszívódását, a vaspótlásra szolgáló készítményt a trientin alkalmazását követően legalább két óra elteltével szabad csak bevenni.</w:t>
      </w:r>
    </w:p>
    <w:p w14:paraId="20096DEB" w14:textId="77777777" w:rsidR="00842497" w:rsidRPr="00FD60FD" w:rsidRDefault="00842497" w:rsidP="00842497">
      <w:pPr>
        <w:rPr>
          <w:noProof/>
          <w:szCs w:val="22"/>
        </w:rPr>
      </w:pPr>
    </w:p>
    <w:p w14:paraId="24CAA651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Mivel a trientin szájon át bevéve csak kis mértékben szívódik </w:t>
      </w:r>
      <w:r w:rsidRPr="00FD60FD">
        <w:t xml:space="preserve">fel, és elsődleges hatásmódja szisztémás expozíciót igényel (lásd 5.1 pont), fontos, hogy a </w:t>
      </w:r>
      <w:r w:rsidR="002445CD" w:rsidRPr="00FD60FD">
        <w:t>film</w:t>
      </w:r>
      <w:r w:rsidRPr="00FD60FD">
        <w:t>tablettát éhgyomorra, étkezés előtt legalább egy órával vagy utána két órával, továbbá minden egyéb gyógyszer, étel vagy tej fogyasztása előtt vagy után egy órá</w:t>
      </w:r>
      <w:r w:rsidRPr="00FD60FD">
        <w:t>val vegyék be (lásd 4.2 pont). Ez maximalizálja a trientin felszívódását, és csökkenti annak valószínűségét, hogy a gyógyszer a bélrendszerben található fémekhez kötődik. Ételinterakciós vizsgálatokat azonban nem végeztek, így ismeretlen az ételnek a trien</w:t>
      </w:r>
      <w:r w:rsidRPr="00FD60FD">
        <w:t xml:space="preserve">tin szisztémás expozíciójára kifejtett hatása. </w:t>
      </w:r>
    </w:p>
    <w:p w14:paraId="0D5B3204" w14:textId="77777777" w:rsidR="00842497" w:rsidRPr="00FD60FD" w:rsidRDefault="00842497" w:rsidP="00842497">
      <w:pPr>
        <w:rPr>
          <w:noProof/>
          <w:szCs w:val="22"/>
        </w:rPr>
      </w:pPr>
    </w:p>
    <w:p w14:paraId="7E9A8CF4" w14:textId="77777777" w:rsidR="00842497" w:rsidRPr="00FD60FD" w:rsidRDefault="00286521" w:rsidP="00842497">
      <w:pPr>
        <w:rPr>
          <w:noProof/>
          <w:szCs w:val="22"/>
        </w:rPr>
      </w:pPr>
      <w:r w:rsidRPr="00FD60FD">
        <w:t>Bár nincs bizonyíték arra, hogy a kalcium vagy magnézium tartalmú antacidumok megváltoztatják a trientin hatásosságát, elkülönített alkalmazásuk javasolt.</w:t>
      </w:r>
    </w:p>
    <w:p w14:paraId="0A1E741D" w14:textId="77777777" w:rsidR="00842497" w:rsidRPr="00FD60FD" w:rsidRDefault="00842497" w:rsidP="00842497">
      <w:pPr>
        <w:spacing w:line="240" w:lineRule="auto"/>
        <w:rPr>
          <w:szCs w:val="22"/>
        </w:rPr>
      </w:pPr>
    </w:p>
    <w:p w14:paraId="4D593F98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Termékenység, terhesség és szoptatás</w:t>
      </w:r>
    </w:p>
    <w:p w14:paraId="73E999D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3C07F7C" w14:textId="77777777" w:rsidR="00842497" w:rsidRPr="00FD60FD" w:rsidRDefault="00286521" w:rsidP="00842497">
      <w:pPr>
        <w:rPr>
          <w:noProof/>
          <w:szCs w:val="22"/>
        </w:rPr>
      </w:pPr>
      <w:r w:rsidRPr="00FD60FD">
        <w:rPr>
          <w:noProof/>
          <w:u w:val="single"/>
        </w:rPr>
        <w:t>Terhesség</w:t>
      </w:r>
    </w:p>
    <w:p w14:paraId="6AE7ADE8" w14:textId="77777777" w:rsidR="00842497" w:rsidRPr="00FD60FD" w:rsidRDefault="00286521" w:rsidP="00842497">
      <w:pPr>
        <w:rPr>
          <w:noProof/>
          <w:szCs w:val="22"/>
        </w:rPr>
      </w:pPr>
      <w:r w:rsidRPr="00FD60FD">
        <w:t>A t</w:t>
      </w:r>
      <w:r w:rsidRPr="00FD60FD">
        <w:t>rientin terhes nőknél történő alkalmazása tekintetében korlátozott mennyiségű információ áll rendelkezésre.</w:t>
      </w:r>
    </w:p>
    <w:p w14:paraId="550792C5" w14:textId="77777777" w:rsidR="00842497" w:rsidRPr="00FD60FD" w:rsidRDefault="00842497" w:rsidP="00842497">
      <w:pPr>
        <w:rPr>
          <w:noProof/>
          <w:szCs w:val="22"/>
        </w:rPr>
      </w:pPr>
    </w:p>
    <w:p w14:paraId="1E966237" w14:textId="77777777" w:rsidR="00842497" w:rsidRPr="00FD60FD" w:rsidRDefault="00286521" w:rsidP="00842497">
      <w:pPr>
        <w:rPr>
          <w:noProof/>
          <w:szCs w:val="22"/>
        </w:rPr>
      </w:pPr>
      <w:r w:rsidRPr="00FD60FD">
        <w:t>Állatkísérletek során reproduktív toxicitást igazoltak, amely valószínűleg a trientin által kiváltott rézhiány eredménye volt (lásd 5.3 pont).</w:t>
      </w:r>
    </w:p>
    <w:p w14:paraId="0A4298DF" w14:textId="77777777" w:rsidR="00842497" w:rsidRPr="00FD60FD" w:rsidRDefault="00842497" w:rsidP="00842497">
      <w:pPr>
        <w:rPr>
          <w:noProof/>
          <w:szCs w:val="22"/>
        </w:rPr>
      </w:pPr>
    </w:p>
    <w:p w14:paraId="37EF6207" w14:textId="77777777" w:rsidR="00842497" w:rsidRPr="00FD60FD" w:rsidRDefault="00286521" w:rsidP="00842497">
      <w:pPr>
        <w:rPr>
          <w:noProof/>
          <w:szCs w:val="22"/>
        </w:rPr>
      </w:pPr>
      <w:r w:rsidRPr="00FD60FD">
        <w:t>A C</w:t>
      </w:r>
      <w:r w:rsidRPr="00FD60FD">
        <w:t>uprior kizárólag az adott betegnél az előnyök és a kezelés kockázatainak körültekintő mérlegelését követően alkalmazható a terhesség alatt. A szem előtt tartandó tényezők közé tartoznak a magával a betegséggel társuló kockázatok, a rendelkezésre álló, alte</w:t>
      </w:r>
      <w:r w:rsidRPr="00FD60FD">
        <w:t>rnatív kezelések kockázata, valamint a trientin lehetséges teratogén hatásai (lásd 5.3 pont).</w:t>
      </w:r>
    </w:p>
    <w:p w14:paraId="7590772A" w14:textId="77777777" w:rsidR="00842497" w:rsidRPr="00FD60FD" w:rsidRDefault="00842497" w:rsidP="00842497">
      <w:pPr>
        <w:rPr>
          <w:noProof/>
          <w:szCs w:val="22"/>
        </w:rPr>
      </w:pPr>
    </w:p>
    <w:p w14:paraId="4238712E" w14:textId="77777777" w:rsidR="00842497" w:rsidRPr="00FD60FD" w:rsidRDefault="00286521" w:rsidP="00842497">
      <w:pPr>
        <w:rPr>
          <w:szCs w:val="22"/>
        </w:rPr>
      </w:pPr>
      <w:r w:rsidRPr="00FD60FD">
        <w:t>Mivel a réz szükséges a megfelelő növekedéshez és mentális fejlődéshez, dózismódosításra lehet szükség annak biztosítása érdekében, hogy a magzat ne szenvedjen r</w:t>
      </w:r>
      <w:r w:rsidRPr="00FD60FD">
        <w:t>ézhiányban, továbbá elengedhetetlen a beteg szoros ellenőrzése (lásd 4.4 pont).</w:t>
      </w:r>
    </w:p>
    <w:p w14:paraId="0A5AD359" w14:textId="77777777" w:rsidR="00842497" w:rsidRPr="00FD60FD" w:rsidRDefault="00842497" w:rsidP="00842497">
      <w:pPr>
        <w:rPr>
          <w:noProof/>
          <w:szCs w:val="22"/>
        </w:rPr>
      </w:pPr>
    </w:p>
    <w:p w14:paraId="596AA472" w14:textId="77777777" w:rsidR="00842497" w:rsidRPr="00FD60FD" w:rsidRDefault="00286521" w:rsidP="00842497">
      <w:pPr>
        <w:rPr>
          <w:noProof/>
          <w:szCs w:val="22"/>
        </w:rPr>
      </w:pPr>
      <w:r w:rsidRPr="00FD60FD">
        <w:t>A lehetséges magzati rendellenességek felismerése és a terhesség alatt az anyai szérum rézszint vizsgálata érdekében szorosan monitorozni kell a terhességet. Módosítani kell a</w:t>
      </w:r>
      <w:r w:rsidRPr="00FD60FD">
        <w:t xml:space="preserve"> trientin adagját, hogy a szérum rézszintet a normális tartományban tartsák. </w:t>
      </w:r>
    </w:p>
    <w:p w14:paraId="6B337C35" w14:textId="77777777" w:rsidR="00842497" w:rsidRPr="00FD60FD" w:rsidRDefault="00842497" w:rsidP="00842497">
      <w:pPr>
        <w:rPr>
          <w:noProof/>
          <w:szCs w:val="22"/>
        </w:rPr>
      </w:pPr>
    </w:p>
    <w:p w14:paraId="3130F271" w14:textId="77777777" w:rsidR="00842497" w:rsidRPr="00FD60FD" w:rsidRDefault="00286521" w:rsidP="00842497">
      <w:pPr>
        <w:rPr>
          <w:noProof/>
          <w:szCs w:val="22"/>
        </w:rPr>
      </w:pPr>
      <w:r w:rsidRPr="00FD60FD">
        <w:t>A trientinnel kezelt anyák csecsemőinél szükség esetén ellenőrizni kell a szérum rézszintet.</w:t>
      </w:r>
    </w:p>
    <w:p w14:paraId="3DD1B630" w14:textId="77777777" w:rsidR="00842497" w:rsidRPr="00FD60FD" w:rsidRDefault="00842497" w:rsidP="00842497">
      <w:pPr>
        <w:rPr>
          <w:noProof/>
          <w:szCs w:val="22"/>
        </w:rPr>
      </w:pPr>
    </w:p>
    <w:p w14:paraId="314720D0" w14:textId="77777777" w:rsidR="00842497" w:rsidRPr="00FD60FD" w:rsidRDefault="00286521" w:rsidP="00842497">
      <w:pPr>
        <w:rPr>
          <w:color w:val="000000"/>
          <w:szCs w:val="22"/>
        </w:rPr>
      </w:pPr>
      <w:r w:rsidRPr="00FD60FD">
        <w:rPr>
          <w:noProof/>
          <w:u w:val="single"/>
        </w:rPr>
        <w:t>Szoptatás</w:t>
      </w:r>
    </w:p>
    <w:p w14:paraId="10C28915" w14:textId="77777777" w:rsidR="00842497" w:rsidRPr="00FD60FD" w:rsidRDefault="00286521" w:rsidP="00842497">
      <w:pPr>
        <w:autoSpaceDE w:val="0"/>
        <w:autoSpaceDN w:val="0"/>
        <w:adjustRightInd w:val="0"/>
        <w:rPr>
          <w:color w:val="000000"/>
          <w:szCs w:val="22"/>
        </w:rPr>
      </w:pPr>
      <w:r w:rsidRPr="00FD60FD">
        <w:rPr>
          <w:color w:val="000000"/>
        </w:rPr>
        <w:t>Nem ismert, hogy a trientin kiválasztódik-e a humán anyatejbe. Az anyatej</w:t>
      </w:r>
      <w:r w:rsidRPr="00FD60FD">
        <w:rPr>
          <w:color w:val="000000"/>
        </w:rPr>
        <w:t>jel táplált csecsemőre nézve a kockázatot nem lehet kizárni. A Cuprior alkalmazása előtt el kell dönteni, hogy a szoptatást függesztik fel, vagy megszakítják a kezelést / tartózkodnak a kezeléstől – figyelembe véve a szoptatás előnyét a gyermekre nézve, va</w:t>
      </w:r>
      <w:r w:rsidRPr="00FD60FD">
        <w:rPr>
          <w:color w:val="000000"/>
        </w:rPr>
        <w:t>lamint a terápia előnyét a nőre nézve.</w:t>
      </w:r>
    </w:p>
    <w:p w14:paraId="1211A2FA" w14:textId="77777777" w:rsidR="00842497" w:rsidRPr="00FD60FD" w:rsidRDefault="00842497" w:rsidP="00842497">
      <w:pPr>
        <w:rPr>
          <w:szCs w:val="22"/>
          <w:u w:val="single"/>
        </w:rPr>
      </w:pPr>
    </w:p>
    <w:p w14:paraId="49A61B13" w14:textId="77777777" w:rsidR="00842497" w:rsidRPr="00FD60FD" w:rsidRDefault="00286521" w:rsidP="00842497">
      <w:pPr>
        <w:keepNext/>
        <w:rPr>
          <w:noProof/>
          <w:szCs w:val="22"/>
          <w:u w:val="single"/>
        </w:rPr>
      </w:pPr>
      <w:r w:rsidRPr="00FD60FD">
        <w:rPr>
          <w:noProof/>
          <w:u w:val="single"/>
        </w:rPr>
        <w:t>Termékenység</w:t>
      </w:r>
    </w:p>
    <w:p w14:paraId="046981F8" w14:textId="77777777" w:rsidR="00842497" w:rsidRPr="00FD60FD" w:rsidRDefault="00286521" w:rsidP="00842497">
      <w:pPr>
        <w:rPr>
          <w:szCs w:val="22"/>
        </w:rPr>
      </w:pPr>
      <w:r w:rsidRPr="00FD60FD">
        <w:t>Nem ismert, hogy a trientin hatással van-e a humán termékenységre.</w:t>
      </w:r>
    </w:p>
    <w:p w14:paraId="5EABC74E" w14:textId="77777777" w:rsidR="00842497" w:rsidRPr="00FD60FD" w:rsidRDefault="00842497" w:rsidP="00842497">
      <w:pPr>
        <w:spacing w:line="240" w:lineRule="auto"/>
        <w:rPr>
          <w:i/>
          <w:noProof/>
          <w:szCs w:val="22"/>
        </w:rPr>
      </w:pPr>
    </w:p>
    <w:p w14:paraId="7F09EEB9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A készítmény hatásai a gépjárművezetéshez és a gépek kezeléséhez szükséges képességekre</w:t>
      </w:r>
    </w:p>
    <w:p w14:paraId="3B1824E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84D3300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A Cuprior nem, vagy csak elhanyagolható mértékben befolyásolja a gépjárművezetéshez és a gépek kezeléséhez szükséges képességeket. </w:t>
      </w:r>
    </w:p>
    <w:p w14:paraId="34AA427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2C5BE29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Nemkívánatos hatások, mellékhatások</w:t>
      </w:r>
    </w:p>
    <w:p w14:paraId="771CCAF6" w14:textId="77777777" w:rsidR="00842497" w:rsidRPr="00FD60FD" w:rsidRDefault="00842497" w:rsidP="00842497">
      <w:pPr>
        <w:autoSpaceDE w:val="0"/>
        <w:autoSpaceDN w:val="0"/>
        <w:adjustRightInd w:val="0"/>
        <w:rPr>
          <w:noProof/>
          <w:szCs w:val="22"/>
        </w:rPr>
      </w:pPr>
    </w:p>
    <w:p w14:paraId="26A335AF" w14:textId="77777777" w:rsidR="00842497" w:rsidRPr="00FD60FD" w:rsidRDefault="00286521" w:rsidP="00842497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FD60FD">
        <w:rPr>
          <w:noProof/>
          <w:u w:val="single"/>
        </w:rPr>
        <w:t>A biztonságossági profil összefoglalása</w:t>
      </w:r>
    </w:p>
    <w:p w14:paraId="5E4F3DC9" w14:textId="77777777" w:rsidR="00842497" w:rsidRPr="00FD60FD" w:rsidRDefault="00286521" w:rsidP="00842497">
      <w:pPr>
        <w:autoSpaceDE w:val="0"/>
        <w:autoSpaceDN w:val="0"/>
        <w:adjustRightInd w:val="0"/>
        <w:rPr>
          <w:rFonts w:eastAsia="TimesNewRoman"/>
          <w:szCs w:val="22"/>
        </w:rPr>
      </w:pPr>
      <w:r w:rsidRPr="00FD60FD">
        <w:t xml:space="preserve">A trientin alkalmazásával kapcsolatosan a leggyakrabban jelentett mellékhatás a hányinger. Súlyos vashiányos anaemia és súlyos colitis jelentkezhet a kezelés alatt. </w:t>
      </w:r>
    </w:p>
    <w:p w14:paraId="21021F3D" w14:textId="77777777" w:rsidR="00842497" w:rsidRPr="00FD60FD" w:rsidRDefault="00842497" w:rsidP="00842497">
      <w:pPr>
        <w:autoSpaceDE w:val="0"/>
        <w:autoSpaceDN w:val="0"/>
        <w:adjustRightInd w:val="0"/>
        <w:rPr>
          <w:noProof/>
          <w:szCs w:val="22"/>
        </w:rPr>
      </w:pPr>
    </w:p>
    <w:p w14:paraId="69752B1E" w14:textId="77777777" w:rsidR="00842497" w:rsidRPr="00FD60FD" w:rsidRDefault="00286521" w:rsidP="00842497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FD60FD">
        <w:rPr>
          <w:noProof/>
          <w:u w:val="single"/>
        </w:rPr>
        <w:t>A mellékhatások táblázatos listája</w:t>
      </w:r>
    </w:p>
    <w:p w14:paraId="4F04146F" w14:textId="77777777" w:rsidR="00842497" w:rsidRPr="00FD60FD" w:rsidRDefault="00286521" w:rsidP="00842497">
      <w:pPr>
        <w:autoSpaceDE w:val="0"/>
        <w:autoSpaceDN w:val="0"/>
        <w:adjustRightInd w:val="0"/>
        <w:rPr>
          <w:noProof/>
          <w:szCs w:val="22"/>
        </w:rPr>
      </w:pPr>
      <w:r w:rsidRPr="00FD60FD">
        <w:t xml:space="preserve">Wilson-kórban a trientin alkalmazásával kapcsolatosan </w:t>
      </w:r>
      <w:r w:rsidRPr="00FD60FD">
        <w:t xml:space="preserve">az alábbi mellékhatásokról számoltak be. </w:t>
      </w:r>
    </w:p>
    <w:p w14:paraId="6A90CDCC" w14:textId="77777777" w:rsidR="00842497" w:rsidRPr="00FD60FD" w:rsidRDefault="00286521" w:rsidP="00842497">
      <w:pPr>
        <w:autoSpaceDE w:val="0"/>
        <w:autoSpaceDN w:val="0"/>
        <w:adjustRightInd w:val="0"/>
        <w:rPr>
          <w:noProof/>
          <w:szCs w:val="22"/>
        </w:rPr>
      </w:pPr>
      <w:r w:rsidRPr="00FD60FD">
        <w:t>A gyakoriságok meghatározása: nagyon gyakori (≥ 1/10), gyakori (≥ 1/100 – &lt;1/10), nem gyakori (≥ 1/1000 – &lt;1/100), ritka (≥ 1/10 000 – &lt; 1/1000) nagyon ritka (&lt; 1/10 000) és nem ismert (a rendelkezésre álló adatokb</w:t>
      </w:r>
      <w:r w:rsidRPr="00FD60FD">
        <w:t>ól nem állapítható meg).</w:t>
      </w:r>
    </w:p>
    <w:p w14:paraId="50340564" w14:textId="77777777" w:rsidR="00842497" w:rsidRPr="00FD60FD" w:rsidRDefault="00842497" w:rsidP="00842497">
      <w:pPr>
        <w:autoSpaceDE w:val="0"/>
        <w:autoSpaceDN w:val="0"/>
        <w:adjustRightInd w:val="0"/>
        <w:jc w:val="both"/>
        <w:rPr>
          <w:noProof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969"/>
      </w:tblGrid>
      <w:tr w:rsidR="00035AB2" w14:paraId="1E6B344C" w14:textId="77777777" w:rsidTr="0084249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B7F3" w14:textId="77777777" w:rsidR="00842497" w:rsidRPr="00FD60FD" w:rsidRDefault="00286521" w:rsidP="00842497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FD60FD">
              <w:rPr>
                <w:b/>
              </w:rPr>
              <w:t>Szervrendszer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D153" w14:textId="77777777" w:rsidR="00842497" w:rsidRPr="00FD60FD" w:rsidRDefault="00286521" w:rsidP="00842497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FD60FD">
              <w:rPr>
                <w:b/>
              </w:rPr>
              <w:t>Mellékhatások</w:t>
            </w:r>
          </w:p>
        </w:tc>
      </w:tr>
      <w:tr w:rsidR="00035AB2" w14:paraId="75DA7742" w14:textId="77777777" w:rsidTr="0084249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049B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t>Vérképzőszervi és nyirokrendszeri betegségek és tünetek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6117" w14:textId="77777777" w:rsidR="000C1F48" w:rsidRDefault="00286521" w:rsidP="000C1F48">
            <w:pPr>
              <w:pStyle w:val="Default"/>
              <w:rPr>
                <w:sz w:val="22"/>
                <w:szCs w:val="22"/>
              </w:rPr>
            </w:pPr>
            <w:r w:rsidRPr="000C1F48">
              <w:rPr>
                <w:i/>
                <w:iCs/>
                <w:sz w:val="22"/>
                <w:szCs w:val="22"/>
              </w:rPr>
              <w:t>Nem gyakori:</w:t>
            </w:r>
            <w:r>
              <w:rPr>
                <w:sz w:val="22"/>
                <w:szCs w:val="22"/>
              </w:rPr>
              <w:t xml:space="preserve"> Sideroblastos anaemia </w:t>
            </w:r>
          </w:p>
          <w:p w14:paraId="5B375C3D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rPr>
                <w:i/>
                <w:noProof/>
              </w:rPr>
              <w:t xml:space="preserve">Nem ismert: </w:t>
            </w:r>
            <w:r w:rsidRPr="00FD60FD">
              <w:t>vashiányos anaemia.</w:t>
            </w:r>
          </w:p>
        </w:tc>
      </w:tr>
      <w:tr w:rsidR="00035AB2" w14:paraId="7BC62B0C" w14:textId="77777777" w:rsidTr="0084249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1CC8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t>Emésztőrendszeri betegségek és tünetek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FD98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rPr>
                <w:i/>
                <w:noProof/>
              </w:rPr>
              <w:t>Gyakori</w:t>
            </w:r>
            <w:r w:rsidRPr="00FD60FD">
              <w:t xml:space="preserve">: hányinger. </w:t>
            </w:r>
          </w:p>
          <w:p w14:paraId="6C07A15C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rPr>
                <w:i/>
                <w:noProof/>
              </w:rPr>
              <w:t xml:space="preserve">Nem ismert: </w:t>
            </w:r>
            <w:r w:rsidRPr="00FD60FD">
              <w:t>duodenitis, colitis (beleértve a súlyos colitist is).</w:t>
            </w:r>
          </w:p>
        </w:tc>
      </w:tr>
      <w:tr w:rsidR="00035AB2" w14:paraId="01FE5980" w14:textId="77777777" w:rsidTr="00842497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6976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t>A bőr és a bőr alatti szövet betegségei és tünetei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C8AE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rPr>
                <w:i/>
                <w:noProof/>
              </w:rPr>
              <w:t xml:space="preserve">Nem gyakori: </w:t>
            </w:r>
            <w:r w:rsidRPr="00FD60FD">
              <w:t xml:space="preserve">bőrkiütés, pruritus, erythema. </w:t>
            </w:r>
          </w:p>
          <w:p w14:paraId="0EAF9BF2" w14:textId="77777777" w:rsidR="00842497" w:rsidRPr="00FD60FD" w:rsidRDefault="00286521" w:rsidP="00842497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FD60FD">
              <w:rPr>
                <w:i/>
                <w:noProof/>
              </w:rPr>
              <w:t>Nem ismert</w:t>
            </w:r>
            <w:r w:rsidRPr="00FD60FD">
              <w:t>: urticaria.</w:t>
            </w:r>
          </w:p>
        </w:tc>
      </w:tr>
    </w:tbl>
    <w:p w14:paraId="15BC3B06" w14:textId="77777777" w:rsidR="00842497" w:rsidRPr="00FD60FD" w:rsidRDefault="00842497" w:rsidP="00842497">
      <w:pPr>
        <w:autoSpaceDE w:val="0"/>
        <w:autoSpaceDN w:val="0"/>
        <w:adjustRightInd w:val="0"/>
        <w:rPr>
          <w:noProof/>
          <w:szCs w:val="22"/>
        </w:rPr>
      </w:pPr>
    </w:p>
    <w:p w14:paraId="71311F82" w14:textId="77777777" w:rsidR="00842497" w:rsidRPr="00FD60FD" w:rsidRDefault="00286521" w:rsidP="00842497">
      <w:pPr>
        <w:autoSpaceDE w:val="0"/>
        <w:autoSpaceDN w:val="0"/>
        <w:adjustRightInd w:val="0"/>
        <w:spacing w:line="240" w:lineRule="auto"/>
        <w:rPr>
          <w:szCs w:val="22"/>
          <w:u w:val="single"/>
        </w:rPr>
      </w:pPr>
      <w:r w:rsidRPr="00FD60FD">
        <w:rPr>
          <w:u w:val="single"/>
        </w:rPr>
        <w:t>Feltételezett mellékhatások bejelentése</w:t>
      </w:r>
    </w:p>
    <w:p w14:paraId="0492B644" w14:textId="77777777" w:rsidR="00842497" w:rsidRPr="00FD60FD" w:rsidRDefault="00286521" w:rsidP="00842497">
      <w:pPr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FD60FD">
        <w:t xml:space="preserve">A gyógyszer engedélyezését követően lényeges a feltételezett mellékhatások bejelentése, mert ez fontos eszköze annak, hogy a gyógyszer előny/kockázat profilját folyamatosan figyelemmel lehessen kísérni. Az egészségügyi szakembereket kérjük, hogy jelentsék </w:t>
      </w:r>
      <w:r w:rsidRPr="00FD60FD">
        <w:t xml:space="preserve">be a feltételezett mellékhatásokat a hatóság részére az </w:t>
      </w:r>
      <w:hyperlink r:id="rId11" w:history="1">
        <w:r w:rsidRPr="00FD60FD">
          <w:rPr>
            <w:rStyle w:val="Hyperlink"/>
            <w:highlight w:val="lightGray"/>
          </w:rPr>
          <w:t>V. függelékben</w:t>
        </w:r>
      </w:hyperlink>
      <w:r w:rsidRPr="00FD60FD">
        <w:rPr>
          <w:highlight w:val="lightGray"/>
        </w:rPr>
        <w:t xml:space="preserve"> található elérhetőségek valamelyikén keresztül</w:t>
      </w:r>
      <w:r w:rsidRPr="00FD60FD">
        <w:t>.</w:t>
      </w:r>
    </w:p>
    <w:p w14:paraId="0B6701E2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9BFF0E7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FD60FD">
        <w:rPr>
          <w:b/>
          <w:noProof/>
        </w:rPr>
        <w:t>Túladagolás</w:t>
      </w:r>
    </w:p>
    <w:p w14:paraId="2389916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F9CF5AF" w14:textId="77777777" w:rsidR="00C27760" w:rsidRPr="00FD60FD" w:rsidRDefault="00286521" w:rsidP="00842497">
      <w:pPr>
        <w:rPr>
          <w:bCs/>
          <w:color w:val="000000"/>
        </w:rPr>
      </w:pPr>
      <w:r w:rsidRPr="00FD60FD">
        <w:rPr>
          <w:bCs/>
          <w:color w:val="000000"/>
        </w:rPr>
        <w:t>Néhány esetbe</w:t>
      </w:r>
      <w:r w:rsidRPr="00FD60FD">
        <w:rPr>
          <w:bCs/>
          <w:color w:val="000000"/>
        </w:rPr>
        <w:t xml:space="preserve">n beszámoltak a trientin túladagolásáról. </w:t>
      </w:r>
      <w:r w:rsidR="006A6BBD" w:rsidRPr="00FD60FD">
        <w:rPr>
          <w:bCs/>
          <w:color w:val="000000"/>
        </w:rPr>
        <w:t>A l</w:t>
      </w:r>
      <w:r w:rsidRPr="00FD60FD">
        <w:rPr>
          <w:bCs/>
          <w:color w:val="000000"/>
        </w:rPr>
        <w:t>egfeljebb 20 g trientin bázis túladagolása eseteiben nyilvánvaló mellékhatásokról nem számoltak be. Trientin nagy dózisú, 40 g-os túladagolása spontán szűnő szédüléshez és hányáshoz vezetett, ugyanakkor egyéb kl</w:t>
      </w:r>
      <w:r w:rsidRPr="00FD60FD">
        <w:rPr>
          <w:bCs/>
          <w:color w:val="000000"/>
        </w:rPr>
        <w:t>inikai maradványtünetekről vagy jelentős biokémiai eltérésekről nem számoltak be.</w:t>
      </w:r>
    </w:p>
    <w:p w14:paraId="738A3AC6" w14:textId="77777777" w:rsidR="00C27760" w:rsidRPr="00FD60FD" w:rsidRDefault="00C27760" w:rsidP="00842497">
      <w:pPr>
        <w:rPr>
          <w:bCs/>
          <w:color w:val="000000"/>
          <w:u w:val="single"/>
        </w:rPr>
      </w:pPr>
    </w:p>
    <w:p w14:paraId="18FDB60B" w14:textId="77777777" w:rsidR="00842497" w:rsidRPr="00FD60FD" w:rsidRDefault="00286521" w:rsidP="00842497">
      <w:pPr>
        <w:rPr>
          <w:noProof/>
          <w:szCs w:val="22"/>
        </w:rPr>
      </w:pPr>
      <w:r w:rsidRPr="00FD60FD">
        <w:t>A trientin akut túladagolásának nincs ellenszere.</w:t>
      </w:r>
    </w:p>
    <w:p w14:paraId="583D7E10" w14:textId="77777777" w:rsidR="00842497" w:rsidRPr="00FD60FD" w:rsidRDefault="00842497" w:rsidP="00842497">
      <w:pPr>
        <w:spacing w:line="240" w:lineRule="auto"/>
        <w:rPr>
          <w:szCs w:val="22"/>
        </w:rPr>
      </w:pPr>
    </w:p>
    <w:p w14:paraId="4A1A233F" w14:textId="77777777" w:rsidR="00842497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t>A krónikus túladagolás rézhiányhoz és reverzibilis szideroblasztos anaemiához vezethet. A túladagolás és a többlet réz elt</w:t>
      </w:r>
      <w:r w:rsidRPr="00FD60FD">
        <w:t>ávolítása ellenőrizhető a vizelettel történő rézürítés és a cöruloplazminhoz nem kötött réz szintje segítségével. Az adag optimalizálása, illetve szükség esetén a kezelés személyre szabása érdekében szoros ellenőrzés szükséges (lásd 4.4 pont).</w:t>
      </w:r>
    </w:p>
    <w:p w14:paraId="67C71641" w14:textId="77777777" w:rsidR="00842497" w:rsidRPr="00FD60FD" w:rsidRDefault="00842497" w:rsidP="00842497">
      <w:pPr>
        <w:suppressAutoHyphens/>
        <w:spacing w:line="240" w:lineRule="auto"/>
        <w:rPr>
          <w:b/>
          <w:szCs w:val="22"/>
        </w:rPr>
      </w:pPr>
    </w:p>
    <w:p w14:paraId="5BADAACE" w14:textId="77777777" w:rsidR="00842497" w:rsidRPr="00FD60FD" w:rsidRDefault="00842497" w:rsidP="00842497">
      <w:pPr>
        <w:suppressAutoHyphens/>
        <w:spacing w:line="240" w:lineRule="auto"/>
        <w:rPr>
          <w:b/>
          <w:szCs w:val="22"/>
        </w:rPr>
      </w:pPr>
    </w:p>
    <w:p w14:paraId="307E8FF5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FARMAKOLÓG</w:t>
      </w:r>
      <w:r w:rsidRPr="00FD60FD">
        <w:rPr>
          <w:b/>
        </w:rPr>
        <w:t>IAI TULAJDONSÁGOK</w:t>
      </w:r>
    </w:p>
    <w:p w14:paraId="02656BCC" w14:textId="77777777" w:rsidR="00842497" w:rsidRPr="00FD60FD" w:rsidRDefault="00842497" w:rsidP="00842497">
      <w:pPr>
        <w:spacing w:line="240" w:lineRule="auto"/>
        <w:rPr>
          <w:szCs w:val="22"/>
        </w:rPr>
      </w:pPr>
    </w:p>
    <w:p w14:paraId="07E510A8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szCs w:val="22"/>
        </w:rPr>
      </w:pPr>
      <w:r w:rsidRPr="00FD60FD">
        <w:rPr>
          <w:b/>
        </w:rPr>
        <w:t>Farmakodinámiás tulajdonságok</w:t>
      </w:r>
    </w:p>
    <w:p w14:paraId="79BCC290" w14:textId="77777777" w:rsidR="00842497" w:rsidRPr="00FD60FD" w:rsidRDefault="00842497" w:rsidP="00842497">
      <w:pPr>
        <w:spacing w:line="240" w:lineRule="auto"/>
        <w:rPr>
          <w:szCs w:val="22"/>
        </w:rPr>
      </w:pPr>
    </w:p>
    <w:p w14:paraId="598114B9" w14:textId="77777777" w:rsidR="00842497" w:rsidRPr="00FD60FD" w:rsidRDefault="00286521" w:rsidP="00842497">
      <w:pPr>
        <w:numPr>
          <w:ilvl w:val="12"/>
          <w:numId w:val="0"/>
        </w:numPr>
        <w:ind w:right="-2"/>
        <w:rPr>
          <w:szCs w:val="22"/>
        </w:rPr>
      </w:pPr>
      <w:r w:rsidRPr="00FD60FD">
        <w:t>Farmakoterápiás csoport: Tápcsatorna és anyagcsere egyéb gyógyszerei, tápcsatorna és anyagcsere egyéb gyógyszerei, ATC kód: A16AX12.</w:t>
      </w:r>
    </w:p>
    <w:p w14:paraId="4804E907" w14:textId="77777777" w:rsidR="00842497" w:rsidRPr="00FD60FD" w:rsidRDefault="00842497" w:rsidP="00842497">
      <w:pPr>
        <w:numPr>
          <w:ilvl w:val="12"/>
          <w:numId w:val="0"/>
        </w:numPr>
        <w:ind w:right="-2"/>
        <w:rPr>
          <w:szCs w:val="22"/>
        </w:rPr>
      </w:pPr>
    </w:p>
    <w:p w14:paraId="7F6C99FD" w14:textId="77777777" w:rsidR="00842497" w:rsidRPr="00FD60FD" w:rsidRDefault="00286521" w:rsidP="00842497">
      <w:pPr>
        <w:keepNext/>
        <w:numPr>
          <w:ilvl w:val="12"/>
          <w:numId w:val="0"/>
        </w:numPr>
        <w:rPr>
          <w:szCs w:val="22"/>
          <w:u w:val="single"/>
        </w:rPr>
      </w:pPr>
      <w:r w:rsidRPr="00FD60FD">
        <w:rPr>
          <w:u w:val="single"/>
        </w:rPr>
        <w:lastRenderedPageBreak/>
        <w:t xml:space="preserve">Hatásmechanizmus </w:t>
      </w:r>
    </w:p>
    <w:p w14:paraId="045C870F" w14:textId="77777777" w:rsidR="00842497" w:rsidRPr="00FD60FD" w:rsidRDefault="00286521" w:rsidP="00842497">
      <w:pPr>
        <w:numPr>
          <w:ilvl w:val="12"/>
          <w:numId w:val="0"/>
        </w:numPr>
        <w:ind w:right="-2"/>
        <w:rPr>
          <w:szCs w:val="22"/>
        </w:rPr>
      </w:pPr>
      <w:r w:rsidRPr="00FD60FD">
        <w:t xml:space="preserve">A trientin egy réz-kelátképző szer, amelynek az </w:t>
      </w:r>
      <w:r w:rsidRPr="00FD60FD">
        <w:t>elsődleges hatásmechanizmusa a felszívódott réz eliminálása a szervezetből azáltal, hogy stabil komplexet képez, amely aztán a vizelettel ürül ki. A trientin kelátot képezhet a rézzel a bélrendszerben is, ezáltal pedig gátolhatja a réz felszívódását.</w:t>
      </w:r>
    </w:p>
    <w:p w14:paraId="6CB5FF92" w14:textId="77777777" w:rsidR="00842497" w:rsidRPr="00FD60FD" w:rsidRDefault="00842497" w:rsidP="00842497">
      <w:pPr>
        <w:numPr>
          <w:ilvl w:val="12"/>
          <w:numId w:val="0"/>
        </w:numPr>
        <w:ind w:right="-2"/>
        <w:rPr>
          <w:iCs/>
          <w:noProof/>
          <w:szCs w:val="22"/>
        </w:rPr>
      </w:pPr>
    </w:p>
    <w:p w14:paraId="1D1A7BED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>Farmakokinetikai tulajdonságok</w:t>
      </w:r>
    </w:p>
    <w:p w14:paraId="1C10FE8E" w14:textId="77777777" w:rsidR="00842497" w:rsidRPr="00FD60FD" w:rsidRDefault="00842497" w:rsidP="00842497">
      <w:pPr>
        <w:rPr>
          <w:noProof/>
        </w:rPr>
      </w:pPr>
    </w:p>
    <w:p w14:paraId="53023DB0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Felszívódás</w:t>
      </w:r>
    </w:p>
    <w:p w14:paraId="18057A4F" w14:textId="77777777" w:rsidR="00842497" w:rsidRPr="00FD60FD" w:rsidRDefault="00286521" w:rsidP="00842497">
      <w:pPr>
        <w:rPr>
          <w:noProof/>
          <w:szCs w:val="22"/>
        </w:rPr>
      </w:pPr>
      <w:r w:rsidRPr="00FD60FD">
        <w:t>Szájon át történő alkalmazást követően a trientin felszívódása kismértékű és változó a Wilson-kórban szenvedő betegeknél. A Cuprior farmakokinetikai profilját szájon át adott, egyszeri 450 mg, 600 mg és 750 mg tr</w:t>
      </w:r>
      <w:r w:rsidRPr="00FD60FD">
        <w:t xml:space="preserve">ientin adagolását követően értékelték egészséges férfi és női vizsgálati alanyoknál. A trientin plazmaszintje az alkalmazást követően gyorsan növekszik, medián csúcsszintjét 1,25-2 óra elteltével éri el. A trientin plazmakoncentrációja ezután multifázisos </w:t>
      </w:r>
      <w:r w:rsidRPr="00FD60FD">
        <w:t xml:space="preserve">módon csökkent, kezdetben gyorsan, amelyet egy lassabb eliminációs fázis követ. Az általános farmakokinetikai profil férfiaknál és nőknél hasonló volt, bár a férfiaknál a trientin szintje magasabb volt. </w:t>
      </w:r>
    </w:p>
    <w:p w14:paraId="2531D55C" w14:textId="77777777" w:rsidR="00842497" w:rsidRPr="00FD60FD" w:rsidRDefault="00842497" w:rsidP="00842497">
      <w:pPr>
        <w:rPr>
          <w:noProof/>
          <w:szCs w:val="22"/>
        </w:rPr>
      </w:pPr>
    </w:p>
    <w:p w14:paraId="03D2E7CB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Eloszlás</w:t>
      </w:r>
    </w:p>
    <w:p w14:paraId="4D130128" w14:textId="77777777" w:rsidR="00842497" w:rsidRPr="00FD60FD" w:rsidRDefault="00286521" w:rsidP="00842497">
      <w:pPr>
        <w:rPr>
          <w:noProof/>
          <w:szCs w:val="22"/>
        </w:rPr>
      </w:pPr>
      <w:r w:rsidRPr="00FD60FD">
        <w:t>A trientin megoszlása a szervekben és szöv</w:t>
      </w:r>
      <w:r w:rsidRPr="00FD60FD">
        <w:t xml:space="preserve">etekben kevéssé ismert. </w:t>
      </w:r>
    </w:p>
    <w:p w14:paraId="6D202E06" w14:textId="77777777" w:rsidR="00842497" w:rsidRPr="00FD60FD" w:rsidRDefault="00842497" w:rsidP="00842497">
      <w:pPr>
        <w:rPr>
          <w:noProof/>
          <w:szCs w:val="22"/>
        </w:rPr>
      </w:pPr>
    </w:p>
    <w:p w14:paraId="06929BDC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Biotranszformáció</w:t>
      </w:r>
    </w:p>
    <w:p w14:paraId="41720E2E" w14:textId="77777777" w:rsidR="00842497" w:rsidRPr="00FD60FD" w:rsidRDefault="00286521" w:rsidP="00842497">
      <w:pPr>
        <w:rPr>
          <w:szCs w:val="22"/>
        </w:rPr>
      </w:pPr>
      <w:r w:rsidRPr="00FD60FD">
        <w:t>A trientin két fő metabolittá, N(1)-acetil-trietilén-tetraminná (MAT) és N(1),N(10)</w:t>
      </w:r>
      <w:r w:rsidRPr="00FD60FD">
        <w:noBreakHyphen/>
        <w:t>diacetil</w:t>
      </w:r>
      <w:r w:rsidRPr="00FD60FD">
        <w:noBreakHyphen/>
        <w:t>trietilén</w:t>
      </w:r>
      <w:r w:rsidRPr="00FD60FD">
        <w:noBreakHyphen/>
        <w:t>tetraminná (DAT) acetilálódik. A MAT szintén részt vehet a Cuprior teljes klinikai aktivitásában, azonban a C</w:t>
      </w:r>
      <w:r w:rsidRPr="00FD60FD">
        <w:t>uprior rézszintre kifejtett, teljes hatásában a MAT szerepének mértéke még meghatározásra vár.</w:t>
      </w:r>
    </w:p>
    <w:p w14:paraId="4F96CA95" w14:textId="77777777" w:rsidR="00842497" w:rsidRPr="00FD60FD" w:rsidRDefault="00842497" w:rsidP="00842497">
      <w:pPr>
        <w:rPr>
          <w:szCs w:val="22"/>
        </w:rPr>
      </w:pPr>
    </w:p>
    <w:p w14:paraId="66E6A818" w14:textId="77777777" w:rsidR="00842497" w:rsidRPr="00FD60FD" w:rsidRDefault="00286521" w:rsidP="00842497">
      <w:pPr>
        <w:rPr>
          <w:noProof/>
          <w:szCs w:val="22"/>
        </w:rPr>
      </w:pPr>
      <w:r w:rsidRPr="00FD60FD">
        <w:rPr>
          <w:noProof/>
          <w:u w:val="single"/>
        </w:rPr>
        <w:t>Elimináció</w:t>
      </w:r>
    </w:p>
    <w:p w14:paraId="39CB8520" w14:textId="77777777" w:rsidR="00842497" w:rsidRPr="00FD60FD" w:rsidRDefault="00286521" w:rsidP="00842497">
      <w:pPr>
        <w:rPr>
          <w:noProof/>
          <w:szCs w:val="22"/>
        </w:rPr>
      </w:pPr>
      <w:r w:rsidRPr="00FD60FD">
        <w:t>A trientin és metabolitjai gyorsan kiürülnek a vizelettel, bár a trientin alacsony szintje még 20 óra elteltével is kimutatható a plazmában. A fel ne</w:t>
      </w:r>
      <w:r w:rsidRPr="00FD60FD">
        <w:t>m szívódott trientin a széklettel ürül ki.</w:t>
      </w:r>
    </w:p>
    <w:p w14:paraId="4FBEDF63" w14:textId="77777777" w:rsidR="00842497" w:rsidRPr="00FD60FD" w:rsidRDefault="00842497" w:rsidP="00842497">
      <w:pPr>
        <w:rPr>
          <w:noProof/>
          <w:szCs w:val="22"/>
        </w:rPr>
      </w:pPr>
    </w:p>
    <w:p w14:paraId="688CACBC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Linearitás/nem-linearitás</w:t>
      </w:r>
    </w:p>
    <w:p w14:paraId="77CB84FB" w14:textId="77777777" w:rsidR="00842497" w:rsidRPr="00FD60FD" w:rsidRDefault="00286521" w:rsidP="00842497">
      <w:pPr>
        <w:rPr>
          <w:noProof/>
          <w:szCs w:val="22"/>
        </w:rPr>
      </w:pPr>
      <w:r w:rsidRPr="00FD60FD">
        <w:t>Embernél a plazma expozíciók lineáris kapcsolatot mutatnak a trientin orális adagjával.</w:t>
      </w:r>
    </w:p>
    <w:p w14:paraId="55B98579" w14:textId="77777777" w:rsidR="00842497" w:rsidRPr="00FD60FD" w:rsidRDefault="00842497" w:rsidP="00842497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</w:rPr>
      </w:pPr>
    </w:p>
    <w:p w14:paraId="49424933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>A preklinikai biztonságossági vizsgálatok eredményei</w:t>
      </w:r>
    </w:p>
    <w:p w14:paraId="0EFF05F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8959A4B" w14:textId="77777777" w:rsidR="00842497" w:rsidRPr="00FD60FD" w:rsidRDefault="00286521" w:rsidP="00842497">
      <w:pPr>
        <w:rPr>
          <w:noProof/>
          <w:szCs w:val="22"/>
        </w:rPr>
      </w:pPr>
      <w:r w:rsidRPr="00FD60FD">
        <w:t>A trientin alkalmazása kapcsán nyert prekli</w:t>
      </w:r>
      <w:r w:rsidRPr="00FD60FD">
        <w:t>nikai adatok az alábbi mellékhatásokat mutatták, amelyeket bár a klinikai vizsgálatokban nem észleltek, de az állatkísérletekben a humán klinikai expozíciós szintekhez hasonló expozíciós szinteknél jelentkeztek, és amelyek klinikai jelentőséggel bírhatnak:</w:t>
      </w:r>
    </w:p>
    <w:p w14:paraId="4E4D11DA" w14:textId="77777777" w:rsidR="00842497" w:rsidRPr="00FD60FD" w:rsidRDefault="00842497" w:rsidP="00842497">
      <w:pPr>
        <w:rPr>
          <w:szCs w:val="22"/>
        </w:rPr>
      </w:pPr>
    </w:p>
    <w:p w14:paraId="7DB2B388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Ismételt adagolású dózistoxicitás</w:t>
      </w:r>
    </w:p>
    <w:p w14:paraId="4B9E525B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Egereknél ivóvízben alkalmazva a trientin a tüdő interstícium gyulladásának és a máj periportalis zsíros infiltrációjának fokozott gyakoriságát mutatta. Hímek lépében hematopoeticus sejtproliferatiót figyeltek meg. </w:t>
      </w:r>
      <w:r w:rsidRPr="00FD60FD">
        <w:t>Hímeknél csökkent a vese- és a testtömeg, valamint a renalis citoplazmatikus vacuolisatio gyakorisága is. A NOAEL-t (mellékhatást még nem okozó szint) hímeknél körülbelül 92 mg/kg/nap, nőstényeknél pedig 99 mg/kg/nap adagban határozták meg. Legfeljebb 600 </w:t>
      </w:r>
      <w:r w:rsidRPr="00FD60FD">
        <w:t>mg/kg/nap adagú, orális trientinnel 26 hétig kezelt patkányoknál a szövettani vizsgálat az alveolaris fal fibrosissal társult, focalis krónikus interstitialis pneumonitis dózisfüggő incidenciájára és súlyosságára derített fényt. A tüdő mikroszkopikus elvál</w:t>
      </w:r>
      <w:r w:rsidRPr="00FD60FD">
        <w:t>tozásait a perzisztens gyulladásos reakció vagy az alveolaris sejtekre gyakorolt, perzisztens toxikus hatás jelének tartották. Tekintettel arra, hogy a trientin irritáló tulajdonságokkal bír, azt feltételezték, hogy a megfigyelt krónikus interstitialis pne</w:t>
      </w:r>
      <w:r w:rsidRPr="00FD60FD">
        <w:t>umonitist a trientin citotoxikus hatása magyarázza a bronchialis epithelialis sejtekben és alveolaris pneumocitákban történő felhalmozódás miatt. Ezek az elváltozások nem voltak reverzibilisek. Patkányoknál a NOAEL-t nőstényeknél 50 mg/kg/nap értékben álla</w:t>
      </w:r>
      <w:r w:rsidRPr="00FD60FD">
        <w:t>pították meg, hímekre vonatkozóan nem határoztak meg NOAEL-t.</w:t>
      </w:r>
    </w:p>
    <w:p w14:paraId="13CA40E8" w14:textId="77777777" w:rsidR="00842497" w:rsidRPr="00FD60FD" w:rsidRDefault="00286521" w:rsidP="00842497">
      <w:pPr>
        <w:rPr>
          <w:noProof/>
          <w:szCs w:val="22"/>
        </w:rPr>
      </w:pPr>
      <w:r w:rsidRPr="00FD60FD">
        <w:t>Az ismételt dózistoxicitási vizsgálatokban az oralisan, legfeljebb 300 mg/kg/nap trientin adaggal kezelt kutyák neurológiai és/vagy musculosceletalis klinikai tüneteket (járászavar, ataxia, végt</w:t>
      </w:r>
      <w:r w:rsidRPr="00FD60FD">
        <w:t xml:space="preserve">aggyengeség, testszerte jelentkező tremor) mutattak, amit a trientin rézszint-csökkentő </w:t>
      </w:r>
      <w:r w:rsidRPr="00FD60FD">
        <w:lastRenderedPageBreak/>
        <w:t>aktivitásának tulajdonítottak. A NOAEL-t 50 mg/kg/nap értékben állapították meg, amely nőstényeknél 4-es, hímeknél pedig 17-es biztonsági tűréshatárt eredményezett a hu</w:t>
      </w:r>
      <w:r w:rsidRPr="00FD60FD">
        <w:t>mán terápiás expozíciók felé.</w:t>
      </w:r>
    </w:p>
    <w:p w14:paraId="5128C192" w14:textId="77777777" w:rsidR="00842497" w:rsidRPr="00FD60FD" w:rsidRDefault="00842497" w:rsidP="00842497">
      <w:pPr>
        <w:rPr>
          <w:noProof/>
          <w:szCs w:val="22"/>
        </w:rPr>
      </w:pPr>
    </w:p>
    <w:p w14:paraId="2396EE35" w14:textId="77777777" w:rsidR="00842497" w:rsidRPr="00FD60FD" w:rsidRDefault="00286521" w:rsidP="00842497">
      <w:pPr>
        <w:keepNext/>
        <w:rPr>
          <w:noProof/>
          <w:szCs w:val="22"/>
          <w:u w:val="single"/>
        </w:rPr>
      </w:pPr>
      <w:r w:rsidRPr="00FD60FD">
        <w:rPr>
          <w:noProof/>
          <w:u w:val="single"/>
        </w:rPr>
        <w:t>Genotoxicitás</w:t>
      </w:r>
    </w:p>
    <w:p w14:paraId="703D3DDE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Összességében a trientin pozitív hatásokat mutatott az </w:t>
      </w:r>
      <w:r w:rsidRPr="00FD60FD">
        <w:rPr>
          <w:i/>
          <w:noProof/>
        </w:rPr>
        <w:t>in vitro</w:t>
      </w:r>
      <w:r w:rsidRPr="00FD60FD">
        <w:t xml:space="preserve"> genotoxicitási vizsgálatokban, beleértve az Ames-tesztet és az emlőssejtekkel végzett genotoxicitási vizsgálatokat is. </w:t>
      </w:r>
      <w:r w:rsidRPr="00FD60FD">
        <w:rPr>
          <w:i/>
          <w:noProof/>
        </w:rPr>
        <w:t>In vivo</w:t>
      </w:r>
      <w:r w:rsidRPr="00FD60FD">
        <w:t xml:space="preserve"> azonban a trientin n</w:t>
      </w:r>
      <w:r w:rsidRPr="00FD60FD">
        <w:t>egatív volt az egér mikronukleusz teszt során.</w:t>
      </w:r>
    </w:p>
    <w:p w14:paraId="787B6CF3" w14:textId="77777777" w:rsidR="00842497" w:rsidRPr="00FD60FD" w:rsidRDefault="00842497" w:rsidP="00842497">
      <w:pPr>
        <w:rPr>
          <w:noProof/>
          <w:szCs w:val="22"/>
        </w:rPr>
      </w:pPr>
    </w:p>
    <w:p w14:paraId="320F977F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Reprodukciós és fejlődésre gyakorolt toxicitás</w:t>
      </w:r>
    </w:p>
    <w:p w14:paraId="1B33A84C" w14:textId="77777777" w:rsidR="00842497" w:rsidRPr="00FD60FD" w:rsidRDefault="00286521" w:rsidP="00842497">
      <w:pPr>
        <w:rPr>
          <w:noProof/>
          <w:szCs w:val="22"/>
        </w:rPr>
      </w:pPr>
      <w:r w:rsidRPr="00FD60FD">
        <w:t>Amikor rágcsálókat a vemhesség alatt trientint tartalmazó táplálékkal etettek, az embrió felszívódásának és az időre született, kóros magzatoknak gyakorisága dóz</w:t>
      </w:r>
      <w:r w:rsidRPr="00FD60FD">
        <w:t xml:space="preserve">isfüggő növekedést mutatott. Ezek a hatások valószínűleg a trientin által kiváltott réz- és cinkhiány következményei. </w:t>
      </w:r>
    </w:p>
    <w:p w14:paraId="27CC3830" w14:textId="77777777" w:rsidR="00842497" w:rsidRPr="00FD60FD" w:rsidRDefault="00842497" w:rsidP="00842497">
      <w:pPr>
        <w:rPr>
          <w:noProof/>
          <w:szCs w:val="22"/>
        </w:rPr>
      </w:pPr>
    </w:p>
    <w:p w14:paraId="60945557" w14:textId="77777777" w:rsidR="00842497" w:rsidRPr="00FD60FD" w:rsidRDefault="00286521" w:rsidP="00842497">
      <w:pPr>
        <w:rPr>
          <w:noProof/>
          <w:szCs w:val="22"/>
          <w:u w:val="single"/>
        </w:rPr>
      </w:pPr>
      <w:r w:rsidRPr="00FD60FD">
        <w:rPr>
          <w:noProof/>
          <w:u w:val="single"/>
        </w:rPr>
        <w:t>Lokális tolerancia</w:t>
      </w:r>
    </w:p>
    <w:p w14:paraId="359AC485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Az </w:t>
      </w:r>
      <w:r w:rsidRPr="00FD60FD">
        <w:rPr>
          <w:i/>
          <w:noProof/>
        </w:rPr>
        <w:t xml:space="preserve">in silico </w:t>
      </w:r>
      <w:r w:rsidRPr="00FD60FD">
        <w:t xml:space="preserve">adatok azt jelzik, hogy a trientin irritáló és érzékenyítő tulajdonságokkal rendelkezik. Az érzékenyítő </w:t>
      </w:r>
      <w:r w:rsidRPr="00FD60FD">
        <w:t>potenciál tekintetében pozitív eredményekről számoltak be a tengerimalacokkal végzett maximalizációs vizsgálatokban.</w:t>
      </w:r>
    </w:p>
    <w:p w14:paraId="0D71FAF6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8B55E45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0EE7208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GYÓGYSZERÉSZETI JELLEMZŐK</w:t>
      </w:r>
    </w:p>
    <w:p w14:paraId="26996524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5C9CD73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>Segédanyagok felsorolása</w:t>
      </w:r>
    </w:p>
    <w:p w14:paraId="09DB9789" w14:textId="77777777" w:rsidR="00842497" w:rsidRPr="00FD60FD" w:rsidRDefault="00842497" w:rsidP="00842497">
      <w:pPr>
        <w:spacing w:line="240" w:lineRule="auto"/>
        <w:rPr>
          <w:i/>
          <w:noProof/>
          <w:szCs w:val="22"/>
        </w:rPr>
      </w:pPr>
    </w:p>
    <w:p w14:paraId="485125AE" w14:textId="77777777" w:rsidR="002445CD" w:rsidRPr="00FD60FD" w:rsidRDefault="00286521" w:rsidP="00842497">
      <w:r w:rsidRPr="00FD60FD">
        <w:t>Tabletta mag:</w:t>
      </w:r>
    </w:p>
    <w:p w14:paraId="6C1F65EA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Mannitol </w:t>
      </w:r>
    </w:p>
    <w:p w14:paraId="0B95BCD2" w14:textId="77777777" w:rsidR="00842497" w:rsidRPr="00FD60FD" w:rsidRDefault="00286521" w:rsidP="00842497">
      <w:pPr>
        <w:rPr>
          <w:noProof/>
          <w:szCs w:val="22"/>
        </w:rPr>
      </w:pPr>
      <w:r w:rsidRPr="00FD60FD">
        <w:t>Vízmentes, kolloid, szilícium-dioxid</w:t>
      </w:r>
    </w:p>
    <w:p w14:paraId="0A796CAE" w14:textId="77777777" w:rsidR="00842497" w:rsidRPr="00FD60FD" w:rsidRDefault="00286521" w:rsidP="00842497">
      <w:pPr>
        <w:rPr>
          <w:noProof/>
          <w:szCs w:val="22"/>
        </w:rPr>
      </w:pPr>
      <w:r w:rsidRPr="00FD60FD">
        <w:t>Glicerol-dibehenát.</w:t>
      </w:r>
    </w:p>
    <w:p w14:paraId="6F4AFF0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B2611F3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Filmbevonat:</w:t>
      </w:r>
    </w:p>
    <w:p w14:paraId="6E8B547E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Polivinil-alkohol</w:t>
      </w:r>
    </w:p>
    <w:p w14:paraId="72354EF8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Talkum</w:t>
      </w:r>
    </w:p>
    <w:p w14:paraId="02238133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Titán-dioxid (E171)</w:t>
      </w:r>
    </w:p>
    <w:p w14:paraId="272033CE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Glicerin-monokaprilokaprát (I-es típusú)</w:t>
      </w:r>
    </w:p>
    <w:p w14:paraId="19703B1C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Sárga vas-oxid (E172)</w:t>
      </w:r>
    </w:p>
    <w:p w14:paraId="0198606A" w14:textId="77777777" w:rsidR="002445CD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rPr>
          <w:noProof/>
          <w:szCs w:val="22"/>
        </w:rPr>
        <w:t>Nátrium-laurilszulfát</w:t>
      </w:r>
    </w:p>
    <w:p w14:paraId="4DB781AC" w14:textId="77777777" w:rsidR="002445CD" w:rsidRPr="00FD60FD" w:rsidRDefault="002445CD" w:rsidP="00842497">
      <w:pPr>
        <w:spacing w:line="240" w:lineRule="auto"/>
        <w:rPr>
          <w:noProof/>
          <w:szCs w:val="22"/>
        </w:rPr>
      </w:pPr>
    </w:p>
    <w:p w14:paraId="13F6820C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>Inkompatibilitások</w:t>
      </w:r>
    </w:p>
    <w:p w14:paraId="72E7CE2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1DC155E" w14:textId="77777777" w:rsidR="00842497" w:rsidRPr="00FD60FD" w:rsidRDefault="00286521" w:rsidP="00842497">
      <w:pPr>
        <w:rPr>
          <w:noProof/>
          <w:szCs w:val="22"/>
        </w:rPr>
      </w:pPr>
      <w:r w:rsidRPr="00FD60FD">
        <w:t>Nem értelmezhető.</w:t>
      </w:r>
    </w:p>
    <w:p w14:paraId="332C8C5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F10D399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>Felhasználhatósági időtartam</w:t>
      </w:r>
    </w:p>
    <w:p w14:paraId="5392874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75D4BF9" w14:textId="429BA351" w:rsidR="00842497" w:rsidRPr="00FD60FD" w:rsidRDefault="00286521" w:rsidP="00842497">
      <w:pPr>
        <w:rPr>
          <w:noProof/>
          <w:szCs w:val="22"/>
        </w:rPr>
      </w:pPr>
      <w:r>
        <w:t>30</w:t>
      </w:r>
      <w:r w:rsidRPr="00FD60FD">
        <w:t> hónap.</w:t>
      </w:r>
    </w:p>
    <w:p w14:paraId="11384F60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849C707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>Különleges tárolási előírások</w:t>
      </w:r>
    </w:p>
    <w:p w14:paraId="01653761" w14:textId="77777777" w:rsidR="00842497" w:rsidRPr="00FD60FD" w:rsidRDefault="00842497" w:rsidP="00842497">
      <w:pPr>
        <w:rPr>
          <w:noProof/>
        </w:rPr>
      </w:pPr>
    </w:p>
    <w:p w14:paraId="230A43EE" w14:textId="77777777" w:rsidR="00842497" w:rsidRPr="00FD60FD" w:rsidRDefault="00286521" w:rsidP="00842497">
      <w:pPr>
        <w:rPr>
          <w:szCs w:val="22"/>
        </w:rPr>
      </w:pPr>
      <w:r w:rsidRPr="00FD60FD">
        <w:t>Ez a gyógyszer nem igényel különleges tárolást.</w:t>
      </w:r>
    </w:p>
    <w:p w14:paraId="5BDCC412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F5ADE3D" w14:textId="77777777" w:rsidR="00842497" w:rsidRPr="00FD60FD" w:rsidRDefault="00286521" w:rsidP="00842497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FD60FD">
        <w:rPr>
          <w:b/>
        </w:rPr>
        <w:t xml:space="preserve">Csomagolás típusa és kiszerelése </w:t>
      </w:r>
    </w:p>
    <w:p w14:paraId="1C0C9757" w14:textId="77777777" w:rsidR="00842497" w:rsidRPr="00FD60FD" w:rsidRDefault="00842497" w:rsidP="00842497">
      <w:pPr>
        <w:rPr>
          <w:noProof/>
        </w:rPr>
      </w:pPr>
    </w:p>
    <w:p w14:paraId="2A169B88" w14:textId="77777777" w:rsidR="00842497" w:rsidRPr="00FD60FD" w:rsidRDefault="00286521" w:rsidP="00842497">
      <w:pPr>
        <w:pStyle w:val="Default"/>
        <w:rPr>
          <w:sz w:val="22"/>
          <w:szCs w:val="22"/>
        </w:rPr>
      </w:pPr>
      <w:r w:rsidRPr="00FD60FD">
        <w:rPr>
          <w:sz w:val="22"/>
        </w:rPr>
        <w:t xml:space="preserve">OPA/Alu/PVC-Alu buborékcsomagolás, 8 </w:t>
      </w:r>
      <w:r w:rsidR="00321569" w:rsidRPr="00FD60FD">
        <w:rPr>
          <w:sz w:val="22"/>
        </w:rPr>
        <w:t>film</w:t>
      </w:r>
      <w:r w:rsidRPr="00FD60FD">
        <w:rPr>
          <w:sz w:val="22"/>
        </w:rPr>
        <w:t>tabletta buborékcsomagolásonként.</w:t>
      </w:r>
    </w:p>
    <w:p w14:paraId="4059695A" w14:textId="77777777" w:rsidR="00842497" w:rsidRPr="00FD60FD" w:rsidRDefault="00286521" w:rsidP="00842497">
      <w:r w:rsidRPr="00FD60FD">
        <w:t>Kiszerelés: 72 </w:t>
      </w:r>
      <w:r w:rsidR="00AA609C" w:rsidRPr="00FD60FD">
        <w:t>vagy 92 film</w:t>
      </w:r>
      <w:r w:rsidRPr="00FD60FD">
        <w:t>tabletta.</w:t>
      </w:r>
    </w:p>
    <w:p w14:paraId="412B7D55" w14:textId="77777777" w:rsidR="00AA609C" w:rsidRPr="00FD60FD" w:rsidRDefault="00286521" w:rsidP="00842497">
      <w:pPr>
        <w:rPr>
          <w:noProof/>
          <w:szCs w:val="22"/>
        </w:rPr>
      </w:pPr>
      <w:r w:rsidRPr="00FD60FD">
        <w:rPr>
          <w:noProof/>
          <w:szCs w:val="22"/>
        </w:rPr>
        <w:t xml:space="preserve">Nem feltétlenül </w:t>
      </w:r>
      <w:r w:rsidRPr="00FD60FD">
        <w:rPr>
          <w:noProof/>
          <w:szCs w:val="22"/>
        </w:rPr>
        <w:t>mindegyik kiszerelés kerül kereskedelmi forgalomba.</w:t>
      </w:r>
    </w:p>
    <w:p w14:paraId="3C74055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9FD9DD1" w14:textId="77777777" w:rsidR="00842497" w:rsidRPr="00FD60FD" w:rsidRDefault="00286521" w:rsidP="005E7B8D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bookmarkStart w:id="1" w:name="OLE_LINK1"/>
      <w:r w:rsidRPr="00FD60FD">
        <w:rPr>
          <w:b/>
        </w:rPr>
        <w:lastRenderedPageBreak/>
        <w:t xml:space="preserve">A megsemmisítésre vonatkozó különleges óvintézkedések </w:t>
      </w:r>
    </w:p>
    <w:p w14:paraId="219C3225" w14:textId="77777777" w:rsidR="00842497" w:rsidRPr="00FD60FD" w:rsidRDefault="00842497" w:rsidP="005E7B8D">
      <w:pPr>
        <w:keepNext/>
        <w:spacing w:line="240" w:lineRule="auto"/>
        <w:rPr>
          <w:noProof/>
          <w:szCs w:val="22"/>
        </w:rPr>
      </w:pPr>
    </w:p>
    <w:p w14:paraId="003C7968" w14:textId="77777777" w:rsidR="00842497" w:rsidRPr="00FD60FD" w:rsidRDefault="00286521" w:rsidP="00842497">
      <w:pPr>
        <w:rPr>
          <w:szCs w:val="22"/>
        </w:rPr>
      </w:pPr>
      <w:r w:rsidRPr="00FD60FD">
        <w:t>Nincsenek különleges előírások.</w:t>
      </w:r>
    </w:p>
    <w:p w14:paraId="2B0A3498" w14:textId="77777777" w:rsidR="00842497" w:rsidRPr="00FD60FD" w:rsidRDefault="00842497" w:rsidP="00842497">
      <w:pPr>
        <w:spacing w:line="240" w:lineRule="auto"/>
        <w:rPr>
          <w:szCs w:val="22"/>
        </w:rPr>
      </w:pPr>
    </w:p>
    <w:bookmarkEnd w:id="1"/>
    <w:p w14:paraId="41906C55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C98DB2F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A FORGALOMBA HOZATALI ENGEDÉLY JOGOSULTJA</w:t>
      </w:r>
    </w:p>
    <w:p w14:paraId="6F1D7FE6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9C094FC" w14:textId="732B40EC" w:rsidR="00842497" w:rsidRPr="00FD60FD" w:rsidRDefault="003B36F7" w:rsidP="00842497">
      <w:pPr>
        <w:rPr>
          <w:szCs w:val="22"/>
        </w:rPr>
      </w:pPr>
      <w:proofErr w:type="spellStart"/>
      <w:r>
        <w:t>Orphalan</w:t>
      </w:r>
      <w:proofErr w:type="spellEnd"/>
    </w:p>
    <w:p w14:paraId="7611946B" w14:textId="77777777" w:rsidR="00036F52" w:rsidRPr="002503BA" w:rsidRDefault="00286521" w:rsidP="00036F52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1456858F" w14:textId="795130AC" w:rsidR="00842497" w:rsidRPr="00FD60FD" w:rsidRDefault="00286521" w:rsidP="00842497">
      <w:pPr>
        <w:rPr>
          <w:szCs w:val="22"/>
        </w:rPr>
      </w:pPr>
      <w:r w:rsidRPr="00FD60FD">
        <w:t>7501</w:t>
      </w:r>
      <w:r>
        <w:t>1</w:t>
      </w:r>
      <w:r w:rsidRPr="00FD60FD">
        <w:t xml:space="preserve"> Párizs</w:t>
      </w:r>
    </w:p>
    <w:p w14:paraId="564E8E13" w14:textId="77777777" w:rsidR="00842497" w:rsidRPr="00FD60FD" w:rsidRDefault="00286521" w:rsidP="00842497">
      <w:pPr>
        <w:rPr>
          <w:szCs w:val="22"/>
        </w:rPr>
      </w:pPr>
      <w:r w:rsidRPr="00FD60FD">
        <w:t>Franciaország</w:t>
      </w:r>
    </w:p>
    <w:p w14:paraId="1EAD418D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7B87F1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BF13A8C" w14:textId="77777777" w:rsidR="00842497" w:rsidRPr="00FD60FD" w:rsidRDefault="00286521" w:rsidP="00842497">
      <w:pPr>
        <w:pStyle w:val="ListParagraph"/>
        <w:keepNext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 xml:space="preserve">A FORGALOMBA HOZATALI ENGEDÉLY SZÁMA(I) </w:t>
      </w:r>
    </w:p>
    <w:p w14:paraId="706003EB" w14:textId="77777777" w:rsidR="00842497" w:rsidRPr="00FD60FD" w:rsidRDefault="00842497" w:rsidP="00842497">
      <w:pPr>
        <w:spacing w:line="240" w:lineRule="auto"/>
        <w:ind w:left="567" w:hanging="567"/>
        <w:rPr>
          <w:b/>
          <w:noProof/>
          <w:szCs w:val="22"/>
        </w:rPr>
      </w:pPr>
    </w:p>
    <w:p w14:paraId="6C8F9446" w14:textId="77777777" w:rsidR="00FA0D53" w:rsidRPr="00FD60FD" w:rsidRDefault="00286521" w:rsidP="00FA0D53">
      <w:pPr>
        <w:spacing w:line="240" w:lineRule="auto"/>
        <w:rPr>
          <w:color w:val="000000"/>
        </w:rPr>
      </w:pPr>
      <w:r w:rsidRPr="00FD60FD">
        <w:rPr>
          <w:color w:val="000000"/>
        </w:rPr>
        <w:t>EU/1/17/1199/001 72 filmtabletta</w:t>
      </w:r>
    </w:p>
    <w:p w14:paraId="2E834057" w14:textId="7C9D115C" w:rsidR="00C106B2" w:rsidRPr="00FD60FD" w:rsidRDefault="00286521" w:rsidP="00C106B2">
      <w:pPr>
        <w:spacing w:line="240" w:lineRule="auto"/>
        <w:rPr>
          <w:color w:val="000000"/>
        </w:rPr>
      </w:pPr>
      <w:r w:rsidRPr="00FD60FD">
        <w:rPr>
          <w:color w:val="000000"/>
        </w:rPr>
        <w:t>EU/1/17/1199/002 96 filmtabletta</w:t>
      </w:r>
    </w:p>
    <w:p w14:paraId="7C4807B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25D0DEF" w14:textId="77777777" w:rsidR="00EA124E" w:rsidRPr="00FD60FD" w:rsidRDefault="00EA124E" w:rsidP="00842497">
      <w:pPr>
        <w:spacing w:line="240" w:lineRule="auto"/>
        <w:rPr>
          <w:noProof/>
          <w:szCs w:val="22"/>
        </w:rPr>
      </w:pPr>
    </w:p>
    <w:p w14:paraId="76EC7FD5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left="567" w:hanging="567"/>
        <w:rPr>
          <w:b/>
        </w:rPr>
      </w:pPr>
      <w:r w:rsidRPr="00FD60FD">
        <w:rPr>
          <w:b/>
        </w:rPr>
        <w:t>A FORGALOMBA HOZATALI ENGEDÉLY ELSŐ KIADÁSÁNAK/ MEGÚJÍTÁSÁNAK DÁTUMA</w:t>
      </w:r>
    </w:p>
    <w:p w14:paraId="69F111E0" w14:textId="77777777" w:rsidR="00842497" w:rsidRPr="00FD60FD" w:rsidRDefault="00842497" w:rsidP="00842497">
      <w:pPr>
        <w:spacing w:line="240" w:lineRule="auto"/>
        <w:rPr>
          <w:i/>
          <w:noProof/>
          <w:szCs w:val="22"/>
        </w:rPr>
      </w:pPr>
    </w:p>
    <w:p w14:paraId="6047B62F" w14:textId="77777777" w:rsidR="00842497" w:rsidRPr="00FD60FD" w:rsidRDefault="00286521" w:rsidP="00842497">
      <w:pPr>
        <w:spacing w:line="240" w:lineRule="auto"/>
        <w:rPr>
          <w:i/>
          <w:noProof/>
          <w:szCs w:val="22"/>
        </w:rPr>
      </w:pPr>
      <w:r w:rsidRPr="00FD60FD">
        <w:t xml:space="preserve">A forgalomba hozatali engedély első kiadásának dátuma: </w:t>
      </w:r>
      <w:r w:rsidR="006421E1" w:rsidRPr="00FD60FD">
        <w:t>2017. szeptember 05.</w:t>
      </w:r>
    </w:p>
    <w:p w14:paraId="3A2513E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B7A1F5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7107DC8" w14:textId="77777777" w:rsidR="00842497" w:rsidRPr="00FD60FD" w:rsidRDefault="00286521" w:rsidP="00842497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FD60FD">
        <w:rPr>
          <w:b/>
        </w:rPr>
        <w:t>A SZÖVEG ELLENŐRZÉSÉNEK DÁTUMA</w:t>
      </w:r>
    </w:p>
    <w:p w14:paraId="2EB6383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F96CE80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77CD365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  <w:tab w:val="left" w:pos="1004"/>
        </w:tabs>
        <w:spacing w:line="240" w:lineRule="auto"/>
        <w:ind w:right="-2"/>
        <w:rPr>
          <w:szCs w:val="22"/>
        </w:rPr>
      </w:pPr>
    </w:p>
    <w:p w14:paraId="0AC6D42A" w14:textId="77777777" w:rsidR="00842497" w:rsidRPr="00FD60FD" w:rsidRDefault="00286521" w:rsidP="00842497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FD60FD">
        <w:t>A gyógyszerről részletes információ az Európai Gyógyszerügynökség internetes honlapján (</w:t>
      </w:r>
      <w:hyperlink r:id="rId12" w:history="1">
        <w:r w:rsidRPr="00FD60FD">
          <w:rPr>
            <w:rStyle w:val="Hyperlink"/>
            <w:noProof/>
          </w:rPr>
          <w:t>http://www.ema.eu</w:t>
        </w:r>
        <w:r w:rsidRPr="00FD60FD">
          <w:rPr>
            <w:rStyle w:val="Hyperlink"/>
            <w:noProof/>
          </w:rPr>
          <w:t>ropa.eu</w:t>
        </w:r>
      </w:hyperlink>
      <w:r w:rsidRPr="00FD60FD">
        <w:t>) található.</w:t>
      </w:r>
    </w:p>
    <w:p w14:paraId="08C5F626" w14:textId="77777777" w:rsidR="00842497" w:rsidRPr="00FD60FD" w:rsidRDefault="00842497" w:rsidP="00842497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2D80CDB2" w14:textId="77777777" w:rsidR="00842497" w:rsidRPr="00FD60FD" w:rsidRDefault="00286521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  <w:r w:rsidRPr="00FD60FD">
        <w:br w:type="page"/>
      </w:r>
    </w:p>
    <w:p w14:paraId="416000DA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B0D8736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108D830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B5AA4C4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5F6FF2CE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4C2AF90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BD60247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C2224E6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4EE73DB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ADF6C68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84E8F13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8D395B5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2823175F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5447073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D9ADCEC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91A07DB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6ABFFED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F85F6BF" w14:textId="77777777" w:rsidR="00842497" w:rsidRPr="00FD60FD" w:rsidRDefault="00286521" w:rsidP="00842497">
      <w:pPr>
        <w:keepNext/>
        <w:widowControl w:val="0"/>
        <w:autoSpaceDE w:val="0"/>
        <w:autoSpaceDN w:val="0"/>
        <w:adjustRightInd w:val="0"/>
        <w:spacing w:before="280" w:after="220"/>
        <w:ind w:left="127" w:right="120"/>
        <w:jc w:val="center"/>
        <w:rPr>
          <w:b/>
          <w:bCs/>
          <w:color w:val="000000"/>
        </w:rPr>
      </w:pPr>
      <w:r w:rsidRPr="00FD60FD">
        <w:rPr>
          <w:b/>
          <w:color w:val="000000"/>
        </w:rPr>
        <w:t>II. MELLÉKLET</w:t>
      </w:r>
    </w:p>
    <w:p w14:paraId="6157DA72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264382F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/>
        <w:ind w:right="120"/>
        <w:rPr>
          <w:b/>
          <w:bCs/>
          <w:color w:val="000000"/>
        </w:rPr>
      </w:pPr>
      <w:r w:rsidRPr="00FD60FD">
        <w:rPr>
          <w:b/>
          <w:color w:val="000000"/>
        </w:rPr>
        <w:t xml:space="preserve">A GYÁRTÁSI TÉTELEK VÉGFELSZABADÍTÁSÁÉRT FELELŐS GYÁRTÓ(K) </w:t>
      </w:r>
    </w:p>
    <w:p w14:paraId="59CC24B6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 w:after="220"/>
        <w:ind w:left="573" w:right="119" w:hanging="448"/>
        <w:contextualSpacing w:val="0"/>
        <w:rPr>
          <w:b/>
          <w:bCs/>
          <w:color w:val="000000"/>
        </w:rPr>
      </w:pPr>
      <w:r w:rsidRPr="00FD60FD">
        <w:rPr>
          <w:b/>
          <w:color w:val="000000"/>
        </w:rPr>
        <w:t>FELTÉTELEK VAGY KORLÁTOZÁSOK AZ ELLÁTÁS ÉS HASZNÁLAT KAPCSÁN</w:t>
      </w:r>
    </w:p>
    <w:p w14:paraId="07A93875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1E79EEC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FD60FD">
        <w:rPr>
          <w:b/>
          <w:color w:val="000000"/>
        </w:rPr>
        <w:t>A FORGALOMBA HOZATALI ENGEDÉLY EGYÉB FELTÉTELEI ÉS KÖVETELMÉNYEI</w:t>
      </w:r>
    </w:p>
    <w:p w14:paraId="2DC882FA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0556FFE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FD60FD">
        <w:rPr>
          <w:b/>
          <w:color w:val="000000"/>
        </w:rPr>
        <w:t>FELTÉTELEK VAGY KORLÁTOZÁSOK A GYÓGYSZER BIZTONSÁGOS ÉS HATÉKONY ALKALMAZÁSÁRA VONATKOZÓAN</w:t>
      </w:r>
    </w:p>
    <w:p w14:paraId="68B60C1B" w14:textId="77777777" w:rsidR="00842497" w:rsidRPr="00FD60FD" w:rsidRDefault="00842497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2AFB67CA" w14:textId="77777777" w:rsidR="00842497" w:rsidRPr="00FD60FD" w:rsidRDefault="00842497" w:rsidP="00842497">
      <w:pPr>
        <w:keepNext/>
        <w:widowControl w:val="0"/>
        <w:autoSpaceDE w:val="0"/>
        <w:autoSpaceDN w:val="0"/>
        <w:adjustRightInd w:val="0"/>
        <w:spacing w:before="280"/>
        <w:ind w:left="127" w:right="120"/>
        <w:rPr>
          <w:color w:val="000000"/>
        </w:rPr>
      </w:pPr>
    </w:p>
    <w:p w14:paraId="09C97B8A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FD60FD">
        <w:br w:type="page"/>
      </w:r>
      <w:r w:rsidRPr="00FD60FD">
        <w:rPr>
          <w:b/>
          <w:color w:val="000000"/>
        </w:rPr>
        <w:lastRenderedPageBreak/>
        <w:t>A GYÁRTÁSI TÉTELEK VÉGFELSZABADÍTÁSÁÉRT FELELŐS GYÁRTÓ(K)</w:t>
      </w:r>
    </w:p>
    <w:p w14:paraId="119517BB" w14:textId="77777777" w:rsidR="00842497" w:rsidRPr="00FD60FD" w:rsidRDefault="00286521" w:rsidP="00842497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  <w:u w:val="single"/>
        </w:rPr>
      </w:pPr>
      <w:r w:rsidRPr="00FD60FD">
        <w:rPr>
          <w:color w:val="000000"/>
          <w:u w:val="single"/>
        </w:rPr>
        <w:t>A gyártási tételek végfelszabadításáért felelős gyártó(k) neve és címe</w:t>
      </w:r>
    </w:p>
    <w:p w14:paraId="1FBC160F" w14:textId="77777777" w:rsidR="00842497" w:rsidRPr="00FD60FD" w:rsidRDefault="00286521" w:rsidP="00842497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  <w:r w:rsidRPr="00FD60FD">
        <w:rPr>
          <w:color w:val="000000"/>
        </w:rPr>
        <w:t>DELPHARM EVREUX</w:t>
      </w:r>
      <w:r w:rsidRPr="00FD60FD">
        <w:rPr>
          <w:color w:val="000000"/>
        </w:rPr>
        <w:br/>
        <w:t xml:space="preserve">5 rue du </w:t>
      </w:r>
      <w:r w:rsidRPr="00FD60FD">
        <w:rPr>
          <w:color w:val="000000"/>
        </w:rPr>
        <w:t>Guesclin</w:t>
      </w:r>
      <w:r w:rsidRPr="00FD60FD">
        <w:rPr>
          <w:color w:val="000000"/>
        </w:rPr>
        <w:br/>
        <w:t>27000 Evreux</w:t>
      </w:r>
      <w:r w:rsidRPr="00FD60FD">
        <w:rPr>
          <w:color w:val="000000"/>
        </w:rPr>
        <w:br/>
        <w:t>Franciaország</w:t>
      </w:r>
    </w:p>
    <w:p w14:paraId="0DA70EF9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FD60FD">
        <w:rPr>
          <w:b/>
          <w:color w:val="000000"/>
        </w:rPr>
        <w:t>FELTÉTELEK VAGY KORLÁTOZÁSOK AZ ELLÁTÁS ÉS HASZNÁLAT KAPCSÁN</w:t>
      </w:r>
    </w:p>
    <w:p w14:paraId="5CF631E9" w14:textId="77777777" w:rsidR="00842497" w:rsidRPr="00FD60FD" w:rsidRDefault="00286521" w:rsidP="00842497">
      <w:pPr>
        <w:widowControl w:val="0"/>
        <w:autoSpaceDE w:val="0"/>
        <w:autoSpaceDN w:val="0"/>
        <w:adjustRightInd w:val="0"/>
        <w:spacing w:line="280" w:lineRule="exact"/>
        <w:ind w:left="127" w:right="120"/>
        <w:rPr>
          <w:color w:val="000000"/>
        </w:rPr>
      </w:pPr>
      <w:r w:rsidRPr="00FD60FD">
        <w:rPr>
          <w:color w:val="000000"/>
        </w:rPr>
        <w:t>Korlátozott érvényű orvosi rendelvényhez kötött gyógyszer (lásd I. Melléklet: Alkalmazási előírás, 4.2 pont).</w:t>
      </w:r>
    </w:p>
    <w:p w14:paraId="6BE58E1C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 w:line="240" w:lineRule="auto"/>
        <w:ind w:right="120"/>
        <w:rPr>
          <w:b/>
          <w:bCs/>
          <w:color w:val="000000"/>
        </w:rPr>
      </w:pPr>
      <w:r w:rsidRPr="00FD60FD">
        <w:rPr>
          <w:b/>
          <w:color w:val="000000"/>
        </w:rPr>
        <w:t xml:space="preserve">A FORGALOMBA HOZATALI ENGEDÉLY EGYÉB FELTÉTELEI ÉS KÖVETELMÉNYEI </w:t>
      </w:r>
    </w:p>
    <w:p w14:paraId="6089B989" w14:textId="77777777" w:rsidR="00842497" w:rsidRPr="00FD60FD" w:rsidRDefault="00286521" w:rsidP="00842497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FD60FD">
        <w:rPr>
          <w:b/>
          <w:color w:val="000000"/>
        </w:rPr>
        <w:t xml:space="preserve">Időszakos gyógyszerbiztonsági jelentések </w:t>
      </w:r>
    </w:p>
    <w:p w14:paraId="1E9FB63B" w14:textId="77777777" w:rsidR="00842497" w:rsidRPr="00FD60FD" w:rsidRDefault="00842497" w:rsidP="00842497">
      <w:pPr>
        <w:widowControl w:val="0"/>
        <w:autoSpaceDE w:val="0"/>
        <w:autoSpaceDN w:val="0"/>
        <w:adjustRightInd w:val="0"/>
        <w:spacing w:after="140" w:line="240" w:lineRule="auto"/>
        <w:ind w:left="127" w:right="120"/>
        <w:rPr>
          <w:color w:val="000000"/>
        </w:rPr>
      </w:pPr>
    </w:p>
    <w:p w14:paraId="701EB9C4" w14:textId="77777777" w:rsidR="00842497" w:rsidRPr="00FD60FD" w:rsidRDefault="00286521" w:rsidP="00842497">
      <w:pPr>
        <w:widowControl w:val="0"/>
        <w:autoSpaceDE w:val="0"/>
        <w:autoSpaceDN w:val="0"/>
        <w:adjustRightInd w:val="0"/>
        <w:spacing w:after="140" w:line="240" w:lineRule="auto"/>
        <w:ind w:left="127" w:right="120"/>
        <w:rPr>
          <w:color w:val="000000"/>
        </w:rPr>
      </w:pPr>
      <w:r w:rsidRPr="00FD60FD">
        <w:rPr>
          <w:color w:val="000000"/>
        </w:rPr>
        <w:t>Erre a készítményre az időszakos gyógyszerbiztonsági jelentéseket a 2001/83/EK irányelv 107c. cikkének (7) bekezdésében megállapított és az európai</w:t>
      </w:r>
      <w:r w:rsidRPr="00FD60FD">
        <w:rPr>
          <w:color w:val="000000"/>
        </w:rPr>
        <w:t xml:space="preserve"> internetes gyógyszerportálon nyilvánosságra hozott uniós referencia időpontok listája (EURD lista), illetve annak bármely későbbi frissített változata szerinti követelményeknek megfelelően kell benyújtani.</w:t>
      </w:r>
    </w:p>
    <w:p w14:paraId="65C98737" w14:textId="77777777" w:rsidR="00842497" w:rsidRPr="00FD60FD" w:rsidRDefault="00286521" w:rsidP="00842497">
      <w:pPr>
        <w:widowControl w:val="0"/>
        <w:autoSpaceDE w:val="0"/>
        <w:autoSpaceDN w:val="0"/>
        <w:adjustRightInd w:val="0"/>
        <w:spacing w:line="240" w:lineRule="auto"/>
        <w:ind w:left="127" w:right="120"/>
        <w:rPr>
          <w:color w:val="000000"/>
        </w:rPr>
      </w:pPr>
      <w:r w:rsidRPr="00FD60FD">
        <w:rPr>
          <w:color w:val="000000"/>
        </w:rPr>
        <w:t xml:space="preserve">A forgalomba hozatali engedély jogosultja erre a </w:t>
      </w:r>
      <w:r w:rsidRPr="00FD60FD">
        <w:rPr>
          <w:color w:val="000000"/>
        </w:rPr>
        <w:t xml:space="preserve">készítményre az első időszakos gyógyszerbiztonsági jelentést az engedélyezést követő 6 hónapon belül köteles benyújtani. </w:t>
      </w:r>
    </w:p>
    <w:p w14:paraId="7F554249" w14:textId="77777777" w:rsidR="00842497" w:rsidRPr="00FD60FD" w:rsidRDefault="00842497" w:rsidP="00842497">
      <w:pPr>
        <w:widowControl w:val="0"/>
        <w:autoSpaceDE w:val="0"/>
        <w:autoSpaceDN w:val="0"/>
        <w:adjustRightInd w:val="0"/>
        <w:spacing w:line="240" w:lineRule="auto"/>
        <w:ind w:left="127" w:right="120"/>
        <w:rPr>
          <w:color w:val="000000"/>
        </w:rPr>
      </w:pPr>
    </w:p>
    <w:p w14:paraId="04DCEDA6" w14:textId="77777777" w:rsidR="00842497" w:rsidRPr="00FD60FD" w:rsidRDefault="00842497" w:rsidP="00842497">
      <w:pPr>
        <w:widowControl w:val="0"/>
        <w:autoSpaceDE w:val="0"/>
        <w:autoSpaceDN w:val="0"/>
        <w:adjustRightInd w:val="0"/>
        <w:spacing w:line="240" w:lineRule="auto"/>
        <w:ind w:left="127" w:right="120"/>
        <w:rPr>
          <w:color w:val="000000"/>
        </w:rPr>
      </w:pPr>
    </w:p>
    <w:p w14:paraId="2A95A7FD" w14:textId="77777777" w:rsidR="00842497" w:rsidRPr="00FD60FD" w:rsidRDefault="00286521" w:rsidP="00842497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line="240" w:lineRule="auto"/>
        <w:ind w:right="120"/>
        <w:rPr>
          <w:b/>
          <w:bCs/>
          <w:color w:val="000000"/>
        </w:rPr>
      </w:pPr>
      <w:r w:rsidRPr="00FD60FD">
        <w:rPr>
          <w:b/>
          <w:color w:val="000000"/>
        </w:rPr>
        <w:t>FELTÉTELEK VAGY KORLÁTOZÁSOK A GYÓGYSZER BIZTONSÁGOS ÉS HATÉKONY ALKALMAZÁSÁRA VONATKOZÓAN</w:t>
      </w:r>
    </w:p>
    <w:p w14:paraId="4A5A4E9B" w14:textId="77777777" w:rsidR="00842497" w:rsidRPr="00FD60FD" w:rsidRDefault="00842497" w:rsidP="00842497">
      <w:pPr>
        <w:pStyle w:val="ListParagraph"/>
        <w:keepNext/>
        <w:widowControl w:val="0"/>
        <w:autoSpaceDE w:val="0"/>
        <w:autoSpaceDN w:val="0"/>
        <w:adjustRightInd w:val="0"/>
        <w:spacing w:line="240" w:lineRule="auto"/>
        <w:ind w:left="577" w:right="120"/>
        <w:rPr>
          <w:b/>
          <w:bCs/>
          <w:color w:val="000000"/>
        </w:rPr>
      </w:pPr>
    </w:p>
    <w:p w14:paraId="058664E8" w14:textId="77777777" w:rsidR="00842497" w:rsidRPr="00FD60FD" w:rsidRDefault="00286521" w:rsidP="00842497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FD60FD">
        <w:rPr>
          <w:b/>
          <w:color w:val="000000"/>
        </w:rPr>
        <w:t>Kockázatkezelési terv</w:t>
      </w:r>
    </w:p>
    <w:p w14:paraId="0FD9CE88" w14:textId="77777777" w:rsidR="00842497" w:rsidRPr="00FD60FD" w:rsidRDefault="00842497" w:rsidP="00842497">
      <w:pPr>
        <w:widowControl w:val="0"/>
        <w:autoSpaceDE w:val="0"/>
        <w:autoSpaceDN w:val="0"/>
        <w:adjustRightInd w:val="0"/>
        <w:spacing w:line="240" w:lineRule="auto"/>
        <w:ind w:left="127" w:right="120"/>
        <w:rPr>
          <w:color w:val="000000"/>
        </w:rPr>
      </w:pPr>
    </w:p>
    <w:p w14:paraId="31D4FE5D" w14:textId="77777777" w:rsidR="00842497" w:rsidRPr="00FD60FD" w:rsidRDefault="00286521" w:rsidP="00842497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FD60FD">
        <w:rPr>
          <w:color w:val="000000"/>
        </w:rPr>
        <w:t xml:space="preserve">A </w:t>
      </w:r>
      <w:r w:rsidRPr="00FD60FD">
        <w:rPr>
          <w:color w:val="000000"/>
        </w:rPr>
        <w:t>forgalomba hozatali engedély jogosultja kötelezi magát, hogy a forgalomba hozatali engedély 1.8.2 moduljában leírt, jóváhagyott kockázatkezelési tervben, illetve annak jóváhagyott frissített verzióiban részletezett, kötelező farmakovigilanciai tevékenysége</w:t>
      </w:r>
      <w:r w:rsidRPr="00FD60FD">
        <w:rPr>
          <w:color w:val="000000"/>
        </w:rPr>
        <w:t>ket és beavatkozásokat elvégzi.</w:t>
      </w:r>
    </w:p>
    <w:p w14:paraId="532F1026" w14:textId="77777777" w:rsidR="00842497" w:rsidRPr="00FD60FD" w:rsidRDefault="00286521" w:rsidP="00842497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FD60FD">
        <w:rPr>
          <w:color w:val="000000"/>
        </w:rPr>
        <w:t>A frissített kockázatkezelési terv benyújtandó a következő esetekben:</w:t>
      </w:r>
    </w:p>
    <w:p w14:paraId="4F8B5DE4" w14:textId="77777777" w:rsidR="00842497" w:rsidRPr="00FD60FD" w:rsidRDefault="00286521" w:rsidP="00842497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FD60FD">
        <w:rPr>
          <w:color w:val="000000"/>
        </w:rPr>
        <w:t>ha az Európai Gyógyszerügynökség ezt indítványozza;</w:t>
      </w:r>
    </w:p>
    <w:p w14:paraId="309DD6BC" w14:textId="77777777" w:rsidR="00842497" w:rsidRPr="00FD60FD" w:rsidRDefault="00286521" w:rsidP="00842497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FD60FD">
        <w:rPr>
          <w:color w:val="000000"/>
        </w:rPr>
        <w:t>ha a kockázatkezelési rendszerben változás történik, főként azt követően, hogy olyan új információ érk</w:t>
      </w:r>
      <w:r w:rsidRPr="00FD60FD">
        <w:rPr>
          <w:color w:val="000000"/>
        </w:rPr>
        <w:t xml:space="preserve">ezik, amely az előny/kockázat profil jelentős változásához vezethet, illetve (a biztonságos gyógyszeralkalmazásra vagy kockázat-minimalizálásra irányuló) újabb, meghatározó eredmények születnek. </w:t>
      </w:r>
    </w:p>
    <w:p w14:paraId="3243BB25" w14:textId="77777777" w:rsidR="00842497" w:rsidRPr="00FD60FD" w:rsidRDefault="00286521" w:rsidP="00842497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FD60FD">
        <w:br w:type="page"/>
      </w:r>
    </w:p>
    <w:p w14:paraId="6B6F53E7" w14:textId="77777777" w:rsidR="00842497" w:rsidRPr="00FD60FD" w:rsidRDefault="00842497" w:rsidP="00842497">
      <w:pPr>
        <w:spacing w:line="240" w:lineRule="auto"/>
        <w:ind w:right="566"/>
        <w:rPr>
          <w:noProof/>
          <w:szCs w:val="22"/>
        </w:rPr>
      </w:pPr>
    </w:p>
    <w:p w14:paraId="28F2C07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3CED00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00F6FDD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B434A86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F8EDD55" w14:textId="77777777" w:rsidR="00842497" w:rsidRPr="00FD60FD" w:rsidRDefault="00842497" w:rsidP="00842497">
      <w:pPr>
        <w:spacing w:line="240" w:lineRule="auto"/>
      </w:pPr>
    </w:p>
    <w:p w14:paraId="66CDD9DF" w14:textId="77777777" w:rsidR="00842497" w:rsidRPr="00FD60FD" w:rsidRDefault="00842497" w:rsidP="00842497">
      <w:pPr>
        <w:spacing w:line="240" w:lineRule="auto"/>
      </w:pPr>
    </w:p>
    <w:p w14:paraId="022C319B" w14:textId="77777777" w:rsidR="00842497" w:rsidRPr="00FD60FD" w:rsidRDefault="00842497" w:rsidP="00842497">
      <w:pPr>
        <w:spacing w:line="240" w:lineRule="auto"/>
      </w:pPr>
    </w:p>
    <w:p w14:paraId="7477C8DE" w14:textId="77777777" w:rsidR="00842497" w:rsidRPr="00FD60FD" w:rsidRDefault="00842497" w:rsidP="00842497">
      <w:pPr>
        <w:spacing w:line="240" w:lineRule="auto"/>
      </w:pPr>
    </w:p>
    <w:p w14:paraId="3261EA62" w14:textId="77777777" w:rsidR="00842497" w:rsidRPr="00FD60FD" w:rsidRDefault="00842497" w:rsidP="00842497">
      <w:pPr>
        <w:spacing w:line="240" w:lineRule="auto"/>
      </w:pPr>
    </w:p>
    <w:p w14:paraId="71697436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59C27D0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2B03B7F" w14:textId="77777777" w:rsidR="00842497" w:rsidRPr="00FD60FD" w:rsidRDefault="00842497" w:rsidP="00842497">
      <w:pPr>
        <w:rPr>
          <w:noProof/>
        </w:rPr>
      </w:pPr>
    </w:p>
    <w:p w14:paraId="3DE71E06" w14:textId="77777777" w:rsidR="00842497" w:rsidRPr="00FD60FD" w:rsidRDefault="00842497" w:rsidP="00842497">
      <w:pPr>
        <w:rPr>
          <w:noProof/>
        </w:rPr>
      </w:pPr>
    </w:p>
    <w:p w14:paraId="6677B06F" w14:textId="77777777" w:rsidR="00842497" w:rsidRPr="00FD60FD" w:rsidRDefault="00842497" w:rsidP="00842497">
      <w:pPr>
        <w:rPr>
          <w:noProof/>
        </w:rPr>
      </w:pPr>
    </w:p>
    <w:p w14:paraId="18B88485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9C08EE5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B36EA50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4C7FA7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6E0ADB9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4759422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DC0B4F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4EC498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7CE2819" w14:textId="77777777" w:rsidR="00842497" w:rsidRPr="00FD60FD" w:rsidRDefault="00286521" w:rsidP="00842497">
      <w:pPr>
        <w:spacing w:line="240" w:lineRule="auto"/>
        <w:jc w:val="center"/>
        <w:outlineLvl w:val="0"/>
        <w:rPr>
          <w:b/>
          <w:noProof/>
          <w:szCs w:val="22"/>
        </w:rPr>
      </w:pPr>
      <w:r w:rsidRPr="00FD60FD">
        <w:rPr>
          <w:b/>
          <w:noProof/>
        </w:rPr>
        <w:t>III. MELLÉKLET</w:t>
      </w:r>
    </w:p>
    <w:p w14:paraId="2AE50F64" w14:textId="77777777" w:rsidR="00842497" w:rsidRPr="00FD60FD" w:rsidRDefault="00842497" w:rsidP="00842497">
      <w:pPr>
        <w:rPr>
          <w:noProof/>
        </w:rPr>
      </w:pPr>
    </w:p>
    <w:p w14:paraId="308C2DAB" w14:textId="77777777" w:rsidR="00842497" w:rsidRPr="00FD60FD" w:rsidRDefault="00286521" w:rsidP="00842497">
      <w:pPr>
        <w:spacing w:line="240" w:lineRule="auto"/>
        <w:jc w:val="center"/>
        <w:outlineLvl w:val="0"/>
        <w:rPr>
          <w:b/>
          <w:noProof/>
          <w:szCs w:val="22"/>
        </w:rPr>
      </w:pPr>
      <w:r w:rsidRPr="00FD60FD">
        <w:rPr>
          <w:b/>
          <w:noProof/>
        </w:rPr>
        <w:t>CÍMKESZÖVEG ÉS BETEGTÁJÉKOZTATÓ</w:t>
      </w:r>
    </w:p>
    <w:p w14:paraId="0CC0D7C2" w14:textId="77777777" w:rsidR="00842497" w:rsidRPr="00FD60FD" w:rsidRDefault="00286521" w:rsidP="00842497">
      <w:pPr>
        <w:rPr>
          <w:noProof/>
        </w:rPr>
      </w:pPr>
      <w:r w:rsidRPr="00FD60FD">
        <w:br w:type="page"/>
      </w:r>
    </w:p>
    <w:p w14:paraId="5D21F0C3" w14:textId="77777777" w:rsidR="00842497" w:rsidRPr="00FD60FD" w:rsidRDefault="00842497" w:rsidP="00842497">
      <w:pPr>
        <w:rPr>
          <w:noProof/>
        </w:rPr>
      </w:pPr>
    </w:p>
    <w:p w14:paraId="7A1E4706" w14:textId="77777777" w:rsidR="00842497" w:rsidRPr="00FD60FD" w:rsidRDefault="00842497" w:rsidP="00842497">
      <w:pPr>
        <w:rPr>
          <w:noProof/>
        </w:rPr>
      </w:pPr>
    </w:p>
    <w:p w14:paraId="76979761" w14:textId="77777777" w:rsidR="00842497" w:rsidRPr="00FD60FD" w:rsidRDefault="00842497" w:rsidP="00842497">
      <w:pPr>
        <w:rPr>
          <w:noProof/>
        </w:rPr>
      </w:pPr>
    </w:p>
    <w:p w14:paraId="30975B27" w14:textId="77777777" w:rsidR="00842497" w:rsidRPr="00FD60FD" w:rsidRDefault="00842497" w:rsidP="00842497">
      <w:pPr>
        <w:rPr>
          <w:noProof/>
        </w:rPr>
      </w:pPr>
    </w:p>
    <w:p w14:paraId="3990A4D6" w14:textId="77777777" w:rsidR="00842497" w:rsidRPr="00FD60FD" w:rsidRDefault="00842497" w:rsidP="00842497">
      <w:pPr>
        <w:rPr>
          <w:noProof/>
        </w:rPr>
      </w:pPr>
    </w:p>
    <w:p w14:paraId="7D106C06" w14:textId="77777777" w:rsidR="00842497" w:rsidRPr="00FD60FD" w:rsidRDefault="00842497" w:rsidP="00842497">
      <w:pPr>
        <w:rPr>
          <w:noProof/>
        </w:rPr>
      </w:pPr>
    </w:p>
    <w:p w14:paraId="7A0D0A8D" w14:textId="77777777" w:rsidR="00842497" w:rsidRPr="00FD60FD" w:rsidRDefault="00842497" w:rsidP="00842497">
      <w:pPr>
        <w:rPr>
          <w:noProof/>
        </w:rPr>
      </w:pPr>
    </w:p>
    <w:p w14:paraId="615AC479" w14:textId="77777777" w:rsidR="00842497" w:rsidRPr="00FD60FD" w:rsidRDefault="00842497" w:rsidP="00842497">
      <w:pPr>
        <w:rPr>
          <w:noProof/>
        </w:rPr>
      </w:pPr>
    </w:p>
    <w:p w14:paraId="72303C88" w14:textId="77777777" w:rsidR="00842497" w:rsidRPr="00FD60FD" w:rsidRDefault="00842497" w:rsidP="00842497">
      <w:pPr>
        <w:rPr>
          <w:noProof/>
        </w:rPr>
      </w:pPr>
    </w:p>
    <w:p w14:paraId="3F8F20CC" w14:textId="77777777" w:rsidR="00842497" w:rsidRPr="00FD60FD" w:rsidRDefault="00842497" w:rsidP="00842497">
      <w:pPr>
        <w:rPr>
          <w:noProof/>
        </w:rPr>
      </w:pPr>
    </w:p>
    <w:p w14:paraId="70EA0175" w14:textId="77777777" w:rsidR="00842497" w:rsidRPr="00FD60FD" w:rsidRDefault="00842497" w:rsidP="00842497">
      <w:pPr>
        <w:rPr>
          <w:noProof/>
        </w:rPr>
      </w:pPr>
    </w:p>
    <w:p w14:paraId="5C46CD0E" w14:textId="77777777" w:rsidR="00842497" w:rsidRPr="00FD60FD" w:rsidRDefault="00842497" w:rsidP="00842497">
      <w:pPr>
        <w:rPr>
          <w:noProof/>
        </w:rPr>
      </w:pPr>
    </w:p>
    <w:p w14:paraId="23356D20" w14:textId="77777777" w:rsidR="00842497" w:rsidRPr="00FD60FD" w:rsidRDefault="00842497" w:rsidP="00842497">
      <w:pPr>
        <w:rPr>
          <w:noProof/>
        </w:rPr>
      </w:pPr>
    </w:p>
    <w:p w14:paraId="53A832B3" w14:textId="77777777" w:rsidR="00842497" w:rsidRPr="00FD60FD" w:rsidRDefault="00842497" w:rsidP="00842497">
      <w:pPr>
        <w:rPr>
          <w:noProof/>
        </w:rPr>
      </w:pPr>
    </w:p>
    <w:p w14:paraId="76ADE134" w14:textId="77777777" w:rsidR="00842497" w:rsidRPr="00FD60FD" w:rsidRDefault="00842497" w:rsidP="00842497">
      <w:pPr>
        <w:rPr>
          <w:noProof/>
        </w:rPr>
      </w:pPr>
    </w:p>
    <w:p w14:paraId="07A5827A" w14:textId="77777777" w:rsidR="00842497" w:rsidRPr="00FD60FD" w:rsidRDefault="00842497" w:rsidP="00842497">
      <w:pPr>
        <w:rPr>
          <w:noProof/>
        </w:rPr>
      </w:pPr>
    </w:p>
    <w:p w14:paraId="738B3C16" w14:textId="77777777" w:rsidR="00842497" w:rsidRPr="00FD60FD" w:rsidRDefault="00842497" w:rsidP="00842497">
      <w:pPr>
        <w:rPr>
          <w:noProof/>
        </w:rPr>
      </w:pPr>
    </w:p>
    <w:p w14:paraId="3F8D19EB" w14:textId="77777777" w:rsidR="00842497" w:rsidRPr="00FD60FD" w:rsidRDefault="00842497" w:rsidP="00842497">
      <w:pPr>
        <w:rPr>
          <w:noProof/>
        </w:rPr>
      </w:pPr>
    </w:p>
    <w:p w14:paraId="23282503" w14:textId="77777777" w:rsidR="00842497" w:rsidRPr="00FD60FD" w:rsidRDefault="00842497" w:rsidP="00842497">
      <w:pPr>
        <w:rPr>
          <w:noProof/>
        </w:rPr>
      </w:pPr>
    </w:p>
    <w:p w14:paraId="5620B95B" w14:textId="77777777" w:rsidR="00842497" w:rsidRPr="00FD60FD" w:rsidRDefault="00842497" w:rsidP="00842497">
      <w:pPr>
        <w:rPr>
          <w:noProof/>
        </w:rPr>
      </w:pPr>
    </w:p>
    <w:p w14:paraId="4073CD06" w14:textId="77777777" w:rsidR="00842497" w:rsidRPr="00FD60FD" w:rsidRDefault="00842497" w:rsidP="00842497">
      <w:pPr>
        <w:rPr>
          <w:noProof/>
        </w:rPr>
      </w:pPr>
    </w:p>
    <w:p w14:paraId="358D2769" w14:textId="77777777" w:rsidR="00842497" w:rsidRPr="00FD60FD" w:rsidRDefault="00842497" w:rsidP="00842497">
      <w:pPr>
        <w:rPr>
          <w:noProof/>
        </w:rPr>
      </w:pPr>
    </w:p>
    <w:p w14:paraId="032DC4E2" w14:textId="77777777" w:rsidR="00842497" w:rsidRPr="00FD60FD" w:rsidRDefault="00286521" w:rsidP="00842497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noProof/>
          <w:szCs w:val="22"/>
        </w:rPr>
      </w:pPr>
      <w:r w:rsidRPr="00FD60FD">
        <w:rPr>
          <w:b/>
          <w:noProof/>
        </w:rPr>
        <w:t>CÍMKESZÖVEG</w:t>
      </w:r>
    </w:p>
    <w:p w14:paraId="0DE6CE7F" w14:textId="77777777" w:rsidR="00842497" w:rsidRPr="00FD60FD" w:rsidRDefault="00286521" w:rsidP="00842497">
      <w:pPr>
        <w:shd w:val="clear" w:color="auto" w:fill="FFFFFF"/>
        <w:spacing w:line="240" w:lineRule="auto"/>
        <w:rPr>
          <w:noProof/>
          <w:szCs w:val="22"/>
        </w:rPr>
      </w:pPr>
      <w:r w:rsidRPr="00FD60FD">
        <w:br w:type="page"/>
      </w:r>
    </w:p>
    <w:p w14:paraId="6A8CA10C" w14:textId="77777777" w:rsidR="00842497" w:rsidRPr="00FD60FD" w:rsidRDefault="00286521" w:rsidP="008424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szCs w:val="22"/>
        </w:rPr>
      </w:pPr>
      <w:r w:rsidRPr="00FD60FD">
        <w:rPr>
          <w:b/>
          <w:noProof/>
        </w:rPr>
        <w:lastRenderedPageBreak/>
        <w:t>A KÜLSŐ CSOMAGOLÁSON FELTÜNTETENDŐ ADATOK</w:t>
      </w:r>
    </w:p>
    <w:p w14:paraId="300B4212" w14:textId="77777777" w:rsidR="00842497" w:rsidRPr="00FD60FD" w:rsidRDefault="00842497" w:rsidP="008424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szCs w:val="22"/>
        </w:rPr>
      </w:pPr>
    </w:p>
    <w:p w14:paraId="3AF277EB" w14:textId="77777777" w:rsidR="00842497" w:rsidRPr="00FD60FD" w:rsidRDefault="00286521" w:rsidP="008424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noProof/>
          <w:szCs w:val="22"/>
        </w:rPr>
      </w:pPr>
      <w:r w:rsidRPr="00FD60FD">
        <w:rPr>
          <w:b/>
          <w:noProof/>
        </w:rPr>
        <w:t>KÜLSŐ DOBOZ</w:t>
      </w:r>
    </w:p>
    <w:p w14:paraId="02EF41E0" w14:textId="77777777" w:rsidR="00842497" w:rsidRPr="00FD60FD" w:rsidRDefault="00842497" w:rsidP="00842497">
      <w:pPr>
        <w:spacing w:line="240" w:lineRule="auto"/>
      </w:pPr>
    </w:p>
    <w:p w14:paraId="2FBED72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7502C5D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</w:pPr>
      <w:r w:rsidRPr="00FD60FD">
        <w:rPr>
          <w:b/>
        </w:rPr>
        <w:t>A GYÓGYSZER NEVE</w:t>
      </w:r>
    </w:p>
    <w:p w14:paraId="69C2C3A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FD9A028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Cuprior 150 mg </w:t>
      </w:r>
      <w:r w:rsidR="00321569" w:rsidRPr="00FD60FD">
        <w:t>film</w:t>
      </w:r>
      <w:r w:rsidRPr="00FD60FD">
        <w:t xml:space="preserve">tabletta </w:t>
      </w:r>
    </w:p>
    <w:p w14:paraId="0AE21658" w14:textId="77777777" w:rsidR="00842497" w:rsidRPr="00FD60FD" w:rsidRDefault="00286521" w:rsidP="00842497">
      <w:pPr>
        <w:spacing w:line="240" w:lineRule="auto"/>
        <w:rPr>
          <w:b/>
          <w:szCs w:val="22"/>
        </w:rPr>
      </w:pPr>
      <w:r w:rsidRPr="00FD60FD">
        <w:t>trientin</w:t>
      </w:r>
      <w:r w:rsidRPr="00FD60FD">
        <w:rPr>
          <w:b/>
        </w:rPr>
        <w:t xml:space="preserve"> </w:t>
      </w:r>
    </w:p>
    <w:p w14:paraId="1E7FF28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D88069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6720874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HATÓANYAG(OK) MEGNEVEZÉSE</w:t>
      </w:r>
    </w:p>
    <w:p w14:paraId="6FBB210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8F00AE5" w14:textId="77777777" w:rsidR="00842497" w:rsidRPr="00FD60FD" w:rsidRDefault="00286521" w:rsidP="00842497">
      <w:pPr>
        <w:widowControl w:val="0"/>
      </w:pPr>
      <w:r w:rsidRPr="00FD60FD">
        <w:t xml:space="preserve">150 mg trientinnek megfelelő trientin-tetrahidroklorid </w:t>
      </w:r>
      <w:r w:rsidR="00321569" w:rsidRPr="00FD60FD">
        <w:t>film</w:t>
      </w:r>
      <w:r w:rsidRPr="00FD60FD">
        <w:t>tablettánként.</w:t>
      </w:r>
    </w:p>
    <w:p w14:paraId="2BDEFA4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434AF8B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43F25FD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SEGÉDANYAGOK FELSOROLÁSA</w:t>
      </w:r>
    </w:p>
    <w:p w14:paraId="55A1211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1805D4F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4885845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GYÓGYSZERFORMA ÉS TARTALOM</w:t>
      </w:r>
    </w:p>
    <w:p w14:paraId="0DAF2E3B" w14:textId="77777777" w:rsidR="00842497" w:rsidRPr="00FD60FD" w:rsidRDefault="00842497" w:rsidP="00842497">
      <w:pPr>
        <w:rPr>
          <w:noProof/>
          <w:szCs w:val="22"/>
        </w:rPr>
      </w:pPr>
    </w:p>
    <w:p w14:paraId="148D34C6" w14:textId="77777777" w:rsidR="00842497" w:rsidRPr="00FD60FD" w:rsidRDefault="00286521" w:rsidP="00842497">
      <w:pPr>
        <w:rPr>
          <w:noProof/>
          <w:szCs w:val="22"/>
        </w:rPr>
      </w:pPr>
      <w:r w:rsidRPr="00FD60FD">
        <w:rPr>
          <w:noProof/>
          <w:highlight w:val="lightGray"/>
        </w:rPr>
        <w:t>Filmtabletta</w:t>
      </w:r>
    </w:p>
    <w:p w14:paraId="082E5145" w14:textId="77777777" w:rsidR="00842497" w:rsidRPr="00FD60FD" w:rsidRDefault="00286521" w:rsidP="00842497">
      <w:r w:rsidRPr="00FD60FD">
        <w:t>72 </w:t>
      </w:r>
      <w:r w:rsidR="00321569" w:rsidRPr="00FD60FD">
        <w:t>film</w:t>
      </w:r>
      <w:r w:rsidRPr="00FD60FD">
        <w:t>tabletta</w:t>
      </w:r>
    </w:p>
    <w:p w14:paraId="73F08686" w14:textId="77777777" w:rsidR="00AA609C" w:rsidRPr="00FD60FD" w:rsidRDefault="00286521" w:rsidP="00842497">
      <w:pPr>
        <w:rPr>
          <w:noProof/>
          <w:szCs w:val="22"/>
        </w:rPr>
      </w:pPr>
      <w:r w:rsidRPr="00FD60FD">
        <w:rPr>
          <w:noProof/>
          <w:szCs w:val="22"/>
        </w:rPr>
        <w:t>96 filmtabletta</w:t>
      </w:r>
    </w:p>
    <w:p w14:paraId="6D65C74D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49BC24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67991B0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AZ ALKALMAZÁSSAL KAPCSOLATOS TUDNIVALÓK ÉS AZ ALKALMAZÁS MÓDJA(I)</w:t>
      </w:r>
    </w:p>
    <w:p w14:paraId="50D6C9B4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B04E424" w14:textId="77777777" w:rsidR="00842497" w:rsidRPr="00FD60FD" w:rsidRDefault="00286521" w:rsidP="00842497">
      <w:pPr>
        <w:rPr>
          <w:noProof/>
          <w:szCs w:val="22"/>
        </w:rPr>
      </w:pPr>
      <w:r w:rsidRPr="00FD60FD">
        <w:t>Használat e</w:t>
      </w:r>
      <w:r w:rsidRPr="00FD60FD">
        <w:t>lőtt olvassa el a mellékelt betegtájékoztatót!</w:t>
      </w:r>
    </w:p>
    <w:p w14:paraId="65B12C8A" w14:textId="77777777" w:rsidR="00842497" w:rsidRPr="00FD60FD" w:rsidRDefault="00286521" w:rsidP="00842497">
      <w:r w:rsidRPr="00FD60FD">
        <w:t>A betegtájékoztató elérhető az interneten itt:</w:t>
      </w:r>
      <w:r w:rsidRPr="00FD60FD">
        <w:rPr>
          <w:i/>
          <w:noProof/>
        </w:rPr>
        <w:t xml:space="preserve"> </w:t>
      </w:r>
      <w:r w:rsidRPr="00FD60FD">
        <w:rPr>
          <w:i/>
          <w:noProof/>
          <w:highlight w:val="lightGray"/>
        </w:rPr>
        <w:t>QR kód beillesztendő</w:t>
      </w:r>
      <w:r w:rsidRPr="00FD60FD">
        <w:rPr>
          <w:i/>
          <w:noProof/>
        </w:rPr>
        <w:t xml:space="preserve"> </w:t>
      </w:r>
      <w:hyperlink r:id="rId13" w:history="1">
        <w:r w:rsidRPr="00FD60FD">
          <w:rPr>
            <w:rStyle w:val="Hyperlink"/>
          </w:rPr>
          <w:t>http://www.cuprior.com</w:t>
        </w:r>
      </w:hyperlink>
    </w:p>
    <w:p w14:paraId="5906A6D0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F3A5CFD" w14:textId="77777777" w:rsidR="00842497" w:rsidRPr="00FD60FD" w:rsidRDefault="00286521" w:rsidP="00842497">
      <w:pPr>
        <w:rPr>
          <w:noProof/>
          <w:szCs w:val="22"/>
        </w:rPr>
      </w:pPr>
      <w:r w:rsidRPr="00FD60FD">
        <w:t>Szájon át történő alkalmazás.</w:t>
      </w:r>
    </w:p>
    <w:p w14:paraId="2D0E578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A4105E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B8C2E4F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 xml:space="preserve">KÜLÖN FIGYELMEZTETÉS, MELY SZERINT A </w:t>
      </w:r>
      <w:r w:rsidRPr="00FD60FD">
        <w:rPr>
          <w:b/>
        </w:rPr>
        <w:t>GYÓGYSZERT GYERMEKEKTŐL ELZÁRVA KELL TARTANI</w:t>
      </w:r>
    </w:p>
    <w:p w14:paraId="5BD959CD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C56E3CA" w14:textId="77777777" w:rsidR="00842497" w:rsidRPr="00FD60FD" w:rsidRDefault="00286521" w:rsidP="00842497">
      <w:pPr>
        <w:tabs>
          <w:tab w:val="left" w:pos="749"/>
        </w:tabs>
        <w:spacing w:line="240" w:lineRule="auto"/>
        <w:rPr>
          <w:noProof/>
          <w:szCs w:val="22"/>
        </w:rPr>
      </w:pPr>
      <w:r w:rsidRPr="00FD60FD">
        <w:t>A gyógyszer gyermekektől elzárva tartandó!</w:t>
      </w:r>
    </w:p>
    <w:p w14:paraId="6C6D9FCF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498C9D3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48386C9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TOVÁBBI FIGYELMEZTETÉS(EK), AMENNYIBEN SZÜKSÉGES</w:t>
      </w:r>
    </w:p>
    <w:p w14:paraId="34D68C69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5D5653F" w14:textId="77777777" w:rsidR="00842497" w:rsidRPr="00FD60FD" w:rsidRDefault="00286521" w:rsidP="00842497">
      <w:pPr>
        <w:tabs>
          <w:tab w:val="left" w:pos="749"/>
        </w:tabs>
        <w:spacing w:line="240" w:lineRule="auto"/>
        <w:rPr>
          <w:szCs w:val="22"/>
        </w:rPr>
      </w:pPr>
      <w:r w:rsidRPr="00FD60FD">
        <w:t>A gyógyszert éhgyomorra kell bevenni, legalább egy órával az étkezés előtt vagy két órával utána, és legalább egy ó</w:t>
      </w:r>
      <w:r w:rsidRPr="00FD60FD">
        <w:t>rával minden más gyógyszer, étel vagy tej fogyasztása előtt vagy után.</w:t>
      </w:r>
    </w:p>
    <w:p w14:paraId="0699F835" w14:textId="77777777" w:rsidR="00842497" w:rsidRPr="00FD60FD" w:rsidRDefault="00842497" w:rsidP="00842497">
      <w:pPr>
        <w:tabs>
          <w:tab w:val="left" w:pos="749"/>
        </w:tabs>
        <w:spacing w:line="240" w:lineRule="auto"/>
      </w:pPr>
    </w:p>
    <w:p w14:paraId="5BD3C652" w14:textId="77777777" w:rsidR="00842497" w:rsidRPr="00FD60FD" w:rsidRDefault="00842497" w:rsidP="00842497">
      <w:pPr>
        <w:tabs>
          <w:tab w:val="left" w:pos="749"/>
        </w:tabs>
        <w:spacing w:line="240" w:lineRule="auto"/>
      </w:pPr>
    </w:p>
    <w:p w14:paraId="666C130D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LEJÁRATI IDŐ</w:t>
      </w:r>
    </w:p>
    <w:p w14:paraId="5B23BCB4" w14:textId="77777777" w:rsidR="00842497" w:rsidRPr="00FD60FD" w:rsidRDefault="00842497" w:rsidP="00842497">
      <w:pPr>
        <w:spacing w:line="240" w:lineRule="auto"/>
      </w:pPr>
    </w:p>
    <w:p w14:paraId="050B1D36" w14:textId="77777777" w:rsidR="00842497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t>Felhasználható:</w:t>
      </w:r>
    </w:p>
    <w:p w14:paraId="166C4F9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4367626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85F7A47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KÜLÖNLEGES TÁROLÁSI ELŐÍRÁSOK</w:t>
      </w:r>
    </w:p>
    <w:p w14:paraId="11E2D3E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5E82427" w14:textId="77777777" w:rsidR="00842497" w:rsidRPr="00FD60FD" w:rsidRDefault="00842497" w:rsidP="00842497">
      <w:pPr>
        <w:spacing w:line="240" w:lineRule="auto"/>
        <w:ind w:left="567" w:hanging="567"/>
        <w:rPr>
          <w:noProof/>
          <w:szCs w:val="22"/>
        </w:rPr>
      </w:pPr>
    </w:p>
    <w:p w14:paraId="75BFC0D6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lastRenderedPageBreak/>
        <w:t xml:space="preserve">KÜLÖNLEGES ÓVINTÉZKEDÉSEK A FEL NEM HASZNÁLT GYÓGYSZEREK VAGY AZ ILYEN TERMÉKEKBŐL KELETKEZETT </w:t>
      </w:r>
      <w:r w:rsidRPr="00FD60FD">
        <w:rPr>
          <w:b/>
        </w:rPr>
        <w:t>HULLADÉKANYAGOK ÁRTALMATLANNÁ TÉTELÉRE, HA ILYENEKRE SZÜKSÉG VAN</w:t>
      </w:r>
    </w:p>
    <w:p w14:paraId="5855B552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B19F410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DB4EB84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A FORGALOMBA HOZATALI ENGEDÉLY JOGOSULTJÁNAK NEVE ÉS CÍME</w:t>
      </w:r>
    </w:p>
    <w:p w14:paraId="00BC21C4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C680484" w14:textId="5D669DB6" w:rsidR="00842497" w:rsidRPr="00FD60FD" w:rsidRDefault="003B36F7" w:rsidP="00842497">
      <w:pPr>
        <w:rPr>
          <w:szCs w:val="22"/>
        </w:rPr>
      </w:pPr>
      <w:proofErr w:type="spellStart"/>
      <w:r>
        <w:t>Orphalan</w:t>
      </w:r>
      <w:proofErr w:type="spellEnd"/>
    </w:p>
    <w:p w14:paraId="6BFFDB35" w14:textId="77777777" w:rsidR="00036F52" w:rsidRPr="00286521" w:rsidRDefault="00286521" w:rsidP="00036F52">
      <w:pPr>
        <w:rPr>
          <w:szCs w:val="22"/>
        </w:rPr>
      </w:pPr>
      <w:r w:rsidRPr="00286521">
        <w:rPr>
          <w:szCs w:val="22"/>
        </w:rPr>
        <w:t>226 Boulevard Voltaire</w:t>
      </w:r>
    </w:p>
    <w:p w14:paraId="4B2C9800" w14:textId="6F561C24" w:rsidR="00842497" w:rsidRPr="00FD60FD" w:rsidRDefault="00286521" w:rsidP="00842497">
      <w:pPr>
        <w:rPr>
          <w:szCs w:val="22"/>
        </w:rPr>
      </w:pPr>
      <w:r w:rsidRPr="00FD60FD">
        <w:t>7501</w:t>
      </w:r>
      <w:r>
        <w:t>1</w:t>
      </w:r>
      <w:r w:rsidRPr="00FD60FD">
        <w:t xml:space="preserve"> Párizs, Franciaország</w:t>
      </w:r>
      <w:r w:rsidRPr="00FD60FD">
        <w:rPr>
          <w:i/>
          <w:noProof/>
        </w:rPr>
        <w:t xml:space="preserve"> </w:t>
      </w:r>
    </w:p>
    <w:p w14:paraId="08D00D0C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0913F0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F2CD0AE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 xml:space="preserve">A FORGALOMBA HOZATALI ENGEDÉLY SZÁMA(I) </w:t>
      </w:r>
    </w:p>
    <w:p w14:paraId="054E7FD4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F8A889C" w14:textId="77777777" w:rsidR="00AA609C" w:rsidRPr="00FD60FD" w:rsidRDefault="00286521" w:rsidP="00AA609C">
      <w:pPr>
        <w:spacing w:line="240" w:lineRule="auto"/>
        <w:rPr>
          <w:color w:val="000000"/>
        </w:rPr>
      </w:pPr>
      <w:r w:rsidRPr="00FD60FD">
        <w:rPr>
          <w:color w:val="000000"/>
        </w:rPr>
        <w:t>EU/1/17/1199</w:t>
      </w:r>
      <w:r w:rsidRPr="00FD60FD">
        <w:rPr>
          <w:color w:val="000000"/>
        </w:rPr>
        <w:t>/001 72 filmtabletta</w:t>
      </w:r>
    </w:p>
    <w:p w14:paraId="70A7A308" w14:textId="77777777" w:rsidR="00C106B2" w:rsidRPr="00FD60FD" w:rsidRDefault="00286521" w:rsidP="00AA609C">
      <w:pPr>
        <w:spacing w:line="240" w:lineRule="auto"/>
        <w:rPr>
          <w:color w:val="000000"/>
        </w:rPr>
      </w:pPr>
      <w:r w:rsidRPr="00FD60FD">
        <w:rPr>
          <w:color w:val="000000"/>
        </w:rPr>
        <w:t>EU/1/17/1199/002 96 filmtabletta</w:t>
      </w:r>
    </w:p>
    <w:p w14:paraId="6A266C5B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F17C20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D7BD173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A GYÁRTÁSI TÉTEL SZÁMA</w:t>
      </w:r>
    </w:p>
    <w:p w14:paraId="021EFE20" w14:textId="77777777" w:rsidR="00842497" w:rsidRPr="00FD60FD" w:rsidRDefault="00842497" w:rsidP="00842497">
      <w:pPr>
        <w:spacing w:line="240" w:lineRule="auto"/>
        <w:rPr>
          <w:i/>
          <w:noProof/>
          <w:szCs w:val="22"/>
        </w:rPr>
      </w:pPr>
    </w:p>
    <w:p w14:paraId="7A07C0D4" w14:textId="77777777" w:rsidR="00842497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t xml:space="preserve">Gy.sz.: </w:t>
      </w:r>
    </w:p>
    <w:p w14:paraId="167D6F7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52B0385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E3301D9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A GYÓGYSZER RENDELHETŐSÉGE</w:t>
      </w:r>
    </w:p>
    <w:p w14:paraId="45DAB753" w14:textId="77777777" w:rsidR="00842497" w:rsidRPr="00FD60FD" w:rsidRDefault="00842497" w:rsidP="00842497">
      <w:pPr>
        <w:spacing w:line="240" w:lineRule="auto"/>
        <w:rPr>
          <w:i/>
          <w:noProof/>
          <w:szCs w:val="22"/>
        </w:rPr>
      </w:pPr>
    </w:p>
    <w:p w14:paraId="72B7CEA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07FE544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AZ ALKALMAZÁSRA VONATKOZÓ UTASÍTÁSOK</w:t>
      </w:r>
    </w:p>
    <w:p w14:paraId="158B1A4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47BCE9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6CB1448E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BRAILLE ÍRÁSSAL FELTÜNTETETT INFORMÁCIÓK</w:t>
      </w:r>
    </w:p>
    <w:p w14:paraId="679FE349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7BDF5057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Cuprior 150 mg </w:t>
      </w:r>
    </w:p>
    <w:p w14:paraId="411A1E3B" w14:textId="77777777" w:rsidR="00842497" w:rsidRPr="00FD60FD" w:rsidRDefault="00842497" w:rsidP="00842497">
      <w:pPr>
        <w:spacing w:line="240" w:lineRule="auto"/>
        <w:rPr>
          <w:noProof/>
          <w:szCs w:val="22"/>
          <w:shd w:val="clear" w:color="auto" w:fill="CCCCCC"/>
        </w:rPr>
      </w:pPr>
    </w:p>
    <w:p w14:paraId="22068465" w14:textId="77777777" w:rsidR="00842497" w:rsidRPr="00FD60FD" w:rsidRDefault="00842497" w:rsidP="00842497">
      <w:pPr>
        <w:spacing w:line="240" w:lineRule="auto"/>
        <w:rPr>
          <w:noProof/>
          <w:szCs w:val="22"/>
          <w:shd w:val="clear" w:color="auto" w:fill="CCCCCC"/>
        </w:rPr>
      </w:pPr>
    </w:p>
    <w:p w14:paraId="6F11CAB0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 xml:space="preserve">EGYEDI AZONOSÍTÓ – 2D </w:t>
      </w:r>
      <w:r w:rsidRPr="00FD60FD">
        <w:rPr>
          <w:b/>
        </w:rPr>
        <w:t>VONALKÓD</w:t>
      </w:r>
    </w:p>
    <w:p w14:paraId="1899C464" w14:textId="77777777" w:rsidR="00842497" w:rsidRPr="00FD60FD" w:rsidRDefault="00842497" w:rsidP="00842497">
      <w:pPr>
        <w:tabs>
          <w:tab w:val="clear" w:pos="567"/>
        </w:tabs>
        <w:spacing w:line="240" w:lineRule="auto"/>
        <w:rPr>
          <w:noProof/>
        </w:rPr>
      </w:pPr>
    </w:p>
    <w:p w14:paraId="5E0FECF2" w14:textId="77777777" w:rsidR="00842497" w:rsidRPr="00FD60FD" w:rsidRDefault="00286521" w:rsidP="00842497">
      <w:pPr>
        <w:rPr>
          <w:noProof/>
          <w:szCs w:val="22"/>
          <w:highlight w:val="lightGray"/>
        </w:rPr>
      </w:pPr>
      <w:r w:rsidRPr="00FD60FD">
        <w:rPr>
          <w:noProof/>
          <w:highlight w:val="lightGray"/>
        </w:rPr>
        <w:t>Egyedi azonosítójú 2D vonalkóddal ellátva.</w:t>
      </w:r>
    </w:p>
    <w:p w14:paraId="2401D7BB" w14:textId="77777777" w:rsidR="00842497" w:rsidRPr="00FD60FD" w:rsidRDefault="00842497" w:rsidP="00842497">
      <w:pPr>
        <w:tabs>
          <w:tab w:val="clear" w:pos="567"/>
        </w:tabs>
        <w:spacing w:line="240" w:lineRule="auto"/>
        <w:rPr>
          <w:noProof/>
        </w:rPr>
      </w:pPr>
    </w:p>
    <w:p w14:paraId="75BDF646" w14:textId="77777777" w:rsidR="00842497" w:rsidRPr="00FD60FD" w:rsidRDefault="00842497" w:rsidP="00842497">
      <w:pPr>
        <w:tabs>
          <w:tab w:val="clear" w:pos="567"/>
        </w:tabs>
        <w:spacing w:line="240" w:lineRule="auto"/>
        <w:rPr>
          <w:noProof/>
        </w:rPr>
      </w:pPr>
    </w:p>
    <w:p w14:paraId="139DD75D" w14:textId="77777777" w:rsidR="00842497" w:rsidRPr="00FD60FD" w:rsidRDefault="00286521" w:rsidP="00842497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FD60FD">
        <w:rPr>
          <w:b/>
        </w:rPr>
        <w:t>EGYEDI AZONOSÍTÓ OLVASHATÓ FORMÁTUMA</w:t>
      </w:r>
    </w:p>
    <w:p w14:paraId="295BCF0C" w14:textId="77777777" w:rsidR="00842497" w:rsidRPr="00FD60FD" w:rsidRDefault="00842497" w:rsidP="00842497">
      <w:pPr>
        <w:tabs>
          <w:tab w:val="clear" w:pos="567"/>
        </w:tabs>
        <w:spacing w:line="240" w:lineRule="auto"/>
        <w:rPr>
          <w:noProof/>
        </w:rPr>
      </w:pPr>
    </w:p>
    <w:p w14:paraId="4222C50B" w14:textId="77777777" w:rsidR="00842497" w:rsidRPr="00FD60FD" w:rsidRDefault="00286521" w:rsidP="00842497">
      <w:pPr>
        <w:rPr>
          <w:color w:val="008000"/>
          <w:szCs w:val="22"/>
        </w:rPr>
      </w:pPr>
      <w:r w:rsidRPr="00FD60FD">
        <w:t xml:space="preserve">PC: {szám} </w:t>
      </w:r>
    </w:p>
    <w:p w14:paraId="4AEE0DFD" w14:textId="77777777" w:rsidR="00842497" w:rsidRPr="00FD60FD" w:rsidRDefault="00286521" w:rsidP="00842497">
      <w:pPr>
        <w:rPr>
          <w:szCs w:val="22"/>
        </w:rPr>
      </w:pPr>
      <w:r w:rsidRPr="00FD60FD">
        <w:t xml:space="preserve">SN: {szám} </w:t>
      </w:r>
    </w:p>
    <w:p w14:paraId="299B7855" w14:textId="77777777" w:rsidR="00842497" w:rsidRPr="00FD60FD" w:rsidRDefault="00286521" w:rsidP="00842497">
      <w:pPr>
        <w:rPr>
          <w:szCs w:val="22"/>
        </w:rPr>
      </w:pPr>
      <w:r w:rsidRPr="00FD60FD">
        <w:t xml:space="preserve">NN: {szám} </w:t>
      </w:r>
    </w:p>
    <w:p w14:paraId="4C640B0D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508D813" w14:textId="77777777" w:rsidR="00842497" w:rsidRPr="00FD60FD" w:rsidRDefault="00842497" w:rsidP="00842497">
      <w:pPr>
        <w:spacing w:line="240" w:lineRule="auto"/>
        <w:rPr>
          <w:noProof/>
          <w:szCs w:val="22"/>
          <w:shd w:val="clear" w:color="auto" w:fill="CCCCCC"/>
        </w:rPr>
      </w:pPr>
    </w:p>
    <w:p w14:paraId="2F562F63" w14:textId="77777777" w:rsidR="00842497" w:rsidRPr="00FD60FD" w:rsidRDefault="00286521" w:rsidP="00842497">
      <w:pPr>
        <w:spacing w:line="240" w:lineRule="auto"/>
        <w:rPr>
          <w:b/>
          <w:noProof/>
          <w:szCs w:val="22"/>
        </w:rPr>
      </w:pPr>
      <w:r w:rsidRPr="00FD60FD">
        <w:br w:type="page"/>
      </w:r>
    </w:p>
    <w:p w14:paraId="1864C4AE" w14:textId="77777777" w:rsidR="00842497" w:rsidRPr="00FD60FD" w:rsidRDefault="00286521" w:rsidP="008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bCs/>
        </w:rPr>
      </w:pPr>
      <w:r w:rsidRPr="00FD60FD">
        <w:rPr>
          <w:b/>
          <w:bCs/>
        </w:rPr>
        <w:lastRenderedPageBreak/>
        <w:t>A BUBORÉKCSOMAGOLÁSON VAGY A FÓLIACSÍKON MINIMÁLISAN FELTÜNTETENDŐ ADATOK</w:t>
      </w:r>
    </w:p>
    <w:p w14:paraId="6CDA0746" w14:textId="77777777" w:rsidR="00842497" w:rsidRPr="00FD60FD" w:rsidRDefault="00842497" w:rsidP="008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bCs/>
        </w:rPr>
      </w:pPr>
    </w:p>
    <w:p w14:paraId="0355EDE3" w14:textId="77777777" w:rsidR="00842497" w:rsidRPr="00FD60FD" w:rsidRDefault="00286521" w:rsidP="0084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outlineLvl w:val="0"/>
        <w:rPr>
          <w:b/>
          <w:bCs/>
        </w:rPr>
      </w:pPr>
      <w:r w:rsidRPr="00FD60FD">
        <w:rPr>
          <w:b/>
          <w:bCs/>
        </w:rPr>
        <w:t>BUBORÉKCSOMAGOLÁS</w:t>
      </w:r>
    </w:p>
    <w:p w14:paraId="1293CED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B7302D8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640F229" w14:textId="77777777" w:rsidR="00842497" w:rsidRPr="00FD60FD" w:rsidRDefault="00286521" w:rsidP="00842497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FD60FD">
        <w:rPr>
          <w:b/>
          <w:noProof/>
        </w:rPr>
        <w:t>A GYÓGYSZER NEVE</w:t>
      </w:r>
    </w:p>
    <w:p w14:paraId="5496D2A1" w14:textId="77777777" w:rsidR="00842497" w:rsidRPr="00FD60FD" w:rsidRDefault="00842497" w:rsidP="00842497">
      <w:pPr>
        <w:spacing w:line="240" w:lineRule="auto"/>
        <w:rPr>
          <w:i/>
          <w:noProof/>
          <w:szCs w:val="22"/>
        </w:rPr>
      </w:pPr>
    </w:p>
    <w:p w14:paraId="391B4C1F" w14:textId="77777777" w:rsidR="00842497" w:rsidRPr="00FD60FD" w:rsidRDefault="00286521" w:rsidP="00842497">
      <w:pPr>
        <w:rPr>
          <w:noProof/>
          <w:szCs w:val="22"/>
        </w:rPr>
      </w:pPr>
      <w:r w:rsidRPr="00FD60FD">
        <w:t xml:space="preserve">Cuprior 150 mg </w:t>
      </w:r>
      <w:r w:rsidR="00321569" w:rsidRPr="00FD60FD">
        <w:t>film</w:t>
      </w:r>
      <w:r w:rsidRPr="00FD60FD">
        <w:t>tabletta</w:t>
      </w:r>
    </w:p>
    <w:p w14:paraId="67440EBC" w14:textId="77777777" w:rsidR="00842497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t>trientin</w:t>
      </w:r>
    </w:p>
    <w:p w14:paraId="38F63B75" w14:textId="77777777" w:rsidR="00842497" w:rsidRPr="00FD60FD" w:rsidRDefault="00842497" w:rsidP="00842497">
      <w:pPr>
        <w:spacing w:line="240" w:lineRule="auto"/>
      </w:pPr>
    </w:p>
    <w:p w14:paraId="5953C654" w14:textId="77777777" w:rsidR="00842497" w:rsidRPr="00FD60FD" w:rsidRDefault="00842497" w:rsidP="00842497">
      <w:pPr>
        <w:spacing w:line="240" w:lineRule="auto"/>
      </w:pPr>
    </w:p>
    <w:p w14:paraId="7DEC61A6" w14:textId="77777777" w:rsidR="00842497" w:rsidRPr="00FD60FD" w:rsidRDefault="00286521" w:rsidP="00842497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FD60FD">
        <w:rPr>
          <w:b/>
          <w:noProof/>
        </w:rPr>
        <w:t>A FORGALOMBA HOZATALI ENGEDÉLY JOGOSULTJÁNAK NEVE</w:t>
      </w:r>
    </w:p>
    <w:p w14:paraId="706B150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71304A9" w14:textId="44BD323F" w:rsidR="00842497" w:rsidRPr="00FD60FD" w:rsidRDefault="003B36F7" w:rsidP="00842497">
      <w:pPr>
        <w:rPr>
          <w:szCs w:val="22"/>
        </w:rPr>
      </w:pPr>
      <w:proofErr w:type="spellStart"/>
      <w:r>
        <w:t>Orphalan</w:t>
      </w:r>
      <w:proofErr w:type="spellEnd"/>
    </w:p>
    <w:p w14:paraId="0FA6B41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0958ABE2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9C6AD6F" w14:textId="77777777" w:rsidR="00842497" w:rsidRPr="00FD60FD" w:rsidRDefault="00286521" w:rsidP="00842497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FD60FD">
        <w:rPr>
          <w:b/>
          <w:noProof/>
        </w:rPr>
        <w:t>LEJÁRATI IDŐ</w:t>
      </w:r>
    </w:p>
    <w:p w14:paraId="45F834D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E1115AB" w14:textId="77777777" w:rsidR="00842497" w:rsidRPr="00FD60FD" w:rsidRDefault="00286521" w:rsidP="00842497">
      <w:pPr>
        <w:spacing w:line="240" w:lineRule="auto"/>
        <w:rPr>
          <w:noProof/>
          <w:szCs w:val="22"/>
        </w:rPr>
      </w:pPr>
      <w:r w:rsidRPr="00FD60FD">
        <w:t>Felhasználható:</w:t>
      </w:r>
    </w:p>
    <w:p w14:paraId="507925F9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52B2AE0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BCB23F4" w14:textId="77777777" w:rsidR="00842497" w:rsidRPr="00FD60FD" w:rsidRDefault="00286521" w:rsidP="00842497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FD60FD">
        <w:rPr>
          <w:b/>
          <w:noProof/>
        </w:rPr>
        <w:t>A GYÁRTÁSI TÉTEL SZÁMA</w:t>
      </w:r>
    </w:p>
    <w:p w14:paraId="2B2F0037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527F6C7" w14:textId="77777777" w:rsidR="00842497" w:rsidRPr="00FD60FD" w:rsidRDefault="00286521" w:rsidP="00842497">
      <w:pPr>
        <w:rPr>
          <w:noProof/>
          <w:szCs w:val="22"/>
        </w:rPr>
      </w:pPr>
      <w:r w:rsidRPr="00FD60FD">
        <w:t>Gy.sz.:</w:t>
      </w:r>
    </w:p>
    <w:p w14:paraId="2932FDFF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2446E0F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4E319948" w14:textId="77777777" w:rsidR="00842497" w:rsidRPr="00FD60FD" w:rsidRDefault="00286521" w:rsidP="00842497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FD60FD">
        <w:rPr>
          <w:b/>
          <w:noProof/>
        </w:rPr>
        <w:t>EGYÉB INFORMÁCIÓK</w:t>
      </w:r>
    </w:p>
    <w:p w14:paraId="5FD23D6A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1F8AF8AE" w14:textId="77777777" w:rsidR="00842497" w:rsidRPr="00FD60FD" w:rsidRDefault="00842497" w:rsidP="00842497">
      <w:pPr>
        <w:spacing w:line="240" w:lineRule="auto"/>
        <w:rPr>
          <w:noProof/>
          <w:szCs w:val="22"/>
        </w:rPr>
      </w:pPr>
    </w:p>
    <w:p w14:paraId="3172F7A4" w14:textId="77777777" w:rsidR="00842497" w:rsidRPr="00FD60FD" w:rsidRDefault="00286521" w:rsidP="00842497">
      <w:r w:rsidRPr="00FD60FD">
        <w:br w:type="page"/>
      </w:r>
    </w:p>
    <w:p w14:paraId="22930C8C" w14:textId="77777777" w:rsidR="00842497" w:rsidRPr="00FD60FD" w:rsidRDefault="00842497" w:rsidP="00842497">
      <w:pPr>
        <w:rPr>
          <w:noProof/>
        </w:rPr>
      </w:pPr>
    </w:p>
    <w:p w14:paraId="7E5512A6" w14:textId="77777777" w:rsidR="00842497" w:rsidRPr="00FD60FD" w:rsidRDefault="00842497" w:rsidP="00842497">
      <w:pPr>
        <w:rPr>
          <w:noProof/>
        </w:rPr>
      </w:pPr>
    </w:p>
    <w:p w14:paraId="20B96890" w14:textId="77777777" w:rsidR="00842497" w:rsidRPr="00FD60FD" w:rsidRDefault="00842497" w:rsidP="00842497">
      <w:pPr>
        <w:rPr>
          <w:noProof/>
        </w:rPr>
      </w:pPr>
    </w:p>
    <w:p w14:paraId="03ED1257" w14:textId="77777777" w:rsidR="00842497" w:rsidRPr="00FD60FD" w:rsidRDefault="00842497" w:rsidP="00842497">
      <w:pPr>
        <w:rPr>
          <w:noProof/>
        </w:rPr>
      </w:pPr>
    </w:p>
    <w:p w14:paraId="38E545A9" w14:textId="77777777" w:rsidR="00842497" w:rsidRPr="00FD60FD" w:rsidRDefault="00842497" w:rsidP="00842497">
      <w:pPr>
        <w:rPr>
          <w:noProof/>
        </w:rPr>
      </w:pPr>
    </w:p>
    <w:p w14:paraId="4EAE24C2" w14:textId="77777777" w:rsidR="00842497" w:rsidRPr="00FD60FD" w:rsidRDefault="00842497" w:rsidP="00842497">
      <w:pPr>
        <w:rPr>
          <w:noProof/>
        </w:rPr>
      </w:pPr>
    </w:p>
    <w:p w14:paraId="09C50171" w14:textId="77777777" w:rsidR="00842497" w:rsidRPr="00FD60FD" w:rsidRDefault="00842497" w:rsidP="00842497">
      <w:pPr>
        <w:rPr>
          <w:noProof/>
        </w:rPr>
      </w:pPr>
    </w:p>
    <w:p w14:paraId="65D51328" w14:textId="77777777" w:rsidR="00842497" w:rsidRPr="00FD60FD" w:rsidRDefault="00842497" w:rsidP="00842497">
      <w:pPr>
        <w:rPr>
          <w:noProof/>
        </w:rPr>
      </w:pPr>
    </w:p>
    <w:p w14:paraId="3A4CCDD5" w14:textId="77777777" w:rsidR="00842497" w:rsidRPr="00FD60FD" w:rsidRDefault="00842497" w:rsidP="00842497">
      <w:pPr>
        <w:rPr>
          <w:noProof/>
        </w:rPr>
      </w:pPr>
    </w:p>
    <w:p w14:paraId="2F81383A" w14:textId="77777777" w:rsidR="00842497" w:rsidRPr="00FD60FD" w:rsidRDefault="00842497" w:rsidP="00842497">
      <w:pPr>
        <w:rPr>
          <w:noProof/>
        </w:rPr>
      </w:pPr>
    </w:p>
    <w:p w14:paraId="0B56C65D" w14:textId="77777777" w:rsidR="00842497" w:rsidRPr="00FD60FD" w:rsidRDefault="00842497" w:rsidP="00842497">
      <w:pPr>
        <w:rPr>
          <w:noProof/>
        </w:rPr>
      </w:pPr>
    </w:p>
    <w:p w14:paraId="1B04A798" w14:textId="77777777" w:rsidR="00842497" w:rsidRPr="00FD60FD" w:rsidRDefault="00842497" w:rsidP="00842497">
      <w:pPr>
        <w:rPr>
          <w:noProof/>
        </w:rPr>
      </w:pPr>
    </w:p>
    <w:p w14:paraId="1C9E227A" w14:textId="77777777" w:rsidR="00842497" w:rsidRPr="00FD60FD" w:rsidRDefault="00842497" w:rsidP="00842497">
      <w:pPr>
        <w:rPr>
          <w:noProof/>
        </w:rPr>
      </w:pPr>
    </w:p>
    <w:p w14:paraId="799D54E5" w14:textId="77777777" w:rsidR="00842497" w:rsidRPr="00FD60FD" w:rsidRDefault="00842497" w:rsidP="00842497">
      <w:pPr>
        <w:rPr>
          <w:noProof/>
        </w:rPr>
      </w:pPr>
    </w:p>
    <w:p w14:paraId="23CEC656" w14:textId="77777777" w:rsidR="00842497" w:rsidRPr="00FD60FD" w:rsidRDefault="00842497" w:rsidP="00842497">
      <w:pPr>
        <w:rPr>
          <w:noProof/>
        </w:rPr>
      </w:pPr>
    </w:p>
    <w:p w14:paraId="4E9B8F82" w14:textId="77777777" w:rsidR="00842497" w:rsidRPr="00FD60FD" w:rsidRDefault="00842497" w:rsidP="00842497">
      <w:pPr>
        <w:rPr>
          <w:noProof/>
        </w:rPr>
      </w:pPr>
    </w:p>
    <w:p w14:paraId="40DD45E5" w14:textId="77777777" w:rsidR="00842497" w:rsidRPr="00FD60FD" w:rsidRDefault="00842497" w:rsidP="00842497">
      <w:pPr>
        <w:rPr>
          <w:noProof/>
        </w:rPr>
      </w:pPr>
    </w:p>
    <w:p w14:paraId="03CF299A" w14:textId="77777777" w:rsidR="00842497" w:rsidRPr="00FD60FD" w:rsidRDefault="00842497" w:rsidP="00842497">
      <w:pPr>
        <w:rPr>
          <w:noProof/>
        </w:rPr>
      </w:pPr>
    </w:p>
    <w:p w14:paraId="3D7BB065" w14:textId="77777777" w:rsidR="00842497" w:rsidRPr="00FD60FD" w:rsidRDefault="00842497" w:rsidP="00842497">
      <w:pPr>
        <w:rPr>
          <w:noProof/>
        </w:rPr>
      </w:pPr>
    </w:p>
    <w:p w14:paraId="4D2AD60D" w14:textId="77777777" w:rsidR="00842497" w:rsidRPr="00FD60FD" w:rsidRDefault="00842497" w:rsidP="00842497">
      <w:pPr>
        <w:rPr>
          <w:noProof/>
        </w:rPr>
      </w:pPr>
    </w:p>
    <w:p w14:paraId="7F6295DF" w14:textId="77777777" w:rsidR="00842497" w:rsidRPr="00FD60FD" w:rsidRDefault="00842497" w:rsidP="00842497">
      <w:pPr>
        <w:rPr>
          <w:noProof/>
        </w:rPr>
      </w:pPr>
    </w:p>
    <w:p w14:paraId="041C9476" w14:textId="77777777" w:rsidR="00842497" w:rsidRPr="00FD60FD" w:rsidRDefault="00842497" w:rsidP="00842497">
      <w:pPr>
        <w:rPr>
          <w:noProof/>
        </w:rPr>
      </w:pPr>
    </w:p>
    <w:p w14:paraId="57781D80" w14:textId="77777777" w:rsidR="00842497" w:rsidRPr="00FD60FD" w:rsidRDefault="00286521" w:rsidP="00842497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b/>
          <w:noProof/>
        </w:rPr>
      </w:pPr>
      <w:r w:rsidRPr="00FD60FD">
        <w:rPr>
          <w:b/>
          <w:noProof/>
        </w:rPr>
        <w:t>BETEGTÁJÉKOZTATÓ</w:t>
      </w:r>
    </w:p>
    <w:p w14:paraId="36109EE7" w14:textId="77777777" w:rsidR="00842497" w:rsidRPr="00FD60FD" w:rsidRDefault="00286521" w:rsidP="00842497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</w:rPr>
      </w:pPr>
      <w:r w:rsidRPr="00FD60FD">
        <w:br w:type="page"/>
      </w:r>
      <w:r w:rsidRPr="00FD60FD">
        <w:rPr>
          <w:b/>
          <w:noProof/>
        </w:rPr>
        <w:lastRenderedPageBreak/>
        <w:t>Betegtájékoztató : Információk a beteg számára</w:t>
      </w:r>
    </w:p>
    <w:p w14:paraId="36ACD0DF" w14:textId="77777777" w:rsidR="00842497" w:rsidRPr="00FD60FD" w:rsidRDefault="00842497" w:rsidP="00842497">
      <w:pPr>
        <w:numPr>
          <w:ilvl w:val="12"/>
          <w:numId w:val="0"/>
        </w:numPr>
        <w:shd w:val="clear" w:color="auto" w:fill="FFFFFF"/>
        <w:tabs>
          <w:tab w:val="clear" w:pos="567"/>
        </w:tabs>
        <w:spacing w:line="240" w:lineRule="auto"/>
        <w:jc w:val="center"/>
        <w:rPr>
          <w:noProof/>
          <w:szCs w:val="22"/>
        </w:rPr>
      </w:pPr>
    </w:p>
    <w:p w14:paraId="1ED5C365" w14:textId="77777777" w:rsidR="00842497" w:rsidRPr="00FD60FD" w:rsidRDefault="00286521" w:rsidP="00842497">
      <w:pPr>
        <w:jc w:val="center"/>
        <w:rPr>
          <w:b/>
          <w:noProof/>
          <w:szCs w:val="22"/>
        </w:rPr>
      </w:pPr>
      <w:r w:rsidRPr="00FD60FD">
        <w:rPr>
          <w:b/>
          <w:noProof/>
        </w:rPr>
        <w:t xml:space="preserve">Cuprior 150 mg </w:t>
      </w:r>
      <w:r w:rsidR="00321569" w:rsidRPr="00FD60FD">
        <w:rPr>
          <w:b/>
          <w:noProof/>
        </w:rPr>
        <w:t>film</w:t>
      </w:r>
      <w:r w:rsidRPr="00FD60FD">
        <w:rPr>
          <w:b/>
          <w:noProof/>
        </w:rPr>
        <w:t>tabletta</w:t>
      </w:r>
    </w:p>
    <w:p w14:paraId="09B5BF01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jc w:val="center"/>
        <w:rPr>
          <w:noProof/>
          <w:szCs w:val="22"/>
        </w:rPr>
      </w:pPr>
      <w:r w:rsidRPr="00FD60FD">
        <w:t>trientin</w:t>
      </w:r>
    </w:p>
    <w:p w14:paraId="1C6D3D84" w14:textId="77777777" w:rsidR="00842497" w:rsidRPr="00FD60FD" w:rsidRDefault="00842497" w:rsidP="00842497">
      <w:pPr>
        <w:jc w:val="center"/>
        <w:rPr>
          <w:szCs w:val="22"/>
        </w:rPr>
      </w:pPr>
    </w:p>
    <w:p w14:paraId="25DDB49E" w14:textId="77777777" w:rsidR="00842497" w:rsidRPr="00FD60FD" w:rsidRDefault="00286521" w:rsidP="00842497">
      <w:r w:rsidRPr="00FD60FD">
        <w:t>Az alábbi információkat megtalálhatja, ha az okostelefonjával beolvassa az alábbi QR kódot, illetve az interneten:</w:t>
      </w:r>
      <w:r w:rsidRPr="00FD60FD">
        <w:rPr>
          <w:i/>
          <w:noProof/>
        </w:rPr>
        <w:t xml:space="preserve"> </w:t>
      </w:r>
      <w:r w:rsidRPr="00FD60FD">
        <w:rPr>
          <w:i/>
          <w:noProof/>
          <w:highlight w:val="lightGray"/>
        </w:rPr>
        <w:t>QR kód beillesztendő</w:t>
      </w:r>
      <w:r w:rsidRPr="00FD60FD">
        <w:rPr>
          <w:i/>
          <w:noProof/>
        </w:rPr>
        <w:t xml:space="preserve"> </w:t>
      </w:r>
      <w:hyperlink r:id="rId14" w:history="1">
        <w:r w:rsidRPr="00FD60FD">
          <w:rPr>
            <w:rStyle w:val="Hyperlink"/>
          </w:rPr>
          <w:t>http://www.cuprior.com</w:t>
        </w:r>
      </w:hyperlink>
    </w:p>
    <w:p w14:paraId="4566C5B3" w14:textId="77777777" w:rsidR="00842497" w:rsidRPr="00FD60FD" w:rsidRDefault="00842497" w:rsidP="00842497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12BB35A1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</w:rPr>
      </w:pPr>
      <w:r w:rsidRPr="00FD60FD">
        <w:rPr>
          <w:b/>
        </w:rPr>
        <w:t>Mielőtt elkezdi szedni ezt a gyógyszert, olvassa el figyelmesen az alábbi betegtájékoztatót, mert az Ön számára fontos információkat tartalmaz.</w:t>
      </w:r>
    </w:p>
    <w:p w14:paraId="33050D8C" w14:textId="77777777" w:rsidR="00842497" w:rsidRPr="00FD60FD" w:rsidRDefault="00286521" w:rsidP="00842497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FD60FD">
        <w:t xml:space="preserve">Tartsa meg a betegtájékoztatót, mert a benne szereplő információkra a későbbiekben is szüksége lehet. </w:t>
      </w:r>
    </w:p>
    <w:p w14:paraId="63E58634" w14:textId="77777777" w:rsidR="00842497" w:rsidRPr="00FD60FD" w:rsidRDefault="00286521" w:rsidP="00842497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FD60FD">
        <w:t>További kérdéseivel forduljon kezelőorvosához vagy gyógyszerészéhez.</w:t>
      </w:r>
    </w:p>
    <w:p w14:paraId="775A6AA1" w14:textId="77777777" w:rsidR="00842497" w:rsidRPr="00FD60FD" w:rsidRDefault="00286521" w:rsidP="00842497">
      <w:pPr>
        <w:spacing w:line="240" w:lineRule="auto"/>
        <w:ind w:left="567" w:right="-2" w:hanging="567"/>
        <w:rPr>
          <w:noProof/>
          <w:szCs w:val="22"/>
        </w:rPr>
      </w:pPr>
      <w:r w:rsidRPr="00FD60FD">
        <w:t>-</w:t>
      </w:r>
      <w:r w:rsidRPr="00FD60FD">
        <w:tab/>
        <w:t>Ezt a gyógyszert az orvos kizárólag Önnek írta fel. Ne adja át a készítményt másna</w:t>
      </w:r>
      <w:r w:rsidRPr="00FD60FD">
        <w:t>k, mert számára ártalmas lehet még abban az esetben is, ha a betegsége tünetei az Önéhez hasonlóak.</w:t>
      </w:r>
      <w:r w:rsidRPr="00FD60FD">
        <w:rPr>
          <w:noProof/>
          <w:color w:val="008000"/>
        </w:rPr>
        <w:t xml:space="preserve"> </w:t>
      </w:r>
    </w:p>
    <w:p w14:paraId="62B99859" w14:textId="77777777" w:rsidR="00842497" w:rsidRPr="00FD60FD" w:rsidRDefault="00286521" w:rsidP="00842497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FD60FD">
        <w:t>Ha Önnél bármilyen mellékhatás jelentkezik, tájékoztassa erről kezelőorvosát vagy gyógyszerészét.</w:t>
      </w:r>
      <w:r w:rsidRPr="00FD60FD">
        <w:rPr>
          <w:color w:val="FF0000"/>
        </w:rPr>
        <w:t xml:space="preserve"> </w:t>
      </w:r>
      <w:r w:rsidRPr="00FD60FD">
        <w:t>Ez a betegtájékoztatóban fel nem sorolt bármilyen lehetsé</w:t>
      </w:r>
      <w:r w:rsidRPr="00FD60FD">
        <w:t>ges mellékhatásra is vonatkozik. Lásd 4. pont.</w:t>
      </w:r>
    </w:p>
    <w:p w14:paraId="051683E6" w14:textId="77777777" w:rsidR="00842497" w:rsidRPr="00FD60FD" w:rsidRDefault="00842497" w:rsidP="00842497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4BCEC1CE" w14:textId="77777777" w:rsidR="00842497" w:rsidRPr="00FD60FD" w:rsidRDefault="00842497" w:rsidP="00842497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5EDDEF7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FD60FD">
        <w:rPr>
          <w:b/>
          <w:noProof/>
        </w:rPr>
        <w:t>A betegtájékoztató tartalma:</w:t>
      </w:r>
    </w:p>
    <w:p w14:paraId="218F8F7C" w14:textId="77777777" w:rsidR="00842497" w:rsidRPr="00FD60FD" w:rsidRDefault="00842497" w:rsidP="00842497">
      <w:pPr>
        <w:rPr>
          <w:noProof/>
        </w:rPr>
      </w:pPr>
    </w:p>
    <w:p w14:paraId="1B805527" w14:textId="77777777" w:rsidR="00842497" w:rsidRPr="00FD60FD" w:rsidRDefault="00286521" w:rsidP="00842497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FD60FD">
        <w:t xml:space="preserve">Milyen típusú gyógyszer a Cuprior és milyen betegségek esetén alkalmazható? </w:t>
      </w:r>
    </w:p>
    <w:p w14:paraId="254F6920" w14:textId="77777777" w:rsidR="00842497" w:rsidRPr="00FD60FD" w:rsidRDefault="00286521" w:rsidP="00842497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FD60FD">
        <w:t xml:space="preserve">Tudnivalók a Cuprior szedése előtt </w:t>
      </w:r>
    </w:p>
    <w:p w14:paraId="7280ADB0" w14:textId="77777777" w:rsidR="00842497" w:rsidRPr="00FD60FD" w:rsidRDefault="00286521" w:rsidP="00842497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FD60FD">
        <w:t xml:space="preserve">Hogyan kell szedni a Cuprior-t? </w:t>
      </w:r>
    </w:p>
    <w:p w14:paraId="4D943A90" w14:textId="77777777" w:rsidR="00842497" w:rsidRPr="00FD60FD" w:rsidRDefault="00286521" w:rsidP="00842497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FD60FD">
        <w:t xml:space="preserve">Lehetséges mellékhatások </w:t>
      </w:r>
    </w:p>
    <w:p w14:paraId="4A978971" w14:textId="77777777" w:rsidR="00842497" w:rsidRPr="00FD60FD" w:rsidRDefault="00286521" w:rsidP="00842497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FD60FD">
        <w:t>Hogya</w:t>
      </w:r>
      <w:r w:rsidRPr="00FD60FD">
        <w:t xml:space="preserve">n kell a Cuprior-t tárolni? </w:t>
      </w:r>
    </w:p>
    <w:p w14:paraId="328099CE" w14:textId="77777777" w:rsidR="00842497" w:rsidRPr="00FD60FD" w:rsidRDefault="00286521" w:rsidP="00842497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FD60FD">
        <w:t>A csomagolás tartalma és egyéb információk</w:t>
      </w:r>
    </w:p>
    <w:p w14:paraId="0A9940F1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45D0D82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70DBF14A" w14:textId="77777777" w:rsidR="00842497" w:rsidRPr="00FD60FD" w:rsidRDefault="00286521" w:rsidP="00842497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FD60FD">
        <w:rPr>
          <w:b/>
          <w:noProof/>
        </w:rPr>
        <w:t>Milyen típusú gyógyszer a Cuprior és milyen betegségek esetén alkalmazható?</w:t>
      </w:r>
    </w:p>
    <w:p w14:paraId="40C4A582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530E4F5B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 xml:space="preserve">A Cuprior a Wilson-kór kezelésére alkalmazott gyógyszer, amelynek hatóanyaga a trientin. </w:t>
      </w:r>
    </w:p>
    <w:p w14:paraId="67073BCF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B8E67AB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>A Wilson-kór egy örökletes betegség, amelyben a szervezet nem képes normális módon szállítani a rezet a testben, illetve normális módon, a májból a belekbe történő k</w:t>
      </w:r>
      <w:r w:rsidRPr="00FD60FD">
        <w:t>iválasztás révén kiüríteni a rezet. Ez azt jelenti, hogy az ételből és italból származó, kis mennyiségű réz túlzott mértékben felhalmozódik, és ez májkárosodáshoz, valamint idegrendszeri problémákhoz vezethet. Ez a gyógyszer főként azáltal fejti ki hatását</w:t>
      </w:r>
      <w:r w:rsidRPr="00FD60FD">
        <w:t>, hogy a szervezetben található rézhez kötődik, ami aztán lehetővé teszi, hogy ehelyett a réz kiürüljön a vizelettel, ezáltal a gyógyszer hozzájárul a rézszint csökkentéséhez. Kötődhet a rézhez a bélrendszerben is, és ezáltal csökkenti a szervezet által fe</w:t>
      </w:r>
      <w:r w:rsidRPr="00FD60FD">
        <w:t xml:space="preserve">lvett mennyiséget. </w:t>
      </w:r>
    </w:p>
    <w:p w14:paraId="412BBB13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>A Cuprior-t olyan felnőtteknél, serdülőknél és legalább 5 éves gyermekeknél alkalmazzák, akik nem tolerálják a betegség kezelésére használt másik, penicillamin nevű gyógyszert.</w:t>
      </w:r>
    </w:p>
    <w:p w14:paraId="45B4AB55" w14:textId="77777777" w:rsidR="00842497" w:rsidRPr="00FD60FD" w:rsidRDefault="00842497" w:rsidP="00842497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F1DB724" w14:textId="77777777" w:rsidR="00842497" w:rsidRPr="00FD60FD" w:rsidRDefault="00842497" w:rsidP="00842497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207C30E" w14:textId="77777777" w:rsidR="00842497" w:rsidRPr="00FD60FD" w:rsidRDefault="00286521" w:rsidP="00842497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FD60FD">
        <w:rPr>
          <w:b/>
          <w:noProof/>
        </w:rPr>
        <w:t xml:space="preserve">Tudnivalók a Cuprior szedése előtt </w:t>
      </w:r>
    </w:p>
    <w:p w14:paraId="2ED2EE44" w14:textId="77777777" w:rsidR="00842497" w:rsidRPr="00FD60FD" w:rsidRDefault="00842497" w:rsidP="00842497">
      <w:pPr>
        <w:rPr>
          <w:noProof/>
        </w:rPr>
      </w:pPr>
    </w:p>
    <w:p w14:paraId="6D0B7C0B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FD60FD">
        <w:rPr>
          <w:b/>
        </w:rPr>
        <w:t>Ne szedje a Cuprior-</w:t>
      </w:r>
      <w:r w:rsidRPr="00FD60FD">
        <w:rPr>
          <w:b/>
        </w:rPr>
        <w:t>t:</w:t>
      </w:r>
    </w:p>
    <w:p w14:paraId="6CA2ADED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FD60FD">
        <w:t xml:space="preserve">ha allergiás a trientinre vagy a gyógyszer (6. pontban felsorolt) egyéb összetevőjére. </w:t>
      </w:r>
    </w:p>
    <w:p w14:paraId="37F747B9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248749F8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FD60FD">
        <w:rPr>
          <w:b/>
        </w:rPr>
        <w:t xml:space="preserve">Figyelmeztetések és óvintézkedések </w:t>
      </w:r>
    </w:p>
    <w:p w14:paraId="752D66B0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FD60FD">
        <w:t>A Cuprior szedése előtt beszéljen kezelőorvosával vagy gyógyszerészével.</w:t>
      </w:r>
    </w:p>
    <w:p w14:paraId="69C96599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6E4B7B91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>Amennyiben már szedett egy másik trientin típusú gyógy</w:t>
      </w:r>
      <w:r w:rsidRPr="00FD60FD">
        <w:t xml:space="preserve">szert, a kezelőorvosa módosíthatja a napi adagját, a tabletták számát vagy a napi gyógyszerszedések számát, ha átállítja Önt Cuprior kezelésre. </w:t>
      </w:r>
    </w:p>
    <w:p w14:paraId="60D05379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331F3514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lastRenderedPageBreak/>
        <w:t>A kezelés megkezdése után a tünetei először rosszabbodhatnak. Ha ez történik, feltétlenül tájékoztassa kezelőo</w:t>
      </w:r>
      <w:r w:rsidRPr="00FD60FD">
        <w:t>rvosát.</w:t>
      </w:r>
    </w:p>
    <w:p w14:paraId="4F441E3A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348685F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 xml:space="preserve">A kezelőorvosa rendszeresen ellenőrizni fogja az Ön vérét és vizeletét annak biztosítására, hogy Ön a helyes Cuprior adagot kapja a tünetek és a rézszint megfelelő szabályozása érdekében. </w:t>
      </w:r>
    </w:p>
    <w:p w14:paraId="0BD8BB10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48D1149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>Beszéljen kezelőorvosával, ha bármilyen mellékhatás jelentkezik, m</w:t>
      </w:r>
      <w:r w:rsidRPr="00FD60FD">
        <w:t xml:space="preserve">ivel ez arra utalhat, hogy a Cuprior adagját emelni vagy csökkenteni kell. </w:t>
      </w:r>
    </w:p>
    <w:p w14:paraId="02DCD809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6D58702D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Ez a gyógyszer csökkentheti a vas szintjét is az Ön vérében, és a kezelőorvosa vaspótló készítményt írhat fel az Ön számára (lásd az „Egyéb gyógyszerek és a Cuprior” pontot alább)</w:t>
      </w:r>
      <w:r w:rsidRPr="00FD60FD">
        <w:t>.</w:t>
      </w:r>
    </w:p>
    <w:p w14:paraId="74D4588F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15655F8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Amennyiben Önnek veseproblémái vannak, a kezelőorvosa rendszeresen ellenőrizni fogja, hogy a terápiás adag megfelelő, és nem befolyásolja az Ön veséje működését.</w:t>
      </w:r>
    </w:p>
    <w:p w14:paraId="382CD3DA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AC813FC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 xml:space="preserve">A trientin és egy másik, cinket tartalmazó gyógyszer együttes alkalmazása nem javasolt. </w:t>
      </w:r>
    </w:p>
    <w:p w14:paraId="58B37074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6EDFE09" w14:textId="77777777" w:rsidR="00842497" w:rsidRPr="00FD60FD" w:rsidRDefault="00286521" w:rsidP="00842497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</w:rPr>
      </w:pPr>
      <w:r w:rsidRPr="00FD60FD">
        <w:t>Lupuszhoz hasonló reakciókról (a tünetek között szerepelhet tartós bőrkiütés, láz, ízületi fájdalom és fáradtság) számoltak be egyes betegeknél, akiknek a kezelését egy penicillamin készítményről trientin gyógyszerre állították át. Azonban nem lehetett meg</w:t>
      </w:r>
      <w:r w:rsidRPr="00FD60FD">
        <w:t xml:space="preserve">határozni, hogy a reakció a trientin vagy a korábbi penicillamin kezelés következménye volt-e. </w:t>
      </w:r>
    </w:p>
    <w:p w14:paraId="23378EB1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569D3AD" w14:textId="77777777" w:rsidR="00842497" w:rsidRPr="00FD60FD" w:rsidRDefault="00286521" w:rsidP="00842497">
      <w:pPr>
        <w:rPr>
          <w:rFonts w:eastAsia="SimSun"/>
          <w:b/>
          <w:bCs/>
          <w:szCs w:val="22"/>
        </w:rPr>
      </w:pPr>
      <w:r w:rsidRPr="00FD60FD">
        <w:rPr>
          <w:b/>
        </w:rPr>
        <w:t>Gyermekek és serdülők</w:t>
      </w:r>
    </w:p>
    <w:p w14:paraId="67EA503D" w14:textId="77777777" w:rsidR="00842497" w:rsidRPr="00FD60FD" w:rsidRDefault="00286521" w:rsidP="00842497">
      <w:pPr>
        <w:rPr>
          <w:noProof/>
          <w:szCs w:val="22"/>
        </w:rPr>
      </w:pPr>
      <w:r w:rsidRPr="00FD60FD">
        <w:t>A kezelőorvosa gyakrabban fogja elvégezni az ellenőrzéseket annak biztosítása érdekében, hogy az Ön rézszintje a normális növekedéshez és</w:t>
      </w:r>
      <w:r w:rsidRPr="00FD60FD">
        <w:t xml:space="preserve"> szellemi fejlődéshez megfelelő szinten maradjon. </w:t>
      </w:r>
    </w:p>
    <w:p w14:paraId="23151D70" w14:textId="77777777" w:rsidR="00842497" w:rsidRPr="00FD60FD" w:rsidRDefault="00286521" w:rsidP="00842497">
      <w:pPr>
        <w:rPr>
          <w:noProof/>
          <w:szCs w:val="22"/>
        </w:rPr>
      </w:pPr>
      <w:r w:rsidRPr="00FD60FD">
        <w:t>Ez a gyógyszer 5 évesnél fiatalabb gyermekek számára nem javasolt.</w:t>
      </w:r>
    </w:p>
    <w:p w14:paraId="7C170D07" w14:textId="77777777" w:rsidR="00842497" w:rsidRPr="00FD60FD" w:rsidRDefault="00842497" w:rsidP="00842497">
      <w:pPr>
        <w:rPr>
          <w:noProof/>
          <w:szCs w:val="22"/>
          <w:highlight w:val="yellow"/>
        </w:rPr>
      </w:pPr>
    </w:p>
    <w:p w14:paraId="1B5BC05A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FD60FD">
        <w:rPr>
          <w:b/>
        </w:rPr>
        <w:t>Egyéb gyógyszerek és a Cuprior</w:t>
      </w:r>
    </w:p>
    <w:p w14:paraId="29EF0B72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Feltétlenül tájékoztassa kezelőorvosát a jelenleg vagy nemrégiben alkalmazott, valamint alkalmazni terveze</w:t>
      </w:r>
      <w:r w:rsidRPr="00FD60FD">
        <w:t xml:space="preserve">tt egyéb gyógyszereiről. </w:t>
      </w:r>
    </w:p>
    <w:p w14:paraId="5296EA95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2B22BA0" w14:textId="77777777" w:rsidR="00842497" w:rsidRPr="00FD60FD" w:rsidRDefault="00286521" w:rsidP="00842497">
      <w:pPr>
        <w:rPr>
          <w:noProof/>
          <w:szCs w:val="22"/>
        </w:rPr>
      </w:pPr>
      <w:r w:rsidRPr="00FD60FD">
        <w:t>Különösen azt mondja el kezelőorvosának, ha már szed vaspótló gyógyszert, illetve emésztési problémákra szolgáló gyógyszereket (olyan gyógyszerek, amelyek csökkentik az étkezés után fellépő kellemetlen érzést). Amennyiben ilyen g</w:t>
      </w:r>
      <w:r w:rsidRPr="00FD60FD">
        <w:t xml:space="preserve">yógyszereket szed, szükség lehet arra, hogy a Cuprior-t a nap eltérő időpontjában vegye be, mivel ellenkező esetben a Cuprior esetleg nem lesz olyan hatásos. Amennyiben Ön vaspótló készítményt szed, ügyeljen arra, hogy legalább két óra teljen el a Cuprior </w:t>
      </w:r>
      <w:r w:rsidRPr="00FD60FD">
        <w:t>és a vaspótló készítmény bevétele között.</w:t>
      </w:r>
    </w:p>
    <w:p w14:paraId="08405645" w14:textId="77777777" w:rsidR="00842497" w:rsidRPr="00FD60FD" w:rsidRDefault="00842497" w:rsidP="00842497">
      <w:pPr>
        <w:rPr>
          <w:noProof/>
          <w:szCs w:val="22"/>
        </w:rPr>
      </w:pPr>
    </w:p>
    <w:p w14:paraId="273A50F0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FD60FD">
        <w:rPr>
          <w:b/>
        </w:rPr>
        <w:t xml:space="preserve">Terhesség és szoptatás </w:t>
      </w:r>
    </w:p>
    <w:p w14:paraId="033FD6AE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FD60FD">
        <w:t xml:space="preserve">Ha Ön terhes vagy szoptat, illetve ha fennáll Önnél a terhesség lehetősége vagy gyermeket szeretne, a gyógyszer alkalmazása előtt beszéljen kezelőorvosával. </w:t>
      </w:r>
    </w:p>
    <w:p w14:paraId="431B9116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399E036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FD60FD">
        <w:t>Nagyon fontos, hogy a terhesség ideje alatt folytassa a rézcsökkentő kezelést. Önnek és kezelőorv</w:t>
      </w:r>
      <w:r w:rsidRPr="00FD60FD">
        <w:t>osának részletesen meg kell beszélniük a kezelés előnyeit és mérlegelniük a lehetséges kockázatokat, amelyek felléphetnek. A kezelőorvosa tanácsot fog adni Önnek, hogy melyik kezelés és melyik adag a legjobb az Ön helyzetében.</w:t>
      </w:r>
    </w:p>
    <w:p w14:paraId="113B36EF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27B734F5" w14:textId="77777777" w:rsidR="00842497" w:rsidRPr="00FD60FD" w:rsidRDefault="00286521" w:rsidP="00842497">
      <w:pPr>
        <w:rPr>
          <w:noProof/>
          <w:szCs w:val="22"/>
        </w:rPr>
      </w:pPr>
      <w:r w:rsidRPr="00FD60FD">
        <w:t>Amennyiben Ön várandós és Cu</w:t>
      </w:r>
      <w:r w:rsidRPr="00FD60FD">
        <w:t xml:space="preserve">prior-t szed, a terhesség alatt végig ellenőrizni fogják a magzatra gyakorolt hatásokat, illetve a rézszint változásait. Amikor a gyermeke megszületik, a gyermek vérében szintén ellenőrizni fogják a rézszintet. </w:t>
      </w:r>
    </w:p>
    <w:p w14:paraId="3A777571" w14:textId="77777777" w:rsidR="00842497" w:rsidRPr="00FD60FD" w:rsidRDefault="00842497" w:rsidP="00842497">
      <w:pPr>
        <w:rPr>
          <w:noProof/>
          <w:szCs w:val="22"/>
        </w:rPr>
      </w:pPr>
    </w:p>
    <w:p w14:paraId="13E1531C" w14:textId="77777777" w:rsidR="00842497" w:rsidRPr="00FD60FD" w:rsidRDefault="00286521" w:rsidP="00842497">
      <w:pPr>
        <w:rPr>
          <w:noProof/>
          <w:szCs w:val="22"/>
        </w:rPr>
      </w:pPr>
      <w:r w:rsidRPr="00FD60FD">
        <w:t>Nem ismert, hogy a Cuprior átjut-e az anyat</w:t>
      </w:r>
      <w:r w:rsidRPr="00FD60FD">
        <w:t>ejbe. Fontos, hogy tájékoztassa kezelőorvosát, ha Ön szoptat vagy szoptatást tervez. A kezelőorvosa segíteni fog Önnek eldönteni, hogy a szoptatást hagyja abba, vagy a Cuprior szedését állítja le, mérlegelve a szoptatás gyermeke számára, valamint a Cuprior</w:t>
      </w:r>
      <w:r w:rsidRPr="00FD60FD">
        <w:t xml:space="preserve"> az anya számára nyújtott előnyeit. A kezelőorvosa fogja eldönteni, hogy melyik kezelés és melyik adag a legjobb az Ön helyzetében.</w:t>
      </w:r>
    </w:p>
    <w:p w14:paraId="463E1198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5635C571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FD60FD">
        <w:rPr>
          <w:b/>
        </w:rPr>
        <w:lastRenderedPageBreak/>
        <w:t>A készítmény hatásai a gépjárművezetéshez és a gépek kezeléséhez szükséges képességekre</w:t>
      </w:r>
    </w:p>
    <w:p w14:paraId="67E455FE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A Cuprior-nak várhatóan nincs hatás</w:t>
      </w:r>
      <w:r w:rsidRPr="00FD60FD">
        <w:t>a az Ön gépjárművezetéshez és a gépek kezeléséhez szükséges képességeire.</w:t>
      </w:r>
    </w:p>
    <w:p w14:paraId="3DC3D83A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D4AF294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F48D282" w14:textId="77777777" w:rsidR="00842497" w:rsidRPr="00FD60FD" w:rsidRDefault="00286521" w:rsidP="00842497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FD60FD">
        <w:rPr>
          <w:b/>
          <w:noProof/>
        </w:rPr>
        <w:t>Hogyan kell szedni a Cuprior-t?</w:t>
      </w:r>
    </w:p>
    <w:p w14:paraId="07C0AEA8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5F905F4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A gyógyszert mindig a kezelőorvosa vagy gyógyszerésze által elmondottaknak megfelelően szedje. Amennyiben nem biztos az adagolást illetően, kérdezz</w:t>
      </w:r>
      <w:r w:rsidRPr="00FD60FD">
        <w:t xml:space="preserve">e meg kezelőorvosát vagy gyógyszerészét. </w:t>
      </w:r>
    </w:p>
    <w:p w14:paraId="3D66077B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E39C91C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Felnőtteknél minden életkorban a javasolt teljes napi adag 3-6</w:t>
      </w:r>
      <w:r w:rsidRPr="00FD60FD">
        <w:rPr>
          <w:b/>
        </w:rPr>
        <w:t>½</w:t>
      </w:r>
      <w:r w:rsidRPr="00FD60FD">
        <w:t xml:space="preserve"> tabletta naponta (összesen 450</w:t>
      </w:r>
      <w:r w:rsidRPr="00FD60FD">
        <w:noBreakHyphen/>
        <w:t>975 mg között). Ezt a teljes napi adagot 2-4 kisebb adagra kell osztani, amelyeket a nap folyamán kell bevenni. A keze</w:t>
      </w:r>
      <w:r w:rsidRPr="00FD60FD">
        <w:t>lőorvosa tájékoztatni fogja Önt, hogy hány tablettát és milyen gyakran kell bevennie a nap folyamán. A tabletták szükség esetén félbetörhetők.</w:t>
      </w:r>
    </w:p>
    <w:p w14:paraId="59E4FF54" w14:textId="77777777" w:rsidR="00842497" w:rsidRPr="00FD60FD" w:rsidRDefault="00842497" w:rsidP="00842497">
      <w:pPr>
        <w:rPr>
          <w:noProof/>
          <w:szCs w:val="22"/>
        </w:rPr>
      </w:pPr>
    </w:p>
    <w:p w14:paraId="41241048" w14:textId="77777777" w:rsidR="00842497" w:rsidRPr="00FD60FD" w:rsidRDefault="00286521" w:rsidP="00842497">
      <w:pPr>
        <w:keepNext/>
        <w:autoSpaceDE w:val="0"/>
        <w:autoSpaceDN w:val="0"/>
        <w:adjustRightInd w:val="0"/>
        <w:spacing w:line="240" w:lineRule="auto"/>
        <w:rPr>
          <w:b/>
          <w:bCs/>
          <w:szCs w:val="22"/>
        </w:rPr>
      </w:pPr>
      <w:r w:rsidRPr="00FD60FD">
        <w:rPr>
          <w:b/>
        </w:rPr>
        <w:t>Alkalmazása gyermekeknél és serdülőknél</w:t>
      </w:r>
    </w:p>
    <w:p w14:paraId="1F918109" w14:textId="77777777" w:rsidR="00842497" w:rsidRPr="00FD60FD" w:rsidRDefault="00286521" w:rsidP="00842497">
      <w:pPr>
        <w:rPr>
          <w:noProof/>
          <w:szCs w:val="22"/>
        </w:rPr>
      </w:pPr>
      <w:r w:rsidRPr="00FD60FD">
        <w:t>Az adag, amit Ön szedni fog, általában alacsonyabb, mint egy felnőtt ese</w:t>
      </w:r>
      <w:r w:rsidRPr="00FD60FD">
        <w:t xml:space="preserve">tében, és az Ön életkorától és testsúlyától függ. </w:t>
      </w:r>
    </w:p>
    <w:p w14:paraId="2C0FF8CF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A szokásos teljes napi adag 225-600 mg (1</w:t>
      </w:r>
      <w:r w:rsidRPr="00FD60FD">
        <w:rPr>
          <w:b/>
        </w:rPr>
        <w:t>½</w:t>
      </w:r>
      <w:r w:rsidRPr="00FD60FD">
        <w:t>-4 tabletta naponta) között van, amelyet 2-4 kisebb adagra osztanak fel, amelyeket a nap folyamán kell bevenni. A kezelőorvosa tájékoztatni fogja Önt, hogy hány ta</w:t>
      </w:r>
      <w:r w:rsidRPr="00FD60FD">
        <w:t>blettát és milyen gyakran kell bevennie a nap folyamán.</w:t>
      </w:r>
    </w:p>
    <w:p w14:paraId="7BC8DC10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3AF3ADC" w14:textId="77777777" w:rsidR="00842497" w:rsidRPr="00FD60FD" w:rsidRDefault="00286521" w:rsidP="00842497">
      <w:pPr>
        <w:rPr>
          <w:noProof/>
          <w:szCs w:val="22"/>
        </w:rPr>
      </w:pPr>
      <w:r w:rsidRPr="00FD60FD">
        <w:t>Amint megkezdte a kezelést, a kezelőorvosa a kezelésre adott válasz alapján módosíthatja az adagot.</w:t>
      </w:r>
    </w:p>
    <w:p w14:paraId="5471FD3C" w14:textId="77777777" w:rsidR="00842497" w:rsidRPr="00FD60FD" w:rsidRDefault="00842497" w:rsidP="00842497">
      <w:pPr>
        <w:rPr>
          <w:noProof/>
          <w:szCs w:val="22"/>
        </w:rPr>
      </w:pPr>
    </w:p>
    <w:p w14:paraId="340CD58B" w14:textId="77777777" w:rsidR="00842497" w:rsidRPr="00FD60FD" w:rsidRDefault="00286521" w:rsidP="00842497">
      <w:pPr>
        <w:rPr>
          <w:szCs w:val="22"/>
        </w:rPr>
      </w:pPr>
      <w:r w:rsidRPr="00FD60FD">
        <w:t xml:space="preserve">A gyógyszert vízzel, éhgyomorra kell lenyelni, legalább egy órával az étkezés előtt vagy két </w:t>
      </w:r>
      <w:r w:rsidRPr="00FD60FD">
        <w:t>órával utána, és legalább egy órával minden más gyógyszer, étel vagy tej fogyasztása előtt vagy után.</w:t>
      </w:r>
    </w:p>
    <w:p w14:paraId="6B68FACD" w14:textId="77777777" w:rsidR="00842497" w:rsidRPr="00FD60FD" w:rsidRDefault="00842497" w:rsidP="00842497">
      <w:pPr>
        <w:rPr>
          <w:szCs w:val="22"/>
        </w:rPr>
      </w:pPr>
    </w:p>
    <w:p w14:paraId="356A8B5A" w14:textId="77777777" w:rsidR="00842497" w:rsidRPr="00FD60FD" w:rsidRDefault="00286521" w:rsidP="00842497">
      <w:pPr>
        <w:rPr>
          <w:noProof/>
          <w:szCs w:val="22"/>
        </w:rPr>
      </w:pPr>
      <w:r w:rsidRPr="00FD60FD">
        <w:t>Amennyiben Ön vaspótló készítményt szed, azt legalább két órával a Cuprior adagjának bevétele után szedje be.</w:t>
      </w:r>
    </w:p>
    <w:p w14:paraId="5370BF5B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769E0B9" w14:textId="77777777" w:rsidR="00842497" w:rsidRPr="00FD60FD" w:rsidRDefault="00286521" w:rsidP="00842497">
      <w:pPr>
        <w:rPr>
          <w:b/>
          <w:szCs w:val="22"/>
        </w:rPr>
      </w:pPr>
      <w:r w:rsidRPr="00FD60FD">
        <w:rPr>
          <w:b/>
        </w:rPr>
        <w:t>Ha az előírtnál több Cuprior-t vett be</w:t>
      </w:r>
    </w:p>
    <w:p w14:paraId="23DEEACE" w14:textId="77777777" w:rsidR="00842497" w:rsidRPr="00FD60FD" w:rsidRDefault="00286521" w:rsidP="00842497">
      <w:pPr>
        <w:rPr>
          <w:szCs w:val="22"/>
        </w:rPr>
      </w:pPr>
      <w:r w:rsidRPr="00FD60FD">
        <w:t>Kiz</w:t>
      </w:r>
      <w:r w:rsidRPr="00FD60FD">
        <w:t>árólag az előírásnak megfelelően szedje a Cuprior-t. Amennyiben úgy gondolja, hogy az előírtnál több Cuprior-t vett be, forduljon kezelőorvosához vagy gyógyszerészéhez.</w:t>
      </w:r>
    </w:p>
    <w:p w14:paraId="39E2B342" w14:textId="77777777" w:rsidR="00842497" w:rsidRPr="00FD60FD" w:rsidRDefault="00842497" w:rsidP="00842497">
      <w:pPr>
        <w:rPr>
          <w:noProof/>
          <w:szCs w:val="22"/>
        </w:rPr>
      </w:pPr>
    </w:p>
    <w:p w14:paraId="4903BD53" w14:textId="77777777" w:rsidR="00842497" w:rsidRPr="00FD60FD" w:rsidRDefault="00286521" w:rsidP="00842497">
      <w:pPr>
        <w:rPr>
          <w:b/>
          <w:szCs w:val="22"/>
        </w:rPr>
      </w:pPr>
      <w:r w:rsidRPr="00FD60FD">
        <w:rPr>
          <w:b/>
        </w:rPr>
        <w:t>Ha elfelejtette bevenni a Cuprior-t</w:t>
      </w:r>
    </w:p>
    <w:p w14:paraId="2F82E488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Ne vegyen be kétszeres adagot a kihagyott adag pót</w:t>
      </w:r>
      <w:r w:rsidRPr="00FD60FD">
        <w:t>lására. Csak vegye be a következő adagot a következő tervezett időpontban.</w:t>
      </w:r>
    </w:p>
    <w:p w14:paraId="4B8604E8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6F770767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FD60FD">
        <w:t>Ha bármilyen további kérdése van a gyógyszer alkalmazásával kapcsolatban, kérdezze meg kezelőorvosát vagy gyógyszerészét.</w:t>
      </w:r>
    </w:p>
    <w:p w14:paraId="4463F36D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97E83EC" w14:textId="77777777" w:rsidR="00842497" w:rsidRPr="00FD60FD" w:rsidRDefault="00286521" w:rsidP="00842497">
      <w:pPr>
        <w:rPr>
          <w:b/>
          <w:szCs w:val="22"/>
        </w:rPr>
      </w:pPr>
      <w:r w:rsidRPr="00FD60FD">
        <w:rPr>
          <w:b/>
        </w:rPr>
        <w:t>Ha idő előtt abbahagyja a Cuprior szedését</w:t>
      </w:r>
    </w:p>
    <w:p w14:paraId="1597E115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Ez a gyógyszer</w:t>
      </w:r>
      <w:r w:rsidRPr="00FD60FD">
        <w:t xml:space="preserve"> hosszú távú kezelésre szolgál. Ne hagyja abba a kezelést anélkül, hogy kezelőorvosa ezt tanácsolná Önnek, még akkor sem, ha jobban érzi magát, mivel a Wilson-kór egy élethosszig tartó betegség.</w:t>
      </w:r>
    </w:p>
    <w:p w14:paraId="7EA2AF21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highlight w:val="yellow"/>
        </w:rPr>
      </w:pPr>
    </w:p>
    <w:p w14:paraId="42257049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szCs w:val="22"/>
        </w:rPr>
      </w:pPr>
      <w:r w:rsidRPr="00FD60FD">
        <w:t xml:space="preserve">Ha bármilyen további kérdése van a gyógyszer alkalmazásával </w:t>
      </w:r>
      <w:r w:rsidRPr="00FD60FD">
        <w:t>kapcsolatban, kérdezze meg kezelőorvosát vagy gyógyszerészét.</w:t>
      </w:r>
    </w:p>
    <w:p w14:paraId="31517E8E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E70E5DB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6C2EB4FC" w14:textId="77777777" w:rsidR="00842497" w:rsidRPr="00FD60FD" w:rsidRDefault="00286521" w:rsidP="00842497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FD60FD">
        <w:rPr>
          <w:b/>
          <w:noProof/>
        </w:rPr>
        <w:t>Lehetséges mellékhatások</w:t>
      </w:r>
    </w:p>
    <w:p w14:paraId="56E20AC0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38C35479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Mint minden gyógyszer, így ez a gyógyszer is okozhat mellékhatásokat, amelyek azonban nem mindenkinél jelentkeznek.</w:t>
      </w:r>
    </w:p>
    <w:p w14:paraId="388C6EF0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7E88C3E0" w14:textId="77777777" w:rsidR="00842497" w:rsidRPr="00FD60FD" w:rsidRDefault="00286521" w:rsidP="00842497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lastRenderedPageBreak/>
        <w:t>Az alábbi mellékhatásokról számoltak be:</w:t>
      </w:r>
    </w:p>
    <w:p w14:paraId="5FCF6EA5" w14:textId="77777777" w:rsidR="00842497" w:rsidRPr="00FD60FD" w:rsidRDefault="00842497" w:rsidP="00842497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33D49CF7" w14:textId="77777777" w:rsidR="00842497" w:rsidRPr="00FD60FD" w:rsidRDefault="00286521" w:rsidP="00842497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FD60FD">
        <w:rPr>
          <w:i/>
          <w:noProof/>
        </w:rPr>
        <w:t>Gyakori (10 beteg közül legfeljebb 1</w:t>
      </w:r>
      <w:r w:rsidRPr="00FD60FD">
        <w:rPr>
          <w:i/>
          <w:noProof/>
        </w:rPr>
        <w:noBreakHyphen/>
        <w:t>nél jelentkezhet)</w:t>
      </w:r>
    </w:p>
    <w:p w14:paraId="7E966E38" w14:textId="77777777" w:rsidR="00842497" w:rsidRPr="00FD60FD" w:rsidRDefault="00286521" w:rsidP="00842497">
      <w:pPr>
        <w:keepNext/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 xml:space="preserve">hányinger </w:t>
      </w:r>
    </w:p>
    <w:p w14:paraId="6C0F46EA" w14:textId="77777777" w:rsidR="00842497" w:rsidRPr="00FD60FD" w:rsidRDefault="00842497" w:rsidP="00842497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</w:p>
    <w:p w14:paraId="2120607E" w14:textId="77777777" w:rsidR="00842497" w:rsidRPr="00FD60FD" w:rsidRDefault="00286521" w:rsidP="00842497">
      <w:pPr>
        <w:keepNext/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FD60FD">
        <w:rPr>
          <w:i/>
          <w:noProof/>
        </w:rPr>
        <w:t>Nem gyakori (100 beteg közül legfeljebb 1-nél jelentkezhet)</w:t>
      </w:r>
    </w:p>
    <w:p w14:paraId="72228163" w14:textId="77777777" w:rsidR="00842497" w:rsidRPr="00FD60FD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bőrkiütés</w:t>
      </w:r>
    </w:p>
    <w:p w14:paraId="30CA94F9" w14:textId="21762131" w:rsidR="00842497" w:rsidRPr="000C1F48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viszketés</w:t>
      </w:r>
    </w:p>
    <w:p w14:paraId="4BE417DC" w14:textId="41335FED" w:rsidR="000C1F48" w:rsidRPr="00FD60FD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0C1F48">
        <w:rPr>
          <w:noProof/>
          <w:szCs w:val="22"/>
        </w:rPr>
        <w:t>anaemia</w:t>
      </w:r>
    </w:p>
    <w:p w14:paraId="66C1DE69" w14:textId="77777777" w:rsidR="00842497" w:rsidRPr="00FD60FD" w:rsidRDefault="00842497" w:rsidP="00842497">
      <w:pPr>
        <w:tabs>
          <w:tab w:val="clear" w:pos="567"/>
        </w:tabs>
        <w:spacing w:line="240" w:lineRule="auto"/>
        <w:ind w:left="360" w:right="-29"/>
        <w:rPr>
          <w:noProof/>
          <w:szCs w:val="22"/>
        </w:rPr>
      </w:pPr>
    </w:p>
    <w:p w14:paraId="367E46B3" w14:textId="77777777" w:rsidR="00842497" w:rsidRPr="00FD60FD" w:rsidRDefault="00286521" w:rsidP="00842497">
      <w:pPr>
        <w:tabs>
          <w:tab w:val="clear" w:pos="567"/>
        </w:tabs>
        <w:spacing w:line="240" w:lineRule="auto"/>
        <w:ind w:right="-29"/>
        <w:rPr>
          <w:i/>
          <w:noProof/>
          <w:szCs w:val="22"/>
        </w:rPr>
      </w:pPr>
      <w:r w:rsidRPr="00FD60FD">
        <w:rPr>
          <w:i/>
          <w:noProof/>
        </w:rPr>
        <w:t>Nem ismert (a gyakoriság a rendelkezésre álló adatokból nem állapítható meg)</w:t>
      </w:r>
    </w:p>
    <w:p w14:paraId="256B11BA" w14:textId="77777777" w:rsidR="00842497" w:rsidRPr="00FD60FD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 xml:space="preserve">gyomorbántalom és kellemetlen érzés, beleértve a súlyos gyomorfájdalmat (patkóbél-gyulladás) </w:t>
      </w:r>
    </w:p>
    <w:p w14:paraId="1793D81A" w14:textId="77777777" w:rsidR="00842497" w:rsidRPr="00FD60FD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bélgyulladás, amely például hasi fájdalomhoz, visszatérő hasmenéshez és véres széklethez vezethet (vastagbél-gyulladás)</w:t>
      </w:r>
    </w:p>
    <w:p w14:paraId="1DD61485" w14:textId="558283B8" w:rsidR="00842497" w:rsidRPr="00FD60FD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a vérben a vörösvértestek számának csökken</w:t>
      </w:r>
      <w:r w:rsidRPr="00FD60FD">
        <w:t xml:space="preserve">ése az alacsony vasszint miatt (vashiányos) </w:t>
      </w:r>
    </w:p>
    <w:p w14:paraId="38DDF933" w14:textId="77777777" w:rsidR="00842497" w:rsidRPr="00FD60FD" w:rsidRDefault="00286521" w:rsidP="00842497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FD60FD">
        <w:t>csalánkiütés.</w:t>
      </w:r>
    </w:p>
    <w:p w14:paraId="36ADECEC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14:paraId="4966F9F1" w14:textId="77777777" w:rsidR="00842497" w:rsidRPr="00FD60FD" w:rsidRDefault="00286521" w:rsidP="00842497">
      <w:pPr>
        <w:rPr>
          <w:b/>
          <w:szCs w:val="22"/>
        </w:rPr>
      </w:pPr>
      <w:r w:rsidRPr="00FD60FD">
        <w:rPr>
          <w:b/>
        </w:rPr>
        <w:t>Mellékhatások bejelentése</w:t>
      </w:r>
    </w:p>
    <w:p w14:paraId="0E8F7516" w14:textId="77777777" w:rsidR="00842497" w:rsidRPr="00FD60FD" w:rsidRDefault="00286521" w:rsidP="00842497">
      <w:pPr>
        <w:pStyle w:val="BodytextAgency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D60FD">
        <w:rPr>
          <w:rFonts w:ascii="Times New Roman" w:hAnsi="Times New Roman" w:cs="Times New Roman"/>
          <w:noProof/>
          <w:sz w:val="22"/>
        </w:rPr>
        <w:t>Ha Önnél bármilyen mellékhatás jelentkezik, tájékoztassa kezelőorvosát vagy gyógyszerészét.</w:t>
      </w:r>
      <w:r w:rsidRPr="00FD60FD">
        <w:rPr>
          <w:rFonts w:ascii="Times New Roman" w:hAnsi="Times New Roman" w:cs="Times New Roman"/>
          <w:color w:val="FF0000"/>
          <w:sz w:val="22"/>
        </w:rPr>
        <w:t xml:space="preserve"> </w:t>
      </w:r>
      <w:r w:rsidRPr="00FD60FD">
        <w:rPr>
          <w:rFonts w:ascii="Times New Roman" w:hAnsi="Times New Roman" w:cs="Times New Roman"/>
          <w:noProof/>
          <w:sz w:val="22"/>
        </w:rPr>
        <w:t xml:space="preserve">Ez a betegtájékoztatóban fel nem sorolt bármilyen lehetséges mellékhatásra is vonatkozik. A mellékhatásokat közvetlenül a hatóság részére is bejelentheti az </w:t>
      </w:r>
      <w:hyperlink r:id="rId15" w:history="1">
        <w:r w:rsidRPr="00FD60FD">
          <w:rPr>
            <w:rStyle w:val="Hyperlink"/>
            <w:rFonts w:ascii="Times New Roman" w:hAnsi="Times New Roman" w:cs="Times New Roman"/>
            <w:sz w:val="22"/>
            <w:highlight w:val="lightGray"/>
          </w:rPr>
          <w:t>V. függelékben</w:t>
        </w:r>
      </w:hyperlink>
      <w:r w:rsidRPr="00FD60FD">
        <w:rPr>
          <w:rFonts w:ascii="Times New Roman" w:hAnsi="Times New Roman" w:cs="Times New Roman"/>
          <w:sz w:val="22"/>
        </w:rPr>
        <w:t xml:space="preserve"> található elérhetőségeken keresztül. A mellékhatások bejelentésével Ön is hozzájárulhat ahhoz, hogy minél több információ álljon rendelkezésre a gyógyszer biztonságos alkalmazásával kapcsolatban.</w:t>
      </w:r>
    </w:p>
    <w:p w14:paraId="308B7B00" w14:textId="77777777" w:rsidR="00842497" w:rsidRPr="00FD60FD" w:rsidRDefault="00842497" w:rsidP="00842497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71FA76B4" w14:textId="77777777" w:rsidR="00842497" w:rsidRPr="00FD60FD" w:rsidRDefault="00842497" w:rsidP="00842497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30A8D113" w14:textId="77777777" w:rsidR="00842497" w:rsidRPr="00FD60FD" w:rsidRDefault="00286521" w:rsidP="00842497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FD60FD">
        <w:rPr>
          <w:b/>
          <w:noProof/>
        </w:rPr>
        <w:t>Hogyan kell a Cuprior-t tárolni?</w:t>
      </w:r>
    </w:p>
    <w:p w14:paraId="57699F24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A0B0EBC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A gyógyszer gyermekektől elzárva tartandó!</w:t>
      </w:r>
    </w:p>
    <w:p w14:paraId="6540EFED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74148B1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A dobozon és a buborékcsomagoláson feltüntetett lejárati idő („Felhasználható:”) után ne alkalmazza ezt a gyógyszert. A lejárati idő az adott hónap utolsó napjára vonatkozik.</w:t>
      </w:r>
    </w:p>
    <w:p w14:paraId="6E8E6FDC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96648A6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 xml:space="preserve">Ez a gyógyszer nem igényel </w:t>
      </w:r>
      <w:r w:rsidRPr="00FD60FD">
        <w:t>különleges tárolást.</w:t>
      </w:r>
    </w:p>
    <w:p w14:paraId="13FE00B8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26E425A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Semmilyen gyógyszert ne dobjon a szennyvízbe vagy a háztartási hulladékba. Kérdezze meg gyógyszerészét, hogy mit tegyen a már nem használt gyógyszereivel. Ezek az intézkedések elősegítik a környezet védelmét.</w:t>
      </w:r>
    </w:p>
    <w:p w14:paraId="2AF43051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4EE610C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80E1074" w14:textId="77777777" w:rsidR="00842497" w:rsidRPr="00FD60FD" w:rsidRDefault="00286521" w:rsidP="00842497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FD60FD">
        <w:rPr>
          <w:b/>
          <w:noProof/>
        </w:rPr>
        <w:t>A csomagolás tartalma é</w:t>
      </w:r>
      <w:r w:rsidRPr="00FD60FD">
        <w:rPr>
          <w:b/>
          <w:noProof/>
        </w:rPr>
        <w:t>s egyéb információk</w:t>
      </w:r>
    </w:p>
    <w:p w14:paraId="4E9A1F29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09AA4CD4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FD60FD">
        <w:rPr>
          <w:b/>
        </w:rPr>
        <w:t xml:space="preserve">Mit tartalmaz a Cuprior? </w:t>
      </w:r>
    </w:p>
    <w:p w14:paraId="655207D4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 xml:space="preserve">A készítmény hatóanyaga a trientin. </w:t>
      </w:r>
      <w:r w:rsidR="00CE57FB" w:rsidRPr="00FD60FD">
        <w:t>Filmt</w:t>
      </w:r>
      <w:r w:rsidRPr="00FD60FD">
        <w:t>ablettánként</w:t>
      </w:r>
      <w:r w:rsidR="000408E1" w:rsidRPr="00FD60FD">
        <w:t xml:space="preserve"> (tabletta)</w:t>
      </w:r>
      <w:r w:rsidRPr="00FD60FD">
        <w:t xml:space="preserve"> 150 mg trientinnek megfelelő trientin</w:t>
      </w:r>
      <w:r w:rsidRPr="00FD60FD">
        <w:noBreakHyphen/>
        <w:t xml:space="preserve">tetrahidrokloridot tartalmaz. </w:t>
      </w:r>
    </w:p>
    <w:p w14:paraId="17032D4E" w14:textId="77777777" w:rsidR="00CE57FB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FD60FD">
        <w:t>Az egyéb összetevők:</w:t>
      </w:r>
    </w:p>
    <w:p w14:paraId="6FEDC247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FD60FD">
        <w:t>Ta</w:t>
      </w:r>
      <w:r w:rsidR="00485135" w:rsidRPr="00FD60FD">
        <w:t>bl</w:t>
      </w:r>
      <w:r w:rsidRPr="00FD60FD">
        <w:t>ettamag: mannitol, vízmentes kolloid szilícium-dio</w:t>
      </w:r>
      <w:r w:rsidRPr="00FD60FD">
        <w:t>xid és glicerol-dibehenát.</w:t>
      </w:r>
    </w:p>
    <w:p w14:paraId="0F431FCC" w14:textId="77777777" w:rsidR="00CE57FB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rPr>
          <w:noProof/>
          <w:szCs w:val="22"/>
        </w:rPr>
        <w:t>Filmbevonat: polivinil-alkohol, talkum, titán-dioxid (E171), glicerin-monokaprilokaprát (I-es típusú), sárga vas-oxid (E172) és nátrium-laurilszulfát</w:t>
      </w:r>
    </w:p>
    <w:p w14:paraId="1D278E48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18A2A57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FD60FD">
        <w:rPr>
          <w:b/>
        </w:rPr>
        <w:t>Milyen a Cuprior külleme és mit tartalmaz a csomagolás?</w:t>
      </w:r>
    </w:p>
    <w:p w14:paraId="7C86F856" w14:textId="77777777" w:rsidR="00842497" w:rsidRPr="00FD60FD" w:rsidRDefault="00286521" w:rsidP="00842497">
      <w:pPr>
        <w:rPr>
          <w:noProof/>
          <w:szCs w:val="22"/>
        </w:rPr>
      </w:pPr>
      <w:r w:rsidRPr="00FD60FD">
        <w:t>Sárga</w:t>
      </w:r>
      <w:r w:rsidRPr="00FD60FD">
        <w:t>, 16 mm × 8 mm-es, hosszúkás filmtabletta, mindkét oldalán bemetszéssel. A filmtabletta egyenlő adagokra osztható.</w:t>
      </w:r>
    </w:p>
    <w:p w14:paraId="60F1E5F0" w14:textId="77777777" w:rsidR="00842497" w:rsidRPr="00FD60FD" w:rsidRDefault="00842497" w:rsidP="00842497">
      <w:pPr>
        <w:rPr>
          <w:noProof/>
          <w:szCs w:val="22"/>
        </w:rPr>
      </w:pPr>
    </w:p>
    <w:p w14:paraId="3B0F1B34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</w:pPr>
      <w:r w:rsidRPr="00FD60FD">
        <w:t xml:space="preserve">OPA/Alu/PVC-Alu buborékcsomagolás, 8 </w:t>
      </w:r>
      <w:r w:rsidR="00CE57FB" w:rsidRPr="00FD60FD">
        <w:t>film</w:t>
      </w:r>
      <w:r w:rsidRPr="00FD60FD">
        <w:t xml:space="preserve">tabletta buborékcsomagolásonként. </w:t>
      </w:r>
      <w:r w:rsidR="00AA609C" w:rsidRPr="00FD60FD">
        <w:t xml:space="preserve">A Cuprior </w:t>
      </w:r>
      <w:r w:rsidRPr="00FD60FD">
        <w:t xml:space="preserve">72 </w:t>
      </w:r>
      <w:r w:rsidR="00AA609C" w:rsidRPr="00FD60FD">
        <w:t>vagy 96 film</w:t>
      </w:r>
      <w:r w:rsidRPr="00FD60FD">
        <w:t>tablettás kiszerelési egységekben</w:t>
      </w:r>
      <w:r w:rsidR="00AA609C" w:rsidRPr="00FD60FD">
        <w:t xml:space="preserve"> kerül forgalomba</w:t>
      </w:r>
      <w:r w:rsidRPr="00FD60FD">
        <w:t>.</w:t>
      </w:r>
    </w:p>
    <w:p w14:paraId="4D936CC3" w14:textId="77777777" w:rsidR="00AA609C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FD60FD">
        <w:rPr>
          <w:szCs w:val="22"/>
        </w:rPr>
        <w:t>Nem feltétlenül mindegyik kiszerelés kerül kereskedelmi forgalomba.</w:t>
      </w:r>
    </w:p>
    <w:p w14:paraId="2BC04AA2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0AFC01DF" w14:textId="77777777" w:rsidR="00E9585F" w:rsidRPr="00FD60FD" w:rsidRDefault="00E9585F" w:rsidP="00842497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00E07366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FD60FD">
        <w:rPr>
          <w:b/>
        </w:rPr>
        <w:t xml:space="preserve">A forgalomba hozatali engedély jogosultja </w:t>
      </w:r>
    </w:p>
    <w:p w14:paraId="3DB7CA0D" w14:textId="293D80A4" w:rsidR="00842497" w:rsidRPr="00FD60FD" w:rsidRDefault="003B36F7" w:rsidP="00842497">
      <w:pPr>
        <w:rPr>
          <w:szCs w:val="22"/>
        </w:rPr>
      </w:pPr>
      <w:proofErr w:type="spellStart"/>
      <w:r>
        <w:t>Orphalan</w:t>
      </w:r>
      <w:proofErr w:type="spellEnd"/>
    </w:p>
    <w:p w14:paraId="0D2F3209" w14:textId="77777777" w:rsidR="00036F52" w:rsidRPr="00286521" w:rsidRDefault="00286521" w:rsidP="00036F52">
      <w:pPr>
        <w:rPr>
          <w:szCs w:val="22"/>
        </w:rPr>
      </w:pPr>
      <w:r w:rsidRPr="00286521">
        <w:rPr>
          <w:szCs w:val="22"/>
        </w:rPr>
        <w:t xml:space="preserve">226 </w:t>
      </w:r>
      <w:proofErr w:type="spellStart"/>
      <w:r w:rsidRPr="00286521">
        <w:rPr>
          <w:szCs w:val="22"/>
        </w:rPr>
        <w:t>Boulevard</w:t>
      </w:r>
      <w:proofErr w:type="spellEnd"/>
      <w:r w:rsidRPr="00286521">
        <w:rPr>
          <w:szCs w:val="22"/>
        </w:rPr>
        <w:t xml:space="preserve"> Voltaire</w:t>
      </w:r>
    </w:p>
    <w:p w14:paraId="45455B1C" w14:textId="388F8D8A" w:rsidR="00842497" w:rsidRPr="00FD60FD" w:rsidRDefault="00286521" w:rsidP="00842497">
      <w:pPr>
        <w:rPr>
          <w:szCs w:val="22"/>
        </w:rPr>
      </w:pPr>
      <w:r w:rsidRPr="00FD60FD">
        <w:t>7501</w:t>
      </w:r>
      <w:r>
        <w:t>1</w:t>
      </w:r>
      <w:r w:rsidRPr="00FD60FD">
        <w:t xml:space="preserve"> Párizs</w:t>
      </w:r>
    </w:p>
    <w:p w14:paraId="10C5231B" w14:textId="77777777" w:rsidR="00842497" w:rsidRPr="00FD60FD" w:rsidRDefault="00842497" w:rsidP="00842497">
      <w:pPr>
        <w:rPr>
          <w:szCs w:val="22"/>
        </w:rPr>
      </w:pPr>
    </w:p>
    <w:p w14:paraId="75E085CB" w14:textId="77777777" w:rsidR="00842497" w:rsidRPr="00FD60FD" w:rsidRDefault="00286521" w:rsidP="00842497">
      <w:pPr>
        <w:rPr>
          <w:szCs w:val="22"/>
        </w:rPr>
      </w:pPr>
      <w:r w:rsidRPr="00FD60FD">
        <w:t>Franciaország</w:t>
      </w:r>
    </w:p>
    <w:p w14:paraId="4179A56C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2CBF0A1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FD60FD">
        <w:rPr>
          <w:b/>
        </w:rPr>
        <w:t>Gyártó</w:t>
      </w:r>
    </w:p>
    <w:p w14:paraId="14DB4CDF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FD60FD">
        <w:t>Delpharm Evreux</w:t>
      </w:r>
    </w:p>
    <w:p w14:paraId="3C20CE92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FD60FD">
        <w:t>5 rue du Guesclin</w:t>
      </w:r>
    </w:p>
    <w:p w14:paraId="51A17C6C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FD60FD">
        <w:t xml:space="preserve">27000 </w:t>
      </w:r>
      <w:r w:rsidRPr="00FD60FD">
        <w:t>Evreux</w:t>
      </w:r>
    </w:p>
    <w:p w14:paraId="3B2F1CB7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FD60FD">
        <w:t>Franciaország</w:t>
      </w:r>
    </w:p>
    <w:p w14:paraId="196D7E63" w14:textId="77777777" w:rsidR="00842497" w:rsidRPr="00FD60FD" w:rsidRDefault="00842497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035AB2" w14:paraId="7B34F7D8" w14:textId="77777777" w:rsidTr="00842497">
        <w:tc>
          <w:tcPr>
            <w:tcW w:w="4678" w:type="dxa"/>
          </w:tcPr>
          <w:p w14:paraId="189650A4" w14:textId="77777777" w:rsidR="00842497" w:rsidRPr="00FD60FD" w:rsidRDefault="00842497" w:rsidP="00842497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  <w:tc>
          <w:tcPr>
            <w:tcW w:w="4678" w:type="dxa"/>
          </w:tcPr>
          <w:p w14:paraId="59A071A7" w14:textId="77777777" w:rsidR="00842497" w:rsidRPr="00FD60FD" w:rsidRDefault="00842497" w:rsidP="00842497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</w:tr>
    </w:tbl>
    <w:p w14:paraId="3A15140D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FD60FD">
        <w:rPr>
          <w:b/>
        </w:rPr>
        <w:t>A betegtájékoztató legutóbbi felülvizsgálatának dátuma:</w:t>
      </w:r>
    </w:p>
    <w:p w14:paraId="55AF16DB" w14:textId="77777777" w:rsidR="00842497" w:rsidRPr="00FD60FD" w:rsidRDefault="00842497" w:rsidP="00842497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390CAB1F" w14:textId="77777777" w:rsidR="00842497" w:rsidRPr="00FD60FD" w:rsidRDefault="00286521" w:rsidP="0084249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FD60FD">
        <w:rPr>
          <w:b/>
          <w:noProof/>
        </w:rPr>
        <w:t>Egyéb információforrások</w:t>
      </w:r>
    </w:p>
    <w:p w14:paraId="360D9CC1" w14:textId="77777777" w:rsidR="00C27760" w:rsidRPr="00FD60FD" w:rsidRDefault="00286521" w:rsidP="00842497">
      <w:pPr>
        <w:numPr>
          <w:ilvl w:val="12"/>
          <w:numId w:val="0"/>
        </w:numPr>
        <w:spacing w:line="240" w:lineRule="auto"/>
        <w:ind w:right="-2"/>
      </w:pPr>
      <w:r w:rsidRPr="00FD60FD">
        <w:t>A gyógyszerről részletes információ az Európai Gyógyszerügynökség internetes honlapján (</w:t>
      </w:r>
      <w:hyperlink w:history="1">
        <w:r w:rsidRPr="00FD60FD">
          <w:rPr>
            <w:rStyle w:val="Hyperlink"/>
            <w:noProof/>
          </w:rPr>
          <w:t>http://www.ema.europa.eu</w:t>
        </w:r>
      </w:hyperlink>
      <w:r w:rsidRPr="00FD60FD">
        <w:t xml:space="preserve"> található. Ugyanitt más, a ritka betegségekre és kezelésükre vonatkozó információt tartalmazó honlapok címei is megtalálhatók. </w:t>
      </w:r>
    </w:p>
    <w:sectPr w:rsidR="00C27760" w:rsidRPr="00FD60FD" w:rsidSect="00842497">
      <w:footerReference w:type="default" r:id="rId16"/>
      <w:footerReference w:type="first" r:id="rId17"/>
      <w:pgSz w:w="11907" w:h="16840" w:code="9"/>
      <w:pgMar w:top="1134" w:right="1418" w:bottom="1134" w:left="1418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DF3EB" w14:textId="77777777" w:rsidR="00000000" w:rsidRDefault="00286521">
      <w:pPr>
        <w:spacing w:line="240" w:lineRule="auto"/>
      </w:pPr>
      <w:r>
        <w:separator/>
      </w:r>
    </w:p>
  </w:endnote>
  <w:endnote w:type="continuationSeparator" w:id="0">
    <w:p w14:paraId="17902D5E" w14:textId="77777777" w:rsidR="00000000" w:rsidRDefault="00286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54B4B" w14:textId="35473F63" w:rsidR="00842497" w:rsidRDefault="00286521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</w:rPr>
      <w:t>21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4CE9E" w14:textId="0577F853" w:rsidR="00FB0AA6" w:rsidRDefault="00286521">
    <w:pPr>
      <w:pStyle w:val="Footer"/>
      <w:jc w:val="cen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D60FD">
      <w:t>1</w:t>
    </w:r>
    <w:r>
      <w:fldChar w:fldCharType="end"/>
    </w:r>
  </w:p>
  <w:p w14:paraId="29F7693A" w14:textId="77777777" w:rsidR="00842497" w:rsidRDefault="00842497">
    <w:pPr>
      <w:pStyle w:val="Footer"/>
      <w:tabs>
        <w:tab w:val="right" w:pos="8931"/>
      </w:tabs>
      <w:ind w:right="9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D377F" w14:textId="77777777" w:rsidR="00000000" w:rsidRDefault="00286521">
      <w:pPr>
        <w:spacing w:line="240" w:lineRule="auto"/>
      </w:pPr>
      <w:r>
        <w:separator/>
      </w:r>
    </w:p>
  </w:footnote>
  <w:footnote w:type="continuationSeparator" w:id="0">
    <w:p w14:paraId="1D6206A9" w14:textId="77777777" w:rsidR="00000000" w:rsidRDefault="002865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900ED"/>
    <w:multiLevelType w:val="hybridMultilevel"/>
    <w:tmpl w:val="3D08C984"/>
    <w:lvl w:ilvl="0" w:tplc="4DF040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EE73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D7E4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66E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22FDA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6D03D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A3609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F419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E70DD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 w15:restartNumberingAfterBreak="0">
    <w:nsid w:val="05BE74D3"/>
    <w:multiLevelType w:val="hybridMultilevel"/>
    <w:tmpl w:val="80502282"/>
    <w:lvl w:ilvl="0" w:tplc="C2D6134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20C02D2" w:tentative="1">
      <w:start w:val="1"/>
      <w:numFmt w:val="lowerLetter"/>
      <w:lvlText w:val="%2."/>
      <w:lvlJc w:val="left"/>
      <w:pPr>
        <w:ind w:left="1440" w:hanging="360"/>
      </w:pPr>
    </w:lvl>
    <w:lvl w:ilvl="2" w:tplc="85A477D2" w:tentative="1">
      <w:start w:val="1"/>
      <w:numFmt w:val="lowerRoman"/>
      <w:lvlText w:val="%3."/>
      <w:lvlJc w:val="right"/>
      <w:pPr>
        <w:ind w:left="2160" w:hanging="180"/>
      </w:pPr>
    </w:lvl>
    <w:lvl w:ilvl="3" w:tplc="4A8438C8" w:tentative="1">
      <w:start w:val="1"/>
      <w:numFmt w:val="decimal"/>
      <w:lvlText w:val="%4."/>
      <w:lvlJc w:val="left"/>
      <w:pPr>
        <w:ind w:left="2880" w:hanging="360"/>
      </w:pPr>
    </w:lvl>
    <w:lvl w:ilvl="4" w:tplc="B06A88DE" w:tentative="1">
      <w:start w:val="1"/>
      <w:numFmt w:val="lowerLetter"/>
      <w:lvlText w:val="%5."/>
      <w:lvlJc w:val="left"/>
      <w:pPr>
        <w:ind w:left="3600" w:hanging="360"/>
      </w:pPr>
    </w:lvl>
    <w:lvl w:ilvl="5" w:tplc="2D34B20C" w:tentative="1">
      <w:start w:val="1"/>
      <w:numFmt w:val="lowerRoman"/>
      <w:lvlText w:val="%6."/>
      <w:lvlJc w:val="right"/>
      <w:pPr>
        <w:ind w:left="4320" w:hanging="180"/>
      </w:pPr>
    </w:lvl>
    <w:lvl w:ilvl="6" w:tplc="F13E5A22" w:tentative="1">
      <w:start w:val="1"/>
      <w:numFmt w:val="decimal"/>
      <w:lvlText w:val="%7."/>
      <w:lvlJc w:val="left"/>
      <w:pPr>
        <w:ind w:left="5040" w:hanging="360"/>
      </w:pPr>
    </w:lvl>
    <w:lvl w:ilvl="7" w:tplc="4B8EECBA" w:tentative="1">
      <w:start w:val="1"/>
      <w:numFmt w:val="lowerLetter"/>
      <w:lvlText w:val="%8."/>
      <w:lvlJc w:val="left"/>
      <w:pPr>
        <w:ind w:left="5760" w:hanging="360"/>
      </w:pPr>
    </w:lvl>
    <w:lvl w:ilvl="8" w:tplc="21646C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289"/>
    <w:multiLevelType w:val="hybridMultilevel"/>
    <w:tmpl w:val="4B6610B4"/>
    <w:lvl w:ilvl="0" w:tplc="19AC1BD4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1CB46CC4">
      <w:start w:val="1"/>
      <w:numFmt w:val="decimal"/>
      <w:lvlText w:val="%2."/>
      <w:lvlJc w:val="left"/>
      <w:pPr>
        <w:ind w:left="1417" w:hanging="570"/>
      </w:pPr>
      <w:rPr>
        <w:rFonts w:hint="default"/>
      </w:rPr>
    </w:lvl>
    <w:lvl w:ilvl="2" w:tplc="FF8AF268" w:tentative="1">
      <w:start w:val="1"/>
      <w:numFmt w:val="lowerRoman"/>
      <w:lvlText w:val="%3."/>
      <w:lvlJc w:val="right"/>
      <w:pPr>
        <w:ind w:left="1927" w:hanging="180"/>
      </w:pPr>
    </w:lvl>
    <w:lvl w:ilvl="3" w:tplc="2042F4DE" w:tentative="1">
      <w:start w:val="1"/>
      <w:numFmt w:val="decimal"/>
      <w:lvlText w:val="%4."/>
      <w:lvlJc w:val="left"/>
      <w:pPr>
        <w:ind w:left="2647" w:hanging="360"/>
      </w:pPr>
    </w:lvl>
    <w:lvl w:ilvl="4" w:tplc="89422072" w:tentative="1">
      <w:start w:val="1"/>
      <w:numFmt w:val="lowerLetter"/>
      <w:lvlText w:val="%5."/>
      <w:lvlJc w:val="left"/>
      <w:pPr>
        <w:ind w:left="3367" w:hanging="360"/>
      </w:pPr>
    </w:lvl>
    <w:lvl w:ilvl="5" w:tplc="3A02DD44" w:tentative="1">
      <w:start w:val="1"/>
      <w:numFmt w:val="lowerRoman"/>
      <w:lvlText w:val="%6."/>
      <w:lvlJc w:val="right"/>
      <w:pPr>
        <w:ind w:left="4087" w:hanging="180"/>
      </w:pPr>
    </w:lvl>
    <w:lvl w:ilvl="6" w:tplc="FF120A4E" w:tentative="1">
      <w:start w:val="1"/>
      <w:numFmt w:val="decimal"/>
      <w:lvlText w:val="%7."/>
      <w:lvlJc w:val="left"/>
      <w:pPr>
        <w:ind w:left="4807" w:hanging="360"/>
      </w:pPr>
    </w:lvl>
    <w:lvl w:ilvl="7" w:tplc="BD5E3740" w:tentative="1">
      <w:start w:val="1"/>
      <w:numFmt w:val="lowerLetter"/>
      <w:lvlText w:val="%8."/>
      <w:lvlJc w:val="left"/>
      <w:pPr>
        <w:ind w:left="5527" w:hanging="360"/>
      </w:pPr>
    </w:lvl>
    <w:lvl w:ilvl="8" w:tplc="15D28BBC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5" w15:restartNumberingAfterBreak="0">
    <w:nsid w:val="09C44CC1"/>
    <w:multiLevelType w:val="hybridMultilevel"/>
    <w:tmpl w:val="7FF2C56E"/>
    <w:lvl w:ilvl="0" w:tplc="4796C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C18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C4E4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C6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2EEB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CA7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8B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605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B84A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3306"/>
    <w:multiLevelType w:val="hybridMultilevel"/>
    <w:tmpl w:val="956CF4A4"/>
    <w:lvl w:ilvl="0" w:tplc="534E2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206B040" w:tentative="1">
      <w:start w:val="1"/>
      <w:numFmt w:val="lowerLetter"/>
      <w:lvlText w:val="%2."/>
      <w:lvlJc w:val="left"/>
      <w:pPr>
        <w:ind w:left="1440" w:hanging="360"/>
      </w:pPr>
    </w:lvl>
    <w:lvl w:ilvl="2" w:tplc="F44EFFA6" w:tentative="1">
      <w:start w:val="1"/>
      <w:numFmt w:val="lowerRoman"/>
      <w:lvlText w:val="%3."/>
      <w:lvlJc w:val="right"/>
      <w:pPr>
        <w:ind w:left="2160" w:hanging="180"/>
      </w:pPr>
    </w:lvl>
    <w:lvl w:ilvl="3" w:tplc="1F0ED2EE" w:tentative="1">
      <w:start w:val="1"/>
      <w:numFmt w:val="decimal"/>
      <w:lvlText w:val="%4."/>
      <w:lvlJc w:val="left"/>
      <w:pPr>
        <w:ind w:left="2880" w:hanging="360"/>
      </w:pPr>
    </w:lvl>
    <w:lvl w:ilvl="4" w:tplc="AF6675FE" w:tentative="1">
      <w:start w:val="1"/>
      <w:numFmt w:val="lowerLetter"/>
      <w:lvlText w:val="%5."/>
      <w:lvlJc w:val="left"/>
      <w:pPr>
        <w:ind w:left="3600" w:hanging="360"/>
      </w:pPr>
    </w:lvl>
    <w:lvl w:ilvl="5" w:tplc="0BEEF89A" w:tentative="1">
      <w:start w:val="1"/>
      <w:numFmt w:val="lowerRoman"/>
      <w:lvlText w:val="%6."/>
      <w:lvlJc w:val="right"/>
      <w:pPr>
        <w:ind w:left="4320" w:hanging="180"/>
      </w:pPr>
    </w:lvl>
    <w:lvl w:ilvl="6" w:tplc="ED543EF6" w:tentative="1">
      <w:start w:val="1"/>
      <w:numFmt w:val="decimal"/>
      <w:lvlText w:val="%7."/>
      <w:lvlJc w:val="left"/>
      <w:pPr>
        <w:ind w:left="5040" w:hanging="360"/>
      </w:pPr>
    </w:lvl>
    <w:lvl w:ilvl="7" w:tplc="CDF23BE8" w:tentative="1">
      <w:start w:val="1"/>
      <w:numFmt w:val="lowerLetter"/>
      <w:lvlText w:val="%8."/>
      <w:lvlJc w:val="left"/>
      <w:pPr>
        <w:ind w:left="5760" w:hanging="360"/>
      </w:pPr>
    </w:lvl>
    <w:lvl w:ilvl="8" w:tplc="B33817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60A0176"/>
    <w:multiLevelType w:val="hybridMultilevel"/>
    <w:tmpl w:val="718ED2D0"/>
    <w:lvl w:ilvl="0" w:tplc="D83ABF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E5E9AB2" w:tentative="1">
      <w:start w:val="1"/>
      <w:numFmt w:val="lowerLetter"/>
      <w:lvlText w:val="%2."/>
      <w:lvlJc w:val="left"/>
      <w:pPr>
        <w:ind w:left="1440" w:hanging="360"/>
      </w:pPr>
    </w:lvl>
    <w:lvl w:ilvl="2" w:tplc="04C2C940" w:tentative="1">
      <w:start w:val="1"/>
      <w:numFmt w:val="lowerRoman"/>
      <w:lvlText w:val="%3."/>
      <w:lvlJc w:val="right"/>
      <w:pPr>
        <w:ind w:left="2160" w:hanging="180"/>
      </w:pPr>
    </w:lvl>
    <w:lvl w:ilvl="3" w:tplc="35325150" w:tentative="1">
      <w:start w:val="1"/>
      <w:numFmt w:val="decimal"/>
      <w:lvlText w:val="%4."/>
      <w:lvlJc w:val="left"/>
      <w:pPr>
        <w:ind w:left="2880" w:hanging="360"/>
      </w:pPr>
    </w:lvl>
    <w:lvl w:ilvl="4" w:tplc="E08CEFE6" w:tentative="1">
      <w:start w:val="1"/>
      <w:numFmt w:val="lowerLetter"/>
      <w:lvlText w:val="%5."/>
      <w:lvlJc w:val="left"/>
      <w:pPr>
        <w:ind w:left="3600" w:hanging="360"/>
      </w:pPr>
    </w:lvl>
    <w:lvl w:ilvl="5" w:tplc="14509D3E" w:tentative="1">
      <w:start w:val="1"/>
      <w:numFmt w:val="lowerRoman"/>
      <w:lvlText w:val="%6."/>
      <w:lvlJc w:val="right"/>
      <w:pPr>
        <w:ind w:left="4320" w:hanging="180"/>
      </w:pPr>
    </w:lvl>
    <w:lvl w:ilvl="6" w:tplc="F87AEC2E" w:tentative="1">
      <w:start w:val="1"/>
      <w:numFmt w:val="decimal"/>
      <w:lvlText w:val="%7."/>
      <w:lvlJc w:val="left"/>
      <w:pPr>
        <w:ind w:left="5040" w:hanging="360"/>
      </w:pPr>
    </w:lvl>
    <w:lvl w:ilvl="7" w:tplc="563EF7D8" w:tentative="1">
      <w:start w:val="1"/>
      <w:numFmt w:val="lowerLetter"/>
      <w:lvlText w:val="%8."/>
      <w:lvlJc w:val="left"/>
      <w:pPr>
        <w:ind w:left="5760" w:hanging="360"/>
      </w:pPr>
    </w:lvl>
    <w:lvl w:ilvl="8" w:tplc="B86222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10E1"/>
    <w:multiLevelType w:val="hybridMultilevel"/>
    <w:tmpl w:val="22EE80EE"/>
    <w:lvl w:ilvl="0" w:tplc="E306E6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1865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CD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492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A1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505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6C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60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EE2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FA2E4DD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195E99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52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E5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DE05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36E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AB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4EB8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884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2D42C6CC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24FE9BF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3E924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44EA3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14AD2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D7625C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7989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D50E05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9DC10C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B8C3C56"/>
    <w:multiLevelType w:val="hybridMultilevel"/>
    <w:tmpl w:val="BFBE97F2"/>
    <w:lvl w:ilvl="0" w:tplc="2A928A50">
      <w:start w:val="1"/>
      <w:numFmt w:val="decimal"/>
      <w:lvlText w:val="%1."/>
      <w:lvlJc w:val="left"/>
      <w:pPr>
        <w:ind w:left="720" w:hanging="360"/>
      </w:pPr>
    </w:lvl>
    <w:lvl w:ilvl="1" w:tplc="A4E6B700" w:tentative="1">
      <w:start w:val="1"/>
      <w:numFmt w:val="lowerLetter"/>
      <w:lvlText w:val="%2."/>
      <w:lvlJc w:val="left"/>
      <w:pPr>
        <w:ind w:left="1440" w:hanging="360"/>
      </w:pPr>
    </w:lvl>
    <w:lvl w:ilvl="2" w:tplc="E7F0A2BA" w:tentative="1">
      <w:start w:val="1"/>
      <w:numFmt w:val="lowerRoman"/>
      <w:lvlText w:val="%3."/>
      <w:lvlJc w:val="right"/>
      <w:pPr>
        <w:ind w:left="2160" w:hanging="180"/>
      </w:pPr>
    </w:lvl>
    <w:lvl w:ilvl="3" w:tplc="28406E90" w:tentative="1">
      <w:start w:val="1"/>
      <w:numFmt w:val="decimal"/>
      <w:lvlText w:val="%4."/>
      <w:lvlJc w:val="left"/>
      <w:pPr>
        <w:ind w:left="2880" w:hanging="360"/>
      </w:pPr>
    </w:lvl>
    <w:lvl w:ilvl="4" w:tplc="0482457C" w:tentative="1">
      <w:start w:val="1"/>
      <w:numFmt w:val="lowerLetter"/>
      <w:lvlText w:val="%5."/>
      <w:lvlJc w:val="left"/>
      <w:pPr>
        <w:ind w:left="3600" w:hanging="360"/>
      </w:pPr>
    </w:lvl>
    <w:lvl w:ilvl="5" w:tplc="F81619A4" w:tentative="1">
      <w:start w:val="1"/>
      <w:numFmt w:val="lowerRoman"/>
      <w:lvlText w:val="%6."/>
      <w:lvlJc w:val="right"/>
      <w:pPr>
        <w:ind w:left="4320" w:hanging="180"/>
      </w:pPr>
    </w:lvl>
    <w:lvl w:ilvl="6" w:tplc="12685D8E" w:tentative="1">
      <w:start w:val="1"/>
      <w:numFmt w:val="decimal"/>
      <w:lvlText w:val="%7."/>
      <w:lvlJc w:val="left"/>
      <w:pPr>
        <w:ind w:left="5040" w:hanging="360"/>
      </w:pPr>
    </w:lvl>
    <w:lvl w:ilvl="7" w:tplc="637A9516" w:tentative="1">
      <w:start w:val="1"/>
      <w:numFmt w:val="lowerLetter"/>
      <w:lvlText w:val="%8."/>
      <w:lvlJc w:val="left"/>
      <w:pPr>
        <w:ind w:left="5760" w:hanging="360"/>
      </w:pPr>
    </w:lvl>
    <w:lvl w:ilvl="8" w:tplc="F8126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6" w15:restartNumberingAfterBreak="0">
    <w:nsid w:val="53E83375"/>
    <w:multiLevelType w:val="multilevel"/>
    <w:tmpl w:val="18221FCC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7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8" w15:restartNumberingAfterBreak="0">
    <w:nsid w:val="58B56C73"/>
    <w:multiLevelType w:val="hybridMultilevel"/>
    <w:tmpl w:val="5BA42128"/>
    <w:lvl w:ilvl="0" w:tplc="B7B2ACF4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B2C844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38470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20024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91E64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9CE5B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62CAB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62BE8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D3CDBE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69E95A54"/>
    <w:multiLevelType w:val="hybridMultilevel"/>
    <w:tmpl w:val="3C18EFB0"/>
    <w:lvl w:ilvl="0" w:tplc="FC4C967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E826B1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4A9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EC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78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F67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FC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C208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3E4F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5" w15:restartNumberingAfterBreak="0">
    <w:nsid w:val="6F9337D0"/>
    <w:multiLevelType w:val="hybridMultilevel"/>
    <w:tmpl w:val="B6C885E6"/>
    <w:lvl w:ilvl="0" w:tplc="7F242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E8A8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2613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8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06C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E0E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2D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08E4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843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B50F1"/>
    <w:multiLevelType w:val="hybridMultilevel"/>
    <w:tmpl w:val="64CEA6CC"/>
    <w:lvl w:ilvl="0" w:tplc="865025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148C84A" w:tentative="1">
      <w:start w:val="1"/>
      <w:numFmt w:val="lowerLetter"/>
      <w:lvlText w:val="%2."/>
      <w:lvlJc w:val="left"/>
      <w:pPr>
        <w:ind w:left="1440" w:hanging="360"/>
      </w:pPr>
    </w:lvl>
    <w:lvl w:ilvl="2" w:tplc="414EE276" w:tentative="1">
      <w:start w:val="1"/>
      <w:numFmt w:val="lowerRoman"/>
      <w:lvlText w:val="%3."/>
      <w:lvlJc w:val="right"/>
      <w:pPr>
        <w:ind w:left="2160" w:hanging="180"/>
      </w:pPr>
    </w:lvl>
    <w:lvl w:ilvl="3" w:tplc="70469600" w:tentative="1">
      <w:start w:val="1"/>
      <w:numFmt w:val="decimal"/>
      <w:lvlText w:val="%4."/>
      <w:lvlJc w:val="left"/>
      <w:pPr>
        <w:ind w:left="2880" w:hanging="360"/>
      </w:pPr>
    </w:lvl>
    <w:lvl w:ilvl="4" w:tplc="1D06E466" w:tentative="1">
      <w:start w:val="1"/>
      <w:numFmt w:val="lowerLetter"/>
      <w:lvlText w:val="%5."/>
      <w:lvlJc w:val="left"/>
      <w:pPr>
        <w:ind w:left="3600" w:hanging="360"/>
      </w:pPr>
    </w:lvl>
    <w:lvl w:ilvl="5" w:tplc="AF46B7A4" w:tentative="1">
      <w:start w:val="1"/>
      <w:numFmt w:val="lowerRoman"/>
      <w:lvlText w:val="%6."/>
      <w:lvlJc w:val="right"/>
      <w:pPr>
        <w:ind w:left="4320" w:hanging="180"/>
      </w:pPr>
    </w:lvl>
    <w:lvl w:ilvl="6" w:tplc="7CE03DFE" w:tentative="1">
      <w:start w:val="1"/>
      <w:numFmt w:val="decimal"/>
      <w:lvlText w:val="%7."/>
      <w:lvlJc w:val="left"/>
      <w:pPr>
        <w:ind w:left="5040" w:hanging="360"/>
      </w:pPr>
    </w:lvl>
    <w:lvl w:ilvl="7" w:tplc="A97A2388" w:tentative="1">
      <w:start w:val="1"/>
      <w:numFmt w:val="lowerLetter"/>
      <w:lvlText w:val="%8."/>
      <w:lvlJc w:val="left"/>
      <w:pPr>
        <w:ind w:left="5760" w:hanging="360"/>
      </w:pPr>
    </w:lvl>
    <w:lvl w:ilvl="8" w:tplc="66F08B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7B136C31"/>
    <w:multiLevelType w:val="hybridMultilevel"/>
    <w:tmpl w:val="D8E2FC5A"/>
    <w:lvl w:ilvl="0" w:tplc="B1323704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06A68A76">
      <w:start w:val="1"/>
      <w:numFmt w:val="decimal"/>
      <w:lvlText w:val="%2."/>
      <w:lvlJc w:val="left"/>
      <w:pPr>
        <w:ind w:left="1417" w:hanging="570"/>
      </w:pPr>
      <w:rPr>
        <w:rFonts w:hint="default"/>
        <w:b/>
      </w:rPr>
    </w:lvl>
    <w:lvl w:ilvl="2" w:tplc="44CCA06A" w:tentative="1">
      <w:start w:val="1"/>
      <w:numFmt w:val="lowerRoman"/>
      <w:lvlText w:val="%3."/>
      <w:lvlJc w:val="right"/>
      <w:pPr>
        <w:ind w:left="1927" w:hanging="180"/>
      </w:pPr>
    </w:lvl>
    <w:lvl w:ilvl="3" w:tplc="9774B3D4" w:tentative="1">
      <w:start w:val="1"/>
      <w:numFmt w:val="decimal"/>
      <w:lvlText w:val="%4."/>
      <w:lvlJc w:val="left"/>
      <w:pPr>
        <w:ind w:left="2647" w:hanging="360"/>
      </w:pPr>
    </w:lvl>
    <w:lvl w:ilvl="4" w:tplc="67E65D4E" w:tentative="1">
      <w:start w:val="1"/>
      <w:numFmt w:val="lowerLetter"/>
      <w:lvlText w:val="%5."/>
      <w:lvlJc w:val="left"/>
      <w:pPr>
        <w:ind w:left="3367" w:hanging="360"/>
      </w:pPr>
    </w:lvl>
    <w:lvl w:ilvl="5" w:tplc="134A4116" w:tentative="1">
      <w:start w:val="1"/>
      <w:numFmt w:val="lowerRoman"/>
      <w:lvlText w:val="%6."/>
      <w:lvlJc w:val="right"/>
      <w:pPr>
        <w:ind w:left="4087" w:hanging="180"/>
      </w:pPr>
    </w:lvl>
    <w:lvl w:ilvl="6" w:tplc="4ECEB18A" w:tentative="1">
      <w:start w:val="1"/>
      <w:numFmt w:val="decimal"/>
      <w:lvlText w:val="%7."/>
      <w:lvlJc w:val="left"/>
      <w:pPr>
        <w:ind w:left="4807" w:hanging="360"/>
      </w:pPr>
    </w:lvl>
    <w:lvl w:ilvl="7" w:tplc="9A6CA808" w:tentative="1">
      <w:start w:val="1"/>
      <w:numFmt w:val="lowerLetter"/>
      <w:lvlText w:val="%8."/>
      <w:lvlJc w:val="left"/>
      <w:pPr>
        <w:ind w:left="5527" w:hanging="360"/>
      </w:pPr>
    </w:lvl>
    <w:lvl w:ilvl="8" w:tplc="AA4806D4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2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-"/>
        <w:lvlJc w:val="left"/>
        <w:pPr>
          <w:tabs>
            <w:tab w:val="num" w:pos="360"/>
          </w:tabs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18"/>
  </w:num>
  <w:num w:numId="7">
    <w:abstractNumId w:val="11"/>
  </w:num>
  <w:num w:numId="8">
    <w:abstractNumId w:val="14"/>
  </w:num>
  <w:num w:numId="9">
    <w:abstractNumId w:val="26"/>
  </w:num>
  <w:num w:numId="10">
    <w:abstractNumId w:val="1"/>
  </w:num>
  <w:num w:numId="11">
    <w:abstractNumId w:val="23"/>
  </w:num>
  <w:num w:numId="12">
    <w:abstractNumId w:val="12"/>
  </w:num>
  <w:num w:numId="13">
    <w:abstractNumId w:val="7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-"/>
        <w:lvlJc w:val="left"/>
        <w:pPr>
          <w:tabs>
            <w:tab w:val="num" w:pos="360"/>
          </w:tabs>
          <w:ind w:left="360" w:hanging="360"/>
        </w:pPr>
      </w:lvl>
    </w:lvlOverride>
  </w:num>
  <w:num w:numId="16">
    <w:abstractNumId w:val="24"/>
  </w:num>
  <w:num w:numId="17">
    <w:abstractNumId w:val="15"/>
  </w:num>
  <w:num w:numId="18">
    <w:abstractNumId w:val="17"/>
  </w:num>
  <w:num w:numId="19">
    <w:abstractNumId w:val="27"/>
  </w:num>
  <w:num w:numId="20">
    <w:abstractNumId w:val="19"/>
  </w:num>
  <w:num w:numId="21">
    <w:abstractNumId w:val="25"/>
  </w:num>
  <w:num w:numId="22">
    <w:abstractNumId w:val="22"/>
  </w:num>
  <w:num w:numId="23">
    <w:abstractNumId w:val="10"/>
  </w:num>
  <w:num w:numId="24">
    <w:abstractNumId w:val="25"/>
  </w:num>
  <w:num w:numId="25">
    <w:abstractNumId w:val="5"/>
  </w:num>
  <w:num w:numId="26">
    <w:abstractNumId w:val="9"/>
  </w:num>
  <w:num w:numId="27">
    <w:abstractNumId w:val="13"/>
  </w:num>
  <w:num w:numId="28">
    <w:abstractNumId w:val="16"/>
  </w:num>
  <w:num w:numId="29">
    <w:abstractNumId w:val="4"/>
  </w:num>
  <w:num w:numId="30">
    <w:abstractNumId w:val="28"/>
  </w:num>
  <w:num w:numId="31">
    <w:abstractNumId w:val="3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0357E2"/>
    <w:rsid w:val="00033B28"/>
    <w:rsid w:val="000357E2"/>
    <w:rsid w:val="00035AB2"/>
    <w:rsid w:val="00036F52"/>
    <w:rsid w:val="000408E1"/>
    <w:rsid w:val="000C1F48"/>
    <w:rsid w:val="00132A1F"/>
    <w:rsid w:val="00152B61"/>
    <w:rsid w:val="0019001A"/>
    <w:rsid w:val="001C5236"/>
    <w:rsid w:val="001F61B2"/>
    <w:rsid w:val="00223A24"/>
    <w:rsid w:val="002357A3"/>
    <w:rsid w:val="002445CD"/>
    <w:rsid w:val="002503BA"/>
    <w:rsid w:val="00286521"/>
    <w:rsid w:val="002964AB"/>
    <w:rsid w:val="002D1986"/>
    <w:rsid w:val="00321569"/>
    <w:rsid w:val="00343AD4"/>
    <w:rsid w:val="0036408F"/>
    <w:rsid w:val="003B36F7"/>
    <w:rsid w:val="003B71E8"/>
    <w:rsid w:val="00410CA6"/>
    <w:rsid w:val="00484FB8"/>
    <w:rsid w:val="00485135"/>
    <w:rsid w:val="004A3656"/>
    <w:rsid w:val="005134F1"/>
    <w:rsid w:val="005248A1"/>
    <w:rsid w:val="00580ACC"/>
    <w:rsid w:val="005822EE"/>
    <w:rsid w:val="005E7B8D"/>
    <w:rsid w:val="006421E1"/>
    <w:rsid w:val="00652608"/>
    <w:rsid w:val="006554AF"/>
    <w:rsid w:val="006A6BBD"/>
    <w:rsid w:val="006F66A9"/>
    <w:rsid w:val="007626AD"/>
    <w:rsid w:val="007720ED"/>
    <w:rsid w:val="00772A0C"/>
    <w:rsid w:val="007A2720"/>
    <w:rsid w:val="007A451C"/>
    <w:rsid w:val="007A6801"/>
    <w:rsid w:val="007F436B"/>
    <w:rsid w:val="00824E9F"/>
    <w:rsid w:val="008255CA"/>
    <w:rsid w:val="00842497"/>
    <w:rsid w:val="00900D1A"/>
    <w:rsid w:val="0091328A"/>
    <w:rsid w:val="0095212B"/>
    <w:rsid w:val="00965656"/>
    <w:rsid w:val="00966F21"/>
    <w:rsid w:val="009A04C0"/>
    <w:rsid w:val="009F6479"/>
    <w:rsid w:val="00A01496"/>
    <w:rsid w:val="00A03570"/>
    <w:rsid w:val="00A11216"/>
    <w:rsid w:val="00A34FC2"/>
    <w:rsid w:val="00A610DE"/>
    <w:rsid w:val="00AA609C"/>
    <w:rsid w:val="00B77C37"/>
    <w:rsid w:val="00BD640B"/>
    <w:rsid w:val="00C0773B"/>
    <w:rsid w:val="00C106B2"/>
    <w:rsid w:val="00C20142"/>
    <w:rsid w:val="00C27760"/>
    <w:rsid w:val="00C34EA7"/>
    <w:rsid w:val="00C3661E"/>
    <w:rsid w:val="00C80084"/>
    <w:rsid w:val="00CE57FB"/>
    <w:rsid w:val="00CE6705"/>
    <w:rsid w:val="00D009FB"/>
    <w:rsid w:val="00D06194"/>
    <w:rsid w:val="00DB730D"/>
    <w:rsid w:val="00DD6D40"/>
    <w:rsid w:val="00DE0540"/>
    <w:rsid w:val="00E06F29"/>
    <w:rsid w:val="00E349F4"/>
    <w:rsid w:val="00E84CB7"/>
    <w:rsid w:val="00E9585F"/>
    <w:rsid w:val="00EA07B9"/>
    <w:rsid w:val="00EA124E"/>
    <w:rsid w:val="00EB215C"/>
    <w:rsid w:val="00EB7D82"/>
    <w:rsid w:val="00F24C8C"/>
    <w:rsid w:val="00F93E21"/>
    <w:rsid w:val="00FA0D53"/>
    <w:rsid w:val="00FB0AA6"/>
    <w:rsid w:val="00FC3083"/>
    <w:rsid w:val="00FD1A4D"/>
    <w:rsid w:val="00FD60FD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2D454842-96E5-455C-B00D-F401D3D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  <w:lang w:val="hu-HU" w:eastAsia="hu-HU" w:bidi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hu-HU" w:eastAsia="hu-HU" w:bidi="hu-HU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hu-HU" w:eastAsia="hu-HU" w:bidi="hu-HU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  <w:lang w:val="hu-HU" w:eastAsia="hu-HU" w:bidi="hu-HU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hu-HU" w:eastAsia="hu-HU" w:bidi="hu-HU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semiHidden/>
    <w:rsid w:val="00BC6DC2"/>
    <w:rPr>
      <w:rFonts w:eastAsia="Times New Roman"/>
      <w:lang w:eastAsia="hu-HU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hu-HU"/>
    </w:rPr>
  </w:style>
  <w:style w:type="paragraph" w:styleId="Revision">
    <w:name w:val="Revision"/>
    <w:hidden/>
    <w:uiPriority w:val="99"/>
    <w:semiHidden/>
    <w:rsid w:val="00B21BE7"/>
    <w:rPr>
      <w:rFonts w:eastAsia="Times New Roman"/>
      <w:sz w:val="22"/>
      <w:lang w:val="hu-HU" w:eastAsia="hu-HU" w:bidi="hu-HU"/>
    </w:rPr>
  </w:style>
  <w:style w:type="paragraph" w:customStyle="1" w:styleId="Default">
    <w:name w:val="Default"/>
    <w:rsid w:val="00C63A97"/>
    <w:pPr>
      <w:autoSpaceDE w:val="0"/>
      <w:autoSpaceDN w:val="0"/>
      <w:adjustRightInd w:val="0"/>
    </w:pPr>
    <w:rPr>
      <w:color w:val="000000"/>
      <w:sz w:val="24"/>
      <w:szCs w:val="24"/>
      <w:lang w:val="hu-HU" w:eastAsia="hu-HU" w:bidi="hu-HU"/>
    </w:rPr>
  </w:style>
  <w:style w:type="paragraph" w:styleId="ListParagraph">
    <w:name w:val="List Paragraph"/>
    <w:basedOn w:val="Normal"/>
    <w:uiPriority w:val="34"/>
    <w:qFormat/>
    <w:rsid w:val="005C6784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FB0AA6"/>
    <w:rPr>
      <w:rFonts w:ascii="Arial" w:eastAsia="Times New Roman" w:hAnsi="Arial"/>
      <w:noProof/>
      <w:sz w:val="16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prio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ri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CEE8-84AB-47D2-A8B3-B102671987F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899B0D-2A04-4037-A49B-B1A18D3EC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8E14A-A2B9-4CB5-A7A7-FE5CDCF903AE}"/>
</file>

<file path=customXml/itemProps4.xml><?xml version="1.0" encoding="utf-8"?>
<ds:datastoreItem xmlns:ds="http://schemas.openxmlformats.org/officeDocument/2006/customXml" ds:itemID="{4450DA15-DAF6-423D-9208-322E734F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4121</Words>
  <Characters>28893</Characters>
  <Application>Microsoft Office Word</Application>
  <DocSecurity>0</DocSecurity>
  <Lines>240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Cuprior, INN-Trientine tetrahydrochloride</vt:lpstr>
      <vt:lpstr>Cuprior, INN-Trientine tetrahydrochloride</vt:lpstr>
    </vt:vector>
  </TitlesOfParts>
  <Company>VCLS</Company>
  <LinksUpToDate>false</LinksUpToDate>
  <CharactersWithSpaces>32949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ema-combined-h-4005-hu-annotated</dc:title>
  <dc:subject>EPAR</dc:subject>
  <dc:creator>CHMP</dc:creator>
  <cp:keywords>Cuprior, INN-Trientine tetrahydrochloride</cp:keywords>
  <cp:lastModifiedBy>Scanlan Elizabeth</cp:lastModifiedBy>
  <cp:revision>10</cp:revision>
  <dcterms:created xsi:type="dcterms:W3CDTF">2019-08-27T10:07:00Z</dcterms:created>
  <dcterms:modified xsi:type="dcterms:W3CDTF">2021-05-24T19:47:00Z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DM_Author">
    <vt:lpwstr/>
  </property>
  <property fmtid="{D5CDD505-2E9C-101B-9397-08002B2CF9AE}" pid="4" name="DM_Category">
    <vt:lpwstr>Product Information</vt:lpwstr>
  </property>
  <property fmtid="{D5CDD505-2E9C-101B-9397-08002B2CF9AE}" pid="5" name="DM_Creation_Date">
    <vt:lpwstr>28/08/2020 15:44:00</vt:lpwstr>
  </property>
  <property fmtid="{D5CDD505-2E9C-101B-9397-08002B2CF9AE}" pid="6" name="DM_Creator_Name">
    <vt:lpwstr>Leszczynska Edyta</vt:lpwstr>
  </property>
  <property fmtid="{D5CDD505-2E9C-101B-9397-08002B2CF9AE}" pid="7" name="DM_DocRefId">
    <vt:lpwstr>EMA/458160/2020</vt:lpwstr>
  </property>
  <property fmtid="{D5CDD505-2E9C-101B-9397-08002B2CF9AE}" pid="8" name="DM_emea_doc_ref_id">
    <vt:lpwstr>EMA/458160/2020</vt:lpwstr>
  </property>
  <property fmtid="{D5CDD505-2E9C-101B-9397-08002B2CF9AE}" pid="9" name="DM_Keywords">
    <vt:lpwstr/>
  </property>
  <property fmtid="{D5CDD505-2E9C-101B-9397-08002B2CF9AE}" pid="10" name="DM_Language">
    <vt:lpwstr/>
  </property>
  <property fmtid="{D5CDD505-2E9C-101B-9397-08002B2CF9AE}" pid="11" name="DM_Modifer_Name">
    <vt:lpwstr>Leszczynska Edyta</vt:lpwstr>
  </property>
  <property fmtid="{D5CDD505-2E9C-101B-9397-08002B2CF9AE}" pid="12" name="DM_Modified_Date">
    <vt:lpwstr>28/08/2020 15:44:00</vt:lpwstr>
  </property>
  <property fmtid="{D5CDD505-2E9C-101B-9397-08002B2CF9AE}" pid="13" name="DM_Modifier_Name">
    <vt:lpwstr>Leszczynska Edyta</vt:lpwstr>
  </property>
  <property fmtid="{D5CDD505-2E9C-101B-9397-08002B2CF9AE}" pid="14" name="DM_Modify_Date">
    <vt:lpwstr>28/08/2020 15:44:00</vt:lpwstr>
  </property>
  <property fmtid="{D5CDD505-2E9C-101B-9397-08002B2CF9AE}" pid="15" name="DM_Name">
    <vt:lpwstr>ema-combined-h-4005-hu-annotated</vt:lpwstr>
  </property>
  <property fmtid="{D5CDD505-2E9C-101B-9397-08002B2CF9AE}" pid="16" name="DM_Path">
    <vt:lpwstr>/01. Evaluation of Medicines/H-C/A-C/Cuprior - 004005/05 Post Authorisation/Post Activities/2020-xx-xx-4005-IAIN-0015/PI and EPAR documents/Word highlighted</vt:lpwstr>
  </property>
  <property fmtid="{D5CDD505-2E9C-101B-9397-08002B2CF9AE}" pid="17" name="DM_Status">
    <vt:lpwstr/>
  </property>
  <property fmtid="{D5CDD505-2E9C-101B-9397-08002B2CF9AE}" pid="18" name="DM_Subject">
    <vt:lpwstr/>
  </property>
  <property fmtid="{D5CDD505-2E9C-101B-9397-08002B2CF9AE}" pid="19" name="DM_Title">
    <vt:lpwstr/>
  </property>
  <property fmtid="{D5CDD505-2E9C-101B-9397-08002B2CF9AE}" pid="20" name="DM_Type">
    <vt:lpwstr>emea_document</vt:lpwstr>
  </property>
  <property fmtid="{D5CDD505-2E9C-101B-9397-08002B2CF9AE}" pid="21" name="DM_Version">
    <vt:lpwstr>1.0,CURRENT</vt:lpwstr>
  </property>
  <property fmtid="{D5CDD505-2E9C-101B-9397-08002B2CF9AE}" pid="22" name="MSIP_Label_0eea11ca-d417-4147-80ed-01a58412c458_Enabled">
    <vt:lpwstr>true</vt:lpwstr>
  </property>
  <property fmtid="{D5CDD505-2E9C-101B-9397-08002B2CF9AE}" pid="23" name="MSIP_Label_0eea11ca-d417-4147-80ed-01a58412c458_SetDate">
    <vt:lpwstr>2021-05-24T19:47:33Z</vt:lpwstr>
  </property>
  <property fmtid="{D5CDD505-2E9C-101B-9397-08002B2CF9AE}" pid="24" name="MSIP_Label_0eea11ca-d417-4147-80ed-01a58412c458_Method">
    <vt:lpwstr>Standard</vt:lpwstr>
  </property>
  <property fmtid="{D5CDD505-2E9C-101B-9397-08002B2CF9AE}" pid="25" name="MSIP_Label_0eea11ca-d417-4147-80ed-01a58412c458_Name">
    <vt:lpwstr>0eea11ca-d417-4147-80ed-01a58412c458</vt:lpwstr>
  </property>
  <property fmtid="{D5CDD505-2E9C-101B-9397-08002B2CF9AE}" pid="26" name="MSIP_Label_0eea11ca-d417-4147-80ed-01a58412c458_SiteId">
    <vt:lpwstr>bc9dc15c-61bc-4f03-b60b-e5b6d8922839</vt:lpwstr>
  </property>
  <property fmtid="{D5CDD505-2E9C-101B-9397-08002B2CF9AE}" pid="27" name="MSIP_Label_0eea11ca-d417-4147-80ed-01a58412c458_ActionId">
    <vt:lpwstr>9bc96181-9b29-4f72-b8d8-9898ddd64516</vt:lpwstr>
  </property>
  <property fmtid="{D5CDD505-2E9C-101B-9397-08002B2CF9AE}" pid="28" name="MSIP_Label_0eea11ca-d417-4147-80ed-01a58412c458_ContentBits">
    <vt:lpwstr>2</vt:lpwstr>
  </property>
</Properties>
</file>