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D549" w14:textId="77777777" w:rsidR="001E6DD1" w:rsidRPr="00165E31" w:rsidRDefault="001E6DD1" w:rsidP="001E6DD1">
      <w:pPr>
        <w:rPr>
          <w:noProof/>
        </w:rPr>
      </w:pPr>
      <w:bookmarkStart w:id="0" w:name="_GoBack"/>
      <w:bookmarkEnd w:id="0"/>
    </w:p>
    <w:p w14:paraId="6FB63805" w14:textId="77777777" w:rsidR="001E6DD1" w:rsidRPr="00165E31" w:rsidRDefault="001E6DD1" w:rsidP="001E6DD1">
      <w:pPr>
        <w:rPr>
          <w:noProof/>
        </w:rPr>
      </w:pPr>
    </w:p>
    <w:p w14:paraId="3C90043D" w14:textId="77777777" w:rsidR="001E6DD1" w:rsidRPr="00165E31" w:rsidRDefault="001E6DD1" w:rsidP="001E6DD1">
      <w:pPr>
        <w:rPr>
          <w:noProof/>
        </w:rPr>
      </w:pPr>
    </w:p>
    <w:p w14:paraId="7BFF6BB4" w14:textId="77777777" w:rsidR="001E6DD1" w:rsidRPr="00165E31" w:rsidRDefault="001E6DD1" w:rsidP="001E6DD1">
      <w:pPr>
        <w:rPr>
          <w:noProof/>
        </w:rPr>
      </w:pPr>
    </w:p>
    <w:p w14:paraId="10D3C68A" w14:textId="77777777" w:rsidR="001E6DD1" w:rsidRPr="00165E31" w:rsidRDefault="001E6DD1" w:rsidP="001E6DD1">
      <w:pPr>
        <w:rPr>
          <w:noProof/>
          <w:szCs w:val="22"/>
        </w:rPr>
      </w:pPr>
    </w:p>
    <w:p w14:paraId="27745036" w14:textId="77777777" w:rsidR="001E6DD1" w:rsidRPr="00165E31" w:rsidRDefault="001E6DD1" w:rsidP="001E6DD1">
      <w:pPr>
        <w:rPr>
          <w:noProof/>
          <w:szCs w:val="22"/>
        </w:rPr>
      </w:pPr>
    </w:p>
    <w:p w14:paraId="3435E44F" w14:textId="77777777" w:rsidR="001E6DD1" w:rsidRPr="00165E31" w:rsidRDefault="001E6DD1" w:rsidP="001E6DD1">
      <w:pPr>
        <w:rPr>
          <w:noProof/>
          <w:szCs w:val="22"/>
        </w:rPr>
      </w:pPr>
    </w:p>
    <w:p w14:paraId="1284897D" w14:textId="77777777" w:rsidR="001E6DD1" w:rsidRPr="00165E31" w:rsidRDefault="001E6DD1" w:rsidP="001E6DD1">
      <w:pPr>
        <w:rPr>
          <w:noProof/>
          <w:szCs w:val="22"/>
        </w:rPr>
      </w:pPr>
    </w:p>
    <w:p w14:paraId="019B2B46" w14:textId="77777777" w:rsidR="001E6DD1" w:rsidRPr="00165E31" w:rsidRDefault="001E6DD1" w:rsidP="001E6DD1">
      <w:pPr>
        <w:rPr>
          <w:noProof/>
          <w:szCs w:val="22"/>
        </w:rPr>
      </w:pPr>
    </w:p>
    <w:p w14:paraId="38D7CC03" w14:textId="77777777" w:rsidR="001E6DD1" w:rsidRPr="00165E31" w:rsidRDefault="001E6DD1" w:rsidP="001E6DD1">
      <w:pPr>
        <w:rPr>
          <w:noProof/>
          <w:szCs w:val="22"/>
        </w:rPr>
      </w:pPr>
    </w:p>
    <w:p w14:paraId="49BA4FAE" w14:textId="77777777" w:rsidR="001E6DD1" w:rsidRPr="00165E31" w:rsidRDefault="001E6DD1" w:rsidP="001E6DD1">
      <w:pPr>
        <w:rPr>
          <w:noProof/>
          <w:szCs w:val="22"/>
        </w:rPr>
      </w:pPr>
    </w:p>
    <w:p w14:paraId="0B8F9B2F" w14:textId="77777777" w:rsidR="001E6DD1" w:rsidRPr="00165E31" w:rsidRDefault="001E6DD1" w:rsidP="001E6DD1">
      <w:pPr>
        <w:rPr>
          <w:noProof/>
          <w:szCs w:val="22"/>
        </w:rPr>
      </w:pPr>
    </w:p>
    <w:p w14:paraId="1F410CCE" w14:textId="77777777" w:rsidR="001E6DD1" w:rsidRPr="00165E31" w:rsidRDefault="001E6DD1" w:rsidP="001E6DD1">
      <w:pPr>
        <w:rPr>
          <w:noProof/>
          <w:szCs w:val="22"/>
        </w:rPr>
      </w:pPr>
    </w:p>
    <w:p w14:paraId="1D94ED31" w14:textId="77777777" w:rsidR="001E6DD1" w:rsidRPr="00165E31" w:rsidRDefault="001E6DD1" w:rsidP="001E6DD1">
      <w:pPr>
        <w:rPr>
          <w:noProof/>
          <w:szCs w:val="22"/>
        </w:rPr>
      </w:pPr>
    </w:p>
    <w:p w14:paraId="755C26AC" w14:textId="77777777" w:rsidR="001E6DD1" w:rsidRPr="00165E31" w:rsidRDefault="001E6DD1" w:rsidP="001E6DD1">
      <w:pPr>
        <w:rPr>
          <w:noProof/>
          <w:szCs w:val="22"/>
        </w:rPr>
      </w:pPr>
    </w:p>
    <w:p w14:paraId="6B448553" w14:textId="77777777" w:rsidR="001E6DD1" w:rsidRPr="00165E31" w:rsidRDefault="001E6DD1" w:rsidP="001E6DD1">
      <w:pPr>
        <w:rPr>
          <w:noProof/>
          <w:szCs w:val="22"/>
        </w:rPr>
      </w:pPr>
    </w:p>
    <w:p w14:paraId="3EBBB045" w14:textId="77777777" w:rsidR="001E6DD1" w:rsidRPr="00165E31" w:rsidRDefault="001E6DD1" w:rsidP="001E6DD1">
      <w:pPr>
        <w:rPr>
          <w:noProof/>
          <w:szCs w:val="22"/>
        </w:rPr>
      </w:pPr>
    </w:p>
    <w:p w14:paraId="41662F4B" w14:textId="77777777" w:rsidR="001E6DD1" w:rsidRPr="00165E31" w:rsidRDefault="001E6DD1" w:rsidP="001E6DD1"/>
    <w:p w14:paraId="08311D20" w14:textId="77777777" w:rsidR="001E6DD1" w:rsidRPr="00165E31" w:rsidRDefault="001E6DD1" w:rsidP="001E6DD1"/>
    <w:p w14:paraId="5F371609" w14:textId="77777777" w:rsidR="001E6DD1" w:rsidRPr="00165E31" w:rsidRDefault="001E6DD1" w:rsidP="001E6DD1"/>
    <w:p w14:paraId="5F554710" w14:textId="77777777" w:rsidR="001E6DD1" w:rsidRPr="00165E31" w:rsidRDefault="001E6DD1" w:rsidP="001E6DD1"/>
    <w:p w14:paraId="65940AF3" w14:textId="77777777" w:rsidR="001E6DD1" w:rsidRPr="00165E31" w:rsidRDefault="001E6DD1" w:rsidP="001E6DD1"/>
    <w:p w14:paraId="7B74F9D2" w14:textId="77777777" w:rsidR="001E6DD1" w:rsidRPr="00165E31" w:rsidRDefault="00430718" w:rsidP="001E6DD1">
      <w:pPr>
        <w:spacing w:line="240" w:lineRule="auto"/>
        <w:jc w:val="center"/>
        <w:outlineLvl w:val="0"/>
      </w:pPr>
      <w:r w:rsidRPr="00165E31">
        <w:rPr>
          <w:b/>
        </w:rPr>
        <w:t>I PIELIKUMS</w:t>
      </w:r>
    </w:p>
    <w:p w14:paraId="51A0DC8F" w14:textId="77777777" w:rsidR="001E6DD1" w:rsidRPr="00165E31" w:rsidRDefault="001E6DD1" w:rsidP="001E6DD1"/>
    <w:p w14:paraId="233A29C0" w14:textId="77777777" w:rsidR="001E6DD1" w:rsidRPr="00165E31" w:rsidRDefault="00430718" w:rsidP="001E6DD1">
      <w:pPr>
        <w:spacing w:line="240" w:lineRule="auto"/>
        <w:jc w:val="center"/>
        <w:outlineLvl w:val="0"/>
      </w:pPr>
      <w:r w:rsidRPr="00165E31">
        <w:rPr>
          <w:b/>
        </w:rPr>
        <w:t>ZĀĻU APRAKSTS</w:t>
      </w:r>
    </w:p>
    <w:p w14:paraId="09606F63" w14:textId="77777777" w:rsidR="001E6DD1" w:rsidRPr="00165E31" w:rsidRDefault="00430718" w:rsidP="001E6DD1">
      <w:pPr>
        <w:pStyle w:val="ListParagraph"/>
        <w:numPr>
          <w:ilvl w:val="0"/>
          <w:numId w:val="28"/>
        </w:numPr>
        <w:spacing w:line="240" w:lineRule="auto"/>
        <w:ind w:hanging="930"/>
        <w:rPr>
          <w:b/>
        </w:rPr>
      </w:pPr>
      <w:r w:rsidRPr="00165E31">
        <w:br w:type="page"/>
      </w:r>
      <w:r w:rsidRPr="00165E31">
        <w:rPr>
          <w:b/>
        </w:rPr>
        <w:lastRenderedPageBreak/>
        <w:t>ZĀĻU NOSAUKUMS</w:t>
      </w:r>
    </w:p>
    <w:p w14:paraId="539DEB20" w14:textId="77777777" w:rsidR="001E6DD1" w:rsidRPr="00165E31" w:rsidRDefault="001E6DD1" w:rsidP="001E6DD1">
      <w:pPr>
        <w:spacing w:line="240" w:lineRule="auto"/>
        <w:rPr>
          <w:iCs/>
          <w:noProof/>
          <w:szCs w:val="22"/>
        </w:rPr>
      </w:pPr>
    </w:p>
    <w:p w14:paraId="6C52135F" w14:textId="1B4B3D6F" w:rsidR="001E6DD1" w:rsidRPr="00165E31" w:rsidRDefault="00430718" w:rsidP="001E6DD1">
      <w:pPr>
        <w:widowControl w:val="0"/>
        <w:spacing w:line="240" w:lineRule="auto"/>
        <w:rPr>
          <w:noProof/>
          <w:szCs w:val="22"/>
        </w:rPr>
      </w:pPr>
      <w:r w:rsidRPr="00165E31">
        <w:rPr>
          <w:i/>
        </w:rPr>
        <w:t>Cuprior</w:t>
      </w:r>
      <w:r w:rsidRPr="00165E31">
        <w:t xml:space="preserve"> 150 mg </w:t>
      </w:r>
      <w:r w:rsidR="00D025C6" w:rsidRPr="00165E31">
        <w:t xml:space="preserve">apvalkotās </w:t>
      </w:r>
      <w:r w:rsidR="00EC4526" w:rsidRPr="00165E31">
        <w:t xml:space="preserve"> </w:t>
      </w:r>
      <w:r w:rsidRPr="00165E31">
        <w:t>tabletes</w:t>
      </w:r>
    </w:p>
    <w:p w14:paraId="23BE212B" w14:textId="77777777" w:rsidR="001E6DD1" w:rsidRPr="00165E31" w:rsidRDefault="001E6DD1" w:rsidP="001E6DD1">
      <w:pPr>
        <w:spacing w:line="240" w:lineRule="auto"/>
        <w:rPr>
          <w:iCs/>
          <w:noProof/>
          <w:szCs w:val="22"/>
        </w:rPr>
      </w:pPr>
    </w:p>
    <w:p w14:paraId="500B39A0" w14:textId="77777777" w:rsidR="001E6DD1" w:rsidRPr="00165E31" w:rsidRDefault="001E6DD1" w:rsidP="001E6DD1">
      <w:pPr>
        <w:spacing w:line="240" w:lineRule="auto"/>
        <w:rPr>
          <w:iCs/>
          <w:noProof/>
          <w:szCs w:val="22"/>
        </w:rPr>
      </w:pPr>
    </w:p>
    <w:p w14:paraId="59AE8225" w14:textId="77777777" w:rsidR="001E6DD1" w:rsidRPr="00165E31" w:rsidRDefault="00430718" w:rsidP="001E6DD1">
      <w:pPr>
        <w:pStyle w:val="ListParagraph"/>
        <w:numPr>
          <w:ilvl w:val="0"/>
          <w:numId w:val="28"/>
        </w:numPr>
        <w:spacing w:line="240" w:lineRule="auto"/>
        <w:ind w:hanging="930"/>
        <w:rPr>
          <w:b/>
        </w:rPr>
      </w:pPr>
      <w:r w:rsidRPr="00165E31">
        <w:rPr>
          <w:b/>
        </w:rPr>
        <w:t>KVALITATĪVAIS UN KVANTITATĪVAIS SASTĀVS</w:t>
      </w:r>
    </w:p>
    <w:p w14:paraId="16C3A92C" w14:textId="77777777" w:rsidR="001E6DD1" w:rsidRPr="00165E31" w:rsidRDefault="001E6DD1" w:rsidP="001E6DD1">
      <w:pPr>
        <w:spacing w:line="240" w:lineRule="auto"/>
        <w:rPr>
          <w:iCs/>
          <w:noProof/>
          <w:szCs w:val="22"/>
        </w:rPr>
      </w:pPr>
    </w:p>
    <w:p w14:paraId="6B3DCDC1" w14:textId="77777777" w:rsidR="001E6DD1" w:rsidRPr="00165E31" w:rsidRDefault="00430718" w:rsidP="001E6DD1">
      <w:pPr>
        <w:widowControl w:val="0"/>
        <w:rPr>
          <w:szCs w:val="22"/>
        </w:rPr>
      </w:pPr>
      <w:r w:rsidRPr="00165E31">
        <w:t xml:space="preserve">Katra </w:t>
      </w:r>
      <w:r w:rsidR="00EC4526" w:rsidRPr="00165E31">
        <w:t xml:space="preserve">apvalkotā </w:t>
      </w:r>
      <w:r w:rsidRPr="00165E31">
        <w:t xml:space="preserve">tablete satur trientīna tetrahidrohlorīdu, kas atbilst 150 mg trientīna </w:t>
      </w:r>
      <w:r w:rsidRPr="00165E31">
        <w:t>(trientine).</w:t>
      </w:r>
    </w:p>
    <w:p w14:paraId="3D0B5DF9" w14:textId="77777777" w:rsidR="001E6DD1" w:rsidRPr="00165E31" w:rsidRDefault="001E6DD1" w:rsidP="001E6DD1">
      <w:pPr>
        <w:rPr>
          <w:szCs w:val="22"/>
        </w:rPr>
      </w:pPr>
    </w:p>
    <w:p w14:paraId="7820F2D8" w14:textId="77777777" w:rsidR="001E6DD1" w:rsidRPr="00165E31" w:rsidRDefault="00430718" w:rsidP="001E6DD1">
      <w:pPr>
        <w:outlineLvl w:val="0"/>
        <w:rPr>
          <w:noProof/>
          <w:szCs w:val="22"/>
        </w:rPr>
      </w:pPr>
      <w:r w:rsidRPr="00165E31">
        <w:t>Pilnu palīgvielu sarakstu skatīt 6.1. apakšpunktā.</w:t>
      </w:r>
    </w:p>
    <w:p w14:paraId="23113D0F" w14:textId="77777777" w:rsidR="001E6DD1" w:rsidRPr="00165E31" w:rsidRDefault="001E6DD1" w:rsidP="001E6DD1">
      <w:pPr>
        <w:rPr>
          <w:noProof/>
          <w:szCs w:val="22"/>
        </w:rPr>
      </w:pPr>
    </w:p>
    <w:p w14:paraId="67603433" w14:textId="77777777" w:rsidR="001E6DD1" w:rsidRPr="00165E31" w:rsidRDefault="001E6DD1" w:rsidP="001E6DD1">
      <w:pPr>
        <w:spacing w:line="240" w:lineRule="auto"/>
        <w:rPr>
          <w:noProof/>
          <w:szCs w:val="22"/>
        </w:rPr>
      </w:pPr>
    </w:p>
    <w:p w14:paraId="70BF7ADE" w14:textId="77777777" w:rsidR="001E6DD1" w:rsidRPr="00165E31" w:rsidRDefault="00430718" w:rsidP="001E6DD1">
      <w:pPr>
        <w:pStyle w:val="ListParagraph"/>
        <w:numPr>
          <w:ilvl w:val="0"/>
          <w:numId w:val="28"/>
        </w:numPr>
        <w:spacing w:line="240" w:lineRule="auto"/>
        <w:ind w:hanging="930"/>
        <w:rPr>
          <w:b/>
        </w:rPr>
      </w:pPr>
      <w:r w:rsidRPr="00165E31">
        <w:rPr>
          <w:b/>
        </w:rPr>
        <w:t>ZĀĻU FORMA</w:t>
      </w:r>
    </w:p>
    <w:p w14:paraId="7CD97787" w14:textId="77777777" w:rsidR="001E6DD1" w:rsidRPr="00165E31" w:rsidRDefault="001E6DD1" w:rsidP="001E6DD1">
      <w:pPr>
        <w:spacing w:line="240" w:lineRule="auto"/>
        <w:rPr>
          <w:noProof/>
          <w:szCs w:val="22"/>
        </w:rPr>
      </w:pPr>
    </w:p>
    <w:p w14:paraId="3DCB7100" w14:textId="4DDAC124" w:rsidR="001E6DD1" w:rsidRPr="00165E31" w:rsidRDefault="00430718" w:rsidP="001E6DD1">
      <w:pPr>
        <w:rPr>
          <w:noProof/>
          <w:szCs w:val="22"/>
        </w:rPr>
      </w:pPr>
      <w:r w:rsidRPr="00165E31">
        <w:t xml:space="preserve"> </w:t>
      </w:r>
      <w:r w:rsidR="009B4DF6" w:rsidRPr="00165E31">
        <w:t>Apvalkot</w:t>
      </w:r>
      <w:r w:rsidR="00A253A6" w:rsidRPr="00165E31">
        <w:t>ā</w:t>
      </w:r>
      <w:r w:rsidR="009B4DF6" w:rsidRPr="00165E31">
        <w:t xml:space="preserve"> </w:t>
      </w:r>
      <w:r w:rsidRPr="00165E31">
        <w:t>tablete</w:t>
      </w:r>
      <w:r w:rsidR="004E5E42" w:rsidRPr="00165E31">
        <w:t xml:space="preserve"> (tablete)</w:t>
      </w:r>
      <w:r w:rsidR="00975D83" w:rsidRPr="00165E31">
        <w:t>.</w:t>
      </w:r>
    </w:p>
    <w:p w14:paraId="40BAE9B0" w14:textId="77777777" w:rsidR="001E6DD1" w:rsidRPr="00165E31" w:rsidRDefault="001E6DD1" w:rsidP="001E6DD1">
      <w:pPr>
        <w:rPr>
          <w:noProof/>
          <w:szCs w:val="22"/>
        </w:rPr>
      </w:pPr>
    </w:p>
    <w:p w14:paraId="5DA3D2DD" w14:textId="494B3520" w:rsidR="001E6DD1" w:rsidRPr="00165E31" w:rsidRDefault="00430718" w:rsidP="001E6DD1">
      <w:pPr>
        <w:rPr>
          <w:noProof/>
          <w:szCs w:val="22"/>
        </w:rPr>
      </w:pPr>
      <w:r w:rsidRPr="00165E31">
        <w:t>Dzeltena</w:t>
      </w:r>
      <w:r w:rsidR="00975D83" w:rsidRPr="00165E31">
        <w:t>, 16 mm x 8 mm liela iegarena</w:t>
      </w:r>
      <w:r w:rsidR="00141664" w:rsidRPr="00165E31">
        <w:t xml:space="preserve"> apvalkot</w:t>
      </w:r>
      <w:r w:rsidR="00A253A6" w:rsidRPr="00165E31">
        <w:t>ā</w:t>
      </w:r>
      <w:r w:rsidR="00975D83" w:rsidRPr="00165E31">
        <w:t xml:space="preserve"> tablete ar dalījuma līniju vienā pusē.</w:t>
      </w:r>
    </w:p>
    <w:p w14:paraId="70DD3E86" w14:textId="77777777" w:rsidR="001E6DD1" w:rsidRPr="00165E31" w:rsidRDefault="001E6DD1" w:rsidP="001E6DD1">
      <w:pPr>
        <w:rPr>
          <w:noProof/>
          <w:szCs w:val="22"/>
        </w:rPr>
      </w:pPr>
    </w:p>
    <w:p w14:paraId="72B49D80" w14:textId="77777777" w:rsidR="001E6DD1" w:rsidRPr="00165E31" w:rsidRDefault="00430718" w:rsidP="001E6DD1">
      <w:pPr>
        <w:rPr>
          <w:noProof/>
          <w:szCs w:val="22"/>
        </w:rPr>
      </w:pPr>
      <w:r w:rsidRPr="00165E31">
        <w:t>Tableti var sadalīt vienādās devās.</w:t>
      </w:r>
    </w:p>
    <w:p w14:paraId="160B3D66" w14:textId="77777777" w:rsidR="001E6DD1" w:rsidRPr="00165E31" w:rsidRDefault="001E6DD1" w:rsidP="001E6DD1">
      <w:pPr>
        <w:rPr>
          <w:noProof/>
          <w:szCs w:val="22"/>
        </w:rPr>
      </w:pPr>
    </w:p>
    <w:p w14:paraId="483F3C4F" w14:textId="77777777" w:rsidR="001E6DD1" w:rsidRPr="00165E31" w:rsidRDefault="001E6DD1" w:rsidP="001E6DD1">
      <w:pPr>
        <w:rPr>
          <w:noProof/>
          <w:szCs w:val="22"/>
        </w:rPr>
      </w:pPr>
    </w:p>
    <w:p w14:paraId="3CF97CC3" w14:textId="77777777" w:rsidR="001E6DD1" w:rsidRPr="00165E31" w:rsidRDefault="00430718" w:rsidP="001E6DD1">
      <w:pPr>
        <w:pStyle w:val="ListParagraph"/>
        <w:numPr>
          <w:ilvl w:val="0"/>
          <w:numId w:val="28"/>
        </w:numPr>
        <w:spacing w:line="240" w:lineRule="auto"/>
        <w:ind w:hanging="930"/>
        <w:rPr>
          <w:b/>
        </w:rPr>
      </w:pPr>
      <w:r w:rsidRPr="00165E31">
        <w:rPr>
          <w:b/>
        </w:rPr>
        <w:t>KLĪNISKĀ INFORMĀCIJA</w:t>
      </w:r>
    </w:p>
    <w:p w14:paraId="4A342B6B" w14:textId="77777777" w:rsidR="001E6DD1" w:rsidRPr="00165E31" w:rsidRDefault="001E6DD1" w:rsidP="001E6DD1">
      <w:pPr>
        <w:spacing w:line="240" w:lineRule="auto"/>
        <w:rPr>
          <w:noProof/>
          <w:szCs w:val="22"/>
        </w:rPr>
      </w:pPr>
    </w:p>
    <w:p w14:paraId="4E7274E6" w14:textId="77777777" w:rsidR="001E6DD1" w:rsidRPr="00165E31" w:rsidRDefault="00430718" w:rsidP="001E6DD1">
      <w:pPr>
        <w:spacing w:line="240" w:lineRule="auto"/>
        <w:outlineLvl w:val="0"/>
        <w:rPr>
          <w:noProof/>
          <w:szCs w:val="22"/>
        </w:rPr>
      </w:pPr>
      <w:r w:rsidRPr="00165E31">
        <w:rPr>
          <w:b/>
          <w:noProof/>
        </w:rPr>
        <w:t>4.1.</w:t>
      </w:r>
      <w:r w:rsidRPr="00165E31">
        <w:rPr>
          <w:b/>
          <w:noProof/>
        </w:rPr>
        <w:tab/>
        <w:t>Terapeitiskās indikācijas</w:t>
      </w:r>
    </w:p>
    <w:p w14:paraId="17FB6AE8" w14:textId="77777777" w:rsidR="001E6DD1" w:rsidRPr="00165E31" w:rsidRDefault="001E6DD1" w:rsidP="001E6DD1">
      <w:pPr>
        <w:spacing w:line="240" w:lineRule="auto"/>
        <w:rPr>
          <w:noProof/>
          <w:szCs w:val="22"/>
        </w:rPr>
      </w:pPr>
    </w:p>
    <w:p w14:paraId="23410779" w14:textId="77777777" w:rsidR="001E6DD1" w:rsidRPr="00165E31" w:rsidRDefault="00430718" w:rsidP="001E6DD1">
      <w:pPr>
        <w:rPr>
          <w:i/>
          <w:color w:val="000000"/>
          <w:szCs w:val="22"/>
        </w:rPr>
      </w:pPr>
      <w:r w:rsidRPr="00165E31">
        <w:rPr>
          <w:i/>
        </w:rPr>
        <w:t>Cuprior</w:t>
      </w:r>
      <w:r w:rsidRPr="00165E31">
        <w:t xml:space="preserve"> ir indicētas Vilsona slimības ārstēšanai pieaugušajiem, pusaudžiem un 5 gadus veciem un vecākiem bērniem, kuri nepanes D-penicilamīna terapiju.</w:t>
      </w:r>
    </w:p>
    <w:p w14:paraId="10C8617C" w14:textId="77777777" w:rsidR="001E6DD1" w:rsidRPr="00165E31" w:rsidRDefault="001E6DD1" w:rsidP="001E6DD1">
      <w:pPr>
        <w:spacing w:line="240" w:lineRule="auto"/>
        <w:rPr>
          <w:noProof/>
          <w:szCs w:val="22"/>
        </w:rPr>
      </w:pPr>
    </w:p>
    <w:p w14:paraId="7250922F" w14:textId="77777777" w:rsidR="001E6DD1" w:rsidRPr="00165E31" w:rsidRDefault="00430718" w:rsidP="001E6DD1">
      <w:pPr>
        <w:spacing w:line="240" w:lineRule="auto"/>
        <w:outlineLvl w:val="0"/>
        <w:rPr>
          <w:b/>
          <w:noProof/>
          <w:szCs w:val="22"/>
        </w:rPr>
      </w:pPr>
      <w:r w:rsidRPr="00165E31">
        <w:rPr>
          <w:b/>
          <w:noProof/>
        </w:rPr>
        <w:t>4.2.</w:t>
      </w:r>
      <w:r w:rsidRPr="00165E31">
        <w:rPr>
          <w:b/>
          <w:noProof/>
        </w:rPr>
        <w:tab/>
        <w:t>Devas un lietošanas veids</w:t>
      </w:r>
    </w:p>
    <w:p w14:paraId="18050180" w14:textId="77777777" w:rsidR="001E6DD1" w:rsidRPr="00165E31" w:rsidRDefault="001E6DD1" w:rsidP="001E6DD1">
      <w:pPr>
        <w:spacing w:line="240" w:lineRule="auto"/>
        <w:rPr>
          <w:szCs w:val="22"/>
        </w:rPr>
      </w:pPr>
    </w:p>
    <w:p w14:paraId="131738AF" w14:textId="77777777" w:rsidR="001E6DD1" w:rsidRPr="00165E31" w:rsidRDefault="00430718" w:rsidP="001E6DD1">
      <w:pPr>
        <w:rPr>
          <w:szCs w:val="22"/>
        </w:rPr>
      </w:pPr>
      <w:r w:rsidRPr="00165E31">
        <w:t>Ārstēšanu drīkst uzsākt tikai ārsts speciālists, kuram ir pieredze Vilsona sli</w:t>
      </w:r>
      <w:r w:rsidRPr="00165E31">
        <w:t xml:space="preserve">mības ārstēšanā. </w:t>
      </w:r>
    </w:p>
    <w:p w14:paraId="7CE6595A" w14:textId="77777777" w:rsidR="001E6DD1" w:rsidRPr="00165E31" w:rsidRDefault="001E6DD1" w:rsidP="001E6DD1">
      <w:pPr>
        <w:rPr>
          <w:szCs w:val="22"/>
        </w:rPr>
      </w:pPr>
    </w:p>
    <w:p w14:paraId="2BFED259" w14:textId="77777777" w:rsidR="001E6DD1" w:rsidRPr="00165E31" w:rsidRDefault="00430718" w:rsidP="001E6DD1">
      <w:pPr>
        <w:rPr>
          <w:szCs w:val="22"/>
        </w:rPr>
      </w:pPr>
      <w:r w:rsidRPr="00165E31">
        <w:rPr>
          <w:u w:val="single"/>
        </w:rPr>
        <w:t>Devas</w:t>
      </w:r>
    </w:p>
    <w:p w14:paraId="69D87586" w14:textId="77777777" w:rsidR="001E6DD1" w:rsidRPr="00165E31" w:rsidRDefault="00430718" w:rsidP="001E6DD1">
      <w:pPr>
        <w:rPr>
          <w:rFonts w:eastAsia="SimSun"/>
          <w:szCs w:val="22"/>
        </w:rPr>
      </w:pPr>
      <w:r w:rsidRPr="00165E31">
        <w:t>Sākumdeva parasti atbilst zemākajai devai piedāvātajās robežās, un deva pēc tam jāpielāgo atbilstoši pacienta klīniskajai atbildes reakcijai (skatīt 4.4. apakšpunktu).</w:t>
      </w:r>
    </w:p>
    <w:p w14:paraId="302183AD" w14:textId="77777777" w:rsidR="001E6DD1" w:rsidRPr="00165E31" w:rsidRDefault="001E6DD1" w:rsidP="001E6DD1">
      <w:pPr>
        <w:tabs>
          <w:tab w:val="clear" w:pos="567"/>
        </w:tabs>
        <w:autoSpaceDE w:val="0"/>
        <w:autoSpaceDN w:val="0"/>
        <w:adjustRightInd w:val="0"/>
        <w:spacing w:line="240" w:lineRule="auto"/>
        <w:rPr>
          <w:rFonts w:eastAsia="SimSun"/>
          <w:i/>
          <w:iCs/>
          <w:szCs w:val="22"/>
        </w:rPr>
      </w:pPr>
    </w:p>
    <w:p w14:paraId="10C55034" w14:textId="6541E5DD" w:rsidR="001E6DD1" w:rsidRPr="00165E31" w:rsidRDefault="00430718" w:rsidP="001E6DD1">
      <w:pPr>
        <w:tabs>
          <w:tab w:val="clear" w:pos="567"/>
        </w:tabs>
        <w:autoSpaceDE w:val="0"/>
        <w:autoSpaceDN w:val="0"/>
        <w:adjustRightInd w:val="0"/>
        <w:spacing w:line="240" w:lineRule="auto"/>
        <w:rPr>
          <w:rFonts w:eastAsia="SimSun"/>
          <w:iCs/>
          <w:szCs w:val="22"/>
        </w:rPr>
      </w:pPr>
      <w:r w:rsidRPr="00165E31">
        <w:t>Ieteicamā deva ir no 450 mg līdz 975 mg (3 līdz 6</w:t>
      </w:r>
      <w:r w:rsidRPr="00165E31">
        <w:rPr>
          <w:b/>
        </w:rPr>
        <w:t>½ </w:t>
      </w:r>
      <w:r w:rsidR="00EC4526" w:rsidRPr="00165E31">
        <w:t>apvalkotās t</w:t>
      </w:r>
      <w:r w:rsidRPr="00165E31">
        <w:t xml:space="preserve">abletes) dienā, kas sadalīta 2 līdz 4 devās. </w:t>
      </w:r>
    </w:p>
    <w:p w14:paraId="7CA291E2" w14:textId="77777777" w:rsidR="001E6DD1" w:rsidRPr="00165E31" w:rsidRDefault="001E6DD1" w:rsidP="001E6DD1">
      <w:pPr>
        <w:tabs>
          <w:tab w:val="clear" w:pos="567"/>
        </w:tabs>
        <w:autoSpaceDE w:val="0"/>
        <w:autoSpaceDN w:val="0"/>
        <w:adjustRightInd w:val="0"/>
        <w:spacing w:line="240" w:lineRule="auto"/>
        <w:rPr>
          <w:rFonts w:eastAsia="SimSun"/>
          <w:iCs/>
          <w:szCs w:val="22"/>
          <w:u w:val="single"/>
        </w:rPr>
      </w:pPr>
    </w:p>
    <w:p w14:paraId="03C397BF" w14:textId="77777777" w:rsidR="001E6DD1" w:rsidRPr="00165E31" w:rsidRDefault="00430718" w:rsidP="001E6DD1">
      <w:pPr>
        <w:tabs>
          <w:tab w:val="clear" w:pos="567"/>
        </w:tabs>
        <w:autoSpaceDE w:val="0"/>
        <w:autoSpaceDN w:val="0"/>
        <w:adjustRightInd w:val="0"/>
        <w:spacing w:line="240" w:lineRule="auto"/>
        <w:rPr>
          <w:rFonts w:eastAsia="SimSun"/>
          <w:i/>
          <w:iCs/>
          <w:szCs w:val="22"/>
          <w:u w:val="single"/>
        </w:rPr>
      </w:pPr>
      <w:r w:rsidRPr="00165E31">
        <w:rPr>
          <w:i/>
          <w:u w:val="single"/>
        </w:rPr>
        <w:t>Īpašas populācijas</w:t>
      </w:r>
    </w:p>
    <w:p w14:paraId="01A12B9E" w14:textId="77777777" w:rsidR="001E6DD1" w:rsidRPr="00165E31" w:rsidRDefault="00430718" w:rsidP="001E6DD1">
      <w:pPr>
        <w:tabs>
          <w:tab w:val="clear" w:pos="567"/>
        </w:tabs>
        <w:autoSpaceDE w:val="0"/>
        <w:autoSpaceDN w:val="0"/>
        <w:adjustRightInd w:val="0"/>
        <w:spacing w:line="240" w:lineRule="auto"/>
        <w:rPr>
          <w:rFonts w:eastAsia="SimSun"/>
          <w:i/>
          <w:iCs/>
          <w:szCs w:val="22"/>
        </w:rPr>
      </w:pPr>
      <w:r w:rsidRPr="00165E31">
        <w:rPr>
          <w:i/>
        </w:rPr>
        <w:t xml:space="preserve">Gados vecāki cilvēki </w:t>
      </w:r>
    </w:p>
    <w:p w14:paraId="1F130CD7" w14:textId="77777777" w:rsidR="001E6DD1" w:rsidRPr="00165E31" w:rsidRDefault="00430718" w:rsidP="001E6DD1">
      <w:pPr>
        <w:rPr>
          <w:rFonts w:eastAsia="TimesNewRoman"/>
          <w:szCs w:val="22"/>
        </w:rPr>
      </w:pPr>
      <w:r w:rsidRPr="00165E31">
        <w:t>Vecākiem pacientiem nav nepieciešams veikt devas pielāgošanu.</w:t>
      </w:r>
    </w:p>
    <w:p w14:paraId="38E04FAD" w14:textId="77777777" w:rsidR="001E6DD1" w:rsidRPr="00165E31" w:rsidRDefault="001E6DD1" w:rsidP="001E6DD1">
      <w:pPr>
        <w:rPr>
          <w:rFonts w:eastAsia="TimesNewRoman"/>
          <w:szCs w:val="22"/>
        </w:rPr>
      </w:pPr>
    </w:p>
    <w:p w14:paraId="105D6E57" w14:textId="77777777" w:rsidR="001E6DD1" w:rsidRPr="00165E31" w:rsidRDefault="00430718" w:rsidP="001E6DD1">
      <w:pPr>
        <w:tabs>
          <w:tab w:val="clear" w:pos="567"/>
        </w:tabs>
        <w:autoSpaceDE w:val="0"/>
        <w:autoSpaceDN w:val="0"/>
        <w:adjustRightInd w:val="0"/>
        <w:spacing w:line="240" w:lineRule="auto"/>
        <w:rPr>
          <w:rFonts w:eastAsia="SimSun"/>
          <w:i/>
          <w:iCs/>
          <w:szCs w:val="22"/>
        </w:rPr>
      </w:pPr>
      <w:r w:rsidRPr="00165E31">
        <w:rPr>
          <w:i/>
        </w:rPr>
        <w:t>Nieru darbības traucējumi</w:t>
      </w:r>
    </w:p>
    <w:p w14:paraId="6B5EAA2A" w14:textId="77777777" w:rsidR="001E6DD1" w:rsidRPr="00165E31" w:rsidRDefault="00430718" w:rsidP="001E6DD1">
      <w:pPr>
        <w:tabs>
          <w:tab w:val="clear" w:pos="567"/>
        </w:tabs>
        <w:autoSpaceDE w:val="0"/>
        <w:autoSpaceDN w:val="0"/>
        <w:adjustRightInd w:val="0"/>
        <w:spacing w:line="240" w:lineRule="auto"/>
        <w:rPr>
          <w:rFonts w:eastAsia="TimesNewRoman"/>
          <w:szCs w:val="22"/>
        </w:rPr>
      </w:pPr>
      <w:r w:rsidRPr="00165E31">
        <w:t>Ir pieejama ierobežota informācija par pacientiem ar nieru darbības traucējumi</w:t>
      </w:r>
      <w:r w:rsidRPr="00165E31">
        <w:t>em. Šiem pacientiem nav nepieciešams veikt īpašu devas pielāgošanu (skatīt 4.4. apakšpunktu).</w:t>
      </w:r>
    </w:p>
    <w:p w14:paraId="29B2EDB1" w14:textId="77777777" w:rsidR="001E6DD1" w:rsidRPr="00165E31" w:rsidRDefault="001E6DD1" w:rsidP="001E6DD1">
      <w:pPr>
        <w:rPr>
          <w:szCs w:val="22"/>
        </w:rPr>
      </w:pPr>
    </w:p>
    <w:p w14:paraId="50557073" w14:textId="77777777" w:rsidR="001E6DD1" w:rsidRPr="00165E31" w:rsidRDefault="00430718" w:rsidP="001E6DD1">
      <w:pPr>
        <w:rPr>
          <w:rFonts w:eastAsia="SimSun"/>
          <w:iCs/>
          <w:szCs w:val="22"/>
          <w:u w:val="single"/>
        </w:rPr>
      </w:pPr>
      <w:r w:rsidRPr="00165E31">
        <w:rPr>
          <w:u w:val="single"/>
        </w:rPr>
        <w:t>Pediatriskā populācija</w:t>
      </w:r>
    </w:p>
    <w:p w14:paraId="78C7BAC0" w14:textId="77777777" w:rsidR="001E6DD1" w:rsidRPr="00165E31" w:rsidRDefault="00430718" w:rsidP="001E6DD1">
      <w:pPr>
        <w:rPr>
          <w:szCs w:val="22"/>
        </w:rPr>
      </w:pPr>
      <w:r w:rsidRPr="00165E31">
        <w:t xml:space="preserve">Sākumdeva pediatriskiem pacientiem ir mazāka nekā pieaugušajiem un ir atkarīga no vecuma un ķermeņa masas. </w:t>
      </w:r>
    </w:p>
    <w:p w14:paraId="215442D3" w14:textId="77777777" w:rsidR="001E6DD1" w:rsidRPr="00165E31" w:rsidRDefault="001E6DD1" w:rsidP="001E6DD1">
      <w:pPr>
        <w:rPr>
          <w:szCs w:val="22"/>
        </w:rPr>
      </w:pPr>
    </w:p>
    <w:p w14:paraId="389461DC" w14:textId="77777777" w:rsidR="001E6DD1" w:rsidRPr="00165E31" w:rsidRDefault="00430718" w:rsidP="001E6DD1">
      <w:pPr>
        <w:rPr>
          <w:i/>
          <w:szCs w:val="22"/>
        </w:rPr>
      </w:pPr>
      <w:r w:rsidRPr="00165E31">
        <w:rPr>
          <w:i/>
        </w:rPr>
        <w:t xml:space="preserve">5 gadus veci un vecāki bērni </w:t>
      </w:r>
    </w:p>
    <w:p w14:paraId="2F7AFA28" w14:textId="2C1C35F0" w:rsidR="001E6DD1" w:rsidRPr="00165E31" w:rsidRDefault="00430718" w:rsidP="001E6DD1">
      <w:pPr>
        <w:rPr>
          <w:szCs w:val="22"/>
        </w:rPr>
      </w:pPr>
      <w:r w:rsidRPr="00165E31">
        <w:t>Deva parasti ir no 225 mg līdz 600 mg (1</w:t>
      </w:r>
      <w:r w:rsidRPr="00165E31">
        <w:rPr>
          <w:b/>
        </w:rPr>
        <w:t>½ </w:t>
      </w:r>
      <w:r w:rsidRPr="00165E31">
        <w:t>līdz 4 </w:t>
      </w:r>
      <w:r w:rsidR="00EC4526" w:rsidRPr="00165E31">
        <w:t>apvalkotās t</w:t>
      </w:r>
      <w:r w:rsidRPr="00165E31">
        <w:t xml:space="preserve">abletes) dienā, kas sadalīta 2 līdz 4 devās. </w:t>
      </w:r>
    </w:p>
    <w:p w14:paraId="1BDBA414" w14:textId="77777777" w:rsidR="001E6DD1" w:rsidRPr="00165E31" w:rsidRDefault="001E6DD1" w:rsidP="001E6DD1">
      <w:pPr>
        <w:rPr>
          <w:szCs w:val="22"/>
        </w:rPr>
      </w:pPr>
    </w:p>
    <w:p w14:paraId="27DC192F" w14:textId="77777777" w:rsidR="00C4521E" w:rsidRPr="00165E31" w:rsidRDefault="00C4521E" w:rsidP="001E6DD1">
      <w:pPr>
        <w:rPr>
          <w:i/>
        </w:rPr>
      </w:pPr>
    </w:p>
    <w:p w14:paraId="54325B0C" w14:textId="77777777" w:rsidR="001E6DD1" w:rsidRPr="00165E31" w:rsidRDefault="00430718" w:rsidP="001E6DD1">
      <w:pPr>
        <w:rPr>
          <w:i/>
          <w:iCs/>
          <w:szCs w:val="22"/>
        </w:rPr>
      </w:pPr>
      <w:r w:rsidRPr="00165E31">
        <w:rPr>
          <w:i/>
        </w:rPr>
        <w:lastRenderedPageBreak/>
        <w:t>Bērni, kas jaunāki par 5 gadiem</w:t>
      </w:r>
    </w:p>
    <w:p w14:paraId="2ADBB5A6" w14:textId="77777777" w:rsidR="001E6DD1" w:rsidRPr="00165E31" w:rsidRDefault="00430718" w:rsidP="001E6DD1">
      <w:pPr>
        <w:tabs>
          <w:tab w:val="clear" w:pos="567"/>
        </w:tabs>
        <w:autoSpaceDE w:val="0"/>
        <w:autoSpaceDN w:val="0"/>
        <w:adjustRightInd w:val="0"/>
        <w:spacing w:line="240" w:lineRule="auto"/>
        <w:rPr>
          <w:szCs w:val="22"/>
        </w:rPr>
      </w:pPr>
      <w:r w:rsidRPr="00165E31">
        <w:t xml:space="preserve">Trientīna drošums un efektivitāte, lietojot bērniem vecumā līdz 5 gadiem, līdz šim nav pierādīta. </w:t>
      </w:r>
    </w:p>
    <w:p w14:paraId="49D4766C" w14:textId="77777777" w:rsidR="001E6DD1" w:rsidRPr="00165E31" w:rsidRDefault="00430718" w:rsidP="001E6DD1">
      <w:pPr>
        <w:tabs>
          <w:tab w:val="clear" w:pos="567"/>
        </w:tabs>
        <w:autoSpaceDE w:val="0"/>
        <w:autoSpaceDN w:val="0"/>
        <w:adjustRightInd w:val="0"/>
        <w:spacing w:line="240" w:lineRule="auto"/>
        <w:rPr>
          <w:szCs w:val="22"/>
        </w:rPr>
      </w:pPr>
      <w:r w:rsidRPr="00165E31">
        <w:t>Zāļu forma nav piemērota lietošanai bērniem, kas ir jaunāki par 5 gadiem.</w:t>
      </w:r>
    </w:p>
    <w:p w14:paraId="76CFF442" w14:textId="77777777" w:rsidR="001E6DD1" w:rsidRPr="00165E31" w:rsidRDefault="001E6DD1" w:rsidP="001E6DD1">
      <w:pPr>
        <w:rPr>
          <w:rFonts w:eastAsia="SimSun"/>
          <w:highlight w:val="yellow"/>
        </w:rPr>
      </w:pPr>
    </w:p>
    <w:p w14:paraId="22DA7ED1" w14:textId="77777777" w:rsidR="001E6DD1" w:rsidRPr="00165E31" w:rsidRDefault="00430718" w:rsidP="001E6DD1">
      <w:pPr>
        <w:rPr>
          <w:szCs w:val="22"/>
        </w:rPr>
      </w:pPr>
      <w:r w:rsidRPr="00165E31">
        <w:rPr>
          <w:i/>
        </w:rPr>
        <w:t>Cuprior</w:t>
      </w:r>
      <w:r w:rsidRPr="00165E31">
        <w:t xml:space="preserve"> rekomendētās devas tiek izteiktas kā mg tr</w:t>
      </w:r>
      <w:r w:rsidRPr="00165E31">
        <w:t xml:space="preserve">ientīna bāzes (t.i., nevis mg trientīna tetrahidrohlorīda sāls). </w:t>
      </w:r>
    </w:p>
    <w:p w14:paraId="333FCEB3" w14:textId="77777777" w:rsidR="001E6DD1" w:rsidRPr="00165E31" w:rsidRDefault="001E6DD1" w:rsidP="001E6DD1">
      <w:pPr>
        <w:tabs>
          <w:tab w:val="clear" w:pos="567"/>
          <w:tab w:val="left" w:pos="7309"/>
        </w:tabs>
        <w:rPr>
          <w:szCs w:val="22"/>
        </w:rPr>
      </w:pPr>
    </w:p>
    <w:p w14:paraId="31E97A67" w14:textId="77777777" w:rsidR="001E6DD1" w:rsidRPr="00165E31" w:rsidRDefault="00430718" w:rsidP="001E6DD1">
      <w:pPr>
        <w:autoSpaceDE w:val="0"/>
        <w:autoSpaceDN w:val="0"/>
        <w:adjustRightInd w:val="0"/>
        <w:rPr>
          <w:szCs w:val="22"/>
          <w:u w:val="single"/>
        </w:rPr>
      </w:pPr>
      <w:r w:rsidRPr="00165E31">
        <w:rPr>
          <w:u w:val="single"/>
        </w:rPr>
        <w:t>Lietošanas veids</w:t>
      </w:r>
    </w:p>
    <w:p w14:paraId="65097EEF" w14:textId="514E0C2E" w:rsidR="001E6DD1" w:rsidRPr="00165E31" w:rsidRDefault="00430718" w:rsidP="001E6DD1">
      <w:pPr>
        <w:autoSpaceDE w:val="0"/>
        <w:autoSpaceDN w:val="0"/>
        <w:adjustRightInd w:val="0"/>
        <w:rPr>
          <w:szCs w:val="22"/>
        </w:rPr>
      </w:pPr>
      <w:r w:rsidRPr="00165E31">
        <w:rPr>
          <w:i/>
        </w:rPr>
        <w:t>Cuprior</w:t>
      </w:r>
      <w:r w:rsidRPr="00165E31">
        <w:t xml:space="preserve"> paredzētas iekšķīgai lietošanai. </w:t>
      </w:r>
      <w:r w:rsidR="00EC4526" w:rsidRPr="00165E31">
        <w:t>Apvalkotās t</w:t>
      </w:r>
      <w:r w:rsidRPr="00165E31">
        <w:t xml:space="preserve">abletes jānorij, uzdzerot ūdeni. Lai nodrošinātu precīzāku devu vai atvieglotu lietošanu, </w:t>
      </w:r>
      <w:r w:rsidR="00EC4526" w:rsidRPr="00165E31">
        <w:t xml:space="preserve">apvalkotās </w:t>
      </w:r>
      <w:r w:rsidRPr="00165E31">
        <w:t>tabletes ar dalīju</w:t>
      </w:r>
      <w:r w:rsidRPr="00165E31">
        <w:t>ma līniju var sadalīt divās vienādās daļās, ja tas nepieciešams.</w:t>
      </w:r>
    </w:p>
    <w:p w14:paraId="38577589" w14:textId="77777777" w:rsidR="001E6DD1" w:rsidRPr="00165E31" w:rsidRDefault="001E6DD1" w:rsidP="001E6DD1">
      <w:pPr>
        <w:autoSpaceDE w:val="0"/>
        <w:autoSpaceDN w:val="0"/>
        <w:adjustRightInd w:val="0"/>
        <w:rPr>
          <w:szCs w:val="22"/>
        </w:rPr>
      </w:pPr>
    </w:p>
    <w:p w14:paraId="0E44D307" w14:textId="77777777" w:rsidR="001E6DD1" w:rsidRPr="00165E31" w:rsidRDefault="00430718" w:rsidP="001E6DD1">
      <w:pPr>
        <w:autoSpaceDE w:val="0"/>
        <w:autoSpaceDN w:val="0"/>
        <w:adjustRightInd w:val="0"/>
        <w:rPr>
          <w:noProof/>
          <w:szCs w:val="22"/>
        </w:rPr>
      </w:pPr>
      <w:r w:rsidRPr="00165E31">
        <w:t xml:space="preserve">Ir svarīgi, lai </w:t>
      </w:r>
      <w:r w:rsidRPr="00165E31">
        <w:rPr>
          <w:i/>
        </w:rPr>
        <w:t>Cuprior</w:t>
      </w:r>
      <w:r w:rsidRPr="00165E31">
        <w:t xml:space="preserve"> tiktu lietotas tukšā dūšā, vismaz vienu stundu pirms ēdienreizes vai divas stundas pēc ēdienreizes un vismaz ar vienas stundas starplaiku no jebkuru citu zāļu, pārtik</w:t>
      </w:r>
      <w:r w:rsidRPr="00165E31">
        <w:t xml:space="preserve">as vai piena lietošanas (skatīt 4.5. apakšpunktu). </w:t>
      </w:r>
    </w:p>
    <w:p w14:paraId="0160673F" w14:textId="77777777" w:rsidR="001E6DD1" w:rsidRPr="00165E31" w:rsidRDefault="001E6DD1" w:rsidP="001E6DD1">
      <w:pPr>
        <w:spacing w:line="240" w:lineRule="auto"/>
        <w:ind w:left="567" w:hanging="567"/>
        <w:rPr>
          <w:b/>
          <w:noProof/>
          <w:szCs w:val="22"/>
        </w:rPr>
      </w:pPr>
    </w:p>
    <w:p w14:paraId="6A659C19" w14:textId="77777777" w:rsidR="001E6DD1" w:rsidRPr="00165E31" w:rsidRDefault="00430718" w:rsidP="001E6DD1">
      <w:pPr>
        <w:spacing w:line="240" w:lineRule="auto"/>
        <w:outlineLvl w:val="0"/>
        <w:rPr>
          <w:b/>
          <w:noProof/>
          <w:szCs w:val="22"/>
        </w:rPr>
      </w:pPr>
      <w:r w:rsidRPr="00165E31">
        <w:rPr>
          <w:b/>
          <w:noProof/>
        </w:rPr>
        <w:t>4.3.</w:t>
      </w:r>
      <w:r w:rsidRPr="00165E31">
        <w:rPr>
          <w:b/>
          <w:noProof/>
        </w:rPr>
        <w:tab/>
        <w:t>Kontrindikācijas</w:t>
      </w:r>
    </w:p>
    <w:p w14:paraId="57225E79" w14:textId="77777777" w:rsidR="001E6DD1" w:rsidRPr="00165E31" w:rsidRDefault="001E6DD1" w:rsidP="001E6DD1">
      <w:pPr>
        <w:spacing w:line="240" w:lineRule="auto"/>
        <w:rPr>
          <w:noProof/>
          <w:szCs w:val="22"/>
        </w:rPr>
      </w:pPr>
    </w:p>
    <w:p w14:paraId="5C8F22C5" w14:textId="77777777" w:rsidR="001E6DD1" w:rsidRPr="00165E31" w:rsidRDefault="00430718" w:rsidP="001E6DD1">
      <w:pPr>
        <w:rPr>
          <w:noProof/>
          <w:szCs w:val="22"/>
        </w:rPr>
      </w:pPr>
      <w:r w:rsidRPr="00165E31">
        <w:t>Paaugstināta jutība pret aktīvo vielu vai jebkuru no 6.1. apakšpunktā uzskaitītajām palīgvielām.</w:t>
      </w:r>
    </w:p>
    <w:p w14:paraId="7A35BF19" w14:textId="77777777" w:rsidR="001E6DD1" w:rsidRPr="00165E31" w:rsidRDefault="001E6DD1" w:rsidP="001E6DD1">
      <w:pPr>
        <w:spacing w:line="240" w:lineRule="auto"/>
        <w:rPr>
          <w:noProof/>
          <w:szCs w:val="22"/>
        </w:rPr>
      </w:pPr>
    </w:p>
    <w:p w14:paraId="7AF1129F" w14:textId="77777777" w:rsidR="001E6DD1" w:rsidRPr="00165E31" w:rsidRDefault="00430718" w:rsidP="001E6DD1">
      <w:pPr>
        <w:spacing w:line="240" w:lineRule="auto"/>
        <w:outlineLvl w:val="0"/>
        <w:rPr>
          <w:b/>
          <w:noProof/>
          <w:szCs w:val="22"/>
        </w:rPr>
      </w:pPr>
      <w:r w:rsidRPr="00165E31">
        <w:rPr>
          <w:b/>
          <w:noProof/>
        </w:rPr>
        <w:t>4.4.</w:t>
      </w:r>
      <w:r w:rsidRPr="00165E31">
        <w:rPr>
          <w:b/>
          <w:noProof/>
        </w:rPr>
        <w:tab/>
        <w:t>Īpaši brīdinājumi un piesardzība lietošanā</w:t>
      </w:r>
    </w:p>
    <w:p w14:paraId="0D645760" w14:textId="77777777" w:rsidR="001E6DD1" w:rsidRPr="00165E31" w:rsidRDefault="001E6DD1" w:rsidP="001E6DD1">
      <w:pPr>
        <w:spacing w:line="240" w:lineRule="auto"/>
        <w:ind w:left="567" w:hanging="567"/>
        <w:rPr>
          <w:b/>
          <w:noProof/>
          <w:szCs w:val="22"/>
        </w:rPr>
      </w:pPr>
    </w:p>
    <w:p w14:paraId="5D78A9DB" w14:textId="77777777" w:rsidR="001E6DD1" w:rsidRPr="00165E31" w:rsidRDefault="00430718" w:rsidP="001E6DD1">
      <w:pPr>
        <w:rPr>
          <w:szCs w:val="22"/>
        </w:rPr>
      </w:pPr>
      <w:r w:rsidRPr="00165E31">
        <w:t xml:space="preserve">Ja pacients zāles sāk lietot pēc trientīna lietošanas citā formā, ieteicams ievērot piesardzību, jo devas, kas izteiktas uz trientīna bāzes, var nebūt vienādas (skatīt 4.2. apakšpunktu). </w:t>
      </w:r>
    </w:p>
    <w:p w14:paraId="7919284C" w14:textId="77777777" w:rsidR="001E6DD1" w:rsidRPr="00165E31" w:rsidRDefault="001E6DD1" w:rsidP="001E6DD1">
      <w:pPr>
        <w:rPr>
          <w:rFonts w:eastAsia="SimSun"/>
          <w:szCs w:val="22"/>
        </w:rPr>
      </w:pPr>
    </w:p>
    <w:p w14:paraId="552BE178" w14:textId="77777777" w:rsidR="001E6DD1" w:rsidRPr="00165E31" w:rsidRDefault="00430718" w:rsidP="001E6DD1">
      <w:pPr>
        <w:tabs>
          <w:tab w:val="clear" w:pos="567"/>
        </w:tabs>
        <w:autoSpaceDE w:val="0"/>
        <w:autoSpaceDN w:val="0"/>
        <w:adjustRightInd w:val="0"/>
        <w:spacing w:line="240" w:lineRule="auto"/>
        <w:rPr>
          <w:noProof/>
          <w:szCs w:val="22"/>
        </w:rPr>
      </w:pPr>
      <w:r w:rsidRPr="00165E31">
        <w:t xml:space="preserve">Trientīns ir helātus veidojošs līdzeklis, kas samazina dzelzs līmeni serumā. Dzelzs deficīta anēmijas gadījumā var būt nepieciešami dzelzs preparāti, kas jālieto citā diennakts laikā (skatīt 4.5. apakšpunktu). </w:t>
      </w:r>
    </w:p>
    <w:p w14:paraId="0F75AE29" w14:textId="77777777" w:rsidR="001E6DD1" w:rsidRPr="00165E31" w:rsidRDefault="001E6DD1" w:rsidP="001E6DD1">
      <w:pPr>
        <w:tabs>
          <w:tab w:val="clear" w:pos="567"/>
        </w:tabs>
        <w:autoSpaceDE w:val="0"/>
        <w:autoSpaceDN w:val="0"/>
        <w:adjustRightInd w:val="0"/>
        <w:spacing w:line="240" w:lineRule="auto"/>
        <w:rPr>
          <w:noProof/>
          <w:szCs w:val="22"/>
        </w:rPr>
      </w:pPr>
    </w:p>
    <w:p w14:paraId="30A70E26" w14:textId="77777777" w:rsidR="001E6DD1" w:rsidRPr="00165E31" w:rsidRDefault="00430718" w:rsidP="001E6DD1">
      <w:pPr>
        <w:tabs>
          <w:tab w:val="clear" w:pos="567"/>
        </w:tabs>
        <w:autoSpaceDE w:val="0"/>
        <w:autoSpaceDN w:val="0"/>
        <w:adjustRightInd w:val="0"/>
        <w:spacing w:line="240" w:lineRule="auto"/>
        <w:rPr>
          <w:noProof/>
          <w:szCs w:val="22"/>
        </w:rPr>
      </w:pPr>
      <w:r w:rsidRPr="00165E31">
        <w:t>Trientīnu nav ieteicams lietot kombinācijā a</w:t>
      </w:r>
      <w:r w:rsidRPr="00165E31">
        <w:t>r cinku. Ir pieejami tikai ierobežoti dati par vienlaicīgu lietošanu, un nav iespējams sniegt nekādas rekomendācijas attiecībā uz devām.</w:t>
      </w:r>
    </w:p>
    <w:p w14:paraId="13D68493" w14:textId="77777777" w:rsidR="001E6DD1" w:rsidRPr="00165E31" w:rsidRDefault="001E6DD1" w:rsidP="001E6DD1">
      <w:pPr>
        <w:tabs>
          <w:tab w:val="clear" w:pos="567"/>
        </w:tabs>
        <w:autoSpaceDE w:val="0"/>
        <w:autoSpaceDN w:val="0"/>
        <w:adjustRightInd w:val="0"/>
        <w:spacing w:line="240" w:lineRule="auto"/>
        <w:rPr>
          <w:noProof/>
          <w:szCs w:val="22"/>
        </w:rPr>
      </w:pPr>
    </w:p>
    <w:p w14:paraId="27A8BACB" w14:textId="77777777" w:rsidR="001E6DD1" w:rsidRPr="00165E31" w:rsidRDefault="00430718" w:rsidP="001E6DD1">
      <w:pPr>
        <w:tabs>
          <w:tab w:val="clear" w:pos="567"/>
        </w:tabs>
        <w:autoSpaceDE w:val="0"/>
        <w:autoSpaceDN w:val="0"/>
        <w:adjustRightInd w:val="0"/>
        <w:spacing w:line="240" w:lineRule="auto"/>
        <w:rPr>
          <w:noProof/>
          <w:szCs w:val="22"/>
        </w:rPr>
      </w:pPr>
      <w:r w:rsidRPr="00165E31">
        <w:t>Pacientiem, kuri iepriekš ārstēti ar D-peniciliamīnu, ir ziņots par vilkēdei līdzīgām reakcijām, turpinot ārstēšanu ar</w:t>
      </w:r>
      <w:r w:rsidRPr="00165E31">
        <w:t xml:space="preserve"> trientīnu, taču nav iespējams noteikt, vai tam pastāv cēloņsakarība ar trientīnu.</w:t>
      </w:r>
    </w:p>
    <w:p w14:paraId="0F12CADA" w14:textId="77777777" w:rsidR="001E6DD1" w:rsidRPr="00165E31" w:rsidRDefault="001E6DD1" w:rsidP="001E6DD1">
      <w:pPr>
        <w:tabs>
          <w:tab w:val="clear" w:pos="567"/>
        </w:tabs>
        <w:autoSpaceDE w:val="0"/>
        <w:autoSpaceDN w:val="0"/>
        <w:adjustRightInd w:val="0"/>
        <w:spacing w:line="240" w:lineRule="auto"/>
        <w:rPr>
          <w:noProof/>
          <w:szCs w:val="22"/>
        </w:rPr>
      </w:pPr>
    </w:p>
    <w:p w14:paraId="5EFCBD26" w14:textId="77777777" w:rsidR="001E6DD1" w:rsidRPr="00165E31" w:rsidRDefault="00430718" w:rsidP="001E6DD1">
      <w:pPr>
        <w:rPr>
          <w:noProof/>
          <w:szCs w:val="22"/>
          <w:u w:val="single"/>
        </w:rPr>
      </w:pPr>
      <w:r w:rsidRPr="00165E31">
        <w:rPr>
          <w:noProof/>
          <w:u w:val="single"/>
        </w:rPr>
        <w:t>Uzraudzība</w:t>
      </w:r>
    </w:p>
    <w:p w14:paraId="20F13E3D" w14:textId="77777777" w:rsidR="001E6DD1" w:rsidRPr="00165E31" w:rsidRDefault="00430718" w:rsidP="001E6DD1">
      <w:pPr>
        <w:rPr>
          <w:noProof/>
          <w:szCs w:val="22"/>
        </w:rPr>
      </w:pPr>
      <w:r w:rsidRPr="00165E31">
        <w:t xml:space="preserve">Pacientiem, kas saņem </w:t>
      </w:r>
      <w:r w:rsidRPr="00165E31">
        <w:rPr>
          <w:i/>
        </w:rPr>
        <w:t>Cuprior</w:t>
      </w:r>
      <w:r w:rsidRPr="00165E31">
        <w:t xml:space="preserve">, jāpaliek regulārā medicīniskā uzraudzībā un jānovēro, vai tiek nodrošināta atbilstoša simptomu kontrole un nodrošināts atbilstošs </w:t>
      </w:r>
      <w:r w:rsidRPr="00165E31">
        <w:t xml:space="preserve">vara līmenis, lai vajadzības gadījumā optimizētu devu (skatīt 4.2. apakšpunktu). </w:t>
      </w:r>
    </w:p>
    <w:p w14:paraId="61ED5F0F" w14:textId="77777777" w:rsidR="001E6DD1" w:rsidRPr="00165E31" w:rsidRDefault="001E6DD1" w:rsidP="001E6DD1">
      <w:pPr>
        <w:rPr>
          <w:noProof/>
          <w:szCs w:val="22"/>
        </w:rPr>
      </w:pPr>
    </w:p>
    <w:p w14:paraId="6A64A56D" w14:textId="77777777" w:rsidR="001E6DD1" w:rsidRPr="00165E31" w:rsidRDefault="00430718" w:rsidP="001E6DD1">
      <w:pPr>
        <w:rPr>
          <w:noProof/>
          <w:szCs w:val="22"/>
        </w:rPr>
      </w:pPr>
      <w:r w:rsidRPr="00165E31">
        <w:t>Balstterapijas mērķis ir uzturēt brīvā vara līmeni serumā pieļaujamajās robežās. Visdrošākais uzraudzības terapijas rādītājs ir noteikt brīvā vara līmeni serumā, ko aprēķina</w:t>
      </w:r>
      <w:r w:rsidRPr="00165E31">
        <w:t xml:space="preserve">, izmantojot starpību starp kopējo vara līmeni un ar ceruloplazmīnu saistīto vara līmeni (normāls brīvā vara līmenis serumā parasti ir no 100 līdz 150 mikrogramiem/l). </w:t>
      </w:r>
    </w:p>
    <w:p w14:paraId="322B44C7" w14:textId="77777777" w:rsidR="001E6DD1" w:rsidRPr="00165E31" w:rsidRDefault="001E6DD1" w:rsidP="001E6DD1">
      <w:pPr>
        <w:rPr>
          <w:noProof/>
          <w:szCs w:val="22"/>
        </w:rPr>
      </w:pPr>
    </w:p>
    <w:p w14:paraId="40FA5BA3" w14:textId="77777777" w:rsidR="001E6DD1" w:rsidRPr="00165E31" w:rsidRDefault="00430718" w:rsidP="001E6DD1">
      <w:pPr>
        <w:rPr>
          <w:noProof/>
          <w:szCs w:val="22"/>
        </w:rPr>
      </w:pPr>
      <w:r w:rsidRPr="00165E31">
        <w:t>Terapijas laikā var veikt vara izdales urīnā mērījumu. Tā kā helātu terapijas laikā va</w:t>
      </w:r>
      <w:r w:rsidRPr="00165E31">
        <w:t>ra līmenis urīnā paaugstinās, tas var precīzi neatspoguļot/neatspoguļos liekā vara slodzi organismā, bet var būt noderīgs mērījums, lai izvērtētu ārstēšanas atbilstību.</w:t>
      </w:r>
    </w:p>
    <w:p w14:paraId="5F9A51C8" w14:textId="77777777" w:rsidR="001E6DD1" w:rsidRPr="00165E31" w:rsidRDefault="001E6DD1" w:rsidP="001E6DD1">
      <w:pPr>
        <w:rPr>
          <w:noProof/>
          <w:szCs w:val="22"/>
        </w:rPr>
      </w:pPr>
    </w:p>
    <w:p w14:paraId="3E405021" w14:textId="77777777" w:rsidR="001E6DD1" w:rsidRPr="00165E31" w:rsidRDefault="00430718" w:rsidP="001E6DD1">
      <w:pPr>
        <w:rPr>
          <w:noProof/>
          <w:szCs w:val="22"/>
        </w:rPr>
      </w:pPr>
      <w:r w:rsidRPr="00165E31">
        <w:t xml:space="preserve">Helātu terapijas sākumā var pasliktināties klīniskie simptomi, tostarp neiroloģiskie; </w:t>
      </w:r>
      <w:r w:rsidRPr="00165E31">
        <w:t>tas ir saistīts ar paaugstinātu brīvā vara līmeni serumā sākotnējās atbildes reakcijas uz ārstēšanu laikā. Ir nepieciešama cieša uzraudzība, lai optimizētu devu vai pielāgotu ārstēšanu, ja nepieciešams.</w:t>
      </w:r>
    </w:p>
    <w:p w14:paraId="444EE019" w14:textId="77777777" w:rsidR="001E6DD1" w:rsidRPr="00165E31" w:rsidRDefault="001E6DD1" w:rsidP="001E6DD1">
      <w:pPr>
        <w:rPr>
          <w:noProof/>
          <w:szCs w:val="22"/>
        </w:rPr>
      </w:pPr>
    </w:p>
    <w:p w14:paraId="20F7FE51" w14:textId="77777777" w:rsidR="001E6DD1" w:rsidRPr="00165E31" w:rsidRDefault="00430718" w:rsidP="001E6DD1">
      <w:pPr>
        <w:keepNext/>
        <w:rPr>
          <w:noProof/>
          <w:szCs w:val="22"/>
          <w:u w:val="single"/>
        </w:rPr>
      </w:pPr>
      <w:r w:rsidRPr="00165E31">
        <w:rPr>
          <w:noProof/>
          <w:u w:val="single"/>
        </w:rPr>
        <w:t>Īpašas populācijas</w:t>
      </w:r>
    </w:p>
    <w:p w14:paraId="64E43E18" w14:textId="77777777" w:rsidR="001E6DD1" w:rsidRPr="00165E31" w:rsidRDefault="00430718" w:rsidP="001E6DD1">
      <w:pPr>
        <w:rPr>
          <w:noProof/>
          <w:szCs w:val="22"/>
        </w:rPr>
      </w:pPr>
      <w:r w:rsidRPr="00165E31">
        <w:t>Pārāk lielas devas rada vara nepi</w:t>
      </w:r>
      <w:r w:rsidRPr="00165E31">
        <w:t xml:space="preserve">etiekamības risku. Ir jānovēro, vai netiek piemērotas pārāk lielas devas, jo īpaši tad, ja var mainīties prasības pēc vara, piemēram, grūtniecības laikā (skatīt </w:t>
      </w:r>
      <w:r w:rsidRPr="00165E31">
        <w:lastRenderedPageBreak/>
        <w:t>4.6. apakšpunktu), kā arī ārstējot bērnus, kad nepieciešama vara līmeņa kontrole, lai nodrošinā</w:t>
      </w:r>
      <w:r w:rsidRPr="00165E31">
        <w:t>tu atbilstošu augšanu un garīgo attīstību.</w:t>
      </w:r>
    </w:p>
    <w:p w14:paraId="232F024D" w14:textId="77777777" w:rsidR="001E6DD1" w:rsidRPr="00165E31" w:rsidRDefault="001E6DD1" w:rsidP="001E6DD1">
      <w:pPr>
        <w:rPr>
          <w:noProof/>
          <w:szCs w:val="22"/>
        </w:rPr>
      </w:pPr>
    </w:p>
    <w:p w14:paraId="5D7806CF" w14:textId="77777777" w:rsidR="001E6DD1" w:rsidRPr="00165E31" w:rsidRDefault="00430718" w:rsidP="001E6DD1">
      <w:pPr>
        <w:rPr>
          <w:noProof/>
          <w:szCs w:val="22"/>
        </w:rPr>
      </w:pPr>
      <w:r w:rsidRPr="00165E31">
        <w:t>Pacientiem ar nieru darbības traucējumiem, kuri saņem trientīnu, jāpaliek regulārā medicīniskā uzraudzībā, lai nodrošinātu simptomu un vara līmeņa atbilstošu kontroli. Šiem pacientiem ir ieteicams arī veikt rūpīg</w:t>
      </w:r>
      <w:r w:rsidRPr="00165E31">
        <w:t>u nieru darbības uzraudzību (skatīt 4.2. apakšpunktu).</w:t>
      </w:r>
    </w:p>
    <w:p w14:paraId="60AA0DF0" w14:textId="77777777" w:rsidR="001E6DD1" w:rsidRPr="00165E31" w:rsidRDefault="001E6DD1" w:rsidP="001E6DD1">
      <w:pPr>
        <w:rPr>
          <w:noProof/>
        </w:rPr>
      </w:pPr>
    </w:p>
    <w:p w14:paraId="76E588C0" w14:textId="77777777" w:rsidR="001E6DD1" w:rsidRPr="00165E31" w:rsidRDefault="00430718" w:rsidP="001E6DD1">
      <w:pPr>
        <w:spacing w:line="240" w:lineRule="auto"/>
        <w:outlineLvl w:val="0"/>
        <w:rPr>
          <w:b/>
          <w:noProof/>
          <w:szCs w:val="22"/>
        </w:rPr>
      </w:pPr>
      <w:r w:rsidRPr="00165E31">
        <w:rPr>
          <w:b/>
          <w:noProof/>
        </w:rPr>
        <w:t>4.5.</w:t>
      </w:r>
      <w:r w:rsidRPr="00165E31">
        <w:rPr>
          <w:b/>
          <w:noProof/>
        </w:rPr>
        <w:tab/>
        <w:t>Mijiedarbība ar citām zālēm un citi mijiedarbības veidi</w:t>
      </w:r>
    </w:p>
    <w:p w14:paraId="5EBC2269" w14:textId="77777777" w:rsidR="001E6DD1" w:rsidRPr="00165E31" w:rsidRDefault="001E6DD1" w:rsidP="001E6DD1">
      <w:pPr>
        <w:spacing w:line="240" w:lineRule="auto"/>
        <w:rPr>
          <w:noProof/>
          <w:szCs w:val="22"/>
        </w:rPr>
      </w:pPr>
    </w:p>
    <w:p w14:paraId="72810F4D" w14:textId="77777777" w:rsidR="001E6DD1" w:rsidRPr="00165E31" w:rsidRDefault="00430718" w:rsidP="001E6DD1">
      <w:pPr>
        <w:spacing w:line="240" w:lineRule="auto"/>
        <w:rPr>
          <w:noProof/>
          <w:szCs w:val="22"/>
        </w:rPr>
      </w:pPr>
      <w:r w:rsidRPr="00165E31">
        <w:t>Mijiedarbības pētījumi nav veikti.</w:t>
      </w:r>
    </w:p>
    <w:p w14:paraId="5C34F229" w14:textId="77777777" w:rsidR="001E6DD1" w:rsidRPr="00165E31" w:rsidRDefault="001E6DD1" w:rsidP="001E6DD1">
      <w:pPr>
        <w:spacing w:line="240" w:lineRule="auto"/>
        <w:rPr>
          <w:noProof/>
          <w:szCs w:val="22"/>
        </w:rPr>
      </w:pPr>
    </w:p>
    <w:p w14:paraId="763AEC07" w14:textId="77777777" w:rsidR="001E6DD1" w:rsidRPr="00165E31" w:rsidRDefault="00430718" w:rsidP="001E6DD1">
      <w:pPr>
        <w:rPr>
          <w:noProof/>
          <w:szCs w:val="22"/>
        </w:rPr>
      </w:pPr>
      <w:r w:rsidRPr="00165E31">
        <w:t xml:space="preserve">Ir konstatēts, ka trientīns samazina dzelzs līmeni serumā, iespējams, samazinot tā </w:t>
      </w:r>
      <w:r w:rsidRPr="00165E31">
        <w:t>uzsūkšanos, un var būt nepieciešams papildus lietot dzelzs preparātus. Tā kā dzelzs un trientīns var kavēt viens otra uzsūkšanos, dzelzs jālieto vismaz divas stundas pēc trientīna lietošanas.</w:t>
      </w:r>
    </w:p>
    <w:p w14:paraId="4D7DC047" w14:textId="77777777" w:rsidR="001E6DD1" w:rsidRPr="00165E31" w:rsidRDefault="001E6DD1" w:rsidP="001E6DD1">
      <w:pPr>
        <w:rPr>
          <w:noProof/>
          <w:szCs w:val="22"/>
        </w:rPr>
      </w:pPr>
    </w:p>
    <w:p w14:paraId="6C4647D2" w14:textId="77777777" w:rsidR="001E6DD1" w:rsidRPr="00165E31" w:rsidRDefault="00430718" w:rsidP="001E6DD1">
      <w:pPr>
        <w:rPr>
          <w:noProof/>
          <w:szCs w:val="22"/>
        </w:rPr>
      </w:pPr>
      <w:r w:rsidRPr="00165E31">
        <w:t>Tā kā trientīns slikti uzsūcas pēc iekšķīgas lietošanas un galv</w:t>
      </w:r>
      <w:r w:rsidRPr="00165E31">
        <w:t xml:space="preserve">enajam darbības mehānismam ir nepieciešama tā sistēmiska iedarbība (skatīt 5.1. apakšpunktu), ir svarīgi </w:t>
      </w:r>
      <w:r w:rsidR="00EC4526" w:rsidRPr="00165E31">
        <w:t xml:space="preserve">apvalkotās </w:t>
      </w:r>
      <w:r w:rsidRPr="00165E31">
        <w:t>tabletes lietot tukšā dūšā vismaz vienu stundu pirms ēdienreizes vai 2 stundas pēc ēdienreizes un vismaz ar vienas stundas starplaiku no jeb</w:t>
      </w:r>
      <w:r w:rsidRPr="00165E31">
        <w:t xml:space="preserve">kuru citu zāļu, pārtikas vai piena lietošanas (skatīt 4.2. apakšpunktu). Tas palielina trientīna uzsūkšanos un samazina iespēju, ka zāles kuņģa-zarnu traktā saistīsies ar metāliem. Tomēr nav veikti pētījumi par mijiedarbību ar pārtiku, un pārtikas ietekme </w:t>
      </w:r>
      <w:r w:rsidRPr="00165E31">
        <w:t xml:space="preserve">uz sistēmisku trientīna iedarbību nav zināma. </w:t>
      </w:r>
    </w:p>
    <w:p w14:paraId="5F3E2FEF" w14:textId="77777777" w:rsidR="001E6DD1" w:rsidRPr="00165E31" w:rsidRDefault="001E6DD1" w:rsidP="001E6DD1">
      <w:pPr>
        <w:rPr>
          <w:noProof/>
          <w:szCs w:val="22"/>
        </w:rPr>
      </w:pPr>
    </w:p>
    <w:p w14:paraId="6FC1CC59" w14:textId="77777777" w:rsidR="001E6DD1" w:rsidRPr="00165E31" w:rsidRDefault="00430718" w:rsidP="001E6DD1">
      <w:pPr>
        <w:rPr>
          <w:noProof/>
          <w:szCs w:val="22"/>
        </w:rPr>
      </w:pPr>
      <w:r w:rsidRPr="00165E31">
        <w:t>Lai gan nav pierādījumu, ka kalcija vai magnija antacīdi izmainītu trientīna iedarbīgumu, labā prakse tomēr paredz to atsevišķu ievadīšanu.</w:t>
      </w:r>
    </w:p>
    <w:p w14:paraId="78C95B14" w14:textId="77777777" w:rsidR="001E6DD1" w:rsidRPr="00165E31" w:rsidRDefault="001E6DD1" w:rsidP="001E6DD1">
      <w:pPr>
        <w:spacing w:line="240" w:lineRule="auto"/>
        <w:rPr>
          <w:szCs w:val="22"/>
        </w:rPr>
      </w:pPr>
    </w:p>
    <w:p w14:paraId="5FB80C12" w14:textId="77777777" w:rsidR="001E6DD1" w:rsidRPr="00165E31" w:rsidRDefault="00430718" w:rsidP="001E6DD1">
      <w:pPr>
        <w:spacing w:line="240" w:lineRule="auto"/>
        <w:outlineLvl w:val="0"/>
        <w:rPr>
          <w:b/>
          <w:noProof/>
          <w:szCs w:val="22"/>
        </w:rPr>
      </w:pPr>
      <w:r w:rsidRPr="00165E31">
        <w:rPr>
          <w:b/>
          <w:noProof/>
        </w:rPr>
        <w:t>4.6.</w:t>
      </w:r>
      <w:r w:rsidRPr="00165E31">
        <w:rPr>
          <w:b/>
          <w:noProof/>
        </w:rPr>
        <w:tab/>
        <w:t>Fertilitāte, grūtniecība un barošana ar krūti</w:t>
      </w:r>
    </w:p>
    <w:p w14:paraId="32B3E77B" w14:textId="77777777" w:rsidR="001E6DD1" w:rsidRPr="00165E31" w:rsidRDefault="001E6DD1" w:rsidP="001E6DD1">
      <w:pPr>
        <w:spacing w:line="240" w:lineRule="auto"/>
        <w:rPr>
          <w:noProof/>
          <w:szCs w:val="22"/>
        </w:rPr>
      </w:pPr>
    </w:p>
    <w:p w14:paraId="3AC42476" w14:textId="77777777" w:rsidR="001E6DD1" w:rsidRPr="00165E31" w:rsidRDefault="00430718" w:rsidP="001E6DD1">
      <w:pPr>
        <w:rPr>
          <w:noProof/>
          <w:szCs w:val="22"/>
        </w:rPr>
      </w:pPr>
      <w:r w:rsidRPr="00165E31">
        <w:rPr>
          <w:noProof/>
          <w:u w:val="single"/>
        </w:rPr>
        <w:t>Grūtniecība</w:t>
      </w:r>
    </w:p>
    <w:p w14:paraId="11B7A759" w14:textId="77777777" w:rsidR="001E6DD1" w:rsidRPr="00165E31" w:rsidRDefault="00430718" w:rsidP="001E6DD1">
      <w:pPr>
        <w:rPr>
          <w:noProof/>
          <w:szCs w:val="22"/>
        </w:rPr>
      </w:pPr>
      <w:r w:rsidRPr="00165E31">
        <w:t>Dat</w:t>
      </w:r>
      <w:r w:rsidRPr="00165E31">
        <w:t>i par trientīna lietošanu grūtniecības laikā ir ierobežoti.</w:t>
      </w:r>
    </w:p>
    <w:p w14:paraId="4D9BCB10" w14:textId="77777777" w:rsidR="001E6DD1" w:rsidRPr="00165E31" w:rsidRDefault="001E6DD1" w:rsidP="001E6DD1">
      <w:pPr>
        <w:rPr>
          <w:noProof/>
          <w:szCs w:val="22"/>
        </w:rPr>
      </w:pPr>
    </w:p>
    <w:p w14:paraId="6CC9F475" w14:textId="77777777" w:rsidR="001E6DD1" w:rsidRPr="00165E31" w:rsidRDefault="00430718" w:rsidP="001E6DD1">
      <w:pPr>
        <w:rPr>
          <w:noProof/>
          <w:szCs w:val="22"/>
        </w:rPr>
      </w:pPr>
      <w:r w:rsidRPr="00165E31">
        <w:t>Pētījumi ar dzīvniekiem uzrāda reproduktīvo toksicitāti, kas, iespējams, ir saistīta ar trientīna izraisītu vara nepietiekamību (skatīt 5.3. apakšpunktu).</w:t>
      </w:r>
    </w:p>
    <w:p w14:paraId="1AB42FEE" w14:textId="77777777" w:rsidR="001E6DD1" w:rsidRPr="00165E31" w:rsidRDefault="001E6DD1" w:rsidP="001E6DD1">
      <w:pPr>
        <w:rPr>
          <w:noProof/>
          <w:szCs w:val="22"/>
        </w:rPr>
      </w:pPr>
    </w:p>
    <w:p w14:paraId="0D9F8805" w14:textId="77777777" w:rsidR="001E6DD1" w:rsidRPr="00165E31" w:rsidRDefault="00430718" w:rsidP="001E6DD1">
      <w:pPr>
        <w:rPr>
          <w:noProof/>
          <w:szCs w:val="22"/>
        </w:rPr>
      </w:pPr>
      <w:r w:rsidRPr="00165E31">
        <w:t xml:space="preserve">Grūtniecības laikā </w:t>
      </w:r>
      <w:r w:rsidRPr="00165E31">
        <w:rPr>
          <w:i/>
        </w:rPr>
        <w:t>Cuprior</w:t>
      </w:r>
      <w:r w:rsidRPr="00165E31">
        <w:t xml:space="preserve"> jālieto tika</w:t>
      </w:r>
      <w:r w:rsidRPr="00165E31">
        <w:t>i pēc rūpīgas ārstēšanas radīto ieguvumu un risku izvērtējumu konkrētajai pacientei. Faktori, kas jāņem vērā ietver riskus, kas saistīti ar pašu slimību, pieejamo alternatīvo terapiju risku un iespējamo trientīna teratogēno iedarbību (skatīt 5.3. apakšpunk</w:t>
      </w:r>
      <w:r w:rsidRPr="00165E31">
        <w:t>tu).</w:t>
      </w:r>
    </w:p>
    <w:p w14:paraId="3C31D107" w14:textId="77777777" w:rsidR="001E6DD1" w:rsidRPr="00165E31" w:rsidRDefault="001E6DD1" w:rsidP="001E6DD1">
      <w:pPr>
        <w:rPr>
          <w:noProof/>
          <w:szCs w:val="22"/>
        </w:rPr>
      </w:pPr>
    </w:p>
    <w:p w14:paraId="5E2CCFA2" w14:textId="77777777" w:rsidR="001E6DD1" w:rsidRPr="00165E31" w:rsidRDefault="00430718" w:rsidP="001E6DD1">
      <w:pPr>
        <w:rPr>
          <w:szCs w:val="22"/>
        </w:rPr>
      </w:pPr>
      <w:r w:rsidRPr="00165E31">
        <w:t xml:space="preserve">Tā kā varš ir nepieciešams sekmīgai augšanai un garīgajai attīstībai, var būt nepieciešama devas pielāgošana, lai nodrošinātu, ka auglis necieš no vara deficīta, tāpēc ir svarīgi nodrošināt ciešu pacientes uzraudzību (skatīt </w:t>
      </w:r>
      <w:r w:rsidRPr="00165E31">
        <w:t>4.4. apakšpunktu).</w:t>
      </w:r>
    </w:p>
    <w:p w14:paraId="78266EBD" w14:textId="77777777" w:rsidR="001E6DD1" w:rsidRPr="00165E31" w:rsidRDefault="001E6DD1" w:rsidP="001E6DD1">
      <w:pPr>
        <w:rPr>
          <w:noProof/>
          <w:szCs w:val="22"/>
        </w:rPr>
      </w:pPr>
    </w:p>
    <w:p w14:paraId="75733048" w14:textId="77777777" w:rsidR="001E6DD1" w:rsidRPr="00165E31" w:rsidRDefault="00430718" w:rsidP="001E6DD1">
      <w:pPr>
        <w:rPr>
          <w:noProof/>
          <w:szCs w:val="22"/>
        </w:rPr>
      </w:pPr>
      <w:r w:rsidRPr="00165E31">
        <w:t xml:space="preserve">Grūtniecība ir cieši jāuzrauga, lai atklātu iespējamu augļa patoloģiju un novērtētu mātes vara līmeni serumā visā grūtniecības laikā. Izmantotā trientīna deva ir jāpielāgo, lai saglabātu normālu vara līmeni serumā. </w:t>
      </w:r>
    </w:p>
    <w:p w14:paraId="5F104273" w14:textId="77777777" w:rsidR="001E6DD1" w:rsidRPr="00165E31" w:rsidRDefault="001E6DD1" w:rsidP="001E6DD1">
      <w:pPr>
        <w:rPr>
          <w:noProof/>
          <w:szCs w:val="22"/>
        </w:rPr>
      </w:pPr>
    </w:p>
    <w:p w14:paraId="0DD21F34" w14:textId="77777777" w:rsidR="001E6DD1" w:rsidRPr="00165E31" w:rsidRDefault="00430718" w:rsidP="001E6DD1">
      <w:pPr>
        <w:rPr>
          <w:noProof/>
          <w:szCs w:val="22"/>
        </w:rPr>
      </w:pPr>
      <w:r w:rsidRPr="00165E31">
        <w:t>Ja nepieciešams, zī</w:t>
      </w:r>
      <w:r w:rsidRPr="00165E31">
        <w:t>daiņiem, kuru mātes tiek ārstētas ar trientīnu, jāuzrauga vara līmenis serumā.</w:t>
      </w:r>
    </w:p>
    <w:p w14:paraId="5103D72B" w14:textId="77777777" w:rsidR="001E6DD1" w:rsidRPr="00165E31" w:rsidRDefault="001E6DD1" w:rsidP="001E6DD1">
      <w:pPr>
        <w:rPr>
          <w:noProof/>
          <w:szCs w:val="22"/>
        </w:rPr>
      </w:pPr>
    </w:p>
    <w:p w14:paraId="1B627F30" w14:textId="77777777" w:rsidR="001E6DD1" w:rsidRPr="00165E31" w:rsidRDefault="00430718" w:rsidP="001E6DD1">
      <w:pPr>
        <w:rPr>
          <w:color w:val="000000"/>
          <w:szCs w:val="22"/>
        </w:rPr>
      </w:pPr>
      <w:r w:rsidRPr="00165E31">
        <w:rPr>
          <w:noProof/>
          <w:u w:val="single"/>
        </w:rPr>
        <w:t>Barošana ar krūti</w:t>
      </w:r>
    </w:p>
    <w:p w14:paraId="2CB623DD" w14:textId="77777777" w:rsidR="001E6DD1" w:rsidRPr="00165E31" w:rsidRDefault="00430718" w:rsidP="001E6DD1">
      <w:pPr>
        <w:autoSpaceDE w:val="0"/>
        <w:autoSpaceDN w:val="0"/>
        <w:adjustRightInd w:val="0"/>
        <w:rPr>
          <w:color w:val="000000"/>
          <w:szCs w:val="22"/>
        </w:rPr>
      </w:pPr>
      <w:r w:rsidRPr="00165E31">
        <w:rPr>
          <w:color w:val="000000"/>
        </w:rPr>
        <w:t>Nav zināms, vai trientīns nonāk mātes pienā. Nevar izslēgt risku jaundzimušajiem/zīdaiņiem. Lēmums pārtraukt barošanu ar krūti vai pārtraukt terapiju/atturēti</w:t>
      </w:r>
      <w:r w:rsidRPr="00165E31">
        <w:rPr>
          <w:color w:val="000000"/>
        </w:rPr>
        <w:t xml:space="preserve">es no terapijas ar </w:t>
      </w:r>
      <w:r w:rsidRPr="00165E31">
        <w:rPr>
          <w:i/>
          <w:color w:val="000000"/>
        </w:rPr>
        <w:t>Cuprior</w:t>
      </w:r>
      <w:r w:rsidRPr="00165E31">
        <w:rPr>
          <w:color w:val="000000"/>
        </w:rPr>
        <w:t>, jāpieņem, izvērtējot krūts barošanas ieguvumu bērnam un ieguvumu no terapijas sievietei.</w:t>
      </w:r>
    </w:p>
    <w:p w14:paraId="628A9D70" w14:textId="77777777" w:rsidR="001E6DD1" w:rsidRPr="00165E31" w:rsidRDefault="001E6DD1" w:rsidP="001E6DD1">
      <w:pPr>
        <w:rPr>
          <w:szCs w:val="22"/>
          <w:u w:val="single"/>
        </w:rPr>
      </w:pPr>
    </w:p>
    <w:p w14:paraId="7AC6CED1" w14:textId="77777777" w:rsidR="001E6DD1" w:rsidRPr="00165E31" w:rsidRDefault="00430718" w:rsidP="001E6DD1">
      <w:pPr>
        <w:keepNext/>
        <w:rPr>
          <w:noProof/>
          <w:szCs w:val="22"/>
          <w:u w:val="single"/>
        </w:rPr>
      </w:pPr>
      <w:r w:rsidRPr="00165E31">
        <w:rPr>
          <w:noProof/>
          <w:u w:val="single"/>
        </w:rPr>
        <w:t>Fertilitāte</w:t>
      </w:r>
    </w:p>
    <w:p w14:paraId="37F90ECE" w14:textId="77777777" w:rsidR="001E6DD1" w:rsidRPr="00165E31" w:rsidRDefault="00430718" w:rsidP="001E6DD1">
      <w:pPr>
        <w:rPr>
          <w:szCs w:val="22"/>
        </w:rPr>
      </w:pPr>
      <w:r w:rsidRPr="00165E31">
        <w:rPr>
          <w:color w:val="000000"/>
        </w:rPr>
        <w:t xml:space="preserve">Nav zināms, vai </w:t>
      </w:r>
      <w:r w:rsidRPr="00165E31">
        <w:rPr>
          <w:i/>
          <w:color w:val="000000"/>
        </w:rPr>
        <w:t>Cuprior</w:t>
      </w:r>
      <w:r w:rsidRPr="00165E31">
        <w:rPr>
          <w:color w:val="000000"/>
        </w:rPr>
        <w:t xml:space="preserve"> ietekmē fertilitāti</w:t>
      </w:r>
      <w:r w:rsidRPr="00165E31">
        <w:t>.</w:t>
      </w:r>
    </w:p>
    <w:p w14:paraId="68B9B772" w14:textId="77777777" w:rsidR="001E6DD1" w:rsidRPr="00165E31" w:rsidRDefault="001E6DD1" w:rsidP="001E6DD1">
      <w:pPr>
        <w:spacing w:line="240" w:lineRule="auto"/>
        <w:rPr>
          <w:i/>
          <w:noProof/>
          <w:szCs w:val="22"/>
        </w:rPr>
      </w:pPr>
    </w:p>
    <w:p w14:paraId="37BF7C9D" w14:textId="77777777" w:rsidR="001E6DD1" w:rsidRPr="00165E31" w:rsidRDefault="00430718" w:rsidP="001E6DD1">
      <w:pPr>
        <w:spacing w:line="240" w:lineRule="auto"/>
        <w:outlineLvl w:val="0"/>
        <w:rPr>
          <w:b/>
          <w:noProof/>
          <w:szCs w:val="22"/>
        </w:rPr>
      </w:pPr>
      <w:r w:rsidRPr="00165E31">
        <w:rPr>
          <w:b/>
          <w:noProof/>
        </w:rPr>
        <w:lastRenderedPageBreak/>
        <w:t>4.7.</w:t>
      </w:r>
      <w:r w:rsidRPr="00165E31">
        <w:rPr>
          <w:b/>
          <w:noProof/>
        </w:rPr>
        <w:tab/>
        <w:t>Ietekme uz spēju vadīt transportlīdzekļus un apkalpot mehānismus</w:t>
      </w:r>
    </w:p>
    <w:p w14:paraId="481C519A" w14:textId="77777777" w:rsidR="001E6DD1" w:rsidRPr="00165E31" w:rsidRDefault="001E6DD1" w:rsidP="001E6DD1">
      <w:pPr>
        <w:spacing w:line="240" w:lineRule="auto"/>
        <w:rPr>
          <w:noProof/>
          <w:szCs w:val="22"/>
        </w:rPr>
      </w:pPr>
    </w:p>
    <w:p w14:paraId="01734E20" w14:textId="77777777" w:rsidR="001E6DD1" w:rsidRPr="00165E31" w:rsidRDefault="00430718" w:rsidP="001E6DD1">
      <w:pPr>
        <w:rPr>
          <w:noProof/>
          <w:szCs w:val="22"/>
        </w:rPr>
      </w:pPr>
      <w:r w:rsidRPr="00165E31">
        <w:rPr>
          <w:i/>
        </w:rPr>
        <w:t>Cuprior</w:t>
      </w:r>
      <w:r w:rsidRPr="00165E31">
        <w:t xml:space="preserve"> neietekmē vai nenozīmīgi ietekmē spēju vadīt transportlīdzekļus un apkalpot mehānismus. </w:t>
      </w:r>
    </w:p>
    <w:p w14:paraId="3F88D88C" w14:textId="77777777" w:rsidR="001E6DD1" w:rsidRPr="00165E31" w:rsidRDefault="001E6DD1" w:rsidP="009C38C5">
      <w:pPr>
        <w:rPr>
          <w:noProof/>
        </w:rPr>
      </w:pPr>
    </w:p>
    <w:p w14:paraId="7FE8522A" w14:textId="77777777" w:rsidR="001E6DD1" w:rsidRPr="00165E31" w:rsidRDefault="00430718" w:rsidP="001E6DD1">
      <w:pPr>
        <w:spacing w:line="240" w:lineRule="auto"/>
        <w:outlineLvl w:val="0"/>
        <w:rPr>
          <w:b/>
          <w:noProof/>
          <w:szCs w:val="22"/>
        </w:rPr>
      </w:pPr>
      <w:r w:rsidRPr="00165E31">
        <w:rPr>
          <w:b/>
          <w:noProof/>
        </w:rPr>
        <w:t>4.8.</w:t>
      </w:r>
      <w:r w:rsidRPr="00165E31">
        <w:rPr>
          <w:b/>
          <w:noProof/>
        </w:rPr>
        <w:tab/>
        <w:t xml:space="preserve"> Nevēlamās blakusparādības</w:t>
      </w:r>
    </w:p>
    <w:p w14:paraId="0EA522BA" w14:textId="77777777" w:rsidR="001E6DD1" w:rsidRPr="00165E31" w:rsidRDefault="001E6DD1" w:rsidP="001E6DD1">
      <w:pPr>
        <w:autoSpaceDE w:val="0"/>
        <w:autoSpaceDN w:val="0"/>
        <w:adjustRightInd w:val="0"/>
        <w:rPr>
          <w:noProof/>
          <w:szCs w:val="22"/>
        </w:rPr>
      </w:pPr>
    </w:p>
    <w:p w14:paraId="7031EAA5" w14:textId="77777777" w:rsidR="001E6DD1" w:rsidRPr="00165E31" w:rsidRDefault="00430718" w:rsidP="001E6DD1">
      <w:pPr>
        <w:autoSpaceDE w:val="0"/>
        <w:autoSpaceDN w:val="0"/>
        <w:adjustRightInd w:val="0"/>
        <w:rPr>
          <w:noProof/>
          <w:szCs w:val="22"/>
          <w:u w:val="single"/>
        </w:rPr>
      </w:pPr>
      <w:r w:rsidRPr="00165E31">
        <w:rPr>
          <w:noProof/>
          <w:u w:val="single"/>
        </w:rPr>
        <w:t>Drošuma profila kopsavilkums</w:t>
      </w:r>
    </w:p>
    <w:p w14:paraId="4603BB2B" w14:textId="77777777" w:rsidR="001E6DD1" w:rsidRPr="00165E31" w:rsidRDefault="00430718" w:rsidP="001E6DD1">
      <w:pPr>
        <w:autoSpaceDE w:val="0"/>
        <w:autoSpaceDN w:val="0"/>
        <w:adjustRightInd w:val="0"/>
        <w:rPr>
          <w:rFonts w:eastAsia="TimesNewRoman"/>
          <w:szCs w:val="22"/>
        </w:rPr>
      </w:pPr>
      <w:r w:rsidRPr="00165E31">
        <w:t>Visbiežākā trientīna blakusparādība ir slikta dūša. Ārstēšanas laikā var rasties nopietna dzelzs</w:t>
      </w:r>
      <w:r w:rsidRPr="00165E31">
        <w:t xml:space="preserve"> deficīta anēmija un smags kolīts. </w:t>
      </w:r>
    </w:p>
    <w:p w14:paraId="18304AF2" w14:textId="77777777" w:rsidR="001E6DD1" w:rsidRPr="00165E31" w:rsidRDefault="001E6DD1" w:rsidP="001E6DD1">
      <w:pPr>
        <w:autoSpaceDE w:val="0"/>
        <w:autoSpaceDN w:val="0"/>
        <w:adjustRightInd w:val="0"/>
        <w:rPr>
          <w:noProof/>
          <w:szCs w:val="22"/>
        </w:rPr>
      </w:pPr>
    </w:p>
    <w:p w14:paraId="0FB7F617" w14:textId="77777777" w:rsidR="001E6DD1" w:rsidRPr="00165E31" w:rsidRDefault="00430718" w:rsidP="001E6DD1">
      <w:pPr>
        <w:autoSpaceDE w:val="0"/>
        <w:autoSpaceDN w:val="0"/>
        <w:adjustRightInd w:val="0"/>
        <w:rPr>
          <w:noProof/>
          <w:szCs w:val="22"/>
          <w:u w:val="single"/>
        </w:rPr>
      </w:pPr>
      <w:r w:rsidRPr="00165E31">
        <w:rPr>
          <w:noProof/>
          <w:u w:val="single"/>
        </w:rPr>
        <w:t>Nevēlamo blakusparādību saraksts tabulas veidā</w:t>
      </w:r>
    </w:p>
    <w:p w14:paraId="1F689178" w14:textId="77777777" w:rsidR="001E6DD1" w:rsidRPr="00165E31" w:rsidRDefault="00430718" w:rsidP="001E6DD1">
      <w:pPr>
        <w:autoSpaceDE w:val="0"/>
        <w:autoSpaceDN w:val="0"/>
        <w:adjustRightInd w:val="0"/>
        <w:rPr>
          <w:noProof/>
          <w:szCs w:val="22"/>
        </w:rPr>
      </w:pPr>
      <w:r w:rsidRPr="00165E31">
        <w:t xml:space="preserve">Lietojot trientīnu Vilsona slimības ārstēšanai, ziņots par šādām blakusparādībām. </w:t>
      </w:r>
    </w:p>
    <w:p w14:paraId="09A17C84" w14:textId="3A36324E" w:rsidR="001E6DD1" w:rsidRPr="00165E31" w:rsidRDefault="00430718" w:rsidP="001E6DD1">
      <w:pPr>
        <w:autoSpaceDE w:val="0"/>
        <w:autoSpaceDN w:val="0"/>
        <w:adjustRightInd w:val="0"/>
        <w:rPr>
          <w:noProof/>
          <w:szCs w:val="22"/>
        </w:rPr>
      </w:pPr>
      <w:r w:rsidRPr="00165E31">
        <w:t xml:space="preserve">Nevēlamo blakusparādību biežums ir noteikts šādi: ļoti bieži (≥1/10), bieži (no </w:t>
      </w:r>
      <w:r w:rsidRPr="00165E31">
        <w:t>≥1/100 līdz &lt;1/10), retāk (no ≥1/1 000 līdz &lt;1/100), reti (no ≥1/10 000 līdz &lt;1/1 000), ļoti reti (&lt;1/10 000), n</w:t>
      </w:r>
      <w:r w:rsidR="00DE21C2" w:rsidRPr="00165E31">
        <w:t xml:space="preserve">av </w:t>
      </w:r>
      <w:r w:rsidRPr="00165E31">
        <w:t>zināmi (nevar noteikt pēc pieejamajiem datiem).</w:t>
      </w:r>
    </w:p>
    <w:p w14:paraId="13329837" w14:textId="77777777" w:rsidR="001E6DD1" w:rsidRPr="00165E31" w:rsidRDefault="001E6DD1" w:rsidP="001E6DD1">
      <w:pPr>
        <w:autoSpaceDE w:val="0"/>
        <w:autoSpaceDN w:val="0"/>
        <w:adjustRightInd w:val="0"/>
        <w:jc w:val="both"/>
        <w:rPr>
          <w:noProof/>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03691D" w14:paraId="5A67FE2B" w14:textId="77777777" w:rsidTr="001E6DD1">
        <w:tc>
          <w:tcPr>
            <w:tcW w:w="3936" w:type="dxa"/>
            <w:tcBorders>
              <w:top w:val="single" w:sz="4" w:space="0" w:color="auto"/>
              <w:left w:val="single" w:sz="4" w:space="0" w:color="auto"/>
              <w:bottom w:val="single" w:sz="4" w:space="0" w:color="auto"/>
              <w:right w:val="single" w:sz="4" w:space="0" w:color="auto"/>
            </w:tcBorders>
            <w:hideMark/>
          </w:tcPr>
          <w:p w14:paraId="17063BAB" w14:textId="77777777" w:rsidR="001E6DD1" w:rsidRPr="00165E31" w:rsidRDefault="00430718" w:rsidP="001E6DD1">
            <w:pPr>
              <w:autoSpaceDE w:val="0"/>
              <w:autoSpaceDN w:val="0"/>
              <w:adjustRightInd w:val="0"/>
              <w:jc w:val="both"/>
              <w:rPr>
                <w:noProof/>
                <w:szCs w:val="22"/>
              </w:rPr>
            </w:pPr>
            <w:r w:rsidRPr="00165E31">
              <w:rPr>
                <w:b/>
              </w:rPr>
              <w:t>Orgānu sistēmas klasifikācija</w:t>
            </w:r>
          </w:p>
        </w:tc>
        <w:tc>
          <w:tcPr>
            <w:tcW w:w="3969" w:type="dxa"/>
            <w:tcBorders>
              <w:top w:val="single" w:sz="4" w:space="0" w:color="auto"/>
              <w:left w:val="single" w:sz="4" w:space="0" w:color="auto"/>
              <w:bottom w:val="single" w:sz="4" w:space="0" w:color="auto"/>
              <w:right w:val="single" w:sz="4" w:space="0" w:color="auto"/>
            </w:tcBorders>
            <w:hideMark/>
          </w:tcPr>
          <w:p w14:paraId="652BBFBF" w14:textId="77777777" w:rsidR="001E6DD1" w:rsidRPr="00165E31" w:rsidRDefault="00430718" w:rsidP="001E6DD1">
            <w:pPr>
              <w:autoSpaceDE w:val="0"/>
              <w:autoSpaceDN w:val="0"/>
              <w:adjustRightInd w:val="0"/>
              <w:jc w:val="both"/>
              <w:rPr>
                <w:noProof/>
                <w:szCs w:val="22"/>
              </w:rPr>
            </w:pPr>
            <w:r w:rsidRPr="00165E31">
              <w:rPr>
                <w:b/>
              </w:rPr>
              <w:t>Nevēlamās blakusparādības</w:t>
            </w:r>
          </w:p>
        </w:tc>
      </w:tr>
      <w:tr w:rsidR="0003691D" w14:paraId="5019C496" w14:textId="77777777" w:rsidTr="001E6DD1">
        <w:tc>
          <w:tcPr>
            <w:tcW w:w="3936" w:type="dxa"/>
            <w:tcBorders>
              <w:top w:val="single" w:sz="4" w:space="0" w:color="auto"/>
              <w:left w:val="single" w:sz="4" w:space="0" w:color="auto"/>
              <w:bottom w:val="single" w:sz="4" w:space="0" w:color="auto"/>
              <w:right w:val="single" w:sz="4" w:space="0" w:color="auto"/>
            </w:tcBorders>
            <w:hideMark/>
          </w:tcPr>
          <w:p w14:paraId="628E9428" w14:textId="77777777" w:rsidR="001E6DD1" w:rsidRPr="00165E31" w:rsidRDefault="00430718" w:rsidP="001E6DD1">
            <w:pPr>
              <w:autoSpaceDE w:val="0"/>
              <w:autoSpaceDN w:val="0"/>
              <w:adjustRightInd w:val="0"/>
              <w:jc w:val="both"/>
              <w:rPr>
                <w:noProof/>
                <w:szCs w:val="22"/>
              </w:rPr>
            </w:pPr>
            <w:r w:rsidRPr="00165E31">
              <w:t xml:space="preserve">Asins un limfātiskās </w:t>
            </w:r>
            <w:r w:rsidRPr="00165E31">
              <w:t>sistēmas traucējumi</w:t>
            </w:r>
          </w:p>
        </w:tc>
        <w:tc>
          <w:tcPr>
            <w:tcW w:w="3969" w:type="dxa"/>
            <w:tcBorders>
              <w:top w:val="single" w:sz="4" w:space="0" w:color="auto"/>
              <w:left w:val="single" w:sz="4" w:space="0" w:color="auto"/>
              <w:bottom w:val="single" w:sz="4" w:space="0" w:color="auto"/>
              <w:right w:val="single" w:sz="4" w:space="0" w:color="auto"/>
            </w:tcBorders>
            <w:hideMark/>
          </w:tcPr>
          <w:p w14:paraId="7C316B81" w14:textId="77777777" w:rsidR="005B03FF" w:rsidRPr="005B03FF" w:rsidRDefault="00430718" w:rsidP="001E6DD1">
            <w:pPr>
              <w:autoSpaceDE w:val="0"/>
              <w:autoSpaceDN w:val="0"/>
              <w:adjustRightInd w:val="0"/>
              <w:jc w:val="both"/>
              <w:rPr>
                <w:iCs/>
                <w:noProof/>
              </w:rPr>
            </w:pPr>
            <w:r w:rsidRPr="005B03FF">
              <w:rPr>
                <w:i/>
                <w:noProof/>
              </w:rPr>
              <w:t xml:space="preserve">Retāk: </w:t>
            </w:r>
            <w:r w:rsidRPr="005B03FF">
              <w:rPr>
                <w:iCs/>
                <w:noProof/>
              </w:rPr>
              <w:t>sideroblastiska anēmija</w:t>
            </w:r>
          </w:p>
          <w:p w14:paraId="12D6A8E3" w14:textId="07BD173E" w:rsidR="001E6DD1" w:rsidRPr="00165E31" w:rsidRDefault="00430718" w:rsidP="001E6DD1">
            <w:pPr>
              <w:autoSpaceDE w:val="0"/>
              <w:autoSpaceDN w:val="0"/>
              <w:adjustRightInd w:val="0"/>
              <w:jc w:val="both"/>
              <w:rPr>
                <w:noProof/>
                <w:szCs w:val="22"/>
              </w:rPr>
            </w:pPr>
            <w:r w:rsidRPr="00165E31">
              <w:rPr>
                <w:i/>
                <w:noProof/>
              </w:rPr>
              <w:t xml:space="preserve">Nav zināms: </w:t>
            </w:r>
            <w:r w:rsidRPr="00165E31">
              <w:t>dzelzs deficīta anēmija.</w:t>
            </w:r>
          </w:p>
        </w:tc>
      </w:tr>
      <w:tr w:rsidR="0003691D" w14:paraId="0B282255" w14:textId="77777777" w:rsidTr="001E6DD1">
        <w:tc>
          <w:tcPr>
            <w:tcW w:w="3936" w:type="dxa"/>
            <w:tcBorders>
              <w:top w:val="single" w:sz="4" w:space="0" w:color="auto"/>
              <w:left w:val="single" w:sz="4" w:space="0" w:color="auto"/>
              <w:bottom w:val="single" w:sz="4" w:space="0" w:color="auto"/>
              <w:right w:val="single" w:sz="4" w:space="0" w:color="auto"/>
            </w:tcBorders>
            <w:hideMark/>
          </w:tcPr>
          <w:p w14:paraId="07978A35" w14:textId="77777777" w:rsidR="001E6DD1" w:rsidRPr="00165E31" w:rsidRDefault="00430718" w:rsidP="001E6DD1">
            <w:pPr>
              <w:autoSpaceDE w:val="0"/>
              <w:autoSpaceDN w:val="0"/>
              <w:adjustRightInd w:val="0"/>
              <w:jc w:val="both"/>
              <w:rPr>
                <w:noProof/>
                <w:szCs w:val="22"/>
              </w:rPr>
            </w:pPr>
            <w:r w:rsidRPr="00165E31">
              <w:t>Kuņģa-zarnu trakta traucējumi</w:t>
            </w:r>
          </w:p>
        </w:tc>
        <w:tc>
          <w:tcPr>
            <w:tcW w:w="3969" w:type="dxa"/>
            <w:tcBorders>
              <w:top w:val="single" w:sz="4" w:space="0" w:color="auto"/>
              <w:left w:val="single" w:sz="4" w:space="0" w:color="auto"/>
              <w:bottom w:val="single" w:sz="4" w:space="0" w:color="auto"/>
              <w:right w:val="single" w:sz="4" w:space="0" w:color="auto"/>
            </w:tcBorders>
            <w:hideMark/>
          </w:tcPr>
          <w:p w14:paraId="5B9DD351" w14:textId="77777777" w:rsidR="001E6DD1" w:rsidRPr="00165E31" w:rsidRDefault="00430718" w:rsidP="001E6DD1">
            <w:pPr>
              <w:autoSpaceDE w:val="0"/>
              <w:autoSpaceDN w:val="0"/>
              <w:adjustRightInd w:val="0"/>
              <w:jc w:val="both"/>
              <w:rPr>
                <w:noProof/>
                <w:szCs w:val="22"/>
              </w:rPr>
            </w:pPr>
            <w:r w:rsidRPr="00165E31">
              <w:rPr>
                <w:i/>
                <w:noProof/>
              </w:rPr>
              <w:t>Bieži</w:t>
            </w:r>
            <w:r w:rsidRPr="00165E31">
              <w:t xml:space="preserve">: slikta dūša. </w:t>
            </w:r>
          </w:p>
          <w:p w14:paraId="50C0AFE1" w14:textId="77777777" w:rsidR="001E6DD1" w:rsidRPr="00165E31" w:rsidRDefault="00430718" w:rsidP="001E6DD1">
            <w:pPr>
              <w:autoSpaceDE w:val="0"/>
              <w:autoSpaceDN w:val="0"/>
              <w:adjustRightInd w:val="0"/>
              <w:jc w:val="both"/>
              <w:rPr>
                <w:noProof/>
                <w:szCs w:val="22"/>
              </w:rPr>
            </w:pPr>
            <w:r w:rsidRPr="00165E31">
              <w:rPr>
                <w:i/>
                <w:noProof/>
              </w:rPr>
              <w:t xml:space="preserve">Nav zināms: </w:t>
            </w:r>
            <w:r w:rsidRPr="00165E31">
              <w:t>duodenīts, kolīts (ieskaitot smagu kolītu).</w:t>
            </w:r>
          </w:p>
        </w:tc>
      </w:tr>
      <w:tr w:rsidR="0003691D" w14:paraId="58787A9B" w14:textId="77777777" w:rsidTr="001E6DD1">
        <w:tc>
          <w:tcPr>
            <w:tcW w:w="3936" w:type="dxa"/>
            <w:tcBorders>
              <w:top w:val="single" w:sz="4" w:space="0" w:color="auto"/>
              <w:left w:val="single" w:sz="4" w:space="0" w:color="auto"/>
              <w:bottom w:val="single" w:sz="4" w:space="0" w:color="auto"/>
              <w:right w:val="single" w:sz="4" w:space="0" w:color="auto"/>
            </w:tcBorders>
            <w:hideMark/>
          </w:tcPr>
          <w:p w14:paraId="1DB9D752" w14:textId="77777777" w:rsidR="001E6DD1" w:rsidRPr="00165E31" w:rsidRDefault="00430718" w:rsidP="001E6DD1">
            <w:pPr>
              <w:autoSpaceDE w:val="0"/>
              <w:autoSpaceDN w:val="0"/>
              <w:adjustRightInd w:val="0"/>
              <w:jc w:val="both"/>
              <w:rPr>
                <w:noProof/>
                <w:szCs w:val="22"/>
              </w:rPr>
            </w:pPr>
            <w:r w:rsidRPr="00165E31">
              <w:t>Ādas un zemādas audu bojājumi</w:t>
            </w:r>
          </w:p>
        </w:tc>
        <w:tc>
          <w:tcPr>
            <w:tcW w:w="3969" w:type="dxa"/>
            <w:tcBorders>
              <w:top w:val="single" w:sz="4" w:space="0" w:color="auto"/>
              <w:left w:val="single" w:sz="4" w:space="0" w:color="auto"/>
              <w:bottom w:val="single" w:sz="4" w:space="0" w:color="auto"/>
              <w:right w:val="single" w:sz="4" w:space="0" w:color="auto"/>
            </w:tcBorders>
            <w:hideMark/>
          </w:tcPr>
          <w:p w14:paraId="7D86205B" w14:textId="77777777" w:rsidR="001E6DD1" w:rsidRPr="00165E31" w:rsidRDefault="00430718" w:rsidP="001E6DD1">
            <w:pPr>
              <w:autoSpaceDE w:val="0"/>
              <w:autoSpaceDN w:val="0"/>
              <w:adjustRightInd w:val="0"/>
              <w:jc w:val="both"/>
              <w:rPr>
                <w:noProof/>
                <w:szCs w:val="22"/>
              </w:rPr>
            </w:pPr>
            <w:r w:rsidRPr="00165E31">
              <w:rPr>
                <w:i/>
                <w:noProof/>
              </w:rPr>
              <w:t xml:space="preserve">Retāk: </w:t>
            </w:r>
            <w:r w:rsidRPr="00165E31">
              <w:t xml:space="preserve">ādas izsitumi, nieze, </w:t>
            </w:r>
            <w:r w:rsidRPr="00165E31">
              <w:t xml:space="preserve">eritēma. </w:t>
            </w:r>
          </w:p>
          <w:p w14:paraId="1D942C69" w14:textId="77777777" w:rsidR="001E6DD1" w:rsidRPr="00165E31" w:rsidRDefault="00430718" w:rsidP="001E6DD1">
            <w:pPr>
              <w:autoSpaceDE w:val="0"/>
              <w:autoSpaceDN w:val="0"/>
              <w:adjustRightInd w:val="0"/>
              <w:jc w:val="both"/>
              <w:rPr>
                <w:noProof/>
                <w:szCs w:val="22"/>
              </w:rPr>
            </w:pPr>
            <w:r w:rsidRPr="00165E31">
              <w:rPr>
                <w:i/>
                <w:noProof/>
              </w:rPr>
              <w:t>Nav zināms</w:t>
            </w:r>
            <w:r w:rsidRPr="00165E31">
              <w:t>: nātrene.</w:t>
            </w:r>
          </w:p>
        </w:tc>
      </w:tr>
    </w:tbl>
    <w:p w14:paraId="21046A92" w14:textId="77777777" w:rsidR="001E6DD1" w:rsidRPr="00165E31" w:rsidRDefault="001E6DD1" w:rsidP="001E6DD1">
      <w:pPr>
        <w:autoSpaceDE w:val="0"/>
        <w:autoSpaceDN w:val="0"/>
        <w:adjustRightInd w:val="0"/>
        <w:rPr>
          <w:noProof/>
          <w:szCs w:val="22"/>
        </w:rPr>
      </w:pPr>
    </w:p>
    <w:p w14:paraId="417929D9" w14:textId="77777777" w:rsidR="001E6DD1" w:rsidRPr="00165E31" w:rsidRDefault="00430718" w:rsidP="001E6DD1">
      <w:pPr>
        <w:autoSpaceDE w:val="0"/>
        <w:autoSpaceDN w:val="0"/>
        <w:adjustRightInd w:val="0"/>
        <w:spacing w:line="240" w:lineRule="auto"/>
        <w:rPr>
          <w:szCs w:val="22"/>
          <w:u w:val="single"/>
        </w:rPr>
      </w:pPr>
      <w:r w:rsidRPr="00165E31">
        <w:rPr>
          <w:u w:val="single"/>
        </w:rPr>
        <w:t>Ziņošana par iespējamām nevēlamām blakusparādībām</w:t>
      </w:r>
    </w:p>
    <w:p w14:paraId="60473642" w14:textId="77777777" w:rsidR="001E6DD1" w:rsidRPr="00165E31" w:rsidRDefault="00430718" w:rsidP="001E6DD1">
      <w:pPr>
        <w:autoSpaceDE w:val="0"/>
        <w:autoSpaceDN w:val="0"/>
        <w:adjustRightInd w:val="0"/>
        <w:spacing w:line="240" w:lineRule="auto"/>
        <w:rPr>
          <w:noProof/>
          <w:szCs w:val="22"/>
        </w:rPr>
      </w:pPr>
      <w:r w:rsidRPr="00165E31">
        <w:t>Ir svarīgi ziņot par iespējamām nevēlamām blakusparādībām pēc zāļu reģistrācijas. Tādējādi zāļu ieguvuma/riska attiecība tiek nepārtraukti uzraudzīta. Veselības aprūpes speciālisti tiek lūgti ziņot par jebkādām iespējamām nevēlamām blakusparādībām, izmanto</w:t>
      </w:r>
      <w:r w:rsidRPr="00165E31">
        <w:t xml:space="preserve">jot </w:t>
      </w:r>
      <w:hyperlink r:id="rId11" w:history="1">
        <w:r w:rsidRPr="00165E31">
          <w:rPr>
            <w:rStyle w:val="Hyperlink"/>
            <w:highlight w:val="lightGray"/>
          </w:rPr>
          <w:t>V pielikumā</w:t>
        </w:r>
      </w:hyperlink>
      <w:r w:rsidRPr="00165E31">
        <w:t xml:space="preserve"> minēto nacionālās ziņošanas sistēmas kontaktinformāciju.</w:t>
      </w:r>
    </w:p>
    <w:p w14:paraId="26F9664F" w14:textId="77777777" w:rsidR="001E6DD1" w:rsidRPr="00165E31" w:rsidRDefault="001E6DD1" w:rsidP="001E6DD1">
      <w:pPr>
        <w:spacing w:line="240" w:lineRule="auto"/>
        <w:rPr>
          <w:noProof/>
          <w:szCs w:val="22"/>
        </w:rPr>
      </w:pPr>
    </w:p>
    <w:p w14:paraId="48D6A07E" w14:textId="77777777" w:rsidR="001E6DD1" w:rsidRPr="00165E31" w:rsidRDefault="00430718" w:rsidP="001E6DD1">
      <w:pPr>
        <w:spacing w:line="240" w:lineRule="auto"/>
        <w:outlineLvl w:val="0"/>
        <w:rPr>
          <w:b/>
          <w:noProof/>
          <w:szCs w:val="22"/>
        </w:rPr>
      </w:pPr>
      <w:r w:rsidRPr="00165E31">
        <w:rPr>
          <w:b/>
          <w:noProof/>
        </w:rPr>
        <w:t>4.9.</w:t>
      </w:r>
      <w:r w:rsidRPr="00165E31">
        <w:rPr>
          <w:b/>
          <w:noProof/>
        </w:rPr>
        <w:tab/>
        <w:t>Pārdozēšana</w:t>
      </w:r>
    </w:p>
    <w:p w14:paraId="6CD7D9A9" w14:textId="77777777" w:rsidR="001E6DD1" w:rsidRPr="00165E31" w:rsidRDefault="001E6DD1" w:rsidP="001E6DD1">
      <w:pPr>
        <w:spacing w:line="240" w:lineRule="auto"/>
        <w:rPr>
          <w:noProof/>
          <w:szCs w:val="22"/>
        </w:rPr>
      </w:pPr>
    </w:p>
    <w:p w14:paraId="47283D30" w14:textId="74CB371B" w:rsidR="00C022DB" w:rsidRPr="00165E31" w:rsidRDefault="00430718" w:rsidP="001E6DD1">
      <w:r w:rsidRPr="00165E31">
        <w:t>Ir</w:t>
      </w:r>
      <w:r w:rsidR="00A81509" w:rsidRPr="00165E31">
        <w:t xml:space="preserve"> </w:t>
      </w:r>
      <w:r w:rsidRPr="00165E31">
        <w:t xml:space="preserve">gadījumi, kad </w:t>
      </w:r>
      <w:r w:rsidR="007175DA" w:rsidRPr="00165E31">
        <w:t xml:space="preserve">tika </w:t>
      </w:r>
      <w:r w:rsidR="00A81509" w:rsidRPr="00165E31">
        <w:t>ziņots par trientīna pārdozēšan</w:t>
      </w:r>
      <w:r w:rsidRPr="00165E31">
        <w:t>u</w:t>
      </w:r>
      <w:r w:rsidR="00A81509" w:rsidRPr="00165E31">
        <w:t>.</w:t>
      </w:r>
      <w:r w:rsidR="009518D8" w:rsidRPr="00165E31">
        <w:t xml:space="preserve"> </w:t>
      </w:r>
      <w:r w:rsidR="00712113" w:rsidRPr="00165E31">
        <w:t>Ja bija l</w:t>
      </w:r>
      <w:r w:rsidR="005E1B8B" w:rsidRPr="00165E31">
        <w:t>ieto</w:t>
      </w:r>
      <w:r w:rsidR="00712113" w:rsidRPr="00165E31">
        <w:t>ts</w:t>
      </w:r>
      <w:r w:rsidR="005E1B8B" w:rsidRPr="00165E31">
        <w:t xml:space="preserve"> līdz 20 g trientīna bāzes, par redzamām nevēlamām blakusparādībām nav ziņots.</w:t>
      </w:r>
      <w:r w:rsidR="00E91254" w:rsidRPr="00165E31">
        <w:t xml:space="preserve"> </w:t>
      </w:r>
      <w:r w:rsidR="009D5EA0" w:rsidRPr="00165E31">
        <w:t>Liela</w:t>
      </w:r>
      <w:r w:rsidR="0005703D" w:rsidRPr="00165E31">
        <w:t>,</w:t>
      </w:r>
      <w:r w:rsidR="009D5EA0" w:rsidRPr="00165E31">
        <w:t xml:space="preserve"> </w:t>
      </w:r>
      <w:r w:rsidR="00DD3D17" w:rsidRPr="00165E31">
        <w:t>40 g trientīna bāzes</w:t>
      </w:r>
      <w:r w:rsidR="0005703D" w:rsidRPr="00165E31">
        <w:t>,</w:t>
      </w:r>
      <w:r w:rsidR="00DD3D17" w:rsidRPr="00165E31">
        <w:t xml:space="preserve"> pārdozēšana izraisīja reiboni un vemšanu, kas izzuda </w:t>
      </w:r>
      <w:r w:rsidR="00793947" w:rsidRPr="00165E31">
        <w:t>bez ārstēšanas</w:t>
      </w:r>
      <w:r w:rsidR="00DD3D17" w:rsidRPr="00165E31">
        <w:t xml:space="preserve">, par citām klīniskām sekām vai nozīmīgām bioķīmisko rādītāju novirzēm </w:t>
      </w:r>
      <w:r w:rsidR="008F4EDB" w:rsidRPr="00165E31">
        <w:t xml:space="preserve">nav </w:t>
      </w:r>
      <w:r w:rsidR="00DD3D17" w:rsidRPr="00165E31">
        <w:t>ziņo</w:t>
      </w:r>
      <w:r w:rsidR="008F4EDB" w:rsidRPr="00165E31">
        <w:t>ts</w:t>
      </w:r>
      <w:r w:rsidR="00DD3D17" w:rsidRPr="00165E31">
        <w:t>.</w:t>
      </w:r>
    </w:p>
    <w:p w14:paraId="3A342831" w14:textId="77777777" w:rsidR="00C022DB" w:rsidRPr="00165E31" w:rsidRDefault="00C022DB" w:rsidP="001E6DD1"/>
    <w:p w14:paraId="2FC62B12" w14:textId="330DFB23" w:rsidR="001E6DD1" w:rsidRPr="00165E31" w:rsidRDefault="00430718" w:rsidP="001E6DD1">
      <w:pPr>
        <w:rPr>
          <w:noProof/>
          <w:szCs w:val="22"/>
        </w:rPr>
      </w:pPr>
      <w:r w:rsidRPr="00165E31">
        <w:t>Trientīna akūtai pārdozēšanai nav antidota.</w:t>
      </w:r>
    </w:p>
    <w:p w14:paraId="606F22FC" w14:textId="77777777" w:rsidR="001E6DD1" w:rsidRPr="00165E31" w:rsidRDefault="001E6DD1" w:rsidP="001E6DD1">
      <w:pPr>
        <w:spacing w:line="240" w:lineRule="auto"/>
        <w:rPr>
          <w:szCs w:val="22"/>
        </w:rPr>
      </w:pPr>
    </w:p>
    <w:p w14:paraId="229E0866" w14:textId="77777777" w:rsidR="001E6DD1" w:rsidRPr="00165E31" w:rsidRDefault="00430718" w:rsidP="001E6DD1">
      <w:pPr>
        <w:spacing w:line="240" w:lineRule="auto"/>
        <w:rPr>
          <w:noProof/>
          <w:szCs w:val="22"/>
        </w:rPr>
      </w:pPr>
      <w:r w:rsidRPr="00165E31">
        <w:t>Hroniska pārāk lielas devas lietošana var izraisīt vara deficītu un atgriezenisku sideroblastisku anēmiju. Pārāk lielu devu izmantošanu un pārmērīgu vara līmeņa samazināšanu var uz</w:t>
      </w:r>
      <w:r w:rsidRPr="00165E31">
        <w:t>raudzīt, izmantojot vara izdales urīnā mērījumu un ar ceruloplazmīnu nesaistītā vara līmeņa mērījumu. Ir nepieciešama cieša uzraudzība, lai optimizētu devu vai pielāgotu ārstēšanu, ja nepieciešams (skatīt 4.4. apakšpunktu).</w:t>
      </w:r>
    </w:p>
    <w:p w14:paraId="23B4E548" w14:textId="77777777" w:rsidR="001E6DD1" w:rsidRPr="00165E31" w:rsidRDefault="001E6DD1" w:rsidP="001E6DD1">
      <w:pPr>
        <w:suppressAutoHyphens/>
        <w:spacing w:line="240" w:lineRule="auto"/>
        <w:rPr>
          <w:b/>
          <w:szCs w:val="22"/>
        </w:rPr>
      </w:pPr>
    </w:p>
    <w:p w14:paraId="6DCCC5C8" w14:textId="77777777" w:rsidR="001E6DD1" w:rsidRPr="00165E31" w:rsidRDefault="001E6DD1" w:rsidP="001E6DD1">
      <w:pPr>
        <w:suppressAutoHyphens/>
        <w:spacing w:line="240" w:lineRule="auto"/>
        <w:rPr>
          <w:b/>
          <w:szCs w:val="22"/>
        </w:rPr>
      </w:pPr>
    </w:p>
    <w:p w14:paraId="63CC868F" w14:textId="77777777" w:rsidR="001E6DD1" w:rsidRPr="00165E31" w:rsidRDefault="00430718" w:rsidP="001E6DD1">
      <w:pPr>
        <w:pStyle w:val="ListParagraph"/>
        <w:numPr>
          <w:ilvl w:val="0"/>
          <w:numId w:val="28"/>
        </w:numPr>
        <w:spacing w:line="240" w:lineRule="auto"/>
        <w:ind w:hanging="930"/>
        <w:rPr>
          <w:b/>
        </w:rPr>
      </w:pPr>
      <w:r w:rsidRPr="00165E31">
        <w:rPr>
          <w:b/>
        </w:rPr>
        <w:t>FARMAKOLOĢISKĀS ĪPAŠĪBAS</w:t>
      </w:r>
    </w:p>
    <w:p w14:paraId="3853145C" w14:textId="77777777" w:rsidR="001E6DD1" w:rsidRPr="00165E31" w:rsidRDefault="001E6DD1" w:rsidP="001E6DD1">
      <w:pPr>
        <w:spacing w:line="240" w:lineRule="auto"/>
        <w:rPr>
          <w:szCs w:val="22"/>
        </w:rPr>
      </w:pPr>
    </w:p>
    <w:p w14:paraId="6640E34A" w14:textId="77777777" w:rsidR="001E6DD1" w:rsidRPr="00165E31" w:rsidRDefault="00430718" w:rsidP="001E6DD1">
      <w:pPr>
        <w:spacing w:line="240" w:lineRule="auto"/>
        <w:outlineLvl w:val="0"/>
        <w:rPr>
          <w:szCs w:val="22"/>
        </w:rPr>
      </w:pPr>
      <w:r w:rsidRPr="00165E31">
        <w:rPr>
          <w:b/>
        </w:rPr>
        <w:t>5.1.</w:t>
      </w:r>
      <w:r w:rsidRPr="00165E31">
        <w:rPr>
          <w:b/>
        </w:rPr>
        <w:tab/>
        <w:t>Farmakodinamiskās īpašības</w:t>
      </w:r>
    </w:p>
    <w:p w14:paraId="625C6DDD" w14:textId="77777777" w:rsidR="001E6DD1" w:rsidRPr="00165E31" w:rsidRDefault="001E6DD1" w:rsidP="001E6DD1">
      <w:pPr>
        <w:spacing w:line="240" w:lineRule="auto"/>
        <w:rPr>
          <w:szCs w:val="22"/>
        </w:rPr>
      </w:pPr>
    </w:p>
    <w:p w14:paraId="0EEFAB47" w14:textId="77777777" w:rsidR="001E6DD1" w:rsidRPr="00165E31" w:rsidRDefault="00430718" w:rsidP="001E6DD1">
      <w:pPr>
        <w:numPr>
          <w:ilvl w:val="12"/>
          <w:numId w:val="0"/>
        </w:numPr>
        <w:ind w:right="-2"/>
        <w:rPr>
          <w:szCs w:val="22"/>
        </w:rPr>
      </w:pPr>
      <w:r w:rsidRPr="00165E31">
        <w:t>Farmakoterapeitiskā grupa: citi gremošanas traktu un vielmaiņu ietekmējošie līdzekļi, dažādi gremošanas traktu un vielmaiņu ietekmējošie līdzekļi, ATĶ kods: A16AX12.</w:t>
      </w:r>
    </w:p>
    <w:p w14:paraId="1B8A7D2A" w14:textId="77777777" w:rsidR="001E6DD1" w:rsidRPr="00165E31" w:rsidRDefault="001E6DD1" w:rsidP="001E6DD1">
      <w:pPr>
        <w:numPr>
          <w:ilvl w:val="12"/>
          <w:numId w:val="0"/>
        </w:numPr>
        <w:ind w:right="-2"/>
        <w:rPr>
          <w:szCs w:val="22"/>
        </w:rPr>
      </w:pPr>
    </w:p>
    <w:p w14:paraId="2AF07AD8" w14:textId="77777777" w:rsidR="001E6DD1" w:rsidRPr="00165E31" w:rsidRDefault="00430718" w:rsidP="001E6DD1">
      <w:pPr>
        <w:keepNext/>
        <w:numPr>
          <w:ilvl w:val="12"/>
          <w:numId w:val="0"/>
        </w:numPr>
        <w:rPr>
          <w:szCs w:val="22"/>
          <w:u w:val="single"/>
        </w:rPr>
      </w:pPr>
      <w:r w:rsidRPr="00165E31">
        <w:rPr>
          <w:u w:val="single"/>
        </w:rPr>
        <w:lastRenderedPageBreak/>
        <w:t xml:space="preserve">Darbības mehānisms </w:t>
      </w:r>
    </w:p>
    <w:p w14:paraId="66A567FD" w14:textId="77777777" w:rsidR="001E6DD1" w:rsidRPr="00165E31" w:rsidRDefault="00430718" w:rsidP="001E6DD1">
      <w:pPr>
        <w:numPr>
          <w:ilvl w:val="12"/>
          <w:numId w:val="0"/>
        </w:numPr>
        <w:ind w:right="-2"/>
        <w:rPr>
          <w:szCs w:val="22"/>
        </w:rPr>
      </w:pPr>
      <w:r w:rsidRPr="00165E31">
        <w:t xml:space="preserve">Trientīns ir vara helātus </w:t>
      </w:r>
      <w:r w:rsidRPr="00165E31">
        <w:t>veidojošs līdzeklis, kura galvenais darbības mehānisms ir izvadīt absorbēto varu no organisma, veidojot stabilu kompleksu, kas pēc tam tiek izvadīts ar urīnu. Trientīns var arī veidot vara helātu zarnu traktā, tādējādi inhibējot vara uzsūkšanos.</w:t>
      </w:r>
    </w:p>
    <w:p w14:paraId="72934599" w14:textId="77777777" w:rsidR="001E6DD1" w:rsidRPr="00165E31" w:rsidRDefault="001E6DD1" w:rsidP="001E6DD1">
      <w:pPr>
        <w:numPr>
          <w:ilvl w:val="12"/>
          <w:numId w:val="0"/>
        </w:numPr>
        <w:ind w:right="-2"/>
        <w:rPr>
          <w:iCs/>
          <w:noProof/>
          <w:szCs w:val="22"/>
        </w:rPr>
      </w:pPr>
    </w:p>
    <w:p w14:paraId="16E205FB" w14:textId="77777777" w:rsidR="001E6DD1" w:rsidRPr="00165E31" w:rsidRDefault="00430718" w:rsidP="001E6DD1">
      <w:pPr>
        <w:keepNext/>
        <w:spacing w:line="240" w:lineRule="auto"/>
        <w:outlineLvl w:val="0"/>
        <w:rPr>
          <w:b/>
          <w:szCs w:val="22"/>
        </w:rPr>
      </w:pPr>
      <w:r w:rsidRPr="00165E31">
        <w:rPr>
          <w:b/>
        </w:rPr>
        <w:t>5.2.</w:t>
      </w:r>
      <w:r w:rsidRPr="00165E31">
        <w:rPr>
          <w:b/>
        </w:rPr>
        <w:tab/>
      </w:r>
      <w:r w:rsidRPr="00165E31">
        <w:rPr>
          <w:b/>
        </w:rPr>
        <w:t>Farmakokinētiskās īpašības</w:t>
      </w:r>
    </w:p>
    <w:p w14:paraId="780C2A59" w14:textId="77777777" w:rsidR="001E6DD1" w:rsidRPr="00165E31" w:rsidRDefault="001E6DD1" w:rsidP="001E6DD1">
      <w:pPr>
        <w:keepNext/>
        <w:rPr>
          <w:noProof/>
        </w:rPr>
      </w:pPr>
    </w:p>
    <w:p w14:paraId="05C19312" w14:textId="77777777" w:rsidR="001E6DD1" w:rsidRPr="00165E31" w:rsidRDefault="00430718" w:rsidP="001E6DD1">
      <w:pPr>
        <w:keepNext/>
        <w:rPr>
          <w:noProof/>
          <w:szCs w:val="22"/>
          <w:u w:val="single"/>
        </w:rPr>
      </w:pPr>
      <w:r w:rsidRPr="00165E31">
        <w:rPr>
          <w:noProof/>
          <w:u w:val="single"/>
        </w:rPr>
        <w:t>Uzsūkšanās</w:t>
      </w:r>
    </w:p>
    <w:p w14:paraId="6E33BB08" w14:textId="77777777" w:rsidR="001E6DD1" w:rsidRPr="00165E31" w:rsidRDefault="00430718" w:rsidP="001E6DD1">
      <w:pPr>
        <w:rPr>
          <w:noProof/>
          <w:szCs w:val="22"/>
        </w:rPr>
      </w:pPr>
      <w:r w:rsidRPr="00165E31">
        <w:t xml:space="preserve">Pacientiem ar Vilsona slimību trientīna uzsūkšanās  pēc iekšķīgas lietošanas ir zema un mainīga. </w:t>
      </w:r>
      <w:r w:rsidRPr="00165E31">
        <w:rPr>
          <w:i/>
        </w:rPr>
        <w:t>Cuprior</w:t>
      </w:r>
      <w:r w:rsidRPr="00165E31">
        <w:t xml:space="preserve"> farmakokinētiskais profils tika vērtēts pēc vienreizējas 450 mg, 600 mg un 750 mg trientīna devas iekšķīgas uzņe</w:t>
      </w:r>
      <w:r w:rsidRPr="00165E31">
        <w:t>mšanas veseliem vīriešiem un sievietēm. Trientīna līmenis plazmā strauji pieauga pēc lietošanas, sasniedzot vidējo augstāko līmeni pēc 1,25 līdz 2 stundām. Pēc tam trientīna koncentrācija plazmā samazinājās dažādos ātrumos — sākotnēji strauji, kam sekoja l</w:t>
      </w:r>
      <w:r w:rsidRPr="00165E31">
        <w:t xml:space="preserve">ēnāka eliminācijas fāze. Vispārējie farmakokinētiskie profili vīriešiem un sievietēm bija līdzīgi, lai gan vīriešiem bija novērojams augstāks trientīna līmenis. </w:t>
      </w:r>
    </w:p>
    <w:p w14:paraId="519B032A" w14:textId="77777777" w:rsidR="001E6DD1" w:rsidRPr="00165E31" w:rsidRDefault="001E6DD1" w:rsidP="001E6DD1">
      <w:pPr>
        <w:rPr>
          <w:noProof/>
          <w:szCs w:val="22"/>
        </w:rPr>
      </w:pPr>
    </w:p>
    <w:p w14:paraId="42D53368" w14:textId="77777777" w:rsidR="001E6DD1" w:rsidRPr="00165E31" w:rsidRDefault="00430718" w:rsidP="001E6DD1">
      <w:pPr>
        <w:rPr>
          <w:noProof/>
          <w:szCs w:val="22"/>
          <w:u w:val="single"/>
        </w:rPr>
      </w:pPr>
      <w:r w:rsidRPr="00165E31">
        <w:rPr>
          <w:noProof/>
          <w:u w:val="single"/>
        </w:rPr>
        <w:t>Izkliede</w:t>
      </w:r>
    </w:p>
    <w:p w14:paraId="0821EBC2" w14:textId="77777777" w:rsidR="001E6DD1" w:rsidRPr="00165E31" w:rsidRDefault="00430718" w:rsidP="001E6DD1">
      <w:pPr>
        <w:rPr>
          <w:noProof/>
          <w:szCs w:val="22"/>
        </w:rPr>
      </w:pPr>
      <w:r w:rsidRPr="00165E31">
        <w:t xml:space="preserve">Ir maz informācijas par trientīna izkliedi orgānos un audos. </w:t>
      </w:r>
    </w:p>
    <w:p w14:paraId="185E3630" w14:textId="77777777" w:rsidR="001E6DD1" w:rsidRPr="00165E31" w:rsidRDefault="001E6DD1" w:rsidP="001E6DD1">
      <w:pPr>
        <w:rPr>
          <w:noProof/>
          <w:szCs w:val="22"/>
        </w:rPr>
      </w:pPr>
    </w:p>
    <w:p w14:paraId="71519891" w14:textId="77777777" w:rsidR="001E6DD1" w:rsidRPr="00165E31" w:rsidRDefault="00430718" w:rsidP="001E6DD1">
      <w:pPr>
        <w:rPr>
          <w:noProof/>
          <w:szCs w:val="22"/>
          <w:u w:val="single"/>
        </w:rPr>
      </w:pPr>
      <w:r w:rsidRPr="00165E31">
        <w:rPr>
          <w:noProof/>
          <w:u w:val="single"/>
        </w:rPr>
        <w:t>Biotransformācija</w:t>
      </w:r>
    </w:p>
    <w:p w14:paraId="6256D74D" w14:textId="77777777" w:rsidR="001E6DD1" w:rsidRPr="00165E31" w:rsidRDefault="00430718" w:rsidP="001E6DD1">
      <w:pPr>
        <w:rPr>
          <w:szCs w:val="22"/>
        </w:rPr>
      </w:pPr>
      <w:r w:rsidRPr="00165E31">
        <w:t>Tri</w:t>
      </w:r>
      <w:r w:rsidRPr="00165E31">
        <w:t xml:space="preserve">entīns ir acetilēts divos galvenajos metabolītos, N(1)-acetiltrietilēntetramīns (MAT) un N(1),N(10)-diacetiltrietilēntetramīns (DAT). MAT var arī piedalīties </w:t>
      </w:r>
      <w:r w:rsidRPr="00165E31">
        <w:rPr>
          <w:i/>
        </w:rPr>
        <w:t>Cuprior</w:t>
      </w:r>
      <w:r w:rsidRPr="00165E31">
        <w:t xml:space="preserve"> vispārējā klīniskajā aktivitātē, tomēr MAT apjoms kopējā </w:t>
      </w:r>
      <w:r w:rsidRPr="00165E31">
        <w:rPr>
          <w:i/>
        </w:rPr>
        <w:t>Cuprior</w:t>
      </w:r>
      <w:r w:rsidRPr="00165E31">
        <w:t xml:space="preserve"> ietekmē uz vara līmeni vē</w:t>
      </w:r>
      <w:r w:rsidRPr="00165E31">
        <w:t>l ir jānosaka.</w:t>
      </w:r>
    </w:p>
    <w:p w14:paraId="388EA314" w14:textId="77777777" w:rsidR="001E6DD1" w:rsidRPr="00165E31" w:rsidRDefault="001E6DD1" w:rsidP="001E6DD1">
      <w:pPr>
        <w:rPr>
          <w:szCs w:val="22"/>
        </w:rPr>
      </w:pPr>
    </w:p>
    <w:p w14:paraId="531304A4" w14:textId="77777777" w:rsidR="001E6DD1" w:rsidRPr="00165E31" w:rsidRDefault="00430718" w:rsidP="001E6DD1">
      <w:pPr>
        <w:rPr>
          <w:noProof/>
          <w:szCs w:val="22"/>
        </w:rPr>
      </w:pPr>
      <w:r w:rsidRPr="00165E31">
        <w:rPr>
          <w:noProof/>
          <w:u w:val="single"/>
        </w:rPr>
        <w:t>Eliminācija</w:t>
      </w:r>
    </w:p>
    <w:p w14:paraId="1BA5E145" w14:textId="77777777" w:rsidR="001E6DD1" w:rsidRPr="00165E31" w:rsidRDefault="00430718" w:rsidP="001E6DD1">
      <w:pPr>
        <w:rPr>
          <w:noProof/>
          <w:szCs w:val="22"/>
        </w:rPr>
      </w:pPr>
      <w:r w:rsidRPr="00165E31">
        <w:t>Trientīns un tā metabolīti ātri izdalās urīnā, tomēr neliels trientīna daudzums joprojām var tikt konstatēts plazmā pēc 20 stundām. Neabsorbētais trientīns tiek izvadīts ar fēču ekskrēciju.</w:t>
      </w:r>
    </w:p>
    <w:p w14:paraId="45BFD7CD" w14:textId="77777777" w:rsidR="001E6DD1" w:rsidRPr="00165E31" w:rsidRDefault="001E6DD1" w:rsidP="001E6DD1">
      <w:pPr>
        <w:rPr>
          <w:noProof/>
          <w:szCs w:val="22"/>
        </w:rPr>
      </w:pPr>
    </w:p>
    <w:p w14:paraId="6BC6B51A" w14:textId="77777777" w:rsidR="001E6DD1" w:rsidRPr="00165E31" w:rsidRDefault="00430718" w:rsidP="001E6DD1">
      <w:pPr>
        <w:rPr>
          <w:noProof/>
          <w:szCs w:val="22"/>
          <w:u w:val="single"/>
        </w:rPr>
      </w:pPr>
      <w:r w:rsidRPr="00165E31">
        <w:rPr>
          <w:noProof/>
          <w:u w:val="single"/>
        </w:rPr>
        <w:t>Linearitāte/nelinearitāte</w:t>
      </w:r>
    </w:p>
    <w:p w14:paraId="411E9A49" w14:textId="77777777" w:rsidR="001E6DD1" w:rsidRPr="00165E31" w:rsidRDefault="00430718" w:rsidP="001E6DD1">
      <w:pPr>
        <w:rPr>
          <w:noProof/>
          <w:szCs w:val="22"/>
        </w:rPr>
      </w:pPr>
      <w:r w:rsidRPr="00165E31">
        <w:t>Cilvēkiem p</w:t>
      </w:r>
      <w:r w:rsidRPr="00165E31">
        <w:t>lazmā esošajam daudzumam ir lineāra attiecība ar iekšķīgi lietotām trientīna devām.</w:t>
      </w:r>
    </w:p>
    <w:p w14:paraId="4E11B577" w14:textId="77777777" w:rsidR="001E6DD1" w:rsidRPr="00165E31" w:rsidRDefault="001E6DD1" w:rsidP="001E6DD1">
      <w:pPr>
        <w:numPr>
          <w:ilvl w:val="12"/>
          <w:numId w:val="0"/>
        </w:numPr>
        <w:spacing w:line="240" w:lineRule="auto"/>
        <w:ind w:right="-2"/>
        <w:rPr>
          <w:iCs/>
          <w:noProof/>
          <w:szCs w:val="22"/>
        </w:rPr>
      </w:pPr>
    </w:p>
    <w:p w14:paraId="186B72FF" w14:textId="77777777" w:rsidR="001E6DD1" w:rsidRPr="00165E31" w:rsidRDefault="00430718" w:rsidP="001E6DD1">
      <w:pPr>
        <w:spacing w:line="240" w:lineRule="auto"/>
        <w:outlineLvl w:val="0"/>
        <w:rPr>
          <w:b/>
          <w:szCs w:val="22"/>
        </w:rPr>
      </w:pPr>
      <w:r w:rsidRPr="00165E31">
        <w:rPr>
          <w:b/>
        </w:rPr>
        <w:t>5.3.</w:t>
      </w:r>
      <w:r w:rsidRPr="00165E31">
        <w:rPr>
          <w:b/>
        </w:rPr>
        <w:tab/>
        <w:t>Preklīniskie dati par drošumu</w:t>
      </w:r>
    </w:p>
    <w:p w14:paraId="6D274F2A" w14:textId="77777777" w:rsidR="001E6DD1" w:rsidRPr="00165E31" w:rsidRDefault="001E6DD1" w:rsidP="001E6DD1">
      <w:pPr>
        <w:spacing w:line="240" w:lineRule="auto"/>
        <w:rPr>
          <w:noProof/>
          <w:szCs w:val="22"/>
        </w:rPr>
      </w:pPr>
    </w:p>
    <w:p w14:paraId="1814F6BF" w14:textId="77777777" w:rsidR="001E6DD1" w:rsidRPr="00165E31" w:rsidRDefault="00430718" w:rsidP="001E6DD1">
      <w:pPr>
        <w:rPr>
          <w:noProof/>
          <w:szCs w:val="22"/>
        </w:rPr>
      </w:pPr>
      <w:r w:rsidRPr="00165E31">
        <w:t>Par trientīnu iegūtie preklīniskie dati liecina, ka klīniskajos pētījumos nevēlamas blakusparādības nav novērotas, tomēr tās ir novērot</w:t>
      </w:r>
      <w:r w:rsidRPr="00165E31">
        <w:t>as pētījumos ar dzīvniekiem, izmantojot klīniskajām līdzīgas devas un iedarbības ilgumu.</w:t>
      </w:r>
    </w:p>
    <w:p w14:paraId="774AB3DB" w14:textId="77777777" w:rsidR="001E6DD1" w:rsidRPr="00165E31" w:rsidRDefault="001E6DD1" w:rsidP="001E6DD1">
      <w:pPr>
        <w:rPr>
          <w:szCs w:val="22"/>
        </w:rPr>
      </w:pPr>
    </w:p>
    <w:p w14:paraId="07E2DACA" w14:textId="77777777" w:rsidR="001E6DD1" w:rsidRPr="00165E31" w:rsidRDefault="00430718" w:rsidP="001E6DD1">
      <w:pPr>
        <w:rPr>
          <w:noProof/>
          <w:szCs w:val="22"/>
          <w:u w:val="single"/>
        </w:rPr>
      </w:pPr>
      <w:r w:rsidRPr="00165E31">
        <w:rPr>
          <w:noProof/>
          <w:u w:val="single"/>
        </w:rPr>
        <w:t>Atkārtotas devas toksicitāte</w:t>
      </w:r>
    </w:p>
    <w:p w14:paraId="24F01F2C" w14:textId="77777777" w:rsidR="001E6DD1" w:rsidRPr="00165E31" w:rsidRDefault="00430718" w:rsidP="001E6DD1">
      <w:pPr>
        <w:rPr>
          <w:noProof/>
          <w:szCs w:val="22"/>
        </w:rPr>
      </w:pPr>
      <w:r w:rsidRPr="00165E31">
        <w:t xml:space="preserve">Pelēm, ievadot trientīnu dzeramajā ūdenī, bija vērojami biežāki plaušu interstīcija iekaisumi un aknu periportāla taukainā infiltrācija. </w:t>
      </w:r>
      <w:r w:rsidRPr="00165E31">
        <w:t>Tēviņiem tika novērota liesas asinsrades šūnu proliferācija. Tēviņiem tika novērota samazināta nieru un ķermeņa masa, tāpat tika novērota nieru citoplazmas vakuolizācija. Nenovērotās negatīvās iedarbības līmenis (</w:t>
      </w:r>
      <w:r w:rsidRPr="00165E31">
        <w:rPr>
          <w:i/>
        </w:rPr>
        <w:t>NOAEL</w:t>
      </w:r>
      <w:r w:rsidRPr="00165E31">
        <w:t>) tika noteikts pie aptuveni 92 mg/kg/</w:t>
      </w:r>
      <w:r w:rsidRPr="00165E31">
        <w:t>dienā tēviņiem un 99 mg/kg/dienā mātītēm. Žurku, kurām iekšķīgi tika ievadītas trientīna devas līdz 600 mg/kg/dienā 26 nedēļu garumā, histopatoloģija atklāja ar devu saistītu fokālas hroniskas intersticiālās pneimonijas biežumu un smagumu, kā arī alveolu s</w:t>
      </w:r>
      <w:r w:rsidRPr="00165E31">
        <w:t>ieniņu fibrozi. Tika uzskatīts, ka mikroskopiskās izmaiņas plaušās liecina par pastāvīgu iekaisuma reakciju vai pastāvīgu toksisku ietekmi uz alveolu šūnām. Ņemot vērā to, ka trientīnam piemīt kairinošas īpašības, novērotā hroniskā intersticiālā pneimonija</w:t>
      </w:r>
      <w:r w:rsidRPr="00165E31">
        <w:t xml:space="preserve"> tika skaidrota ar trientīna citotoksisko iedarbību, uzkrājoties bronhu epitēlija šūnās un alveolu pneimocītos. Šie atklājumi nebija atgriezeniski. Žurkām </w:t>
      </w:r>
      <w:r w:rsidRPr="00165E31">
        <w:rPr>
          <w:i/>
        </w:rPr>
        <w:t>NOAEL</w:t>
      </w:r>
      <w:r w:rsidRPr="00165E31">
        <w:t xml:space="preserve"> tika uzskatīts 50 mg/kg/dienā mātītēm; tēviņiem </w:t>
      </w:r>
      <w:r w:rsidRPr="00165E31">
        <w:rPr>
          <w:i/>
        </w:rPr>
        <w:t>NOAEL</w:t>
      </w:r>
      <w:r w:rsidRPr="00165E31">
        <w:t xml:space="preserve"> netika noteikts.</w:t>
      </w:r>
    </w:p>
    <w:p w14:paraId="2AE89FC5" w14:textId="77777777" w:rsidR="001E6DD1" w:rsidRPr="00165E31" w:rsidRDefault="00430718" w:rsidP="001E6DD1">
      <w:pPr>
        <w:rPr>
          <w:noProof/>
          <w:szCs w:val="22"/>
        </w:rPr>
      </w:pPr>
      <w:r w:rsidRPr="00165E31">
        <w:t>Atkārtotas devas toksicitātes pētījumos suņiem, kas saņēma trientīna devas līdz 300 mg/kg/dienā, tika novēroti neiroloģiski un/vai muskuļu un skeleta sistēmas klīniski simptomi (gaitas traucējumi, ataksija, vājas ekstremitātes, ķermeņa trīce), kas tika sai</w:t>
      </w:r>
      <w:r w:rsidRPr="00165E31">
        <w:t xml:space="preserve">stīti ar trientīna varu noārdošo iedarbību. Par </w:t>
      </w:r>
      <w:r w:rsidRPr="00165E31">
        <w:rPr>
          <w:i/>
        </w:rPr>
        <w:t>NOAEL</w:t>
      </w:r>
      <w:r w:rsidRPr="00165E31">
        <w:t xml:space="preserve"> var uzskatīt 50 mg/kg/dienā, kas rada drošuma robežu aptuveni 4 tēviņiem un 17 mātītēm attiecībā uz terapeitisko iedarbību cilvēkiem.</w:t>
      </w:r>
    </w:p>
    <w:p w14:paraId="394618AA" w14:textId="77777777" w:rsidR="001E6DD1" w:rsidRPr="00165E31" w:rsidRDefault="001E6DD1" w:rsidP="001E6DD1">
      <w:pPr>
        <w:rPr>
          <w:noProof/>
          <w:szCs w:val="22"/>
        </w:rPr>
      </w:pPr>
    </w:p>
    <w:p w14:paraId="512D1244" w14:textId="77777777" w:rsidR="001E6DD1" w:rsidRPr="00165E31" w:rsidRDefault="00430718" w:rsidP="001E6DD1">
      <w:pPr>
        <w:keepNext/>
        <w:rPr>
          <w:noProof/>
          <w:szCs w:val="22"/>
          <w:u w:val="single"/>
        </w:rPr>
      </w:pPr>
      <w:r w:rsidRPr="00165E31">
        <w:rPr>
          <w:noProof/>
          <w:u w:val="single"/>
        </w:rPr>
        <w:lastRenderedPageBreak/>
        <w:t>Genotoksicitāte</w:t>
      </w:r>
    </w:p>
    <w:p w14:paraId="492292BE" w14:textId="77777777" w:rsidR="001E6DD1" w:rsidRPr="00165E31" w:rsidRDefault="00430718" w:rsidP="001E6DD1">
      <w:pPr>
        <w:rPr>
          <w:noProof/>
          <w:szCs w:val="22"/>
        </w:rPr>
      </w:pPr>
      <w:r w:rsidRPr="00165E31">
        <w:t xml:space="preserve">Kopumā trientīns uzrāda pozitīvu ietekmi </w:t>
      </w:r>
      <w:r w:rsidRPr="00165E31">
        <w:rPr>
          <w:i/>
          <w:noProof/>
        </w:rPr>
        <w:t xml:space="preserve">in </w:t>
      </w:r>
      <w:r w:rsidRPr="00165E31">
        <w:rPr>
          <w:i/>
          <w:noProof/>
        </w:rPr>
        <w:t>vitro</w:t>
      </w:r>
      <w:r w:rsidRPr="00165E31">
        <w:t xml:space="preserve"> genotoksicitātes pētījumos, tostarp </w:t>
      </w:r>
      <w:r w:rsidRPr="00165E31">
        <w:rPr>
          <w:i/>
        </w:rPr>
        <w:t>Ames</w:t>
      </w:r>
      <w:r w:rsidRPr="00165E31">
        <w:t xml:space="preserve"> testā un genotoksicitātes testos zīdītāju šūnās. Tomēr </w:t>
      </w:r>
      <w:r w:rsidRPr="00165E31">
        <w:rPr>
          <w:i/>
          <w:noProof/>
        </w:rPr>
        <w:t>in vivo</w:t>
      </w:r>
      <w:r w:rsidRPr="00165E31">
        <w:t xml:space="preserve"> trientīnam tika novērota negatīva ietekme peļu mikrokodolu testā.</w:t>
      </w:r>
    </w:p>
    <w:p w14:paraId="4E646D45" w14:textId="77777777" w:rsidR="001E6DD1" w:rsidRPr="00165E31" w:rsidRDefault="001E6DD1" w:rsidP="001E6DD1">
      <w:pPr>
        <w:rPr>
          <w:noProof/>
          <w:szCs w:val="22"/>
        </w:rPr>
      </w:pPr>
    </w:p>
    <w:p w14:paraId="7DC0DFA2" w14:textId="77777777" w:rsidR="001E6DD1" w:rsidRPr="00165E31" w:rsidRDefault="00430718" w:rsidP="001E6DD1">
      <w:pPr>
        <w:rPr>
          <w:noProof/>
          <w:szCs w:val="22"/>
          <w:u w:val="single"/>
        </w:rPr>
      </w:pPr>
      <w:r w:rsidRPr="00165E31">
        <w:rPr>
          <w:noProof/>
          <w:u w:val="single"/>
        </w:rPr>
        <w:t xml:space="preserve">Reproduktīvā un attīstības toksicitāte </w:t>
      </w:r>
    </w:p>
    <w:p w14:paraId="6B503572" w14:textId="77777777" w:rsidR="001E6DD1" w:rsidRPr="00165E31" w:rsidRDefault="00430718" w:rsidP="001E6DD1">
      <w:pPr>
        <w:rPr>
          <w:noProof/>
          <w:szCs w:val="22"/>
        </w:rPr>
      </w:pPr>
      <w:r w:rsidRPr="00165E31">
        <w:t>Kad grauzēji visu grūtniecības laiku ti</w:t>
      </w:r>
      <w:r w:rsidRPr="00165E31">
        <w:t xml:space="preserve">ka baroti ar trientīnu saturošu uzturu, bojāejas biežums un patoloģisku augļu biežums uzrādīja ar devu saistītu pieaugumu. Šīs sekas, iespējams, izraisīja trientīna inducētais vara un cinka deficīts. </w:t>
      </w:r>
    </w:p>
    <w:p w14:paraId="7F1F5052" w14:textId="77777777" w:rsidR="001E6DD1" w:rsidRPr="00165E31" w:rsidRDefault="001E6DD1" w:rsidP="001E6DD1">
      <w:pPr>
        <w:rPr>
          <w:noProof/>
          <w:szCs w:val="22"/>
        </w:rPr>
      </w:pPr>
    </w:p>
    <w:p w14:paraId="6F594802" w14:textId="77777777" w:rsidR="001E6DD1" w:rsidRPr="00165E31" w:rsidRDefault="00430718" w:rsidP="001E6DD1">
      <w:pPr>
        <w:rPr>
          <w:noProof/>
          <w:szCs w:val="22"/>
          <w:u w:val="single"/>
        </w:rPr>
      </w:pPr>
      <w:r w:rsidRPr="00165E31">
        <w:rPr>
          <w:noProof/>
          <w:u w:val="single"/>
        </w:rPr>
        <w:t>Lokālā tolerance</w:t>
      </w:r>
    </w:p>
    <w:p w14:paraId="4F2C560F" w14:textId="77777777" w:rsidR="001E6DD1" w:rsidRPr="00165E31" w:rsidRDefault="00430718" w:rsidP="001E6DD1">
      <w:pPr>
        <w:rPr>
          <w:noProof/>
          <w:szCs w:val="22"/>
        </w:rPr>
      </w:pPr>
      <w:r w:rsidRPr="00165E31">
        <w:rPr>
          <w:i/>
          <w:noProof/>
        </w:rPr>
        <w:t>In silico</w:t>
      </w:r>
      <w:r w:rsidRPr="00165E31">
        <w:t xml:space="preserve"> dati ļauj prognozēt, ka tri</w:t>
      </w:r>
      <w:r w:rsidRPr="00165E31">
        <w:t>entīnam ir kairinošas un sensibilizējošas īpašības. Tika ziņots par pozitīviem sensibilizācijas potenciāla rezultātiem, veicot jūrascūciņu maksimizācijas testus.</w:t>
      </w:r>
    </w:p>
    <w:p w14:paraId="72EE557D" w14:textId="77777777" w:rsidR="001E6DD1" w:rsidRPr="00165E31" w:rsidRDefault="001E6DD1" w:rsidP="001E6DD1">
      <w:pPr>
        <w:spacing w:line="240" w:lineRule="auto"/>
        <w:rPr>
          <w:noProof/>
          <w:szCs w:val="22"/>
        </w:rPr>
      </w:pPr>
    </w:p>
    <w:p w14:paraId="3C5286A9" w14:textId="77777777" w:rsidR="001E6DD1" w:rsidRPr="00165E31" w:rsidRDefault="001E6DD1" w:rsidP="001E6DD1">
      <w:pPr>
        <w:spacing w:line="240" w:lineRule="auto"/>
        <w:rPr>
          <w:noProof/>
          <w:szCs w:val="22"/>
        </w:rPr>
      </w:pPr>
    </w:p>
    <w:p w14:paraId="4504CAC0" w14:textId="77777777" w:rsidR="001E6DD1" w:rsidRPr="00165E31" w:rsidRDefault="00430718" w:rsidP="001E6DD1">
      <w:pPr>
        <w:pStyle w:val="ListParagraph"/>
        <w:numPr>
          <w:ilvl w:val="0"/>
          <w:numId w:val="28"/>
        </w:numPr>
        <w:spacing w:line="240" w:lineRule="auto"/>
        <w:ind w:hanging="930"/>
        <w:rPr>
          <w:b/>
        </w:rPr>
      </w:pPr>
      <w:r w:rsidRPr="00165E31">
        <w:rPr>
          <w:b/>
        </w:rPr>
        <w:t>FARMACEITISKĀ INFORMĀCIJA</w:t>
      </w:r>
    </w:p>
    <w:p w14:paraId="63E2FAEB" w14:textId="77777777" w:rsidR="001E6DD1" w:rsidRPr="00165E31" w:rsidRDefault="001E6DD1" w:rsidP="001E6DD1">
      <w:pPr>
        <w:spacing w:line="240" w:lineRule="auto"/>
        <w:rPr>
          <w:noProof/>
          <w:szCs w:val="22"/>
        </w:rPr>
      </w:pPr>
    </w:p>
    <w:p w14:paraId="15C0FB0A" w14:textId="77777777" w:rsidR="001E6DD1" w:rsidRPr="00165E31" w:rsidRDefault="00430718" w:rsidP="001E6DD1">
      <w:pPr>
        <w:spacing w:line="240" w:lineRule="auto"/>
        <w:outlineLvl w:val="0"/>
        <w:rPr>
          <w:b/>
          <w:szCs w:val="22"/>
        </w:rPr>
      </w:pPr>
      <w:r w:rsidRPr="00165E31">
        <w:rPr>
          <w:b/>
        </w:rPr>
        <w:t>6.1.</w:t>
      </w:r>
      <w:r w:rsidRPr="00165E31">
        <w:rPr>
          <w:b/>
        </w:rPr>
        <w:tab/>
        <w:t>Palīgvielu saraksts</w:t>
      </w:r>
    </w:p>
    <w:p w14:paraId="276B772A" w14:textId="77777777" w:rsidR="001E6DD1" w:rsidRPr="00165E31" w:rsidRDefault="001E6DD1" w:rsidP="001E6DD1">
      <w:pPr>
        <w:spacing w:line="240" w:lineRule="auto"/>
        <w:rPr>
          <w:i/>
          <w:noProof/>
          <w:szCs w:val="22"/>
        </w:rPr>
      </w:pPr>
    </w:p>
    <w:p w14:paraId="60C75980" w14:textId="0A686AE2" w:rsidR="00EC4526" w:rsidRPr="00165E31" w:rsidRDefault="00430718" w:rsidP="001E6DD1">
      <w:pPr>
        <w:spacing w:line="240" w:lineRule="auto"/>
        <w:rPr>
          <w:noProof/>
          <w:szCs w:val="22"/>
          <w:u w:val="single"/>
        </w:rPr>
      </w:pPr>
      <w:r w:rsidRPr="00165E31">
        <w:rPr>
          <w:noProof/>
          <w:szCs w:val="22"/>
          <w:u w:val="single"/>
        </w:rPr>
        <w:t>Tabletes kodols</w:t>
      </w:r>
      <w:r w:rsidR="00CB58FB" w:rsidRPr="00165E31">
        <w:rPr>
          <w:noProof/>
          <w:szCs w:val="22"/>
          <w:u w:val="single"/>
        </w:rPr>
        <w:t>:</w:t>
      </w:r>
    </w:p>
    <w:p w14:paraId="4BC40F20" w14:textId="77777777" w:rsidR="001E6DD1" w:rsidRPr="00165E31" w:rsidRDefault="00430718" w:rsidP="001E6DD1">
      <w:pPr>
        <w:rPr>
          <w:noProof/>
          <w:szCs w:val="22"/>
        </w:rPr>
      </w:pPr>
      <w:r w:rsidRPr="00165E31">
        <w:t xml:space="preserve">Mannīts </w:t>
      </w:r>
    </w:p>
    <w:p w14:paraId="3B85123F" w14:textId="77777777" w:rsidR="001E6DD1" w:rsidRPr="00165E31" w:rsidRDefault="00430718" w:rsidP="001E6DD1">
      <w:pPr>
        <w:rPr>
          <w:noProof/>
          <w:szCs w:val="22"/>
        </w:rPr>
      </w:pPr>
      <w:r w:rsidRPr="00165E31">
        <w:t>Bezūdens kolo</w:t>
      </w:r>
      <w:r w:rsidRPr="00165E31">
        <w:t>idālais silīcija dioksīds</w:t>
      </w:r>
    </w:p>
    <w:p w14:paraId="7B19C9A2" w14:textId="77777777" w:rsidR="001E6DD1" w:rsidRPr="00165E31" w:rsidRDefault="00430718" w:rsidP="001E6DD1">
      <w:pPr>
        <w:rPr>
          <w:noProof/>
          <w:szCs w:val="22"/>
        </w:rPr>
      </w:pPr>
      <w:r w:rsidRPr="00165E31">
        <w:t>Glicerīna dibehenāts</w:t>
      </w:r>
    </w:p>
    <w:p w14:paraId="27594862" w14:textId="77777777" w:rsidR="001E6DD1" w:rsidRPr="00165E31" w:rsidRDefault="001E6DD1" w:rsidP="001E6DD1">
      <w:pPr>
        <w:spacing w:line="240" w:lineRule="auto"/>
        <w:rPr>
          <w:noProof/>
          <w:szCs w:val="22"/>
        </w:rPr>
      </w:pPr>
    </w:p>
    <w:p w14:paraId="273AAD3F" w14:textId="55247423" w:rsidR="00EC4526" w:rsidRPr="00165E31" w:rsidRDefault="00430718" w:rsidP="001E6DD1">
      <w:pPr>
        <w:spacing w:line="240" w:lineRule="auto"/>
        <w:rPr>
          <w:noProof/>
          <w:szCs w:val="22"/>
          <w:u w:val="single"/>
        </w:rPr>
      </w:pPr>
      <w:r w:rsidRPr="00165E31">
        <w:rPr>
          <w:noProof/>
          <w:szCs w:val="22"/>
          <w:u w:val="single"/>
        </w:rPr>
        <w:t>Tabletes apvalks</w:t>
      </w:r>
      <w:r w:rsidR="00CB58FB" w:rsidRPr="00165E31">
        <w:rPr>
          <w:noProof/>
          <w:szCs w:val="22"/>
          <w:u w:val="single"/>
        </w:rPr>
        <w:t>:</w:t>
      </w:r>
    </w:p>
    <w:p w14:paraId="111514F8" w14:textId="4C349BE6" w:rsidR="00EC4526" w:rsidRPr="00165E31" w:rsidRDefault="00430718" w:rsidP="001E6DD1">
      <w:pPr>
        <w:spacing w:line="240" w:lineRule="auto"/>
        <w:rPr>
          <w:noProof/>
          <w:szCs w:val="22"/>
        </w:rPr>
      </w:pPr>
      <w:r w:rsidRPr="00165E31">
        <w:rPr>
          <w:noProof/>
          <w:szCs w:val="22"/>
        </w:rPr>
        <w:t>Polivinilspirts</w:t>
      </w:r>
    </w:p>
    <w:p w14:paraId="70D221B7" w14:textId="77777777" w:rsidR="00EC4526" w:rsidRPr="00165E31" w:rsidRDefault="00430718" w:rsidP="001E6DD1">
      <w:pPr>
        <w:spacing w:line="240" w:lineRule="auto"/>
        <w:rPr>
          <w:noProof/>
          <w:szCs w:val="22"/>
        </w:rPr>
      </w:pPr>
      <w:r w:rsidRPr="00165E31">
        <w:rPr>
          <w:noProof/>
          <w:szCs w:val="22"/>
        </w:rPr>
        <w:t>Talks</w:t>
      </w:r>
    </w:p>
    <w:p w14:paraId="48646F74" w14:textId="77777777" w:rsidR="00EC4526" w:rsidRPr="00165E31" w:rsidRDefault="00430718" w:rsidP="001E6DD1">
      <w:pPr>
        <w:spacing w:line="240" w:lineRule="auto"/>
        <w:rPr>
          <w:noProof/>
          <w:szCs w:val="22"/>
        </w:rPr>
      </w:pPr>
      <w:r w:rsidRPr="00165E31">
        <w:rPr>
          <w:noProof/>
          <w:szCs w:val="22"/>
        </w:rPr>
        <w:t>Titāna dioksīds (E171)</w:t>
      </w:r>
    </w:p>
    <w:p w14:paraId="5014864A" w14:textId="77777777" w:rsidR="00EC4526" w:rsidRPr="00165E31" w:rsidRDefault="00430718" w:rsidP="001E6DD1">
      <w:pPr>
        <w:spacing w:line="240" w:lineRule="auto"/>
        <w:rPr>
          <w:noProof/>
          <w:szCs w:val="22"/>
        </w:rPr>
      </w:pPr>
      <w:r w:rsidRPr="00165E31">
        <w:rPr>
          <w:noProof/>
          <w:szCs w:val="22"/>
        </w:rPr>
        <w:t>Glicerīna monokaprilkaprāts (I tips)</w:t>
      </w:r>
    </w:p>
    <w:p w14:paraId="3E7093DC" w14:textId="77777777" w:rsidR="00EC4526" w:rsidRPr="00165E31" w:rsidRDefault="00430718" w:rsidP="001E6DD1">
      <w:pPr>
        <w:spacing w:line="240" w:lineRule="auto"/>
        <w:rPr>
          <w:noProof/>
          <w:szCs w:val="22"/>
        </w:rPr>
      </w:pPr>
      <w:r w:rsidRPr="00165E31">
        <w:rPr>
          <w:noProof/>
          <w:szCs w:val="22"/>
        </w:rPr>
        <w:t>Dzeltenais dzelzs oksīds (E172)</w:t>
      </w:r>
    </w:p>
    <w:p w14:paraId="7FE523A1" w14:textId="4415896D" w:rsidR="00EC4526" w:rsidRPr="00165E31" w:rsidRDefault="00430718" w:rsidP="001E6DD1">
      <w:pPr>
        <w:spacing w:line="240" w:lineRule="auto"/>
        <w:rPr>
          <w:noProof/>
          <w:szCs w:val="22"/>
        </w:rPr>
      </w:pPr>
      <w:r w:rsidRPr="00165E31">
        <w:rPr>
          <w:noProof/>
          <w:szCs w:val="22"/>
        </w:rPr>
        <w:t>Nātrija lauri</w:t>
      </w:r>
      <w:r w:rsidR="009E7287" w:rsidRPr="00165E31">
        <w:rPr>
          <w:noProof/>
          <w:szCs w:val="22"/>
        </w:rPr>
        <w:t>l</w:t>
      </w:r>
      <w:r w:rsidRPr="00165E31">
        <w:rPr>
          <w:noProof/>
          <w:szCs w:val="22"/>
        </w:rPr>
        <w:t>sulfāts</w:t>
      </w:r>
    </w:p>
    <w:p w14:paraId="1494C6FC" w14:textId="77777777" w:rsidR="00EC4526" w:rsidRPr="00165E31" w:rsidRDefault="00EC4526" w:rsidP="001E6DD1">
      <w:pPr>
        <w:spacing w:line="240" w:lineRule="auto"/>
        <w:rPr>
          <w:noProof/>
          <w:szCs w:val="22"/>
        </w:rPr>
      </w:pPr>
    </w:p>
    <w:p w14:paraId="2AA26FD0" w14:textId="77777777" w:rsidR="001E6DD1" w:rsidRPr="00165E31" w:rsidRDefault="00430718" w:rsidP="001E6DD1">
      <w:pPr>
        <w:spacing w:line="240" w:lineRule="auto"/>
        <w:outlineLvl w:val="0"/>
        <w:rPr>
          <w:b/>
          <w:szCs w:val="22"/>
        </w:rPr>
      </w:pPr>
      <w:r w:rsidRPr="00165E31">
        <w:rPr>
          <w:b/>
        </w:rPr>
        <w:t>6.2.</w:t>
      </w:r>
      <w:r w:rsidRPr="00165E31">
        <w:rPr>
          <w:b/>
        </w:rPr>
        <w:tab/>
        <w:t>Nesaderība</w:t>
      </w:r>
    </w:p>
    <w:p w14:paraId="34A8563B" w14:textId="77777777" w:rsidR="001E6DD1" w:rsidRPr="00165E31" w:rsidRDefault="001E6DD1" w:rsidP="001E6DD1">
      <w:pPr>
        <w:spacing w:line="240" w:lineRule="auto"/>
        <w:rPr>
          <w:noProof/>
          <w:szCs w:val="22"/>
        </w:rPr>
      </w:pPr>
    </w:p>
    <w:p w14:paraId="3900DCD7" w14:textId="77777777" w:rsidR="001E6DD1" w:rsidRPr="00165E31" w:rsidRDefault="00430718" w:rsidP="001E6DD1">
      <w:pPr>
        <w:rPr>
          <w:noProof/>
          <w:szCs w:val="22"/>
        </w:rPr>
      </w:pPr>
      <w:r w:rsidRPr="00165E31">
        <w:t>Nav piemērojama.</w:t>
      </w:r>
    </w:p>
    <w:p w14:paraId="712501EA" w14:textId="77777777" w:rsidR="001E6DD1" w:rsidRPr="00165E31" w:rsidRDefault="001E6DD1" w:rsidP="001E6DD1">
      <w:pPr>
        <w:spacing w:line="240" w:lineRule="auto"/>
        <w:rPr>
          <w:noProof/>
          <w:szCs w:val="22"/>
        </w:rPr>
      </w:pPr>
    </w:p>
    <w:p w14:paraId="33C757BC" w14:textId="77777777" w:rsidR="001E6DD1" w:rsidRPr="00165E31" w:rsidRDefault="00430718" w:rsidP="001E6DD1">
      <w:pPr>
        <w:spacing w:line="240" w:lineRule="auto"/>
        <w:outlineLvl w:val="0"/>
        <w:rPr>
          <w:b/>
          <w:szCs w:val="22"/>
        </w:rPr>
      </w:pPr>
      <w:r w:rsidRPr="00165E31">
        <w:rPr>
          <w:b/>
        </w:rPr>
        <w:t>6.3.</w:t>
      </w:r>
      <w:r w:rsidRPr="00165E31">
        <w:rPr>
          <w:b/>
        </w:rPr>
        <w:tab/>
      </w:r>
      <w:r w:rsidRPr="00165E31">
        <w:rPr>
          <w:b/>
        </w:rPr>
        <w:t>Uzglabāšanas laiks</w:t>
      </w:r>
    </w:p>
    <w:p w14:paraId="017D862A" w14:textId="77777777" w:rsidR="001E6DD1" w:rsidRPr="00165E31" w:rsidRDefault="001E6DD1" w:rsidP="001E6DD1">
      <w:pPr>
        <w:spacing w:line="240" w:lineRule="auto"/>
        <w:rPr>
          <w:noProof/>
          <w:szCs w:val="22"/>
        </w:rPr>
      </w:pPr>
    </w:p>
    <w:p w14:paraId="4790BBF2" w14:textId="60E51ADB" w:rsidR="001E6DD1" w:rsidRPr="00165E31" w:rsidRDefault="00430718" w:rsidP="005C01AD">
      <w:pPr>
        <w:rPr>
          <w:noProof/>
          <w:szCs w:val="22"/>
        </w:rPr>
      </w:pPr>
      <w:r>
        <w:t>30</w:t>
      </w:r>
      <w:r w:rsidRPr="00165E31">
        <w:t xml:space="preserve"> </w:t>
      </w:r>
      <w:r w:rsidR="00975D83" w:rsidRPr="00165E31">
        <w:t>mēneši</w:t>
      </w:r>
    </w:p>
    <w:p w14:paraId="1686FFB8" w14:textId="77777777" w:rsidR="001E6DD1" w:rsidRPr="00165E31" w:rsidRDefault="001E6DD1" w:rsidP="001E6DD1">
      <w:pPr>
        <w:spacing w:line="240" w:lineRule="auto"/>
        <w:rPr>
          <w:noProof/>
          <w:szCs w:val="22"/>
        </w:rPr>
      </w:pPr>
    </w:p>
    <w:p w14:paraId="540CFBC0" w14:textId="77777777" w:rsidR="001E6DD1" w:rsidRPr="00165E31" w:rsidRDefault="00430718" w:rsidP="001E6DD1">
      <w:pPr>
        <w:spacing w:line="240" w:lineRule="auto"/>
        <w:outlineLvl w:val="0"/>
        <w:rPr>
          <w:b/>
          <w:szCs w:val="22"/>
        </w:rPr>
      </w:pPr>
      <w:r w:rsidRPr="00165E31">
        <w:rPr>
          <w:b/>
        </w:rPr>
        <w:t>6.4.</w:t>
      </w:r>
      <w:r w:rsidRPr="00165E31">
        <w:rPr>
          <w:b/>
        </w:rPr>
        <w:tab/>
        <w:t>Īpaši uzglabāšanas nosacījumi</w:t>
      </w:r>
    </w:p>
    <w:p w14:paraId="1122E0A6" w14:textId="77777777" w:rsidR="001E6DD1" w:rsidRPr="00165E31" w:rsidRDefault="001E6DD1" w:rsidP="001E6DD1">
      <w:pPr>
        <w:rPr>
          <w:noProof/>
        </w:rPr>
      </w:pPr>
    </w:p>
    <w:p w14:paraId="0211095D" w14:textId="77777777" w:rsidR="001E6DD1" w:rsidRPr="00165E31" w:rsidRDefault="00430718" w:rsidP="001E6DD1">
      <w:pPr>
        <w:rPr>
          <w:szCs w:val="22"/>
        </w:rPr>
      </w:pPr>
      <w:r w:rsidRPr="00165E31">
        <w:t>Zālēm nav nepieciešami īpaši uzglabāšanas apstākļi.</w:t>
      </w:r>
    </w:p>
    <w:p w14:paraId="62A0EC15" w14:textId="77777777" w:rsidR="001E6DD1" w:rsidRPr="00165E31" w:rsidRDefault="001E6DD1" w:rsidP="001E6DD1">
      <w:pPr>
        <w:spacing w:line="240" w:lineRule="auto"/>
        <w:rPr>
          <w:noProof/>
          <w:szCs w:val="22"/>
        </w:rPr>
      </w:pPr>
    </w:p>
    <w:p w14:paraId="528DBD6B" w14:textId="77777777" w:rsidR="001E6DD1" w:rsidRPr="00165E31" w:rsidRDefault="00430718" w:rsidP="001E6DD1">
      <w:pPr>
        <w:spacing w:line="240" w:lineRule="auto"/>
        <w:outlineLvl w:val="0"/>
        <w:rPr>
          <w:b/>
          <w:szCs w:val="22"/>
        </w:rPr>
      </w:pPr>
      <w:r w:rsidRPr="00165E31">
        <w:rPr>
          <w:b/>
        </w:rPr>
        <w:t>6.5.</w:t>
      </w:r>
      <w:r w:rsidRPr="00165E31">
        <w:rPr>
          <w:b/>
        </w:rPr>
        <w:tab/>
        <w:t xml:space="preserve">Iepakojuma veids un saturs </w:t>
      </w:r>
    </w:p>
    <w:p w14:paraId="22A88FE9" w14:textId="77777777" w:rsidR="001E6DD1" w:rsidRPr="00165E31" w:rsidRDefault="001E6DD1" w:rsidP="001E6DD1">
      <w:pPr>
        <w:rPr>
          <w:noProof/>
        </w:rPr>
      </w:pPr>
    </w:p>
    <w:p w14:paraId="37A58F8C" w14:textId="194D9DEC" w:rsidR="001E6DD1" w:rsidRPr="00165E31" w:rsidRDefault="00430718" w:rsidP="001E6DD1">
      <w:pPr>
        <w:pStyle w:val="Default"/>
        <w:rPr>
          <w:sz w:val="22"/>
          <w:szCs w:val="22"/>
        </w:rPr>
      </w:pPr>
      <w:r w:rsidRPr="00165E31">
        <w:rPr>
          <w:sz w:val="22"/>
        </w:rPr>
        <w:t>OPA/Al/PVH-Al blisteri, katrs blisteris satur 8 </w:t>
      </w:r>
      <w:r w:rsidR="00141664" w:rsidRPr="00165E31">
        <w:rPr>
          <w:sz w:val="22"/>
        </w:rPr>
        <w:t>apvalkot</w:t>
      </w:r>
      <w:r w:rsidR="00CC2456" w:rsidRPr="00165E31">
        <w:rPr>
          <w:sz w:val="22"/>
        </w:rPr>
        <w:t>ā</w:t>
      </w:r>
      <w:r w:rsidR="00141664" w:rsidRPr="00165E31">
        <w:rPr>
          <w:sz w:val="22"/>
        </w:rPr>
        <w:t xml:space="preserve">s </w:t>
      </w:r>
      <w:r w:rsidRPr="00165E31">
        <w:rPr>
          <w:sz w:val="22"/>
        </w:rPr>
        <w:t>tabletes.</w:t>
      </w:r>
    </w:p>
    <w:p w14:paraId="6580C6A6" w14:textId="30E90F14" w:rsidR="001E6DD1" w:rsidRPr="00165E31" w:rsidRDefault="00430718" w:rsidP="001E6DD1">
      <w:r w:rsidRPr="00165E31">
        <w:t>Iepakojumā: 72</w:t>
      </w:r>
      <w:r w:rsidR="00A8404A" w:rsidRPr="00165E31">
        <w:rPr>
          <w:color w:val="000000"/>
        </w:rPr>
        <w:t xml:space="preserve"> vai 96 apvalkotās</w:t>
      </w:r>
      <w:r w:rsidR="00A8404A" w:rsidRPr="00165E31">
        <w:t xml:space="preserve"> </w:t>
      </w:r>
      <w:r w:rsidRPr="00165E31">
        <w:t>tabletes.</w:t>
      </w:r>
    </w:p>
    <w:p w14:paraId="7CFF9926" w14:textId="77777777" w:rsidR="00A8404A" w:rsidRPr="00165E31" w:rsidRDefault="00430718" w:rsidP="00A8404A">
      <w:pPr>
        <w:rPr>
          <w:noProof/>
          <w:szCs w:val="22"/>
        </w:rPr>
      </w:pPr>
      <w:r w:rsidRPr="00165E31">
        <w:rPr>
          <w:noProof/>
          <w:szCs w:val="22"/>
        </w:rPr>
        <w:t>Visi iepakojuma lielumi tirgū var nebūt pieejami.</w:t>
      </w:r>
    </w:p>
    <w:p w14:paraId="3B1A047A" w14:textId="77777777" w:rsidR="00A8404A" w:rsidRPr="00165E31" w:rsidRDefault="00A8404A" w:rsidP="001E6DD1">
      <w:pPr>
        <w:rPr>
          <w:noProof/>
          <w:szCs w:val="22"/>
        </w:rPr>
      </w:pPr>
    </w:p>
    <w:p w14:paraId="1851B183" w14:textId="77777777" w:rsidR="001E6DD1" w:rsidRPr="00165E31" w:rsidRDefault="001E6DD1" w:rsidP="001E6DD1">
      <w:pPr>
        <w:spacing w:line="240" w:lineRule="auto"/>
        <w:rPr>
          <w:noProof/>
          <w:szCs w:val="22"/>
        </w:rPr>
      </w:pPr>
    </w:p>
    <w:p w14:paraId="1113B4F3" w14:textId="77777777" w:rsidR="001E6DD1" w:rsidRPr="00165E31" w:rsidRDefault="00430718" w:rsidP="001E6DD1">
      <w:pPr>
        <w:spacing w:line="240" w:lineRule="auto"/>
        <w:outlineLvl w:val="0"/>
        <w:rPr>
          <w:b/>
          <w:szCs w:val="22"/>
        </w:rPr>
      </w:pPr>
      <w:bookmarkStart w:id="1" w:name="OLE_LINK1"/>
      <w:r w:rsidRPr="00165E31">
        <w:rPr>
          <w:b/>
        </w:rPr>
        <w:t>6.6.</w:t>
      </w:r>
      <w:r w:rsidRPr="00165E31">
        <w:rPr>
          <w:b/>
        </w:rPr>
        <w:tab/>
        <w:t xml:space="preserve">Īpaši norādījumi atkritumu likvidēšanai </w:t>
      </w:r>
    </w:p>
    <w:p w14:paraId="3C119742" w14:textId="77777777" w:rsidR="001E6DD1" w:rsidRPr="00165E31" w:rsidRDefault="001E6DD1" w:rsidP="001E6DD1">
      <w:pPr>
        <w:spacing w:line="240" w:lineRule="auto"/>
        <w:rPr>
          <w:noProof/>
          <w:szCs w:val="22"/>
        </w:rPr>
      </w:pPr>
    </w:p>
    <w:p w14:paraId="09E495AC" w14:textId="77777777" w:rsidR="001E6DD1" w:rsidRPr="00165E31" w:rsidRDefault="00430718" w:rsidP="001E6DD1">
      <w:pPr>
        <w:rPr>
          <w:szCs w:val="22"/>
        </w:rPr>
      </w:pPr>
      <w:r w:rsidRPr="00165E31">
        <w:t>Nav īpašu prasību.</w:t>
      </w:r>
    </w:p>
    <w:p w14:paraId="214EA108" w14:textId="77777777" w:rsidR="001E6DD1" w:rsidRPr="00165E31" w:rsidRDefault="001E6DD1" w:rsidP="001E6DD1">
      <w:pPr>
        <w:spacing w:line="240" w:lineRule="auto"/>
        <w:rPr>
          <w:szCs w:val="22"/>
        </w:rPr>
      </w:pPr>
    </w:p>
    <w:bookmarkEnd w:id="1"/>
    <w:p w14:paraId="60847690" w14:textId="77777777" w:rsidR="001E6DD1" w:rsidRPr="00165E31" w:rsidRDefault="001E6DD1" w:rsidP="001E6DD1">
      <w:pPr>
        <w:spacing w:line="240" w:lineRule="auto"/>
        <w:rPr>
          <w:noProof/>
          <w:szCs w:val="22"/>
        </w:rPr>
      </w:pPr>
    </w:p>
    <w:p w14:paraId="54C5572A" w14:textId="77777777" w:rsidR="001E6DD1" w:rsidRPr="00165E31" w:rsidRDefault="00430718" w:rsidP="001E6DD1">
      <w:pPr>
        <w:pStyle w:val="ListParagraph"/>
        <w:numPr>
          <w:ilvl w:val="0"/>
          <w:numId w:val="28"/>
        </w:numPr>
        <w:spacing w:line="240" w:lineRule="auto"/>
        <w:ind w:hanging="930"/>
        <w:rPr>
          <w:b/>
        </w:rPr>
      </w:pPr>
      <w:r w:rsidRPr="00165E31">
        <w:rPr>
          <w:b/>
        </w:rPr>
        <w:lastRenderedPageBreak/>
        <w:t>REĢISTRĀCIJAS APLIECĪBAS ĪPAŠNIEKS</w:t>
      </w:r>
    </w:p>
    <w:p w14:paraId="31ADD2D5" w14:textId="77777777" w:rsidR="001E6DD1" w:rsidRPr="00165E31" w:rsidRDefault="001E6DD1" w:rsidP="001E6DD1">
      <w:pPr>
        <w:spacing w:line="240" w:lineRule="auto"/>
        <w:rPr>
          <w:noProof/>
          <w:szCs w:val="22"/>
        </w:rPr>
      </w:pPr>
    </w:p>
    <w:p w14:paraId="747DF06B" w14:textId="6A75289C" w:rsidR="001E6DD1" w:rsidRPr="00165E31" w:rsidRDefault="006D02C4" w:rsidP="001E6DD1">
      <w:pPr>
        <w:rPr>
          <w:szCs w:val="22"/>
        </w:rPr>
      </w:pPr>
      <w:proofErr w:type="spellStart"/>
      <w:r>
        <w:t>Orphalan</w:t>
      </w:r>
      <w:proofErr w:type="spellEnd"/>
    </w:p>
    <w:p w14:paraId="025CEAC8" w14:textId="77777777" w:rsidR="00FB5C80" w:rsidRPr="002503BA" w:rsidRDefault="00430718" w:rsidP="00FB5C80">
      <w:pPr>
        <w:rPr>
          <w:szCs w:val="22"/>
          <w:lang w:val="fr-FR"/>
        </w:rPr>
      </w:pPr>
      <w:r w:rsidRPr="002503BA">
        <w:rPr>
          <w:szCs w:val="22"/>
          <w:lang w:val="fr-FR"/>
        </w:rPr>
        <w:t>226 Boulevard Voltaire</w:t>
      </w:r>
    </w:p>
    <w:p w14:paraId="41A79F5F" w14:textId="77777777" w:rsidR="00FB5C80" w:rsidRPr="0036776A" w:rsidRDefault="00430718" w:rsidP="00FB5C80">
      <w:pPr>
        <w:rPr>
          <w:szCs w:val="22"/>
          <w:lang w:val="fr-FR"/>
        </w:rPr>
      </w:pPr>
      <w:r w:rsidRPr="002503BA">
        <w:rPr>
          <w:szCs w:val="22"/>
          <w:lang w:val="fr-FR"/>
        </w:rPr>
        <w:t>75011 Paris</w:t>
      </w:r>
    </w:p>
    <w:p w14:paraId="006AE8A7" w14:textId="77777777" w:rsidR="001E6DD1" w:rsidRPr="00165E31" w:rsidRDefault="00430718" w:rsidP="001E6DD1">
      <w:pPr>
        <w:rPr>
          <w:szCs w:val="22"/>
        </w:rPr>
      </w:pPr>
      <w:r w:rsidRPr="00165E31">
        <w:t>Francija</w:t>
      </w:r>
    </w:p>
    <w:p w14:paraId="206C1195" w14:textId="77777777" w:rsidR="001E6DD1" w:rsidRPr="00165E31" w:rsidRDefault="001E6DD1" w:rsidP="001E6DD1">
      <w:pPr>
        <w:spacing w:line="240" w:lineRule="auto"/>
        <w:rPr>
          <w:noProof/>
          <w:szCs w:val="22"/>
        </w:rPr>
      </w:pPr>
    </w:p>
    <w:p w14:paraId="6CEB3C79" w14:textId="77777777" w:rsidR="001E6DD1" w:rsidRPr="00165E31" w:rsidRDefault="001E6DD1" w:rsidP="001E6DD1">
      <w:pPr>
        <w:spacing w:line="240" w:lineRule="auto"/>
        <w:rPr>
          <w:noProof/>
          <w:szCs w:val="22"/>
        </w:rPr>
      </w:pPr>
    </w:p>
    <w:p w14:paraId="177BCDE8" w14:textId="77777777" w:rsidR="001E6DD1" w:rsidRPr="00165E31" w:rsidRDefault="00430718" w:rsidP="001E6DD1">
      <w:pPr>
        <w:pStyle w:val="ListParagraph"/>
        <w:numPr>
          <w:ilvl w:val="0"/>
          <w:numId w:val="28"/>
        </w:numPr>
        <w:spacing w:line="240" w:lineRule="auto"/>
        <w:ind w:hanging="930"/>
        <w:rPr>
          <w:b/>
        </w:rPr>
      </w:pPr>
      <w:r w:rsidRPr="00165E31">
        <w:rPr>
          <w:b/>
        </w:rPr>
        <w:t xml:space="preserve">REĢISTRĀCIJAS APLIECĪBAS NUMURS(-I) </w:t>
      </w:r>
    </w:p>
    <w:p w14:paraId="0396F45C" w14:textId="77777777" w:rsidR="00975D83" w:rsidRPr="00165E31" w:rsidRDefault="00975D83" w:rsidP="00975D83">
      <w:pPr>
        <w:spacing w:line="240" w:lineRule="auto"/>
        <w:rPr>
          <w:color w:val="000000"/>
        </w:rPr>
      </w:pPr>
    </w:p>
    <w:p w14:paraId="6E86DD82" w14:textId="77777777" w:rsidR="00314FE4" w:rsidRPr="00165E31" w:rsidRDefault="00430718" w:rsidP="00314FE4">
      <w:pPr>
        <w:spacing w:line="240" w:lineRule="auto"/>
        <w:rPr>
          <w:color w:val="000000"/>
        </w:rPr>
      </w:pPr>
      <w:r w:rsidRPr="00165E31">
        <w:rPr>
          <w:color w:val="000000"/>
        </w:rPr>
        <w:t>EU/1/17/1199/001 72 apvalkotās tabletes</w:t>
      </w:r>
    </w:p>
    <w:p w14:paraId="51290DF1" w14:textId="69D10BB9" w:rsidR="00975D83" w:rsidRPr="00165E31" w:rsidRDefault="00430718" w:rsidP="00975D83">
      <w:pPr>
        <w:spacing w:line="240" w:lineRule="auto"/>
        <w:rPr>
          <w:color w:val="000000"/>
        </w:rPr>
      </w:pPr>
      <w:r w:rsidRPr="00165E31">
        <w:rPr>
          <w:color w:val="000000"/>
        </w:rPr>
        <w:t>EU/1/17/1199/002 96 apvalkotās tabletes</w:t>
      </w:r>
    </w:p>
    <w:p w14:paraId="2F08A9F3" w14:textId="77777777" w:rsidR="001E6DD1" w:rsidRPr="00165E31" w:rsidRDefault="001E6DD1" w:rsidP="001E6DD1">
      <w:pPr>
        <w:spacing w:line="240" w:lineRule="auto"/>
        <w:rPr>
          <w:noProof/>
          <w:szCs w:val="22"/>
        </w:rPr>
      </w:pPr>
    </w:p>
    <w:p w14:paraId="7A6C891E" w14:textId="77777777" w:rsidR="001E6DD1" w:rsidRPr="00165E31" w:rsidRDefault="00430718" w:rsidP="001E6DD1">
      <w:pPr>
        <w:pStyle w:val="ListParagraph"/>
        <w:numPr>
          <w:ilvl w:val="0"/>
          <w:numId w:val="28"/>
        </w:numPr>
        <w:spacing w:line="240" w:lineRule="auto"/>
        <w:ind w:hanging="930"/>
        <w:rPr>
          <w:b/>
        </w:rPr>
      </w:pPr>
      <w:r w:rsidRPr="00165E31">
        <w:rPr>
          <w:b/>
        </w:rPr>
        <w:t>PIRMĀS REĢISTRĀCIJAS/PĀRREĢISTRĀCIJAS DATUMS</w:t>
      </w:r>
    </w:p>
    <w:p w14:paraId="30D54CCB" w14:textId="77777777" w:rsidR="001E6DD1" w:rsidRPr="00165E31" w:rsidRDefault="001E6DD1" w:rsidP="001E6DD1">
      <w:pPr>
        <w:spacing w:line="240" w:lineRule="auto"/>
        <w:rPr>
          <w:i/>
          <w:noProof/>
          <w:szCs w:val="22"/>
        </w:rPr>
      </w:pPr>
    </w:p>
    <w:p w14:paraId="01EFDC32" w14:textId="77777777" w:rsidR="001E6DD1" w:rsidRPr="00165E31" w:rsidRDefault="00430718" w:rsidP="001E6DD1">
      <w:pPr>
        <w:spacing w:line="240" w:lineRule="auto"/>
        <w:rPr>
          <w:i/>
          <w:noProof/>
          <w:szCs w:val="22"/>
        </w:rPr>
      </w:pPr>
      <w:r w:rsidRPr="00165E31">
        <w:t xml:space="preserve">Reģistrācijas datums: </w:t>
      </w:r>
      <w:r w:rsidR="00F75641" w:rsidRPr="00165E31">
        <w:t>2017. gada 5. septembris</w:t>
      </w:r>
    </w:p>
    <w:p w14:paraId="69DF1279" w14:textId="77777777" w:rsidR="001E6DD1" w:rsidRPr="00165E31" w:rsidRDefault="001E6DD1" w:rsidP="001E6DD1">
      <w:pPr>
        <w:spacing w:line="240" w:lineRule="auto"/>
        <w:rPr>
          <w:noProof/>
          <w:szCs w:val="22"/>
        </w:rPr>
      </w:pPr>
    </w:p>
    <w:p w14:paraId="2DD4A186" w14:textId="77777777" w:rsidR="001E6DD1" w:rsidRPr="00165E31" w:rsidRDefault="00430718" w:rsidP="001E6DD1">
      <w:pPr>
        <w:pStyle w:val="ListParagraph"/>
        <w:numPr>
          <w:ilvl w:val="0"/>
          <w:numId w:val="28"/>
        </w:numPr>
        <w:spacing w:line="240" w:lineRule="auto"/>
        <w:ind w:hanging="930"/>
        <w:rPr>
          <w:b/>
        </w:rPr>
      </w:pPr>
      <w:r w:rsidRPr="00165E31">
        <w:rPr>
          <w:b/>
        </w:rPr>
        <w:t>TEKSTA PĀRSKATĪŠANAS DATUMS</w:t>
      </w:r>
    </w:p>
    <w:p w14:paraId="51455BEF" w14:textId="77777777" w:rsidR="001E6DD1" w:rsidRPr="00165E31" w:rsidRDefault="001E6DD1" w:rsidP="001E6DD1">
      <w:pPr>
        <w:spacing w:line="240" w:lineRule="auto"/>
        <w:rPr>
          <w:noProof/>
          <w:szCs w:val="22"/>
        </w:rPr>
      </w:pPr>
    </w:p>
    <w:p w14:paraId="6CE4B9E3" w14:textId="77777777" w:rsidR="001E6DD1" w:rsidRPr="00165E31" w:rsidRDefault="001E6DD1" w:rsidP="001E6DD1">
      <w:pPr>
        <w:spacing w:line="240" w:lineRule="auto"/>
        <w:rPr>
          <w:noProof/>
          <w:szCs w:val="22"/>
        </w:rPr>
      </w:pPr>
    </w:p>
    <w:p w14:paraId="1DBC200B" w14:textId="77777777" w:rsidR="001E6DD1" w:rsidRPr="00165E31" w:rsidRDefault="001E6DD1" w:rsidP="001E6DD1">
      <w:pPr>
        <w:numPr>
          <w:ilvl w:val="12"/>
          <w:numId w:val="0"/>
        </w:numPr>
        <w:tabs>
          <w:tab w:val="clear" w:pos="567"/>
          <w:tab w:val="left" w:pos="1004"/>
        </w:tabs>
        <w:spacing w:line="240" w:lineRule="auto"/>
        <w:ind w:right="-2"/>
        <w:rPr>
          <w:szCs w:val="22"/>
        </w:rPr>
      </w:pPr>
    </w:p>
    <w:p w14:paraId="55261319" w14:textId="77777777" w:rsidR="001E6DD1" w:rsidRPr="00165E31" w:rsidRDefault="00430718" w:rsidP="001E6DD1">
      <w:pPr>
        <w:numPr>
          <w:ilvl w:val="12"/>
          <w:numId w:val="0"/>
        </w:numPr>
        <w:spacing w:line="240" w:lineRule="auto"/>
        <w:ind w:right="-2"/>
        <w:rPr>
          <w:noProof/>
          <w:szCs w:val="22"/>
        </w:rPr>
      </w:pPr>
      <w:r w:rsidRPr="00165E31">
        <w:t xml:space="preserve">Sīkāka informācija par šīm zālēm ir pieejama Eiropas Zāļu aģentūras tīmekļa vietnē </w:t>
      </w:r>
      <w:hyperlink r:id="rId12" w:history="1">
        <w:r w:rsidRPr="00165E31">
          <w:rPr>
            <w:rStyle w:val="Hyperlink"/>
            <w:noProof/>
          </w:rPr>
          <w:t>http://www.ema.europa.eu</w:t>
        </w:r>
      </w:hyperlink>
    </w:p>
    <w:p w14:paraId="30B77C67" w14:textId="77777777" w:rsidR="001E6DD1" w:rsidRPr="00165E31" w:rsidRDefault="001E6DD1" w:rsidP="001E6DD1">
      <w:pPr>
        <w:numPr>
          <w:ilvl w:val="12"/>
          <w:numId w:val="0"/>
        </w:numPr>
        <w:spacing w:line="240" w:lineRule="auto"/>
        <w:ind w:right="-2"/>
        <w:rPr>
          <w:noProof/>
          <w:szCs w:val="22"/>
        </w:rPr>
      </w:pPr>
    </w:p>
    <w:p w14:paraId="0A2C387D" w14:textId="77777777" w:rsidR="001E6DD1" w:rsidRPr="00165E31" w:rsidRDefault="00430718" w:rsidP="001E6DD1">
      <w:pPr>
        <w:widowControl w:val="0"/>
        <w:autoSpaceDE w:val="0"/>
        <w:autoSpaceDN w:val="0"/>
        <w:adjustRightInd w:val="0"/>
        <w:ind w:left="127" w:right="120"/>
        <w:rPr>
          <w:color w:val="000000"/>
        </w:rPr>
      </w:pPr>
      <w:r w:rsidRPr="00165E31">
        <w:br w:type="page"/>
      </w:r>
    </w:p>
    <w:p w14:paraId="5D7FC84F" w14:textId="77777777" w:rsidR="001E6DD1" w:rsidRPr="00165E31" w:rsidRDefault="001E6DD1" w:rsidP="001E6DD1">
      <w:pPr>
        <w:widowControl w:val="0"/>
        <w:autoSpaceDE w:val="0"/>
        <w:autoSpaceDN w:val="0"/>
        <w:adjustRightInd w:val="0"/>
        <w:ind w:left="127" w:right="120"/>
        <w:rPr>
          <w:color w:val="000000"/>
        </w:rPr>
      </w:pPr>
    </w:p>
    <w:p w14:paraId="0A3461AF" w14:textId="77777777" w:rsidR="001E6DD1" w:rsidRPr="00165E31" w:rsidRDefault="001E6DD1" w:rsidP="001E6DD1">
      <w:pPr>
        <w:widowControl w:val="0"/>
        <w:autoSpaceDE w:val="0"/>
        <w:autoSpaceDN w:val="0"/>
        <w:adjustRightInd w:val="0"/>
        <w:ind w:left="127" w:right="120"/>
        <w:rPr>
          <w:color w:val="000000"/>
        </w:rPr>
      </w:pPr>
    </w:p>
    <w:p w14:paraId="16942808" w14:textId="77777777" w:rsidR="001E6DD1" w:rsidRPr="00165E31" w:rsidRDefault="001E6DD1" w:rsidP="001E6DD1">
      <w:pPr>
        <w:widowControl w:val="0"/>
        <w:autoSpaceDE w:val="0"/>
        <w:autoSpaceDN w:val="0"/>
        <w:adjustRightInd w:val="0"/>
        <w:ind w:left="127" w:right="120"/>
        <w:rPr>
          <w:color w:val="000000"/>
        </w:rPr>
      </w:pPr>
    </w:p>
    <w:p w14:paraId="4CD069E3" w14:textId="77777777" w:rsidR="001E6DD1" w:rsidRPr="00165E31" w:rsidRDefault="001E6DD1" w:rsidP="001E6DD1">
      <w:pPr>
        <w:widowControl w:val="0"/>
        <w:autoSpaceDE w:val="0"/>
        <w:autoSpaceDN w:val="0"/>
        <w:adjustRightInd w:val="0"/>
        <w:ind w:left="127" w:right="120"/>
        <w:rPr>
          <w:color w:val="000000"/>
        </w:rPr>
      </w:pPr>
    </w:p>
    <w:p w14:paraId="727AFF08" w14:textId="77777777" w:rsidR="001E6DD1" w:rsidRPr="00165E31" w:rsidRDefault="001E6DD1" w:rsidP="001E6DD1">
      <w:pPr>
        <w:widowControl w:val="0"/>
        <w:autoSpaceDE w:val="0"/>
        <w:autoSpaceDN w:val="0"/>
        <w:adjustRightInd w:val="0"/>
        <w:ind w:left="127" w:right="120"/>
        <w:rPr>
          <w:color w:val="000000"/>
        </w:rPr>
      </w:pPr>
    </w:p>
    <w:p w14:paraId="7396C060" w14:textId="77777777" w:rsidR="001E6DD1" w:rsidRPr="00165E31" w:rsidRDefault="001E6DD1" w:rsidP="001E6DD1">
      <w:pPr>
        <w:widowControl w:val="0"/>
        <w:autoSpaceDE w:val="0"/>
        <w:autoSpaceDN w:val="0"/>
        <w:adjustRightInd w:val="0"/>
        <w:ind w:left="127" w:right="120"/>
        <w:rPr>
          <w:color w:val="000000"/>
        </w:rPr>
      </w:pPr>
    </w:p>
    <w:p w14:paraId="795F276C" w14:textId="77777777" w:rsidR="001E6DD1" w:rsidRPr="00165E31" w:rsidRDefault="001E6DD1" w:rsidP="001E6DD1">
      <w:pPr>
        <w:widowControl w:val="0"/>
        <w:autoSpaceDE w:val="0"/>
        <w:autoSpaceDN w:val="0"/>
        <w:adjustRightInd w:val="0"/>
        <w:ind w:left="127" w:right="120"/>
        <w:rPr>
          <w:color w:val="000000"/>
        </w:rPr>
      </w:pPr>
    </w:p>
    <w:p w14:paraId="52784083" w14:textId="77777777" w:rsidR="001E6DD1" w:rsidRPr="00165E31" w:rsidRDefault="001E6DD1" w:rsidP="001E6DD1">
      <w:pPr>
        <w:widowControl w:val="0"/>
        <w:autoSpaceDE w:val="0"/>
        <w:autoSpaceDN w:val="0"/>
        <w:adjustRightInd w:val="0"/>
        <w:ind w:left="127" w:right="120"/>
        <w:rPr>
          <w:color w:val="000000"/>
        </w:rPr>
      </w:pPr>
    </w:p>
    <w:p w14:paraId="6A4FB92E" w14:textId="77777777" w:rsidR="001E6DD1" w:rsidRPr="00165E31" w:rsidRDefault="001E6DD1" w:rsidP="001E6DD1">
      <w:pPr>
        <w:widowControl w:val="0"/>
        <w:autoSpaceDE w:val="0"/>
        <w:autoSpaceDN w:val="0"/>
        <w:adjustRightInd w:val="0"/>
        <w:ind w:left="127" w:right="120"/>
        <w:rPr>
          <w:color w:val="000000"/>
        </w:rPr>
      </w:pPr>
    </w:p>
    <w:p w14:paraId="0F800084" w14:textId="77777777" w:rsidR="001E6DD1" w:rsidRPr="00165E31" w:rsidRDefault="001E6DD1" w:rsidP="001E6DD1">
      <w:pPr>
        <w:widowControl w:val="0"/>
        <w:autoSpaceDE w:val="0"/>
        <w:autoSpaceDN w:val="0"/>
        <w:adjustRightInd w:val="0"/>
        <w:ind w:left="127" w:right="120"/>
        <w:rPr>
          <w:color w:val="000000"/>
        </w:rPr>
      </w:pPr>
    </w:p>
    <w:p w14:paraId="3CA08386" w14:textId="77777777" w:rsidR="001E6DD1" w:rsidRPr="00165E31" w:rsidRDefault="001E6DD1" w:rsidP="001E6DD1">
      <w:pPr>
        <w:widowControl w:val="0"/>
        <w:autoSpaceDE w:val="0"/>
        <w:autoSpaceDN w:val="0"/>
        <w:adjustRightInd w:val="0"/>
        <w:ind w:left="127" w:right="120"/>
        <w:rPr>
          <w:color w:val="000000"/>
        </w:rPr>
      </w:pPr>
    </w:p>
    <w:p w14:paraId="74E26EAA" w14:textId="77777777" w:rsidR="001E6DD1" w:rsidRPr="00165E31" w:rsidRDefault="001E6DD1" w:rsidP="001E6DD1">
      <w:pPr>
        <w:widowControl w:val="0"/>
        <w:autoSpaceDE w:val="0"/>
        <w:autoSpaceDN w:val="0"/>
        <w:adjustRightInd w:val="0"/>
        <w:ind w:left="127" w:right="120"/>
        <w:rPr>
          <w:color w:val="000000"/>
        </w:rPr>
      </w:pPr>
    </w:p>
    <w:p w14:paraId="2DBC586F" w14:textId="77777777" w:rsidR="001E6DD1" w:rsidRPr="00165E31" w:rsidRDefault="001E6DD1" w:rsidP="001E6DD1">
      <w:pPr>
        <w:widowControl w:val="0"/>
        <w:autoSpaceDE w:val="0"/>
        <w:autoSpaceDN w:val="0"/>
        <w:adjustRightInd w:val="0"/>
        <w:ind w:left="127" w:right="120"/>
        <w:rPr>
          <w:color w:val="000000"/>
        </w:rPr>
      </w:pPr>
    </w:p>
    <w:p w14:paraId="2D996AB9" w14:textId="77777777" w:rsidR="001E6DD1" w:rsidRPr="00165E31" w:rsidRDefault="001E6DD1" w:rsidP="001E6DD1">
      <w:pPr>
        <w:widowControl w:val="0"/>
        <w:autoSpaceDE w:val="0"/>
        <w:autoSpaceDN w:val="0"/>
        <w:adjustRightInd w:val="0"/>
        <w:ind w:left="127" w:right="120"/>
        <w:rPr>
          <w:color w:val="000000"/>
        </w:rPr>
      </w:pPr>
    </w:p>
    <w:p w14:paraId="71A01139" w14:textId="77777777" w:rsidR="001E6DD1" w:rsidRPr="00165E31" w:rsidRDefault="001E6DD1" w:rsidP="001E6DD1">
      <w:pPr>
        <w:widowControl w:val="0"/>
        <w:autoSpaceDE w:val="0"/>
        <w:autoSpaceDN w:val="0"/>
        <w:adjustRightInd w:val="0"/>
        <w:ind w:left="127" w:right="120"/>
        <w:rPr>
          <w:color w:val="000000"/>
        </w:rPr>
      </w:pPr>
    </w:p>
    <w:p w14:paraId="24C1A5A1" w14:textId="77777777" w:rsidR="001E6DD1" w:rsidRPr="00165E31" w:rsidRDefault="001E6DD1" w:rsidP="001E6DD1">
      <w:pPr>
        <w:widowControl w:val="0"/>
        <w:autoSpaceDE w:val="0"/>
        <w:autoSpaceDN w:val="0"/>
        <w:adjustRightInd w:val="0"/>
        <w:ind w:left="127" w:right="120"/>
        <w:rPr>
          <w:color w:val="000000"/>
        </w:rPr>
      </w:pPr>
    </w:p>
    <w:p w14:paraId="33FBD6F3" w14:textId="77777777" w:rsidR="001E6DD1" w:rsidRPr="00165E31" w:rsidRDefault="001E6DD1" w:rsidP="001E6DD1">
      <w:pPr>
        <w:widowControl w:val="0"/>
        <w:autoSpaceDE w:val="0"/>
        <w:autoSpaceDN w:val="0"/>
        <w:adjustRightInd w:val="0"/>
        <w:ind w:left="127" w:right="120"/>
        <w:rPr>
          <w:color w:val="000000"/>
        </w:rPr>
      </w:pPr>
    </w:p>
    <w:p w14:paraId="5F71EA5D" w14:textId="77777777" w:rsidR="001E6DD1" w:rsidRPr="00165E31" w:rsidRDefault="00430718" w:rsidP="001E6DD1">
      <w:pPr>
        <w:keepNext/>
        <w:widowControl w:val="0"/>
        <w:autoSpaceDE w:val="0"/>
        <w:autoSpaceDN w:val="0"/>
        <w:adjustRightInd w:val="0"/>
        <w:spacing w:before="280" w:after="220"/>
        <w:ind w:left="127" w:right="120"/>
        <w:jc w:val="center"/>
        <w:rPr>
          <w:b/>
          <w:bCs/>
          <w:color w:val="000000"/>
        </w:rPr>
      </w:pPr>
      <w:r w:rsidRPr="00165E31">
        <w:rPr>
          <w:b/>
          <w:color w:val="000000"/>
        </w:rPr>
        <w:t>II PIELIKUMS</w:t>
      </w:r>
    </w:p>
    <w:p w14:paraId="3038D391" w14:textId="77777777" w:rsidR="001E6DD1" w:rsidRPr="00165E31" w:rsidRDefault="001E6DD1" w:rsidP="001E6DD1">
      <w:pPr>
        <w:widowControl w:val="0"/>
        <w:autoSpaceDE w:val="0"/>
        <w:autoSpaceDN w:val="0"/>
        <w:adjustRightInd w:val="0"/>
        <w:ind w:left="127" w:right="120"/>
        <w:rPr>
          <w:color w:val="000000"/>
        </w:rPr>
      </w:pPr>
    </w:p>
    <w:p w14:paraId="0F193D17" w14:textId="77777777" w:rsidR="001E6DD1" w:rsidRPr="00165E31" w:rsidRDefault="00430718" w:rsidP="001E6DD1">
      <w:pPr>
        <w:pStyle w:val="ListParagraph"/>
        <w:keepNext/>
        <w:widowControl w:val="0"/>
        <w:numPr>
          <w:ilvl w:val="0"/>
          <w:numId w:val="29"/>
        </w:numPr>
        <w:autoSpaceDE w:val="0"/>
        <w:autoSpaceDN w:val="0"/>
        <w:adjustRightInd w:val="0"/>
        <w:spacing w:before="280"/>
        <w:ind w:right="120"/>
        <w:rPr>
          <w:b/>
          <w:bCs/>
          <w:color w:val="000000"/>
        </w:rPr>
      </w:pPr>
      <w:r w:rsidRPr="00165E31">
        <w:rPr>
          <w:b/>
          <w:color w:val="000000"/>
        </w:rPr>
        <w:t xml:space="preserve">RAŽOTĀJS(-I), KAS ATBILD PAR SĒRIJAS IZLAIDI </w:t>
      </w:r>
    </w:p>
    <w:p w14:paraId="564965E8" w14:textId="77777777" w:rsidR="001E6DD1" w:rsidRPr="00165E31" w:rsidRDefault="00430718" w:rsidP="001E6DD1">
      <w:pPr>
        <w:pStyle w:val="ListParagraph"/>
        <w:keepNext/>
        <w:widowControl w:val="0"/>
        <w:numPr>
          <w:ilvl w:val="0"/>
          <w:numId w:val="29"/>
        </w:numPr>
        <w:autoSpaceDE w:val="0"/>
        <w:autoSpaceDN w:val="0"/>
        <w:adjustRightInd w:val="0"/>
        <w:spacing w:before="280" w:after="220"/>
        <w:ind w:left="573" w:right="119" w:hanging="448"/>
        <w:contextualSpacing w:val="0"/>
        <w:rPr>
          <w:b/>
          <w:bCs/>
          <w:color w:val="000000"/>
        </w:rPr>
      </w:pPr>
      <w:r w:rsidRPr="00165E31">
        <w:rPr>
          <w:b/>
          <w:color w:val="000000"/>
        </w:rPr>
        <w:t>IZSNIEGŠANAS KĀRTĪBAS UN LIETOŠANAS NOSACĪJUMI VAI IEROBEŽOJUMI</w:t>
      </w:r>
    </w:p>
    <w:p w14:paraId="58D76B38" w14:textId="77777777" w:rsidR="001E6DD1" w:rsidRPr="00165E31" w:rsidRDefault="001E6DD1" w:rsidP="001E6DD1">
      <w:pPr>
        <w:widowControl w:val="0"/>
        <w:autoSpaceDE w:val="0"/>
        <w:autoSpaceDN w:val="0"/>
        <w:adjustRightInd w:val="0"/>
        <w:ind w:left="127" w:right="120"/>
        <w:rPr>
          <w:color w:val="000000"/>
        </w:rPr>
      </w:pPr>
    </w:p>
    <w:p w14:paraId="5B39196F" w14:textId="77777777" w:rsidR="001E6DD1" w:rsidRPr="00165E31" w:rsidRDefault="00430718" w:rsidP="001E6DD1">
      <w:pPr>
        <w:pStyle w:val="ListParagraph"/>
        <w:keepNext/>
        <w:widowControl w:val="0"/>
        <w:numPr>
          <w:ilvl w:val="0"/>
          <w:numId w:val="29"/>
        </w:numPr>
        <w:autoSpaceDE w:val="0"/>
        <w:autoSpaceDN w:val="0"/>
        <w:adjustRightInd w:val="0"/>
        <w:ind w:right="120"/>
        <w:rPr>
          <w:b/>
          <w:bCs/>
          <w:color w:val="000000"/>
        </w:rPr>
      </w:pPr>
      <w:r w:rsidRPr="00165E31">
        <w:rPr>
          <w:b/>
          <w:color w:val="000000"/>
        </w:rPr>
        <w:t>CITI REĢISTRĀCIJAS NOSACĪJUMI UN PRASĪBAS</w:t>
      </w:r>
    </w:p>
    <w:p w14:paraId="3891AC37" w14:textId="77777777" w:rsidR="001E6DD1" w:rsidRPr="00165E31" w:rsidRDefault="001E6DD1" w:rsidP="001E6DD1">
      <w:pPr>
        <w:widowControl w:val="0"/>
        <w:autoSpaceDE w:val="0"/>
        <w:autoSpaceDN w:val="0"/>
        <w:adjustRightInd w:val="0"/>
        <w:ind w:left="127" w:right="120"/>
        <w:rPr>
          <w:color w:val="000000"/>
        </w:rPr>
      </w:pPr>
    </w:p>
    <w:p w14:paraId="47887B3E" w14:textId="77777777" w:rsidR="001E6DD1" w:rsidRPr="00165E31" w:rsidRDefault="00430718" w:rsidP="001E6DD1">
      <w:pPr>
        <w:pStyle w:val="ListParagraph"/>
        <w:keepNext/>
        <w:widowControl w:val="0"/>
        <w:numPr>
          <w:ilvl w:val="0"/>
          <w:numId w:val="29"/>
        </w:numPr>
        <w:autoSpaceDE w:val="0"/>
        <w:autoSpaceDN w:val="0"/>
        <w:adjustRightInd w:val="0"/>
        <w:ind w:right="120"/>
        <w:rPr>
          <w:b/>
          <w:bCs/>
          <w:color w:val="000000"/>
        </w:rPr>
      </w:pPr>
      <w:r w:rsidRPr="00165E31">
        <w:rPr>
          <w:b/>
          <w:color w:val="000000"/>
        </w:rPr>
        <w:t>NOSACĪJUMI VAI IEROBEŽOJUMI ATTIECĪBĀ UZ DROŠU UN EFEKTĪVU ZĀĻU LIETOŠANU</w:t>
      </w:r>
    </w:p>
    <w:p w14:paraId="59ECDB61" w14:textId="77777777" w:rsidR="001E6DD1" w:rsidRPr="00165E31" w:rsidRDefault="001E6DD1" w:rsidP="001E6DD1">
      <w:pPr>
        <w:widowControl w:val="0"/>
        <w:autoSpaceDE w:val="0"/>
        <w:autoSpaceDN w:val="0"/>
        <w:adjustRightInd w:val="0"/>
        <w:ind w:left="127" w:right="120"/>
        <w:rPr>
          <w:color w:val="000000"/>
        </w:rPr>
      </w:pPr>
    </w:p>
    <w:p w14:paraId="6EA8FA9E" w14:textId="77777777" w:rsidR="001E6DD1" w:rsidRPr="00165E31" w:rsidRDefault="001E6DD1" w:rsidP="001E6DD1">
      <w:pPr>
        <w:keepNext/>
        <w:widowControl w:val="0"/>
        <w:autoSpaceDE w:val="0"/>
        <w:autoSpaceDN w:val="0"/>
        <w:adjustRightInd w:val="0"/>
        <w:spacing w:before="280"/>
        <w:ind w:left="127" w:right="120"/>
        <w:rPr>
          <w:color w:val="000000"/>
        </w:rPr>
      </w:pPr>
    </w:p>
    <w:p w14:paraId="63A36C31" w14:textId="77777777" w:rsidR="001E6DD1" w:rsidRPr="00165E31" w:rsidRDefault="00430718" w:rsidP="001E6DD1">
      <w:pPr>
        <w:pStyle w:val="ListParagraph"/>
        <w:keepNext/>
        <w:widowControl w:val="0"/>
        <w:numPr>
          <w:ilvl w:val="0"/>
          <w:numId w:val="30"/>
        </w:numPr>
        <w:autoSpaceDE w:val="0"/>
        <w:autoSpaceDN w:val="0"/>
        <w:adjustRightInd w:val="0"/>
        <w:spacing w:before="280" w:after="220"/>
        <w:ind w:right="120"/>
        <w:rPr>
          <w:b/>
          <w:bCs/>
          <w:color w:val="000000"/>
        </w:rPr>
      </w:pPr>
      <w:r w:rsidRPr="00165E31">
        <w:br w:type="page"/>
      </w:r>
      <w:r w:rsidRPr="00165E31">
        <w:rPr>
          <w:b/>
          <w:color w:val="000000"/>
        </w:rPr>
        <w:lastRenderedPageBreak/>
        <w:t>RAŽOTĀJS(-I), KAS ATBILD PAR SĒRIJAS IZLAIDI</w:t>
      </w:r>
    </w:p>
    <w:p w14:paraId="0F7A8A1E" w14:textId="77777777" w:rsidR="001E6DD1" w:rsidRPr="00165E31" w:rsidRDefault="00430718" w:rsidP="001E6DD1">
      <w:pPr>
        <w:widowControl w:val="0"/>
        <w:autoSpaceDE w:val="0"/>
        <w:autoSpaceDN w:val="0"/>
        <w:adjustRightInd w:val="0"/>
        <w:spacing w:after="140" w:line="280" w:lineRule="atLeast"/>
        <w:ind w:left="127" w:right="120"/>
        <w:rPr>
          <w:color w:val="000000"/>
          <w:u w:val="single"/>
        </w:rPr>
      </w:pPr>
      <w:r w:rsidRPr="00165E31">
        <w:rPr>
          <w:color w:val="000000"/>
          <w:u w:val="single"/>
        </w:rPr>
        <w:t>Ražotāja(-u), kas atbild par sērijas izlaidi, nosaukums un adrese</w:t>
      </w:r>
    </w:p>
    <w:p w14:paraId="6B114D1B" w14:textId="77777777" w:rsidR="001E6DD1" w:rsidRPr="00165E31" w:rsidRDefault="001E6DD1" w:rsidP="001E6DD1">
      <w:pPr>
        <w:widowControl w:val="0"/>
        <w:autoSpaceDE w:val="0"/>
        <w:autoSpaceDN w:val="0"/>
        <w:adjustRightInd w:val="0"/>
        <w:spacing w:after="140" w:line="280" w:lineRule="atLeast"/>
        <w:ind w:left="127" w:right="120"/>
        <w:rPr>
          <w:color w:val="000000"/>
        </w:rPr>
      </w:pPr>
    </w:p>
    <w:p w14:paraId="11C7E518" w14:textId="77777777" w:rsidR="001E6DD1" w:rsidRPr="00165E31" w:rsidRDefault="00430718" w:rsidP="001E6DD1">
      <w:pPr>
        <w:widowControl w:val="0"/>
        <w:autoSpaceDE w:val="0"/>
        <w:autoSpaceDN w:val="0"/>
        <w:adjustRightInd w:val="0"/>
        <w:ind w:left="127" w:right="120"/>
        <w:rPr>
          <w:color w:val="000000"/>
        </w:rPr>
      </w:pPr>
      <w:r w:rsidRPr="00165E31">
        <w:rPr>
          <w:color w:val="000000"/>
        </w:rPr>
        <w:t>DELPHARM EVREUX</w:t>
      </w:r>
      <w:r w:rsidRPr="00165E31">
        <w:rPr>
          <w:color w:val="000000"/>
        </w:rPr>
        <w:br/>
        <w:t>5 rue du Guesclin</w:t>
      </w:r>
      <w:r w:rsidRPr="00165E31">
        <w:rPr>
          <w:color w:val="000000"/>
        </w:rPr>
        <w:br/>
        <w:t>27000 Evreux</w:t>
      </w:r>
      <w:r w:rsidRPr="00165E31">
        <w:rPr>
          <w:color w:val="000000"/>
        </w:rPr>
        <w:br/>
        <w:t>Francija</w:t>
      </w:r>
    </w:p>
    <w:p w14:paraId="3CAC8CEE" w14:textId="77777777" w:rsidR="001E6DD1" w:rsidRPr="00165E31" w:rsidRDefault="00430718" w:rsidP="001E6DD1">
      <w:pPr>
        <w:pStyle w:val="ListParagraph"/>
        <w:keepNext/>
        <w:widowControl w:val="0"/>
        <w:numPr>
          <w:ilvl w:val="0"/>
          <w:numId w:val="30"/>
        </w:numPr>
        <w:autoSpaceDE w:val="0"/>
        <w:autoSpaceDN w:val="0"/>
        <w:adjustRightInd w:val="0"/>
        <w:spacing w:before="280" w:after="220"/>
        <w:ind w:right="120"/>
        <w:rPr>
          <w:b/>
          <w:bCs/>
          <w:color w:val="000000"/>
        </w:rPr>
      </w:pPr>
      <w:r w:rsidRPr="00165E31">
        <w:rPr>
          <w:b/>
          <w:color w:val="000000"/>
        </w:rPr>
        <w:t>IZSNIEGŠANAS KĀRTĪBAS UN LIETOŠANAS NOSACĪJUMI VAI IEROBEŽOJUMI</w:t>
      </w:r>
    </w:p>
    <w:p w14:paraId="42A75DAD" w14:textId="77777777" w:rsidR="001E6DD1" w:rsidRPr="00165E31" w:rsidRDefault="00430718" w:rsidP="001E6DD1">
      <w:pPr>
        <w:widowControl w:val="0"/>
        <w:autoSpaceDE w:val="0"/>
        <w:autoSpaceDN w:val="0"/>
        <w:adjustRightInd w:val="0"/>
        <w:spacing w:line="280" w:lineRule="exact"/>
        <w:ind w:left="127" w:right="120"/>
        <w:rPr>
          <w:color w:val="000000"/>
        </w:rPr>
      </w:pPr>
      <w:r w:rsidRPr="00165E31">
        <w:rPr>
          <w:color w:val="000000"/>
        </w:rPr>
        <w:t>Zāles ar parakstīšanas i</w:t>
      </w:r>
      <w:r w:rsidRPr="00165E31">
        <w:rPr>
          <w:color w:val="000000"/>
        </w:rPr>
        <w:t>erobežojumiem (skatīt I pielikumu: zāļu apraksts, 4.2. apakšpunkts).</w:t>
      </w:r>
    </w:p>
    <w:p w14:paraId="29C1A02C" w14:textId="77777777" w:rsidR="001E6DD1" w:rsidRPr="00165E31" w:rsidRDefault="001E6DD1" w:rsidP="001E6DD1">
      <w:pPr>
        <w:widowControl w:val="0"/>
        <w:autoSpaceDE w:val="0"/>
        <w:autoSpaceDN w:val="0"/>
        <w:adjustRightInd w:val="0"/>
        <w:spacing w:after="140" w:line="280" w:lineRule="atLeast"/>
        <w:ind w:left="127" w:right="120"/>
        <w:rPr>
          <w:color w:val="000000"/>
        </w:rPr>
      </w:pPr>
    </w:p>
    <w:p w14:paraId="042A8829" w14:textId="77777777" w:rsidR="001E6DD1" w:rsidRPr="00165E31" w:rsidRDefault="00430718" w:rsidP="001E6DD1">
      <w:pPr>
        <w:pStyle w:val="ListParagraph"/>
        <w:keepNext/>
        <w:widowControl w:val="0"/>
        <w:numPr>
          <w:ilvl w:val="0"/>
          <w:numId w:val="30"/>
        </w:numPr>
        <w:autoSpaceDE w:val="0"/>
        <w:autoSpaceDN w:val="0"/>
        <w:adjustRightInd w:val="0"/>
        <w:spacing w:before="280" w:after="220"/>
        <w:ind w:right="120"/>
        <w:rPr>
          <w:b/>
          <w:bCs/>
          <w:color w:val="000000"/>
        </w:rPr>
      </w:pPr>
      <w:r w:rsidRPr="00165E31">
        <w:rPr>
          <w:b/>
          <w:color w:val="000000"/>
        </w:rPr>
        <w:t xml:space="preserve">CITI REĢISTRĀCIJAS NOSACĪJUMI UN PRASĪBAS </w:t>
      </w:r>
    </w:p>
    <w:p w14:paraId="6EB64E01" w14:textId="77777777" w:rsidR="001E6DD1" w:rsidRPr="00165E31" w:rsidRDefault="001E6DD1" w:rsidP="001E6DD1">
      <w:pPr>
        <w:widowControl w:val="0"/>
        <w:autoSpaceDE w:val="0"/>
        <w:autoSpaceDN w:val="0"/>
        <w:adjustRightInd w:val="0"/>
        <w:spacing w:after="140" w:line="280" w:lineRule="atLeast"/>
        <w:ind w:left="127" w:right="120"/>
        <w:rPr>
          <w:color w:val="000000"/>
        </w:rPr>
      </w:pPr>
    </w:p>
    <w:p w14:paraId="62DB76A5" w14:textId="77777777" w:rsidR="001E6DD1" w:rsidRPr="00165E31" w:rsidRDefault="00430718" w:rsidP="001E6DD1">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165E31">
        <w:rPr>
          <w:b/>
          <w:color w:val="000000"/>
        </w:rPr>
        <w:t xml:space="preserve">Periodiski atjaunināmi drošuma ziņojumi </w:t>
      </w:r>
    </w:p>
    <w:p w14:paraId="18638291" w14:textId="77777777" w:rsidR="001E6DD1" w:rsidRPr="00165E31" w:rsidRDefault="001E6DD1" w:rsidP="001E6DD1">
      <w:pPr>
        <w:widowControl w:val="0"/>
        <w:autoSpaceDE w:val="0"/>
        <w:autoSpaceDN w:val="0"/>
        <w:adjustRightInd w:val="0"/>
        <w:spacing w:after="140" w:line="280" w:lineRule="atLeast"/>
        <w:ind w:left="127" w:right="120"/>
        <w:rPr>
          <w:color w:val="000000"/>
        </w:rPr>
      </w:pPr>
    </w:p>
    <w:p w14:paraId="3C94BA5C" w14:textId="77777777" w:rsidR="001E6DD1" w:rsidRPr="00165E31" w:rsidRDefault="00430718" w:rsidP="001E6DD1">
      <w:pPr>
        <w:widowControl w:val="0"/>
        <w:autoSpaceDE w:val="0"/>
        <w:autoSpaceDN w:val="0"/>
        <w:adjustRightInd w:val="0"/>
        <w:spacing w:after="140" w:line="280" w:lineRule="atLeast"/>
        <w:ind w:left="127" w:right="120"/>
        <w:rPr>
          <w:color w:val="000000"/>
        </w:rPr>
      </w:pPr>
      <w:r w:rsidRPr="00165E31">
        <w:rPr>
          <w:color w:val="000000"/>
        </w:rPr>
        <w:t xml:space="preserve">Šo zāļu periodiski atjaunojamo drošuma ziņojumu iesniegšanas prasības ir norādītas Eiropas </w:t>
      </w:r>
      <w:r w:rsidRPr="00165E31">
        <w:rPr>
          <w:color w:val="000000"/>
        </w:rPr>
        <w:t>Savienības atsauces datumu un periodisko ziņojumu iesniegšanas biežuma sarakstā (</w:t>
      </w:r>
      <w:r w:rsidRPr="00165E31">
        <w:rPr>
          <w:i/>
          <w:color w:val="000000"/>
        </w:rPr>
        <w:t>EURD</w:t>
      </w:r>
      <w:r w:rsidRPr="00165E31">
        <w:rPr>
          <w:color w:val="000000"/>
        </w:rPr>
        <w:t xml:space="preserve"> sarakstā), kas sagatavots saskaņā ar Direktīvas 2001/83/EK 107.c panta 7. punktu, un visos turpmākajos saraksta atjauninājumos, kas publicēti Eiropas Zāļu aģentūras tīmek</w:t>
      </w:r>
      <w:r w:rsidRPr="00165E31">
        <w:rPr>
          <w:color w:val="000000"/>
        </w:rPr>
        <w:t>ļa vietnē.</w:t>
      </w:r>
    </w:p>
    <w:p w14:paraId="30BE326A" w14:textId="77777777" w:rsidR="001E6DD1" w:rsidRPr="00165E31" w:rsidRDefault="00430718" w:rsidP="001E6DD1">
      <w:pPr>
        <w:widowControl w:val="0"/>
        <w:autoSpaceDE w:val="0"/>
        <w:autoSpaceDN w:val="0"/>
        <w:adjustRightInd w:val="0"/>
        <w:spacing w:line="280" w:lineRule="atLeast"/>
        <w:ind w:left="127" w:right="120"/>
        <w:rPr>
          <w:color w:val="000000"/>
        </w:rPr>
      </w:pPr>
      <w:r w:rsidRPr="00165E31">
        <w:rPr>
          <w:color w:val="000000"/>
        </w:rPr>
        <w:t xml:space="preserve">Reģistrācijas apliecības īpašniekam jāiesniedz šo zāļu pirmais periodiski atjaunojamais drošuma ziņojums 6 mēnešu laikā pēc reģistrācijas apliecības piešķiršanas. </w:t>
      </w:r>
    </w:p>
    <w:p w14:paraId="0BA0E1EE" w14:textId="77777777" w:rsidR="001E6DD1" w:rsidRPr="00165E31" w:rsidRDefault="00430718" w:rsidP="001E6DD1">
      <w:pPr>
        <w:pStyle w:val="ListParagraph"/>
        <w:keepNext/>
        <w:widowControl w:val="0"/>
        <w:numPr>
          <w:ilvl w:val="0"/>
          <w:numId w:val="30"/>
        </w:numPr>
        <w:autoSpaceDE w:val="0"/>
        <w:autoSpaceDN w:val="0"/>
        <w:adjustRightInd w:val="0"/>
        <w:spacing w:before="280" w:after="220"/>
        <w:ind w:right="120"/>
        <w:rPr>
          <w:b/>
          <w:bCs/>
          <w:color w:val="000000"/>
        </w:rPr>
      </w:pPr>
      <w:r w:rsidRPr="00165E31">
        <w:rPr>
          <w:b/>
          <w:color w:val="000000"/>
        </w:rPr>
        <w:t xml:space="preserve">NOSACĪJUMI VAI IEROBEŽOJUMI ATTIECĪBĀ UZ DROŠU UN EFEKTĪVU ZĀĻU </w:t>
      </w:r>
      <w:r w:rsidRPr="00165E31">
        <w:rPr>
          <w:b/>
          <w:color w:val="000000"/>
        </w:rPr>
        <w:t>LIETOŠANU</w:t>
      </w:r>
    </w:p>
    <w:p w14:paraId="36081DA3" w14:textId="77777777" w:rsidR="001E6DD1" w:rsidRPr="00165E31" w:rsidRDefault="001E6DD1" w:rsidP="001E6DD1">
      <w:pPr>
        <w:widowControl w:val="0"/>
        <w:autoSpaceDE w:val="0"/>
        <w:autoSpaceDN w:val="0"/>
        <w:adjustRightInd w:val="0"/>
        <w:spacing w:after="140" w:line="280" w:lineRule="atLeast"/>
        <w:ind w:left="127" w:right="120"/>
        <w:rPr>
          <w:color w:val="000000"/>
        </w:rPr>
      </w:pPr>
    </w:p>
    <w:p w14:paraId="7065B633" w14:textId="77777777" w:rsidR="001E6DD1" w:rsidRPr="00165E31" w:rsidRDefault="00430718" w:rsidP="001E6DD1">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165E31">
        <w:rPr>
          <w:b/>
          <w:color w:val="000000"/>
        </w:rPr>
        <w:t>Riska pārvaldības plāns (RPP)</w:t>
      </w:r>
    </w:p>
    <w:p w14:paraId="090BC761" w14:textId="77777777" w:rsidR="001E6DD1" w:rsidRPr="00165E31" w:rsidRDefault="001E6DD1" w:rsidP="001E6DD1">
      <w:pPr>
        <w:widowControl w:val="0"/>
        <w:autoSpaceDE w:val="0"/>
        <w:autoSpaceDN w:val="0"/>
        <w:adjustRightInd w:val="0"/>
        <w:spacing w:after="140" w:line="280" w:lineRule="atLeast"/>
        <w:ind w:left="127" w:right="120"/>
        <w:rPr>
          <w:color w:val="000000"/>
        </w:rPr>
      </w:pPr>
    </w:p>
    <w:p w14:paraId="23EC89AA" w14:textId="77777777" w:rsidR="001E6DD1" w:rsidRPr="00165E31" w:rsidRDefault="00430718" w:rsidP="001E6DD1">
      <w:pPr>
        <w:widowControl w:val="0"/>
        <w:autoSpaceDE w:val="0"/>
        <w:autoSpaceDN w:val="0"/>
        <w:adjustRightInd w:val="0"/>
        <w:spacing w:after="140" w:line="280" w:lineRule="atLeast"/>
        <w:ind w:left="127" w:right="120"/>
        <w:rPr>
          <w:color w:val="000000"/>
        </w:rPr>
      </w:pPr>
      <w:r w:rsidRPr="00165E31">
        <w:rPr>
          <w:color w:val="000000"/>
        </w:rPr>
        <w:t>Reģistrācijas apliecības īpašniekam jāveic nepieciešamās farmakovigilances darbības un pasākumi, kas sīkāk aprakstīti reģistrācijas pieteikuma 1.8.2. modulī iekļautajā apstiprinātajā RPP un visos turpmākajos atjaun</w:t>
      </w:r>
      <w:r w:rsidRPr="00165E31">
        <w:rPr>
          <w:color w:val="000000"/>
        </w:rPr>
        <w:t>otajos apstiprinātajos RPP.</w:t>
      </w:r>
    </w:p>
    <w:p w14:paraId="446A05CA" w14:textId="77777777" w:rsidR="001E6DD1" w:rsidRPr="00165E31" w:rsidRDefault="00430718" w:rsidP="001E6DD1">
      <w:pPr>
        <w:widowControl w:val="0"/>
        <w:autoSpaceDE w:val="0"/>
        <w:autoSpaceDN w:val="0"/>
        <w:adjustRightInd w:val="0"/>
        <w:spacing w:after="140" w:line="280" w:lineRule="atLeast"/>
        <w:ind w:left="127" w:right="120"/>
        <w:rPr>
          <w:color w:val="000000"/>
        </w:rPr>
      </w:pPr>
      <w:r w:rsidRPr="00165E31">
        <w:rPr>
          <w:color w:val="000000"/>
        </w:rPr>
        <w:t>Atjaunināts RPP jāiesniedz:</w:t>
      </w:r>
    </w:p>
    <w:p w14:paraId="326CF7B7" w14:textId="77777777" w:rsidR="001E6DD1" w:rsidRPr="00165E31" w:rsidRDefault="00430718" w:rsidP="001E6DD1">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165E31">
        <w:rPr>
          <w:color w:val="000000"/>
        </w:rPr>
        <w:t>pēc Eiropas Zāļu aģentūras pieprasījuma;</w:t>
      </w:r>
    </w:p>
    <w:p w14:paraId="1967FF73" w14:textId="77777777" w:rsidR="001E6DD1" w:rsidRPr="00165E31" w:rsidRDefault="00430718" w:rsidP="001E6DD1">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165E31">
        <w:rPr>
          <w:color w:val="000000"/>
        </w:rPr>
        <w:t>ja ieviesti grozījumi riska pārvaldības sistēmā, jo īpaši gadījumos, kad saņemta jauna informācija, kas var būtiski ietekmēt ieguvumu/riska profilu, vai nozīmī</w:t>
      </w:r>
      <w:r w:rsidRPr="00165E31">
        <w:rPr>
          <w:color w:val="000000"/>
        </w:rPr>
        <w:t xml:space="preserve">gu (farmakovigilances vai riska mazināšanas) rezultātu sasniegšanas gadījumā. </w:t>
      </w:r>
    </w:p>
    <w:p w14:paraId="45BF9BB2" w14:textId="77777777" w:rsidR="001E6DD1" w:rsidRPr="00165E31" w:rsidRDefault="00430718" w:rsidP="001E6DD1">
      <w:pPr>
        <w:numPr>
          <w:ilvl w:val="12"/>
          <w:numId w:val="0"/>
        </w:numPr>
        <w:spacing w:line="240" w:lineRule="auto"/>
        <w:ind w:right="-2"/>
        <w:rPr>
          <w:noProof/>
          <w:szCs w:val="22"/>
        </w:rPr>
      </w:pPr>
      <w:r w:rsidRPr="00165E31">
        <w:br w:type="page"/>
      </w:r>
    </w:p>
    <w:p w14:paraId="62C4C8FD" w14:textId="77777777" w:rsidR="001E6DD1" w:rsidRPr="00165E31" w:rsidRDefault="001E6DD1" w:rsidP="001E6DD1">
      <w:pPr>
        <w:spacing w:line="240" w:lineRule="auto"/>
        <w:ind w:right="566"/>
        <w:rPr>
          <w:noProof/>
          <w:szCs w:val="22"/>
        </w:rPr>
      </w:pPr>
    </w:p>
    <w:p w14:paraId="325F7D22" w14:textId="77777777" w:rsidR="001E6DD1" w:rsidRPr="00165E31" w:rsidRDefault="001E6DD1" w:rsidP="001E6DD1">
      <w:pPr>
        <w:spacing w:line="240" w:lineRule="auto"/>
        <w:rPr>
          <w:noProof/>
          <w:szCs w:val="22"/>
        </w:rPr>
      </w:pPr>
    </w:p>
    <w:p w14:paraId="1450586C" w14:textId="77777777" w:rsidR="001E6DD1" w:rsidRPr="00165E31" w:rsidRDefault="001E6DD1" w:rsidP="001E6DD1">
      <w:pPr>
        <w:spacing w:line="240" w:lineRule="auto"/>
        <w:rPr>
          <w:noProof/>
          <w:szCs w:val="22"/>
        </w:rPr>
      </w:pPr>
    </w:p>
    <w:p w14:paraId="695CDD41" w14:textId="77777777" w:rsidR="001E6DD1" w:rsidRPr="00165E31" w:rsidRDefault="001E6DD1" w:rsidP="001E6DD1">
      <w:pPr>
        <w:spacing w:line="240" w:lineRule="auto"/>
        <w:rPr>
          <w:noProof/>
          <w:szCs w:val="22"/>
        </w:rPr>
      </w:pPr>
    </w:p>
    <w:p w14:paraId="2AA10565" w14:textId="77777777" w:rsidR="001E6DD1" w:rsidRPr="00165E31" w:rsidRDefault="001E6DD1" w:rsidP="001E6DD1">
      <w:pPr>
        <w:spacing w:line="240" w:lineRule="auto"/>
        <w:rPr>
          <w:noProof/>
          <w:szCs w:val="22"/>
        </w:rPr>
      </w:pPr>
    </w:p>
    <w:p w14:paraId="7E58B40D" w14:textId="77777777" w:rsidR="001E6DD1" w:rsidRPr="00165E31" w:rsidRDefault="001E6DD1" w:rsidP="001E6DD1">
      <w:pPr>
        <w:spacing w:line="240" w:lineRule="auto"/>
      </w:pPr>
    </w:p>
    <w:p w14:paraId="2C00580D" w14:textId="77777777" w:rsidR="001E6DD1" w:rsidRPr="00165E31" w:rsidRDefault="001E6DD1" w:rsidP="001E6DD1">
      <w:pPr>
        <w:spacing w:line="240" w:lineRule="auto"/>
      </w:pPr>
    </w:p>
    <w:p w14:paraId="243EB1FB" w14:textId="77777777" w:rsidR="001E6DD1" w:rsidRPr="00165E31" w:rsidRDefault="001E6DD1" w:rsidP="001E6DD1">
      <w:pPr>
        <w:spacing w:line="240" w:lineRule="auto"/>
      </w:pPr>
    </w:p>
    <w:p w14:paraId="143EBA0F" w14:textId="77777777" w:rsidR="001E6DD1" w:rsidRPr="00165E31" w:rsidRDefault="001E6DD1" w:rsidP="001E6DD1">
      <w:pPr>
        <w:spacing w:line="240" w:lineRule="auto"/>
      </w:pPr>
    </w:p>
    <w:p w14:paraId="45749D0D" w14:textId="77777777" w:rsidR="001E6DD1" w:rsidRPr="00165E31" w:rsidRDefault="001E6DD1" w:rsidP="001E6DD1">
      <w:pPr>
        <w:spacing w:line="240" w:lineRule="auto"/>
      </w:pPr>
    </w:p>
    <w:p w14:paraId="25B9E021" w14:textId="77777777" w:rsidR="001E6DD1" w:rsidRPr="00165E31" w:rsidRDefault="001E6DD1" w:rsidP="001E6DD1">
      <w:pPr>
        <w:spacing w:line="240" w:lineRule="auto"/>
        <w:rPr>
          <w:noProof/>
          <w:szCs w:val="22"/>
        </w:rPr>
      </w:pPr>
    </w:p>
    <w:p w14:paraId="66D814BF" w14:textId="77777777" w:rsidR="001E6DD1" w:rsidRPr="00165E31" w:rsidRDefault="001E6DD1" w:rsidP="001E6DD1">
      <w:pPr>
        <w:spacing w:line="240" w:lineRule="auto"/>
        <w:rPr>
          <w:noProof/>
          <w:szCs w:val="22"/>
        </w:rPr>
      </w:pPr>
    </w:p>
    <w:p w14:paraId="0AA0DD86" w14:textId="77777777" w:rsidR="001E6DD1" w:rsidRPr="00165E31" w:rsidRDefault="001E6DD1" w:rsidP="001E6DD1">
      <w:pPr>
        <w:rPr>
          <w:noProof/>
        </w:rPr>
      </w:pPr>
    </w:p>
    <w:p w14:paraId="585F1400" w14:textId="77777777" w:rsidR="001E6DD1" w:rsidRPr="00165E31" w:rsidRDefault="001E6DD1" w:rsidP="001E6DD1">
      <w:pPr>
        <w:rPr>
          <w:noProof/>
        </w:rPr>
      </w:pPr>
    </w:p>
    <w:p w14:paraId="528F384A" w14:textId="77777777" w:rsidR="001E6DD1" w:rsidRPr="00165E31" w:rsidRDefault="001E6DD1" w:rsidP="001E6DD1">
      <w:pPr>
        <w:rPr>
          <w:noProof/>
        </w:rPr>
      </w:pPr>
    </w:p>
    <w:p w14:paraId="5B6F4520" w14:textId="77777777" w:rsidR="001E6DD1" w:rsidRPr="00165E31" w:rsidRDefault="001E6DD1" w:rsidP="001E6DD1">
      <w:pPr>
        <w:spacing w:line="240" w:lineRule="auto"/>
        <w:rPr>
          <w:noProof/>
          <w:szCs w:val="22"/>
        </w:rPr>
      </w:pPr>
    </w:p>
    <w:p w14:paraId="56BBB916" w14:textId="77777777" w:rsidR="001E6DD1" w:rsidRPr="00165E31" w:rsidRDefault="001E6DD1" w:rsidP="001E6DD1">
      <w:pPr>
        <w:spacing w:line="240" w:lineRule="auto"/>
        <w:rPr>
          <w:noProof/>
          <w:szCs w:val="22"/>
        </w:rPr>
      </w:pPr>
    </w:p>
    <w:p w14:paraId="7AB8605F" w14:textId="77777777" w:rsidR="001E6DD1" w:rsidRPr="00165E31" w:rsidRDefault="001E6DD1" w:rsidP="001E6DD1">
      <w:pPr>
        <w:spacing w:line="240" w:lineRule="auto"/>
        <w:rPr>
          <w:noProof/>
          <w:szCs w:val="22"/>
        </w:rPr>
      </w:pPr>
    </w:p>
    <w:p w14:paraId="0E56257C" w14:textId="77777777" w:rsidR="001E6DD1" w:rsidRPr="00165E31" w:rsidRDefault="001E6DD1" w:rsidP="001E6DD1">
      <w:pPr>
        <w:spacing w:line="240" w:lineRule="auto"/>
        <w:rPr>
          <w:noProof/>
          <w:szCs w:val="22"/>
        </w:rPr>
      </w:pPr>
    </w:p>
    <w:p w14:paraId="19E8BB06" w14:textId="77777777" w:rsidR="001E6DD1" w:rsidRPr="00165E31" w:rsidRDefault="001E6DD1" w:rsidP="001E6DD1">
      <w:pPr>
        <w:spacing w:line="240" w:lineRule="auto"/>
        <w:rPr>
          <w:noProof/>
          <w:szCs w:val="22"/>
        </w:rPr>
      </w:pPr>
    </w:p>
    <w:p w14:paraId="105B98C5" w14:textId="77777777" w:rsidR="001E6DD1" w:rsidRPr="00165E31" w:rsidRDefault="001E6DD1" w:rsidP="001E6DD1">
      <w:pPr>
        <w:spacing w:line="240" w:lineRule="auto"/>
        <w:rPr>
          <w:noProof/>
          <w:szCs w:val="22"/>
        </w:rPr>
      </w:pPr>
    </w:p>
    <w:p w14:paraId="25006AE6" w14:textId="77777777" w:rsidR="001E6DD1" w:rsidRPr="00165E31" w:rsidRDefault="001E6DD1" w:rsidP="001E6DD1">
      <w:pPr>
        <w:spacing w:line="240" w:lineRule="auto"/>
        <w:rPr>
          <w:noProof/>
          <w:szCs w:val="22"/>
        </w:rPr>
      </w:pPr>
    </w:p>
    <w:p w14:paraId="1C11CF46" w14:textId="77777777" w:rsidR="001E6DD1" w:rsidRPr="00165E31" w:rsidRDefault="001E6DD1" w:rsidP="001E6DD1">
      <w:pPr>
        <w:spacing w:line="240" w:lineRule="auto"/>
        <w:rPr>
          <w:noProof/>
          <w:szCs w:val="22"/>
        </w:rPr>
      </w:pPr>
    </w:p>
    <w:p w14:paraId="72498279" w14:textId="77777777" w:rsidR="001E6DD1" w:rsidRPr="00165E31" w:rsidRDefault="00430718" w:rsidP="001E6DD1">
      <w:pPr>
        <w:spacing w:line="240" w:lineRule="auto"/>
        <w:jc w:val="center"/>
        <w:outlineLvl w:val="0"/>
        <w:rPr>
          <w:b/>
          <w:noProof/>
          <w:szCs w:val="22"/>
        </w:rPr>
      </w:pPr>
      <w:r w:rsidRPr="00165E31">
        <w:rPr>
          <w:b/>
          <w:noProof/>
        </w:rPr>
        <w:t>III PIELIKUMS</w:t>
      </w:r>
    </w:p>
    <w:p w14:paraId="091F5831" w14:textId="77777777" w:rsidR="001E6DD1" w:rsidRPr="00165E31" w:rsidRDefault="001E6DD1" w:rsidP="001E6DD1">
      <w:pPr>
        <w:rPr>
          <w:noProof/>
        </w:rPr>
      </w:pPr>
    </w:p>
    <w:p w14:paraId="12870993" w14:textId="77777777" w:rsidR="001E6DD1" w:rsidRPr="00165E31" w:rsidRDefault="00430718" w:rsidP="001E6DD1">
      <w:pPr>
        <w:spacing w:line="240" w:lineRule="auto"/>
        <w:jc w:val="center"/>
        <w:outlineLvl w:val="0"/>
        <w:rPr>
          <w:b/>
          <w:noProof/>
          <w:szCs w:val="22"/>
        </w:rPr>
      </w:pPr>
      <w:r w:rsidRPr="00165E31">
        <w:rPr>
          <w:b/>
          <w:noProof/>
        </w:rPr>
        <w:t>MARĶĒJUMA TEKSTS UN LIETOŠANAS INSTRUKCIJA</w:t>
      </w:r>
    </w:p>
    <w:p w14:paraId="6187019A" w14:textId="77777777" w:rsidR="001E6DD1" w:rsidRPr="00165E31" w:rsidRDefault="00430718" w:rsidP="001E6DD1">
      <w:pPr>
        <w:rPr>
          <w:noProof/>
        </w:rPr>
      </w:pPr>
      <w:r w:rsidRPr="00165E31">
        <w:br w:type="page"/>
      </w:r>
    </w:p>
    <w:p w14:paraId="13554970" w14:textId="77777777" w:rsidR="001E6DD1" w:rsidRPr="00165E31" w:rsidRDefault="001E6DD1" w:rsidP="001E6DD1">
      <w:pPr>
        <w:rPr>
          <w:noProof/>
        </w:rPr>
      </w:pPr>
    </w:p>
    <w:p w14:paraId="49EF1505" w14:textId="77777777" w:rsidR="001E6DD1" w:rsidRPr="00165E31" w:rsidRDefault="001E6DD1" w:rsidP="001E6DD1">
      <w:pPr>
        <w:rPr>
          <w:noProof/>
        </w:rPr>
      </w:pPr>
    </w:p>
    <w:p w14:paraId="740637A8" w14:textId="77777777" w:rsidR="001E6DD1" w:rsidRPr="00165E31" w:rsidRDefault="001E6DD1" w:rsidP="001E6DD1">
      <w:pPr>
        <w:rPr>
          <w:noProof/>
        </w:rPr>
      </w:pPr>
    </w:p>
    <w:p w14:paraId="2D9215E1" w14:textId="77777777" w:rsidR="001E6DD1" w:rsidRPr="00165E31" w:rsidRDefault="001E6DD1" w:rsidP="001E6DD1">
      <w:pPr>
        <w:rPr>
          <w:noProof/>
        </w:rPr>
      </w:pPr>
    </w:p>
    <w:p w14:paraId="585E174D" w14:textId="77777777" w:rsidR="001E6DD1" w:rsidRPr="00165E31" w:rsidRDefault="001E6DD1" w:rsidP="001E6DD1">
      <w:pPr>
        <w:rPr>
          <w:noProof/>
        </w:rPr>
      </w:pPr>
    </w:p>
    <w:p w14:paraId="2CB0D883" w14:textId="77777777" w:rsidR="001E6DD1" w:rsidRPr="00165E31" w:rsidRDefault="001E6DD1" w:rsidP="001E6DD1">
      <w:pPr>
        <w:rPr>
          <w:noProof/>
        </w:rPr>
      </w:pPr>
    </w:p>
    <w:p w14:paraId="176EF6E1" w14:textId="77777777" w:rsidR="001E6DD1" w:rsidRPr="00165E31" w:rsidRDefault="001E6DD1" w:rsidP="001E6DD1">
      <w:pPr>
        <w:rPr>
          <w:noProof/>
        </w:rPr>
      </w:pPr>
    </w:p>
    <w:p w14:paraId="1701CEB0" w14:textId="77777777" w:rsidR="001E6DD1" w:rsidRPr="00165E31" w:rsidRDefault="001E6DD1" w:rsidP="001E6DD1">
      <w:pPr>
        <w:rPr>
          <w:noProof/>
        </w:rPr>
      </w:pPr>
    </w:p>
    <w:p w14:paraId="3B62EB36" w14:textId="77777777" w:rsidR="001E6DD1" w:rsidRPr="00165E31" w:rsidRDefault="001E6DD1" w:rsidP="001E6DD1">
      <w:pPr>
        <w:rPr>
          <w:noProof/>
        </w:rPr>
      </w:pPr>
    </w:p>
    <w:p w14:paraId="5CE65613" w14:textId="77777777" w:rsidR="001E6DD1" w:rsidRPr="00165E31" w:rsidRDefault="001E6DD1" w:rsidP="001E6DD1">
      <w:pPr>
        <w:rPr>
          <w:noProof/>
        </w:rPr>
      </w:pPr>
    </w:p>
    <w:p w14:paraId="0B81007B" w14:textId="77777777" w:rsidR="001E6DD1" w:rsidRPr="00165E31" w:rsidRDefault="001E6DD1" w:rsidP="001E6DD1">
      <w:pPr>
        <w:rPr>
          <w:noProof/>
        </w:rPr>
      </w:pPr>
    </w:p>
    <w:p w14:paraId="6EFC1F89" w14:textId="77777777" w:rsidR="001E6DD1" w:rsidRPr="00165E31" w:rsidRDefault="001E6DD1" w:rsidP="001E6DD1">
      <w:pPr>
        <w:rPr>
          <w:noProof/>
        </w:rPr>
      </w:pPr>
    </w:p>
    <w:p w14:paraId="5952B517" w14:textId="77777777" w:rsidR="001E6DD1" w:rsidRPr="00165E31" w:rsidRDefault="001E6DD1" w:rsidP="001E6DD1">
      <w:pPr>
        <w:rPr>
          <w:noProof/>
        </w:rPr>
      </w:pPr>
    </w:p>
    <w:p w14:paraId="54FA29F7" w14:textId="77777777" w:rsidR="001E6DD1" w:rsidRPr="00165E31" w:rsidRDefault="001E6DD1" w:rsidP="001E6DD1">
      <w:pPr>
        <w:rPr>
          <w:noProof/>
        </w:rPr>
      </w:pPr>
    </w:p>
    <w:p w14:paraId="1C28D72D" w14:textId="77777777" w:rsidR="001E6DD1" w:rsidRPr="00165E31" w:rsidRDefault="001E6DD1" w:rsidP="001E6DD1">
      <w:pPr>
        <w:rPr>
          <w:noProof/>
        </w:rPr>
      </w:pPr>
    </w:p>
    <w:p w14:paraId="65D3A925" w14:textId="77777777" w:rsidR="001E6DD1" w:rsidRPr="00165E31" w:rsidRDefault="001E6DD1" w:rsidP="001E6DD1">
      <w:pPr>
        <w:rPr>
          <w:noProof/>
        </w:rPr>
      </w:pPr>
    </w:p>
    <w:p w14:paraId="040CDB71" w14:textId="77777777" w:rsidR="001E6DD1" w:rsidRPr="00165E31" w:rsidRDefault="001E6DD1" w:rsidP="001E6DD1">
      <w:pPr>
        <w:rPr>
          <w:noProof/>
        </w:rPr>
      </w:pPr>
    </w:p>
    <w:p w14:paraId="7C4B4036" w14:textId="77777777" w:rsidR="001E6DD1" w:rsidRPr="00165E31" w:rsidRDefault="001E6DD1" w:rsidP="001E6DD1">
      <w:pPr>
        <w:rPr>
          <w:noProof/>
        </w:rPr>
      </w:pPr>
    </w:p>
    <w:p w14:paraId="6DEB405D" w14:textId="77777777" w:rsidR="001E6DD1" w:rsidRPr="00165E31" w:rsidRDefault="001E6DD1" w:rsidP="001E6DD1">
      <w:pPr>
        <w:rPr>
          <w:noProof/>
        </w:rPr>
      </w:pPr>
    </w:p>
    <w:p w14:paraId="75112D96" w14:textId="77777777" w:rsidR="001E6DD1" w:rsidRPr="00165E31" w:rsidRDefault="001E6DD1" w:rsidP="001E6DD1">
      <w:pPr>
        <w:rPr>
          <w:noProof/>
        </w:rPr>
      </w:pPr>
    </w:p>
    <w:p w14:paraId="2F0ED2CC" w14:textId="77777777" w:rsidR="001E6DD1" w:rsidRPr="00165E31" w:rsidRDefault="001E6DD1" w:rsidP="001E6DD1">
      <w:pPr>
        <w:rPr>
          <w:noProof/>
        </w:rPr>
      </w:pPr>
    </w:p>
    <w:p w14:paraId="66B9A6F6" w14:textId="77777777" w:rsidR="001E6DD1" w:rsidRPr="00165E31" w:rsidRDefault="001E6DD1" w:rsidP="001E6DD1">
      <w:pPr>
        <w:rPr>
          <w:noProof/>
        </w:rPr>
      </w:pPr>
    </w:p>
    <w:p w14:paraId="7B4716D0" w14:textId="77777777" w:rsidR="001E6DD1" w:rsidRPr="00165E31" w:rsidRDefault="00430718" w:rsidP="001E6DD1">
      <w:pPr>
        <w:pStyle w:val="ListParagraph"/>
        <w:numPr>
          <w:ilvl w:val="0"/>
          <w:numId w:val="31"/>
        </w:numPr>
        <w:spacing w:line="240" w:lineRule="auto"/>
        <w:ind w:left="357" w:hanging="357"/>
        <w:jc w:val="center"/>
        <w:outlineLvl w:val="0"/>
        <w:rPr>
          <w:noProof/>
          <w:szCs w:val="22"/>
        </w:rPr>
      </w:pPr>
      <w:r w:rsidRPr="00165E31">
        <w:rPr>
          <w:b/>
          <w:noProof/>
        </w:rPr>
        <w:t>MARĶĒJUMA TEKSTS</w:t>
      </w:r>
    </w:p>
    <w:p w14:paraId="71431588" w14:textId="77777777" w:rsidR="001E6DD1" w:rsidRPr="00165E31" w:rsidRDefault="00430718" w:rsidP="001E6DD1">
      <w:pPr>
        <w:shd w:val="clear" w:color="auto" w:fill="FFFFFF"/>
        <w:spacing w:line="240" w:lineRule="auto"/>
        <w:rPr>
          <w:noProof/>
          <w:szCs w:val="22"/>
        </w:rPr>
      </w:pPr>
      <w:r w:rsidRPr="00165E31">
        <w:br w:type="page"/>
      </w:r>
    </w:p>
    <w:p w14:paraId="359DF8DE" w14:textId="77777777" w:rsidR="001E6DD1" w:rsidRPr="00165E31" w:rsidRDefault="00430718" w:rsidP="001E6DD1">
      <w:pPr>
        <w:pBdr>
          <w:top w:val="single" w:sz="4" w:space="0" w:color="auto"/>
          <w:left w:val="single" w:sz="4" w:space="4" w:color="auto"/>
          <w:bottom w:val="single" w:sz="4" w:space="1" w:color="auto"/>
          <w:right w:val="single" w:sz="4" w:space="4" w:color="auto"/>
        </w:pBdr>
        <w:spacing w:line="240" w:lineRule="auto"/>
        <w:rPr>
          <w:b/>
          <w:noProof/>
          <w:szCs w:val="22"/>
        </w:rPr>
      </w:pPr>
      <w:r w:rsidRPr="00165E31">
        <w:rPr>
          <w:b/>
          <w:noProof/>
        </w:rPr>
        <w:lastRenderedPageBreak/>
        <w:t xml:space="preserve">INFORMĀCIJA, KAS JĀNORĀDA UZ ĀRĒJĀ </w:t>
      </w:r>
      <w:r w:rsidRPr="00165E31">
        <w:rPr>
          <w:b/>
          <w:noProof/>
        </w:rPr>
        <w:t>IEPAKOJUMA</w:t>
      </w:r>
    </w:p>
    <w:p w14:paraId="08613D3C" w14:textId="77777777" w:rsidR="001E6DD1" w:rsidRPr="00165E31" w:rsidRDefault="001E6DD1" w:rsidP="001E6DD1">
      <w:pPr>
        <w:pBdr>
          <w:top w:val="single" w:sz="4" w:space="0" w:color="auto"/>
          <w:left w:val="single" w:sz="4" w:space="4" w:color="auto"/>
          <w:bottom w:val="single" w:sz="4" w:space="1" w:color="auto"/>
          <w:right w:val="single" w:sz="4" w:space="4" w:color="auto"/>
        </w:pBdr>
        <w:spacing w:line="240" w:lineRule="auto"/>
        <w:ind w:left="567" w:hanging="567"/>
        <w:rPr>
          <w:bCs/>
          <w:noProof/>
          <w:szCs w:val="22"/>
        </w:rPr>
      </w:pPr>
    </w:p>
    <w:p w14:paraId="1576DF72" w14:textId="77777777" w:rsidR="001E6DD1" w:rsidRPr="00165E31" w:rsidRDefault="00430718" w:rsidP="001E6DD1">
      <w:pPr>
        <w:pBdr>
          <w:top w:val="single" w:sz="4" w:space="0" w:color="auto"/>
          <w:left w:val="single" w:sz="4" w:space="4" w:color="auto"/>
          <w:bottom w:val="single" w:sz="4" w:space="1" w:color="auto"/>
          <w:right w:val="single" w:sz="4" w:space="4" w:color="auto"/>
        </w:pBdr>
        <w:spacing w:line="240" w:lineRule="auto"/>
        <w:rPr>
          <w:bCs/>
          <w:noProof/>
          <w:szCs w:val="22"/>
        </w:rPr>
      </w:pPr>
      <w:r w:rsidRPr="00165E31">
        <w:rPr>
          <w:b/>
          <w:noProof/>
        </w:rPr>
        <w:t>ĀRĒJAIS KARTONA IEPAKOJUMS</w:t>
      </w:r>
    </w:p>
    <w:p w14:paraId="0C66D82E" w14:textId="77777777" w:rsidR="001E6DD1" w:rsidRPr="00165E31" w:rsidRDefault="001E6DD1" w:rsidP="001E6DD1">
      <w:pPr>
        <w:spacing w:line="240" w:lineRule="auto"/>
      </w:pPr>
    </w:p>
    <w:p w14:paraId="6080264A" w14:textId="77777777" w:rsidR="001E6DD1" w:rsidRPr="00165E31" w:rsidRDefault="001E6DD1" w:rsidP="001E6DD1">
      <w:pPr>
        <w:spacing w:line="240" w:lineRule="auto"/>
        <w:rPr>
          <w:noProof/>
          <w:szCs w:val="22"/>
        </w:rPr>
      </w:pPr>
    </w:p>
    <w:p w14:paraId="2F49CCF6"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165E31">
        <w:rPr>
          <w:b/>
        </w:rPr>
        <w:t>ZĀĻU NOSAUKUMS</w:t>
      </w:r>
    </w:p>
    <w:p w14:paraId="3D48B84F" w14:textId="77777777" w:rsidR="001E6DD1" w:rsidRPr="00165E31" w:rsidRDefault="001E6DD1" w:rsidP="001E6DD1">
      <w:pPr>
        <w:spacing w:line="240" w:lineRule="auto"/>
        <w:rPr>
          <w:noProof/>
          <w:szCs w:val="22"/>
        </w:rPr>
      </w:pPr>
    </w:p>
    <w:p w14:paraId="29D3785B" w14:textId="51B038A1" w:rsidR="001E6DD1" w:rsidRPr="00165E31" w:rsidRDefault="00430718" w:rsidP="001E6DD1">
      <w:pPr>
        <w:rPr>
          <w:noProof/>
          <w:szCs w:val="22"/>
        </w:rPr>
      </w:pPr>
      <w:r w:rsidRPr="00165E31">
        <w:rPr>
          <w:i/>
        </w:rPr>
        <w:t>Cuprior</w:t>
      </w:r>
      <w:r w:rsidRPr="00165E31">
        <w:t xml:space="preserve"> 150 mg </w:t>
      </w:r>
      <w:r w:rsidR="00EC4526" w:rsidRPr="00165E31">
        <w:t>apvalkot</w:t>
      </w:r>
      <w:r w:rsidR="00CC2456" w:rsidRPr="00165E31">
        <w:t>ā</w:t>
      </w:r>
      <w:r w:rsidR="00EC4526" w:rsidRPr="00165E31">
        <w:t xml:space="preserve">s </w:t>
      </w:r>
      <w:r w:rsidRPr="00165E31">
        <w:t xml:space="preserve">tabletes </w:t>
      </w:r>
    </w:p>
    <w:p w14:paraId="30BD03BE" w14:textId="77777777" w:rsidR="001E6DD1" w:rsidRPr="00165E31" w:rsidRDefault="00430718" w:rsidP="001E6DD1">
      <w:pPr>
        <w:spacing w:line="240" w:lineRule="auto"/>
        <w:rPr>
          <w:b/>
          <w:szCs w:val="22"/>
        </w:rPr>
      </w:pPr>
      <w:r w:rsidRPr="00165E31">
        <w:t>trientine</w:t>
      </w:r>
      <w:r w:rsidRPr="00165E31">
        <w:rPr>
          <w:b/>
        </w:rPr>
        <w:t xml:space="preserve"> </w:t>
      </w:r>
    </w:p>
    <w:p w14:paraId="5E454AD7" w14:textId="77777777" w:rsidR="001E6DD1" w:rsidRPr="00165E31" w:rsidRDefault="001E6DD1" w:rsidP="001E6DD1">
      <w:pPr>
        <w:spacing w:line="240" w:lineRule="auto"/>
        <w:rPr>
          <w:noProof/>
          <w:szCs w:val="22"/>
        </w:rPr>
      </w:pPr>
    </w:p>
    <w:p w14:paraId="23550A80" w14:textId="77777777" w:rsidR="001E6DD1" w:rsidRPr="00165E31" w:rsidRDefault="001E6DD1" w:rsidP="001E6DD1">
      <w:pPr>
        <w:spacing w:line="240" w:lineRule="auto"/>
        <w:rPr>
          <w:noProof/>
          <w:szCs w:val="22"/>
        </w:rPr>
      </w:pPr>
    </w:p>
    <w:p w14:paraId="108095A9"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AKTĪVĀS(-O) VIELAS(-U) NOSAUKUMS(-I) UN DAUDZUMS(-I)</w:t>
      </w:r>
    </w:p>
    <w:p w14:paraId="2FFA40F9" w14:textId="77777777" w:rsidR="001E6DD1" w:rsidRPr="00165E31" w:rsidRDefault="001E6DD1" w:rsidP="001E6DD1">
      <w:pPr>
        <w:spacing w:line="240" w:lineRule="auto"/>
        <w:rPr>
          <w:noProof/>
          <w:szCs w:val="22"/>
        </w:rPr>
      </w:pPr>
    </w:p>
    <w:p w14:paraId="2E9B5C5C" w14:textId="77777777" w:rsidR="001E6DD1" w:rsidRPr="00165E31" w:rsidRDefault="00430718" w:rsidP="001E6DD1">
      <w:pPr>
        <w:widowControl w:val="0"/>
      </w:pPr>
      <w:r w:rsidRPr="00165E31">
        <w:t xml:space="preserve">Katra </w:t>
      </w:r>
      <w:r w:rsidR="00A55E99" w:rsidRPr="00165E31">
        <w:t xml:space="preserve">apvalkotā </w:t>
      </w:r>
      <w:r w:rsidRPr="00165E31">
        <w:t xml:space="preserve">tablete satur trientīna tetrahidrohlorīdu, kas atbilst 150 mg </w:t>
      </w:r>
      <w:r w:rsidRPr="00165E31">
        <w:t>trientīna.</w:t>
      </w:r>
    </w:p>
    <w:p w14:paraId="56E02EE2" w14:textId="77777777" w:rsidR="001E6DD1" w:rsidRPr="00165E31" w:rsidRDefault="001E6DD1" w:rsidP="001E6DD1">
      <w:pPr>
        <w:spacing w:line="240" w:lineRule="auto"/>
        <w:rPr>
          <w:noProof/>
          <w:szCs w:val="22"/>
        </w:rPr>
      </w:pPr>
    </w:p>
    <w:p w14:paraId="7173695E"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PALĪGVIELU SARAKSTS</w:t>
      </w:r>
    </w:p>
    <w:p w14:paraId="739E301C" w14:textId="77777777" w:rsidR="001E6DD1" w:rsidRPr="00165E31" w:rsidRDefault="001E6DD1" w:rsidP="001E6DD1">
      <w:pPr>
        <w:spacing w:line="240" w:lineRule="auto"/>
        <w:rPr>
          <w:noProof/>
          <w:szCs w:val="22"/>
        </w:rPr>
      </w:pPr>
    </w:p>
    <w:p w14:paraId="16A890D8" w14:textId="77777777" w:rsidR="001E6DD1" w:rsidRPr="00165E31" w:rsidRDefault="001E6DD1" w:rsidP="001E6DD1">
      <w:pPr>
        <w:spacing w:line="240" w:lineRule="auto"/>
        <w:rPr>
          <w:noProof/>
          <w:szCs w:val="22"/>
        </w:rPr>
      </w:pPr>
    </w:p>
    <w:p w14:paraId="5BC96CE2"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ZĀĻU FORMA UN SATURS</w:t>
      </w:r>
    </w:p>
    <w:p w14:paraId="5962FFB4" w14:textId="77777777" w:rsidR="001E6DD1" w:rsidRPr="00165E31" w:rsidRDefault="001E6DD1" w:rsidP="001E6DD1">
      <w:pPr>
        <w:rPr>
          <w:noProof/>
          <w:szCs w:val="22"/>
        </w:rPr>
      </w:pPr>
    </w:p>
    <w:p w14:paraId="45F881EB" w14:textId="7C68EEE1" w:rsidR="001E6DD1" w:rsidRPr="00165E31" w:rsidRDefault="00430718" w:rsidP="001E6DD1">
      <w:pPr>
        <w:rPr>
          <w:noProof/>
          <w:szCs w:val="22"/>
        </w:rPr>
      </w:pPr>
      <w:r w:rsidRPr="00165E31">
        <w:rPr>
          <w:noProof/>
          <w:highlight w:val="lightGray"/>
        </w:rPr>
        <w:t>Apvalkot</w:t>
      </w:r>
      <w:r w:rsidR="00CC2456" w:rsidRPr="00165E31">
        <w:rPr>
          <w:noProof/>
          <w:highlight w:val="lightGray"/>
        </w:rPr>
        <w:t>ā</w:t>
      </w:r>
      <w:r w:rsidRPr="00165E31">
        <w:rPr>
          <w:noProof/>
          <w:highlight w:val="lightGray"/>
        </w:rPr>
        <w:t xml:space="preserve"> t</w:t>
      </w:r>
      <w:r w:rsidR="00975D83" w:rsidRPr="00165E31">
        <w:rPr>
          <w:noProof/>
          <w:highlight w:val="lightGray"/>
        </w:rPr>
        <w:t>ablete</w:t>
      </w:r>
    </w:p>
    <w:p w14:paraId="699CF2EE" w14:textId="5F2E97FA" w:rsidR="001E6DD1" w:rsidRPr="00165E31" w:rsidRDefault="00430718" w:rsidP="001E6DD1">
      <w:r w:rsidRPr="00165E31">
        <w:t>72 </w:t>
      </w:r>
      <w:r w:rsidR="00A55E99" w:rsidRPr="00165E31">
        <w:t>apvalkot</w:t>
      </w:r>
      <w:r w:rsidR="00CC2456" w:rsidRPr="00165E31">
        <w:t>ā</w:t>
      </w:r>
      <w:r w:rsidR="00A55E99" w:rsidRPr="00165E31">
        <w:t xml:space="preserve">s </w:t>
      </w:r>
      <w:r w:rsidRPr="00165E31">
        <w:t>tabletes</w:t>
      </w:r>
    </w:p>
    <w:p w14:paraId="198929CA" w14:textId="15F51A03" w:rsidR="00A8404A" w:rsidRPr="00165E31" w:rsidRDefault="00430718" w:rsidP="001E6DD1">
      <w:pPr>
        <w:rPr>
          <w:noProof/>
          <w:szCs w:val="22"/>
        </w:rPr>
      </w:pPr>
      <w:r w:rsidRPr="00165E31">
        <w:rPr>
          <w:noProof/>
          <w:szCs w:val="22"/>
        </w:rPr>
        <w:t>96 apvalkotās tabletes</w:t>
      </w:r>
    </w:p>
    <w:p w14:paraId="45207724" w14:textId="77777777" w:rsidR="001E6DD1" w:rsidRPr="00165E31" w:rsidRDefault="001E6DD1" w:rsidP="001E6DD1">
      <w:pPr>
        <w:spacing w:line="240" w:lineRule="auto"/>
        <w:rPr>
          <w:noProof/>
          <w:szCs w:val="22"/>
        </w:rPr>
      </w:pPr>
    </w:p>
    <w:p w14:paraId="09878263" w14:textId="77777777" w:rsidR="001E6DD1" w:rsidRPr="00165E31" w:rsidRDefault="001E6DD1" w:rsidP="001E6DD1">
      <w:pPr>
        <w:spacing w:line="240" w:lineRule="auto"/>
        <w:rPr>
          <w:noProof/>
          <w:szCs w:val="22"/>
        </w:rPr>
      </w:pPr>
    </w:p>
    <w:p w14:paraId="2EA1CF6E"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LIETOŠANAS UN IEVADĪŠANAS VEIDS(-I)</w:t>
      </w:r>
    </w:p>
    <w:p w14:paraId="109F8309" w14:textId="77777777" w:rsidR="001E6DD1" w:rsidRPr="00165E31" w:rsidRDefault="001E6DD1" w:rsidP="001E6DD1">
      <w:pPr>
        <w:spacing w:line="240" w:lineRule="auto"/>
        <w:rPr>
          <w:noProof/>
          <w:szCs w:val="22"/>
        </w:rPr>
      </w:pPr>
    </w:p>
    <w:p w14:paraId="52729C1A" w14:textId="77777777" w:rsidR="001E6DD1" w:rsidRPr="00165E31" w:rsidRDefault="00430718" w:rsidP="001E6DD1">
      <w:pPr>
        <w:rPr>
          <w:noProof/>
          <w:szCs w:val="22"/>
        </w:rPr>
      </w:pPr>
      <w:r w:rsidRPr="00165E31">
        <w:t>Pirms lietošanas izlasiet lietošanas instrukciju.</w:t>
      </w:r>
    </w:p>
    <w:p w14:paraId="11DB7541" w14:textId="77777777" w:rsidR="001E6DD1" w:rsidRPr="00165E31" w:rsidRDefault="00430718" w:rsidP="001E6DD1">
      <w:r w:rsidRPr="00165E31">
        <w:t xml:space="preserve">Lietošanas instrukcija pieejama vietnē </w:t>
      </w:r>
      <w:r w:rsidRPr="00165E31">
        <w:rPr>
          <w:i/>
          <w:noProof/>
          <w:highlight w:val="lightGray"/>
        </w:rPr>
        <w:t>jāieviet</w:t>
      </w:r>
      <w:r w:rsidRPr="00165E31">
        <w:rPr>
          <w:i/>
          <w:noProof/>
          <w:highlight w:val="lightGray"/>
        </w:rPr>
        <w:t>o QR kods</w:t>
      </w:r>
      <w:r w:rsidRPr="00165E31">
        <w:t xml:space="preserve"> </w:t>
      </w:r>
      <w:hyperlink r:id="rId13" w:history="1">
        <w:r w:rsidRPr="00165E31">
          <w:rPr>
            <w:rStyle w:val="Hyperlink"/>
          </w:rPr>
          <w:t>http://www.cuprior.com</w:t>
        </w:r>
      </w:hyperlink>
    </w:p>
    <w:p w14:paraId="2B2DEFFE" w14:textId="77777777" w:rsidR="001E6DD1" w:rsidRPr="00165E31" w:rsidRDefault="001E6DD1" w:rsidP="001E6DD1">
      <w:pPr>
        <w:spacing w:line="240" w:lineRule="auto"/>
        <w:rPr>
          <w:noProof/>
          <w:szCs w:val="22"/>
        </w:rPr>
      </w:pPr>
    </w:p>
    <w:p w14:paraId="1C5CB1A7" w14:textId="77777777" w:rsidR="001E6DD1" w:rsidRPr="00165E31" w:rsidRDefault="00430718" w:rsidP="001E6DD1">
      <w:pPr>
        <w:rPr>
          <w:noProof/>
          <w:szCs w:val="22"/>
        </w:rPr>
      </w:pPr>
      <w:r w:rsidRPr="00165E31">
        <w:t>Iekšķīgai lietošanai.</w:t>
      </w:r>
    </w:p>
    <w:p w14:paraId="2B1806FF" w14:textId="77777777" w:rsidR="001E6DD1" w:rsidRPr="00165E31" w:rsidRDefault="001E6DD1" w:rsidP="001E6DD1">
      <w:pPr>
        <w:spacing w:line="240" w:lineRule="auto"/>
        <w:rPr>
          <w:noProof/>
          <w:szCs w:val="22"/>
        </w:rPr>
      </w:pPr>
    </w:p>
    <w:p w14:paraId="53D1285F" w14:textId="77777777" w:rsidR="001E6DD1" w:rsidRPr="00165E31" w:rsidRDefault="001E6DD1" w:rsidP="001E6DD1">
      <w:pPr>
        <w:spacing w:line="240" w:lineRule="auto"/>
        <w:rPr>
          <w:noProof/>
          <w:szCs w:val="22"/>
        </w:rPr>
      </w:pPr>
    </w:p>
    <w:p w14:paraId="1A06A625"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ĪPAŠI BRĪDINĀJUMI PAR ZĀĻU UZGLABĀŠANU BĒRNIEM NEREDZAMĀ UN NEPIEEJAMĀ VIETĀ</w:t>
      </w:r>
    </w:p>
    <w:p w14:paraId="0C20A6EC" w14:textId="77777777" w:rsidR="001E6DD1" w:rsidRPr="00165E31" w:rsidRDefault="001E6DD1" w:rsidP="001E6DD1">
      <w:pPr>
        <w:spacing w:line="240" w:lineRule="auto"/>
        <w:rPr>
          <w:noProof/>
          <w:szCs w:val="22"/>
        </w:rPr>
      </w:pPr>
    </w:p>
    <w:p w14:paraId="5BB0582A" w14:textId="77777777" w:rsidR="001E6DD1" w:rsidRPr="00165E31" w:rsidRDefault="00430718" w:rsidP="001E6DD1">
      <w:pPr>
        <w:tabs>
          <w:tab w:val="left" w:pos="749"/>
        </w:tabs>
        <w:spacing w:line="240" w:lineRule="auto"/>
        <w:rPr>
          <w:noProof/>
          <w:szCs w:val="22"/>
        </w:rPr>
      </w:pPr>
      <w:r w:rsidRPr="00165E31">
        <w:t>Uzglabāt bērniem neredzamā un nepieejamā vietā.</w:t>
      </w:r>
    </w:p>
    <w:p w14:paraId="17333873" w14:textId="77777777" w:rsidR="001E6DD1" w:rsidRPr="00165E31" w:rsidRDefault="001E6DD1" w:rsidP="001E6DD1">
      <w:pPr>
        <w:spacing w:line="240" w:lineRule="auto"/>
        <w:rPr>
          <w:noProof/>
          <w:szCs w:val="22"/>
        </w:rPr>
      </w:pPr>
    </w:p>
    <w:p w14:paraId="23094A8D" w14:textId="77777777" w:rsidR="001E6DD1" w:rsidRPr="00165E31" w:rsidRDefault="001E6DD1" w:rsidP="001E6DD1">
      <w:pPr>
        <w:spacing w:line="240" w:lineRule="auto"/>
        <w:rPr>
          <w:noProof/>
          <w:szCs w:val="22"/>
        </w:rPr>
      </w:pPr>
    </w:p>
    <w:p w14:paraId="367DD498"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 xml:space="preserve">CITI ĪPAŠI </w:t>
      </w:r>
      <w:r w:rsidRPr="00165E31">
        <w:rPr>
          <w:b/>
        </w:rPr>
        <w:t>BRĪDINĀJUMI, JA NEPIECIEŠAMS</w:t>
      </w:r>
    </w:p>
    <w:p w14:paraId="1451AF1A" w14:textId="77777777" w:rsidR="001E6DD1" w:rsidRPr="00165E31" w:rsidRDefault="001E6DD1" w:rsidP="001E6DD1">
      <w:pPr>
        <w:spacing w:line="240" w:lineRule="auto"/>
        <w:rPr>
          <w:noProof/>
          <w:szCs w:val="22"/>
        </w:rPr>
      </w:pPr>
    </w:p>
    <w:p w14:paraId="1CB730CB" w14:textId="77777777" w:rsidR="001E6DD1" w:rsidRPr="00165E31" w:rsidRDefault="00430718" w:rsidP="001E6DD1">
      <w:pPr>
        <w:tabs>
          <w:tab w:val="left" w:pos="749"/>
        </w:tabs>
        <w:spacing w:line="240" w:lineRule="auto"/>
        <w:rPr>
          <w:szCs w:val="22"/>
        </w:rPr>
      </w:pPr>
      <w:r w:rsidRPr="00165E31">
        <w:t>Zāles jālieto tukšā dūšā, vismaz vienu stundu pirms ēdienreizes vai divas stundas pēc ēdienreizes un vismaz ar vienas stundas starplaiku no jebkuru citu zāļu, pārtikas vai piena lietošanas.</w:t>
      </w:r>
    </w:p>
    <w:p w14:paraId="3AD7A600" w14:textId="77777777" w:rsidR="001E6DD1" w:rsidRPr="00165E31" w:rsidRDefault="001E6DD1" w:rsidP="001E6DD1">
      <w:pPr>
        <w:tabs>
          <w:tab w:val="left" w:pos="749"/>
        </w:tabs>
        <w:spacing w:line="240" w:lineRule="auto"/>
      </w:pPr>
    </w:p>
    <w:p w14:paraId="7E08280F" w14:textId="77777777" w:rsidR="001E6DD1" w:rsidRPr="00165E31" w:rsidRDefault="001E6DD1" w:rsidP="001E6DD1">
      <w:pPr>
        <w:tabs>
          <w:tab w:val="left" w:pos="749"/>
        </w:tabs>
        <w:spacing w:line="240" w:lineRule="auto"/>
      </w:pPr>
    </w:p>
    <w:p w14:paraId="19F5D464"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DERĪGUMA TERMIŅŠ</w:t>
      </w:r>
    </w:p>
    <w:p w14:paraId="06E1CD6F" w14:textId="77777777" w:rsidR="001E6DD1" w:rsidRPr="00165E31" w:rsidRDefault="001E6DD1" w:rsidP="001E6DD1">
      <w:pPr>
        <w:spacing w:line="240" w:lineRule="auto"/>
      </w:pPr>
    </w:p>
    <w:p w14:paraId="1F92CB48" w14:textId="77777777" w:rsidR="001E6DD1" w:rsidRPr="00165E31" w:rsidRDefault="00430718" w:rsidP="001E6DD1">
      <w:pPr>
        <w:spacing w:line="240" w:lineRule="auto"/>
        <w:rPr>
          <w:noProof/>
          <w:szCs w:val="22"/>
        </w:rPr>
      </w:pPr>
      <w:r w:rsidRPr="00165E31">
        <w:t>Derīgs līdz:</w:t>
      </w:r>
    </w:p>
    <w:p w14:paraId="5D8D4639" w14:textId="77777777" w:rsidR="001E6DD1" w:rsidRPr="00165E31" w:rsidRDefault="001E6DD1" w:rsidP="001E6DD1">
      <w:pPr>
        <w:spacing w:line="240" w:lineRule="auto"/>
        <w:rPr>
          <w:noProof/>
          <w:szCs w:val="22"/>
        </w:rPr>
      </w:pPr>
    </w:p>
    <w:p w14:paraId="0FCBD3F9" w14:textId="77777777" w:rsidR="001E6DD1" w:rsidRPr="00165E31" w:rsidRDefault="001E6DD1" w:rsidP="001E6DD1">
      <w:pPr>
        <w:spacing w:line="240" w:lineRule="auto"/>
        <w:rPr>
          <w:noProof/>
          <w:szCs w:val="22"/>
        </w:rPr>
      </w:pPr>
    </w:p>
    <w:p w14:paraId="198FB414"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Ī</w:t>
      </w:r>
      <w:r w:rsidRPr="00165E31">
        <w:rPr>
          <w:b/>
        </w:rPr>
        <w:t>PAŠI UZGLABĀŠANAS NOSACĪJUMI</w:t>
      </w:r>
    </w:p>
    <w:p w14:paraId="38FC14B8" w14:textId="77777777" w:rsidR="001E6DD1" w:rsidRPr="00165E31" w:rsidRDefault="001E6DD1" w:rsidP="001E6DD1">
      <w:pPr>
        <w:spacing w:line="240" w:lineRule="auto"/>
        <w:rPr>
          <w:noProof/>
          <w:szCs w:val="22"/>
        </w:rPr>
      </w:pPr>
    </w:p>
    <w:p w14:paraId="39B3AC30" w14:textId="77777777" w:rsidR="001E6DD1" w:rsidRPr="00165E31" w:rsidRDefault="001E6DD1" w:rsidP="001E6DD1">
      <w:pPr>
        <w:spacing w:line="240" w:lineRule="auto"/>
        <w:ind w:left="567" w:hanging="567"/>
        <w:rPr>
          <w:noProof/>
          <w:szCs w:val="22"/>
        </w:rPr>
      </w:pPr>
    </w:p>
    <w:p w14:paraId="3CE18302"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lastRenderedPageBreak/>
        <w:t>ĪPAŠI PIESARDZĪBAS PASĀKUMI, IZNĪCINOT NEIZLIETOTĀS ZĀLES VAI IZMANTOTOS MATERIĀLUS, KAS BIJUŠI SASKARĒ AR ŠĪM ZĀLĒM, JA PIEMĒROJAMS</w:t>
      </w:r>
    </w:p>
    <w:p w14:paraId="326BA7D6" w14:textId="77777777" w:rsidR="001E6DD1" w:rsidRPr="00165E31" w:rsidRDefault="001E6DD1" w:rsidP="001E6DD1">
      <w:pPr>
        <w:spacing w:line="240" w:lineRule="auto"/>
        <w:rPr>
          <w:noProof/>
          <w:szCs w:val="22"/>
        </w:rPr>
      </w:pPr>
    </w:p>
    <w:p w14:paraId="67129ADA" w14:textId="77777777" w:rsidR="001E6DD1" w:rsidRPr="00165E31" w:rsidRDefault="001E6DD1" w:rsidP="001E6DD1">
      <w:pPr>
        <w:spacing w:line="240" w:lineRule="auto"/>
        <w:rPr>
          <w:noProof/>
          <w:szCs w:val="22"/>
        </w:rPr>
      </w:pPr>
    </w:p>
    <w:p w14:paraId="4FCB7C6E"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REĢISTRĀCIJAS APLIECĪBAS ĪPAŠNIEKA NOSAUKUMS UN ADRESE</w:t>
      </w:r>
    </w:p>
    <w:p w14:paraId="4C715CA1" w14:textId="77777777" w:rsidR="001E6DD1" w:rsidRPr="00165E31" w:rsidRDefault="001E6DD1" w:rsidP="001E6DD1">
      <w:pPr>
        <w:spacing w:line="240" w:lineRule="auto"/>
        <w:rPr>
          <w:noProof/>
          <w:szCs w:val="22"/>
        </w:rPr>
      </w:pPr>
    </w:p>
    <w:p w14:paraId="33FB7012" w14:textId="2BA3EA13" w:rsidR="001E6DD1" w:rsidRPr="00165E31" w:rsidRDefault="006D02C4" w:rsidP="001E6DD1">
      <w:pPr>
        <w:rPr>
          <w:szCs w:val="22"/>
        </w:rPr>
      </w:pPr>
      <w:proofErr w:type="spellStart"/>
      <w:r>
        <w:t>Orphalan</w:t>
      </w:r>
      <w:proofErr w:type="spellEnd"/>
    </w:p>
    <w:p w14:paraId="0E001EA0" w14:textId="77777777" w:rsidR="00FB5C80" w:rsidRPr="002503BA" w:rsidRDefault="00430718" w:rsidP="00FB5C80">
      <w:pPr>
        <w:rPr>
          <w:szCs w:val="22"/>
          <w:lang w:val="fr-FR"/>
        </w:rPr>
      </w:pPr>
      <w:r w:rsidRPr="002503BA">
        <w:rPr>
          <w:szCs w:val="22"/>
          <w:lang w:val="fr-FR"/>
        </w:rPr>
        <w:t xml:space="preserve">226 </w:t>
      </w:r>
      <w:r w:rsidRPr="002503BA">
        <w:rPr>
          <w:szCs w:val="22"/>
          <w:lang w:val="fr-FR"/>
        </w:rPr>
        <w:t>Boulevard Voltaire</w:t>
      </w:r>
    </w:p>
    <w:p w14:paraId="3604959A" w14:textId="72AB031F" w:rsidR="001E6DD1" w:rsidRPr="00165E31" w:rsidRDefault="00430718" w:rsidP="001E6DD1">
      <w:pPr>
        <w:rPr>
          <w:szCs w:val="22"/>
        </w:rPr>
      </w:pPr>
      <w:r w:rsidRPr="00165E31">
        <w:t>7501</w:t>
      </w:r>
      <w:r>
        <w:t>1</w:t>
      </w:r>
      <w:r w:rsidRPr="00165E31">
        <w:t> </w:t>
      </w:r>
      <w:r w:rsidR="00975D83" w:rsidRPr="00165E31">
        <w:t>Paris, Francija</w:t>
      </w:r>
      <w:r w:rsidR="00975D83" w:rsidRPr="00165E31">
        <w:rPr>
          <w:i/>
          <w:noProof/>
        </w:rPr>
        <w:t xml:space="preserve"> </w:t>
      </w:r>
    </w:p>
    <w:p w14:paraId="68EC033E" w14:textId="77777777" w:rsidR="001E6DD1" w:rsidRPr="00165E31" w:rsidRDefault="001E6DD1" w:rsidP="001E6DD1">
      <w:pPr>
        <w:spacing w:line="240" w:lineRule="auto"/>
        <w:rPr>
          <w:noProof/>
          <w:szCs w:val="22"/>
        </w:rPr>
      </w:pPr>
    </w:p>
    <w:p w14:paraId="41455A9C" w14:textId="77777777" w:rsidR="001E6DD1" w:rsidRPr="00165E31" w:rsidRDefault="001E6DD1" w:rsidP="001E6DD1">
      <w:pPr>
        <w:spacing w:line="240" w:lineRule="auto"/>
        <w:rPr>
          <w:noProof/>
          <w:szCs w:val="22"/>
        </w:rPr>
      </w:pPr>
    </w:p>
    <w:p w14:paraId="1CB1DA88"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 xml:space="preserve">REĢISTRĀCIJAS APLIECĪBAS NUMURS(-I) </w:t>
      </w:r>
    </w:p>
    <w:p w14:paraId="6E194E4C" w14:textId="77777777" w:rsidR="00975D83" w:rsidRPr="00165E31" w:rsidRDefault="00975D83" w:rsidP="00975D83">
      <w:pPr>
        <w:spacing w:line="240" w:lineRule="auto"/>
        <w:rPr>
          <w:color w:val="000000"/>
        </w:rPr>
      </w:pPr>
    </w:p>
    <w:p w14:paraId="2135BB87" w14:textId="77777777" w:rsidR="00A8404A" w:rsidRPr="00165E31" w:rsidRDefault="00430718" w:rsidP="00A8404A">
      <w:pPr>
        <w:spacing w:line="240" w:lineRule="auto"/>
        <w:rPr>
          <w:color w:val="000000"/>
        </w:rPr>
      </w:pPr>
      <w:r w:rsidRPr="00165E31">
        <w:rPr>
          <w:color w:val="000000"/>
        </w:rPr>
        <w:t>EU/1/17/1199/001 72 apvalkotās tabletes</w:t>
      </w:r>
    </w:p>
    <w:p w14:paraId="2567ECF5" w14:textId="77777777" w:rsidR="00A8404A" w:rsidRPr="00165E31" w:rsidRDefault="00430718" w:rsidP="00A8404A">
      <w:pPr>
        <w:spacing w:line="240" w:lineRule="auto"/>
        <w:rPr>
          <w:color w:val="000000"/>
        </w:rPr>
      </w:pPr>
      <w:r w:rsidRPr="00165E31">
        <w:rPr>
          <w:color w:val="000000"/>
        </w:rPr>
        <w:t>EU/1/17/1199/002 96 apvalkotās tabletes</w:t>
      </w:r>
    </w:p>
    <w:p w14:paraId="5BDDB0F8" w14:textId="228C9C8D" w:rsidR="00975D83" w:rsidRPr="00165E31" w:rsidRDefault="00975D83" w:rsidP="00975D83">
      <w:pPr>
        <w:spacing w:line="240" w:lineRule="auto"/>
        <w:rPr>
          <w:color w:val="000000"/>
        </w:rPr>
      </w:pPr>
    </w:p>
    <w:p w14:paraId="62DB0191" w14:textId="77777777" w:rsidR="001E6DD1" w:rsidRPr="00165E31" w:rsidRDefault="001E6DD1" w:rsidP="001E6DD1">
      <w:pPr>
        <w:spacing w:line="240" w:lineRule="auto"/>
        <w:rPr>
          <w:noProof/>
          <w:szCs w:val="22"/>
        </w:rPr>
      </w:pPr>
    </w:p>
    <w:p w14:paraId="06D811F6" w14:textId="77777777" w:rsidR="001E6DD1" w:rsidRPr="00165E31" w:rsidRDefault="001E6DD1" w:rsidP="001E6DD1">
      <w:pPr>
        <w:spacing w:line="240" w:lineRule="auto"/>
        <w:rPr>
          <w:noProof/>
          <w:szCs w:val="22"/>
        </w:rPr>
      </w:pPr>
    </w:p>
    <w:p w14:paraId="2A35CEA1"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SĒRIJAS NUMURS</w:t>
      </w:r>
    </w:p>
    <w:p w14:paraId="6D44BC2B" w14:textId="77777777" w:rsidR="001E6DD1" w:rsidRPr="00165E31" w:rsidRDefault="001E6DD1" w:rsidP="001E6DD1">
      <w:pPr>
        <w:spacing w:line="240" w:lineRule="auto"/>
        <w:rPr>
          <w:i/>
          <w:noProof/>
          <w:szCs w:val="22"/>
        </w:rPr>
      </w:pPr>
    </w:p>
    <w:p w14:paraId="00F3BAFB" w14:textId="77777777" w:rsidR="001E6DD1" w:rsidRPr="00165E31" w:rsidRDefault="00430718" w:rsidP="001E6DD1">
      <w:pPr>
        <w:spacing w:line="240" w:lineRule="auto"/>
        <w:rPr>
          <w:noProof/>
          <w:szCs w:val="22"/>
        </w:rPr>
      </w:pPr>
      <w:r w:rsidRPr="00165E31">
        <w:t xml:space="preserve">Sērija </w:t>
      </w:r>
    </w:p>
    <w:p w14:paraId="2158DE51" w14:textId="77777777" w:rsidR="001E6DD1" w:rsidRPr="00165E31" w:rsidRDefault="001E6DD1" w:rsidP="001E6DD1">
      <w:pPr>
        <w:spacing w:line="240" w:lineRule="auto"/>
        <w:rPr>
          <w:noProof/>
          <w:szCs w:val="22"/>
        </w:rPr>
      </w:pPr>
    </w:p>
    <w:p w14:paraId="69558691" w14:textId="77777777" w:rsidR="001E6DD1" w:rsidRPr="00165E31" w:rsidRDefault="001E6DD1" w:rsidP="001E6DD1">
      <w:pPr>
        <w:spacing w:line="240" w:lineRule="auto"/>
        <w:rPr>
          <w:noProof/>
          <w:szCs w:val="22"/>
        </w:rPr>
      </w:pPr>
    </w:p>
    <w:p w14:paraId="11185669"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IZSNIEGŠANAS KĀRTĪBA</w:t>
      </w:r>
    </w:p>
    <w:p w14:paraId="6DB7C153" w14:textId="77777777" w:rsidR="001E6DD1" w:rsidRPr="00165E31" w:rsidRDefault="001E6DD1" w:rsidP="001E6DD1">
      <w:pPr>
        <w:spacing w:line="240" w:lineRule="auto"/>
        <w:rPr>
          <w:i/>
          <w:noProof/>
          <w:szCs w:val="22"/>
        </w:rPr>
      </w:pPr>
    </w:p>
    <w:p w14:paraId="3D807C6C" w14:textId="77777777" w:rsidR="001E6DD1" w:rsidRPr="00165E31" w:rsidRDefault="001E6DD1" w:rsidP="001E6DD1">
      <w:pPr>
        <w:spacing w:line="240" w:lineRule="auto"/>
        <w:rPr>
          <w:noProof/>
          <w:szCs w:val="22"/>
        </w:rPr>
      </w:pPr>
    </w:p>
    <w:p w14:paraId="05320B09"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NORĀDĪJUMI PAR LIETOŠANU</w:t>
      </w:r>
    </w:p>
    <w:p w14:paraId="6BDE1CE7" w14:textId="77777777" w:rsidR="001E6DD1" w:rsidRPr="00165E31" w:rsidRDefault="001E6DD1" w:rsidP="001E6DD1">
      <w:pPr>
        <w:spacing w:line="240" w:lineRule="auto"/>
        <w:rPr>
          <w:noProof/>
          <w:szCs w:val="22"/>
        </w:rPr>
      </w:pPr>
    </w:p>
    <w:p w14:paraId="4307B271" w14:textId="77777777" w:rsidR="001E6DD1" w:rsidRPr="00165E31" w:rsidRDefault="001E6DD1" w:rsidP="001E6DD1">
      <w:pPr>
        <w:spacing w:line="240" w:lineRule="auto"/>
        <w:rPr>
          <w:noProof/>
          <w:szCs w:val="22"/>
        </w:rPr>
      </w:pPr>
    </w:p>
    <w:p w14:paraId="195581E1"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INFORMĀCIJA BRAILA RAKSTĀ</w:t>
      </w:r>
    </w:p>
    <w:p w14:paraId="00644CA4" w14:textId="77777777" w:rsidR="001E6DD1" w:rsidRPr="00165E31" w:rsidRDefault="001E6DD1" w:rsidP="001E6DD1">
      <w:pPr>
        <w:spacing w:line="240" w:lineRule="auto"/>
        <w:rPr>
          <w:noProof/>
          <w:szCs w:val="22"/>
        </w:rPr>
      </w:pPr>
    </w:p>
    <w:p w14:paraId="22DCD006" w14:textId="77777777" w:rsidR="001E6DD1" w:rsidRPr="00165E31" w:rsidRDefault="00430718" w:rsidP="001E6DD1">
      <w:pPr>
        <w:rPr>
          <w:noProof/>
          <w:szCs w:val="22"/>
        </w:rPr>
      </w:pPr>
      <w:r w:rsidRPr="00165E31">
        <w:rPr>
          <w:i/>
        </w:rPr>
        <w:t>Cuprior</w:t>
      </w:r>
      <w:r w:rsidRPr="00165E31">
        <w:t xml:space="preserve"> 150 mg tabletes </w:t>
      </w:r>
    </w:p>
    <w:p w14:paraId="0C25429D" w14:textId="77777777" w:rsidR="001E6DD1" w:rsidRPr="00165E31" w:rsidRDefault="001E6DD1" w:rsidP="001E6DD1">
      <w:pPr>
        <w:spacing w:line="240" w:lineRule="auto"/>
        <w:rPr>
          <w:noProof/>
          <w:szCs w:val="22"/>
          <w:shd w:val="clear" w:color="auto" w:fill="CCCCCC"/>
        </w:rPr>
      </w:pPr>
    </w:p>
    <w:p w14:paraId="0C792707" w14:textId="77777777" w:rsidR="001E6DD1" w:rsidRPr="00165E31" w:rsidRDefault="001E6DD1" w:rsidP="001E6DD1">
      <w:pPr>
        <w:spacing w:line="240" w:lineRule="auto"/>
        <w:rPr>
          <w:noProof/>
          <w:szCs w:val="22"/>
          <w:shd w:val="clear" w:color="auto" w:fill="CCCCCC"/>
        </w:rPr>
      </w:pPr>
    </w:p>
    <w:p w14:paraId="1EDAEE8B"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UNIKĀLS IDENTIFIKATORS – 2D SVĪTRKODS</w:t>
      </w:r>
    </w:p>
    <w:p w14:paraId="4FFE0A69" w14:textId="77777777" w:rsidR="001E6DD1" w:rsidRPr="00165E31" w:rsidRDefault="001E6DD1" w:rsidP="001E6DD1">
      <w:pPr>
        <w:tabs>
          <w:tab w:val="clear" w:pos="567"/>
        </w:tabs>
        <w:spacing w:line="240" w:lineRule="auto"/>
        <w:rPr>
          <w:noProof/>
        </w:rPr>
      </w:pPr>
    </w:p>
    <w:p w14:paraId="5FE235A9" w14:textId="77777777" w:rsidR="001E6DD1" w:rsidRPr="00165E31" w:rsidRDefault="00430718" w:rsidP="001E6DD1">
      <w:pPr>
        <w:rPr>
          <w:noProof/>
          <w:szCs w:val="22"/>
          <w:highlight w:val="lightGray"/>
        </w:rPr>
      </w:pPr>
      <w:r w:rsidRPr="00165E31">
        <w:rPr>
          <w:noProof/>
          <w:highlight w:val="lightGray"/>
        </w:rPr>
        <w:t>2D svītrkods, kurā iekļauts unikāls identifikators.</w:t>
      </w:r>
    </w:p>
    <w:p w14:paraId="0431743B" w14:textId="77777777" w:rsidR="001E6DD1" w:rsidRPr="00165E31" w:rsidRDefault="001E6DD1" w:rsidP="001E6DD1">
      <w:pPr>
        <w:tabs>
          <w:tab w:val="clear" w:pos="567"/>
        </w:tabs>
        <w:spacing w:line="240" w:lineRule="auto"/>
        <w:rPr>
          <w:noProof/>
        </w:rPr>
      </w:pPr>
    </w:p>
    <w:p w14:paraId="7844BB1F" w14:textId="77777777" w:rsidR="001E6DD1" w:rsidRPr="00165E31" w:rsidRDefault="001E6DD1" w:rsidP="001E6DD1">
      <w:pPr>
        <w:tabs>
          <w:tab w:val="clear" w:pos="567"/>
        </w:tabs>
        <w:spacing w:line="240" w:lineRule="auto"/>
        <w:rPr>
          <w:noProof/>
        </w:rPr>
      </w:pPr>
    </w:p>
    <w:p w14:paraId="7FCB7D3C" w14:textId="77777777" w:rsidR="001E6DD1" w:rsidRPr="00165E31" w:rsidRDefault="00430718" w:rsidP="001E6DD1">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65E31">
        <w:rPr>
          <w:b/>
        </w:rPr>
        <w:t>UNIKĀLS IDENTIFIKATORS – DATI, KURUS VAR NOLASĪT PERSONA</w:t>
      </w:r>
    </w:p>
    <w:p w14:paraId="3C905312" w14:textId="77777777" w:rsidR="001E6DD1" w:rsidRPr="00165E31" w:rsidRDefault="001E6DD1" w:rsidP="001E6DD1">
      <w:pPr>
        <w:tabs>
          <w:tab w:val="clear" w:pos="567"/>
        </w:tabs>
        <w:spacing w:line="240" w:lineRule="auto"/>
        <w:rPr>
          <w:noProof/>
        </w:rPr>
      </w:pPr>
    </w:p>
    <w:p w14:paraId="07CF9F27" w14:textId="77777777" w:rsidR="001E6DD1" w:rsidRPr="00165E31" w:rsidRDefault="00430718" w:rsidP="001E6DD1">
      <w:pPr>
        <w:rPr>
          <w:color w:val="008000"/>
          <w:szCs w:val="22"/>
        </w:rPr>
      </w:pPr>
      <w:r w:rsidRPr="00165E31">
        <w:t xml:space="preserve">PC: {numurs} </w:t>
      </w:r>
    </w:p>
    <w:p w14:paraId="431944D4" w14:textId="77777777" w:rsidR="001E6DD1" w:rsidRPr="00165E31" w:rsidRDefault="00430718" w:rsidP="001E6DD1">
      <w:pPr>
        <w:rPr>
          <w:szCs w:val="22"/>
        </w:rPr>
      </w:pPr>
      <w:r w:rsidRPr="00165E31">
        <w:t xml:space="preserve">SN: {numurs} </w:t>
      </w:r>
    </w:p>
    <w:p w14:paraId="3B72528E" w14:textId="77777777" w:rsidR="001E6DD1" w:rsidRPr="00165E31" w:rsidRDefault="00430718" w:rsidP="001E6DD1">
      <w:pPr>
        <w:rPr>
          <w:szCs w:val="22"/>
        </w:rPr>
      </w:pPr>
      <w:r w:rsidRPr="00165E31">
        <w:t xml:space="preserve">NN: {numurs} </w:t>
      </w:r>
    </w:p>
    <w:p w14:paraId="2BD5EDC0" w14:textId="77777777" w:rsidR="001E6DD1" w:rsidRPr="00165E31" w:rsidRDefault="001E6DD1" w:rsidP="001E6DD1">
      <w:pPr>
        <w:spacing w:line="240" w:lineRule="auto"/>
        <w:rPr>
          <w:noProof/>
          <w:szCs w:val="22"/>
        </w:rPr>
      </w:pPr>
    </w:p>
    <w:p w14:paraId="490EA243" w14:textId="77777777" w:rsidR="001E6DD1" w:rsidRPr="00165E31" w:rsidRDefault="001E6DD1" w:rsidP="001E6DD1">
      <w:pPr>
        <w:spacing w:line="240" w:lineRule="auto"/>
        <w:rPr>
          <w:noProof/>
          <w:szCs w:val="22"/>
          <w:shd w:val="clear" w:color="auto" w:fill="CCCCCC"/>
        </w:rPr>
      </w:pPr>
    </w:p>
    <w:p w14:paraId="5173B111" w14:textId="77777777" w:rsidR="001E6DD1" w:rsidRPr="00165E31" w:rsidRDefault="00430718" w:rsidP="001E6DD1">
      <w:pPr>
        <w:spacing w:line="240" w:lineRule="auto"/>
        <w:rPr>
          <w:b/>
          <w:noProof/>
          <w:szCs w:val="22"/>
        </w:rPr>
      </w:pPr>
      <w:r w:rsidRPr="00165E31">
        <w:br w:type="page"/>
      </w:r>
    </w:p>
    <w:p w14:paraId="5E5CB303" w14:textId="77777777" w:rsidR="001E6DD1" w:rsidRPr="00165E31" w:rsidRDefault="00430718" w:rsidP="001E6DD1">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165E31">
        <w:rPr>
          <w:b/>
          <w:noProof/>
        </w:rPr>
        <w:lastRenderedPageBreak/>
        <w:t>MINIMĀLĀ INFORMĀCIJA, KAS JĀNORĀDA UZ BLISTERA VAI PLĀKSNĪTES</w:t>
      </w:r>
    </w:p>
    <w:p w14:paraId="254C7220" w14:textId="77777777" w:rsidR="001E6DD1" w:rsidRPr="00165E31" w:rsidRDefault="001E6DD1" w:rsidP="001E6DD1">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p>
    <w:p w14:paraId="00C30F05" w14:textId="77777777" w:rsidR="001E6DD1" w:rsidRPr="00165E31" w:rsidRDefault="00430718" w:rsidP="001E6DD1">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165E31">
        <w:rPr>
          <w:b/>
          <w:noProof/>
        </w:rPr>
        <w:t>BLISTERIS</w:t>
      </w:r>
    </w:p>
    <w:p w14:paraId="5623DAAD" w14:textId="77777777" w:rsidR="001E6DD1" w:rsidRPr="00165E31" w:rsidRDefault="001E6DD1" w:rsidP="001E6DD1">
      <w:pPr>
        <w:spacing w:line="240" w:lineRule="auto"/>
        <w:rPr>
          <w:noProof/>
          <w:szCs w:val="22"/>
        </w:rPr>
      </w:pPr>
    </w:p>
    <w:p w14:paraId="388910F7" w14:textId="77777777" w:rsidR="001E6DD1" w:rsidRPr="00165E31" w:rsidRDefault="001E6DD1" w:rsidP="001E6DD1">
      <w:pPr>
        <w:spacing w:line="240" w:lineRule="auto"/>
        <w:rPr>
          <w:noProof/>
          <w:szCs w:val="22"/>
        </w:rPr>
      </w:pPr>
    </w:p>
    <w:p w14:paraId="7D5CAB2B" w14:textId="77777777" w:rsidR="001E6DD1" w:rsidRPr="00165E31" w:rsidRDefault="00430718" w:rsidP="001E6DD1">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165E31">
        <w:rPr>
          <w:b/>
          <w:noProof/>
        </w:rPr>
        <w:t>ZĀĻU NOSAUKUMS</w:t>
      </w:r>
    </w:p>
    <w:p w14:paraId="671F8FD9" w14:textId="77777777" w:rsidR="001E6DD1" w:rsidRPr="00165E31" w:rsidRDefault="001E6DD1" w:rsidP="001E6DD1">
      <w:pPr>
        <w:spacing w:line="240" w:lineRule="auto"/>
        <w:rPr>
          <w:i/>
          <w:noProof/>
          <w:szCs w:val="22"/>
        </w:rPr>
      </w:pPr>
    </w:p>
    <w:p w14:paraId="40DE6228" w14:textId="207DDE8B" w:rsidR="001E6DD1" w:rsidRPr="00165E31" w:rsidRDefault="00430718" w:rsidP="001E6DD1">
      <w:pPr>
        <w:rPr>
          <w:noProof/>
          <w:szCs w:val="22"/>
        </w:rPr>
      </w:pPr>
      <w:r w:rsidRPr="00165E31">
        <w:rPr>
          <w:i/>
        </w:rPr>
        <w:t>Cuprior</w:t>
      </w:r>
      <w:r w:rsidRPr="00165E31">
        <w:t xml:space="preserve"> 150 mg </w:t>
      </w:r>
      <w:r w:rsidR="00A55E99" w:rsidRPr="00165E31">
        <w:t>apvalkot</w:t>
      </w:r>
      <w:r w:rsidR="00CC2456" w:rsidRPr="00165E31">
        <w:t>ā</w:t>
      </w:r>
      <w:r w:rsidR="00A55E99" w:rsidRPr="00165E31">
        <w:t xml:space="preserve">s </w:t>
      </w:r>
      <w:r w:rsidRPr="00165E31">
        <w:t>tabletes</w:t>
      </w:r>
    </w:p>
    <w:p w14:paraId="2E6868B5" w14:textId="77777777" w:rsidR="001E6DD1" w:rsidRPr="00165E31" w:rsidRDefault="00430718" w:rsidP="001E6DD1">
      <w:pPr>
        <w:spacing w:line="240" w:lineRule="auto"/>
        <w:rPr>
          <w:noProof/>
          <w:szCs w:val="22"/>
        </w:rPr>
      </w:pPr>
      <w:r w:rsidRPr="00165E31">
        <w:t>trientine</w:t>
      </w:r>
    </w:p>
    <w:p w14:paraId="7685A8DD" w14:textId="77777777" w:rsidR="001E6DD1" w:rsidRPr="00165E31" w:rsidRDefault="001E6DD1" w:rsidP="001E6DD1">
      <w:pPr>
        <w:spacing w:line="240" w:lineRule="auto"/>
      </w:pPr>
    </w:p>
    <w:p w14:paraId="00AC2093" w14:textId="77777777" w:rsidR="001E6DD1" w:rsidRPr="00165E31" w:rsidRDefault="001E6DD1" w:rsidP="001E6DD1">
      <w:pPr>
        <w:spacing w:line="240" w:lineRule="auto"/>
      </w:pPr>
    </w:p>
    <w:p w14:paraId="666A454C" w14:textId="77777777" w:rsidR="001E6DD1" w:rsidRPr="00165E31" w:rsidRDefault="00430718" w:rsidP="001E6DD1">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165E31">
        <w:rPr>
          <w:b/>
          <w:noProof/>
        </w:rPr>
        <w:t>REĢISTRĀCIJAS APLIECĪBAS ĪPAŠNIEKA NOSAUKUMS</w:t>
      </w:r>
    </w:p>
    <w:p w14:paraId="15F160A9" w14:textId="77777777" w:rsidR="001E6DD1" w:rsidRPr="00165E31" w:rsidRDefault="001E6DD1" w:rsidP="001E6DD1">
      <w:pPr>
        <w:spacing w:line="240" w:lineRule="auto"/>
        <w:rPr>
          <w:noProof/>
          <w:szCs w:val="22"/>
        </w:rPr>
      </w:pPr>
    </w:p>
    <w:p w14:paraId="6815EF7C" w14:textId="4A57A8FA" w:rsidR="001E6DD1" w:rsidRPr="00165E31" w:rsidRDefault="006D02C4" w:rsidP="001E6DD1">
      <w:pPr>
        <w:rPr>
          <w:szCs w:val="22"/>
        </w:rPr>
      </w:pPr>
      <w:proofErr w:type="spellStart"/>
      <w:r>
        <w:t>Orphalan</w:t>
      </w:r>
      <w:proofErr w:type="spellEnd"/>
    </w:p>
    <w:p w14:paraId="2C915BD0" w14:textId="77777777" w:rsidR="001E6DD1" w:rsidRPr="00165E31" w:rsidRDefault="001E6DD1" w:rsidP="001E6DD1">
      <w:pPr>
        <w:spacing w:line="240" w:lineRule="auto"/>
        <w:rPr>
          <w:noProof/>
          <w:szCs w:val="22"/>
        </w:rPr>
      </w:pPr>
    </w:p>
    <w:p w14:paraId="5F7C0663" w14:textId="77777777" w:rsidR="001E6DD1" w:rsidRPr="00165E31" w:rsidRDefault="001E6DD1" w:rsidP="001E6DD1">
      <w:pPr>
        <w:spacing w:line="240" w:lineRule="auto"/>
        <w:rPr>
          <w:noProof/>
          <w:szCs w:val="22"/>
        </w:rPr>
      </w:pPr>
    </w:p>
    <w:p w14:paraId="340DFD46" w14:textId="77777777" w:rsidR="001E6DD1" w:rsidRPr="00165E31" w:rsidRDefault="00430718" w:rsidP="001E6DD1">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165E31">
        <w:rPr>
          <w:b/>
          <w:noProof/>
        </w:rPr>
        <w:t>DERĪGUMA TERMIŅŠ</w:t>
      </w:r>
    </w:p>
    <w:p w14:paraId="17BA4332" w14:textId="77777777" w:rsidR="001E6DD1" w:rsidRPr="00165E31" w:rsidRDefault="001E6DD1" w:rsidP="001E6DD1">
      <w:pPr>
        <w:spacing w:line="240" w:lineRule="auto"/>
        <w:rPr>
          <w:noProof/>
          <w:szCs w:val="22"/>
        </w:rPr>
      </w:pPr>
    </w:p>
    <w:p w14:paraId="5FB083B1" w14:textId="77777777" w:rsidR="001E6DD1" w:rsidRPr="00165E31" w:rsidRDefault="00430718" w:rsidP="001E6DD1">
      <w:pPr>
        <w:spacing w:line="240" w:lineRule="auto"/>
        <w:rPr>
          <w:noProof/>
          <w:szCs w:val="22"/>
        </w:rPr>
      </w:pPr>
      <w:r w:rsidRPr="00165E31">
        <w:t xml:space="preserve">Derīgs </w:t>
      </w:r>
      <w:r w:rsidRPr="00165E31">
        <w:t>līdz:</w:t>
      </w:r>
    </w:p>
    <w:p w14:paraId="11B915CA" w14:textId="77777777" w:rsidR="001E6DD1" w:rsidRPr="00165E31" w:rsidRDefault="001E6DD1" w:rsidP="001E6DD1">
      <w:pPr>
        <w:spacing w:line="240" w:lineRule="auto"/>
        <w:rPr>
          <w:noProof/>
          <w:szCs w:val="22"/>
        </w:rPr>
      </w:pPr>
    </w:p>
    <w:p w14:paraId="04859CDC" w14:textId="77777777" w:rsidR="001E6DD1" w:rsidRPr="00165E31" w:rsidRDefault="001E6DD1" w:rsidP="001E6DD1">
      <w:pPr>
        <w:spacing w:line="240" w:lineRule="auto"/>
        <w:rPr>
          <w:noProof/>
          <w:szCs w:val="22"/>
        </w:rPr>
      </w:pPr>
    </w:p>
    <w:p w14:paraId="14DF596C" w14:textId="77777777" w:rsidR="001E6DD1" w:rsidRPr="00165E31" w:rsidRDefault="00430718" w:rsidP="001E6DD1">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165E31">
        <w:rPr>
          <w:b/>
          <w:noProof/>
        </w:rPr>
        <w:t>SĒRIJAS NUMURS</w:t>
      </w:r>
    </w:p>
    <w:p w14:paraId="5776523C" w14:textId="77777777" w:rsidR="001E6DD1" w:rsidRPr="00165E31" w:rsidRDefault="001E6DD1" w:rsidP="001E6DD1">
      <w:pPr>
        <w:spacing w:line="240" w:lineRule="auto"/>
        <w:rPr>
          <w:noProof/>
          <w:szCs w:val="22"/>
        </w:rPr>
      </w:pPr>
    </w:p>
    <w:p w14:paraId="713DA501" w14:textId="77777777" w:rsidR="001E6DD1" w:rsidRPr="00165E31" w:rsidRDefault="00430718" w:rsidP="001E6DD1">
      <w:pPr>
        <w:rPr>
          <w:noProof/>
          <w:szCs w:val="22"/>
        </w:rPr>
      </w:pPr>
      <w:r w:rsidRPr="00165E31">
        <w:t>Sērija</w:t>
      </w:r>
    </w:p>
    <w:p w14:paraId="64F01611" w14:textId="77777777" w:rsidR="001E6DD1" w:rsidRPr="00165E31" w:rsidRDefault="001E6DD1" w:rsidP="001E6DD1">
      <w:pPr>
        <w:spacing w:line="240" w:lineRule="auto"/>
        <w:rPr>
          <w:noProof/>
          <w:szCs w:val="22"/>
        </w:rPr>
      </w:pPr>
    </w:p>
    <w:p w14:paraId="698B6A02" w14:textId="77777777" w:rsidR="001E6DD1" w:rsidRPr="00165E31" w:rsidRDefault="001E6DD1" w:rsidP="001E6DD1">
      <w:pPr>
        <w:spacing w:line="240" w:lineRule="auto"/>
        <w:rPr>
          <w:noProof/>
          <w:szCs w:val="22"/>
        </w:rPr>
      </w:pPr>
    </w:p>
    <w:p w14:paraId="246EB4C8" w14:textId="77777777" w:rsidR="001E6DD1" w:rsidRPr="00165E31" w:rsidRDefault="00430718" w:rsidP="001E6DD1">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165E31">
        <w:rPr>
          <w:b/>
          <w:noProof/>
        </w:rPr>
        <w:t>CITA</w:t>
      </w:r>
    </w:p>
    <w:p w14:paraId="461A1F44" w14:textId="77777777" w:rsidR="001E6DD1" w:rsidRPr="00165E31" w:rsidRDefault="001E6DD1" w:rsidP="001E6DD1">
      <w:pPr>
        <w:spacing w:line="240" w:lineRule="auto"/>
        <w:rPr>
          <w:noProof/>
          <w:szCs w:val="22"/>
        </w:rPr>
      </w:pPr>
    </w:p>
    <w:p w14:paraId="732E5FE6" w14:textId="77777777" w:rsidR="001E6DD1" w:rsidRPr="00165E31" w:rsidRDefault="001E6DD1" w:rsidP="001E6DD1">
      <w:pPr>
        <w:spacing w:line="240" w:lineRule="auto"/>
        <w:rPr>
          <w:noProof/>
          <w:szCs w:val="22"/>
        </w:rPr>
      </w:pPr>
    </w:p>
    <w:p w14:paraId="5521DF7B" w14:textId="77777777" w:rsidR="001E6DD1" w:rsidRPr="00165E31" w:rsidRDefault="00430718" w:rsidP="001E6DD1">
      <w:r w:rsidRPr="00165E31">
        <w:br w:type="page"/>
      </w:r>
    </w:p>
    <w:p w14:paraId="0F87654D" w14:textId="77777777" w:rsidR="001E6DD1" w:rsidRPr="00165E31" w:rsidRDefault="001E6DD1" w:rsidP="001E6DD1">
      <w:pPr>
        <w:rPr>
          <w:noProof/>
        </w:rPr>
      </w:pPr>
    </w:p>
    <w:p w14:paraId="5845F8DD" w14:textId="77777777" w:rsidR="001E6DD1" w:rsidRPr="00165E31" w:rsidRDefault="001E6DD1" w:rsidP="001E6DD1">
      <w:pPr>
        <w:rPr>
          <w:noProof/>
        </w:rPr>
      </w:pPr>
    </w:p>
    <w:p w14:paraId="0F69117A" w14:textId="77777777" w:rsidR="001E6DD1" w:rsidRPr="00165E31" w:rsidRDefault="001E6DD1" w:rsidP="001E6DD1">
      <w:pPr>
        <w:rPr>
          <w:noProof/>
        </w:rPr>
      </w:pPr>
    </w:p>
    <w:p w14:paraId="4CD02AF8" w14:textId="77777777" w:rsidR="001E6DD1" w:rsidRPr="00165E31" w:rsidRDefault="001E6DD1" w:rsidP="001E6DD1">
      <w:pPr>
        <w:rPr>
          <w:noProof/>
        </w:rPr>
      </w:pPr>
    </w:p>
    <w:p w14:paraId="690D4807" w14:textId="77777777" w:rsidR="001E6DD1" w:rsidRPr="00165E31" w:rsidRDefault="001E6DD1" w:rsidP="001E6DD1">
      <w:pPr>
        <w:rPr>
          <w:noProof/>
        </w:rPr>
      </w:pPr>
    </w:p>
    <w:p w14:paraId="3D912FE0" w14:textId="77777777" w:rsidR="001E6DD1" w:rsidRPr="00165E31" w:rsidRDefault="001E6DD1" w:rsidP="001E6DD1">
      <w:pPr>
        <w:rPr>
          <w:noProof/>
        </w:rPr>
      </w:pPr>
    </w:p>
    <w:p w14:paraId="05E67D78" w14:textId="77777777" w:rsidR="001E6DD1" w:rsidRPr="00165E31" w:rsidRDefault="001E6DD1" w:rsidP="001E6DD1">
      <w:pPr>
        <w:rPr>
          <w:noProof/>
        </w:rPr>
      </w:pPr>
    </w:p>
    <w:p w14:paraId="766816F1" w14:textId="77777777" w:rsidR="001E6DD1" w:rsidRPr="00165E31" w:rsidRDefault="001E6DD1" w:rsidP="001E6DD1">
      <w:pPr>
        <w:rPr>
          <w:noProof/>
        </w:rPr>
      </w:pPr>
    </w:p>
    <w:p w14:paraId="12451E27" w14:textId="77777777" w:rsidR="001E6DD1" w:rsidRPr="00165E31" w:rsidRDefault="001E6DD1" w:rsidP="001E6DD1">
      <w:pPr>
        <w:rPr>
          <w:noProof/>
        </w:rPr>
      </w:pPr>
    </w:p>
    <w:p w14:paraId="00A288BA" w14:textId="77777777" w:rsidR="001E6DD1" w:rsidRPr="00165E31" w:rsidRDefault="001E6DD1" w:rsidP="001E6DD1">
      <w:pPr>
        <w:rPr>
          <w:noProof/>
        </w:rPr>
      </w:pPr>
    </w:p>
    <w:p w14:paraId="7663F0C7" w14:textId="77777777" w:rsidR="001E6DD1" w:rsidRPr="00165E31" w:rsidRDefault="001E6DD1" w:rsidP="001E6DD1">
      <w:pPr>
        <w:rPr>
          <w:noProof/>
        </w:rPr>
      </w:pPr>
    </w:p>
    <w:p w14:paraId="7318FEBF" w14:textId="77777777" w:rsidR="001E6DD1" w:rsidRPr="00165E31" w:rsidRDefault="001E6DD1" w:rsidP="001E6DD1">
      <w:pPr>
        <w:rPr>
          <w:noProof/>
        </w:rPr>
      </w:pPr>
    </w:p>
    <w:p w14:paraId="20F1E5E4" w14:textId="77777777" w:rsidR="001E6DD1" w:rsidRPr="00165E31" w:rsidRDefault="001E6DD1" w:rsidP="001E6DD1">
      <w:pPr>
        <w:rPr>
          <w:noProof/>
        </w:rPr>
      </w:pPr>
    </w:p>
    <w:p w14:paraId="7B0D2315" w14:textId="77777777" w:rsidR="001E6DD1" w:rsidRPr="00165E31" w:rsidRDefault="001E6DD1" w:rsidP="001E6DD1">
      <w:pPr>
        <w:rPr>
          <w:noProof/>
        </w:rPr>
      </w:pPr>
    </w:p>
    <w:p w14:paraId="4207D2DE" w14:textId="77777777" w:rsidR="001E6DD1" w:rsidRPr="00165E31" w:rsidRDefault="001E6DD1" w:rsidP="001E6DD1">
      <w:pPr>
        <w:rPr>
          <w:noProof/>
        </w:rPr>
      </w:pPr>
    </w:p>
    <w:p w14:paraId="41315A67" w14:textId="77777777" w:rsidR="001E6DD1" w:rsidRPr="00165E31" w:rsidRDefault="001E6DD1" w:rsidP="001E6DD1">
      <w:pPr>
        <w:rPr>
          <w:noProof/>
        </w:rPr>
      </w:pPr>
    </w:p>
    <w:p w14:paraId="1D65ED66" w14:textId="77777777" w:rsidR="001E6DD1" w:rsidRPr="00165E31" w:rsidRDefault="001E6DD1" w:rsidP="001E6DD1">
      <w:pPr>
        <w:rPr>
          <w:noProof/>
        </w:rPr>
      </w:pPr>
    </w:p>
    <w:p w14:paraId="6A511C92" w14:textId="77777777" w:rsidR="001E6DD1" w:rsidRPr="00165E31" w:rsidRDefault="001E6DD1" w:rsidP="001E6DD1">
      <w:pPr>
        <w:rPr>
          <w:noProof/>
        </w:rPr>
      </w:pPr>
    </w:p>
    <w:p w14:paraId="44C207EC" w14:textId="77777777" w:rsidR="001E6DD1" w:rsidRPr="00165E31" w:rsidRDefault="001E6DD1" w:rsidP="001E6DD1">
      <w:pPr>
        <w:rPr>
          <w:noProof/>
        </w:rPr>
      </w:pPr>
    </w:p>
    <w:p w14:paraId="62B6BE60" w14:textId="77777777" w:rsidR="001E6DD1" w:rsidRPr="00165E31" w:rsidRDefault="001E6DD1" w:rsidP="001E6DD1">
      <w:pPr>
        <w:rPr>
          <w:noProof/>
        </w:rPr>
      </w:pPr>
    </w:p>
    <w:p w14:paraId="17B25A52" w14:textId="77777777" w:rsidR="001E6DD1" w:rsidRPr="00165E31" w:rsidRDefault="001E6DD1" w:rsidP="001E6DD1">
      <w:pPr>
        <w:rPr>
          <w:noProof/>
        </w:rPr>
      </w:pPr>
    </w:p>
    <w:p w14:paraId="303FAF6A" w14:textId="77777777" w:rsidR="001E6DD1" w:rsidRPr="00165E31" w:rsidRDefault="001E6DD1" w:rsidP="001E6DD1">
      <w:pPr>
        <w:rPr>
          <w:noProof/>
        </w:rPr>
      </w:pPr>
    </w:p>
    <w:p w14:paraId="1639551F" w14:textId="77777777" w:rsidR="001E6DD1" w:rsidRPr="00165E31" w:rsidRDefault="00430718" w:rsidP="001E6DD1">
      <w:pPr>
        <w:pStyle w:val="ListParagraph"/>
        <w:numPr>
          <w:ilvl w:val="0"/>
          <w:numId w:val="31"/>
        </w:numPr>
        <w:spacing w:line="240" w:lineRule="auto"/>
        <w:ind w:left="357" w:hanging="357"/>
        <w:jc w:val="center"/>
        <w:outlineLvl w:val="0"/>
        <w:rPr>
          <w:b/>
          <w:noProof/>
        </w:rPr>
      </w:pPr>
      <w:r w:rsidRPr="00165E31">
        <w:rPr>
          <w:b/>
          <w:noProof/>
        </w:rPr>
        <w:t>LIETOŠANAS INSTRUKCIJA</w:t>
      </w:r>
    </w:p>
    <w:p w14:paraId="3083310C" w14:textId="77777777" w:rsidR="001E6DD1" w:rsidRPr="00165E31" w:rsidRDefault="00430718" w:rsidP="001E6DD1">
      <w:pPr>
        <w:tabs>
          <w:tab w:val="clear" w:pos="567"/>
        </w:tabs>
        <w:spacing w:line="240" w:lineRule="auto"/>
        <w:jc w:val="center"/>
        <w:outlineLvl w:val="0"/>
        <w:rPr>
          <w:noProof/>
          <w:szCs w:val="22"/>
        </w:rPr>
      </w:pPr>
      <w:r w:rsidRPr="00165E31">
        <w:br w:type="page"/>
      </w:r>
      <w:r w:rsidRPr="00165E31">
        <w:rPr>
          <w:b/>
          <w:noProof/>
        </w:rPr>
        <w:lastRenderedPageBreak/>
        <w:t>Lietošanas pamācība: informācija pacientam</w:t>
      </w:r>
    </w:p>
    <w:p w14:paraId="33FD6856" w14:textId="77777777" w:rsidR="001E6DD1" w:rsidRPr="00165E31" w:rsidRDefault="001E6DD1" w:rsidP="001E6DD1">
      <w:pPr>
        <w:numPr>
          <w:ilvl w:val="12"/>
          <w:numId w:val="0"/>
        </w:numPr>
        <w:shd w:val="clear" w:color="auto" w:fill="FFFFFF"/>
        <w:tabs>
          <w:tab w:val="clear" w:pos="567"/>
        </w:tabs>
        <w:spacing w:line="240" w:lineRule="auto"/>
        <w:jc w:val="center"/>
        <w:rPr>
          <w:noProof/>
          <w:szCs w:val="22"/>
        </w:rPr>
      </w:pPr>
    </w:p>
    <w:p w14:paraId="1B986FF4" w14:textId="17CF46C7" w:rsidR="001E6DD1" w:rsidRPr="00165E31" w:rsidRDefault="00430718" w:rsidP="001E6DD1">
      <w:pPr>
        <w:jc w:val="center"/>
        <w:rPr>
          <w:b/>
          <w:noProof/>
          <w:szCs w:val="22"/>
        </w:rPr>
      </w:pPr>
      <w:r w:rsidRPr="00165E31">
        <w:rPr>
          <w:b/>
          <w:i/>
          <w:noProof/>
        </w:rPr>
        <w:t>Cuprior</w:t>
      </w:r>
      <w:r w:rsidRPr="00165E31">
        <w:rPr>
          <w:b/>
          <w:noProof/>
        </w:rPr>
        <w:t xml:space="preserve"> 150 mg </w:t>
      </w:r>
      <w:r w:rsidR="00A55E99" w:rsidRPr="00165E31">
        <w:rPr>
          <w:b/>
          <w:noProof/>
        </w:rPr>
        <w:t>apvalkot</w:t>
      </w:r>
      <w:r w:rsidR="00CC2456" w:rsidRPr="00165E31">
        <w:rPr>
          <w:b/>
          <w:noProof/>
        </w:rPr>
        <w:t>ā</w:t>
      </w:r>
      <w:r w:rsidR="00A55E99" w:rsidRPr="00165E31">
        <w:rPr>
          <w:b/>
          <w:noProof/>
        </w:rPr>
        <w:t xml:space="preserve">s </w:t>
      </w:r>
      <w:r w:rsidRPr="00165E31">
        <w:rPr>
          <w:b/>
          <w:noProof/>
        </w:rPr>
        <w:t>tabletes</w:t>
      </w:r>
    </w:p>
    <w:p w14:paraId="420BACC5" w14:textId="77777777" w:rsidR="001E6DD1" w:rsidRPr="00165E31" w:rsidRDefault="00430718" w:rsidP="001E6DD1">
      <w:pPr>
        <w:numPr>
          <w:ilvl w:val="12"/>
          <w:numId w:val="0"/>
        </w:numPr>
        <w:tabs>
          <w:tab w:val="clear" w:pos="567"/>
        </w:tabs>
        <w:spacing w:line="240" w:lineRule="auto"/>
        <w:jc w:val="center"/>
        <w:rPr>
          <w:noProof/>
          <w:szCs w:val="22"/>
        </w:rPr>
      </w:pPr>
      <w:r w:rsidRPr="00165E31">
        <w:t>trientine</w:t>
      </w:r>
    </w:p>
    <w:p w14:paraId="54EFE632" w14:textId="77777777" w:rsidR="001E6DD1" w:rsidRPr="00165E31" w:rsidRDefault="001E6DD1" w:rsidP="001E6DD1">
      <w:pPr>
        <w:jc w:val="center"/>
        <w:rPr>
          <w:szCs w:val="22"/>
        </w:rPr>
      </w:pPr>
    </w:p>
    <w:p w14:paraId="125EE3D5" w14:textId="77777777" w:rsidR="001E6DD1" w:rsidRPr="00165E31" w:rsidRDefault="00430718" w:rsidP="001E6DD1">
      <w:r w:rsidRPr="00165E31">
        <w:t xml:space="preserve">Jūs varat atrast informāciju, arī ievadot tālāk norādīto QR kodu, izmantojot savu viedtālruni, vai vietnē </w:t>
      </w:r>
      <w:r w:rsidRPr="00165E31">
        <w:rPr>
          <w:i/>
          <w:noProof/>
          <w:highlight w:val="lightGray"/>
        </w:rPr>
        <w:t>jāievieto QR kods</w:t>
      </w:r>
      <w:r w:rsidRPr="00165E31">
        <w:rPr>
          <w:noProof/>
        </w:rPr>
        <w:t xml:space="preserve"> </w:t>
      </w:r>
      <w:hyperlink r:id="rId14" w:history="1">
        <w:r w:rsidRPr="00165E31">
          <w:rPr>
            <w:rStyle w:val="Hyperlink"/>
          </w:rPr>
          <w:t>http://www.cuprior.com</w:t>
        </w:r>
      </w:hyperlink>
    </w:p>
    <w:p w14:paraId="5D5729C9" w14:textId="77777777" w:rsidR="001E6DD1" w:rsidRPr="00165E31" w:rsidRDefault="001E6DD1" w:rsidP="001E6DD1">
      <w:pPr>
        <w:tabs>
          <w:tab w:val="clear" w:pos="567"/>
        </w:tabs>
        <w:spacing w:line="240" w:lineRule="auto"/>
        <w:rPr>
          <w:noProof/>
          <w:szCs w:val="22"/>
        </w:rPr>
      </w:pPr>
    </w:p>
    <w:p w14:paraId="73EAE1D4" w14:textId="77777777" w:rsidR="001E6DD1" w:rsidRPr="00165E31" w:rsidRDefault="00430718" w:rsidP="001E6DD1">
      <w:pPr>
        <w:tabs>
          <w:tab w:val="clear" w:pos="567"/>
        </w:tabs>
        <w:suppressAutoHyphens/>
        <w:spacing w:line="240" w:lineRule="auto"/>
        <w:ind w:left="142" w:hanging="142"/>
        <w:rPr>
          <w:noProof/>
          <w:szCs w:val="22"/>
        </w:rPr>
      </w:pPr>
      <w:r w:rsidRPr="00165E31">
        <w:rPr>
          <w:b/>
          <w:noProof/>
        </w:rPr>
        <w:t xml:space="preserve">Pirms zāļu lietošanas uzmanīgi izlasiet visu </w:t>
      </w:r>
      <w:r w:rsidRPr="00165E31">
        <w:rPr>
          <w:b/>
          <w:noProof/>
        </w:rPr>
        <w:t>instrukciju, jo tā satur Jums svarīgu informāciju.</w:t>
      </w:r>
    </w:p>
    <w:p w14:paraId="14E66BBE" w14:textId="77777777" w:rsidR="001E6DD1" w:rsidRPr="00165E31" w:rsidRDefault="00430718" w:rsidP="001E6DD1">
      <w:pPr>
        <w:numPr>
          <w:ilvl w:val="0"/>
          <w:numId w:val="3"/>
        </w:numPr>
        <w:tabs>
          <w:tab w:val="clear" w:pos="567"/>
        </w:tabs>
        <w:spacing w:line="240" w:lineRule="auto"/>
        <w:ind w:left="567" w:right="-2" w:hanging="567"/>
        <w:rPr>
          <w:noProof/>
          <w:szCs w:val="22"/>
        </w:rPr>
      </w:pPr>
      <w:r w:rsidRPr="00165E31">
        <w:t xml:space="preserve">Saglabājiet šo instrukciju! Iespējams, ka vēlāk to vajadzēs pārlasīt. </w:t>
      </w:r>
    </w:p>
    <w:p w14:paraId="66C016E3" w14:textId="77777777" w:rsidR="001E6DD1" w:rsidRPr="00165E31" w:rsidRDefault="00430718" w:rsidP="001E6DD1">
      <w:pPr>
        <w:numPr>
          <w:ilvl w:val="0"/>
          <w:numId w:val="3"/>
        </w:numPr>
        <w:tabs>
          <w:tab w:val="clear" w:pos="567"/>
        </w:tabs>
        <w:spacing w:line="240" w:lineRule="auto"/>
        <w:ind w:left="567" w:right="-2" w:hanging="567"/>
        <w:rPr>
          <w:noProof/>
          <w:szCs w:val="22"/>
        </w:rPr>
      </w:pPr>
      <w:r w:rsidRPr="00165E31">
        <w:t>Ja Jums rodas jebkādi jautājumi, vaicājiet ārstam vai farmaceitam.</w:t>
      </w:r>
    </w:p>
    <w:p w14:paraId="723AEB83" w14:textId="77777777" w:rsidR="001E6DD1" w:rsidRPr="00165E31" w:rsidRDefault="00430718" w:rsidP="001E6DD1">
      <w:pPr>
        <w:numPr>
          <w:ilvl w:val="0"/>
          <w:numId w:val="3"/>
        </w:numPr>
        <w:tabs>
          <w:tab w:val="clear" w:pos="567"/>
        </w:tabs>
        <w:spacing w:line="240" w:lineRule="auto"/>
        <w:ind w:left="567" w:right="-2" w:hanging="567"/>
        <w:rPr>
          <w:noProof/>
          <w:szCs w:val="22"/>
        </w:rPr>
      </w:pPr>
      <w:r w:rsidRPr="00165E31">
        <w:t>Šīs zāles ir parakstītas tikai Jums. Nedodiet tās citiem. Tās var n</w:t>
      </w:r>
      <w:r w:rsidRPr="00165E31">
        <w:t>odarīt ļaunumu pat tad, ja šiem cilvēkiem ir līdzīgas slimības pazīmes.</w:t>
      </w:r>
      <w:r w:rsidRPr="00165E31">
        <w:rPr>
          <w:noProof/>
          <w:color w:val="008000"/>
        </w:rPr>
        <w:t xml:space="preserve"> </w:t>
      </w:r>
    </w:p>
    <w:p w14:paraId="5969F3C1" w14:textId="77777777" w:rsidR="001E6DD1" w:rsidRPr="00165E31" w:rsidRDefault="00430718" w:rsidP="001E6DD1">
      <w:pPr>
        <w:numPr>
          <w:ilvl w:val="0"/>
          <w:numId w:val="3"/>
        </w:numPr>
        <w:spacing w:line="240" w:lineRule="auto"/>
        <w:ind w:left="567" w:hanging="567"/>
        <w:rPr>
          <w:szCs w:val="22"/>
        </w:rPr>
      </w:pPr>
      <w:r w:rsidRPr="00165E31">
        <w:t>Ja Jums rodas jebkādas blakusparādības, konsultējieties ar savu ārstu vai farmaceitu.</w:t>
      </w:r>
      <w:r w:rsidRPr="00165E31">
        <w:rPr>
          <w:color w:val="FF0000"/>
        </w:rPr>
        <w:t xml:space="preserve"> </w:t>
      </w:r>
      <w:r w:rsidRPr="00165E31">
        <w:t>Tas attiecas arī uz iespējamām blakusparādībām, kas nav minētas šajā instrukcijā. Skatīt 4. punkt</w:t>
      </w:r>
      <w:r w:rsidRPr="00165E31">
        <w:t>u.</w:t>
      </w:r>
    </w:p>
    <w:p w14:paraId="50B913FF" w14:textId="77777777" w:rsidR="001E6DD1" w:rsidRPr="00165E31" w:rsidRDefault="001E6DD1" w:rsidP="001E6DD1">
      <w:pPr>
        <w:tabs>
          <w:tab w:val="clear" w:pos="567"/>
        </w:tabs>
        <w:spacing w:line="240" w:lineRule="auto"/>
        <w:ind w:right="-2"/>
        <w:rPr>
          <w:szCs w:val="22"/>
        </w:rPr>
      </w:pPr>
    </w:p>
    <w:p w14:paraId="6740F227" w14:textId="77777777" w:rsidR="001E6DD1" w:rsidRPr="00165E31" w:rsidRDefault="001E6DD1" w:rsidP="001E6DD1">
      <w:pPr>
        <w:tabs>
          <w:tab w:val="clear" w:pos="567"/>
        </w:tabs>
        <w:spacing w:line="240" w:lineRule="auto"/>
        <w:ind w:right="-2"/>
        <w:rPr>
          <w:noProof/>
          <w:szCs w:val="22"/>
        </w:rPr>
      </w:pPr>
    </w:p>
    <w:p w14:paraId="4196BE2D" w14:textId="77777777" w:rsidR="001E6DD1" w:rsidRPr="00165E31" w:rsidRDefault="00430718" w:rsidP="001E6DD1">
      <w:pPr>
        <w:numPr>
          <w:ilvl w:val="12"/>
          <w:numId w:val="0"/>
        </w:numPr>
        <w:tabs>
          <w:tab w:val="clear" w:pos="567"/>
        </w:tabs>
        <w:spacing w:line="240" w:lineRule="auto"/>
        <w:ind w:right="-2"/>
        <w:rPr>
          <w:b/>
          <w:noProof/>
          <w:szCs w:val="22"/>
        </w:rPr>
      </w:pPr>
      <w:r w:rsidRPr="00165E31">
        <w:rPr>
          <w:b/>
          <w:noProof/>
        </w:rPr>
        <w:t>Šajā instrukcijā varat uzzināt</w:t>
      </w:r>
    </w:p>
    <w:p w14:paraId="4F0A8F6D" w14:textId="77777777" w:rsidR="001E6DD1" w:rsidRPr="00165E31" w:rsidRDefault="001E6DD1" w:rsidP="001E6DD1">
      <w:pPr>
        <w:rPr>
          <w:noProof/>
        </w:rPr>
      </w:pPr>
    </w:p>
    <w:p w14:paraId="632D2296" w14:textId="77777777" w:rsidR="001E6DD1" w:rsidRPr="00165E31" w:rsidRDefault="00430718" w:rsidP="001E6DD1">
      <w:pPr>
        <w:pStyle w:val="ListParagraph"/>
        <w:numPr>
          <w:ilvl w:val="0"/>
          <w:numId w:val="32"/>
        </w:numPr>
        <w:tabs>
          <w:tab w:val="clear" w:pos="567"/>
          <w:tab w:val="left" w:pos="426"/>
        </w:tabs>
        <w:spacing w:line="240" w:lineRule="auto"/>
        <w:ind w:left="420" w:right="-28"/>
        <w:rPr>
          <w:noProof/>
          <w:szCs w:val="22"/>
        </w:rPr>
      </w:pPr>
      <w:r w:rsidRPr="00165E31">
        <w:t xml:space="preserve">Kas ir </w:t>
      </w:r>
      <w:r w:rsidRPr="00165E31">
        <w:rPr>
          <w:i/>
        </w:rPr>
        <w:t>Cuprior</w:t>
      </w:r>
      <w:r w:rsidRPr="00165E31">
        <w:t xml:space="preserve"> un kādam nolūkam tās lieto </w:t>
      </w:r>
    </w:p>
    <w:p w14:paraId="5594B41A" w14:textId="77777777" w:rsidR="001E6DD1" w:rsidRPr="00165E31" w:rsidRDefault="00430718" w:rsidP="001E6DD1">
      <w:pPr>
        <w:pStyle w:val="ListParagraph"/>
        <w:numPr>
          <w:ilvl w:val="0"/>
          <w:numId w:val="32"/>
        </w:numPr>
        <w:tabs>
          <w:tab w:val="clear" w:pos="567"/>
          <w:tab w:val="left" w:pos="426"/>
        </w:tabs>
        <w:spacing w:line="240" w:lineRule="auto"/>
        <w:ind w:left="420" w:right="-28"/>
        <w:rPr>
          <w:noProof/>
          <w:szCs w:val="22"/>
        </w:rPr>
      </w:pPr>
      <w:r w:rsidRPr="00165E31">
        <w:t xml:space="preserve">Kas Jums jāzina pirms </w:t>
      </w:r>
      <w:r w:rsidRPr="00165E31">
        <w:rPr>
          <w:i/>
        </w:rPr>
        <w:t>Cuprior</w:t>
      </w:r>
      <w:r w:rsidRPr="00165E31">
        <w:t xml:space="preserve"> lietošanas </w:t>
      </w:r>
    </w:p>
    <w:p w14:paraId="44CE1A98" w14:textId="77777777" w:rsidR="001E6DD1" w:rsidRPr="00165E31" w:rsidRDefault="00430718" w:rsidP="001E6DD1">
      <w:pPr>
        <w:pStyle w:val="ListParagraph"/>
        <w:numPr>
          <w:ilvl w:val="0"/>
          <w:numId w:val="32"/>
        </w:numPr>
        <w:tabs>
          <w:tab w:val="clear" w:pos="567"/>
          <w:tab w:val="left" w:pos="426"/>
        </w:tabs>
        <w:spacing w:line="240" w:lineRule="auto"/>
        <w:ind w:left="420" w:right="-28"/>
        <w:rPr>
          <w:noProof/>
          <w:szCs w:val="22"/>
        </w:rPr>
      </w:pPr>
      <w:r w:rsidRPr="00165E31">
        <w:t xml:space="preserve">Kā lietot </w:t>
      </w:r>
      <w:r w:rsidRPr="00165E31">
        <w:rPr>
          <w:i/>
        </w:rPr>
        <w:t>Cuprior</w:t>
      </w:r>
      <w:r w:rsidRPr="00165E31">
        <w:t xml:space="preserve"> </w:t>
      </w:r>
    </w:p>
    <w:p w14:paraId="31DF0832" w14:textId="77777777" w:rsidR="001E6DD1" w:rsidRPr="00165E31" w:rsidRDefault="00430718" w:rsidP="001E6DD1">
      <w:pPr>
        <w:pStyle w:val="ListParagraph"/>
        <w:numPr>
          <w:ilvl w:val="0"/>
          <w:numId w:val="32"/>
        </w:numPr>
        <w:tabs>
          <w:tab w:val="clear" w:pos="567"/>
          <w:tab w:val="left" w:pos="426"/>
        </w:tabs>
        <w:spacing w:line="240" w:lineRule="auto"/>
        <w:ind w:left="420" w:right="-28"/>
        <w:rPr>
          <w:noProof/>
          <w:szCs w:val="22"/>
        </w:rPr>
      </w:pPr>
      <w:r w:rsidRPr="00165E31">
        <w:t xml:space="preserve">Iespējamās blakusparādības </w:t>
      </w:r>
    </w:p>
    <w:p w14:paraId="544A2ADF" w14:textId="77777777" w:rsidR="001E6DD1" w:rsidRPr="00165E31" w:rsidRDefault="00430718" w:rsidP="001E6DD1">
      <w:pPr>
        <w:pStyle w:val="ListParagraph"/>
        <w:numPr>
          <w:ilvl w:val="0"/>
          <w:numId w:val="32"/>
        </w:numPr>
        <w:tabs>
          <w:tab w:val="clear" w:pos="567"/>
          <w:tab w:val="left" w:pos="426"/>
        </w:tabs>
        <w:spacing w:line="240" w:lineRule="auto"/>
        <w:ind w:left="420" w:right="-28"/>
        <w:rPr>
          <w:noProof/>
          <w:szCs w:val="22"/>
        </w:rPr>
      </w:pPr>
      <w:r w:rsidRPr="00165E31">
        <w:t xml:space="preserve">Kā uzglabāt </w:t>
      </w:r>
      <w:r w:rsidRPr="00165E31">
        <w:rPr>
          <w:i/>
        </w:rPr>
        <w:t>Cuprior</w:t>
      </w:r>
      <w:r w:rsidRPr="00165E31">
        <w:t xml:space="preserve"> </w:t>
      </w:r>
    </w:p>
    <w:p w14:paraId="3C5B9C81" w14:textId="77777777" w:rsidR="001E6DD1" w:rsidRPr="00165E31" w:rsidRDefault="00430718" w:rsidP="001E6DD1">
      <w:pPr>
        <w:pStyle w:val="ListParagraph"/>
        <w:numPr>
          <w:ilvl w:val="0"/>
          <w:numId w:val="32"/>
        </w:numPr>
        <w:tabs>
          <w:tab w:val="clear" w:pos="567"/>
          <w:tab w:val="left" w:pos="426"/>
        </w:tabs>
        <w:spacing w:line="240" w:lineRule="auto"/>
        <w:ind w:left="420" w:right="-28"/>
        <w:rPr>
          <w:noProof/>
          <w:szCs w:val="22"/>
        </w:rPr>
      </w:pPr>
      <w:r w:rsidRPr="00165E31">
        <w:t>Iepakojuma saturs un cita informācija</w:t>
      </w:r>
    </w:p>
    <w:p w14:paraId="218FE57F" w14:textId="77777777" w:rsidR="001E6DD1" w:rsidRPr="00165E31" w:rsidRDefault="001E6DD1" w:rsidP="001E6DD1">
      <w:pPr>
        <w:numPr>
          <w:ilvl w:val="12"/>
          <w:numId w:val="0"/>
        </w:numPr>
        <w:tabs>
          <w:tab w:val="clear" w:pos="567"/>
        </w:tabs>
        <w:spacing w:line="240" w:lineRule="auto"/>
        <w:ind w:right="-2"/>
        <w:rPr>
          <w:noProof/>
          <w:szCs w:val="22"/>
        </w:rPr>
      </w:pPr>
    </w:p>
    <w:p w14:paraId="2863EA71" w14:textId="77777777" w:rsidR="001E6DD1" w:rsidRPr="00165E31" w:rsidRDefault="001E6DD1" w:rsidP="001E6DD1">
      <w:pPr>
        <w:numPr>
          <w:ilvl w:val="12"/>
          <w:numId w:val="0"/>
        </w:numPr>
        <w:tabs>
          <w:tab w:val="clear" w:pos="567"/>
        </w:tabs>
        <w:spacing w:line="240" w:lineRule="auto"/>
        <w:rPr>
          <w:noProof/>
          <w:szCs w:val="22"/>
        </w:rPr>
      </w:pPr>
    </w:p>
    <w:p w14:paraId="1C25B876" w14:textId="77777777" w:rsidR="001E6DD1" w:rsidRPr="00165E31" w:rsidRDefault="00430718" w:rsidP="001E6DD1">
      <w:pPr>
        <w:pStyle w:val="ListParagraph"/>
        <w:numPr>
          <w:ilvl w:val="0"/>
          <w:numId w:val="33"/>
        </w:numPr>
        <w:tabs>
          <w:tab w:val="clear" w:pos="567"/>
        </w:tabs>
        <w:spacing w:line="240" w:lineRule="auto"/>
        <w:ind w:left="720"/>
        <w:outlineLvl w:val="0"/>
        <w:rPr>
          <w:b/>
          <w:noProof/>
          <w:szCs w:val="22"/>
        </w:rPr>
      </w:pPr>
      <w:r w:rsidRPr="00165E31">
        <w:rPr>
          <w:b/>
          <w:noProof/>
        </w:rPr>
        <w:t xml:space="preserve">Kas ir </w:t>
      </w:r>
      <w:r w:rsidRPr="00165E31">
        <w:rPr>
          <w:b/>
          <w:i/>
          <w:noProof/>
        </w:rPr>
        <w:t>Cuprior</w:t>
      </w:r>
      <w:r w:rsidRPr="00165E31">
        <w:rPr>
          <w:b/>
          <w:noProof/>
        </w:rPr>
        <w:t xml:space="preserve"> un kādam nolūkam tās lieto</w:t>
      </w:r>
    </w:p>
    <w:p w14:paraId="6E223E50" w14:textId="77777777" w:rsidR="001E6DD1" w:rsidRPr="00165E31" w:rsidRDefault="001E6DD1" w:rsidP="001E6DD1">
      <w:pPr>
        <w:numPr>
          <w:ilvl w:val="12"/>
          <w:numId w:val="0"/>
        </w:numPr>
        <w:tabs>
          <w:tab w:val="clear" w:pos="567"/>
        </w:tabs>
        <w:spacing w:line="240" w:lineRule="auto"/>
        <w:rPr>
          <w:noProof/>
          <w:szCs w:val="22"/>
        </w:rPr>
      </w:pPr>
    </w:p>
    <w:p w14:paraId="32BD6CCA" w14:textId="77777777" w:rsidR="001E6DD1" w:rsidRPr="00165E31" w:rsidRDefault="00430718" w:rsidP="001E6DD1">
      <w:pPr>
        <w:numPr>
          <w:ilvl w:val="12"/>
          <w:numId w:val="0"/>
        </w:numPr>
        <w:tabs>
          <w:tab w:val="clear" w:pos="567"/>
        </w:tabs>
        <w:spacing w:line="240" w:lineRule="auto"/>
        <w:rPr>
          <w:noProof/>
          <w:szCs w:val="22"/>
        </w:rPr>
      </w:pPr>
      <w:r w:rsidRPr="00165E31">
        <w:rPr>
          <w:i/>
        </w:rPr>
        <w:t>Cuprior</w:t>
      </w:r>
      <w:r w:rsidRPr="00165E31">
        <w:t xml:space="preserve"> ir zāles, ko lieto, lai ārstētu Vilsona slimību, un tās satur aktīvo vielu trientīnu. </w:t>
      </w:r>
    </w:p>
    <w:p w14:paraId="28034040" w14:textId="77777777" w:rsidR="001E6DD1" w:rsidRPr="00165E31" w:rsidRDefault="001E6DD1" w:rsidP="001E6DD1">
      <w:pPr>
        <w:numPr>
          <w:ilvl w:val="12"/>
          <w:numId w:val="0"/>
        </w:numPr>
        <w:tabs>
          <w:tab w:val="clear" w:pos="567"/>
        </w:tabs>
        <w:spacing w:line="240" w:lineRule="auto"/>
        <w:rPr>
          <w:noProof/>
          <w:szCs w:val="22"/>
        </w:rPr>
      </w:pPr>
    </w:p>
    <w:p w14:paraId="1FC499F0" w14:textId="77777777" w:rsidR="001E6DD1" w:rsidRPr="00165E31" w:rsidRDefault="00430718" w:rsidP="001E6DD1">
      <w:pPr>
        <w:numPr>
          <w:ilvl w:val="12"/>
          <w:numId w:val="0"/>
        </w:numPr>
        <w:tabs>
          <w:tab w:val="clear" w:pos="567"/>
        </w:tabs>
        <w:spacing w:line="240" w:lineRule="auto"/>
        <w:rPr>
          <w:noProof/>
          <w:szCs w:val="22"/>
        </w:rPr>
      </w:pPr>
      <w:r w:rsidRPr="00165E31">
        <w:t>Vilsona slimība ir iedzimta slimība, kad organisms nespēj normāli transportēt varu organismā, kā arī nespēj normāli izvadīt varu no</w:t>
      </w:r>
      <w:r w:rsidRPr="00165E31">
        <w:t xml:space="preserve"> aknām zarnās. Tas nozīmē, ka neliels daudzums vara, kas uzņemts ar pārtiku un dzērieniem, uzkrājas organismā, veidojot paaugstinātu vara līmeni, un var izraisīt aknu bojājumus un nervu sistēmas traucējumus. Šīs zāles galvenokārt darbojas, piesaistot organ</w:t>
      </w:r>
      <w:r w:rsidRPr="00165E31">
        <w:t xml:space="preserve">ismā esošo varu, kas pēc tam ļauj to izvadīt ar urīnu, tādējādi palīdzot samazināt vara līmeni. Tās var arī piesaistīt varu zarnās un tādējādi samazināt vara daudzumu, ko uzņem organisms. </w:t>
      </w:r>
    </w:p>
    <w:p w14:paraId="545258FD" w14:textId="77777777" w:rsidR="001E6DD1" w:rsidRPr="00165E31" w:rsidRDefault="00430718" w:rsidP="001E6DD1">
      <w:pPr>
        <w:numPr>
          <w:ilvl w:val="12"/>
          <w:numId w:val="0"/>
        </w:numPr>
        <w:tabs>
          <w:tab w:val="clear" w:pos="567"/>
        </w:tabs>
        <w:spacing w:line="240" w:lineRule="auto"/>
        <w:rPr>
          <w:noProof/>
          <w:szCs w:val="22"/>
        </w:rPr>
      </w:pPr>
      <w:r w:rsidRPr="00165E31">
        <w:rPr>
          <w:i/>
        </w:rPr>
        <w:t>Cuprior</w:t>
      </w:r>
      <w:r w:rsidRPr="00165E31">
        <w:t xml:space="preserve"> tiek lietots pieaugušajiem, pusaudžiem un bērniem vecumā no</w:t>
      </w:r>
      <w:r w:rsidRPr="00165E31">
        <w:t xml:space="preserve"> 5 gadiem un vecākiem, kas nepanes penicilamīnu — citas zāles, kas tiek izmantotas šīs slimības ārstēšanai.</w:t>
      </w:r>
    </w:p>
    <w:p w14:paraId="762CC2B7" w14:textId="77777777" w:rsidR="001E6DD1" w:rsidRPr="00165E31" w:rsidRDefault="001E6DD1" w:rsidP="001E6DD1">
      <w:pPr>
        <w:tabs>
          <w:tab w:val="clear" w:pos="567"/>
        </w:tabs>
        <w:spacing w:line="240" w:lineRule="auto"/>
        <w:ind w:right="-2"/>
        <w:rPr>
          <w:noProof/>
          <w:szCs w:val="22"/>
        </w:rPr>
      </w:pPr>
    </w:p>
    <w:p w14:paraId="2E36DA65" w14:textId="77777777" w:rsidR="001E6DD1" w:rsidRPr="00165E31" w:rsidRDefault="001E6DD1" w:rsidP="001E6DD1">
      <w:pPr>
        <w:tabs>
          <w:tab w:val="clear" w:pos="567"/>
        </w:tabs>
        <w:spacing w:line="240" w:lineRule="auto"/>
        <w:ind w:right="-2"/>
        <w:rPr>
          <w:noProof/>
          <w:szCs w:val="22"/>
        </w:rPr>
      </w:pPr>
    </w:p>
    <w:p w14:paraId="09652E89" w14:textId="77777777" w:rsidR="001E6DD1" w:rsidRPr="00165E31" w:rsidRDefault="00430718" w:rsidP="001E6DD1">
      <w:pPr>
        <w:pStyle w:val="ListParagraph"/>
        <w:numPr>
          <w:ilvl w:val="0"/>
          <w:numId w:val="33"/>
        </w:numPr>
        <w:tabs>
          <w:tab w:val="clear" w:pos="567"/>
        </w:tabs>
        <w:spacing w:line="240" w:lineRule="auto"/>
        <w:ind w:left="720"/>
        <w:outlineLvl w:val="0"/>
        <w:rPr>
          <w:b/>
          <w:noProof/>
          <w:szCs w:val="22"/>
        </w:rPr>
      </w:pPr>
      <w:r w:rsidRPr="00165E31">
        <w:rPr>
          <w:b/>
          <w:noProof/>
        </w:rPr>
        <w:t xml:space="preserve">Kas Jums jāzina pirms </w:t>
      </w:r>
      <w:r w:rsidRPr="00165E31">
        <w:rPr>
          <w:b/>
          <w:i/>
          <w:noProof/>
        </w:rPr>
        <w:t>Cuprior</w:t>
      </w:r>
      <w:r w:rsidRPr="00165E31">
        <w:rPr>
          <w:b/>
          <w:noProof/>
        </w:rPr>
        <w:t xml:space="preserve"> lietošanas </w:t>
      </w:r>
    </w:p>
    <w:p w14:paraId="09B6E915" w14:textId="77777777" w:rsidR="001E6DD1" w:rsidRPr="00165E31" w:rsidRDefault="001E6DD1" w:rsidP="001E6DD1">
      <w:pPr>
        <w:rPr>
          <w:noProof/>
        </w:rPr>
      </w:pPr>
    </w:p>
    <w:p w14:paraId="49187DA8" w14:textId="77777777" w:rsidR="001E6DD1" w:rsidRPr="00165E31" w:rsidRDefault="00430718" w:rsidP="001E6DD1">
      <w:pPr>
        <w:numPr>
          <w:ilvl w:val="12"/>
          <w:numId w:val="0"/>
        </w:numPr>
        <w:tabs>
          <w:tab w:val="clear" w:pos="567"/>
        </w:tabs>
        <w:spacing w:line="240" w:lineRule="auto"/>
        <w:rPr>
          <w:b/>
          <w:szCs w:val="22"/>
        </w:rPr>
      </w:pPr>
      <w:r w:rsidRPr="00165E31">
        <w:rPr>
          <w:b/>
        </w:rPr>
        <w:t xml:space="preserve">Nelietojiet </w:t>
      </w:r>
      <w:r w:rsidRPr="00165E31">
        <w:rPr>
          <w:b/>
          <w:i/>
        </w:rPr>
        <w:t>Cuprior</w:t>
      </w:r>
      <w:r w:rsidRPr="00165E31">
        <w:rPr>
          <w:b/>
        </w:rPr>
        <w:t xml:space="preserve"> šādos gadījumos:</w:t>
      </w:r>
    </w:p>
    <w:p w14:paraId="4B996442" w14:textId="77777777" w:rsidR="001E6DD1" w:rsidRPr="00165E31" w:rsidRDefault="00430718" w:rsidP="001E6DD1">
      <w:pPr>
        <w:numPr>
          <w:ilvl w:val="12"/>
          <w:numId w:val="0"/>
        </w:numPr>
        <w:tabs>
          <w:tab w:val="clear" w:pos="567"/>
        </w:tabs>
        <w:spacing w:line="240" w:lineRule="auto"/>
        <w:rPr>
          <w:szCs w:val="22"/>
        </w:rPr>
      </w:pPr>
      <w:r w:rsidRPr="00165E31">
        <w:t>ja Jums ir alerģija pret trientīnu vai kādu citu (6. punktā minēto</w:t>
      </w:r>
      <w:r w:rsidRPr="00165E31">
        <w:t xml:space="preserve">) šo zāļu sastāvdaļu. </w:t>
      </w:r>
    </w:p>
    <w:p w14:paraId="56A803BA" w14:textId="77777777" w:rsidR="001E6DD1" w:rsidRPr="00165E31" w:rsidRDefault="001E6DD1" w:rsidP="001E6DD1">
      <w:pPr>
        <w:numPr>
          <w:ilvl w:val="12"/>
          <w:numId w:val="0"/>
        </w:numPr>
        <w:tabs>
          <w:tab w:val="clear" w:pos="567"/>
        </w:tabs>
        <w:spacing w:line="240" w:lineRule="auto"/>
        <w:rPr>
          <w:noProof/>
          <w:szCs w:val="22"/>
        </w:rPr>
      </w:pPr>
    </w:p>
    <w:p w14:paraId="06A3E8EA" w14:textId="77777777" w:rsidR="001E6DD1" w:rsidRPr="00165E31" w:rsidRDefault="00430718" w:rsidP="001E6DD1">
      <w:pPr>
        <w:numPr>
          <w:ilvl w:val="12"/>
          <w:numId w:val="0"/>
        </w:numPr>
        <w:tabs>
          <w:tab w:val="clear" w:pos="567"/>
        </w:tabs>
        <w:spacing w:line="240" w:lineRule="auto"/>
        <w:rPr>
          <w:b/>
          <w:szCs w:val="22"/>
        </w:rPr>
      </w:pPr>
      <w:r w:rsidRPr="00165E31">
        <w:rPr>
          <w:b/>
        </w:rPr>
        <w:t xml:space="preserve">Brīdinājumi un piesardzība lietošanā </w:t>
      </w:r>
    </w:p>
    <w:p w14:paraId="592B1387" w14:textId="77777777" w:rsidR="001E6DD1" w:rsidRPr="00165E31" w:rsidRDefault="00430718" w:rsidP="001E6DD1">
      <w:pPr>
        <w:numPr>
          <w:ilvl w:val="12"/>
          <w:numId w:val="0"/>
        </w:numPr>
        <w:tabs>
          <w:tab w:val="clear" w:pos="567"/>
        </w:tabs>
        <w:spacing w:line="240" w:lineRule="auto"/>
        <w:rPr>
          <w:szCs w:val="22"/>
        </w:rPr>
      </w:pPr>
      <w:r w:rsidRPr="00165E31">
        <w:t xml:space="preserve">Pirms </w:t>
      </w:r>
      <w:r w:rsidRPr="00165E31">
        <w:rPr>
          <w:i/>
        </w:rPr>
        <w:t>Cuprior</w:t>
      </w:r>
      <w:r w:rsidRPr="00165E31">
        <w:t xml:space="preserve"> lietošanas konsultējieties ar savu ārstu vai farmaceitu.</w:t>
      </w:r>
    </w:p>
    <w:p w14:paraId="6498F68F" w14:textId="77777777" w:rsidR="001E6DD1" w:rsidRPr="00165E31" w:rsidRDefault="001E6DD1" w:rsidP="001E6DD1">
      <w:pPr>
        <w:numPr>
          <w:ilvl w:val="12"/>
          <w:numId w:val="0"/>
        </w:numPr>
        <w:tabs>
          <w:tab w:val="clear" w:pos="567"/>
        </w:tabs>
        <w:spacing w:line="240" w:lineRule="auto"/>
        <w:rPr>
          <w:noProof/>
          <w:szCs w:val="22"/>
        </w:rPr>
      </w:pPr>
    </w:p>
    <w:p w14:paraId="5B37C7F4" w14:textId="41B76742" w:rsidR="001E6DD1" w:rsidRPr="00165E31" w:rsidRDefault="00430718" w:rsidP="001E6DD1">
      <w:pPr>
        <w:numPr>
          <w:ilvl w:val="12"/>
          <w:numId w:val="0"/>
        </w:numPr>
        <w:tabs>
          <w:tab w:val="clear" w:pos="567"/>
        </w:tabs>
        <w:spacing w:line="240" w:lineRule="auto"/>
        <w:rPr>
          <w:noProof/>
          <w:szCs w:val="22"/>
        </w:rPr>
      </w:pPr>
      <w:r w:rsidRPr="00165E31">
        <w:t xml:space="preserve">Ja Jūs jau lietojat citas trientīnu saturošas zāles, pārejot uz ārstēšanu ar </w:t>
      </w:r>
      <w:r w:rsidRPr="00165E31">
        <w:rPr>
          <w:i/>
        </w:rPr>
        <w:t>Cuprior</w:t>
      </w:r>
      <w:r w:rsidRPr="00165E31">
        <w:t xml:space="preserve">, Jūsu ārsts var mainīt dienas devu, tablešu skaitu vai lietošanas reižu skaitu dienā. </w:t>
      </w:r>
    </w:p>
    <w:p w14:paraId="05FECD16" w14:textId="77777777" w:rsidR="001E6DD1" w:rsidRPr="00165E31" w:rsidRDefault="001E6DD1" w:rsidP="001E6DD1">
      <w:pPr>
        <w:numPr>
          <w:ilvl w:val="12"/>
          <w:numId w:val="0"/>
        </w:numPr>
        <w:tabs>
          <w:tab w:val="clear" w:pos="567"/>
        </w:tabs>
        <w:spacing w:line="240" w:lineRule="auto"/>
        <w:rPr>
          <w:noProof/>
          <w:szCs w:val="22"/>
        </w:rPr>
      </w:pPr>
    </w:p>
    <w:p w14:paraId="1B0E789F" w14:textId="77777777" w:rsidR="001E6DD1" w:rsidRPr="00165E31" w:rsidRDefault="00430718" w:rsidP="001E6DD1">
      <w:pPr>
        <w:numPr>
          <w:ilvl w:val="12"/>
          <w:numId w:val="0"/>
        </w:numPr>
        <w:tabs>
          <w:tab w:val="clear" w:pos="567"/>
        </w:tabs>
        <w:spacing w:line="240" w:lineRule="auto"/>
        <w:rPr>
          <w:noProof/>
          <w:szCs w:val="22"/>
        </w:rPr>
      </w:pPr>
      <w:r w:rsidRPr="00165E31">
        <w:t>Pēc ārstēšanas uzsākšanas slimības simptomi sākotnēji var pasliktināties. Ja tas no</w:t>
      </w:r>
      <w:r w:rsidRPr="00165E31">
        <w:t>tiek, Jums par to jāpastāsta ārstam.</w:t>
      </w:r>
    </w:p>
    <w:p w14:paraId="15362503" w14:textId="77777777" w:rsidR="001E6DD1" w:rsidRPr="00165E31" w:rsidRDefault="001E6DD1" w:rsidP="001E6DD1">
      <w:pPr>
        <w:numPr>
          <w:ilvl w:val="12"/>
          <w:numId w:val="0"/>
        </w:numPr>
        <w:tabs>
          <w:tab w:val="clear" w:pos="567"/>
        </w:tabs>
        <w:spacing w:line="240" w:lineRule="auto"/>
        <w:rPr>
          <w:noProof/>
          <w:szCs w:val="22"/>
        </w:rPr>
      </w:pPr>
    </w:p>
    <w:p w14:paraId="59368EDF" w14:textId="77777777" w:rsidR="001E6DD1" w:rsidRPr="00165E31" w:rsidRDefault="00430718" w:rsidP="001E6DD1">
      <w:pPr>
        <w:numPr>
          <w:ilvl w:val="12"/>
          <w:numId w:val="0"/>
        </w:numPr>
        <w:tabs>
          <w:tab w:val="clear" w:pos="567"/>
        </w:tabs>
        <w:spacing w:line="240" w:lineRule="auto"/>
        <w:rPr>
          <w:noProof/>
          <w:szCs w:val="22"/>
        </w:rPr>
      </w:pPr>
      <w:r w:rsidRPr="00165E31">
        <w:t xml:space="preserve">Jūsu ārsts regulāri veiks Jūsu asins un urīna analīzes, lai nodrošinātu pareizo </w:t>
      </w:r>
      <w:r w:rsidRPr="00165E31">
        <w:rPr>
          <w:i/>
        </w:rPr>
        <w:t>Cuprior</w:t>
      </w:r>
      <w:r w:rsidRPr="00165E31">
        <w:t xml:space="preserve"> devu un kontrolētu slimības simptomus un vara līmeni. </w:t>
      </w:r>
    </w:p>
    <w:p w14:paraId="1D13F65A" w14:textId="77777777" w:rsidR="001E6DD1" w:rsidRPr="00165E31" w:rsidRDefault="001E6DD1" w:rsidP="001E6DD1">
      <w:pPr>
        <w:numPr>
          <w:ilvl w:val="12"/>
          <w:numId w:val="0"/>
        </w:numPr>
        <w:tabs>
          <w:tab w:val="clear" w:pos="567"/>
        </w:tabs>
        <w:spacing w:line="240" w:lineRule="auto"/>
        <w:rPr>
          <w:noProof/>
          <w:szCs w:val="22"/>
        </w:rPr>
      </w:pPr>
    </w:p>
    <w:p w14:paraId="21DE9F68" w14:textId="77777777" w:rsidR="001E6DD1" w:rsidRPr="00165E31" w:rsidRDefault="00430718" w:rsidP="001E6DD1">
      <w:pPr>
        <w:numPr>
          <w:ilvl w:val="12"/>
          <w:numId w:val="0"/>
        </w:numPr>
        <w:tabs>
          <w:tab w:val="clear" w:pos="567"/>
        </w:tabs>
        <w:spacing w:line="240" w:lineRule="auto"/>
        <w:rPr>
          <w:noProof/>
          <w:szCs w:val="22"/>
        </w:rPr>
      </w:pPr>
      <w:r w:rsidRPr="00165E31">
        <w:t xml:space="preserve">Jums jāpastāsta savam ārstam, ja Jums rodas jebkādas blakusparādības, jo tas var liecināt, ka Jūsu </w:t>
      </w:r>
      <w:r w:rsidRPr="00165E31">
        <w:rPr>
          <w:i/>
        </w:rPr>
        <w:t>Cuprior</w:t>
      </w:r>
      <w:r w:rsidRPr="00165E31">
        <w:t xml:space="preserve"> deva ir jāpielāgo, to palielinot vai samazinot. </w:t>
      </w:r>
    </w:p>
    <w:p w14:paraId="749621E9" w14:textId="77777777" w:rsidR="001E6DD1" w:rsidRPr="00165E31" w:rsidRDefault="001E6DD1" w:rsidP="001E6DD1">
      <w:pPr>
        <w:numPr>
          <w:ilvl w:val="12"/>
          <w:numId w:val="0"/>
        </w:numPr>
        <w:tabs>
          <w:tab w:val="clear" w:pos="567"/>
        </w:tabs>
        <w:spacing w:line="240" w:lineRule="auto"/>
        <w:rPr>
          <w:noProof/>
          <w:szCs w:val="22"/>
        </w:rPr>
      </w:pPr>
    </w:p>
    <w:p w14:paraId="3E9FCC46" w14:textId="77777777" w:rsidR="001E6DD1" w:rsidRPr="00165E31" w:rsidRDefault="00430718" w:rsidP="001E6DD1">
      <w:pPr>
        <w:numPr>
          <w:ilvl w:val="12"/>
          <w:numId w:val="0"/>
        </w:numPr>
        <w:tabs>
          <w:tab w:val="clear" w:pos="567"/>
        </w:tabs>
        <w:spacing w:line="240" w:lineRule="auto"/>
        <w:ind w:right="-2"/>
        <w:rPr>
          <w:noProof/>
          <w:szCs w:val="22"/>
        </w:rPr>
      </w:pPr>
      <w:r w:rsidRPr="00165E31">
        <w:t xml:space="preserve">Šīs zāles var arī samazināt dzelzs līmeni asinīs, un ārsts var izrakstīt dzelzs preparātus (skatīt </w:t>
      </w:r>
      <w:r w:rsidRPr="00165E31">
        <w:t xml:space="preserve">sadaļu "Citas zāles un </w:t>
      </w:r>
      <w:r w:rsidRPr="00165E31">
        <w:rPr>
          <w:i/>
        </w:rPr>
        <w:t>Cuprior</w:t>
      </w:r>
      <w:r w:rsidRPr="00165E31">
        <w:t>").</w:t>
      </w:r>
    </w:p>
    <w:p w14:paraId="136C712C" w14:textId="77777777" w:rsidR="001E6DD1" w:rsidRPr="00165E31" w:rsidRDefault="001E6DD1" w:rsidP="001E6DD1">
      <w:pPr>
        <w:numPr>
          <w:ilvl w:val="12"/>
          <w:numId w:val="0"/>
        </w:numPr>
        <w:tabs>
          <w:tab w:val="clear" w:pos="567"/>
        </w:tabs>
        <w:spacing w:line="240" w:lineRule="auto"/>
        <w:ind w:right="-2"/>
        <w:rPr>
          <w:noProof/>
          <w:szCs w:val="22"/>
        </w:rPr>
      </w:pPr>
    </w:p>
    <w:p w14:paraId="423E735C" w14:textId="77777777" w:rsidR="001E6DD1" w:rsidRPr="00165E31" w:rsidRDefault="00430718" w:rsidP="001E6DD1">
      <w:pPr>
        <w:numPr>
          <w:ilvl w:val="12"/>
          <w:numId w:val="0"/>
        </w:numPr>
        <w:tabs>
          <w:tab w:val="clear" w:pos="567"/>
        </w:tabs>
        <w:spacing w:line="240" w:lineRule="auto"/>
        <w:ind w:right="-2"/>
        <w:rPr>
          <w:noProof/>
          <w:szCs w:val="22"/>
        </w:rPr>
      </w:pPr>
      <w:r w:rsidRPr="00165E31">
        <w:t>Ja Jums ir nieru darbības traucējumi, ārsts regulāri pārbaudīs, vai ārstēšanas deva ir piemērota un neietekmē nieru darbību.</w:t>
      </w:r>
    </w:p>
    <w:p w14:paraId="70DC6A1C" w14:textId="77777777" w:rsidR="001E6DD1" w:rsidRPr="00165E31" w:rsidRDefault="001E6DD1" w:rsidP="001E6DD1">
      <w:pPr>
        <w:numPr>
          <w:ilvl w:val="12"/>
          <w:numId w:val="0"/>
        </w:numPr>
        <w:tabs>
          <w:tab w:val="clear" w:pos="567"/>
        </w:tabs>
        <w:spacing w:line="240" w:lineRule="auto"/>
        <w:ind w:right="-2"/>
        <w:rPr>
          <w:noProof/>
          <w:szCs w:val="22"/>
        </w:rPr>
      </w:pPr>
    </w:p>
    <w:p w14:paraId="52DF9E45" w14:textId="77777777" w:rsidR="001E6DD1" w:rsidRPr="00165E31" w:rsidRDefault="00430718" w:rsidP="001E6DD1">
      <w:pPr>
        <w:numPr>
          <w:ilvl w:val="12"/>
          <w:numId w:val="0"/>
        </w:numPr>
        <w:tabs>
          <w:tab w:val="clear" w:pos="567"/>
        </w:tabs>
        <w:spacing w:line="240" w:lineRule="auto"/>
        <w:ind w:right="-2"/>
        <w:rPr>
          <w:noProof/>
          <w:szCs w:val="22"/>
        </w:rPr>
      </w:pPr>
      <w:r w:rsidRPr="00165E31">
        <w:t xml:space="preserve">Nav ieteicams kombinēt trientīnu ar citām zālēm, kas satur cinku. </w:t>
      </w:r>
    </w:p>
    <w:p w14:paraId="67C79EB2" w14:textId="77777777" w:rsidR="001E6DD1" w:rsidRPr="00165E31" w:rsidRDefault="001E6DD1" w:rsidP="001E6DD1">
      <w:pPr>
        <w:numPr>
          <w:ilvl w:val="12"/>
          <w:numId w:val="0"/>
        </w:numPr>
        <w:tabs>
          <w:tab w:val="clear" w:pos="567"/>
        </w:tabs>
        <w:spacing w:line="240" w:lineRule="auto"/>
        <w:ind w:right="-2"/>
        <w:rPr>
          <w:noProof/>
          <w:szCs w:val="22"/>
        </w:rPr>
      </w:pPr>
    </w:p>
    <w:p w14:paraId="70200680" w14:textId="77777777" w:rsidR="001E6DD1" w:rsidRPr="00165E31" w:rsidRDefault="00430718" w:rsidP="001E6DD1">
      <w:pPr>
        <w:tabs>
          <w:tab w:val="clear" w:pos="567"/>
        </w:tabs>
        <w:autoSpaceDE w:val="0"/>
        <w:autoSpaceDN w:val="0"/>
        <w:adjustRightInd w:val="0"/>
        <w:spacing w:line="240" w:lineRule="auto"/>
        <w:rPr>
          <w:rFonts w:eastAsia="SimSun"/>
          <w:szCs w:val="22"/>
        </w:rPr>
      </w:pPr>
      <w:r w:rsidRPr="00165E31">
        <w:t>Daži pacienti, kuri pēc pen</w:t>
      </w:r>
      <w:r w:rsidRPr="00165E31">
        <w:t>icilamīna lietošanas pārgāja uz ārstēšanu ar trientīnu saturošām zālēm, ziņoja par vilkēdei līdzīgām reakcijām (simptomi ietver noturīgus izsitumus, drudzi, locītavu sāpes un nogurumu). Tomēr nebija iespējams noteikt, vai reakcija bija saistīta ar trientīn</w:t>
      </w:r>
      <w:r w:rsidRPr="00165E31">
        <w:t xml:space="preserve">u vai iepriekšējo ārstēšanu ar penicilamīnu. </w:t>
      </w:r>
    </w:p>
    <w:p w14:paraId="17A655A9" w14:textId="77777777" w:rsidR="001E6DD1" w:rsidRPr="00165E31" w:rsidRDefault="001E6DD1" w:rsidP="001E6DD1">
      <w:pPr>
        <w:numPr>
          <w:ilvl w:val="12"/>
          <w:numId w:val="0"/>
        </w:numPr>
        <w:tabs>
          <w:tab w:val="clear" w:pos="567"/>
        </w:tabs>
        <w:spacing w:line="240" w:lineRule="auto"/>
        <w:ind w:right="-2"/>
        <w:rPr>
          <w:noProof/>
          <w:szCs w:val="22"/>
        </w:rPr>
      </w:pPr>
    </w:p>
    <w:p w14:paraId="6331034B" w14:textId="77777777" w:rsidR="001E6DD1" w:rsidRPr="00165E31" w:rsidRDefault="00430718" w:rsidP="001E6DD1">
      <w:pPr>
        <w:rPr>
          <w:rFonts w:eastAsia="SimSun"/>
          <w:b/>
          <w:bCs/>
          <w:szCs w:val="22"/>
        </w:rPr>
      </w:pPr>
      <w:r w:rsidRPr="00165E31">
        <w:rPr>
          <w:b/>
        </w:rPr>
        <w:t>Bērni un pusaudži</w:t>
      </w:r>
    </w:p>
    <w:p w14:paraId="6A583859" w14:textId="77777777" w:rsidR="001E6DD1" w:rsidRPr="00165E31" w:rsidRDefault="00430718" w:rsidP="001E6DD1">
      <w:pPr>
        <w:rPr>
          <w:noProof/>
          <w:szCs w:val="22"/>
        </w:rPr>
      </w:pPr>
      <w:r w:rsidRPr="00165E31">
        <w:t xml:space="preserve">Ārsts veiks pārbaudes biežāk, lai nodrošinātu, ka varš tiek uzturēts atbilstošā līmenī, lai nodrošinātu normālu augšanu un garīgo attīstību. </w:t>
      </w:r>
    </w:p>
    <w:p w14:paraId="5576A1F2" w14:textId="77777777" w:rsidR="001E6DD1" w:rsidRPr="00165E31" w:rsidRDefault="00430718" w:rsidP="001E6DD1">
      <w:pPr>
        <w:rPr>
          <w:noProof/>
          <w:szCs w:val="22"/>
        </w:rPr>
      </w:pPr>
      <w:r w:rsidRPr="00165E31">
        <w:rPr>
          <w:i/>
        </w:rPr>
        <w:t>Cuprior</w:t>
      </w:r>
      <w:r w:rsidRPr="00165E31">
        <w:t xml:space="preserve"> nav ieteicamas bērniem, kas jaunāki par 5</w:t>
      </w:r>
      <w:r w:rsidRPr="00165E31">
        <w:t> gadiem.</w:t>
      </w:r>
    </w:p>
    <w:p w14:paraId="432FA52B" w14:textId="77777777" w:rsidR="001E6DD1" w:rsidRPr="00165E31" w:rsidRDefault="001E6DD1" w:rsidP="001E6DD1">
      <w:pPr>
        <w:rPr>
          <w:noProof/>
          <w:szCs w:val="22"/>
          <w:highlight w:val="yellow"/>
        </w:rPr>
      </w:pPr>
    </w:p>
    <w:p w14:paraId="15E03DD0" w14:textId="77777777" w:rsidR="001E6DD1" w:rsidRPr="00165E31" w:rsidRDefault="00430718" w:rsidP="001E6DD1">
      <w:pPr>
        <w:numPr>
          <w:ilvl w:val="12"/>
          <w:numId w:val="0"/>
        </w:numPr>
        <w:tabs>
          <w:tab w:val="clear" w:pos="567"/>
        </w:tabs>
        <w:spacing w:line="240" w:lineRule="auto"/>
        <w:ind w:right="-2"/>
        <w:rPr>
          <w:szCs w:val="22"/>
        </w:rPr>
      </w:pPr>
      <w:r w:rsidRPr="00165E31">
        <w:rPr>
          <w:b/>
        </w:rPr>
        <w:t xml:space="preserve">Citas zāles un </w:t>
      </w:r>
      <w:r w:rsidRPr="00165E31">
        <w:rPr>
          <w:b/>
          <w:i/>
        </w:rPr>
        <w:t>Cuprior</w:t>
      </w:r>
    </w:p>
    <w:p w14:paraId="56B00A36" w14:textId="77777777" w:rsidR="001E6DD1" w:rsidRPr="00165E31" w:rsidRDefault="00430718" w:rsidP="001E6DD1">
      <w:pPr>
        <w:numPr>
          <w:ilvl w:val="12"/>
          <w:numId w:val="0"/>
        </w:numPr>
        <w:tabs>
          <w:tab w:val="clear" w:pos="567"/>
        </w:tabs>
        <w:spacing w:line="240" w:lineRule="auto"/>
        <w:ind w:right="-2"/>
        <w:rPr>
          <w:noProof/>
          <w:szCs w:val="22"/>
        </w:rPr>
      </w:pPr>
      <w:r w:rsidRPr="00165E31">
        <w:t xml:space="preserve">Pastāstiet ārstam par visām zālēm, kuras lietojat pēdējā laikā, esat lietojis(-usi) vai varētu lietot. </w:t>
      </w:r>
    </w:p>
    <w:p w14:paraId="3A84958E" w14:textId="77777777" w:rsidR="001E6DD1" w:rsidRPr="00165E31" w:rsidRDefault="001E6DD1" w:rsidP="001E6DD1">
      <w:pPr>
        <w:numPr>
          <w:ilvl w:val="12"/>
          <w:numId w:val="0"/>
        </w:numPr>
        <w:tabs>
          <w:tab w:val="clear" w:pos="567"/>
        </w:tabs>
        <w:spacing w:line="240" w:lineRule="auto"/>
        <w:ind w:right="-2"/>
        <w:rPr>
          <w:noProof/>
          <w:szCs w:val="22"/>
        </w:rPr>
      </w:pPr>
    </w:p>
    <w:p w14:paraId="0B6A3D8F" w14:textId="77777777" w:rsidR="001E6DD1" w:rsidRPr="00165E31" w:rsidRDefault="00430718" w:rsidP="001E6DD1">
      <w:pPr>
        <w:rPr>
          <w:noProof/>
          <w:szCs w:val="22"/>
        </w:rPr>
      </w:pPr>
      <w:r w:rsidRPr="00165E31">
        <w:t xml:space="preserve">Īpaši Jums jāpastāsta savam ārstam, ja jau lietojat dzelzs preparātus vai līdzekļus pret gremošanas traucējumiem (zāles, kas samazina diskomfortu pēc ēšanas). Ja lietojat šīs zāles, Jums var būt nepieciešams lietot </w:t>
      </w:r>
      <w:r w:rsidRPr="00165E31">
        <w:rPr>
          <w:i/>
        </w:rPr>
        <w:t>Cuprior</w:t>
      </w:r>
      <w:r w:rsidRPr="00165E31">
        <w:t xml:space="preserve"> citā diennakts laikā, jo citādi </w:t>
      </w:r>
      <w:r w:rsidRPr="00165E31">
        <w:rPr>
          <w:i/>
        </w:rPr>
        <w:t>C</w:t>
      </w:r>
      <w:r w:rsidRPr="00165E31">
        <w:rPr>
          <w:i/>
        </w:rPr>
        <w:t xml:space="preserve">uprior </w:t>
      </w:r>
      <w:r w:rsidRPr="00165E31">
        <w:t xml:space="preserve">var nebūt tik iedarbīgas. Ja lietojat dzelzs preparātus, pārliecinieties, ka ir pagājušas vismaz divas stundas pēc </w:t>
      </w:r>
      <w:r w:rsidRPr="00165E31">
        <w:rPr>
          <w:i/>
        </w:rPr>
        <w:t>Cuprior</w:t>
      </w:r>
      <w:r w:rsidRPr="00165E31">
        <w:t xml:space="preserve"> lietošanas, un tikai tad lietojiet dzelzs preparātus.</w:t>
      </w:r>
    </w:p>
    <w:p w14:paraId="05C849AE" w14:textId="77777777" w:rsidR="001E6DD1" w:rsidRPr="00165E31" w:rsidRDefault="001E6DD1" w:rsidP="001E6DD1">
      <w:pPr>
        <w:rPr>
          <w:noProof/>
          <w:szCs w:val="22"/>
        </w:rPr>
      </w:pPr>
    </w:p>
    <w:p w14:paraId="6FBF4A8F" w14:textId="77777777" w:rsidR="001E6DD1" w:rsidRPr="00165E31" w:rsidRDefault="00430718" w:rsidP="001E6DD1">
      <w:pPr>
        <w:numPr>
          <w:ilvl w:val="12"/>
          <w:numId w:val="0"/>
        </w:numPr>
        <w:tabs>
          <w:tab w:val="clear" w:pos="567"/>
        </w:tabs>
        <w:spacing w:line="240" w:lineRule="auto"/>
        <w:rPr>
          <w:b/>
          <w:szCs w:val="22"/>
        </w:rPr>
      </w:pPr>
      <w:r w:rsidRPr="00165E31">
        <w:rPr>
          <w:b/>
        </w:rPr>
        <w:t xml:space="preserve">Grūtniecība un barošana ar krūti </w:t>
      </w:r>
    </w:p>
    <w:p w14:paraId="189C528D" w14:textId="77777777" w:rsidR="001E6DD1" w:rsidRPr="00165E31" w:rsidRDefault="00430718" w:rsidP="001E6DD1">
      <w:pPr>
        <w:numPr>
          <w:ilvl w:val="12"/>
          <w:numId w:val="0"/>
        </w:numPr>
        <w:tabs>
          <w:tab w:val="clear" w:pos="567"/>
        </w:tabs>
        <w:spacing w:line="240" w:lineRule="auto"/>
        <w:rPr>
          <w:noProof/>
          <w:szCs w:val="22"/>
        </w:rPr>
      </w:pPr>
      <w:r w:rsidRPr="00165E31">
        <w:t>Ja esat grūtniece vai barojat bērnu a</w:t>
      </w:r>
      <w:r w:rsidRPr="00165E31">
        <w:t xml:space="preserve">r krūti, ja domājat, ka Jums varētu būt grūtniecība vai plānojat grūtniecību, pirms šo zāļu lietošanas konsultējieties ar ārstu. </w:t>
      </w:r>
    </w:p>
    <w:p w14:paraId="4017B5C7" w14:textId="77777777" w:rsidR="001E6DD1" w:rsidRPr="00165E31" w:rsidRDefault="001E6DD1" w:rsidP="001E6DD1">
      <w:pPr>
        <w:numPr>
          <w:ilvl w:val="12"/>
          <w:numId w:val="0"/>
        </w:numPr>
        <w:tabs>
          <w:tab w:val="clear" w:pos="567"/>
        </w:tabs>
        <w:spacing w:line="240" w:lineRule="auto"/>
        <w:rPr>
          <w:szCs w:val="22"/>
        </w:rPr>
      </w:pPr>
    </w:p>
    <w:p w14:paraId="68A562DD" w14:textId="77777777" w:rsidR="001E6DD1" w:rsidRPr="00165E31" w:rsidRDefault="00430718" w:rsidP="001E6DD1">
      <w:pPr>
        <w:numPr>
          <w:ilvl w:val="12"/>
          <w:numId w:val="0"/>
        </w:numPr>
        <w:tabs>
          <w:tab w:val="clear" w:pos="567"/>
        </w:tabs>
        <w:spacing w:line="240" w:lineRule="auto"/>
        <w:rPr>
          <w:szCs w:val="22"/>
        </w:rPr>
      </w:pPr>
      <w:r w:rsidRPr="00165E31">
        <w:t>Ir ļoti svarīgi turpināt ārstēšanu, lai grūtniecības laikā samazinātu vara līmeni. Jums un Jūsu ārstam ir jāapspriež iespējam</w:t>
      </w:r>
      <w:r w:rsidRPr="00165E31">
        <w:t>ie ieguvumi no ārstēšanas, vienlaikus ņemot vērā iespējamos riskus. Jūsu ārsts sniegs Jums padomu, kura ārstēšana un deva ir labākais risinājums Jūsu situācijā.</w:t>
      </w:r>
    </w:p>
    <w:p w14:paraId="2BCEB4BE" w14:textId="77777777" w:rsidR="001E6DD1" w:rsidRPr="00165E31" w:rsidRDefault="001E6DD1" w:rsidP="001E6DD1">
      <w:pPr>
        <w:numPr>
          <w:ilvl w:val="12"/>
          <w:numId w:val="0"/>
        </w:numPr>
        <w:tabs>
          <w:tab w:val="clear" w:pos="567"/>
        </w:tabs>
        <w:spacing w:line="240" w:lineRule="auto"/>
        <w:rPr>
          <w:noProof/>
          <w:szCs w:val="22"/>
        </w:rPr>
      </w:pPr>
    </w:p>
    <w:p w14:paraId="33F8AB8D" w14:textId="77777777" w:rsidR="001E6DD1" w:rsidRPr="00165E31" w:rsidRDefault="00430718" w:rsidP="001E6DD1">
      <w:pPr>
        <w:rPr>
          <w:noProof/>
          <w:szCs w:val="22"/>
        </w:rPr>
      </w:pPr>
      <w:r w:rsidRPr="00165E31">
        <w:t xml:space="preserve">Ja Jums ir iestājusies grūtniecība un Jūs lietojat </w:t>
      </w:r>
      <w:r w:rsidRPr="00165E31">
        <w:rPr>
          <w:i/>
        </w:rPr>
        <w:t>Cuprior</w:t>
      </w:r>
      <w:r w:rsidRPr="00165E31">
        <w:t>, Jūs visu grūtniecības laiku tiksie</w:t>
      </w:r>
      <w:r w:rsidRPr="00165E31">
        <w:t xml:space="preserve">t uzraudzīta, lai izvērtētu zāļu ietekmi uz bērnu vai novērotu izmaiņas vara līmenī. Kad bērns būs piedzimis, tiks uzraudzīts vara līmenis mazuļa asinīs. </w:t>
      </w:r>
    </w:p>
    <w:p w14:paraId="65DA017C" w14:textId="77777777" w:rsidR="001E6DD1" w:rsidRPr="00165E31" w:rsidRDefault="001E6DD1" w:rsidP="001E6DD1">
      <w:pPr>
        <w:rPr>
          <w:noProof/>
          <w:szCs w:val="22"/>
        </w:rPr>
      </w:pPr>
    </w:p>
    <w:p w14:paraId="7777D3E6" w14:textId="77777777" w:rsidR="001E6DD1" w:rsidRPr="00165E31" w:rsidRDefault="00430718" w:rsidP="001E6DD1">
      <w:pPr>
        <w:rPr>
          <w:noProof/>
          <w:szCs w:val="22"/>
        </w:rPr>
      </w:pPr>
      <w:r w:rsidRPr="00165E31">
        <w:t xml:space="preserve">Vēl nav zināms, vai </w:t>
      </w:r>
      <w:r w:rsidRPr="00165E31">
        <w:rPr>
          <w:i/>
        </w:rPr>
        <w:t>Cuprior</w:t>
      </w:r>
      <w:r w:rsidRPr="00165E31">
        <w:t xml:space="preserve"> nokļūst mātes pienā. Ir svarīgi pastāstīt ārstam, ja Jūs barojat bērnu a</w:t>
      </w:r>
      <w:r w:rsidRPr="00165E31">
        <w:t xml:space="preserve">r krūti vai plānojat to darīt. Tad ārsts palīdzēs Jums izlemt, vai pārtraukt krūts barošanu vai </w:t>
      </w:r>
      <w:r w:rsidRPr="00165E31">
        <w:rPr>
          <w:i/>
        </w:rPr>
        <w:t>Cuprior</w:t>
      </w:r>
      <w:r w:rsidRPr="00165E31">
        <w:t xml:space="preserve"> lietošanu, izvērtējot krūts barošanas ieguvumu bērnam un ieguvumu no </w:t>
      </w:r>
      <w:r w:rsidRPr="00165E31">
        <w:rPr>
          <w:i/>
        </w:rPr>
        <w:t>Cuprior</w:t>
      </w:r>
      <w:r w:rsidRPr="00165E31">
        <w:t xml:space="preserve"> terapijas mātei. Ārsts izlems, kura ārstēšana un deva ir labākais risinājum</w:t>
      </w:r>
      <w:r w:rsidRPr="00165E31">
        <w:t>s Jūsu situācijā.</w:t>
      </w:r>
    </w:p>
    <w:p w14:paraId="4B09274C" w14:textId="77777777" w:rsidR="001E6DD1" w:rsidRPr="00165E31" w:rsidRDefault="001E6DD1" w:rsidP="001E6DD1">
      <w:pPr>
        <w:numPr>
          <w:ilvl w:val="12"/>
          <w:numId w:val="0"/>
        </w:numPr>
        <w:tabs>
          <w:tab w:val="clear" w:pos="567"/>
        </w:tabs>
        <w:spacing w:line="240" w:lineRule="auto"/>
        <w:rPr>
          <w:noProof/>
          <w:szCs w:val="22"/>
        </w:rPr>
      </w:pPr>
    </w:p>
    <w:p w14:paraId="39357B7B" w14:textId="77777777" w:rsidR="001E6DD1" w:rsidRPr="00165E31" w:rsidRDefault="00430718" w:rsidP="001E6DD1">
      <w:pPr>
        <w:numPr>
          <w:ilvl w:val="12"/>
          <w:numId w:val="0"/>
        </w:numPr>
        <w:tabs>
          <w:tab w:val="clear" w:pos="567"/>
        </w:tabs>
        <w:spacing w:line="240" w:lineRule="auto"/>
        <w:rPr>
          <w:b/>
          <w:szCs w:val="22"/>
        </w:rPr>
      </w:pPr>
      <w:r w:rsidRPr="00165E31">
        <w:rPr>
          <w:b/>
        </w:rPr>
        <w:t>Transportlīdzekļu vadīšana un mehānismu apkalpošana</w:t>
      </w:r>
    </w:p>
    <w:p w14:paraId="53CEF499" w14:textId="77777777" w:rsidR="001E6DD1" w:rsidRPr="00165E31" w:rsidRDefault="00430718" w:rsidP="001E6DD1">
      <w:pPr>
        <w:numPr>
          <w:ilvl w:val="12"/>
          <w:numId w:val="0"/>
        </w:numPr>
        <w:tabs>
          <w:tab w:val="clear" w:pos="567"/>
        </w:tabs>
        <w:spacing w:line="240" w:lineRule="auto"/>
        <w:ind w:right="-2"/>
        <w:rPr>
          <w:noProof/>
          <w:szCs w:val="22"/>
        </w:rPr>
      </w:pPr>
      <w:r w:rsidRPr="00165E31">
        <w:rPr>
          <w:i/>
        </w:rPr>
        <w:t>Cuprior</w:t>
      </w:r>
      <w:r w:rsidRPr="00165E31">
        <w:t xml:space="preserve"> neietekmē spēju vadīt transportlīdzekļus un apkalpot mehānismus.</w:t>
      </w:r>
    </w:p>
    <w:p w14:paraId="458A8665" w14:textId="77777777" w:rsidR="001E6DD1" w:rsidRPr="00165E31" w:rsidRDefault="001E6DD1" w:rsidP="001E6DD1">
      <w:pPr>
        <w:numPr>
          <w:ilvl w:val="12"/>
          <w:numId w:val="0"/>
        </w:numPr>
        <w:tabs>
          <w:tab w:val="clear" w:pos="567"/>
        </w:tabs>
        <w:spacing w:line="240" w:lineRule="auto"/>
        <w:ind w:right="-2"/>
        <w:rPr>
          <w:noProof/>
          <w:szCs w:val="22"/>
        </w:rPr>
      </w:pPr>
    </w:p>
    <w:p w14:paraId="6E52B159" w14:textId="77777777" w:rsidR="001E6DD1" w:rsidRPr="00165E31" w:rsidRDefault="001E6DD1" w:rsidP="001E6DD1">
      <w:pPr>
        <w:numPr>
          <w:ilvl w:val="12"/>
          <w:numId w:val="0"/>
        </w:numPr>
        <w:tabs>
          <w:tab w:val="clear" w:pos="567"/>
        </w:tabs>
        <w:spacing w:line="240" w:lineRule="auto"/>
        <w:ind w:right="-2"/>
        <w:rPr>
          <w:noProof/>
          <w:szCs w:val="22"/>
        </w:rPr>
      </w:pPr>
    </w:p>
    <w:p w14:paraId="756A894E" w14:textId="77777777" w:rsidR="001E6DD1" w:rsidRPr="00165E31" w:rsidRDefault="00430718" w:rsidP="001E6DD1">
      <w:pPr>
        <w:pStyle w:val="ListParagraph"/>
        <w:numPr>
          <w:ilvl w:val="0"/>
          <w:numId w:val="33"/>
        </w:numPr>
        <w:tabs>
          <w:tab w:val="clear" w:pos="567"/>
        </w:tabs>
        <w:spacing w:line="240" w:lineRule="auto"/>
        <w:ind w:left="720"/>
        <w:outlineLvl w:val="0"/>
        <w:rPr>
          <w:b/>
          <w:noProof/>
          <w:szCs w:val="22"/>
        </w:rPr>
      </w:pPr>
      <w:r w:rsidRPr="00165E31">
        <w:rPr>
          <w:b/>
          <w:noProof/>
        </w:rPr>
        <w:t xml:space="preserve">Kā lietot </w:t>
      </w:r>
      <w:r w:rsidRPr="00165E31">
        <w:rPr>
          <w:b/>
          <w:i/>
          <w:noProof/>
        </w:rPr>
        <w:t>Cuprior</w:t>
      </w:r>
    </w:p>
    <w:p w14:paraId="13227DC9" w14:textId="77777777" w:rsidR="001E6DD1" w:rsidRPr="00165E31" w:rsidRDefault="001E6DD1" w:rsidP="001E6DD1">
      <w:pPr>
        <w:numPr>
          <w:ilvl w:val="12"/>
          <w:numId w:val="0"/>
        </w:numPr>
        <w:tabs>
          <w:tab w:val="clear" w:pos="567"/>
        </w:tabs>
        <w:spacing w:line="240" w:lineRule="auto"/>
        <w:ind w:right="-2"/>
        <w:rPr>
          <w:noProof/>
          <w:szCs w:val="22"/>
        </w:rPr>
      </w:pPr>
    </w:p>
    <w:p w14:paraId="2D4032A8" w14:textId="77777777" w:rsidR="001E6DD1" w:rsidRPr="00165E31" w:rsidRDefault="00430718" w:rsidP="001E6DD1">
      <w:pPr>
        <w:numPr>
          <w:ilvl w:val="12"/>
          <w:numId w:val="0"/>
        </w:numPr>
        <w:tabs>
          <w:tab w:val="clear" w:pos="567"/>
        </w:tabs>
        <w:spacing w:line="240" w:lineRule="auto"/>
        <w:ind w:right="-2"/>
        <w:rPr>
          <w:noProof/>
          <w:szCs w:val="22"/>
        </w:rPr>
      </w:pPr>
      <w:r w:rsidRPr="00165E31">
        <w:t xml:space="preserve">Vienmēr lietojiet šīs zāles tieši tā, kā ārsts vai farmaceits Jums teicis. Neskaidrību gadījumā vaicājiet ārstam vai farmaceitam. </w:t>
      </w:r>
    </w:p>
    <w:p w14:paraId="12E41812" w14:textId="77777777" w:rsidR="001E6DD1" w:rsidRPr="00165E31" w:rsidRDefault="001E6DD1" w:rsidP="001E6DD1">
      <w:pPr>
        <w:numPr>
          <w:ilvl w:val="12"/>
          <w:numId w:val="0"/>
        </w:numPr>
        <w:tabs>
          <w:tab w:val="clear" w:pos="567"/>
        </w:tabs>
        <w:spacing w:line="240" w:lineRule="auto"/>
        <w:ind w:right="-2"/>
        <w:rPr>
          <w:noProof/>
          <w:szCs w:val="22"/>
        </w:rPr>
      </w:pPr>
    </w:p>
    <w:p w14:paraId="537C377D" w14:textId="05DAF053" w:rsidR="001E6DD1" w:rsidRPr="00165E31" w:rsidRDefault="00430718" w:rsidP="001E6DD1">
      <w:pPr>
        <w:numPr>
          <w:ilvl w:val="12"/>
          <w:numId w:val="0"/>
        </w:numPr>
        <w:tabs>
          <w:tab w:val="clear" w:pos="567"/>
        </w:tabs>
        <w:spacing w:line="240" w:lineRule="auto"/>
        <w:ind w:right="-2"/>
        <w:rPr>
          <w:noProof/>
          <w:szCs w:val="22"/>
        </w:rPr>
      </w:pPr>
      <w:r w:rsidRPr="00165E31">
        <w:lastRenderedPageBreak/>
        <w:t>Visu vecumu pieaugušajiem ieteicamā dienas deva ir no 3 līdz 6</w:t>
      </w:r>
      <w:r w:rsidRPr="00165E31">
        <w:rPr>
          <w:b/>
        </w:rPr>
        <w:t>½</w:t>
      </w:r>
      <w:r w:rsidRPr="00165E31">
        <w:t>tabletēm dienā (kas kopā veido 450 mg līdz 975 mg). Šī kopējā</w:t>
      </w:r>
      <w:r w:rsidRPr="00165E31">
        <w:t xml:space="preserve"> dienas daļa tiks sadalīta 2 līdz 4 mazākās devās, kas būs jāuzņem dienas laikā. Ārsts Jums pateiks, cik daudz tablešu dienā Jums jālieto un cik bieži. Tabletes var sadalīt uz pusēm, ja nepieciešams.</w:t>
      </w:r>
    </w:p>
    <w:p w14:paraId="5F69A527" w14:textId="77777777" w:rsidR="001E6DD1" w:rsidRPr="00165E31" w:rsidRDefault="001E6DD1" w:rsidP="00A55E99">
      <w:pPr>
        <w:numPr>
          <w:ilvl w:val="12"/>
          <w:numId w:val="0"/>
        </w:numPr>
        <w:tabs>
          <w:tab w:val="clear" w:pos="567"/>
        </w:tabs>
        <w:spacing w:line="240" w:lineRule="auto"/>
        <w:ind w:right="-2"/>
        <w:rPr>
          <w:noProof/>
          <w:szCs w:val="22"/>
        </w:rPr>
      </w:pPr>
    </w:p>
    <w:p w14:paraId="72F1B4D6" w14:textId="77777777" w:rsidR="00A55E99" w:rsidRPr="00165E31" w:rsidRDefault="00A55E99" w:rsidP="00CB58FB">
      <w:pPr>
        <w:numPr>
          <w:ilvl w:val="12"/>
          <w:numId w:val="0"/>
        </w:numPr>
        <w:tabs>
          <w:tab w:val="clear" w:pos="567"/>
        </w:tabs>
        <w:spacing w:line="240" w:lineRule="auto"/>
        <w:ind w:right="-2"/>
        <w:rPr>
          <w:noProof/>
          <w:szCs w:val="22"/>
        </w:rPr>
      </w:pPr>
    </w:p>
    <w:p w14:paraId="3DB3769F" w14:textId="77777777" w:rsidR="001E6DD1" w:rsidRPr="00165E31" w:rsidRDefault="00430718" w:rsidP="001E6DD1">
      <w:pPr>
        <w:keepNext/>
        <w:autoSpaceDE w:val="0"/>
        <w:autoSpaceDN w:val="0"/>
        <w:adjustRightInd w:val="0"/>
        <w:spacing w:line="240" w:lineRule="auto"/>
        <w:rPr>
          <w:b/>
          <w:bCs/>
          <w:szCs w:val="22"/>
        </w:rPr>
      </w:pPr>
      <w:r w:rsidRPr="00165E31">
        <w:rPr>
          <w:b/>
        </w:rPr>
        <w:t>Lietošana bērniem un pusaudžiem</w:t>
      </w:r>
    </w:p>
    <w:p w14:paraId="28DA756C" w14:textId="77777777" w:rsidR="001E6DD1" w:rsidRPr="00165E31" w:rsidRDefault="00430718" w:rsidP="001E6DD1">
      <w:pPr>
        <w:rPr>
          <w:noProof/>
          <w:szCs w:val="22"/>
        </w:rPr>
      </w:pPr>
      <w:r w:rsidRPr="00165E31">
        <w:t xml:space="preserve">Jūsu deva parasti būs mazāka nekā pieaugušajiem, un tā ir atkarīga no Jūsu vecuma un ķermeņa masas. </w:t>
      </w:r>
    </w:p>
    <w:p w14:paraId="5FD78AE5" w14:textId="77777777" w:rsidR="001E6DD1" w:rsidRPr="00165E31" w:rsidRDefault="00430718" w:rsidP="001E6DD1">
      <w:pPr>
        <w:numPr>
          <w:ilvl w:val="12"/>
          <w:numId w:val="0"/>
        </w:numPr>
        <w:tabs>
          <w:tab w:val="clear" w:pos="567"/>
        </w:tabs>
        <w:spacing w:line="240" w:lineRule="auto"/>
        <w:ind w:right="-2"/>
        <w:rPr>
          <w:noProof/>
          <w:szCs w:val="22"/>
        </w:rPr>
      </w:pPr>
      <w:r w:rsidRPr="00165E31">
        <w:t>Parasti dienas deva ir no 225 mg līdz 600 mg (1½ līdz 4 </w:t>
      </w:r>
      <w:r w:rsidR="00A55E99" w:rsidRPr="00165E31">
        <w:t xml:space="preserve">apvalkotās </w:t>
      </w:r>
      <w:r w:rsidRPr="00165E31">
        <w:t>tabletes dienā), kas tiks sadalīta 2 līdz 4 mazākās devās, kas būs jāuzņem dienas laikā.</w:t>
      </w:r>
      <w:r w:rsidRPr="00165E31">
        <w:t xml:space="preserve"> Ārsts Jums pateiks, cik daudz</w:t>
      </w:r>
      <w:r w:rsidR="00A55E99" w:rsidRPr="00165E31">
        <w:t xml:space="preserve"> apvalkoto</w:t>
      </w:r>
      <w:r w:rsidRPr="00165E31">
        <w:t xml:space="preserve"> tablešu dienā Jums jālieto un cik bieži.</w:t>
      </w:r>
    </w:p>
    <w:p w14:paraId="6AF86B26" w14:textId="77777777" w:rsidR="001E6DD1" w:rsidRPr="00165E31" w:rsidRDefault="001E6DD1" w:rsidP="001E6DD1">
      <w:pPr>
        <w:numPr>
          <w:ilvl w:val="12"/>
          <w:numId w:val="0"/>
        </w:numPr>
        <w:tabs>
          <w:tab w:val="clear" w:pos="567"/>
        </w:tabs>
        <w:spacing w:line="240" w:lineRule="auto"/>
        <w:ind w:right="-2"/>
        <w:rPr>
          <w:noProof/>
          <w:szCs w:val="22"/>
        </w:rPr>
      </w:pPr>
    </w:p>
    <w:p w14:paraId="57338997" w14:textId="77777777" w:rsidR="001E6DD1" w:rsidRPr="00165E31" w:rsidRDefault="00430718" w:rsidP="001E6DD1">
      <w:pPr>
        <w:rPr>
          <w:noProof/>
          <w:szCs w:val="22"/>
        </w:rPr>
      </w:pPr>
      <w:r w:rsidRPr="00165E31">
        <w:t>Pēc ārstēšanas uzsākšanas Jūsu ārsts var pielāgot devu, pamatojoties uz Jūsu atbildes reakciju uz ārstēšanu.</w:t>
      </w:r>
    </w:p>
    <w:p w14:paraId="6F323833" w14:textId="77777777" w:rsidR="001E6DD1" w:rsidRPr="00165E31" w:rsidRDefault="001E6DD1" w:rsidP="001E6DD1">
      <w:pPr>
        <w:rPr>
          <w:noProof/>
          <w:szCs w:val="22"/>
        </w:rPr>
      </w:pPr>
    </w:p>
    <w:p w14:paraId="74A2EE44" w14:textId="6831D409" w:rsidR="001E6DD1" w:rsidRPr="00165E31" w:rsidRDefault="00430718" w:rsidP="001E6DD1">
      <w:pPr>
        <w:rPr>
          <w:szCs w:val="22"/>
        </w:rPr>
      </w:pPr>
      <w:r w:rsidRPr="00165E31">
        <w:t>Norijiet tabletes, uzdzerot ūdeni, tukšā dūšā, vismaz vienu stu</w:t>
      </w:r>
      <w:r w:rsidRPr="00165E31">
        <w:t>ndu pirms ēdienreizes vai divas stundas pēc ēdienreizes un vismaz ar vienas stundas starplaiku no jebkuru citu zāļu, pārtikas vai piena lietošanas.</w:t>
      </w:r>
    </w:p>
    <w:p w14:paraId="299B9CB8" w14:textId="77777777" w:rsidR="001E6DD1" w:rsidRPr="00165E31" w:rsidRDefault="001E6DD1" w:rsidP="001E6DD1">
      <w:pPr>
        <w:rPr>
          <w:szCs w:val="22"/>
        </w:rPr>
      </w:pPr>
    </w:p>
    <w:p w14:paraId="51D7F59E" w14:textId="77777777" w:rsidR="001E6DD1" w:rsidRPr="00165E31" w:rsidRDefault="00430718" w:rsidP="001E6DD1">
      <w:pPr>
        <w:rPr>
          <w:noProof/>
          <w:szCs w:val="22"/>
        </w:rPr>
      </w:pPr>
      <w:r w:rsidRPr="00165E31">
        <w:t xml:space="preserve">Ja Jūs lietojiet dzelzs preparātus, nogaidiet vismaz divas stundas pēc </w:t>
      </w:r>
      <w:r w:rsidRPr="00165E31">
        <w:rPr>
          <w:i/>
        </w:rPr>
        <w:t xml:space="preserve">Cuprior </w:t>
      </w:r>
      <w:r w:rsidRPr="00165E31">
        <w:t xml:space="preserve">devas lietošanas. </w:t>
      </w:r>
    </w:p>
    <w:p w14:paraId="64F67FC5" w14:textId="77777777" w:rsidR="001E6DD1" w:rsidRPr="00165E31" w:rsidRDefault="001E6DD1" w:rsidP="001E6DD1">
      <w:pPr>
        <w:numPr>
          <w:ilvl w:val="12"/>
          <w:numId w:val="0"/>
        </w:numPr>
        <w:tabs>
          <w:tab w:val="clear" w:pos="567"/>
        </w:tabs>
        <w:spacing w:line="240" w:lineRule="auto"/>
        <w:ind w:right="-2"/>
        <w:rPr>
          <w:noProof/>
          <w:szCs w:val="22"/>
        </w:rPr>
      </w:pPr>
    </w:p>
    <w:p w14:paraId="5F908C72" w14:textId="77777777" w:rsidR="001E6DD1" w:rsidRPr="00165E31" w:rsidRDefault="00430718" w:rsidP="001E6DD1">
      <w:pPr>
        <w:rPr>
          <w:b/>
          <w:szCs w:val="22"/>
        </w:rPr>
      </w:pPr>
      <w:r w:rsidRPr="00165E31">
        <w:rPr>
          <w:b/>
        </w:rPr>
        <w:t xml:space="preserve">Ja esat </w:t>
      </w:r>
      <w:r w:rsidRPr="00165E31">
        <w:rPr>
          <w:b/>
        </w:rPr>
        <w:t xml:space="preserve">lietojis </w:t>
      </w:r>
      <w:r w:rsidRPr="00165E31">
        <w:rPr>
          <w:b/>
          <w:i/>
        </w:rPr>
        <w:t>Cuprior</w:t>
      </w:r>
      <w:r w:rsidRPr="00165E31">
        <w:rPr>
          <w:b/>
        </w:rPr>
        <w:t xml:space="preserve"> vairāk nekā noteikts</w:t>
      </w:r>
    </w:p>
    <w:p w14:paraId="4768D020" w14:textId="77777777" w:rsidR="001E6DD1" w:rsidRPr="00165E31" w:rsidRDefault="00430718" w:rsidP="001E6DD1">
      <w:pPr>
        <w:rPr>
          <w:szCs w:val="22"/>
        </w:rPr>
      </w:pPr>
      <w:r w:rsidRPr="00165E31">
        <w:t xml:space="preserve">Lietojiet </w:t>
      </w:r>
      <w:r w:rsidRPr="00165E31">
        <w:rPr>
          <w:i/>
        </w:rPr>
        <w:t>Cuprior</w:t>
      </w:r>
      <w:r w:rsidRPr="00165E31">
        <w:t xml:space="preserve"> tikai tā, kā tās Jums ir parakstītas. Ja domājat, ka esat lietojis vairāk </w:t>
      </w:r>
      <w:r w:rsidRPr="00165E31">
        <w:rPr>
          <w:i/>
        </w:rPr>
        <w:t>Cuprior</w:t>
      </w:r>
      <w:r w:rsidRPr="00165E31">
        <w:t xml:space="preserve"> nekā parakstīts, sazinieties ar savu ārstu vai farmaceitu.</w:t>
      </w:r>
    </w:p>
    <w:p w14:paraId="1B0525E2" w14:textId="77777777" w:rsidR="001E6DD1" w:rsidRPr="00165E31" w:rsidRDefault="001E6DD1" w:rsidP="001E6DD1">
      <w:pPr>
        <w:rPr>
          <w:noProof/>
          <w:szCs w:val="22"/>
        </w:rPr>
      </w:pPr>
    </w:p>
    <w:p w14:paraId="2F8B02CE" w14:textId="77777777" w:rsidR="001E6DD1" w:rsidRPr="00165E31" w:rsidRDefault="00430718" w:rsidP="001E6DD1">
      <w:pPr>
        <w:rPr>
          <w:b/>
          <w:szCs w:val="22"/>
        </w:rPr>
      </w:pPr>
      <w:r w:rsidRPr="00165E31">
        <w:rPr>
          <w:b/>
        </w:rPr>
        <w:t xml:space="preserve">Ja esat aizmirsis lietot </w:t>
      </w:r>
      <w:r w:rsidRPr="00165E31">
        <w:rPr>
          <w:b/>
          <w:i/>
        </w:rPr>
        <w:t>Cuprior</w:t>
      </w:r>
    </w:p>
    <w:p w14:paraId="02F7590E" w14:textId="77777777" w:rsidR="001E6DD1" w:rsidRPr="00165E31" w:rsidRDefault="00430718" w:rsidP="001E6DD1">
      <w:pPr>
        <w:numPr>
          <w:ilvl w:val="12"/>
          <w:numId w:val="0"/>
        </w:numPr>
        <w:tabs>
          <w:tab w:val="clear" w:pos="567"/>
        </w:tabs>
        <w:spacing w:line="240" w:lineRule="auto"/>
        <w:ind w:right="-2"/>
        <w:rPr>
          <w:noProof/>
          <w:szCs w:val="22"/>
        </w:rPr>
      </w:pPr>
      <w:r w:rsidRPr="00165E31">
        <w:t>Nelietojiet dubultu devu,</w:t>
      </w:r>
      <w:r w:rsidRPr="00165E31">
        <w:t xml:space="preserve"> lai aizvietotu aizmirsto devu. Vienkārši lietojiet nākamo devu tai paredzētajā laikā.</w:t>
      </w:r>
    </w:p>
    <w:p w14:paraId="662014BF" w14:textId="77777777" w:rsidR="001E6DD1" w:rsidRPr="00165E31" w:rsidRDefault="001E6DD1" w:rsidP="001E6DD1">
      <w:pPr>
        <w:numPr>
          <w:ilvl w:val="12"/>
          <w:numId w:val="0"/>
        </w:numPr>
        <w:tabs>
          <w:tab w:val="clear" w:pos="567"/>
        </w:tabs>
        <w:spacing w:line="240" w:lineRule="auto"/>
        <w:ind w:right="-29"/>
        <w:rPr>
          <w:noProof/>
          <w:szCs w:val="22"/>
        </w:rPr>
      </w:pPr>
    </w:p>
    <w:p w14:paraId="77C8D919" w14:textId="77777777" w:rsidR="001E6DD1" w:rsidRPr="00165E31" w:rsidRDefault="00430718" w:rsidP="001E6DD1">
      <w:pPr>
        <w:numPr>
          <w:ilvl w:val="12"/>
          <w:numId w:val="0"/>
        </w:numPr>
        <w:tabs>
          <w:tab w:val="clear" w:pos="567"/>
        </w:tabs>
        <w:spacing w:line="240" w:lineRule="auto"/>
        <w:ind w:right="-2"/>
        <w:rPr>
          <w:szCs w:val="22"/>
        </w:rPr>
      </w:pPr>
      <w:r w:rsidRPr="00165E31">
        <w:t>Ja Jums ir kādi jautājumi par šo zāļu lietošanu, jautājiet ārstam vai farmaceitam.</w:t>
      </w:r>
    </w:p>
    <w:p w14:paraId="6F3D92A2" w14:textId="77777777" w:rsidR="001E6DD1" w:rsidRPr="00165E31" w:rsidRDefault="001E6DD1" w:rsidP="001E6DD1">
      <w:pPr>
        <w:numPr>
          <w:ilvl w:val="12"/>
          <w:numId w:val="0"/>
        </w:numPr>
        <w:tabs>
          <w:tab w:val="clear" w:pos="567"/>
        </w:tabs>
        <w:spacing w:line="240" w:lineRule="auto"/>
        <w:ind w:right="-2"/>
        <w:rPr>
          <w:noProof/>
          <w:szCs w:val="22"/>
        </w:rPr>
      </w:pPr>
    </w:p>
    <w:p w14:paraId="282F491D" w14:textId="77777777" w:rsidR="001E6DD1" w:rsidRPr="00165E31" w:rsidRDefault="00430718" w:rsidP="001E6DD1">
      <w:pPr>
        <w:rPr>
          <w:b/>
          <w:szCs w:val="22"/>
        </w:rPr>
      </w:pPr>
      <w:r w:rsidRPr="00165E31">
        <w:rPr>
          <w:b/>
        </w:rPr>
        <w:t xml:space="preserve">Ja pārtraucat lietot </w:t>
      </w:r>
      <w:r w:rsidRPr="00165E31">
        <w:rPr>
          <w:b/>
          <w:i/>
        </w:rPr>
        <w:t>Cuprior</w:t>
      </w:r>
    </w:p>
    <w:p w14:paraId="3914A58B" w14:textId="77777777" w:rsidR="001E6DD1" w:rsidRPr="00165E31" w:rsidRDefault="00430718" w:rsidP="001E6DD1">
      <w:pPr>
        <w:numPr>
          <w:ilvl w:val="12"/>
          <w:numId w:val="0"/>
        </w:numPr>
        <w:tabs>
          <w:tab w:val="clear" w:pos="567"/>
        </w:tabs>
        <w:spacing w:line="240" w:lineRule="auto"/>
        <w:ind w:right="-29"/>
        <w:rPr>
          <w:noProof/>
          <w:szCs w:val="22"/>
        </w:rPr>
      </w:pPr>
      <w:r w:rsidRPr="00165E31">
        <w:t xml:space="preserve">Šīs zāles ir paredzētas ilgstošai </w:t>
      </w:r>
      <w:r w:rsidRPr="00165E31">
        <w:t>lietošanai. Nepārtrauciet ārstēšanu bez konsultēšanās ar ārstu pat tad, ja jūtaties labāk, jo Vilsona slimība ir slimība, kas jāārstē visu mūžu.</w:t>
      </w:r>
    </w:p>
    <w:p w14:paraId="681F8E53" w14:textId="77777777" w:rsidR="001E6DD1" w:rsidRPr="00165E31" w:rsidRDefault="001E6DD1" w:rsidP="001E6DD1">
      <w:pPr>
        <w:numPr>
          <w:ilvl w:val="12"/>
          <w:numId w:val="0"/>
        </w:numPr>
        <w:tabs>
          <w:tab w:val="clear" w:pos="567"/>
        </w:tabs>
        <w:spacing w:line="240" w:lineRule="auto"/>
        <w:ind w:right="-29"/>
        <w:rPr>
          <w:noProof/>
          <w:szCs w:val="22"/>
          <w:highlight w:val="yellow"/>
        </w:rPr>
      </w:pPr>
    </w:p>
    <w:p w14:paraId="1DA3F546" w14:textId="77777777" w:rsidR="001E6DD1" w:rsidRPr="00165E31" w:rsidRDefault="00430718" w:rsidP="001E6DD1">
      <w:pPr>
        <w:numPr>
          <w:ilvl w:val="12"/>
          <w:numId w:val="0"/>
        </w:numPr>
        <w:tabs>
          <w:tab w:val="clear" w:pos="567"/>
        </w:tabs>
        <w:spacing w:line="240" w:lineRule="auto"/>
        <w:ind w:right="-29"/>
        <w:rPr>
          <w:szCs w:val="22"/>
        </w:rPr>
      </w:pPr>
      <w:r w:rsidRPr="00165E31">
        <w:t>Ja Jums ir kādi jautājumi par šo zāļu lietošanu, jautājiet ārstam vai farmaceitam.</w:t>
      </w:r>
    </w:p>
    <w:p w14:paraId="36054038" w14:textId="77777777" w:rsidR="001E6DD1" w:rsidRPr="00165E31" w:rsidRDefault="001E6DD1" w:rsidP="001E6DD1">
      <w:pPr>
        <w:numPr>
          <w:ilvl w:val="12"/>
          <w:numId w:val="0"/>
        </w:numPr>
        <w:tabs>
          <w:tab w:val="clear" w:pos="567"/>
        </w:tabs>
        <w:spacing w:line="240" w:lineRule="auto"/>
        <w:rPr>
          <w:szCs w:val="22"/>
        </w:rPr>
      </w:pPr>
    </w:p>
    <w:p w14:paraId="027D6A42" w14:textId="77777777" w:rsidR="001E6DD1" w:rsidRPr="00165E31" w:rsidRDefault="001E6DD1" w:rsidP="001E6DD1">
      <w:pPr>
        <w:numPr>
          <w:ilvl w:val="12"/>
          <w:numId w:val="0"/>
        </w:numPr>
        <w:tabs>
          <w:tab w:val="clear" w:pos="567"/>
        </w:tabs>
        <w:spacing w:line="240" w:lineRule="auto"/>
        <w:rPr>
          <w:szCs w:val="22"/>
        </w:rPr>
      </w:pPr>
    </w:p>
    <w:p w14:paraId="20620526" w14:textId="77777777" w:rsidR="001E6DD1" w:rsidRPr="00165E31" w:rsidRDefault="00430718" w:rsidP="001E6DD1">
      <w:pPr>
        <w:pStyle w:val="ListParagraph"/>
        <w:numPr>
          <w:ilvl w:val="0"/>
          <w:numId w:val="33"/>
        </w:numPr>
        <w:tabs>
          <w:tab w:val="clear" w:pos="567"/>
        </w:tabs>
        <w:spacing w:line="240" w:lineRule="auto"/>
        <w:ind w:left="720"/>
        <w:outlineLvl w:val="0"/>
        <w:rPr>
          <w:b/>
          <w:noProof/>
          <w:szCs w:val="22"/>
        </w:rPr>
      </w:pPr>
      <w:r w:rsidRPr="00165E31">
        <w:rPr>
          <w:b/>
          <w:noProof/>
        </w:rPr>
        <w:t>Iespējamās blakusparādība</w:t>
      </w:r>
      <w:r w:rsidRPr="00165E31">
        <w:rPr>
          <w:b/>
          <w:noProof/>
        </w:rPr>
        <w:t>s</w:t>
      </w:r>
    </w:p>
    <w:p w14:paraId="6B6C4BDC" w14:textId="77777777" w:rsidR="001E6DD1" w:rsidRPr="00165E31" w:rsidRDefault="001E6DD1" w:rsidP="001E6DD1">
      <w:pPr>
        <w:numPr>
          <w:ilvl w:val="12"/>
          <w:numId w:val="0"/>
        </w:numPr>
        <w:tabs>
          <w:tab w:val="clear" w:pos="567"/>
        </w:tabs>
        <w:spacing w:line="240" w:lineRule="auto"/>
        <w:rPr>
          <w:szCs w:val="22"/>
        </w:rPr>
      </w:pPr>
    </w:p>
    <w:p w14:paraId="34A72B96" w14:textId="77777777" w:rsidR="001E6DD1" w:rsidRPr="00165E31" w:rsidRDefault="00430718" w:rsidP="001E6DD1">
      <w:pPr>
        <w:numPr>
          <w:ilvl w:val="12"/>
          <w:numId w:val="0"/>
        </w:numPr>
        <w:tabs>
          <w:tab w:val="clear" w:pos="567"/>
        </w:tabs>
        <w:spacing w:line="240" w:lineRule="auto"/>
        <w:ind w:right="-29"/>
        <w:rPr>
          <w:noProof/>
          <w:szCs w:val="22"/>
        </w:rPr>
      </w:pPr>
      <w:r w:rsidRPr="00165E31">
        <w:t>Tāpat kā visas zāles, šīs zāles var izraisīt blakusparādības, kaut arī ne visiem tās izpaužas.</w:t>
      </w:r>
    </w:p>
    <w:p w14:paraId="0C3FEC4B" w14:textId="77777777" w:rsidR="001E6DD1" w:rsidRPr="00165E31" w:rsidRDefault="001E6DD1" w:rsidP="001E6DD1">
      <w:pPr>
        <w:numPr>
          <w:ilvl w:val="12"/>
          <w:numId w:val="0"/>
        </w:numPr>
        <w:tabs>
          <w:tab w:val="clear" w:pos="567"/>
        </w:tabs>
        <w:spacing w:line="240" w:lineRule="auto"/>
        <w:ind w:right="-29"/>
        <w:rPr>
          <w:noProof/>
          <w:szCs w:val="22"/>
        </w:rPr>
      </w:pPr>
    </w:p>
    <w:p w14:paraId="0B58A1B6" w14:textId="77777777" w:rsidR="001E6DD1" w:rsidRPr="00165E31" w:rsidRDefault="00430718" w:rsidP="001E6DD1">
      <w:pPr>
        <w:numPr>
          <w:ilvl w:val="12"/>
          <w:numId w:val="0"/>
        </w:numPr>
        <w:tabs>
          <w:tab w:val="clear" w:pos="567"/>
        </w:tabs>
        <w:spacing w:line="240" w:lineRule="auto"/>
        <w:ind w:right="-29"/>
        <w:rPr>
          <w:noProof/>
          <w:szCs w:val="22"/>
        </w:rPr>
      </w:pPr>
      <w:r w:rsidRPr="00165E31">
        <w:t>Ziņots arī par šādām blakusparādībām:</w:t>
      </w:r>
    </w:p>
    <w:p w14:paraId="624079E3" w14:textId="77777777" w:rsidR="001E6DD1" w:rsidRPr="00165E31" w:rsidRDefault="001E6DD1" w:rsidP="001E6DD1">
      <w:pPr>
        <w:numPr>
          <w:ilvl w:val="12"/>
          <w:numId w:val="0"/>
        </w:numPr>
        <w:tabs>
          <w:tab w:val="clear" w:pos="567"/>
        </w:tabs>
        <w:spacing w:line="240" w:lineRule="auto"/>
        <w:ind w:right="-29"/>
        <w:rPr>
          <w:noProof/>
          <w:szCs w:val="22"/>
        </w:rPr>
      </w:pPr>
    </w:p>
    <w:p w14:paraId="5E90F133" w14:textId="77777777" w:rsidR="001E6DD1" w:rsidRPr="00165E31" w:rsidRDefault="00430718" w:rsidP="001E6DD1">
      <w:pPr>
        <w:tabs>
          <w:tab w:val="clear" w:pos="567"/>
        </w:tabs>
        <w:autoSpaceDE w:val="0"/>
        <w:autoSpaceDN w:val="0"/>
        <w:adjustRightInd w:val="0"/>
        <w:spacing w:line="240" w:lineRule="auto"/>
        <w:rPr>
          <w:i/>
          <w:noProof/>
          <w:szCs w:val="22"/>
        </w:rPr>
      </w:pPr>
      <w:r w:rsidRPr="00165E31">
        <w:rPr>
          <w:i/>
          <w:noProof/>
        </w:rPr>
        <w:t>Bieži (var rasties līdz 1 lietotājam no 10)</w:t>
      </w:r>
    </w:p>
    <w:p w14:paraId="79821567" w14:textId="77777777" w:rsidR="001E6DD1" w:rsidRPr="00165E31" w:rsidRDefault="00430718" w:rsidP="001E6DD1">
      <w:pPr>
        <w:numPr>
          <w:ilvl w:val="0"/>
          <w:numId w:val="15"/>
        </w:numPr>
        <w:tabs>
          <w:tab w:val="clear" w:pos="567"/>
        </w:tabs>
        <w:spacing w:line="240" w:lineRule="auto"/>
        <w:ind w:right="-29"/>
        <w:rPr>
          <w:noProof/>
          <w:szCs w:val="22"/>
        </w:rPr>
      </w:pPr>
      <w:r w:rsidRPr="00165E31">
        <w:t xml:space="preserve">slikta dūša (nelabums) </w:t>
      </w:r>
    </w:p>
    <w:p w14:paraId="0E7C157E" w14:textId="77777777" w:rsidR="001E6DD1" w:rsidRPr="00165E31" w:rsidRDefault="001E6DD1" w:rsidP="001E6DD1">
      <w:pPr>
        <w:tabs>
          <w:tab w:val="clear" w:pos="567"/>
        </w:tabs>
        <w:autoSpaceDE w:val="0"/>
        <w:autoSpaceDN w:val="0"/>
        <w:adjustRightInd w:val="0"/>
        <w:spacing w:line="240" w:lineRule="auto"/>
        <w:rPr>
          <w:i/>
          <w:noProof/>
          <w:szCs w:val="22"/>
        </w:rPr>
      </w:pPr>
    </w:p>
    <w:p w14:paraId="49514D07" w14:textId="77777777" w:rsidR="001E6DD1" w:rsidRPr="00165E31" w:rsidRDefault="00430718" w:rsidP="001E6DD1">
      <w:pPr>
        <w:tabs>
          <w:tab w:val="clear" w:pos="567"/>
        </w:tabs>
        <w:autoSpaceDE w:val="0"/>
        <w:autoSpaceDN w:val="0"/>
        <w:adjustRightInd w:val="0"/>
        <w:spacing w:line="240" w:lineRule="auto"/>
        <w:rPr>
          <w:i/>
          <w:noProof/>
          <w:szCs w:val="22"/>
        </w:rPr>
      </w:pPr>
      <w:r w:rsidRPr="00165E31">
        <w:rPr>
          <w:i/>
          <w:noProof/>
        </w:rPr>
        <w:t xml:space="preserve">Retāk (var rasties līdz 1 lietotājam no </w:t>
      </w:r>
      <w:r w:rsidRPr="00165E31">
        <w:rPr>
          <w:i/>
          <w:noProof/>
        </w:rPr>
        <w:t>100 )</w:t>
      </w:r>
    </w:p>
    <w:p w14:paraId="4F04DF9B" w14:textId="77777777" w:rsidR="001E6DD1" w:rsidRPr="00165E31" w:rsidRDefault="00430718" w:rsidP="001E6DD1">
      <w:pPr>
        <w:numPr>
          <w:ilvl w:val="0"/>
          <w:numId w:val="15"/>
        </w:numPr>
        <w:tabs>
          <w:tab w:val="clear" w:pos="567"/>
        </w:tabs>
        <w:spacing w:line="240" w:lineRule="auto"/>
        <w:ind w:right="-29"/>
        <w:rPr>
          <w:noProof/>
          <w:szCs w:val="22"/>
        </w:rPr>
      </w:pPr>
      <w:r w:rsidRPr="00165E31">
        <w:t>izsitumi uz ādas</w:t>
      </w:r>
    </w:p>
    <w:p w14:paraId="090323E4" w14:textId="26E674B8" w:rsidR="001E6DD1" w:rsidRPr="005B03FF" w:rsidRDefault="00430718" w:rsidP="001E6DD1">
      <w:pPr>
        <w:numPr>
          <w:ilvl w:val="0"/>
          <w:numId w:val="15"/>
        </w:numPr>
        <w:tabs>
          <w:tab w:val="clear" w:pos="567"/>
        </w:tabs>
        <w:spacing w:line="240" w:lineRule="auto"/>
        <w:ind w:right="-29"/>
        <w:rPr>
          <w:noProof/>
          <w:szCs w:val="22"/>
        </w:rPr>
      </w:pPr>
      <w:r w:rsidRPr="00165E31">
        <w:t>nieze</w:t>
      </w:r>
    </w:p>
    <w:p w14:paraId="72188D4F" w14:textId="3B3DF873" w:rsidR="005B03FF" w:rsidRPr="00165E31" w:rsidRDefault="00430718" w:rsidP="001E6DD1">
      <w:pPr>
        <w:numPr>
          <w:ilvl w:val="0"/>
          <w:numId w:val="15"/>
        </w:numPr>
        <w:tabs>
          <w:tab w:val="clear" w:pos="567"/>
        </w:tabs>
        <w:spacing w:line="240" w:lineRule="auto"/>
        <w:ind w:right="-29"/>
        <w:rPr>
          <w:noProof/>
          <w:szCs w:val="22"/>
        </w:rPr>
      </w:pPr>
      <w:r w:rsidRPr="005B03FF">
        <w:rPr>
          <w:noProof/>
          <w:szCs w:val="22"/>
        </w:rPr>
        <w:t>anēmija</w:t>
      </w:r>
    </w:p>
    <w:p w14:paraId="5884887D" w14:textId="77777777" w:rsidR="001E6DD1" w:rsidRPr="00165E31" w:rsidRDefault="001E6DD1" w:rsidP="001E6DD1">
      <w:pPr>
        <w:tabs>
          <w:tab w:val="clear" w:pos="567"/>
        </w:tabs>
        <w:spacing w:line="240" w:lineRule="auto"/>
        <w:ind w:left="360" w:right="-29"/>
        <w:rPr>
          <w:noProof/>
          <w:szCs w:val="22"/>
        </w:rPr>
      </w:pPr>
    </w:p>
    <w:p w14:paraId="6F75191F" w14:textId="77777777" w:rsidR="001E6DD1" w:rsidRPr="00165E31" w:rsidRDefault="00430718" w:rsidP="001E6DD1">
      <w:pPr>
        <w:tabs>
          <w:tab w:val="clear" w:pos="567"/>
        </w:tabs>
        <w:spacing w:line="240" w:lineRule="auto"/>
        <w:ind w:right="-29"/>
        <w:rPr>
          <w:i/>
          <w:noProof/>
          <w:szCs w:val="22"/>
        </w:rPr>
      </w:pPr>
      <w:r w:rsidRPr="00165E31">
        <w:rPr>
          <w:i/>
          <w:noProof/>
        </w:rPr>
        <w:t>Nav zināms (biežumu nevar noteikt pēc pieejamiem datiem)</w:t>
      </w:r>
    </w:p>
    <w:p w14:paraId="7A51A1CF" w14:textId="77777777" w:rsidR="001E6DD1" w:rsidRPr="00165E31" w:rsidRDefault="00430718" w:rsidP="001E6DD1">
      <w:pPr>
        <w:numPr>
          <w:ilvl w:val="0"/>
          <w:numId w:val="15"/>
        </w:numPr>
        <w:tabs>
          <w:tab w:val="clear" w:pos="567"/>
        </w:tabs>
        <w:spacing w:line="240" w:lineRule="auto"/>
        <w:ind w:right="-29"/>
        <w:rPr>
          <w:noProof/>
          <w:szCs w:val="22"/>
        </w:rPr>
      </w:pPr>
      <w:r w:rsidRPr="00165E31">
        <w:t xml:space="preserve">kuņģa darbības traucējumi un diskomforts, ieskaitot smagas sāpes kuņģī (duodenīts) </w:t>
      </w:r>
    </w:p>
    <w:p w14:paraId="28B9839A" w14:textId="77777777" w:rsidR="001E6DD1" w:rsidRPr="00165E31" w:rsidRDefault="00430718" w:rsidP="001E6DD1">
      <w:pPr>
        <w:numPr>
          <w:ilvl w:val="0"/>
          <w:numId w:val="15"/>
        </w:numPr>
        <w:tabs>
          <w:tab w:val="clear" w:pos="567"/>
        </w:tabs>
        <w:spacing w:line="240" w:lineRule="auto"/>
        <w:ind w:right="-29"/>
        <w:rPr>
          <w:noProof/>
          <w:szCs w:val="22"/>
        </w:rPr>
      </w:pPr>
      <w:r w:rsidRPr="00165E31">
        <w:t>iekaisums zarnās, kas var izraisīt, piemēram, sāpes vēderā, atkārtotu caureju</w:t>
      </w:r>
      <w:r w:rsidRPr="00165E31">
        <w:t xml:space="preserve"> un asinis izkārnījumos (kolīts)</w:t>
      </w:r>
    </w:p>
    <w:p w14:paraId="6FFA7918" w14:textId="25A3B439" w:rsidR="001E6DD1" w:rsidRPr="00165E31" w:rsidRDefault="00430718" w:rsidP="001E6DD1">
      <w:pPr>
        <w:numPr>
          <w:ilvl w:val="0"/>
          <w:numId w:val="15"/>
        </w:numPr>
        <w:tabs>
          <w:tab w:val="clear" w:pos="567"/>
        </w:tabs>
        <w:spacing w:line="240" w:lineRule="auto"/>
        <w:ind w:right="-29"/>
        <w:rPr>
          <w:noProof/>
          <w:szCs w:val="22"/>
        </w:rPr>
      </w:pPr>
      <w:r w:rsidRPr="00165E31">
        <w:lastRenderedPageBreak/>
        <w:t xml:space="preserve">sarkano asins šūnu skaita samazināšanās, ko izraisa zems dzelzs līmenis asinīs (dzelzs deficīta) </w:t>
      </w:r>
    </w:p>
    <w:p w14:paraId="770478DD" w14:textId="77777777" w:rsidR="001E6DD1" w:rsidRPr="00165E31" w:rsidRDefault="00430718" w:rsidP="001E6DD1">
      <w:pPr>
        <w:numPr>
          <w:ilvl w:val="0"/>
          <w:numId w:val="15"/>
        </w:numPr>
        <w:tabs>
          <w:tab w:val="clear" w:pos="567"/>
        </w:tabs>
        <w:spacing w:line="240" w:lineRule="auto"/>
        <w:ind w:right="-29"/>
        <w:rPr>
          <w:noProof/>
          <w:szCs w:val="22"/>
        </w:rPr>
      </w:pPr>
      <w:r w:rsidRPr="00165E31">
        <w:t>nātrene (nātrenes veida izsitumi)</w:t>
      </w:r>
    </w:p>
    <w:p w14:paraId="019DACE7" w14:textId="77777777" w:rsidR="001E6DD1" w:rsidRPr="00165E31" w:rsidRDefault="001E6DD1" w:rsidP="001E6DD1">
      <w:pPr>
        <w:numPr>
          <w:ilvl w:val="12"/>
          <w:numId w:val="0"/>
        </w:numPr>
        <w:tabs>
          <w:tab w:val="clear" w:pos="567"/>
        </w:tabs>
        <w:spacing w:line="240" w:lineRule="auto"/>
        <w:ind w:right="-2"/>
        <w:rPr>
          <w:b/>
          <w:szCs w:val="22"/>
        </w:rPr>
      </w:pPr>
    </w:p>
    <w:p w14:paraId="18FEBBB7" w14:textId="77777777" w:rsidR="001E6DD1" w:rsidRPr="00165E31" w:rsidRDefault="00430718" w:rsidP="001E6DD1">
      <w:pPr>
        <w:rPr>
          <w:b/>
          <w:szCs w:val="22"/>
        </w:rPr>
      </w:pPr>
      <w:r w:rsidRPr="00165E31">
        <w:rPr>
          <w:b/>
        </w:rPr>
        <w:t>Ziņošana par blakusparādībām</w:t>
      </w:r>
    </w:p>
    <w:p w14:paraId="7F740BE2" w14:textId="77777777" w:rsidR="001E6DD1" w:rsidRPr="00165E31" w:rsidRDefault="00430718" w:rsidP="001E6DD1">
      <w:pPr>
        <w:pStyle w:val="BodytextAgency"/>
        <w:spacing w:after="0" w:line="240" w:lineRule="auto"/>
        <w:rPr>
          <w:rFonts w:ascii="Times New Roman" w:hAnsi="Times New Roman" w:cs="Times New Roman"/>
          <w:sz w:val="22"/>
          <w:szCs w:val="22"/>
        </w:rPr>
      </w:pPr>
      <w:r w:rsidRPr="00165E31">
        <w:rPr>
          <w:rFonts w:ascii="Times New Roman" w:hAnsi="Times New Roman" w:cs="Times New Roman"/>
          <w:noProof/>
          <w:sz w:val="22"/>
        </w:rPr>
        <w:t xml:space="preserve">Ja Jums rodas jebkādas blakusparādības, </w:t>
      </w:r>
      <w:r w:rsidRPr="00165E31">
        <w:rPr>
          <w:rFonts w:ascii="Times New Roman" w:hAnsi="Times New Roman" w:cs="Times New Roman"/>
          <w:noProof/>
          <w:sz w:val="22"/>
        </w:rPr>
        <w:t>konsultējieties ar savu ārstu vai farmaceitu.</w:t>
      </w:r>
      <w:r w:rsidRPr="00165E31">
        <w:rPr>
          <w:rFonts w:ascii="Times New Roman" w:hAnsi="Times New Roman" w:cs="Times New Roman"/>
          <w:color w:val="FF0000"/>
          <w:sz w:val="22"/>
        </w:rPr>
        <w:t xml:space="preserve"> </w:t>
      </w:r>
      <w:r w:rsidRPr="00165E31">
        <w:rPr>
          <w:rFonts w:ascii="Times New Roman" w:hAnsi="Times New Roman" w:cs="Times New Roman"/>
          <w:noProof/>
          <w:sz w:val="22"/>
        </w:rPr>
        <w:t xml:space="preserve">Tas attiecas arī uz iespējamām blakusparādībām, kas nav minētas šajā instrukcijā. Jūs varat ziņot par blakusparādībām arī tieši, </w:t>
      </w:r>
      <w:r w:rsidRPr="00165E31">
        <w:rPr>
          <w:rFonts w:ascii="Times New Roman" w:hAnsi="Times New Roman" w:cs="Times New Roman"/>
          <w:sz w:val="22"/>
          <w:highlight w:val="lightGray"/>
        </w:rPr>
        <w:t xml:space="preserve">izmantojot </w:t>
      </w:r>
      <w:hyperlink r:id="rId15" w:history="1">
        <w:r w:rsidRPr="00165E31">
          <w:rPr>
            <w:rStyle w:val="Hyperlink"/>
            <w:rFonts w:ascii="Times New Roman" w:hAnsi="Times New Roman" w:cs="Times New Roman"/>
            <w:sz w:val="22"/>
            <w:highlight w:val="lightGray"/>
          </w:rPr>
          <w:t>V pielikumā</w:t>
        </w:r>
      </w:hyperlink>
      <w:r w:rsidRPr="00165E31">
        <w:rPr>
          <w:rFonts w:ascii="Times New Roman" w:hAnsi="Times New Roman" w:cs="Times New Roman"/>
        </w:rPr>
        <w:t xml:space="preserve"> minēto nacionālās ziņošanas sistēmas kontaktinformāciju</w:t>
      </w:r>
      <w:r w:rsidRPr="00165E31">
        <w:rPr>
          <w:rFonts w:ascii="Times New Roman" w:hAnsi="Times New Roman" w:cs="Times New Roman"/>
          <w:sz w:val="22"/>
        </w:rPr>
        <w:t>. Ziņojot par blakusparādībām, Jūs varat palīdzēt nodrošināt daudz plašāku informāciju par šo zāļu drošumu.</w:t>
      </w:r>
    </w:p>
    <w:p w14:paraId="21F8CF7B" w14:textId="77777777" w:rsidR="001E6DD1" w:rsidRPr="00165E31" w:rsidRDefault="001E6DD1" w:rsidP="001E6DD1">
      <w:pPr>
        <w:autoSpaceDE w:val="0"/>
        <w:autoSpaceDN w:val="0"/>
        <w:adjustRightInd w:val="0"/>
        <w:spacing w:line="240" w:lineRule="auto"/>
        <w:rPr>
          <w:szCs w:val="22"/>
        </w:rPr>
      </w:pPr>
    </w:p>
    <w:p w14:paraId="613C72FB" w14:textId="77777777" w:rsidR="001E6DD1" w:rsidRPr="00165E31" w:rsidRDefault="001E6DD1" w:rsidP="001E6DD1">
      <w:pPr>
        <w:autoSpaceDE w:val="0"/>
        <w:autoSpaceDN w:val="0"/>
        <w:adjustRightInd w:val="0"/>
        <w:spacing w:line="240" w:lineRule="auto"/>
        <w:rPr>
          <w:szCs w:val="22"/>
        </w:rPr>
      </w:pPr>
    </w:p>
    <w:p w14:paraId="6713E418" w14:textId="77777777" w:rsidR="001E6DD1" w:rsidRPr="00165E31" w:rsidRDefault="00430718" w:rsidP="001E6DD1">
      <w:pPr>
        <w:pStyle w:val="ListParagraph"/>
        <w:numPr>
          <w:ilvl w:val="0"/>
          <w:numId w:val="33"/>
        </w:numPr>
        <w:tabs>
          <w:tab w:val="clear" w:pos="567"/>
        </w:tabs>
        <w:spacing w:line="240" w:lineRule="auto"/>
        <w:ind w:left="720"/>
        <w:outlineLvl w:val="0"/>
        <w:rPr>
          <w:b/>
          <w:noProof/>
          <w:szCs w:val="22"/>
        </w:rPr>
      </w:pPr>
      <w:r w:rsidRPr="00165E31">
        <w:rPr>
          <w:b/>
          <w:noProof/>
        </w:rPr>
        <w:t xml:space="preserve">Kā uzglabāt </w:t>
      </w:r>
      <w:r w:rsidRPr="00165E31">
        <w:rPr>
          <w:b/>
          <w:i/>
          <w:noProof/>
        </w:rPr>
        <w:t>Cuprior</w:t>
      </w:r>
    </w:p>
    <w:p w14:paraId="01224F8E" w14:textId="77777777" w:rsidR="001E6DD1" w:rsidRPr="00165E31" w:rsidRDefault="001E6DD1" w:rsidP="001E6DD1">
      <w:pPr>
        <w:numPr>
          <w:ilvl w:val="12"/>
          <w:numId w:val="0"/>
        </w:numPr>
        <w:tabs>
          <w:tab w:val="clear" w:pos="567"/>
        </w:tabs>
        <w:spacing w:line="240" w:lineRule="auto"/>
        <w:ind w:right="-2"/>
        <w:rPr>
          <w:noProof/>
          <w:szCs w:val="22"/>
        </w:rPr>
      </w:pPr>
    </w:p>
    <w:p w14:paraId="1C529E1B" w14:textId="77777777" w:rsidR="001E6DD1" w:rsidRPr="00165E31" w:rsidRDefault="00430718" w:rsidP="001E6DD1">
      <w:pPr>
        <w:numPr>
          <w:ilvl w:val="12"/>
          <w:numId w:val="0"/>
        </w:numPr>
        <w:tabs>
          <w:tab w:val="clear" w:pos="567"/>
        </w:tabs>
        <w:spacing w:line="240" w:lineRule="auto"/>
        <w:ind w:right="-2"/>
        <w:rPr>
          <w:noProof/>
          <w:szCs w:val="22"/>
        </w:rPr>
      </w:pPr>
      <w:r w:rsidRPr="00165E31">
        <w:t xml:space="preserve">Uzglabāt šīs </w:t>
      </w:r>
      <w:r w:rsidRPr="00165E31">
        <w:t>zāles bērniem neredzamā un nepieejamā vietā.</w:t>
      </w:r>
    </w:p>
    <w:p w14:paraId="28882909" w14:textId="77777777" w:rsidR="001E6DD1" w:rsidRPr="00165E31" w:rsidRDefault="001E6DD1" w:rsidP="001E6DD1">
      <w:pPr>
        <w:numPr>
          <w:ilvl w:val="12"/>
          <w:numId w:val="0"/>
        </w:numPr>
        <w:tabs>
          <w:tab w:val="clear" w:pos="567"/>
        </w:tabs>
        <w:spacing w:line="240" w:lineRule="auto"/>
        <w:ind w:right="-2"/>
        <w:rPr>
          <w:noProof/>
          <w:szCs w:val="22"/>
        </w:rPr>
      </w:pPr>
    </w:p>
    <w:p w14:paraId="0A9AF83B" w14:textId="77777777" w:rsidR="001E6DD1" w:rsidRPr="00165E31" w:rsidRDefault="00430718" w:rsidP="001E6DD1">
      <w:pPr>
        <w:numPr>
          <w:ilvl w:val="12"/>
          <w:numId w:val="0"/>
        </w:numPr>
        <w:tabs>
          <w:tab w:val="clear" w:pos="567"/>
        </w:tabs>
        <w:spacing w:line="240" w:lineRule="auto"/>
        <w:ind w:right="-2"/>
        <w:rPr>
          <w:noProof/>
          <w:szCs w:val="22"/>
        </w:rPr>
      </w:pPr>
      <w:r w:rsidRPr="00165E31">
        <w:t>Nelietot šīs zāles pēc derīguma termiņa beigām, kas norādīts uz kastītes un blistera pēc "Derīgs līdz". Derīguma termiņš attiecas uz norādītā mēneša pēdējo dienu.</w:t>
      </w:r>
    </w:p>
    <w:p w14:paraId="7631A2DE" w14:textId="77777777" w:rsidR="001E6DD1" w:rsidRPr="00165E31" w:rsidRDefault="001E6DD1" w:rsidP="001E6DD1">
      <w:pPr>
        <w:numPr>
          <w:ilvl w:val="12"/>
          <w:numId w:val="0"/>
        </w:numPr>
        <w:tabs>
          <w:tab w:val="clear" w:pos="567"/>
        </w:tabs>
        <w:spacing w:line="240" w:lineRule="auto"/>
        <w:ind w:right="-2"/>
        <w:rPr>
          <w:noProof/>
          <w:szCs w:val="22"/>
        </w:rPr>
      </w:pPr>
    </w:p>
    <w:p w14:paraId="69422661" w14:textId="77777777" w:rsidR="001E6DD1" w:rsidRPr="00165E31" w:rsidRDefault="00430718" w:rsidP="001E6DD1">
      <w:pPr>
        <w:numPr>
          <w:ilvl w:val="12"/>
          <w:numId w:val="0"/>
        </w:numPr>
        <w:tabs>
          <w:tab w:val="clear" w:pos="567"/>
        </w:tabs>
        <w:spacing w:line="240" w:lineRule="auto"/>
        <w:ind w:right="-2"/>
        <w:rPr>
          <w:noProof/>
          <w:szCs w:val="22"/>
        </w:rPr>
      </w:pPr>
      <w:r w:rsidRPr="00165E31">
        <w:t xml:space="preserve">Šīm zālēm nav nepieciešami īpaši uzglabāšanas </w:t>
      </w:r>
      <w:r w:rsidRPr="00165E31">
        <w:t>apstākļi.</w:t>
      </w:r>
    </w:p>
    <w:p w14:paraId="29C745E9" w14:textId="77777777" w:rsidR="001E6DD1" w:rsidRPr="00165E31" w:rsidRDefault="001E6DD1" w:rsidP="001E6DD1">
      <w:pPr>
        <w:numPr>
          <w:ilvl w:val="12"/>
          <w:numId w:val="0"/>
        </w:numPr>
        <w:tabs>
          <w:tab w:val="clear" w:pos="567"/>
        </w:tabs>
        <w:spacing w:line="240" w:lineRule="auto"/>
        <w:ind w:right="-2"/>
        <w:rPr>
          <w:noProof/>
          <w:szCs w:val="22"/>
        </w:rPr>
      </w:pPr>
    </w:p>
    <w:p w14:paraId="5CD1B9FC" w14:textId="77777777" w:rsidR="001E6DD1" w:rsidRPr="00165E31" w:rsidRDefault="00430718" w:rsidP="001E6DD1">
      <w:pPr>
        <w:numPr>
          <w:ilvl w:val="12"/>
          <w:numId w:val="0"/>
        </w:numPr>
        <w:tabs>
          <w:tab w:val="clear" w:pos="567"/>
        </w:tabs>
        <w:spacing w:line="240" w:lineRule="auto"/>
        <w:ind w:right="-2"/>
        <w:rPr>
          <w:noProof/>
          <w:szCs w:val="22"/>
        </w:rPr>
      </w:pPr>
      <w:r w:rsidRPr="00165E31">
        <w:t>Neizmetiet zāles kanalizācijā vai sadzīves atkritumos. Vaicājiet farmaceitam, kā izmest zāles, kuras vairs nelietojat. Šie pasākumi palīdzēs aizsargāt apkārtējo vidi.</w:t>
      </w:r>
    </w:p>
    <w:p w14:paraId="74D8D72E" w14:textId="77777777" w:rsidR="001E6DD1" w:rsidRPr="00165E31" w:rsidRDefault="001E6DD1" w:rsidP="001E6DD1">
      <w:pPr>
        <w:numPr>
          <w:ilvl w:val="12"/>
          <w:numId w:val="0"/>
        </w:numPr>
        <w:tabs>
          <w:tab w:val="clear" w:pos="567"/>
        </w:tabs>
        <w:spacing w:line="240" w:lineRule="auto"/>
        <w:ind w:right="-2"/>
        <w:rPr>
          <w:noProof/>
          <w:szCs w:val="22"/>
        </w:rPr>
      </w:pPr>
    </w:p>
    <w:p w14:paraId="3DC3E95C" w14:textId="77777777" w:rsidR="001E6DD1" w:rsidRPr="00165E31" w:rsidRDefault="001E6DD1" w:rsidP="001E6DD1">
      <w:pPr>
        <w:numPr>
          <w:ilvl w:val="12"/>
          <w:numId w:val="0"/>
        </w:numPr>
        <w:tabs>
          <w:tab w:val="clear" w:pos="567"/>
        </w:tabs>
        <w:spacing w:line="240" w:lineRule="auto"/>
        <w:ind w:right="-2"/>
        <w:rPr>
          <w:noProof/>
          <w:szCs w:val="22"/>
        </w:rPr>
      </w:pPr>
    </w:p>
    <w:p w14:paraId="1FDC4CC2" w14:textId="77777777" w:rsidR="001E6DD1" w:rsidRPr="00165E31" w:rsidRDefault="00430718" w:rsidP="001E6DD1">
      <w:pPr>
        <w:pStyle w:val="ListParagraph"/>
        <w:numPr>
          <w:ilvl w:val="0"/>
          <w:numId w:val="33"/>
        </w:numPr>
        <w:tabs>
          <w:tab w:val="clear" w:pos="567"/>
        </w:tabs>
        <w:spacing w:line="240" w:lineRule="auto"/>
        <w:ind w:left="720"/>
        <w:outlineLvl w:val="0"/>
        <w:rPr>
          <w:b/>
          <w:noProof/>
          <w:szCs w:val="22"/>
        </w:rPr>
      </w:pPr>
      <w:r w:rsidRPr="00165E31">
        <w:rPr>
          <w:b/>
          <w:noProof/>
        </w:rPr>
        <w:t>Iepakojuma saturs un cita informācija</w:t>
      </w:r>
    </w:p>
    <w:p w14:paraId="61797C40" w14:textId="77777777" w:rsidR="001E6DD1" w:rsidRPr="00165E31" w:rsidRDefault="001E6DD1" w:rsidP="001E6DD1">
      <w:pPr>
        <w:numPr>
          <w:ilvl w:val="12"/>
          <w:numId w:val="0"/>
        </w:numPr>
        <w:tabs>
          <w:tab w:val="clear" w:pos="567"/>
        </w:tabs>
        <w:spacing w:line="240" w:lineRule="auto"/>
        <w:rPr>
          <w:szCs w:val="22"/>
        </w:rPr>
      </w:pPr>
    </w:p>
    <w:p w14:paraId="0CA091EC" w14:textId="77777777" w:rsidR="001E6DD1" w:rsidRPr="00165E31" w:rsidRDefault="00430718" w:rsidP="001E6DD1">
      <w:pPr>
        <w:numPr>
          <w:ilvl w:val="12"/>
          <w:numId w:val="0"/>
        </w:numPr>
        <w:tabs>
          <w:tab w:val="clear" w:pos="567"/>
        </w:tabs>
        <w:spacing w:line="240" w:lineRule="auto"/>
        <w:ind w:right="-2"/>
        <w:rPr>
          <w:b/>
          <w:szCs w:val="22"/>
        </w:rPr>
      </w:pPr>
      <w:r w:rsidRPr="00165E31">
        <w:rPr>
          <w:b/>
        </w:rPr>
        <w:t xml:space="preserve">Ko </w:t>
      </w:r>
      <w:r w:rsidRPr="00165E31">
        <w:rPr>
          <w:b/>
          <w:i/>
        </w:rPr>
        <w:t>Cuprior</w:t>
      </w:r>
      <w:r w:rsidRPr="00165E31">
        <w:rPr>
          <w:b/>
        </w:rPr>
        <w:t xml:space="preserve"> satur </w:t>
      </w:r>
    </w:p>
    <w:p w14:paraId="070AC914" w14:textId="043E1C23" w:rsidR="001E6DD1" w:rsidRPr="00165E31" w:rsidRDefault="00430718" w:rsidP="001E6DD1">
      <w:pPr>
        <w:numPr>
          <w:ilvl w:val="12"/>
          <w:numId w:val="0"/>
        </w:numPr>
        <w:tabs>
          <w:tab w:val="clear" w:pos="567"/>
        </w:tabs>
        <w:spacing w:line="240" w:lineRule="auto"/>
        <w:ind w:right="-2"/>
        <w:rPr>
          <w:noProof/>
          <w:szCs w:val="22"/>
        </w:rPr>
      </w:pPr>
      <w:r w:rsidRPr="00165E31">
        <w:t xml:space="preserve">Aktīvā viela ir trientīns. Katra </w:t>
      </w:r>
      <w:r w:rsidR="00141664" w:rsidRPr="00165E31">
        <w:t xml:space="preserve">apvalkotā </w:t>
      </w:r>
      <w:r w:rsidRPr="00165E31">
        <w:t xml:space="preserve">tablete </w:t>
      </w:r>
      <w:r w:rsidR="00657383" w:rsidRPr="00165E31">
        <w:t xml:space="preserve">(tablete) </w:t>
      </w:r>
      <w:r w:rsidRPr="00165E31">
        <w:t xml:space="preserve">satur trientīna tetrahidrohlorīdu, kas atbilst 150 mg trientīna. </w:t>
      </w:r>
    </w:p>
    <w:p w14:paraId="43D0BC89" w14:textId="77777777" w:rsidR="00A55E99" w:rsidRPr="00165E31" w:rsidRDefault="00430718" w:rsidP="001E6DD1">
      <w:pPr>
        <w:numPr>
          <w:ilvl w:val="12"/>
          <w:numId w:val="0"/>
        </w:numPr>
        <w:tabs>
          <w:tab w:val="clear" w:pos="567"/>
        </w:tabs>
        <w:spacing w:line="240" w:lineRule="auto"/>
        <w:ind w:right="-2"/>
      </w:pPr>
      <w:r w:rsidRPr="00165E31">
        <w:t>Citas sastāvdaļas:</w:t>
      </w:r>
    </w:p>
    <w:p w14:paraId="39DDBD6B" w14:textId="3B426430" w:rsidR="001E6DD1" w:rsidRPr="00165E31" w:rsidRDefault="00430718" w:rsidP="001E6DD1">
      <w:pPr>
        <w:numPr>
          <w:ilvl w:val="12"/>
          <w:numId w:val="0"/>
        </w:numPr>
        <w:tabs>
          <w:tab w:val="clear" w:pos="567"/>
        </w:tabs>
        <w:spacing w:line="240" w:lineRule="auto"/>
        <w:ind w:right="-2"/>
        <w:rPr>
          <w:noProof/>
          <w:szCs w:val="22"/>
        </w:rPr>
      </w:pPr>
      <w:r w:rsidRPr="00165E31">
        <w:rPr>
          <w:u w:val="single"/>
        </w:rPr>
        <w:t>Tabletes kodols</w:t>
      </w:r>
      <w:r w:rsidRPr="00165E31">
        <w:t xml:space="preserve">: </w:t>
      </w:r>
      <w:r w:rsidR="00975D83" w:rsidRPr="00165E31">
        <w:t>mannīts, bezūdens koloidālais silīcija dioksīds un glicerīna dibehenāts.</w:t>
      </w:r>
    </w:p>
    <w:p w14:paraId="0AB8900F" w14:textId="118E7D20" w:rsidR="00A55E99" w:rsidRPr="00165E31" w:rsidRDefault="00430718" w:rsidP="001E6DD1">
      <w:pPr>
        <w:numPr>
          <w:ilvl w:val="12"/>
          <w:numId w:val="0"/>
        </w:numPr>
        <w:tabs>
          <w:tab w:val="clear" w:pos="567"/>
        </w:tabs>
        <w:spacing w:line="240" w:lineRule="auto"/>
        <w:ind w:right="-2"/>
        <w:rPr>
          <w:noProof/>
          <w:szCs w:val="22"/>
        </w:rPr>
      </w:pPr>
      <w:r w:rsidRPr="00165E31">
        <w:rPr>
          <w:noProof/>
          <w:szCs w:val="22"/>
          <w:u w:val="single"/>
        </w:rPr>
        <w:t xml:space="preserve">Tabletes apvalks: </w:t>
      </w:r>
      <w:r w:rsidR="0003498C" w:rsidRPr="00165E31">
        <w:rPr>
          <w:noProof/>
          <w:szCs w:val="22"/>
        </w:rPr>
        <w:t>polivinilspirts</w:t>
      </w:r>
      <w:r w:rsidRPr="00165E31">
        <w:rPr>
          <w:noProof/>
          <w:szCs w:val="22"/>
        </w:rPr>
        <w:t>, talks, titāna dioksīds (E171), glicerīna monokaprilkaprāts (I tips), dzelt</w:t>
      </w:r>
      <w:r w:rsidR="00EA5730" w:rsidRPr="00165E31">
        <w:rPr>
          <w:noProof/>
          <w:szCs w:val="22"/>
        </w:rPr>
        <w:t>e</w:t>
      </w:r>
      <w:r w:rsidRPr="00165E31">
        <w:rPr>
          <w:noProof/>
          <w:szCs w:val="22"/>
        </w:rPr>
        <w:t>nais dzelzs oksīds (E172) un nātrija lauri</w:t>
      </w:r>
      <w:r w:rsidR="00EA5730" w:rsidRPr="00165E31">
        <w:rPr>
          <w:noProof/>
          <w:szCs w:val="22"/>
        </w:rPr>
        <w:t>l</w:t>
      </w:r>
      <w:r w:rsidRPr="00165E31">
        <w:rPr>
          <w:noProof/>
          <w:szCs w:val="22"/>
        </w:rPr>
        <w:t>sulfāts.</w:t>
      </w:r>
    </w:p>
    <w:p w14:paraId="657B4F49" w14:textId="77777777" w:rsidR="00A55E99" w:rsidRPr="00165E31" w:rsidRDefault="00A55E99" w:rsidP="001E6DD1">
      <w:pPr>
        <w:numPr>
          <w:ilvl w:val="12"/>
          <w:numId w:val="0"/>
        </w:numPr>
        <w:tabs>
          <w:tab w:val="clear" w:pos="567"/>
        </w:tabs>
        <w:spacing w:line="240" w:lineRule="auto"/>
        <w:ind w:right="-2"/>
        <w:rPr>
          <w:noProof/>
          <w:szCs w:val="22"/>
        </w:rPr>
      </w:pPr>
    </w:p>
    <w:p w14:paraId="469D9A6E" w14:textId="77777777" w:rsidR="00A55E99" w:rsidRPr="00165E31" w:rsidRDefault="00A55E99" w:rsidP="001E6DD1">
      <w:pPr>
        <w:numPr>
          <w:ilvl w:val="12"/>
          <w:numId w:val="0"/>
        </w:numPr>
        <w:tabs>
          <w:tab w:val="clear" w:pos="567"/>
        </w:tabs>
        <w:spacing w:line="240" w:lineRule="auto"/>
        <w:ind w:right="-2"/>
        <w:rPr>
          <w:noProof/>
          <w:szCs w:val="22"/>
        </w:rPr>
      </w:pPr>
    </w:p>
    <w:p w14:paraId="273A51EB" w14:textId="77777777" w:rsidR="001E6DD1" w:rsidRPr="00165E31" w:rsidRDefault="00430718" w:rsidP="001E6DD1">
      <w:pPr>
        <w:numPr>
          <w:ilvl w:val="12"/>
          <w:numId w:val="0"/>
        </w:numPr>
        <w:tabs>
          <w:tab w:val="clear" w:pos="567"/>
        </w:tabs>
        <w:spacing w:line="240" w:lineRule="auto"/>
        <w:ind w:right="-2"/>
        <w:rPr>
          <w:b/>
          <w:szCs w:val="22"/>
        </w:rPr>
      </w:pPr>
      <w:r w:rsidRPr="00165E31">
        <w:rPr>
          <w:b/>
          <w:i/>
        </w:rPr>
        <w:t>Cuprior</w:t>
      </w:r>
      <w:r w:rsidRPr="00165E31">
        <w:rPr>
          <w:b/>
        </w:rPr>
        <w:t xml:space="preserve"> ārējais izskats un iepakojums</w:t>
      </w:r>
    </w:p>
    <w:p w14:paraId="036563B1" w14:textId="469A48B0" w:rsidR="001E6DD1" w:rsidRPr="00165E31" w:rsidRDefault="00430718" w:rsidP="001E6DD1">
      <w:pPr>
        <w:rPr>
          <w:noProof/>
          <w:szCs w:val="22"/>
        </w:rPr>
      </w:pPr>
      <w:r w:rsidRPr="00165E31">
        <w:t>Dzeltena</w:t>
      </w:r>
      <w:r w:rsidR="00975D83" w:rsidRPr="00165E31">
        <w:t xml:space="preserve">, 16 mm x 8 mm liela iegarena </w:t>
      </w:r>
      <w:r w:rsidR="00141664" w:rsidRPr="00165E31">
        <w:t xml:space="preserve">apvalkota </w:t>
      </w:r>
      <w:r w:rsidR="00975D83" w:rsidRPr="00165E31">
        <w:t xml:space="preserve">tablete ar dalījuma līniju vienā pusē. </w:t>
      </w:r>
      <w:r w:rsidR="00E62967" w:rsidRPr="00165E31">
        <w:t>Apvalkoto t</w:t>
      </w:r>
      <w:r w:rsidR="00975D83" w:rsidRPr="00165E31">
        <w:t>ableti var sadalīt vienādās devās.</w:t>
      </w:r>
    </w:p>
    <w:p w14:paraId="63AE1D12" w14:textId="77777777" w:rsidR="001E6DD1" w:rsidRPr="00165E31" w:rsidRDefault="001E6DD1" w:rsidP="001E6DD1">
      <w:pPr>
        <w:rPr>
          <w:noProof/>
          <w:szCs w:val="22"/>
        </w:rPr>
      </w:pPr>
    </w:p>
    <w:p w14:paraId="299E15FB" w14:textId="6EFF1D2C" w:rsidR="001E6DD1" w:rsidRPr="00165E31" w:rsidRDefault="00430718" w:rsidP="001E6DD1">
      <w:pPr>
        <w:numPr>
          <w:ilvl w:val="12"/>
          <w:numId w:val="0"/>
        </w:numPr>
        <w:tabs>
          <w:tab w:val="clear" w:pos="567"/>
        </w:tabs>
        <w:spacing w:line="240" w:lineRule="auto"/>
      </w:pPr>
      <w:r w:rsidRPr="00165E31">
        <w:t>OPA/Al/PVH-Al blisteri, katrs blisteris satur 8</w:t>
      </w:r>
      <w:r w:rsidR="00A55E99" w:rsidRPr="00165E31">
        <w:t xml:space="preserve"> apvalkotās </w:t>
      </w:r>
      <w:r w:rsidRPr="00165E31">
        <w:t xml:space="preserve">tabletes. </w:t>
      </w:r>
      <w:r w:rsidR="00A8404A" w:rsidRPr="00165E31">
        <w:rPr>
          <w:i/>
          <w:iCs/>
        </w:rPr>
        <w:t>Cuprior</w:t>
      </w:r>
      <w:r w:rsidR="00A8404A" w:rsidRPr="00165E31">
        <w:t xml:space="preserve"> ir pieejams iepakojumos</w:t>
      </w:r>
      <w:r w:rsidRPr="00165E31">
        <w:t xml:space="preserve"> ar 72</w:t>
      </w:r>
      <w:r w:rsidR="00A8404A" w:rsidRPr="00165E31">
        <w:t xml:space="preserve"> vai 96 apvalkotām </w:t>
      </w:r>
      <w:r w:rsidRPr="00165E31">
        <w:t>tabletēm.</w:t>
      </w:r>
    </w:p>
    <w:p w14:paraId="3BC98111" w14:textId="77777777" w:rsidR="00A8404A" w:rsidRPr="00165E31" w:rsidRDefault="00430718" w:rsidP="00A8404A">
      <w:pPr>
        <w:numPr>
          <w:ilvl w:val="12"/>
          <w:numId w:val="0"/>
        </w:numPr>
        <w:tabs>
          <w:tab w:val="clear" w:pos="567"/>
        </w:tabs>
        <w:spacing w:line="240" w:lineRule="auto"/>
        <w:rPr>
          <w:szCs w:val="22"/>
        </w:rPr>
      </w:pPr>
      <w:r w:rsidRPr="00165E31">
        <w:rPr>
          <w:szCs w:val="22"/>
        </w:rPr>
        <w:t>Visi iepakojuma lielumi tirgū var nebūt pieejami.</w:t>
      </w:r>
    </w:p>
    <w:p w14:paraId="6FA6B66F" w14:textId="77777777" w:rsidR="00A8404A" w:rsidRPr="00165E31" w:rsidRDefault="00A8404A" w:rsidP="001E6DD1">
      <w:pPr>
        <w:numPr>
          <w:ilvl w:val="12"/>
          <w:numId w:val="0"/>
        </w:numPr>
        <w:tabs>
          <w:tab w:val="clear" w:pos="567"/>
        </w:tabs>
        <w:spacing w:line="240" w:lineRule="auto"/>
        <w:rPr>
          <w:szCs w:val="22"/>
        </w:rPr>
      </w:pPr>
    </w:p>
    <w:p w14:paraId="30BDFAE0" w14:textId="77777777" w:rsidR="001E6DD1" w:rsidRPr="00165E31" w:rsidRDefault="001E6DD1" w:rsidP="001E6DD1">
      <w:pPr>
        <w:numPr>
          <w:ilvl w:val="12"/>
          <w:numId w:val="0"/>
        </w:numPr>
        <w:tabs>
          <w:tab w:val="clear" w:pos="567"/>
        </w:tabs>
        <w:spacing w:line="240" w:lineRule="auto"/>
        <w:rPr>
          <w:szCs w:val="22"/>
        </w:rPr>
      </w:pPr>
    </w:p>
    <w:p w14:paraId="034E422A" w14:textId="77777777" w:rsidR="001E6DD1" w:rsidRPr="00165E31" w:rsidRDefault="00430718" w:rsidP="001E6DD1">
      <w:pPr>
        <w:numPr>
          <w:ilvl w:val="12"/>
          <w:numId w:val="0"/>
        </w:numPr>
        <w:tabs>
          <w:tab w:val="clear" w:pos="567"/>
        </w:tabs>
        <w:spacing w:line="240" w:lineRule="auto"/>
        <w:ind w:right="-2"/>
        <w:rPr>
          <w:b/>
          <w:szCs w:val="22"/>
        </w:rPr>
      </w:pPr>
      <w:r w:rsidRPr="00165E31">
        <w:rPr>
          <w:b/>
        </w:rPr>
        <w:t xml:space="preserve">Reģistrācijas apliecības īpašnieks </w:t>
      </w:r>
    </w:p>
    <w:p w14:paraId="6C4CF01D" w14:textId="1FFA6300" w:rsidR="001E6DD1" w:rsidRPr="00165E31" w:rsidRDefault="006D02C4" w:rsidP="001E6DD1">
      <w:pPr>
        <w:rPr>
          <w:szCs w:val="22"/>
        </w:rPr>
      </w:pPr>
      <w:proofErr w:type="spellStart"/>
      <w:r>
        <w:t>Orphalan</w:t>
      </w:r>
      <w:proofErr w:type="spellEnd"/>
    </w:p>
    <w:p w14:paraId="2CDC750B" w14:textId="77777777" w:rsidR="00FB5C80" w:rsidRPr="00430718" w:rsidRDefault="00430718" w:rsidP="00FB5C80">
      <w:pPr>
        <w:rPr>
          <w:szCs w:val="22"/>
        </w:rPr>
      </w:pPr>
      <w:r w:rsidRPr="00430718">
        <w:rPr>
          <w:szCs w:val="22"/>
        </w:rPr>
        <w:t xml:space="preserve">226 </w:t>
      </w:r>
      <w:proofErr w:type="spellStart"/>
      <w:r w:rsidRPr="00430718">
        <w:rPr>
          <w:szCs w:val="22"/>
        </w:rPr>
        <w:t>Boulevard</w:t>
      </w:r>
      <w:proofErr w:type="spellEnd"/>
      <w:r w:rsidRPr="00430718">
        <w:rPr>
          <w:szCs w:val="22"/>
        </w:rPr>
        <w:t xml:space="preserve"> </w:t>
      </w:r>
      <w:proofErr w:type="spellStart"/>
      <w:r w:rsidRPr="00430718">
        <w:rPr>
          <w:szCs w:val="22"/>
        </w:rPr>
        <w:t>Voltaire</w:t>
      </w:r>
      <w:proofErr w:type="spellEnd"/>
    </w:p>
    <w:p w14:paraId="2082F334" w14:textId="77777777" w:rsidR="00FB5C80" w:rsidRPr="0036776A" w:rsidRDefault="00430718" w:rsidP="00FB5C80">
      <w:pPr>
        <w:rPr>
          <w:szCs w:val="22"/>
          <w:lang w:val="fr-FR"/>
        </w:rPr>
      </w:pPr>
      <w:r w:rsidRPr="002503BA">
        <w:rPr>
          <w:szCs w:val="22"/>
          <w:lang w:val="fr-FR"/>
        </w:rPr>
        <w:t>75011 Paris</w:t>
      </w:r>
    </w:p>
    <w:p w14:paraId="5CEF412E" w14:textId="77777777" w:rsidR="001E6DD1" w:rsidRPr="00165E31" w:rsidRDefault="001E6DD1" w:rsidP="001E6DD1">
      <w:pPr>
        <w:rPr>
          <w:szCs w:val="22"/>
        </w:rPr>
      </w:pPr>
    </w:p>
    <w:p w14:paraId="61A46B22" w14:textId="77777777" w:rsidR="001E6DD1" w:rsidRPr="00165E31" w:rsidRDefault="00430718" w:rsidP="001E6DD1">
      <w:pPr>
        <w:rPr>
          <w:szCs w:val="22"/>
        </w:rPr>
      </w:pPr>
      <w:r w:rsidRPr="00165E31">
        <w:t>Francija</w:t>
      </w:r>
    </w:p>
    <w:p w14:paraId="7BAEE6FE" w14:textId="77777777" w:rsidR="001E6DD1" w:rsidRPr="00165E31" w:rsidRDefault="001E6DD1" w:rsidP="001E6DD1">
      <w:pPr>
        <w:numPr>
          <w:ilvl w:val="12"/>
          <w:numId w:val="0"/>
        </w:numPr>
        <w:tabs>
          <w:tab w:val="clear" w:pos="567"/>
        </w:tabs>
        <w:spacing w:line="240" w:lineRule="auto"/>
        <w:ind w:right="-2"/>
        <w:rPr>
          <w:noProof/>
          <w:szCs w:val="22"/>
        </w:rPr>
      </w:pPr>
    </w:p>
    <w:p w14:paraId="7FE090D6" w14:textId="77777777" w:rsidR="001E6DD1" w:rsidRPr="00165E31" w:rsidRDefault="00430718" w:rsidP="001E6DD1">
      <w:pPr>
        <w:numPr>
          <w:ilvl w:val="12"/>
          <w:numId w:val="0"/>
        </w:numPr>
        <w:tabs>
          <w:tab w:val="clear" w:pos="567"/>
        </w:tabs>
        <w:spacing w:line="240" w:lineRule="auto"/>
        <w:ind w:right="-2"/>
        <w:rPr>
          <w:b/>
          <w:szCs w:val="22"/>
        </w:rPr>
      </w:pPr>
      <w:r w:rsidRPr="00165E31">
        <w:rPr>
          <w:b/>
        </w:rPr>
        <w:t>Ražotājs</w:t>
      </w:r>
    </w:p>
    <w:p w14:paraId="6521579A" w14:textId="77777777" w:rsidR="001E6DD1" w:rsidRPr="00165E31" w:rsidRDefault="00430718" w:rsidP="001E6DD1">
      <w:pPr>
        <w:numPr>
          <w:ilvl w:val="12"/>
          <w:numId w:val="0"/>
        </w:numPr>
        <w:tabs>
          <w:tab w:val="clear" w:pos="567"/>
        </w:tabs>
        <w:spacing w:line="240" w:lineRule="auto"/>
        <w:ind w:right="-2"/>
        <w:rPr>
          <w:szCs w:val="22"/>
        </w:rPr>
      </w:pPr>
      <w:r w:rsidRPr="00165E31">
        <w:t>Delpharm Evreux</w:t>
      </w:r>
    </w:p>
    <w:p w14:paraId="4B2AA482" w14:textId="77777777" w:rsidR="001E6DD1" w:rsidRPr="00165E31" w:rsidRDefault="00430718" w:rsidP="001E6DD1">
      <w:pPr>
        <w:numPr>
          <w:ilvl w:val="12"/>
          <w:numId w:val="0"/>
        </w:numPr>
        <w:tabs>
          <w:tab w:val="clear" w:pos="567"/>
        </w:tabs>
        <w:spacing w:line="240" w:lineRule="auto"/>
        <w:ind w:right="-2"/>
        <w:rPr>
          <w:szCs w:val="22"/>
        </w:rPr>
      </w:pPr>
      <w:r w:rsidRPr="00165E31">
        <w:t>5 rue du Guesclin</w:t>
      </w:r>
    </w:p>
    <w:p w14:paraId="3DF5E8D7" w14:textId="77777777" w:rsidR="001E6DD1" w:rsidRPr="00165E31" w:rsidRDefault="00430718" w:rsidP="001E6DD1">
      <w:pPr>
        <w:numPr>
          <w:ilvl w:val="12"/>
          <w:numId w:val="0"/>
        </w:numPr>
        <w:tabs>
          <w:tab w:val="clear" w:pos="567"/>
        </w:tabs>
        <w:spacing w:line="240" w:lineRule="auto"/>
        <w:ind w:right="-2"/>
        <w:rPr>
          <w:szCs w:val="22"/>
        </w:rPr>
      </w:pPr>
      <w:r w:rsidRPr="00165E31">
        <w:t>27000 Evreux</w:t>
      </w:r>
    </w:p>
    <w:p w14:paraId="1DF2633D" w14:textId="77777777" w:rsidR="001E6DD1" w:rsidRPr="00165E31" w:rsidRDefault="00430718" w:rsidP="001E6DD1">
      <w:pPr>
        <w:numPr>
          <w:ilvl w:val="12"/>
          <w:numId w:val="0"/>
        </w:numPr>
        <w:tabs>
          <w:tab w:val="clear" w:pos="567"/>
        </w:tabs>
        <w:spacing w:line="240" w:lineRule="auto"/>
        <w:ind w:right="-2"/>
        <w:rPr>
          <w:noProof/>
          <w:szCs w:val="22"/>
        </w:rPr>
      </w:pPr>
      <w:r w:rsidRPr="00165E31">
        <w:t>Francija</w:t>
      </w:r>
    </w:p>
    <w:p w14:paraId="76D5DA8C" w14:textId="77777777" w:rsidR="001E6DD1" w:rsidRPr="00165E31" w:rsidRDefault="001E6DD1" w:rsidP="001E6DD1">
      <w:pPr>
        <w:numPr>
          <w:ilvl w:val="12"/>
          <w:numId w:val="0"/>
        </w:numPr>
        <w:tabs>
          <w:tab w:val="clear" w:pos="567"/>
        </w:tabs>
        <w:spacing w:line="240" w:lineRule="auto"/>
        <w:ind w:right="-2"/>
        <w:rPr>
          <w:noProof/>
          <w:szCs w:val="22"/>
        </w:rPr>
      </w:pPr>
    </w:p>
    <w:tbl>
      <w:tblPr>
        <w:tblW w:w="9356" w:type="dxa"/>
        <w:tblInd w:w="-34" w:type="dxa"/>
        <w:tblLayout w:type="fixed"/>
        <w:tblLook w:val="0000" w:firstRow="0" w:lastRow="0" w:firstColumn="0" w:lastColumn="0" w:noHBand="0" w:noVBand="0"/>
      </w:tblPr>
      <w:tblGrid>
        <w:gridCol w:w="4678"/>
        <w:gridCol w:w="4678"/>
      </w:tblGrid>
      <w:tr w:rsidR="0003691D" w14:paraId="328B4CE5" w14:textId="77777777" w:rsidTr="001E6DD1">
        <w:tc>
          <w:tcPr>
            <w:tcW w:w="4678" w:type="dxa"/>
          </w:tcPr>
          <w:p w14:paraId="052E2054" w14:textId="77777777" w:rsidR="001E6DD1" w:rsidRPr="00165E31" w:rsidRDefault="001E6DD1" w:rsidP="001E6DD1">
            <w:pPr>
              <w:tabs>
                <w:tab w:val="left" w:pos="-720"/>
              </w:tabs>
              <w:suppressAutoHyphens/>
              <w:spacing w:line="240" w:lineRule="auto"/>
              <w:rPr>
                <w:noProof/>
                <w:szCs w:val="22"/>
              </w:rPr>
            </w:pPr>
          </w:p>
        </w:tc>
        <w:tc>
          <w:tcPr>
            <w:tcW w:w="4678" w:type="dxa"/>
          </w:tcPr>
          <w:p w14:paraId="559AE68B" w14:textId="77777777" w:rsidR="001E6DD1" w:rsidRPr="00165E31" w:rsidRDefault="001E6DD1" w:rsidP="001E6DD1">
            <w:pPr>
              <w:tabs>
                <w:tab w:val="left" w:pos="-720"/>
              </w:tabs>
              <w:suppressAutoHyphens/>
              <w:spacing w:line="240" w:lineRule="auto"/>
              <w:rPr>
                <w:noProof/>
                <w:szCs w:val="22"/>
              </w:rPr>
            </w:pPr>
          </w:p>
        </w:tc>
      </w:tr>
    </w:tbl>
    <w:p w14:paraId="2511C456" w14:textId="77777777" w:rsidR="001E6DD1" w:rsidRPr="00165E31" w:rsidRDefault="00430718" w:rsidP="001E6DD1">
      <w:pPr>
        <w:numPr>
          <w:ilvl w:val="12"/>
          <w:numId w:val="0"/>
        </w:numPr>
        <w:tabs>
          <w:tab w:val="clear" w:pos="567"/>
        </w:tabs>
        <w:spacing w:line="240" w:lineRule="auto"/>
        <w:ind w:right="-2"/>
        <w:rPr>
          <w:b/>
          <w:szCs w:val="22"/>
        </w:rPr>
      </w:pPr>
      <w:r w:rsidRPr="00165E31">
        <w:rPr>
          <w:b/>
        </w:rPr>
        <w:lastRenderedPageBreak/>
        <w:t>Šī lietošanas instrukcija pēdējo reizi pārskatīta</w:t>
      </w:r>
    </w:p>
    <w:p w14:paraId="35A5D43C" w14:textId="77777777" w:rsidR="001E6DD1" w:rsidRPr="00165E31" w:rsidRDefault="001E6DD1" w:rsidP="001E6DD1">
      <w:pPr>
        <w:numPr>
          <w:ilvl w:val="12"/>
          <w:numId w:val="0"/>
        </w:numPr>
        <w:spacing w:line="240" w:lineRule="auto"/>
        <w:ind w:right="-2"/>
        <w:rPr>
          <w:noProof/>
          <w:szCs w:val="22"/>
        </w:rPr>
      </w:pPr>
    </w:p>
    <w:p w14:paraId="35CBD618" w14:textId="77777777" w:rsidR="001E6DD1" w:rsidRPr="00165E31" w:rsidRDefault="00430718" w:rsidP="001E6DD1">
      <w:pPr>
        <w:numPr>
          <w:ilvl w:val="12"/>
          <w:numId w:val="0"/>
        </w:numPr>
        <w:tabs>
          <w:tab w:val="clear" w:pos="567"/>
        </w:tabs>
        <w:spacing w:line="240" w:lineRule="auto"/>
        <w:ind w:right="-2"/>
        <w:rPr>
          <w:b/>
          <w:noProof/>
          <w:szCs w:val="22"/>
        </w:rPr>
      </w:pPr>
      <w:r w:rsidRPr="00165E31">
        <w:rPr>
          <w:b/>
          <w:noProof/>
        </w:rPr>
        <w:t>Citi informācijas avoti</w:t>
      </w:r>
    </w:p>
    <w:p w14:paraId="67E11774" w14:textId="35E575A8" w:rsidR="001E6DD1" w:rsidRPr="00165E31" w:rsidRDefault="00430718" w:rsidP="001E6DD1">
      <w:pPr>
        <w:numPr>
          <w:ilvl w:val="12"/>
          <w:numId w:val="0"/>
        </w:numPr>
        <w:spacing w:line="240" w:lineRule="auto"/>
        <w:ind w:right="-2"/>
      </w:pPr>
      <w:r w:rsidRPr="00165E31">
        <w:t xml:space="preserve">Sīkāka informācija par šīm zālēm ir pieejama Eiropas Zāļu aģentūras tīmekļa vietnē: </w:t>
      </w:r>
      <w:hyperlink w:history="1">
        <w:r w:rsidRPr="00165E31">
          <w:rPr>
            <w:rStyle w:val="Hyperlink"/>
            <w:noProof/>
          </w:rPr>
          <w:t>http://www.ema.europa.eu</w:t>
        </w:r>
      </w:hyperlink>
      <w:r w:rsidRPr="00165E31">
        <w:t xml:space="preserve">. Tajā ir arī saites uz citām tīmekļa vietnēm par retām slimībām un to ārstēšanu. </w:t>
      </w:r>
    </w:p>
    <w:p w14:paraId="4082BC1D" w14:textId="77777777" w:rsidR="00792426" w:rsidRPr="00165E31" w:rsidRDefault="00792426" w:rsidP="001E6DD1">
      <w:pPr>
        <w:numPr>
          <w:ilvl w:val="12"/>
          <w:numId w:val="0"/>
        </w:numPr>
        <w:spacing w:line="240" w:lineRule="auto"/>
        <w:ind w:right="-2"/>
        <w:rPr>
          <w:noProof/>
          <w:szCs w:val="22"/>
        </w:rPr>
      </w:pPr>
    </w:p>
    <w:sectPr w:rsidR="00792426" w:rsidRPr="00165E31" w:rsidSect="001E6DD1">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87DB7" w14:textId="77777777" w:rsidR="00000000" w:rsidRDefault="00430718">
      <w:pPr>
        <w:spacing w:line="240" w:lineRule="auto"/>
      </w:pPr>
      <w:r>
        <w:separator/>
      </w:r>
    </w:p>
  </w:endnote>
  <w:endnote w:type="continuationSeparator" w:id="0">
    <w:p w14:paraId="4455D2D6" w14:textId="77777777" w:rsidR="00000000" w:rsidRDefault="00430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NewRoman">
    <w:altName w:val="Times New Roman"/>
    <w:panose1 w:val="00000000000000000000"/>
    <w:charset w:val="0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DA9D3" w14:textId="4E77BCB8" w:rsidR="00DF6FF9" w:rsidRDefault="00430718">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65E31">
      <w:rPr>
        <w:rStyle w:val="PageNumber"/>
        <w:rFonts w:cs="Arial"/>
      </w:rPr>
      <w:t>18</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9E11" w14:textId="69E7B3B5" w:rsidR="00DF6FF9" w:rsidRDefault="00430718">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65E31">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0BE0F" w14:textId="77777777" w:rsidR="00000000" w:rsidRDefault="00430718">
      <w:pPr>
        <w:spacing w:line="240" w:lineRule="auto"/>
      </w:pPr>
      <w:r>
        <w:separator/>
      </w:r>
    </w:p>
  </w:footnote>
  <w:footnote w:type="continuationSeparator" w:id="0">
    <w:p w14:paraId="2811BC58" w14:textId="77777777" w:rsidR="00000000" w:rsidRDefault="004307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54F6E24C">
      <w:start w:val="1"/>
      <w:numFmt w:val="bullet"/>
      <w:lvlText w:val=""/>
      <w:lvlJc w:val="left"/>
      <w:pPr>
        <w:tabs>
          <w:tab w:val="num" w:pos="360"/>
        </w:tabs>
        <w:ind w:left="360" w:hanging="360"/>
      </w:pPr>
      <w:rPr>
        <w:rFonts w:ascii="Symbol" w:hAnsi="Symbol" w:hint="default"/>
      </w:rPr>
    </w:lvl>
    <w:lvl w:ilvl="1" w:tplc="23B08764" w:tentative="1">
      <w:start w:val="1"/>
      <w:numFmt w:val="bullet"/>
      <w:lvlText w:val="o"/>
      <w:lvlJc w:val="left"/>
      <w:pPr>
        <w:tabs>
          <w:tab w:val="num" w:pos="1080"/>
        </w:tabs>
        <w:ind w:left="1080" w:hanging="360"/>
      </w:pPr>
      <w:rPr>
        <w:rFonts w:ascii="Courier New" w:hAnsi="Courier New" w:cs="Courier New" w:hint="default"/>
      </w:rPr>
    </w:lvl>
    <w:lvl w:ilvl="2" w:tplc="AF4A5A26" w:tentative="1">
      <w:start w:val="1"/>
      <w:numFmt w:val="bullet"/>
      <w:lvlText w:val=""/>
      <w:lvlJc w:val="left"/>
      <w:pPr>
        <w:tabs>
          <w:tab w:val="num" w:pos="1800"/>
        </w:tabs>
        <w:ind w:left="1800" w:hanging="360"/>
      </w:pPr>
      <w:rPr>
        <w:rFonts w:ascii="Wingdings" w:hAnsi="Wingdings" w:hint="default"/>
      </w:rPr>
    </w:lvl>
    <w:lvl w:ilvl="3" w:tplc="D9E0123C" w:tentative="1">
      <w:start w:val="1"/>
      <w:numFmt w:val="bullet"/>
      <w:lvlText w:val=""/>
      <w:lvlJc w:val="left"/>
      <w:pPr>
        <w:tabs>
          <w:tab w:val="num" w:pos="2520"/>
        </w:tabs>
        <w:ind w:left="2520" w:hanging="360"/>
      </w:pPr>
      <w:rPr>
        <w:rFonts w:ascii="Symbol" w:hAnsi="Symbol" w:hint="default"/>
      </w:rPr>
    </w:lvl>
    <w:lvl w:ilvl="4" w:tplc="021C543C" w:tentative="1">
      <w:start w:val="1"/>
      <w:numFmt w:val="bullet"/>
      <w:lvlText w:val="o"/>
      <w:lvlJc w:val="left"/>
      <w:pPr>
        <w:tabs>
          <w:tab w:val="num" w:pos="3240"/>
        </w:tabs>
        <w:ind w:left="3240" w:hanging="360"/>
      </w:pPr>
      <w:rPr>
        <w:rFonts w:ascii="Courier New" w:hAnsi="Courier New" w:cs="Courier New" w:hint="default"/>
      </w:rPr>
    </w:lvl>
    <w:lvl w:ilvl="5" w:tplc="F718DC60" w:tentative="1">
      <w:start w:val="1"/>
      <w:numFmt w:val="bullet"/>
      <w:lvlText w:val=""/>
      <w:lvlJc w:val="left"/>
      <w:pPr>
        <w:tabs>
          <w:tab w:val="num" w:pos="3960"/>
        </w:tabs>
        <w:ind w:left="3960" w:hanging="360"/>
      </w:pPr>
      <w:rPr>
        <w:rFonts w:ascii="Wingdings" w:hAnsi="Wingdings" w:hint="default"/>
      </w:rPr>
    </w:lvl>
    <w:lvl w:ilvl="6" w:tplc="CFBCE41E" w:tentative="1">
      <w:start w:val="1"/>
      <w:numFmt w:val="bullet"/>
      <w:lvlText w:val=""/>
      <w:lvlJc w:val="left"/>
      <w:pPr>
        <w:tabs>
          <w:tab w:val="num" w:pos="4680"/>
        </w:tabs>
        <w:ind w:left="4680" w:hanging="360"/>
      </w:pPr>
      <w:rPr>
        <w:rFonts w:ascii="Symbol" w:hAnsi="Symbol" w:hint="default"/>
      </w:rPr>
    </w:lvl>
    <w:lvl w:ilvl="7" w:tplc="128E4BF0" w:tentative="1">
      <w:start w:val="1"/>
      <w:numFmt w:val="bullet"/>
      <w:lvlText w:val="o"/>
      <w:lvlJc w:val="left"/>
      <w:pPr>
        <w:tabs>
          <w:tab w:val="num" w:pos="5400"/>
        </w:tabs>
        <w:ind w:left="5400" w:hanging="360"/>
      </w:pPr>
      <w:rPr>
        <w:rFonts w:ascii="Courier New" w:hAnsi="Courier New" w:cs="Courier New" w:hint="default"/>
      </w:rPr>
    </w:lvl>
    <w:lvl w:ilvl="8" w:tplc="9A96048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E62E0024">
      <w:start w:val="1"/>
      <w:numFmt w:val="upperLetter"/>
      <w:lvlText w:val="%1."/>
      <w:lvlJc w:val="left"/>
      <w:pPr>
        <w:ind w:left="720" w:hanging="360"/>
      </w:pPr>
      <w:rPr>
        <w:rFonts w:hint="default"/>
        <w:b/>
      </w:rPr>
    </w:lvl>
    <w:lvl w:ilvl="1" w:tplc="A3C65BBA" w:tentative="1">
      <w:start w:val="1"/>
      <w:numFmt w:val="lowerLetter"/>
      <w:lvlText w:val="%2."/>
      <w:lvlJc w:val="left"/>
      <w:pPr>
        <w:ind w:left="1440" w:hanging="360"/>
      </w:pPr>
    </w:lvl>
    <w:lvl w:ilvl="2" w:tplc="72BC2974" w:tentative="1">
      <w:start w:val="1"/>
      <w:numFmt w:val="lowerRoman"/>
      <w:lvlText w:val="%3."/>
      <w:lvlJc w:val="right"/>
      <w:pPr>
        <w:ind w:left="2160" w:hanging="180"/>
      </w:pPr>
    </w:lvl>
    <w:lvl w:ilvl="3" w:tplc="C050381E" w:tentative="1">
      <w:start w:val="1"/>
      <w:numFmt w:val="decimal"/>
      <w:lvlText w:val="%4."/>
      <w:lvlJc w:val="left"/>
      <w:pPr>
        <w:ind w:left="2880" w:hanging="360"/>
      </w:pPr>
    </w:lvl>
    <w:lvl w:ilvl="4" w:tplc="3E3E3FD0" w:tentative="1">
      <w:start w:val="1"/>
      <w:numFmt w:val="lowerLetter"/>
      <w:lvlText w:val="%5."/>
      <w:lvlJc w:val="left"/>
      <w:pPr>
        <w:ind w:left="3600" w:hanging="360"/>
      </w:pPr>
    </w:lvl>
    <w:lvl w:ilvl="5" w:tplc="61A6B722" w:tentative="1">
      <w:start w:val="1"/>
      <w:numFmt w:val="lowerRoman"/>
      <w:lvlText w:val="%6."/>
      <w:lvlJc w:val="right"/>
      <w:pPr>
        <w:ind w:left="4320" w:hanging="180"/>
      </w:pPr>
    </w:lvl>
    <w:lvl w:ilvl="6" w:tplc="4A169EB2" w:tentative="1">
      <w:start w:val="1"/>
      <w:numFmt w:val="decimal"/>
      <w:lvlText w:val="%7."/>
      <w:lvlJc w:val="left"/>
      <w:pPr>
        <w:ind w:left="5040" w:hanging="360"/>
      </w:pPr>
    </w:lvl>
    <w:lvl w:ilvl="7" w:tplc="AB16E128" w:tentative="1">
      <w:start w:val="1"/>
      <w:numFmt w:val="lowerLetter"/>
      <w:lvlText w:val="%8."/>
      <w:lvlJc w:val="left"/>
      <w:pPr>
        <w:ind w:left="5760" w:hanging="360"/>
      </w:pPr>
    </w:lvl>
    <w:lvl w:ilvl="8" w:tplc="79763B74" w:tentative="1">
      <w:start w:val="1"/>
      <w:numFmt w:val="lowerRoman"/>
      <w:lvlText w:val="%9."/>
      <w:lvlJc w:val="right"/>
      <w:pPr>
        <w:ind w:left="6480" w:hanging="180"/>
      </w:pPr>
    </w:lvl>
  </w:abstractNum>
  <w:abstractNum w:abstractNumId="4" w15:restartNumberingAfterBreak="0">
    <w:nsid w:val="07AF6289"/>
    <w:multiLevelType w:val="hybridMultilevel"/>
    <w:tmpl w:val="4B6610B4"/>
    <w:lvl w:ilvl="0" w:tplc="F9BA0100">
      <w:start w:val="1"/>
      <w:numFmt w:val="upperLetter"/>
      <w:lvlText w:val="%1."/>
      <w:lvlJc w:val="left"/>
      <w:pPr>
        <w:ind w:left="577" w:hanging="450"/>
      </w:pPr>
      <w:rPr>
        <w:rFonts w:hint="default"/>
      </w:rPr>
    </w:lvl>
    <w:lvl w:ilvl="1" w:tplc="9420F8BC">
      <w:start w:val="1"/>
      <w:numFmt w:val="decimal"/>
      <w:lvlText w:val="%2."/>
      <w:lvlJc w:val="left"/>
      <w:pPr>
        <w:ind w:left="1417" w:hanging="570"/>
      </w:pPr>
      <w:rPr>
        <w:rFonts w:hint="default"/>
      </w:rPr>
    </w:lvl>
    <w:lvl w:ilvl="2" w:tplc="0916F13C" w:tentative="1">
      <w:start w:val="1"/>
      <w:numFmt w:val="lowerRoman"/>
      <w:lvlText w:val="%3."/>
      <w:lvlJc w:val="right"/>
      <w:pPr>
        <w:ind w:left="1927" w:hanging="180"/>
      </w:pPr>
    </w:lvl>
    <w:lvl w:ilvl="3" w:tplc="1DE07706" w:tentative="1">
      <w:start w:val="1"/>
      <w:numFmt w:val="decimal"/>
      <w:lvlText w:val="%4."/>
      <w:lvlJc w:val="left"/>
      <w:pPr>
        <w:ind w:left="2647" w:hanging="360"/>
      </w:pPr>
    </w:lvl>
    <w:lvl w:ilvl="4" w:tplc="BB16AEFC" w:tentative="1">
      <w:start w:val="1"/>
      <w:numFmt w:val="lowerLetter"/>
      <w:lvlText w:val="%5."/>
      <w:lvlJc w:val="left"/>
      <w:pPr>
        <w:ind w:left="3367" w:hanging="360"/>
      </w:pPr>
    </w:lvl>
    <w:lvl w:ilvl="5" w:tplc="69988040" w:tentative="1">
      <w:start w:val="1"/>
      <w:numFmt w:val="lowerRoman"/>
      <w:lvlText w:val="%6."/>
      <w:lvlJc w:val="right"/>
      <w:pPr>
        <w:ind w:left="4087" w:hanging="180"/>
      </w:pPr>
    </w:lvl>
    <w:lvl w:ilvl="6" w:tplc="80908940" w:tentative="1">
      <w:start w:val="1"/>
      <w:numFmt w:val="decimal"/>
      <w:lvlText w:val="%7."/>
      <w:lvlJc w:val="left"/>
      <w:pPr>
        <w:ind w:left="4807" w:hanging="360"/>
      </w:pPr>
    </w:lvl>
    <w:lvl w:ilvl="7" w:tplc="D94E3522" w:tentative="1">
      <w:start w:val="1"/>
      <w:numFmt w:val="lowerLetter"/>
      <w:lvlText w:val="%8."/>
      <w:lvlJc w:val="left"/>
      <w:pPr>
        <w:ind w:left="5527" w:hanging="360"/>
      </w:pPr>
    </w:lvl>
    <w:lvl w:ilvl="8" w:tplc="C9D0B12C" w:tentative="1">
      <w:start w:val="1"/>
      <w:numFmt w:val="lowerRoman"/>
      <w:lvlText w:val="%9."/>
      <w:lvlJc w:val="right"/>
      <w:pPr>
        <w:ind w:left="6247" w:hanging="180"/>
      </w:pPr>
    </w:lvl>
  </w:abstractNum>
  <w:abstractNum w:abstractNumId="5" w15:restartNumberingAfterBreak="0">
    <w:nsid w:val="09C44CC1"/>
    <w:multiLevelType w:val="hybridMultilevel"/>
    <w:tmpl w:val="7FF2C56E"/>
    <w:lvl w:ilvl="0" w:tplc="1BB687A4">
      <w:start w:val="1"/>
      <w:numFmt w:val="bullet"/>
      <w:lvlText w:val=""/>
      <w:lvlJc w:val="left"/>
      <w:pPr>
        <w:tabs>
          <w:tab w:val="num" w:pos="720"/>
        </w:tabs>
        <w:ind w:left="720" w:hanging="360"/>
      </w:pPr>
      <w:rPr>
        <w:rFonts w:ascii="Symbol" w:hAnsi="Symbol" w:hint="default"/>
      </w:rPr>
    </w:lvl>
    <w:lvl w:ilvl="1" w:tplc="FE56EB92" w:tentative="1">
      <w:start w:val="1"/>
      <w:numFmt w:val="bullet"/>
      <w:lvlText w:val="o"/>
      <w:lvlJc w:val="left"/>
      <w:pPr>
        <w:tabs>
          <w:tab w:val="num" w:pos="1440"/>
        </w:tabs>
        <w:ind w:left="1440" w:hanging="360"/>
      </w:pPr>
      <w:rPr>
        <w:rFonts w:ascii="Courier New" w:hAnsi="Courier New" w:cs="Courier New" w:hint="default"/>
      </w:rPr>
    </w:lvl>
    <w:lvl w:ilvl="2" w:tplc="C8B45374" w:tentative="1">
      <w:start w:val="1"/>
      <w:numFmt w:val="bullet"/>
      <w:lvlText w:val=""/>
      <w:lvlJc w:val="left"/>
      <w:pPr>
        <w:tabs>
          <w:tab w:val="num" w:pos="2160"/>
        </w:tabs>
        <w:ind w:left="2160" w:hanging="360"/>
      </w:pPr>
      <w:rPr>
        <w:rFonts w:ascii="Wingdings" w:hAnsi="Wingdings" w:hint="default"/>
      </w:rPr>
    </w:lvl>
    <w:lvl w:ilvl="3" w:tplc="F93C2A96" w:tentative="1">
      <w:start w:val="1"/>
      <w:numFmt w:val="bullet"/>
      <w:lvlText w:val=""/>
      <w:lvlJc w:val="left"/>
      <w:pPr>
        <w:tabs>
          <w:tab w:val="num" w:pos="2880"/>
        </w:tabs>
        <w:ind w:left="2880" w:hanging="360"/>
      </w:pPr>
      <w:rPr>
        <w:rFonts w:ascii="Symbol" w:hAnsi="Symbol" w:hint="default"/>
      </w:rPr>
    </w:lvl>
    <w:lvl w:ilvl="4" w:tplc="3FDC5270" w:tentative="1">
      <w:start w:val="1"/>
      <w:numFmt w:val="bullet"/>
      <w:lvlText w:val="o"/>
      <w:lvlJc w:val="left"/>
      <w:pPr>
        <w:tabs>
          <w:tab w:val="num" w:pos="3600"/>
        </w:tabs>
        <w:ind w:left="3600" w:hanging="360"/>
      </w:pPr>
      <w:rPr>
        <w:rFonts w:ascii="Courier New" w:hAnsi="Courier New" w:cs="Courier New" w:hint="default"/>
      </w:rPr>
    </w:lvl>
    <w:lvl w:ilvl="5" w:tplc="19287D1E" w:tentative="1">
      <w:start w:val="1"/>
      <w:numFmt w:val="bullet"/>
      <w:lvlText w:val=""/>
      <w:lvlJc w:val="left"/>
      <w:pPr>
        <w:tabs>
          <w:tab w:val="num" w:pos="4320"/>
        </w:tabs>
        <w:ind w:left="4320" w:hanging="360"/>
      </w:pPr>
      <w:rPr>
        <w:rFonts w:ascii="Wingdings" w:hAnsi="Wingdings" w:hint="default"/>
      </w:rPr>
    </w:lvl>
    <w:lvl w:ilvl="6" w:tplc="62560AE8" w:tentative="1">
      <w:start w:val="1"/>
      <w:numFmt w:val="bullet"/>
      <w:lvlText w:val=""/>
      <w:lvlJc w:val="left"/>
      <w:pPr>
        <w:tabs>
          <w:tab w:val="num" w:pos="5040"/>
        </w:tabs>
        <w:ind w:left="5040" w:hanging="360"/>
      </w:pPr>
      <w:rPr>
        <w:rFonts w:ascii="Symbol" w:hAnsi="Symbol" w:hint="default"/>
      </w:rPr>
    </w:lvl>
    <w:lvl w:ilvl="7" w:tplc="DE82BAA8" w:tentative="1">
      <w:start w:val="1"/>
      <w:numFmt w:val="bullet"/>
      <w:lvlText w:val="o"/>
      <w:lvlJc w:val="left"/>
      <w:pPr>
        <w:tabs>
          <w:tab w:val="num" w:pos="5760"/>
        </w:tabs>
        <w:ind w:left="5760" w:hanging="360"/>
      </w:pPr>
      <w:rPr>
        <w:rFonts w:ascii="Courier New" w:hAnsi="Courier New" w:cs="Courier New" w:hint="default"/>
      </w:rPr>
    </w:lvl>
    <w:lvl w:ilvl="8" w:tplc="32D0C8B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94841A58">
      <w:start w:val="1"/>
      <w:numFmt w:val="decimal"/>
      <w:lvlText w:val="%1."/>
      <w:lvlJc w:val="left"/>
      <w:pPr>
        <w:ind w:left="1080" w:hanging="720"/>
      </w:pPr>
      <w:rPr>
        <w:rFonts w:hint="default"/>
      </w:rPr>
    </w:lvl>
    <w:lvl w:ilvl="1" w:tplc="F1C6F068" w:tentative="1">
      <w:start w:val="1"/>
      <w:numFmt w:val="lowerLetter"/>
      <w:lvlText w:val="%2."/>
      <w:lvlJc w:val="left"/>
      <w:pPr>
        <w:ind w:left="1440" w:hanging="360"/>
      </w:pPr>
    </w:lvl>
    <w:lvl w:ilvl="2" w:tplc="696CB3DA" w:tentative="1">
      <w:start w:val="1"/>
      <w:numFmt w:val="lowerRoman"/>
      <w:lvlText w:val="%3."/>
      <w:lvlJc w:val="right"/>
      <w:pPr>
        <w:ind w:left="2160" w:hanging="180"/>
      </w:pPr>
    </w:lvl>
    <w:lvl w:ilvl="3" w:tplc="5B483C4C" w:tentative="1">
      <w:start w:val="1"/>
      <w:numFmt w:val="decimal"/>
      <w:lvlText w:val="%4."/>
      <w:lvlJc w:val="left"/>
      <w:pPr>
        <w:ind w:left="2880" w:hanging="360"/>
      </w:pPr>
    </w:lvl>
    <w:lvl w:ilvl="4" w:tplc="8E082C7C" w:tentative="1">
      <w:start w:val="1"/>
      <w:numFmt w:val="lowerLetter"/>
      <w:lvlText w:val="%5."/>
      <w:lvlJc w:val="left"/>
      <w:pPr>
        <w:ind w:left="3600" w:hanging="360"/>
      </w:pPr>
    </w:lvl>
    <w:lvl w:ilvl="5" w:tplc="F566F756" w:tentative="1">
      <w:start w:val="1"/>
      <w:numFmt w:val="lowerRoman"/>
      <w:lvlText w:val="%6."/>
      <w:lvlJc w:val="right"/>
      <w:pPr>
        <w:ind w:left="4320" w:hanging="180"/>
      </w:pPr>
    </w:lvl>
    <w:lvl w:ilvl="6" w:tplc="540A5AE0" w:tentative="1">
      <w:start w:val="1"/>
      <w:numFmt w:val="decimal"/>
      <w:lvlText w:val="%7."/>
      <w:lvlJc w:val="left"/>
      <w:pPr>
        <w:ind w:left="5040" w:hanging="360"/>
      </w:pPr>
    </w:lvl>
    <w:lvl w:ilvl="7" w:tplc="B106D7D4" w:tentative="1">
      <w:start w:val="1"/>
      <w:numFmt w:val="lowerLetter"/>
      <w:lvlText w:val="%8."/>
      <w:lvlJc w:val="left"/>
      <w:pPr>
        <w:ind w:left="5760" w:hanging="360"/>
      </w:pPr>
    </w:lvl>
    <w:lvl w:ilvl="8" w:tplc="968E664E" w:tentative="1">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1F6CC244">
      <w:start w:val="1"/>
      <w:numFmt w:val="decimal"/>
      <w:lvlText w:val="%1."/>
      <w:lvlJc w:val="left"/>
      <w:pPr>
        <w:ind w:left="780" w:hanging="420"/>
      </w:pPr>
      <w:rPr>
        <w:rFonts w:hint="default"/>
      </w:rPr>
    </w:lvl>
    <w:lvl w:ilvl="1" w:tplc="3EFCC5E6" w:tentative="1">
      <w:start w:val="1"/>
      <w:numFmt w:val="lowerLetter"/>
      <w:lvlText w:val="%2."/>
      <w:lvlJc w:val="left"/>
      <w:pPr>
        <w:ind w:left="1440" w:hanging="360"/>
      </w:pPr>
    </w:lvl>
    <w:lvl w:ilvl="2" w:tplc="7ACC5C30" w:tentative="1">
      <w:start w:val="1"/>
      <w:numFmt w:val="lowerRoman"/>
      <w:lvlText w:val="%3."/>
      <w:lvlJc w:val="right"/>
      <w:pPr>
        <w:ind w:left="2160" w:hanging="180"/>
      </w:pPr>
    </w:lvl>
    <w:lvl w:ilvl="3" w:tplc="1046BA76" w:tentative="1">
      <w:start w:val="1"/>
      <w:numFmt w:val="decimal"/>
      <w:lvlText w:val="%4."/>
      <w:lvlJc w:val="left"/>
      <w:pPr>
        <w:ind w:left="2880" w:hanging="360"/>
      </w:pPr>
    </w:lvl>
    <w:lvl w:ilvl="4" w:tplc="F2D2136A" w:tentative="1">
      <w:start w:val="1"/>
      <w:numFmt w:val="lowerLetter"/>
      <w:lvlText w:val="%5."/>
      <w:lvlJc w:val="left"/>
      <w:pPr>
        <w:ind w:left="3600" w:hanging="360"/>
      </w:pPr>
    </w:lvl>
    <w:lvl w:ilvl="5" w:tplc="273ECFEE" w:tentative="1">
      <w:start w:val="1"/>
      <w:numFmt w:val="lowerRoman"/>
      <w:lvlText w:val="%6."/>
      <w:lvlJc w:val="right"/>
      <w:pPr>
        <w:ind w:left="4320" w:hanging="180"/>
      </w:pPr>
    </w:lvl>
    <w:lvl w:ilvl="6" w:tplc="78F83238" w:tentative="1">
      <w:start w:val="1"/>
      <w:numFmt w:val="decimal"/>
      <w:lvlText w:val="%7."/>
      <w:lvlJc w:val="left"/>
      <w:pPr>
        <w:ind w:left="5040" w:hanging="360"/>
      </w:pPr>
    </w:lvl>
    <w:lvl w:ilvl="7" w:tplc="1BC6DBB0" w:tentative="1">
      <w:start w:val="1"/>
      <w:numFmt w:val="lowerLetter"/>
      <w:lvlText w:val="%8."/>
      <w:lvlJc w:val="left"/>
      <w:pPr>
        <w:ind w:left="5760" w:hanging="360"/>
      </w:pPr>
    </w:lvl>
    <w:lvl w:ilvl="8" w:tplc="9664EA3A" w:tentative="1">
      <w:start w:val="1"/>
      <w:numFmt w:val="lowerRoman"/>
      <w:lvlText w:val="%9."/>
      <w:lvlJc w:val="right"/>
      <w:pPr>
        <w:ind w:left="6480" w:hanging="180"/>
      </w:pPr>
    </w:lvl>
  </w:abstractNum>
  <w:abstractNum w:abstractNumId="9" w15:restartNumberingAfterBreak="0">
    <w:nsid w:val="2DC110E1"/>
    <w:multiLevelType w:val="hybridMultilevel"/>
    <w:tmpl w:val="22EE80EE"/>
    <w:lvl w:ilvl="0" w:tplc="735ACC8A">
      <w:start w:val="1"/>
      <w:numFmt w:val="bullet"/>
      <w:lvlText w:val="-"/>
      <w:lvlJc w:val="left"/>
      <w:pPr>
        <w:ind w:left="720" w:hanging="360"/>
      </w:pPr>
      <w:rPr>
        <w:rFonts w:ascii="Times New Roman" w:eastAsia="Times New Roman" w:hAnsi="Times New Roman" w:cs="Times New Roman" w:hint="default"/>
      </w:rPr>
    </w:lvl>
    <w:lvl w:ilvl="1" w:tplc="80D29DEA" w:tentative="1">
      <w:start w:val="1"/>
      <w:numFmt w:val="bullet"/>
      <w:lvlText w:val="o"/>
      <w:lvlJc w:val="left"/>
      <w:pPr>
        <w:ind w:left="1440" w:hanging="360"/>
      </w:pPr>
      <w:rPr>
        <w:rFonts w:ascii="Courier New" w:hAnsi="Courier New" w:cs="Courier New" w:hint="default"/>
      </w:rPr>
    </w:lvl>
    <w:lvl w:ilvl="2" w:tplc="B588B840" w:tentative="1">
      <w:start w:val="1"/>
      <w:numFmt w:val="bullet"/>
      <w:lvlText w:val=""/>
      <w:lvlJc w:val="left"/>
      <w:pPr>
        <w:ind w:left="2160" w:hanging="360"/>
      </w:pPr>
      <w:rPr>
        <w:rFonts w:ascii="Wingdings" w:hAnsi="Wingdings" w:hint="default"/>
      </w:rPr>
    </w:lvl>
    <w:lvl w:ilvl="3" w:tplc="28C0C3DA" w:tentative="1">
      <w:start w:val="1"/>
      <w:numFmt w:val="bullet"/>
      <w:lvlText w:val=""/>
      <w:lvlJc w:val="left"/>
      <w:pPr>
        <w:ind w:left="2880" w:hanging="360"/>
      </w:pPr>
      <w:rPr>
        <w:rFonts w:ascii="Symbol" w:hAnsi="Symbol" w:hint="default"/>
      </w:rPr>
    </w:lvl>
    <w:lvl w:ilvl="4" w:tplc="2DE4E904" w:tentative="1">
      <w:start w:val="1"/>
      <w:numFmt w:val="bullet"/>
      <w:lvlText w:val="o"/>
      <w:lvlJc w:val="left"/>
      <w:pPr>
        <w:ind w:left="3600" w:hanging="360"/>
      </w:pPr>
      <w:rPr>
        <w:rFonts w:ascii="Courier New" w:hAnsi="Courier New" w:cs="Courier New" w:hint="default"/>
      </w:rPr>
    </w:lvl>
    <w:lvl w:ilvl="5" w:tplc="E766C6A4" w:tentative="1">
      <w:start w:val="1"/>
      <w:numFmt w:val="bullet"/>
      <w:lvlText w:val=""/>
      <w:lvlJc w:val="left"/>
      <w:pPr>
        <w:ind w:left="4320" w:hanging="360"/>
      </w:pPr>
      <w:rPr>
        <w:rFonts w:ascii="Wingdings" w:hAnsi="Wingdings" w:hint="default"/>
      </w:rPr>
    </w:lvl>
    <w:lvl w:ilvl="6" w:tplc="F3385002" w:tentative="1">
      <w:start w:val="1"/>
      <w:numFmt w:val="bullet"/>
      <w:lvlText w:val=""/>
      <w:lvlJc w:val="left"/>
      <w:pPr>
        <w:ind w:left="5040" w:hanging="360"/>
      </w:pPr>
      <w:rPr>
        <w:rFonts w:ascii="Symbol" w:hAnsi="Symbol" w:hint="default"/>
      </w:rPr>
    </w:lvl>
    <w:lvl w:ilvl="7" w:tplc="AB045A9C" w:tentative="1">
      <w:start w:val="1"/>
      <w:numFmt w:val="bullet"/>
      <w:lvlText w:val="o"/>
      <w:lvlJc w:val="left"/>
      <w:pPr>
        <w:ind w:left="5760" w:hanging="360"/>
      </w:pPr>
      <w:rPr>
        <w:rFonts w:ascii="Courier New" w:hAnsi="Courier New" w:cs="Courier New" w:hint="default"/>
      </w:rPr>
    </w:lvl>
    <w:lvl w:ilvl="8" w:tplc="9588F390"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91EEE74C">
      <w:start w:val="1"/>
      <w:numFmt w:val="bullet"/>
      <w:lvlText w:val=""/>
      <w:lvlJc w:val="left"/>
      <w:pPr>
        <w:tabs>
          <w:tab w:val="num" w:pos="397"/>
        </w:tabs>
        <w:ind w:left="397" w:hanging="397"/>
      </w:pPr>
      <w:rPr>
        <w:rFonts w:ascii="Symbol" w:hAnsi="Symbol" w:hint="default"/>
      </w:rPr>
    </w:lvl>
    <w:lvl w:ilvl="1" w:tplc="E3967030" w:tentative="1">
      <w:start w:val="1"/>
      <w:numFmt w:val="bullet"/>
      <w:lvlText w:val="o"/>
      <w:lvlJc w:val="left"/>
      <w:pPr>
        <w:tabs>
          <w:tab w:val="num" w:pos="1440"/>
        </w:tabs>
        <w:ind w:left="1440" w:hanging="360"/>
      </w:pPr>
      <w:rPr>
        <w:rFonts w:ascii="Courier New" w:hAnsi="Courier New" w:cs="Courier New" w:hint="default"/>
      </w:rPr>
    </w:lvl>
    <w:lvl w:ilvl="2" w:tplc="80747C50" w:tentative="1">
      <w:start w:val="1"/>
      <w:numFmt w:val="bullet"/>
      <w:lvlText w:val=""/>
      <w:lvlJc w:val="left"/>
      <w:pPr>
        <w:tabs>
          <w:tab w:val="num" w:pos="2160"/>
        </w:tabs>
        <w:ind w:left="2160" w:hanging="360"/>
      </w:pPr>
      <w:rPr>
        <w:rFonts w:ascii="Wingdings" w:hAnsi="Wingdings" w:hint="default"/>
      </w:rPr>
    </w:lvl>
    <w:lvl w:ilvl="3" w:tplc="AFFA86F6" w:tentative="1">
      <w:start w:val="1"/>
      <w:numFmt w:val="bullet"/>
      <w:lvlText w:val=""/>
      <w:lvlJc w:val="left"/>
      <w:pPr>
        <w:tabs>
          <w:tab w:val="num" w:pos="2880"/>
        </w:tabs>
        <w:ind w:left="2880" w:hanging="360"/>
      </w:pPr>
      <w:rPr>
        <w:rFonts w:ascii="Symbol" w:hAnsi="Symbol" w:hint="default"/>
      </w:rPr>
    </w:lvl>
    <w:lvl w:ilvl="4" w:tplc="05EED5CC" w:tentative="1">
      <w:start w:val="1"/>
      <w:numFmt w:val="bullet"/>
      <w:lvlText w:val="o"/>
      <w:lvlJc w:val="left"/>
      <w:pPr>
        <w:tabs>
          <w:tab w:val="num" w:pos="3600"/>
        </w:tabs>
        <w:ind w:left="3600" w:hanging="360"/>
      </w:pPr>
      <w:rPr>
        <w:rFonts w:ascii="Courier New" w:hAnsi="Courier New" w:cs="Courier New" w:hint="default"/>
      </w:rPr>
    </w:lvl>
    <w:lvl w:ilvl="5" w:tplc="6E5050D4" w:tentative="1">
      <w:start w:val="1"/>
      <w:numFmt w:val="bullet"/>
      <w:lvlText w:val=""/>
      <w:lvlJc w:val="left"/>
      <w:pPr>
        <w:tabs>
          <w:tab w:val="num" w:pos="4320"/>
        </w:tabs>
        <w:ind w:left="4320" w:hanging="360"/>
      </w:pPr>
      <w:rPr>
        <w:rFonts w:ascii="Wingdings" w:hAnsi="Wingdings" w:hint="default"/>
      </w:rPr>
    </w:lvl>
    <w:lvl w:ilvl="6" w:tplc="61F2F2F4" w:tentative="1">
      <w:start w:val="1"/>
      <w:numFmt w:val="bullet"/>
      <w:lvlText w:val=""/>
      <w:lvlJc w:val="left"/>
      <w:pPr>
        <w:tabs>
          <w:tab w:val="num" w:pos="5040"/>
        </w:tabs>
        <w:ind w:left="5040" w:hanging="360"/>
      </w:pPr>
      <w:rPr>
        <w:rFonts w:ascii="Symbol" w:hAnsi="Symbol" w:hint="default"/>
      </w:rPr>
    </w:lvl>
    <w:lvl w:ilvl="7" w:tplc="0B145A50" w:tentative="1">
      <w:start w:val="1"/>
      <w:numFmt w:val="bullet"/>
      <w:lvlText w:val="o"/>
      <w:lvlJc w:val="left"/>
      <w:pPr>
        <w:tabs>
          <w:tab w:val="num" w:pos="5760"/>
        </w:tabs>
        <w:ind w:left="5760" w:hanging="360"/>
      </w:pPr>
      <w:rPr>
        <w:rFonts w:ascii="Courier New" w:hAnsi="Courier New" w:cs="Courier New" w:hint="default"/>
      </w:rPr>
    </w:lvl>
    <w:lvl w:ilvl="8" w:tplc="07B8617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D78C9AC2">
      <w:start w:val="1"/>
      <w:numFmt w:val="decimal"/>
      <w:lvlText w:val="%1."/>
      <w:lvlJc w:val="left"/>
      <w:pPr>
        <w:tabs>
          <w:tab w:val="num" w:pos="570"/>
        </w:tabs>
        <w:ind w:left="570" w:hanging="570"/>
      </w:pPr>
      <w:rPr>
        <w:rFonts w:hint="default"/>
      </w:rPr>
    </w:lvl>
    <w:lvl w:ilvl="1" w:tplc="A95CD63A" w:tentative="1">
      <w:start w:val="1"/>
      <w:numFmt w:val="lowerLetter"/>
      <w:lvlText w:val="%2."/>
      <w:lvlJc w:val="left"/>
      <w:pPr>
        <w:tabs>
          <w:tab w:val="num" w:pos="1080"/>
        </w:tabs>
        <w:ind w:left="1080" w:hanging="360"/>
      </w:pPr>
    </w:lvl>
    <w:lvl w:ilvl="2" w:tplc="26EECFC6" w:tentative="1">
      <w:start w:val="1"/>
      <w:numFmt w:val="lowerRoman"/>
      <w:lvlText w:val="%3."/>
      <w:lvlJc w:val="right"/>
      <w:pPr>
        <w:tabs>
          <w:tab w:val="num" w:pos="1800"/>
        </w:tabs>
        <w:ind w:left="1800" w:hanging="180"/>
      </w:pPr>
    </w:lvl>
    <w:lvl w:ilvl="3" w:tplc="9FDE79DC" w:tentative="1">
      <w:start w:val="1"/>
      <w:numFmt w:val="decimal"/>
      <w:lvlText w:val="%4."/>
      <w:lvlJc w:val="left"/>
      <w:pPr>
        <w:tabs>
          <w:tab w:val="num" w:pos="2520"/>
        </w:tabs>
        <w:ind w:left="2520" w:hanging="360"/>
      </w:pPr>
    </w:lvl>
    <w:lvl w:ilvl="4" w:tplc="5A7A6E5C" w:tentative="1">
      <w:start w:val="1"/>
      <w:numFmt w:val="lowerLetter"/>
      <w:lvlText w:val="%5."/>
      <w:lvlJc w:val="left"/>
      <w:pPr>
        <w:tabs>
          <w:tab w:val="num" w:pos="3240"/>
        </w:tabs>
        <w:ind w:left="3240" w:hanging="360"/>
      </w:pPr>
    </w:lvl>
    <w:lvl w:ilvl="5" w:tplc="40AEE7C4" w:tentative="1">
      <w:start w:val="1"/>
      <w:numFmt w:val="lowerRoman"/>
      <w:lvlText w:val="%6."/>
      <w:lvlJc w:val="right"/>
      <w:pPr>
        <w:tabs>
          <w:tab w:val="num" w:pos="3960"/>
        </w:tabs>
        <w:ind w:left="3960" w:hanging="180"/>
      </w:pPr>
    </w:lvl>
    <w:lvl w:ilvl="6" w:tplc="CFF0C318" w:tentative="1">
      <w:start w:val="1"/>
      <w:numFmt w:val="decimal"/>
      <w:lvlText w:val="%7."/>
      <w:lvlJc w:val="left"/>
      <w:pPr>
        <w:tabs>
          <w:tab w:val="num" w:pos="4680"/>
        </w:tabs>
        <w:ind w:left="4680" w:hanging="360"/>
      </w:pPr>
    </w:lvl>
    <w:lvl w:ilvl="7" w:tplc="27D8E7DA" w:tentative="1">
      <w:start w:val="1"/>
      <w:numFmt w:val="lowerLetter"/>
      <w:lvlText w:val="%8."/>
      <w:lvlJc w:val="left"/>
      <w:pPr>
        <w:tabs>
          <w:tab w:val="num" w:pos="5400"/>
        </w:tabs>
        <w:ind w:left="5400" w:hanging="360"/>
      </w:pPr>
    </w:lvl>
    <w:lvl w:ilvl="8" w:tplc="200A8F0C"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73C2469"/>
    <w:multiLevelType w:val="hybridMultilevel"/>
    <w:tmpl w:val="456CC54A"/>
    <w:lvl w:ilvl="0" w:tplc="BA587C8E">
      <w:start w:val="18"/>
      <w:numFmt w:val="decimal"/>
      <w:lvlText w:val="%1"/>
      <w:lvlJc w:val="left"/>
      <w:pPr>
        <w:ind w:left="360" w:hanging="360"/>
      </w:pPr>
      <w:rPr>
        <w:rFonts w:hint="default"/>
      </w:rPr>
    </w:lvl>
    <w:lvl w:ilvl="1" w:tplc="EE328446" w:tentative="1">
      <w:start w:val="1"/>
      <w:numFmt w:val="lowerLetter"/>
      <w:lvlText w:val="%2."/>
      <w:lvlJc w:val="left"/>
      <w:pPr>
        <w:ind w:left="1080" w:hanging="360"/>
      </w:pPr>
    </w:lvl>
    <w:lvl w:ilvl="2" w:tplc="D07001EE" w:tentative="1">
      <w:start w:val="1"/>
      <w:numFmt w:val="lowerRoman"/>
      <w:lvlText w:val="%3."/>
      <w:lvlJc w:val="right"/>
      <w:pPr>
        <w:ind w:left="1800" w:hanging="180"/>
      </w:pPr>
    </w:lvl>
    <w:lvl w:ilvl="3" w:tplc="4DC4C080" w:tentative="1">
      <w:start w:val="1"/>
      <w:numFmt w:val="decimal"/>
      <w:lvlText w:val="%4."/>
      <w:lvlJc w:val="left"/>
      <w:pPr>
        <w:ind w:left="2520" w:hanging="360"/>
      </w:pPr>
    </w:lvl>
    <w:lvl w:ilvl="4" w:tplc="72CC9264" w:tentative="1">
      <w:start w:val="1"/>
      <w:numFmt w:val="lowerLetter"/>
      <w:lvlText w:val="%5."/>
      <w:lvlJc w:val="left"/>
      <w:pPr>
        <w:ind w:left="3240" w:hanging="360"/>
      </w:pPr>
    </w:lvl>
    <w:lvl w:ilvl="5" w:tplc="9E383E8E" w:tentative="1">
      <w:start w:val="1"/>
      <w:numFmt w:val="lowerRoman"/>
      <w:lvlText w:val="%6."/>
      <w:lvlJc w:val="right"/>
      <w:pPr>
        <w:ind w:left="3960" w:hanging="180"/>
      </w:pPr>
    </w:lvl>
    <w:lvl w:ilvl="6" w:tplc="5E6247E8" w:tentative="1">
      <w:start w:val="1"/>
      <w:numFmt w:val="decimal"/>
      <w:lvlText w:val="%7."/>
      <w:lvlJc w:val="left"/>
      <w:pPr>
        <w:ind w:left="4680" w:hanging="360"/>
      </w:pPr>
    </w:lvl>
    <w:lvl w:ilvl="7" w:tplc="1FD225D2" w:tentative="1">
      <w:start w:val="1"/>
      <w:numFmt w:val="lowerLetter"/>
      <w:lvlText w:val="%8."/>
      <w:lvlJc w:val="left"/>
      <w:pPr>
        <w:ind w:left="5400" w:hanging="360"/>
      </w:pPr>
    </w:lvl>
    <w:lvl w:ilvl="8" w:tplc="70D4F7EC" w:tentative="1">
      <w:start w:val="1"/>
      <w:numFmt w:val="lowerRoman"/>
      <w:lvlText w:val="%9."/>
      <w:lvlJc w:val="right"/>
      <w:pPr>
        <w:ind w:left="6120" w:hanging="180"/>
      </w:pPr>
    </w:lvl>
  </w:abstractNum>
  <w:abstractNum w:abstractNumId="14" w15:restartNumberingAfterBreak="0">
    <w:nsid w:val="3B8C3C56"/>
    <w:multiLevelType w:val="hybridMultilevel"/>
    <w:tmpl w:val="BFBE97F2"/>
    <w:lvl w:ilvl="0" w:tplc="729C4126">
      <w:start w:val="1"/>
      <w:numFmt w:val="decimal"/>
      <w:lvlText w:val="%1."/>
      <w:lvlJc w:val="left"/>
      <w:pPr>
        <w:ind w:left="720" w:hanging="360"/>
      </w:pPr>
    </w:lvl>
    <w:lvl w:ilvl="1" w:tplc="BAB2F748" w:tentative="1">
      <w:start w:val="1"/>
      <w:numFmt w:val="lowerLetter"/>
      <w:lvlText w:val="%2."/>
      <w:lvlJc w:val="left"/>
      <w:pPr>
        <w:ind w:left="1440" w:hanging="360"/>
      </w:pPr>
    </w:lvl>
    <w:lvl w:ilvl="2" w:tplc="20D4EF82" w:tentative="1">
      <w:start w:val="1"/>
      <w:numFmt w:val="lowerRoman"/>
      <w:lvlText w:val="%3."/>
      <w:lvlJc w:val="right"/>
      <w:pPr>
        <w:ind w:left="2160" w:hanging="180"/>
      </w:pPr>
    </w:lvl>
    <w:lvl w:ilvl="3" w:tplc="17F228B0" w:tentative="1">
      <w:start w:val="1"/>
      <w:numFmt w:val="decimal"/>
      <w:lvlText w:val="%4."/>
      <w:lvlJc w:val="left"/>
      <w:pPr>
        <w:ind w:left="2880" w:hanging="360"/>
      </w:pPr>
    </w:lvl>
    <w:lvl w:ilvl="4" w:tplc="51CC5E88" w:tentative="1">
      <w:start w:val="1"/>
      <w:numFmt w:val="lowerLetter"/>
      <w:lvlText w:val="%5."/>
      <w:lvlJc w:val="left"/>
      <w:pPr>
        <w:ind w:left="3600" w:hanging="360"/>
      </w:pPr>
    </w:lvl>
    <w:lvl w:ilvl="5" w:tplc="11147138" w:tentative="1">
      <w:start w:val="1"/>
      <w:numFmt w:val="lowerRoman"/>
      <w:lvlText w:val="%6."/>
      <w:lvlJc w:val="right"/>
      <w:pPr>
        <w:ind w:left="4320" w:hanging="180"/>
      </w:pPr>
    </w:lvl>
    <w:lvl w:ilvl="6" w:tplc="021C4546" w:tentative="1">
      <w:start w:val="1"/>
      <w:numFmt w:val="decimal"/>
      <w:lvlText w:val="%7."/>
      <w:lvlJc w:val="left"/>
      <w:pPr>
        <w:ind w:left="5040" w:hanging="360"/>
      </w:pPr>
    </w:lvl>
    <w:lvl w:ilvl="7" w:tplc="D99CD970" w:tentative="1">
      <w:start w:val="1"/>
      <w:numFmt w:val="lowerLetter"/>
      <w:lvlText w:val="%8."/>
      <w:lvlJc w:val="left"/>
      <w:pPr>
        <w:ind w:left="5760" w:hanging="360"/>
      </w:pPr>
    </w:lvl>
    <w:lvl w:ilvl="8" w:tplc="603651D2" w:tentative="1">
      <w:start w:val="1"/>
      <w:numFmt w:val="lowerRoman"/>
      <w:lvlText w:val="%9."/>
      <w:lvlJc w:val="right"/>
      <w:pPr>
        <w:ind w:left="6480" w:hanging="180"/>
      </w:pPr>
    </w:lvl>
  </w:abstractNum>
  <w:abstractNum w:abstractNumId="15"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6"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7" w15:restartNumberingAfterBreak="0">
    <w:nsid w:val="53E83375"/>
    <w:multiLevelType w:val="multilevel"/>
    <w:tmpl w:val="18221FCC"/>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8"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9" w15:restartNumberingAfterBreak="0">
    <w:nsid w:val="58B56C73"/>
    <w:multiLevelType w:val="hybridMultilevel"/>
    <w:tmpl w:val="5BA42128"/>
    <w:lvl w:ilvl="0" w:tplc="50D46110">
      <w:start w:val="2"/>
      <w:numFmt w:val="decimal"/>
      <w:lvlText w:val="%1."/>
      <w:lvlJc w:val="left"/>
      <w:pPr>
        <w:tabs>
          <w:tab w:val="num" w:pos="570"/>
        </w:tabs>
        <w:ind w:left="570" w:hanging="570"/>
      </w:pPr>
      <w:rPr>
        <w:rFonts w:hint="default"/>
      </w:rPr>
    </w:lvl>
    <w:lvl w:ilvl="1" w:tplc="20B0620E" w:tentative="1">
      <w:start w:val="1"/>
      <w:numFmt w:val="lowerLetter"/>
      <w:lvlText w:val="%2."/>
      <w:lvlJc w:val="left"/>
      <w:pPr>
        <w:tabs>
          <w:tab w:val="num" w:pos="1080"/>
        </w:tabs>
        <w:ind w:left="1080" w:hanging="360"/>
      </w:pPr>
    </w:lvl>
    <w:lvl w:ilvl="2" w:tplc="24ECF56C" w:tentative="1">
      <w:start w:val="1"/>
      <w:numFmt w:val="lowerRoman"/>
      <w:lvlText w:val="%3."/>
      <w:lvlJc w:val="right"/>
      <w:pPr>
        <w:tabs>
          <w:tab w:val="num" w:pos="1800"/>
        </w:tabs>
        <w:ind w:left="1800" w:hanging="180"/>
      </w:pPr>
    </w:lvl>
    <w:lvl w:ilvl="3" w:tplc="DBE2E51A" w:tentative="1">
      <w:start w:val="1"/>
      <w:numFmt w:val="decimal"/>
      <w:lvlText w:val="%4."/>
      <w:lvlJc w:val="left"/>
      <w:pPr>
        <w:tabs>
          <w:tab w:val="num" w:pos="2520"/>
        </w:tabs>
        <w:ind w:left="2520" w:hanging="360"/>
      </w:pPr>
    </w:lvl>
    <w:lvl w:ilvl="4" w:tplc="A70E5E6C" w:tentative="1">
      <w:start w:val="1"/>
      <w:numFmt w:val="lowerLetter"/>
      <w:lvlText w:val="%5."/>
      <w:lvlJc w:val="left"/>
      <w:pPr>
        <w:tabs>
          <w:tab w:val="num" w:pos="3240"/>
        </w:tabs>
        <w:ind w:left="3240" w:hanging="360"/>
      </w:pPr>
    </w:lvl>
    <w:lvl w:ilvl="5" w:tplc="C13A6E16" w:tentative="1">
      <w:start w:val="1"/>
      <w:numFmt w:val="lowerRoman"/>
      <w:lvlText w:val="%6."/>
      <w:lvlJc w:val="right"/>
      <w:pPr>
        <w:tabs>
          <w:tab w:val="num" w:pos="3960"/>
        </w:tabs>
        <w:ind w:left="3960" w:hanging="180"/>
      </w:pPr>
    </w:lvl>
    <w:lvl w:ilvl="6" w:tplc="99D032F2" w:tentative="1">
      <w:start w:val="1"/>
      <w:numFmt w:val="decimal"/>
      <w:lvlText w:val="%7."/>
      <w:lvlJc w:val="left"/>
      <w:pPr>
        <w:tabs>
          <w:tab w:val="num" w:pos="4680"/>
        </w:tabs>
        <w:ind w:left="4680" w:hanging="360"/>
      </w:pPr>
    </w:lvl>
    <w:lvl w:ilvl="7" w:tplc="DC789598" w:tentative="1">
      <w:start w:val="1"/>
      <w:numFmt w:val="lowerLetter"/>
      <w:lvlText w:val="%8."/>
      <w:lvlJc w:val="left"/>
      <w:pPr>
        <w:tabs>
          <w:tab w:val="num" w:pos="5400"/>
        </w:tabs>
        <w:ind w:left="5400" w:hanging="360"/>
      </w:pPr>
    </w:lvl>
    <w:lvl w:ilvl="8" w:tplc="9146A7A6" w:tentative="1">
      <w:start w:val="1"/>
      <w:numFmt w:val="lowerRoman"/>
      <w:lvlText w:val="%9."/>
      <w:lvlJc w:val="right"/>
      <w:pPr>
        <w:tabs>
          <w:tab w:val="num" w:pos="6120"/>
        </w:tabs>
        <w:ind w:left="6120" w:hanging="180"/>
      </w:pPr>
    </w:lvl>
  </w:abstractNum>
  <w:abstractNum w:abstractNumId="20"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2"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3" w15:restartNumberingAfterBreak="0">
    <w:nsid w:val="69E95A54"/>
    <w:multiLevelType w:val="hybridMultilevel"/>
    <w:tmpl w:val="3C18EFB0"/>
    <w:lvl w:ilvl="0" w:tplc="A6BC2300">
      <w:start w:val="1"/>
      <w:numFmt w:val="bullet"/>
      <w:lvlText w:val=""/>
      <w:lvlJc w:val="left"/>
      <w:pPr>
        <w:tabs>
          <w:tab w:val="num" w:pos="397"/>
        </w:tabs>
        <w:ind w:left="397" w:hanging="397"/>
      </w:pPr>
      <w:rPr>
        <w:rFonts w:ascii="Symbol" w:hAnsi="Symbol" w:hint="default"/>
      </w:rPr>
    </w:lvl>
    <w:lvl w:ilvl="1" w:tplc="10D4092A" w:tentative="1">
      <w:start w:val="1"/>
      <w:numFmt w:val="bullet"/>
      <w:lvlText w:val="o"/>
      <w:lvlJc w:val="left"/>
      <w:pPr>
        <w:tabs>
          <w:tab w:val="num" w:pos="1440"/>
        </w:tabs>
        <w:ind w:left="1440" w:hanging="360"/>
      </w:pPr>
      <w:rPr>
        <w:rFonts w:ascii="Courier New" w:hAnsi="Courier New" w:cs="Courier New" w:hint="default"/>
      </w:rPr>
    </w:lvl>
    <w:lvl w:ilvl="2" w:tplc="12581094" w:tentative="1">
      <w:start w:val="1"/>
      <w:numFmt w:val="bullet"/>
      <w:lvlText w:val=""/>
      <w:lvlJc w:val="left"/>
      <w:pPr>
        <w:tabs>
          <w:tab w:val="num" w:pos="2160"/>
        </w:tabs>
        <w:ind w:left="2160" w:hanging="360"/>
      </w:pPr>
      <w:rPr>
        <w:rFonts w:ascii="Wingdings" w:hAnsi="Wingdings" w:hint="default"/>
      </w:rPr>
    </w:lvl>
    <w:lvl w:ilvl="3" w:tplc="4ECC7F4A" w:tentative="1">
      <w:start w:val="1"/>
      <w:numFmt w:val="bullet"/>
      <w:lvlText w:val=""/>
      <w:lvlJc w:val="left"/>
      <w:pPr>
        <w:tabs>
          <w:tab w:val="num" w:pos="2880"/>
        </w:tabs>
        <w:ind w:left="2880" w:hanging="360"/>
      </w:pPr>
      <w:rPr>
        <w:rFonts w:ascii="Symbol" w:hAnsi="Symbol" w:hint="default"/>
      </w:rPr>
    </w:lvl>
    <w:lvl w:ilvl="4" w:tplc="C9FA117A" w:tentative="1">
      <w:start w:val="1"/>
      <w:numFmt w:val="bullet"/>
      <w:lvlText w:val="o"/>
      <w:lvlJc w:val="left"/>
      <w:pPr>
        <w:tabs>
          <w:tab w:val="num" w:pos="3600"/>
        </w:tabs>
        <w:ind w:left="3600" w:hanging="360"/>
      </w:pPr>
      <w:rPr>
        <w:rFonts w:ascii="Courier New" w:hAnsi="Courier New" w:cs="Courier New" w:hint="default"/>
      </w:rPr>
    </w:lvl>
    <w:lvl w:ilvl="5" w:tplc="E2E62E8A" w:tentative="1">
      <w:start w:val="1"/>
      <w:numFmt w:val="bullet"/>
      <w:lvlText w:val=""/>
      <w:lvlJc w:val="left"/>
      <w:pPr>
        <w:tabs>
          <w:tab w:val="num" w:pos="4320"/>
        </w:tabs>
        <w:ind w:left="4320" w:hanging="360"/>
      </w:pPr>
      <w:rPr>
        <w:rFonts w:ascii="Wingdings" w:hAnsi="Wingdings" w:hint="default"/>
      </w:rPr>
    </w:lvl>
    <w:lvl w:ilvl="6" w:tplc="D43455A8" w:tentative="1">
      <w:start w:val="1"/>
      <w:numFmt w:val="bullet"/>
      <w:lvlText w:val=""/>
      <w:lvlJc w:val="left"/>
      <w:pPr>
        <w:tabs>
          <w:tab w:val="num" w:pos="5040"/>
        </w:tabs>
        <w:ind w:left="5040" w:hanging="360"/>
      </w:pPr>
      <w:rPr>
        <w:rFonts w:ascii="Symbol" w:hAnsi="Symbol" w:hint="default"/>
      </w:rPr>
    </w:lvl>
    <w:lvl w:ilvl="7" w:tplc="63D0AEDA" w:tentative="1">
      <w:start w:val="1"/>
      <w:numFmt w:val="bullet"/>
      <w:lvlText w:val="o"/>
      <w:lvlJc w:val="left"/>
      <w:pPr>
        <w:tabs>
          <w:tab w:val="num" w:pos="5760"/>
        </w:tabs>
        <w:ind w:left="5760" w:hanging="360"/>
      </w:pPr>
      <w:rPr>
        <w:rFonts w:ascii="Courier New" w:hAnsi="Courier New" w:cs="Courier New" w:hint="default"/>
      </w:rPr>
    </w:lvl>
    <w:lvl w:ilvl="8" w:tplc="65025EB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6" w15:restartNumberingAfterBreak="0">
    <w:nsid w:val="6F9337D0"/>
    <w:multiLevelType w:val="hybridMultilevel"/>
    <w:tmpl w:val="B6C885E6"/>
    <w:lvl w:ilvl="0" w:tplc="72DCCFD0">
      <w:start w:val="1"/>
      <w:numFmt w:val="bullet"/>
      <w:lvlText w:val=""/>
      <w:lvlJc w:val="left"/>
      <w:pPr>
        <w:tabs>
          <w:tab w:val="num" w:pos="720"/>
        </w:tabs>
        <w:ind w:left="720" w:hanging="360"/>
      </w:pPr>
      <w:rPr>
        <w:rFonts w:ascii="Symbol" w:hAnsi="Symbol" w:hint="default"/>
      </w:rPr>
    </w:lvl>
    <w:lvl w:ilvl="1" w:tplc="18BE9204" w:tentative="1">
      <w:start w:val="1"/>
      <w:numFmt w:val="bullet"/>
      <w:lvlText w:val="o"/>
      <w:lvlJc w:val="left"/>
      <w:pPr>
        <w:tabs>
          <w:tab w:val="num" w:pos="1440"/>
        </w:tabs>
        <w:ind w:left="1440" w:hanging="360"/>
      </w:pPr>
      <w:rPr>
        <w:rFonts w:ascii="Courier New" w:hAnsi="Courier New" w:cs="Courier New" w:hint="default"/>
      </w:rPr>
    </w:lvl>
    <w:lvl w:ilvl="2" w:tplc="1A78C550" w:tentative="1">
      <w:start w:val="1"/>
      <w:numFmt w:val="bullet"/>
      <w:lvlText w:val=""/>
      <w:lvlJc w:val="left"/>
      <w:pPr>
        <w:tabs>
          <w:tab w:val="num" w:pos="2160"/>
        </w:tabs>
        <w:ind w:left="2160" w:hanging="360"/>
      </w:pPr>
      <w:rPr>
        <w:rFonts w:ascii="Wingdings" w:hAnsi="Wingdings" w:hint="default"/>
      </w:rPr>
    </w:lvl>
    <w:lvl w:ilvl="3" w:tplc="1F30C5F4" w:tentative="1">
      <w:start w:val="1"/>
      <w:numFmt w:val="bullet"/>
      <w:lvlText w:val=""/>
      <w:lvlJc w:val="left"/>
      <w:pPr>
        <w:tabs>
          <w:tab w:val="num" w:pos="2880"/>
        </w:tabs>
        <w:ind w:left="2880" w:hanging="360"/>
      </w:pPr>
      <w:rPr>
        <w:rFonts w:ascii="Symbol" w:hAnsi="Symbol" w:hint="default"/>
      </w:rPr>
    </w:lvl>
    <w:lvl w:ilvl="4" w:tplc="95160054" w:tentative="1">
      <w:start w:val="1"/>
      <w:numFmt w:val="bullet"/>
      <w:lvlText w:val="o"/>
      <w:lvlJc w:val="left"/>
      <w:pPr>
        <w:tabs>
          <w:tab w:val="num" w:pos="3600"/>
        </w:tabs>
        <w:ind w:left="3600" w:hanging="360"/>
      </w:pPr>
      <w:rPr>
        <w:rFonts w:ascii="Courier New" w:hAnsi="Courier New" w:cs="Courier New" w:hint="default"/>
      </w:rPr>
    </w:lvl>
    <w:lvl w:ilvl="5" w:tplc="D638D49E" w:tentative="1">
      <w:start w:val="1"/>
      <w:numFmt w:val="bullet"/>
      <w:lvlText w:val=""/>
      <w:lvlJc w:val="left"/>
      <w:pPr>
        <w:tabs>
          <w:tab w:val="num" w:pos="4320"/>
        </w:tabs>
        <w:ind w:left="4320" w:hanging="360"/>
      </w:pPr>
      <w:rPr>
        <w:rFonts w:ascii="Wingdings" w:hAnsi="Wingdings" w:hint="default"/>
      </w:rPr>
    </w:lvl>
    <w:lvl w:ilvl="6" w:tplc="5672E5E0" w:tentative="1">
      <w:start w:val="1"/>
      <w:numFmt w:val="bullet"/>
      <w:lvlText w:val=""/>
      <w:lvlJc w:val="left"/>
      <w:pPr>
        <w:tabs>
          <w:tab w:val="num" w:pos="5040"/>
        </w:tabs>
        <w:ind w:left="5040" w:hanging="360"/>
      </w:pPr>
      <w:rPr>
        <w:rFonts w:ascii="Symbol" w:hAnsi="Symbol" w:hint="default"/>
      </w:rPr>
    </w:lvl>
    <w:lvl w:ilvl="7" w:tplc="52AAC5FC" w:tentative="1">
      <w:start w:val="1"/>
      <w:numFmt w:val="bullet"/>
      <w:lvlText w:val="o"/>
      <w:lvlJc w:val="left"/>
      <w:pPr>
        <w:tabs>
          <w:tab w:val="num" w:pos="5760"/>
        </w:tabs>
        <w:ind w:left="5760" w:hanging="360"/>
      </w:pPr>
      <w:rPr>
        <w:rFonts w:ascii="Courier New" w:hAnsi="Courier New" w:cs="Courier New" w:hint="default"/>
      </w:rPr>
    </w:lvl>
    <w:lvl w:ilvl="8" w:tplc="EB5CB20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AB50F1"/>
    <w:multiLevelType w:val="hybridMultilevel"/>
    <w:tmpl w:val="64CEA6CC"/>
    <w:lvl w:ilvl="0" w:tplc="54363656">
      <w:start w:val="1"/>
      <w:numFmt w:val="decimal"/>
      <w:lvlText w:val="%1)"/>
      <w:lvlJc w:val="left"/>
      <w:pPr>
        <w:ind w:left="720" w:hanging="360"/>
      </w:pPr>
      <w:rPr>
        <w:rFonts w:hint="default"/>
      </w:rPr>
    </w:lvl>
    <w:lvl w:ilvl="1" w:tplc="02E2DD26" w:tentative="1">
      <w:start w:val="1"/>
      <w:numFmt w:val="lowerLetter"/>
      <w:lvlText w:val="%2."/>
      <w:lvlJc w:val="left"/>
      <w:pPr>
        <w:ind w:left="1440" w:hanging="360"/>
      </w:pPr>
    </w:lvl>
    <w:lvl w:ilvl="2" w:tplc="876E06E4" w:tentative="1">
      <w:start w:val="1"/>
      <w:numFmt w:val="lowerRoman"/>
      <w:lvlText w:val="%3."/>
      <w:lvlJc w:val="right"/>
      <w:pPr>
        <w:ind w:left="2160" w:hanging="180"/>
      </w:pPr>
    </w:lvl>
    <w:lvl w:ilvl="3" w:tplc="D014116E" w:tentative="1">
      <w:start w:val="1"/>
      <w:numFmt w:val="decimal"/>
      <w:lvlText w:val="%4."/>
      <w:lvlJc w:val="left"/>
      <w:pPr>
        <w:ind w:left="2880" w:hanging="360"/>
      </w:pPr>
    </w:lvl>
    <w:lvl w:ilvl="4" w:tplc="281404B4" w:tentative="1">
      <w:start w:val="1"/>
      <w:numFmt w:val="lowerLetter"/>
      <w:lvlText w:val="%5."/>
      <w:lvlJc w:val="left"/>
      <w:pPr>
        <w:ind w:left="3600" w:hanging="360"/>
      </w:pPr>
    </w:lvl>
    <w:lvl w:ilvl="5" w:tplc="DB8E6F86" w:tentative="1">
      <w:start w:val="1"/>
      <w:numFmt w:val="lowerRoman"/>
      <w:lvlText w:val="%6."/>
      <w:lvlJc w:val="right"/>
      <w:pPr>
        <w:ind w:left="4320" w:hanging="180"/>
      </w:pPr>
    </w:lvl>
    <w:lvl w:ilvl="6" w:tplc="FF5C243C" w:tentative="1">
      <w:start w:val="1"/>
      <w:numFmt w:val="decimal"/>
      <w:lvlText w:val="%7."/>
      <w:lvlJc w:val="left"/>
      <w:pPr>
        <w:ind w:left="5040" w:hanging="360"/>
      </w:pPr>
    </w:lvl>
    <w:lvl w:ilvl="7" w:tplc="95A4273C" w:tentative="1">
      <w:start w:val="1"/>
      <w:numFmt w:val="lowerLetter"/>
      <w:lvlText w:val="%8."/>
      <w:lvlJc w:val="left"/>
      <w:pPr>
        <w:ind w:left="5760" w:hanging="360"/>
      </w:pPr>
    </w:lvl>
    <w:lvl w:ilvl="8" w:tplc="7B608D98" w:tentative="1">
      <w:start w:val="1"/>
      <w:numFmt w:val="lowerRoman"/>
      <w:lvlText w:val="%9."/>
      <w:lvlJc w:val="right"/>
      <w:pPr>
        <w:ind w:left="6480" w:hanging="180"/>
      </w:pPr>
    </w:lvl>
  </w:abstractNum>
  <w:abstractNum w:abstractNumId="28"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B136C31"/>
    <w:multiLevelType w:val="hybridMultilevel"/>
    <w:tmpl w:val="D8E2FC5A"/>
    <w:lvl w:ilvl="0" w:tplc="A5CADD4E">
      <w:start w:val="1"/>
      <w:numFmt w:val="upperLetter"/>
      <w:lvlText w:val="%1."/>
      <w:lvlJc w:val="left"/>
      <w:pPr>
        <w:ind w:left="577" w:hanging="450"/>
      </w:pPr>
      <w:rPr>
        <w:rFonts w:hint="default"/>
      </w:rPr>
    </w:lvl>
    <w:lvl w:ilvl="1" w:tplc="95626DF8">
      <w:start w:val="1"/>
      <w:numFmt w:val="decimal"/>
      <w:lvlText w:val="%2."/>
      <w:lvlJc w:val="left"/>
      <w:pPr>
        <w:ind w:left="1417" w:hanging="570"/>
      </w:pPr>
      <w:rPr>
        <w:rFonts w:hint="default"/>
        <w:b/>
      </w:rPr>
    </w:lvl>
    <w:lvl w:ilvl="2" w:tplc="48007B8E" w:tentative="1">
      <w:start w:val="1"/>
      <w:numFmt w:val="lowerRoman"/>
      <w:lvlText w:val="%3."/>
      <w:lvlJc w:val="right"/>
      <w:pPr>
        <w:ind w:left="1927" w:hanging="180"/>
      </w:pPr>
    </w:lvl>
    <w:lvl w:ilvl="3" w:tplc="898C4454" w:tentative="1">
      <w:start w:val="1"/>
      <w:numFmt w:val="decimal"/>
      <w:lvlText w:val="%4."/>
      <w:lvlJc w:val="left"/>
      <w:pPr>
        <w:ind w:left="2647" w:hanging="360"/>
      </w:pPr>
    </w:lvl>
    <w:lvl w:ilvl="4" w:tplc="BD920F5C" w:tentative="1">
      <w:start w:val="1"/>
      <w:numFmt w:val="lowerLetter"/>
      <w:lvlText w:val="%5."/>
      <w:lvlJc w:val="left"/>
      <w:pPr>
        <w:ind w:left="3367" w:hanging="360"/>
      </w:pPr>
    </w:lvl>
    <w:lvl w:ilvl="5" w:tplc="9822E088" w:tentative="1">
      <w:start w:val="1"/>
      <w:numFmt w:val="lowerRoman"/>
      <w:lvlText w:val="%6."/>
      <w:lvlJc w:val="right"/>
      <w:pPr>
        <w:ind w:left="4087" w:hanging="180"/>
      </w:pPr>
    </w:lvl>
    <w:lvl w:ilvl="6" w:tplc="58F04770" w:tentative="1">
      <w:start w:val="1"/>
      <w:numFmt w:val="decimal"/>
      <w:lvlText w:val="%7."/>
      <w:lvlJc w:val="left"/>
      <w:pPr>
        <w:ind w:left="4807" w:hanging="360"/>
      </w:pPr>
    </w:lvl>
    <w:lvl w:ilvl="7" w:tplc="E342EE3A" w:tentative="1">
      <w:start w:val="1"/>
      <w:numFmt w:val="lowerLetter"/>
      <w:lvlText w:val="%8."/>
      <w:lvlJc w:val="left"/>
      <w:pPr>
        <w:ind w:left="5527" w:hanging="360"/>
      </w:pPr>
    </w:lvl>
    <w:lvl w:ilvl="8" w:tplc="EEBE9BBE" w:tentative="1">
      <w:start w:val="1"/>
      <w:numFmt w:val="lowerRoman"/>
      <w:lvlText w:val="%9."/>
      <w:lvlJc w:val="right"/>
      <w:pPr>
        <w:ind w:left="6247" w:hanging="180"/>
      </w:pPr>
    </w:lvl>
  </w:abstractNum>
  <w:num w:numId="1">
    <w:abstractNumId w:val="2"/>
  </w:num>
  <w:num w:numId="2">
    <w:abstractNumId w:val="21"/>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2"/>
  </w:num>
  <w:num w:numId="6">
    <w:abstractNumId w:val="19"/>
  </w:num>
  <w:num w:numId="7">
    <w:abstractNumId w:val="11"/>
  </w:num>
  <w:num w:numId="8">
    <w:abstractNumId w:val="15"/>
  </w:num>
  <w:num w:numId="9">
    <w:abstractNumId w:val="27"/>
  </w:num>
  <w:num w:numId="10">
    <w:abstractNumId w:val="1"/>
  </w:num>
  <w:num w:numId="11">
    <w:abstractNumId w:val="24"/>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5"/>
  </w:num>
  <w:num w:numId="17">
    <w:abstractNumId w:val="16"/>
  </w:num>
  <w:num w:numId="18">
    <w:abstractNumId w:val="18"/>
  </w:num>
  <w:num w:numId="19">
    <w:abstractNumId w:val="28"/>
  </w:num>
  <w:num w:numId="20">
    <w:abstractNumId w:val="20"/>
  </w:num>
  <w:num w:numId="21">
    <w:abstractNumId w:val="26"/>
  </w:num>
  <w:num w:numId="22">
    <w:abstractNumId w:val="23"/>
  </w:num>
  <w:num w:numId="23">
    <w:abstractNumId w:val="10"/>
  </w:num>
  <w:num w:numId="24">
    <w:abstractNumId w:val="26"/>
  </w:num>
  <w:num w:numId="25">
    <w:abstractNumId w:val="5"/>
  </w:num>
  <w:num w:numId="26">
    <w:abstractNumId w:val="9"/>
  </w:num>
  <w:num w:numId="27">
    <w:abstractNumId w:val="14"/>
  </w:num>
  <w:num w:numId="28">
    <w:abstractNumId w:val="17"/>
  </w:num>
  <w:num w:numId="29">
    <w:abstractNumId w:val="4"/>
  </w:num>
  <w:num w:numId="30">
    <w:abstractNumId w:val="29"/>
  </w:num>
  <w:num w:numId="31">
    <w:abstractNumId w:val="3"/>
  </w:num>
  <w:num w:numId="32">
    <w:abstractNumId w:val="8"/>
  </w:num>
  <w:num w:numId="33">
    <w:abstractNumId w:val="6"/>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617278"/>
    <w:rsid w:val="0003498C"/>
    <w:rsid w:val="00034E73"/>
    <w:rsid w:val="0003691D"/>
    <w:rsid w:val="0005368D"/>
    <w:rsid w:val="0005703D"/>
    <w:rsid w:val="000F6C1E"/>
    <w:rsid w:val="00113F7A"/>
    <w:rsid w:val="00141664"/>
    <w:rsid w:val="00153752"/>
    <w:rsid w:val="00165E31"/>
    <w:rsid w:val="001870CE"/>
    <w:rsid w:val="001B38A6"/>
    <w:rsid w:val="001D2229"/>
    <w:rsid w:val="001E2642"/>
    <w:rsid w:val="001E6DD1"/>
    <w:rsid w:val="0022194B"/>
    <w:rsid w:val="002269B4"/>
    <w:rsid w:val="002355EA"/>
    <w:rsid w:val="002503BA"/>
    <w:rsid w:val="00251FB8"/>
    <w:rsid w:val="002D683D"/>
    <w:rsid w:val="00314FE4"/>
    <w:rsid w:val="0036776A"/>
    <w:rsid w:val="003D7D1D"/>
    <w:rsid w:val="004036D5"/>
    <w:rsid w:val="00430718"/>
    <w:rsid w:val="0043579D"/>
    <w:rsid w:val="004727D4"/>
    <w:rsid w:val="00483C09"/>
    <w:rsid w:val="004A0F76"/>
    <w:rsid w:val="004D6A1C"/>
    <w:rsid w:val="004D78AC"/>
    <w:rsid w:val="004E5E42"/>
    <w:rsid w:val="00504188"/>
    <w:rsid w:val="00550D0A"/>
    <w:rsid w:val="0058509A"/>
    <w:rsid w:val="0059391D"/>
    <w:rsid w:val="005B03FF"/>
    <w:rsid w:val="005C01AD"/>
    <w:rsid w:val="005C7598"/>
    <w:rsid w:val="005E1B8B"/>
    <w:rsid w:val="005E51F0"/>
    <w:rsid w:val="0060654B"/>
    <w:rsid w:val="00617278"/>
    <w:rsid w:val="00657383"/>
    <w:rsid w:val="006668A7"/>
    <w:rsid w:val="00682828"/>
    <w:rsid w:val="006D02C4"/>
    <w:rsid w:val="006D25B7"/>
    <w:rsid w:val="006F46D1"/>
    <w:rsid w:val="00712113"/>
    <w:rsid w:val="007175DA"/>
    <w:rsid w:val="00792426"/>
    <w:rsid w:val="00793947"/>
    <w:rsid w:val="007A4223"/>
    <w:rsid w:val="007B1FF1"/>
    <w:rsid w:val="00836E08"/>
    <w:rsid w:val="008721A0"/>
    <w:rsid w:val="008778FF"/>
    <w:rsid w:val="008A7523"/>
    <w:rsid w:val="008E605C"/>
    <w:rsid w:val="008F4EDB"/>
    <w:rsid w:val="00916CC1"/>
    <w:rsid w:val="009518D8"/>
    <w:rsid w:val="00973734"/>
    <w:rsid w:val="00975D83"/>
    <w:rsid w:val="00994B01"/>
    <w:rsid w:val="009B4DF6"/>
    <w:rsid w:val="009C3132"/>
    <w:rsid w:val="009C38C5"/>
    <w:rsid w:val="009D5EA0"/>
    <w:rsid w:val="009E7287"/>
    <w:rsid w:val="00A253A6"/>
    <w:rsid w:val="00A55E99"/>
    <w:rsid w:val="00A75435"/>
    <w:rsid w:val="00A81509"/>
    <w:rsid w:val="00A8404A"/>
    <w:rsid w:val="00AB0EC8"/>
    <w:rsid w:val="00AE3CA2"/>
    <w:rsid w:val="00AF0AED"/>
    <w:rsid w:val="00AF4EF0"/>
    <w:rsid w:val="00B33ACF"/>
    <w:rsid w:val="00B379E5"/>
    <w:rsid w:val="00B40D93"/>
    <w:rsid w:val="00B6203D"/>
    <w:rsid w:val="00B62B51"/>
    <w:rsid w:val="00BB1C8A"/>
    <w:rsid w:val="00C022DB"/>
    <w:rsid w:val="00C06C93"/>
    <w:rsid w:val="00C4521E"/>
    <w:rsid w:val="00C51AF0"/>
    <w:rsid w:val="00C80A8E"/>
    <w:rsid w:val="00CB58FB"/>
    <w:rsid w:val="00CC2456"/>
    <w:rsid w:val="00CE0B52"/>
    <w:rsid w:val="00CE1437"/>
    <w:rsid w:val="00D025C6"/>
    <w:rsid w:val="00D865DA"/>
    <w:rsid w:val="00D90A9A"/>
    <w:rsid w:val="00DB361C"/>
    <w:rsid w:val="00DC7BC7"/>
    <w:rsid w:val="00DD3D17"/>
    <w:rsid w:val="00DE21C2"/>
    <w:rsid w:val="00DF127A"/>
    <w:rsid w:val="00DF6FF9"/>
    <w:rsid w:val="00E158AE"/>
    <w:rsid w:val="00E260FC"/>
    <w:rsid w:val="00E43543"/>
    <w:rsid w:val="00E62967"/>
    <w:rsid w:val="00E91254"/>
    <w:rsid w:val="00EA154B"/>
    <w:rsid w:val="00EA5730"/>
    <w:rsid w:val="00EC4526"/>
    <w:rsid w:val="00F0515F"/>
    <w:rsid w:val="00F11745"/>
    <w:rsid w:val="00F75641"/>
    <w:rsid w:val="00F80429"/>
    <w:rsid w:val="00F83290"/>
    <w:rsid w:val="00F9366B"/>
    <w:rsid w:val="00FB5C80"/>
    <w:rsid w:val="00FB74EB"/>
    <w:rsid w:val="00FC0420"/>
    <w:rsid w:val="00FE6FEC"/>
    <w:rsid w:val="00FF25EE"/>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4719A4B-3102-4065-A639-CAA044D3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lv-LV" w:eastAsia="lv-LV" w:bidi="lv-LV"/>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rPr>
  </w:style>
  <w:style w:type="paragraph" w:styleId="Heading2">
    <w:name w:val="heading 2"/>
    <w:basedOn w:val="Normal"/>
    <w:next w:val="Normal"/>
    <w:link w:val="Heading2Char"/>
    <w:qFormat/>
    <w:rsid w:val="00BB02BA"/>
    <w:pPr>
      <w:keepNext/>
      <w:tabs>
        <w:tab w:val="clear" w:pos="567"/>
      </w:tabs>
      <w:spacing w:line="240" w:lineRule="auto"/>
      <w:ind w:left="360"/>
      <w:jc w:val="both"/>
      <w:outlineLvl w:val="1"/>
    </w:pPr>
    <w:rPr>
      <w:b/>
      <w:bCs/>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aliases w:val="Annotationtext"/>
    <w:basedOn w:val="Normal"/>
    <w:link w:val="CommentTextChar"/>
    <w:uiPriority w:val="99"/>
    <w:unhideWhenUsed/>
    <w:pPr>
      <w:spacing w:line="240" w:lineRule="auto"/>
    </w:pPr>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lv-LV" w:eastAsia="lv-LV" w:bidi="lv-LV"/>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lv-LV" w:eastAsia="lv-LV" w:bidi="lv-LV"/>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lv-LV" w:eastAsia="lv-LV" w:bidi="lv-LV"/>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Annotationtext Char"/>
    <w:link w:val="CommentText"/>
    <w:uiPriority w:val="99"/>
    <w:rsid w:val="00BC6DC2"/>
    <w:rPr>
      <w:rFonts w:eastAsia="Times New Roman"/>
      <w:lang w:eastAsia="lv-LV"/>
    </w:rPr>
  </w:style>
  <w:style w:type="character" w:customStyle="1" w:styleId="CommentSubjectChar">
    <w:name w:val="Comment Subject Char"/>
    <w:link w:val="CommentSubject"/>
    <w:rsid w:val="00BC6DC2"/>
    <w:rPr>
      <w:rFonts w:eastAsia="Times New Roman"/>
      <w:b/>
      <w:bCs/>
      <w:lang w:eastAsia="lv-LV"/>
    </w:rPr>
  </w:style>
  <w:style w:type="paragraph" w:styleId="Revision">
    <w:name w:val="Revision"/>
    <w:hidden/>
    <w:uiPriority w:val="99"/>
    <w:semiHidden/>
    <w:rsid w:val="00B21BE7"/>
    <w:rPr>
      <w:rFonts w:eastAsia="Times New Roman"/>
      <w:sz w:val="22"/>
    </w:rPr>
  </w:style>
  <w:style w:type="paragraph" w:customStyle="1" w:styleId="Default">
    <w:name w:val="Default"/>
    <w:rsid w:val="00C63A97"/>
    <w:pPr>
      <w:autoSpaceDE w:val="0"/>
      <w:autoSpaceDN w:val="0"/>
      <w:adjustRightInd w:val="0"/>
    </w:pPr>
    <w:rPr>
      <w:color w:val="000000"/>
      <w:sz w:val="24"/>
      <w:szCs w:val="24"/>
    </w:rPr>
  </w:style>
  <w:style w:type="paragraph" w:styleId="ListParagraph">
    <w:name w:val="List Paragraph"/>
    <w:basedOn w:val="Normal"/>
    <w:uiPriority w:val="34"/>
    <w:qFormat/>
    <w:rsid w:val="005C6784"/>
    <w:pPr>
      <w:ind w:left="720"/>
      <w:contextualSpacing/>
    </w:pPr>
  </w:style>
  <w:style w:type="character" w:customStyle="1" w:styleId="Heading2Char">
    <w:name w:val="Heading 2 Char"/>
    <w:basedOn w:val="DefaultParagraphFont"/>
    <w:link w:val="Heading2"/>
    <w:rsid w:val="00BB02BA"/>
    <w:rPr>
      <w:rFonts w:eastAsia="Times New Roman"/>
      <w:b/>
      <w:bCs/>
      <w:sz w:val="22"/>
      <w:szCs w:val="24"/>
      <w:lang w:eastAsia="en-US" w:bidi="ar-SA"/>
    </w:rPr>
  </w:style>
  <w:style w:type="character" w:customStyle="1" w:styleId="shorttext">
    <w:name w:val="short_text"/>
    <w:basedOn w:val="DefaultParagraphFont"/>
    <w:rsid w:val="00036877"/>
  </w:style>
  <w:style w:type="paragraph" w:customStyle="1" w:styleId="knZulassung01">
    <w:name w:val="knZulassung01"/>
    <w:basedOn w:val="Normal"/>
    <w:rsid w:val="00F04CB8"/>
    <w:pPr>
      <w:tabs>
        <w:tab w:val="clear" w:pos="567"/>
      </w:tabs>
      <w:suppressAutoHyphens/>
      <w:autoSpaceDE w:val="0"/>
      <w:autoSpaceDN w:val="0"/>
      <w:spacing w:line="240" w:lineRule="auto"/>
      <w:ind w:left="1843" w:right="284" w:hanging="1843"/>
    </w:pPr>
    <w:rPr>
      <w:rFonts w:ascii="Courier" w:hAnsi="Courier"/>
      <w:noProof/>
      <w:sz w:val="24"/>
      <w:szCs w:val="24"/>
      <w:lang w:val="en-US" w:eastAsia="de-DE" w:bidi="ar-SA"/>
    </w:rPr>
  </w:style>
  <w:style w:type="paragraph" w:customStyle="1" w:styleId="TitleA">
    <w:name w:val="Title A"/>
    <w:basedOn w:val="Normal"/>
    <w:qFormat/>
    <w:rsid w:val="001D2229"/>
    <w:pPr>
      <w:widowControl w:val="0"/>
      <w:autoSpaceDE w:val="0"/>
      <w:autoSpaceDN w:val="0"/>
      <w:adjustRightInd w:val="0"/>
      <w:spacing w:after="140" w:line="280" w:lineRule="atLeast"/>
      <w:ind w:right="120"/>
      <w:jc w:val="center"/>
    </w:pPr>
    <w:rPr>
      <w:rFonts w:cs="Verdana"/>
      <w:b/>
      <w:bCs/>
      <w:color w:val="000000"/>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41A8B-7EE3-4BEE-9CF1-9024F13CCAB9}"/>
</file>

<file path=customXml/itemProps2.xml><?xml version="1.0" encoding="utf-8"?>
<ds:datastoreItem xmlns:ds="http://schemas.openxmlformats.org/officeDocument/2006/customXml" ds:itemID="{2BA4A6E3-9D0E-44C7-8A91-8FBA6B5A13DF}">
  <ds:schemaRefs>
    <ds:schemaRef ds:uri="http://schemas.microsoft.com/sharepoint/v3/contenttype/forms"/>
  </ds:schemaRefs>
</ds:datastoreItem>
</file>

<file path=customXml/itemProps3.xml><?xml version="1.0" encoding="utf-8"?>
<ds:datastoreItem xmlns:ds="http://schemas.openxmlformats.org/officeDocument/2006/customXml" ds:itemID="{2D48B5C4-34CA-4DAC-9084-B809FC54E8F1}">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C74653CC-C9BE-42A6-8B72-FEBFD36F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3971</Words>
  <Characters>26485</Characters>
  <Application>Microsoft Office Word</Application>
  <DocSecurity>0</DocSecurity>
  <Lines>220</Lines>
  <Paragraphs>60</Paragraphs>
  <ScaleCrop>false</ScaleCrop>
  <HeadingPairs>
    <vt:vector size="2" baseType="variant">
      <vt:variant>
        <vt:lpstr>Title</vt:lpstr>
      </vt:variant>
      <vt:variant>
        <vt:i4>1</vt:i4>
      </vt:variant>
    </vt:vector>
  </HeadingPairs>
  <TitlesOfParts>
    <vt:vector size="1" baseType="lpstr">
      <vt:lpstr>Cuprior, INN-Trientine tetrahydrochloride</vt:lpstr>
    </vt:vector>
  </TitlesOfParts>
  <Company>VCLS</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ema-combined-h-4005-lv-annotated</dc:title>
  <dc:subject>EPAR</dc:subject>
  <dc:creator>CHMP</dc:creator>
  <cp:keywords>Cuprior, INN-Trientine tetrahydrochloride</cp:keywords>
  <cp:lastModifiedBy>Scanlan Elizabeth</cp:lastModifiedBy>
  <cp:revision>11</cp:revision>
  <cp:lastPrinted>2019-05-08T07:40:00Z</cp:lastPrinted>
  <dcterms:created xsi:type="dcterms:W3CDTF">2019-08-29T07:54:00Z</dcterms:created>
  <dcterms:modified xsi:type="dcterms:W3CDTF">2021-05-24T19:51:00Z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15:44:09</vt:lpwstr>
  </property>
  <property fmtid="{D5CDD505-2E9C-101B-9397-08002B2CF9AE}" pid="6" name="DM_Creator_Name">
    <vt:lpwstr>Leszczynska Edyta</vt:lpwstr>
  </property>
  <property fmtid="{D5CDD505-2E9C-101B-9397-08002B2CF9AE}" pid="7" name="DM_DocRefId">
    <vt:lpwstr>EMA/458164/2020</vt:lpwstr>
  </property>
  <property fmtid="{D5CDD505-2E9C-101B-9397-08002B2CF9AE}" pid="8" name="DM_emea_doc_ref_id">
    <vt:lpwstr>EMA/458164/2020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15:44:09</vt:lpwstr>
  </property>
  <property fmtid="{D5CDD505-2E9C-101B-9397-08002B2CF9AE}" pid="13" name="DM_Modifier_Name">
    <vt:lpwstr>Leszczynska Edyta</vt:lpwstr>
  </property>
  <property fmtid="{D5CDD505-2E9C-101B-9397-08002B2CF9AE}" pid="14" name="DM_Modify_Date">
    <vt:lpwstr>28/08/2020 15:44:09</vt:lpwstr>
  </property>
  <property fmtid="{D5CDD505-2E9C-101B-9397-08002B2CF9AE}" pid="15" name="DM_Name">
    <vt:lpwstr>ema-combined-h-4005-lv-annotated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2021-05-24T19:51:58Z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5aa3b264-62cd-46dd-9968-780a18c03469</vt:lpwstr>
  </property>
  <property fmtid="{D5CDD505-2E9C-101B-9397-08002B2CF9AE}" pid="28" name="MSIP_Label_0eea11ca-d417-4147-80ed-01a58412c458_ContentBits">
    <vt:lpwstr>2</vt:lpwstr>
  </property>
</Properties>
</file>