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647EB" w14:textId="77777777" w:rsidR="001005D2" w:rsidRPr="004B0DDF" w:rsidRDefault="001005D2" w:rsidP="009C76A6">
      <w:bookmarkStart w:id="0" w:name="_GoBack"/>
      <w:bookmarkEnd w:id="0"/>
    </w:p>
    <w:p w14:paraId="743647EC" w14:textId="77777777" w:rsidR="001005D2" w:rsidRPr="004B0DDF" w:rsidRDefault="001005D2" w:rsidP="009C76A6"/>
    <w:p w14:paraId="743647ED" w14:textId="77777777" w:rsidR="001005D2" w:rsidRPr="004B0DDF" w:rsidRDefault="001005D2" w:rsidP="009C76A6"/>
    <w:p w14:paraId="743647EE" w14:textId="77777777" w:rsidR="001005D2" w:rsidRPr="004B0DDF" w:rsidRDefault="001005D2" w:rsidP="009C76A6"/>
    <w:p w14:paraId="743647EF" w14:textId="77777777" w:rsidR="001005D2" w:rsidRPr="004B0DDF" w:rsidRDefault="001005D2" w:rsidP="009C76A6">
      <w:pPr>
        <w:rPr>
          <w:szCs w:val="22"/>
        </w:rPr>
      </w:pPr>
    </w:p>
    <w:p w14:paraId="743647F0" w14:textId="77777777" w:rsidR="001005D2" w:rsidRPr="004B0DDF" w:rsidRDefault="001005D2" w:rsidP="009C76A6">
      <w:pPr>
        <w:rPr>
          <w:szCs w:val="22"/>
        </w:rPr>
      </w:pPr>
    </w:p>
    <w:p w14:paraId="743647F1" w14:textId="77777777" w:rsidR="001005D2" w:rsidRPr="004B0DDF" w:rsidRDefault="001005D2" w:rsidP="009C76A6">
      <w:pPr>
        <w:rPr>
          <w:szCs w:val="22"/>
        </w:rPr>
      </w:pPr>
    </w:p>
    <w:p w14:paraId="743647F2" w14:textId="77777777" w:rsidR="001005D2" w:rsidRPr="004B0DDF" w:rsidRDefault="001005D2" w:rsidP="009C76A6">
      <w:pPr>
        <w:rPr>
          <w:szCs w:val="22"/>
        </w:rPr>
      </w:pPr>
    </w:p>
    <w:p w14:paraId="743647F3" w14:textId="77777777" w:rsidR="001005D2" w:rsidRPr="004B0DDF" w:rsidRDefault="001005D2" w:rsidP="009C76A6">
      <w:pPr>
        <w:rPr>
          <w:szCs w:val="22"/>
        </w:rPr>
      </w:pPr>
    </w:p>
    <w:p w14:paraId="743647F4" w14:textId="77777777" w:rsidR="001005D2" w:rsidRPr="004B0DDF" w:rsidRDefault="001005D2" w:rsidP="009C76A6">
      <w:pPr>
        <w:rPr>
          <w:szCs w:val="22"/>
        </w:rPr>
      </w:pPr>
    </w:p>
    <w:p w14:paraId="743647F5" w14:textId="77777777" w:rsidR="001005D2" w:rsidRPr="004B0DDF" w:rsidRDefault="001005D2" w:rsidP="009C76A6">
      <w:pPr>
        <w:rPr>
          <w:szCs w:val="22"/>
        </w:rPr>
      </w:pPr>
    </w:p>
    <w:p w14:paraId="743647F6" w14:textId="77777777" w:rsidR="001005D2" w:rsidRPr="004B0DDF" w:rsidRDefault="001005D2" w:rsidP="009C76A6">
      <w:pPr>
        <w:rPr>
          <w:szCs w:val="22"/>
        </w:rPr>
      </w:pPr>
    </w:p>
    <w:p w14:paraId="743647F7" w14:textId="77777777" w:rsidR="001005D2" w:rsidRPr="004B0DDF" w:rsidRDefault="001005D2" w:rsidP="009C76A6">
      <w:pPr>
        <w:rPr>
          <w:szCs w:val="22"/>
        </w:rPr>
      </w:pPr>
    </w:p>
    <w:p w14:paraId="743647F8" w14:textId="77777777" w:rsidR="001005D2" w:rsidRPr="004B0DDF" w:rsidRDefault="001005D2" w:rsidP="009C76A6">
      <w:pPr>
        <w:rPr>
          <w:szCs w:val="22"/>
        </w:rPr>
      </w:pPr>
    </w:p>
    <w:p w14:paraId="743647F9" w14:textId="77777777" w:rsidR="001005D2" w:rsidRPr="004B0DDF" w:rsidRDefault="001005D2" w:rsidP="009C76A6">
      <w:pPr>
        <w:rPr>
          <w:szCs w:val="22"/>
        </w:rPr>
      </w:pPr>
    </w:p>
    <w:p w14:paraId="743647FA" w14:textId="77777777" w:rsidR="001005D2" w:rsidRPr="004B0DDF" w:rsidRDefault="001005D2" w:rsidP="009C76A6">
      <w:pPr>
        <w:rPr>
          <w:szCs w:val="22"/>
        </w:rPr>
      </w:pPr>
    </w:p>
    <w:p w14:paraId="743647FB" w14:textId="77777777" w:rsidR="001005D2" w:rsidRPr="004B0DDF" w:rsidRDefault="001005D2" w:rsidP="009C76A6">
      <w:pPr>
        <w:rPr>
          <w:szCs w:val="22"/>
        </w:rPr>
      </w:pPr>
    </w:p>
    <w:p w14:paraId="743647FC" w14:textId="77777777" w:rsidR="001005D2" w:rsidRPr="004B0DDF" w:rsidRDefault="001005D2" w:rsidP="009C76A6"/>
    <w:p w14:paraId="743647FD" w14:textId="77777777" w:rsidR="001005D2" w:rsidRPr="004B0DDF" w:rsidRDefault="001005D2" w:rsidP="009C76A6"/>
    <w:p w14:paraId="743647FE" w14:textId="77777777" w:rsidR="001005D2" w:rsidRPr="004B0DDF" w:rsidRDefault="001005D2" w:rsidP="009C76A6"/>
    <w:p w14:paraId="743647FF" w14:textId="77777777" w:rsidR="001005D2" w:rsidRPr="004B0DDF" w:rsidRDefault="001005D2" w:rsidP="009C76A6"/>
    <w:p w14:paraId="74364800" w14:textId="77777777" w:rsidR="001005D2" w:rsidRPr="004B0DDF" w:rsidRDefault="001005D2" w:rsidP="009C76A6"/>
    <w:p w14:paraId="74364801" w14:textId="77777777" w:rsidR="001005D2" w:rsidRPr="004B0DDF" w:rsidRDefault="004D6453" w:rsidP="009C76A6">
      <w:pPr>
        <w:spacing w:line="240" w:lineRule="auto"/>
        <w:jc w:val="center"/>
        <w:outlineLvl w:val="0"/>
      </w:pPr>
      <w:r w:rsidRPr="004B0DDF">
        <w:rPr>
          <w:b/>
        </w:rPr>
        <w:t>ANEKS I</w:t>
      </w:r>
    </w:p>
    <w:p w14:paraId="74364802" w14:textId="77777777" w:rsidR="001005D2" w:rsidRPr="004B0DDF" w:rsidRDefault="001005D2" w:rsidP="009C76A6"/>
    <w:p w14:paraId="74364803" w14:textId="77777777" w:rsidR="001005D2" w:rsidRPr="004B0DDF" w:rsidRDefault="004D6453" w:rsidP="009C76A6">
      <w:pPr>
        <w:spacing w:line="240" w:lineRule="auto"/>
        <w:jc w:val="center"/>
        <w:outlineLvl w:val="0"/>
      </w:pPr>
      <w:r w:rsidRPr="004B0DDF">
        <w:rPr>
          <w:b/>
        </w:rPr>
        <w:t>CHARAKTERYSTYKA PRODUKTU LECZNICZEGO</w:t>
      </w:r>
    </w:p>
    <w:p w14:paraId="74364804" w14:textId="77777777" w:rsidR="001005D2" w:rsidRPr="004B0DDF" w:rsidRDefault="004D6453" w:rsidP="009C76A6">
      <w:pPr>
        <w:pStyle w:val="ListParagraph"/>
        <w:numPr>
          <w:ilvl w:val="0"/>
          <w:numId w:val="28"/>
        </w:numPr>
        <w:spacing w:line="240" w:lineRule="auto"/>
        <w:ind w:hanging="930"/>
        <w:rPr>
          <w:b/>
        </w:rPr>
      </w:pPr>
      <w:r w:rsidRPr="004B0DDF">
        <w:br w:type="page"/>
      </w:r>
      <w:r w:rsidRPr="004B0DDF">
        <w:rPr>
          <w:b/>
        </w:rPr>
        <w:lastRenderedPageBreak/>
        <w:t>NAZWA PRODUKTU LECZNICZEGO</w:t>
      </w:r>
    </w:p>
    <w:p w14:paraId="74364805" w14:textId="77777777" w:rsidR="001005D2" w:rsidRPr="004B0DDF" w:rsidRDefault="001005D2" w:rsidP="009C76A6">
      <w:pPr>
        <w:spacing w:line="240" w:lineRule="auto"/>
        <w:rPr>
          <w:iCs/>
          <w:szCs w:val="22"/>
        </w:rPr>
      </w:pPr>
    </w:p>
    <w:p w14:paraId="74364806" w14:textId="77777777" w:rsidR="001005D2" w:rsidRPr="004B0DDF" w:rsidRDefault="004D6453" w:rsidP="009C76A6">
      <w:pPr>
        <w:widowControl w:val="0"/>
        <w:spacing w:line="240" w:lineRule="auto"/>
        <w:rPr>
          <w:szCs w:val="22"/>
        </w:rPr>
      </w:pPr>
      <w:r w:rsidRPr="004B0DDF">
        <w:t>Cuprior 150 mg tabletki powlekane</w:t>
      </w:r>
    </w:p>
    <w:p w14:paraId="74364807" w14:textId="77777777" w:rsidR="001005D2" w:rsidRPr="004B0DDF" w:rsidRDefault="001005D2" w:rsidP="009C76A6">
      <w:pPr>
        <w:spacing w:line="240" w:lineRule="auto"/>
        <w:rPr>
          <w:iCs/>
          <w:szCs w:val="22"/>
        </w:rPr>
      </w:pPr>
    </w:p>
    <w:p w14:paraId="74364808" w14:textId="77777777" w:rsidR="001005D2" w:rsidRPr="004B0DDF" w:rsidRDefault="001005D2" w:rsidP="009C76A6">
      <w:pPr>
        <w:spacing w:line="240" w:lineRule="auto"/>
        <w:rPr>
          <w:iCs/>
          <w:szCs w:val="22"/>
        </w:rPr>
      </w:pPr>
    </w:p>
    <w:p w14:paraId="74364809" w14:textId="77777777" w:rsidR="001005D2" w:rsidRPr="004B0DDF" w:rsidRDefault="004D6453" w:rsidP="009C76A6">
      <w:pPr>
        <w:pStyle w:val="ListParagraph"/>
        <w:numPr>
          <w:ilvl w:val="0"/>
          <w:numId w:val="28"/>
        </w:numPr>
        <w:spacing w:line="240" w:lineRule="auto"/>
        <w:ind w:hanging="930"/>
        <w:rPr>
          <w:b/>
        </w:rPr>
      </w:pPr>
      <w:r w:rsidRPr="004B0DDF">
        <w:rPr>
          <w:b/>
        </w:rPr>
        <w:t>SKŁAD JAKOŚCIOWY I ILOŚCIOWY</w:t>
      </w:r>
    </w:p>
    <w:p w14:paraId="7436480A" w14:textId="77777777" w:rsidR="001005D2" w:rsidRPr="004B0DDF" w:rsidRDefault="001005D2" w:rsidP="009C76A6">
      <w:pPr>
        <w:spacing w:line="240" w:lineRule="auto"/>
        <w:rPr>
          <w:iCs/>
          <w:szCs w:val="22"/>
        </w:rPr>
      </w:pPr>
    </w:p>
    <w:p w14:paraId="7436480B" w14:textId="77777777" w:rsidR="001005D2" w:rsidRPr="004B0DDF" w:rsidRDefault="004D6453" w:rsidP="009C76A6">
      <w:pPr>
        <w:widowControl w:val="0"/>
        <w:rPr>
          <w:szCs w:val="22"/>
        </w:rPr>
      </w:pPr>
      <w:r w:rsidRPr="004B0DDF">
        <w:t xml:space="preserve">Każda tabletka powlekana zawiera 150 mg trientyny w postaci trientyny </w:t>
      </w:r>
      <w:r w:rsidRPr="004B0DDF">
        <w:t>tetrachlorowodorku.</w:t>
      </w:r>
    </w:p>
    <w:p w14:paraId="7436480C" w14:textId="77777777" w:rsidR="001005D2" w:rsidRPr="004B0DDF" w:rsidRDefault="001005D2" w:rsidP="009C76A6">
      <w:pPr>
        <w:rPr>
          <w:szCs w:val="22"/>
        </w:rPr>
      </w:pPr>
    </w:p>
    <w:p w14:paraId="7436480D" w14:textId="77777777" w:rsidR="001005D2" w:rsidRPr="004B0DDF" w:rsidRDefault="004D6453" w:rsidP="009C76A6">
      <w:pPr>
        <w:outlineLvl w:val="0"/>
        <w:rPr>
          <w:szCs w:val="22"/>
        </w:rPr>
      </w:pPr>
      <w:r w:rsidRPr="004B0DDF">
        <w:t>Pełny wykaz substancji pomocniczych, patrz punkt 6.1.</w:t>
      </w:r>
    </w:p>
    <w:p w14:paraId="7436480E" w14:textId="77777777" w:rsidR="001005D2" w:rsidRPr="004B0DDF" w:rsidRDefault="001005D2" w:rsidP="009C76A6">
      <w:pPr>
        <w:rPr>
          <w:szCs w:val="22"/>
        </w:rPr>
      </w:pPr>
    </w:p>
    <w:p w14:paraId="7436480F" w14:textId="77777777" w:rsidR="001005D2" w:rsidRPr="004B0DDF" w:rsidRDefault="001005D2" w:rsidP="009C76A6">
      <w:pPr>
        <w:spacing w:line="240" w:lineRule="auto"/>
        <w:rPr>
          <w:szCs w:val="22"/>
        </w:rPr>
      </w:pPr>
    </w:p>
    <w:p w14:paraId="74364810" w14:textId="77777777" w:rsidR="001005D2" w:rsidRPr="004B0DDF" w:rsidRDefault="004D6453" w:rsidP="009C76A6">
      <w:pPr>
        <w:pStyle w:val="ListParagraph"/>
        <w:numPr>
          <w:ilvl w:val="0"/>
          <w:numId w:val="28"/>
        </w:numPr>
        <w:spacing w:line="240" w:lineRule="auto"/>
        <w:ind w:hanging="930"/>
        <w:rPr>
          <w:b/>
        </w:rPr>
      </w:pPr>
      <w:r w:rsidRPr="004B0DDF">
        <w:rPr>
          <w:b/>
        </w:rPr>
        <w:t>POSTAĆ FARMACEUTYCZNA</w:t>
      </w:r>
    </w:p>
    <w:p w14:paraId="74364811" w14:textId="77777777" w:rsidR="001005D2" w:rsidRPr="004B0DDF" w:rsidRDefault="001005D2" w:rsidP="009C76A6">
      <w:pPr>
        <w:spacing w:line="240" w:lineRule="auto"/>
        <w:rPr>
          <w:szCs w:val="22"/>
        </w:rPr>
      </w:pPr>
    </w:p>
    <w:p w14:paraId="74364812" w14:textId="77777777" w:rsidR="001005D2" w:rsidRPr="004B0DDF" w:rsidRDefault="004D6453" w:rsidP="009C76A6">
      <w:pPr>
        <w:rPr>
          <w:szCs w:val="22"/>
        </w:rPr>
      </w:pPr>
      <w:r w:rsidRPr="004B0DDF">
        <w:t>Tabletka powlekana (tabletka)</w:t>
      </w:r>
    </w:p>
    <w:p w14:paraId="74364813" w14:textId="77777777" w:rsidR="001005D2" w:rsidRPr="004B0DDF" w:rsidRDefault="001005D2" w:rsidP="009C76A6">
      <w:pPr>
        <w:rPr>
          <w:szCs w:val="22"/>
        </w:rPr>
      </w:pPr>
    </w:p>
    <w:p w14:paraId="74364814" w14:textId="77777777" w:rsidR="001005D2" w:rsidRPr="004B0DDF" w:rsidRDefault="004D6453" w:rsidP="009C76A6">
      <w:pPr>
        <w:rPr>
          <w:szCs w:val="22"/>
        </w:rPr>
      </w:pPr>
      <w:r w:rsidRPr="004B0DDF">
        <w:t>Żółte, podłużne tabletki powlekane o wymiarach 16 mm x 8 mm, z linią podziału po obu stronach.</w:t>
      </w:r>
    </w:p>
    <w:p w14:paraId="74364815" w14:textId="77777777" w:rsidR="001005D2" w:rsidRPr="004B0DDF" w:rsidRDefault="001005D2" w:rsidP="009C76A6">
      <w:pPr>
        <w:rPr>
          <w:szCs w:val="22"/>
        </w:rPr>
      </w:pPr>
    </w:p>
    <w:p w14:paraId="74364816" w14:textId="77777777" w:rsidR="001005D2" w:rsidRPr="004B0DDF" w:rsidRDefault="004D6453" w:rsidP="009C76A6">
      <w:pPr>
        <w:rPr>
          <w:szCs w:val="22"/>
        </w:rPr>
      </w:pPr>
      <w:r w:rsidRPr="004B0DDF">
        <w:t>Tabletkę można podzielić na r</w:t>
      </w:r>
      <w:r w:rsidRPr="004B0DDF">
        <w:t>ówne dawki.</w:t>
      </w:r>
    </w:p>
    <w:p w14:paraId="74364817" w14:textId="77777777" w:rsidR="001005D2" w:rsidRPr="004B0DDF" w:rsidRDefault="001005D2" w:rsidP="009C76A6">
      <w:pPr>
        <w:rPr>
          <w:szCs w:val="22"/>
        </w:rPr>
      </w:pPr>
    </w:p>
    <w:p w14:paraId="74364818" w14:textId="77777777" w:rsidR="001005D2" w:rsidRPr="004B0DDF" w:rsidRDefault="001005D2" w:rsidP="009C76A6">
      <w:pPr>
        <w:rPr>
          <w:szCs w:val="22"/>
        </w:rPr>
      </w:pPr>
    </w:p>
    <w:p w14:paraId="74364819" w14:textId="77777777" w:rsidR="001005D2" w:rsidRPr="004B0DDF" w:rsidRDefault="004D6453" w:rsidP="009C76A6">
      <w:pPr>
        <w:pStyle w:val="ListParagraph"/>
        <w:numPr>
          <w:ilvl w:val="0"/>
          <w:numId w:val="28"/>
        </w:numPr>
        <w:spacing w:line="240" w:lineRule="auto"/>
        <w:ind w:hanging="930"/>
        <w:rPr>
          <w:b/>
        </w:rPr>
      </w:pPr>
      <w:r w:rsidRPr="004B0DDF">
        <w:rPr>
          <w:b/>
        </w:rPr>
        <w:t>SZCZEGÓŁOWE DANE KLINICZNE</w:t>
      </w:r>
    </w:p>
    <w:p w14:paraId="7436481A" w14:textId="77777777" w:rsidR="001005D2" w:rsidRPr="004B0DDF" w:rsidRDefault="001005D2" w:rsidP="009C76A6">
      <w:pPr>
        <w:spacing w:line="240" w:lineRule="auto"/>
        <w:rPr>
          <w:szCs w:val="22"/>
        </w:rPr>
      </w:pPr>
    </w:p>
    <w:p w14:paraId="7436481B" w14:textId="77777777" w:rsidR="001005D2" w:rsidRPr="004B0DDF" w:rsidRDefault="004D6453" w:rsidP="009C76A6">
      <w:pPr>
        <w:pStyle w:val="ListParagraph"/>
        <w:numPr>
          <w:ilvl w:val="1"/>
          <w:numId w:val="28"/>
        </w:numPr>
        <w:spacing w:line="240" w:lineRule="auto"/>
        <w:ind w:hanging="930"/>
        <w:outlineLvl w:val="0"/>
        <w:rPr>
          <w:szCs w:val="22"/>
        </w:rPr>
      </w:pPr>
      <w:r w:rsidRPr="004B0DDF">
        <w:rPr>
          <w:b/>
        </w:rPr>
        <w:t>Wskazania do stosowania</w:t>
      </w:r>
    </w:p>
    <w:p w14:paraId="7436481C" w14:textId="77777777" w:rsidR="001005D2" w:rsidRPr="004B0DDF" w:rsidRDefault="001005D2" w:rsidP="009C76A6">
      <w:pPr>
        <w:spacing w:line="240" w:lineRule="auto"/>
        <w:rPr>
          <w:szCs w:val="22"/>
        </w:rPr>
      </w:pPr>
    </w:p>
    <w:p w14:paraId="7436481D" w14:textId="77777777" w:rsidR="001005D2" w:rsidRPr="004B0DDF" w:rsidRDefault="004D6453" w:rsidP="009C76A6">
      <w:pPr>
        <w:rPr>
          <w:i/>
          <w:color w:val="000000"/>
          <w:szCs w:val="22"/>
        </w:rPr>
      </w:pPr>
      <w:r w:rsidRPr="004B0DDF">
        <w:t>Cuprior jest przeznaczony do leczenia choroby Wilsona u osób dorosłych, młodzieży i dzieci w wieku ≥ 5 lat nietolerujących terapii D-penicylaminą.</w:t>
      </w:r>
    </w:p>
    <w:p w14:paraId="7436481E" w14:textId="77777777" w:rsidR="001005D2" w:rsidRPr="004B0DDF" w:rsidRDefault="001005D2" w:rsidP="009C76A6">
      <w:pPr>
        <w:spacing w:line="240" w:lineRule="auto"/>
        <w:rPr>
          <w:szCs w:val="22"/>
        </w:rPr>
      </w:pPr>
    </w:p>
    <w:p w14:paraId="7436481F"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Dawkowanie i sposób podawania</w:t>
      </w:r>
    </w:p>
    <w:p w14:paraId="74364820" w14:textId="77777777" w:rsidR="001005D2" w:rsidRPr="004B0DDF" w:rsidRDefault="001005D2" w:rsidP="009C76A6">
      <w:pPr>
        <w:spacing w:line="240" w:lineRule="auto"/>
        <w:rPr>
          <w:szCs w:val="22"/>
        </w:rPr>
      </w:pPr>
    </w:p>
    <w:p w14:paraId="74364821" w14:textId="77777777" w:rsidR="001005D2" w:rsidRPr="004B0DDF" w:rsidRDefault="004D6453" w:rsidP="009C76A6">
      <w:pPr>
        <w:rPr>
          <w:szCs w:val="22"/>
        </w:rPr>
      </w:pPr>
      <w:r w:rsidRPr="004B0DDF">
        <w:t xml:space="preserve">Leczenie powinien rozpoczynać jedynie lekarz specjalista mający doświadczenie w leczeniu choroby Wilsona. </w:t>
      </w:r>
    </w:p>
    <w:p w14:paraId="74364822" w14:textId="77777777" w:rsidR="001005D2" w:rsidRPr="004B0DDF" w:rsidRDefault="001005D2" w:rsidP="009C76A6">
      <w:pPr>
        <w:rPr>
          <w:szCs w:val="22"/>
        </w:rPr>
      </w:pPr>
    </w:p>
    <w:p w14:paraId="74364823" w14:textId="77777777" w:rsidR="001005D2" w:rsidRPr="004B0DDF" w:rsidRDefault="004D6453" w:rsidP="009C76A6">
      <w:pPr>
        <w:rPr>
          <w:szCs w:val="22"/>
        </w:rPr>
      </w:pPr>
      <w:r w:rsidRPr="004B0DDF">
        <w:rPr>
          <w:u w:val="single"/>
        </w:rPr>
        <w:t>Dawkowanie</w:t>
      </w:r>
    </w:p>
    <w:p w14:paraId="74364824" w14:textId="77777777" w:rsidR="001005D2" w:rsidRPr="004B0DDF" w:rsidRDefault="004D6453" w:rsidP="009C76A6">
      <w:pPr>
        <w:rPr>
          <w:szCs w:val="22"/>
        </w:rPr>
      </w:pPr>
      <w:r w:rsidRPr="004B0DDF">
        <w:t>Dawka początkowa odpowiada na ogół najmniejszej dawce z zakresu, a następnie dawkę należy dostosować zależnie od odpowiedzi klinicznej pa</w:t>
      </w:r>
      <w:r w:rsidRPr="004B0DDF">
        <w:t>cjenta (patrz punkt 4.4).</w:t>
      </w:r>
    </w:p>
    <w:p w14:paraId="74364825" w14:textId="77777777" w:rsidR="001005D2" w:rsidRPr="004B0DDF" w:rsidRDefault="001005D2" w:rsidP="009C76A6">
      <w:pPr>
        <w:tabs>
          <w:tab w:val="clear" w:pos="567"/>
        </w:tabs>
        <w:autoSpaceDE w:val="0"/>
        <w:autoSpaceDN w:val="0"/>
        <w:adjustRightInd w:val="0"/>
        <w:spacing w:line="240" w:lineRule="auto"/>
        <w:rPr>
          <w:i/>
          <w:iCs/>
          <w:szCs w:val="22"/>
        </w:rPr>
      </w:pPr>
    </w:p>
    <w:p w14:paraId="74364826" w14:textId="77777777" w:rsidR="001005D2" w:rsidRPr="004B0DDF" w:rsidRDefault="004D6453" w:rsidP="009C76A6">
      <w:pPr>
        <w:tabs>
          <w:tab w:val="clear" w:pos="567"/>
        </w:tabs>
        <w:autoSpaceDE w:val="0"/>
        <w:autoSpaceDN w:val="0"/>
        <w:adjustRightInd w:val="0"/>
        <w:spacing w:line="240" w:lineRule="auto"/>
        <w:rPr>
          <w:iCs/>
          <w:szCs w:val="22"/>
        </w:rPr>
      </w:pPr>
      <w:r w:rsidRPr="004B0DDF">
        <w:t>Zalecana dawka wynosi od 450 mg do 975 mg (3 do 6</w:t>
      </w:r>
      <w:r w:rsidRPr="004B0DDF">
        <w:rPr>
          <w:b/>
        </w:rPr>
        <w:t xml:space="preserve">½ </w:t>
      </w:r>
      <w:r w:rsidRPr="004B0DDF">
        <w:t xml:space="preserve">tabletki powlekanej) na dobę w 2 do 4 dawek podzielonych. </w:t>
      </w:r>
    </w:p>
    <w:p w14:paraId="74364827" w14:textId="77777777" w:rsidR="001005D2" w:rsidRPr="004B0DDF" w:rsidRDefault="001005D2" w:rsidP="009C76A6">
      <w:pPr>
        <w:tabs>
          <w:tab w:val="clear" w:pos="567"/>
        </w:tabs>
        <w:autoSpaceDE w:val="0"/>
        <w:autoSpaceDN w:val="0"/>
        <w:adjustRightInd w:val="0"/>
        <w:spacing w:line="240" w:lineRule="auto"/>
        <w:rPr>
          <w:iCs/>
          <w:szCs w:val="22"/>
          <w:u w:val="single"/>
        </w:rPr>
      </w:pPr>
    </w:p>
    <w:p w14:paraId="74364828" w14:textId="77777777" w:rsidR="001005D2" w:rsidRPr="004B0DDF" w:rsidRDefault="004D6453" w:rsidP="009C76A6">
      <w:pPr>
        <w:tabs>
          <w:tab w:val="clear" w:pos="567"/>
        </w:tabs>
        <w:autoSpaceDE w:val="0"/>
        <w:autoSpaceDN w:val="0"/>
        <w:adjustRightInd w:val="0"/>
        <w:spacing w:line="240" w:lineRule="auto"/>
        <w:rPr>
          <w:i/>
          <w:iCs/>
          <w:szCs w:val="22"/>
          <w:u w:val="single"/>
        </w:rPr>
      </w:pPr>
      <w:r w:rsidRPr="004B0DDF">
        <w:rPr>
          <w:i/>
          <w:u w:val="single"/>
        </w:rPr>
        <w:t>Szczególne grupy pacjentów</w:t>
      </w:r>
    </w:p>
    <w:p w14:paraId="74364829" w14:textId="77777777" w:rsidR="001005D2" w:rsidRPr="004B0DDF" w:rsidRDefault="004D6453" w:rsidP="009C76A6">
      <w:pPr>
        <w:tabs>
          <w:tab w:val="clear" w:pos="567"/>
        </w:tabs>
        <w:autoSpaceDE w:val="0"/>
        <w:autoSpaceDN w:val="0"/>
        <w:adjustRightInd w:val="0"/>
        <w:spacing w:line="240" w:lineRule="auto"/>
        <w:rPr>
          <w:i/>
          <w:iCs/>
          <w:szCs w:val="22"/>
        </w:rPr>
      </w:pPr>
      <w:r w:rsidRPr="004B0DDF">
        <w:rPr>
          <w:i/>
        </w:rPr>
        <w:t xml:space="preserve">Osoby w podeszłym wieku </w:t>
      </w:r>
    </w:p>
    <w:p w14:paraId="7436482A" w14:textId="77777777" w:rsidR="001005D2" w:rsidRPr="004B0DDF" w:rsidRDefault="004D6453" w:rsidP="009C76A6">
      <w:pPr>
        <w:rPr>
          <w:rFonts w:eastAsia="Times New Roman"/>
          <w:szCs w:val="22"/>
        </w:rPr>
      </w:pPr>
      <w:r w:rsidRPr="004B0DDF">
        <w:t>Nie ma potrzeby modyfikacji dawki u osób w podeszłym wieku.</w:t>
      </w:r>
    </w:p>
    <w:p w14:paraId="7436482B" w14:textId="77777777" w:rsidR="001005D2" w:rsidRPr="004B0DDF" w:rsidRDefault="001005D2" w:rsidP="009C76A6">
      <w:pPr>
        <w:rPr>
          <w:rFonts w:eastAsia="Times New Roman"/>
          <w:szCs w:val="22"/>
        </w:rPr>
      </w:pPr>
    </w:p>
    <w:p w14:paraId="7436482C" w14:textId="77777777" w:rsidR="001005D2" w:rsidRPr="004B0DDF" w:rsidRDefault="004D6453" w:rsidP="009C76A6">
      <w:pPr>
        <w:tabs>
          <w:tab w:val="clear" w:pos="567"/>
        </w:tabs>
        <w:autoSpaceDE w:val="0"/>
        <w:autoSpaceDN w:val="0"/>
        <w:adjustRightInd w:val="0"/>
        <w:spacing w:line="240" w:lineRule="auto"/>
        <w:rPr>
          <w:i/>
          <w:iCs/>
          <w:szCs w:val="22"/>
        </w:rPr>
      </w:pPr>
      <w:r w:rsidRPr="004B0DDF">
        <w:rPr>
          <w:i/>
        </w:rPr>
        <w:t>Zaburzenie czynności nerek</w:t>
      </w:r>
    </w:p>
    <w:p w14:paraId="7436482D" w14:textId="77777777" w:rsidR="001005D2" w:rsidRPr="004B0DDF" w:rsidRDefault="004D6453" w:rsidP="009C76A6">
      <w:pPr>
        <w:tabs>
          <w:tab w:val="clear" w:pos="567"/>
        </w:tabs>
        <w:autoSpaceDE w:val="0"/>
        <w:autoSpaceDN w:val="0"/>
        <w:adjustRightInd w:val="0"/>
        <w:spacing w:line="240" w:lineRule="auto"/>
        <w:rPr>
          <w:rFonts w:eastAsia="Times New Roman"/>
          <w:szCs w:val="22"/>
        </w:rPr>
      </w:pPr>
      <w:r w:rsidRPr="004B0DDF">
        <w:t>Dane dotyczące stosowania u pacjentów z zaburzeniem czynności nerek są ograniczone. Nie ma konieczności specjalnej modyfikacji dawki u tych pacjentów (patrz punkt 4.4).</w:t>
      </w:r>
    </w:p>
    <w:p w14:paraId="7436482E" w14:textId="77777777" w:rsidR="001005D2" w:rsidRPr="004B0DDF" w:rsidRDefault="001005D2" w:rsidP="009C76A6">
      <w:pPr>
        <w:rPr>
          <w:szCs w:val="22"/>
        </w:rPr>
      </w:pPr>
    </w:p>
    <w:p w14:paraId="7436482F" w14:textId="77777777" w:rsidR="001005D2" w:rsidRPr="004B0DDF" w:rsidRDefault="004D6453" w:rsidP="009C76A6">
      <w:pPr>
        <w:rPr>
          <w:iCs/>
          <w:szCs w:val="22"/>
          <w:u w:val="single"/>
        </w:rPr>
      </w:pPr>
      <w:r w:rsidRPr="004B0DDF">
        <w:rPr>
          <w:u w:val="single"/>
        </w:rPr>
        <w:t>Dzieci i młodzież</w:t>
      </w:r>
    </w:p>
    <w:p w14:paraId="74364830" w14:textId="77777777" w:rsidR="001005D2" w:rsidRPr="004B0DDF" w:rsidRDefault="004D6453" w:rsidP="009C76A6">
      <w:pPr>
        <w:rPr>
          <w:szCs w:val="22"/>
        </w:rPr>
      </w:pPr>
      <w:r w:rsidRPr="004B0DDF">
        <w:t>Dawka początkowa dla dzieci i młodzieży j</w:t>
      </w:r>
      <w:r w:rsidRPr="004B0DDF">
        <w:t xml:space="preserve">est niższa niż w przypadku osób dorosłych i zależy od wieku oraz masy ciała. </w:t>
      </w:r>
    </w:p>
    <w:p w14:paraId="74364831" w14:textId="77777777" w:rsidR="001005D2" w:rsidRPr="004B0DDF" w:rsidRDefault="001005D2" w:rsidP="009C76A6">
      <w:pPr>
        <w:rPr>
          <w:szCs w:val="22"/>
        </w:rPr>
      </w:pPr>
    </w:p>
    <w:p w14:paraId="74364832" w14:textId="77777777" w:rsidR="001005D2" w:rsidRPr="004B0DDF" w:rsidRDefault="004D6453" w:rsidP="009C76A6">
      <w:pPr>
        <w:rPr>
          <w:i/>
          <w:szCs w:val="22"/>
        </w:rPr>
      </w:pPr>
      <w:r w:rsidRPr="004B0DDF">
        <w:rPr>
          <w:i/>
        </w:rPr>
        <w:t xml:space="preserve">Dzieci </w:t>
      </w:r>
      <w:r w:rsidRPr="004B0DDF">
        <w:t xml:space="preserve">≥ </w:t>
      </w:r>
      <w:r w:rsidRPr="004B0DDF">
        <w:rPr>
          <w:i/>
        </w:rPr>
        <w:t xml:space="preserve">5 lat </w:t>
      </w:r>
    </w:p>
    <w:p w14:paraId="74364833" w14:textId="77777777" w:rsidR="001005D2" w:rsidRPr="004B0DDF" w:rsidRDefault="004D6453" w:rsidP="009C76A6">
      <w:pPr>
        <w:rPr>
          <w:szCs w:val="22"/>
        </w:rPr>
      </w:pPr>
      <w:r w:rsidRPr="004B0DDF">
        <w:t xml:space="preserve">Dawka wynosi na ogół od 225 mg do 600 mg na dobę (1½ do 4 tabletek powlekanych) w 2 do 4 dawek podzielonych. </w:t>
      </w:r>
    </w:p>
    <w:p w14:paraId="74364834" w14:textId="77777777" w:rsidR="001005D2" w:rsidRPr="004B0DDF" w:rsidRDefault="001005D2" w:rsidP="009C76A6">
      <w:pPr>
        <w:rPr>
          <w:szCs w:val="22"/>
        </w:rPr>
      </w:pPr>
    </w:p>
    <w:p w14:paraId="74364835" w14:textId="77777777" w:rsidR="001005D2" w:rsidRPr="004B0DDF" w:rsidRDefault="004D6453" w:rsidP="009C76A6">
      <w:pPr>
        <w:rPr>
          <w:i/>
          <w:iCs/>
          <w:szCs w:val="22"/>
        </w:rPr>
      </w:pPr>
      <w:r w:rsidRPr="004B0DDF">
        <w:rPr>
          <w:i/>
        </w:rPr>
        <w:lastRenderedPageBreak/>
        <w:t>Dzieci w wieku poniżej 5 lat</w:t>
      </w:r>
    </w:p>
    <w:p w14:paraId="74364836" w14:textId="77777777" w:rsidR="001005D2" w:rsidRPr="004B0DDF" w:rsidRDefault="004D6453" w:rsidP="009C76A6">
      <w:pPr>
        <w:tabs>
          <w:tab w:val="clear" w:pos="567"/>
        </w:tabs>
        <w:autoSpaceDE w:val="0"/>
        <w:autoSpaceDN w:val="0"/>
        <w:adjustRightInd w:val="0"/>
        <w:spacing w:line="240" w:lineRule="auto"/>
        <w:rPr>
          <w:szCs w:val="22"/>
        </w:rPr>
      </w:pPr>
      <w:r w:rsidRPr="004B0DDF">
        <w:t xml:space="preserve">Nie określono bezpieczeństwa stosowania ani skuteczności trientyny u dzieci w wieku poniżej 5 lat. </w:t>
      </w:r>
    </w:p>
    <w:p w14:paraId="74364837" w14:textId="77777777" w:rsidR="001005D2" w:rsidRPr="004B0DDF" w:rsidRDefault="004D6453" w:rsidP="009C76A6">
      <w:pPr>
        <w:tabs>
          <w:tab w:val="clear" w:pos="567"/>
        </w:tabs>
        <w:autoSpaceDE w:val="0"/>
        <w:autoSpaceDN w:val="0"/>
        <w:adjustRightInd w:val="0"/>
        <w:spacing w:line="240" w:lineRule="auto"/>
        <w:rPr>
          <w:szCs w:val="22"/>
        </w:rPr>
      </w:pPr>
      <w:r w:rsidRPr="004B0DDF">
        <w:t>Ta postać farmac</w:t>
      </w:r>
      <w:r w:rsidRPr="004B0DDF">
        <w:t>eutyczna nie jest odpowiednia do podawania dzieciom w wieku poniżej 5 lat.</w:t>
      </w:r>
    </w:p>
    <w:p w14:paraId="74364838" w14:textId="77777777" w:rsidR="001005D2" w:rsidRPr="004B0DDF" w:rsidRDefault="001005D2" w:rsidP="009C76A6">
      <w:pPr>
        <w:rPr>
          <w:highlight w:val="yellow"/>
        </w:rPr>
      </w:pPr>
    </w:p>
    <w:p w14:paraId="74364839" w14:textId="77777777" w:rsidR="001005D2" w:rsidRPr="004B0DDF" w:rsidRDefault="004D6453" w:rsidP="009C76A6">
      <w:pPr>
        <w:rPr>
          <w:szCs w:val="22"/>
        </w:rPr>
      </w:pPr>
      <w:r w:rsidRPr="004B0DDF">
        <w:t xml:space="preserve">Zalecane dawki produktu leczniczego Cuprior podano w mg trientyny - zasady (tzn. nie w mg tetrachlorowodorku trientyny). </w:t>
      </w:r>
    </w:p>
    <w:p w14:paraId="7436483A" w14:textId="77777777" w:rsidR="001005D2" w:rsidRPr="004B0DDF" w:rsidRDefault="001005D2" w:rsidP="009C76A6">
      <w:pPr>
        <w:tabs>
          <w:tab w:val="clear" w:pos="567"/>
          <w:tab w:val="left" w:pos="7309"/>
        </w:tabs>
        <w:rPr>
          <w:szCs w:val="22"/>
        </w:rPr>
      </w:pPr>
    </w:p>
    <w:p w14:paraId="7436483B" w14:textId="77777777" w:rsidR="001005D2" w:rsidRPr="004B0DDF" w:rsidRDefault="004D6453" w:rsidP="009C76A6">
      <w:pPr>
        <w:autoSpaceDE w:val="0"/>
        <w:autoSpaceDN w:val="0"/>
        <w:adjustRightInd w:val="0"/>
        <w:rPr>
          <w:szCs w:val="22"/>
          <w:u w:val="single"/>
        </w:rPr>
      </w:pPr>
      <w:r w:rsidRPr="004B0DDF">
        <w:rPr>
          <w:u w:val="single"/>
        </w:rPr>
        <w:t>Sposób podawania</w:t>
      </w:r>
    </w:p>
    <w:p w14:paraId="7436483C" w14:textId="77777777" w:rsidR="001005D2" w:rsidRPr="004B0DDF" w:rsidRDefault="004D6453" w:rsidP="009C76A6">
      <w:pPr>
        <w:autoSpaceDE w:val="0"/>
        <w:autoSpaceDN w:val="0"/>
        <w:adjustRightInd w:val="0"/>
        <w:rPr>
          <w:szCs w:val="22"/>
        </w:rPr>
      </w:pPr>
      <w:r w:rsidRPr="004B0DDF">
        <w:t>Cuprior przeznaczony jest do podania dou</w:t>
      </w:r>
      <w:r w:rsidRPr="004B0DDF">
        <w:t>stnego. Tabletki powlekane należy połykać popijając wodą. Tabletkę powlekaną z linią podziału w razie potrzeby można podzielić na pół, aby umożliwić dokładniejsze dawkowanie lub ułatwić podawanie.</w:t>
      </w:r>
    </w:p>
    <w:p w14:paraId="7436483D" w14:textId="77777777" w:rsidR="001005D2" w:rsidRPr="004B0DDF" w:rsidRDefault="001005D2" w:rsidP="009C76A6">
      <w:pPr>
        <w:autoSpaceDE w:val="0"/>
        <w:autoSpaceDN w:val="0"/>
        <w:adjustRightInd w:val="0"/>
        <w:rPr>
          <w:szCs w:val="22"/>
        </w:rPr>
      </w:pPr>
    </w:p>
    <w:p w14:paraId="7436483E" w14:textId="77777777" w:rsidR="001005D2" w:rsidRPr="004B0DDF" w:rsidRDefault="004D6453" w:rsidP="009C76A6">
      <w:pPr>
        <w:autoSpaceDE w:val="0"/>
        <w:autoSpaceDN w:val="0"/>
        <w:adjustRightInd w:val="0"/>
        <w:rPr>
          <w:szCs w:val="22"/>
        </w:rPr>
      </w:pPr>
      <w:r w:rsidRPr="004B0DDF">
        <w:t>Ważne jest, aby podawać Cuprior na pusty żołądek, co najmn</w:t>
      </w:r>
      <w:r w:rsidRPr="004B0DDF">
        <w:t xml:space="preserve">iej godzinę przed posiłkiem lub dwie godziny po posiłku i w odstępie co najmniej godziny od innego produktu leczniczego, pokarmu lub mleka (patrz punkt 4.5). </w:t>
      </w:r>
    </w:p>
    <w:p w14:paraId="7436483F" w14:textId="77777777" w:rsidR="001005D2" w:rsidRPr="004B0DDF" w:rsidRDefault="001005D2" w:rsidP="009C76A6">
      <w:pPr>
        <w:spacing w:line="240" w:lineRule="auto"/>
        <w:ind w:left="567" w:hanging="567"/>
        <w:rPr>
          <w:b/>
          <w:szCs w:val="22"/>
        </w:rPr>
      </w:pPr>
    </w:p>
    <w:p w14:paraId="74364840"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Przeciwwskazania</w:t>
      </w:r>
    </w:p>
    <w:p w14:paraId="74364841" w14:textId="77777777" w:rsidR="001005D2" w:rsidRPr="004B0DDF" w:rsidRDefault="001005D2" w:rsidP="009C76A6">
      <w:pPr>
        <w:spacing w:line="240" w:lineRule="auto"/>
        <w:rPr>
          <w:szCs w:val="22"/>
        </w:rPr>
      </w:pPr>
    </w:p>
    <w:p w14:paraId="74364842" w14:textId="77777777" w:rsidR="001005D2" w:rsidRPr="004B0DDF" w:rsidRDefault="004D6453" w:rsidP="009C76A6">
      <w:pPr>
        <w:rPr>
          <w:szCs w:val="22"/>
        </w:rPr>
      </w:pPr>
      <w:r w:rsidRPr="004B0DDF">
        <w:t>Nadwrażliwość na substancję czynną lub na którąkolwiek substancję pomocniczą w</w:t>
      </w:r>
      <w:r w:rsidRPr="004B0DDF">
        <w:t>ymienioną w punkcie 6.1.</w:t>
      </w:r>
    </w:p>
    <w:p w14:paraId="74364843" w14:textId="77777777" w:rsidR="001005D2" w:rsidRPr="004B0DDF" w:rsidRDefault="001005D2" w:rsidP="009C76A6">
      <w:pPr>
        <w:spacing w:line="240" w:lineRule="auto"/>
        <w:rPr>
          <w:szCs w:val="22"/>
        </w:rPr>
      </w:pPr>
    </w:p>
    <w:p w14:paraId="74364844"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Specjalne ostrzeżenia i środki ostrożności dotyczące stosowania</w:t>
      </w:r>
    </w:p>
    <w:p w14:paraId="74364845" w14:textId="77777777" w:rsidR="001005D2" w:rsidRPr="004B0DDF" w:rsidRDefault="001005D2" w:rsidP="009C76A6">
      <w:pPr>
        <w:spacing w:line="240" w:lineRule="auto"/>
        <w:ind w:left="567" w:hanging="567"/>
        <w:rPr>
          <w:b/>
          <w:szCs w:val="22"/>
        </w:rPr>
      </w:pPr>
    </w:p>
    <w:p w14:paraId="74364846" w14:textId="77777777" w:rsidR="001005D2" w:rsidRPr="004B0DDF" w:rsidRDefault="004D6453" w:rsidP="009C76A6">
      <w:pPr>
        <w:rPr>
          <w:szCs w:val="22"/>
        </w:rPr>
      </w:pPr>
      <w:r w:rsidRPr="004B0DDF">
        <w:t>Należy zachować ostrożność w przypadku zmiany terapii u pacjenta z innego preparatu trientyny, ponieważ dawki podane w przeliczeniu na trientynę – zasadę mogą nie od</w:t>
      </w:r>
      <w:r w:rsidRPr="004B0DDF">
        <w:t xml:space="preserve">powiadać dotychczasowym dawkom (patrz punkt 4.2). </w:t>
      </w:r>
    </w:p>
    <w:p w14:paraId="74364847" w14:textId="77777777" w:rsidR="001005D2" w:rsidRPr="004B0DDF" w:rsidRDefault="001005D2" w:rsidP="009C76A6">
      <w:pPr>
        <w:rPr>
          <w:szCs w:val="22"/>
        </w:rPr>
      </w:pPr>
    </w:p>
    <w:p w14:paraId="74364848" w14:textId="77777777" w:rsidR="001005D2" w:rsidRPr="004B0DDF" w:rsidRDefault="004D6453" w:rsidP="009C76A6">
      <w:pPr>
        <w:tabs>
          <w:tab w:val="clear" w:pos="567"/>
        </w:tabs>
        <w:autoSpaceDE w:val="0"/>
        <w:autoSpaceDN w:val="0"/>
        <w:adjustRightInd w:val="0"/>
        <w:spacing w:line="240" w:lineRule="auto"/>
        <w:rPr>
          <w:szCs w:val="22"/>
        </w:rPr>
      </w:pPr>
      <w:r w:rsidRPr="004B0DDF">
        <w:t xml:space="preserve">Trientyna jest środkiem chelatującym, który, jak stwierdzono, obniża stężenie żelaza w surowicy. W przypadku niedokrwistości z niedoboru żelaza może być konieczne przyjmowanie suplementów żelaza. Należy je podawać o innej porze (patrz punkt 4.5). </w:t>
      </w:r>
    </w:p>
    <w:p w14:paraId="74364849" w14:textId="77777777" w:rsidR="001005D2" w:rsidRPr="004B0DDF" w:rsidRDefault="001005D2" w:rsidP="009C76A6">
      <w:pPr>
        <w:tabs>
          <w:tab w:val="clear" w:pos="567"/>
        </w:tabs>
        <w:autoSpaceDE w:val="0"/>
        <w:autoSpaceDN w:val="0"/>
        <w:adjustRightInd w:val="0"/>
        <w:spacing w:line="240" w:lineRule="auto"/>
        <w:rPr>
          <w:szCs w:val="22"/>
        </w:rPr>
      </w:pPr>
    </w:p>
    <w:p w14:paraId="7436484A" w14:textId="77777777" w:rsidR="001005D2" w:rsidRPr="004B0DDF" w:rsidRDefault="004D6453" w:rsidP="009C76A6">
      <w:pPr>
        <w:tabs>
          <w:tab w:val="clear" w:pos="567"/>
        </w:tabs>
        <w:autoSpaceDE w:val="0"/>
        <w:autoSpaceDN w:val="0"/>
        <w:adjustRightInd w:val="0"/>
        <w:spacing w:line="240" w:lineRule="auto"/>
        <w:rPr>
          <w:szCs w:val="22"/>
        </w:rPr>
      </w:pPr>
      <w:r w:rsidRPr="004B0DDF">
        <w:t>Nie jes</w:t>
      </w:r>
      <w:r w:rsidRPr="004B0DDF">
        <w:t>t zalecane łączenie trientyny z cynkiem. Dostępne są jedynie ograniczone dane na temat ich jednoczesnego stosowania i nie można podać szczegółowych zaleceń odnośnie do dawkowania.</w:t>
      </w:r>
    </w:p>
    <w:p w14:paraId="7436484B" w14:textId="77777777" w:rsidR="001005D2" w:rsidRPr="004B0DDF" w:rsidRDefault="001005D2" w:rsidP="009C76A6">
      <w:pPr>
        <w:tabs>
          <w:tab w:val="clear" w:pos="567"/>
        </w:tabs>
        <w:autoSpaceDE w:val="0"/>
        <w:autoSpaceDN w:val="0"/>
        <w:adjustRightInd w:val="0"/>
        <w:spacing w:line="240" w:lineRule="auto"/>
        <w:rPr>
          <w:szCs w:val="22"/>
        </w:rPr>
      </w:pPr>
    </w:p>
    <w:p w14:paraId="7436484C" w14:textId="77777777" w:rsidR="001005D2" w:rsidRPr="004B0DDF" w:rsidRDefault="004D6453" w:rsidP="009C76A6">
      <w:pPr>
        <w:tabs>
          <w:tab w:val="clear" w:pos="567"/>
        </w:tabs>
        <w:autoSpaceDE w:val="0"/>
        <w:autoSpaceDN w:val="0"/>
        <w:adjustRightInd w:val="0"/>
        <w:spacing w:line="240" w:lineRule="auto"/>
        <w:rPr>
          <w:szCs w:val="22"/>
        </w:rPr>
      </w:pPr>
      <w:r w:rsidRPr="004B0DDF">
        <w:t>Zgłaszano reakcje toczniopodobne u pacjentów leczonych wcześniej D-penicyla</w:t>
      </w:r>
      <w:r w:rsidRPr="004B0DDF">
        <w:t>miną, u których następnie stosowano trientynę, nie można jednak ustalić, czy istnieje związek przyczynowy z trientyną.</w:t>
      </w:r>
    </w:p>
    <w:p w14:paraId="7436484D" w14:textId="77777777" w:rsidR="001005D2" w:rsidRPr="004B0DDF" w:rsidRDefault="001005D2" w:rsidP="009C76A6">
      <w:pPr>
        <w:tabs>
          <w:tab w:val="clear" w:pos="567"/>
        </w:tabs>
        <w:autoSpaceDE w:val="0"/>
        <w:autoSpaceDN w:val="0"/>
        <w:adjustRightInd w:val="0"/>
        <w:spacing w:line="240" w:lineRule="auto"/>
        <w:rPr>
          <w:szCs w:val="22"/>
        </w:rPr>
      </w:pPr>
    </w:p>
    <w:p w14:paraId="7436484E" w14:textId="77777777" w:rsidR="001005D2" w:rsidRPr="004B0DDF" w:rsidRDefault="004D6453" w:rsidP="009C76A6">
      <w:pPr>
        <w:rPr>
          <w:szCs w:val="22"/>
          <w:u w:val="single"/>
        </w:rPr>
      </w:pPr>
      <w:r w:rsidRPr="004B0DDF">
        <w:rPr>
          <w:u w:val="single"/>
        </w:rPr>
        <w:t>Kontrolowanie pacjentów</w:t>
      </w:r>
    </w:p>
    <w:p w14:paraId="7436484F" w14:textId="77777777" w:rsidR="001005D2" w:rsidRPr="004B0DDF" w:rsidRDefault="004D6453" w:rsidP="009C76A6">
      <w:pPr>
        <w:rPr>
          <w:szCs w:val="22"/>
        </w:rPr>
      </w:pPr>
      <w:r w:rsidRPr="004B0DDF">
        <w:t>Pacjenci przyjmujący Cuprior powinni pozostawać pod regularnym nadzorem lekarskim i należy ich obserwować pod wz</w:t>
      </w:r>
      <w:r w:rsidRPr="004B0DDF">
        <w:t xml:space="preserve">ględem odpowiedniego ograniczenia objawów i stężeń miedzi w celu zoptymalizowania dawki (patrz punkt 4.2). </w:t>
      </w:r>
    </w:p>
    <w:p w14:paraId="74364850" w14:textId="77777777" w:rsidR="001005D2" w:rsidRPr="004B0DDF" w:rsidRDefault="001005D2" w:rsidP="009C76A6">
      <w:pPr>
        <w:rPr>
          <w:szCs w:val="22"/>
        </w:rPr>
      </w:pPr>
    </w:p>
    <w:p w14:paraId="74364851" w14:textId="77777777" w:rsidR="001005D2" w:rsidRPr="004B0DDF" w:rsidRDefault="004D6453" w:rsidP="009C76A6">
      <w:pPr>
        <w:rPr>
          <w:szCs w:val="22"/>
        </w:rPr>
      </w:pPr>
      <w:r w:rsidRPr="004B0DDF">
        <w:t>Leczenie podtrzymujące ma na celu utrzymanie stężeń wolnej miedzi w surowicy w dopuszczalnych granicach. Najbardziej wiarygodnym wskaźnikiem monito</w:t>
      </w:r>
      <w:r w:rsidRPr="004B0DDF">
        <w:t xml:space="preserve">rowania terapii jest oznaczenie stężenia wolnej miedzi w surowicy, które oblicza się jako różnicę między miedzią całkowitą i miedzią związaną z ceruloplazminą (prawidłowe stężenie wolnej miedzi w surowicy wynosi zwykle od 100 do 150 mikrogramów/l). </w:t>
      </w:r>
    </w:p>
    <w:p w14:paraId="74364852" w14:textId="77777777" w:rsidR="001005D2" w:rsidRPr="004B0DDF" w:rsidRDefault="001005D2" w:rsidP="009C76A6">
      <w:pPr>
        <w:rPr>
          <w:szCs w:val="22"/>
        </w:rPr>
      </w:pPr>
    </w:p>
    <w:p w14:paraId="74364853" w14:textId="77777777" w:rsidR="001005D2" w:rsidRPr="004B0DDF" w:rsidRDefault="004D6453" w:rsidP="009C76A6">
      <w:pPr>
        <w:rPr>
          <w:szCs w:val="22"/>
        </w:rPr>
      </w:pPr>
      <w:r w:rsidRPr="004B0DDF">
        <w:t xml:space="preserve">W </w:t>
      </w:r>
      <w:r w:rsidRPr="004B0DDF">
        <w:t>trakcie terapii można wykonać pomiar wydalania miedzi z moczem. Z uwagi na to, że terapia chelatująca prowadzi do wzrostu stężenia miedzi w moczu, może ono nie być/nie będzie dokładnym odzwierciedleniem nadmiernego obciążenia miedzią w organizmie, ale może</w:t>
      </w:r>
      <w:r w:rsidRPr="004B0DDF">
        <w:t xml:space="preserve"> być przydatnym miernikiem przestrzegania zaleceń dotyczących leczenia.</w:t>
      </w:r>
    </w:p>
    <w:p w14:paraId="74364854" w14:textId="77777777" w:rsidR="001005D2" w:rsidRPr="004B0DDF" w:rsidRDefault="001005D2" w:rsidP="009C76A6">
      <w:pPr>
        <w:rPr>
          <w:szCs w:val="22"/>
        </w:rPr>
      </w:pPr>
    </w:p>
    <w:p w14:paraId="74364855" w14:textId="77777777" w:rsidR="001005D2" w:rsidRPr="004B0DDF" w:rsidRDefault="004D6453" w:rsidP="009C76A6">
      <w:pPr>
        <w:rPr>
          <w:szCs w:val="22"/>
        </w:rPr>
      </w:pPr>
      <w:r w:rsidRPr="004B0DDF">
        <w:t>Na początku terapii chelatującej może nastąpić pogorszenie objawów klinicznych, w tym pogorszenie pod względem neurologicznym, z uwagi na nadmiar wolnej miedzi w surowicy w trakcie po</w:t>
      </w:r>
      <w:r w:rsidRPr="004B0DDF">
        <w:t xml:space="preserve">czątkowej </w:t>
      </w:r>
      <w:r w:rsidRPr="004B0DDF">
        <w:lastRenderedPageBreak/>
        <w:t>reakcji na leczenie. Wymagane jest uważne kontrolowanie w celu zoptymalizowania dawki lub modyfikacji leczenia w razie konieczności.</w:t>
      </w:r>
    </w:p>
    <w:p w14:paraId="74364856" w14:textId="77777777" w:rsidR="001005D2" w:rsidRPr="004B0DDF" w:rsidRDefault="001005D2" w:rsidP="009C76A6">
      <w:pPr>
        <w:rPr>
          <w:szCs w:val="22"/>
        </w:rPr>
      </w:pPr>
    </w:p>
    <w:p w14:paraId="74364857" w14:textId="77777777" w:rsidR="001005D2" w:rsidRPr="004B0DDF" w:rsidRDefault="004D6453" w:rsidP="009C76A6">
      <w:pPr>
        <w:keepNext/>
        <w:rPr>
          <w:szCs w:val="22"/>
          <w:u w:val="single"/>
        </w:rPr>
      </w:pPr>
      <w:r w:rsidRPr="004B0DDF">
        <w:rPr>
          <w:u w:val="single"/>
        </w:rPr>
        <w:t>Szczególne grupy pacjentów</w:t>
      </w:r>
    </w:p>
    <w:p w14:paraId="74364858" w14:textId="77777777" w:rsidR="001005D2" w:rsidRPr="004B0DDF" w:rsidRDefault="004D6453" w:rsidP="009C76A6">
      <w:pPr>
        <w:rPr>
          <w:szCs w:val="22"/>
        </w:rPr>
      </w:pPr>
      <w:r w:rsidRPr="004B0DDF">
        <w:t>Nadmierne stosowanie leku wiąże się z ryzykiem niedoboru miedzi. Należy monitorować p</w:t>
      </w:r>
      <w:r w:rsidRPr="004B0DDF">
        <w:t>acjentów w celu wykrycia oznak nadmiernego stosowanie leku, zwłaszcza w przypadku zmiany zapotrzebowania na miedź, na przykład w ciąży (patrz punkt 4.6) i u dzieci, u których utrzymanie odpowiedniego stężenia miedzi jest niezbędne dla zapewnienia prawidłow</w:t>
      </w:r>
      <w:r w:rsidRPr="004B0DDF">
        <w:t>ego wzrostu i rozwoju umysłowego.</w:t>
      </w:r>
    </w:p>
    <w:p w14:paraId="74364859" w14:textId="77777777" w:rsidR="001005D2" w:rsidRPr="004B0DDF" w:rsidRDefault="001005D2" w:rsidP="009C76A6">
      <w:pPr>
        <w:rPr>
          <w:szCs w:val="22"/>
        </w:rPr>
      </w:pPr>
    </w:p>
    <w:p w14:paraId="7436485A" w14:textId="77777777" w:rsidR="001005D2" w:rsidRPr="004B0DDF" w:rsidRDefault="004D6453" w:rsidP="009C76A6">
      <w:pPr>
        <w:rPr>
          <w:szCs w:val="22"/>
        </w:rPr>
      </w:pPr>
      <w:r w:rsidRPr="004B0DDF">
        <w:t>Pacjenci z zaburzeniem czynności nerek przyjmujący trientynę powinni pozostawać pod systematycznym nadzorem lekarskim i należy ich obserwować pod względem odpowiedniego ograniczenia objawów i stężeń miedzi. U tych pacjent</w:t>
      </w:r>
      <w:r w:rsidRPr="004B0DDF">
        <w:t>ów zalecane jest także uważne monitorowanie czynności nerek (patrz punkt 4.2).</w:t>
      </w:r>
    </w:p>
    <w:p w14:paraId="7436485B" w14:textId="77777777" w:rsidR="001005D2" w:rsidRPr="004B0DDF" w:rsidRDefault="001005D2" w:rsidP="009C76A6"/>
    <w:p w14:paraId="7436485C"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Interakcje z innymi produktami leczniczymi i inne rodzaje interakcji</w:t>
      </w:r>
    </w:p>
    <w:p w14:paraId="7436485D" w14:textId="77777777" w:rsidR="001005D2" w:rsidRPr="004B0DDF" w:rsidRDefault="001005D2" w:rsidP="009C76A6">
      <w:pPr>
        <w:spacing w:line="240" w:lineRule="auto"/>
        <w:rPr>
          <w:szCs w:val="22"/>
        </w:rPr>
      </w:pPr>
    </w:p>
    <w:p w14:paraId="7436485E" w14:textId="77777777" w:rsidR="001005D2" w:rsidRPr="004B0DDF" w:rsidRDefault="004D6453" w:rsidP="009C76A6">
      <w:pPr>
        <w:spacing w:line="240" w:lineRule="auto"/>
        <w:rPr>
          <w:szCs w:val="22"/>
        </w:rPr>
      </w:pPr>
      <w:r w:rsidRPr="004B0DDF">
        <w:t>Nie przeprowadzono badań dotyczących interakcji.</w:t>
      </w:r>
    </w:p>
    <w:p w14:paraId="7436485F" w14:textId="77777777" w:rsidR="001005D2" w:rsidRPr="004B0DDF" w:rsidRDefault="001005D2" w:rsidP="009C76A6">
      <w:pPr>
        <w:spacing w:line="240" w:lineRule="auto"/>
        <w:rPr>
          <w:szCs w:val="22"/>
        </w:rPr>
      </w:pPr>
    </w:p>
    <w:p w14:paraId="74364860" w14:textId="77777777" w:rsidR="001005D2" w:rsidRPr="004B0DDF" w:rsidRDefault="004D6453" w:rsidP="009C76A6">
      <w:pPr>
        <w:rPr>
          <w:szCs w:val="22"/>
        </w:rPr>
      </w:pPr>
      <w:r w:rsidRPr="004B0DDF">
        <w:t xml:space="preserve">Stwierdzono, że trientyna obniża stężenie żelaza w </w:t>
      </w:r>
      <w:r w:rsidRPr="004B0DDF">
        <w:t>surowicy, prawdopodobnie na skutek zmniejszenia jego wchłaniania, może więc być konieczne stosowanie suplementów żelaza. Z uwagi na to, że żelazo i trientyna mogą wzajemnie hamować swoje wchłanianie, suplementy żelaza należy przyjmować po upływie co najmni</w:t>
      </w:r>
      <w:r w:rsidRPr="004B0DDF">
        <w:t>ej dwóch godzin od podania trientyny.</w:t>
      </w:r>
    </w:p>
    <w:p w14:paraId="74364861" w14:textId="77777777" w:rsidR="001005D2" w:rsidRPr="004B0DDF" w:rsidRDefault="001005D2" w:rsidP="009C76A6">
      <w:pPr>
        <w:rPr>
          <w:szCs w:val="22"/>
        </w:rPr>
      </w:pPr>
    </w:p>
    <w:p w14:paraId="74364862" w14:textId="77777777" w:rsidR="001005D2" w:rsidRPr="004B0DDF" w:rsidRDefault="004D6453" w:rsidP="009C76A6">
      <w:pPr>
        <w:rPr>
          <w:szCs w:val="22"/>
        </w:rPr>
      </w:pPr>
      <w:r w:rsidRPr="004B0DDF">
        <w:t>Ponieważ trientyna źle wchłania się po podaniu doustnym a główny mechanizm działania wymaga ekspozycji ogólnoustrojowej (patrz punkt 5.1), ważne jest, aby podawać tabletki powlekane na pusty żołądek, co najmniej godzi</w:t>
      </w:r>
      <w:r w:rsidRPr="004B0DDF">
        <w:t>nę przed posiłkiem lub dwie godziny po posiłku oraz w odstępie co najmniej godziny od innego produktu leczniczego, pokarmu lub mleka (patrz punkt 4.2). Zwiększa to wchłanianie trientyny i zmniejsza prawdopodobieństwo wiązania produktu leczniczego z metalam</w:t>
      </w:r>
      <w:r w:rsidRPr="004B0DDF">
        <w:t xml:space="preserve">i w układzie pokarmowym. Nie przeprowadzono jednak badań dotyczących interakcji z pokarmami, a zatem zakres wpływu pokarmu na ogólnoustrojową ekspozycję na trientynę jest nieznany. </w:t>
      </w:r>
    </w:p>
    <w:p w14:paraId="74364863" w14:textId="77777777" w:rsidR="001005D2" w:rsidRPr="004B0DDF" w:rsidRDefault="001005D2" w:rsidP="009C76A6">
      <w:pPr>
        <w:rPr>
          <w:szCs w:val="22"/>
        </w:rPr>
      </w:pPr>
    </w:p>
    <w:p w14:paraId="74364864" w14:textId="77777777" w:rsidR="001005D2" w:rsidRPr="004B0DDF" w:rsidRDefault="004D6453" w:rsidP="009C76A6">
      <w:pPr>
        <w:rPr>
          <w:szCs w:val="22"/>
        </w:rPr>
      </w:pPr>
      <w:r w:rsidRPr="004B0DDF">
        <w:t>Pomimo braku dowodów na to, że środki zobojętniające kwasy zawierające wa</w:t>
      </w:r>
      <w:r w:rsidRPr="004B0DDF">
        <w:t>pń i magnez zmieniają skuteczność trientyny, dobrą praktyką jest podawanie ich oddzielnie.</w:t>
      </w:r>
    </w:p>
    <w:p w14:paraId="74364865" w14:textId="77777777" w:rsidR="001005D2" w:rsidRPr="004B0DDF" w:rsidRDefault="001005D2" w:rsidP="009C76A6">
      <w:pPr>
        <w:spacing w:line="240" w:lineRule="auto"/>
        <w:rPr>
          <w:szCs w:val="22"/>
        </w:rPr>
      </w:pPr>
    </w:p>
    <w:p w14:paraId="74364866"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Wpływ na płodność, ciążę i laktację</w:t>
      </w:r>
    </w:p>
    <w:p w14:paraId="74364867" w14:textId="77777777" w:rsidR="001005D2" w:rsidRPr="004B0DDF" w:rsidRDefault="001005D2" w:rsidP="009C76A6">
      <w:pPr>
        <w:spacing w:line="240" w:lineRule="auto"/>
        <w:rPr>
          <w:szCs w:val="22"/>
        </w:rPr>
      </w:pPr>
    </w:p>
    <w:p w14:paraId="74364868" w14:textId="77777777" w:rsidR="001005D2" w:rsidRPr="004B0DDF" w:rsidRDefault="004D6453" w:rsidP="009C76A6">
      <w:pPr>
        <w:rPr>
          <w:szCs w:val="22"/>
        </w:rPr>
      </w:pPr>
      <w:r w:rsidRPr="004B0DDF">
        <w:rPr>
          <w:u w:val="single"/>
        </w:rPr>
        <w:t>Ciąża</w:t>
      </w:r>
    </w:p>
    <w:p w14:paraId="74364869" w14:textId="77777777" w:rsidR="001005D2" w:rsidRPr="004B0DDF" w:rsidRDefault="004D6453" w:rsidP="009C76A6">
      <w:pPr>
        <w:rPr>
          <w:szCs w:val="22"/>
        </w:rPr>
      </w:pPr>
      <w:r w:rsidRPr="004B0DDF">
        <w:t>Istnieje ograniczona ilość danych dotyczących stosowania trientyny u kobiet w okresie ciąży.</w:t>
      </w:r>
    </w:p>
    <w:p w14:paraId="7436486A" w14:textId="77777777" w:rsidR="001005D2" w:rsidRPr="004B0DDF" w:rsidRDefault="001005D2" w:rsidP="009C76A6">
      <w:pPr>
        <w:rPr>
          <w:szCs w:val="22"/>
        </w:rPr>
      </w:pPr>
    </w:p>
    <w:p w14:paraId="7436486B" w14:textId="77777777" w:rsidR="001005D2" w:rsidRPr="004B0DDF" w:rsidRDefault="004D6453" w:rsidP="009C76A6">
      <w:pPr>
        <w:rPr>
          <w:szCs w:val="22"/>
        </w:rPr>
      </w:pPr>
      <w:r w:rsidRPr="004B0DDF">
        <w:t xml:space="preserve">W badaniach na zwierzętach </w:t>
      </w:r>
      <w:r w:rsidRPr="004B0DDF">
        <w:t>wykazano toksyczny wpływ na rozrodczość, który prawdopodobnie był wynikiem niedoboru miedzi wywołanego przez trientynę (patrz punkt 5.3).</w:t>
      </w:r>
    </w:p>
    <w:p w14:paraId="7436486C" w14:textId="77777777" w:rsidR="001005D2" w:rsidRPr="004B0DDF" w:rsidRDefault="001005D2" w:rsidP="009C76A6">
      <w:pPr>
        <w:rPr>
          <w:szCs w:val="22"/>
        </w:rPr>
      </w:pPr>
    </w:p>
    <w:p w14:paraId="7436486D" w14:textId="77777777" w:rsidR="001005D2" w:rsidRPr="004B0DDF" w:rsidRDefault="004D6453" w:rsidP="009C76A6">
      <w:pPr>
        <w:rPr>
          <w:szCs w:val="22"/>
        </w:rPr>
      </w:pPr>
      <w:r w:rsidRPr="004B0DDF">
        <w:t xml:space="preserve"> Cuprior powinien być stosowany u kobiet w ciąży po starannym rozważeniu korzyści w porównaniu z ryzykiem leczenia u </w:t>
      </w:r>
      <w:r w:rsidRPr="004B0DDF">
        <w:t>danej pacjentki. Czynniki, które należy uwzględnić, obejmują ryzyko związane z samą chorobą, ryzyko dostępnych terapii alternatywnych i ewentualne działania teratogenne trientyny (patrz punkt 5.3).</w:t>
      </w:r>
    </w:p>
    <w:p w14:paraId="7436486E" w14:textId="77777777" w:rsidR="001005D2" w:rsidRPr="004B0DDF" w:rsidRDefault="001005D2" w:rsidP="009C76A6">
      <w:pPr>
        <w:rPr>
          <w:szCs w:val="22"/>
        </w:rPr>
      </w:pPr>
    </w:p>
    <w:p w14:paraId="7436486F" w14:textId="77777777" w:rsidR="001005D2" w:rsidRPr="004B0DDF" w:rsidRDefault="004D6453" w:rsidP="009C76A6">
      <w:pPr>
        <w:rPr>
          <w:szCs w:val="22"/>
        </w:rPr>
      </w:pPr>
      <w:r w:rsidRPr="004B0DDF">
        <w:t>Ponieważ miedź jest niezbędna do prawidłowego wzrostu i r</w:t>
      </w:r>
      <w:r w:rsidRPr="004B0DDF">
        <w:t>ozwoju umysłowego, konieczna może być modyfikacja dawki, by nie doszło do niedoboru miedzi u płodu i istotna jest uważna obserwacja pacjentki (patrz punkt 4.4).</w:t>
      </w:r>
    </w:p>
    <w:p w14:paraId="74364870" w14:textId="77777777" w:rsidR="001005D2" w:rsidRPr="004B0DDF" w:rsidRDefault="001005D2" w:rsidP="009C76A6">
      <w:pPr>
        <w:rPr>
          <w:szCs w:val="22"/>
        </w:rPr>
      </w:pPr>
    </w:p>
    <w:p w14:paraId="74364871" w14:textId="77777777" w:rsidR="001005D2" w:rsidRPr="004B0DDF" w:rsidRDefault="004D6453" w:rsidP="009C76A6">
      <w:pPr>
        <w:rPr>
          <w:szCs w:val="22"/>
        </w:rPr>
      </w:pPr>
      <w:r w:rsidRPr="004B0DDF">
        <w:t xml:space="preserve">Ciążę należy ściśle monitorować w celu wykrycia ewentualnych nieprawidłowości u płodu i oceny </w:t>
      </w:r>
      <w:r w:rsidRPr="004B0DDF">
        <w:t xml:space="preserve">stężeń miedzi w surowicy matki przez cały okres ciąży. Dawkę trientyny należy dostosować w celu utrzymania stężeń miedzi w surowicy w prawidłowym zakresie. </w:t>
      </w:r>
    </w:p>
    <w:p w14:paraId="74364872" w14:textId="77777777" w:rsidR="001005D2" w:rsidRPr="004B0DDF" w:rsidRDefault="001005D2" w:rsidP="009C76A6">
      <w:pPr>
        <w:rPr>
          <w:szCs w:val="22"/>
        </w:rPr>
      </w:pPr>
    </w:p>
    <w:p w14:paraId="74364873" w14:textId="77777777" w:rsidR="001005D2" w:rsidRPr="004B0DDF" w:rsidRDefault="004D6453" w:rsidP="009C76A6">
      <w:pPr>
        <w:rPr>
          <w:szCs w:val="22"/>
        </w:rPr>
      </w:pPr>
      <w:r w:rsidRPr="004B0DDF">
        <w:lastRenderedPageBreak/>
        <w:t>W razie potrzeby, u dzieci urodzonych przez matki leczone trientyną należy obserwować stężenia mie</w:t>
      </w:r>
      <w:r w:rsidRPr="004B0DDF">
        <w:t>dzi w surowicy.</w:t>
      </w:r>
    </w:p>
    <w:p w14:paraId="74364874" w14:textId="77777777" w:rsidR="001005D2" w:rsidRPr="004B0DDF" w:rsidRDefault="001005D2" w:rsidP="009C76A6">
      <w:pPr>
        <w:rPr>
          <w:szCs w:val="22"/>
        </w:rPr>
      </w:pPr>
    </w:p>
    <w:p w14:paraId="74364875" w14:textId="77777777" w:rsidR="001005D2" w:rsidRPr="004B0DDF" w:rsidRDefault="004D6453" w:rsidP="009C76A6">
      <w:pPr>
        <w:rPr>
          <w:color w:val="000000"/>
          <w:szCs w:val="22"/>
        </w:rPr>
      </w:pPr>
      <w:r w:rsidRPr="004B0DDF">
        <w:rPr>
          <w:u w:val="single"/>
        </w:rPr>
        <w:t>Karmienie piersią</w:t>
      </w:r>
    </w:p>
    <w:p w14:paraId="74364876" w14:textId="77777777" w:rsidR="001005D2" w:rsidRPr="004B0DDF" w:rsidRDefault="004D6453" w:rsidP="009C76A6">
      <w:pPr>
        <w:autoSpaceDE w:val="0"/>
        <w:autoSpaceDN w:val="0"/>
        <w:adjustRightInd w:val="0"/>
        <w:rPr>
          <w:color w:val="000000"/>
          <w:szCs w:val="22"/>
        </w:rPr>
      </w:pPr>
      <w:r w:rsidRPr="004B0DDF">
        <w:rPr>
          <w:color w:val="000000"/>
        </w:rPr>
        <w:t>Nie wiadomo, czy trientyna przenika do mleka ludzkiego. Nie można wykluczyć zagrożenia dla noworodków/niemowląt. Należy podjąć decyzję, czy przerwać karmienie piersią, czy przerwać terapię produktem leczniczym Cuprior, bi</w:t>
      </w:r>
      <w:r w:rsidRPr="004B0DDF">
        <w:rPr>
          <w:color w:val="000000"/>
        </w:rPr>
        <w:t>orąc pod uwagę korzyści z karmienia piersią dla dziecka i korzyści z leczenia dla matki.</w:t>
      </w:r>
    </w:p>
    <w:p w14:paraId="74364877" w14:textId="77777777" w:rsidR="001005D2" w:rsidRPr="004B0DDF" w:rsidRDefault="001005D2" w:rsidP="009C76A6">
      <w:pPr>
        <w:rPr>
          <w:szCs w:val="22"/>
          <w:u w:val="single"/>
        </w:rPr>
      </w:pPr>
    </w:p>
    <w:p w14:paraId="74364878" w14:textId="77777777" w:rsidR="001005D2" w:rsidRPr="004B0DDF" w:rsidRDefault="004D6453" w:rsidP="009C76A6">
      <w:pPr>
        <w:keepNext/>
        <w:rPr>
          <w:szCs w:val="22"/>
          <w:u w:val="single"/>
        </w:rPr>
      </w:pPr>
      <w:r w:rsidRPr="004B0DDF">
        <w:rPr>
          <w:u w:val="single"/>
        </w:rPr>
        <w:t>Płodność</w:t>
      </w:r>
    </w:p>
    <w:p w14:paraId="74364879" w14:textId="77777777" w:rsidR="001005D2" w:rsidRPr="004B0DDF" w:rsidRDefault="004D6453" w:rsidP="009C76A6">
      <w:pPr>
        <w:rPr>
          <w:szCs w:val="22"/>
        </w:rPr>
      </w:pPr>
      <w:r w:rsidRPr="004B0DDF">
        <w:rPr>
          <w:color w:val="000000"/>
        </w:rPr>
        <w:t>Nie wiadomo, czy trientyna ma wpływ na płodność u ludzi.</w:t>
      </w:r>
    </w:p>
    <w:p w14:paraId="7436487A" w14:textId="77777777" w:rsidR="001005D2" w:rsidRPr="004B0DDF" w:rsidRDefault="001005D2" w:rsidP="009C76A6">
      <w:pPr>
        <w:spacing w:line="240" w:lineRule="auto"/>
        <w:rPr>
          <w:i/>
          <w:szCs w:val="22"/>
        </w:rPr>
      </w:pPr>
    </w:p>
    <w:p w14:paraId="7436487B"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Wpływ na zdolność prowadzenia pojazdów i obsługiwania maszyn</w:t>
      </w:r>
    </w:p>
    <w:p w14:paraId="7436487C" w14:textId="77777777" w:rsidR="001005D2" w:rsidRPr="004B0DDF" w:rsidRDefault="001005D2" w:rsidP="009C76A6">
      <w:pPr>
        <w:spacing w:line="240" w:lineRule="auto"/>
        <w:rPr>
          <w:szCs w:val="22"/>
        </w:rPr>
      </w:pPr>
    </w:p>
    <w:p w14:paraId="7436487D" w14:textId="77777777" w:rsidR="001005D2" w:rsidRPr="004B0DDF" w:rsidRDefault="004D6453" w:rsidP="009C76A6">
      <w:pPr>
        <w:rPr>
          <w:szCs w:val="22"/>
        </w:rPr>
      </w:pPr>
      <w:r w:rsidRPr="004B0DDF">
        <w:t xml:space="preserve"> Cuprior nie ma wpływu lub wywiera nieistotny wpływ na zdolność prowadzenia pojazdów i obsługiwania maszyn. </w:t>
      </w:r>
    </w:p>
    <w:p w14:paraId="7436487E" w14:textId="77777777" w:rsidR="001005D2" w:rsidRPr="004B0DDF" w:rsidRDefault="001005D2" w:rsidP="009C76A6">
      <w:pPr>
        <w:spacing w:line="240" w:lineRule="auto"/>
        <w:rPr>
          <w:szCs w:val="22"/>
        </w:rPr>
      </w:pPr>
    </w:p>
    <w:p w14:paraId="7436487F"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Działania niepożądane</w:t>
      </w:r>
    </w:p>
    <w:p w14:paraId="74364880" w14:textId="77777777" w:rsidR="001005D2" w:rsidRPr="004B0DDF" w:rsidRDefault="001005D2" w:rsidP="009C76A6">
      <w:pPr>
        <w:autoSpaceDE w:val="0"/>
        <w:autoSpaceDN w:val="0"/>
        <w:adjustRightInd w:val="0"/>
        <w:rPr>
          <w:szCs w:val="22"/>
        </w:rPr>
      </w:pPr>
    </w:p>
    <w:p w14:paraId="74364881" w14:textId="77777777" w:rsidR="001005D2" w:rsidRPr="004B0DDF" w:rsidRDefault="004D6453" w:rsidP="009C76A6">
      <w:pPr>
        <w:autoSpaceDE w:val="0"/>
        <w:autoSpaceDN w:val="0"/>
        <w:adjustRightInd w:val="0"/>
        <w:rPr>
          <w:szCs w:val="22"/>
          <w:u w:val="single"/>
        </w:rPr>
      </w:pPr>
      <w:r w:rsidRPr="004B0DDF">
        <w:rPr>
          <w:u w:val="single"/>
        </w:rPr>
        <w:t>Podsumowanie profilu bezpieczeństwa</w:t>
      </w:r>
    </w:p>
    <w:p w14:paraId="74364882" w14:textId="77777777" w:rsidR="001005D2" w:rsidRPr="004B0DDF" w:rsidRDefault="004D6453" w:rsidP="009C76A6">
      <w:pPr>
        <w:autoSpaceDE w:val="0"/>
        <w:autoSpaceDN w:val="0"/>
        <w:adjustRightInd w:val="0"/>
        <w:rPr>
          <w:rFonts w:eastAsia="Times New Roman"/>
          <w:szCs w:val="22"/>
        </w:rPr>
      </w:pPr>
      <w:r w:rsidRPr="004B0DDF">
        <w:t>Najczęściej zgłaszanym działaniem niepożądanym związanym z trientyną są nudności. W tra</w:t>
      </w:r>
      <w:r w:rsidRPr="004B0DDF">
        <w:t xml:space="preserve">kcie leczenia może wystąpić poważna niedokrwistość z niedoboru żelaza i ciężkie zapalenie okrężnicy. </w:t>
      </w:r>
    </w:p>
    <w:p w14:paraId="74364883" w14:textId="77777777" w:rsidR="001005D2" w:rsidRPr="004B0DDF" w:rsidRDefault="001005D2" w:rsidP="009C76A6">
      <w:pPr>
        <w:autoSpaceDE w:val="0"/>
        <w:autoSpaceDN w:val="0"/>
        <w:adjustRightInd w:val="0"/>
        <w:rPr>
          <w:szCs w:val="22"/>
        </w:rPr>
      </w:pPr>
    </w:p>
    <w:p w14:paraId="74364884" w14:textId="77777777" w:rsidR="001005D2" w:rsidRPr="004B0DDF" w:rsidRDefault="004D6453" w:rsidP="009C76A6">
      <w:pPr>
        <w:autoSpaceDE w:val="0"/>
        <w:autoSpaceDN w:val="0"/>
        <w:adjustRightInd w:val="0"/>
        <w:rPr>
          <w:szCs w:val="22"/>
          <w:u w:val="single"/>
        </w:rPr>
      </w:pPr>
      <w:r w:rsidRPr="004B0DDF">
        <w:rPr>
          <w:u w:val="single"/>
        </w:rPr>
        <w:t>Tabelaryczne zestawienie działań niepożądanych</w:t>
      </w:r>
    </w:p>
    <w:p w14:paraId="74364885" w14:textId="77777777" w:rsidR="001005D2" w:rsidRPr="004B0DDF" w:rsidRDefault="004D6453" w:rsidP="009C76A6">
      <w:pPr>
        <w:autoSpaceDE w:val="0"/>
        <w:autoSpaceDN w:val="0"/>
        <w:adjustRightInd w:val="0"/>
        <w:rPr>
          <w:szCs w:val="22"/>
        </w:rPr>
      </w:pPr>
      <w:r w:rsidRPr="004B0DDF">
        <w:t xml:space="preserve">Poniższe działania niepożądane zgłaszano w związku ze stosowaniem trientyny w leczeniu choroby Wilsona. </w:t>
      </w:r>
    </w:p>
    <w:p w14:paraId="74364886" w14:textId="77777777" w:rsidR="001005D2" w:rsidRPr="004B0DDF" w:rsidRDefault="004D6453" w:rsidP="009C76A6">
      <w:pPr>
        <w:autoSpaceDE w:val="0"/>
        <w:autoSpaceDN w:val="0"/>
        <w:adjustRightInd w:val="0"/>
        <w:rPr>
          <w:szCs w:val="22"/>
        </w:rPr>
      </w:pPr>
      <w:r w:rsidRPr="004B0DDF">
        <w:t>Częstość określono następująco: bardzo często (≥ 1/10); często (≥ 1/100 do &lt;1/10); niezbyt często (≥1/1 000 do &lt;1/100); rzadko (≥ 1/10 000 do &lt;1/1 000); bardzo rzadko (&lt;1/10 000), nieznana (częstość nie może być określona na podstawie dostępnych danych).</w:t>
      </w:r>
    </w:p>
    <w:p w14:paraId="74364887" w14:textId="77777777" w:rsidR="001005D2" w:rsidRPr="004B0DDF" w:rsidRDefault="001005D2" w:rsidP="009C76A6">
      <w:pPr>
        <w:autoSpaceDE w:val="0"/>
        <w:autoSpaceDN w:val="0"/>
        <w:adjustRightInd w:val="0"/>
        <w:jc w:val="both"/>
        <w:rPr>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gridCol w:w="3969"/>
      </w:tblGrid>
      <w:tr w:rsidR="00F67D32" w14:paraId="7436488A" w14:textId="77777777" w:rsidTr="009C76A6">
        <w:tc>
          <w:tcPr>
            <w:tcW w:w="3936" w:type="dxa"/>
          </w:tcPr>
          <w:p w14:paraId="74364888" w14:textId="77777777" w:rsidR="001005D2" w:rsidRPr="004B0DDF" w:rsidRDefault="004D6453" w:rsidP="009C76A6">
            <w:pPr>
              <w:tabs>
                <w:tab w:val="clear" w:pos="567"/>
                <w:tab w:val="left" w:pos="515"/>
              </w:tabs>
              <w:autoSpaceDE w:val="0"/>
              <w:autoSpaceDN w:val="0"/>
              <w:adjustRightInd w:val="0"/>
              <w:jc w:val="both"/>
              <w:rPr>
                <w:szCs w:val="22"/>
              </w:rPr>
            </w:pPr>
            <w:r w:rsidRPr="004B0DDF">
              <w:rPr>
                <w:b/>
              </w:rPr>
              <w:t>Klasyfikacja układów i narządów</w:t>
            </w:r>
          </w:p>
        </w:tc>
        <w:tc>
          <w:tcPr>
            <w:tcW w:w="3969" w:type="dxa"/>
          </w:tcPr>
          <w:p w14:paraId="74364889" w14:textId="77777777" w:rsidR="001005D2" w:rsidRPr="004B0DDF" w:rsidRDefault="004D6453" w:rsidP="009C76A6">
            <w:pPr>
              <w:tabs>
                <w:tab w:val="clear" w:pos="567"/>
                <w:tab w:val="left" w:pos="515"/>
              </w:tabs>
              <w:autoSpaceDE w:val="0"/>
              <w:autoSpaceDN w:val="0"/>
              <w:adjustRightInd w:val="0"/>
              <w:jc w:val="both"/>
              <w:rPr>
                <w:szCs w:val="22"/>
              </w:rPr>
            </w:pPr>
            <w:r w:rsidRPr="004B0DDF">
              <w:rPr>
                <w:b/>
              </w:rPr>
              <w:t>Działania niepożądane</w:t>
            </w:r>
          </w:p>
        </w:tc>
      </w:tr>
      <w:tr w:rsidR="00F67D32" w14:paraId="7436488D" w14:textId="77777777" w:rsidTr="009C76A6">
        <w:tc>
          <w:tcPr>
            <w:tcW w:w="3936" w:type="dxa"/>
          </w:tcPr>
          <w:p w14:paraId="7436488B" w14:textId="77777777" w:rsidR="001005D2" w:rsidRPr="004B0DDF" w:rsidRDefault="004D6453" w:rsidP="009C76A6">
            <w:pPr>
              <w:tabs>
                <w:tab w:val="clear" w:pos="567"/>
                <w:tab w:val="left" w:pos="515"/>
              </w:tabs>
              <w:autoSpaceDE w:val="0"/>
              <w:autoSpaceDN w:val="0"/>
              <w:adjustRightInd w:val="0"/>
              <w:jc w:val="both"/>
              <w:rPr>
                <w:szCs w:val="22"/>
              </w:rPr>
            </w:pPr>
            <w:r w:rsidRPr="004B0DDF">
              <w:t>Zaburzenia krwi i układu chłonnego</w:t>
            </w:r>
          </w:p>
        </w:tc>
        <w:tc>
          <w:tcPr>
            <w:tcW w:w="3969" w:type="dxa"/>
          </w:tcPr>
          <w:p w14:paraId="5CF1069E" w14:textId="4938C983" w:rsidR="004A13DB" w:rsidRPr="004A13DB" w:rsidRDefault="004D6453" w:rsidP="009C76A6">
            <w:pPr>
              <w:tabs>
                <w:tab w:val="clear" w:pos="567"/>
                <w:tab w:val="left" w:pos="515"/>
              </w:tabs>
              <w:autoSpaceDE w:val="0"/>
              <w:autoSpaceDN w:val="0"/>
              <w:adjustRightInd w:val="0"/>
              <w:jc w:val="both"/>
              <w:rPr>
                <w:iCs/>
              </w:rPr>
            </w:pPr>
            <w:r w:rsidRPr="004A13DB">
              <w:rPr>
                <w:i/>
              </w:rPr>
              <w:t>Niezbyt często:</w:t>
            </w:r>
            <w:r w:rsidRPr="004A13DB">
              <w:rPr>
                <w:iCs/>
              </w:rPr>
              <w:t xml:space="preserve"> </w:t>
            </w:r>
            <w:r>
              <w:rPr>
                <w:iCs/>
              </w:rPr>
              <w:t>n</w:t>
            </w:r>
            <w:r w:rsidRPr="004A13DB">
              <w:rPr>
                <w:iCs/>
              </w:rPr>
              <w:t>iedokrwistość syderoblastyczna</w:t>
            </w:r>
          </w:p>
          <w:p w14:paraId="7436488C" w14:textId="08A92B5B" w:rsidR="001005D2" w:rsidRPr="004B0DDF" w:rsidRDefault="004D6453" w:rsidP="009C76A6">
            <w:pPr>
              <w:tabs>
                <w:tab w:val="clear" w:pos="567"/>
                <w:tab w:val="left" w:pos="515"/>
              </w:tabs>
              <w:autoSpaceDE w:val="0"/>
              <w:autoSpaceDN w:val="0"/>
              <w:adjustRightInd w:val="0"/>
              <w:jc w:val="both"/>
              <w:rPr>
                <w:szCs w:val="22"/>
              </w:rPr>
            </w:pPr>
            <w:r w:rsidRPr="004B0DDF">
              <w:rPr>
                <w:i/>
              </w:rPr>
              <w:t xml:space="preserve">Częstość nieznana: </w:t>
            </w:r>
            <w:r w:rsidRPr="004B0DDF">
              <w:t>niedokrwistość z niedoboru żelaza</w:t>
            </w:r>
          </w:p>
        </w:tc>
      </w:tr>
      <w:tr w:rsidR="00F67D32" w14:paraId="74364891" w14:textId="77777777" w:rsidTr="009C76A6">
        <w:tc>
          <w:tcPr>
            <w:tcW w:w="3936" w:type="dxa"/>
          </w:tcPr>
          <w:p w14:paraId="7436488E" w14:textId="77777777" w:rsidR="001005D2" w:rsidRPr="004B0DDF" w:rsidRDefault="004D6453" w:rsidP="009C76A6">
            <w:pPr>
              <w:tabs>
                <w:tab w:val="clear" w:pos="567"/>
                <w:tab w:val="left" w:pos="515"/>
              </w:tabs>
              <w:autoSpaceDE w:val="0"/>
              <w:autoSpaceDN w:val="0"/>
              <w:adjustRightInd w:val="0"/>
              <w:jc w:val="both"/>
              <w:rPr>
                <w:szCs w:val="22"/>
              </w:rPr>
            </w:pPr>
            <w:r w:rsidRPr="004B0DDF">
              <w:t>Zaburzenia żołądka i jelit</w:t>
            </w:r>
          </w:p>
        </w:tc>
        <w:tc>
          <w:tcPr>
            <w:tcW w:w="3969" w:type="dxa"/>
          </w:tcPr>
          <w:p w14:paraId="7436488F" w14:textId="77777777" w:rsidR="001005D2" w:rsidRPr="004B0DDF" w:rsidRDefault="004D6453" w:rsidP="009C76A6">
            <w:pPr>
              <w:tabs>
                <w:tab w:val="clear" w:pos="567"/>
                <w:tab w:val="left" w:pos="515"/>
              </w:tabs>
              <w:autoSpaceDE w:val="0"/>
              <w:autoSpaceDN w:val="0"/>
              <w:adjustRightInd w:val="0"/>
              <w:jc w:val="both"/>
              <w:rPr>
                <w:szCs w:val="22"/>
              </w:rPr>
            </w:pPr>
            <w:r w:rsidRPr="004B0DDF">
              <w:rPr>
                <w:i/>
              </w:rPr>
              <w:t>Często:</w:t>
            </w:r>
            <w:r w:rsidRPr="004B0DDF">
              <w:t xml:space="preserve"> nudności </w:t>
            </w:r>
          </w:p>
          <w:p w14:paraId="74364890" w14:textId="77777777" w:rsidR="001005D2" w:rsidRPr="004B0DDF" w:rsidRDefault="004D6453" w:rsidP="009C76A6">
            <w:pPr>
              <w:tabs>
                <w:tab w:val="clear" w:pos="567"/>
                <w:tab w:val="left" w:pos="515"/>
              </w:tabs>
              <w:autoSpaceDE w:val="0"/>
              <w:autoSpaceDN w:val="0"/>
              <w:adjustRightInd w:val="0"/>
              <w:jc w:val="both"/>
              <w:rPr>
                <w:szCs w:val="22"/>
              </w:rPr>
            </w:pPr>
            <w:r w:rsidRPr="004B0DDF">
              <w:rPr>
                <w:i/>
              </w:rPr>
              <w:t xml:space="preserve">Częstość nieznana: </w:t>
            </w:r>
            <w:r w:rsidRPr="004B0DDF">
              <w:t>zapalenie dwunastnicy, zapalenie okrężnicy (w tym ciężkie zapalenie okrężnicy).</w:t>
            </w:r>
          </w:p>
        </w:tc>
      </w:tr>
      <w:tr w:rsidR="00F67D32" w14:paraId="74364895" w14:textId="77777777" w:rsidTr="009C76A6">
        <w:tc>
          <w:tcPr>
            <w:tcW w:w="3936" w:type="dxa"/>
          </w:tcPr>
          <w:p w14:paraId="74364892" w14:textId="77777777" w:rsidR="001005D2" w:rsidRPr="004B0DDF" w:rsidRDefault="004D6453" w:rsidP="009C76A6">
            <w:pPr>
              <w:tabs>
                <w:tab w:val="clear" w:pos="567"/>
                <w:tab w:val="left" w:pos="515"/>
              </w:tabs>
              <w:autoSpaceDE w:val="0"/>
              <w:autoSpaceDN w:val="0"/>
              <w:adjustRightInd w:val="0"/>
              <w:jc w:val="both"/>
              <w:rPr>
                <w:szCs w:val="22"/>
              </w:rPr>
            </w:pPr>
            <w:r w:rsidRPr="004B0DDF">
              <w:t>Zaburzenia skóry i tkanki podskórnej</w:t>
            </w:r>
          </w:p>
        </w:tc>
        <w:tc>
          <w:tcPr>
            <w:tcW w:w="3969" w:type="dxa"/>
          </w:tcPr>
          <w:p w14:paraId="74364893" w14:textId="77777777" w:rsidR="001005D2" w:rsidRPr="004B0DDF" w:rsidRDefault="004D6453" w:rsidP="009C76A6">
            <w:pPr>
              <w:tabs>
                <w:tab w:val="clear" w:pos="567"/>
                <w:tab w:val="left" w:pos="515"/>
              </w:tabs>
              <w:autoSpaceDE w:val="0"/>
              <w:autoSpaceDN w:val="0"/>
              <w:adjustRightInd w:val="0"/>
              <w:jc w:val="both"/>
              <w:rPr>
                <w:szCs w:val="22"/>
              </w:rPr>
            </w:pPr>
            <w:r w:rsidRPr="004B0DDF">
              <w:rPr>
                <w:i/>
              </w:rPr>
              <w:t xml:space="preserve">Niezbyt często: </w:t>
            </w:r>
            <w:r w:rsidRPr="004B0DDF">
              <w:t xml:space="preserve">wysypka skórna, świąd, rumień. </w:t>
            </w:r>
          </w:p>
          <w:p w14:paraId="74364894" w14:textId="77777777" w:rsidR="001005D2" w:rsidRPr="004B0DDF" w:rsidRDefault="004D6453" w:rsidP="009C76A6">
            <w:pPr>
              <w:tabs>
                <w:tab w:val="clear" w:pos="567"/>
                <w:tab w:val="left" w:pos="515"/>
              </w:tabs>
              <w:autoSpaceDE w:val="0"/>
              <w:autoSpaceDN w:val="0"/>
              <w:adjustRightInd w:val="0"/>
              <w:jc w:val="both"/>
              <w:rPr>
                <w:szCs w:val="22"/>
              </w:rPr>
            </w:pPr>
            <w:r w:rsidRPr="004B0DDF">
              <w:rPr>
                <w:i/>
              </w:rPr>
              <w:t xml:space="preserve">Częstość nieznana: </w:t>
            </w:r>
            <w:r w:rsidRPr="004B0DDF">
              <w:t>pokrzywka.</w:t>
            </w:r>
          </w:p>
        </w:tc>
      </w:tr>
    </w:tbl>
    <w:p w14:paraId="74364896" w14:textId="77777777" w:rsidR="001005D2" w:rsidRPr="004B0DDF" w:rsidRDefault="001005D2" w:rsidP="009C76A6">
      <w:pPr>
        <w:autoSpaceDE w:val="0"/>
        <w:autoSpaceDN w:val="0"/>
        <w:adjustRightInd w:val="0"/>
        <w:rPr>
          <w:szCs w:val="22"/>
        </w:rPr>
      </w:pPr>
    </w:p>
    <w:p w14:paraId="74364897" w14:textId="77777777" w:rsidR="001005D2" w:rsidRPr="004B0DDF" w:rsidRDefault="004D6453" w:rsidP="009C76A6">
      <w:pPr>
        <w:autoSpaceDE w:val="0"/>
        <w:autoSpaceDN w:val="0"/>
        <w:adjustRightInd w:val="0"/>
        <w:spacing w:line="240" w:lineRule="auto"/>
        <w:rPr>
          <w:szCs w:val="22"/>
          <w:u w:val="single"/>
        </w:rPr>
      </w:pPr>
      <w:r w:rsidRPr="004B0DDF">
        <w:rPr>
          <w:u w:val="single"/>
        </w:rPr>
        <w:t>Zgłaszanie podejrzewanych działań niepo</w:t>
      </w:r>
      <w:r w:rsidRPr="004B0DDF">
        <w:rPr>
          <w:u w:val="single"/>
        </w:rPr>
        <w:t>żądanych</w:t>
      </w:r>
    </w:p>
    <w:p w14:paraId="74364898" w14:textId="77777777" w:rsidR="001005D2" w:rsidRPr="004B0DDF" w:rsidRDefault="004D6453" w:rsidP="009C76A6">
      <w:pPr>
        <w:autoSpaceDE w:val="0"/>
        <w:autoSpaceDN w:val="0"/>
        <w:adjustRightInd w:val="0"/>
        <w:spacing w:line="240" w:lineRule="auto"/>
        <w:rPr>
          <w:szCs w:val="22"/>
        </w:rPr>
      </w:pPr>
      <w:r w:rsidRPr="004B0DDF">
        <w:t>Po dopuszczeniu produktu leczniczego do obrotu istotne jest zgłaszanie podejrzewanych działań niepożądanych. Umożliwia to nieprzerwane monitorowanie stosunku korzyści do ryzyka stosowania produktu leczniczego. Osoby należące do fachowego personelu</w:t>
      </w:r>
      <w:r w:rsidRPr="004B0DDF">
        <w:t xml:space="preserve"> medycznego powinny zgłaszać wszelkie podejrzewane działania niepożądane za pośrednictwem krajowego systemu zgłaszania wymienionego w </w:t>
      </w:r>
      <w:hyperlink r:id="rId11" w:history="1">
        <w:r w:rsidRPr="004B0DDF">
          <w:rPr>
            <w:rStyle w:val="Hyperlink"/>
            <w:highlight w:val="lightGray"/>
          </w:rPr>
          <w:t>załączniku V</w:t>
        </w:r>
      </w:hyperlink>
      <w:r w:rsidRPr="004B0DDF">
        <w:t>.</w:t>
      </w:r>
    </w:p>
    <w:p w14:paraId="74364899" w14:textId="77777777" w:rsidR="001005D2" w:rsidRPr="004B0DDF" w:rsidRDefault="001005D2" w:rsidP="009C76A6">
      <w:pPr>
        <w:spacing w:line="240" w:lineRule="auto"/>
        <w:rPr>
          <w:szCs w:val="22"/>
        </w:rPr>
      </w:pPr>
    </w:p>
    <w:p w14:paraId="7436489A" w14:textId="77777777" w:rsidR="001005D2" w:rsidRPr="004B0DDF" w:rsidRDefault="004D6453" w:rsidP="009C76A6">
      <w:pPr>
        <w:pStyle w:val="ListParagraph"/>
        <w:keepNext/>
        <w:numPr>
          <w:ilvl w:val="1"/>
          <w:numId w:val="28"/>
        </w:numPr>
        <w:spacing w:line="240" w:lineRule="auto"/>
        <w:ind w:hanging="930"/>
        <w:outlineLvl w:val="0"/>
        <w:rPr>
          <w:b/>
          <w:szCs w:val="22"/>
        </w:rPr>
      </w:pPr>
      <w:r w:rsidRPr="004B0DDF">
        <w:rPr>
          <w:b/>
        </w:rPr>
        <w:t>Przedawkowanie</w:t>
      </w:r>
    </w:p>
    <w:p w14:paraId="7436489B" w14:textId="77777777" w:rsidR="001005D2" w:rsidRPr="004B0DDF" w:rsidRDefault="001005D2" w:rsidP="009C76A6">
      <w:pPr>
        <w:keepNext/>
        <w:spacing w:line="240" w:lineRule="auto"/>
        <w:rPr>
          <w:szCs w:val="22"/>
        </w:rPr>
      </w:pPr>
    </w:p>
    <w:p w14:paraId="75784DFE" w14:textId="36405B99" w:rsidR="002D3709" w:rsidRPr="004B0DDF" w:rsidRDefault="004D6453" w:rsidP="009C76A6">
      <w:pPr>
        <w:keepNext/>
      </w:pPr>
      <w:r w:rsidRPr="004B0DDF">
        <w:rPr>
          <w:szCs w:val="22"/>
        </w:rPr>
        <w:t>Zgłaszano sporadyczne przypadki przedawkowania trientyny. W przypadkach, w których przyjęto do 20 g trientyny – zasady, nie odnotowano widocznych działań niepożądanych. Znaczne przedawkowanie po spożyciu 40 g trientyny – zasady prowadziło do samoograniczaj</w:t>
      </w:r>
      <w:r w:rsidRPr="004B0DDF">
        <w:rPr>
          <w:szCs w:val="22"/>
        </w:rPr>
        <w:t xml:space="preserve">ących się </w:t>
      </w:r>
      <w:r w:rsidRPr="004B0DDF">
        <w:rPr>
          <w:szCs w:val="22"/>
        </w:rPr>
        <w:lastRenderedPageBreak/>
        <w:t>zawrotów głowy i wymiotów, w przypadku których nie odnotowano żadnych innych następstw klinicznych ani istotnych nieprawidłowości wyników badań biochemicznych.</w:t>
      </w:r>
    </w:p>
    <w:p w14:paraId="109E5BF7" w14:textId="77777777" w:rsidR="002D3709" w:rsidRPr="004B0DDF" w:rsidRDefault="002D3709" w:rsidP="009C76A6">
      <w:pPr>
        <w:keepNext/>
      </w:pPr>
    </w:p>
    <w:p w14:paraId="7436489C" w14:textId="23550B47" w:rsidR="001005D2" w:rsidRPr="004B0DDF" w:rsidRDefault="004D6453" w:rsidP="009C76A6">
      <w:pPr>
        <w:keepNext/>
        <w:rPr>
          <w:szCs w:val="22"/>
        </w:rPr>
      </w:pPr>
      <w:r w:rsidRPr="004B0DDF">
        <w:t>Nie ma odtrutki na ostre przedawkowanie trientyny.</w:t>
      </w:r>
    </w:p>
    <w:p w14:paraId="7436489D" w14:textId="77777777" w:rsidR="001005D2" w:rsidRPr="004B0DDF" w:rsidRDefault="001005D2" w:rsidP="009C76A6">
      <w:pPr>
        <w:keepNext/>
        <w:spacing w:line="240" w:lineRule="auto"/>
        <w:rPr>
          <w:szCs w:val="22"/>
        </w:rPr>
      </w:pPr>
    </w:p>
    <w:p w14:paraId="7436489E" w14:textId="77777777" w:rsidR="001005D2" w:rsidRPr="004B0DDF" w:rsidRDefault="004D6453" w:rsidP="009C76A6">
      <w:pPr>
        <w:keepNext/>
        <w:spacing w:line="240" w:lineRule="auto"/>
        <w:rPr>
          <w:szCs w:val="22"/>
        </w:rPr>
      </w:pPr>
      <w:r w:rsidRPr="004B0DDF">
        <w:t>Długotrwałe niepotrzebne leczenie</w:t>
      </w:r>
      <w:r w:rsidRPr="004B0DDF">
        <w:t xml:space="preserve"> może doprowadzić do niedoboru miedzi i odwracalnej niedokrwistości syderoblastycznej. Niepotrzebne leczenie i nadmierne wydalanie miedzi można monitorować z wykorzystaniem wartości wydalania miedzi w moczu i miedzi niezwiązanej z ceruloplazminą. Wymagane </w:t>
      </w:r>
      <w:r w:rsidRPr="004B0DDF">
        <w:t>jest uważne kontrolowanie w celu zoptymalizowania dawki lub modyfikacji leczenia w razie konieczności (patrz punkt 4.4).</w:t>
      </w:r>
    </w:p>
    <w:p w14:paraId="7436489F" w14:textId="77777777" w:rsidR="001005D2" w:rsidRPr="004B0DDF" w:rsidRDefault="001005D2" w:rsidP="009C76A6">
      <w:pPr>
        <w:suppressAutoHyphens/>
        <w:spacing w:line="240" w:lineRule="auto"/>
        <w:rPr>
          <w:b/>
          <w:szCs w:val="22"/>
        </w:rPr>
      </w:pPr>
    </w:p>
    <w:p w14:paraId="743648A0" w14:textId="77777777" w:rsidR="001005D2" w:rsidRPr="004B0DDF" w:rsidRDefault="001005D2" w:rsidP="009C76A6">
      <w:pPr>
        <w:suppressAutoHyphens/>
        <w:spacing w:line="240" w:lineRule="auto"/>
        <w:rPr>
          <w:b/>
          <w:szCs w:val="22"/>
        </w:rPr>
      </w:pPr>
    </w:p>
    <w:p w14:paraId="743648A1" w14:textId="77777777" w:rsidR="001005D2" w:rsidRPr="004B0DDF" w:rsidRDefault="004D6453" w:rsidP="009C76A6">
      <w:pPr>
        <w:pStyle w:val="ListParagraph"/>
        <w:numPr>
          <w:ilvl w:val="0"/>
          <w:numId w:val="28"/>
        </w:numPr>
        <w:spacing w:line="240" w:lineRule="auto"/>
        <w:ind w:hanging="930"/>
        <w:rPr>
          <w:b/>
        </w:rPr>
      </w:pPr>
      <w:r w:rsidRPr="004B0DDF">
        <w:rPr>
          <w:b/>
        </w:rPr>
        <w:t>WŁAŚCIWOŚCI FARMAKOLOGICZNE</w:t>
      </w:r>
    </w:p>
    <w:p w14:paraId="743648A2" w14:textId="77777777" w:rsidR="001005D2" w:rsidRPr="004B0DDF" w:rsidRDefault="001005D2" w:rsidP="009C76A6">
      <w:pPr>
        <w:spacing w:line="240" w:lineRule="auto"/>
        <w:rPr>
          <w:szCs w:val="22"/>
        </w:rPr>
      </w:pPr>
    </w:p>
    <w:p w14:paraId="743648A3" w14:textId="77777777" w:rsidR="001005D2" w:rsidRPr="004B0DDF" w:rsidRDefault="004D6453" w:rsidP="009C76A6">
      <w:pPr>
        <w:pStyle w:val="ListParagraph"/>
        <w:numPr>
          <w:ilvl w:val="1"/>
          <w:numId w:val="28"/>
        </w:numPr>
        <w:spacing w:line="240" w:lineRule="auto"/>
        <w:ind w:hanging="930"/>
        <w:outlineLvl w:val="0"/>
        <w:rPr>
          <w:szCs w:val="22"/>
        </w:rPr>
      </w:pPr>
      <w:r w:rsidRPr="004B0DDF">
        <w:rPr>
          <w:b/>
        </w:rPr>
        <w:t>Właściwości farmakodynamiczne</w:t>
      </w:r>
    </w:p>
    <w:p w14:paraId="743648A4" w14:textId="77777777" w:rsidR="001005D2" w:rsidRPr="004B0DDF" w:rsidRDefault="001005D2" w:rsidP="009C76A6">
      <w:pPr>
        <w:spacing w:line="240" w:lineRule="auto"/>
        <w:rPr>
          <w:szCs w:val="22"/>
        </w:rPr>
      </w:pPr>
    </w:p>
    <w:p w14:paraId="743648A5" w14:textId="77777777" w:rsidR="001005D2" w:rsidRPr="004B0DDF" w:rsidRDefault="004D6453" w:rsidP="009C76A6">
      <w:pPr>
        <w:numPr>
          <w:ilvl w:val="12"/>
          <w:numId w:val="0"/>
        </w:numPr>
        <w:ind w:right="-2"/>
        <w:rPr>
          <w:szCs w:val="22"/>
        </w:rPr>
      </w:pPr>
      <w:r w:rsidRPr="004B0DDF">
        <w:t xml:space="preserve">Grupa farmakoterapeutyczna: inne leki działające na przewód </w:t>
      </w:r>
      <w:r w:rsidRPr="004B0DDF">
        <w:t>pokarmowy i metabolizm, różne leki działające na przewód pokarmowy i metabolizm, kod ATC: A16AX12.</w:t>
      </w:r>
    </w:p>
    <w:p w14:paraId="743648A6" w14:textId="77777777" w:rsidR="001005D2" w:rsidRPr="004B0DDF" w:rsidRDefault="001005D2" w:rsidP="009C76A6">
      <w:pPr>
        <w:numPr>
          <w:ilvl w:val="12"/>
          <w:numId w:val="0"/>
        </w:numPr>
        <w:ind w:right="-2"/>
        <w:rPr>
          <w:szCs w:val="22"/>
        </w:rPr>
      </w:pPr>
    </w:p>
    <w:p w14:paraId="743648A7" w14:textId="77777777" w:rsidR="001005D2" w:rsidRPr="004B0DDF" w:rsidRDefault="004D6453" w:rsidP="009C76A6">
      <w:pPr>
        <w:keepNext/>
        <w:numPr>
          <w:ilvl w:val="12"/>
          <w:numId w:val="0"/>
        </w:numPr>
        <w:rPr>
          <w:szCs w:val="22"/>
          <w:u w:val="single"/>
        </w:rPr>
      </w:pPr>
      <w:r w:rsidRPr="004B0DDF">
        <w:rPr>
          <w:u w:val="single"/>
        </w:rPr>
        <w:t xml:space="preserve">Mechanizm działania </w:t>
      </w:r>
    </w:p>
    <w:p w14:paraId="743648A8" w14:textId="77777777" w:rsidR="001005D2" w:rsidRPr="004B0DDF" w:rsidRDefault="004D6453" w:rsidP="009C76A6">
      <w:pPr>
        <w:numPr>
          <w:ilvl w:val="12"/>
          <w:numId w:val="0"/>
        </w:numPr>
        <w:ind w:right="-2"/>
        <w:rPr>
          <w:szCs w:val="22"/>
        </w:rPr>
      </w:pPr>
      <w:r w:rsidRPr="004B0DDF">
        <w:t xml:space="preserve">Trientyna jest środkiem chelatującym miedź, którego zasadniczy mechanizm działania polega na eliminacji wchłoniętej miedzi z </w:t>
      </w:r>
      <w:r w:rsidRPr="004B0DDF">
        <w:t>organizmu poprzez utworzenie trwałego kompleksu, który jest następnie eliminowany poprzez wydalanie z moczem. Trientyna może także chelatować miedź w układzie pokarmowym i w ten sposób hamować wchłanianie miedzi.</w:t>
      </w:r>
    </w:p>
    <w:p w14:paraId="743648A9" w14:textId="77777777" w:rsidR="001005D2" w:rsidRPr="004B0DDF" w:rsidRDefault="001005D2" w:rsidP="009C76A6">
      <w:pPr>
        <w:numPr>
          <w:ilvl w:val="12"/>
          <w:numId w:val="0"/>
        </w:numPr>
        <w:ind w:right="-2"/>
        <w:rPr>
          <w:iCs/>
          <w:szCs w:val="22"/>
        </w:rPr>
      </w:pPr>
    </w:p>
    <w:p w14:paraId="743648AA"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Właściwości farmakokinetyczne</w:t>
      </w:r>
    </w:p>
    <w:p w14:paraId="743648AB" w14:textId="77777777" w:rsidR="001005D2" w:rsidRPr="004B0DDF" w:rsidRDefault="001005D2" w:rsidP="009C76A6"/>
    <w:p w14:paraId="743648AC" w14:textId="77777777" w:rsidR="001005D2" w:rsidRPr="004B0DDF" w:rsidRDefault="004D6453" w:rsidP="009C76A6">
      <w:pPr>
        <w:rPr>
          <w:szCs w:val="22"/>
          <w:u w:val="single"/>
        </w:rPr>
      </w:pPr>
      <w:r w:rsidRPr="004B0DDF">
        <w:rPr>
          <w:u w:val="single"/>
        </w:rPr>
        <w:t>Wchłanianie</w:t>
      </w:r>
    </w:p>
    <w:p w14:paraId="743648AD" w14:textId="77777777" w:rsidR="001005D2" w:rsidRPr="004B0DDF" w:rsidRDefault="004D6453" w:rsidP="009C76A6">
      <w:pPr>
        <w:rPr>
          <w:szCs w:val="22"/>
        </w:rPr>
      </w:pPr>
      <w:r w:rsidRPr="004B0DDF">
        <w:t>Wchłanianie trientyny po podaniu doustnym jest u pacjentów z chorobą Wilsona niskie i zmienne. Profil farmakokinetyczny produktu leczniczego Cuprior oceniano po podaniu pojedynczej dawki wynoszącej 450, 600 mg i 750 mg trientyny zdrowym kobietom i mężczyz</w:t>
      </w:r>
      <w:r w:rsidRPr="004B0DDF">
        <w:t>nom. Stężenia trientyny w osoczu szybko wzrastały po podaniu, z medianą najwyższego stężenia osiąganą po 1,25 do 2 godzin. Następnie stężenie trientyny w osoczu zmniejszało się w sposób wielofazowy, początkowo szybko, po czym następowała faza wolniejszej e</w:t>
      </w:r>
      <w:r w:rsidRPr="004B0DDF">
        <w:t xml:space="preserve">liminacji. Ogólny profil farmakokinetyczny u mężczyzn i kobiet był zbliżony, chociaż u mężczyzn występowały wyższe stężenia trientyny. </w:t>
      </w:r>
    </w:p>
    <w:p w14:paraId="743648AE" w14:textId="77777777" w:rsidR="001005D2" w:rsidRPr="004B0DDF" w:rsidRDefault="001005D2" w:rsidP="009C76A6">
      <w:pPr>
        <w:rPr>
          <w:szCs w:val="22"/>
        </w:rPr>
      </w:pPr>
    </w:p>
    <w:p w14:paraId="743648AF" w14:textId="77777777" w:rsidR="001005D2" w:rsidRPr="004B0DDF" w:rsidRDefault="004D6453" w:rsidP="009C76A6">
      <w:pPr>
        <w:rPr>
          <w:szCs w:val="22"/>
          <w:u w:val="single"/>
        </w:rPr>
      </w:pPr>
      <w:r w:rsidRPr="004B0DDF">
        <w:rPr>
          <w:u w:val="single"/>
        </w:rPr>
        <w:t>Dystrybucja</w:t>
      </w:r>
    </w:p>
    <w:p w14:paraId="743648B0" w14:textId="77777777" w:rsidR="001005D2" w:rsidRPr="004B0DDF" w:rsidRDefault="004D6453" w:rsidP="009C76A6">
      <w:pPr>
        <w:rPr>
          <w:szCs w:val="22"/>
        </w:rPr>
      </w:pPr>
      <w:r w:rsidRPr="004B0DDF">
        <w:t xml:space="preserve">Dostępnych jest niewiele informacji na temat dystrybucji trientyny w narządach i tkankach. </w:t>
      </w:r>
    </w:p>
    <w:p w14:paraId="743648B1" w14:textId="77777777" w:rsidR="001005D2" w:rsidRPr="004B0DDF" w:rsidRDefault="001005D2" w:rsidP="009C76A6">
      <w:pPr>
        <w:rPr>
          <w:szCs w:val="22"/>
        </w:rPr>
      </w:pPr>
    </w:p>
    <w:p w14:paraId="743648B2" w14:textId="77777777" w:rsidR="001005D2" w:rsidRPr="004B0DDF" w:rsidRDefault="004D6453" w:rsidP="009C76A6">
      <w:pPr>
        <w:rPr>
          <w:szCs w:val="22"/>
          <w:u w:val="single"/>
        </w:rPr>
      </w:pPr>
      <w:r w:rsidRPr="004B0DDF">
        <w:rPr>
          <w:u w:val="single"/>
        </w:rPr>
        <w:t>Metabolizm</w:t>
      </w:r>
    </w:p>
    <w:p w14:paraId="743648B3" w14:textId="77777777" w:rsidR="001005D2" w:rsidRPr="004B0DDF" w:rsidRDefault="004D6453" w:rsidP="009C76A6">
      <w:pPr>
        <w:rPr>
          <w:szCs w:val="22"/>
        </w:rPr>
      </w:pPr>
      <w:r w:rsidRPr="004B0DDF">
        <w:t>Tri</w:t>
      </w:r>
      <w:r w:rsidRPr="004B0DDF">
        <w:t>entyna jest acetylowana do dwóch głównych metabolitów, N(1)-acetylotrietylenotetraminy (MAT) i N(1),N(10)-diacetylotrietylenotetraminy (DAT). MAT może także przyczyniać się do ogólnej aktywności klinicznej produktu leczniczego Cuprior, jednak nie określono</w:t>
      </w:r>
      <w:r w:rsidRPr="004B0DDF">
        <w:t xml:space="preserve"> dotychczas, jaki jest udział MAT w łącznym wpływie produktu leczniczego Cuprior na stężenie miedzi.</w:t>
      </w:r>
    </w:p>
    <w:p w14:paraId="743648B4" w14:textId="77777777" w:rsidR="001005D2" w:rsidRPr="004B0DDF" w:rsidRDefault="001005D2" w:rsidP="009C76A6">
      <w:pPr>
        <w:rPr>
          <w:szCs w:val="22"/>
        </w:rPr>
      </w:pPr>
    </w:p>
    <w:p w14:paraId="743648B5" w14:textId="77777777" w:rsidR="001005D2" w:rsidRPr="004B0DDF" w:rsidRDefault="004D6453" w:rsidP="009C76A6">
      <w:pPr>
        <w:rPr>
          <w:szCs w:val="22"/>
        </w:rPr>
      </w:pPr>
      <w:r w:rsidRPr="004B0DDF">
        <w:rPr>
          <w:u w:val="single"/>
        </w:rPr>
        <w:t>Eliminacja</w:t>
      </w:r>
    </w:p>
    <w:p w14:paraId="743648B6" w14:textId="77777777" w:rsidR="001005D2" w:rsidRPr="004B0DDF" w:rsidRDefault="004D6453" w:rsidP="009C76A6">
      <w:pPr>
        <w:rPr>
          <w:szCs w:val="22"/>
        </w:rPr>
      </w:pPr>
      <w:r w:rsidRPr="004B0DDF">
        <w:t xml:space="preserve">Trientyna i jej metabolity są szybko wydalane z moczem, jednak niewielkie stężenia trientyny można nadal wykryć w osoczu po upływie 20 godzin. </w:t>
      </w:r>
      <w:r w:rsidRPr="004B0DDF">
        <w:t>Trientyna, która nie została wchłonięta, jest eliminowana poprzez wydalanie z kałem.</w:t>
      </w:r>
    </w:p>
    <w:p w14:paraId="743648B7" w14:textId="77777777" w:rsidR="001005D2" w:rsidRPr="004B0DDF" w:rsidRDefault="001005D2" w:rsidP="009C76A6">
      <w:pPr>
        <w:rPr>
          <w:szCs w:val="22"/>
        </w:rPr>
      </w:pPr>
    </w:p>
    <w:p w14:paraId="743648B8" w14:textId="77777777" w:rsidR="001005D2" w:rsidRPr="004B0DDF" w:rsidRDefault="004D6453" w:rsidP="009C76A6">
      <w:pPr>
        <w:rPr>
          <w:szCs w:val="22"/>
          <w:u w:val="single"/>
        </w:rPr>
      </w:pPr>
      <w:r w:rsidRPr="004B0DDF">
        <w:rPr>
          <w:u w:val="single"/>
        </w:rPr>
        <w:t>Liniowość lub nieliniowość</w:t>
      </w:r>
    </w:p>
    <w:p w14:paraId="743648B9" w14:textId="77777777" w:rsidR="001005D2" w:rsidRPr="004B0DDF" w:rsidRDefault="004D6453" w:rsidP="009C76A6">
      <w:pPr>
        <w:rPr>
          <w:szCs w:val="22"/>
        </w:rPr>
      </w:pPr>
      <w:r w:rsidRPr="004B0DDF">
        <w:t>Ekspozycja osoczowa u ludzi wykazuje liniową zależność od doustnych dawek trientyny.</w:t>
      </w:r>
    </w:p>
    <w:p w14:paraId="743648BA" w14:textId="77777777" w:rsidR="001005D2" w:rsidRPr="004B0DDF" w:rsidRDefault="001005D2" w:rsidP="009C76A6">
      <w:pPr>
        <w:numPr>
          <w:ilvl w:val="12"/>
          <w:numId w:val="0"/>
        </w:numPr>
        <w:spacing w:line="240" w:lineRule="auto"/>
        <w:ind w:right="-2"/>
        <w:rPr>
          <w:iCs/>
          <w:szCs w:val="22"/>
        </w:rPr>
      </w:pPr>
    </w:p>
    <w:p w14:paraId="743648BB"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Przedkliniczne dane o bezpieczeństwie</w:t>
      </w:r>
    </w:p>
    <w:p w14:paraId="743648BC" w14:textId="77777777" w:rsidR="001005D2" w:rsidRPr="004B0DDF" w:rsidRDefault="001005D2" w:rsidP="009C76A6">
      <w:pPr>
        <w:spacing w:line="240" w:lineRule="auto"/>
        <w:rPr>
          <w:szCs w:val="22"/>
        </w:rPr>
      </w:pPr>
    </w:p>
    <w:p w14:paraId="743648BD" w14:textId="77777777" w:rsidR="001005D2" w:rsidRPr="004B0DDF" w:rsidRDefault="004D6453" w:rsidP="009C76A6">
      <w:pPr>
        <w:rPr>
          <w:szCs w:val="22"/>
        </w:rPr>
      </w:pPr>
      <w:r w:rsidRPr="004B0DDF">
        <w:lastRenderedPageBreak/>
        <w:t>Istnieją następują</w:t>
      </w:r>
      <w:r w:rsidRPr="004B0DDF">
        <w:t>ce dane, które mogą mieć znaczenie w praktyce klinicznej, otrzymane w badaniach przedklinicznych trientyny i wskazujące na działania niepożądane nieobserwowane w badaniach klinicznych, a występujące u zwierząt po narażeniu podobnym do narażenia w warunkach</w:t>
      </w:r>
      <w:r w:rsidRPr="004B0DDF">
        <w:t xml:space="preserve"> klinicznych:</w:t>
      </w:r>
    </w:p>
    <w:p w14:paraId="743648BE" w14:textId="77777777" w:rsidR="001005D2" w:rsidRPr="004B0DDF" w:rsidRDefault="001005D2" w:rsidP="009C76A6">
      <w:pPr>
        <w:rPr>
          <w:szCs w:val="22"/>
        </w:rPr>
      </w:pPr>
    </w:p>
    <w:p w14:paraId="743648BF" w14:textId="77777777" w:rsidR="001005D2" w:rsidRPr="004B0DDF" w:rsidRDefault="004D6453" w:rsidP="009C76A6">
      <w:pPr>
        <w:keepNext/>
        <w:rPr>
          <w:szCs w:val="22"/>
          <w:u w:val="single"/>
        </w:rPr>
      </w:pPr>
      <w:r w:rsidRPr="004B0DDF">
        <w:rPr>
          <w:u w:val="single"/>
        </w:rPr>
        <w:t>Toksyczność po podaniu wielokrotnym</w:t>
      </w:r>
    </w:p>
    <w:p w14:paraId="743648C0" w14:textId="77777777" w:rsidR="001005D2" w:rsidRPr="004B0DDF" w:rsidRDefault="004D6453" w:rsidP="009C76A6">
      <w:pPr>
        <w:rPr>
          <w:szCs w:val="22"/>
        </w:rPr>
      </w:pPr>
      <w:r w:rsidRPr="004B0DDF">
        <w:t>Po podaniu z wodą pitną trientyna powodowała u myszy zwiększoną częstość zapalenia tkanki śródmiąższowej płuc i złogi tłuszczowe w przestrzeniach okołowrotnych wątroby. W śledzionie samców obserwowano proliferację komórek krwiotwórczych. U samców zmniejsze</w:t>
      </w:r>
      <w:r w:rsidRPr="004B0DDF">
        <w:t xml:space="preserve">niu uległa masa nerek i masa ciała, podobnie jak częstość wakuolizacji cytoplazmy w nerkach. Wartość NOAEL ustalono na około 92 mg/kg/dobę dla samców i 99 mg/kg/dobę dla samic. U szczurów, którym podawano doustne dawki trientyny do 600 mg/kg/dobę przez 26 </w:t>
      </w:r>
      <w:r w:rsidRPr="004B0DDF">
        <w:t xml:space="preserve">tygodni, badanie histopatologiczne ujawniło związaną z </w:t>
      </w:r>
      <w:r w:rsidRPr="004B0DDF">
        <w:softHyphen/>
        <w:t>dawką częstość występowania i ciężkość ogniskowego przewlekłego śródmiąższowego zapalenia płuc, któremu towarzyszyło zwłóknienie ściany pęcherzyków płucnych. Uznano, że zmiany mikroskopowe w płucach w</w:t>
      </w:r>
      <w:r w:rsidRPr="004B0DDF">
        <w:t xml:space="preserve">skazują na utrzymującą się reakcję zapalną lub utrzymujący się toksyczny wpływ na komórki pęcherzyków płucnych. Biorąc pod uwagę fakt, że trientyna ma własności drażniące, oszacowano, że zaobserwowane przewlekłe śródmiąższowe zapalenie płuc można wyjaśnić </w:t>
      </w:r>
      <w:r w:rsidRPr="004B0DDF">
        <w:t>cytotoksycznym działaniem trientyny po akumulacji w komórkach nabłonka oskrzelików i pneumocytach pęcherzyków płucnych. Zaobserwowane efekty nie były odwracalne. Stwierdzono, że wartość NOAEL u szczurów wynosi 50 mg/kg/dobę dla samic, natomiast nie ustalon</w:t>
      </w:r>
      <w:r w:rsidRPr="004B0DDF">
        <w:t>o wartości NOAEL dla samców.</w:t>
      </w:r>
    </w:p>
    <w:p w14:paraId="743648C1" w14:textId="77777777" w:rsidR="001005D2" w:rsidRPr="004B0DDF" w:rsidRDefault="004D6453" w:rsidP="009C76A6">
      <w:pPr>
        <w:rPr>
          <w:szCs w:val="22"/>
        </w:rPr>
      </w:pPr>
      <w:r w:rsidRPr="004B0DDF">
        <w:t>Psy otrzymujące doustne dawki trientyny do 300 mg/kg/dobę wykazywały w badaniach toksyczności dawek wielokrotnych objawy kliniczne ze strony układu nerwowego i mięśniowo-szkieletowego (nieprawidłowy chód, ataksja, osłabienie ko</w:t>
      </w:r>
      <w:r w:rsidRPr="004B0DDF">
        <w:t>ńczyn, drżenie ciała), co przypisano działaniu trientyny powodującemu eliminację miedzi. Wartość NOAEL ustalono na 50 mg/kg/dobę, co daje margines bezpieczeństwa wynoszący około 4 u mężczyzn i 17 u kobiet względem ekspozycji na dawki terapeutyczne.</w:t>
      </w:r>
    </w:p>
    <w:p w14:paraId="743648C2" w14:textId="77777777" w:rsidR="001005D2" w:rsidRPr="004B0DDF" w:rsidRDefault="001005D2" w:rsidP="009C76A6">
      <w:pPr>
        <w:rPr>
          <w:szCs w:val="22"/>
        </w:rPr>
      </w:pPr>
    </w:p>
    <w:p w14:paraId="743648C3" w14:textId="77777777" w:rsidR="001005D2" w:rsidRPr="004B0DDF" w:rsidRDefault="004D6453" w:rsidP="009C76A6">
      <w:pPr>
        <w:keepNext/>
        <w:rPr>
          <w:szCs w:val="22"/>
          <w:u w:val="single"/>
        </w:rPr>
      </w:pPr>
      <w:r w:rsidRPr="004B0DDF">
        <w:rPr>
          <w:u w:val="single"/>
        </w:rPr>
        <w:t>Genoto</w:t>
      </w:r>
      <w:r w:rsidRPr="004B0DDF">
        <w:rPr>
          <w:u w:val="single"/>
        </w:rPr>
        <w:t>ksyczność</w:t>
      </w:r>
    </w:p>
    <w:p w14:paraId="743648C4" w14:textId="77777777" w:rsidR="001005D2" w:rsidRPr="004B0DDF" w:rsidRDefault="004D6453" w:rsidP="009C76A6">
      <w:pPr>
        <w:rPr>
          <w:szCs w:val="22"/>
        </w:rPr>
      </w:pPr>
      <w:r w:rsidRPr="004B0DDF">
        <w:t xml:space="preserve">Ogółem, trientyna dała wynik pozytywny w badaniach genotoksyczności </w:t>
      </w:r>
      <w:r w:rsidRPr="004B0DDF">
        <w:rPr>
          <w:i/>
        </w:rPr>
        <w:t>in vitro</w:t>
      </w:r>
      <w:r w:rsidRPr="004B0DDF">
        <w:t xml:space="preserve">, w tym w teście Amesa i badaniach genotoksyczności w komórkach ssaków. W badaniach </w:t>
      </w:r>
      <w:r w:rsidRPr="004B0DDF">
        <w:rPr>
          <w:i/>
        </w:rPr>
        <w:t>in vivo</w:t>
      </w:r>
      <w:r w:rsidRPr="004B0DDF">
        <w:t xml:space="preserve"> trientyna uzyskała jednak wynik negatywny w teście mikrojądrowym u myszy.</w:t>
      </w:r>
    </w:p>
    <w:p w14:paraId="743648C5" w14:textId="77777777" w:rsidR="001005D2" w:rsidRPr="004B0DDF" w:rsidRDefault="001005D2" w:rsidP="009C76A6">
      <w:pPr>
        <w:rPr>
          <w:szCs w:val="22"/>
        </w:rPr>
      </w:pPr>
    </w:p>
    <w:p w14:paraId="743648C6" w14:textId="77777777" w:rsidR="001005D2" w:rsidRPr="004B0DDF" w:rsidRDefault="004D6453" w:rsidP="009C76A6">
      <w:pPr>
        <w:rPr>
          <w:szCs w:val="22"/>
          <w:u w:val="single"/>
        </w:rPr>
      </w:pPr>
      <w:r w:rsidRPr="004B0DDF">
        <w:rPr>
          <w:u w:val="single"/>
        </w:rPr>
        <w:t>Tok</w:t>
      </w:r>
      <w:r w:rsidRPr="004B0DDF">
        <w:rPr>
          <w:u w:val="single"/>
        </w:rPr>
        <w:t>syczny wpływ na rozrodczość i rozwój</w:t>
      </w:r>
    </w:p>
    <w:p w14:paraId="743648C7" w14:textId="77777777" w:rsidR="001005D2" w:rsidRPr="004B0DDF" w:rsidRDefault="004D6453" w:rsidP="009C76A6">
      <w:pPr>
        <w:rPr>
          <w:szCs w:val="22"/>
        </w:rPr>
      </w:pPr>
      <w:r w:rsidRPr="004B0DDF">
        <w:t>W przypadku podawania gryzoniom przez całą ciążę pokarmu zawierającego trientynę częstość resorpcji i częstość występowania nieprawidłowych płodów urodzonych w terminie wykazywała wzrost zależny od dawki. Te działania w</w:t>
      </w:r>
      <w:r w:rsidRPr="004B0DDF">
        <w:t xml:space="preserve">ynikają prawdopodobnie z niedoboru miedzi i cynku wywołanego przez trientynę. </w:t>
      </w:r>
    </w:p>
    <w:p w14:paraId="743648C8" w14:textId="77777777" w:rsidR="001005D2" w:rsidRPr="004B0DDF" w:rsidRDefault="001005D2" w:rsidP="009C76A6">
      <w:pPr>
        <w:rPr>
          <w:szCs w:val="22"/>
        </w:rPr>
      </w:pPr>
    </w:p>
    <w:p w14:paraId="743648C9" w14:textId="77777777" w:rsidR="001005D2" w:rsidRPr="004B0DDF" w:rsidRDefault="004D6453" w:rsidP="009C76A6">
      <w:pPr>
        <w:rPr>
          <w:szCs w:val="22"/>
          <w:u w:val="single"/>
        </w:rPr>
      </w:pPr>
      <w:r w:rsidRPr="004B0DDF">
        <w:rPr>
          <w:u w:val="single"/>
        </w:rPr>
        <w:t>Tolerancja miejscowa</w:t>
      </w:r>
    </w:p>
    <w:p w14:paraId="743648CA" w14:textId="77777777" w:rsidR="001005D2" w:rsidRPr="004B0DDF" w:rsidRDefault="004D6453" w:rsidP="009C76A6">
      <w:pPr>
        <w:rPr>
          <w:szCs w:val="22"/>
        </w:rPr>
      </w:pPr>
      <w:r w:rsidRPr="004B0DDF">
        <w:t xml:space="preserve">Według danych </w:t>
      </w:r>
      <w:r w:rsidRPr="004B0DDF">
        <w:rPr>
          <w:i/>
        </w:rPr>
        <w:t>in silico</w:t>
      </w:r>
      <w:r w:rsidRPr="004B0DDF">
        <w:t xml:space="preserve"> trientyna wykazuje własności drażniące i uczulające. Informowano o pozytywnych wynikach pod kątem potencjału uczulającego w testach</w:t>
      </w:r>
      <w:r w:rsidRPr="004B0DDF">
        <w:t xml:space="preserve"> maksymalizacji na świnkach morskich.</w:t>
      </w:r>
    </w:p>
    <w:p w14:paraId="743648CB" w14:textId="77777777" w:rsidR="001005D2" w:rsidRPr="004B0DDF" w:rsidRDefault="001005D2" w:rsidP="009C76A6">
      <w:pPr>
        <w:spacing w:line="240" w:lineRule="auto"/>
        <w:rPr>
          <w:szCs w:val="22"/>
        </w:rPr>
      </w:pPr>
    </w:p>
    <w:p w14:paraId="743648CC" w14:textId="77777777" w:rsidR="001005D2" w:rsidRPr="004B0DDF" w:rsidRDefault="001005D2" w:rsidP="009C76A6">
      <w:pPr>
        <w:spacing w:line="240" w:lineRule="auto"/>
        <w:rPr>
          <w:szCs w:val="22"/>
        </w:rPr>
      </w:pPr>
    </w:p>
    <w:p w14:paraId="743648CD" w14:textId="77777777" w:rsidR="001005D2" w:rsidRPr="004B0DDF" w:rsidRDefault="004D6453" w:rsidP="009C76A6">
      <w:pPr>
        <w:pStyle w:val="ListParagraph"/>
        <w:numPr>
          <w:ilvl w:val="0"/>
          <w:numId w:val="28"/>
        </w:numPr>
        <w:spacing w:line="240" w:lineRule="auto"/>
        <w:ind w:hanging="930"/>
        <w:rPr>
          <w:b/>
        </w:rPr>
      </w:pPr>
      <w:r w:rsidRPr="004B0DDF">
        <w:rPr>
          <w:b/>
        </w:rPr>
        <w:t>DANE FARMACEUTYCZNE</w:t>
      </w:r>
    </w:p>
    <w:p w14:paraId="743648CE" w14:textId="77777777" w:rsidR="001005D2" w:rsidRPr="004B0DDF" w:rsidRDefault="001005D2" w:rsidP="009C76A6">
      <w:pPr>
        <w:spacing w:line="240" w:lineRule="auto"/>
        <w:rPr>
          <w:szCs w:val="22"/>
        </w:rPr>
      </w:pPr>
    </w:p>
    <w:p w14:paraId="743648CF"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Wykaz substancji pomocniczych</w:t>
      </w:r>
    </w:p>
    <w:p w14:paraId="743648D0" w14:textId="77777777" w:rsidR="001005D2" w:rsidRPr="004B0DDF" w:rsidRDefault="001005D2" w:rsidP="009C76A6">
      <w:pPr>
        <w:spacing w:line="240" w:lineRule="auto"/>
        <w:rPr>
          <w:i/>
          <w:szCs w:val="22"/>
        </w:rPr>
      </w:pPr>
    </w:p>
    <w:p w14:paraId="743648D1" w14:textId="77777777" w:rsidR="001005D2" w:rsidRPr="004B0DDF" w:rsidRDefault="004D6453" w:rsidP="009C76A6">
      <w:pPr>
        <w:spacing w:line="240" w:lineRule="auto"/>
        <w:rPr>
          <w:szCs w:val="22"/>
        </w:rPr>
      </w:pPr>
      <w:r w:rsidRPr="004B0DDF">
        <w:rPr>
          <w:szCs w:val="22"/>
        </w:rPr>
        <w:t>Rdzeń tabletki:</w:t>
      </w:r>
    </w:p>
    <w:p w14:paraId="743648D2" w14:textId="77777777" w:rsidR="001005D2" w:rsidRPr="004B0DDF" w:rsidRDefault="004D6453" w:rsidP="009C76A6">
      <w:pPr>
        <w:rPr>
          <w:szCs w:val="22"/>
        </w:rPr>
      </w:pPr>
      <w:r w:rsidRPr="004B0DDF">
        <w:t>Mannitol</w:t>
      </w:r>
    </w:p>
    <w:p w14:paraId="743648D3" w14:textId="77777777" w:rsidR="001005D2" w:rsidRPr="004B0DDF" w:rsidRDefault="004D6453" w:rsidP="009C76A6">
      <w:pPr>
        <w:rPr>
          <w:szCs w:val="22"/>
        </w:rPr>
      </w:pPr>
      <w:r w:rsidRPr="004B0DDF">
        <w:t>Krzemionka koloidalna bezwodna</w:t>
      </w:r>
    </w:p>
    <w:p w14:paraId="743648D4" w14:textId="77777777" w:rsidR="001005D2" w:rsidRPr="004B0DDF" w:rsidRDefault="004D6453" w:rsidP="009C76A6">
      <w:r w:rsidRPr="004B0DDF">
        <w:t>Glicerolu dibehenian</w:t>
      </w:r>
    </w:p>
    <w:p w14:paraId="743648D5" w14:textId="77777777" w:rsidR="001005D2" w:rsidRPr="004B0DDF" w:rsidRDefault="001005D2" w:rsidP="009C76A6">
      <w:pPr>
        <w:rPr>
          <w:szCs w:val="22"/>
        </w:rPr>
      </w:pPr>
    </w:p>
    <w:p w14:paraId="743648D6" w14:textId="77777777" w:rsidR="001005D2" w:rsidRPr="004B0DDF" w:rsidRDefault="004D6453" w:rsidP="004D669B">
      <w:pPr>
        <w:rPr>
          <w:szCs w:val="22"/>
        </w:rPr>
      </w:pPr>
      <w:r w:rsidRPr="004B0DDF">
        <w:rPr>
          <w:szCs w:val="22"/>
        </w:rPr>
        <w:t>Otoczka tabletki:</w:t>
      </w:r>
    </w:p>
    <w:p w14:paraId="743648D7" w14:textId="77777777" w:rsidR="001005D2" w:rsidRPr="004B0DDF" w:rsidRDefault="004D6453" w:rsidP="004D669B">
      <w:pPr>
        <w:rPr>
          <w:szCs w:val="22"/>
        </w:rPr>
      </w:pPr>
      <w:r w:rsidRPr="004B0DDF">
        <w:rPr>
          <w:szCs w:val="22"/>
        </w:rPr>
        <w:t>Alkohol poliwinylowy</w:t>
      </w:r>
    </w:p>
    <w:p w14:paraId="743648D8" w14:textId="77777777" w:rsidR="001005D2" w:rsidRPr="004B0DDF" w:rsidRDefault="004D6453" w:rsidP="004D669B">
      <w:pPr>
        <w:rPr>
          <w:szCs w:val="22"/>
        </w:rPr>
      </w:pPr>
      <w:r w:rsidRPr="004B0DDF">
        <w:rPr>
          <w:szCs w:val="22"/>
        </w:rPr>
        <w:lastRenderedPageBreak/>
        <w:t>Talk</w:t>
      </w:r>
    </w:p>
    <w:p w14:paraId="743648D9" w14:textId="77777777" w:rsidR="001005D2" w:rsidRPr="004B0DDF" w:rsidRDefault="004D6453" w:rsidP="004D669B">
      <w:pPr>
        <w:rPr>
          <w:szCs w:val="22"/>
        </w:rPr>
      </w:pPr>
      <w:r w:rsidRPr="004B0DDF">
        <w:rPr>
          <w:szCs w:val="22"/>
        </w:rPr>
        <w:t>Tytanu dwutlenek (E 171)</w:t>
      </w:r>
    </w:p>
    <w:p w14:paraId="743648DA" w14:textId="77777777" w:rsidR="001005D2" w:rsidRPr="004B0DDF" w:rsidRDefault="004D6453" w:rsidP="004D669B">
      <w:pPr>
        <w:rPr>
          <w:szCs w:val="22"/>
        </w:rPr>
      </w:pPr>
      <w:r w:rsidRPr="004B0DDF">
        <w:rPr>
          <w:szCs w:val="22"/>
        </w:rPr>
        <w:t>Glicerolu monokaprylokaprynian (typ I)</w:t>
      </w:r>
    </w:p>
    <w:p w14:paraId="743648DB" w14:textId="77777777" w:rsidR="001005D2" w:rsidRPr="004B0DDF" w:rsidRDefault="004D6453" w:rsidP="004D669B">
      <w:pPr>
        <w:rPr>
          <w:szCs w:val="22"/>
        </w:rPr>
      </w:pPr>
      <w:r w:rsidRPr="004B0DDF">
        <w:rPr>
          <w:szCs w:val="22"/>
        </w:rPr>
        <w:t>Żelaza tlenek żółty (E 172)</w:t>
      </w:r>
    </w:p>
    <w:p w14:paraId="743648DC" w14:textId="77777777" w:rsidR="001005D2" w:rsidRPr="004B0DDF" w:rsidRDefault="004D6453" w:rsidP="004D669B">
      <w:pPr>
        <w:rPr>
          <w:szCs w:val="22"/>
        </w:rPr>
      </w:pPr>
      <w:r w:rsidRPr="004B0DDF">
        <w:rPr>
          <w:szCs w:val="22"/>
        </w:rPr>
        <w:t>Sodu laurylosiarczan</w:t>
      </w:r>
    </w:p>
    <w:p w14:paraId="743648DD" w14:textId="77777777" w:rsidR="001005D2" w:rsidRPr="004B0DDF" w:rsidRDefault="001005D2" w:rsidP="009C76A6">
      <w:pPr>
        <w:rPr>
          <w:szCs w:val="22"/>
        </w:rPr>
      </w:pPr>
    </w:p>
    <w:p w14:paraId="743648DE" w14:textId="77777777" w:rsidR="001005D2" w:rsidRPr="004B0DDF" w:rsidRDefault="001005D2" w:rsidP="009C76A6">
      <w:pPr>
        <w:spacing w:line="240" w:lineRule="auto"/>
        <w:rPr>
          <w:szCs w:val="22"/>
        </w:rPr>
      </w:pPr>
    </w:p>
    <w:p w14:paraId="743648DF" w14:textId="77777777" w:rsidR="002C03D3" w:rsidRPr="004B0DDF" w:rsidRDefault="002C03D3" w:rsidP="009C76A6">
      <w:pPr>
        <w:spacing w:line="240" w:lineRule="auto"/>
        <w:rPr>
          <w:szCs w:val="22"/>
        </w:rPr>
      </w:pPr>
    </w:p>
    <w:p w14:paraId="743648E0"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Niezgodności farmaceutyczne</w:t>
      </w:r>
    </w:p>
    <w:p w14:paraId="743648E1" w14:textId="77777777" w:rsidR="001005D2" w:rsidRPr="004B0DDF" w:rsidRDefault="001005D2" w:rsidP="009C76A6">
      <w:pPr>
        <w:spacing w:line="240" w:lineRule="auto"/>
        <w:rPr>
          <w:szCs w:val="22"/>
        </w:rPr>
      </w:pPr>
    </w:p>
    <w:p w14:paraId="743648E2" w14:textId="77777777" w:rsidR="001005D2" w:rsidRPr="004B0DDF" w:rsidRDefault="004D6453" w:rsidP="009C76A6">
      <w:pPr>
        <w:rPr>
          <w:szCs w:val="22"/>
        </w:rPr>
      </w:pPr>
      <w:r w:rsidRPr="004B0DDF">
        <w:t>Nie dotyczy.</w:t>
      </w:r>
    </w:p>
    <w:p w14:paraId="743648E3" w14:textId="77777777" w:rsidR="001005D2" w:rsidRPr="004B0DDF" w:rsidRDefault="001005D2" w:rsidP="009C76A6">
      <w:pPr>
        <w:spacing w:line="240" w:lineRule="auto"/>
        <w:rPr>
          <w:szCs w:val="22"/>
        </w:rPr>
      </w:pPr>
    </w:p>
    <w:p w14:paraId="743648E4"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Okres ważności</w:t>
      </w:r>
    </w:p>
    <w:p w14:paraId="743648E5" w14:textId="77777777" w:rsidR="001005D2" w:rsidRPr="004B0DDF" w:rsidRDefault="001005D2" w:rsidP="009C76A6">
      <w:pPr>
        <w:spacing w:line="240" w:lineRule="auto"/>
        <w:rPr>
          <w:szCs w:val="22"/>
        </w:rPr>
      </w:pPr>
    </w:p>
    <w:p w14:paraId="743648E6" w14:textId="668817AB" w:rsidR="001005D2" w:rsidRPr="004B0DDF" w:rsidRDefault="004D6453" w:rsidP="009C76A6">
      <w:pPr>
        <w:rPr>
          <w:szCs w:val="22"/>
        </w:rPr>
      </w:pPr>
      <w:r>
        <w:t>30</w:t>
      </w:r>
      <w:r w:rsidRPr="004B0DDF">
        <w:t xml:space="preserve"> miesięcy</w:t>
      </w:r>
    </w:p>
    <w:p w14:paraId="743648E7" w14:textId="77777777" w:rsidR="001005D2" w:rsidRPr="004B0DDF" w:rsidRDefault="001005D2" w:rsidP="009C76A6">
      <w:pPr>
        <w:spacing w:line="240" w:lineRule="auto"/>
        <w:rPr>
          <w:szCs w:val="22"/>
        </w:rPr>
      </w:pPr>
    </w:p>
    <w:p w14:paraId="743648E8"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Specjalne środki ostrożności podczas przechowywania</w:t>
      </w:r>
    </w:p>
    <w:p w14:paraId="743648E9" w14:textId="77777777" w:rsidR="001005D2" w:rsidRPr="004B0DDF" w:rsidRDefault="001005D2" w:rsidP="009C76A6"/>
    <w:p w14:paraId="743648EA" w14:textId="77777777" w:rsidR="001005D2" w:rsidRPr="004B0DDF" w:rsidRDefault="004D6453" w:rsidP="009C76A6">
      <w:pPr>
        <w:rPr>
          <w:szCs w:val="22"/>
        </w:rPr>
      </w:pPr>
      <w:r w:rsidRPr="004B0DDF">
        <w:rPr>
          <w:szCs w:val="22"/>
        </w:rPr>
        <w:t>Brak specjalnych zaleceń dotyczących prz</w:t>
      </w:r>
      <w:r w:rsidRPr="004B0DDF">
        <w:rPr>
          <w:szCs w:val="22"/>
        </w:rPr>
        <w:t>echowywania produktu leczniczego</w:t>
      </w:r>
      <w:r w:rsidRPr="004B0DDF">
        <w:t>.</w:t>
      </w:r>
    </w:p>
    <w:p w14:paraId="743648EB" w14:textId="77777777" w:rsidR="001005D2" w:rsidRPr="004B0DDF" w:rsidRDefault="001005D2" w:rsidP="009C76A6">
      <w:pPr>
        <w:spacing w:line="240" w:lineRule="auto"/>
        <w:rPr>
          <w:szCs w:val="22"/>
        </w:rPr>
      </w:pPr>
    </w:p>
    <w:p w14:paraId="743648EC" w14:textId="77777777" w:rsidR="001005D2" w:rsidRPr="004B0DDF" w:rsidRDefault="004D6453" w:rsidP="009C76A6">
      <w:pPr>
        <w:pStyle w:val="ListParagraph"/>
        <w:numPr>
          <w:ilvl w:val="1"/>
          <w:numId w:val="28"/>
        </w:numPr>
        <w:spacing w:line="240" w:lineRule="auto"/>
        <w:ind w:hanging="930"/>
        <w:outlineLvl w:val="0"/>
        <w:rPr>
          <w:b/>
          <w:szCs w:val="22"/>
        </w:rPr>
      </w:pPr>
      <w:r w:rsidRPr="004B0DDF">
        <w:rPr>
          <w:b/>
        </w:rPr>
        <w:t xml:space="preserve">Rodzaj i zawartość opakowania </w:t>
      </w:r>
    </w:p>
    <w:p w14:paraId="743648ED" w14:textId="77777777" w:rsidR="001005D2" w:rsidRPr="004B0DDF" w:rsidRDefault="001005D2" w:rsidP="009C76A6"/>
    <w:p w14:paraId="743648EE" w14:textId="77777777" w:rsidR="001005D2" w:rsidRPr="004B0DDF" w:rsidRDefault="004D6453" w:rsidP="009C76A6">
      <w:pPr>
        <w:pStyle w:val="Default"/>
        <w:rPr>
          <w:sz w:val="22"/>
          <w:szCs w:val="22"/>
        </w:rPr>
      </w:pPr>
      <w:r w:rsidRPr="004B0DDF">
        <w:rPr>
          <w:sz w:val="22"/>
        </w:rPr>
        <w:t>Blistry z OPA/Alu/PVC-Alu; każdy blister zawiera 8 tabletek powlekanych.</w:t>
      </w:r>
    </w:p>
    <w:p w14:paraId="743648EF" w14:textId="3E1A4582" w:rsidR="001005D2" w:rsidRPr="004B0DDF" w:rsidRDefault="004D6453" w:rsidP="009C76A6">
      <w:r w:rsidRPr="004B0DDF">
        <w:t>Wielkość opakowania: 72 </w:t>
      </w:r>
      <w:r w:rsidR="00571171" w:rsidRPr="004B0DDF">
        <w:t>lub 96 tabletek powlekanych.</w:t>
      </w:r>
      <w:r w:rsidRPr="004B0DDF">
        <w:t>.</w:t>
      </w:r>
    </w:p>
    <w:p w14:paraId="4A32B097" w14:textId="6FDEC99B" w:rsidR="00571171" w:rsidRPr="004B0DDF" w:rsidRDefault="004D6453" w:rsidP="009C76A6">
      <w:pPr>
        <w:rPr>
          <w:szCs w:val="22"/>
        </w:rPr>
      </w:pPr>
      <w:r w:rsidRPr="004B0DDF">
        <w:rPr>
          <w:szCs w:val="22"/>
        </w:rPr>
        <w:t xml:space="preserve">Nie wszystkie wielkości opakowań muszą znajdować się w </w:t>
      </w:r>
      <w:r w:rsidRPr="004B0DDF">
        <w:rPr>
          <w:szCs w:val="22"/>
        </w:rPr>
        <w:t>obrocie.</w:t>
      </w:r>
    </w:p>
    <w:p w14:paraId="743648F0" w14:textId="77777777" w:rsidR="001005D2" w:rsidRPr="004B0DDF" w:rsidRDefault="001005D2" w:rsidP="009C76A6">
      <w:pPr>
        <w:spacing w:line="240" w:lineRule="auto"/>
        <w:rPr>
          <w:szCs w:val="22"/>
        </w:rPr>
      </w:pPr>
    </w:p>
    <w:p w14:paraId="743648F1" w14:textId="77777777" w:rsidR="001005D2" w:rsidRPr="004B0DDF" w:rsidRDefault="004D6453" w:rsidP="009C76A6">
      <w:pPr>
        <w:pStyle w:val="ListParagraph"/>
        <w:numPr>
          <w:ilvl w:val="1"/>
          <w:numId w:val="28"/>
        </w:numPr>
        <w:spacing w:line="240" w:lineRule="auto"/>
        <w:ind w:hanging="930"/>
        <w:outlineLvl w:val="0"/>
        <w:rPr>
          <w:b/>
          <w:szCs w:val="22"/>
        </w:rPr>
      </w:pPr>
      <w:bookmarkStart w:id="1" w:name="OLE_LINK1"/>
      <w:r w:rsidRPr="004B0DDF">
        <w:rPr>
          <w:b/>
        </w:rPr>
        <w:t xml:space="preserve">Specjalne środki ostrożności dotyczące usuwania </w:t>
      </w:r>
    </w:p>
    <w:p w14:paraId="743648F2" w14:textId="77777777" w:rsidR="001005D2" w:rsidRPr="004B0DDF" w:rsidRDefault="001005D2" w:rsidP="009C76A6">
      <w:pPr>
        <w:spacing w:line="240" w:lineRule="auto"/>
        <w:rPr>
          <w:szCs w:val="22"/>
        </w:rPr>
      </w:pPr>
    </w:p>
    <w:p w14:paraId="743648F3" w14:textId="77777777" w:rsidR="001005D2" w:rsidRPr="004B0DDF" w:rsidRDefault="004D6453" w:rsidP="009C76A6">
      <w:pPr>
        <w:rPr>
          <w:szCs w:val="22"/>
        </w:rPr>
      </w:pPr>
      <w:r w:rsidRPr="004B0DDF">
        <w:t>Bez specjalnych wymagań.</w:t>
      </w:r>
    </w:p>
    <w:p w14:paraId="743648F4" w14:textId="77777777" w:rsidR="001005D2" w:rsidRPr="004B0DDF" w:rsidRDefault="001005D2" w:rsidP="009C76A6">
      <w:pPr>
        <w:spacing w:line="240" w:lineRule="auto"/>
        <w:rPr>
          <w:szCs w:val="22"/>
        </w:rPr>
      </w:pPr>
    </w:p>
    <w:bookmarkEnd w:id="1"/>
    <w:p w14:paraId="743648F5" w14:textId="77777777" w:rsidR="001005D2" w:rsidRPr="004B0DDF" w:rsidRDefault="001005D2" w:rsidP="009C76A6">
      <w:pPr>
        <w:spacing w:line="240" w:lineRule="auto"/>
        <w:rPr>
          <w:szCs w:val="22"/>
        </w:rPr>
      </w:pPr>
    </w:p>
    <w:p w14:paraId="743648F6" w14:textId="77777777" w:rsidR="001005D2" w:rsidRPr="004B0DDF" w:rsidRDefault="004D6453" w:rsidP="009C76A6">
      <w:pPr>
        <w:pStyle w:val="ListParagraph"/>
        <w:numPr>
          <w:ilvl w:val="0"/>
          <w:numId w:val="28"/>
        </w:numPr>
        <w:spacing w:line="240" w:lineRule="auto"/>
        <w:ind w:hanging="930"/>
        <w:rPr>
          <w:b/>
        </w:rPr>
      </w:pPr>
      <w:r w:rsidRPr="004B0DDF">
        <w:rPr>
          <w:b/>
        </w:rPr>
        <w:t>PODMIOT ODPOWIEDZIALNY POSIADAJĄCY POZWOLENIE NA DOPUSZCZENIE DO OBROTU</w:t>
      </w:r>
    </w:p>
    <w:p w14:paraId="743648F7" w14:textId="77777777" w:rsidR="001005D2" w:rsidRPr="004B0DDF" w:rsidRDefault="001005D2" w:rsidP="009C76A6">
      <w:pPr>
        <w:spacing w:line="240" w:lineRule="auto"/>
        <w:rPr>
          <w:szCs w:val="22"/>
        </w:rPr>
      </w:pPr>
    </w:p>
    <w:p w14:paraId="743648F8" w14:textId="616CEA6D" w:rsidR="001005D2" w:rsidRPr="004D6453" w:rsidRDefault="003B60CB" w:rsidP="009C76A6">
      <w:pPr>
        <w:rPr>
          <w:szCs w:val="22"/>
          <w:lang w:val="fr-FR"/>
        </w:rPr>
      </w:pPr>
      <w:r w:rsidRPr="004D6453">
        <w:rPr>
          <w:lang w:val="fr-FR"/>
        </w:rPr>
        <w:t>Orphalan</w:t>
      </w:r>
    </w:p>
    <w:p w14:paraId="79C897FD" w14:textId="77777777" w:rsidR="009647B0" w:rsidRPr="002503BA" w:rsidRDefault="004D6453" w:rsidP="009647B0">
      <w:pPr>
        <w:rPr>
          <w:szCs w:val="22"/>
          <w:lang w:val="fr-FR"/>
        </w:rPr>
      </w:pPr>
      <w:r w:rsidRPr="002503BA">
        <w:rPr>
          <w:szCs w:val="22"/>
          <w:lang w:val="fr-FR"/>
        </w:rPr>
        <w:t>226 Boulevard Voltaire</w:t>
      </w:r>
    </w:p>
    <w:p w14:paraId="743648FB" w14:textId="3DC4BE6E" w:rsidR="001005D2" w:rsidRPr="004D6453" w:rsidRDefault="004D6453" w:rsidP="009C76A6">
      <w:pPr>
        <w:rPr>
          <w:szCs w:val="22"/>
          <w:lang w:val="fr-FR"/>
        </w:rPr>
      </w:pPr>
      <w:r w:rsidRPr="004D6453">
        <w:rPr>
          <w:lang w:val="fr-FR"/>
        </w:rPr>
        <w:t>7501</w:t>
      </w:r>
      <w:r w:rsidRPr="004D6453">
        <w:rPr>
          <w:lang w:val="fr-FR"/>
        </w:rPr>
        <w:t>1</w:t>
      </w:r>
      <w:r w:rsidRPr="004D6453">
        <w:rPr>
          <w:lang w:val="fr-FR"/>
        </w:rPr>
        <w:t xml:space="preserve"> Paryż</w:t>
      </w:r>
    </w:p>
    <w:p w14:paraId="743648FC" w14:textId="77777777" w:rsidR="001005D2" w:rsidRPr="004D6453" w:rsidRDefault="004D6453" w:rsidP="009C76A6">
      <w:pPr>
        <w:rPr>
          <w:szCs w:val="22"/>
          <w:lang w:val="fr-FR"/>
        </w:rPr>
      </w:pPr>
      <w:r w:rsidRPr="004D6453">
        <w:rPr>
          <w:lang w:val="fr-FR"/>
        </w:rPr>
        <w:t>Francja</w:t>
      </w:r>
    </w:p>
    <w:p w14:paraId="743648FD" w14:textId="77777777" w:rsidR="001005D2" w:rsidRPr="004D6453" w:rsidRDefault="001005D2" w:rsidP="009C76A6">
      <w:pPr>
        <w:spacing w:line="240" w:lineRule="auto"/>
        <w:rPr>
          <w:szCs w:val="22"/>
          <w:lang w:val="fr-FR"/>
        </w:rPr>
      </w:pPr>
    </w:p>
    <w:p w14:paraId="743648FE" w14:textId="77777777" w:rsidR="001005D2" w:rsidRPr="004D6453" w:rsidRDefault="001005D2" w:rsidP="009C76A6">
      <w:pPr>
        <w:spacing w:line="240" w:lineRule="auto"/>
        <w:rPr>
          <w:szCs w:val="22"/>
          <w:lang w:val="fr-FR"/>
        </w:rPr>
      </w:pPr>
    </w:p>
    <w:p w14:paraId="743648FF" w14:textId="77777777" w:rsidR="001005D2" w:rsidRPr="004B0DDF" w:rsidRDefault="004D6453" w:rsidP="009C76A6">
      <w:pPr>
        <w:pStyle w:val="ListParagraph"/>
        <w:numPr>
          <w:ilvl w:val="0"/>
          <w:numId w:val="28"/>
        </w:numPr>
        <w:spacing w:line="240" w:lineRule="auto"/>
        <w:ind w:hanging="930"/>
        <w:rPr>
          <w:b/>
        </w:rPr>
      </w:pPr>
      <w:r w:rsidRPr="004B0DDF">
        <w:rPr>
          <w:b/>
        </w:rPr>
        <w:t xml:space="preserve">NUMER(-Y) POZWOLENIA(-Ń) NA DOPUSZCZENIE DO OBROTU </w:t>
      </w:r>
    </w:p>
    <w:p w14:paraId="74364900" w14:textId="77777777" w:rsidR="001005D2" w:rsidRPr="004B0DDF" w:rsidRDefault="001005D2" w:rsidP="007A3F10">
      <w:pPr>
        <w:spacing w:line="240" w:lineRule="auto"/>
        <w:rPr>
          <w:color w:val="000000"/>
        </w:rPr>
      </w:pPr>
    </w:p>
    <w:p w14:paraId="12DC2492" w14:textId="77777777" w:rsidR="007230AB" w:rsidRPr="004B0DDF" w:rsidRDefault="004D6453" w:rsidP="007230AB">
      <w:pPr>
        <w:spacing w:line="240" w:lineRule="auto"/>
        <w:rPr>
          <w:color w:val="000000"/>
        </w:rPr>
      </w:pPr>
      <w:r w:rsidRPr="004B0DDF">
        <w:rPr>
          <w:color w:val="000000"/>
        </w:rPr>
        <w:t>EU/1/17/1199/001 72 tabletki powlekane</w:t>
      </w:r>
    </w:p>
    <w:p w14:paraId="74364901" w14:textId="4FC8165B" w:rsidR="001005D2" w:rsidRPr="004B0DDF" w:rsidRDefault="004D6453" w:rsidP="007A3F10">
      <w:pPr>
        <w:spacing w:line="240" w:lineRule="auto"/>
        <w:rPr>
          <w:color w:val="000000"/>
        </w:rPr>
      </w:pPr>
      <w:r w:rsidRPr="004B0DDF">
        <w:rPr>
          <w:color w:val="000000"/>
        </w:rPr>
        <w:t>EU/1/17/1199/002 96 tabletek powlekanych</w:t>
      </w:r>
    </w:p>
    <w:p w14:paraId="74364902" w14:textId="77777777" w:rsidR="001005D2" w:rsidRPr="004B0DDF" w:rsidRDefault="001005D2" w:rsidP="009C76A6">
      <w:pPr>
        <w:spacing w:line="240" w:lineRule="auto"/>
        <w:ind w:left="567" w:hanging="567"/>
        <w:rPr>
          <w:b/>
          <w:szCs w:val="22"/>
        </w:rPr>
      </w:pPr>
    </w:p>
    <w:p w14:paraId="74364903" w14:textId="77777777" w:rsidR="001005D2" w:rsidRPr="004B0DDF" w:rsidRDefault="001005D2" w:rsidP="009C76A6">
      <w:pPr>
        <w:spacing w:line="240" w:lineRule="auto"/>
        <w:rPr>
          <w:szCs w:val="22"/>
        </w:rPr>
      </w:pPr>
    </w:p>
    <w:p w14:paraId="74364904" w14:textId="77777777" w:rsidR="001005D2" w:rsidRPr="004B0DDF" w:rsidRDefault="004D6453" w:rsidP="009C76A6">
      <w:pPr>
        <w:pStyle w:val="ListParagraph"/>
        <w:numPr>
          <w:ilvl w:val="0"/>
          <w:numId w:val="28"/>
        </w:numPr>
        <w:spacing w:line="240" w:lineRule="auto"/>
        <w:ind w:hanging="930"/>
        <w:rPr>
          <w:b/>
        </w:rPr>
      </w:pPr>
      <w:r w:rsidRPr="004B0DDF">
        <w:rPr>
          <w:b/>
        </w:rPr>
        <w:t>DATA WYDANIA PIERWSZEGO POZWOLENIA NA DOPUSZCZENIE DO OBROTU I DATA PRZEDŁUŻENIA POZWOLENIA</w:t>
      </w:r>
    </w:p>
    <w:p w14:paraId="74364905" w14:textId="77777777" w:rsidR="001005D2" w:rsidRPr="004B0DDF" w:rsidRDefault="001005D2" w:rsidP="009C76A6">
      <w:pPr>
        <w:spacing w:line="240" w:lineRule="auto"/>
        <w:rPr>
          <w:i/>
          <w:szCs w:val="22"/>
        </w:rPr>
      </w:pPr>
    </w:p>
    <w:p w14:paraId="74364906" w14:textId="77777777" w:rsidR="001005D2" w:rsidRPr="004B0DDF" w:rsidRDefault="004D6453" w:rsidP="009C76A6">
      <w:pPr>
        <w:spacing w:line="240" w:lineRule="auto"/>
        <w:rPr>
          <w:i/>
          <w:szCs w:val="22"/>
        </w:rPr>
      </w:pPr>
      <w:r w:rsidRPr="004B0DDF">
        <w:t xml:space="preserve">Data wydania </w:t>
      </w:r>
      <w:r w:rsidRPr="004B0DDF">
        <w:t>pierwszego pozwolenia na dopuszczenie do obrotu: 5 września 2017</w:t>
      </w:r>
    </w:p>
    <w:p w14:paraId="74364907" w14:textId="77777777" w:rsidR="001005D2" w:rsidRPr="004B0DDF" w:rsidRDefault="001005D2" w:rsidP="009C76A6">
      <w:pPr>
        <w:spacing w:line="240" w:lineRule="auto"/>
        <w:rPr>
          <w:szCs w:val="22"/>
        </w:rPr>
      </w:pPr>
    </w:p>
    <w:p w14:paraId="74364908" w14:textId="77777777" w:rsidR="001005D2" w:rsidRPr="004B0DDF" w:rsidRDefault="001005D2" w:rsidP="009C76A6">
      <w:pPr>
        <w:spacing w:line="240" w:lineRule="auto"/>
        <w:rPr>
          <w:szCs w:val="22"/>
        </w:rPr>
      </w:pPr>
    </w:p>
    <w:p w14:paraId="74364909" w14:textId="77777777" w:rsidR="001005D2" w:rsidRPr="004B0DDF" w:rsidRDefault="004D6453" w:rsidP="009C76A6">
      <w:pPr>
        <w:pStyle w:val="ListParagraph"/>
        <w:numPr>
          <w:ilvl w:val="0"/>
          <w:numId w:val="28"/>
        </w:numPr>
        <w:spacing w:line="240" w:lineRule="auto"/>
        <w:ind w:hanging="930"/>
        <w:rPr>
          <w:b/>
        </w:rPr>
      </w:pPr>
      <w:r w:rsidRPr="004B0DDF">
        <w:rPr>
          <w:b/>
        </w:rPr>
        <w:t>DATA ZATWIERDZENIA LUB CZĘŚCIOWEJ ZMIANY TEKSTU CHARAKTERYSTYKI PRODUKTU LECZNICZEGO</w:t>
      </w:r>
    </w:p>
    <w:p w14:paraId="7436490A" w14:textId="77777777" w:rsidR="001005D2" w:rsidRPr="004B0DDF" w:rsidRDefault="001005D2" w:rsidP="009C76A6">
      <w:pPr>
        <w:spacing w:line="240" w:lineRule="auto"/>
        <w:rPr>
          <w:szCs w:val="22"/>
        </w:rPr>
      </w:pPr>
    </w:p>
    <w:p w14:paraId="7436490B" w14:textId="77777777" w:rsidR="001005D2" w:rsidRPr="004B0DDF" w:rsidRDefault="001005D2" w:rsidP="009C76A6">
      <w:pPr>
        <w:spacing w:line="240" w:lineRule="auto"/>
        <w:rPr>
          <w:szCs w:val="22"/>
        </w:rPr>
      </w:pPr>
    </w:p>
    <w:p w14:paraId="7436490C" w14:textId="77777777" w:rsidR="001005D2" w:rsidRPr="004B0DDF" w:rsidRDefault="001005D2" w:rsidP="009C76A6">
      <w:pPr>
        <w:numPr>
          <w:ilvl w:val="12"/>
          <w:numId w:val="0"/>
        </w:numPr>
        <w:tabs>
          <w:tab w:val="clear" w:pos="567"/>
          <w:tab w:val="left" w:pos="1004"/>
        </w:tabs>
        <w:spacing w:line="240" w:lineRule="auto"/>
        <w:ind w:right="-2"/>
        <w:rPr>
          <w:szCs w:val="22"/>
        </w:rPr>
      </w:pPr>
    </w:p>
    <w:p w14:paraId="7436490D" w14:textId="77777777" w:rsidR="001005D2" w:rsidRPr="004B0DDF" w:rsidRDefault="004D6453" w:rsidP="009C76A6">
      <w:pPr>
        <w:numPr>
          <w:ilvl w:val="12"/>
          <w:numId w:val="0"/>
        </w:numPr>
        <w:spacing w:line="240" w:lineRule="auto"/>
        <w:ind w:right="-2"/>
        <w:rPr>
          <w:szCs w:val="22"/>
        </w:rPr>
      </w:pPr>
      <w:r w:rsidRPr="004B0DDF">
        <w:lastRenderedPageBreak/>
        <w:t>Szczegółowe informacje o tym produkcie leczniczym są dostępne na stronie internetowej Europejskiej Ag</w:t>
      </w:r>
      <w:r w:rsidRPr="004B0DDF">
        <w:t xml:space="preserve">encji Leków </w:t>
      </w:r>
      <w:hyperlink r:id="rId12" w:history="1">
        <w:r w:rsidRPr="004B0DDF">
          <w:rPr>
            <w:rStyle w:val="Hyperlink"/>
          </w:rPr>
          <w:t>http://www.ema.europa.eu</w:t>
        </w:r>
      </w:hyperlink>
      <w:r w:rsidRPr="004B0DDF">
        <w:t>.</w:t>
      </w:r>
    </w:p>
    <w:p w14:paraId="7436490E" w14:textId="77777777" w:rsidR="001005D2" w:rsidRPr="004B0DDF" w:rsidRDefault="001005D2" w:rsidP="009C76A6">
      <w:pPr>
        <w:numPr>
          <w:ilvl w:val="12"/>
          <w:numId w:val="0"/>
        </w:numPr>
        <w:spacing w:line="240" w:lineRule="auto"/>
        <w:ind w:right="-2"/>
        <w:rPr>
          <w:szCs w:val="22"/>
        </w:rPr>
      </w:pPr>
    </w:p>
    <w:p w14:paraId="7436490F" w14:textId="77777777" w:rsidR="001005D2" w:rsidRPr="004B0DDF" w:rsidRDefault="004D6453" w:rsidP="009C76A6">
      <w:pPr>
        <w:widowControl w:val="0"/>
        <w:autoSpaceDE w:val="0"/>
        <w:autoSpaceDN w:val="0"/>
        <w:adjustRightInd w:val="0"/>
        <w:ind w:left="127" w:right="120"/>
        <w:rPr>
          <w:color w:val="000000"/>
        </w:rPr>
      </w:pPr>
      <w:r w:rsidRPr="004B0DDF">
        <w:br w:type="page"/>
      </w:r>
    </w:p>
    <w:p w14:paraId="74364910" w14:textId="77777777" w:rsidR="001005D2" w:rsidRPr="004B0DDF" w:rsidRDefault="001005D2" w:rsidP="009C76A6">
      <w:pPr>
        <w:widowControl w:val="0"/>
        <w:autoSpaceDE w:val="0"/>
        <w:autoSpaceDN w:val="0"/>
        <w:adjustRightInd w:val="0"/>
        <w:ind w:left="127" w:right="120"/>
        <w:rPr>
          <w:color w:val="000000"/>
        </w:rPr>
      </w:pPr>
    </w:p>
    <w:p w14:paraId="74364911" w14:textId="77777777" w:rsidR="001005D2" w:rsidRPr="004B0DDF" w:rsidRDefault="001005D2" w:rsidP="009C76A6">
      <w:pPr>
        <w:widowControl w:val="0"/>
        <w:autoSpaceDE w:val="0"/>
        <w:autoSpaceDN w:val="0"/>
        <w:adjustRightInd w:val="0"/>
        <w:ind w:left="127" w:right="120"/>
        <w:rPr>
          <w:color w:val="000000"/>
        </w:rPr>
      </w:pPr>
    </w:p>
    <w:p w14:paraId="74364912" w14:textId="77777777" w:rsidR="001005D2" w:rsidRPr="004B0DDF" w:rsidRDefault="001005D2" w:rsidP="009C76A6">
      <w:pPr>
        <w:widowControl w:val="0"/>
        <w:autoSpaceDE w:val="0"/>
        <w:autoSpaceDN w:val="0"/>
        <w:adjustRightInd w:val="0"/>
        <w:ind w:left="127" w:right="120"/>
        <w:rPr>
          <w:color w:val="000000"/>
        </w:rPr>
      </w:pPr>
    </w:p>
    <w:p w14:paraId="74364913" w14:textId="77777777" w:rsidR="001005D2" w:rsidRPr="004B0DDF" w:rsidRDefault="001005D2" w:rsidP="009C76A6">
      <w:pPr>
        <w:widowControl w:val="0"/>
        <w:autoSpaceDE w:val="0"/>
        <w:autoSpaceDN w:val="0"/>
        <w:adjustRightInd w:val="0"/>
        <w:ind w:left="127" w:right="120"/>
        <w:rPr>
          <w:color w:val="000000"/>
        </w:rPr>
      </w:pPr>
    </w:p>
    <w:p w14:paraId="74364914" w14:textId="77777777" w:rsidR="001005D2" w:rsidRPr="004B0DDF" w:rsidRDefault="001005D2" w:rsidP="009C76A6">
      <w:pPr>
        <w:widowControl w:val="0"/>
        <w:autoSpaceDE w:val="0"/>
        <w:autoSpaceDN w:val="0"/>
        <w:adjustRightInd w:val="0"/>
        <w:ind w:left="127" w:right="120"/>
        <w:rPr>
          <w:color w:val="000000"/>
        </w:rPr>
      </w:pPr>
    </w:p>
    <w:p w14:paraId="74364915" w14:textId="77777777" w:rsidR="001005D2" w:rsidRPr="004B0DDF" w:rsidRDefault="001005D2" w:rsidP="009C76A6">
      <w:pPr>
        <w:widowControl w:val="0"/>
        <w:autoSpaceDE w:val="0"/>
        <w:autoSpaceDN w:val="0"/>
        <w:adjustRightInd w:val="0"/>
        <w:ind w:left="127" w:right="120"/>
        <w:rPr>
          <w:color w:val="000000"/>
        </w:rPr>
      </w:pPr>
    </w:p>
    <w:p w14:paraId="74364916" w14:textId="77777777" w:rsidR="001005D2" w:rsidRPr="004B0DDF" w:rsidRDefault="001005D2" w:rsidP="009C76A6">
      <w:pPr>
        <w:widowControl w:val="0"/>
        <w:autoSpaceDE w:val="0"/>
        <w:autoSpaceDN w:val="0"/>
        <w:adjustRightInd w:val="0"/>
        <w:ind w:left="127" w:right="120"/>
        <w:rPr>
          <w:color w:val="000000"/>
        </w:rPr>
      </w:pPr>
    </w:p>
    <w:p w14:paraId="74364917" w14:textId="77777777" w:rsidR="001005D2" w:rsidRPr="004B0DDF" w:rsidRDefault="001005D2" w:rsidP="009C76A6">
      <w:pPr>
        <w:widowControl w:val="0"/>
        <w:autoSpaceDE w:val="0"/>
        <w:autoSpaceDN w:val="0"/>
        <w:adjustRightInd w:val="0"/>
        <w:ind w:left="127" w:right="120"/>
        <w:rPr>
          <w:color w:val="000000"/>
        </w:rPr>
      </w:pPr>
    </w:p>
    <w:p w14:paraId="74364918" w14:textId="77777777" w:rsidR="001005D2" w:rsidRPr="004B0DDF" w:rsidRDefault="001005D2" w:rsidP="009C76A6">
      <w:pPr>
        <w:widowControl w:val="0"/>
        <w:autoSpaceDE w:val="0"/>
        <w:autoSpaceDN w:val="0"/>
        <w:adjustRightInd w:val="0"/>
        <w:ind w:left="127" w:right="120"/>
        <w:rPr>
          <w:color w:val="000000"/>
        </w:rPr>
      </w:pPr>
    </w:p>
    <w:p w14:paraId="74364919" w14:textId="77777777" w:rsidR="001005D2" w:rsidRPr="004B0DDF" w:rsidRDefault="001005D2" w:rsidP="009C76A6">
      <w:pPr>
        <w:widowControl w:val="0"/>
        <w:autoSpaceDE w:val="0"/>
        <w:autoSpaceDN w:val="0"/>
        <w:adjustRightInd w:val="0"/>
        <w:ind w:left="127" w:right="120"/>
        <w:rPr>
          <w:color w:val="000000"/>
        </w:rPr>
      </w:pPr>
    </w:p>
    <w:p w14:paraId="7436491A" w14:textId="77777777" w:rsidR="001005D2" w:rsidRPr="004B0DDF" w:rsidRDefault="001005D2" w:rsidP="009C76A6">
      <w:pPr>
        <w:widowControl w:val="0"/>
        <w:autoSpaceDE w:val="0"/>
        <w:autoSpaceDN w:val="0"/>
        <w:adjustRightInd w:val="0"/>
        <w:ind w:left="127" w:right="120"/>
        <w:rPr>
          <w:color w:val="000000"/>
        </w:rPr>
      </w:pPr>
    </w:p>
    <w:p w14:paraId="7436491B" w14:textId="77777777" w:rsidR="001005D2" w:rsidRPr="004B0DDF" w:rsidRDefault="001005D2" w:rsidP="009C76A6">
      <w:pPr>
        <w:widowControl w:val="0"/>
        <w:autoSpaceDE w:val="0"/>
        <w:autoSpaceDN w:val="0"/>
        <w:adjustRightInd w:val="0"/>
        <w:ind w:left="127" w:right="120"/>
        <w:rPr>
          <w:color w:val="000000"/>
        </w:rPr>
      </w:pPr>
    </w:p>
    <w:p w14:paraId="7436491C" w14:textId="77777777" w:rsidR="001005D2" w:rsidRPr="004B0DDF" w:rsidRDefault="001005D2" w:rsidP="009C76A6">
      <w:pPr>
        <w:widowControl w:val="0"/>
        <w:autoSpaceDE w:val="0"/>
        <w:autoSpaceDN w:val="0"/>
        <w:adjustRightInd w:val="0"/>
        <w:ind w:left="127" w:right="120"/>
        <w:rPr>
          <w:color w:val="000000"/>
        </w:rPr>
      </w:pPr>
    </w:p>
    <w:p w14:paraId="7436491D" w14:textId="77777777" w:rsidR="001005D2" w:rsidRPr="004B0DDF" w:rsidRDefault="001005D2" w:rsidP="009C76A6">
      <w:pPr>
        <w:widowControl w:val="0"/>
        <w:autoSpaceDE w:val="0"/>
        <w:autoSpaceDN w:val="0"/>
        <w:adjustRightInd w:val="0"/>
        <w:ind w:left="127" w:right="120"/>
        <w:rPr>
          <w:color w:val="000000"/>
        </w:rPr>
      </w:pPr>
    </w:p>
    <w:p w14:paraId="7436491E" w14:textId="77777777" w:rsidR="001005D2" w:rsidRPr="004B0DDF" w:rsidRDefault="001005D2" w:rsidP="009C76A6">
      <w:pPr>
        <w:widowControl w:val="0"/>
        <w:autoSpaceDE w:val="0"/>
        <w:autoSpaceDN w:val="0"/>
        <w:adjustRightInd w:val="0"/>
        <w:ind w:left="127" w:right="120"/>
        <w:rPr>
          <w:color w:val="000000"/>
        </w:rPr>
      </w:pPr>
    </w:p>
    <w:p w14:paraId="7436491F" w14:textId="77777777" w:rsidR="001005D2" w:rsidRPr="004B0DDF" w:rsidRDefault="001005D2" w:rsidP="009C76A6">
      <w:pPr>
        <w:widowControl w:val="0"/>
        <w:autoSpaceDE w:val="0"/>
        <w:autoSpaceDN w:val="0"/>
        <w:adjustRightInd w:val="0"/>
        <w:ind w:left="127" w:right="120"/>
        <w:rPr>
          <w:color w:val="000000"/>
        </w:rPr>
      </w:pPr>
    </w:p>
    <w:p w14:paraId="74364920" w14:textId="77777777" w:rsidR="001005D2" w:rsidRPr="004B0DDF" w:rsidRDefault="001005D2" w:rsidP="009C76A6">
      <w:pPr>
        <w:widowControl w:val="0"/>
        <w:autoSpaceDE w:val="0"/>
        <w:autoSpaceDN w:val="0"/>
        <w:adjustRightInd w:val="0"/>
        <w:ind w:left="127" w:right="120"/>
        <w:rPr>
          <w:color w:val="000000"/>
        </w:rPr>
      </w:pPr>
    </w:p>
    <w:p w14:paraId="74364921" w14:textId="77777777" w:rsidR="001005D2" w:rsidRPr="004B0DDF" w:rsidRDefault="004D6453" w:rsidP="009C76A6">
      <w:pPr>
        <w:keepNext/>
        <w:widowControl w:val="0"/>
        <w:autoSpaceDE w:val="0"/>
        <w:autoSpaceDN w:val="0"/>
        <w:adjustRightInd w:val="0"/>
        <w:spacing w:before="280" w:after="220"/>
        <w:ind w:left="127" w:right="120"/>
        <w:jc w:val="center"/>
        <w:rPr>
          <w:b/>
          <w:bCs/>
          <w:color w:val="000000"/>
        </w:rPr>
      </w:pPr>
      <w:r w:rsidRPr="004B0DDF">
        <w:rPr>
          <w:b/>
          <w:color w:val="000000"/>
        </w:rPr>
        <w:t>ANEKS II</w:t>
      </w:r>
    </w:p>
    <w:p w14:paraId="74364922" w14:textId="77777777" w:rsidR="001005D2" w:rsidRPr="004B0DDF" w:rsidRDefault="001005D2" w:rsidP="009C76A6">
      <w:pPr>
        <w:widowControl w:val="0"/>
        <w:autoSpaceDE w:val="0"/>
        <w:autoSpaceDN w:val="0"/>
        <w:adjustRightInd w:val="0"/>
        <w:ind w:left="127" w:right="120"/>
        <w:rPr>
          <w:color w:val="000000"/>
        </w:rPr>
      </w:pPr>
    </w:p>
    <w:p w14:paraId="74364923" w14:textId="77777777" w:rsidR="001005D2" w:rsidRPr="004B0DDF" w:rsidRDefault="004D6453" w:rsidP="009C76A6">
      <w:pPr>
        <w:pStyle w:val="ListParagraph"/>
        <w:keepNext/>
        <w:widowControl w:val="0"/>
        <w:numPr>
          <w:ilvl w:val="0"/>
          <w:numId w:val="29"/>
        </w:numPr>
        <w:autoSpaceDE w:val="0"/>
        <w:autoSpaceDN w:val="0"/>
        <w:adjustRightInd w:val="0"/>
        <w:spacing w:before="280"/>
        <w:ind w:right="120"/>
        <w:rPr>
          <w:b/>
          <w:bCs/>
          <w:color w:val="000000"/>
        </w:rPr>
      </w:pPr>
      <w:r w:rsidRPr="004B0DDF">
        <w:rPr>
          <w:b/>
          <w:color w:val="000000"/>
        </w:rPr>
        <w:t xml:space="preserve">WYTWÓRCA(-Y) ODPOWIEDZIALNY(-I) ZA ZWOLNIENIE SERII </w:t>
      </w:r>
    </w:p>
    <w:p w14:paraId="74364924" w14:textId="77777777" w:rsidR="001005D2" w:rsidRPr="004B0DDF" w:rsidRDefault="004D6453" w:rsidP="009C76A6">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4B0DDF">
        <w:rPr>
          <w:b/>
          <w:color w:val="000000"/>
        </w:rPr>
        <w:t>WARUNKI LUB OGRANICZENIA DOTYCZĄCE ZAOPATRZENIA I STOSOWANIA</w:t>
      </w:r>
    </w:p>
    <w:p w14:paraId="74364925" w14:textId="77777777" w:rsidR="001005D2" w:rsidRPr="004B0DDF" w:rsidRDefault="001005D2" w:rsidP="009C76A6">
      <w:pPr>
        <w:widowControl w:val="0"/>
        <w:autoSpaceDE w:val="0"/>
        <w:autoSpaceDN w:val="0"/>
        <w:adjustRightInd w:val="0"/>
        <w:ind w:left="127" w:right="120"/>
        <w:rPr>
          <w:color w:val="000000"/>
        </w:rPr>
      </w:pPr>
    </w:p>
    <w:p w14:paraId="74364926" w14:textId="77777777" w:rsidR="001005D2" w:rsidRPr="004B0DDF" w:rsidRDefault="004D6453" w:rsidP="009C76A6">
      <w:pPr>
        <w:pStyle w:val="ListParagraph"/>
        <w:keepNext/>
        <w:widowControl w:val="0"/>
        <w:numPr>
          <w:ilvl w:val="0"/>
          <w:numId w:val="29"/>
        </w:numPr>
        <w:autoSpaceDE w:val="0"/>
        <w:autoSpaceDN w:val="0"/>
        <w:adjustRightInd w:val="0"/>
        <w:ind w:right="120"/>
        <w:rPr>
          <w:b/>
          <w:bCs/>
          <w:color w:val="000000"/>
        </w:rPr>
      </w:pPr>
      <w:r w:rsidRPr="004B0DDF">
        <w:rPr>
          <w:b/>
          <w:color w:val="000000"/>
        </w:rPr>
        <w:t xml:space="preserve">INNE WARUNKI I </w:t>
      </w:r>
      <w:r w:rsidRPr="004B0DDF">
        <w:rPr>
          <w:b/>
          <w:color w:val="000000"/>
        </w:rPr>
        <w:t>WYMAGANIA DOTYCZĄCE DOPUSZCZENIA DO OBROTU</w:t>
      </w:r>
    </w:p>
    <w:p w14:paraId="74364927" w14:textId="77777777" w:rsidR="001005D2" w:rsidRPr="004B0DDF" w:rsidRDefault="001005D2" w:rsidP="009C76A6">
      <w:pPr>
        <w:widowControl w:val="0"/>
        <w:autoSpaceDE w:val="0"/>
        <w:autoSpaceDN w:val="0"/>
        <w:adjustRightInd w:val="0"/>
        <w:ind w:left="127" w:right="120"/>
        <w:rPr>
          <w:color w:val="000000"/>
        </w:rPr>
      </w:pPr>
    </w:p>
    <w:p w14:paraId="74364928" w14:textId="77777777" w:rsidR="001005D2" w:rsidRPr="004B0DDF" w:rsidRDefault="004D6453" w:rsidP="009C76A6">
      <w:pPr>
        <w:pStyle w:val="ListParagraph"/>
        <w:keepNext/>
        <w:widowControl w:val="0"/>
        <w:numPr>
          <w:ilvl w:val="0"/>
          <w:numId w:val="29"/>
        </w:numPr>
        <w:autoSpaceDE w:val="0"/>
        <w:autoSpaceDN w:val="0"/>
        <w:adjustRightInd w:val="0"/>
        <w:ind w:right="120"/>
        <w:rPr>
          <w:b/>
          <w:bCs/>
          <w:color w:val="000000"/>
        </w:rPr>
      </w:pPr>
      <w:r w:rsidRPr="004B0DDF">
        <w:rPr>
          <w:b/>
          <w:color w:val="000000"/>
        </w:rPr>
        <w:t>WARUNKI LUB OGRANICZENIA DOTYCZĄCE BEZPIECZNEGO I SKUTECZNEGO STOSOWANIA PRODUKTU LECZNICZEGO</w:t>
      </w:r>
    </w:p>
    <w:p w14:paraId="74364929" w14:textId="77777777" w:rsidR="001005D2" w:rsidRPr="004B0DDF" w:rsidRDefault="001005D2" w:rsidP="009C76A6">
      <w:pPr>
        <w:widowControl w:val="0"/>
        <w:autoSpaceDE w:val="0"/>
        <w:autoSpaceDN w:val="0"/>
        <w:adjustRightInd w:val="0"/>
        <w:ind w:left="127" w:right="120"/>
        <w:rPr>
          <w:color w:val="000000"/>
        </w:rPr>
      </w:pPr>
    </w:p>
    <w:p w14:paraId="7436492A" w14:textId="77777777" w:rsidR="001005D2" w:rsidRPr="004B0DDF" w:rsidRDefault="001005D2" w:rsidP="009C76A6">
      <w:pPr>
        <w:keepNext/>
        <w:widowControl w:val="0"/>
        <w:autoSpaceDE w:val="0"/>
        <w:autoSpaceDN w:val="0"/>
        <w:adjustRightInd w:val="0"/>
        <w:spacing w:before="280"/>
        <w:ind w:left="127" w:right="120"/>
        <w:rPr>
          <w:color w:val="000000"/>
        </w:rPr>
      </w:pPr>
    </w:p>
    <w:p w14:paraId="7436492B" w14:textId="77777777" w:rsidR="001005D2" w:rsidRPr="004B0DDF" w:rsidRDefault="004D6453" w:rsidP="009C76A6">
      <w:pPr>
        <w:pStyle w:val="ListParagraph"/>
        <w:keepNext/>
        <w:widowControl w:val="0"/>
        <w:numPr>
          <w:ilvl w:val="0"/>
          <w:numId w:val="30"/>
        </w:numPr>
        <w:autoSpaceDE w:val="0"/>
        <w:autoSpaceDN w:val="0"/>
        <w:adjustRightInd w:val="0"/>
        <w:spacing w:before="280" w:after="220"/>
        <w:ind w:right="120"/>
        <w:rPr>
          <w:b/>
          <w:bCs/>
          <w:color w:val="000000"/>
        </w:rPr>
      </w:pPr>
      <w:r w:rsidRPr="004B0DDF">
        <w:br w:type="page"/>
      </w:r>
      <w:r w:rsidRPr="004B0DDF">
        <w:rPr>
          <w:b/>
          <w:color w:val="000000"/>
        </w:rPr>
        <w:lastRenderedPageBreak/>
        <w:t>WYTWÓRCA(-Y) ODPOWIEDZIALNY(-I) ZA ZWOLNIENIE SERII</w:t>
      </w:r>
    </w:p>
    <w:p w14:paraId="7436492C" w14:textId="77777777" w:rsidR="001005D2" w:rsidRPr="004B0DDF" w:rsidRDefault="004D6453" w:rsidP="009C76A6">
      <w:pPr>
        <w:widowControl w:val="0"/>
        <w:autoSpaceDE w:val="0"/>
        <w:autoSpaceDN w:val="0"/>
        <w:adjustRightInd w:val="0"/>
        <w:spacing w:after="140" w:line="280" w:lineRule="atLeast"/>
        <w:ind w:left="127" w:right="120"/>
        <w:rPr>
          <w:color w:val="000000"/>
          <w:u w:val="single"/>
        </w:rPr>
      </w:pPr>
      <w:r w:rsidRPr="004B0DDF">
        <w:rPr>
          <w:color w:val="000000"/>
          <w:u w:val="single"/>
        </w:rPr>
        <w:t>Nazwa i adres wytwórcy(-ów) odpowiedzialnego(-ych) za zwolnieni</w:t>
      </w:r>
      <w:r w:rsidRPr="004B0DDF">
        <w:rPr>
          <w:color w:val="000000"/>
          <w:u w:val="single"/>
        </w:rPr>
        <w:t>e serii</w:t>
      </w:r>
    </w:p>
    <w:p w14:paraId="7436492D" w14:textId="77777777" w:rsidR="001005D2" w:rsidRPr="004B0DDF" w:rsidRDefault="001005D2" w:rsidP="009C76A6">
      <w:pPr>
        <w:widowControl w:val="0"/>
        <w:autoSpaceDE w:val="0"/>
        <w:autoSpaceDN w:val="0"/>
        <w:adjustRightInd w:val="0"/>
        <w:spacing w:after="140" w:line="280" w:lineRule="atLeast"/>
        <w:ind w:left="127" w:right="120"/>
        <w:rPr>
          <w:color w:val="000000"/>
        </w:rPr>
      </w:pPr>
    </w:p>
    <w:p w14:paraId="7436492E" w14:textId="77777777" w:rsidR="001005D2" w:rsidRPr="004D6453" w:rsidRDefault="004D6453" w:rsidP="009C76A6">
      <w:pPr>
        <w:widowControl w:val="0"/>
        <w:autoSpaceDE w:val="0"/>
        <w:autoSpaceDN w:val="0"/>
        <w:adjustRightInd w:val="0"/>
        <w:ind w:left="127" w:right="120"/>
        <w:rPr>
          <w:color w:val="000000"/>
          <w:lang w:val="fr-FR"/>
        </w:rPr>
      </w:pPr>
      <w:r w:rsidRPr="004D6453">
        <w:rPr>
          <w:color w:val="000000"/>
          <w:lang w:val="fr-FR"/>
        </w:rPr>
        <w:t>DELPHARM EVREUX</w:t>
      </w:r>
      <w:r w:rsidRPr="004D6453">
        <w:rPr>
          <w:color w:val="000000"/>
          <w:lang w:val="fr-FR"/>
        </w:rPr>
        <w:br/>
        <w:t>5 rue du Guesclin</w:t>
      </w:r>
      <w:r w:rsidRPr="004D6453">
        <w:rPr>
          <w:color w:val="000000"/>
          <w:lang w:val="fr-FR"/>
        </w:rPr>
        <w:br/>
        <w:t>27000 Evreux</w:t>
      </w:r>
      <w:r w:rsidRPr="004D6453">
        <w:rPr>
          <w:color w:val="000000"/>
          <w:lang w:val="fr-FR"/>
        </w:rPr>
        <w:br/>
      </w:r>
      <w:proofErr w:type="spellStart"/>
      <w:r w:rsidRPr="004D6453">
        <w:rPr>
          <w:color w:val="000000"/>
          <w:lang w:val="fr-FR"/>
        </w:rPr>
        <w:t>Francja</w:t>
      </w:r>
      <w:proofErr w:type="spellEnd"/>
    </w:p>
    <w:p w14:paraId="7436492F" w14:textId="77777777" w:rsidR="001005D2" w:rsidRPr="004B0DDF" w:rsidRDefault="004D6453" w:rsidP="009C76A6">
      <w:pPr>
        <w:pStyle w:val="ListParagraph"/>
        <w:keepNext/>
        <w:widowControl w:val="0"/>
        <w:numPr>
          <w:ilvl w:val="0"/>
          <w:numId w:val="30"/>
        </w:numPr>
        <w:autoSpaceDE w:val="0"/>
        <w:autoSpaceDN w:val="0"/>
        <w:adjustRightInd w:val="0"/>
        <w:spacing w:before="280" w:after="220"/>
        <w:ind w:right="120"/>
        <w:rPr>
          <w:b/>
          <w:bCs/>
          <w:color w:val="000000"/>
        </w:rPr>
      </w:pPr>
      <w:r w:rsidRPr="004B0DDF">
        <w:rPr>
          <w:b/>
          <w:color w:val="000000"/>
        </w:rPr>
        <w:t>WARUNKI LUB OGRANICZENIA DOTYCZĄCE ZAOPATRZENIA I STOSOWANIA</w:t>
      </w:r>
    </w:p>
    <w:p w14:paraId="74364930" w14:textId="77777777" w:rsidR="001005D2" w:rsidRPr="004B0DDF" w:rsidRDefault="004D6453" w:rsidP="009C76A6">
      <w:pPr>
        <w:widowControl w:val="0"/>
        <w:autoSpaceDE w:val="0"/>
        <w:autoSpaceDN w:val="0"/>
        <w:adjustRightInd w:val="0"/>
        <w:spacing w:line="280" w:lineRule="exact"/>
        <w:ind w:left="127" w:right="120"/>
        <w:rPr>
          <w:color w:val="000000"/>
        </w:rPr>
      </w:pPr>
      <w:r w:rsidRPr="004B0DDF">
        <w:rPr>
          <w:color w:val="000000"/>
        </w:rPr>
        <w:t xml:space="preserve">Produkt leczniczy wydawany </w:t>
      </w:r>
      <w:r w:rsidRPr="004B0DDF">
        <w:t xml:space="preserve">z przepisu lekarza </w:t>
      </w:r>
      <w:r w:rsidRPr="004B0DDF">
        <w:rPr>
          <w:color w:val="000000"/>
        </w:rPr>
        <w:t>do zastrzeżonego stosowania (patrz aneks I: Charakterystyka Produktu Leczniczego, pun</w:t>
      </w:r>
      <w:r w:rsidRPr="004B0DDF">
        <w:rPr>
          <w:color w:val="000000"/>
        </w:rPr>
        <w:t>kt 4.2).</w:t>
      </w:r>
    </w:p>
    <w:p w14:paraId="74364931" w14:textId="77777777" w:rsidR="001005D2" w:rsidRPr="004B0DDF" w:rsidRDefault="001005D2" w:rsidP="009C76A6">
      <w:pPr>
        <w:widowControl w:val="0"/>
        <w:autoSpaceDE w:val="0"/>
        <w:autoSpaceDN w:val="0"/>
        <w:adjustRightInd w:val="0"/>
        <w:spacing w:after="140" w:line="280" w:lineRule="atLeast"/>
        <w:ind w:left="127" w:right="120"/>
        <w:rPr>
          <w:color w:val="000000"/>
        </w:rPr>
      </w:pPr>
    </w:p>
    <w:p w14:paraId="74364932" w14:textId="77777777" w:rsidR="001005D2" w:rsidRPr="004B0DDF" w:rsidRDefault="004D6453" w:rsidP="009C76A6">
      <w:pPr>
        <w:pStyle w:val="ListParagraph"/>
        <w:keepNext/>
        <w:widowControl w:val="0"/>
        <w:numPr>
          <w:ilvl w:val="0"/>
          <w:numId w:val="30"/>
        </w:numPr>
        <w:autoSpaceDE w:val="0"/>
        <w:autoSpaceDN w:val="0"/>
        <w:adjustRightInd w:val="0"/>
        <w:spacing w:before="280" w:after="220"/>
        <w:ind w:right="120"/>
        <w:rPr>
          <w:b/>
          <w:bCs/>
          <w:color w:val="000000"/>
        </w:rPr>
      </w:pPr>
      <w:r w:rsidRPr="004B0DDF">
        <w:rPr>
          <w:b/>
          <w:color w:val="000000"/>
        </w:rPr>
        <w:t xml:space="preserve">INNE WARUNKI I WYMAGANIA DOTYCZĄCE DOPUSZCZENIA DO OBROTU </w:t>
      </w:r>
    </w:p>
    <w:p w14:paraId="74364933" w14:textId="77777777" w:rsidR="001005D2" w:rsidRPr="004B0DDF" w:rsidRDefault="001005D2" w:rsidP="009C76A6">
      <w:pPr>
        <w:widowControl w:val="0"/>
        <w:autoSpaceDE w:val="0"/>
        <w:autoSpaceDN w:val="0"/>
        <w:adjustRightInd w:val="0"/>
        <w:spacing w:after="140" w:line="280" w:lineRule="atLeast"/>
        <w:ind w:left="127" w:right="120"/>
        <w:rPr>
          <w:color w:val="000000"/>
        </w:rPr>
      </w:pPr>
    </w:p>
    <w:p w14:paraId="74364934" w14:textId="77777777" w:rsidR="001005D2" w:rsidRPr="004B0DDF" w:rsidRDefault="004D6453" w:rsidP="009C76A6">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4B0DDF">
        <w:rPr>
          <w:b/>
          <w:color w:val="000000"/>
        </w:rPr>
        <w:t xml:space="preserve">Okresowe raporty o bezpieczeństwie stosowania </w:t>
      </w:r>
    </w:p>
    <w:p w14:paraId="74364935" w14:textId="77777777" w:rsidR="001005D2" w:rsidRPr="004B0DDF" w:rsidRDefault="001005D2" w:rsidP="009C76A6">
      <w:pPr>
        <w:widowControl w:val="0"/>
        <w:autoSpaceDE w:val="0"/>
        <w:autoSpaceDN w:val="0"/>
        <w:adjustRightInd w:val="0"/>
        <w:spacing w:after="140" w:line="280" w:lineRule="atLeast"/>
        <w:ind w:left="127" w:right="120"/>
        <w:rPr>
          <w:color w:val="000000"/>
        </w:rPr>
      </w:pPr>
    </w:p>
    <w:p w14:paraId="74364936" w14:textId="77777777" w:rsidR="001005D2" w:rsidRPr="004B0DDF" w:rsidRDefault="004D6453" w:rsidP="009C76A6">
      <w:pPr>
        <w:widowControl w:val="0"/>
        <w:autoSpaceDE w:val="0"/>
        <w:autoSpaceDN w:val="0"/>
        <w:adjustRightInd w:val="0"/>
        <w:spacing w:after="140" w:line="280" w:lineRule="atLeast"/>
        <w:ind w:left="127" w:right="120"/>
        <w:rPr>
          <w:color w:val="000000"/>
        </w:rPr>
      </w:pPr>
      <w:r w:rsidRPr="004B0DDF">
        <w:rPr>
          <w:color w:val="000000"/>
        </w:rPr>
        <w:t xml:space="preserve">Wymagania do przedłożenia okresowych raportów o bezpieczeństwie stosowania tego produktu są określone w wykazie unijnych dat </w:t>
      </w:r>
      <w:r w:rsidRPr="004B0DDF">
        <w:rPr>
          <w:color w:val="000000"/>
        </w:rPr>
        <w:t>referencyjnych (wykaz EURD), o którym mowa w art. 107c ust. 7 dyrektywy 2001/83/WE i jego kolejnych aktualizacjach ogłaszanych na europejskiej stronie internetowej dotyczącej leków.</w:t>
      </w:r>
    </w:p>
    <w:p w14:paraId="74364937" w14:textId="77777777" w:rsidR="001005D2" w:rsidRPr="004B0DDF" w:rsidRDefault="004D6453" w:rsidP="009C76A6">
      <w:pPr>
        <w:widowControl w:val="0"/>
        <w:autoSpaceDE w:val="0"/>
        <w:autoSpaceDN w:val="0"/>
        <w:adjustRightInd w:val="0"/>
        <w:spacing w:line="280" w:lineRule="atLeast"/>
        <w:ind w:left="127" w:right="120"/>
        <w:rPr>
          <w:color w:val="000000"/>
        </w:rPr>
      </w:pPr>
      <w:r w:rsidRPr="004B0DDF">
        <w:rPr>
          <w:color w:val="000000"/>
        </w:rPr>
        <w:t>Podmiot odpowiedzialny powinien przedłożyć pierwszy okresowy raport o bezp</w:t>
      </w:r>
      <w:r w:rsidRPr="004B0DDF">
        <w:rPr>
          <w:color w:val="000000"/>
        </w:rPr>
        <w:t xml:space="preserve">ieczeństwie stosowania tego produktu w ciągu 6 miesięcy po dopuszczeniu do obrotu. </w:t>
      </w:r>
    </w:p>
    <w:p w14:paraId="74364938" w14:textId="77777777" w:rsidR="001005D2" w:rsidRPr="004B0DDF" w:rsidRDefault="004D6453" w:rsidP="009C76A6">
      <w:pPr>
        <w:pStyle w:val="ListParagraph"/>
        <w:keepNext/>
        <w:widowControl w:val="0"/>
        <w:numPr>
          <w:ilvl w:val="0"/>
          <w:numId w:val="30"/>
        </w:numPr>
        <w:autoSpaceDE w:val="0"/>
        <w:autoSpaceDN w:val="0"/>
        <w:adjustRightInd w:val="0"/>
        <w:spacing w:before="280" w:after="220"/>
        <w:ind w:right="120"/>
        <w:rPr>
          <w:b/>
          <w:bCs/>
          <w:color w:val="000000"/>
        </w:rPr>
      </w:pPr>
      <w:r w:rsidRPr="004B0DDF">
        <w:rPr>
          <w:b/>
          <w:color w:val="000000"/>
        </w:rPr>
        <w:t>WARUNKI LUB OGRANICZENIA DOTYCZĄCE BEZPIECZNEGO I SKUTECZNEGO STOSOWANIA PRODUKTU LECZNICZEGO</w:t>
      </w:r>
    </w:p>
    <w:p w14:paraId="74364939" w14:textId="77777777" w:rsidR="001005D2" w:rsidRPr="004B0DDF" w:rsidRDefault="001005D2" w:rsidP="009C76A6">
      <w:pPr>
        <w:widowControl w:val="0"/>
        <w:autoSpaceDE w:val="0"/>
        <w:autoSpaceDN w:val="0"/>
        <w:adjustRightInd w:val="0"/>
        <w:spacing w:after="140" w:line="280" w:lineRule="atLeast"/>
        <w:ind w:left="127" w:right="120"/>
        <w:rPr>
          <w:color w:val="000000"/>
        </w:rPr>
      </w:pPr>
    </w:p>
    <w:p w14:paraId="7436493A" w14:textId="77777777" w:rsidR="001005D2" w:rsidRPr="004B0DDF" w:rsidRDefault="004D6453" w:rsidP="009C76A6">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4B0DDF">
        <w:rPr>
          <w:b/>
          <w:color w:val="000000"/>
        </w:rPr>
        <w:t xml:space="preserve">Plan zarządzania ryzykiem (ang. </w:t>
      </w:r>
      <w:r w:rsidRPr="004B0DDF">
        <w:rPr>
          <w:b/>
          <w:i/>
          <w:color w:val="000000"/>
        </w:rPr>
        <w:t>Risk Management Plan</w:t>
      </w:r>
      <w:r w:rsidRPr="004B0DDF">
        <w:rPr>
          <w:b/>
          <w:color w:val="000000"/>
        </w:rPr>
        <w:t>, RMP)</w:t>
      </w:r>
    </w:p>
    <w:p w14:paraId="7436493B" w14:textId="77777777" w:rsidR="001005D2" w:rsidRPr="004B0DDF" w:rsidRDefault="001005D2" w:rsidP="009C76A6">
      <w:pPr>
        <w:widowControl w:val="0"/>
        <w:autoSpaceDE w:val="0"/>
        <w:autoSpaceDN w:val="0"/>
        <w:adjustRightInd w:val="0"/>
        <w:spacing w:after="140" w:line="280" w:lineRule="atLeast"/>
        <w:ind w:left="127" w:right="120"/>
        <w:rPr>
          <w:color w:val="000000"/>
        </w:rPr>
      </w:pPr>
    </w:p>
    <w:p w14:paraId="7436493C" w14:textId="77777777" w:rsidR="001005D2" w:rsidRPr="004B0DDF" w:rsidRDefault="004D6453" w:rsidP="009C76A6">
      <w:pPr>
        <w:widowControl w:val="0"/>
        <w:autoSpaceDE w:val="0"/>
        <w:autoSpaceDN w:val="0"/>
        <w:adjustRightInd w:val="0"/>
        <w:spacing w:after="140" w:line="280" w:lineRule="atLeast"/>
        <w:ind w:left="127" w:right="120"/>
        <w:rPr>
          <w:color w:val="000000"/>
        </w:rPr>
      </w:pPr>
      <w:r w:rsidRPr="004B0DDF">
        <w:rPr>
          <w:color w:val="000000"/>
        </w:rPr>
        <w:t>Podmiot odpowiedz</w:t>
      </w:r>
      <w:r w:rsidRPr="004B0DDF">
        <w:rPr>
          <w:color w:val="000000"/>
        </w:rPr>
        <w:t>ialny podejmie wymagane działania i interwencje z zakresu nadzoru nad bezpieczeństwem farmakoterapii wyszczególnione w RMP, przedstawionym w module 1.8.2 dokumentacji do pozwolenia na dopuszczenie do obrotu, i wszelkich jego kolejnych aktualizacjach.</w:t>
      </w:r>
    </w:p>
    <w:p w14:paraId="7436493D" w14:textId="77777777" w:rsidR="001005D2" w:rsidRPr="004B0DDF" w:rsidRDefault="004D6453" w:rsidP="009C76A6">
      <w:pPr>
        <w:widowControl w:val="0"/>
        <w:autoSpaceDE w:val="0"/>
        <w:autoSpaceDN w:val="0"/>
        <w:adjustRightInd w:val="0"/>
        <w:spacing w:after="140" w:line="280" w:lineRule="atLeast"/>
        <w:ind w:left="127" w:right="120"/>
        <w:rPr>
          <w:color w:val="000000"/>
        </w:rPr>
      </w:pPr>
      <w:r w:rsidRPr="004B0DDF">
        <w:rPr>
          <w:color w:val="000000"/>
        </w:rPr>
        <w:t>Uaktu</w:t>
      </w:r>
      <w:r w:rsidRPr="004B0DDF">
        <w:rPr>
          <w:color w:val="000000"/>
        </w:rPr>
        <w:t>alniony RMP należy przedstawiać:</w:t>
      </w:r>
    </w:p>
    <w:p w14:paraId="7436493E" w14:textId="77777777" w:rsidR="001005D2" w:rsidRPr="004B0DDF" w:rsidRDefault="004D6453" w:rsidP="009C76A6">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4B0DDF">
        <w:rPr>
          <w:color w:val="000000"/>
        </w:rPr>
        <w:t>na żądanie Europejskiej Agencji Leków;</w:t>
      </w:r>
    </w:p>
    <w:p w14:paraId="7436493F" w14:textId="77777777" w:rsidR="001005D2" w:rsidRPr="004B0DDF" w:rsidRDefault="004D6453" w:rsidP="009C76A6">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4B0DDF">
        <w:rPr>
          <w:color w:val="000000"/>
        </w:rPr>
        <w:t>w razie zmiany systemu zarządzania ryzykiem, zwłaszcza w wyniku uzyskania nowych informacji, które mogą istotnie wpłynąć na stosunek ryzyka do korzyści, lub w wyniku uzyskania istotnyc</w:t>
      </w:r>
      <w:r w:rsidRPr="004B0DDF">
        <w:rPr>
          <w:color w:val="000000"/>
        </w:rPr>
        <w:t xml:space="preserve">h informacji, dotyczących bezpieczeństwa stosowania produktu leczniczego lub odnoszących się do minimalizacji ryzyka. </w:t>
      </w:r>
    </w:p>
    <w:p w14:paraId="74364940" w14:textId="77777777" w:rsidR="001005D2" w:rsidRPr="004B0DDF" w:rsidRDefault="004D6453" w:rsidP="009C76A6">
      <w:pPr>
        <w:numPr>
          <w:ilvl w:val="12"/>
          <w:numId w:val="0"/>
        </w:numPr>
        <w:spacing w:line="240" w:lineRule="auto"/>
        <w:ind w:right="-2"/>
        <w:rPr>
          <w:szCs w:val="22"/>
        </w:rPr>
      </w:pPr>
      <w:r w:rsidRPr="004B0DDF">
        <w:br w:type="page"/>
      </w:r>
    </w:p>
    <w:p w14:paraId="74364941" w14:textId="77777777" w:rsidR="001005D2" w:rsidRPr="004B0DDF" w:rsidRDefault="001005D2" w:rsidP="009C76A6">
      <w:pPr>
        <w:spacing w:line="240" w:lineRule="auto"/>
        <w:ind w:right="566"/>
        <w:rPr>
          <w:szCs w:val="22"/>
        </w:rPr>
      </w:pPr>
    </w:p>
    <w:p w14:paraId="74364942" w14:textId="77777777" w:rsidR="001005D2" w:rsidRPr="004B0DDF" w:rsidRDefault="001005D2" w:rsidP="009C76A6">
      <w:pPr>
        <w:spacing w:line="240" w:lineRule="auto"/>
        <w:rPr>
          <w:szCs w:val="22"/>
        </w:rPr>
      </w:pPr>
    </w:p>
    <w:p w14:paraId="74364943" w14:textId="77777777" w:rsidR="001005D2" w:rsidRPr="004B0DDF" w:rsidRDefault="001005D2" w:rsidP="009C76A6">
      <w:pPr>
        <w:spacing w:line="240" w:lineRule="auto"/>
        <w:rPr>
          <w:szCs w:val="22"/>
        </w:rPr>
      </w:pPr>
    </w:p>
    <w:p w14:paraId="74364944" w14:textId="77777777" w:rsidR="001005D2" w:rsidRPr="004B0DDF" w:rsidRDefault="001005D2" w:rsidP="009C76A6">
      <w:pPr>
        <w:spacing w:line="240" w:lineRule="auto"/>
        <w:rPr>
          <w:szCs w:val="22"/>
        </w:rPr>
      </w:pPr>
    </w:p>
    <w:p w14:paraId="74364945" w14:textId="77777777" w:rsidR="001005D2" w:rsidRPr="004B0DDF" w:rsidRDefault="001005D2" w:rsidP="009C76A6">
      <w:pPr>
        <w:spacing w:line="240" w:lineRule="auto"/>
        <w:rPr>
          <w:szCs w:val="22"/>
        </w:rPr>
      </w:pPr>
    </w:p>
    <w:p w14:paraId="74364946" w14:textId="77777777" w:rsidR="001005D2" w:rsidRPr="004B0DDF" w:rsidRDefault="001005D2" w:rsidP="009C76A6">
      <w:pPr>
        <w:spacing w:line="240" w:lineRule="auto"/>
      </w:pPr>
    </w:p>
    <w:p w14:paraId="74364947" w14:textId="77777777" w:rsidR="001005D2" w:rsidRPr="004B0DDF" w:rsidRDefault="001005D2" w:rsidP="009C76A6">
      <w:pPr>
        <w:spacing w:line="240" w:lineRule="auto"/>
      </w:pPr>
    </w:p>
    <w:p w14:paraId="74364948" w14:textId="77777777" w:rsidR="001005D2" w:rsidRPr="004B0DDF" w:rsidRDefault="001005D2" w:rsidP="009C76A6">
      <w:pPr>
        <w:spacing w:line="240" w:lineRule="auto"/>
      </w:pPr>
    </w:p>
    <w:p w14:paraId="74364949" w14:textId="77777777" w:rsidR="001005D2" w:rsidRPr="004B0DDF" w:rsidRDefault="001005D2" w:rsidP="009C76A6">
      <w:pPr>
        <w:spacing w:line="240" w:lineRule="auto"/>
      </w:pPr>
    </w:p>
    <w:p w14:paraId="7436494A" w14:textId="77777777" w:rsidR="001005D2" w:rsidRPr="004B0DDF" w:rsidRDefault="001005D2" w:rsidP="009C76A6">
      <w:pPr>
        <w:spacing w:line="240" w:lineRule="auto"/>
      </w:pPr>
    </w:p>
    <w:p w14:paraId="7436494B" w14:textId="77777777" w:rsidR="001005D2" w:rsidRPr="004B0DDF" w:rsidRDefault="001005D2" w:rsidP="009C76A6">
      <w:pPr>
        <w:spacing w:line="240" w:lineRule="auto"/>
        <w:rPr>
          <w:szCs w:val="22"/>
        </w:rPr>
      </w:pPr>
    </w:p>
    <w:p w14:paraId="7436494C" w14:textId="77777777" w:rsidR="001005D2" w:rsidRPr="004B0DDF" w:rsidRDefault="001005D2" w:rsidP="009C76A6">
      <w:pPr>
        <w:spacing w:line="240" w:lineRule="auto"/>
        <w:rPr>
          <w:szCs w:val="22"/>
        </w:rPr>
      </w:pPr>
    </w:p>
    <w:p w14:paraId="7436494D" w14:textId="77777777" w:rsidR="001005D2" w:rsidRPr="004B0DDF" w:rsidRDefault="001005D2" w:rsidP="009C76A6"/>
    <w:p w14:paraId="7436494E" w14:textId="77777777" w:rsidR="001005D2" w:rsidRPr="004B0DDF" w:rsidRDefault="001005D2" w:rsidP="009C76A6"/>
    <w:p w14:paraId="7436494F" w14:textId="77777777" w:rsidR="001005D2" w:rsidRPr="004B0DDF" w:rsidRDefault="001005D2" w:rsidP="009C76A6"/>
    <w:p w14:paraId="74364950" w14:textId="77777777" w:rsidR="001005D2" w:rsidRPr="004B0DDF" w:rsidRDefault="001005D2" w:rsidP="009C76A6">
      <w:pPr>
        <w:spacing w:line="240" w:lineRule="auto"/>
        <w:rPr>
          <w:szCs w:val="22"/>
        </w:rPr>
      </w:pPr>
    </w:p>
    <w:p w14:paraId="74364951" w14:textId="77777777" w:rsidR="001005D2" w:rsidRPr="004B0DDF" w:rsidRDefault="001005D2" w:rsidP="009C76A6">
      <w:pPr>
        <w:spacing w:line="240" w:lineRule="auto"/>
        <w:rPr>
          <w:szCs w:val="22"/>
        </w:rPr>
      </w:pPr>
    </w:p>
    <w:p w14:paraId="74364952" w14:textId="77777777" w:rsidR="001005D2" w:rsidRPr="004B0DDF" w:rsidRDefault="001005D2" w:rsidP="009C76A6">
      <w:pPr>
        <w:spacing w:line="240" w:lineRule="auto"/>
        <w:rPr>
          <w:szCs w:val="22"/>
        </w:rPr>
      </w:pPr>
    </w:p>
    <w:p w14:paraId="74364953" w14:textId="77777777" w:rsidR="001005D2" w:rsidRPr="004B0DDF" w:rsidRDefault="001005D2" w:rsidP="009C76A6">
      <w:pPr>
        <w:spacing w:line="240" w:lineRule="auto"/>
        <w:rPr>
          <w:szCs w:val="22"/>
        </w:rPr>
      </w:pPr>
    </w:p>
    <w:p w14:paraId="74364954" w14:textId="77777777" w:rsidR="001005D2" w:rsidRPr="004B0DDF" w:rsidRDefault="001005D2" w:rsidP="009C76A6">
      <w:pPr>
        <w:spacing w:line="240" w:lineRule="auto"/>
        <w:rPr>
          <w:szCs w:val="22"/>
        </w:rPr>
      </w:pPr>
    </w:p>
    <w:p w14:paraId="74364955" w14:textId="77777777" w:rsidR="001005D2" w:rsidRPr="004B0DDF" w:rsidRDefault="001005D2" w:rsidP="009C76A6">
      <w:pPr>
        <w:spacing w:line="240" w:lineRule="auto"/>
        <w:rPr>
          <w:szCs w:val="22"/>
        </w:rPr>
      </w:pPr>
    </w:p>
    <w:p w14:paraId="74364956" w14:textId="77777777" w:rsidR="001005D2" w:rsidRPr="004B0DDF" w:rsidRDefault="001005D2" w:rsidP="009C76A6">
      <w:pPr>
        <w:spacing w:line="240" w:lineRule="auto"/>
        <w:rPr>
          <w:szCs w:val="22"/>
        </w:rPr>
      </w:pPr>
    </w:p>
    <w:p w14:paraId="74364957" w14:textId="77777777" w:rsidR="001005D2" w:rsidRPr="004B0DDF" w:rsidRDefault="001005D2" w:rsidP="009C76A6">
      <w:pPr>
        <w:spacing w:line="240" w:lineRule="auto"/>
        <w:rPr>
          <w:szCs w:val="22"/>
        </w:rPr>
      </w:pPr>
    </w:p>
    <w:p w14:paraId="74364958" w14:textId="77777777" w:rsidR="001005D2" w:rsidRPr="004B0DDF" w:rsidRDefault="004D6453" w:rsidP="009C76A6">
      <w:pPr>
        <w:spacing w:line="240" w:lineRule="auto"/>
        <w:jc w:val="center"/>
        <w:outlineLvl w:val="0"/>
        <w:rPr>
          <w:b/>
          <w:szCs w:val="22"/>
        </w:rPr>
      </w:pPr>
      <w:r w:rsidRPr="004B0DDF">
        <w:rPr>
          <w:b/>
        </w:rPr>
        <w:t>ANEKS III</w:t>
      </w:r>
    </w:p>
    <w:p w14:paraId="74364959" w14:textId="77777777" w:rsidR="001005D2" w:rsidRPr="004B0DDF" w:rsidRDefault="001005D2" w:rsidP="009C76A6"/>
    <w:p w14:paraId="7436495A" w14:textId="77777777" w:rsidR="001005D2" w:rsidRPr="004B0DDF" w:rsidRDefault="004D6453" w:rsidP="009C76A6">
      <w:pPr>
        <w:spacing w:line="240" w:lineRule="auto"/>
        <w:jc w:val="center"/>
        <w:outlineLvl w:val="0"/>
        <w:rPr>
          <w:b/>
          <w:szCs w:val="22"/>
        </w:rPr>
      </w:pPr>
      <w:r w:rsidRPr="004B0DDF">
        <w:rPr>
          <w:b/>
        </w:rPr>
        <w:t>OZNAKOWANIE OPAKOWAŃ I ULOTKA DLA PACJENTA</w:t>
      </w:r>
    </w:p>
    <w:p w14:paraId="7436495B" w14:textId="77777777" w:rsidR="001005D2" w:rsidRPr="004B0DDF" w:rsidRDefault="004D6453" w:rsidP="009C76A6">
      <w:r w:rsidRPr="004B0DDF">
        <w:br w:type="page"/>
      </w:r>
    </w:p>
    <w:p w14:paraId="7436495C" w14:textId="77777777" w:rsidR="001005D2" w:rsidRPr="004B0DDF" w:rsidRDefault="001005D2" w:rsidP="009C76A6"/>
    <w:p w14:paraId="7436495D" w14:textId="77777777" w:rsidR="001005D2" w:rsidRPr="004B0DDF" w:rsidRDefault="001005D2" w:rsidP="009C76A6"/>
    <w:p w14:paraId="7436495E" w14:textId="77777777" w:rsidR="001005D2" w:rsidRPr="004B0DDF" w:rsidRDefault="001005D2" w:rsidP="009C76A6"/>
    <w:p w14:paraId="7436495F" w14:textId="77777777" w:rsidR="001005D2" w:rsidRPr="004B0DDF" w:rsidRDefault="001005D2" w:rsidP="009C76A6"/>
    <w:p w14:paraId="74364960" w14:textId="77777777" w:rsidR="001005D2" w:rsidRPr="004B0DDF" w:rsidRDefault="001005D2" w:rsidP="009C76A6"/>
    <w:p w14:paraId="74364961" w14:textId="77777777" w:rsidR="001005D2" w:rsidRPr="004B0DDF" w:rsidRDefault="001005D2" w:rsidP="009C76A6"/>
    <w:p w14:paraId="74364962" w14:textId="77777777" w:rsidR="001005D2" w:rsidRPr="004B0DDF" w:rsidRDefault="001005D2" w:rsidP="009C76A6"/>
    <w:p w14:paraId="74364963" w14:textId="77777777" w:rsidR="001005D2" w:rsidRPr="004B0DDF" w:rsidRDefault="001005D2" w:rsidP="009C76A6"/>
    <w:p w14:paraId="74364964" w14:textId="77777777" w:rsidR="001005D2" w:rsidRPr="004B0DDF" w:rsidRDefault="001005D2" w:rsidP="009C76A6"/>
    <w:p w14:paraId="74364965" w14:textId="77777777" w:rsidR="001005D2" w:rsidRPr="004B0DDF" w:rsidRDefault="001005D2" w:rsidP="009C76A6"/>
    <w:p w14:paraId="74364966" w14:textId="77777777" w:rsidR="001005D2" w:rsidRPr="004B0DDF" w:rsidRDefault="001005D2" w:rsidP="009C76A6"/>
    <w:p w14:paraId="74364967" w14:textId="77777777" w:rsidR="001005D2" w:rsidRPr="004B0DDF" w:rsidRDefault="001005D2" w:rsidP="009C76A6"/>
    <w:p w14:paraId="74364968" w14:textId="77777777" w:rsidR="001005D2" w:rsidRPr="004B0DDF" w:rsidRDefault="001005D2" w:rsidP="009C76A6"/>
    <w:p w14:paraId="74364969" w14:textId="77777777" w:rsidR="001005D2" w:rsidRPr="004B0DDF" w:rsidRDefault="001005D2" w:rsidP="009C76A6"/>
    <w:p w14:paraId="7436496A" w14:textId="77777777" w:rsidR="001005D2" w:rsidRPr="004B0DDF" w:rsidRDefault="001005D2" w:rsidP="009C76A6"/>
    <w:p w14:paraId="7436496B" w14:textId="77777777" w:rsidR="001005D2" w:rsidRPr="004B0DDF" w:rsidRDefault="001005D2" w:rsidP="009C76A6"/>
    <w:p w14:paraId="7436496C" w14:textId="77777777" w:rsidR="001005D2" w:rsidRPr="004B0DDF" w:rsidRDefault="001005D2" w:rsidP="009C76A6"/>
    <w:p w14:paraId="7436496D" w14:textId="77777777" w:rsidR="001005D2" w:rsidRPr="004B0DDF" w:rsidRDefault="001005D2" w:rsidP="009C76A6"/>
    <w:p w14:paraId="7436496E" w14:textId="77777777" w:rsidR="001005D2" w:rsidRPr="004B0DDF" w:rsidRDefault="001005D2" w:rsidP="009C76A6"/>
    <w:p w14:paraId="7436496F" w14:textId="77777777" w:rsidR="001005D2" w:rsidRPr="004B0DDF" w:rsidRDefault="001005D2" w:rsidP="009C76A6"/>
    <w:p w14:paraId="74364970" w14:textId="77777777" w:rsidR="001005D2" w:rsidRPr="004B0DDF" w:rsidRDefault="001005D2" w:rsidP="009C76A6"/>
    <w:p w14:paraId="74364971" w14:textId="77777777" w:rsidR="001005D2" w:rsidRPr="004B0DDF" w:rsidRDefault="001005D2" w:rsidP="009C76A6"/>
    <w:p w14:paraId="74364972" w14:textId="77777777" w:rsidR="001005D2" w:rsidRPr="004B0DDF" w:rsidRDefault="004D6453" w:rsidP="009C76A6">
      <w:pPr>
        <w:pStyle w:val="ListParagraph"/>
        <w:numPr>
          <w:ilvl w:val="0"/>
          <w:numId w:val="31"/>
        </w:numPr>
        <w:spacing w:line="240" w:lineRule="auto"/>
        <w:ind w:left="357" w:hanging="357"/>
        <w:jc w:val="center"/>
        <w:outlineLvl w:val="0"/>
        <w:rPr>
          <w:szCs w:val="22"/>
        </w:rPr>
      </w:pPr>
      <w:r w:rsidRPr="004B0DDF">
        <w:rPr>
          <w:b/>
        </w:rPr>
        <w:t>OZNAKOWANIE OPAKOWAŃ</w:t>
      </w:r>
    </w:p>
    <w:p w14:paraId="74364973" w14:textId="77777777" w:rsidR="001005D2" w:rsidRPr="004B0DDF" w:rsidRDefault="004D6453" w:rsidP="009C76A6">
      <w:pPr>
        <w:shd w:val="clear" w:color="auto" w:fill="FFFFFF"/>
        <w:spacing w:line="240" w:lineRule="auto"/>
        <w:rPr>
          <w:szCs w:val="22"/>
        </w:rPr>
      </w:pPr>
      <w:r w:rsidRPr="004B0DDF">
        <w:br w:type="page"/>
      </w:r>
    </w:p>
    <w:p w14:paraId="74364974" w14:textId="77777777" w:rsidR="001005D2" w:rsidRPr="004B0DDF" w:rsidRDefault="004D6453" w:rsidP="009C76A6">
      <w:pPr>
        <w:pBdr>
          <w:top w:val="single" w:sz="4" w:space="0" w:color="auto"/>
          <w:left w:val="single" w:sz="4" w:space="4" w:color="auto"/>
          <w:bottom w:val="single" w:sz="4" w:space="1" w:color="auto"/>
          <w:right w:val="single" w:sz="4" w:space="4" w:color="auto"/>
        </w:pBdr>
        <w:spacing w:line="240" w:lineRule="auto"/>
        <w:rPr>
          <w:b/>
          <w:szCs w:val="22"/>
        </w:rPr>
      </w:pPr>
      <w:r w:rsidRPr="004B0DDF">
        <w:rPr>
          <w:b/>
        </w:rPr>
        <w:lastRenderedPageBreak/>
        <w:t>INFORMACJE ZAMIESZCZANE NA OPAKOWANIACH ZEWNĘTRZNYCH</w:t>
      </w:r>
    </w:p>
    <w:p w14:paraId="74364975" w14:textId="77777777" w:rsidR="001005D2" w:rsidRPr="004B0DDF" w:rsidRDefault="001005D2" w:rsidP="009C76A6">
      <w:pPr>
        <w:pBdr>
          <w:top w:val="single" w:sz="4" w:space="0" w:color="auto"/>
          <w:left w:val="single" w:sz="4" w:space="4" w:color="auto"/>
          <w:bottom w:val="single" w:sz="4" w:space="1" w:color="auto"/>
          <w:right w:val="single" w:sz="4" w:space="4" w:color="auto"/>
        </w:pBdr>
        <w:spacing w:line="240" w:lineRule="auto"/>
        <w:ind w:left="567" w:hanging="567"/>
        <w:rPr>
          <w:bCs/>
          <w:szCs w:val="22"/>
        </w:rPr>
      </w:pPr>
    </w:p>
    <w:p w14:paraId="74364976" w14:textId="77777777" w:rsidR="001005D2" w:rsidRPr="004B0DDF" w:rsidRDefault="004D6453" w:rsidP="009C76A6">
      <w:pPr>
        <w:pBdr>
          <w:top w:val="single" w:sz="4" w:space="0" w:color="auto"/>
          <w:left w:val="single" w:sz="4" w:space="4" w:color="auto"/>
          <w:bottom w:val="single" w:sz="4" w:space="1" w:color="auto"/>
          <w:right w:val="single" w:sz="4" w:space="4" w:color="auto"/>
        </w:pBdr>
        <w:spacing w:line="240" w:lineRule="auto"/>
        <w:rPr>
          <w:bCs/>
          <w:szCs w:val="22"/>
        </w:rPr>
      </w:pPr>
      <w:r w:rsidRPr="004B0DDF">
        <w:rPr>
          <w:b/>
        </w:rPr>
        <w:t>PUDEŁKO TEKTUROWE</w:t>
      </w:r>
    </w:p>
    <w:p w14:paraId="74364977" w14:textId="77777777" w:rsidR="001005D2" w:rsidRPr="004B0DDF" w:rsidRDefault="001005D2" w:rsidP="009C76A6">
      <w:pPr>
        <w:spacing w:line="240" w:lineRule="auto"/>
      </w:pPr>
    </w:p>
    <w:p w14:paraId="74364978" w14:textId="77777777" w:rsidR="001005D2" w:rsidRPr="004B0DDF" w:rsidRDefault="001005D2" w:rsidP="009C76A6">
      <w:pPr>
        <w:spacing w:line="240" w:lineRule="auto"/>
        <w:rPr>
          <w:szCs w:val="22"/>
        </w:rPr>
      </w:pPr>
    </w:p>
    <w:p w14:paraId="74364979"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4B0DDF">
        <w:rPr>
          <w:b/>
        </w:rPr>
        <w:t>NAZWA PRODUKTU LECZNICZEGO</w:t>
      </w:r>
    </w:p>
    <w:p w14:paraId="7436497A" w14:textId="77777777" w:rsidR="001005D2" w:rsidRPr="004B0DDF" w:rsidRDefault="001005D2" w:rsidP="009C76A6">
      <w:pPr>
        <w:spacing w:line="240" w:lineRule="auto"/>
        <w:rPr>
          <w:szCs w:val="22"/>
        </w:rPr>
      </w:pPr>
    </w:p>
    <w:p w14:paraId="7436497B" w14:textId="77777777" w:rsidR="001005D2" w:rsidRPr="004B0DDF" w:rsidRDefault="004D6453" w:rsidP="009C76A6">
      <w:pPr>
        <w:rPr>
          <w:szCs w:val="22"/>
        </w:rPr>
      </w:pPr>
      <w:r w:rsidRPr="004B0DDF">
        <w:t>Cuprior 150 mg tabletki powlekane</w:t>
      </w:r>
    </w:p>
    <w:p w14:paraId="7436497C" w14:textId="77777777" w:rsidR="001005D2" w:rsidRPr="004B0DDF" w:rsidRDefault="004D6453" w:rsidP="009C76A6">
      <w:pPr>
        <w:spacing w:line="240" w:lineRule="auto"/>
        <w:rPr>
          <w:b/>
          <w:szCs w:val="22"/>
        </w:rPr>
      </w:pPr>
      <w:r w:rsidRPr="004B0DDF">
        <w:t>trientyna</w:t>
      </w:r>
      <w:r w:rsidRPr="004B0DDF">
        <w:rPr>
          <w:b/>
        </w:rPr>
        <w:t xml:space="preserve"> </w:t>
      </w:r>
    </w:p>
    <w:p w14:paraId="7436497D" w14:textId="77777777" w:rsidR="001005D2" w:rsidRPr="004B0DDF" w:rsidRDefault="001005D2" w:rsidP="009C76A6">
      <w:pPr>
        <w:spacing w:line="240" w:lineRule="auto"/>
        <w:rPr>
          <w:szCs w:val="22"/>
        </w:rPr>
      </w:pPr>
    </w:p>
    <w:p w14:paraId="7436497E" w14:textId="77777777" w:rsidR="001005D2" w:rsidRPr="004B0DDF" w:rsidRDefault="001005D2" w:rsidP="009C76A6">
      <w:pPr>
        <w:spacing w:line="240" w:lineRule="auto"/>
        <w:rPr>
          <w:szCs w:val="22"/>
        </w:rPr>
      </w:pPr>
    </w:p>
    <w:p w14:paraId="7436497F"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ZAWARTOŚĆ SUBSTANCJI CZYNNEJ(-YCH)</w:t>
      </w:r>
    </w:p>
    <w:p w14:paraId="74364980" w14:textId="77777777" w:rsidR="001005D2" w:rsidRPr="004B0DDF" w:rsidRDefault="001005D2" w:rsidP="009C76A6">
      <w:pPr>
        <w:spacing w:line="240" w:lineRule="auto"/>
        <w:rPr>
          <w:szCs w:val="22"/>
        </w:rPr>
      </w:pPr>
    </w:p>
    <w:p w14:paraId="74364981" w14:textId="77777777" w:rsidR="001005D2" w:rsidRPr="004B0DDF" w:rsidRDefault="004D6453" w:rsidP="009C76A6">
      <w:pPr>
        <w:widowControl w:val="0"/>
      </w:pPr>
      <w:r w:rsidRPr="004B0DDF">
        <w:t xml:space="preserve">Każda tabletka powlekana zawiera 150 mg trientyny w postaci </w:t>
      </w:r>
      <w:r w:rsidRPr="004B0DDF">
        <w:t>trientyny tetrachlorowodorku.</w:t>
      </w:r>
    </w:p>
    <w:p w14:paraId="74364982" w14:textId="77777777" w:rsidR="001005D2" w:rsidRPr="004B0DDF" w:rsidRDefault="001005D2" w:rsidP="009C76A6">
      <w:pPr>
        <w:spacing w:line="240" w:lineRule="auto"/>
        <w:rPr>
          <w:szCs w:val="22"/>
        </w:rPr>
      </w:pPr>
    </w:p>
    <w:p w14:paraId="74364983" w14:textId="77777777" w:rsidR="001005D2" w:rsidRPr="004B0DDF" w:rsidRDefault="001005D2" w:rsidP="009C76A6">
      <w:pPr>
        <w:spacing w:line="240" w:lineRule="auto"/>
        <w:rPr>
          <w:szCs w:val="22"/>
        </w:rPr>
      </w:pPr>
    </w:p>
    <w:p w14:paraId="74364984"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WYKAZ SUBSTANCJI POMOCNICZYCH</w:t>
      </w:r>
    </w:p>
    <w:p w14:paraId="74364985" w14:textId="77777777" w:rsidR="001005D2" w:rsidRPr="004B0DDF" w:rsidRDefault="001005D2" w:rsidP="009C76A6">
      <w:pPr>
        <w:spacing w:line="240" w:lineRule="auto"/>
        <w:rPr>
          <w:szCs w:val="22"/>
        </w:rPr>
      </w:pPr>
    </w:p>
    <w:p w14:paraId="74364986" w14:textId="77777777" w:rsidR="001005D2" w:rsidRPr="004B0DDF" w:rsidRDefault="001005D2" w:rsidP="009C76A6">
      <w:pPr>
        <w:spacing w:line="240" w:lineRule="auto"/>
        <w:rPr>
          <w:szCs w:val="22"/>
        </w:rPr>
      </w:pPr>
    </w:p>
    <w:p w14:paraId="74364987"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POSTAĆ FARMACEUTYCZNA I ZAWARTOŚĆ OPAKOWANIA</w:t>
      </w:r>
    </w:p>
    <w:p w14:paraId="74364988" w14:textId="77777777" w:rsidR="001005D2" w:rsidRPr="004B0DDF" w:rsidRDefault="001005D2" w:rsidP="009C76A6">
      <w:pPr>
        <w:rPr>
          <w:szCs w:val="22"/>
        </w:rPr>
      </w:pPr>
    </w:p>
    <w:p w14:paraId="74364989" w14:textId="77777777" w:rsidR="001005D2" w:rsidRPr="004B0DDF" w:rsidRDefault="004D6453" w:rsidP="009C76A6">
      <w:pPr>
        <w:rPr>
          <w:szCs w:val="22"/>
        </w:rPr>
      </w:pPr>
      <w:r w:rsidRPr="004B0DDF">
        <w:rPr>
          <w:highlight w:val="lightGray"/>
        </w:rPr>
        <w:t>Tabletka powlekana</w:t>
      </w:r>
    </w:p>
    <w:p w14:paraId="7436498A" w14:textId="1F393622" w:rsidR="001005D2" w:rsidRPr="004B0DDF" w:rsidRDefault="004D6453" w:rsidP="009C76A6">
      <w:r w:rsidRPr="004B0DDF">
        <w:t>72 tabletki powlekane</w:t>
      </w:r>
    </w:p>
    <w:p w14:paraId="70DE8B9E" w14:textId="288EBF05" w:rsidR="00571171" w:rsidRPr="004B0DDF" w:rsidRDefault="004D6453" w:rsidP="009C76A6">
      <w:pPr>
        <w:rPr>
          <w:szCs w:val="22"/>
        </w:rPr>
      </w:pPr>
      <w:r w:rsidRPr="004B0DDF">
        <w:rPr>
          <w:szCs w:val="22"/>
        </w:rPr>
        <w:t>96 tabletek powlekanych</w:t>
      </w:r>
    </w:p>
    <w:p w14:paraId="7436498B" w14:textId="77777777" w:rsidR="001005D2" w:rsidRPr="004B0DDF" w:rsidRDefault="001005D2" w:rsidP="009C76A6">
      <w:pPr>
        <w:spacing w:line="240" w:lineRule="auto"/>
        <w:rPr>
          <w:szCs w:val="22"/>
        </w:rPr>
      </w:pPr>
    </w:p>
    <w:p w14:paraId="7436498C" w14:textId="77777777" w:rsidR="001005D2" w:rsidRPr="004B0DDF" w:rsidRDefault="001005D2" w:rsidP="009C76A6">
      <w:pPr>
        <w:spacing w:line="240" w:lineRule="auto"/>
        <w:rPr>
          <w:szCs w:val="22"/>
        </w:rPr>
      </w:pPr>
    </w:p>
    <w:p w14:paraId="7436498D"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SPOSÓB I DROGA(-I) PODANIA</w:t>
      </w:r>
    </w:p>
    <w:p w14:paraId="7436498E" w14:textId="77777777" w:rsidR="001005D2" w:rsidRPr="004B0DDF" w:rsidRDefault="001005D2" w:rsidP="009C76A6">
      <w:pPr>
        <w:spacing w:line="240" w:lineRule="auto"/>
        <w:rPr>
          <w:szCs w:val="22"/>
        </w:rPr>
      </w:pPr>
    </w:p>
    <w:p w14:paraId="7436498F" w14:textId="77777777" w:rsidR="001005D2" w:rsidRPr="004B0DDF" w:rsidRDefault="004D6453" w:rsidP="009C76A6">
      <w:pPr>
        <w:rPr>
          <w:szCs w:val="22"/>
        </w:rPr>
      </w:pPr>
      <w:r w:rsidRPr="004B0DDF">
        <w:t xml:space="preserve">Należy zapoznać się z treścią ulotki przed </w:t>
      </w:r>
      <w:r w:rsidRPr="004B0DDF">
        <w:t>zastosowaniem leku.</w:t>
      </w:r>
    </w:p>
    <w:p w14:paraId="74364990" w14:textId="77777777" w:rsidR="001005D2" w:rsidRPr="004B0DDF" w:rsidRDefault="004D6453" w:rsidP="009C76A6">
      <w:r w:rsidRPr="004B0DDF">
        <w:t xml:space="preserve">Ulotka dla pacjenta jest dostępna online pod </w:t>
      </w:r>
      <w:r w:rsidRPr="004B0DDF">
        <w:rPr>
          <w:highlight w:val="lightGray"/>
        </w:rPr>
        <w:t>dodać kod QR</w:t>
      </w:r>
      <w:r w:rsidRPr="004B0DDF">
        <w:t xml:space="preserve"> </w:t>
      </w:r>
      <w:hyperlink r:id="rId13" w:history="1">
        <w:r w:rsidRPr="004B0DDF">
          <w:rPr>
            <w:rStyle w:val="Hyperlink"/>
          </w:rPr>
          <w:t>http://www.cuprior.com</w:t>
        </w:r>
      </w:hyperlink>
    </w:p>
    <w:p w14:paraId="74364991" w14:textId="77777777" w:rsidR="001005D2" w:rsidRPr="004B0DDF" w:rsidRDefault="001005D2" w:rsidP="009C76A6">
      <w:pPr>
        <w:spacing w:line="240" w:lineRule="auto"/>
        <w:rPr>
          <w:szCs w:val="22"/>
        </w:rPr>
      </w:pPr>
    </w:p>
    <w:p w14:paraId="74364992" w14:textId="77777777" w:rsidR="001005D2" w:rsidRPr="004B0DDF" w:rsidRDefault="004D6453" w:rsidP="009C76A6">
      <w:pPr>
        <w:rPr>
          <w:szCs w:val="22"/>
        </w:rPr>
      </w:pPr>
      <w:r w:rsidRPr="004B0DDF">
        <w:t>Podanie doustne.</w:t>
      </w:r>
    </w:p>
    <w:p w14:paraId="74364993" w14:textId="77777777" w:rsidR="001005D2" w:rsidRPr="004B0DDF" w:rsidRDefault="001005D2" w:rsidP="009C76A6">
      <w:pPr>
        <w:spacing w:line="240" w:lineRule="auto"/>
        <w:rPr>
          <w:szCs w:val="22"/>
        </w:rPr>
      </w:pPr>
    </w:p>
    <w:p w14:paraId="74364994" w14:textId="77777777" w:rsidR="001005D2" w:rsidRPr="004B0DDF" w:rsidRDefault="001005D2" w:rsidP="009C76A6">
      <w:pPr>
        <w:spacing w:line="240" w:lineRule="auto"/>
        <w:rPr>
          <w:szCs w:val="22"/>
        </w:rPr>
      </w:pPr>
    </w:p>
    <w:p w14:paraId="74364995"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OSTRZEŻENIE DOTYCZĄCE PRZECHOWYWANIA PRODUKTU LECZNICZEGO W MIEJSCU NIEWIDOCZNYM I NIEDOSTĘPNYM</w:t>
      </w:r>
      <w:r w:rsidRPr="004B0DDF">
        <w:rPr>
          <w:b/>
        </w:rPr>
        <w:t xml:space="preserve"> DLA DZIECI</w:t>
      </w:r>
    </w:p>
    <w:p w14:paraId="74364996" w14:textId="77777777" w:rsidR="001005D2" w:rsidRPr="004B0DDF" w:rsidRDefault="001005D2" w:rsidP="009C76A6">
      <w:pPr>
        <w:spacing w:line="240" w:lineRule="auto"/>
        <w:rPr>
          <w:szCs w:val="22"/>
        </w:rPr>
      </w:pPr>
    </w:p>
    <w:p w14:paraId="74364997" w14:textId="77777777" w:rsidR="001005D2" w:rsidRPr="004B0DDF" w:rsidRDefault="004D6453" w:rsidP="009C76A6">
      <w:pPr>
        <w:tabs>
          <w:tab w:val="left" w:pos="749"/>
        </w:tabs>
        <w:spacing w:line="240" w:lineRule="auto"/>
        <w:rPr>
          <w:szCs w:val="22"/>
        </w:rPr>
      </w:pPr>
      <w:r w:rsidRPr="004B0DDF">
        <w:t>Lek przechowywać w miejscu niewidocznym i niedostępnym dla dzieci.</w:t>
      </w:r>
    </w:p>
    <w:p w14:paraId="74364998" w14:textId="77777777" w:rsidR="001005D2" w:rsidRPr="004B0DDF" w:rsidRDefault="001005D2" w:rsidP="009C76A6">
      <w:pPr>
        <w:spacing w:line="240" w:lineRule="auto"/>
        <w:rPr>
          <w:szCs w:val="22"/>
        </w:rPr>
      </w:pPr>
    </w:p>
    <w:p w14:paraId="74364999" w14:textId="77777777" w:rsidR="001005D2" w:rsidRPr="004B0DDF" w:rsidRDefault="001005D2" w:rsidP="009C76A6">
      <w:pPr>
        <w:spacing w:line="240" w:lineRule="auto"/>
        <w:rPr>
          <w:szCs w:val="22"/>
        </w:rPr>
      </w:pPr>
    </w:p>
    <w:p w14:paraId="7436499A"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INNE OSTRZEŻENIA SPECJALNE, JEŚLI KONIECZNE</w:t>
      </w:r>
    </w:p>
    <w:p w14:paraId="7436499B" w14:textId="77777777" w:rsidR="001005D2" w:rsidRPr="004B0DDF" w:rsidRDefault="001005D2" w:rsidP="009C76A6">
      <w:pPr>
        <w:spacing w:line="240" w:lineRule="auto"/>
        <w:rPr>
          <w:szCs w:val="22"/>
        </w:rPr>
      </w:pPr>
    </w:p>
    <w:p w14:paraId="7436499C" w14:textId="77777777" w:rsidR="001005D2" w:rsidRPr="004B0DDF" w:rsidRDefault="004D6453" w:rsidP="009C76A6">
      <w:pPr>
        <w:tabs>
          <w:tab w:val="left" w:pos="749"/>
        </w:tabs>
        <w:spacing w:line="240" w:lineRule="auto"/>
        <w:rPr>
          <w:szCs w:val="22"/>
        </w:rPr>
      </w:pPr>
      <w:r w:rsidRPr="004B0DDF">
        <w:t xml:space="preserve">Przyjmować na pusty żołądek, co najmniej godzinę przed posiłkiem lub dwie godziny po posiłku oraz w odstępie co najmniej godziny </w:t>
      </w:r>
      <w:r w:rsidRPr="004B0DDF">
        <w:t>od innego leku, pokarmu lub mleka.</w:t>
      </w:r>
    </w:p>
    <w:p w14:paraId="7436499D" w14:textId="77777777" w:rsidR="001005D2" w:rsidRPr="004B0DDF" w:rsidRDefault="001005D2" w:rsidP="009C76A6">
      <w:pPr>
        <w:tabs>
          <w:tab w:val="left" w:pos="749"/>
        </w:tabs>
        <w:spacing w:line="240" w:lineRule="auto"/>
      </w:pPr>
    </w:p>
    <w:p w14:paraId="7436499E" w14:textId="77777777" w:rsidR="001005D2" w:rsidRPr="004B0DDF" w:rsidRDefault="001005D2" w:rsidP="009C76A6">
      <w:pPr>
        <w:tabs>
          <w:tab w:val="left" w:pos="749"/>
        </w:tabs>
        <w:spacing w:line="240" w:lineRule="auto"/>
      </w:pPr>
    </w:p>
    <w:p w14:paraId="7436499F"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TERMIN WAŻNOŚCI</w:t>
      </w:r>
    </w:p>
    <w:p w14:paraId="743649A0" w14:textId="77777777" w:rsidR="001005D2" w:rsidRPr="004B0DDF" w:rsidRDefault="001005D2" w:rsidP="009C76A6">
      <w:pPr>
        <w:spacing w:line="240" w:lineRule="auto"/>
      </w:pPr>
    </w:p>
    <w:p w14:paraId="743649A1" w14:textId="77777777" w:rsidR="001005D2" w:rsidRPr="004B0DDF" w:rsidRDefault="004D6453" w:rsidP="009C76A6">
      <w:pPr>
        <w:spacing w:line="240" w:lineRule="auto"/>
        <w:rPr>
          <w:szCs w:val="22"/>
        </w:rPr>
      </w:pPr>
      <w:r w:rsidRPr="004B0DDF">
        <w:t>Termin ważności (EXP)</w:t>
      </w:r>
    </w:p>
    <w:p w14:paraId="743649A2" w14:textId="77777777" w:rsidR="001005D2" w:rsidRPr="004B0DDF" w:rsidRDefault="001005D2" w:rsidP="009C76A6">
      <w:pPr>
        <w:spacing w:line="240" w:lineRule="auto"/>
        <w:rPr>
          <w:szCs w:val="22"/>
        </w:rPr>
      </w:pPr>
    </w:p>
    <w:p w14:paraId="743649A3" w14:textId="77777777" w:rsidR="001005D2" w:rsidRPr="004B0DDF" w:rsidRDefault="001005D2" w:rsidP="009C76A6">
      <w:pPr>
        <w:spacing w:line="240" w:lineRule="auto"/>
        <w:rPr>
          <w:szCs w:val="22"/>
        </w:rPr>
      </w:pPr>
    </w:p>
    <w:p w14:paraId="743649A4"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WARUNKI PRZECHOWYWANIA</w:t>
      </w:r>
    </w:p>
    <w:p w14:paraId="743649A5" w14:textId="77777777" w:rsidR="001005D2" w:rsidRPr="004B0DDF" w:rsidRDefault="001005D2" w:rsidP="009C76A6">
      <w:pPr>
        <w:spacing w:line="240" w:lineRule="auto"/>
        <w:rPr>
          <w:szCs w:val="22"/>
        </w:rPr>
      </w:pPr>
    </w:p>
    <w:p w14:paraId="743649A6" w14:textId="77777777" w:rsidR="001005D2" w:rsidRPr="004B0DDF" w:rsidRDefault="001005D2" w:rsidP="009C76A6">
      <w:pPr>
        <w:spacing w:line="240" w:lineRule="auto"/>
        <w:ind w:left="567" w:hanging="567"/>
        <w:rPr>
          <w:szCs w:val="22"/>
        </w:rPr>
      </w:pPr>
    </w:p>
    <w:p w14:paraId="743649A7"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lastRenderedPageBreak/>
        <w:t>SPECJALNE ŚRODKI OSTROŻNOŚCI DOTYCZĄCE USUWANIA NIEZUŻYTEGO PRODUKTU LECZNICZEGO LUB POCHODZĄCYCH Z NIEGO ODPADÓW, JEŚLI WŁAŚCIWE</w:t>
      </w:r>
    </w:p>
    <w:p w14:paraId="743649A8" w14:textId="77777777" w:rsidR="001005D2" w:rsidRPr="004B0DDF" w:rsidRDefault="001005D2" w:rsidP="009C76A6">
      <w:pPr>
        <w:spacing w:line="240" w:lineRule="auto"/>
        <w:rPr>
          <w:szCs w:val="22"/>
        </w:rPr>
      </w:pPr>
    </w:p>
    <w:p w14:paraId="743649A9" w14:textId="77777777" w:rsidR="001005D2" w:rsidRPr="004B0DDF" w:rsidRDefault="001005D2" w:rsidP="009C76A6">
      <w:pPr>
        <w:spacing w:line="240" w:lineRule="auto"/>
        <w:rPr>
          <w:szCs w:val="22"/>
        </w:rPr>
      </w:pPr>
    </w:p>
    <w:p w14:paraId="743649AA"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 xml:space="preserve">NAZWA I ADRES </w:t>
      </w:r>
      <w:r w:rsidRPr="004B0DDF">
        <w:rPr>
          <w:b/>
        </w:rPr>
        <w:t>PODMIOTU ODPOWIEDZIALNEGO</w:t>
      </w:r>
    </w:p>
    <w:p w14:paraId="743649AB" w14:textId="77777777" w:rsidR="001005D2" w:rsidRPr="004B0DDF" w:rsidRDefault="001005D2" w:rsidP="009C76A6">
      <w:pPr>
        <w:spacing w:line="240" w:lineRule="auto"/>
        <w:rPr>
          <w:szCs w:val="22"/>
        </w:rPr>
      </w:pPr>
    </w:p>
    <w:p w14:paraId="743649AC" w14:textId="2A6A382F" w:rsidR="001005D2" w:rsidRPr="004B0DDF" w:rsidRDefault="003B60CB" w:rsidP="009C76A6">
      <w:pPr>
        <w:rPr>
          <w:szCs w:val="22"/>
        </w:rPr>
      </w:pPr>
      <w:proofErr w:type="spellStart"/>
      <w:r>
        <w:t>Orphalan</w:t>
      </w:r>
      <w:proofErr w:type="spellEnd"/>
    </w:p>
    <w:p w14:paraId="18A49CF6" w14:textId="77777777" w:rsidR="009647B0" w:rsidRPr="002503BA" w:rsidRDefault="004D6453" w:rsidP="009647B0">
      <w:pPr>
        <w:rPr>
          <w:szCs w:val="22"/>
          <w:lang w:val="fr-FR"/>
        </w:rPr>
      </w:pPr>
      <w:r w:rsidRPr="002503BA">
        <w:rPr>
          <w:szCs w:val="22"/>
          <w:lang w:val="fr-FR"/>
        </w:rPr>
        <w:t>226 Boulevard Voltaire</w:t>
      </w:r>
    </w:p>
    <w:p w14:paraId="743649AF" w14:textId="4A5E57A8" w:rsidR="001005D2" w:rsidRPr="004B0DDF" w:rsidRDefault="004D6453" w:rsidP="009C76A6">
      <w:pPr>
        <w:rPr>
          <w:szCs w:val="22"/>
        </w:rPr>
      </w:pPr>
      <w:r w:rsidRPr="004B0DDF">
        <w:t>7501</w:t>
      </w:r>
      <w:r>
        <w:t>1</w:t>
      </w:r>
      <w:r w:rsidRPr="004B0DDF">
        <w:t xml:space="preserve"> Paryż, Francja</w:t>
      </w:r>
      <w:r w:rsidRPr="004B0DDF">
        <w:rPr>
          <w:i/>
        </w:rPr>
        <w:t xml:space="preserve"> </w:t>
      </w:r>
    </w:p>
    <w:p w14:paraId="743649B0" w14:textId="77777777" w:rsidR="001005D2" w:rsidRPr="004B0DDF" w:rsidRDefault="001005D2" w:rsidP="009C76A6">
      <w:pPr>
        <w:spacing w:line="240" w:lineRule="auto"/>
        <w:rPr>
          <w:szCs w:val="22"/>
        </w:rPr>
      </w:pPr>
    </w:p>
    <w:p w14:paraId="743649B1" w14:textId="77777777" w:rsidR="001005D2" w:rsidRPr="004B0DDF" w:rsidRDefault="001005D2" w:rsidP="009C76A6">
      <w:pPr>
        <w:spacing w:line="240" w:lineRule="auto"/>
        <w:rPr>
          <w:szCs w:val="22"/>
        </w:rPr>
      </w:pPr>
    </w:p>
    <w:p w14:paraId="743649B2"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 xml:space="preserve">NUMER(-Y) POZWOLENIA(-Ń) NA DOPUSZCZENIE DO OBROTU </w:t>
      </w:r>
    </w:p>
    <w:p w14:paraId="743649B3" w14:textId="77777777" w:rsidR="001005D2" w:rsidRPr="004B0DDF" w:rsidRDefault="001005D2" w:rsidP="009C76A6">
      <w:pPr>
        <w:spacing w:line="240" w:lineRule="auto"/>
        <w:rPr>
          <w:szCs w:val="22"/>
        </w:rPr>
      </w:pPr>
    </w:p>
    <w:p w14:paraId="258ACA6E" w14:textId="77777777" w:rsidR="00571171" w:rsidRPr="004B0DDF" w:rsidRDefault="004D6453" w:rsidP="00571171">
      <w:pPr>
        <w:spacing w:line="240" w:lineRule="auto"/>
        <w:rPr>
          <w:color w:val="000000"/>
        </w:rPr>
      </w:pPr>
      <w:r w:rsidRPr="004B0DDF">
        <w:rPr>
          <w:color w:val="000000"/>
        </w:rPr>
        <w:t>EU/1/17/1199/001 72 tabletki powlekane</w:t>
      </w:r>
    </w:p>
    <w:p w14:paraId="743649B4" w14:textId="58849961" w:rsidR="001005D2" w:rsidRPr="004B0DDF" w:rsidRDefault="004D6453" w:rsidP="00571171">
      <w:pPr>
        <w:spacing w:line="240" w:lineRule="auto"/>
        <w:rPr>
          <w:color w:val="000000"/>
        </w:rPr>
      </w:pPr>
      <w:r w:rsidRPr="004B0DDF">
        <w:rPr>
          <w:color w:val="000000"/>
        </w:rPr>
        <w:t>EU/1/17/1199/002 96 tabletek powlekanych</w:t>
      </w:r>
    </w:p>
    <w:p w14:paraId="743649B5" w14:textId="77777777" w:rsidR="001005D2" w:rsidRPr="004B0DDF" w:rsidRDefault="001005D2" w:rsidP="009C76A6">
      <w:pPr>
        <w:spacing w:line="240" w:lineRule="auto"/>
        <w:rPr>
          <w:szCs w:val="22"/>
        </w:rPr>
      </w:pPr>
    </w:p>
    <w:p w14:paraId="743649B6" w14:textId="77777777" w:rsidR="001005D2" w:rsidRPr="004B0DDF" w:rsidRDefault="001005D2" w:rsidP="009C76A6">
      <w:pPr>
        <w:spacing w:line="240" w:lineRule="auto"/>
        <w:rPr>
          <w:szCs w:val="22"/>
        </w:rPr>
      </w:pPr>
    </w:p>
    <w:p w14:paraId="743649B7"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NUMER SERII</w:t>
      </w:r>
    </w:p>
    <w:p w14:paraId="743649B8" w14:textId="77777777" w:rsidR="001005D2" w:rsidRPr="004B0DDF" w:rsidRDefault="001005D2" w:rsidP="009C76A6">
      <w:pPr>
        <w:spacing w:line="240" w:lineRule="auto"/>
        <w:rPr>
          <w:i/>
          <w:szCs w:val="22"/>
        </w:rPr>
      </w:pPr>
    </w:p>
    <w:p w14:paraId="743649B9" w14:textId="77777777" w:rsidR="001005D2" w:rsidRPr="004B0DDF" w:rsidRDefault="004D6453" w:rsidP="009C76A6">
      <w:pPr>
        <w:spacing w:line="240" w:lineRule="auto"/>
        <w:rPr>
          <w:szCs w:val="22"/>
        </w:rPr>
      </w:pPr>
      <w:r w:rsidRPr="004B0DDF">
        <w:t xml:space="preserve">Nr serii </w:t>
      </w:r>
    </w:p>
    <w:p w14:paraId="743649BA" w14:textId="77777777" w:rsidR="001005D2" w:rsidRPr="004B0DDF" w:rsidRDefault="001005D2" w:rsidP="009C76A6">
      <w:pPr>
        <w:spacing w:line="240" w:lineRule="auto"/>
        <w:rPr>
          <w:szCs w:val="22"/>
        </w:rPr>
      </w:pPr>
    </w:p>
    <w:p w14:paraId="743649BB" w14:textId="77777777" w:rsidR="001005D2" w:rsidRPr="004B0DDF" w:rsidRDefault="001005D2" w:rsidP="009C76A6">
      <w:pPr>
        <w:spacing w:line="240" w:lineRule="auto"/>
        <w:rPr>
          <w:szCs w:val="22"/>
        </w:rPr>
      </w:pPr>
    </w:p>
    <w:p w14:paraId="743649BC"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OGÓLNA KATEGORIA DOSTĘPNOŚCI</w:t>
      </w:r>
    </w:p>
    <w:p w14:paraId="743649BD" w14:textId="77777777" w:rsidR="001005D2" w:rsidRPr="004B0DDF" w:rsidRDefault="001005D2" w:rsidP="009C76A6">
      <w:pPr>
        <w:spacing w:line="240" w:lineRule="auto"/>
        <w:rPr>
          <w:i/>
          <w:szCs w:val="22"/>
        </w:rPr>
      </w:pPr>
    </w:p>
    <w:p w14:paraId="743649BE" w14:textId="77777777" w:rsidR="001005D2" w:rsidRPr="004B0DDF" w:rsidRDefault="001005D2" w:rsidP="009C76A6">
      <w:pPr>
        <w:spacing w:line="240" w:lineRule="auto"/>
        <w:rPr>
          <w:szCs w:val="22"/>
        </w:rPr>
      </w:pPr>
    </w:p>
    <w:p w14:paraId="743649BF"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INSTRUKCJA UŻYCIA</w:t>
      </w:r>
    </w:p>
    <w:p w14:paraId="743649C0" w14:textId="77777777" w:rsidR="001005D2" w:rsidRPr="004B0DDF" w:rsidRDefault="001005D2" w:rsidP="009C76A6">
      <w:pPr>
        <w:spacing w:line="240" w:lineRule="auto"/>
        <w:rPr>
          <w:szCs w:val="22"/>
        </w:rPr>
      </w:pPr>
    </w:p>
    <w:p w14:paraId="743649C1" w14:textId="77777777" w:rsidR="001005D2" w:rsidRPr="004B0DDF" w:rsidRDefault="001005D2" w:rsidP="009C76A6">
      <w:pPr>
        <w:spacing w:line="240" w:lineRule="auto"/>
        <w:rPr>
          <w:szCs w:val="22"/>
        </w:rPr>
      </w:pPr>
    </w:p>
    <w:p w14:paraId="743649C2"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INFORMACJA PODANA SYSTEMEM BRAILLE’A</w:t>
      </w:r>
    </w:p>
    <w:p w14:paraId="743649C3" w14:textId="77777777" w:rsidR="001005D2" w:rsidRPr="004B0DDF" w:rsidRDefault="001005D2" w:rsidP="009C76A6">
      <w:pPr>
        <w:spacing w:line="240" w:lineRule="auto"/>
        <w:rPr>
          <w:szCs w:val="22"/>
        </w:rPr>
      </w:pPr>
    </w:p>
    <w:p w14:paraId="743649C4" w14:textId="77777777" w:rsidR="001005D2" w:rsidRPr="004B0DDF" w:rsidRDefault="004D6453" w:rsidP="009C76A6">
      <w:pPr>
        <w:rPr>
          <w:szCs w:val="22"/>
        </w:rPr>
      </w:pPr>
      <w:r w:rsidRPr="004B0DDF">
        <w:t xml:space="preserve">Cuprior 150 mg </w:t>
      </w:r>
    </w:p>
    <w:p w14:paraId="743649C5" w14:textId="77777777" w:rsidR="001005D2" w:rsidRPr="004B0DDF" w:rsidRDefault="001005D2" w:rsidP="009C76A6">
      <w:pPr>
        <w:spacing w:line="240" w:lineRule="auto"/>
        <w:rPr>
          <w:szCs w:val="22"/>
          <w:shd w:val="clear" w:color="auto" w:fill="CCCCCC"/>
        </w:rPr>
      </w:pPr>
    </w:p>
    <w:p w14:paraId="743649C6" w14:textId="77777777" w:rsidR="001005D2" w:rsidRPr="004B0DDF" w:rsidRDefault="001005D2" w:rsidP="009C76A6">
      <w:pPr>
        <w:spacing w:line="240" w:lineRule="auto"/>
        <w:rPr>
          <w:szCs w:val="22"/>
          <w:shd w:val="clear" w:color="auto" w:fill="CCCCCC"/>
        </w:rPr>
      </w:pPr>
    </w:p>
    <w:p w14:paraId="743649C7"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NIEPOWTARZALNY IDENTYFIKATOR – KOD 2D</w:t>
      </w:r>
    </w:p>
    <w:p w14:paraId="743649C8" w14:textId="77777777" w:rsidR="001005D2" w:rsidRPr="004B0DDF" w:rsidRDefault="001005D2" w:rsidP="009C76A6">
      <w:pPr>
        <w:tabs>
          <w:tab w:val="clear" w:pos="567"/>
        </w:tabs>
        <w:spacing w:line="240" w:lineRule="auto"/>
      </w:pPr>
    </w:p>
    <w:p w14:paraId="743649C9" w14:textId="77777777" w:rsidR="001005D2" w:rsidRPr="004B0DDF" w:rsidRDefault="004D6453" w:rsidP="009C76A6">
      <w:pPr>
        <w:rPr>
          <w:szCs w:val="22"/>
          <w:highlight w:val="lightGray"/>
        </w:rPr>
      </w:pPr>
      <w:r w:rsidRPr="004B0DDF">
        <w:rPr>
          <w:highlight w:val="lightGray"/>
        </w:rPr>
        <w:t>Obejmuje kod 2D będący nośnikiem niepowtarzalnego identyfikatora.</w:t>
      </w:r>
    </w:p>
    <w:p w14:paraId="743649CA" w14:textId="77777777" w:rsidR="001005D2" w:rsidRPr="004B0DDF" w:rsidRDefault="001005D2" w:rsidP="009C76A6">
      <w:pPr>
        <w:tabs>
          <w:tab w:val="clear" w:pos="567"/>
        </w:tabs>
        <w:spacing w:line="240" w:lineRule="auto"/>
      </w:pPr>
    </w:p>
    <w:p w14:paraId="743649CB" w14:textId="77777777" w:rsidR="001005D2" w:rsidRPr="004B0DDF" w:rsidRDefault="001005D2" w:rsidP="009C76A6">
      <w:pPr>
        <w:tabs>
          <w:tab w:val="clear" w:pos="567"/>
        </w:tabs>
        <w:spacing w:line="240" w:lineRule="auto"/>
      </w:pPr>
    </w:p>
    <w:p w14:paraId="743649CC" w14:textId="77777777" w:rsidR="001005D2" w:rsidRPr="004B0DDF" w:rsidRDefault="004D6453" w:rsidP="009C76A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4B0DDF">
        <w:rPr>
          <w:b/>
        </w:rPr>
        <w:t xml:space="preserve">NIEPOWTARZALNE </w:t>
      </w:r>
      <w:r w:rsidRPr="004B0DDF">
        <w:rPr>
          <w:b/>
        </w:rPr>
        <w:t>IDENTYFIKATORY – DANE CZYTELNE DLA CZŁOWIEKA</w:t>
      </w:r>
    </w:p>
    <w:p w14:paraId="743649CD" w14:textId="77777777" w:rsidR="001005D2" w:rsidRPr="004B0DDF" w:rsidRDefault="001005D2" w:rsidP="009C76A6">
      <w:pPr>
        <w:tabs>
          <w:tab w:val="clear" w:pos="567"/>
        </w:tabs>
        <w:spacing w:line="240" w:lineRule="auto"/>
      </w:pPr>
    </w:p>
    <w:p w14:paraId="743649CE" w14:textId="77777777" w:rsidR="001005D2" w:rsidRPr="004B0DDF" w:rsidRDefault="004D6453" w:rsidP="009C76A6">
      <w:pPr>
        <w:rPr>
          <w:color w:val="008000"/>
          <w:szCs w:val="22"/>
        </w:rPr>
      </w:pPr>
      <w:r w:rsidRPr="004B0DDF">
        <w:t xml:space="preserve">PC: {numer} </w:t>
      </w:r>
    </w:p>
    <w:p w14:paraId="743649CF" w14:textId="77777777" w:rsidR="001005D2" w:rsidRPr="004B0DDF" w:rsidRDefault="004D6453" w:rsidP="009C76A6">
      <w:pPr>
        <w:rPr>
          <w:szCs w:val="22"/>
        </w:rPr>
      </w:pPr>
      <w:r w:rsidRPr="004B0DDF">
        <w:t xml:space="preserve">SN: {numer} </w:t>
      </w:r>
    </w:p>
    <w:p w14:paraId="743649D0" w14:textId="77777777" w:rsidR="001005D2" w:rsidRPr="004B0DDF" w:rsidRDefault="004D6453" w:rsidP="009C76A6">
      <w:pPr>
        <w:rPr>
          <w:szCs w:val="22"/>
        </w:rPr>
      </w:pPr>
      <w:r w:rsidRPr="004B0DDF">
        <w:t xml:space="preserve">NN: {numer} </w:t>
      </w:r>
    </w:p>
    <w:p w14:paraId="743649D1" w14:textId="77777777" w:rsidR="001005D2" w:rsidRPr="004B0DDF" w:rsidRDefault="001005D2" w:rsidP="009C76A6">
      <w:pPr>
        <w:spacing w:line="240" w:lineRule="auto"/>
        <w:rPr>
          <w:szCs w:val="22"/>
        </w:rPr>
      </w:pPr>
    </w:p>
    <w:p w14:paraId="743649D2" w14:textId="77777777" w:rsidR="001005D2" w:rsidRPr="004B0DDF" w:rsidRDefault="001005D2" w:rsidP="009C76A6">
      <w:pPr>
        <w:spacing w:line="240" w:lineRule="auto"/>
        <w:rPr>
          <w:szCs w:val="22"/>
          <w:shd w:val="clear" w:color="auto" w:fill="CCCCCC"/>
        </w:rPr>
      </w:pPr>
    </w:p>
    <w:p w14:paraId="743649D3" w14:textId="77777777" w:rsidR="001005D2" w:rsidRPr="004B0DDF" w:rsidRDefault="004D6453" w:rsidP="009C76A6">
      <w:pPr>
        <w:spacing w:line="240" w:lineRule="auto"/>
        <w:rPr>
          <w:b/>
          <w:szCs w:val="22"/>
        </w:rPr>
      </w:pPr>
      <w:r w:rsidRPr="004B0DDF">
        <w:br w:type="page"/>
      </w:r>
    </w:p>
    <w:p w14:paraId="743649D4" w14:textId="77777777" w:rsidR="001005D2" w:rsidRPr="004B0DDF" w:rsidRDefault="004D6453" w:rsidP="009C76A6">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4B0DDF">
        <w:rPr>
          <w:b/>
        </w:rPr>
        <w:lastRenderedPageBreak/>
        <w:t>MINIMUM INFORMACJI ZAMIESZCZANYCH NA BLISTRACH LUB OPAKOWANIACH FOLIOWYCH</w:t>
      </w:r>
    </w:p>
    <w:p w14:paraId="743649D5" w14:textId="77777777" w:rsidR="001005D2" w:rsidRPr="004B0DDF" w:rsidRDefault="001005D2" w:rsidP="009C76A6">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743649D6" w14:textId="77777777" w:rsidR="001005D2" w:rsidRPr="004B0DDF" w:rsidRDefault="004D6453" w:rsidP="009C76A6">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4B0DDF">
        <w:rPr>
          <w:b/>
        </w:rPr>
        <w:t>BLISTER</w:t>
      </w:r>
    </w:p>
    <w:p w14:paraId="743649D7" w14:textId="77777777" w:rsidR="001005D2" w:rsidRPr="004B0DDF" w:rsidRDefault="001005D2" w:rsidP="009C76A6">
      <w:pPr>
        <w:spacing w:line="240" w:lineRule="auto"/>
        <w:rPr>
          <w:szCs w:val="22"/>
        </w:rPr>
      </w:pPr>
    </w:p>
    <w:p w14:paraId="743649D8" w14:textId="77777777" w:rsidR="001005D2" w:rsidRPr="004B0DDF" w:rsidRDefault="001005D2" w:rsidP="009C76A6">
      <w:pPr>
        <w:spacing w:line="240" w:lineRule="auto"/>
        <w:rPr>
          <w:szCs w:val="22"/>
        </w:rPr>
      </w:pPr>
    </w:p>
    <w:p w14:paraId="743649D9" w14:textId="77777777" w:rsidR="001005D2" w:rsidRPr="004B0DDF" w:rsidRDefault="004D6453" w:rsidP="009C76A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4B0DDF">
        <w:rPr>
          <w:b/>
        </w:rPr>
        <w:t>NAZWA PRODUKTU LECZNICZEGO</w:t>
      </w:r>
    </w:p>
    <w:p w14:paraId="743649DA" w14:textId="77777777" w:rsidR="001005D2" w:rsidRPr="004B0DDF" w:rsidRDefault="001005D2" w:rsidP="009C76A6">
      <w:pPr>
        <w:spacing w:line="240" w:lineRule="auto"/>
        <w:rPr>
          <w:i/>
          <w:szCs w:val="22"/>
        </w:rPr>
      </w:pPr>
    </w:p>
    <w:p w14:paraId="743649DB" w14:textId="77777777" w:rsidR="001005D2" w:rsidRPr="004B0DDF" w:rsidRDefault="004D6453" w:rsidP="009C76A6">
      <w:pPr>
        <w:rPr>
          <w:szCs w:val="22"/>
        </w:rPr>
      </w:pPr>
      <w:r w:rsidRPr="004B0DDF">
        <w:t>Cuprior 150 mg tabletki powlekane</w:t>
      </w:r>
    </w:p>
    <w:p w14:paraId="743649DC" w14:textId="77777777" w:rsidR="001005D2" w:rsidRPr="004B0DDF" w:rsidRDefault="004D6453" w:rsidP="009C76A6">
      <w:pPr>
        <w:spacing w:line="240" w:lineRule="auto"/>
        <w:rPr>
          <w:szCs w:val="22"/>
        </w:rPr>
      </w:pPr>
      <w:r w:rsidRPr="004B0DDF">
        <w:t>trientyna</w:t>
      </w:r>
    </w:p>
    <w:p w14:paraId="743649DD" w14:textId="77777777" w:rsidR="001005D2" w:rsidRPr="004B0DDF" w:rsidRDefault="001005D2" w:rsidP="009C76A6">
      <w:pPr>
        <w:spacing w:line="240" w:lineRule="auto"/>
      </w:pPr>
    </w:p>
    <w:p w14:paraId="743649DE" w14:textId="77777777" w:rsidR="001005D2" w:rsidRPr="004B0DDF" w:rsidRDefault="001005D2" w:rsidP="009C76A6">
      <w:pPr>
        <w:spacing w:line="240" w:lineRule="auto"/>
      </w:pPr>
    </w:p>
    <w:p w14:paraId="743649DF" w14:textId="77777777" w:rsidR="001005D2" w:rsidRPr="004B0DDF" w:rsidRDefault="004D6453" w:rsidP="009C76A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4B0DDF">
        <w:rPr>
          <w:b/>
        </w:rPr>
        <w:t>NAZWA PODMIOTU ODPOWIEDZIALNEGO</w:t>
      </w:r>
    </w:p>
    <w:p w14:paraId="743649E0" w14:textId="77777777" w:rsidR="001005D2" w:rsidRPr="004B0DDF" w:rsidRDefault="001005D2" w:rsidP="009C76A6">
      <w:pPr>
        <w:spacing w:line="240" w:lineRule="auto"/>
        <w:rPr>
          <w:szCs w:val="22"/>
        </w:rPr>
      </w:pPr>
    </w:p>
    <w:p w14:paraId="743649E1" w14:textId="47FA1BB8" w:rsidR="001005D2" w:rsidRPr="004B0DDF" w:rsidRDefault="003B60CB" w:rsidP="009C76A6">
      <w:pPr>
        <w:rPr>
          <w:szCs w:val="22"/>
        </w:rPr>
      </w:pPr>
      <w:proofErr w:type="spellStart"/>
      <w:r>
        <w:t>Orphalan</w:t>
      </w:r>
      <w:proofErr w:type="spellEnd"/>
    </w:p>
    <w:p w14:paraId="743649E2" w14:textId="77777777" w:rsidR="001005D2" w:rsidRPr="004B0DDF" w:rsidRDefault="001005D2" w:rsidP="009C76A6">
      <w:pPr>
        <w:spacing w:line="240" w:lineRule="auto"/>
        <w:rPr>
          <w:szCs w:val="22"/>
        </w:rPr>
      </w:pPr>
    </w:p>
    <w:p w14:paraId="743649E3" w14:textId="77777777" w:rsidR="001005D2" w:rsidRPr="004B0DDF" w:rsidRDefault="001005D2" w:rsidP="009C76A6">
      <w:pPr>
        <w:spacing w:line="240" w:lineRule="auto"/>
        <w:rPr>
          <w:szCs w:val="22"/>
        </w:rPr>
      </w:pPr>
    </w:p>
    <w:p w14:paraId="743649E4" w14:textId="77777777" w:rsidR="001005D2" w:rsidRPr="004B0DDF" w:rsidRDefault="004D6453" w:rsidP="009C76A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4B0DDF">
        <w:rPr>
          <w:b/>
        </w:rPr>
        <w:t>TERMIN WAŻNOŚCI</w:t>
      </w:r>
    </w:p>
    <w:p w14:paraId="743649E5" w14:textId="77777777" w:rsidR="001005D2" w:rsidRPr="004B0DDF" w:rsidRDefault="001005D2" w:rsidP="009C76A6">
      <w:pPr>
        <w:spacing w:line="240" w:lineRule="auto"/>
        <w:rPr>
          <w:szCs w:val="22"/>
        </w:rPr>
      </w:pPr>
    </w:p>
    <w:p w14:paraId="743649E6" w14:textId="77777777" w:rsidR="001005D2" w:rsidRPr="004B0DDF" w:rsidRDefault="004D6453" w:rsidP="009C76A6">
      <w:pPr>
        <w:spacing w:line="240" w:lineRule="auto"/>
        <w:rPr>
          <w:szCs w:val="22"/>
        </w:rPr>
      </w:pPr>
      <w:r w:rsidRPr="004B0DDF">
        <w:t>Termin ważności (EXP)</w:t>
      </w:r>
    </w:p>
    <w:p w14:paraId="743649E7" w14:textId="77777777" w:rsidR="001005D2" w:rsidRPr="004B0DDF" w:rsidRDefault="001005D2" w:rsidP="009C76A6">
      <w:pPr>
        <w:spacing w:line="240" w:lineRule="auto"/>
        <w:rPr>
          <w:szCs w:val="22"/>
        </w:rPr>
      </w:pPr>
    </w:p>
    <w:p w14:paraId="743649E8" w14:textId="77777777" w:rsidR="001005D2" w:rsidRPr="004B0DDF" w:rsidRDefault="001005D2" w:rsidP="009C76A6">
      <w:pPr>
        <w:spacing w:line="240" w:lineRule="auto"/>
        <w:rPr>
          <w:szCs w:val="22"/>
        </w:rPr>
      </w:pPr>
    </w:p>
    <w:p w14:paraId="743649E9" w14:textId="77777777" w:rsidR="001005D2" w:rsidRPr="004B0DDF" w:rsidRDefault="004D6453" w:rsidP="009C76A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4B0DDF">
        <w:rPr>
          <w:b/>
        </w:rPr>
        <w:t>NUMER SERII</w:t>
      </w:r>
    </w:p>
    <w:p w14:paraId="743649EA" w14:textId="77777777" w:rsidR="001005D2" w:rsidRPr="004B0DDF" w:rsidRDefault="001005D2" w:rsidP="009C76A6">
      <w:pPr>
        <w:spacing w:line="240" w:lineRule="auto"/>
        <w:rPr>
          <w:szCs w:val="22"/>
        </w:rPr>
      </w:pPr>
    </w:p>
    <w:p w14:paraId="743649EB" w14:textId="77777777" w:rsidR="001005D2" w:rsidRPr="004B0DDF" w:rsidRDefault="004D6453" w:rsidP="009C76A6">
      <w:pPr>
        <w:rPr>
          <w:szCs w:val="22"/>
        </w:rPr>
      </w:pPr>
      <w:r w:rsidRPr="004B0DDF">
        <w:t>Nr serii</w:t>
      </w:r>
    </w:p>
    <w:p w14:paraId="743649EC" w14:textId="77777777" w:rsidR="001005D2" w:rsidRPr="004B0DDF" w:rsidRDefault="001005D2" w:rsidP="009C76A6">
      <w:pPr>
        <w:spacing w:line="240" w:lineRule="auto"/>
        <w:rPr>
          <w:szCs w:val="22"/>
        </w:rPr>
      </w:pPr>
    </w:p>
    <w:p w14:paraId="743649ED" w14:textId="77777777" w:rsidR="001005D2" w:rsidRPr="004B0DDF" w:rsidRDefault="001005D2" w:rsidP="009C76A6">
      <w:pPr>
        <w:spacing w:line="240" w:lineRule="auto"/>
        <w:rPr>
          <w:szCs w:val="22"/>
        </w:rPr>
      </w:pPr>
    </w:p>
    <w:p w14:paraId="743649EE" w14:textId="77777777" w:rsidR="001005D2" w:rsidRPr="004B0DDF" w:rsidRDefault="004D6453" w:rsidP="009C76A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4B0DDF">
        <w:rPr>
          <w:b/>
        </w:rPr>
        <w:t>INNE</w:t>
      </w:r>
    </w:p>
    <w:p w14:paraId="743649EF" w14:textId="77777777" w:rsidR="001005D2" w:rsidRPr="004B0DDF" w:rsidRDefault="001005D2" w:rsidP="009C76A6">
      <w:pPr>
        <w:spacing w:line="240" w:lineRule="auto"/>
        <w:rPr>
          <w:szCs w:val="22"/>
        </w:rPr>
      </w:pPr>
    </w:p>
    <w:p w14:paraId="743649F0" w14:textId="77777777" w:rsidR="001005D2" w:rsidRPr="004B0DDF" w:rsidRDefault="001005D2" w:rsidP="009C76A6">
      <w:pPr>
        <w:spacing w:line="240" w:lineRule="auto"/>
        <w:rPr>
          <w:szCs w:val="22"/>
        </w:rPr>
      </w:pPr>
    </w:p>
    <w:p w14:paraId="743649F1" w14:textId="77777777" w:rsidR="001005D2" w:rsidRPr="004B0DDF" w:rsidRDefault="004D6453" w:rsidP="009C76A6">
      <w:r w:rsidRPr="004B0DDF">
        <w:br w:type="page"/>
      </w:r>
    </w:p>
    <w:p w14:paraId="743649F2" w14:textId="77777777" w:rsidR="001005D2" w:rsidRPr="004B0DDF" w:rsidRDefault="001005D2" w:rsidP="009C76A6"/>
    <w:p w14:paraId="743649F3" w14:textId="77777777" w:rsidR="001005D2" w:rsidRPr="004B0DDF" w:rsidRDefault="001005D2" w:rsidP="009C76A6"/>
    <w:p w14:paraId="743649F4" w14:textId="77777777" w:rsidR="001005D2" w:rsidRPr="004B0DDF" w:rsidRDefault="001005D2" w:rsidP="009C76A6"/>
    <w:p w14:paraId="743649F5" w14:textId="77777777" w:rsidR="001005D2" w:rsidRPr="004B0DDF" w:rsidRDefault="001005D2" w:rsidP="009C76A6"/>
    <w:p w14:paraId="743649F6" w14:textId="77777777" w:rsidR="001005D2" w:rsidRPr="004B0DDF" w:rsidRDefault="001005D2" w:rsidP="009C76A6"/>
    <w:p w14:paraId="743649F7" w14:textId="77777777" w:rsidR="001005D2" w:rsidRPr="004B0DDF" w:rsidRDefault="001005D2" w:rsidP="009C76A6"/>
    <w:p w14:paraId="743649F8" w14:textId="77777777" w:rsidR="001005D2" w:rsidRPr="004B0DDF" w:rsidRDefault="001005D2" w:rsidP="009C76A6"/>
    <w:p w14:paraId="743649F9" w14:textId="77777777" w:rsidR="001005D2" w:rsidRPr="004B0DDF" w:rsidRDefault="001005D2" w:rsidP="009C76A6"/>
    <w:p w14:paraId="743649FA" w14:textId="77777777" w:rsidR="001005D2" w:rsidRPr="004B0DDF" w:rsidRDefault="001005D2" w:rsidP="009C76A6"/>
    <w:p w14:paraId="743649FB" w14:textId="77777777" w:rsidR="001005D2" w:rsidRPr="004B0DDF" w:rsidRDefault="001005D2" w:rsidP="009C76A6"/>
    <w:p w14:paraId="743649FC" w14:textId="77777777" w:rsidR="001005D2" w:rsidRPr="004B0DDF" w:rsidRDefault="001005D2" w:rsidP="009C76A6"/>
    <w:p w14:paraId="743649FD" w14:textId="77777777" w:rsidR="001005D2" w:rsidRPr="004B0DDF" w:rsidRDefault="001005D2" w:rsidP="009C76A6"/>
    <w:p w14:paraId="743649FE" w14:textId="77777777" w:rsidR="001005D2" w:rsidRPr="004B0DDF" w:rsidRDefault="001005D2" w:rsidP="009C76A6"/>
    <w:p w14:paraId="743649FF" w14:textId="77777777" w:rsidR="001005D2" w:rsidRPr="004B0DDF" w:rsidRDefault="001005D2" w:rsidP="009C76A6"/>
    <w:p w14:paraId="74364A00" w14:textId="77777777" w:rsidR="001005D2" w:rsidRPr="004B0DDF" w:rsidRDefault="001005D2" w:rsidP="009C76A6"/>
    <w:p w14:paraId="74364A01" w14:textId="77777777" w:rsidR="001005D2" w:rsidRPr="004B0DDF" w:rsidRDefault="001005D2" w:rsidP="009C76A6"/>
    <w:p w14:paraId="74364A02" w14:textId="77777777" w:rsidR="001005D2" w:rsidRPr="004B0DDF" w:rsidRDefault="001005D2" w:rsidP="009C76A6"/>
    <w:p w14:paraId="74364A03" w14:textId="77777777" w:rsidR="001005D2" w:rsidRPr="004B0DDF" w:rsidRDefault="001005D2" w:rsidP="009C76A6"/>
    <w:p w14:paraId="74364A04" w14:textId="77777777" w:rsidR="001005D2" w:rsidRPr="004B0DDF" w:rsidRDefault="001005D2" w:rsidP="009C76A6"/>
    <w:p w14:paraId="74364A05" w14:textId="77777777" w:rsidR="001005D2" w:rsidRPr="004B0DDF" w:rsidRDefault="001005D2" w:rsidP="009C76A6"/>
    <w:p w14:paraId="74364A06" w14:textId="77777777" w:rsidR="001005D2" w:rsidRPr="004B0DDF" w:rsidRDefault="001005D2" w:rsidP="009C76A6"/>
    <w:p w14:paraId="74364A07" w14:textId="77777777" w:rsidR="001005D2" w:rsidRPr="004B0DDF" w:rsidRDefault="001005D2" w:rsidP="009C76A6"/>
    <w:p w14:paraId="74364A08" w14:textId="77777777" w:rsidR="001005D2" w:rsidRPr="004B0DDF" w:rsidRDefault="004D6453" w:rsidP="009C76A6">
      <w:pPr>
        <w:pStyle w:val="ListParagraph"/>
        <w:numPr>
          <w:ilvl w:val="0"/>
          <w:numId w:val="31"/>
        </w:numPr>
        <w:spacing w:line="240" w:lineRule="auto"/>
        <w:ind w:left="357" w:hanging="357"/>
        <w:jc w:val="center"/>
        <w:outlineLvl w:val="0"/>
        <w:rPr>
          <w:b/>
        </w:rPr>
      </w:pPr>
      <w:r w:rsidRPr="004B0DDF">
        <w:rPr>
          <w:b/>
        </w:rPr>
        <w:t>ULOTKA DLA PACJENTA</w:t>
      </w:r>
    </w:p>
    <w:p w14:paraId="74364A09" w14:textId="77777777" w:rsidR="001005D2" w:rsidRPr="004B0DDF" w:rsidRDefault="004D6453" w:rsidP="009C76A6">
      <w:pPr>
        <w:tabs>
          <w:tab w:val="clear" w:pos="567"/>
        </w:tabs>
        <w:spacing w:line="240" w:lineRule="auto"/>
        <w:jc w:val="center"/>
        <w:outlineLvl w:val="0"/>
        <w:rPr>
          <w:szCs w:val="22"/>
        </w:rPr>
      </w:pPr>
      <w:r w:rsidRPr="004B0DDF">
        <w:br w:type="page"/>
      </w:r>
      <w:r w:rsidRPr="004B0DDF">
        <w:rPr>
          <w:b/>
        </w:rPr>
        <w:lastRenderedPageBreak/>
        <w:t>Ulotka dołączona do opakowania: informacja dla pacjenta</w:t>
      </w:r>
    </w:p>
    <w:p w14:paraId="74364A0A" w14:textId="77777777" w:rsidR="001005D2" w:rsidRPr="004B0DDF" w:rsidRDefault="001005D2" w:rsidP="009C76A6">
      <w:pPr>
        <w:numPr>
          <w:ilvl w:val="12"/>
          <w:numId w:val="0"/>
        </w:numPr>
        <w:shd w:val="clear" w:color="auto" w:fill="FFFFFF"/>
        <w:tabs>
          <w:tab w:val="clear" w:pos="567"/>
        </w:tabs>
        <w:spacing w:line="240" w:lineRule="auto"/>
        <w:jc w:val="center"/>
        <w:rPr>
          <w:szCs w:val="22"/>
        </w:rPr>
      </w:pPr>
    </w:p>
    <w:p w14:paraId="74364A0B" w14:textId="77777777" w:rsidR="001005D2" w:rsidRPr="004B0DDF" w:rsidRDefault="004D6453" w:rsidP="009C76A6">
      <w:pPr>
        <w:jc w:val="center"/>
        <w:rPr>
          <w:b/>
          <w:szCs w:val="22"/>
        </w:rPr>
      </w:pPr>
      <w:r w:rsidRPr="004B0DDF">
        <w:rPr>
          <w:b/>
        </w:rPr>
        <w:t xml:space="preserve">Cuprior 150 mg </w:t>
      </w:r>
      <w:r w:rsidRPr="004B0DDF">
        <w:rPr>
          <w:b/>
        </w:rPr>
        <w:t>tabletki powlekane</w:t>
      </w:r>
    </w:p>
    <w:p w14:paraId="74364A0C" w14:textId="77777777" w:rsidR="001005D2" w:rsidRPr="004B0DDF" w:rsidRDefault="004D6453" w:rsidP="009C76A6">
      <w:pPr>
        <w:numPr>
          <w:ilvl w:val="12"/>
          <w:numId w:val="0"/>
        </w:numPr>
        <w:tabs>
          <w:tab w:val="clear" w:pos="567"/>
        </w:tabs>
        <w:spacing w:line="240" w:lineRule="auto"/>
        <w:jc w:val="center"/>
        <w:rPr>
          <w:szCs w:val="22"/>
        </w:rPr>
      </w:pPr>
      <w:r w:rsidRPr="004B0DDF">
        <w:t>trientyna</w:t>
      </w:r>
    </w:p>
    <w:p w14:paraId="74364A0D" w14:textId="77777777" w:rsidR="001005D2" w:rsidRPr="004B0DDF" w:rsidRDefault="001005D2" w:rsidP="009C76A6">
      <w:pPr>
        <w:jc w:val="center"/>
        <w:rPr>
          <w:szCs w:val="22"/>
        </w:rPr>
      </w:pPr>
    </w:p>
    <w:p w14:paraId="74364A0E" w14:textId="77777777" w:rsidR="001005D2" w:rsidRPr="004B0DDF" w:rsidRDefault="004D6453" w:rsidP="009C76A6">
      <w:r w:rsidRPr="004B0DDF">
        <w:t xml:space="preserve">Z informacjami można się także zapoznać po zeskanowaniu kodu QR przy użyciu smartfonu lub na stronie internetowej </w:t>
      </w:r>
      <w:r w:rsidRPr="004B0DDF">
        <w:rPr>
          <w:i/>
          <w:highlight w:val="lightGray"/>
        </w:rPr>
        <w:t>dodać kod QR</w:t>
      </w:r>
      <w:r w:rsidRPr="004B0DDF">
        <w:t xml:space="preserve"> </w:t>
      </w:r>
      <w:hyperlink r:id="rId14" w:history="1">
        <w:r w:rsidRPr="004B0DDF">
          <w:rPr>
            <w:rStyle w:val="Hyperlink"/>
          </w:rPr>
          <w:t>http://www.cuprior.com</w:t>
        </w:r>
      </w:hyperlink>
    </w:p>
    <w:p w14:paraId="74364A0F" w14:textId="77777777" w:rsidR="001005D2" w:rsidRPr="004B0DDF" w:rsidRDefault="001005D2" w:rsidP="009C76A6">
      <w:pPr>
        <w:tabs>
          <w:tab w:val="clear" w:pos="567"/>
        </w:tabs>
        <w:spacing w:line="240" w:lineRule="auto"/>
        <w:rPr>
          <w:szCs w:val="22"/>
        </w:rPr>
      </w:pPr>
    </w:p>
    <w:p w14:paraId="74364A10" w14:textId="77777777" w:rsidR="001005D2" w:rsidRPr="004B0DDF" w:rsidRDefault="004D6453" w:rsidP="009C76A6">
      <w:pPr>
        <w:tabs>
          <w:tab w:val="clear" w:pos="567"/>
        </w:tabs>
        <w:suppressAutoHyphens/>
        <w:spacing w:line="240" w:lineRule="auto"/>
        <w:ind w:left="142" w:hanging="142"/>
        <w:rPr>
          <w:szCs w:val="22"/>
        </w:rPr>
      </w:pPr>
      <w:r w:rsidRPr="004B0DDF">
        <w:rPr>
          <w:b/>
        </w:rPr>
        <w:t>Należy uważnie zapoznać się z treścią ulotki przed zażyciem leku,</w:t>
      </w:r>
      <w:r w:rsidRPr="004B0DDF">
        <w:rPr>
          <w:b/>
        </w:rPr>
        <w:t xml:space="preserve"> ponieważ zawiera ona informacje ważne dla pacjenta.</w:t>
      </w:r>
    </w:p>
    <w:p w14:paraId="74364A11" w14:textId="77777777" w:rsidR="001005D2" w:rsidRPr="004B0DDF" w:rsidRDefault="004D6453" w:rsidP="009C76A6">
      <w:pPr>
        <w:numPr>
          <w:ilvl w:val="0"/>
          <w:numId w:val="3"/>
        </w:numPr>
        <w:tabs>
          <w:tab w:val="clear" w:pos="567"/>
        </w:tabs>
        <w:spacing w:line="240" w:lineRule="auto"/>
        <w:ind w:left="567" w:right="-2" w:hanging="567"/>
        <w:rPr>
          <w:szCs w:val="22"/>
        </w:rPr>
      </w:pPr>
      <w:r w:rsidRPr="004B0DDF">
        <w:t xml:space="preserve">Należy zachować tę ulotkę, aby w razie potrzeby móc ją ponownie przeczytać. </w:t>
      </w:r>
    </w:p>
    <w:p w14:paraId="74364A12" w14:textId="77777777" w:rsidR="001005D2" w:rsidRPr="004B0DDF" w:rsidRDefault="004D6453" w:rsidP="009C76A6">
      <w:pPr>
        <w:numPr>
          <w:ilvl w:val="0"/>
          <w:numId w:val="3"/>
        </w:numPr>
        <w:tabs>
          <w:tab w:val="clear" w:pos="567"/>
        </w:tabs>
        <w:spacing w:line="240" w:lineRule="auto"/>
        <w:ind w:left="567" w:right="-2" w:hanging="567"/>
        <w:rPr>
          <w:szCs w:val="22"/>
        </w:rPr>
      </w:pPr>
      <w:r w:rsidRPr="004B0DDF">
        <w:t>W razie jakichkolwiek wątpliwości należy zwrócić się do lekarza lub farmaceuty.</w:t>
      </w:r>
    </w:p>
    <w:p w14:paraId="74364A13" w14:textId="77777777" w:rsidR="001005D2" w:rsidRPr="004B0DDF" w:rsidRDefault="004D6453" w:rsidP="009C76A6">
      <w:pPr>
        <w:spacing w:line="240" w:lineRule="auto"/>
        <w:ind w:left="567" w:right="-2" w:hanging="567"/>
        <w:rPr>
          <w:szCs w:val="22"/>
        </w:rPr>
      </w:pPr>
      <w:r w:rsidRPr="004B0DDF">
        <w:t>-</w:t>
      </w:r>
      <w:r w:rsidRPr="004B0DDF">
        <w:tab/>
        <w:t>Lek ten przepisano ściśle określonej osobie.</w:t>
      </w:r>
      <w:r w:rsidRPr="004B0DDF">
        <w:t xml:space="preserve"> Nie należy go przekazywać innym. Lek może zaszkodzić innej osobie, nawet jeśli objawy jej choroby są takie same.</w:t>
      </w:r>
      <w:r w:rsidRPr="004B0DDF">
        <w:rPr>
          <w:color w:val="008000"/>
        </w:rPr>
        <w:t xml:space="preserve"> </w:t>
      </w:r>
    </w:p>
    <w:p w14:paraId="74364A14" w14:textId="77777777" w:rsidR="001005D2" w:rsidRPr="004B0DDF" w:rsidRDefault="004D6453" w:rsidP="009C76A6">
      <w:pPr>
        <w:numPr>
          <w:ilvl w:val="0"/>
          <w:numId w:val="3"/>
        </w:numPr>
        <w:spacing w:line="240" w:lineRule="auto"/>
        <w:ind w:left="567" w:hanging="567"/>
        <w:rPr>
          <w:szCs w:val="22"/>
        </w:rPr>
      </w:pPr>
      <w:r w:rsidRPr="004B0DDF">
        <w:t>Jeśli u pacjenta wystąpią jakiekolwiek objawy niepożądane,</w:t>
      </w:r>
      <w:r w:rsidRPr="004B0DDF">
        <w:rPr>
          <w:color w:val="FF0000"/>
        </w:rPr>
        <w:t xml:space="preserve"> </w:t>
      </w:r>
      <w:r w:rsidRPr="004B0DDF">
        <w:t xml:space="preserve">w tym wszelkie objawy niepożądane niewymienione w tej ulotce, należy powiedzieć o </w:t>
      </w:r>
      <w:r w:rsidRPr="004B0DDF">
        <w:t>tym lekarzowi lub farmaceucie. Patrz punkt 4.</w:t>
      </w:r>
    </w:p>
    <w:p w14:paraId="74364A15" w14:textId="77777777" w:rsidR="001005D2" w:rsidRPr="004B0DDF" w:rsidRDefault="001005D2" w:rsidP="009C76A6">
      <w:pPr>
        <w:tabs>
          <w:tab w:val="clear" w:pos="567"/>
        </w:tabs>
        <w:spacing w:line="240" w:lineRule="auto"/>
        <w:ind w:right="-2"/>
        <w:rPr>
          <w:szCs w:val="22"/>
        </w:rPr>
      </w:pPr>
    </w:p>
    <w:p w14:paraId="74364A16" w14:textId="77777777" w:rsidR="001005D2" w:rsidRPr="004B0DDF" w:rsidRDefault="001005D2" w:rsidP="009C76A6">
      <w:pPr>
        <w:tabs>
          <w:tab w:val="clear" w:pos="567"/>
        </w:tabs>
        <w:spacing w:line="240" w:lineRule="auto"/>
        <w:ind w:right="-2"/>
        <w:rPr>
          <w:szCs w:val="22"/>
        </w:rPr>
      </w:pPr>
    </w:p>
    <w:p w14:paraId="74364A17" w14:textId="77777777" w:rsidR="001005D2" w:rsidRPr="004B0DDF" w:rsidRDefault="004D6453" w:rsidP="009C76A6">
      <w:pPr>
        <w:numPr>
          <w:ilvl w:val="12"/>
          <w:numId w:val="0"/>
        </w:numPr>
        <w:tabs>
          <w:tab w:val="clear" w:pos="567"/>
        </w:tabs>
        <w:spacing w:line="240" w:lineRule="auto"/>
        <w:ind w:right="-2"/>
        <w:rPr>
          <w:b/>
          <w:szCs w:val="22"/>
        </w:rPr>
      </w:pPr>
      <w:r w:rsidRPr="004B0DDF">
        <w:rPr>
          <w:b/>
        </w:rPr>
        <w:t>Spis treści ulotki</w:t>
      </w:r>
    </w:p>
    <w:p w14:paraId="74364A18" w14:textId="77777777" w:rsidR="001005D2" w:rsidRPr="004B0DDF" w:rsidRDefault="001005D2" w:rsidP="009C76A6"/>
    <w:p w14:paraId="74364A19" w14:textId="77777777" w:rsidR="001005D2" w:rsidRPr="004B0DDF" w:rsidRDefault="004D6453" w:rsidP="009C76A6">
      <w:pPr>
        <w:pStyle w:val="ListParagraph"/>
        <w:numPr>
          <w:ilvl w:val="0"/>
          <w:numId w:val="32"/>
        </w:numPr>
        <w:tabs>
          <w:tab w:val="clear" w:pos="567"/>
          <w:tab w:val="left" w:pos="426"/>
        </w:tabs>
        <w:spacing w:line="240" w:lineRule="auto"/>
        <w:ind w:left="420" w:right="-28"/>
        <w:rPr>
          <w:szCs w:val="22"/>
        </w:rPr>
      </w:pPr>
      <w:r w:rsidRPr="004B0DDF">
        <w:t xml:space="preserve">Co to jest Cuprior i w jakim celu się go stosuje </w:t>
      </w:r>
    </w:p>
    <w:p w14:paraId="74364A1A" w14:textId="77777777" w:rsidR="001005D2" w:rsidRPr="004B0DDF" w:rsidRDefault="004D6453" w:rsidP="009C76A6">
      <w:pPr>
        <w:pStyle w:val="ListParagraph"/>
        <w:numPr>
          <w:ilvl w:val="0"/>
          <w:numId w:val="32"/>
        </w:numPr>
        <w:tabs>
          <w:tab w:val="clear" w:pos="567"/>
          <w:tab w:val="left" w:pos="426"/>
        </w:tabs>
        <w:spacing w:line="240" w:lineRule="auto"/>
        <w:ind w:left="420" w:right="-28"/>
        <w:rPr>
          <w:szCs w:val="22"/>
        </w:rPr>
      </w:pPr>
      <w:r w:rsidRPr="004B0DDF">
        <w:t xml:space="preserve">Informacje ważne przed przyjęciem leku Cuprior </w:t>
      </w:r>
    </w:p>
    <w:p w14:paraId="74364A1B" w14:textId="77777777" w:rsidR="001005D2" w:rsidRPr="004B0DDF" w:rsidRDefault="004D6453" w:rsidP="009C76A6">
      <w:pPr>
        <w:pStyle w:val="ListParagraph"/>
        <w:numPr>
          <w:ilvl w:val="0"/>
          <w:numId w:val="32"/>
        </w:numPr>
        <w:tabs>
          <w:tab w:val="clear" w:pos="567"/>
          <w:tab w:val="left" w:pos="426"/>
        </w:tabs>
        <w:spacing w:line="240" w:lineRule="auto"/>
        <w:ind w:left="420" w:right="-28"/>
        <w:rPr>
          <w:szCs w:val="22"/>
        </w:rPr>
      </w:pPr>
      <w:r w:rsidRPr="004B0DDF">
        <w:t xml:space="preserve">Jak przyjmować Cuprior </w:t>
      </w:r>
    </w:p>
    <w:p w14:paraId="74364A1C" w14:textId="77777777" w:rsidR="001005D2" w:rsidRPr="004B0DDF" w:rsidRDefault="004D6453" w:rsidP="009C76A6">
      <w:pPr>
        <w:pStyle w:val="ListParagraph"/>
        <w:numPr>
          <w:ilvl w:val="0"/>
          <w:numId w:val="32"/>
        </w:numPr>
        <w:tabs>
          <w:tab w:val="clear" w:pos="567"/>
          <w:tab w:val="left" w:pos="426"/>
        </w:tabs>
        <w:spacing w:line="240" w:lineRule="auto"/>
        <w:ind w:left="420" w:right="-28"/>
        <w:rPr>
          <w:szCs w:val="22"/>
        </w:rPr>
      </w:pPr>
      <w:r w:rsidRPr="004B0DDF">
        <w:t xml:space="preserve">Możliwe działania niepożądane </w:t>
      </w:r>
    </w:p>
    <w:p w14:paraId="74364A1D" w14:textId="77777777" w:rsidR="001005D2" w:rsidRPr="004B0DDF" w:rsidRDefault="004D6453" w:rsidP="009C76A6">
      <w:pPr>
        <w:pStyle w:val="ListParagraph"/>
        <w:numPr>
          <w:ilvl w:val="0"/>
          <w:numId w:val="32"/>
        </w:numPr>
        <w:tabs>
          <w:tab w:val="clear" w:pos="567"/>
          <w:tab w:val="left" w:pos="426"/>
        </w:tabs>
        <w:spacing w:line="240" w:lineRule="auto"/>
        <w:ind w:left="420" w:right="-28"/>
        <w:rPr>
          <w:szCs w:val="22"/>
        </w:rPr>
      </w:pPr>
      <w:r w:rsidRPr="004B0DDF">
        <w:t xml:space="preserve">Jak przechowywać Cuprior </w:t>
      </w:r>
    </w:p>
    <w:p w14:paraId="74364A1E" w14:textId="77777777" w:rsidR="001005D2" w:rsidRPr="004B0DDF" w:rsidRDefault="004D6453" w:rsidP="009C76A6">
      <w:pPr>
        <w:pStyle w:val="ListParagraph"/>
        <w:numPr>
          <w:ilvl w:val="0"/>
          <w:numId w:val="32"/>
        </w:numPr>
        <w:tabs>
          <w:tab w:val="clear" w:pos="567"/>
          <w:tab w:val="left" w:pos="426"/>
        </w:tabs>
        <w:spacing w:line="240" w:lineRule="auto"/>
        <w:ind w:left="420" w:right="-28"/>
        <w:rPr>
          <w:szCs w:val="22"/>
        </w:rPr>
      </w:pPr>
      <w:r w:rsidRPr="004B0DDF">
        <w:t>Zawartość opakowania i inne informacje</w:t>
      </w:r>
    </w:p>
    <w:p w14:paraId="74364A1F" w14:textId="77777777" w:rsidR="001005D2" w:rsidRPr="004B0DDF" w:rsidRDefault="001005D2" w:rsidP="009C76A6">
      <w:pPr>
        <w:numPr>
          <w:ilvl w:val="12"/>
          <w:numId w:val="0"/>
        </w:numPr>
        <w:tabs>
          <w:tab w:val="clear" w:pos="567"/>
        </w:tabs>
        <w:spacing w:line="240" w:lineRule="auto"/>
        <w:ind w:right="-2"/>
        <w:rPr>
          <w:szCs w:val="22"/>
        </w:rPr>
      </w:pPr>
    </w:p>
    <w:p w14:paraId="74364A20" w14:textId="77777777" w:rsidR="001005D2" w:rsidRPr="004B0DDF" w:rsidRDefault="001005D2" w:rsidP="009C76A6">
      <w:pPr>
        <w:numPr>
          <w:ilvl w:val="12"/>
          <w:numId w:val="0"/>
        </w:numPr>
        <w:tabs>
          <w:tab w:val="clear" w:pos="567"/>
        </w:tabs>
        <w:spacing w:line="240" w:lineRule="auto"/>
        <w:rPr>
          <w:szCs w:val="22"/>
        </w:rPr>
      </w:pPr>
    </w:p>
    <w:p w14:paraId="74364A21" w14:textId="77777777" w:rsidR="001005D2" w:rsidRPr="004B0DDF" w:rsidRDefault="004D6453" w:rsidP="009C76A6">
      <w:pPr>
        <w:pStyle w:val="ListParagraph"/>
        <w:numPr>
          <w:ilvl w:val="0"/>
          <w:numId w:val="33"/>
        </w:numPr>
        <w:tabs>
          <w:tab w:val="clear" w:pos="567"/>
        </w:tabs>
        <w:spacing w:line="240" w:lineRule="auto"/>
        <w:ind w:left="720"/>
        <w:outlineLvl w:val="0"/>
        <w:rPr>
          <w:b/>
          <w:szCs w:val="22"/>
        </w:rPr>
      </w:pPr>
      <w:r w:rsidRPr="004B0DDF">
        <w:rPr>
          <w:b/>
        </w:rPr>
        <w:t>Co to jest Cuprior i w jakim celu się go stosuje</w:t>
      </w:r>
    </w:p>
    <w:p w14:paraId="74364A22" w14:textId="77777777" w:rsidR="001005D2" w:rsidRPr="004B0DDF" w:rsidRDefault="001005D2" w:rsidP="009C76A6">
      <w:pPr>
        <w:numPr>
          <w:ilvl w:val="12"/>
          <w:numId w:val="0"/>
        </w:numPr>
        <w:tabs>
          <w:tab w:val="clear" w:pos="567"/>
        </w:tabs>
        <w:spacing w:line="240" w:lineRule="auto"/>
        <w:rPr>
          <w:szCs w:val="22"/>
        </w:rPr>
      </w:pPr>
    </w:p>
    <w:p w14:paraId="74364A23" w14:textId="77777777" w:rsidR="001005D2" w:rsidRPr="004B0DDF" w:rsidRDefault="004D6453" w:rsidP="009C76A6">
      <w:pPr>
        <w:numPr>
          <w:ilvl w:val="12"/>
          <w:numId w:val="0"/>
        </w:numPr>
        <w:tabs>
          <w:tab w:val="clear" w:pos="567"/>
        </w:tabs>
        <w:spacing w:line="240" w:lineRule="auto"/>
        <w:rPr>
          <w:szCs w:val="22"/>
        </w:rPr>
      </w:pPr>
      <w:r w:rsidRPr="004B0DDF">
        <w:t xml:space="preserve">Cuprior jest lekiem stosowanym w leczeniu choroby Wilsona, zawierającym substancję czynną trientynę. </w:t>
      </w:r>
    </w:p>
    <w:p w14:paraId="74364A24" w14:textId="77777777" w:rsidR="001005D2" w:rsidRPr="004B0DDF" w:rsidRDefault="001005D2" w:rsidP="009C76A6">
      <w:pPr>
        <w:numPr>
          <w:ilvl w:val="12"/>
          <w:numId w:val="0"/>
        </w:numPr>
        <w:tabs>
          <w:tab w:val="clear" w:pos="567"/>
        </w:tabs>
        <w:spacing w:line="240" w:lineRule="auto"/>
        <w:rPr>
          <w:szCs w:val="22"/>
        </w:rPr>
      </w:pPr>
    </w:p>
    <w:p w14:paraId="74364A25" w14:textId="77777777" w:rsidR="001005D2" w:rsidRPr="004B0DDF" w:rsidRDefault="004D6453" w:rsidP="009C76A6">
      <w:pPr>
        <w:numPr>
          <w:ilvl w:val="12"/>
          <w:numId w:val="0"/>
        </w:numPr>
        <w:tabs>
          <w:tab w:val="clear" w:pos="567"/>
        </w:tabs>
        <w:spacing w:line="240" w:lineRule="auto"/>
        <w:rPr>
          <w:szCs w:val="22"/>
        </w:rPr>
      </w:pPr>
      <w:r w:rsidRPr="004B0DDF">
        <w:t>Choroba Wilsona jest chorobą dziedzi</w:t>
      </w:r>
      <w:r w:rsidRPr="004B0DDF">
        <w:t>czną, w przypadku której niemożliwy jest prawidłowy transport miedzi w organizmie lub usuwanie miedzi w prawidłowy sposób poprzez wydzielanie z wątroby do jelit. Oznacza to, że małe ilości miedzi z pokarmów i napojów gromadzą się osiągając nadmierne stężen</w:t>
      </w:r>
      <w:r w:rsidRPr="004B0DDF">
        <w:t>ia i mogą doprowadzić do uszkodzenia wątroby oraz zaburzeń układu nerwowego. Działanie leku polega głównie na wiązaniu miedzi w organizmie, co następnie umożliwia jej usuwanie z moczem, ułatwiające obniżenie stężenia miedzi. Lek może także wiązać miedź w j</w:t>
      </w:r>
      <w:r w:rsidRPr="004B0DDF">
        <w:t xml:space="preserve">elitach i w ten sposób zmniejszać jej ilości wchłaniane do organizmu. </w:t>
      </w:r>
    </w:p>
    <w:p w14:paraId="74364A26" w14:textId="77777777" w:rsidR="001005D2" w:rsidRPr="004B0DDF" w:rsidRDefault="004D6453" w:rsidP="009C76A6">
      <w:pPr>
        <w:numPr>
          <w:ilvl w:val="12"/>
          <w:numId w:val="0"/>
        </w:numPr>
        <w:tabs>
          <w:tab w:val="clear" w:pos="567"/>
        </w:tabs>
        <w:spacing w:line="240" w:lineRule="auto"/>
        <w:rPr>
          <w:szCs w:val="22"/>
        </w:rPr>
      </w:pPr>
      <w:r w:rsidRPr="004B0DDF">
        <w:t>Cuprior podaje się osobom dorosłym, młodzieży i dzieciom w wieku od 5 lat, którzy nie tolerują innego leku stosowanego w leczeniu tej choroby, zwanego penicylaminą.</w:t>
      </w:r>
    </w:p>
    <w:p w14:paraId="74364A27" w14:textId="77777777" w:rsidR="001005D2" w:rsidRPr="004B0DDF" w:rsidRDefault="001005D2" w:rsidP="009C76A6">
      <w:pPr>
        <w:tabs>
          <w:tab w:val="clear" w:pos="567"/>
        </w:tabs>
        <w:spacing w:line="240" w:lineRule="auto"/>
        <w:ind w:right="-2"/>
        <w:rPr>
          <w:szCs w:val="22"/>
        </w:rPr>
      </w:pPr>
    </w:p>
    <w:p w14:paraId="74364A28" w14:textId="77777777" w:rsidR="001005D2" w:rsidRPr="004B0DDF" w:rsidRDefault="001005D2" w:rsidP="009C76A6">
      <w:pPr>
        <w:tabs>
          <w:tab w:val="clear" w:pos="567"/>
        </w:tabs>
        <w:spacing w:line="240" w:lineRule="auto"/>
        <w:ind w:right="-2"/>
        <w:rPr>
          <w:szCs w:val="22"/>
        </w:rPr>
      </w:pPr>
    </w:p>
    <w:p w14:paraId="74364A29" w14:textId="77777777" w:rsidR="001005D2" w:rsidRPr="004B0DDF" w:rsidRDefault="004D6453" w:rsidP="009C76A6">
      <w:pPr>
        <w:pStyle w:val="ListParagraph"/>
        <w:numPr>
          <w:ilvl w:val="0"/>
          <w:numId w:val="33"/>
        </w:numPr>
        <w:tabs>
          <w:tab w:val="clear" w:pos="567"/>
        </w:tabs>
        <w:spacing w:line="240" w:lineRule="auto"/>
        <w:ind w:left="720"/>
        <w:outlineLvl w:val="0"/>
        <w:rPr>
          <w:b/>
          <w:szCs w:val="22"/>
        </w:rPr>
      </w:pPr>
      <w:r w:rsidRPr="004B0DDF">
        <w:rPr>
          <w:b/>
        </w:rPr>
        <w:t xml:space="preserve">Informacje ważne przed przyjęciem leku Cuprior </w:t>
      </w:r>
    </w:p>
    <w:p w14:paraId="74364A2A" w14:textId="77777777" w:rsidR="001005D2" w:rsidRPr="004B0DDF" w:rsidRDefault="001005D2" w:rsidP="009C76A6"/>
    <w:p w14:paraId="74364A2B" w14:textId="77777777" w:rsidR="001005D2" w:rsidRPr="004B0DDF" w:rsidRDefault="004D6453" w:rsidP="009C76A6">
      <w:pPr>
        <w:numPr>
          <w:ilvl w:val="12"/>
          <w:numId w:val="0"/>
        </w:numPr>
        <w:tabs>
          <w:tab w:val="clear" w:pos="567"/>
        </w:tabs>
        <w:spacing w:line="240" w:lineRule="auto"/>
        <w:rPr>
          <w:b/>
          <w:szCs w:val="22"/>
        </w:rPr>
      </w:pPr>
      <w:r w:rsidRPr="004B0DDF">
        <w:rPr>
          <w:b/>
        </w:rPr>
        <w:t>Kiedy nie przyjmować leku Cuprior:</w:t>
      </w:r>
    </w:p>
    <w:p w14:paraId="74364A2C" w14:textId="77777777" w:rsidR="001005D2" w:rsidRPr="004B0DDF" w:rsidRDefault="004D6453" w:rsidP="009C76A6">
      <w:pPr>
        <w:numPr>
          <w:ilvl w:val="12"/>
          <w:numId w:val="0"/>
        </w:numPr>
        <w:tabs>
          <w:tab w:val="clear" w:pos="567"/>
        </w:tabs>
        <w:spacing w:line="240" w:lineRule="auto"/>
        <w:rPr>
          <w:szCs w:val="22"/>
        </w:rPr>
      </w:pPr>
      <w:r w:rsidRPr="004B0DDF">
        <w:t xml:space="preserve">jeśli pacjent ma uczulenie na trientynę lub którykolwiek z pozostałych składników tego leku (wymienionych w punkcie 6). </w:t>
      </w:r>
    </w:p>
    <w:p w14:paraId="74364A2D" w14:textId="77777777" w:rsidR="001005D2" w:rsidRPr="004B0DDF" w:rsidRDefault="001005D2" w:rsidP="009C76A6">
      <w:pPr>
        <w:numPr>
          <w:ilvl w:val="12"/>
          <w:numId w:val="0"/>
        </w:numPr>
        <w:tabs>
          <w:tab w:val="clear" w:pos="567"/>
        </w:tabs>
        <w:spacing w:line="240" w:lineRule="auto"/>
        <w:rPr>
          <w:szCs w:val="22"/>
        </w:rPr>
      </w:pPr>
    </w:p>
    <w:p w14:paraId="74364A2E" w14:textId="77777777" w:rsidR="001005D2" w:rsidRPr="004B0DDF" w:rsidRDefault="004D6453" w:rsidP="009C76A6">
      <w:pPr>
        <w:numPr>
          <w:ilvl w:val="12"/>
          <w:numId w:val="0"/>
        </w:numPr>
        <w:tabs>
          <w:tab w:val="clear" w:pos="567"/>
        </w:tabs>
        <w:spacing w:line="240" w:lineRule="auto"/>
        <w:rPr>
          <w:b/>
          <w:szCs w:val="22"/>
        </w:rPr>
      </w:pPr>
      <w:r w:rsidRPr="004B0DDF">
        <w:rPr>
          <w:b/>
        </w:rPr>
        <w:t xml:space="preserve">Ostrzeżenia i środki ostrożności </w:t>
      </w:r>
    </w:p>
    <w:p w14:paraId="74364A2F" w14:textId="77777777" w:rsidR="001005D2" w:rsidRPr="004B0DDF" w:rsidRDefault="004D6453" w:rsidP="009C76A6">
      <w:pPr>
        <w:numPr>
          <w:ilvl w:val="12"/>
          <w:numId w:val="0"/>
        </w:numPr>
        <w:tabs>
          <w:tab w:val="clear" w:pos="567"/>
        </w:tabs>
        <w:spacing w:line="240" w:lineRule="auto"/>
        <w:rPr>
          <w:szCs w:val="22"/>
        </w:rPr>
      </w:pPr>
      <w:r w:rsidRPr="004B0DDF">
        <w:t>Przed rozpoczęci</w:t>
      </w:r>
      <w:r w:rsidRPr="004B0DDF">
        <w:t>em przyjmowania leku Cuprior należy omówić to z lekarzem lub farmaceutą.</w:t>
      </w:r>
    </w:p>
    <w:p w14:paraId="74364A30" w14:textId="77777777" w:rsidR="001005D2" w:rsidRPr="004B0DDF" w:rsidRDefault="001005D2" w:rsidP="009C76A6">
      <w:pPr>
        <w:numPr>
          <w:ilvl w:val="12"/>
          <w:numId w:val="0"/>
        </w:numPr>
        <w:tabs>
          <w:tab w:val="clear" w:pos="567"/>
        </w:tabs>
        <w:spacing w:line="240" w:lineRule="auto"/>
        <w:rPr>
          <w:szCs w:val="22"/>
        </w:rPr>
      </w:pPr>
    </w:p>
    <w:p w14:paraId="74364A31" w14:textId="77777777" w:rsidR="001005D2" w:rsidRPr="004B0DDF" w:rsidRDefault="004D6453" w:rsidP="009C76A6">
      <w:pPr>
        <w:numPr>
          <w:ilvl w:val="12"/>
          <w:numId w:val="0"/>
        </w:numPr>
        <w:tabs>
          <w:tab w:val="clear" w:pos="567"/>
        </w:tabs>
        <w:spacing w:line="240" w:lineRule="auto"/>
        <w:rPr>
          <w:szCs w:val="22"/>
        </w:rPr>
      </w:pPr>
      <w:r w:rsidRPr="004B0DDF">
        <w:t xml:space="preserve">Jeżeli pacjent przyjmował wcześniej inny lek zawierający trientynę, w przypadku jego zamiany na Cuprior lekarz może zmodyfikować dawkę dobową, liczbę tabletek lub liczbę dawek w ciągu doby. </w:t>
      </w:r>
    </w:p>
    <w:p w14:paraId="74364A32" w14:textId="77777777" w:rsidR="001005D2" w:rsidRPr="004B0DDF" w:rsidRDefault="001005D2" w:rsidP="009C76A6">
      <w:pPr>
        <w:numPr>
          <w:ilvl w:val="12"/>
          <w:numId w:val="0"/>
        </w:numPr>
        <w:tabs>
          <w:tab w:val="clear" w:pos="567"/>
        </w:tabs>
        <w:spacing w:line="240" w:lineRule="auto"/>
        <w:rPr>
          <w:szCs w:val="22"/>
        </w:rPr>
      </w:pPr>
    </w:p>
    <w:p w14:paraId="74364A33" w14:textId="77777777" w:rsidR="001005D2" w:rsidRPr="004B0DDF" w:rsidRDefault="004D6453" w:rsidP="009C76A6">
      <w:pPr>
        <w:numPr>
          <w:ilvl w:val="12"/>
          <w:numId w:val="0"/>
        </w:numPr>
        <w:tabs>
          <w:tab w:val="clear" w:pos="567"/>
        </w:tabs>
        <w:spacing w:line="240" w:lineRule="auto"/>
        <w:rPr>
          <w:szCs w:val="22"/>
        </w:rPr>
      </w:pPr>
      <w:r w:rsidRPr="004B0DDF">
        <w:lastRenderedPageBreak/>
        <w:t>Po rozpoczęciu leczenia, objawy mogą się początkowo zaostrzyć. J</w:t>
      </w:r>
      <w:r w:rsidRPr="004B0DDF">
        <w:t>eżeli to nastąpi, należy skontaktować się z lekarzem.</w:t>
      </w:r>
    </w:p>
    <w:p w14:paraId="74364A34" w14:textId="77777777" w:rsidR="001005D2" w:rsidRPr="004B0DDF" w:rsidRDefault="001005D2" w:rsidP="009C76A6">
      <w:pPr>
        <w:numPr>
          <w:ilvl w:val="12"/>
          <w:numId w:val="0"/>
        </w:numPr>
        <w:tabs>
          <w:tab w:val="clear" w:pos="567"/>
        </w:tabs>
        <w:spacing w:line="240" w:lineRule="auto"/>
        <w:rPr>
          <w:szCs w:val="22"/>
        </w:rPr>
      </w:pPr>
    </w:p>
    <w:p w14:paraId="74364A35" w14:textId="77777777" w:rsidR="001005D2" w:rsidRPr="004B0DDF" w:rsidRDefault="004D6453" w:rsidP="009C76A6">
      <w:pPr>
        <w:numPr>
          <w:ilvl w:val="12"/>
          <w:numId w:val="0"/>
        </w:numPr>
        <w:tabs>
          <w:tab w:val="clear" w:pos="567"/>
        </w:tabs>
        <w:spacing w:line="240" w:lineRule="auto"/>
        <w:rPr>
          <w:szCs w:val="22"/>
        </w:rPr>
      </w:pPr>
      <w:r w:rsidRPr="004B0DDF">
        <w:t xml:space="preserve">Lekarz będzie regularnie badał krew i mocz pacjenta, aby upewnić się, że pacjent otrzymuje właściwą dawkę leku Cuprior, odpowiednio ograniczającą objawy choroby i stężenia miedzi. </w:t>
      </w:r>
    </w:p>
    <w:p w14:paraId="74364A36" w14:textId="77777777" w:rsidR="001005D2" w:rsidRPr="004B0DDF" w:rsidRDefault="001005D2" w:rsidP="009C76A6">
      <w:pPr>
        <w:numPr>
          <w:ilvl w:val="12"/>
          <w:numId w:val="0"/>
        </w:numPr>
        <w:tabs>
          <w:tab w:val="clear" w:pos="567"/>
        </w:tabs>
        <w:spacing w:line="240" w:lineRule="auto"/>
        <w:rPr>
          <w:szCs w:val="22"/>
        </w:rPr>
      </w:pPr>
    </w:p>
    <w:p w14:paraId="74364A37" w14:textId="77777777" w:rsidR="001005D2" w:rsidRPr="004B0DDF" w:rsidRDefault="004D6453" w:rsidP="009C76A6">
      <w:pPr>
        <w:numPr>
          <w:ilvl w:val="12"/>
          <w:numId w:val="0"/>
        </w:numPr>
        <w:tabs>
          <w:tab w:val="clear" w:pos="567"/>
        </w:tabs>
        <w:spacing w:line="240" w:lineRule="auto"/>
        <w:rPr>
          <w:szCs w:val="22"/>
        </w:rPr>
      </w:pPr>
      <w:r w:rsidRPr="004B0DDF">
        <w:t>Należy poinformować</w:t>
      </w:r>
      <w:r w:rsidRPr="004B0DDF">
        <w:t xml:space="preserve"> lekarza w razie wystąpienia jakichkolwiek działań niepożądanych, ponieważ mogą one wskazywać na konieczność zwiększenia lub zmniejszenia dawki. </w:t>
      </w:r>
    </w:p>
    <w:p w14:paraId="74364A38" w14:textId="77777777" w:rsidR="001005D2" w:rsidRPr="004B0DDF" w:rsidRDefault="001005D2" w:rsidP="009C76A6">
      <w:pPr>
        <w:numPr>
          <w:ilvl w:val="12"/>
          <w:numId w:val="0"/>
        </w:numPr>
        <w:tabs>
          <w:tab w:val="clear" w:pos="567"/>
        </w:tabs>
        <w:spacing w:line="240" w:lineRule="auto"/>
        <w:rPr>
          <w:szCs w:val="22"/>
        </w:rPr>
      </w:pPr>
    </w:p>
    <w:p w14:paraId="74364A39" w14:textId="77777777" w:rsidR="001005D2" w:rsidRPr="004B0DDF" w:rsidRDefault="004D6453" w:rsidP="009C76A6">
      <w:pPr>
        <w:numPr>
          <w:ilvl w:val="12"/>
          <w:numId w:val="0"/>
        </w:numPr>
        <w:tabs>
          <w:tab w:val="clear" w:pos="567"/>
        </w:tabs>
        <w:spacing w:line="240" w:lineRule="auto"/>
        <w:ind w:right="-2"/>
        <w:rPr>
          <w:szCs w:val="22"/>
        </w:rPr>
      </w:pPr>
      <w:r w:rsidRPr="004B0DDF">
        <w:t>Lek ten może także obniżać zawartość żelaza we krwi i lekarz może zalecić przyjmowanie suplementów żelaza (pa</w:t>
      </w:r>
      <w:r w:rsidRPr="004B0DDF">
        <w:t>trz punkt „Lek Cuprior a inne leki” poniżej).</w:t>
      </w:r>
    </w:p>
    <w:p w14:paraId="74364A3A" w14:textId="77777777" w:rsidR="001005D2" w:rsidRPr="004B0DDF" w:rsidRDefault="001005D2" w:rsidP="009C76A6">
      <w:pPr>
        <w:numPr>
          <w:ilvl w:val="12"/>
          <w:numId w:val="0"/>
        </w:numPr>
        <w:tabs>
          <w:tab w:val="clear" w:pos="567"/>
        </w:tabs>
        <w:spacing w:line="240" w:lineRule="auto"/>
        <w:ind w:right="-2"/>
        <w:rPr>
          <w:szCs w:val="22"/>
        </w:rPr>
      </w:pPr>
    </w:p>
    <w:p w14:paraId="74364A3B" w14:textId="77777777" w:rsidR="001005D2" w:rsidRPr="004B0DDF" w:rsidRDefault="004D6453" w:rsidP="009C76A6">
      <w:pPr>
        <w:numPr>
          <w:ilvl w:val="12"/>
          <w:numId w:val="0"/>
        </w:numPr>
        <w:tabs>
          <w:tab w:val="clear" w:pos="567"/>
        </w:tabs>
        <w:spacing w:line="240" w:lineRule="auto"/>
        <w:ind w:right="-2"/>
        <w:rPr>
          <w:szCs w:val="22"/>
        </w:rPr>
      </w:pPr>
      <w:r w:rsidRPr="004B0DDF">
        <w:t>W przypadku zaburzeń nerek lekarz będzie regularnie kontrolował, czy dawka leku jest odpowiednia i czy nie wpływa na działanie nerek.</w:t>
      </w:r>
    </w:p>
    <w:p w14:paraId="74364A3C" w14:textId="77777777" w:rsidR="001005D2" w:rsidRPr="004B0DDF" w:rsidRDefault="001005D2" w:rsidP="009C76A6">
      <w:pPr>
        <w:numPr>
          <w:ilvl w:val="12"/>
          <w:numId w:val="0"/>
        </w:numPr>
        <w:tabs>
          <w:tab w:val="clear" w:pos="567"/>
        </w:tabs>
        <w:spacing w:line="240" w:lineRule="auto"/>
        <w:ind w:right="-2"/>
        <w:rPr>
          <w:szCs w:val="22"/>
        </w:rPr>
      </w:pPr>
    </w:p>
    <w:p w14:paraId="74364A3D" w14:textId="77777777" w:rsidR="001005D2" w:rsidRPr="004B0DDF" w:rsidRDefault="004D6453" w:rsidP="009C76A6">
      <w:pPr>
        <w:numPr>
          <w:ilvl w:val="12"/>
          <w:numId w:val="0"/>
        </w:numPr>
        <w:tabs>
          <w:tab w:val="clear" w:pos="567"/>
        </w:tabs>
        <w:spacing w:line="240" w:lineRule="auto"/>
        <w:ind w:right="-2"/>
        <w:rPr>
          <w:szCs w:val="22"/>
        </w:rPr>
      </w:pPr>
      <w:r w:rsidRPr="004B0DDF">
        <w:t xml:space="preserve">Nie jest zalecane łączenie trientyny z lekami zawierającymi cynk. </w:t>
      </w:r>
    </w:p>
    <w:p w14:paraId="74364A3E" w14:textId="77777777" w:rsidR="001005D2" w:rsidRPr="004B0DDF" w:rsidRDefault="001005D2" w:rsidP="009C76A6">
      <w:pPr>
        <w:numPr>
          <w:ilvl w:val="12"/>
          <w:numId w:val="0"/>
        </w:numPr>
        <w:tabs>
          <w:tab w:val="clear" w:pos="567"/>
        </w:tabs>
        <w:spacing w:line="240" w:lineRule="auto"/>
        <w:ind w:right="-2"/>
        <w:rPr>
          <w:szCs w:val="22"/>
        </w:rPr>
      </w:pPr>
    </w:p>
    <w:p w14:paraId="74364A3F" w14:textId="77777777" w:rsidR="001005D2" w:rsidRPr="004B0DDF" w:rsidRDefault="004D6453" w:rsidP="009C76A6">
      <w:pPr>
        <w:tabs>
          <w:tab w:val="clear" w:pos="567"/>
        </w:tabs>
        <w:autoSpaceDE w:val="0"/>
        <w:autoSpaceDN w:val="0"/>
        <w:adjustRightInd w:val="0"/>
        <w:spacing w:line="240" w:lineRule="auto"/>
        <w:rPr>
          <w:szCs w:val="22"/>
        </w:rPr>
      </w:pPr>
      <w:r w:rsidRPr="004B0DDF">
        <w:t>U niektórych pacjentów, którym zamieniono lek zawierający penicylaminę na lek zawierający trientynę, zgłaszano występowanie reakcji toczniopodobnych (ich objawy mogą obejmować utrzymującą się wysypkę, gorączkę, ból stawów i zmęczenie). Nie można jednak stw</w:t>
      </w:r>
      <w:r w:rsidRPr="004B0DDF">
        <w:t xml:space="preserve">ierdzić, czy ta reakcja była wywołana przez trientynę, czy przez wcześniejsze leczenie penicylaminą. </w:t>
      </w:r>
    </w:p>
    <w:p w14:paraId="74364A40" w14:textId="77777777" w:rsidR="001005D2" w:rsidRPr="004B0DDF" w:rsidRDefault="001005D2" w:rsidP="009C76A6">
      <w:pPr>
        <w:numPr>
          <w:ilvl w:val="12"/>
          <w:numId w:val="0"/>
        </w:numPr>
        <w:tabs>
          <w:tab w:val="clear" w:pos="567"/>
        </w:tabs>
        <w:spacing w:line="240" w:lineRule="auto"/>
        <w:ind w:right="-2"/>
        <w:rPr>
          <w:szCs w:val="22"/>
        </w:rPr>
      </w:pPr>
    </w:p>
    <w:p w14:paraId="74364A41" w14:textId="77777777" w:rsidR="001005D2" w:rsidRPr="004B0DDF" w:rsidRDefault="004D6453" w:rsidP="009C76A6">
      <w:pPr>
        <w:rPr>
          <w:b/>
          <w:bCs/>
          <w:szCs w:val="22"/>
        </w:rPr>
      </w:pPr>
      <w:r w:rsidRPr="004B0DDF">
        <w:rPr>
          <w:b/>
        </w:rPr>
        <w:t>Dzieci i młodzież</w:t>
      </w:r>
    </w:p>
    <w:p w14:paraId="74364A42" w14:textId="77777777" w:rsidR="001005D2" w:rsidRPr="004B0DDF" w:rsidRDefault="004D6453" w:rsidP="009C76A6">
      <w:pPr>
        <w:rPr>
          <w:szCs w:val="22"/>
        </w:rPr>
      </w:pPr>
      <w:r w:rsidRPr="004B0DDF">
        <w:t>Lekarz będzie częściej przeprowadzał kontrolę, aby zapewnić utrzymanie stężenia miedzi na właściwym poziomie dla prawidłowego wzrostu i</w:t>
      </w:r>
      <w:r w:rsidRPr="004B0DDF">
        <w:t xml:space="preserve"> rozwoju umysłowego. </w:t>
      </w:r>
    </w:p>
    <w:p w14:paraId="74364A43" w14:textId="77777777" w:rsidR="001005D2" w:rsidRPr="004B0DDF" w:rsidRDefault="004D6453" w:rsidP="009C76A6">
      <w:pPr>
        <w:rPr>
          <w:szCs w:val="22"/>
        </w:rPr>
      </w:pPr>
      <w:r w:rsidRPr="004B0DDF">
        <w:t>Nie zaleca się stosowania leku u dzieci w wieku poniżej 5 lat.</w:t>
      </w:r>
    </w:p>
    <w:p w14:paraId="74364A44" w14:textId="77777777" w:rsidR="001005D2" w:rsidRPr="004B0DDF" w:rsidRDefault="001005D2" w:rsidP="009C76A6">
      <w:pPr>
        <w:rPr>
          <w:szCs w:val="22"/>
          <w:highlight w:val="yellow"/>
        </w:rPr>
      </w:pPr>
    </w:p>
    <w:p w14:paraId="74364A45" w14:textId="77777777" w:rsidR="001005D2" w:rsidRPr="004B0DDF" w:rsidRDefault="004D6453" w:rsidP="009C76A6">
      <w:pPr>
        <w:numPr>
          <w:ilvl w:val="12"/>
          <w:numId w:val="0"/>
        </w:numPr>
        <w:tabs>
          <w:tab w:val="clear" w:pos="567"/>
        </w:tabs>
        <w:spacing w:line="240" w:lineRule="auto"/>
        <w:ind w:right="-2"/>
        <w:rPr>
          <w:szCs w:val="22"/>
        </w:rPr>
      </w:pPr>
      <w:r w:rsidRPr="004B0DDF">
        <w:rPr>
          <w:b/>
        </w:rPr>
        <w:t>Cuprior a inne leki</w:t>
      </w:r>
    </w:p>
    <w:p w14:paraId="74364A46" w14:textId="77777777" w:rsidR="001005D2" w:rsidRPr="004B0DDF" w:rsidRDefault="004D6453" w:rsidP="009C76A6">
      <w:pPr>
        <w:numPr>
          <w:ilvl w:val="12"/>
          <w:numId w:val="0"/>
        </w:numPr>
        <w:tabs>
          <w:tab w:val="clear" w:pos="567"/>
        </w:tabs>
        <w:spacing w:line="240" w:lineRule="auto"/>
        <w:ind w:right="-2"/>
        <w:rPr>
          <w:szCs w:val="22"/>
        </w:rPr>
      </w:pPr>
      <w:r w:rsidRPr="004B0DDF">
        <w:t xml:space="preserve">Należy powiedzieć lekarzowi o wszystkich lekach przyjmowanych obecnie lub ostatnio, a także o lekach, które pacjent planuje przyjmować. </w:t>
      </w:r>
    </w:p>
    <w:p w14:paraId="74364A47" w14:textId="77777777" w:rsidR="001005D2" w:rsidRPr="004B0DDF" w:rsidRDefault="001005D2" w:rsidP="009C76A6">
      <w:pPr>
        <w:numPr>
          <w:ilvl w:val="12"/>
          <w:numId w:val="0"/>
        </w:numPr>
        <w:tabs>
          <w:tab w:val="clear" w:pos="567"/>
        </w:tabs>
        <w:spacing w:line="240" w:lineRule="auto"/>
        <w:ind w:right="-2"/>
        <w:rPr>
          <w:szCs w:val="22"/>
        </w:rPr>
      </w:pPr>
    </w:p>
    <w:p w14:paraId="74364A48" w14:textId="77777777" w:rsidR="001005D2" w:rsidRPr="004B0DDF" w:rsidRDefault="004D6453" w:rsidP="009C76A6">
      <w:pPr>
        <w:rPr>
          <w:szCs w:val="22"/>
        </w:rPr>
      </w:pPr>
      <w:r w:rsidRPr="004B0DDF">
        <w:t>Należy zwłas</w:t>
      </w:r>
      <w:r w:rsidRPr="004B0DDF">
        <w:t>zcza poinformować lekarza, jeżeli pacjent przyjmuje już preparaty uzupełniające żelazo (suplementy) lub leki przeciw niestrawności (leki zmniejszające dyskomfort po jedzeniu). Jeżeli pacjent przyjmuje te leki, może być konieczne przyjmowanie leku Cuprior o</w:t>
      </w:r>
      <w:r w:rsidRPr="004B0DDF">
        <w:t xml:space="preserve"> innej porze dnia, ponieważ w przeciwnym razie Cuprior może być mniej skuteczny. Jeżeli pacjent przyjmuje suplementy żelaza, należy zachować odstęp co najmniej dwóch godzin między przyjęciem leku Cuprior i suplementów żelaza.</w:t>
      </w:r>
    </w:p>
    <w:p w14:paraId="74364A49" w14:textId="77777777" w:rsidR="001005D2" w:rsidRPr="004B0DDF" w:rsidRDefault="001005D2" w:rsidP="009C76A6">
      <w:pPr>
        <w:rPr>
          <w:szCs w:val="22"/>
        </w:rPr>
      </w:pPr>
    </w:p>
    <w:p w14:paraId="74364A4A" w14:textId="77777777" w:rsidR="001005D2" w:rsidRPr="004B0DDF" w:rsidRDefault="004D6453" w:rsidP="009C76A6">
      <w:pPr>
        <w:numPr>
          <w:ilvl w:val="12"/>
          <w:numId w:val="0"/>
        </w:numPr>
        <w:tabs>
          <w:tab w:val="clear" w:pos="567"/>
        </w:tabs>
        <w:spacing w:line="240" w:lineRule="auto"/>
        <w:rPr>
          <w:b/>
          <w:szCs w:val="22"/>
        </w:rPr>
      </w:pPr>
      <w:r w:rsidRPr="004B0DDF">
        <w:rPr>
          <w:b/>
        </w:rPr>
        <w:t xml:space="preserve">Ciąża i karmienie piersią </w:t>
      </w:r>
    </w:p>
    <w:p w14:paraId="74364A4B" w14:textId="77777777" w:rsidR="001005D2" w:rsidRPr="004B0DDF" w:rsidRDefault="004D6453" w:rsidP="009C76A6">
      <w:pPr>
        <w:numPr>
          <w:ilvl w:val="12"/>
          <w:numId w:val="0"/>
        </w:numPr>
        <w:tabs>
          <w:tab w:val="clear" w:pos="567"/>
        </w:tabs>
        <w:spacing w:line="240" w:lineRule="auto"/>
        <w:rPr>
          <w:szCs w:val="22"/>
        </w:rPr>
      </w:pPr>
      <w:r w:rsidRPr="004B0DDF">
        <w:t>Je</w:t>
      </w:r>
      <w:r w:rsidRPr="004B0DDF">
        <w:t xml:space="preserve">śli pacjentka jest w ciąży lub karmi piersią, przypuszcza, że może być w ciąży, lub gdy planuje mieć dziecko, powinna poradzić się lekarza przed zastosowaniem tego leku. </w:t>
      </w:r>
    </w:p>
    <w:p w14:paraId="74364A4C" w14:textId="77777777" w:rsidR="001005D2" w:rsidRPr="004B0DDF" w:rsidRDefault="001005D2" w:rsidP="009C76A6">
      <w:pPr>
        <w:numPr>
          <w:ilvl w:val="12"/>
          <w:numId w:val="0"/>
        </w:numPr>
        <w:tabs>
          <w:tab w:val="clear" w:pos="567"/>
        </w:tabs>
        <w:spacing w:line="240" w:lineRule="auto"/>
        <w:rPr>
          <w:szCs w:val="22"/>
        </w:rPr>
      </w:pPr>
    </w:p>
    <w:p w14:paraId="74364A4D" w14:textId="77777777" w:rsidR="001005D2" w:rsidRPr="004B0DDF" w:rsidRDefault="004D6453" w:rsidP="009C76A6">
      <w:pPr>
        <w:numPr>
          <w:ilvl w:val="12"/>
          <w:numId w:val="0"/>
        </w:numPr>
        <w:tabs>
          <w:tab w:val="clear" w:pos="567"/>
        </w:tabs>
        <w:spacing w:line="240" w:lineRule="auto"/>
        <w:rPr>
          <w:szCs w:val="22"/>
        </w:rPr>
      </w:pPr>
      <w:r w:rsidRPr="004B0DDF">
        <w:t>Kontynuowanie leczenia jest bardzo ważne w celu obniżenia stężenia miedzi podczas ci</w:t>
      </w:r>
      <w:r w:rsidRPr="004B0DDF">
        <w:t>ąży. Pacjentka powinna omówić z lekarzem potencjalne korzyści z leczenia przy uwzględnieniu ewentualnego ryzyka. Lekarz doradzi, jakie leczenie i jaka dawka są najlepsze w danej sytuacji.</w:t>
      </w:r>
    </w:p>
    <w:p w14:paraId="74364A4E" w14:textId="77777777" w:rsidR="001005D2" w:rsidRPr="004B0DDF" w:rsidRDefault="001005D2" w:rsidP="009C76A6">
      <w:pPr>
        <w:numPr>
          <w:ilvl w:val="12"/>
          <w:numId w:val="0"/>
        </w:numPr>
        <w:tabs>
          <w:tab w:val="clear" w:pos="567"/>
        </w:tabs>
        <w:spacing w:line="240" w:lineRule="auto"/>
        <w:rPr>
          <w:szCs w:val="22"/>
        </w:rPr>
      </w:pPr>
    </w:p>
    <w:p w14:paraId="74364A4F" w14:textId="77777777" w:rsidR="001005D2" w:rsidRPr="004B0DDF" w:rsidRDefault="004D6453" w:rsidP="009C76A6">
      <w:pPr>
        <w:rPr>
          <w:szCs w:val="22"/>
        </w:rPr>
      </w:pPr>
      <w:r w:rsidRPr="004B0DDF">
        <w:t>Kobiety w ciąży przyjmujące lek Cuprior będą poddawane obserwacji p</w:t>
      </w:r>
      <w:r w:rsidRPr="004B0DDF">
        <w:t xml:space="preserve">rzez cały okres ciąży pod względem wpływu na dziecko lub zmian stężenia miedzi. Po urodzeniu dziecka badane będzie także stężenie miedzi we krwi dziecka. </w:t>
      </w:r>
    </w:p>
    <w:p w14:paraId="74364A50" w14:textId="77777777" w:rsidR="001005D2" w:rsidRPr="004B0DDF" w:rsidRDefault="001005D2" w:rsidP="009C76A6">
      <w:pPr>
        <w:rPr>
          <w:szCs w:val="22"/>
        </w:rPr>
      </w:pPr>
    </w:p>
    <w:p w14:paraId="74364A51" w14:textId="77777777" w:rsidR="001005D2" w:rsidRPr="004B0DDF" w:rsidRDefault="004D6453" w:rsidP="009C76A6">
      <w:pPr>
        <w:rPr>
          <w:szCs w:val="22"/>
        </w:rPr>
      </w:pPr>
      <w:r w:rsidRPr="004B0DDF">
        <w:t>Nie wiadomo, czy Cuprior może przenikać do mleka kobiecego. Należy poinformować lekarza, jeżeli pacj</w:t>
      </w:r>
      <w:r w:rsidRPr="004B0DDF">
        <w:t>entka karmi piersią lub planuje karmić piersią. Lekarz pomoże podjąć decyzję, czy przerwać karmienie piersią, czy odstawić Cuprior, z uwzględnieniem korzyści z karmienia piersią dla dziecka i korzyści ze stosowania leku Cuprior dla matki. Lekarz zadecyduje</w:t>
      </w:r>
      <w:r w:rsidRPr="004B0DDF">
        <w:t>, jakie leczenie i jaka dawka są najlepsze w danej sytuacji.</w:t>
      </w:r>
    </w:p>
    <w:p w14:paraId="74364A52" w14:textId="77777777" w:rsidR="001005D2" w:rsidRPr="004B0DDF" w:rsidRDefault="001005D2" w:rsidP="009C76A6">
      <w:pPr>
        <w:numPr>
          <w:ilvl w:val="12"/>
          <w:numId w:val="0"/>
        </w:numPr>
        <w:tabs>
          <w:tab w:val="clear" w:pos="567"/>
        </w:tabs>
        <w:spacing w:line="240" w:lineRule="auto"/>
        <w:rPr>
          <w:szCs w:val="22"/>
        </w:rPr>
      </w:pPr>
    </w:p>
    <w:p w14:paraId="74364A53" w14:textId="77777777" w:rsidR="001005D2" w:rsidRPr="004B0DDF" w:rsidRDefault="004D6453" w:rsidP="009C76A6">
      <w:pPr>
        <w:keepNext/>
        <w:numPr>
          <w:ilvl w:val="12"/>
          <w:numId w:val="0"/>
        </w:numPr>
        <w:tabs>
          <w:tab w:val="clear" w:pos="567"/>
        </w:tabs>
        <w:spacing w:line="240" w:lineRule="auto"/>
        <w:rPr>
          <w:b/>
          <w:szCs w:val="22"/>
        </w:rPr>
      </w:pPr>
      <w:r w:rsidRPr="004B0DDF">
        <w:rPr>
          <w:b/>
        </w:rPr>
        <w:lastRenderedPageBreak/>
        <w:t>Prowadzenie pojazdów i obsługiwanie maszyn</w:t>
      </w:r>
    </w:p>
    <w:p w14:paraId="74364A54" w14:textId="77777777" w:rsidR="001005D2" w:rsidRPr="004B0DDF" w:rsidRDefault="004D6453" w:rsidP="009C76A6">
      <w:pPr>
        <w:numPr>
          <w:ilvl w:val="12"/>
          <w:numId w:val="0"/>
        </w:numPr>
        <w:tabs>
          <w:tab w:val="clear" w:pos="567"/>
        </w:tabs>
        <w:spacing w:line="240" w:lineRule="auto"/>
        <w:ind w:right="-2"/>
        <w:rPr>
          <w:szCs w:val="22"/>
        </w:rPr>
      </w:pPr>
      <w:r w:rsidRPr="004B0DDF">
        <w:t>Jest mało prawdopodobne, aby Cuprior wpływał na zdolność prowadzenia pojazdów i obsługiwania narzędzi lub maszyn.</w:t>
      </w:r>
    </w:p>
    <w:p w14:paraId="74364A55" w14:textId="77777777" w:rsidR="001005D2" w:rsidRPr="004B0DDF" w:rsidRDefault="001005D2" w:rsidP="009C76A6">
      <w:pPr>
        <w:numPr>
          <w:ilvl w:val="12"/>
          <w:numId w:val="0"/>
        </w:numPr>
        <w:tabs>
          <w:tab w:val="clear" w:pos="567"/>
        </w:tabs>
        <w:spacing w:line="240" w:lineRule="auto"/>
        <w:ind w:right="-2"/>
        <w:rPr>
          <w:szCs w:val="22"/>
        </w:rPr>
      </w:pPr>
    </w:p>
    <w:p w14:paraId="74364A56" w14:textId="77777777" w:rsidR="001005D2" w:rsidRPr="004B0DDF" w:rsidRDefault="001005D2" w:rsidP="009C76A6">
      <w:pPr>
        <w:numPr>
          <w:ilvl w:val="12"/>
          <w:numId w:val="0"/>
        </w:numPr>
        <w:tabs>
          <w:tab w:val="clear" w:pos="567"/>
        </w:tabs>
        <w:spacing w:line="240" w:lineRule="auto"/>
        <w:ind w:right="-2"/>
        <w:rPr>
          <w:szCs w:val="22"/>
        </w:rPr>
      </w:pPr>
    </w:p>
    <w:p w14:paraId="74364A57" w14:textId="77777777" w:rsidR="001005D2" w:rsidRPr="004B0DDF" w:rsidRDefault="004D6453" w:rsidP="009C76A6">
      <w:pPr>
        <w:pStyle w:val="ListParagraph"/>
        <w:numPr>
          <w:ilvl w:val="0"/>
          <w:numId w:val="33"/>
        </w:numPr>
        <w:tabs>
          <w:tab w:val="clear" w:pos="567"/>
        </w:tabs>
        <w:spacing w:line="240" w:lineRule="auto"/>
        <w:ind w:left="720"/>
        <w:outlineLvl w:val="0"/>
        <w:rPr>
          <w:b/>
          <w:szCs w:val="22"/>
        </w:rPr>
      </w:pPr>
      <w:r w:rsidRPr="004B0DDF">
        <w:rPr>
          <w:b/>
        </w:rPr>
        <w:t>Jak przyjmować Cuprior</w:t>
      </w:r>
    </w:p>
    <w:p w14:paraId="74364A58" w14:textId="77777777" w:rsidR="001005D2" w:rsidRPr="004B0DDF" w:rsidRDefault="001005D2" w:rsidP="009C76A6">
      <w:pPr>
        <w:numPr>
          <w:ilvl w:val="12"/>
          <w:numId w:val="0"/>
        </w:numPr>
        <w:tabs>
          <w:tab w:val="clear" w:pos="567"/>
        </w:tabs>
        <w:spacing w:line="240" w:lineRule="auto"/>
        <w:ind w:right="-2"/>
        <w:rPr>
          <w:szCs w:val="22"/>
        </w:rPr>
      </w:pPr>
    </w:p>
    <w:p w14:paraId="74364A59" w14:textId="77777777" w:rsidR="001005D2" w:rsidRPr="004B0DDF" w:rsidRDefault="004D6453" w:rsidP="009C76A6">
      <w:pPr>
        <w:numPr>
          <w:ilvl w:val="12"/>
          <w:numId w:val="0"/>
        </w:numPr>
        <w:tabs>
          <w:tab w:val="clear" w:pos="567"/>
        </w:tabs>
        <w:spacing w:line="240" w:lineRule="auto"/>
        <w:ind w:right="-2"/>
        <w:rPr>
          <w:szCs w:val="22"/>
        </w:rPr>
      </w:pPr>
      <w:r w:rsidRPr="004B0DDF">
        <w:t xml:space="preserve">Ten lek należy zawsze przyjmować zgodnie z zaleceniami lekarza lub farmaceuty. W razie wątpliwości należy zwrócić się do lekarza lub farmaceuty. </w:t>
      </w:r>
    </w:p>
    <w:p w14:paraId="74364A5A" w14:textId="77777777" w:rsidR="001005D2" w:rsidRPr="004B0DDF" w:rsidRDefault="001005D2" w:rsidP="009C76A6">
      <w:pPr>
        <w:numPr>
          <w:ilvl w:val="12"/>
          <w:numId w:val="0"/>
        </w:numPr>
        <w:tabs>
          <w:tab w:val="clear" w:pos="567"/>
        </w:tabs>
        <w:spacing w:line="240" w:lineRule="auto"/>
        <w:ind w:right="-2"/>
        <w:rPr>
          <w:szCs w:val="22"/>
        </w:rPr>
      </w:pPr>
    </w:p>
    <w:p w14:paraId="74364A5B" w14:textId="77777777" w:rsidR="001005D2" w:rsidRPr="004B0DDF" w:rsidRDefault="004D6453" w:rsidP="009C76A6">
      <w:pPr>
        <w:numPr>
          <w:ilvl w:val="12"/>
          <w:numId w:val="0"/>
        </w:numPr>
        <w:tabs>
          <w:tab w:val="clear" w:pos="567"/>
        </w:tabs>
        <w:spacing w:line="240" w:lineRule="auto"/>
        <w:ind w:right="-2"/>
        <w:rPr>
          <w:szCs w:val="22"/>
        </w:rPr>
      </w:pPr>
      <w:r w:rsidRPr="004B0DDF">
        <w:t>U osób dorosłych w każdym wieku zalecana całkowita dawka dobowa wynosi od 3 do 6½ tabletki na dobę (co daje ł</w:t>
      </w:r>
      <w:r w:rsidRPr="004B0DDF">
        <w:t>ącznie 450 do 975 mg). Ta dawka dobowa zostanie podzielona na 2 do 4 mniejszych dawek przyjmowanych w ciągu doby. Lekarz poinformuje, po ile tabletek oraz ile razy na dobę pacjent powinien przyjmować. W razie potrzeby tabletki można dzielić na pół.</w:t>
      </w:r>
    </w:p>
    <w:p w14:paraId="74364A5C" w14:textId="77777777" w:rsidR="001005D2" w:rsidRPr="004B0DDF" w:rsidRDefault="001005D2" w:rsidP="009C76A6">
      <w:pPr>
        <w:rPr>
          <w:szCs w:val="22"/>
        </w:rPr>
      </w:pPr>
    </w:p>
    <w:p w14:paraId="74364A5D" w14:textId="77777777" w:rsidR="001005D2" w:rsidRPr="004B0DDF" w:rsidRDefault="004D6453" w:rsidP="009C76A6">
      <w:pPr>
        <w:keepNext/>
        <w:autoSpaceDE w:val="0"/>
        <w:autoSpaceDN w:val="0"/>
        <w:adjustRightInd w:val="0"/>
        <w:spacing w:line="240" w:lineRule="auto"/>
        <w:rPr>
          <w:b/>
          <w:bCs/>
          <w:szCs w:val="22"/>
        </w:rPr>
      </w:pPr>
      <w:r w:rsidRPr="004B0DDF">
        <w:rPr>
          <w:b/>
        </w:rPr>
        <w:t>Stosow</w:t>
      </w:r>
      <w:r w:rsidRPr="004B0DDF">
        <w:rPr>
          <w:b/>
        </w:rPr>
        <w:t>anie u dzieci i młodzieży</w:t>
      </w:r>
    </w:p>
    <w:p w14:paraId="74364A5E" w14:textId="77777777" w:rsidR="001005D2" w:rsidRPr="004B0DDF" w:rsidRDefault="004D6453" w:rsidP="009C76A6">
      <w:pPr>
        <w:rPr>
          <w:szCs w:val="22"/>
        </w:rPr>
      </w:pPr>
      <w:r w:rsidRPr="004B0DDF">
        <w:t xml:space="preserve">Przyjmowana dawka jest na ogół niższa niż dla osób dorosłych i zależy od wieku oraz masy ciała. </w:t>
      </w:r>
    </w:p>
    <w:p w14:paraId="74364A5F" w14:textId="77777777" w:rsidR="001005D2" w:rsidRPr="004B0DDF" w:rsidRDefault="004D6453" w:rsidP="009C76A6">
      <w:pPr>
        <w:numPr>
          <w:ilvl w:val="12"/>
          <w:numId w:val="0"/>
        </w:numPr>
        <w:tabs>
          <w:tab w:val="clear" w:pos="567"/>
        </w:tabs>
        <w:spacing w:line="240" w:lineRule="auto"/>
        <w:ind w:right="-2"/>
        <w:rPr>
          <w:szCs w:val="22"/>
        </w:rPr>
      </w:pPr>
      <w:r w:rsidRPr="004B0DDF">
        <w:t>Typowa całkowita dawka dobowa wynosi od 225 do 600 mg (1½ do 4 tabletek na dobę). Ta dawka dobowa zostanie podzielona na 2 do 4 mniej</w:t>
      </w:r>
      <w:r w:rsidRPr="004B0DDF">
        <w:t>szych dawek przyjmowanych w ciągu doby. Lekarz poinformuje, po ile tabletek pacjent powinien przyjmować oraz ile razy na dobę.</w:t>
      </w:r>
    </w:p>
    <w:p w14:paraId="74364A60" w14:textId="77777777" w:rsidR="001005D2" w:rsidRPr="004B0DDF" w:rsidRDefault="001005D2" w:rsidP="009C76A6">
      <w:pPr>
        <w:numPr>
          <w:ilvl w:val="12"/>
          <w:numId w:val="0"/>
        </w:numPr>
        <w:tabs>
          <w:tab w:val="clear" w:pos="567"/>
        </w:tabs>
        <w:spacing w:line="240" w:lineRule="auto"/>
        <w:ind w:right="-2"/>
        <w:rPr>
          <w:szCs w:val="22"/>
        </w:rPr>
      </w:pPr>
    </w:p>
    <w:p w14:paraId="74364A61" w14:textId="77777777" w:rsidR="001005D2" w:rsidRPr="004B0DDF" w:rsidRDefault="004D6453" w:rsidP="009C76A6">
      <w:pPr>
        <w:rPr>
          <w:szCs w:val="22"/>
        </w:rPr>
      </w:pPr>
      <w:r w:rsidRPr="004B0DDF">
        <w:t>Po rozpoczęciu leczenia lekarz może dostosować dawkę zależnie od reakcji na leczenie.</w:t>
      </w:r>
    </w:p>
    <w:p w14:paraId="74364A62" w14:textId="77777777" w:rsidR="001005D2" w:rsidRPr="004B0DDF" w:rsidRDefault="001005D2" w:rsidP="009C76A6">
      <w:pPr>
        <w:rPr>
          <w:szCs w:val="22"/>
        </w:rPr>
      </w:pPr>
    </w:p>
    <w:p w14:paraId="74364A63" w14:textId="77777777" w:rsidR="001005D2" w:rsidRPr="004B0DDF" w:rsidRDefault="004D6453" w:rsidP="009C76A6">
      <w:pPr>
        <w:rPr>
          <w:szCs w:val="22"/>
        </w:rPr>
      </w:pPr>
      <w:r w:rsidRPr="004B0DDF">
        <w:t xml:space="preserve">Tabletki należy połykać, popijając wodą, </w:t>
      </w:r>
      <w:r w:rsidRPr="004B0DDF">
        <w:t>na pusty żołądek, co najmniej godzinę przed posiłkiem lub dwie godziny po posiłku oraz w odstępie co najmniej godziny od innych leków, pokarmów lub mleka.</w:t>
      </w:r>
    </w:p>
    <w:p w14:paraId="74364A64" w14:textId="77777777" w:rsidR="001005D2" w:rsidRPr="004B0DDF" w:rsidRDefault="001005D2" w:rsidP="009C76A6">
      <w:pPr>
        <w:rPr>
          <w:szCs w:val="22"/>
        </w:rPr>
      </w:pPr>
    </w:p>
    <w:p w14:paraId="74364A65" w14:textId="77777777" w:rsidR="001005D2" w:rsidRPr="004B0DDF" w:rsidRDefault="004D6453" w:rsidP="009C76A6">
      <w:pPr>
        <w:rPr>
          <w:szCs w:val="22"/>
        </w:rPr>
      </w:pPr>
      <w:r w:rsidRPr="004B0DDF">
        <w:t>Jeżeli pacjent przyjmuje suplementy żelaza, należy zachować odstęp co najmniej dwóch godzin po przyj</w:t>
      </w:r>
      <w:r w:rsidRPr="004B0DDF">
        <w:t>ęciu dawki leku Cuprior.</w:t>
      </w:r>
    </w:p>
    <w:p w14:paraId="74364A66" w14:textId="77777777" w:rsidR="001005D2" w:rsidRPr="004B0DDF" w:rsidRDefault="001005D2" w:rsidP="009C76A6">
      <w:pPr>
        <w:numPr>
          <w:ilvl w:val="12"/>
          <w:numId w:val="0"/>
        </w:numPr>
        <w:tabs>
          <w:tab w:val="clear" w:pos="567"/>
        </w:tabs>
        <w:spacing w:line="240" w:lineRule="auto"/>
        <w:ind w:right="-2"/>
        <w:rPr>
          <w:szCs w:val="22"/>
        </w:rPr>
      </w:pPr>
    </w:p>
    <w:p w14:paraId="74364A67" w14:textId="77777777" w:rsidR="001005D2" w:rsidRPr="004B0DDF" w:rsidRDefault="004D6453" w:rsidP="009C76A6">
      <w:pPr>
        <w:rPr>
          <w:b/>
          <w:szCs w:val="22"/>
        </w:rPr>
      </w:pPr>
      <w:r w:rsidRPr="004B0DDF">
        <w:rPr>
          <w:b/>
        </w:rPr>
        <w:t>Przyjęcie większej niż zalecana dawki leku Cuprior</w:t>
      </w:r>
    </w:p>
    <w:p w14:paraId="74364A68" w14:textId="77777777" w:rsidR="001005D2" w:rsidRPr="004B0DDF" w:rsidRDefault="004D6453" w:rsidP="009C76A6">
      <w:pPr>
        <w:rPr>
          <w:szCs w:val="22"/>
        </w:rPr>
      </w:pPr>
      <w:r w:rsidRPr="004B0DDF">
        <w:t>Cuprior należy przyjmować wyłącznie zgodnie z zaleceniami lekarza. Jeżeli pacjent uważa, że mógł przyjąć większą od zalecanej ilość tabletek leku Cuprior, powinien skontaktować si</w:t>
      </w:r>
      <w:r w:rsidRPr="004B0DDF">
        <w:t>ę z lekarzem lub farmaceutą.</w:t>
      </w:r>
    </w:p>
    <w:p w14:paraId="74364A69" w14:textId="77777777" w:rsidR="001005D2" w:rsidRPr="004B0DDF" w:rsidRDefault="001005D2" w:rsidP="009C76A6">
      <w:pPr>
        <w:rPr>
          <w:szCs w:val="22"/>
        </w:rPr>
      </w:pPr>
    </w:p>
    <w:p w14:paraId="74364A6A" w14:textId="77777777" w:rsidR="001005D2" w:rsidRPr="004B0DDF" w:rsidRDefault="004D6453" w:rsidP="009C76A6">
      <w:pPr>
        <w:rPr>
          <w:b/>
          <w:szCs w:val="22"/>
        </w:rPr>
      </w:pPr>
      <w:r w:rsidRPr="004B0DDF">
        <w:rPr>
          <w:b/>
        </w:rPr>
        <w:t>Pominięcie przyjęcia leku Cuprior</w:t>
      </w:r>
    </w:p>
    <w:p w14:paraId="74364A6B" w14:textId="77777777" w:rsidR="001005D2" w:rsidRPr="004B0DDF" w:rsidRDefault="004D6453" w:rsidP="009C76A6">
      <w:pPr>
        <w:numPr>
          <w:ilvl w:val="12"/>
          <w:numId w:val="0"/>
        </w:numPr>
        <w:tabs>
          <w:tab w:val="clear" w:pos="567"/>
        </w:tabs>
        <w:spacing w:line="240" w:lineRule="auto"/>
        <w:ind w:right="-2"/>
        <w:rPr>
          <w:szCs w:val="22"/>
        </w:rPr>
      </w:pPr>
      <w:r w:rsidRPr="004B0DDF">
        <w:t>Nie należy stosować dawki podwójnej w celu uzupełnienia pominiętej dawki. Należy po prostu przyjąć kolejną dawkę o zaplanowanej porze.</w:t>
      </w:r>
    </w:p>
    <w:p w14:paraId="74364A6C" w14:textId="77777777" w:rsidR="001005D2" w:rsidRPr="004B0DDF" w:rsidRDefault="001005D2" w:rsidP="009C76A6">
      <w:pPr>
        <w:numPr>
          <w:ilvl w:val="12"/>
          <w:numId w:val="0"/>
        </w:numPr>
        <w:tabs>
          <w:tab w:val="clear" w:pos="567"/>
        </w:tabs>
        <w:spacing w:line="240" w:lineRule="auto"/>
        <w:ind w:right="-29"/>
        <w:rPr>
          <w:szCs w:val="22"/>
        </w:rPr>
      </w:pPr>
    </w:p>
    <w:p w14:paraId="74364A6D" w14:textId="77777777" w:rsidR="001005D2" w:rsidRPr="004B0DDF" w:rsidRDefault="004D6453" w:rsidP="009C76A6">
      <w:pPr>
        <w:numPr>
          <w:ilvl w:val="12"/>
          <w:numId w:val="0"/>
        </w:numPr>
        <w:tabs>
          <w:tab w:val="clear" w:pos="567"/>
        </w:tabs>
        <w:spacing w:line="240" w:lineRule="auto"/>
        <w:ind w:right="-2"/>
        <w:rPr>
          <w:szCs w:val="22"/>
        </w:rPr>
      </w:pPr>
      <w:r w:rsidRPr="004B0DDF">
        <w:t xml:space="preserve">W razie jakichkolwiek dalszych wątpliwości </w:t>
      </w:r>
      <w:r w:rsidRPr="004B0DDF">
        <w:t>związanych ze stosowaniem tego leku należy zwrócić się do lekarza lub farmaceuty.</w:t>
      </w:r>
    </w:p>
    <w:p w14:paraId="74364A6E" w14:textId="77777777" w:rsidR="001005D2" w:rsidRPr="004B0DDF" w:rsidRDefault="001005D2" w:rsidP="009C76A6">
      <w:pPr>
        <w:numPr>
          <w:ilvl w:val="12"/>
          <w:numId w:val="0"/>
        </w:numPr>
        <w:tabs>
          <w:tab w:val="clear" w:pos="567"/>
        </w:tabs>
        <w:spacing w:line="240" w:lineRule="auto"/>
        <w:ind w:right="-2"/>
        <w:rPr>
          <w:szCs w:val="22"/>
        </w:rPr>
      </w:pPr>
    </w:p>
    <w:p w14:paraId="74364A6F" w14:textId="77777777" w:rsidR="001005D2" w:rsidRPr="004B0DDF" w:rsidRDefault="004D6453" w:rsidP="009C76A6">
      <w:pPr>
        <w:rPr>
          <w:b/>
          <w:szCs w:val="22"/>
        </w:rPr>
      </w:pPr>
      <w:r w:rsidRPr="004B0DDF">
        <w:rPr>
          <w:b/>
        </w:rPr>
        <w:t>Przerwanie przyjmowania leku Cuprior</w:t>
      </w:r>
    </w:p>
    <w:p w14:paraId="74364A70" w14:textId="77777777" w:rsidR="001005D2" w:rsidRPr="004B0DDF" w:rsidRDefault="004D6453" w:rsidP="009C76A6">
      <w:pPr>
        <w:numPr>
          <w:ilvl w:val="12"/>
          <w:numId w:val="0"/>
        </w:numPr>
        <w:tabs>
          <w:tab w:val="clear" w:pos="567"/>
        </w:tabs>
        <w:spacing w:line="240" w:lineRule="auto"/>
        <w:ind w:right="-29"/>
        <w:rPr>
          <w:szCs w:val="22"/>
        </w:rPr>
      </w:pPr>
      <w:r w:rsidRPr="004B0DDF">
        <w:t xml:space="preserve">Lek jest przeznaczony do długotrwałego stosowania. Nie należy przerywać leczenia bez zalecenia lekarza, nawet jeżeli pacjent czuje </w:t>
      </w:r>
      <w:r w:rsidRPr="004B0DDF">
        <w:t>się lepiej, ponieważ choroba Wilsona jest chorobą trwającą całe życie.</w:t>
      </w:r>
    </w:p>
    <w:p w14:paraId="74364A71" w14:textId="77777777" w:rsidR="001005D2" w:rsidRPr="004B0DDF" w:rsidRDefault="001005D2" w:rsidP="009C76A6">
      <w:pPr>
        <w:numPr>
          <w:ilvl w:val="12"/>
          <w:numId w:val="0"/>
        </w:numPr>
        <w:tabs>
          <w:tab w:val="clear" w:pos="567"/>
        </w:tabs>
        <w:spacing w:line="240" w:lineRule="auto"/>
        <w:ind w:right="-29"/>
        <w:rPr>
          <w:szCs w:val="22"/>
          <w:highlight w:val="yellow"/>
        </w:rPr>
      </w:pPr>
    </w:p>
    <w:p w14:paraId="74364A72" w14:textId="77777777" w:rsidR="001005D2" w:rsidRPr="004B0DDF" w:rsidRDefault="004D6453" w:rsidP="009C76A6">
      <w:pPr>
        <w:numPr>
          <w:ilvl w:val="12"/>
          <w:numId w:val="0"/>
        </w:numPr>
        <w:tabs>
          <w:tab w:val="clear" w:pos="567"/>
        </w:tabs>
        <w:spacing w:line="240" w:lineRule="auto"/>
        <w:ind w:right="-29"/>
        <w:rPr>
          <w:szCs w:val="22"/>
        </w:rPr>
      </w:pPr>
      <w:r w:rsidRPr="004B0DDF">
        <w:t>W razie jakichkolwiek dalszych wątpliwości związanych ze stosowaniem tego leku należy zwrócić się do lekarza lub farmaceuty.</w:t>
      </w:r>
    </w:p>
    <w:p w14:paraId="74364A73" w14:textId="77777777" w:rsidR="001005D2" w:rsidRPr="004B0DDF" w:rsidRDefault="001005D2" w:rsidP="009C76A6">
      <w:pPr>
        <w:numPr>
          <w:ilvl w:val="12"/>
          <w:numId w:val="0"/>
        </w:numPr>
        <w:tabs>
          <w:tab w:val="clear" w:pos="567"/>
        </w:tabs>
        <w:spacing w:line="240" w:lineRule="auto"/>
        <w:rPr>
          <w:szCs w:val="22"/>
        </w:rPr>
      </w:pPr>
    </w:p>
    <w:p w14:paraId="74364A74" w14:textId="77777777" w:rsidR="001005D2" w:rsidRPr="004B0DDF" w:rsidRDefault="001005D2" w:rsidP="009C76A6">
      <w:pPr>
        <w:numPr>
          <w:ilvl w:val="12"/>
          <w:numId w:val="0"/>
        </w:numPr>
        <w:tabs>
          <w:tab w:val="clear" w:pos="567"/>
        </w:tabs>
        <w:spacing w:line="240" w:lineRule="auto"/>
        <w:rPr>
          <w:szCs w:val="22"/>
        </w:rPr>
      </w:pPr>
    </w:p>
    <w:p w14:paraId="74364A75" w14:textId="77777777" w:rsidR="001005D2" w:rsidRPr="004B0DDF" w:rsidRDefault="004D6453" w:rsidP="009C76A6">
      <w:pPr>
        <w:pStyle w:val="ListParagraph"/>
        <w:numPr>
          <w:ilvl w:val="0"/>
          <w:numId w:val="33"/>
        </w:numPr>
        <w:tabs>
          <w:tab w:val="clear" w:pos="567"/>
        </w:tabs>
        <w:spacing w:line="240" w:lineRule="auto"/>
        <w:ind w:left="720"/>
        <w:outlineLvl w:val="0"/>
        <w:rPr>
          <w:b/>
          <w:szCs w:val="22"/>
        </w:rPr>
      </w:pPr>
      <w:r w:rsidRPr="004B0DDF">
        <w:rPr>
          <w:b/>
        </w:rPr>
        <w:t>Możliwe działania niepożądane</w:t>
      </w:r>
    </w:p>
    <w:p w14:paraId="74364A76" w14:textId="77777777" w:rsidR="001005D2" w:rsidRPr="004B0DDF" w:rsidRDefault="001005D2" w:rsidP="009C76A6">
      <w:pPr>
        <w:numPr>
          <w:ilvl w:val="12"/>
          <w:numId w:val="0"/>
        </w:numPr>
        <w:tabs>
          <w:tab w:val="clear" w:pos="567"/>
        </w:tabs>
        <w:spacing w:line="240" w:lineRule="auto"/>
        <w:rPr>
          <w:szCs w:val="22"/>
        </w:rPr>
      </w:pPr>
    </w:p>
    <w:p w14:paraId="74364A77" w14:textId="77777777" w:rsidR="001005D2" w:rsidRPr="004B0DDF" w:rsidRDefault="004D6453" w:rsidP="009C76A6">
      <w:pPr>
        <w:numPr>
          <w:ilvl w:val="12"/>
          <w:numId w:val="0"/>
        </w:numPr>
        <w:tabs>
          <w:tab w:val="clear" w:pos="567"/>
        </w:tabs>
        <w:spacing w:line="240" w:lineRule="auto"/>
        <w:ind w:right="-29"/>
        <w:rPr>
          <w:szCs w:val="22"/>
        </w:rPr>
      </w:pPr>
      <w:r w:rsidRPr="004B0DDF">
        <w:t>Jak każdy lek, lek ten moż</w:t>
      </w:r>
      <w:r w:rsidRPr="004B0DDF">
        <w:t>e powodować działania niepożądane, chociaż nie u każdego one wystąpią.</w:t>
      </w:r>
    </w:p>
    <w:p w14:paraId="74364A78" w14:textId="77777777" w:rsidR="001005D2" w:rsidRPr="004B0DDF" w:rsidRDefault="001005D2" w:rsidP="009C76A6">
      <w:pPr>
        <w:numPr>
          <w:ilvl w:val="12"/>
          <w:numId w:val="0"/>
        </w:numPr>
        <w:tabs>
          <w:tab w:val="clear" w:pos="567"/>
        </w:tabs>
        <w:spacing w:line="240" w:lineRule="auto"/>
        <w:ind w:right="-29"/>
        <w:rPr>
          <w:szCs w:val="22"/>
        </w:rPr>
      </w:pPr>
    </w:p>
    <w:p w14:paraId="74364A79" w14:textId="77777777" w:rsidR="001005D2" w:rsidRPr="004B0DDF" w:rsidRDefault="004D6453" w:rsidP="009C76A6">
      <w:pPr>
        <w:numPr>
          <w:ilvl w:val="12"/>
          <w:numId w:val="0"/>
        </w:numPr>
        <w:tabs>
          <w:tab w:val="clear" w:pos="567"/>
        </w:tabs>
        <w:spacing w:line="240" w:lineRule="auto"/>
        <w:ind w:right="-29"/>
        <w:rPr>
          <w:szCs w:val="22"/>
        </w:rPr>
      </w:pPr>
      <w:r w:rsidRPr="004B0DDF">
        <w:t>Zgłaszano występowanie poniższych działań niepożądanych:</w:t>
      </w:r>
    </w:p>
    <w:p w14:paraId="74364A7A" w14:textId="77777777" w:rsidR="001005D2" w:rsidRPr="004B0DDF" w:rsidRDefault="001005D2" w:rsidP="009C76A6">
      <w:pPr>
        <w:numPr>
          <w:ilvl w:val="12"/>
          <w:numId w:val="0"/>
        </w:numPr>
        <w:tabs>
          <w:tab w:val="clear" w:pos="567"/>
        </w:tabs>
        <w:spacing w:line="240" w:lineRule="auto"/>
        <w:ind w:right="-29"/>
        <w:rPr>
          <w:szCs w:val="22"/>
        </w:rPr>
      </w:pPr>
    </w:p>
    <w:p w14:paraId="74364A7B" w14:textId="77777777" w:rsidR="001005D2" w:rsidRPr="004B0DDF" w:rsidRDefault="004D6453" w:rsidP="009C76A6">
      <w:pPr>
        <w:keepNext/>
        <w:tabs>
          <w:tab w:val="clear" w:pos="567"/>
        </w:tabs>
        <w:autoSpaceDE w:val="0"/>
        <w:autoSpaceDN w:val="0"/>
        <w:adjustRightInd w:val="0"/>
        <w:spacing w:line="240" w:lineRule="auto"/>
        <w:rPr>
          <w:i/>
          <w:szCs w:val="22"/>
        </w:rPr>
      </w:pPr>
      <w:r w:rsidRPr="004B0DDF">
        <w:rPr>
          <w:i/>
        </w:rPr>
        <w:lastRenderedPageBreak/>
        <w:t>Często (mogą występować u maksymalnie 1 na 10 osób)</w:t>
      </w:r>
    </w:p>
    <w:p w14:paraId="74364A7C" w14:textId="77777777" w:rsidR="001005D2" w:rsidRPr="004B0DDF" w:rsidRDefault="004D6453" w:rsidP="009C76A6">
      <w:pPr>
        <w:numPr>
          <w:ilvl w:val="0"/>
          <w:numId w:val="15"/>
        </w:numPr>
        <w:tabs>
          <w:tab w:val="clear" w:pos="567"/>
        </w:tabs>
        <w:spacing w:line="240" w:lineRule="auto"/>
        <w:ind w:right="-29"/>
        <w:rPr>
          <w:szCs w:val="22"/>
        </w:rPr>
      </w:pPr>
      <w:r w:rsidRPr="004B0DDF">
        <w:t xml:space="preserve">nudności (mdłości) </w:t>
      </w:r>
    </w:p>
    <w:p w14:paraId="74364A7D" w14:textId="77777777" w:rsidR="001005D2" w:rsidRPr="004B0DDF" w:rsidRDefault="001005D2" w:rsidP="009C76A6">
      <w:pPr>
        <w:tabs>
          <w:tab w:val="clear" w:pos="567"/>
        </w:tabs>
        <w:autoSpaceDE w:val="0"/>
        <w:autoSpaceDN w:val="0"/>
        <w:adjustRightInd w:val="0"/>
        <w:spacing w:line="240" w:lineRule="auto"/>
        <w:rPr>
          <w:i/>
          <w:szCs w:val="22"/>
        </w:rPr>
      </w:pPr>
    </w:p>
    <w:p w14:paraId="74364A7E" w14:textId="77777777" w:rsidR="001005D2" w:rsidRPr="004B0DDF" w:rsidRDefault="004D6453" w:rsidP="009C76A6">
      <w:pPr>
        <w:tabs>
          <w:tab w:val="clear" w:pos="567"/>
        </w:tabs>
        <w:autoSpaceDE w:val="0"/>
        <w:autoSpaceDN w:val="0"/>
        <w:adjustRightInd w:val="0"/>
        <w:spacing w:line="240" w:lineRule="auto"/>
        <w:rPr>
          <w:i/>
          <w:szCs w:val="22"/>
        </w:rPr>
      </w:pPr>
      <w:r w:rsidRPr="004B0DDF">
        <w:rPr>
          <w:i/>
        </w:rPr>
        <w:t xml:space="preserve">Niezbyt często (mogą występować u </w:t>
      </w:r>
      <w:r w:rsidRPr="004B0DDF">
        <w:rPr>
          <w:i/>
        </w:rPr>
        <w:t>maksymalnie 1 na 100 osób)</w:t>
      </w:r>
    </w:p>
    <w:p w14:paraId="74364A7F" w14:textId="77777777" w:rsidR="001005D2" w:rsidRPr="004B0DDF" w:rsidRDefault="004D6453" w:rsidP="009C76A6">
      <w:pPr>
        <w:numPr>
          <w:ilvl w:val="0"/>
          <w:numId w:val="15"/>
        </w:numPr>
        <w:tabs>
          <w:tab w:val="clear" w:pos="567"/>
        </w:tabs>
        <w:spacing w:line="240" w:lineRule="auto"/>
        <w:ind w:right="-29"/>
        <w:rPr>
          <w:szCs w:val="22"/>
        </w:rPr>
      </w:pPr>
      <w:r w:rsidRPr="004B0DDF">
        <w:t>wysypki skórne</w:t>
      </w:r>
    </w:p>
    <w:p w14:paraId="74364A80" w14:textId="03F17782" w:rsidR="001005D2" w:rsidRPr="004A13DB" w:rsidRDefault="004D6453" w:rsidP="009C76A6">
      <w:pPr>
        <w:numPr>
          <w:ilvl w:val="0"/>
          <w:numId w:val="15"/>
        </w:numPr>
        <w:tabs>
          <w:tab w:val="clear" w:pos="567"/>
        </w:tabs>
        <w:spacing w:line="240" w:lineRule="auto"/>
        <w:ind w:right="-29"/>
        <w:rPr>
          <w:szCs w:val="22"/>
        </w:rPr>
      </w:pPr>
      <w:r w:rsidRPr="004B0DDF">
        <w:t>swędzenie</w:t>
      </w:r>
    </w:p>
    <w:p w14:paraId="618275D7" w14:textId="64EF9B1C" w:rsidR="004A13DB" w:rsidRPr="004B0DDF" w:rsidRDefault="004D6453" w:rsidP="009C76A6">
      <w:pPr>
        <w:numPr>
          <w:ilvl w:val="0"/>
          <w:numId w:val="15"/>
        </w:numPr>
        <w:tabs>
          <w:tab w:val="clear" w:pos="567"/>
        </w:tabs>
        <w:spacing w:line="240" w:lineRule="auto"/>
        <w:ind w:right="-29"/>
        <w:rPr>
          <w:szCs w:val="22"/>
        </w:rPr>
      </w:pPr>
      <w:r w:rsidRPr="004B0DDF">
        <w:t>niedokrwistość</w:t>
      </w:r>
    </w:p>
    <w:p w14:paraId="74364A81" w14:textId="77777777" w:rsidR="001005D2" w:rsidRPr="004B0DDF" w:rsidRDefault="001005D2" w:rsidP="009C76A6">
      <w:pPr>
        <w:tabs>
          <w:tab w:val="clear" w:pos="567"/>
        </w:tabs>
        <w:spacing w:line="240" w:lineRule="auto"/>
        <w:ind w:left="360" w:right="-29"/>
        <w:rPr>
          <w:szCs w:val="22"/>
        </w:rPr>
      </w:pPr>
    </w:p>
    <w:p w14:paraId="74364A82" w14:textId="77777777" w:rsidR="001005D2" w:rsidRPr="004B0DDF" w:rsidRDefault="004D6453" w:rsidP="009C76A6">
      <w:pPr>
        <w:tabs>
          <w:tab w:val="clear" w:pos="567"/>
        </w:tabs>
        <w:spacing w:line="240" w:lineRule="auto"/>
        <w:ind w:right="-29"/>
        <w:rPr>
          <w:i/>
          <w:szCs w:val="22"/>
        </w:rPr>
      </w:pPr>
      <w:r w:rsidRPr="004B0DDF">
        <w:rPr>
          <w:i/>
        </w:rPr>
        <w:t>Częstość nieznana (częstość nie może być określona na podstawie dostępnych danych)</w:t>
      </w:r>
    </w:p>
    <w:p w14:paraId="74364A83" w14:textId="77777777" w:rsidR="001005D2" w:rsidRPr="004B0DDF" w:rsidRDefault="004D6453" w:rsidP="009C76A6">
      <w:pPr>
        <w:numPr>
          <w:ilvl w:val="0"/>
          <w:numId w:val="15"/>
        </w:numPr>
        <w:tabs>
          <w:tab w:val="clear" w:pos="567"/>
        </w:tabs>
        <w:spacing w:line="240" w:lineRule="auto"/>
        <w:ind w:right="-29"/>
        <w:rPr>
          <w:szCs w:val="22"/>
        </w:rPr>
      </w:pPr>
      <w:r w:rsidRPr="004B0DDF">
        <w:t xml:space="preserve">rozstrój i dyskomfort żołądka, w tym silne bóle żołądka (zapalenie dwunastnicy) </w:t>
      </w:r>
    </w:p>
    <w:p w14:paraId="74364A84" w14:textId="77777777" w:rsidR="001005D2" w:rsidRPr="004B0DDF" w:rsidRDefault="004D6453" w:rsidP="009C76A6">
      <w:pPr>
        <w:numPr>
          <w:ilvl w:val="0"/>
          <w:numId w:val="15"/>
        </w:numPr>
        <w:tabs>
          <w:tab w:val="clear" w:pos="567"/>
        </w:tabs>
        <w:spacing w:line="240" w:lineRule="auto"/>
        <w:ind w:right="-29"/>
        <w:rPr>
          <w:szCs w:val="22"/>
        </w:rPr>
      </w:pPr>
      <w:r w:rsidRPr="004B0DDF">
        <w:t>zapalenie jelit, które m</w:t>
      </w:r>
      <w:r w:rsidRPr="004B0DDF">
        <w:t>oże powodować np. ból brzucha, nawracające biegunki i krew w stolcu (zapalenie okrężnicy)</w:t>
      </w:r>
    </w:p>
    <w:p w14:paraId="74364A85" w14:textId="2055B5F4" w:rsidR="001005D2" w:rsidRPr="004B0DDF" w:rsidRDefault="004D6453" w:rsidP="009C76A6">
      <w:pPr>
        <w:numPr>
          <w:ilvl w:val="0"/>
          <w:numId w:val="15"/>
        </w:numPr>
        <w:tabs>
          <w:tab w:val="clear" w:pos="567"/>
        </w:tabs>
        <w:spacing w:line="240" w:lineRule="auto"/>
        <w:ind w:right="-29"/>
        <w:rPr>
          <w:szCs w:val="22"/>
        </w:rPr>
      </w:pPr>
      <w:r w:rsidRPr="004B0DDF">
        <w:t xml:space="preserve">spadek liczby krwinek czerwonych z powodu niskiej zawartości żelaza we krwi (niedoboru żelaza) </w:t>
      </w:r>
    </w:p>
    <w:p w14:paraId="74364A86" w14:textId="77777777" w:rsidR="001005D2" w:rsidRPr="004B0DDF" w:rsidRDefault="004D6453" w:rsidP="009C76A6">
      <w:pPr>
        <w:numPr>
          <w:ilvl w:val="0"/>
          <w:numId w:val="15"/>
        </w:numPr>
        <w:tabs>
          <w:tab w:val="clear" w:pos="567"/>
        </w:tabs>
        <w:spacing w:line="240" w:lineRule="auto"/>
        <w:ind w:right="-29"/>
        <w:rPr>
          <w:szCs w:val="22"/>
        </w:rPr>
      </w:pPr>
      <w:r w:rsidRPr="004B0DDF">
        <w:t>pokrzywka</w:t>
      </w:r>
    </w:p>
    <w:p w14:paraId="74364A87" w14:textId="77777777" w:rsidR="001005D2" w:rsidRPr="004B0DDF" w:rsidRDefault="001005D2" w:rsidP="009C76A6">
      <w:pPr>
        <w:numPr>
          <w:ilvl w:val="12"/>
          <w:numId w:val="0"/>
        </w:numPr>
        <w:tabs>
          <w:tab w:val="clear" w:pos="567"/>
        </w:tabs>
        <w:spacing w:line="240" w:lineRule="auto"/>
        <w:ind w:right="-2"/>
        <w:rPr>
          <w:b/>
          <w:szCs w:val="22"/>
        </w:rPr>
      </w:pPr>
    </w:p>
    <w:p w14:paraId="74364A88" w14:textId="77777777" w:rsidR="001005D2" w:rsidRPr="004B0DDF" w:rsidRDefault="004D6453" w:rsidP="009C76A6">
      <w:pPr>
        <w:rPr>
          <w:b/>
          <w:szCs w:val="22"/>
        </w:rPr>
      </w:pPr>
      <w:r w:rsidRPr="004B0DDF">
        <w:rPr>
          <w:b/>
        </w:rPr>
        <w:t>Zgłaszanie działań niepożądanych</w:t>
      </w:r>
    </w:p>
    <w:p w14:paraId="74364A89" w14:textId="77777777" w:rsidR="001005D2" w:rsidRPr="004B0DDF" w:rsidRDefault="004D6453" w:rsidP="009C76A6">
      <w:pPr>
        <w:pStyle w:val="BodytextAgency"/>
        <w:spacing w:after="0" w:line="240" w:lineRule="auto"/>
        <w:rPr>
          <w:rFonts w:ascii="Times New Roman" w:hAnsi="Times New Roman"/>
          <w:sz w:val="22"/>
          <w:szCs w:val="22"/>
        </w:rPr>
      </w:pPr>
      <w:r w:rsidRPr="004B0DDF">
        <w:rPr>
          <w:rFonts w:ascii="Times New Roman" w:hAnsi="Times New Roman"/>
          <w:sz w:val="22"/>
          <w:szCs w:val="22"/>
        </w:rPr>
        <w:t xml:space="preserve">Jeśli u pacjenta wystąpią </w:t>
      </w:r>
      <w:r w:rsidRPr="004B0DDF">
        <w:rPr>
          <w:rFonts w:ascii="Times New Roman" w:hAnsi="Times New Roman"/>
          <w:sz w:val="22"/>
          <w:szCs w:val="22"/>
        </w:rPr>
        <w:t>jakiekolwiek objawy niepożądane,</w:t>
      </w:r>
      <w:r w:rsidRPr="004B0DDF">
        <w:rPr>
          <w:rFonts w:ascii="Times New Roman" w:hAnsi="Times New Roman"/>
          <w:color w:val="FF0000"/>
          <w:sz w:val="22"/>
          <w:szCs w:val="22"/>
        </w:rPr>
        <w:t xml:space="preserve"> </w:t>
      </w:r>
      <w:r w:rsidRPr="004B0DDF">
        <w:rPr>
          <w:rFonts w:ascii="Times New Roman" w:hAnsi="Times New Roman"/>
          <w:sz w:val="22"/>
          <w:szCs w:val="22"/>
        </w:rPr>
        <w:t xml:space="preserve">w tym wszelkie objawy niepożądane niewymienione w tej ulotce, należy powiedzieć o tym lekarzowi lub farmaceucie. Działania niepożądane można zgłaszać bezpośrednio do „krajowego systemu zgłaszania” wymienionego w </w:t>
      </w:r>
      <w:hyperlink r:id="rId15" w:history="1">
        <w:r w:rsidRPr="004B0DDF">
          <w:rPr>
            <w:rStyle w:val="Hyperlink"/>
            <w:rFonts w:ascii="Times New Roman" w:hAnsi="Times New Roman"/>
            <w:sz w:val="22"/>
            <w:szCs w:val="22"/>
            <w:highlight w:val="lightGray"/>
          </w:rPr>
          <w:t>załączniku V</w:t>
        </w:r>
      </w:hyperlink>
      <w:r w:rsidRPr="004B0DDF">
        <w:rPr>
          <w:rFonts w:ascii="Times New Roman" w:hAnsi="Times New Roman"/>
          <w:sz w:val="22"/>
          <w:szCs w:val="22"/>
        </w:rPr>
        <w:t>.  Dzięki zgłaszaniu działań niepożądanych można będzie zgromadzić więcej informacji na temat bezpieczeństwa stosowania leku.</w:t>
      </w:r>
    </w:p>
    <w:p w14:paraId="74364A8A" w14:textId="77777777" w:rsidR="001005D2" w:rsidRPr="004B0DDF" w:rsidRDefault="001005D2" w:rsidP="009C76A6">
      <w:pPr>
        <w:autoSpaceDE w:val="0"/>
        <w:autoSpaceDN w:val="0"/>
        <w:adjustRightInd w:val="0"/>
        <w:spacing w:line="240" w:lineRule="auto"/>
        <w:rPr>
          <w:szCs w:val="22"/>
        </w:rPr>
      </w:pPr>
    </w:p>
    <w:p w14:paraId="74364A8B" w14:textId="77777777" w:rsidR="001005D2" w:rsidRPr="004B0DDF" w:rsidRDefault="001005D2" w:rsidP="009C76A6">
      <w:pPr>
        <w:autoSpaceDE w:val="0"/>
        <w:autoSpaceDN w:val="0"/>
        <w:adjustRightInd w:val="0"/>
        <w:spacing w:line="240" w:lineRule="auto"/>
        <w:rPr>
          <w:szCs w:val="22"/>
        </w:rPr>
      </w:pPr>
    </w:p>
    <w:p w14:paraId="74364A8C" w14:textId="77777777" w:rsidR="001005D2" w:rsidRPr="004B0DDF" w:rsidRDefault="004D6453" w:rsidP="009C76A6">
      <w:pPr>
        <w:pStyle w:val="ListParagraph"/>
        <w:numPr>
          <w:ilvl w:val="0"/>
          <w:numId w:val="33"/>
        </w:numPr>
        <w:tabs>
          <w:tab w:val="clear" w:pos="567"/>
        </w:tabs>
        <w:spacing w:line="240" w:lineRule="auto"/>
        <w:ind w:left="720"/>
        <w:outlineLvl w:val="0"/>
        <w:rPr>
          <w:b/>
          <w:szCs w:val="22"/>
        </w:rPr>
      </w:pPr>
      <w:r w:rsidRPr="004B0DDF">
        <w:rPr>
          <w:b/>
        </w:rPr>
        <w:t xml:space="preserve">Jak </w:t>
      </w:r>
      <w:r w:rsidRPr="004B0DDF">
        <w:rPr>
          <w:b/>
        </w:rPr>
        <w:t>przechowywać Cuprior</w:t>
      </w:r>
    </w:p>
    <w:p w14:paraId="74364A8D" w14:textId="77777777" w:rsidR="001005D2" w:rsidRPr="004B0DDF" w:rsidRDefault="001005D2" w:rsidP="009C76A6">
      <w:pPr>
        <w:numPr>
          <w:ilvl w:val="12"/>
          <w:numId w:val="0"/>
        </w:numPr>
        <w:tabs>
          <w:tab w:val="clear" w:pos="567"/>
        </w:tabs>
        <w:spacing w:line="240" w:lineRule="auto"/>
        <w:ind w:right="-2"/>
        <w:rPr>
          <w:szCs w:val="22"/>
        </w:rPr>
      </w:pPr>
    </w:p>
    <w:p w14:paraId="74364A8E" w14:textId="77777777" w:rsidR="001005D2" w:rsidRPr="004B0DDF" w:rsidRDefault="004D6453" w:rsidP="009C76A6">
      <w:pPr>
        <w:numPr>
          <w:ilvl w:val="12"/>
          <w:numId w:val="0"/>
        </w:numPr>
        <w:tabs>
          <w:tab w:val="clear" w:pos="567"/>
        </w:tabs>
        <w:spacing w:line="240" w:lineRule="auto"/>
        <w:ind w:right="-2"/>
        <w:rPr>
          <w:szCs w:val="22"/>
        </w:rPr>
      </w:pPr>
      <w:r w:rsidRPr="004B0DDF">
        <w:t>Lek należy przechowywać w miejscu niewidocznym i niedostępnym dla dzieci.</w:t>
      </w:r>
    </w:p>
    <w:p w14:paraId="74364A8F" w14:textId="77777777" w:rsidR="001005D2" w:rsidRPr="004B0DDF" w:rsidRDefault="001005D2" w:rsidP="009C76A6">
      <w:pPr>
        <w:numPr>
          <w:ilvl w:val="12"/>
          <w:numId w:val="0"/>
        </w:numPr>
        <w:tabs>
          <w:tab w:val="clear" w:pos="567"/>
        </w:tabs>
        <w:spacing w:line="240" w:lineRule="auto"/>
        <w:ind w:right="-2"/>
        <w:rPr>
          <w:szCs w:val="22"/>
        </w:rPr>
      </w:pPr>
    </w:p>
    <w:p w14:paraId="74364A90" w14:textId="77777777" w:rsidR="001005D2" w:rsidRPr="004B0DDF" w:rsidRDefault="004D6453" w:rsidP="009C76A6">
      <w:pPr>
        <w:numPr>
          <w:ilvl w:val="12"/>
          <w:numId w:val="0"/>
        </w:numPr>
        <w:tabs>
          <w:tab w:val="clear" w:pos="567"/>
        </w:tabs>
        <w:spacing w:line="240" w:lineRule="auto"/>
        <w:ind w:right="-2"/>
        <w:rPr>
          <w:szCs w:val="22"/>
        </w:rPr>
      </w:pPr>
      <w:r w:rsidRPr="004B0DDF">
        <w:t xml:space="preserve">Nie stosować tego leku po upływie terminu ważności zamieszczonego na pudełku i blistrze po: EXP. Termin ważności oznacza ostatni dzień podanego </w:t>
      </w:r>
      <w:r w:rsidRPr="004B0DDF">
        <w:t>miesiąca.</w:t>
      </w:r>
    </w:p>
    <w:p w14:paraId="74364A91" w14:textId="77777777" w:rsidR="001005D2" w:rsidRPr="004B0DDF" w:rsidRDefault="001005D2" w:rsidP="009C76A6">
      <w:pPr>
        <w:numPr>
          <w:ilvl w:val="12"/>
          <w:numId w:val="0"/>
        </w:numPr>
        <w:tabs>
          <w:tab w:val="clear" w:pos="567"/>
        </w:tabs>
        <w:spacing w:line="240" w:lineRule="auto"/>
        <w:ind w:right="-2"/>
        <w:rPr>
          <w:szCs w:val="22"/>
        </w:rPr>
      </w:pPr>
    </w:p>
    <w:p w14:paraId="74364A92" w14:textId="77777777" w:rsidR="001005D2" w:rsidRPr="004B0DDF" w:rsidRDefault="004D6453" w:rsidP="009C76A6">
      <w:pPr>
        <w:numPr>
          <w:ilvl w:val="12"/>
          <w:numId w:val="0"/>
        </w:numPr>
        <w:tabs>
          <w:tab w:val="clear" w:pos="567"/>
        </w:tabs>
        <w:spacing w:line="240" w:lineRule="auto"/>
        <w:ind w:right="-2"/>
        <w:rPr>
          <w:szCs w:val="22"/>
        </w:rPr>
      </w:pPr>
      <w:r w:rsidRPr="004B0DDF">
        <w:rPr>
          <w:szCs w:val="22"/>
        </w:rPr>
        <w:t>Brak specjalnych zaleceń dotyczących przechowywania leku</w:t>
      </w:r>
      <w:r w:rsidRPr="004B0DDF">
        <w:t>.</w:t>
      </w:r>
    </w:p>
    <w:p w14:paraId="74364A93" w14:textId="77777777" w:rsidR="001005D2" w:rsidRPr="004B0DDF" w:rsidRDefault="001005D2" w:rsidP="009C76A6">
      <w:pPr>
        <w:numPr>
          <w:ilvl w:val="12"/>
          <w:numId w:val="0"/>
        </w:numPr>
        <w:tabs>
          <w:tab w:val="clear" w:pos="567"/>
        </w:tabs>
        <w:spacing w:line="240" w:lineRule="auto"/>
        <w:ind w:right="-2"/>
        <w:rPr>
          <w:szCs w:val="22"/>
        </w:rPr>
      </w:pPr>
    </w:p>
    <w:p w14:paraId="74364A94" w14:textId="77777777" w:rsidR="001005D2" w:rsidRPr="004B0DDF" w:rsidRDefault="004D6453" w:rsidP="009C76A6">
      <w:pPr>
        <w:numPr>
          <w:ilvl w:val="12"/>
          <w:numId w:val="0"/>
        </w:numPr>
        <w:tabs>
          <w:tab w:val="clear" w:pos="567"/>
        </w:tabs>
        <w:spacing w:line="240" w:lineRule="auto"/>
        <w:ind w:right="-2"/>
        <w:rPr>
          <w:szCs w:val="22"/>
        </w:rPr>
      </w:pPr>
      <w:r w:rsidRPr="004B0DDF">
        <w:t>Leków nie należy wyrzucać do kanalizacji ani domowych pojemników na odpadki. Należy zapytać farmaceutę, jak usunąć leki, których się już nie używa. Takie postępowanie pomoże chronić środ</w:t>
      </w:r>
      <w:r w:rsidRPr="004B0DDF">
        <w:t>owisko.</w:t>
      </w:r>
    </w:p>
    <w:p w14:paraId="74364A95" w14:textId="77777777" w:rsidR="001005D2" w:rsidRPr="004B0DDF" w:rsidRDefault="001005D2" w:rsidP="009C76A6">
      <w:pPr>
        <w:numPr>
          <w:ilvl w:val="12"/>
          <w:numId w:val="0"/>
        </w:numPr>
        <w:tabs>
          <w:tab w:val="clear" w:pos="567"/>
        </w:tabs>
        <w:spacing w:line="240" w:lineRule="auto"/>
        <w:ind w:right="-2"/>
        <w:rPr>
          <w:szCs w:val="22"/>
        </w:rPr>
      </w:pPr>
    </w:p>
    <w:p w14:paraId="74364A96" w14:textId="77777777" w:rsidR="001005D2" w:rsidRPr="004B0DDF" w:rsidRDefault="001005D2" w:rsidP="009C76A6">
      <w:pPr>
        <w:numPr>
          <w:ilvl w:val="12"/>
          <w:numId w:val="0"/>
        </w:numPr>
        <w:tabs>
          <w:tab w:val="clear" w:pos="567"/>
        </w:tabs>
        <w:spacing w:line="240" w:lineRule="auto"/>
        <w:ind w:right="-2"/>
        <w:rPr>
          <w:szCs w:val="22"/>
        </w:rPr>
      </w:pPr>
    </w:p>
    <w:p w14:paraId="74364A97" w14:textId="77777777" w:rsidR="001005D2" w:rsidRPr="004B0DDF" w:rsidRDefault="004D6453" w:rsidP="009C76A6">
      <w:pPr>
        <w:pStyle w:val="ListParagraph"/>
        <w:numPr>
          <w:ilvl w:val="0"/>
          <w:numId w:val="33"/>
        </w:numPr>
        <w:tabs>
          <w:tab w:val="clear" w:pos="567"/>
        </w:tabs>
        <w:spacing w:line="240" w:lineRule="auto"/>
        <w:ind w:left="720"/>
        <w:outlineLvl w:val="0"/>
        <w:rPr>
          <w:b/>
          <w:szCs w:val="22"/>
        </w:rPr>
      </w:pPr>
      <w:r w:rsidRPr="004B0DDF">
        <w:rPr>
          <w:b/>
        </w:rPr>
        <w:t>Zawartość opakowania i inne informacje</w:t>
      </w:r>
    </w:p>
    <w:p w14:paraId="74364A98" w14:textId="77777777" w:rsidR="001005D2" w:rsidRPr="004B0DDF" w:rsidRDefault="001005D2" w:rsidP="009C76A6">
      <w:pPr>
        <w:numPr>
          <w:ilvl w:val="12"/>
          <w:numId w:val="0"/>
        </w:numPr>
        <w:tabs>
          <w:tab w:val="clear" w:pos="567"/>
        </w:tabs>
        <w:spacing w:line="240" w:lineRule="auto"/>
        <w:rPr>
          <w:szCs w:val="22"/>
        </w:rPr>
      </w:pPr>
    </w:p>
    <w:p w14:paraId="74364A99" w14:textId="77777777" w:rsidR="001005D2" w:rsidRPr="004B0DDF" w:rsidRDefault="004D6453" w:rsidP="009C76A6">
      <w:pPr>
        <w:numPr>
          <w:ilvl w:val="12"/>
          <w:numId w:val="0"/>
        </w:numPr>
        <w:tabs>
          <w:tab w:val="clear" w:pos="567"/>
        </w:tabs>
        <w:spacing w:line="240" w:lineRule="auto"/>
        <w:ind w:right="-2"/>
        <w:rPr>
          <w:b/>
          <w:szCs w:val="22"/>
        </w:rPr>
      </w:pPr>
      <w:r w:rsidRPr="004B0DDF">
        <w:rPr>
          <w:b/>
        </w:rPr>
        <w:t xml:space="preserve">Co zawiera Cuprior </w:t>
      </w:r>
    </w:p>
    <w:p w14:paraId="74364A9A" w14:textId="77777777" w:rsidR="001005D2" w:rsidRPr="004B0DDF" w:rsidRDefault="004D6453" w:rsidP="009C76A6">
      <w:pPr>
        <w:numPr>
          <w:ilvl w:val="12"/>
          <w:numId w:val="0"/>
        </w:numPr>
        <w:tabs>
          <w:tab w:val="clear" w:pos="567"/>
        </w:tabs>
        <w:spacing w:line="240" w:lineRule="auto"/>
        <w:ind w:right="-2"/>
        <w:rPr>
          <w:szCs w:val="22"/>
        </w:rPr>
      </w:pPr>
      <w:r w:rsidRPr="004B0DDF">
        <w:t xml:space="preserve">Substancją czynną leku jest trientyna. Każda tabletka powlekana (tabletka) zawiera 150 mg trientyny w postaci trientyny tetrachlorowodorku. </w:t>
      </w:r>
    </w:p>
    <w:p w14:paraId="74364A9B" w14:textId="77777777" w:rsidR="001005D2" w:rsidRPr="004B0DDF" w:rsidRDefault="004D6453" w:rsidP="009C76A6">
      <w:pPr>
        <w:numPr>
          <w:ilvl w:val="12"/>
          <w:numId w:val="0"/>
        </w:numPr>
        <w:tabs>
          <w:tab w:val="clear" w:pos="567"/>
        </w:tabs>
        <w:spacing w:line="240" w:lineRule="auto"/>
        <w:ind w:right="-2"/>
      </w:pPr>
      <w:r w:rsidRPr="004B0DDF">
        <w:t xml:space="preserve">Pozostałe składniki to: </w:t>
      </w:r>
    </w:p>
    <w:p w14:paraId="74364A9C" w14:textId="77777777" w:rsidR="001005D2" w:rsidRPr="004B0DDF" w:rsidRDefault="004D6453" w:rsidP="009C76A6">
      <w:pPr>
        <w:numPr>
          <w:ilvl w:val="12"/>
          <w:numId w:val="0"/>
        </w:numPr>
        <w:tabs>
          <w:tab w:val="clear" w:pos="567"/>
        </w:tabs>
        <w:spacing w:line="240" w:lineRule="auto"/>
        <w:ind w:right="-2"/>
      </w:pPr>
      <w:r w:rsidRPr="004B0DDF">
        <w:t>Rdzeń tabletki: mann</w:t>
      </w:r>
      <w:r w:rsidRPr="004B0DDF">
        <w:t>itol, krzemionka koloidalna bezwodna i glicerolu dibehenian.</w:t>
      </w:r>
    </w:p>
    <w:p w14:paraId="74364A9D" w14:textId="77777777" w:rsidR="001005D2" w:rsidRPr="004B0DDF" w:rsidRDefault="004D6453" w:rsidP="004D669B">
      <w:pPr>
        <w:rPr>
          <w:szCs w:val="22"/>
        </w:rPr>
      </w:pPr>
      <w:r w:rsidRPr="004B0DDF">
        <w:rPr>
          <w:szCs w:val="22"/>
        </w:rPr>
        <w:t>Otoczka tabletki: alkohol poliwinylowy, talk, tytanu dwutlenek (E 171), glicerolu monokaprylokaprynian (typ I), żelaza tlenek żółty (E 172) i sodu laurylosiarczan.</w:t>
      </w:r>
    </w:p>
    <w:p w14:paraId="74364A9E" w14:textId="77777777" w:rsidR="001005D2" w:rsidRPr="004B0DDF" w:rsidRDefault="001005D2" w:rsidP="009C76A6">
      <w:pPr>
        <w:numPr>
          <w:ilvl w:val="12"/>
          <w:numId w:val="0"/>
        </w:numPr>
        <w:tabs>
          <w:tab w:val="clear" w:pos="567"/>
        </w:tabs>
        <w:spacing w:line="240" w:lineRule="auto"/>
        <w:ind w:right="-2"/>
        <w:rPr>
          <w:szCs w:val="22"/>
        </w:rPr>
      </w:pPr>
    </w:p>
    <w:p w14:paraId="74364A9F" w14:textId="77777777" w:rsidR="001005D2" w:rsidRPr="004B0DDF" w:rsidRDefault="004D6453" w:rsidP="009C76A6">
      <w:pPr>
        <w:numPr>
          <w:ilvl w:val="12"/>
          <w:numId w:val="0"/>
        </w:numPr>
        <w:tabs>
          <w:tab w:val="clear" w:pos="567"/>
        </w:tabs>
        <w:spacing w:line="240" w:lineRule="auto"/>
        <w:ind w:right="-2"/>
        <w:rPr>
          <w:b/>
          <w:szCs w:val="22"/>
        </w:rPr>
      </w:pPr>
      <w:r w:rsidRPr="004B0DDF">
        <w:rPr>
          <w:b/>
        </w:rPr>
        <w:t>Jak wygląda Cuprior i co zawie</w:t>
      </w:r>
      <w:r w:rsidRPr="004B0DDF">
        <w:rPr>
          <w:b/>
        </w:rPr>
        <w:t>ra opakowanie</w:t>
      </w:r>
    </w:p>
    <w:p w14:paraId="74364AA0" w14:textId="77777777" w:rsidR="001005D2" w:rsidRPr="004B0DDF" w:rsidRDefault="004D6453" w:rsidP="009C76A6">
      <w:pPr>
        <w:rPr>
          <w:szCs w:val="22"/>
        </w:rPr>
      </w:pPr>
      <w:r w:rsidRPr="004B0DDF">
        <w:t>Żółta, podłużna tabletka powlekana o wymiarach 16 mm x 8 mm, z linią podziału po obu stronach. Tabletkę powlekaną można podzielić na równe dawki.</w:t>
      </w:r>
    </w:p>
    <w:p w14:paraId="74364AA1" w14:textId="77777777" w:rsidR="001005D2" w:rsidRPr="004B0DDF" w:rsidRDefault="001005D2" w:rsidP="009C76A6">
      <w:pPr>
        <w:rPr>
          <w:szCs w:val="22"/>
        </w:rPr>
      </w:pPr>
    </w:p>
    <w:p w14:paraId="74364AA2" w14:textId="629367A7" w:rsidR="001005D2" w:rsidRPr="004B0DDF" w:rsidRDefault="004D6453" w:rsidP="009C76A6">
      <w:pPr>
        <w:numPr>
          <w:ilvl w:val="12"/>
          <w:numId w:val="0"/>
        </w:numPr>
        <w:tabs>
          <w:tab w:val="clear" w:pos="567"/>
        </w:tabs>
        <w:spacing w:line="240" w:lineRule="auto"/>
      </w:pPr>
      <w:r w:rsidRPr="004B0DDF">
        <w:t xml:space="preserve">Blistry z OPA/Alu/PVC-Alu; każdy blister zawiera 8 tabletek powlekanych. </w:t>
      </w:r>
      <w:r w:rsidR="00571171" w:rsidRPr="004B0DDF">
        <w:t xml:space="preserve">Lek Cuprior jest dostępny w opakowaniach zawierających </w:t>
      </w:r>
      <w:r w:rsidRPr="004B0DDF">
        <w:t xml:space="preserve">72 </w:t>
      </w:r>
      <w:r w:rsidR="00571171" w:rsidRPr="004B0DDF">
        <w:t>lub 96 tabletek powlekanych</w:t>
      </w:r>
      <w:r w:rsidRPr="004B0DDF">
        <w:t>.</w:t>
      </w:r>
    </w:p>
    <w:p w14:paraId="236A0B75" w14:textId="0E7BC7A4" w:rsidR="00571171" w:rsidRPr="004B0DDF" w:rsidRDefault="004D6453" w:rsidP="009C76A6">
      <w:pPr>
        <w:numPr>
          <w:ilvl w:val="12"/>
          <w:numId w:val="0"/>
        </w:numPr>
        <w:tabs>
          <w:tab w:val="clear" w:pos="567"/>
        </w:tabs>
        <w:spacing w:line="240" w:lineRule="auto"/>
        <w:rPr>
          <w:szCs w:val="22"/>
        </w:rPr>
      </w:pPr>
      <w:r w:rsidRPr="004B0DDF">
        <w:rPr>
          <w:szCs w:val="22"/>
        </w:rPr>
        <w:t>Nie wszystkie wielkości opakowań muszą znajdować się w obrocie.</w:t>
      </w:r>
    </w:p>
    <w:p w14:paraId="74364AA3" w14:textId="77777777" w:rsidR="001005D2" w:rsidRPr="004B0DDF" w:rsidRDefault="001005D2" w:rsidP="009C76A6">
      <w:pPr>
        <w:numPr>
          <w:ilvl w:val="12"/>
          <w:numId w:val="0"/>
        </w:numPr>
        <w:tabs>
          <w:tab w:val="clear" w:pos="567"/>
        </w:tabs>
        <w:spacing w:line="240" w:lineRule="auto"/>
        <w:rPr>
          <w:szCs w:val="22"/>
        </w:rPr>
      </w:pPr>
    </w:p>
    <w:p w14:paraId="74364AA4" w14:textId="77777777" w:rsidR="001005D2" w:rsidRPr="004B0DDF" w:rsidRDefault="004D6453" w:rsidP="009C76A6">
      <w:pPr>
        <w:numPr>
          <w:ilvl w:val="12"/>
          <w:numId w:val="0"/>
        </w:numPr>
        <w:tabs>
          <w:tab w:val="clear" w:pos="567"/>
        </w:tabs>
        <w:spacing w:line="240" w:lineRule="auto"/>
        <w:ind w:right="-2"/>
        <w:rPr>
          <w:b/>
          <w:szCs w:val="22"/>
        </w:rPr>
      </w:pPr>
      <w:r w:rsidRPr="004B0DDF">
        <w:rPr>
          <w:b/>
        </w:rPr>
        <w:t xml:space="preserve">Podmiot odpowiedzialny </w:t>
      </w:r>
    </w:p>
    <w:p w14:paraId="74364AA5" w14:textId="4903E509" w:rsidR="001005D2" w:rsidRPr="004B0DDF" w:rsidRDefault="003B60CB" w:rsidP="009C76A6">
      <w:pPr>
        <w:rPr>
          <w:szCs w:val="22"/>
        </w:rPr>
      </w:pPr>
      <w:proofErr w:type="spellStart"/>
      <w:r>
        <w:t>Orphalan</w:t>
      </w:r>
      <w:proofErr w:type="spellEnd"/>
    </w:p>
    <w:p w14:paraId="4534B049" w14:textId="77777777" w:rsidR="009647B0" w:rsidRPr="004D6453" w:rsidRDefault="004D6453" w:rsidP="009647B0">
      <w:pPr>
        <w:rPr>
          <w:szCs w:val="22"/>
        </w:rPr>
      </w:pPr>
      <w:r w:rsidRPr="004D6453">
        <w:rPr>
          <w:szCs w:val="22"/>
        </w:rPr>
        <w:lastRenderedPageBreak/>
        <w:t xml:space="preserve">226 </w:t>
      </w:r>
      <w:proofErr w:type="spellStart"/>
      <w:r w:rsidRPr="004D6453">
        <w:rPr>
          <w:szCs w:val="22"/>
        </w:rPr>
        <w:t>Boulevard</w:t>
      </w:r>
      <w:proofErr w:type="spellEnd"/>
      <w:r w:rsidRPr="004D6453">
        <w:rPr>
          <w:szCs w:val="22"/>
        </w:rPr>
        <w:t xml:space="preserve"> Voltaire</w:t>
      </w:r>
    </w:p>
    <w:p w14:paraId="74364AA8" w14:textId="28D90CD5" w:rsidR="001005D2" w:rsidRPr="004B0DDF" w:rsidRDefault="004D6453" w:rsidP="009C76A6">
      <w:pPr>
        <w:rPr>
          <w:szCs w:val="22"/>
        </w:rPr>
      </w:pPr>
      <w:r w:rsidRPr="004B0DDF">
        <w:t>7501</w:t>
      </w:r>
      <w:r>
        <w:t>1</w:t>
      </w:r>
      <w:r w:rsidRPr="004B0DDF">
        <w:t xml:space="preserve"> Paryż</w:t>
      </w:r>
    </w:p>
    <w:p w14:paraId="74364AA9" w14:textId="77777777" w:rsidR="001005D2" w:rsidRPr="004B0DDF" w:rsidRDefault="001005D2" w:rsidP="009C76A6">
      <w:pPr>
        <w:rPr>
          <w:szCs w:val="22"/>
        </w:rPr>
      </w:pPr>
    </w:p>
    <w:p w14:paraId="74364AAA" w14:textId="77777777" w:rsidR="001005D2" w:rsidRPr="004B0DDF" w:rsidRDefault="004D6453" w:rsidP="009C76A6">
      <w:pPr>
        <w:rPr>
          <w:szCs w:val="22"/>
        </w:rPr>
      </w:pPr>
      <w:r w:rsidRPr="004B0DDF">
        <w:t>Francja</w:t>
      </w:r>
    </w:p>
    <w:p w14:paraId="74364AAB" w14:textId="77777777" w:rsidR="001005D2" w:rsidRPr="004B0DDF" w:rsidRDefault="001005D2" w:rsidP="009C76A6">
      <w:pPr>
        <w:numPr>
          <w:ilvl w:val="12"/>
          <w:numId w:val="0"/>
        </w:numPr>
        <w:tabs>
          <w:tab w:val="clear" w:pos="567"/>
        </w:tabs>
        <w:spacing w:line="240" w:lineRule="auto"/>
        <w:ind w:right="-2"/>
        <w:rPr>
          <w:szCs w:val="22"/>
        </w:rPr>
      </w:pPr>
    </w:p>
    <w:p w14:paraId="74364AAC" w14:textId="77777777" w:rsidR="001005D2" w:rsidRPr="004B0DDF" w:rsidRDefault="004D6453" w:rsidP="009C76A6">
      <w:pPr>
        <w:numPr>
          <w:ilvl w:val="12"/>
          <w:numId w:val="0"/>
        </w:numPr>
        <w:tabs>
          <w:tab w:val="clear" w:pos="567"/>
        </w:tabs>
        <w:spacing w:line="240" w:lineRule="auto"/>
        <w:ind w:right="-2"/>
        <w:rPr>
          <w:b/>
          <w:szCs w:val="22"/>
        </w:rPr>
      </w:pPr>
      <w:r w:rsidRPr="004B0DDF">
        <w:rPr>
          <w:b/>
        </w:rPr>
        <w:t>Wytwórca</w:t>
      </w:r>
    </w:p>
    <w:p w14:paraId="74364AAD" w14:textId="77777777" w:rsidR="001005D2" w:rsidRPr="004B0DDF" w:rsidRDefault="004D6453" w:rsidP="009C76A6">
      <w:pPr>
        <w:numPr>
          <w:ilvl w:val="12"/>
          <w:numId w:val="0"/>
        </w:numPr>
        <w:tabs>
          <w:tab w:val="clear" w:pos="567"/>
        </w:tabs>
        <w:spacing w:line="240" w:lineRule="auto"/>
        <w:ind w:right="-2"/>
        <w:rPr>
          <w:szCs w:val="22"/>
        </w:rPr>
      </w:pPr>
      <w:r w:rsidRPr="004B0DDF">
        <w:t>Delpharm Evreux</w:t>
      </w:r>
    </w:p>
    <w:p w14:paraId="74364AAE" w14:textId="77777777" w:rsidR="001005D2" w:rsidRPr="004B0DDF" w:rsidRDefault="004D6453" w:rsidP="009C76A6">
      <w:pPr>
        <w:numPr>
          <w:ilvl w:val="12"/>
          <w:numId w:val="0"/>
        </w:numPr>
        <w:tabs>
          <w:tab w:val="clear" w:pos="567"/>
        </w:tabs>
        <w:spacing w:line="240" w:lineRule="auto"/>
        <w:ind w:right="-2"/>
        <w:rPr>
          <w:szCs w:val="22"/>
        </w:rPr>
      </w:pPr>
      <w:r w:rsidRPr="004B0DDF">
        <w:t>5 rue du Guesclin</w:t>
      </w:r>
    </w:p>
    <w:p w14:paraId="74364AAF" w14:textId="77777777" w:rsidR="001005D2" w:rsidRPr="004B0DDF" w:rsidRDefault="004D6453" w:rsidP="009C76A6">
      <w:pPr>
        <w:numPr>
          <w:ilvl w:val="12"/>
          <w:numId w:val="0"/>
        </w:numPr>
        <w:tabs>
          <w:tab w:val="clear" w:pos="567"/>
        </w:tabs>
        <w:spacing w:line="240" w:lineRule="auto"/>
        <w:ind w:right="-2"/>
        <w:rPr>
          <w:szCs w:val="22"/>
        </w:rPr>
      </w:pPr>
      <w:r w:rsidRPr="004B0DDF">
        <w:t>27000 Evreux</w:t>
      </w:r>
    </w:p>
    <w:p w14:paraId="74364AB0" w14:textId="77777777" w:rsidR="001005D2" w:rsidRPr="004B0DDF" w:rsidRDefault="004D6453" w:rsidP="009C76A6">
      <w:pPr>
        <w:numPr>
          <w:ilvl w:val="12"/>
          <w:numId w:val="0"/>
        </w:numPr>
        <w:tabs>
          <w:tab w:val="clear" w:pos="567"/>
        </w:tabs>
        <w:spacing w:line="240" w:lineRule="auto"/>
        <w:ind w:right="-2"/>
        <w:rPr>
          <w:szCs w:val="22"/>
        </w:rPr>
      </w:pPr>
      <w:r w:rsidRPr="004B0DDF">
        <w:t>Francja</w:t>
      </w:r>
    </w:p>
    <w:p w14:paraId="74364AB1" w14:textId="77777777" w:rsidR="001005D2" w:rsidRPr="004B0DDF" w:rsidRDefault="001005D2" w:rsidP="009C76A6">
      <w:pPr>
        <w:numPr>
          <w:ilvl w:val="12"/>
          <w:numId w:val="0"/>
        </w:numPr>
        <w:tabs>
          <w:tab w:val="clear" w:pos="567"/>
        </w:tabs>
        <w:spacing w:line="240" w:lineRule="auto"/>
        <w:ind w:right="-2"/>
        <w:rPr>
          <w:szCs w:val="22"/>
        </w:rPr>
      </w:pPr>
    </w:p>
    <w:tbl>
      <w:tblPr>
        <w:tblW w:w="9356" w:type="dxa"/>
        <w:tblInd w:w="-34" w:type="dxa"/>
        <w:tblLayout w:type="fixed"/>
        <w:tblLook w:val="0000" w:firstRow="0" w:lastRow="0" w:firstColumn="0" w:lastColumn="0" w:noHBand="0" w:noVBand="0"/>
      </w:tblPr>
      <w:tblGrid>
        <w:gridCol w:w="4678"/>
        <w:gridCol w:w="4678"/>
      </w:tblGrid>
      <w:tr w:rsidR="00F67D32" w14:paraId="74364AB4" w14:textId="77777777" w:rsidTr="009C76A6">
        <w:tc>
          <w:tcPr>
            <w:tcW w:w="4678" w:type="dxa"/>
          </w:tcPr>
          <w:p w14:paraId="74364AB2" w14:textId="77777777" w:rsidR="001005D2" w:rsidRPr="004B0DDF" w:rsidRDefault="001005D2" w:rsidP="009C76A6">
            <w:pPr>
              <w:tabs>
                <w:tab w:val="clear" w:pos="567"/>
                <w:tab w:val="left" w:pos="-655"/>
                <w:tab w:val="left" w:pos="515"/>
              </w:tabs>
              <w:suppressAutoHyphens/>
              <w:spacing w:line="240" w:lineRule="auto"/>
              <w:rPr>
                <w:szCs w:val="22"/>
              </w:rPr>
            </w:pPr>
          </w:p>
        </w:tc>
        <w:tc>
          <w:tcPr>
            <w:tcW w:w="4678" w:type="dxa"/>
          </w:tcPr>
          <w:p w14:paraId="74364AB3" w14:textId="77777777" w:rsidR="001005D2" w:rsidRPr="004B0DDF" w:rsidRDefault="001005D2" w:rsidP="009C76A6">
            <w:pPr>
              <w:tabs>
                <w:tab w:val="clear" w:pos="567"/>
                <w:tab w:val="left" w:pos="-655"/>
                <w:tab w:val="left" w:pos="515"/>
              </w:tabs>
              <w:suppressAutoHyphens/>
              <w:spacing w:line="240" w:lineRule="auto"/>
              <w:rPr>
                <w:szCs w:val="22"/>
              </w:rPr>
            </w:pPr>
          </w:p>
        </w:tc>
      </w:tr>
    </w:tbl>
    <w:p w14:paraId="74364AB5" w14:textId="77777777" w:rsidR="001005D2" w:rsidRPr="004B0DDF" w:rsidRDefault="004D6453" w:rsidP="009C76A6">
      <w:pPr>
        <w:numPr>
          <w:ilvl w:val="12"/>
          <w:numId w:val="0"/>
        </w:numPr>
        <w:tabs>
          <w:tab w:val="clear" w:pos="567"/>
        </w:tabs>
        <w:spacing w:line="240" w:lineRule="auto"/>
        <w:ind w:right="-2"/>
        <w:rPr>
          <w:b/>
          <w:szCs w:val="22"/>
        </w:rPr>
      </w:pPr>
      <w:r w:rsidRPr="004B0DDF">
        <w:rPr>
          <w:b/>
        </w:rPr>
        <w:t>Data ostatniej aktualizacji ulotki:</w:t>
      </w:r>
    </w:p>
    <w:p w14:paraId="74364AB6" w14:textId="77777777" w:rsidR="001005D2" w:rsidRPr="004B0DDF" w:rsidRDefault="001005D2" w:rsidP="009C76A6">
      <w:pPr>
        <w:numPr>
          <w:ilvl w:val="12"/>
          <w:numId w:val="0"/>
        </w:numPr>
        <w:spacing w:line="240" w:lineRule="auto"/>
        <w:ind w:right="-2"/>
        <w:rPr>
          <w:szCs w:val="22"/>
        </w:rPr>
      </w:pPr>
    </w:p>
    <w:p w14:paraId="74364AB7" w14:textId="77777777" w:rsidR="001005D2" w:rsidRPr="004B0DDF" w:rsidRDefault="004D6453" w:rsidP="009C76A6">
      <w:pPr>
        <w:numPr>
          <w:ilvl w:val="12"/>
          <w:numId w:val="0"/>
        </w:numPr>
        <w:tabs>
          <w:tab w:val="clear" w:pos="567"/>
        </w:tabs>
        <w:spacing w:line="240" w:lineRule="auto"/>
        <w:ind w:right="-2"/>
        <w:rPr>
          <w:b/>
          <w:szCs w:val="22"/>
        </w:rPr>
      </w:pPr>
      <w:r w:rsidRPr="004B0DDF">
        <w:rPr>
          <w:b/>
        </w:rPr>
        <w:t>Inne źródła informacji</w:t>
      </w:r>
    </w:p>
    <w:p w14:paraId="74364AB8" w14:textId="73CF02A7" w:rsidR="001568EB" w:rsidRPr="004B0DDF" w:rsidRDefault="004D6453" w:rsidP="009C76A6">
      <w:pPr>
        <w:numPr>
          <w:ilvl w:val="12"/>
          <w:numId w:val="0"/>
        </w:numPr>
        <w:spacing w:line="240" w:lineRule="auto"/>
        <w:ind w:right="-2"/>
        <w:rPr>
          <w:rStyle w:val="Hyperlink"/>
          <w:szCs w:val="22"/>
        </w:rPr>
      </w:pPr>
      <w:r w:rsidRPr="004B0DDF">
        <w:t xml:space="preserve">Szczegółowe informacje o tym leku znajdują się na stronie internetowej Europejskiej Agencji Leków: </w:t>
      </w:r>
      <w:hyperlink r:id="rId16" w:history="1">
        <w:r w:rsidRPr="004B0DDF">
          <w:rPr>
            <w:rStyle w:val="Hyperlink"/>
            <w:szCs w:val="22"/>
          </w:rPr>
          <w:t>http://www.ema.europa.eu</w:t>
        </w:r>
      </w:hyperlink>
    </w:p>
    <w:sectPr w:rsidR="001568EB" w:rsidRPr="004B0DDF" w:rsidSect="009C76A6">
      <w:footerReference w:type="default" r:id="rId17"/>
      <w:footerReference w:type="first" r:id="rId18"/>
      <w:pgSz w:w="11907" w:h="16840" w:code="9"/>
      <w:pgMar w:top="1134" w:right="1418" w:bottom="1134" w:left="1418" w:header="737"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4EDFD" w14:textId="77777777" w:rsidR="00000000" w:rsidRDefault="004D6453">
      <w:pPr>
        <w:spacing w:line="240" w:lineRule="auto"/>
      </w:pPr>
      <w:r>
        <w:separator/>
      </w:r>
    </w:p>
  </w:endnote>
  <w:endnote w:type="continuationSeparator" w:id="0">
    <w:p w14:paraId="63E908E6" w14:textId="77777777" w:rsidR="00000000" w:rsidRDefault="004D6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4ABD" w14:textId="466D50B8" w:rsidR="00182AB1" w:rsidRDefault="004D645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B0DDF">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4ABE" w14:textId="7C4486EE" w:rsidR="00182AB1" w:rsidRDefault="004D645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B0DDF">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2656A" w14:textId="77777777" w:rsidR="00000000" w:rsidRDefault="004D6453">
      <w:pPr>
        <w:spacing w:line="240" w:lineRule="auto"/>
      </w:pPr>
      <w:r>
        <w:separator/>
      </w:r>
    </w:p>
  </w:footnote>
  <w:footnote w:type="continuationSeparator" w:id="0">
    <w:p w14:paraId="6F689222" w14:textId="77777777" w:rsidR="00000000" w:rsidRDefault="004D6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56A2115C">
      <w:start w:val="1"/>
      <w:numFmt w:val="bullet"/>
      <w:lvlText w:val=""/>
      <w:lvlJc w:val="left"/>
      <w:pPr>
        <w:tabs>
          <w:tab w:val="num" w:pos="360"/>
        </w:tabs>
        <w:ind w:left="360" w:hanging="360"/>
      </w:pPr>
      <w:rPr>
        <w:rFonts w:ascii="Symbol" w:hAnsi="Symbol" w:hint="default"/>
      </w:rPr>
    </w:lvl>
    <w:lvl w:ilvl="1" w:tplc="4942DEFE" w:tentative="1">
      <w:start w:val="1"/>
      <w:numFmt w:val="bullet"/>
      <w:lvlText w:val="o"/>
      <w:lvlJc w:val="left"/>
      <w:pPr>
        <w:tabs>
          <w:tab w:val="num" w:pos="1080"/>
        </w:tabs>
        <w:ind w:left="1080" w:hanging="360"/>
      </w:pPr>
      <w:rPr>
        <w:rFonts w:ascii="Courier New" w:hAnsi="Courier New" w:hint="default"/>
      </w:rPr>
    </w:lvl>
    <w:lvl w:ilvl="2" w:tplc="5CB4DC2E" w:tentative="1">
      <w:start w:val="1"/>
      <w:numFmt w:val="bullet"/>
      <w:lvlText w:val=""/>
      <w:lvlJc w:val="left"/>
      <w:pPr>
        <w:tabs>
          <w:tab w:val="num" w:pos="1800"/>
        </w:tabs>
        <w:ind w:left="1800" w:hanging="360"/>
      </w:pPr>
      <w:rPr>
        <w:rFonts w:ascii="Wingdings" w:hAnsi="Wingdings" w:hint="default"/>
      </w:rPr>
    </w:lvl>
    <w:lvl w:ilvl="3" w:tplc="5726E7BC" w:tentative="1">
      <w:start w:val="1"/>
      <w:numFmt w:val="bullet"/>
      <w:lvlText w:val=""/>
      <w:lvlJc w:val="left"/>
      <w:pPr>
        <w:tabs>
          <w:tab w:val="num" w:pos="2520"/>
        </w:tabs>
        <w:ind w:left="2520" w:hanging="360"/>
      </w:pPr>
      <w:rPr>
        <w:rFonts w:ascii="Symbol" w:hAnsi="Symbol" w:hint="default"/>
      </w:rPr>
    </w:lvl>
    <w:lvl w:ilvl="4" w:tplc="B1E06D3C" w:tentative="1">
      <w:start w:val="1"/>
      <w:numFmt w:val="bullet"/>
      <w:lvlText w:val="o"/>
      <w:lvlJc w:val="left"/>
      <w:pPr>
        <w:tabs>
          <w:tab w:val="num" w:pos="3240"/>
        </w:tabs>
        <w:ind w:left="3240" w:hanging="360"/>
      </w:pPr>
      <w:rPr>
        <w:rFonts w:ascii="Courier New" w:hAnsi="Courier New" w:hint="default"/>
      </w:rPr>
    </w:lvl>
    <w:lvl w:ilvl="5" w:tplc="03D42C88" w:tentative="1">
      <w:start w:val="1"/>
      <w:numFmt w:val="bullet"/>
      <w:lvlText w:val=""/>
      <w:lvlJc w:val="left"/>
      <w:pPr>
        <w:tabs>
          <w:tab w:val="num" w:pos="3960"/>
        </w:tabs>
        <w:ind w:left="3960" w:hanging="360"/>
      </w:pPr>
      <w:rPr>
        <w:rFonts w:ascii="Wingdings" w:hAnsi="Wingdings" w:hint="default"/>
      </w:rPr>
    </w:lvl>
    <w:lvl w:ilvl="6" w:tplc="ED4C392C" w:tentative="1">
      <w:start w:val="1"/>
      <w:numFmt w:val="bullet"/>
      <w:lvlText w:val=""/>
      <w:lvlJc w:val="left"/>
      <w:pPr>
        <w:tabs>
          <w:tab w:val="num" w:pos="4680"/>
        </w:tabs>
        <w:ind w:left="4680" w:hanging="360"/>
      </w:pPr>
      <w:rPr>
        <w:rFonts w:ascii="Symbol" w:hAnsi="Symbol" w:hint="default"/>
      </w:rPr>
    </w:lvl>
    <w:lvl w:ilvl="7" w:tplc="DE46D2DE" w:tentative="1">
      <w:start w:val="1"/>
      <w:numFmt w:val="bullet"/>
      <w:lvlText w:val="o"/>
      <w:lvlJc w:val="left"/>
      <w:pPr>
        <w:tabs>
          <w:tab w:val="num" w:pos="5400"/>
        </w:tabs>
        <w:ind w:left="5400" w:hanging="360"/>
      </w:pPr>
      <w:rPr>
        <w:rFonts w:ascii="Courier New" w:hAnsi="Courier New" w:hint="default"/>
      </w:rPr>
    </w:lvl>
    <w:lvl w:ilvl="8" w:tplc="168692DA"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3" w15:restartNumberingAfterBreak="0">
    <w:nsid w:val="05BE74D3"/>
    <w:multiLevelType w:val="hybridMultilevel"/>
    <w:tmpl w:val="80502282"/>
    <w:lvl w:ilvl="0" w:tplc="7F240776">
      <w:start w:val="1"/>
      <w:numFmt w:val="upperLetter"/>
      <w:lvlText w:val="%1."/>
      <w:lvlJc w:val="left"/>
      <w:pPr>
        <w:ind w:left="720" w:hanging="360"/>
      </w:pPr>
      <w:rPr>
        <w:rFonts w:cs="Times New Roman" w:hint="default"/>
        <w:b/>
      </w:rPr>
    </w:lvl>
    <w:lvl w:ilvl="1" w:tplc="902C7866" w:tentative="1">
      <w:start w:val="1"/>
      <w:numFmt w:val="lowerLetter"/>
      <w:lvlText w:val="%2."/>
      <w:lvlJc w:val="left"/>
      <w:pPr>
        <w:ind w:left="1440" w:hanging="360"/>
      </w:pPr>
      <w:rPr>
        <w:rFonts w:cs="Times New Roman"/>
      </w:rPr>
    </w:lvl>
    <w:lvl w:ilvl="2" w:tplc="793C6466" w:tentative="1">
      <w:start w:val="1"/>
      <w:numFmt w:val="lowerRoman"/>
      <w:lvlText w:val="%3."/>
      <w:lvlJc w:val="right"/>
      <w:pPr>
        <w:ind w:left="2160" w:hanging="180"/>
      </w:pPr>
      <w:rPr>
        <w:rFonts w:cs="Times New Roman"/>
      </w:rPr>
    </w:lvl>
    <w:lvl w:ilvl="3" w:tplc="29C61C1C" w:tentative="1">
      <w:start w:val="1"/>
      <w:numFmt w:val="decimal"/>
      <w:lvlText w:val="%4."/>
      <w:lvlJc w:val="left"/>
      <w:pPr>
        <w:ind w:left="2880" w:hanging="360"/>
      </w:pPr>
      <w:rPr>
        <w:rFonts w:cs="Times New Roman"/>
      </w:rPr>
    </w:lvl>
    <w:lvl w:ilvl="4" w:tplc="AE44019E" w:tentative="1">
      <w:start w:val="1"/>
      <w:numFmt w:val="lowerLetter"/>
      <w:lvlText w:val="%5."/>
      <w:lvlJc w:val="left"/>
      <w:pPr>
        <w:ind w:left="3600" w:hanging="360"/>
      </w:pPr>
      <w:rPr>
        <w:rFonts w:cs="Times New Roman"/>
      </w:rPr>
    </w:lvl>
    <w:lvl w:ilvl="5" w:tplc="63AE763C" w:tentative="1">
      <w:start w:val="1"/>
      <w:numFmt w:val="lowerRoman"/>
      <w:lvlText w:val="%6."/>
      <w:lvlJc w:val="right"/>
      <w:pPr>
        <w:ind w:left="4320" w:hanging="180"/>
      </w:pPr>
      <w:rPr>
        <w:rFonts w:cs="Times New Roman"/>
      </w:rPr>
    </w:lvl>
    <w:lvl w:ilvl="6" w:tplc="37B6B960" w:tentative="1">
      <w:start w:val="1"/>
      <w:numFmt w:val="decimal"/>
      <w:lvlText w:val="%7."/>
      <w:lvlJc w:val="left"/>
      <w:pPr>
        <w:ind w:left="5040" w:hanging="360"/>
      </w:pPr>
      <w:rPr>
        <w:rFonts w:cs="Times New Roman"/>
      </w:rPr>
    </w:lvl>
    <w:lvl w:ilvl="7" w:tplc="4A3EBFC2" w:tentative="1">
      <w:start w:val="1"/>
      <w:numFmt w:val="lowerLetter"/>
      <w:lvlText w:val="%8."/>
      <w:lvlJc w:val="left"/>
      <w:pPr>
        <w:ind w:left="5760" w:hanging="360"/>
      </w:pPr>
      <w:rPr>
        <w:rFonts w:cs="Times New Roman"/>
      </w:rPr>
    </w:lvl>
    <w:lvl w:ilvl="8" w:tplc="FEE88EDE" w:tentative="1">
      <w:start w:val="1"/>
      <w:numFmt w:val="lowerRoman"/>
      <w:lvlText w:val="%9."/>
      <w:lvlJc w:val="right"/>
      <w:pPr>
        <w:ind w:left="6480" w:hanging="180"/>
      </w:pPr>
      <w:rPr>
        <w:rFonts w:cs="Times New Roman"/>
      </w:rPr>
    </w:lvl>
  </w:abstractNum>
  <w:abstractNum w:abstractNumId="4" w15:restartNumberingAfterBreak="0">
    <w:nsid w:val="07AF6289"/>
    <w:multiLevelType w:val="hybridMultilevel"/>
    <w:tmpl w:val="4B6610B4"/>
    <w:lvl w:ilvl="0" w:tplc="48A8C428">
      <w:start w:val="1"/>
      <w:numFmt w:val="upperLetter"/>
      <w:lvlText w:val="%1."/>
      <w:lvlJc w:val="left"/>
      <w:pPr>
        <w:ind w:left="577" w:hanging="450"/>
      </w:pPr>
      <w:rPr>
        <w:rFonts w:cs="Times New Roman" w:hint="default"/>
      </w:rPr>
    </w:lvl>
    <w:lvl w:ilvl="1" w:tplc="AA2CD130">
      <w:start w:val="1"/>
      <w:numFmt w:val="decimal"/>
      <w:lvlText w:val="%2."/>
      <w:lvlJc w:val="left"/>
      <w:pPr>
        <w:ind w:left="1417" w:hanging="570"/>
      </w:pPr>
      <w:rPr>
        <w:rFonts w:cs="Times New Roman" w:hint="default"/>
      </w:rPr>
    </w:lvl>
    <w:lvl w:ilvl="2" w:tplc="ACA6FEB4" w:tentative="1">
      <w:start w:val="1"/>
      <w:numFmt w:val="lowerRoman"/>
      <w:lvlText w:val="%3."/>
      <w:lvlJc w:val="right"/>
      <w:pPr>
        <w:ind w:left="1927" w:hanging="180"/>
      </w:pPr>
      <w:rPr>
        <w:rFonts w:cs="Times New Roman"/>
      </w:rPr>
    </w:lvl>
    <w:lvl w:ilvl="3" w:tplc="EA962442" w:tentative="1">
      <w:start w:val="1"/>
      <w:numFmt w:val="decimal"/>
      <w:lvlText w:val="%4."/>
      <w:lvlJc w:val="left"/>
      <w:pPr>
        <w:ind w:left="2647" w:hanging="360"/>
      </w:pPr>
      <w:rPr>
        <w:rFonts w:cs="Times New Roman"/>
      </w:rPr>
    </w:lvl>
    <w:lvl w:ilvl="4" w:tplc="64C8C602" w:tentative="1">
      <w:start w:val="1"/>
      <w:numFmt w:val="lowerLetter"/>
      <w:lvlText w:val="%5."/>
      <w:lvlJc w:val="left"/>
      <w:pPr>
        <w:ind w:left="3367" w:hanging="360"/>
      </w:pPr>
      <w:rPr>
        <w:rFonts w:cs="Times New Roman"/>
      </w:rPr>
    </w:lvl>
    <w:lvl w:ilvl="5" w:tplc="CB68F11A" w:tentative="1">
      <w:start w:val="1"/>
      <w:numFmt w:val="lowerRoman"/>
      <w:lvlText w:val="%6."/>
      <w:lvlJc w:val="right"/>
      <w:pPr>
        <w:ind w:left="4087" w:hanging="180"/>
      </w:pPr>
      <w:rPr>
        <w:rFonts w:cs="Times New Roman"/>
      </w:rPr>
    </w:lvl>
    <w:lvl w:ilvl="6" w:tplc="11EE1C7C" w:tentative="1">
      <w:start w:val="1"/>
      <w:numFmt w:val="decimal"/>
      <w:lvlText w:val="%7."/>
      <w:lvlJc w:val="left"/>
      <w:pPr>
        <w:ind w:left="4807" w:hanging="360"/>
      </w:pPr>
      <w:rPr>
        <w:rFonts w:cs="Times New Roman"/>
      </w:rPr>
    </w:lvl>
    <w:lvl w:ilvl="7" w:tplc="103415E4" w:tentative="1">
      <w:start w:val="1"/>
      <w:numFmt w:val="lowerLetter"/>
      <w:lvlText w:val="%8."/>
      <w:lvlJc w:val="left"/>
      <w:pPr>
        <w:ind w:left="5527" w:hanging="360"/>
      </w:pPr>
      <w:rPr>
        <w:rFonts w:cs="Times New Roman"/>
      </w:rPr>
    </w:lvl>
    <w:lvl w:ilvl="8" w:tplc="4894C32A" w:tentative="1">
      <w:start w:val="1"/>
      <w:numFmt w:val="lowerRoman"/>
      <w:lvlText w:val="%9."/>
      <w:lvlJc w:val="right"/>
      <w:pPr>
        <w:ind w:left="6247" w:hanging="180"/>
      </w:pPr>
      <w:rPr>
        <w:rFonts w:cs="Times New Roman"/>
      </w:rPr>
    </w:lvl>
  </w:abstractNum>
  <w:abstractNum w:abstractNumId="5" w15:restartNumberingAfterBreak="0">
    <w:nsid w:val="09C44CC1"/>
    <w:multiLevelType w:val="hybridMultilevel"/>
    <w:tmpl w:val="7FF2C56E"/>
    <w:lvl w:ilvl="0" w:tplc="FDD2FBC6">
      <w:start w:val="1"/>
      <w:numFmt w:val="bullet"/>
      <w:lvlText w:val=""/>
      <w:lvlJc w:val="left"/>
      <w:pPr>
        <w:tabs>
          <w:tab w:val="num" w:pos="720"/>
        </w:tabs>
        <w:ind w:left="720" w:hanging="360"/>
      </w:pPr>
      <w:rPr>
        <w:rFonts w:ascii="Symbol" w:hAnsi="Symbol" w:hint="default"/>
      </w:rPr>
    </w:lvl>
    <w:lvl w:ilvl="1" w:tplc="6B529D48" w:tentative="1">
      <w:start w:val="1"/>
      <w:numFmt w:val="bullet"/>
      <w:lvlText w:val="o"/>
      <w:lvlJc w:val="left"/>
      <w:pPr>
        <w:tabs>
          <w:tab w:val="num" w:pos="1440"/>
        </w:tabs>
        <w:ind w:left="1440" w:hanging="360"/>
      </w:pPr>
      <w:rPr>
        <w:rFonts w:ascii="Courier New" w:hAnsi="Courier New" w:hint="default"/>
      </w:rPr>
    </w:lvl>
    <w:lvl w:ilvl="2" w:tplc="39B8C8AA" w:tentative="1">
      <w:start w:val="1"/>
      <w:numFmt w:val="bullet"/>
      <w:lvlText w:val=""/>
      <w:lvlJc w:val="left"/>
      <w:pPr>
        <w:tabs>
          <w:tab w:val="num" w:pos="2160"/>
        </w:tabs>
        <w:ind w:left="2160" w:hanging="360"/>
      </w:pPr>
      <w:rPr>
        <w:rFonts w:ascii="Wingdings" w:hAnsi="Wingdings" w:hint="default"/>
      </w:rPr>
    </w:lvl>
    <w:lvl w:ilvl="3" w:tplc="C7B4FB30" w:tentative="1">
      <w:start w:val="1"/>
      <w:numFmt w:val="bullet"/>
      <w:lvlText w:val=""/>
      <w:lvlJc w:val="left"/>
      <w:pPr>
        <w:tabs>
          <w:tab w:val="num" w:pos="2880"/>
        </w:tabs>
        <w:ind w:left="2880" w:hanging="360"/>
      </w:pPr>
      <w:rPr>
        <w:rFonts w:ascii="Symbol" w:hAnsi="Symbol" w:hint="default"/>
      </w:rPr>
    </w:lvl>
    <w:lvl w:ilvl="4" w:tplc="E2C661D6" w:tentative="1">
      <w:start w:val="1"/>
      <w:numFmt w:val="bullet"/>
      <w:lvlText w:val="o"/>
      <w:lvlJc w:val="left"/>
      <w:pPr>
        <w:tabs>
          <w:tab w:val="num" w:pos="3600"/>
        </w:tabs>
        <w:ind w:left="3600" w:hanging="360"/>
      </w:pPr>
      <w:rPr>
        <w:rFonts w:ascii="Courier New" w:hAnsi="Courier New" w:hint="default"/>
      </w:rPr>
    </w:lvl>
    <w:lvl w:ilvl="5" w:tplc="A63E14F6" w:tentative="1">
      <w:start w:val="1"/>
      <w:numFmt w:val="bullet"/>
      <w:lvlText w:val=""/>
      <w:lvlJc w:val="left"/>
      <w:pPr>
        <w:tabs>
          <w:tab w:val="num" w:pos="4320"/>
        </w:tabs>
        <w:ind w:left="4320" w:hanging="360"/>
      </w:pPr>
      <w:rPr>
        <w:rFonts w:ascii="Wingdings" w:hAnsi="Wingdings" w:hint="default"/>
      </w:rPr>
    </w:lvl>
    <w:lvl w:ilvl="6" w:tplc="7632FE7C" w:tentative="1">
      <w:start w:val="1"/>
      <w:numFmt w:val="bullet"/>
      <w:lvlText w:val=""/>
      <w:lvlJc w:val="left"/>
      <w:pPr>
        <w:tabs>
          <w:tab w:val="num" w:pos="5040"/>
        </w:tabs>
        <w:ind w:left="5040" w:hanging="360"/>
      </w:pPr>
      <w:rPr>
        <w:rFonts w:ascii="Symbol" w:hAnsi="Symbol" w:hint="default"/>
      </w:rPr>
    </w:lvl>
    <w:lvl w:ilvl="7" w:tplc="8B08223A" w:tentative="1">
      <w:start w:val="1"/>
      <w:numFmt w:val="bullet"/>
      <w:lvlText w:val="o"/>
      <w:lvlJc w:val="left"/>
      <w:pPr>
        <w:tabs>
          <w:tab w:val="num" w:pos="5760"/>
        </w:tabs>
        <w:ind w:left="5760" w:hanging="360"/>
      </w:pPr>
      <w:rPr>
        <w:rFonts w:ascii="Courier New" w:hAnsi="Courier New" w:hint="default"/>
      </w:rPr>
    </w:lvl>
    <w:lvl w:ilvl="8" w:tplc="6B68D4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E2789966">
      <w:start w:val="1"/>
      <w:numFmt w:val="decimal"/>
      <w:lvlText w:val="%1."/>
      <w:lvlJc w:val="left"/>
      <w:pPr>
        <w:ind w:left="1080" w:hanging="720"/>
      </w:pPr>
      <w:rPr>
        <w:rFonts w:cs="Times New Roman" w:hint="default"/>
      </w:rPr>
    </w:lvl>
    <w:lvl w:ilvl="1" w:tplc="55C85D72" w:tentative="1">
      <w:start w:val="1"/>
      <w:numFmt w:val="lowerLetter"/>
      <w:lvlText w:val="%2."/>
      <w:lvlJc w:val="left"/>
      <w:pPr>
        <w:ind w:left="1440" w:hanging="360"/>
      </w:pPr>
      <w:rPr>
        <w:rFonts w:cs="Times New Roman"/>
      </w:rPr>
    </w:lvl>
    <w:lvl w:ilvl="2" w:tplc="6194D716" w:tentative="1">
      <w:start w:val="1"/>
      <w:numFmt w:val="lowerRoman"/>
      <w:lvlText w:val="%3."/>
      <w:lvlJc w:val="right"/>
      <w:pPr>
        <w:ind w:left="2160" w:hanging="180"/>
      </w:pPr>
      <w:rPr>
        <w:rFonts w:cs="Times New Roman"/>
      </w:rPr>
    </w:lvl>
    <w:lvl w:ilvl="3" w:tplc="0A70D064" w:tentative="1">
      <w:start w:val="1"/>
      <w:numFmt w:val="decimal"/>
      <w:lvlText w:val="%4."/>
      <w:lvlJc w:val="left"/>
      <w:pPr>
        <w:ind w:left="2880" w:hanging="360"/>
      </w:pPr>
      <w:rPr>
        <w:rFonts w:cs="Times New Roman"/>
      </w:rPr>
    </w:lvl>
    <w:lvl w:ilvl="4" w:tplc="3668B7B2" w:tentative="1">
      <w:start w:val="1"/>
      <w:numFmt w:val="lowerLetter"/>
      <w:lvlText w:val="%5."/>
      <w:lvlJc w:val="left"/>
      <w:pPr>
        <w:ind w:left="3600" w:hanging="360"/>
      </w:pPr>
      <w:rPr>
        <w:rFonts w:cs="Times New Roman"/>
      </w:rPr>
    </w:lvl>
    <w:lvl w:ilvl="5" w:tplc="D780DC80" w:tentative="1">
      <w:start w:val="1"/>
      <w:numFmt w:val="lowerRoman"/>
      <w:lvlText w:val="%6."/>
      <w:lvlJc w:val="right"/>
      <w:pPr>
        <w:ind w:left="4320" w:hanging="180"/>
      </w:pPr>
      <w:rPr>
        <w:rFonts w:cs="Times New Roman"/>
      </w:rPr>
    </w:lvl>
    <w:lvl w:ilvl="6" w:tplc="98A20FAA" w:tentative="1">
      <w:start w:val="1"/>
      <w:numFmt w:val="decimal"/>
      <w:lvlText w:val="%7."/>
      <w:lvlJc w:val="left"/>
      <w:pPr>
        <w:ind w:left="5040" w:hanging="360"/>
      </w:pPr>
      <w:rPr>
        <w:rFonts w:cs="Times New Roman"/>
      </w:rPr>
    </w:lvl>
    <w:lvl w:ilvl="7" w:tplc="413855FE" w:tentative="1">
      <w:start w:val="1"/>
      <w:numFmt w:val="lowerLetter"/>
      <w:lvlText w:val="%8."/>
      <w:lvlJc w:val="left"/>
      <w:pPr>
        <w:ind w:left="5760" w:hanging="360"/>
      </w:pPr>
      <w:rPr>
        <w:rFonts w:cs="Times New Roman"/>
      </w:rPr>
    </w:lvl>
    <w:lvl w:ilvl="8" w:tplc="8D9E8984" w:tentative="1">
      <w:start w:val="1"/>
      <w:numFmt w:val="lowerRoman"/>
      <w:lvlText w:val="%9."/>
      <w:lvlJc w:val="right"/>
      <w:pPr>
        <w:ind w:left="6480" w:hanging="180"/>
      </w:pPr>
      <w:rPr>
        <w:rFonts w:cs="Times New Roman"/>
      </w:r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 w15:restartNumberingAfterBreak="0">
    <w:nsid w:val="260A0176"/>
    <w:multiLevelType w:val="hybridMultilevel"/>
    <w:tmpl w:val="718ED2D0"/>
    <w:lvl w:ilvl="0" w:tplc="3E2694F8">
      <w:start w:val="1"/>
      <w:numFmt w:val="decimal"/>
      <w:lvlText w:val="%1."/>
      <w:lvlJc w:val="left"/>
      <w:pPr>
        <w:ind w:left="780" w:hanging="420"/>
      </w:pPr>
      <w:rPr>
        <w:rFonts w:cs="Times New Roman" w:hint="default"/>
      </w:rPr>
    </w:lvl>
    <w:lvl w:ilvl="1" w:tplc="68D663A0" w:tentative="1">
      <w:start w:val="1"/>
      <w:numFmt w:val="lowerLetter"/>
      <w:lvlText w:val="%2."/>
      <w:lvlJc w:val="left"/>
      <w:pPr>
        <w:ind w:left="1440" w:hanging="360"/>
      </w:pPr>
      <w:rPr>
        <w:rFonts w:cs="Times New Roman"/>
      </w:rPr>
    </w:lvl>
    <w:lvl w:ilvl="2" w:tplc="6166E102" w:tentative="1">
      <w:start w:val="1"/>
      <w:numFmt w:val="lowerRoman"/>
      <w:lvlText w:val="%3."/>
      <w:lvlJc w:val="right"/>
      <w:pPr>
        <w:ind w:left="2160" w:hanging="180"/>
      </w:pPr>
      <w:rPr>
        <w:rFonts w:cs="Times New Roman"/>
      </w:rPr>
    </w:lvl>
    <w:lvl w:ilvl="3" w:tplc="AB0C7C0E" w:tentative="1">
      <w:start w:val="1"/>
      <w:numFmt w:val="decimal"/>
      <w:lvlText w:val="%4."/>
      <w:lvlJc w:val="left"/>
      <w:pPr>
        <w:ind w:left="2880" w:hanging="360"/>
      </w:pPr>
      <w:rPr>
        <w:rFonts w:cs="Times New Roman"/>
      </w:rPr>
    </w:lvl>
    <w:lvl w:ilvl="4" w:tplc="B2B2D9AC" w:tentative="1">
      <w:start w:val="1"/>
      <w:numFmt w:val="lowerLetter"/>
      <w:lvlText w:val="%5."/>
      <w:lvlJc w:val="left"/>
      <w:pPr>
        <w:ind w:left="3600" w:hanging="360"/>
      </w:pPr>
      <w:rPr>
        <w:rFonts w:cs="Times New Roman"/>
      </w:rPr>
    </w:lvl>
    <w:lvl w:ilvl="5" w:tplc="4EF45D8C" w:tentative="1">
      <w:start w:val="1"/>
      <w:numFmt w:val="lowerRoman"/>
      <w:lvlText w:val="%6."/>
      <w:lvlJc w:val="right"/>
      <w:pPr>
        <w:ind w:left="4320" w:hanging="180"/>
      </w:pPr>
      <w:rPr>
        <w:rFonts w:cs="Times New Roman"/>
      </w:rPr>
    </w:lvl>
    <w:lvl w:ilvl="6" w:tplc="1F08B756" w:tentative="1">
      <w:start w:val="1"/>
      <w:numFmt w:val="decimal"/>
      <w:lvlText w:val="%7."/>
      <w:lvlJc w:val="left"/>
      <w:pPr>
        <w:ind w:left="5040" w:hanging="360"/>
      </w:pPr>
      <w:rPr>
        <w:rFonts w:cs="Times New Roman"/>
      </w:rPr>
    </w:lvl>
    <w:lvl w:ilvl="7" w:tplc="11CAC326" w:tentative="1">
      <w:start w:val="1"/>
      <w:numFmt w:val="lowerLetter"/>
      <w:lvlText w:val="%8."/>
      <w:lvlJc w:val="left"/>
      <w:pPr>
        <w:ind w:left="5760" w:hanging="360"/>
      </w:pPr>
      <w:rPr>
        <w:rFonts w:cs="Times New Roman"/>
      </w:rPr>
    </w:lvl>
    <w:lvl w:ilvl="8" w:tplc="3834AA78" w:tentative="1">
      <w:start w:val="1"/>
      <w:numFmt w:val="lowerRoman"/>
      <w:lvlText w:val="%9."/>
      <w:lvlJc w:val="right"/>
      <w:pPr>
        <w:ind w:left="6480" w:hanging="180"/>
      </w:pPr>
      <w:rPr>
        <w:rFonts w:cs="Times New Roman"/>
      </w:rPr>
    </w:lvl>
  </w:abstractNum>
  <w:abstractNum w:abstractNumId="9" w15:restartNumberingAfterBreak="0">
    <w:nsid w:val="2DC110E1"/>
    <w:multiLevelType w:val="hybridMultilevel"/>
    <w:tmpl w:val="22EE80EE"/>
    <w:lvl w:ilvl="0" w:tplc="24AC4292">
      <w:start w:val="1"/>
      <w:numFmt w:val="bullet"/>
      <w:lvlText w:val="-"/>
      <w:lvlJc w:val="left"/>
      <w:pPr>
        <w:ind w:left="720" w:hanging="360"/>
      </w:pPr>
      <w:rPr>
        <w:rFonts w:ascii="Times New Roman" w:eastAsia="Times New Roman" w:hAnsi="Times New Roman" w:hint="default"/>
      </w:rPr>
    </w:lvl>
    <w:lvl w:ilvl="1" w:tplc="66A4260A" w:tentative="1">
      <w:start w:val="1"/>
      <w:numFmt w:val="bullet"/>
      <w:lvlText w:val="o"/>
      <w:lvlJc w:val="left"/>
      <w:pPr>
        <w:ind w:left="1440" w:hanging="360"/>
      </w:pPr>
      <w:rPr>
        <w:rFonts w:ascii="Courier New" w:hAnsi="Courier New" w:hint="default"/>
      </w:rPr>
    </w:lvl>
    <w:lvl w:ilvl="2" w:tplc="A4E698A0" w:tentative="1">
      <w:start w:val="1"/>
      <w:numFmt w:val="bullet"/>
      <w:lvlText w:val=""/>
      <w:lvlJc w:val="left"/>
      <w:pPr>
        <w:ind w:left="2160" w:hanging="360"/>
      </w:pPr>
      <w:rPr>
        <w:rFonts w:ascii="Wingdings" w:hAnsi="Wingdings" w:hint="default"/>
      </w:rPr>
    </w:lvl>
    <w:lvl w:ilvl="3" w:tplc="D6062FAA" w:tentative="1">
      <w:start w:val="1"/>
      <w:numFmt w:val="bullet"/>
      <w:lvlText w:val=""/>
      <w:lvlJc w:val="left"/>
      <w:pPr>
        <w:ind w:left="2880" w:hanging="360"/>
      </w:pPr>
      <w:rPr>
        <w:rFonts w:ascii="Symbol" w:hAnsi="Symbol" w:hint="default"/>
      </w:rPr>
    </w:lvl>
    <w:lvl w:ilvl="4" w:tplc="0A20ABF2" w:tentative="1">
      <w:start w:val="1"/>
      <w:numFmt w:val="bullet"/>
      <w:lvlText w:val="o"/>
      <w:lvlJc w:val="left"/>
      <w:pPr>
        <w:ind w:left="3600" w:hanging="360"/>
      </w:pPr>
      <w:rPr>
        <w:rFonts w:ascii="Courier New" w:hAnsi="Courier New" w:hint="default"/>
      </w:rPr>
    </w:lvl>
    <w:lvl w:ilvl="5" w:tplc="DDF457DA" w:tentative="1">
      <w:start w:val="1"/>
      <w:numFmt w:val="bullet"/>
      <w:lvlText w:val=""/>
      <w:lvlJc w:val="left"/>
      <w:pPr>
        <w:ind w:left="4320" w:hanging="360"/>
      </w:pPr>
      <w:rPr>
        <w:rFonts w:ascii="Wingdings" w:hAnsi="Wingdings" w:hint="default"/>
      </w:rPr>
    </w:lvl>
    <w:lvl w:ilvl="6" w:tplc="A71A1A06" w:tentative="1">
      <w:start w:val="1"/>
      <w:numFmt w:val="bullet"/>
      <w:lvlText w:val=""/>
      <w:lvlJc w:val="left"/>
      <w:pPr>
        <w:ind w:left="5040" w:hanging="360"/>
      </w:pPr>
      <w:rPr>
        <w:rFonts w:ascii="Symbol" w:hAnsi="Symbol" w:hint="default"/>
      </w:rPr>
    </w:lvl>
    <w:lvl w:ilvl="7" w:tplc="B524D734" w:tentative="1">
      <w:start w:val="1"/>
      <w:numFmt w:val="bullet"/>
      <w:lvlText w:val="o"/>
      <w:lvlJc w:val="left"/>
      <w:pPr>
        <w:ind w:left="5760" w:hanging="360"/>
      </w:pPr>
      <w:rPr>
        <w:rFonts w:ascii="Courier New" w:hAnsi="Courier New" w:hint="default"/>
      </w:rPr>
    </w:lvl>
    <w:lvl w:ilvl="8" w:tplc="684C89D6"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57C0D59A">
      <w:start w:val="1"/>
      <w:numFmt w:val="bullet"/>
      <w:lvlText w:val=""/>
      <w:lvlJc w:val="left"/>
      <w:pPr>
        <w:tabs>
          <w:tab w:val="num" w:pos="397"/>
        </w:tabs>
        <w:ind w:left="397" w:hanging="397"/>
      </w:pPr>
      <w:rPr>
        <w:rFonts w:ascii="Symbol" w:hAnsi="Symbol" w:hint="default"/>
      </w:rPr>
    </w:lvl>
    <w:lvl w:ilvl="1" w:tplc="3496AD7A" w:tentative="1">
      <w:start w:val="1"/>
      <w:numFmt w:val="bullet"/>
      <w:lvlText w:val="o"/>
      <w:lvlJc w:val="left"/>
      <w:pPr>
        <w:tabs>
          <w:tab w:val="num" w:pos="1440"/>
        </w:tabs>
        <w:ind w:left="1440" w:hanging="360"/>
      </w:pPr>
      <w:rPr>
        <w:rFonts w:ascii="Courier New" w:hAnsi="Courier New" w:hint="default"/>
      </w:rPr>
    </w:lvl>
    <w:lvl w:ilvl="2" w:tplc="CCE03DA8" w:tentative="1">
      <w:start w:val="1"/>
      <w:numFmt w:val="bullet"/>
      <w:lvlText w:val=""/>
      <w:lvlJc w:val="left"/>
      <w:pPr>
        <w:tabs>
          <w:tab w:val="num" w:pos="2160"/>
        </w:tabs>
        <w:ind w:left="2160" w:hanging="360"/>
      </w:pPr>
      <w:rPr>
        <w:rFonts w:ascii="Wingdings" w:hAnsi="Wingdings" w:hint="default"/>
      </w:rPr>
    </w:lvl>
    <w:lvl w:ilvl="3" w:tplc="E02CB8D0" w:tentative="1">
      <w:start w:val="1"/>
      <w:numFmt w:val="bullet"/>
      <w:lvlText w:val=""/>
      <w:lvlJc w:val="left"/>
      <w:pPr>
        <w:tabs>
          <w:tab w:val="num" w:pos="2880"/>
        </w:tabs>
        <w:ind w:left="2880" w:hanging="360"/>
      </w:pPr>
      <w:rPr>
        <w:rFonts w:ascii="Symbol" w:hAnsi="Symbol" w:hint="default"/>
      </w:rPr>
    </w:lvl>
    <w:lvl w:ilvl="4" w:tplc="79C2712A" w:tentative="1">
      <w:start w:val="1"/>
      <w:numFmt w:val="bullet"/>
      <w:lvlText w:val="o"/>
      <w:lvlJc w:val="left"/>
      <w:pPr>
        <w:tabs>
          <w:tab w:val="num" w:pos="3600"/>
        </w:tabs>
        <w:ind w:left="3600" w:hanging="360"/>
      </w:pPr>
      <w:rPr>
        <w:rFonts w:ascii="Courier New" w:hAnsi="Courier New" w:hint="default"/>
      </w:rPr>
    </w:lvl>
    <w:lvl w:ilvl="5" w:tplc="D2629FBE" w:tentative="1">
      <w:start w:val="1"/>
      <w:numFmt w:val="bullet"/>
      <w:lvlText w:val=""/>
      <w:lvlJc w:val="left"/>
      <w:pPr>
        <w:tabs>
          <w:tab w:val="num" w:pos="4320"/>
        </w:tabs>
        <w:ind w:left="4320" w:hanging="360"/>
      </w:pPr>
      <w:rPr>
        <w:rFonts w:ascii="Wingdings" w:hAnsi="Wingdings" w:hint="default"/>
      </w:rPr>
    </w:lvl>
    <w:lvl w:ilvl="6" w:tplc="C69A8B90" w:tentative="1">
      <w:start w:val="1"/>
      <w:numFmt w:val="bullet"/>
      <w:lvlText w:val=""/>
      <w:lvlJc w:val="left"/>
      <w:pPr>
        <w:tabs>
          <w:tab w:val="num" w:pos="5040"/>
        </w:tabs>
        <w:ind w:left="5040" w:hanging="360"/>
      </w:pPr>
      <w:rPr>
        <w:rFonts w:ascii="Symbol" w:hAnsi="Symbol" w:hint="default"/>
      </w:rPr>
    </w:lvl>
    <w:lvl w:ilvl="7" w:tplc="735AE588" w:tentative="1">
      <w:start w:val="1"/>
      <w:numFmt w:val="bullet"/>
      <w:lvlText w:val="o"/>
      <w:lvlJc w:val="left"/>
      <w:pPr>
        <w:tabs>
          <w:tab w:val="num" w:pos="5760"/>
        </w:tabs>
        <w:ind w:left="5760" w:hanging="360"/>
      </w:pPr>
      <w:rPr>
        <w:rFonts w:ascii="Courier New" w:hAnsi="Courier New" w:hint="default"/>
      </w:rPr>
    </w:lvl>
    <w:lvl w:ilvl="8" w:tplc="5252698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3C18C8BE">
      <w:start w:val="1"/>
      <w:numFmt w:val="decimal"/>
      <w:lvlText w:val="%1."/>
      <w:lvlJc w:val="left"/>
      <w:pPr>
        <w:tabs>
          <w:tab w:val="num" w:pos="570"/>
        </w:tabs>
        <w:ind w:left="570" w:hanging="570"/>
      </w:pPr>
      <w:rPr>
        <w:rFonts w:cs="Times New Roman" w:hint="default"/>
      </w:rPr>
    </w:lvl>
    <w:lvl w:ilvl="1" w:tplc="B9E06EDA" w:tentative="1">
      <w:start w:val="1"/>
      <w:numFmt w:val="lowerLetter"/>
      <w:lvlText w:val="%2."/>
      <w:lvlJc w:val="left"/>
      <w:pPr>
        <w:tabs>
          <w:tab w:val="num" w:pos="1080"/>
        </w:tabs>
        <w:ind w:left="1080" w:hanging="360"/>
      </w:pPr>
      <w:rPr>
        <w:rFonts w:cs="Times New Roman"/>
      </w:rPr>
    </w:lvl>
    <w:lvl w:ilvl="2" w:tplc="041CF200" w:tentative="1">
      <w:start w:val="1"/>
      <w:numFmt w:val="lowerRoman"/>
      <w:lvlText w:val="%3."/>
      <w:lvlJc w:val="right"/>
      <w:pPr>
        <w:tabs>
          <w:tab w:val="num" w:pos="1800"/>
        </w:tabs>
        <w:ind w:left="1800" w:hanging="180"/>
      </w:pPr>
      <w:rPr>
        <w:rFonts w:cs="Times New Roman"/>
      </w:rPr>
    </w:lvl>
    <w:lvl w:ilvl="3" w:tplc="A1BE6218" w:tentative="1">
      <w:start w:val="1"/>
      <w:numFmt w:val="decimal"/>
      <w:lvlText w:val="%4."/>
      <w:lvlJc w:val="left"/>
      <w:pPr>
        <w:tabs>
          <w:tab w:val="num" w:pos="2520"/>
        </w:tabs>
        <w:ind w:left="2520" w:hanging="360"/>
      </w:pPr>
      <w:rPr>
        <w:rFonts w:cs="Times New Roman"/>
      </w:rPr>
    </w:lvl>
    <w:lvl w:ilvl="4" w:tplc="B1849BBE" w:tentative="1">
      <w:start w:val="1"/>
      <w:numFmt w:val="lowerLetter"/>
      <w:lvlText w:val="%5."/>
      <w:lvlJc w:val="left"/>
      <w:pPr>
        <w:tabs>
          <w:tab w:val="num" w:pos="3240"/>
        </w:tabs>
        <w:ind w:left="3240" w:hanging="360"/>
      </w:pPr>
      <w:rPr>
        <w:rFonts w:cs="Times New Roman"/>
      </w:rPr>
    </w:lvl>
    <w:lvl w:ilvl="5" w:tplc="60CC0CFA" w:tentative="1">
      <w:start w:val="1"/>
      <w:numFmt w:val="lowerRoman"/>
      <w:lvlText w:val="%6."/>
      <w:lvlJc w:val="right"/>
      <w:pPr>
        <w:tabs>
          <w:tab w:val="num" w:pos="3960"/>
        </w:tabs>
        <w:ind w:left="3960" w:hanging="180"/>
      </w:pPr>
      <w:rPr>
        <w:rFonts w:cs="Times New Roman"/>
      </w:rPr>
    </w:lvl>
    <w:lvl w:ilvl="6" w:tplc="3ACE4206" w:tentative="1">
      <w:start w:val="1"/>
      <w:numFmt w:val="decimal"/>
      <w:lvlText w:val="%7."/>
      <w:lvlJc w:val="left"/>
      <w:pPr>
        <w:tabs>
          <w:tab w:val="num" w:pos="4680"/>
        </w:tabs>
        <w:ind w:left="4680" w:hanging="360"/>
      </w:pPr>
      <w:rPr>
        <w:rFonts w:cs="Times New Roman"/>
      </w:rPr>
    </w:lvl>
    <w:lvl w:ilvl="7" w:tplc="5B343928" w:tentative="1">
      <w:start w:val="1"/>
      <w:numFmt w:val="lowerLetter"/>
      <w:lvlText w:val="%8."/>
      <w:lvlJc w:val="left"/>
      <w:pPr>
        <w:tabs>
          <w:tab w:val="num" w:pos="5400"/>
        </w:tabs>
        <w:ind w:left="5400" w:hanging="360"/>
      </w:pPr>
      <w:rPr>
        <w:rFonts w:cs="Times New Roman"/>
      </w:rPr>
    </w:lvl>
    <w:lvl w:ilvl="8" w:tplc="3C921AF8" w:tentative="1">
      <w:start w:val="1"/>
      <w:numFmt w:val="lowerRoman"/>
      <w:lvlText w:val="%9."/>
      <w:lvlJc w:val="right"/>
      <w:pPr>
        <w:tabs>
          <w:tab w:val="num" w:pos="6120"/>
        </w:tabs>
        <w:ind w:left="6120" w:hanging="180"/>
      </w:pPr>
      <w:rPr>
        <w:rFonts w:cs="Times New Roman"/>
      </w:r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3B8C3C56"/>
    <w:multiLevelType w:val="hybridMultilevel"/>
    <w:tmpl w:val="BFBE97F2"/>
    <w:lvl w:ilvl="0" w:tplc="A37A1DFC">
      <w:start w:val="1"/>
      <w:numFmt w:val="decimal"/>
      <w:lvlText w:val="%1."/>
      <w:lvlJc w:val="left"/>
      <w:pPr>
        <w:ind w:left="720" w:hanging="360"/>
      </w:pPr>
      <w:rPr>
        <w:rFonts w:cs="Times New Roman"/>
      </w:rPr>
    </w:lvl>
    <w:lvl w:ilvl="1" w:tplc="962C81F6" w:tentative="1">
      <w:start w:val="1"/>
      <w:numFmt w:val="lowerLetter"/>
      <w:lvlText w:val="%2."/>
      <w:lvlJc w:val="left"/>
      <w:pPr>
        <w:ind w:left="1440" w:hanging="360"/>
      </w:pPr>
      <w:rPr>
        <w:rFonts w:cs="Times New Roman"/>
      </w:rPr>
    </w:lvl>
    <w:lvl w:ilvl="2" w:tplc="3E3A8BDA" w:tentative="1">
      <w:start w:val="1"/>
      <w:numFmt w:val="lowerRoman"/>
      <w:lvlText w:val="%3."/>
      <w:lvlJc w:val="right"/>
      <w:pPr>
        <w:ind w:left="2160" w:hanging="180"/>
      </w:pPr>
      <w:rPr>
        <w:rFonts w:cs="Times New Roman"/>
      </w:rPr>
    </w:lvl>
    <w:lvl w:ilvl="3" w:tplc="973EB352" w:tentative="1">
      <w:start w:val="1"/>
      <w:numFmt w:val="decimal"/>
      <w:lvlText w:val="%4."/>
      <w:lvlJc w:val="left"/>
      <w:pPr>
        <w:ind w:left="2880" w:hanging="360"/>
      </w:pPr>
      <w:rPr>
        <w:rFonts w:cs="Times New Roman"/>
      </w:rPr>
    </w:lvl>
    <w:lvl w:ilvl="4" w:tplc="DA822B02" w:tentative="1">
      <w:start w:val="1"/>
      <w:numFmt w:val="lowerLetter"/>
      <w:lvlText w:val="%5."/>
      <w:lvlJc w:val="left"/>
      <w:pPr>
        <w:ind w:left="3600" w:hanging="360"/>
      </w:pPr>
      <w:rPr>
        <w:rFonts w:cs="Times New Roman"/>
      </w:rPr>
    </w:lvl>
    <w:lvl w:ilvl="5" w:tplc="5F022AA4" w:tentative="1">
      <w:start w:val="1"/>
      <w:numFmt w:val="lowerRoman"/>
      <w:lvlText w:val="%6."/>
      <w:lvlJc w:val="right"/>
      <w:pPr>
        <w:ind w:left="4320" w:hanging="180"/>
      </w:pPr>
      <w:rPr>
        <w:rFonts w:cs="Times New Roman"/>
      </w:rPr>
    </w:lvl>
    <w:lvl w:ilvl="6" w:tplc="200A86D2" w:tentative="1">
      <w:start w:val="1"/>
      <w:numFmt w:val="decimal"/>
      <w:lvlText w:val="%7."/>
      <w:lvlJc w:val="left"/>
      <w:pPr>
        <w:ind w:left="5040" w:hanging="360"/>
      </w:pPr>
      <w:rPr>
        <w:rFonts w:cs="Times New Roman"/>
      </w:rPr>
    </w:lvl>
    <w:lvl w:ilvl="7" w:tplc="AE128F8C" w:tentative="1">
      <w:start w:val="1"/>
      <w:numFmt w:val="lowerLetter"/>
      <w:lvlText w:val="%8."/>
      <w:lvlJc w:val="left"/>
      <w:pPr>
        <w:ind w:left="5760" w:hanging="360"/>
      </w:pPr>
      <w:rPr>
        <w:rFonts w:cs="Times New Roman"/>
      </w:rPr>
    </w:lvl>
    <w:lvl w:ilvl="8" w:tplc="73E45660" w:tentative="1">
      <w:start w:val="1"/>
      <w:numFmt w:val="lowerRoman"/>
      <w:lvlText w:val="%9."/>
      <w:lvlJc w:val="right"/>
      <w:pPr>
        <w:ind w:left="6480" w:hanging="180"/>
      </w:pPr>
      <w:rPr>
        <w:rFonts w:cs="Times New Roman"/>
      </w:r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cs="Times New Roman" w:hint="default"/>
        <w:b/>
      </w:rPr>
    </w:lvl>
    <w:lvl w:ilvl="1">
      <w:start w:val="1"/>
      <w:numFmt w:val="decimal"/>
      <w:isLgl/>
      <w:lvlText w:val="%1.%2"/>
      <w:lvlJc w:val="left"/>
      <w:pPr>
        <w:ind w:left="930" w:hanging="57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1800" w:hanging="1440"/>
      </w:pPr>
      <w:rPr>
        <w:rFonts w:cs="Times New Roman"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E490EEAA">
      <w:start w:val="2"/>
      <w:numFmt w:val="decimal"/>
      <w:lvlText w:val="%1."/>
      <w:lvlJc w:val="left"/>
      <w:pPr>
        <w:tabs>
          <w:tab w:val="num" w:pos="570"/>
        </w:tabs>
        <w:ind w:left="570" w:hanging="570"/>
      </w:pPr>
      <w:rPr>
        <w:rFonts w:cs="Times New Roman" w:hint="default"/>
      </w:rPr>
    </w:lvl>
    <w:lvl w:ilvl="1" w:tplc="8D0A3AF2" w:tentative="1">
      <w:start w:val="1"/>
      <w:numFmt w:val="lowerLetter"/>
      <w:lvlText w:val="%2."/>
      <w:lvlJc w:val="left"/>
      <w:pPr>
        <w:tabs>
          <w:tab w:val="num" w:pos="1080"/>
        </w:tabs>
        <w:ind w:left="1080" w:hanging="360"/>
      </w:pPr>
      <w:rPr>
        <w:rFonts w:cs="Times New Roman"/>
      </w:rPr>
    </w:lvl>
    <w:lvl w:ilvl="2" w:tplc="C012EA6C" w:tentative="1">
      <w:start w:val="1"/>
      <w:numFmt w:val="lowerRoman"/>
      <w:lvlText w:val="%3."/>
      <w:lvlJc w:val="right"/>
      <w:pPr>
        <w:tabs>
          <w:tab w:val="num" w:pos="1800"/>
        </w:tabs>
        <w:ind w:left="1800" w:hanging="180"/>
      </w:pPr>
      <w:rPr>
        <w:rFonts w:cs="Times New Roman"/>
      </w:rPr>
    </w:lvl>
    <w:lvl w:ilvl="3" w:tplc="B04E3D4C" w:tentative="1">
      <w:start w:val="1"/>
      <w:numFmt w:val="decimal"/>
      <w:lvlText w:val="%4."/>
      <w:lvlJc w:val="left"/>
      <w:pPr>
        <w:tabs>
          <w:tab w:val="num" w:pos="2520"/>
        </w:tabs>
        <w:ind w:left="2520" w:hanging="360"/>
      </w:pPr>
      <w:rPr>
        <w:rFonts w:cs="Times New Roman"/>
      </w:rPr>
    </w:lvl>
    <w:lvl w:ilvl="4" w:tplc="DFAEBFE6" w:tentative="1">
      <w:start w:val="1"/>
      <w:numFmt w:val="lowerLetter"/>
      <w:lvlText w:val="%5."/>
      <w:lvlJc w:val="left"/>
      <w:pPr>
        <w:tabs>
          <w:tab w:val="num" w:pos="3240"/>
        </w:tabs>
        <w:ind w:left="3240" w:hanging="360"/>
      </w:pPr>
      <w:rPr>
        <w:rFonts w:cs="Times New Roman"/>
      </w:rPr>
    </w:lvl>
    <w:lvl w:ilvl="5" w:tplc="8F00960E" w:tentative="1">
      <w:start w:val="1"/>
      <w:numFmt w:val="lowerRoman"/>
      <w:lvlText w:val="%6."/>
      <w:lvlJc w:val="right"/>
      <w:pPr>
        <w:tabs>
          <w:tab w:val="num" w:pos="3960"/>
        </w:tabs>
        <w:ind w:left="3960" w:hanging="180"/>
      </w:pPr>
      <w:rPr>
        <w:rFonts w:cs="Times New Roman"/>
      </w:rPr>
    </w:lvl>
    <w:lvl w:ilvl="6" w:tplc="FC68D9E6" w:tentative="1">
      <w:start w:val="1"/>
      <w:numFmt w:val="decimal"/>
      <w:lvlText w:val="%7."/>
      <w:lvlJc w:val="left"/>
      <w:pPr>
        <w:tabs>
          <w:tab w:val="num" w:pos="4680"/>
        </w:tabs>
        <w:ind w:left="4680" w:hanging="360"/>
      </w:pPr>
      <w:rPr>
        <w:rFonts w:cs="Times New Roman"/>
      </w:rPr>
    </w:lvl>
    <w:lvl w:ilvl="7" w:tplc="0AA0DEEE" w:tentative="1">
      <w:start w:val="1"/>
      <w:numFmt w:val="lowerLetter"/>
      <w:lvlText w:val="%8."/>
      <w:lvlJc w:val="left"/>
      <w:pPr>
        <w:tabs>
          <w:tab w:val="num" w:pos="5400"/>
        </w:tabs>
        <w:ind w:left="5400" w:hanging="360"/>
      </w:pPr>
      <w:rPr>
        <w:rFonts w:cs="Times New Roman"/>
      </w:rPr>
    </w:lvl>
    <w:lvl w:ilvl="8" w:tplc="01AEC310" w:tentative="1">
      <w:start w:val="1"/>
      <w:numFmt w:val="lowerRoman"/>
      <w:lvlText w:val="%9."/>
      <w:lvlJc w:val="right"/>
      <w:pPr>
        <w:tabs>
          <w:tab w:val="num" w:pos="6120"/>
        </w:tabs>
        <w:ind w:left="6120" w:hanging="180"/>
      </w:pPr>
      <w:rPr>
        <w:rFonts w:cs="Times New Roman"/>
      </w:r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22" w15:restartNumberingAfterBreak="0">
    <w:nsid w:val="69E95A54"/>
    <w:multiLevelType w:val="hybridMultilevel"/>
    <w:tmpl w:val="3C18EFB0"/>
    <w:lvl w:ilvl="0" w:tplc="C0C61F6A">
      <w:start w:val="1"/>
      <w:numFmt w:val="bullet"/>
      <w:lvlText w:val=""/>
      <w:lvlJc w:val="left"/>
      <w:pPr>
        <w:tabs>
          <w:tab w:val="num" w:pos="397"/>
        </w:tabs>
        <w:ind w:left="397" w:hanging="397"/>
      </w:pPr>
      <w:rPr>
        <w:rFonts w:ascii="Symbol" w:hAnsi="Symbol" w:hint="default"/>
      </w:rPr>
    </w:lvl>
    <w:lvl w:ilvl="1" w:tplc="997004CC" w:tentative="1">
      <w:start w:val="1"/>
      <w:numFmt w:val="bullet"/>
      <w:lvlText w:val="o"/>
      <w:lvlJc w:val="left"/>
      <w:pPr>
        <w:tabs>
          <w:tab w:val="num" w:pos="1440"/>
        </w:tabs>
        <w:ind w:left="1440" w:hanging="360"/>
      </w:pPr>
      <w:rPr>
        <w:rFonts w:ascii="Courier New" w:hAnsi="Courier New" w:hint="default"/>
      </w:rPr>
    </w:lvl>
    <w:lvl w:ilvl="2" w:tplc="82B01D26" w:tentative="1">
      <w:start w:val="1"/>
      <w:numFmt w:val="bullet"/>
      <w:lvlText w:val=""/>
      <w:lvlJc w:val="left"/>
      <w:pPr>
        <w:tabs>
          <w:tab w:val="num" w:pos="2160"/>
        </w:tabs>
        <w:ind w:left="2160" w:hanging="360"/>
      </w:pPr>
      <w:rPr>
        <w:rFonts w:ascii="Wingdings" w:hAnsi="Wingdings" w:hint="default"/>
      </w:rPr>
    </w:lvl>
    <w:lvl w:ilvl="3" w:tplc="AE3CB68E" w:tentative="1">
      <w:start w:val="1"/>
      <w:numFmt w:val="bullet"/>
      <w:lvlText w:val=""/>
      <w:lvlJc w:val="left"/>
      <w:pPr>
        <w:tabs>
          <w:tab w:val="num" w:pos="2880"/>
        </w:tabs>
        <w:ind w:left="2880" w:hanging="360"/>
      </w:pPr>
      <w:rPr>
        <w:rFonts w:ascii="Symbol" w:hAnsi="Symbol" w:hint="default"/>
      </w:rPr>
    </w:lvl>
    <w:lvl w:ilvl="4" w:tplc="01580EA2" w:tentative="1">
      <w:start w:val="1"/>
      <w:numFmt w:val="bullet"/>
      <w:lvlText w:val="o"/>
      <w:lvlJc w:val="left"/>
      <w:pPr>
        <w:tabs>
          <w:tab w:val="num" w:pos="3600"/>
        </w:tabs>
        <w:ind w:left="3600" w:hanging="360"/>
      </w:pPr>
      <w:rPr>
        <w:rFonts w:ascii="Courier New" w:hAnsi="Courier New" w:hint="default"/>
      </w:rPr>
    </w:lvl>
    <w:lvl w:ilvl="5" w:tplc="BA3AB4D4" w:tentative="1">
      <w:start w:val="1"/>
      <w:numFmt w:val="bullet"/>
      <w:lvlText w:val=""/>
      <w:lvlJc w:val="left"/>
      <w:pPr>
        <w:tabs>
          <w:tab w:val="num" w:pos="4320"/>
        </w:tabs>
        <w:ind w:left="4320" w:hanging="360"/>
      </w:pPr>
      <w:rPr>
        <w:rFonts w:ascii="Wingdings" w:hAnsi="Wingdings" w:hint="default"/>
      </w:rPr>
    </w:lvl>
    <w:lvl w:ilvl="6" w:tplc="97AC509E" w:tentative="1">
      <w:start w:val="1"/>
      <w:numFmt w:val="bullet"/>
      <w:lvlText w:val=""/>
      <w:lvlJc w:val="left"/>
      <w:pPr>
        <w:tabs>
          <w:tab w:val="num" w:pos="5040"/>
        </w:tabs>
        <w:ind w:left="5040" w:hanging="360"/>
      </w:pPr>
      <w:rPr>
        <w:rFonts w:ascii="Symbol" w:hAnsi="Symbol" w:hint="default"/>
      </w:rPr>
    </w:lvl>
    <w:lvl w:ilvl="7" w:tplc="2FBA59A8" w:tentative="1">
      <w:start w:val="1"/>
      <w:numFmt w:val="bullet"/>
      <w:lvlText w:val="o"/>
      <w:lvlJc w:val="left"/>
      <w:pPr>
        <w:tabs>
          <w:tab w:val="num" w:pos="5760"/>
        </w:tabs>
        <w:ind w:left="5760" w:hanging="360"/>
      </w:pPr>
      <w:rPr>
        <w:rFonts w:ascii="Courier New" w:hAnsi="Courier New" w:hint="default"/>
      </w:rPr>
    </w:lvl>
    <w:lvl w:ilvl="8" w:tplc="0018E2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25" w15:restartNumberingAfterBreak="0">
    <w:nsid w:val="6F9337D0"/>
    <w:multiLevelType w:val="hybridMultilevel"/>
    <w:tmpl w:val="B6C885E6"/>
    <w:lvl w:ilvl="0" w:tplc="770095A4">
      <w:start w:val="1"/>
      <w:numFmt w:val="bullet"/>
      <w:lvlText w:val=""/>
      <w:lvlJc w:val="left"/>
      <w:pPr>
        <w:tabs>
          <w:tab w:val="num" w:pos="720"/>
        </w:tabs>
        <w:ind w:left="720" w:hanging="360"/>
      </w:pPr>
      <w:rPr>
        <w:rFonts w:ascii="Symbol" w:hAnsi="Symbol" w:hint="default"/>
      </w:rPr>
    </w:lvl>
    <w:lvl w:ilvl="1" w:tplc="59685220" w:tentative="1">
      <w:start w:val="1"/>
      <w:numFmt w:val="bullet"/>
      <w:lvlText w:val="o"/>
      <w:lvlJc w:val="left"/>
      <w:pPr>
        <w:tabs>
          <w:tab w:val="num" w:pos="1440"/>
        </w:tabs>
        <w:ind w:left="1440" w:hanging="360"/>
      </w:pPr>
      <w:rPr>
        <w:rFonts w:ascii="Courier New" w:hAnsi="Courier New" w:hint="default"/>
      </w:rPr>
    </w:lvl>
    <w:lvl w:ilvl="2" w:tplc="F9A25BF2" w:tentative="1">
      <w:start w:val="1"/>
      <w:numFmt w:val="bullet"/>
      <w:lvlText w:val=""/>
      <w:lvlJc w:val="left"/>
      <w:pPr>
        <w:tabs>
          <w:tab w:val="num" w:pos="2160"/>
        </w:tabs>
        <w:ind w:left="2160" w:hanging="360"/>
      </w:pPr>
      <w:rPr>
        <w:rFonts w:ascii="Wingdings" w:hAnsi="Wingdings" w:hint="default"/>
      </w:rPr>
    </w:lvl>
    <w:lvl w:ilvl="3" w:tplc="BB4274D0" w:tentative="1">
      <w:start w:val="1"/>
      <w:numFmt w:val="bullet"/>
      <w:lvlText w:val=""/>
      <w:lvlJc w:val="left"/>
      <w:pPr>
        <w:tabs>
          <w:tab w:val="num" w:pos="2880"/>
        </w:tabs>
        <w:ind w:left="2880" w:hanging="360"/>
      </w:pPr>
      <w:rPr>
        <w:rFonts w:ascii="Symbol" w:hAnsi="Symbol" w:hint="default"/>
      </w:rPr>
    </w:lvl>
    <w:lvl w:ilvl="4" w:tplc="EA6A8D5E" w:tentative="1">
      <w:start w:val="1"/>
      <w:numFmt w:val="bullet"/>
      <w:lvlText w:val="o"/>
      <w:lvlJc w:val="left"/>
      <w:pPr>
        <w:tabs>
          <w:tab w:val="num" w:pos="3600"/>
        </w:tabs>
        <w:ind w:left="3600" w:hanging="360"/>
      </w:pPr>
      <w:rPr>
        <w:rFonts w:ascii="Courier New" w:hAnsi="Courier New" w:hint="default"/>
      </w:rPr>
    </w:lvl>
    <w:lvl w:ilvl="5" w:tplc="EC7AAF10" w:tentative="1">
      <w:start w:val="1"/>
      <w:numFmt w:val="bullet"/>
      <w:lvlText w:val=""/>
      <w:lvlJc w:val="left"/>
      <w:pPr>
        <w:tabs>
          <w:tab w:val="num" w:pos="4320"/>
        </w:tabs>
        <w:ind w:left="4320" w:hanging="360"/>
      </w:pPr>
      <w:rPr>
        <w:rFonts w:ascii="Wingdings" w:hAnsi="Wingdings" w:hint="default"/>
      </w:rPr>
    </w:lvl>
    <w:lvl w:ilvl="6" w:tplc="74F0A214" w:tentative="1">
      <w:start w:val="1"/>
      <w:numFmt w:val="bullet"/>
      <w:lvlText w:val=""/>
      <w:lvlJc w:val="left"/>
      <w:pPr>
        <w:tabs>
          <w:tab w:val="num" w:pos="5040"/>
        </w:tabs>
        <w:ind w:left="5040" w:hanging="360"/>
      </w:pPr>
      <w:rPr>
        <w:rFonts w:ascii="Symbol" w:hAnsi="Symbol" w:hint="default"/>
      </w:rPr>
    </w:lvl>
    <w:lvl w:ilvl="7" w:tplc="450654A8" w:tentative="1">
      <w:start w:val="1"/>
      <w:numFmt w:val="bullet"/>
      <w:lvlText w:val="o"/>
      <w:lvlJc w:val="left"/>
      <w:pPr>
        <w:tabs>
          <w:tab w:val="num" w:pos="5760"/>
        </w:tabs>
        <w:ind w:left="5760" w:hanging="360"/>
      </w:pPr>
      <w:rPr>
        <w:rFonts w:ascii="Courier New" w:hAnsi="Courier New" w:hint="default"/>
      </w:rPr>
    </w:lvl>
    <w:lvl w:ilvl="8" w:tplc="0150AD8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C2C6C332">
      <w:start w:val="1"/>
      <w:numFmt w:val="decimal"/>
      <w:lvlText w:val="%1)"/>
      <w:lvlJc w:val="left"/>
      <w:pPr>
        <w:ind w:left="720" w:hanging="360"/>
      </w:pPr>
      <w:rPr>
        <w:rFonts w:cs="Times New Roman" w:hint="default"/>
      </w:rPr>
    </w:lvl>
    <w:lvl w:ilvl="1" w:tplc="FDAC6D72" w:tentative="1">
      <w:start w:val="1"/>
      <w:numFmt w:val="lowerLetter"/>
      <w:lvlText w:val="%2."/>
      <w:lvlJc w:val="left"/>
      <w:pPr>
        <w:ind w:left="1440" w:hanging="360"/>
      </w:pPr>
      <w:rPr>
        <w:rFonts w:cs="Times New Roman"/>
      </w:rPr>
    </w:lvl>
    <w:lvl w:ilvl="2" w:tplc="410CD6EC" w:tentative="1">
      <w:start w:val="1"/>
      <w:numFmt w:val="lowerRoman"/>
      <w:lvlText w:val="%3."/>
      <w:lvlJc w:val="right"/>
      <w:pPr>
        <w:ind w:left="2160" w:hanging="180"/>
      </w:pPr>
      <w:rPr>
        <w:rFonts w:cs="Times New Roman"/>
      </w:rPr>
    </w:lvl>
    <w:lvl w:ilvl="3" w:tplc="BF4697CE" w:tentative="1">
      <w:start w:val="1"/>
      <w:numFmt w:val="decimal"/>
      <w:lvlText w:val="%4."/>
      <w:lvlJc w:val="left"/>
      <w:pPr>
        <w:ind w:left="2880" w:hanging="360"/>
      </w:pPr>
      <w:rPr>
        <w:rFonts w:cs="Times New Roman"/>
      </w:rPr>
    </w:lvl>
    <w:lvl w:ilvl="4" w:tplc="6024CB48" w:tentative="1">
      <w:start w:val="1"/>
      <w:numFmt w:val="lowerLetter"/>
      <w:lvlText w:val="%5."/>
      <w:lvlJc w:val="left"/>
      <w:pPr>
        <w:ind w:left="3600" w:hanging="360"/>
      </w:pPr>
      <w:rPr>
        <w:rFonts w:cs="Times New Roman"/>
      </w:rPr>
    </w:lvl>
    <w:lvl w:ilvl="5" w:tplc="40FEC4D8" w:tentative="1">
      <w:start w:val="1"/>
      <w:numFmt w:val="lowerRoman"/>
      <w:lvlText w:val="%6."/>
      <w:lvlJc w:val="right"/>
      <w:pPr>
        <w:ind w:left="4320" w:hanging="180"/>
      </w:pPr>
      <w:rPr>
        <w:rFonts w:cs="Times New Roman"/>
      </w:rPr>
    </w:lvl>
    <w:lvl w:ilvl="6" w:tplc="4B50C78E" w:tentative="1">
      <w:start w:val="1"/>
      <w:numFmt w:val="decimal"/>
      <w:lvlText w:val="%7."/>
      <w:lvlJc w:val="left"/>
      <w:pPr>
        <w:ind w:left="5040" w:hanging="360"/>
      </w:pPr>
      <w:rPr>
        <w:rFonts w:cs="Times New Roman"/>
      </w:rPr>
    </w:lvl>
    <w:lvl w:ilvl="7" w:tplc="2B4A1390" w:tentative="1">
      <w:start w:val="1"/>
      <w:numFmt w:val="lowerLetter"/>
      <w:lvlText w:val="%8."/>
      <w:lvlJc w:val="left"/>
      <w:pPr>
        <w:ind w:left="5760" w:hanging="360"/>
      </w:pPr>
      <w:rPr>
        <w:rFonts w:cs="Times New Roman"/>
      </w:rPr>
    </w:lvl>
    <w:lvl w:ilvl="8" w:tplc="EF9835B8" w:tentative="1">
      <w:start w:val="1"/>
      <w:numFmt w:val="lowerRoman"/>
      <w:lvlText w:val="%9."/>
      <w:lvlJc w:val="right"/>
      <w:pPr>
        <w:ind w:left="6480" w:hanging="180"/>
      </w:pPr>
      <w:rPr>
        <w:rFonts w:cs="Times New Roman"/>
      </w:r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7B136C31"/>
    <w:multiLevelType w:val="hybridMultilevel"/>
    <w:tmpl w:val="D8E2FC5A"/>
    <w:lvl w:ilvl="0" w:tplc="CF98B01C">
      <w:start w:val="1"/>
      <w:numFmt w:val="upperLetter"/>
      <w:lvlText w:val="%1."/>
      <w:lvlJc w:val="left"/>
      <w:pPr>
        <w:ind w:left="577" w:hanging="450"/>
      </w:pPr>
      <w:rPr>
        <w:rFonts w:cs="Times New Roman" w:hint="default"/>
      </w:rPr>
    </w:lvl>
    <w:lvl w:ilvl="1" w:tplc="A06A8FA6">
      <w:start w:val="1"/>
      <w:numFmt w:val="decimal"/>
      <w:lvlText w:val="%2."/>
      <w:lvlJc w:val="left"/>
      <w:pPr>
        <w:ind w:left="1417" w:hanging="570"/>
      </w:pPr>
      <w:rPr>
        <w:rFonts w:cs="Times New Roman" w:hint="default"/>
        <w:b/>
      </w:rPr>
    </w:lvl>
    <w:lvl w:ilvl="2" w:tplc="3E4441F2" w:tentative="1">
      <w:start w:val="1"/>
      <w:numFmt w:val="lowerRoman"/>
      <w:lvlText w:val="%3."/>
      <w:lvlJc w:val="right"/>
      <w:pPr>
        <w:ind w:left="1927" w:hanging="180"/>
      </w:pPr>
      <w:rPr>
        <w:rFonts w:cs="Times New Roman"/>
      </w:rPr>
    </w:lvl>
    <w:lvl w:ilvl="3" w:tplc="76007A10" w:tentative="1">
      <w:start w:val="1"/>
      <w:numFmt w:val="decimal"/>
      <w:lvlText w:val="%4."/>
      <w:lvlJc w:val="left"/>
      <w:pPr>
        <w:ind w:left="2647" w:hanging="360"/>
      </w:pPr>
      <w:rPr>
        <w:rFonts w:cs="Times New Roman"/>
      </w:rPr>
    </w:lvl>
    <w:lvl w:ilvl="4" w:tplc="3DF070F8" w:tentative="1">
      <w:start w:val="1"/>
      <w:numFmt w:val="lowerLetter"/>
      <w:lvlText w:val="%5."/>
      <w:lvlJc w:val="left"/>
      <w:pPr>
        <w:ind w:left="3367" w:hanging="360"/>
      </w:pPr>
      <w:rPr>
        <w:rFonts w:cs="Times New Roman"/>
      </w:rPr>
    </w:lvl>
    <w:lvl w:ilvl="5" w:tplc="4B14D558" w:tentative="1">
      <w:start w:val="1"/>
      <w:numFmt w:val="lowerRoman"/>
      <w:lvlText w:val="%6."/>
      <w:lvlJc w:val="right"/>
      <w:pPr>
        <w:ind w:left="4087" w:hanging="180"/>
      </w:pPr>
      <w:rPr>
        <w:rFonts w:cs="Times New Roman"/>
      </w:rPr>
    </w:lvl>
    <w:lvl w:ilvl="6" w:tplc="3894D14E" w:tentative="1">
      <w:start w:val="1"/>
      <w:numFmt w:val="decimal"/>
      <w:lvlText w:val="%7."/>
      <w:lvlJc w:val="left"/>
      <w:pPr>
        <w:ind w:left="4807" w:hanging="360"/>
      </w:pPr>
      <w:rPr>
        <w:rFonts w:cs="Times New Roman"/>
      </w:rPr>
    </w:lvl>
    <w:lvl w:ilvl="7" w:tplc="5B30D0E6" w:tentative="1">
      <w:start w:val="1"/>
      <w:numFmt w:val="lowerLetter"/>
      <w:lvlText w:val="%8."/>
      <w:lvlJc w:val="left"/>
      <w:pPr>
        <w:ind w:left="5527" w:hanging="360"/>
      </w:pPr>
      <w:rPr>
        <w:rFonts w:cs="Times New Roman"/>
      </w:rPr>
    </w:lvl>
    <w:lvl w:ilvl="8" w:tplc="8F02E2D4" w:tentative="1">
      <w:start w:val="1"/>
      <w:numFmt w:val="lowerRoman"/>
      <w:lvlText w:val="%9."/>
      <w:lvlJc w:val="right"/>
      <w:pPr>
        <w:ind w:left="6247" w:hanging="180"/>
      </w:pPr>
      <w:rPr>
        <w:rFonts w:cs="Times New Roman"/>
      </w:r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ED4FDA"/>
    <w:rsid w:val="00045896"/>
    <w:rsid w:val="00054AED"/>
    <w:rsid w:val="000865F8"/>
    <w:rsid w:val="000A5224"/>
    <w:rsid w:val="000C4E3E"/>
    <w:rsid w:val="000D2817"/>
    <w:rsid w:val="000D65ED"/>
    <w:rsid w:val="001005D2"/>
    <w:rsid w:val="00100A86"/>
    <w:rsid w:val="00105373"/>
    <w:rsid w:val="00107B32"/>
    <w:rsid w:val="00126AD7"/>
    <w:rsid w:val="00126E55"/>
    <w:rsid w:val="00134E95"/>
    <w:rsid w:val="001568EB"/>
    <w:rsid w:val="00182AB1"/>
    <w:rsid w:val="001B2CA0"/>
    <w:rsid w:val="001E3005"/>
    <w:rsid w:val="00210CF4"/>
    <w:rsid w:val="00226A4A"/>
    <w:rsid w:val="00230317"/>
    <w:rsid w:val="002503BA"/>
    <w:rsid w:val="00252194"/>
    <w:rsid w:val="00261C46"/>
    <w:rsid w:val="00266461"/>
    <w:rsid w:val="00271420"/>
    <w:rsid w:val="002C03D3"/>
    <w:rsid w:val="002C04ED"/>
    <w:rsid w:val="002D3709"/>
    <w:rsid w:val="002D3730"/>
    <w:rsid w:val="00301C40"/>
    <w:rsid w:val="0032055D"/>
    <w:rsid w:val="003240D9"/>
    <w:rsid w:val="00333450"/>
    <w:rsid w:val="00341189"/>
    <w:rsid w:val="00352B96"/>
    <w:rsid w:val="0036776A"/>
    <w:rsid w:val="003B055F"/>
    <w:rsid w:val="003B60CB"/>
    <w:rsid w:val="003C0B5B"/>
    <w:rsid w:val="003D64F1"/>
    <w:rsid w:val="003E448A"/>
    <w:rsid w:val="003E6395"/>
    <w:rsid w:val="0040295B"/>
    <w:rsid w:val="004605E3"/>
    <w:rsid w:val="004A13DB"/>
    <w:rsid w:val="004B0DDF"/>
    <w:rsid w:val="004B3C5D"/>
    <w:rsid w:val="004C4F42"/>
    <w:rsid w:val="004C65FB"/>
    <w:rsid w:val="004D3F4A"/>
    <w:rsid w:val="004D6453"/>
    <w:rsid w:val="004D669B"/>
    <w:rsid w:val="005049C9"/>
    <w:rsid w:val="00564D92"/>
    <w:rsid w:val="00571171"/>
    <w:rsid w:val="005C6784"/>
    <w:rsid w:val="005D1578"/>
    <w:rsid w:val="00623054"/>
    <w:rsid w:val="006323B7"/>
    <w:rsid w:val="0063326F"/>
    <w:rsid w:val="006508E3"/>
    <w:rsid w:val="006607AA"/>
    <w:rsid w:val="006E6635"/>
    <w:rsid w:val="006F4A41"/>
    <w:rsid w:val="007230AB"/>
    <w:rsid w:val="00763CC8"/>
    <w:rsid w:val="007A3F10"/>
    <w:rsid w:val="007D3D47"/>
    <w:rsid w:val="007E13A2"/>
    <w:rsid w:val="00806BA9"/>
    <w:rsid w:val="00831D01"/>
    <w:rsid w:val="008B69A9"/>
    <w:rsid w:val="008D74F0"/>
    <w:rsid w:val="00941AFF"/>
    <w:rsid w:val="00946461"/>
    <w:rsid w:val="00961DDB"/>
    <w:rsid w:val="009647B0"/>
    <w:rsid w:val="0099575E"/>
    <w:rsid w:val="009A77DE"/>
    <w:rsid w:val="009C5218"/>
    <w:rsid w:val="009C76A6"/>
    <w:rsid w:val="009E16EA"/>
    <w:rsid w:val="009E5CD2"/>
    <w:rsid w:val="009E6F15"/>
    <w:rsid w:val="009F040A"/>
    <w:rsid w:val="009F1BB2"/>
    <w:rsid w:val="009F4D15"/>
    <w:rsid w:val="00A26BEF"/>
    <w:rsid w:val="00A4038B"/>
    <w:rsid w:val="00A50208"/>
    <w:rsid w:val="00A71281"/>
    <w:rsid w:val="00A751F5"/>
    <w:rsid w:val="00A946EF"/>
    <w:rsid w:val="00B1370E"/>
    <w:rsid w:val="00B32779"/>
    <w:rsid w:val="00B41890"/>
    <w:rsid w:val="00B71E9D"/>
    <w:rsid w:val="00BB2348"/>
    <w:rsid w:val="00BC4B8B"/>
    <w:rsid w:val="00BD0959"/>
    <w:rsid w:val="00BD5BA5"/>
    <w:rsid w:val="00C12AD5"/>
    <w:rsid w:val="00C2549B"/>
    <w:rsid w:val="00C31185"/>
    <w:rsid w:val="00C476BF"/>
    <w:rsid w:val="00C77B56"/>
    <w:rsid w:val="00CC6865"/>
    <w:rsid w:val="00CD31CB"/>
    <w:rsid w:val="00CF409A"/>
    <w:rsid w:val="00D06A31"/>
    <w:rsid w:val="00D45A46"/>
    <w:rsid w:val="00D74F80"/>
    <w:rsid w:val="00DB259E"/>
    <w:rsid w:val="00DE0D73"/>
    <w:rsid w:val="00DE1521"/>
    <w:rsid w:val="00DF0F8F"/>
    <w:rsid w:val="00E01D86"/>
    <w:rsid w:val="00E1101E"/>
    <w:rsid w:val="00E162B7"/>
    <w:rsid w:val="00E41B1E"/>
    <w:rsid w:val="00E91381"/>
    <w:rsid w:val="00EC0EE7"/>
    <w:rsid w:val="00EC49EF"/>
    <w:rsid w:val="00ED4FDA"/>
    <w:rsid w:val="00EF4768"/>
    <w:rsid w:val="00F235C3"/>
    <w:rsid w:val="00F32A37"/>
    <w:rsid w:val="00F37951"/>
    <w:rsid w:val="00F63DB3"/>
    <w:rsid w:val="00F67D32"/>
    <w:rsid w:val="00F73BB4"/>
    <w:rsid w:val="00F83286"/>
    <w:rsid w:val="00F918C1"/>
    <w:rsid w:val="00FD6363"/>
    <w:rsid w:val="00FE29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067237A9-8223-4CE8-9D0F-76716328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1"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CA0"/>
    <w:pPr>
      <w:tabs>
        <w:tab w:val="left" w:pos="567"/>
      </w:tabs>
      <w:spacing w:line="260" w:lineRule="exact"/>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2CA0"/>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semiHidden/>
    <w:locked/>
    <w:rsid w:val="004D3F4A"/>
    <w:rPr>
      <w:rFonts w:cs="Times New Roman"/>
      <w:sz w:val="20"/>
      <w:szCs w:val="20"/>
    </w:rPr>
  </w:style>
  <w:style w:type="paragraph" w:styleId="Header">
    <w:name w:val="header"/>
    <w:basedOn w:val="Normal"/>
    <w:link w:val="HeaderChar"/>
    <w:uiPriority w:val="99"/>
    <w:rsid w:val="001B2CA0"/>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semiHidden/>
    <w:locked/>
    <w:rsid w:val="004D3F4A"/>
    <w:rPr>
      <w:rFonts w:cs="Times New Roman"/>
      <w:sz w:val="20"/>
      <w:szCs w:val="20"/>
    </w:rPr>
  </w:style>
  <w:style w:type="paragraph" w:customStyle="1" w:styleId="MemoHeaderStyle">
    <w:name w:val="MemoHeaderStyle"/>
    <w:basedOn w:val="Normal"/>
    <w:next w:val="Normal"/>
    <w:uiPriority w:val="99"/>
    <w:rsid w:val="001B2CA0"/>
    <w:pPr>
      <w:spacing w:line="120" w:lineRule="atLeast"/>
      <w:ind w:left="1418"/>
      <w:jc w:val="both"/>
    </w:pPr>
    <w:rPr>
      <w:rFonts w:ascii="Arial" w:hAnsi="Arial"/>
      <w:b/>
      <w:smallCaps/>
    </w:rPr>
  </w:style>
  <w:style w:type="character" w:styleId="PageNumber">
    <w:name w:val="page number"/>
    <w:basedOn w:val="DefaultParagraphFont"/>
    <w:uiPriority w:val="99"/>
    <w:rsid w:val="001B2CA0"/>
    <w:rPr>
      <w:rFonts w:cs="Times New Roman"/>
    </w:rPr>
  </w:style>
  <w:style w:type="paragraph" w:styleId="BodyText">
    <w:name w:val="Body Text"/>
    <w:basedOn w:val="Normal"/>
    <w:link w:val="BodyTextChar"/>
    <w:uiPriority w:val="99"/>
    <w:rsid w:val="001B2CA0"/>
    <w:pPr>
      <w:tabs>
        <w:tab w:val="clear" w:pos="567"/>
      </w:tabs>
      <w:spacing w:line="240" w:lineRule="auto"/>
    </w:pPr>
    <w:rPr>
      <w:i/>
      <w:color w:val="008000"/>
    </w:rPr>
  </w:style>
  <w:style w:type="character" w:customStyle="1" w:styleId="BodyTextChar">
    <w:name w:val="Body Text Char"/>
    <w:basedOn w:val="DefaultParagraphFont"/>
    <w:link w:val="BodyText"/>
    <w:uiPriority w:val="99"/>
    <w:semiHidden/>
    <w:locked/>
    <w:rsid w:val="004D3F4A"/>
    <w:rPr>
      <w:rFonts w:cs="Times New Roman"/>
      <w:sz w:val="20"/>
      <w:szCs w:val="20"/>
    </w:rPr>
  </w:style>
  <w:style w:type="paragraph" w:styleId="CommentText">
    <w:name w:val="annotation text"/>
    <w:basedOn w:val="Normal"/>
    <w:link w:val="CommentTextChar"/>
    <w:uiPriority w:val="99"/>
    <w:semiHidden/>
    <w:rsid w:val="001B2CA0"/>
    <w:pPr>
      <w:spacing w:line="240" w:lineRule="auto"/>
    </w:pPr>
    <w:rPr>
      <w:sz w:val="20"/>
    </w:rPr>
  </w:style>
  <w:style w:type="character" w:customStyle="1" w:styleId="CommentTextChar">
    <w:name w:val="Comment Text Char"/>
    <w:basedOn w:val="DefaultParagraphFont"/>
    <w:link w:val="CommentText"/>
    <w:uiPriority w:val="99"/>
    <w:semiHidden/>
    <w:locked/>
    <w:rsid w:val="001B2CA0"/>
    <w:rPr>
      <w:rFonts w:eastAsia="Times New Roman" w:cs="Times New Roman"/>
      <w:lang w:eastAsia="pl-PL"/>
    </w:rPr>
  </w:style>
  <w:style w:type="character" w:styleId="Hyperlink">
    <w:name w:val="Hyperlink"/>
    <w:basedOn w:val="DefaultParagraphFont"/>
    <w:uiPriority w:val="99"/>
    <w:rsid w:val="001B2CA0"/>
    <w:rPr>
      <w:rFonts w:cs="Times New Roman"/>
      <w:color w:val="0000FF"/>
      <w:u w:val="single"/>
    </w:rPr>
  </w:style>
  <w:style w:type="paragraph" w:customStyle="1" w:styleId="EMEAEnBodyText">
    <w:name w:val="EMEA En Body Text"/>
    <w:basedOn w:val="Normal"/>
    <w:uiPriority w:val="99"/>
    <w:rsid w:val="001B2CA0"/>
    <w:pPr>
      <w:tabs>
        <w:tab w:val="clear" w:pos="567"/>
      </w:tabs>
      <w:spacing w:before="120" w:after="120" w:line="240" w:lineRule="auto"/>
      <w:jc w:val="both"/>
    </w:pPr>
  </w:style>
  <w:style w:type="paragraph" w:styleId="BalloonText">
    <w:name w:val="Balloon Text"/>
    <w:basedOn w:val="Normal"/>
    <w:link w:val="BalloonTextChar"/>
    <w:uiPriority w:val="99"/>
    <w:semiHidden/>
    <w:rsid w:val="001B2C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3F4A"/>
    <w:rPr>
      <w:rFonts w:cs="Times New Roman"/>
      <w:sz w:val="2"/>
    </w:rPr>
  </w:style>
  <w:style w:type="paragraph" w:customStyle="1" w:styleId="BodytextAgency">
    <w:name w:val="Body text (Agency)"/>
    <w:basedOn w:val="Normal"/>
    <w:link w:val="BodytextAgencyChar"/>
    <w:uiPriority w:val="99"/>
    <w:rsid w:val="001B2CA0"/>
    <w:pPr>
      <w:tabs>
        <w:tab w:val="clear" w:pos="567"/>
      </w:tabs>
      <w:spacing w:after="140" w:line="280" w:lineRule="atLeast"/>
    </w:pPr>
    <w:rPr>
      <w:rFonts w:ascii="Verdana" w:hAnsi="Verdana"/>
      <w:sz w:val="18"/>
    </w:rPr>
  </w:style>
  <w:style w:type="character" w:customStyle="1" w:styleId="BodytextAgencyChar">
    <w:name w:val="Body text (Agency) Char"/>
    <w:link w:val="BodytextAgency"/>
    <w:uiPriority w:val="99"/>
    <w:locked/>
    <w:rsid w:val="001B2CA0"/>
    <w:rPr>
      <w:rFonts w:ascii="Verdana" w:hAnsi="Verdana"/>
      <w:sz w:val="18"/>
      <w:lang w:val="pl-PL" w:eastAsia="pl-PL"/>
    </w:rPr>
  </w:style>
  <w:style w:type="paragraph" w:customStyle="1" w:styleId="DraftingNotesAgency">
    <w:name w:val="Drafting Notes (Agency)"/>
    <w:basedOn w:val="Normal"/>
    <w:next w:val="BodytextAgency"/>
    <w:link w:val="DraftingNotesAgencyChar"/>
    <w:uiPriority w:val="99"/>
    <w:rsid w:val="001B2CA0"/>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link w:val="DraftingNotesAgency"/>
    <w:uiPriority w:val="99"/>
    <w:locked/>
    <w:rsid w:val="001B2CA0"/>
    <w:rPr>
      <w:rFonts w:ascii="Courier New" w:hAnsi="Courier New"/>
      <w:i/>
      <w:color w:val="339966"/>
      <w:sz w:val="18"/>
      <w:lang w:val="pl-PL" w:eastAsia="pl-PL"/>
    </w:rPr>
  </w:style>
  <w:style w:type="paragraph" w:customStyle="1" w:styleId="NormalAgency">
    <w:name w:val="Normal (Agency)"/>
    <w:link w:val="NormalAgencyChar"/>
    <w:uiPriority w:val="99"/>
    <w:rsid w:val="001B2CA0"/>
    <w:rPr>
      <w:rFonts w:ascii="Verdana" w:hAnsi="Verdana"/>
    </w:rPr>
  </w:style>
  <w:style w:type="table" w:customStyle="1" w:styleId="TablegridAgencyblack">
    <w:name w:val="Table grid (Agency) black"/>
    <w:uiPriority w:val="99"/>
    <w:semiHidden/>
    <w:rsid w:val="001B2CA0"/>
    <w:rPr>
      <w:rFonts w:ascii="Verdana" w:hAnsi="Verdana"/>
      <w:sz w:val="18"/>
      <w:szCs w:val="20"/>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1B2CA0"/>
    <w:pPr>
      <w:keepNext/>
    </w:pPr>
    <w:rPr>
      <w:b/>
    </w:rPr>
  </w:style>
  <w:style w:type="paragraph" w:customStyle="1" w:styleId="TabletextrowsAgency">
    <w:name w:val="Table text rows (Agency)"/>
    <w:basedOn w:val="Normal"/>
    <w:uiPriority w:val="99"/>
    <w:rsid w:val="001B2CA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uiPriority w:val="99"/>
    <w:locked/>
    <w:rsid w:val="001B2CA0"/>
    <w:rPr>
      <w:rFonts w:ascii="Verdana" w:hAnsi="Verdana"/>
      <w:sz w:val="22"/>
      <w:lang w:val="pl-PL" w:eastAsia="pl-PL"/>
    </w:rPr>
  </w:style>
  <w:style w:type="character" w:styleId="CommentReference">
    <w:name w:val="annotation reference"/>
    <w:basedOn w:val="DefaultParagraphFont"/>
    <w:uiPriority w:val="99"/>
    <w:semiHidden/>
    <w:rsid w:val="001B2CA0"/>
    <w:rPr>
      <w:rFonts w:cs="Times New Roman"/>
      <w:sz w:val="16"/>
      <w:szCs w:val="16"/>
    </w:rPr>
  </w:style>
  <w:style w:type="paragraph" w:styleId="CommentSubject">
    <w:name w:val="annotation subject"/>
    <w:basedOn w:val="CommentText"/>
    <w:next w:val="CommentText"/>
    <w:link w:val="CommentSubjectChar"/>
    <w:uiPriority w:val="99"/>
    <w:rsid w:val="001B2CA0"/>
    <w:rPr>
      <w:b/>
      <w:bCs/>
    </w:rPr>
  </w:style>
  <w:style w:type="character" w:customStyle="1" w:styleId="CommentSubjectChar">
    <w:name w:val="Comment Subject Char"/>
    <w:basedOn w:val="CommentTextChar"/>
    <w:link w:val="CommentSubject"/>
    <w:uiPriority w:val="99"/>
    <w:locked/>
    <w:rsid w:val="001B2CA0"/>
    <w:rPr>
      <w:rFonts w:eastAsia="Times New Roman" w:cs="Times New Roman"/>
      <w:b/>
      <w:lang w:eastAsia="pl-PL"/>
    </w:rPr>
  </w:style>
  <w:style w:type="paragraph" w:styleId="Revision">
    <w:name w:val="Revision"/>
    <w:hidden/>
    <w:uiPriority w:val="99"/>
    <w:semiHidden/>
    <w:rsid w:val="001B2CA0"/>
    <w:rPr>
      <w:szCs w:val="20"/>
    </w:rPr>
  </w:style>
  <w:style w:type="paragraph" w:customStyle="1" w:styleId="Default">
    <w:name w:val="Default"/>
    <w:uiPriority w:val="99"/>
    <w:rsid w:val="001B2CA0"/>
    <w:pPr>
      <w:autoSpaceDE w:val="0"/>
      <w:autoSpaceDN w:val="0"/>
      <w:adjustRightInd w:val="0"/>
    </w:pPr>
    <w:rPr>
      <w:color w:val="000000"/>
      <w:sz w:val="24"/>
      <w:szCs w:val="24"/>
    </w:rPr>
  </w:style>
  <w:style w:type="paragraph" w:styleId="ListParagraph">
    <w:name w:val="List Paragraph"/>
    <w:basedOn w:val="Normal"/>
    <w:uiPriority w:val="99"/>
    <w:qFormat/>
    <w:rsid w:val="001B2CA0"/>
    <w:pPr>
      <w:ind w:left="720"/>
      <w:contextualSpacing/>
    </w:pPr>
  </w:style>
  <w:style w:type="character" w:styleId="FollowedHyperlink">
    <w:name w:val="FollowedHyperlink"/>
    <w:basedOn w:val="DefaultParagraphFont"/>
    <w:uiPriority w:val="99"/>
    <w:semiHidden/>
    <w:rsid w:val="00126E55"/>
    <w:rPr>
      <w:rFonts w:cs="Times New Roman"/>
      <w:color w:val="800080"/>
      <w:u w:val="single"/>
    </w:rPr>
  </w:style>
  <w:style w:type="paragraph" w:customStyle="1" w:styleId="TitleA">
    <w:name w:val="Title A"/>
    <w:basedOn w:val="Normal"/>
    <w:qFormat/>
    <w:rsid w:val="001568EB"/>
    <w:pPr>
      <w:widowControl w:val="0"/>
      <w:autoSpaceDE w:val="0"/>
      <w:autoSpaceDN w:val="0"/>
      <w:adjustRightInd w:val="0"/>
      <w:spacing w:after="140" w:line="280" w:lineRule="atLeast"/>
      <w:ind w:right="120"/>
      <w:jc w:val="center"/>
    </w:pPr>
    <w:rPr>
      <w:rFonts w:eastAsia="Times New Roman" w:cs="Verdana"/>
      <w:b/>
      <w:bCs/>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400C-51F1-43A5-901F-1F581E23D757}"/>
</file>

<file path=customXml/itemProps2.xml><?xml version="1.0" encoding="utf-8"?>
<ds:datastoreItem xmlns:ds="http://schemas.openxmlformats.org/officeDocument/2006/customXml" ds:itemID="{942A2B46-FCCC-49E4-B8F5-811AD26032BC}">
  <ds:schemaRefs>
    <ds:schemaRef ds:uri="http://schemas.microsoft.com/sharepoint/v3/contenttype/forms"/>
  </ds:schemaRefs>
</ds:datastoreItem>
</file>

<file path=customXml/itemProps3.xml><?xml version="1.0" encoding="utf-8"?>
<ds:datastoreItem xmlns:ds="http://schemas.openxmlformats.org/officeDocument/2006/customXml" ds:itemID="{86EC4265-85DF-4748-831D-3021BAC7DBBE}">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28BA88E-E1C9-476F-A023-9175C8D7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4395</Words>
  <Characters>28971</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Cuprior, INN-Trientine tetrahydrochloride</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ema-combined-h-4005-pl-annotated</dc:title>
  <dc:subject>EPAR</dc:subject>
  <dc:creator>VCLS</dc:creator>
  <cp:keywords>Cuprior, INN-Trientine tetrahydrochloride</cp:keywords>
  <cp:lastModifiedBy>Scanlan Elizabeth</cp:lastModifiedBy>
  <cp:revision>10</cp:revision>
  <dcterms:created xsi:type="dcterms:W3CDTF">2019-08-27T10:19:00Z</dcterms:created>
  <dcterms:modified xsi:type="dcterms:W3CDTF">2021-05-24T19:46:00Z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15:44:20</vt:lpwstr>
  </property>
  <property fmtid="{D5CDD505-2E9C-101B-9397-08002B2CF9AE}" pid="6" name="DM_Creator_Name">
    <vt:lpwstr>Leszczynska Edyta</vt:lpwstr>
  </property>
  <property fmtid="{D5CDD505-2E9C-101B-9397-08002B2CF9AE}" pid="7" name="DM_DocRefId">
    <vt:lpwstr>EMA/458168/2020</vt:lpwstr>
  </property>
  <property fmtid="{D5CDD505-2E9C-101B-9397-08002B2CF9AE}" pid="8" name="DM_emea_doc_ref_id">
    <vt:lpwstr>EMA/458168/2020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15:44:21</vt:lpwstr>
  </property>
  <property fmtid="{D5CDD505-2E9C-101B-9397-08002B2CF9AE}" pid="13" name="DM_Modifier_Name">
    <vt:lpwstr>Leszczynska Edyta</vt:lpwstr>
  </property>
  <property fmtid="{D5CDD505-2E9C-101B-9397-08002B2CF9AE}" pid="14" name="DM_Modify_Date">
    <vt:lpwstr>28/08/2020 15:44:21</vt:lpwstr>
  </property>
  <property fmtid="{D5CDD505-2E9C-101B-9397-08002B2CF9AE}" pid="15" name="DM_Name">
    <vt:lpwstr>ema-combined-h-4005-pl-annotated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2021-05-24T19:46:46Z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e35c6e20-e57b-4768-8043-0cf6d9e86a6e</vt:lpwstr>
  </property>
  <property fmtid="{D5CDD505-2E9C-101B-9397-08002B2CF9AE}" pid="28" name="MSIP_Label_0eea11ca-d417-4147-80ed-01a58412c458_ContentBits">
    <vt:lpwstr>2</vt:lpwstr>
  </property>
</Properties>
</file>