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9C95E" w14:textId="77777777" w:rsidR="00E20FC3" w:rsidRPr="00CD1283" w:rsidRDefault="00E20FC3" w:rsidP="00E20FC3">
      <w:pPr>
        <w:rPr>
          <w:noProof/>
        </w:rPr>
      </w:pPr>
      <w:bookmarkStart w:id="0" w:name="_GoBack"/>
      <w:bookmarkEnd w:id="0"/>
    </w:p>
    <w:p w14:paraId="4159C95F" w14:textId="77777777" w:rsidR="00E20FC3" w:rsidRPr="00CD1283" w:rsidRDefault="00E20FC3" w:rsidP="00E20FC3">
      <w:pPr>
        <w:rPr>
          <w:noProof/>
        </w:rPr>
      </w:pPr>
    </w:p>
    <w:p w14:paraId="4159C960" w14:textId="77777777" w:rsidR="00E20FC3" w:rsidRPr="00CD1283" w:rsidRDefault="00E20FC3" w:rsidP="00E20FC3">
      <w:pPr>
        <w:rPr>
          <w:noProof/>
        </w:rPr>
      </w:pPr>
    </w:p>
    <w:p w14:paraId="4159C961" w14:textId="77777777" w:rsidR="00E20FC3" w:rsidRPr="00CD1283" w:rsidRDefault="00E20FC3" w:rsidP="00E20FC3">
      <w:pPr>
        <w:rPr>
          <w:noProof/>
        </w:rPr>
      </w:pPr>
    </w:p>
    <w:p w14:paraId="4159C962" w14:textId="77777777" w:rsidR="00E20FC3" w:rsidRPr="00CD1283" w:rsidRDefault="00E20FC3" w:rsidP="00E20FC3">
      <w:pPr>
        <w:rPr>
          <w:noProof/>
          <w:szCs w:val="22"/>
        </w:rPr>
      </w:pPr>
    </w:p>
    <w:p w14:paraId="4159C963" w14:textId="77777777" w:rsidR="00E20FC3" w:rsidRPr="00CD1283" w:rsidRDefault="00E20FC3" w:rsidP="00E20FC3">
      <w:pPr>
        <w:rPr>
          <w:noProof/>
          <w:szCs w:val="22"/>
        </w:rPr>
      </w:pPr>
    </w:p>
    <w:p w14:paraId="4159C964" w14:textId="77777777" w:rsidR="00E20FC3" w:rsidRPr="00CD1283" w:rsidRDefault="00E20FC3" w:rsidP="00E20FC3">
      <w:pPr>
        <w:rPr>
          <w:noProof/>
          <w:szCs w:val="22"/>
        </w:rPr>
      </w:pPr>
    </w:p>
    <w:p w14:paraId="4159C965" w14:textId="77777777" w:rsidR="00E20FC3" w:rsidRPr="00CD1283" w:rsidRDefault="00E20FC3" w:rsidP="00E20FC3">
      <w:pPr>
        <w:rPr>
          <w:noProof/>
          <w:szCs w:val="22"/>
        </w:rPr>
      </w:pPr>
    </w:p>
    <w:p w14:paraId="4159C966" w14:textId="77777777" w:rsidR="00E20FC3" w:rsidRPr="00CD1283" w:rsidRDefault="00E20FC3" w:rsidP="00E20FC3">
      <w:pPr>
        <w:rPr>
          <w:noProof/>
          <w:szCs w:val="22"/>
        </w:rPr>
      </w:pPr>
    </w:p>
    <w:p w14:paraId="4159C967" w14:textId="77777777" w:rsidR="00E20FC3" w:rsidRPr="00CD1283" w:rsidRDefault="00E20FC3" w:rsidP="00E20FC3">
      <w:pPr>
        <w:rPr>
          <w:noProof/>
          <w:szCs w:val="22"/>
        </w:rPr>
      </w:pPr>
    </w:p>
    <w:p w14:paraId="4159C968" w14:textId="77777777" w:rsidR="00E20FC3" w:rsidRPr="00CD1283" w:rsidRDefault="00E20FC3" w:rsidP="00E20FC3">
      <w:pPr>
        <w:rPr>
          <w:noProof/>
          <w:szCs w:val="22"/>
        </w:rPr>
      </w:pPr>
    </w:p>
    <w:p w14:paraId="4159C969" w14:textId="77777777" w:rsidR="00E20FC3" w:rsidRPr="00CD1283" w:rsidRDefault="00E20FC3" w:rsidP="00E20FC3">
      <w:pPr>
        <w:rPr>
          <w:noProof/>
          <w:szCs w:val="22"/>
        </w:rPr>
      </w:pPr>
    </w:p>
    <w:p w14:paraId="4159C96A" w14:textId="77777777" w:rsidR="00E20FC3" w:rsidRPr="00CD1283" w:rsidRDefault="00E20FC3" w:rsidP="00E20FC3">
      <w:pPr>
        <w:rPr>
          <w:noProof/>
          <w:szCs w:val="22"/>
        </w:rPr>
      </w:pPr>
    </w:p>
    <w:p w14:paraId="4159C96B" w14:textId="77777777" w:rsidR="00E20FC3" w:rsidRPr="00CD1283" w:rsidRDefault="00E20FC3" w:rsidP="00E20FC3">
      <w:pPr>
        <w:rPr>
          <w:noProof/>
          <w:szCs w:val="22"/>
        </w:rPr>
      </w:pPr>
    </w:p>
    <w:p w14:paraId="4159C96C" w14:textId="77777777" w:rsidR="00E20FC3" w:rsidRPr="00CD1283" w:rsidRDefault="00E20FC3" w:rsidP="00E20FC3">
      <w:pPr>
        <w:rPr>
          <w:noProof/>
          <w:szCs w:val="22"/>
        </w:rPr>
      </w:pPr>
    </w:p>
    <w:p w14:paraId="4159C96D" w14:textId="77777777" w:rsidR="00E20FC3" w:rsidRPr="00CD1283" w:rsidRDefault="00E20FC3" w:rsidP="00E20FC3">
      <w:pPr>
        <w:rPr>
          <w:noProof/>
          <w:szCs w:val="22"/>
        </w:rPr>
      </w:pPr>
    </w:p>
    <w:p w14:paraId="4159C96E" w14:textId="77777777" w:rsidR="00E20FC3" w:rsidRPr="00CD1283" w:rsidRDefault="00E20FC3" w:rsidP="00E20FC3">
      <w:pPr>
        <w:rPr>
          <w:noProof/>
          <w:szCs w:val="22"/>
        </w:rPr>
      </w:pPr>
    </w:p>
    <w:p w14:paraId="4159C96F" w14:textId="77777777" w:rsidR="00E20FC3" w:rsidRPr="00CD1283" w:rsidRDefault="00E20FC3" w:rsidP="00E20FC3"/>
    <w:p w14:paraId="4159C970" w14:textId="77777777" w:rsidR="00E20FC3" w:rsidRPr="00CD1283" w:rsidRDefault="00E20FC3" w:rsidP="00E20FC3"/>
    <w:p w14:paraId="4159C971" w14:textId="77777777" w:rsidR="00E20FC3" w:rsidRPr="00CD1283" w:rsidRDefault="00E20FC3" w:rsidP="00E20FC3"/>
    <w:p w14:paraId="4159C972" w14:textId="77777777" w:rsidR="00E20FC3" w:rsidRPr="00CD1283" w:rsidRDefault="00E20FC3" w:rsidP="00E20FC3"/>
    <w:p w14:paraId="4159C973" w14:textId="77777777" w:rsidR="00E20FC3" w:rsidRPr="00CD1283" w:rsidRDefault="00E20FC3" w:rsidP="00E20FC3"/>
    <w:p w14:paraId="4159C974" w14:textId="77777777" w:rsidR="00E20FC3" w:rsidRPr="00CD1283" w:rsidRDefault="00C35B70" w:rsidP="00E20FC3">
      <w:pPr>
        <w:spacing w:line="240" w:lineRule="auto"/>
        <w:jc w:val="center"/>
        <w:outlineLvl w:val="0"/>
      </w:pPr>
      <w:r w:rsidRPr="00CD1283">
        <w:rPr>
          <w:b/>
        </w:rPr>
        <w:t>ANEXO I</w:t>
      </w:r>
    </w:p>
    <w:p w14:paraId="4159C975" w14:textId="77777777" w:rsidR="00E20FC3" w:rsidRPr="00CD1283" w:rsidRDefault="00E20FC3" w:rsidP="00E20FC3"/>
    <w:p w14:paraId="4159C976" w14:textId="77777777" w:rsidR="00E20FC3" w:rsidRPr="00CD1283" w:rsidRDefault="00C35B70" w:rsidP="00E20FC3">
      <w:pPr>
        <w:spacing w:line="240" w:lineRule="auto"/>
        <w:jc w:val="center"/>
        <w:outlineLvl w:val="0"/>
      </w:pPr>
      <w:r w:rsidRPr="00CD1283">
        <w:rPr>
          <w:b/>
        </w:rPr>
        <w:t>RESUMO DAS CARACTERÍSTICAS DO MEDICAMENTO</w:t>
      </w:r>
    </w:p>
    <w:p w14:paraId="4159C977" w14:textId="77777777" w:rsidR="00E20FC3" w:rsidRPr="00CD1283" w:rsidRDefault="00C35B70" w:rsidP="00E20FC3">
      <w:pPr>
        <w:pStyle w:val="ListParagraph"/>
        <w:numPr>
          <w:ilvl w:val="0"/>
          <w:numId w:val="28"/>
        </w:numPr>
        <w:spacing w:line="240" w:lineRule="auto"/>
        <w:ind w:hanging="930"/>
        <w:rPr>
          <w:b/>
        </w:rPr>
      </w:pPr>
      <w:r w:rsidRPr="00CD1283">
        <w:br w:type="page"/>
      </w:r>
      <w:r w:rsidRPr="00CD1283">
        <w:rPr>
          <w:b/>
        </w:rPr>
        <w:lastRenderedPageBreak/>
        <w:t>NOME DO MEDICAMENTO</w:t>
      </w:r>
    </w:p>
    <w:p w14:paraId="4159C978" w14:textId="77777777" w:rsidR="00E20FC3" w:rsidRPr="00CD1283" w:rsidRDefault="00E20FC3" w:rsidP="00E20FC3">
      <w:pPr>
        <w:spacing w:line="240" w:lineRule="auto"/>
        <w:rPr>
          <w:iCs/>
          <w:noProof/>
          <w:szCs w:val="22"/>
        </w:rPr>
      </w:pPr>
    </w:p>
    <w:p w14:paraId="4159C979" w14:textId="77777777" w:rsidR="00E20FC3" w:rsidRPr="00CD1283" w:rsidRDefault="00C35B70" w:rsidP="00E20FC3">
      <w:pPr>
        <w:widowControl w:val="0"/>
        <w:spacing w:line="240" w:lineRule="auto"/>
        <w:rPr>
          <w:noProof/>
          <w:szCs w:val="22"/>
        </w:rPr>
      </w:pPr>
      <w:r w:rsidRPr="00CD1283">
        <w:t>Cuprior 150 mg comprimidos</w:t>
      </w:r>
      <w:r w:rsidR="00FA2344" w:rsidRPr="00CD1283">
        <w:t xml:space="preserve"> revestidos por película</w:t>
      </w:r>
    </w:p>
    <w:p w14:paraId="4159C97A" w14:textId="77777777" w:rsidR="00E20FC3" w:rsidRPr="00CD1283" w:rsidRDefault="00E20FC3" w:rsidP="00E20FC3">
      <w:pPr>
        <w:spacing w:line="240" w:lineRule="auto"/>
        <w:rPr>
          <w:iCs/>
          <w:noProof/>
          <w:szCs w:val="22"/>
        </w:rPr>
      </w:pPr>
    </w:p>
    <w:p w14:paraId="4159C97B" w14:textId="77777777" w:rsidR="00E20FC3" w:rsidRPr="00CD1283" w:rsidRDefault="00E20FC3" w:rsidP="00E20FC3">
      <w:pPr>
        <w:spacing w:line="240" w:lineRule="auto"/>
        <w:rPr>
          <w:iCs/>
          <w:noProof/>
          <w:szCs w:val="22"/>
        </w:rPr>
      </w:pPr>
    </w:p>
    <w:p w14:paraId="4159C97C" w14:textId="77777777" w:rsidR="00E20FC3" w:rsidRPr="00CD1283" w:rsidRDefault="00C35B70" w:rsidP="00E20FC3">
      <w:pPr>
        <w:pStyle w:val="ListParagraph"/>
        <w:numPr>
          <w:ilvl w:val="0"/>
          <w:numId w:val="28"/>
        </w:numPr>
        <w:spacing w:line="240" w:lineRule="auto"/>
        <w:ind w:hanging="930"/>
        <w:rPr>
          <w:b/>
        </w:rPr>
      </w:pPr>
      <w:r w:rsidRPr="00CD1283">
        <w:rPr>
          <w:b/>
        </w:rPr>
        <w:t>COMPOSIÇÃO QUALITATIVA E QUANTITATIVA</w:t>
      </w:r>
    </w:p>
    <w:p w14:paraId="4159C97D" w14:textId="77777777" w:rsidR="00E20FC3" w:rsidRPr="00CD1283" w:rsidRDefault="00E20FC3" w:rsidP="00E20FC3">
      <w:pPr>
        <w:spacing w:line="240" w:lineRule="auto"/>
        <w:rPr>
          <w:iCs/>
          <w:noProof/>
          <w:szCs w:val="22"/>
        </w:rPr>
      </w:pPr>
    </w:p>
    <w:p w14:paraId="4159C97E" w14:textId="77777777" w:rsidR="00E20FC3" w:rsidRPr="00CD1283" w:rsidRDefault="00C35B70" w:rsidP="00E20FC3">
      <w:pPr>
        <w:widowControl w:val="0"/>
        <w:rPr>
          <w:szCs w:val="22"/>
        </w:rPr>
      </w:pPr>
      <w:r w:rsidRPr="00CD1283">
        <w:t>Cada comprimido</w:t>
      </w:r>
      <w:r w:rsidR="00FA2344" w:rsidRPr="00CD1283">
        <w:t xml:space="preserve"> revestido por película</w:t>
      </w:r>
      <w:r w:rsidRPr="00CD1283">
        <w:t xml:space="preserve"> contém tetracloridrato de trientina, equivalente a 150 mg de trientina.</w:t>
      </w:r>
    </w:p>
    <w:p w14:paraId="4159C97F" w14:textId="77777777" w:rsidR="00E20FC3" w:rsidRPr="00CD1283" w:rsidRDefault="00E20FC3" w:rsidP="00E20FC3">
      <w:pPr>
        <w:rPr>
          <w:szCs w:val="22"/>
        </w:rPr>
      </w:pPr>
    </w:p>
    <w:p w14:paraId="4159C980" w14:textId="77777777" w:rsidR="00E20FC3" w:rsidRPr="00CD1283" w:rsidRDefault="00C35B70" w:rsidP="00E20FC3">
      <w:pPr>
        <w:outlineLvl w:val="0"/>
        <w:rPr>
          <w:noProof/>
          <w:szCs w:val="22"/>
        </w:rPr>
      </w:pPr>
      <w:r w:rsidRPr="00CD1283">
        <w:t>Lista completa de excipientes, ver secção 6.1.</w:t>
      </w:r>
    </w:p>
    <w:p w14:paraId="4159C981" w14:textId="77777777" w:rsidR="00E20FC3" w:rsidRPr="00CD1283" w:rsidRDefault="00E20FC3" w:rsidP="00E20FC3">
      <w:pPr>
        <w:rPr>
          <w:noProof/>
          <w:szCs w:val="22"/>
        </w:rPr>
      </w:pPr>
    </w:p>
    <w:p w14:paraId="4159C982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983" w14:textId="77777777" w:rsidR="00E20FC3" w:rsidRPr="00CD1283" w:rsidRDefault="00C35B70" w:rsidP="00E20FC3">
      <w:pPr>
        <w:pStyle w:val="ListParagraph"/>
        <w:numPr>
          <w:ilvl w:val="0"/>
          <w:numId w:val="28"/>
        </w:numPr>
        <w:spacing w:line="240" w:lineRule="auto"/>
        <w:ind w:hanging="930"/>
        <w:rPr>
          <w:b/>
        </w:rPr>
      </w:pPr>
      <w:r w:rsidRPr="00CD1283">
        <w:rPr>
          <w:b/>
        </w:rPr>
        <w:t>FORMA FARMACÊUTICA</w:t>
      </w:r>
    </w:p>
    <w:p w14:paraId="4159C984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985" w14:textId="77777777" w:rsidR="00E20FC3" w:rsidRPr="00CD1283" w:rsidRDefault="00C35B70" w:rsidP="00E20FC3">
      <w:pPr>
        <w:rPr>
          <w:noProof/>
          <w:szCs w:val="22"/>
        </w:rPr>
      </w:pPr>
      <w:r w:rsidRPr="00CD1283">
        <w:t>Comprimido</w:t>
      </w:r>
      <w:r w:rsidR="00FA2344" w:rsidRPr="00CD1283">
        <w:t xml:space="preserve"> revestido por película (comprimido)</w:t>
      </w:r>
      <w:r w:rsidRPr="00CD1283">
        <w:t>.</w:t>
      </w:r>
    </w:p>
    <w:p w14:paraId="4159C986" w14:textId="77777777" w:rsidR="00E20FC3" w:rsidRPr="00CD1283" w:rsidRDefault="00E20FC3" w:rsidP="00E20FC3">
      <w:pPr>
        <w:rPr>
          <w:noProof/>
          <w:szCs w:val="22"/>
        </w:rPr>
      </w:pPr>
    </w:p>
    <w:p w14:paraId="4159C987" w14:textId="1FEC55F1" w:rsidR="00E20FC3" w:rsidRPr="00CD1283" w:rsidRDefault="00C35B70" w:rsidP="00E20FC3">
      <w:pPr>
        <w:rPr>
          <w:noProof/>
          <w:szCs w:val="22"/>
        </w:rPr>
      </w:pPr>
      <w:r w:rsidRPr="00CD1283">
        <w:t>Comprimido</w:t>
      </w:r>
      <w:r w:rsidR="00FA2344" w:rsidRPr="00CD1283">
        <w:t xml:space="preserve"> revestido por película amarelo</w:t>
      </w:r>
      <w:r w:rsidRPr="00CD1283">
        <w:t>, oblongo, de 16 mm x 8</w:t>
      </w:r>
      <w:r w:rsidRPr="00CD1283">
        <w:t xml:space="preserve"> mm, com uma ranhura </w:t>
      </w:r>
      <w:r w:rsidR="00FA2344" w:rsidRPr="00CD1283">
        <w:t>em cada face</w:t>
      </w:r>
      <w:r w:rsidRPr="00CD1283">
        <w:t>.</w:t>
      </w:r>
    </w:p>
    <w:p w14:paraId="4159C988" w14:textId="77777777" w:rsidR="00E20FC3" w:rsidRPr="00CD1283" w:rsidRDefault="00E20FC3" w:rsidP="00E20FC3">
      <w:pPr>
        <w:rPr>
          <w:noProof/>
          <w:szCs w:val="22"/>
        </w:rPr>
      </w:pPr>
    </w:p>
    <w:p w14:paraId="4159C989" w14:textId="77777777" w:rsidR="00E20FC3" w:rsidRPr="00CD1283" w:rsidRDefault="00C35B70" w:rsidP="00E20FC3">
      <w:pPr>
        <w:rPr>
          <w:noProof/>
          <w:szCs w:val="22"/>
        </w:rPr>
      </w:pPr>
      <w:r w:rsidRPr="00CD1283">
        <w:t>O comprimido pode ser dividido em doses iguais.</w:t>
      </w:r>
    </w:p>
    <w:p w14:paraId="4159C98A" w14:textId="77777777" w:rsidR="00E20FC3" w:rsidRPr="00CD1283" w:rsidRDefault="00E20FC3" w:rsidP="00E20FC3">
      <w:pPr>
        <w:rPr>
          <w:noProof/>
          <w:szCs w:val="22"/>
        </w:rPr>
      </w:pPr>
    </w:p>
    <w:p w14:paraId="4159C98B" w14:textId="77777777" w:rsidR="00E20FC3" w:rsidRPr="00CD1283" w:rsidRDefault="00E20FC3" w:rsidP="00E20FC3">
      <w:pPr>
        <w:rPr>
          <w:noProof/>
          <w:szCs w:val="22"/>
        </w:rPr>
      </w:pPr>
    </w:p>
    <w:p w14:paraId="4159C98C" w14:textId="77777777" w:rsidR="00E20FC3" w:rsidRPr="00CD1283" w:rsidRDefault="00C35B70" w:rsidP="00E20FC3">
      <w:pPr>
        <w:pStyle w:val="ListParagraph"/>
        <w:numPr>
          <w:ilvl w:val="0"/>
          <w:numId w:val="28"/>
        </w:numPr>
        <w:spacing w:line="240" w:lineRule="auto"/>
        <w:ind w:hanging="930"/>
        <w:rPr>
          <w:b/>
        </w:rPr>
      </w:pPr>
      <w:r w:rsidRPr="00CD1283">
        <w:rPr>
          <w:b/>
        </w:rPr>
        <w:t>INFORMAÇÕES CLÍNICAS</w:t>
      </w:r>
    </w:p>
    <w:p w14:paraId="4159C98D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98E" w14:textId="77777777" w:rsidR="00E20FC3" w:rsidRPr="00CD1283" w:rsidRDefault="00C35B70" w:rsidP="00E20FC3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noProof/>
          <w:szCs w:val="22"/>
        </w:rPr>
      </w:pPr>
      <w:r w:rsidRPr="00CD1283">
        <w:rPr>
          <w:b/>
          <w:noProof/>
        </w:rPr>
        <w:t>Indicações terapêuticas</w:t>
      </w:r>
    </w:p>
    <w:p w14:paraId="4159C98F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990" w14:textId="77777777" w:rsidR="00E20FC3" w:rsidRPr="00CD1283" w:rsidRDefault="00C35B70" w:rsidP="00E20FC3">
      <w:pPr>
        <w:rPr>
          <w:i/>
          <w:color w:val="000000"/>
          <w:szCs w:val="22"/>
        </w:rPr>
      </w:pPr>
      <w:r w:rsidRPr="00CD1283">
        <w:t xml:space="preserve">O Cuprior está indicado para o tratamento da doença de Wilson em adultos, adolescentes e crianças com idade igual ou </w:t>
      </w:r>
      <w:r w:rsidRPr="00CD1283">
        <w:t>superior a 5 anos intolerantes à terapêutica com D-penicilamina.</w:t>
      </w:r>
    </w:p>
    <w:p w14:paraId="4159C991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992" w14:textId="77777777" w:rsidR="00E20FC3" w:rsidRPr="00CD1283" w:rsidRDefault="00C35B70" w:rsidP="00E20FC3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noProof/>
          <w:szCs w:val="22"/>
        </w:rPr>
      </w:pPr>
      <w:r w:rsidRPr="00CD1283">
        <w:rPr>
          <w:b/>
          <w:noProof/>
        </w:rPr>
        <w:t>Posologia e modo de administração</w:t>
      </w:r>
    </w:p>
    <w:p w14:paraId="4159C993" w14:textId="77777777" w:rsidR="00E20FC3" w:rsidRPr="00CD1283" w:rsidRDefault="00E20FC3" w:rsidP="00E20FC3">
      <w:pPr>
        <w:spacing w:line="240" w:lineRule="auto"/>
        <w:rPr>
          <w:szCs w:val="22"/>
        </w:rPr>
      </w:pPr>
    </w:p>
    <w:p w14:paraId="4159C994" w14:textId="77777777" w:rsidR="00E20FC3" w:rsidRPr="00CD1283" w:rsidRDefault="00C35B70" w:rsidP="00E20FC3">
      <w:pPr>
        <w:rPr>
          <w:szCs w:val="22"/>
        </w:rPr>
      </w:pPr>
      <w:r w:rsidRPr="00CD1283">
        <w:t xml:space="preserve">O tratamento só deve ser iniciado por médicos especialistas com experiência no tratamento da doença de Wilson. </w:t>
      </w:r>
    </w:p>
    <w:p w14:paraId="4159C995" w14:textId="77777777" w:rsidR="00E20FC3" w:rsidRPr="00CD1283" w:rsidRDefault="00E20FC3" w:rsidP="00E20FC3">
      <w:pPr>
        <w:rPr>
          <w:szCs w:val="22"/>
        </w:rPr>
      </w:pPr>
    </w:p>
    <w:p w14:paraId="4159C996" w14:textId="77777777" w:rsidR="00E20FC3" w:rsidRPr="00CD1283" w:rsidRDefault="00C35B70" w:rsidP="00E20FC3">
      <w:pPr>
        <w:rPr>
          <w:szCs w:val="22"/>
        </w:rPr>
      </w:pPr>
      <w:r w:rsidRPr="00CD1283">
        <w:rPr>
          <w:u w:val="single"/>
        </w:rPr>
        <w:t>Posologia</w:t>
      </w:r>
    </w:p>
    <w:p w14:paraId="4159C997" w14:textId="77777777" w:rsidR="00E20FC3" w:rsidRPr="00CD1283" w:rsidRDefault="00C35B70" w:rsidP="00E20FC3">
      <w:pPr>
        <w:rPr>
          <w:rFonts w:eastAsia="SimSun"/>
          <w:szCs w:val="22"/>
        </w:rPr>
      </w:pPr>
      <w:r w:rsidRPr="00CD1283">
        <w:t xml:space="preserve">A dose inicial deve, </w:t>
      </w:r>
      <w:r w:rsidRPr="00CD1283">
        <w:t>habitualmente, corresponder à dose mais baixa do intervalo e, subsequentemente, ser adaptada de acordo com a resposta clínica do doente (ver secção 4.4).</w:t>
      </w:r>
    </w:p>
    <w:p w14:paraId="4159C998" w14:textId="77777777" w:rsidR="00E20FC3" w:rsidRPr="00CD1283" w:rsidRDefault="00E20FC3" w:rsidP="00E20FC3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i/>
          <w:iCs/>
          <w:szCs w:val="22"/>
        </w:rPr>
      </w:pPr>
    </w:p>
    <w:p w14:paraId="4159C999" w14:textId="77777777" w:rsidR="00E20FC3" w:rsidRPr="00CD1283" w:rsidRDefault="00C35B70" w:rsidP="00E20FC3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iCs/>
          <w:szCs w:val="22"/>
        </w:rPr>
      </w:pPr>
      <w:r w:rsidRPr="00CD1283">
        <w:t>A dose recomendada varia entre 450 mg e 975 mg (3 a 6</w:t>
      </w:r>
      <w:r w:rsidRPr="00CD1283">
        <w:rPr>
          <w:b/>
        </w:rPr>
        <w:t xml:space="preserve">½ </w:t>
      </w:r>
      <w:r w:rsidRPr="00CD1283">
        <w:t>comprimidos</w:t>
      </w:r>
      <w:r w:rsidR="00FA2344" w:rsidRPr="00CD1283">
        <w:t xml:space="preserve"> revestidos por película</w:t>
      </w:r>
      <w:r w:rsidRPr="00CD1283">
        <w:t xml:space="preserve">) por dia, </w:t>
      </w:r>
      <w:r w:rsidRPr="00CD1283">
        <w:t xml:space="preserve">dividida em 2 a 4 doses. </w:t>
      </w:r>
    </w:p>
    <w:p w14:paraId="4159C99A" w14:textId="77777777" w:rsidR="00E20FC3" w:rsidRPr="00CD1283" w:rsidRDefault="00E20FC3" w:rsidP="00E20FC3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iCs/>
          <w:szCs w:val="22"/>
          <w:u w:val="single"/>
        </w:rPr>
      </w:pPr>
    </w:p>
    <w:p w14:paraId="4159C99B" w14:textId="77777777" w:rsidR="00E20FC3" w:rsidRPr="00CD1283" w:rsidRDefault="00C35B70" w:rsidP="00E20FC3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i/>
          <w:iCs/>
          <w:szCs w:val="22"/>
          <w:u w:val="single"/>
        </w:rPr>
      </w:pPr>
      <w:r w:rsidRPr="00CD1283">
        <w:rPr>
          <w:i/>
          <w:u w:val="single"/>
        </w:rPr>
        <w:t>Populações especiais</w:t>
      </w:r>
    </w:p>
    <w:p w14:paraId="4159C99C" w14:textId="77777777" w:rsidR="00E20FC3" w:rsidRPr="00CD1283" w:rsidRDefault="00C35B70" w:rsidP="00E20FC3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i/>
          <w:iCs/>
          <w:szCs w:val="22"/>
        </w:rPr>
      </w:pPr>
      <w:r w:rsidRPr="00CD1283">
        <w:rPr>
          <w:i/>
        </w:rPr>
        <w:t xml:space="preserve">Idosos </w:t>
      </w:r>
    </w:p>
    <w:p w14:paraId="4159C99D" w14:textId="77777777" w:rsidR="00E20FC3" w:rsidRPr="00CD1283" w:rsidRDefault="00C35B70" w:rsidP="00E20FC3">
      <w:pPr>
        <w:rPr>
          <w:rFonts w:eastAsia="TimesNewRoman"/>
          <w:szCs w:val="22"/>
        </w:rPr>
      </w:pPr>
      <w:r w:rsidRPr="00CD1283">
        <w:t>Não é necessário um ajuste de dose nos doentes idosos.</w:t>
      </w:r>
    </w:p>
    <w:p w14:paraId="4159C99E" w14:textId="77777777" w:rsidR="00E20FC3" w:rsidRPr="00CD1283" w:rsidRDefault="00E20FC3" w:rsidP="00E20FC3">
      <w:pPr>
        <w:rPr>
          <w:rFonts w:eastAsia="TimesNewRoman"/>
          <w:szCs w:val="22"/>
        </w:rPr>
      </w:pPr>
    </w:p>
    <w:p w14:paraId="4159C99F" w14:textId="77777777" w:rsidR="00E20FC3" w:rsidRPr="00CD1283" w:rsidRDefault="00C35B70" w:rsidP="00E20FC3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i/>
          <w:iCs/>
          <w:szCs w:val="22"/>
        </w:rPr>
      </w:pPr>
      <w:r w:rsidRPr="00CD1283">
        <w:rPr>
          <w:i/>
        </w:rPr>
        <w:t>Compromisso renal</w:t>
      </w:r>
    </w:p>
    <w:p w14:paraId="4159C9A0" w14:textId="77777777" w:rsidR="00E20FC3" w:rsidRPr="00CD1283" w:rsidRDefault="00C35B70" w:rsidP="00E20FC3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TimesNewRoman"/>
          <w:szCs w:val="22"/>
        </w:rPr>
      </w:pPr>
      <w:r w:rsidRPr="00CD1283">
        <w:t>Existe informação limitada sobre os doentes com compromisso renal. Não é necessário um ajuste de dose específico nestes doente</w:t>
      </w:r>
      <w:r w:rsidRPr="00CD1283">
        <w:t>s (ver secção 4.4).</w:t>
      </w:r>
    </w:p>
    <w:p w14:paraId="4159C9A1" w14:textId="77777777" w:rsidR="00E20FC3" w:rsidRPr="00CD1283" w:rsidRDefault="00E20FC3" w:rsidP="00E20FC3">
      <w:pPr>
        <w:rPr>
          <w:szCs w:val="22"/>
        </w:rPr>
      </w:pPr>
    </w:p>
    <w:p w14:paraId="4159C9A2" w14:textId="77777777" w:rsidR="00E20FC3" w:rsidRPr="00CD1283" w:rsidRDefault="00C35B70" w:rsidP="00E20FC3">
      <w:pPr>
        <w:rPr>
          <w:rFonts w:eastAsia="SimSun"/>
          <w:iCs/>
          <w:szCs w:val="22"/>
          <w:u w:val="single"/>
        </w:rPr>
      </w:pPr>
      <w:r w:rsidRPr="00CD1283">
        <w:rPr>
          <w:u w:val="single"/>
        </w:rPr>
        <w:t>População pediátrica</w:t>
      </w:r>
    </w:p>
    <w:p w14:paraId="4159C9A3" w14:textId="77777777" w:rsidR="00E20FC3" w:rsidRPr="00CD1283" w:rsidRDefault="00C35B70" w:rsidP="00E20FC3">
      <w:pPr>
        <w:rPr>
          <w:szCs w:val="22"/>
        </w:rPr>
      </w:pPr>
      <w:r w:rsidRPr="00CD1283">
        <w:t xml:space="preserve">A dose inicial na população pediátrica é inferior à dos adultos e depende da idade e do peso corporal. </w:t>
      </w:r>
    </w:p>
    <w:p w14:paraId="4159C9A4" w14:textId="77777777" w:rsidR="00E20FC3" w:rsidRPr="00CD1283" w:rsidRDefault="00E20FC3" w:rsidP="00E20FC3">
      <w:pPr>
        <w:rPr>
          <w:szCs w:val="22"/>
        </w:rPr>
      </w:pPr>
    </w:p>
    <w:p w14:paraId="4159C9A5" w14:textId="77777777" w:rsidR="00E20FC3" w:rsidRPr="00CD1283" w:rsidRDefault="00C35B70" w:rsidP="00E20FC3">
      <w:pPr>
        <w:rPr>
          <w:i/>
          <w:szCs w:val="22"/>
        </w:rPr>
      </w:pPr>
      <w:r w:rsidRPr="00CD1283">
        <w:rPr>
          <w:i/>
        </w:rPr>
        <w:t xml:space="preserve">Crianças com idade igual ou superior a 5 anos </w:t>
      </w:r>
    </w:p>
    <w:p w14:paraId="4159C9A6" w14:textId="77777777" w:rsidR="00E20FC3" w:rsidRPr="00CD1283" w:rsidRDefault="00C35B70" w:rsidP="00E20FC3">
      <w:pPr>
        <w:rPr>
          <w:szCs w:val="22"/>
        </w:rPr>
      </w:pPr>
      <w:r w:rsidRPr="00CD1283">
        <w:t>A dose varia habitualmente entre 225 mg e 600 mg por dia (1</w:t>
      </w:r>
      <w:r w:rsidRPr="00CD1283">
        <w:rPr>
          <w:b/>
        </w:rPr>
        <w:t>½</w:t>
      </w:r>
      <w:r w:rsidRPr="00CD1283">
        <w:t xml:space="preserve"> a 4 comprimidos</w:t>
      </w:r>
      <w:r w:rsidR="00FA2344" w:rsidRPr="00CD1283">
        <w:t xml:space="preserve"> revestidos por película</w:t>
      </w:r>
      <w:r w:rsidRPr="00CD1283">
        <w:t xml:space="preserve">) dividida em 2 a 4 doses. </w:t>
      </w:r>
    </w:p>
    <w:p w14:paraId="4159C9A7" w14:textId="77777777" w:rsidR="00E20FC3" w:rsidRPr="00CD1283" w:rsidRDefault="00E20FC3" w:rsidP="00E20FC3">
      <w:pPr>
        <w:rPr>
          <w:szCs w:val="22"/>
        </w:rPr>
      </w:pPr>
    </w:p>
    <w:p w14:paraId="4159C9A8" w14:textId="77777777" w:rsidR="00E20FC3" w:rsidRPr="00CD1283" w:rsidRDefault="00C35B70" w:rsidP="00E20FC3">
      <w:pPr>
        <w:keepNext/>
        <w:rPr>
          <w:i/>
          <w:iCs/>
          <w:szCs w:val="22"/>
        </w:rPr>
      </w:pPr>
      <w:r w:rsidRPr="00CD1283">
        <w:rPr>
          <w:i/>
        </w:rPr>
        <w:t>Crianças com idade inferior a 5 anos</w:t>
      </w:r>
    </w:p>
    <w:p w14:paraId="4159C9A9" w14:textId="77777777" w:rsidR="00E20FC3" w:rsidRPr="00CD1283" w:rsidRDefault="00C35B70" w:rsidP="00E20FC3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</w:rPr>
      </w:pPr>
      <w:r w:rsidRPr="00CD1283">
        <w:t xml:space="preserve">A segurança e eficácia de trientina em crianças com idade inferior a 5 anos não foram ainda estabelecidas. </w:t>
      </w:r>
    </w:p>
    <w:p w14:paraId="4159C9AA" w14:textId="77777777" w:rsidR="00E20FC3" w:rsidRPr="00CD1283" w:rsidRDefault="00C35B70" w:rsidP="00E20FC3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</w:rPr>
      </w:pPr>
      <w:r w:rsidRPr="00CD1283">
        <w:t>A forma farmacêutica não é adequada para a</w:t>
      </w:r>
      <w:r w:rsidRPr="00CD1283">
        <w:t>dministração a crianças com idade inferior a 5 anos.</w:t>
      </w:r>
    </w:p>
    <w:p w14:paraId="4159C9AB" w14:textId="77777777" w:rsidR="00E20FC3" w:rsidRPr="00CD1283" w:rsidRDefault="00E20FC3" w:rsidP="00E20FC3">
      <w:pPr>
        <w:rPr>
          <w:rFonts w:eastAsia="SimSun"/>
          <w:highlight w:val="yellow"/>
        </w:rPr>
      </w:pPr>
    </w:p>
    <w:p w14:paraId="4159C9AC" w14:textId="77777777" w:rsidR="00E20FC3" w:rsidRPr="00CD1283" w:rsidRDefault="00C35B70" w:rsidP="00E20FC3">
      <w:pPr>
        <w:rPr>
          <w:szCs w:val="22"/>
        </w:rPr>
      </w:pPr>
      <w:r w:rsidRPr="00CD1283">
        <w:t xml:space="preserve">As doses recomendadas do Cuprior são expressas como mg de trientina base (ou seja, não em mg do sal tetracloridrato de trientina). </w:t>
      </w:r>
    </w:p>
    <w:p w14:paraId="4159C9AD" w14:textId="77777777" w:rsidR="00E20FC3" w:rsidRPr="00CD1283" w:rsidRDefault="00E20FC3" w:rsidP="00E20FC3">
      <w:pPr>
        <w:tabs>
          <w:tab w:val="clear" w:pos="567"/>
          <w:tab w:val="left" w:pos="7309"/>
        </w:tabs>
        <w:rPr>
          <w:szCs w:val="22"/>
        </w:rPr>
      </w:pPr>
    </w:p>
    <w:p w14:paraId="4159C9AE" w14:textId="77777777" w:rsidR="00E20FC3" w:rsidRPr="00CD1283" w:rsidRDefault="00C35B70" w:rsidP="00E20FC3">
      <w:pPr>
        <w:autoSpaceDE w:val="0"/>
        <w:autoSpaceDN w:val="0"/>
        <w:adjustRightInd w:val="0"/>
        <w:rPr>
          <w:szCs w:val="22"/>
          <w:u w:val="single"/>
        </w:rPr>
      </w:pPr>
      <w:r w:rsidRPr="00CD1283">
        <w:rPr>
          <w:u w:val="single"/>
        </w:rPr>
        <w:t>Modo de administração</w:t>
      </w:r>
    </w:p>
    <w:p w14:paraId="4159C9AF" w14:textId="77777777" w:rsidR="00E20FC3" w:rsidRPr="00CD1283" w:rsidRDefault="00C35B70" w:rsidP="00E20FC3">
      <w:pPr>
        <w:autoSpaceDE w:val="0"/>
        <w:autoSpaceDN w:val="0"/>
        <w:adjustRightInd w:val="0"/>
        <w:rPr>
          <w:szCs w:val="22"/>
        </w:rPr>
      </w:pPr>
      <w:r w:rsidRPr="00CD1283">
        <w:t>O Cuprior destina-se a administração por via oral. Os comprimidos</w:t>
      </w:r>
      <w:r w:rsidR="00FA2344" w:rsidRPr="00CD1283">
        <w:t xml:space="preserve"> revestidos por película</w:t>
      </w:r>
      <w:r w:rsidRPr="00CD1283">
        <w:t xml:space="preserve"> devem ser e</w:t>
      </w:r>
      <w:r w:rsidRPr="00CD1283">
        <w:t xml:space="preserve">ngolidos com água. O comprimido </w:t>
      </w:r>
      <w:r w:rsidR="00FA2344" w:rsidRPr="00CD1283">
        <w:t xml:space="preserve">revestido por película </w:t>
      </w:r>
      <w:r w:rsidRPr="00CD1283">
        <w:t>ranhurado pode, se necessário, ser dividido em duas metades iguais para proporcionar uma dose mais precisa ou facilitar a administração.</w:t>
      </w:r>
    </w:p>
    <w:p w14:paraId="4159C9B0" w14:textId="77777777" w:rsidR="00E20FC3" w:rsidRPr="00CD1283" w:rsidRDefault="00E20FC3" w:rsidP="00E20FC3">
      <w:pPr>
        <w:autoSpaceDE w:val="0"/>
        <w:autoSpaceDN w:val="0"/>
        <w:adjustRightInd w:val="0"/>
        <w:rPr>
          <w:szCs w:val="22"/>
        </w:rPr>
      </w:pPr>
    </w:p>
    <w:p w14:paraId="4159C9B1" w14:textId="77777777" w:rsidR="00E20FC3" w:rsidRPr="00CD1283" w:rsidRDefault="00C35B70" w:rsidP="00E20FC3">
      <w:pPr>
        <w:autoSpaceDE w:val="0"/>
        <w:autoSpaceDN w:val="0"/>
        <w:adjustRightInd w:val="0"/>
        <w:rPr>
          <w:noProof/>
          <w:szCs w:val="22"/>
        </w:rPr>
      </w:pPr>
      <w:r w:rsidRPr="00CD1283">
        <w:t>É importante que o Cuprior seja administrado em jejum, pelo men</w:t>
      </w:r>
      <w:r w:rsidRPr="00CD1283">
        <w:t xml:space="preserve">os uma hora antes das refeições ou duas horas após as refeições e com, pelo menos, uma hora de intervalo relativamente a qualquer outro medicamento, alimento ou leite (ver secção 4.5). </w:t>
      </w:r>
    </w:p>
    <w:p w14:paraId="4159C9B2" w14:textId="77777777" w:rsidR="00E20FC3" w:rsidRPr="00CD1283" w:rsidRDefault="00E20FC3" w:rsidP="00E20FC3">
      <w:pPr>
        <w:spacing w:line="240" w:lineRule="auto"/>
        <w:ind w:left="567" w:hanging="567"/>
        <w:rPr>
          <w:b/>
          <w:noProof/>
          <w:szCs w:val="22"/>
        </w:rPr>
      </w:pPr>
    </w:p>
    <w:p w14:paraId="4159C9B3" w14:textId="77777777" w:rsidR="00E20FC3" w:rsidRPr="00CD1283" w:rsidRDefault="00C35B70" w:rsidP="00E20FC3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noProof/>
          <w:szCs w:val="22"/>
        </w:rPr>
      </w:pPr>
      <w:r w:rsidRPr="00CD1283">
        <w:rPr>
          <w:b/>
          <w:noProof/>
        </w:rPr>
        <w:t>Contraindicações</w:t>
      </w:r>
    </w:p>
    <w:p w14:paraId="4159C9B4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9B5" w14:textId="77777777" w:rsidR="00E20FC3" w:rsidRPr="00CD1283" w:rsidRDefault="00C35B70" w:rsidP="00E20FC3">
      <w:pPr>
        <w:rPr>
          <w:noProof/>
          <w:szCs w:val="22"/>
        </w:rPr>
      </w:pPr>
      <w:r w:rsidRPr="00CD1283">
        <w:t>Hipersensibilidade à substância ativa ou a qualquer</w:t>
      </w:r>
      <w:r w:rsidRPr="00CD1283">
        <w:t xml:space="preserve"> um dos excipientes mencionados na secção 6.1.</w:t>
      </w:r>
    </w:p>
    <w:p w14:paraId="4159C9B6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9B7" w14:textId="77777777" w:rsidR="00E20FC3" w:rsidRPr="00CD1283" w:rsidRDefault="00C35B70" w:rsidP="00E20FC3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noProof/>
          <w:szCs w:val="22"/>
        </w:rPr>
      </w:pPr>
      <w:r w:rsidRPr="00CD1283">
        <w:rPr>
          <w:b/>
          <w:noProof/>
        </w:rPr>
        <w:t>Advertências e precauções especiais de utilização</w:t>
      </w:r>
    </w:p>
    <w:p w14:paraId="4159C9B8" w14:textId="77777777" w:rsidR="00E20FC3" w:rsidRPr="00CD1283" w:rsidRDefault="00E20FC3" w:rsidP="00E20FC3">
      <w:pPr>
        <w:spacing w:line="240" w:lineRule="auto"/>
        <w:ind w:left="567" w:hanging="567"/>
        <w:rPr>
          <w:b/>
          <w:noProof/>
          <w:szCs w:val="22"/>
        </w:rPr>
      </w:pPr>
    </w:p>
    <w:p w14:paraId="4159C9B9" w14:textId="77777777" w:rsidR="00E20FC3" w:rsidRPr="00CD1283" w:rsidRDefault="00C35B70" w:rsidP="00E20FC3">
      <w:pPr>
        <w:rPr>
          <w:szCs w:val="22"/>
        </w:rPr>
      </w:pPr>
      <w:r w:rsidRPr="00CD1283">
        <w:t xml:space="preserve">Aos doentes que mudaram de uma terapêutica com outra formulação de trientina, é aconselhável precaução porque as doses expressas em trientina base poderão não ser equivalentes (ver secção 4.2). </w:t>
      </w:r>
    </w:p>
    <w:p w14:paraId="4159C9BA" w14:textId="77777777" w:rsidR="00E20FC3" w:rsidRPr="00CD1283" w:rsidRDefault="00E20FC3" w:rsidP="00E20FC3">
      <w:pPr>
        <w:rPr>
          <w:rFonts w:eastAsia="SimSun"/>
          <w:szCs w:val="22"/>
        </w:rPr>
      </w:pPr>
    </w:p>
    <w:p w14:paraId="4159C9BB" w14:textId="77777777" w:rsidR="00E20FC3" w:rsidRPr="00CD1283" w:rsidRDefault="00C35B70" w:rsidP="00E20FC3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noProof/>
          <w:szCs w:val="22"/>
        </w:rPr>
      </w:pPr>
      <w:r w:rsidRPr="00CD1283">
        <w:t>A trientina é um agente quelante que demonstrou reduzir os n</w:t>
      </w:r>
      <w:r w:rsidRPr="00CD1283">
        <w:t xml:space="preserve">íveis séricos de ferro. Poderão ser necessários suplementos de ferro em caso de anemia por carência de ferro e estes devem ser administrados em momentos diferentes (ver secção 4.5). </w:t>
      </w:r>
    </w:p>
    <w:p w14:paraId="4159C9BC" w14:textId="77777777" w:rsidR="00E20FC3" w:rsidRPr="00CD1283" w:rsidRDefault="00E20FC3" w:rsidP="00E20FC3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noProof/>
          <w:szCs w:val="22"/>
        </w:rPr>
      </w:pPr>
    </w:p>
    <w:p w14:paraId="4159C9BD" w14:textId="77777777" w:rsidR="00E20FC3" w:rsidRPr="00CD1283" w:rsidRDefault="00C35B70" w:rsidP="00E20FC3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noProof/>
          <w:szCs w:val="22"/>
        </w:rPr>
      </w:pPr>
      <w:r w:rsidRPr="00CD1283">
        <w:t>A combinação de trientina com zinco não é recomendada. Existem apenas da</w:t>
      </w:r>
      <w:r w:rsidRPr="00CD1283">
        <w:t>dos limitados disponíveis sobre a administração concomitante e não podem ser feitas quaisquer recomendações posológicas específicas.</w:t>
      </w:r>
    </w:p>
    <w:p w14:paraId="4159C9BE" w14:textId="77777777" w:rsidR="00E20FC3" w:rsidRPr="00CD1283" w:rsidRDefault="00E20FC3" w:rsidP="00E20FC3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noProof/>
          <w:szCs w:val="22"/>
        </w:rPr>
      </w:pPr>
    </w:p>
    <w:p w14:paraId="4159C9BF" w14:textId="77777777" w:rsidR="00E20FC3" w:rsidRPr="00CD1283" w:rsidRDefault="00C35B70" w:rsidP="00E20FC3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noProof/>
          <w:szCs w:val="22"/>
        </w:rPr>
      </w:pPr>
      <w:r w:rsidRPr="00CD1283">
        <w:t>Em doentes que foram previamente tratados com D-penicilamina, foram notificadas reações do tipo lúpus durante o tratamento</w:t>
      </w:r>
      <w:r w:rsidRPr="00CD1283">
        <w:t xml:space="preserve"> subsequente com trientina, contudo não é possível determinar se existe uma relação causal com a trientina.</w:t>
      </w:r>
    </w:p>
    <w:p w14:paraId="4159C9C0" w14:textId="77777777" w:rsidR="00E20FC3" w:rsidRPr="00CD1283" w:rsidRDefault="00E20FC3" w:rsidP="00E20FC3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noProof/>
          <w:szCs w:val="22"/>
        </w:rPr>
      </w:pPr>
    </w:p>
    <w:p w14:paraId="4159C9C1" w14:textId="77777777" w:rsidR="00E20FC3" w:rsidRPr="00CD1283" w:rsidRDefault="00C35B70" w:rsidP="00E20FC3">
      <w:pPr>
        <w:rPr>
          <w:noProof/>
          <w:szCs w:val="22"/>
          <w:u w:val="single"/>
        </w:rPr>
      </w:pPr>
      <w:r w:rsidRPr="00CD1283">
        <w:rPr>
          <w:noProof/>
          <w:u w:val="single"/>
        </w:rPr>
        <w:t>Monitorização</w:t>
      </w:r>
    </w:p>
    <w:p w14:paraId="4159C9C2" w14:textId="77777777" w:rsidR="00E20FC3" w:rsidRPr="00CD1283" w:rsidRDefault="00C35B70" w:rsidP="00E20FC3">
      <w:pPr>
        <w:rPr>
          <w:noProof/>
          <w:szCs w:val="22"/>
        </w:rPr>
      </w:pPr>
      <w:r w:rsidRPr="00CD1283">
        <w:t>Os doentes que recebem o Cuprior devem permanecer sob supervisão médica regular e ser monitorizados para um controlo adequado dos sin</w:t>
      </w:r>
      <w:r w:rsidRPr="00CD1283">
        <w:t xml:space="preserve">tomas e níveis de cobre, de forma a otimizar a dose (ver secção 4.2). </w:t>
      </w:r>
    </w:p>
    <w:p w14:paraId="4159C9C3" w14:textId="77777777" w:rsidR="00E20FC3" w:rsidRPr="00CD1283" w:rsidRDefault="00E20FC3" w:rsidP="00E20FC3">
      <w:pPr>
        <w:rPr>
          <w:noProof/>
          <w:szCs w:val="22"/>
        </w:rPr>
      </w:pPr>
    </w:p>
    <w:p w14:paraId="4159C9C4" w14:textId="77777777" w:rsidR="00E20FC3" w:rsidRPr="00CD1283" w:rsidRDefault="00C35B70" w:rsidP="00E20FC3">
      <w:pPr>
        <w:rPr>
          <w:noProof/>
          <w:szCs w:val="22"/>
        </w:rPr>
      </w:pPr>
      <w:r w:rsidRPr="00CD1283">
        <w:t>O objetivo do tratamento de manutenção consiste em manter níveis de cobre livre no soro sanguíneo dentro de limites aceitáveis. O índice mais fiável para a terapêutica de monitorização</w:t>
      </w:r>
      <w:r w:rsidRPr="00CD1283">
        <w:t xml:space="preserve"> é a determinação do cobre livre no soro sanguíneo, o qual é calculado utilizando a diferença entre o cobre total e o cobre ligado à ceruloplasmina (o nível normal de cobre livre no soro sanguíneo varia, geralmente, entre 100 e 150 microgramas/l). </w:t>
      </w:r>
    </w:p>
    <w:p w14:paraId="4159C9C5" w14:textId="77777777" w:rsidR="00E20FC3" w:rsidRPr="00CD1283" w:rsidRDefault="00E20FC3" w:rsidP="00E20FC3">
      <w:pPr>
        <w:rPr>
          <w:noProof/>
          <w:szCs w:val="22"/>
        </w:rPr>
      </w:pPr>
    </w:p>
    <w:p w14:paraId="4159C9C6" w14:textId="77777777" w:rsidR="00E20FC3" w:rsidRPr="00CD1283" w:rsidRDefault="00C35B70" w:rsidP="00E20FC3">
      <w:pPr>
        <w:rPr>
          <w:noProof/>
          <w:szCs w:val="22"/>
        </w:rPr>
      </w:pPr>
      <w:r w:rsidRPr="00CD1283">
        <w:t>A medi</w:t>
      </w:r>
      <w:r w:rsidRPr="00CD1283">
        <w:t>ção da excreção de cobre na urina pode ser realizada durante a terapêutica. Uma vez que a terapêutica de quelação leva a um aumento dos níveis urinários de cobre, isto não vai/pode não dar um reflexo preciso da carga de cobre em excesso no organismo, mas p</w:t>
      </w:r>
      <w:r w:rsidRPr="00CD1283">
        <w:t>ode ser uma medida útil da adesão ao tratamento.</w:t>
      </w:r>
    </w:p>
    <w:p w14:paraId="4159C9C7" w14:textId="77777777" w:rsidR="00E20FC3" w:rsidRPr="00CD1283" w:rsidRDefault="00E20FC3" w:rsidP="00E20FC3">
      <w:pPr>
        <w:rPr>
          <w:noProof/>
          <w:szCs w:val="22"/>
        </w:rPr>
      </w:pPr>
    </w:p>
    <w:p w14:paraId="4159C9C8" w14:textId="77777777" w:rsidR="00E20FC3" w:rsidRPr="00CD1283" w:rsidRDefault="00C35B70" w:rsidP="00E20FC3">
      <w:pPr>
        <w:rPr>
          <w:noProof/>
          <w:szCs w:val="22"/>
        </w:rPr>
      </w:pPr>
      <w:r w:rsidRPr="00CD1283">
        <w:lastRenderedPageBreak/>
        <w:t>O agravamento dos sintomas clínicos, incluindo deterioração neurológica, poderá ocorrer no início da terapêutica de quelação devido ao excesso de cobre sérico livre durante a resposta inicial ao tratamento.</w:t>
      </w:r>
      <w:r w:rsidRPr="00CD1283">
        <w:t xml:space="preserve"> É necessária uma monitorização cuidadosa para otimizar a dose ou para adaptar o tratamento, se necessário.</w:t>
      </w:r>
    </w:p>
    <w:p w14:paraId="4159C9C9" w14:textId="77777777" w:rsidR="00E20FC3" w:rsidRPr="00CD1283" w:rsidRDefault="00E20FC3" w:rsidP="00E20FC3">
      <w:pPr>
        <w:rPr>
          <w:noProof/>
          <w:szCs w:val="22"/>
        </w:rPr>
      </w:pPr>
    </w:p>
    <w:p w14:paraId="4159C9CA" w14:textId="77777777" w:rsidR="00E20FC3" w:rsidRPr="00CD1283" w:rsidRDefault="00C35B70" w:rsidP="00E20FC3">
      <w:pPr>
        <w:keepNext/>
        <w:rPr>
          <w:noProof/>
          <w:szCs w:val="22"/>
          <w:u w:val="single"/>
        </w:rPr>
      </w:pPr>
      <w:r w:rsidRPr="00CD1283">
        <w:rPr>
          <w:noProof/>
          <w:u w:val="single"/>
        </w:rPr>
        <w:t>Populações especiais</w:t>
      </w:r>
    </w:p>
    <w:p w14:paraId="4159C9CB" w14:textId="77777777" w:rsidR="00E20FC3" w:rsidRPr="00CD1283" w:rsidRDefault="00C35B70" w:rsidP="00E20FC3">
      <w:pPr>
        <w:rPr>
          <w:noProof/>
          <w:szCs w:val="22"/>
        </w:rPr>
      </w:pPr>
      <w:r w:rsidRPr="00CD1283">
        <w:t>O sobretratamento comporta o risco de deficiência de cobre. Deve realizar-se uma monitorização das manifestações de sobretrata</w:t>
      </w:r>
      <w:r w:rsidRPr="00CD1283">
        <w:t>mento, principalmente quando as necessidades de cobre podem mudar, como na gravidez (ver seção 4.6) e nas crianças, nas quais o controlo apropriado dos níveis de cobre é necessário para garantir um crescimento e desenvolvimento mental adequados.</w:t>
      </w:r>
    </w:p>
    <w:p w14:paraId="4159C9CC" w14:textId="77777777" w:rsidR="00E20FC3" w:rsidRPr="00CD1283" w:rsidRDefault="00E20FC3" w:rsidP="00E20FC3">
      <w:pPr>
        <w:rPr>
          <w:noProof/>
          <w:szCs w:val="22"/>
        </w:rPr>
      </w:pPr>
    </w:p>
    <w:p w14:paraId="4159C9CD" w14:textId="77777777" w:rsidR="00E20FC3" w:rsidRPr="00CD1283" w:rsidRDefault="00C35B70" w:rsidP="00E20FC3">
      <w:pPr>
        <w:rPr>
          <w:noProof/>
          <w:szCs w:val="22"/>
        </w:rPr>
      </w:pPr>
      <w:r w:rsidRPr="00CD1283">
        <w:t>Os doente</w:t>
      </w:r>
      <w:r w:rsidRPr="00CD1283">
        <w:t>s com compromisso renal que recebem trientina devem permanecer sob supervisão médica regular para o controlo adequado dos sintomas e níveis de cobre. Também é recomendada uma monitorização rigorosa da função renal nestes doentes (ver secção 4.2).</w:t>
      </w:r>
    </w:p>
    <w:p w14:paraId="4159C9CE" w14:textId="77777777" w:rsidR="00E20FC3" w:rsidRPr="00CD1283" w:rsidRDefault="00E20FC3" w:rsidP="00E20FC3">
      <w:pPr>
        <w:rPr>
          <w:noProof/>
        </w:rPr>
      </w:pPr>
    </w:p>
    <w:p w14:paraId="4159C9CF" w14:textId="77777777" w:rsidR="00E20FC3" w:rsidRPr="00CD1283" w:rsidRDefault="00C35B70" w:rsidP="00E20FC3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noProof/>
          <w:szCs w:val="22"/>
        </w:rPr>
      </w:pPr>
      <w:r w:rsidRPr="00CD1283">
        <w:rPr>
          <w:b/>
          <w:noProof/>
        </w:rPr>
        <w:t>Interações medicamentosas e outras formas de interação</w:t>
      </w:r>
    </w:p>
    <w:p w14:paraId="4159C9D0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9D1" w14:textId="77777777" w:rsidR="00E20FC3" w:rsidRPr="00CD1283" w:rsidRDefault="00C35B70" w:rsidP="00E20FC3">
      <w:pPr>
        <w:spacing w:line="240" w:lineRule="auto"/>
        <w:rPr>
          <w:noProof/>
          <w:szCs w:val="22"/>
        </w:rPr>
      </w:pPr>
      <w:r w:rsidRPr="00CD1283">
        <w:t>Não foram realizados estudos de interação.</w:t>
      </w:r>
    </w:p>
    <w:p w14:paraId="4159C9D2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9D3" w14:textId="77777777" w:rsidR="00E20FC3" w:rsidRPr="00CD1283" w:rsidRDefault="00C35B70" w:rsidP="00E20FC3">
      <w:pPr>
        <w:rPr>
          <w:noProof/>
          <w:szCs w:val="22"/>
        </w:rPr>
      </w:pPr>
      <w:r w:rsidRPr="00CD1283">
        <w:t xml:space="preserve">A trientina demonstrou reduzir os níveis de ferro no soro sanguíneo, possivelmente mediante a redução da sua absorção, podendo ser necessários </w:t>
      </w:r>
      <w:r w:rsidRPr="00CD1283">
        <w:t>suplementos de ferro. Uma vez que o ferro e a trientina podem inibir a absorção um do outro, os suplementos de ferro devem ser tomados, pelo menos, após duas horas da administração de trientina.</w:t>
      </w:r>
    </w:p>
    <w:p w14:paraId="4159C9D4" w14:textId="77777777" w:rsidR="00E20FC3" w:rsidRPr="00CD1283" w:rsidRDefault="00E20FC3" w:rsidP="00E20FC3">
      <w:pPr>
        <w:rPr>
          <w:noProof/>
          <w:szCs w:val="22"/>
        </w:rPr>
      </w:pPr>
    </w:p>
    <w:p w14:paraId="4159C9D5" w14:textId="77777777" w:rsidR="00E20FC3" w:rsidRPr="00CD1283" w:rsidRDefault="00C35B70" w:rsidP="00E20FC3">
      <w:pPr>
        <w:rPr>
          <w:noProof/>
          <w:szCs w:val="22"/>
        </w:rPr>
      </w:pPr>
      <w:r w:rsidRPr="00CD1283">
        <w:t>Como a trientina é fracamente absorvida após a ingestão oral</w:t>
      </w:r>
      <w:r w:rsidRPr="00CD1283">
        <w:t xml:space="preserve"> e o principal mecanismo de ação requer a sua exposição sistémica (ver secção 5.1), é importante que os comprimidos</w:t>
      </w:r>
      <w:r w:rsidR="00FA2344" w:rsidRPr="00CD1283">
        <w:t xml:space="preserve"> revestidos por película</w:t>
      </w:r>
      <w:r w:rsidRPr="00CD1283">
        <w:t xml:space="preserve"> sejam tomados em jejum, pelo menos, uma hora antes das refeições ou 2 horas após as refeições e com, pelo menos, uma</w:t>
      </w:r>
      <w:r w:rsidRPr="00CD1283">
        <w:t xml:space="preserve"> hora de intervalo relativamente a qualquer outro medicamento, alimento ou leite (ver secção 4.2). Isto maximiza a absorção da trientina e reduz a probabilidade de o medicamento se ligar a metais no trato gastrointestinal. No entanto, não foram realizados </w:t>
      </w:r>
      <w:r w:rsidRPr="00CD1283">
        <w:t xml:space="preserve">estudos de interação alimentar, pelo que se desconhece a extensão do efeito da alimentação na exposição sistémica à trientina. </w:t>
      </w:r>
    </w:p>
    <w:p w14:paraId="4159C9D6" w14:textId="77777777" w:rsidR="00E20FC3" w:rsidRPr="00CD1283" w:rsidRDefault="00E20FC3" w:rsidP="00E20FC3">
      <w:pPr>
        <w:rPr>
          <w:noProof/>
          <w:szCs w:val="22"/>
        </w:rPr>
      </w:pPr>
    </w:p>
    <w:p w14:paraId="4159C9D7" w14:textId="77777777" w:rsidR="00E20FC3" w:rsidRPr="00CD1283" w:rsidRDefault="00C35B70" w:rsidP="00E20FC3">
      <w:pPr>
        <w:rPr>
          <w:noProof/>
          <w:szCs w:val="22"/>
        </w:rPr>
      </w:pPr>
      <w:r w:rsidRPr="00CD1283">
        <w:t>Embora não exista evidência de que os antiácidos de cálcio ou magnésio alterem a eficácia da trientina, é uma boa prática separ</w:t>
      </w:r>
      <w:r w:rsidRPr="00CD1283">
        <w:t>ar a sua administração.</w:t>
      </w:r>
    </w:p>
    <w:p w14:paraId="4159C9D8" w14:textId="77777777" w:rsidR="00E20FC3" w:rsidRPr="00CD1283" w:rsidRDefault="00E20FC3" w:rsidP="00E20FC3">
      <w:pPr>
        <w:spacing w:line="240" w:lineRule="auto"/>
        <w:rPr>
          <w:szCs w:val="22"/>
        </w:rPr>
      </w:pPr>
    </w:p>
    <w:p w14:paraId="4159C9D9" w14:textId="77777777" w:rsidR="00E20FC3" w:rsidRPr="00CD1283" w:rsidRDefault="00C35B70" w:rsidP="00E20FC3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noProof/>
          <w:szCs w:val="22"/>
        </w:rPr>
      </w:pPr>
      <w:r w:rsidRPr="00CD1283">
        <w:rPr>
          <w:b/>
          <w:noProof/>
        </w:rPr>
        <w:t>Fertilidade, gravidez e aleitamento</w:t>
      </w:r>
    </w:p>
    <w:p w14:paraId="4159C9DA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9DB" w14:textId="77777777" w:rsidR="00E20FC3" w:rsidRPr="00CD1283" w:rsidRDefault="00C35B70" w:rsidP="00E20FC3">
      <w:pPr>
        <w:rPr>
          <w:noProof/>
          <w:szCs w:val="22"/>
        </w:rPr>
      </w:pPr>
      <w:r w:rsidRPr="00CD1283">
        <w:rPr>
          <w:noProof/>
          <w:u w:val="single"/>
        </w:rPr>
        <w:t>Gravidez</w:t>
      </w:r>
    </w:p>
    <w:p w14:paraId="4159C9DC" w14:textId="77777777" w:rsidR="00E20FC3" w:rsidRPr="00CD1283" w:rsidRDefault="00C35B70" w:rsidP="00E20FC3">
      <w:pPr>
        <w:rPr>
          <w:noProof/>
          <w:szCs w:val="22"/>
        </w:rPr>
      </w:pPr>
      <w:r w:rsidRPr="00CD1283">
        <w:t>Os dados sobre a utilização de trientina em mulheres grávidas são limitados.</w:t>
      </w:r>
    </w:p>
    <w:p w14:paraId="4159C9DD" w14:textId="77777777" w:rsidR="00E20FC3" w:rsidRPr="00CD1283" w:rsidRDefault="00E20FC3" w:rsidP="00E20FC3">
      <w:pPr>
        <w:rPr>
          <w:noProof/>
          <w:szCs w:val="22"/>
        </w:rPr>
      </w:pPr>
    </w:p>
    <w:p w14:paraId="4159C9DE" w14:textId="77777777" w:rsidR="00E20FC3" w:rsidRPr="00CD1283" w:rsidRDefault="00C35B70" w:rsidP="00E20FC3">
      <w:pPr>
        <w:rPr>
          <w:noProof/>
          <w:szCs w:val="22"/>
        </w:rPr>
      </w:pPr>
      <w:r w:rsidRPr="00CD1283">
        <w:t>Estudos em animais demonstraram toxicidade reprodutiva, o que provavelmente foi resultado de deficiência de</w:t>
      </w:r>
      <w:r w:rsidRPr="00CD1283">
        <w:t xml:space="preserve"> cobre induzida pela trientina (ver secção 5.3).</w:t>
      </w:r>
    </w:p>
    <w:p w14:paraId="4159C9DF" w14:textId="77777777" w:rsidR="00E20FC3" w:rsidRPr="00CD1283" w:rsidRDefault="00E20FC3" w:rsidP="00E20FC3">
      <w:pPr>
        <w:rPr>
          <w:noProof/>
          <w:szCs w:val="22"/>
        </w:rPr>
      </w:pPr>
    </w:p>
    <w:p w14:paraId="4159C9E0" w14:textId="77777777" w:rsidR="00E20FC3" w:rsidRPr="00CD1283" w:rsidRDefault="00C35B70" w:rsidP="00E20FC3">
      <w:pPr>
        <w:rPr>
          <w:noProof/>
          <w:szCs w:val="22"/>
        </w:rPr>
      </w:pPr>
      <w:r w:rsidRPr="00CD1283">
        <w:t>O Cuprior só deve ser utilizado na gravidez após a consideração cuidadosa dos benefícios comparados com os riscos do tratamento na doente individual. Os fatores que devem ser tidos em conta incluem os risco</w:t>
      </w:r>
      <w:r w:rsidRPr="00CD1283">
        <w:t>s associados à doença em si, o risco dos tratamentos alternativos disponíveis e os possíveis efeitos teratogénicos da trientina (ver secção 5.3).</w:t>
      </w:r>
    </w:p>
    <w:p w14:paraId="4159C9E1" w14:textId="77777777" w:rsidR="00E20FC3" w:rsidRPr="00CD1283" w:rsidRDefault="00E20FC3" w:rsidP="00E20FC3">
      <w:pPr>
        <w:rPr>
          <w:noProof/>
          <w:szCs w:val="22"/>
        </w:rPr>
      </w:pPr>
    </w:p>
    <w:p w14:paraId="4159C9E2" w14:textId="77777777" w:rsidR="00E20FC3" w:rsidRPr="00CD1283" w:rsidRDefault="00C35B70" w:rsidP="00E20FC3">
      <w:pPr>
        <w:rPr>
          <w:szCs w:val="22"/>
        </w:rPr>
      </w:pPr>
      <w:r w:rsidRPr="00CD1283">
        <w:t>Uma vez que o cobre é necessário para o crescimento e desenvolvimento mental adequados, podem ser necessários</w:t>
      </w:r>
      <w:r w:rsidRPr="00CD1283">
        <w:t xml:space="preserve"> ajustes de dose para garantir que o feto não sofre de deficiência de cobre, sendo essencial uma monitorização rigorosa da doente (ver secção 4.4).</w:t>
      </w:r>
    </w:p>
    <w:p w14:paraId="4159C9E3" w14:textId="77777777" w:rsidR="00E20FC3" w:rsidRPr="00CD1283" w:rsidRDefault="00E20FC3" w:rsidP="00E20FC3">
      <w:pPr>
        <w:rPr>
          <w:noProof/>
          <w:szCs w:val="22"/>
        </w:rPr>
      </w:pPr>
    </w:p>
    <w:p w14:paraId="4159C9E4" w14:textId="77777777" w:rsidR="00E20FC3" w:rsidRPr="00CD1283" w:rsidRDefault="00C35B70" w:rsidP="00E20FC3">
      <w:pPr>
        <w:rPr>
          <w:noProof/>
          <w:szCs w:val="22"/>
        </w:rPr>
      </w:pPr>
      <w:r w:rsidRPr="00CD1283">
        <w:t>A gravidez deve ser monitorizada de perto para detetar possíveis anomalias fetais e avaliar os níveis do co</w:t>
      </w:r>
      <w:r w:rsidRPr="00CD1283">
        <w:t xml:space="preserve">bre sérico da mãe durante a gravidez. A dose de trientina utilizada deve ser ajustada de forma a manter os níveis de cobre sérico dentro do intervalo normal. </w:t>
      </w:r>
    </w:p>
    <w:p w14:paraId="4159C9E5" w14:textId="77777777" w:rsidR="00E20FC3" w:rsidRPr="00CD1283" w:rsidRDefault="00E20FC3" w:rsidP="00E20FC3">
      <w:pPr>
        <w:rPr>
          <w:noProof/>
          <w:szCs w:val="22"/>
        </w:rPr>
      </w:pPr>
    </w:p>
    <w:p w14:paraId="4159C9E6" w14:textId="77777777" w:rsidR="00E20FC3" w:rsidRPr="00CD1283" w:rsidRDefault="00C35B70" w:rsidP="00E20FC3">
      <w:pPr>
        <w:rPr>
          <w:noProof/>
          <w:szCs w:val="22"/>
        </w:rPr>
      </w:pPr>
      <w:r w:rsidRPr="00CD1283">
        <w:t xml:space="preserve">Os bebés nascidos de mães que estão a ser tratadas com trientina devem ser monitorizados quanto </w:t>
      </w:r>
      <w:r w:rsidRPr="00CD1283">
        <w:t>aos níveis de cobre sérico, quando apropriado.</w:t>
      </w:r>
    </w:p>
    <w:p w14:paraId="4159C9E7" w14:textId="77777777" w:rsidR="00E20FC3" w:rsidRPr="00CD1283" w:rsidRDefault="00E20FC3" w:rsidP="00E20FC3">
      <w:pPr>
        <w:rPr>
          <w:noProof/>
          <w:szCs w:val="22"/>
        </w:rPr>
      </w:pPr>
    </w:p>
    <w:p w14:paraId="4159C9E8" w14:textId="77777777" w:rsidR="00E20FC3" w:rsidRPr="00CD1283" w:rsidRDefault="00C35B70" w:rsidP="00E20FC3">
      <w:pPr>
        <w:rPr>
          <w:color w:val="000000"/>
          <w:szCs w:val="22"/>
        </w:rPr>
      </w:pPr>
      <w:r w:rsidRPr="00CD1283">
        <w:rPr>
          <w:noProof/>
          <w:u w:val="single"/>
        </w:rPr>
        <w:t>Amamentação</w:t>
      </w:r>
    </w:p>
    <w:p w14:paraId="4159C9E9" w14:textId="77777777" w:rsidR="00E20FC3" w:rsidRPr="00CD1283" w:rsidRDefault="00C35B70" w:rsidP="00E20FC3">
      <w:pPr>
        <w:autoSpaceDE w:val="0"/>
        <w:autoSpaceDN w:val="0"/>
        <w:adjustRightInd w:val="0"/>
        <w:rPr>
          <w:color w:val="000000"/>
          <w:szCs w:val="22"/>
        </w:rPr>
      </w:pPr>
      <w:r w:rsidRPr="00CD1283">
        <w:rPr>
          <w:color w:val="000000"/>
        </w:rPr>
        <w:t xml:space="preserve">Desconhece-se se a trientina é excretada no leite humano. Não pode ser excluído qualquer risco para os recém-nascidos/lactentes. Deve ser tomada uma decisão relativa à interrupção da </w:t>
      </w:r>
      <w:r w:rsidRPr="00CD1283">
        <w:rPr>
          <w:color w:val="000000"/>
        </w:rPr>
        <w:t>amamentação ou à interrupção/abstenção da terapêutica com o Cuprior tendo em conta o benefício da amamentação para a criança e o benefício da terapêutica para a mãe.</w:t>
      </w:r>
    </w:p>
    <w:p w14:paraId="4159C9EA" w14:textId="77777777" w:rsidR="00E20FC3" w:rsidRPr="00CD1283" w:rsidRDefault="00E20FC3" w:rsidP="00E20FC3">
      <w:pPr>
        <w:rPr>
          <w:szCs w:val="22"/>
          <w:u w:val="single"/>
        </w:rPr>
      </w:pPr>
    </w:p>
    <w:p w14:paraId="4159C9EB" w14:textId="77777777" w:rsidR="00E20FC3" w:rsidRPr="00CD1283" w:rsidRDefault="00C35B70" w:rsidP="00E20FC3">
      <w:pPr>
        <w:keepNext/>
        <w:rPr>
          <w:noProof/>
          <w:szCs w:val="22"/>
          <w:u w:val="single"/>
        </w:rPr>
      </w:pPr>
      <w:r w:rsidRPr="00CD1283">
        <w:rPr>
          <w:noProof/>
          <w:u w:val="single"/>
        </w:rPr>
        <w:t>Fertilidade</w:t>
      </w:r>
    </w:p>
    <w:p w14:paraId="4159C9EC" w14:textId="77777777" w:rsidR="00E20FC3" w:rsidRPr="00CD1283" w:rsidRDefault="00C35B70" w:rsidP="00E20FC3">
      <w:pPr>
        <w:rPr>
          <w:szCs w:val="22"/>
        </w:rPr>
      </w:pPr>
      <w:r w:rsidRPr="00CD1283">
        <w:t>Desconhece-se se a trientina tem qualquer efeito na fertilidade humana.</w:t>
      </w:r>
    </w:p>
    <w:p w14:paraId="4159C9ED" w14:textId="77777777" w:rsidR="00E20FC3" w:rsidRPr="00CD1283" w:rsidRDefault="00E20FC3" w:rsidP="00E20FC3">
      <w:pPr>
        <w:spacing w:line="240" w:lineRule="auto"/>
        <w:rPr>
          <w:i/>
          <w:noProof/>
          <w:szCs w:val="22"/>
        </w:rPr>
      </w:pPr>
    </w:p>
    <w:p w14:paraId="4159C9EE" w14:textId="77777777" w:rsidR="00E20FC3" w:rsidRPr="00CD1283" w:rsidRDefault="00C35B70" w:rsidP="00E20FC3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noProof/>
          <w:szCs w:val="22"/>
        </w:rPr>
      </w:pPr>
      <w:r w:rsidRPr="00CD1283">
        <w:rPr>
          <w:b/>
          <w:noProof/>
        </w:rPr>
        <w:t>Efei</w:t>
      </w:r>
      <w:r w:rsidRPr="00CD1283">
        <w:rPr>
          <w:b/>
          <w:noProof/>
        </w:rPr>
        <w:t>tos sobre a capacidade de conduzir e utilizar máquinas</w:t>
      </w:r>
    </w:p>
    <w:p w14:paraId="4159C9EF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9F0" w14:textId="1D42514D" w:rsidR="00E20FC3" w:rsidRPr="00CD1283" w:rsidRDefault="00C35B70" w:rsidP="00E20FC3">
      <w:pPr>
        <w:rPr>
          <w:noProof/>
          <w:szCs w:val="22"/>
        </w:rPr>
      </w:pPr>
      <w:r w:rsidRPr="00CD1283">
        <w:t xml:space="preserve">Os efeitos de Cuprior sobre a capacidade de conduzir e utilizar máquinas são nulos ou desprezáveis. </w:t>
      </w:r>
    </w:p>
    <w:p w14:paraId="4159C9F1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9F2" w14:textId="77777777" w:rsidR="00E20FC3" w:rsidRPr="00CD1283" w:rsidRDefault="00C35B70" w:rsidP="00E20FC3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noProof/>
          <w:szCs w:val="22"/>
        </w:rPr>
      </w:pPr>
      <w:r w:rsidRPr="00CD1283">
        <w:rPr>
          <w:b/>
          <w:noProof/>
        </w:rPr>
        <w:t>Efeitos indesejáveis</w:t>
      </w:r>
    </w:p>
    <w:p w14:paraId="4159C9F3" w14:textId="77777777" w:rsidR="00E20FC3" w:rsidRPr="00CD1283" w:rsidRDefault="00E20FC3" w:rsidP="00E20FC3">
      <w:pPr>
        <w:autoSpaceDE w:val="0"/>
        <w:autoSpaceDN w:val="0"/>
        <w:adjustRightInd w:val="0"/>
        <w:rPr>
          <w:noProof/>
          <w:szCs w:val="22"/>
        </w:rPr>
      </w:pPr>
    </w:p>
    <w:p w14:paraId="4159C9F4" w14:textId="77777777" w:rsidR="00E20FC3" w:rsidRPr="00CD1283" w:rsidRDefault="00C35B70" w:rsidP="00E20FC3">
      <w:pPr>
        <w:autoSpaceDE w:val="0"/>
        <w:autoSpaceDN w:val="0"/>
        <w:adjustRightInd w:val="0"/>
        <w:rPr>
          <w:noProof/>
          <w:szCs w:val="22"/>
          <w:u w:val="single"/>
        </w:rPr>
      </w:pPr>
      <w:r w:rsidRPr="00CD1283">
        <w:rPr>
          <w:noProof/>
          <w:u w:val="single"/>
        </w:rPr>
        <w:t>Resumo do perfil de segurança</w:t>
      </w:r>
    </w:p>
    <w:p w14:paraId="4159C9F5" w14:textId="77777777" w:rsidR="00E20FC3" w:rsidRPr="00CD1283" w:rsidRDefault="00C35B70" w:rsidP="00E20FC3">
      <w:pPr>
        <w:autoSpaceDE w:val="0"/>
        <w:autoSpaceDN w:val="0"/>
        <w:adjustRightInd w:val="0"/>
        <w:rPr>
          <w:rFonts w:eastAsia="TimesNewRoman"/>
          <w:szCs w:val="22"/>
        </w:rPr>
      </w:pPr>
      <w:r w:rsidRPr="00CD1283">
        <w:t xml:space="preserve">As náuseas são a reação adversa mais frequentemente notificada com a trientina. Podem ocorrer anemia ferropriva grave e colite grave durante o tratamento. </w:t>
      </w:r>
    </w:p>
    <w:p w14:paraId="4159C9F6" w14:textId="77777777" w:rsidR="00E20FC3" w:rsidRPr="00CD1283" w:rsidRDefault="00E20FC3" w:rsidP="00E20FC3">
      <w:pPr>
        <w:autoSpaceDE w:val="0"/>
        <w:autoSpaceDN w:val="0"/>
        <w:adjustRightInd w:val="0"/>
        <w:rPr>
          <w:noProof/>
          <w:szCs w:val="22"/>
        </w:rPr>
      </w:pPr>
    </w:p>
    <w:p w14:paraId="4159C9F7" w14:textId="77777777" w:rsidR="00E20FC3" w:rsidRPr="00CD1283" w:rsidRDefault="00C35B70" w:rsidP="00E20FC3">
      <w:pPr>
        <w:autoSpaceDE w:val="0"/>
        <w:autoSpaceDN w:val="0"/>
        <w:adjustRightInd w:val="0"/>
        <w:rPr>
          <w:noProof/>
          <w:szCs w:val="22"/>
          <w:u w:val="single"/>
        </w:rPr>
      </w:pPr>
      <w:r w:rsidRPr="00CD1283">
        <w:rPr>
          <w:noProof/>
          <w:u w:val="single"/>
        </w:rPr>
        <w:t>Lista tabelada das reações adversas</w:t>
      </w:r>
    </w:p>
    <w:p w14:paraId="4159C9F8" w14:textId="77777777" w:rsidR="00E20FC3" w:rsidRPr="00CD1283" w:rsidRDefault="00C35B70" w:rsidP="00E20FC3">
      <w:pPr>
        <w:autoSpaceDE w:val="0"/>
        <w:autoSpaceDN w:val="0"/>
        <w:adjustRightInd w:val="0"/>
        <w:rPr>
          <w:noProof/>
          <w:szCs w:val="22"/>
        </w:rPr>
      </w:pPr>
      <w:r w:rsidRPr="00CD1283">
        <w:t>As seguintes reações adversas foram notificadas com a utilizaçã</w:t>
      </w:r>
      <w:r w:rsidRPr="00CD1283">
        <w:t xml:space="preserve">o de trientina para a doença de Wilson. </w:t>
      </w:r>
    </w:p>
    <w:p w14:paraId="4159C9F9" w14:textId="77777777" w:rsidR="00E20FC3" w:rsidRPr="00CD1283" w:rsidRDefault="00C35B70" w:rsidP="00E20FC3">
      <w:pPr>
        <w:autoSpaceDE w:val="0"/>
        <w:autoSpaceDN w:val="0"/>
        <w:adjustRightInd w:val="0"/>
        <w:rPr>
          <w:noProof/>
          <w:szCs w:val="22"/>
        </w:rPr>
      </w:pPr>
      <w:r w:rsidRPr="00CD1283">
        <w:t>As frequências são definidas do seguinte modo: muito frequentes (≥ 1/10), frequentes (≥ 1/100 a &lt; 1/10), pouco frequentes (≥ 1/1000 a &lt; 1/100), raras (≥ 1/10 000 a &lt; 1/1000), muito raras (&lt; 1/10 000), desconhecida (</w:t>
      </w:r>
      <w:r w:rsidRPr="00CD1283">
        <w:t>não pode ser calculada a partir dos dados disponíveis).</w:t>
      </w:r>
    </w:p>
    <w:p w14:paraId="4159C9FA" w14:textId="77777777" w:rsidR="00E20FC3" w:rsidRPr="00CD1283" w:rsidRDefault="00E20FC3" w:rsidP="00E20FC3">
      <w:pPr>
        <w:autoSpaceDE w:val="0"/>
        <w:autoSpaceDN w:val="0"/>
        <w:adjustRightInd w:val="0"/>
        <w:jc w:val="both"/>
        <w:rPr>
          <w:noProof/>
          <w:szCs w:val="2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3969"/>
      </w:tblGrid>
      <w:tr w:rsidR="00354AFB" w14:paraId="4159C9FD" w14:textId="77777777" w:rsidTr="00E20FC3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9C9FB" w14:textId="77777777" w:rsidR="00E20FC3" w:rsidRPr="00CD1283" w:rsidRDefault="00C35B70" w:rsidP="00E20FC3">
            <w:pPr>
              <w:autoSpaceDE w:val="0"/>
              <w:autoSpaceDN w:val="0"/>
              <w:adjustRightInd w:val="0"/>
              <w:jc w:val="both"/>
              <w:rPr>
                <w:noProof/>
                <w:szCs w:val="22"/>
              </w:rPr>
            </w:pPr>
            <w:r w:rsidRPr="00CD1283">
              <w:rPr>
                <w:b/>
              </w:rPr>
              <w:t>Classes de sistemas de órgãos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9C9FC" w14:textId="77777777" w:rsidR="00E20FC3" w:rsidRPr="00CD1283" w:rsidRDefault="00C35B70" w:rsidP="00E20FC3">
            <w:pPr>
              <w:autoSpaceDE w:val="0"/>
              <w:autoSpaceDN w:val="0"/>
              <w:adjustRightInd w:val="0"/>
              <w:jc w:val="both"/>
              <w:rPr>
                <w:noProof/>
                <w:szCs w:val="22"/>
              </w:rPr>
            </w:pPr>
            <w:r w:rsidRPr="00CD1283">
              <w:rPr>
                <w:b/>
              </w:rPr>
              <w:t>Reações adversas</w:t>
            </w:r>
          </w:p>
        </w:tc>
      </w:tr>
      <w:tr w:rsidR="00354AFB" w14:paraId="4159CA00" w14:textId="77777777" w:rsidTr="00E20FC3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9C9FE" w14:textId="77777777" w:rsidR="00E20FC3" w:rsidRPr="00CD1283" w:rsidRDefault="00C35B70" w:rsidP="00E20FC3">
            <w:pPr>
              <w:autoSpaceDE w:val="0"/>
              <w:autoSpaceDN w:val="0"/>
              <w:adjustRightInd w:val="0"/>
              <w:jc w:val="both"/>
              <w:rPr>
                <w:noProof/>
                <w:szCs w:val="22"/>
              </w:rPr>
            </w:pPr>
            <w:r w:rsidRPr="00CD1283">
              <w:t>Doenças do sangue e do sistema linfático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6618C" w14:textId="600D1710" w:rsidR="007B7AD4" w:rsidRDefault="00C35B70" w:rsidP="00E20FC3">
            <w:pPr>
              <w:autoSpaceDE w:val="0"/>
              <w:autoSpaceDN w:val="0"/>
              <w:adjustRightInd w:val="0"/>
              <w:jc w:val="both"/>
              <w:rPr>
                <w:i/>
                <w:noProof/>
              </w:rPr>
            </w:pPr>
            <w:r w:rsidRPr="007B7AD4">
              <w:rPr>
                <w:i/>
                <w:noProof/>
              </w:rPr>
              <w:t xml:space="preserve">Pouco frequentes: </w:t>
            </w:r>
            <w:r>
              <w:rPr>
                <w:iCs/>
                <w:noProof/>
              </w:rPr>
              <w:t>a</w:t>
            </w:r>
            <w:r w:rsidRPr="007B7AD4">
              <w:rPr>
                <w:iCs/>
                <w:noProof/>
              </w:rPr>
              <w:t>nemia sideroblástica</w:t>
            </w:r>
          </w:p>
          <w:p w14:paraId="4159C9FF" w14:textId="2DD0E322" w:rsidR="00E20FC3" w:rsidRPr="00CD1283" w:rsidRDefault="00C35B70" w:rsidP="00E20FC3">
            <w:pPr>
              <w:autoSpaceDE w:val="0"/>
              <w:autoSpaceDN w:val="0"/>
              <w:adjustRightInd w:val="0"/>
              <w:jc w:val="both"/>
              <w:rPr>
                <w:noProof/>
                <w:szCs w:val="22"/>
              </w:rPr>
            </w:pPr>
            <w:r w:rsidRPr="00CD1283">
              <w:rPr>
                <w:i/>
                <w:noProof/>
              </w:rPr>
              <w:t xml:space="preserve">Desconhecida: </w:t>
            </w:r>
            <w:r w:rsidRPr="00CD1283">
              <w:t>anemia ferropriva.</w:t>
            </w:r>
          </w:p>
        </w:tc>
      </w:tr>
      <w:tr w:rsidR="00354AFB" w14:paraId="4159CA04" w14:textId="77777777" w:rsidTr="00E20FC3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9CA01" w14:textId="77777777" w:rsidR="00E20FC3" w:rsidRPr="00CD1283" w:rsidRDefault="00C35B70" w:rsidP="00E20FC3">
            <w:pPr>
              <w:autoSpaceDE w:val="0"/>
              <w:autoSpaceDN w:val="0"/>
              <w:adjustRightInd w:val="0"/>
              <w:jc w:val="both"/>
              <w:rPr>
                <w:noProof/>
                <w:szCs w:val="22"/>
              </w:rPr>
            </w:pPr>
            <w:r w:rsidRPr="00CD1283">
              <w:t xml:space="preserve">Doenças </w:t>
            </w:r>
            <w:r w:rsidRPr="00CD1283">
              <w:t>gastrointestinais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9CA02" w14:textId="77777777" w:rsidR="00E20FC3" w:rsidRPr="00CD1283" w:rsidRDefault="00C35B70" w:rsidP="00E20FC3">
            <w:pPr>
              <w:autoSpaceDE w:val="0"/>
              <w:autoSpaceDN w:val="0"/>
              <w:adjustRightInd w:val="0"/>
              <w:jc w:val="both"/>
              <w:rPr>
                <w:noProof/>
                <w:szCs w:val="22"/>
              </w:rPr>
            </w:pPr>
            <w:r w:rsidRPr="00CD1283">
              <w:rPr>
                <w:i/>
                <w:noProof/>
              </w:rPr>
              <w:t>Frequentes:</w:t>
            </w:r>
            <w:r w:rsidRPr="00CD1283">
              <w:t xml:space="preserve"> náuseas. </w:t>
            </w:r>
          </w:p>
          <w:p w14:paraId="4159CA03" w14:textId="77777777" w:rsidR="00E20FC3" w:rsidRPr="00CD1283" w:rsidRDefault="00C35B70" w:rsidP="00E20FC3">
            <w:pPr>
              <w:autoSpaceDE w:val="0"/>
              <w:autoSpaceDN w:val="0"/>
              <w:adjustRightInd w:val="0"/>
              <w:jc w:val="both"/>
              <w:rPr>
                <w:noProof/>
                <w:szCs w:val="22"/>
              </w:rPr>
            </w:pPr>
            <w:r w:rsidRPr="00CD1283">
              <w:rPr>
                <w:i/>
                <w:noProof/>
              </w:rPr>
              <w:t xml:space="preserve">Desconhecida: </w:t>
            </w:r>
            <w:r w:rsidRPr="00CD1283">
              <w:t>duodenite, colite (incluindo colite grave).</w:t>
            </w:r>
          </w:p>
        </w:tc>
      </w:tr>
      <w:tr w:rsidR="00354AFB" w14:paraId="4159CA08" w14:textId="77777777" w:rsidTr="00E20FC3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9CA05" w14:textId="77777777" w:rsidR="00E20FC3" w:rsidRPr="00CD1283" w:rsidRDefault="00C35B70" w:rsidP="00E20FC3">
            <w:pPr>
              <w:autoSpaceDE w:val="0"/>
              <w:autoSpaceDN w:val="0"/>
              <w:adjustRightInd w:val="0"/>
              <w:jc w:val="both"/>
              <w:rPr>
                <w:noProof/>
                <w:szCs w:val="22"/>
              </w:rPr>
            </w:pPr>
            <w:r w:rsidRPr="00CD1283">
              <w:t>Afeção dos tecidos cutâneos e subcutâneos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9CA06" w14:textId="77777777" w:rsidR="00E20FC3" w:rsidRPr="00CD1283" w:rsidRDefault="00C35B70" w:rsidP="00E20FC3">
            <w:pPr>
              <w:autoSpaceDE w:val="0"/>
              <w:autoSpaceDN w:val="0"/>
              <w:adjustRightInd w:val="0"/>
              <w:jc w:val="both"/>
              <w:rPr>
                <w:noProof/>
                <w:szCs w:val="22"/>
              </w:rPr>
            </w:pPr>
            <w:r w:rsidRPr="00CD1283">
              <w:rPr>
                <w:i/>
                <w:noProof/>
              </w:rPr>
              <w:t xml:space="preserve">Pouco frequentes: </w:t>
            </w:r>
            <w:r w:rsidRPr="00CD1283">
              <w:t xml:space="preserve">erupção cutânea, prurido, eritema. </w:t>
            </w:r>
          </w:p>
          <w:p w14:paraId="4159CA07" w14:textId="77777777" w:rsidR="00E20FC3" w:rsidRPr="00CD1283" w:rsidRDefault="00C35B70" w:rsidP="00E20FC3">
            <w:pPr>
              <w:autoSpaceDE w:val="0"/>
              <w:autoSpaceDN w:val="0"/>
              <w:adjustRightInd w:val="0"/>
              <w:jc w:val="both"/>
              <w:rPr>
                <w:noProof/>
                <w:szCs w:val="22"/>
              </w:rPr>
            </w:pPr>
            <w:r w:rsidRPr="00CD1283">
              <w:rPr>
                <w:i/>
                <w:noProof/>
              </w:rPr>
              <w:t>Desconhecida</w:t>
            </w:r>
            <w:r w:rsidRPr="00CD1283">
              <w:t>: urticária.</w:t>
            </w:r>
          </w:p>
        </w:tc>
      </w:tr>
    </w:tbl>
    <w:p w14:paraId="4159CA09" w14:textId="77777777" w:rsidR="00E20FC3" w:rsidRPr="00CD1283" w:rsidRDefault="00E20FC3" w:rsidP="00E20FC3">
      <w:pPr>
        <w:autoSpaceDE w:val="0"/>
        <w:autoSpaceDN w:val="0"/>
        <w:adjustRightInd w:val="0"/>
        <w:rPr>
          <w:noProof/>
          <w:szCs w:val="22"/>
        </w:rPr>
      </w:pPr>
    </w:p>
    <w:p w14:paraId="4159CA0A" w14:textId="77777777" w:rsidR="00E20FC3" w:rsidRPr="00CD1283" w:rsidRDefault="00C35B70" w:rsidP="00E20FC3">
      <w:pPr>
        <w:autoSpaceDE w:val="0"/>
        <w:autoSpaceDN w:val="0"/>
        <w:adjustRightInd w:val="0"/>
        <w:spacing w:line="240" w:lineRule="auto"/>
        <w:rPr>
          <w:szCs w:val="22"/>
          <w:u w:val="single"/>
        </w:rPr>
      </w:pPr>
      <w:r w:rsidRPr="00CD1283">
        <w:rPr>
          <w:u w:val="single"/>
        </w:rPr>
        <w:t xml:space="preserve">Notificação de suspeitas de </w:t>
      </w:r>
      <w:r w:rsidRPr="00CD1283">
        <w:rPr>
          <w:u w:val="single"/>
        </w:rPr>
        <w:t>reações adversas</w:t>
      </w:r>
    </w:p>
    <w:p w14:paraId="4159CA0B" w14:textId="77777777" w:rsidR="00E20FC3" w:rsidRPr="00CD1283" w:rsidRDefault="00C35B70" w:rsidP="00E20FC3">
      <w:pPr>
        <w:autoSpaceDE w:val="0"/>
        <w:autoSpaceDN w:val="0"/>
        <w:adjustRightInd w:val="0"/>
        <w:spacing w:line="240" w:lineRule="auto"/>
        <w:rPr>
          <w:noProof/>
          <w:szCs w:val="22"/>
        </w:rPr>
      </w:pPr>
      <w:r w:rsidRPr="00CD1283">
        <w:t>A notificação de suspeitas de reações adversas após a autorização do medicamento é importante, uma vez que permite uma monitorização contínua da relação benefício-risco do medicamento. Pede-se aos profissionais de saúde que notifiquem quaisquer suspeitas d</w:t>
      </w:r>
      <w:r w:rsidRPr="00CD1283">
        <w:t xml:space="preserve">e reações adversas através </w:t>
      </w:r>
      <w:r w:rsidRPr="00CD1283">
        <w:rPr>
          <w:highlight w:val="lightGray"/>
        </w:rPr>
        <w:t xml:space="preserve">do sistema nacional de notificação mencionado no </w:t>
      </w:r>
      <w:hyperlink r:id="rId11" w:history="1">
        <w:r w:rsidRPr="00CD1283">
          <w:rPr>
            <w:rStyle w:val="Hyperlink"/>
            <w:highlight w:val="lightGray"/>
          </w:rPr>
          <w:t>Apêndice V</w:t>
        </w:r>
      </w:hyperlink>
    </w:p>
    <w:p w14:paraId="4159CA0C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A0D" w14:textId="77777777" w:rsidR="00E20FC3" w:rsidRPr="00CD1283" w:rsidRDefault="00C35B70" w:rsidP="00E20FC3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noProof/>
          <w:szCs w:val="22"/>
        </w:rPr>
      </w:pPr>
      <w:r w:rsidRPr="00CD1283">
        <w:rPr>
          <w:b/>
          <w:noProof/>
        </w:rPr>
        <w:t>Sobredosagem</w:t>
      </w:r>
    </w:p>
    <w:p w14:paraId="4159CA0E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05CCF323" w14:textId="764CAD6A" w:rsidR="00B6500B" w:rsidRPr="00CD1283" w:rsidRDefault="00C35B70" w:rsidP="00E20FC3">
      <w:r w:rsidRPr="00CD1283">
        <w:rPr>
          <w:noProof/>
          <w:szCs w:val="22"/>
        </w:rPr>
        <w:t>Foram notificados casos ocasionais de sobred</w:t>
      </w:r>
      <w:r w:rsidRPr="00CD1283">
        <w:rPr>
          <w:noProof/>
          <w:szCs w:val="22"/>
        </w:rPr>
        <w:t xml:space="preserve">osagem com trientina. Nos casos com até 20 g de trientina base, não foram notificados quaisquer efeitos adversos aparentes. Uma grande sobredosagem de 40 g de trientina base resultou em tonturas e vómitos </w:t>
      </w:r>
      <w:r w:rsidR="00AB2A9F" w:rsidRPr="00CD1283">
        <w:rPr>
          <w:noProof/>
          <w:szCs w:val="22"/>
        </w:rPr>
        <w:t xml:space="preserve">auto-limitantes </w:t>
      </w:r>
      <w:r w:rsidRPr="00CD1283">
        <w:rPr>
          <w:noProof/>
          <w:szCs w:val="22"/>
        </w:rPr>
        <w:t>sem quaisquer outras sequelas clíni</w:t>
      </w:r>
      <w:r w:rsidRPr="00CD1283">
        <w:rPr>
          <w:noProof/>
          <w:szCs w:val="22"/>
        </w:rPr>
        <w:t>cas nem anomalias bioquímicas significativas.</w:t>
      </w:r>
    </w:p>
    <w:p w14:paraId="45EAD20F" w14:textId="77777777" w:rsidR="00B6500B" w:rsidRPr="00CD1283" w:rsidRDefault="00B6500B" w:rsidP="00E20FC3"/>
    <w:p w14:paraId="4159CA0F" w14:textId="22984063" w:rsidR="00E20FC3" w:rsidRPr="00CD1283" w:rsidRDefault="00C35B70" w:rsidP="00E20FC3">
      <w:pPr>
        <w:rPr>
          <w:noProof/>
          <w:szCs w:val="22"/>
        </w:rPr>
      </w:pPr>
      <w:r w:rsidRPr="00CD1283">
        <w:t>Não existe antídoto para a sobredosagem aguda de trientina.</w:t>
      </w:r>
    </w:p>
    <w:p w14:paraId="4159CA10" w14:textId="77777777" w:rsidR="00E20FC3" w:rsidRPr="00CD1283" w:rsidRDefault="00E20FC3" w:rsidP="00E20FC3">
      <w:pPr>
        <w:spacing w:line="240" w:lineRule="auto"/>
        <w:rPr>
          <w:szCs w:val="22"/>
        </w:rPr>
      </w:pPr>
    </w:p>
    <w:p w14:paraId="4159CA11" w14:textId="77777777" w:rsidR="00E20FC3" w:rsidRPr="00CD1283" w:rsidRDefault="00C35B70" w:rsidP="00E20FC3">
      <w:pPr>
        <w:spacing w:line="240" w:lineRule="auto"/>
        <w:rPr>
          <w:noProof/>
          <w:szCs w:val="22"/>
        </w:rPr>
      </w:pPr>
      <w:r w:rsidRPr="00CD1283">
        <w:t>O sobretratamento crónico pode levar a deficiência de cobre e anemia sideroblástica reversível. O sobretratamento e o excesso de remoção de cobre po</w:t>
      </w:r>
      <w:r w:rsidRPr="00CD1283">
        <w:t xml:space="preserve">dem ser monitorizados utilizando valores de </w:t>
      </w:r>
      <w:r w:rsidRPr="00CD1283">
        <w:lastRenderedPageBreak/>
        <w:t>excreção de cobre na urina e cobre não ligado à ceruloplasmina. É necessária uma monitorização cuidadosa para otimizar a dose ou para adaptar o tratamento, se necessário (ver secção 4.4).</w:t>
      </w:r>
    </w:p>
    <w:p w14:paraId="4159CA12" w14:textId="77777777" w:rsidR="00E20FC3" w:rsidRPr="00CD1283" w:rsidRDefault="00E20FC3" w:rsidP="00E20FC3">
      <w:pPr>
        <w:suppressAutoHyphens/>
        <w:spacing w:line="240" w:lineRule="auto"/>
        <w:rPr>
          <w:b/>
          <w:szCs w:val="22"/>
        </w:rPr>
      </w:pPr>
    </w:p>
    <w:p w14:paraId="4159CA13" w14:textId="77777777" w:rsidR="00E20FC3" w:rsidRPr="00CD1283" w:rsidRDefault="00E20FC3" w:rsidP="00E20FC3">
      <w:pPr>
        <w:suppressAutoHyphens/>
        <w:spacing w:line="240" w:lineRule="auto"/>
        <w:rPr>
          <w:b/>
          <w:szCs w:val="22"/>
        </w:rPr>
      </w:pPr>
    </w:p>
    <w:p w14:paraId="4159CA14" w14:textId="77777777" w:rsidR="00E20FC3" w:rsidRPr="00CD1283" w:rsidRDefault="00C35B70" w:rsidP="00E20FC3">
      <w:pPr>
        <w:pStyle w:val="ListParagraph"/>
        <w:keepNext/>
        <w:numPr>
          <w:ilvl w:val="0"/>
          <w:numId w:val="28"/>
        </w:numPr>
        <w:spacing w:line="240" w:lineRule="auto"/>
        <w:ind w:hanging="930"/>
        <w:rPr>
          <w:b/>
        </w:rPr>
      </w:pPr>
      <w:r w:rsidRPr="00CD1283">
        <w:rPr>
          <w:b/>
        </w:rPr>
        <w:t>PROPRIEDADES FARMACOLÓ</w:t>
      </w:r>
      <w:r w:rsidRPr="00CD1283">
        <w:rPr>
          <w:b/>
        </w:rPr>
        <w:t>GICAS</w:t>
      </w:r>
    </w:p>
    <w:p w14:paraId="4159CA15" w14:textId="77777777" w:rsidR="00E20FC3" w:rsidRPr="00CD1283" w:rsidRDefault="00E20FC3" w:rsidP="00E20FC3">
      <w:pPr>
        <w:keepNext/>
        <w:spacing w:line="240" w:lineRule="auto"/>
        <w:rPr>
          <w:szCs w:val="22"/>
        </w:rPr>
      </w:pPr>
    </w:p>
    <w:p w14:paraId="4159CA16" w14:textId="77777777" w:rsidR="00E20FC3" w:rsidRPr="00CD1283" w:rsidRDefault="00C35B70" w:rsidP="00E20FC3">
      <w:pPr>
        <w:pStyle w:val="ListParagraph"/>
        <w:keepNext/>
        <w:numPr>
          <w:ilvl w:val="1"/>
          <w:numId w:val="28"/>
        </w:numPr>
        <w:spacing w:line="240" w:lineRule="auto"/>
        <w:ind w:hanging="930"/>
        <w:outlineLvl w:val="0"/>
        <w:rPr>
          <w:szCs w:val="22"/>
        </w:rPr>
      </w:pPr>
      <w:r w:rsidRPr="00CD1283">
        <w:rPr>
          <w:b/>
        </w:rPr>
        <w:t>Propriedades farmacodinâmicas</w:t>
      </w:r>
    </w:p>
    <w:p w14:paraId="4159CA17" w14:textId="77777777" w:rsidR="00E20FC3" w:rsidRPr="00CD1283" w:rsidRDefault="00E20FC3" w:rsidP="00E20FC3">
      <w:pPr>
        <w:spacing w:line="240" w:lineRule="auto"/>
        <w:rPr>
          <w:szCs w:val="22"/>
        </w:rPr>
      </w:pPr>
    </w:p>
    <w:p w14:paraId="4159CA18" w14:textId="77777777" w:rsidR="00E20FC3" w:rsidRPr="00CD1283" w:rsidRDefault="00C35B70" w:rsidP="00E20FC3">
      <w:pPr>
        <w:numPr>
          <w:ilvl w:val="12"/>
          <w:numId w:val="0"/>
        </w:numPr>
        <w:ind w:right="-2"/>
        <w:rPr>
          <w:szCs w:val="22"/>
        </w:rPr>
      </w:pPr>
      <w:r w:rsidRPr="00CD1283">
        <w:t>Grupo farmacoterapêutico: Outros produtos para as vias digestivas e o metabolismo; produtos diversos para o trato alimentar e metabolismo, código ATC: A16AX12.</w:t>
      </w:r>
    </w:p>
    <w:p w14:paraId="4159CA19" w14:textId="77777777" w:rsidR="00E20FC3" w:rsidRPr="00CD1283" w:rsidRDefault="00E20FC3" w:rsidP="00E20FC3">
      <w:pPr>
        <w:numPr>
          <w:ilvl w:val="12"/>
          <w:numId w:val="0"/>
        </w:numPr>
        <w:ind w:right="-2"/>
        <w:rPr>
          <w:szCs w:val="22"/>
        </w:rPr>
      </w:pPr>
    </w:p>
    <w:p w14:paraId="4159CA1A" w14:textId="77777777" w:rsidR="00E20FC3" w:rsidRPr="00CD1283" w:rsidRDefault="00C35B70" w:rsidP="00E20FC3">
      <w:pPr>
        <w:keepNext/>
        <w:numPr>
          <w:ilvl w:val="12"/>
          <w:numId w:val="0"/>
        </w:numPr>
        <w:rPr>
          <w:szCs w:val="22"/>
          <w:u w:val="single"/>
        </w:rPr>
      </w:pPr>
      <w:r w:rsidRPr="00CD1283">
        <w:rPr>
          <w:u w:val="single"/>
        </w:rPr>
        <w:t xml:space="preserve">Mecanismo de ação </w:t>
      </w:r>
    </w:p>
    <w:p w14:paraId="4159CA1B" w14:textId="77777777" w:rsidR="00E20FC3" w:rsidRPr="00CD1283" w:rsidRDefault="00C35B70" w:rsidP="00E20FC3">
      <w:pPr>
        <w:numPr>
          <w:ilvl w:val="12"/>
          <w:numId w:val="0"/>
        </w:numPr>
        <w:ind w:right="-2"/>
        <w:rPr>
          <w:szCs w:val="22"/>
        </w:rPr>
      </w:pPr>
      <w:r w:rsidRPr="00CD1283">
        <w:t xml:space="preserve">A trientina é um agente </w:t>
      </w:r>
      <w:r w:rsidRPr="00CD1283">
        <w:t>quelante do cobre cujo principal mecanismo de ação é eliminar o cobre absorvido do organismo mediante a formação de um complexo estável que é então eliminado através da excreção urinária. A trientina pode também quelar cobre no trato intestinal e, assim, i</w:t>
      </w:r>
      <w:r w:rsidRPr="00CD1283">
        <w:t>nibir a absorção do cobre.</w:t>
      </w:r>
    </w:p>
    <w:p w14:paraId="4159CA1C" w14:textId="77777777" w:rsidR="00E20FC3" w:rsidRPr="00CD1283" w:rsidRDefault="00E20FC3" w:rsidP="00E20FC3">
      <w:pPr>
        <w:numPr>
          <w:ilvl w:val="12"/>
          <w:numId w:val="0"/>
        </w:numPr>
        <w:ind w:right="-2"/>
        <w:rPr>
          <w:iCs/>
          <w:noProof/>
          <w:szCs w:val="22"/>
        </w:rPr>
      </w:pPr>
    </w:p>
    <w:p w14:paraId="4159CA1D" w14:textId="77777777" w:rsidR="00E20FC3" w:rsidRPr="00CD1283" w:rsidRDefault="00C35B70" w:rsidP="00E20FC3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szCs w:val="22"/>
        </w:rPr>
      </w:pPr>
      <w:r w:rsidRPr="00CD1283">
        <w:rPr>
          <w:b/>
        </w:rPr>
        <w:t>Propriedades farmacocinéticas</w:t>
      </w:r>
    </w:p>
    <w:p w14:paraId="4159CA1E" w14:textId="77777777" w:rsidR="00E20FC3" w:rsidRPr="00CD1283" w:rsidRDefault="00E20FC3" w:rsidP="00E20FC3">
      <w:pPr>
        <w:rPr>
          <w:noProof/>
        </w:rPr>
      </w:pPr>
    </w:p>
    <w:p w14:paraId="4159CA1F" w14:textId="77777777" w:rsidR="00E20FC3" w:rsidRPr="00CD1283" w:rsidRDefault="00C35B70" w:rsidP="00E20FC3">
      <w:pPr>
        <w:rPr>
          <w:noProof/>
          <w:szCs w:val="22"/>
          <w:u w:val="single"/>
        </w:rPr>
      </w:pPr>
      <w:r w:rsidRPr="00CD1283">
        <w:rPr>
          <w:noProof/>
          <w:u w:val="single"/>
        </w:rPr>
        <w:t>Absorção</w:t>
      </w:r>
    </w:p>
    <w:p w14:paraId="4159CA20" w14:textId="77777777" w:rsidR="00E20FC3" w:rsidRPr="00CD1283" w:rsidRDefault="00C35B70" w:rsidP="00E20FC3">
      <w:pPr>
        <w:rPr>
          <w:noProof/>
          <w:szCs w:val="22"/>
        </w:rPr>
      </w:pPr>
      <w:r w:rsidRPr="00CD1283">
        <w:t xml:space="preserve">A absorção de trientina após administração oral é baixa e variável em doentes com doença de Wilson. O perfil farmacocinético do Cuprior foi avaliado após uma dose oral única de 450 mg, 600 mg e 750 mg de trientina em indivíduos saudáveis do sexo masculino </w:t>
      </w:r>
      <w:r w:rsidRPr="00CD1283">
        <w:t>e feminino. Os níveis plasmáticos de trientina aumentaram rapidamente após a administração, com o nível máximo mediano alcançado após 1,25 a 2 horas. A concentração plasmática de trientina diminuiu então de forma multifásica, rapidamente de início, seguida</w:t>
      </w:r>
      <w:r w:rsidRPr="00CD1283">
        <w:t xml:space="preserve"> de uma fase de eliminação mais lenta. Os perfis farmacocinéticos globais foram semelhantes em homens e mulheres, embora os homens apresentassem níveis mais elevados de trientina. </w:t>
      </w:r>
    </w:p>
    <w:p w14:paraId="4159CA21" w14:textId="77777777" w:rsidR="00E20FC3" w:rsidRPr="00CD1283" w:rsidRDefault="00E20FC3" w:rsidP="00E20FC3">
      <w:pPr>
        <w:rPr>
          <w:noProof/>
          <w:szCs w:val="22"/>
        </w:rPr>
      </w:pPr>
    </w:p>
    <w:p w14:paraId="4159CA22" w14:textId="77777777" w:rsidR="00E20FC3" w:rsidRPr="00CD1283" w:rsidRDefault="00C35B70" w:rsidP="00E20FC3">
      <w:pPr>
        <w:rPr>
          <w:noProof/>
          <w:szCs w:val="22"/>
          <w:u w:val="single"/>
        </w:rPr>
      </w:pPr>
      <w:r w:rsidRPr="00CD1283">
        <w:rPr>
          <w:noProof/>
          <w:u w:val="single"/>
        </w:rPr>
        <w:t>Distribuição</w:t>
      </w:r>
    </w:p>
    <w:p w14:paraId="4159CA23" w14:textId="77777777" w:rsidR="00E20FC3" w:rsidRPr="00CD1283" w:rsidRDefault="00C35B70" w:rsidP="00E20FC3">
      <w:pPr>
        <w:rPr>
          <w:noProof/>
          <w:szCs w:val="22"/>
        </w:rPr>
      </w:pPr>
      <w:r w:rsidRPr="00CD1283">
        <w:t>Pouco se sabe sobre a distribuição da trientina em órgãos e t</w:t>
      </w:r>
      <w:r w:rsidRPr="00CD1283">
        <w:t xml:space="preserve">ecidos. </w:t>
      </w:r>
    </w:p>
    <w:p w14:paraId="4159CA24" w14:textId="77777777" w:rsidR="00E20FC3" w:rsidRPr="00CD1283" w:rsidRDefault="00E20FC3" w:rsidP="00E20FC3">
      <w:pPr>
        <w:rPr>
          <w:noProof/>
          <w:szCs w:val="22"/>
        </w:rPr>
      </w:pPr>
    </w:p>
    <w:p w14:paraId="4159CA25" w14:textId="77777777" w:rsidR="00E20FC3" w:rsidRPr="00CD1283" w:rsidRDefault="00C35B70" w:rsidP="00E20FC3">
      <w:pPr>
        <w:rPr>
          <w:noProof/>
          <w:szCs w:val="22"/>
          <w:u w:val="single"/>
        </w:rPr>
      </w:pPr>
      <w:r w:rsidRPr="00CD1283">
        <w:rPr>
          <w:noProof/>
          <w:u w:val="single"/>
        </w:rPr>
        <w:t>Biotransformação</w:t>
      </w:r>
    </w:p>
    <w:p w14:paraId="4159CA26" w14:textId="77777777" w:rsidR="00E20FC3" w:rsidRPr="00CD1283" w:rsidRDefault="00C35B70" w:rsidP="00E20FC3">
      <w:pPr>
        <w:rPr>
          <w:szCs w:val="22"/>
        </w:rPr>
      </w:pPr>
      <w:r w:rsidRPr="00CD1283">
        <w:t>A trientina é acetilada em dois metabolitos principais, N(1)-acetiltrietilenotetramina (MAT) e N(1),N(10)-diacetiltrietilenotetramina (DAT). O MAT pode também contribuir para a atividade clínica global do Cuprior, porém ainda est</w:t>
      </w:r>
      <w:r w:rsidRPr="00CD1283">
        <w:t>á por determinar a extensão do efeito do MAT para o efeito global do Cuprior nos níveis de cobre.</w:t>
      </w:r>
    </w:p>
    <w:p w14:paraId="4159CA27" w14:textId="77777777" w:rsidR="00E20FC3" w:rsidRPr="00CD1283" w:rsidRDefault="00E20FC3" w:rsidP="00E20FC3">
      <w:pPr>
        <w:rPr>
          <w:szCs w:val="22"/>
        </w:rPr>
      </w:pPr>
    </w:p>
    <w:p w14:paraId="4159CA28" w14:textId="77777777" w:rsidR="00E20FC3" w:rsidRPr="00CD1283" w:rsidRDefault="00C35B70" w:rsidP="00E20FC3">
      <w:pPr>
        <w:rPr>
          <w:noProof/>
          <w:szCs w:val="22"/>
        </w:rPr>
      </w:pPr>
      <w:r w:rsidRPr="00CD1283">
        <w:rPr>
          <w:noProof/>
          <w:u w:val="single"/>
        </w:rPr>
        <w:t>Eliminação</w:t>
      </w:r>
    </w:p>
    <w:p w14:paraId="4159CA29" w14:textId="77777777" w:rsidR="00E20FC3" w:rsidRPr="00CD1283" w:rsidRDefault="00C35B70" w:rsidP="00E20FC3">
      <w:pPr>
        <w:rPr>
          <w:noProof/>
          <w:szCs w:val="22"/>
        </w:rPr>
      </w:pPr>
      <w:r w:rsidRPr="00CD1283">
        <w:t>A trientina e os seus metabolitos são rapidamente excretados na urina, embora ainda possam ser detetados níveis baixos de trientina no plasma após</w:t>
      </w:r>
      <w:r w:rsidRPr="00CD1283">
        <w:t xml:space="preserve"> 20 horas. A trientina não absorvida é eliminada através da excreção fecal.</w:t>
      </w:r>
    </w:p>
    <w:p w14:paraId="4159CA2A" w14:textId="77777777" w:rsidR="00E20FC3" w:rsidRPr="00CD1283" w:rsidRDefault="00E20FC3" w:rsidP="00E20FC3">
      <w:pPr>
        <w:rPr>
          <w:noProof/>
          <w:szCs w:val="22"/>
        </w:rPr>
      </w:pPr>
    </w:p>
    <w:p w14:paraId="4159CA2B" w14:textId="77777777" w:rsidR="00E20FC3" w:rsidRPr="00CD1283" w:rsidRDefault="00C35B70" w:rsidP="00E20FC3">
      <w:pPr>
        <w:rPr>
          <w:noProof/>
          <w:szCs w:val="22"/>
          <w:u w:val="single"/>
        </w:rPr>
      </w:pPr>
      <w:r w:rsidRPr="00CD1283">
        <w:rPr>
          <w:noProof/>
          <w:u w:val="single"/>
        </w:rPr>
        <w:t>Linearidade/não linearidade</w:t>
      </w:r>
    </w:p>
    <w:p w14:paraId="4159CA2C" w14:textId="77777777" w:rsidR="00E20FC3" w:rsidRPr="00CD1283" w:rsidRDefault="00C35B70" w:rsidP="00E20FC3">
      <w:pPr>
        <w:rPr>
          <w:noProof/>
          <w:szCs w:val="22"/>
        </w:rPr>
      </w:pPr>
      <w:r w:rsidRPr="00CD1283">
        <w:t>Exposições plasmáticas em seres humanos têm demonstrado uma relação linear com doses orais de trientina.</w:t>
      </w:r>
    </w:p>
    <w:p w14:paraId="4159CA2D" w14:textId="77777777" w:rsidR="00E20FC3" w:rsidRPr="00CD1283" w:rsidRDefault="00E20FC3" w:rsidP="00E20FC3">
      <w:pPr>
        <w:numPr>
          <w:ilvl w:val="12"/>
          <w:numId w:val="0"/>
        </w:numPr>
        <w:spacing w:line="240" w:lineRule="auto"/>
        <w:ind w:right="-2"/>
        <w:rPr>
          <w:iCs/>
          <w:noProof/>
          <w:szCs w:val="22"/>
        </w:rPr>
      </w:pPr>
    </w:p>
    <w:p w14:paraId="4159CA2E" w14:textId="77777777" w:rsidR="00E20FC3" w:rsidRPr="00CD1283" w:rsidRDefault="00C35B70" w:rsidP="00E20FC3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szCs w:val="22"/>
        </w:rPr>
      </w:pPr>
      <w:r w:rsidRPr="00CD1283">
        <w:rPr>
          <w:b/>
        </w:rPr>
        <w:t>Dados de segurança pré-clínica</w:t>
      </w:r>
    </w:p>
    <w:p w14:paraId="4159CA2F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A30" w14:textId="77777777" w:rsidR="00E20FC3" w:rsidRPr="00CD1283" w:rsidRDefault="00C35B70" w:rsidP="00E20FC3">
      <w:pPr>
        <w:rPr>
          <w:noProof/>
          <w:szCs w:val="22"/>
        </w:rPr>
      </w:pPr>
      <w:r w:rsidRPr="00CD1283">
        <w:t xml:space="preserve">Os dados </w:t>
      </w:r>
      <w:r w:rsidRPr="00CD1283">
        <w:t>pré-clínicos obtidos com a trientina demonstraram reações adversas não observadas durante os estudos clínicos, mas constatadas em animais sujeitos a níveis de exposição análogos aos níveis de exposição clínica, e com eventual relevância para a utilização c</w:t>
      </w:r>
      <w:r w:rsidRPr="00CD1283">
        <w:t>línica, como a seguir se descreve:</w:t>
      </w:r>
    </w:p>
    <w:p w14:paraId="4159CA31" w14:textId="77777777" w:rsidR="00E20FC3" w:rsidRPr="00CD1283" w:rsidRDefault="00E20FC3" w:rsidP="00E20FC3">
      <w:pPr>
        <w:rPr>
          <w:szCs w:val="22"/>
        </w:rPr>
      </w:pPr>
    </w:p>
    <w:p w14:paraId="4159CA32" w14:textId="77777777" w:rsidR="00E20FC3" w:rsidRPr="00CD1283" w:rsidRDefault="00C35B70" w:rsidP="00E20FC3">
      <w:pPr>
        <w:rPr>
          <w:noProof/>
          <w:szCs w:val="22"/>
          <w:u w:val="single"/>
        </w:rPr>
      </w:pPr>
      <w:r w:rsidRPr="00CD1283">
        <w:rPr>
          <w:noProof/>
          <w:u w:val="single"/>
        </w:rPr>
        <w:t>Toxicidade por dose repetida</w:t>
      </w:r>
    </w:p>
    <w:p w14:paraId="4159CA33" w14:textId="77777777" w:rsidR="00E20FC3" w:rsidRPr="00CD1283" w:rsidRDefault="00C35B70" w:rsidP="00E20FC3">
      <w:pPr>
        <w:rPr>
          <w:noProof/>
          <w:szCs w:val="22"/>
        </w:rPr>
      </w:pPr>
      <w:r w:rsidRPr="00CD1283">
        <w:t>Em ratinhos que receberam água potável, a trientina apresentou frequências aumentadas de inflamação do interstício pulmonar e infiltração gorda periportal do fígado. Observou-se a proliferaçã</w:t>
      </w:r>
      <w:r w:rsidRPr="00CD1283">
        <w:t xml:space="preserve">o de células </w:t>
      </w:r>
      <w:r w:rsidRPr="00CD1283">
        <w:lastRenderedPageBreak/>
        <w:t xml:space="preserve">hematopoiéticas no baço dos machos. Os pesos renal e corporal sofreram uma redução nos machos, o mesmo sucedendo com a incidência de vacuolização citoplasmática nos rins. O NOAEL foi estabelecido em aproximadamente 92 mg/kg/dia para os machos </w:t>
      </w:r>
      <w:r w:rsidRPr="00CD1283">
        <w:t>e 99 mg/kg/dia para as fêmeas. Em ratos que receberam doses de trientina oral, até 600 mg/kg/dia durante 26 semanas, a histopatologia revelou uma incidência e gravidade relacionadas com a dose de pneumonite intersticial crónica focal acompanhada de fibrose</w:t>
      </w:r>
      <w:r w:rsidRPr="00CD1283">
        <w:t xml:space="preserve"> da parede alveolar. As alterações microscópicas no pulmão foram consideradas indicativas de reação inflamatória persistente ou efeito tóxico persistente em células alveolares. Tendo em conta que a trientina tem propriedades irritantes, calculou-se que a p</w:t>
      </w:r>
      <w:r w:rsidRPr="00CD1283">
        <w:t xml:space="preserve">neumonite intersticial crónica observada era explicada por um efeito citotóxico da trientina por acumulação em células epiteliais bronquiolares e pneumócitos alveolares. Estes achados não foram reversíveis. O NOAEL do rato correspondeu a 50 mg/kg/dia para </w:t>
      </w:r>
      <w:r w:rsidRPr="00CD1283">
        <w:t>as fêmeas, não tendo sido estabelecido um NOAEL para os machos.</w:t>
      </w:r>
    </w:p>
    <w:p w14:paraId="4159CA34" w14:textId="77777777" w:rsidR="00E20FC3" w:rsidRPr="00CD1283" w:rsidRDefault="00C35B70" w:rsidP="00E20FC3">
      <w:pPr>
        <w:rPr>
          <w:noProof/>
          <w:szCs w:val="22"/>
        </w:rPr>
      </w:pPr>
      <w:r w:rsidRPr="00CD1283">
        <w:t>Os cães que receberam doses orais de trientina até 300 mg/kg/dia apresentaram sintomas clínicos neurológicos e/ou musculoesqueléticos (marcha anormal, ataxia, membros fracos, tremores corporai</w:t>
      </w:r>
      <w:r w:rsidRPr="00CD1283">
        <w:t>s) em estudos de toxicidade de dose repetida, atribuídos à atividade de depleção do cobre da trientina. O NOAEL foi estabelecido em 50 mg/kg/dia, o que resultou em margens de segurança de cerca de 4 nos machos e 17 nas fêmeas, para as exposições terapêutic</w:t>
      </w:r>
      <w:r w:rsidRPr="00CD1283">
        <w:t>as humanas.</w:t>
      </w:r>
    </w:p>
    <w:p w14:paraId="4159CA35" w14:textId="77777777" w:rsidR="00E20FC3" w:rsidRPr="00CD1283" w:rsidRDefault="00E20FC3" w:rsidP="00E20FC3">
      <w:pPr>
        <w:rPr>
          <w:noProof/>
          <w:szCs w:val="22"/>
        </w:rPr>
      </w:pPr>
    </w:p>
    <w:p w14:paraId="4159CA36" w14:textId="77777777" w:rsidR="00E20FC3" w:rsidRPr="00CD1283" w:rsidRDefault="00C35B70" w:rsidP="00E20FC3">
      <w:pPr>
        <w:keepNext/>
        <w:rPr>
          <w:noProof/>
          <w:szCs w:val="22"/>
          <w:u w:val="single"/>
        </w:rPr>
      </w:pPr>
      <w:r w:rsidRPr="00CD1283">
        <w:rPr>
          <w:noProof/>
          <w:u w:val="single"/>
        </w:rPr>
        <w:t>Genotoxicidade</w:t>
      </w:r>
    </w:p>
    <w:p w14:paraId="4159CA37" w14:textId="77777777" w:rsidR="00E20FC3" w:rsidRPr="00CD1283" w:rsidRDefault="00C35B70" w:rsidP="00E20FC3">
      <w:pPr>
        <w:rPr>
          <w:noProof/>
          <w:szCs w:val="22"/>
        </w:rPr>
      </w:pPr>
      <w:r w:rsidRPr="00CD1283">
        <w:t xml:space="preserve">Globalmente, a trientina demonstrou efeitos positivos em estudos de genotoxicidade </w:t>
      </w:r>
      <w:r w:rsidRPr="00CD1283">
        <w:rPr>
          <w:i/>
        </w:rPr>
        <w:t>in vitro</w:t>
      </w:r>
      <w:r w:rsidRPr="00CD1283">
        <w:t xml:space="preserve">, incluindo o teste de Ames e testes de genotoxicidade em células de mamíferos. </w:t>
      </w:r>
      <w:r w:rsidRPr="00CD1283">
        <w:rPr>
          <w:i/>
          <w:noProof/>
        </w:rPr>
        <w:t>In vivo</w:t>
      </w:r>
      <w:r w:rsidRPr="00CD1283">
        <w:t>, a trientina foi contudo negativa no teste de mic</w:t>
      </w:r>
      <w:r w:rsidRPr="00CD1283">
        <w:t>ronúcleo em ratinhos.</w:t>
      </w:r>
    </w:p>
    <w:p w14:paraId="4159CA38" w14:textId="77777777" w:rsidR="00E20FC3" w:rsidRPr="00CD1283" w:rsidRDefault="00E20FC3" w:rsidP="00E20FC3">
      <w:pPr>
        <w:rPr>
          <w:noProof/>
          <w:szCs w:val="22"/>
        </w:rPr>
      </w:pPr>
    </w:p>
    <w:p w14:paraId="4159CA39" w14:textId="77777777" w:rsidR="00E20FC3" w:rsidRPr="00CD1283" w:rsidRDefault="00C35B70" w:rsidP="00E20FC3">
      <w:pPr>
        <w:rPr>
          <w:noProof/>
          <w:szCs w:val="22"/>
          <w:u w:val="single"/>
        </w:rPr>
      </w:pPr>
      <w:r w:rsidRPr="00CD1283">
        <w:rPr>
          <w:noProof/>
          <w:u w:val="single"/>
        </w:rPr>
        <w:t>Toxicidade para a função reprodutora e o desenvolvimento</w:t>
      </w:r>
    </w:p>
    <w:p w14:paraId="4159CA3A" w14:textId="77777777" w:rsidR="00E20FC3" w:rsidRPr="00CD1283" w:rsidRDefault="00C35B70" w:rsidP="00E20FC3">
      <w:pPr>
        <w:rPr>
          <w:noProof/>
          <w:szCs w:val="22"/>
        </w:rPr>
      </w:pPr>
      <w:r w:rsidRPr="00CD1283">
        <w:t>Quando roedores foram alimentados durante a gestação com uma dieta contendo trientina, a frequência de reabsorções e a frequência de fetos anormais de termo mostraram um aument</w:t>
      </w:r>
      <w:r w:rsidRPr="00CD1283">
        <w:t xml:space="preserve">o relacionado com a dose. Estes efeitos são possivelmente devidos à deficiência de cobre e zinco induzida pela trientina. </w:t>
      </w:r>
    </w:p>
    <w:p w14:paraId="4159CA3B" w14:textId="77777777" w:rsidR="00E20FC3" w:rsidRPr="00CD1283" w:rsidRDefault="00E20FC3" w:rsidP="00E20FC3">
      <w:pPr>
        <w:rPr>
          <w:noProof/>
          <w:szCs w:val="22"/>
        </w:rPr>
      </w:pPr>
    </w:p>
    <w:p w14:paraId="4159CA3C" w14:textId="77777777" w:rsidR="00E20FC3" w:rsidRPr="00CD1283" w:rsidRDefault="00C35B70" w:rsidP="00E20FC3">
      <w:pPr>
        <w:rPr>
          <w:noProof/>
          <w:szCs w:val="22"/>
          <w:u w:val="single"/>
        </w:rPr>
      </w:pPr>
      <w:r w:rsidRPr="00CD1283">
        <w:rPr>
          <w:noProof/>
          <w:u w:val="single"/>
        </w:rPr>
        <w:t>Tolerância local</w:t>
      </w:r>
    </w:p>
    <w:p w14:paraId="4159CA3D" w14:textId="77777777" w:rsidR="00E20FC3" w:rsidRPr="00CD1283" w:rsidRDefault="00C35B70" w:rsidP="00E20FC3">
      <w:pPr>
        <w:rPr>
          <w:noProof/>
          <w:szCs w:val="22"/>
        </w:rPr>
      </w:pPr>
      <w:r w:rsidRPr="00CD1283">
        <w:t xml:space="preserve">Dados </w:t>
      </w:r>
      <w:r w:rsidRPr="00CD1283">
        <w:rPr>
          <w:i/>
        </w:rPr>
        <w:t>in silico</w:t>
      </w:r>
      <w:r w:rsidRPr="00CD1283">
        <w:t xml:space="preserve"> preveem que a trientina apresenta propriedades irritantes e sensibilizantes. Foram comunicados resu</w:t>
      </w:r>
      <w:r w:rsidRPr="00CD1283">
        <w:t>ltados positivos relativamente ao potencial de sensibilização nos ensaios de maximização em cobaias.</w:t>
      </w:r>
    </w:p>
    <w:p w14:paraId="4159CA3E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A3F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A40" w14:textId="77777777" w:rsidR="00E20FC3" w:rsidRPr="00CD1283" w:rsidRDefault="00C35B70" w:rsidP="00E20FC3">
      <w:pPr>
        <w:pStyle w:val="ListParagraph"/>
        <w:numPr>
          <w:ilvl w:val="0"/>
          <w:numId w:val="28"/>
        </w:numPr>
        <w:spacing w:line="240" w:lineRule="auto"/>
        <w:ind w:hanging="930"/>
        <w:rPr>
          <w:b/>
        </w:rPr>
      </w:pPr>
      <w:r w:rsidRPr="00CD1283">
        <w:rPr>
          <w:b/>
        </w:rPr>
        <w:t>INFORMAÇÕES FARMACÊUTICAS</w:t>
      </w:r>
    </w:p>
    <w:p w14:paraId="4159CA41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A42" w14:textId="77777777" w:rsidR="00E20FC3" w:rsidRPr="00CD1283" w:rsidRDefault="00C35B70" w:rsidP="00E20FC3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szCs w:val="22"/>
        </w:rPr>
      </w:pPr>
      <w:r w:rsidRPr="00CD1283">
        <w:rPr>
          <w:b/>
        </w:rPr>
        <w:t>Lista dos excipientes</w:t>
      </w:r>
    </w:p>
    <w:p w14:paraId="4159CA43" w14:textId="77777777" w:rsidR="00E20FC3" w:rsidRPr="00CD1283" w:rsidRDefault="00E20FC3" w:rsidP="00E20FC3">
      <w:pPr>
        <w:spacing w:line="240" w:lineRule="auto"/>
        <w:rPr>
          <w:i/>
          <w:noProof/>
          <w:szCs w:val="22"/>
        </w:rPr>
      </w:pPr>
    </w:p>
    <w:p w14:paraId="4159CA44" w14:textId="77777777" w:rsidR="00FA2344" w:rsidRPr="00CD1283" w:rsidRDefault="00C35B70" w:rsidP="00E20FC3">
      <w:r w:rsidRPr="00CD1283">
        <w:t>Núcleo do comprimido:</w:t>
      </w:r>
    </w:p>
    <w:p w14:paraId="4159CA45" w14:textId="77777777" w:rsidR="00E20FC3" w:rsidRPr="00CD1283" w:rsidRDefault="00C35B70" w:rsidP="00E20FC3">
      <w:pPr>
        <w:rPr>
          <w:noProof/>
          <w:szCs w:val="22"/>
        </w:rPr>
      </w:pPr>
      <w:r w:rsidRPr="00CD1283">
        <w:t xml:space="preserve">Manitol. </w:t>
      </w:r>
    </w:p>
    <w:p w14:paraId="4159CA46" w14:textId="77777777" w:rsidR="00E20FC3" w:rsidRPr="00CD1283" w:rsidRDefault="00C35B70" w:rsidP="00E20FC3">
      <w:pPr>
        <w:rPr>
          <w:noProof/>
          <w:szCs w:val="22"/>
        </w:rPr>
      </w:pPr>
      <w:r w:rsidRPr="00CD1283">
        <w:t>Sílica coloidal anidra.</w:t>
      </w:r>
    </w:p>
    <w:p w14:paraId="4159CA47" w14:textId="77777777" w:rsidR="00E20FC3" w:rsidRPr="00CD1283" w:rsidRDefault="00C35B70" w:rsidP="00E20FC3">
      <w:pPr>
        <w:rPr>
          <w:noProof/>
          <w:szCs w:val="22"/>
        </w:rPr>
      </w:pPr>
      <w:r w:rsidRPr="00CD1283">
        <w:t>Dibehenato de glicerol.</w:t>
      </w:r>
    </w:p>
    <w:p w14:paraId="4159CA48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A49" w14:textId="77777777" w:rsidR="00FA2344" w:rsidRPr="00CD1283" w:rsidRDefault="00C35B70" w:rsidP="00E20FC3">
      <w:pPr>
        <w:spacing w:line="240" w:lineRule="auto"/>
        <w:rPr>
          <w:noProof/>
          <w:szCs w:val="22"/>
        </w:rPr>
      </w:pPr>
      <w:r w:rsidRPr="00CD1283">
        <w:rPr>
          <w:noProof/>
          <w:szCs w:val="22"/>
        </w:rPr>
        <w:t>Revestimento do comprimido:</w:t>
      </w:r>
    </w:p>
    <w:p w14:paraId="4159CA4A" w14:textId="77777777" w:rsidR="00FA2344" w:rsidRPr="00CD1283" w:rsidRDefault="00C35B70" w:rsidP="00E20FC3">
      <w:pPr>
        <w:spacing w:line="240" w:lineRule="auto"/>
        <w:rPr>
          <w:noProof/>
          <w:szCs w:val="22"/>
        </w:rPr>
      </w:pPr>
      <w:r w:rsidRPr="00CD1283">
        <w:rPr>
          <w:noProof/>
          <w:szCs w:val="22"/>
        </w:rPr>
        <w:t>Álcool polivinílico.</w:t>
      </w:r>
    </w:p>
    <w:p w14:paraId="4159CA4B" w14:textId="77777777" w:rsidR="00184C11" w:rsidRPr="00CD1283" w:rsidRDefault="00C35B70" w:rsidP="00E20FC3">
      <w:pPr>
        <w:spacing w:line="240" w:lineRule="auto"/>
        <w:rPr>
          <w:noProof/>
          <w:szCs w:val="22"/>
        </w:rPr>
      </w:pPr>
      <w:r w:rsidRPr="00CD1283">
        <w:rPr>
          <w:noProof/>
          <w:szCs w:val="22"/>
        </w:rPr>
        <w:t>Talco.</w:t>
      </w:r>
    </w:p>
    <w:p w14:paraId="4159CA4C" w14:textId="77777777" w:rsidR="00184C11" w:rsidRPr="00CD1283" w:rsidRDefault="00C35B70" w:rsidP="00E20FC3">
      <w:pPr>
        <w:spacing w:line="240" w:lineRule="auto"/>
        <w:rPr>
          <w:rStyle w:val="st"/>
        </w:rPr>
      </w:pPr>
      <w:r w:rsidRPr="00CD1283">
        <w:rPr>
          <w:rStyle w:val="st"/>
        </w:rPr>
        <w:t>Dióxido de titânio.</w:t>
      </w:r>
    </w:p>
    <w:p w14:paraId="4159CA4D" w14:textId="77777777" w:rsidR="00184C11" w:rsidRPr="00CD1283" w:rsidRDefault="00C35B70" w:rsidP="00E20FC3">
      <w:pPr>
        <w:spacing w:line="240" w:lineRule="auto"/>
        <w:rPr>
          <w:noProof/>
          <w:szCs w:val="22"/>
        </w:rPr>
      </w:pPr>
      <w:r w:rsidRPr="00CD1283">
        <w:rPr>
          <w:noProof/>
          <w:szCs w:val="22"/>
        </w:rPr>
        <w:t>Glicerol monocaprilocaprato (tipo I).</w:t>
      </w:r>
    </w:p>
    <w:p w14:paraId="4159CA4E" w14:textId="77777777" w:rsidR="00184C11" w:rsidRPr="00CD1283" w:rsidRDefault="00C35B70" w:rsidP="00E20FC3">
      <w:pPr>
        <w:spacing w:line="240" w:lineRule="auto"/>
        <w:rPr>
          <w:rStyle w:val="st"/>
        </w:rPr>
      </w:pPr>
      <w:r w:rsidRPr="00CD1283">
        <w:rPr>
          <w:rStyle w:val="st"/>
        </w:rPr>
        <w:t>Óxido de ferro amarelo (E172).</w:t>
      </w:r>
    </w:p>
    <w:p w14:paraId="4159CA4F" w14:textId="77777777" w:rsidR="00184C11" w:rsidRPr="00CD1283" w:rsidRDefault="00C35B70" w:rsidP="00E20FC3">
      <w:pPr>
        <w:spacing w:line="240" w:lineRule="auto"/>
        <w:rPr>
          <w:noProof/>
          <w:szCs w:val="22"/>
        </w:rPr>
      </w:pPr>
      <w:r w:rsidRPr="00CD1283">
        <w:rPr>
          <w:noProof/>
          <w:szCs w:val="22"/>
        </w:rPr>
        <w:t>Laurilsulfato de sódio.</w:t>
      </w:r>
    </w:p>
    <w:p w14:paraId="4159CA50" w14:textId="77777777" w:rsidR="00184C11" w:rsidRPr="00CD1283" w:rsidRDefault="00184C11" w:rsidP="00E20FC3">
      <w:pPr>
        <w:spacing w:line="240" w:lineRule="auto"/>
        <w:rPr>
          <w:noProof/>
          <w:szCs w:val="22"/>
        </w:rPr>
      </w:pPr>
    </w:p>
    <w:p w14:paraId="4159CA51" w14:textId="77777777" w:rsidR="00E20FC3" w:rsidRPr="00CD1283" w:rsidRDefault="00C35B70" w:rsidP="00E20FC3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szCs w:val="22"/>
        </w:rPr>
      </w:pPr>
      <w:r w:rsidRPr="00CD1283">
        <w:rPr>
          <w:b/>
        </w:rPr>
        <w:t>Incompatibilidades</w:t>
      </w:r>
    </w:p>
    <w:p w14:paraId="4159CA52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A53" w14:textId="77777777" w:rsidR="00E20FC3" w:rsidRPr="00CD1283" w:rsidRDefault="00C35B70" w:rsidP="00E20FC3">
      <w:pPr>
        <w:rPr>
          <w:noProof/>
          <w:szCs w:val="22"/>
        </w:rPr>
      </w:pPr>
      <w:r w:rsidRPr="00CD1283">
        <w:t>Não aplicável.</w:t>
      </w:r>
    </w:p>
    <w:p w14:paraId="4159CA54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A55" w14:textId="77777777" w:rsidR="00E20FC3" w:rsidRPr="00CD1283" w:rsidRDefault="00C35B70" w:rsidP="00E20FC3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szCs w:val="22"/>
        </w:rPr>
      </w:pPr>
      <w:r w:rsidRPr="00CD1283">
        <w:rPr>
          <w:b/>
        </w:rPr>
        <w:lastRenderedPageBreak/>
        <w:t>Prazo de validade</w:t>
      </w:r>
    </w:p>
    <w:p w14:paraId="4159CA56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A57" w14:textId="06A82E4E" w:rsidR="00E20FC3" w:rsidRPr="00CD1283" w:rsidRDefault="00C35B70" w:rsidP="00E20FC3">
      <w:pPr>
        <w:rPr>
          <w:noProof/>
          <w:szCs w:val="22"/>
        </w:rPr>
      </w:pPr>
      <w:r>
        <w:t>30</w:t>
      </w:r>
      <w:r w:rsidRPr="00CD1283">
        <w:t> </w:t>
      </w:r>
      <w:r w:rsidR="00B9417E" w:rsidRPr="00CD1283">
        <w:t>meses.</w:t>
      </w:r>
    </w:p>
    <w:p w14:paraId="4159CA58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A59" w14:textId="77777777" w:rsidR="00E20FC3" w:rsidRPr="00CD1283" w:rsidRDefault="00C35B70" w:rsidP="00E20FC3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szCs w:val="22"/>
        </w:rPr>
      </w:pPr>
      <w:r w:rsidRPr="00CD1283">
        <w:rPr>
          <w:b/>
        </w:rPr>
        <w:t>Precauções especiais</w:t>
      </w:r>
      <w:r w:rsidRPr="00CD1283">
        <w:rPr>
          <w:b/>
        </w:rPr>
        <w:t xml:space="preserve"> de conservação</w:t>
      </w:r>
    </w:p>
    <w:p w14:paraId="4159CA5A" w14:textId="77777777" w:rsidR="00E20FC3" w:rsidRPr="00CD1283" w:rsidRDefault="00E20FC3" w:rsidP="00E20FC3">
      <w:pPr>
        <w:rPr>
          <w:noProof/>
        </w:rPr>
      </w:pPr>
    </w:p>
    <w:p w14:paraId="4159CA5B" w14:textId="77777777" w:rsidR="00E20FC3" w:rsidRPr="00CD1283" w:rsidRDefault="00C35B70" w:rsidP="00E20FC3">
      <w:pPr>
        <w:rPr>
          <w:szCs w:val="22"/>
        </w:rPr>
      </w:pPr>
      <w:r w:rsidRPr="00CD1283">
        <w:t>O medicamento não necessita de quaisquer precauções especiais de conservação.</w:t>
      </w:r>
    </w:p>
    <w:p w14:paraId="4159CA5C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A5D" w14:textId="77777777" w:rsidR="00E20FC3" w:rsidRPr="00CD1283" w:rsidRDefault="00C35B70" w:rsidP="00E20FC3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szCs w:val="22"/>
        </w:rPr>
      </w:pPr>
      <w:r w:rsidRPr="00CD1283">
        <w:rPr>
          <w:b/>
        </w:rPr>
        <w:t xml:space="preserve">Natureza e conteúdo do recipiente </w:t>
      </w:r>
    </w:p>
    <w:p w14:paraId="4159CA5E" w14:textId="77777777" w:rsidR="00E20FC3" w:rsidRPr="00CD1283" w:rsidRDefault="00E20FC3" w:rsidP="00E20FC3">
      <w:pPr>
        <w:rPr>
          <w:noProof/>
        </w:rPr>
      </w:pPr>
    </w:p>
    <w:p w14:paraId="4159CA5F" w14:textId="77777777" w:rsidR="00E20FC3" w:rsidRPr="00CD1283" w:rsidRDefault="00C35B70" w:rsidP="00E20FC3">
      <w:pPr>
        <w:pStyle w:val="Default"/>
        <w:rPr>
          <w:sz w:val="22"/>
          <w:szCs w:val="22"/>
        </w:rPr>
      </w:pPr>
      <w:r w:rsidRPr="00CD1283">
        <w:rPr>
          <w:sz w:val="22"/>
        </w:rPr>
        <w:t>Blisters de OPA/Alu/PVC-Alu, sendo que cada blister contém 8 comprimidos revestidos por película.</w:t>
      </w:r>
    </w:p>
    <w:p w14:paraId="4159CA60" w14:textId="1B38F1CC" w:rsidR="00E20FC3" w:rsidRPr="00CD1283" w:rsidRDefault="00C35B70" w:rsidP="00E20FC3">
      <w:r w:rsidRPr="00CD1283">
        <w:t xml:space="preserve">Embalagem: 72 </w:t>
      </w:r>
      <w:r w:rsidR="00B81466" w:rsidRPr="00CD1283">
        <w:t xml:space="preserve">ou 96 </w:t>
      </w:r>
      <w:r w:rsidRPr="00CD1283">
        <w:t>comprimidos</w:t>
      </w:r>
      <w:r w:rsidR="00B81466" w:rsidRPr="00CD1283">
        <w:t xml:space="preserve"> revestidos por película</w:t>
      </w:r>
      <w:r w:rsidRPr="00CD1283">
        <w:t>.</w:t>
      </w:r>
    </w:p>
    <w:p w14:paraId="72A0F0B4" w14:textId="498B8CD2" w:rsidR="00B81466" w:rsidRPr="00CD1283" w:rsidRDefault="00C35B70" w:rsidP="00E20FC3">
      <w:pPr>
        <w:rPr>
          <w:noProof/>
          <w:szCs w:val="22"/>
        </w:rPr>
      </w:pPr>
      <w:r w:rsidRPr="00CD1283">
        <w:rPr>
          <w:noProof/>
          <w:szCs w:val="22"/>
        </w:rPr>
        <w:t>É possível que não sejam comercializadas todas as apresentações.</w:t>
      </w:r>
    </w:p>
    <w:p w14:paraId="4159CA61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A62" w14:textId="77777777" w:rsidR="00E20FC3" w:rsidRPr="00CD1283" w:rsidRDefault="00C35B70" w:rsidP="00E20FC3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szCs w:val="22"/>
        </w:rPr>
      </w:pPr>
      <w:bookmarkStart w:id="1" w:name="OLE_LINK1"/>
      <w:r w:rsidRPr="00CD1283">
        <w:rPr>
          <w:b/>
        </w:rPr>
        <w:t xml:space="preserve">Precauções especiais de eliminação </w:t>
      </w:r>
    </w:p>
    <w:p w14:paraId="4159CA63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A64" w14:textId="77777777" w:rsidR="00E20FC3" w:rsidRPr="00CD1283" w:rsidRDefault="00C35B70" w:rsidP="00E20FC3">
      <w:pPr>
        <w:rPr>
          <w:szCs w:val="22"/>
        </w:rPr>
      </w:pPr>
      <w:r w:rsidRPr="00CD1283">
        <w:t>Não existem requisitos especiais.</w:t>
      </w:r>
    </w:p>
    <w:p w14:paraId="4159CA65" w14:textId="77777777" w:rsidR="00E20FC3" w:rsidRPr="00CD1283" w:rsidRDefault="00E20FC3" w:rsidP="00E20FC3">
      <w:pPr>
        <w:spacing w:line="240" w:lineRule="auto"/>
        <w:rPr>
          <w:szCs w:val="22"/>
        </w:rPr>
      </w:pPr>
    </w:p>
    <w:bookmarkEnd w:id="1"/>
    <w:p w14:paraId="4159CA66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A67" w14:textId="77777777" w:rsidR="00E20FC3" w:rsidRPr="00CD1283" w:rsidRDefault="00C35B70" w:rsidP="00E20FC3">
      <w:pPr>
        <w:pStyle w:val="ListParagraph"/>
        <w:numPr>
          <w:ilvl w:val="0"/>
          <w:numId w:val="28"/>
        </w:numPr>
        <w:spacing w:line="240" w:lineRule="auto"/>
        <w:ind w:hanging="930"/>
        <w:rPr>
          <w:b/>
        </w:rPr>
      </w:pPr>
      <w:r w:rsidRPr="00CD1283">
        <w:rPr>
          <w:b/>
        </w:rPr>
        <w:t>TITULAR DA AUTORIZAÇÃO DE INTRODUÇÃO NO MERCADO</w:t>
      </w:r>
    </w:p>
    <w:p w14:paraId="4159CA68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A69" w14:textId="052D5F19" w:rsidR="00E20FC3" w:rsidRPr="00CD1283" w:rsidRDefault="00E25A12" w:rsidP="00E20FC3">
      <w:pPr>
        <w:rPr>
          <w:szCs w:val="22"/>
          <w:lang w:val="fr-LU"/>
        </w:rPr>
      </w:pPr>
      <w:proofErr w:type="spellStart"/>
      <w:r>
        <w:rPr>
          <w:lang w:val="fr-LU"/>
        </w:rPr>
        <w:t>Orphalan</w:t>
      </w:r>
      <w:proofErr w:type="spellEnd"/>
    </w:p>
    <w:p w14:paraId="1361453E" w14:textId="77777777" w:rsidR="0084503B" w:rsidRPr="002503BA" w:rsidRDefault="00C35B70" w:rsidP="0084503B">
      <w:pPr>
        <w:rPr>
          <w:szCs w:val="22"/>
          <w:lang w:val="fr-FR"/>
        </w:rPr>
      </w:pPr>
      <w:r w:rsidRPr="002503BA">
        <w:rPr>
          <w:szCs w:val="22"/>
          <w:lang w:val="fr-FR"/>
        </w:rPr>
        <w:t>226 Boulevard Voltaire</w:t>
      </w:r>
    </w:p>
    <w:p w14:paraId="15AA2721" w14:textId="77777777" w:rsidR="0084503B" w:rsidRPr="0036776A" w:rsidRDefault="00C35B70" w:rsidP="0084503B">
      <w:pPr>
        <w:rPr>
          <w:szCs w:val="22"/>
          <w:lang w:val="fr-FR"/>
        </w:rPr>
      </w:pPr>
      <w:r w:rsidRPr="002503BA">
        <w:rPr>
          <w:szCs w:val="22"/>
          <w:lang w:val="fr-FR"/>
        </w:rPr>
        <w:t>75011 Paris</w:t>
      </w:r>
    </w:p>
    <w:p w14:paraId="4159CA6D" w14:textId="77777777" w:rsidR="00E20FC3" w:rsidRPr="00851D41" w:rsidRDefault="00C35B70" w:rsidP="00E20FC3">
      <w:pPr>
        <w:rPr>
          <w:szCs w:val="22"/>
          <w:lang w:val="fr-FR"/>
        </w:rPr>
      </w:pPr>
      <w:r w:rsidRPr="00851D41">
        <w:rPr>
          <w:lang w:val="fr-FR"/>
        </w:rPr>
        <w:t>França</w:t>
      </w:r>
    </w:p>
    <w:p w14:paraId="4159CA6E" w14:textId="77777777" w:rsidR="00E20FC3" w:rsidRPr="00851D41" w:rsidRDefault="00E20FC3" w:rsidP="00E20FC3">
      <w:pPr>
        <w:spacing w:line="240" w:lineRule="auto"/>
        <w:rPr>
          <w:noProof/>
          <w:szCs w:val="22"/>
          <w:lang w:val="fr-FR"/>
        </w:rPr>
      </w:pPr>
    </w:p>
    <w:p w14:paraId="4159CA6F" w14:textId="77777777" w:rsidR="00E20FC3" w:rsidRPr="00851D41" w:rsidRDefault="00E20FC3" w:rsidP="00E20FC3">
      <w:pPr>
        <w:spacing w:line="240" w:lineRule="auto"/>
        <w:rPr>
          <w:noProof/>
          <w:szCs w:val="22"/>
          <w:lang w:val="fr-FR"/>
        </w:rPr>
      </w:pPr>
    </w:p>
    <w:p w14:paraId="4159CA70" w14:textId="77777777" w:rsidR="00E20FC3" w:rsidRPr="00CD1283" w:rsidRDefault="00C35B70" w:rsidP="00E20FC3">
      <w:pPr>
        <w:pStyle w:val="ListParagraph"/>
        <w:numPr>
          <w:ilvl w:val="0"/>
          <w:numId w:val="28"/>
        </w:numPr>
        <w:spacing w:line="240" w:lineRule="auto"/>
        <w:ind w:hanging="930"/>
        <w:rPr>
          <w:b/>
        </w:rPr>
      </w:pPr>
      <w:r w:rsidRPr="00CD1283">
        <w:rPr>
          <w:b/>
        </w:rPr>
        <w:t xml:space="preserve">NÚMERO(S) DA AUTORIZAÇÃO DE INTRODUÇÃO NO MERCADO </w:t>
      </w:r>
    </w:p>
    <w:p w14:paraId="4159CA71" w14:textId="77777777" w:rsidR="00B9417E" w:rsidRPr="00CD1283" w:rsidRDefault="00B9417E" w:rsidP="00B9417E">
      <w:pPr>
        <w:spacing w:line="240" w:lineRule="auto"/>
        <w:rPr>
          <w:color w:val="000000"/>
        </w:rPr>
      </w:pPr>
    </w:p>
    <w:p w14:paraId="005CA82D" w14:textId="77777777" w:rsidR="009D1F98" w:rsidRPr="00CD1283" w:rsidRDefault="00C35B70" w:rsidP="009D1F98">
      <w:pPr>
        <w:spacing w:line="240" w:lineRule="auto"/>
        <w:rPr>
          <w:color w:val="000000"/>
        </w:rPr>
      </w:pPr>
      <w:r w:rsidRPr="00CD1283">
        <w:rPr>
          <w:color w:val="000000"/>
        </w:rPr>
        <w:t>EU/1/17/1199/001 72 comprimidos revestidos por película</w:t>
      </w:r>
    </w:p>
    <w:p w14:paraId="4159CA72" w14:textId="4BCB56F5" w:rsidR="00B9417E" w:rsidRPr="00CD1283" w:rsidRDefault="00C35B70" w:rsidP="00B9417E">
      <w:pPr>
        <w:spacing w:line="240" w:lineRule="auto"/>
        <w:rPr>
          <w:color w:val="000000"/>
        </w:rPr>
      </w:pPr>
      <w:r w:rsidRPr="00CD1283">
        <w:rPr>
          <w:color w:val="000000"/>
        </w:rPr>
        <w:t>EU/1/17/1199/002 96 comprimidos revestidos por película</w:t>
      </w:r>
    </w:p>
    <w:p w14:paraId="4159CA73" w14:textId="77777777" w:rsidR="00E20FC3" w:rsidRPr="00CD1283" w:rsidRDefault="00E20FC3" w:rsidP="00E20FC3">
      <w:pPr>
        <w:spacing w:line="240" w:lineRule="auto"/>
        <w:ind w:left="567" w:hanging="567"/>
        <w:rPr>
          <w:b/>
          <w:noProof/>
          <w:szCs w:val="22"/>
        </w:rPr>
      </w:pPr>
    </w:p>
    <w:p w14:paraId="4159CA74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A75" w14:textId="77777777" w:rsidR="00E20FC3" w:rsidRPr="00CD1283" w:rsidRDefault="00C35B70" w:rsidP="00E20FC3">
      <w:pPr>
        <w:pStyle w:val="ListParagraph"/>
        <w:numPr>
          <w:ilvl w:val="0"/>
          <w:numId w:val="28"/>
        </w:numPr>
        <w:spacing w:line="240" w:lineRule="auto"/>
        <w:ind w:hanging="930"/>
        <w:rPr>
          <w:b/>
        </w:rPr>
      </w:pPr>
      <w:r w:rsidRPr="00CD1283">
        <w:rPr>
          <w:b/>
        </w:rPr>
        <w:t xml:space="preserve">DATA DA PRIMEIRA </w:t>
      </w:r>
      <w:r w:rsidRPr="00CD1283">
        <w:rPr>
          <w:b/>
        </w:rPr>
        <w:t>AUTORIZAÇÃO/RENOVAÇÃO DA AUTORIZAÇÃO DE INTRODUÇÃO NO MERCADO</w:t>
      </w:r>
    </w:p>
    <w:p w14:paraId="4159CA76" w14:textId="77777777" w:rsidR="00E20FC3" w:rsidRPr="00CD1283" w:rsidRDefault="00E20FC3" w:rsidP="00E20FC3">
      <w:pPr>
        <w:spacing w:line="240" w:lineRule="auto"/>
        <w:rPr>
          <w:i/>
          <w:noProof/>
          <w:szCs w:val="22"/>
        </w:rPr>
      </w:pPr>
    </w:p>
    <w:p w14:paraId="4159CA77" w14:textId="77777777" w:rsidR="00E20FC3" w:rsidRPr="00CD1283" w:rsidRDefault="00C35B70" w:rsidP="00E20FC3">
      <w:pPr>
        <w:spacing w:line="240" w:lineRule="auto"/>
        <w:rPr>
          <w:i/>
          <w:noProof/>
          <w:szCs w:val="22"/>
        </w:rPr>
      </w:pPr>
      <w:r w:rsidRPr="00CD1283">
        <w:t xml:space="preserve">Data da primeira autorização: </w:t>
      </w:r>
      <w:r w:rsidR="0057594B" w:rsidRPr="00CD1283">
        <w:t>5 de setembro de 2017</w:t>
      </w:r>
    </w:p>
    <w:p w14:paraId="4159CA78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A79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A7A" w14:textId="77777777" w:rsidR="00E20FC3" w:rsidRPr="00CD1283" w:rsidRDefault="00C35B70" w:rsidP="00E20FC3">
      <w:pPr>
        <w:pStyle w:val="ListParagraph"/>
        <w:numPr>
          <w:ilvl w:val="0"/>
          <w:numId w:val="28"/>
        </w:numPr>
        <w:spacing w:line="240" w:lineRule="auto"/>
        <w:ind w:hanging="930"/>
        <w:rPr>
          <w:b/>
        </w:rPr>
      </w:pPr>
      <w:r w:rsidRPr="00CD1283">
        <w:rPr>
          <w:b/>
        </w:rPr>
        <w:t>DATA DA REVISÃO DO TEXTO</w:t>
      </w:r>
    </w:p>
    <w:p w14:paraId="4159CA7B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A7C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A7D" w14:textId="77777777" w:rsidR="00E20FC3" w:rsidRPr="00CD1283" w:rsidRDefault="00E20FC3" w:rsidP="00E20FC3">
      <w:pPr>
        <w:numPr>
          <w:ilvl w:val="12"/>
          <w:numId w:val="0"/>
        </w:numPr>
        <w:tabs>
          <w:tab w:val="clear" w:pos="567"/>
          <w:tab w:val="left" w:pos="1004"/>
        </w:tabs>
        <w:spacing w:line="240" w:lineRule="auto"/>
        <w:ind w:right="-2"/>
        <w:rPr>
          <w:szCs w:val="22"/>
        </w:rPr>
      </w:pPr>
    </w:p>
    <w:p w14:paraId="4159CA7E" w14:textId="77777777" w:rsidR="00E20FC3" w:rsidRPr="00CD1283" w:rsidRDefault="00C35B70" w:rsidP="00E20FC3">
      <w:pPr>
        <w:numPr>
          <w:ilvl w:val="12"/>
          <w:numId w:val="0"/>
        </w:numPr>
        <w:spacing w:line="240" w:lineRule="auto"/>
        <w:ind w:right="-2"/>
        <w:rPr>
          <w:noProof/>
          <w:szCs w:val="22"/>
        </w:rPr>
      </w:pPr>
      <w:r w:rsidRPr="00CD1283">
        <w:t>Está disponível informação pormenorizada sobre este medicamento no sítio da Internet da Agência Europeia de Med</w:t>
      </w:r>
      <w:r w:rsidRPr="00CD1283">
        <w:t xml:space="preserve">icamentos </w:t>
      </w:r>
      <w:hyperlink r:id="rId12" w:history="1">
        <w:r w:rsidRPr="00CD1283">
          <w:rPr>
            <w:rStyle w:val="Hyperlink"/>
            <w:noProof/>
          </w:rPr>
          <w:t>http://www.ema.europa.eu</w:t>
        </w:r>
      </w:hyperlink>
      <w:r w:rsidRPr="00CD1283">
        <w:t>.</w:t>
      </w:r>
    </w:p>
    <w:p w14:paraId="4159CA7F" w14:textId="77777777" w:rsidR="00E20FC3" w:rsidRPr="00CD1283" w:rsidRDefault="00E20FC3" w:rsidP="00E20FC3">
      <w:pPr>
        <w:numPr>
          <w:ilvl w:val="12"/>
          <w:numId w:val="0"/>
        </w:numPr>
        <w:spacing w:line="240" w:lineRule="auto"/>
        <w:ind w:right="-2"/>
        <w:rPr>
          <w:noProof/>
          <w:szCs w:val="22"/>
        </w:rPr>
      </w:pPr>
    </w:p>
    <w:p w14:paraId="4159CA80" w14:textId="77777777" w:rsidR="00E20FC3" w:rsidRPr="00CD1283" w:rsidRDefault="00C35B70" w:rsidP="00E20FC3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  <w:r w:rsidRPr="00CD1283">
        <w:br w:type="page"/>
      </w:r>
    </w:p>
    <w:p w14:paraId="4159CA81" w14:textId="77777777" w:rsidR="00E20FC3" w:rsidRPr="00CD1283" w:rsidRDefault="00E20FC3" w:rsidP="00E20FC3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4159CA82" w14:textId="77777777" w:rsidR="00E20FC3" w:rsidRPr="00CD1283" w:rsidRDefault="00E20FC3" w:rsidP="00E20FC3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4159CA83" w14:textId="77777777" w:rsidR="00E20FC3" w:rsidRPr="00CD1283" w:rsidRDefault="00E20FC3" w:rsidP="00E20FC3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4159CA84" w14:textId="77777777" w:rsidR="00E20FC3" w:rsidRPr="00CD1283" w:rsidRDefault="00E20FC3" w:rsidP="00E20FC3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4159CA85" w14:textId="77777777" w:rsidR="00E20FC3" w:rsidRPr="00CD1283" w:rsidRDefault="00E20FC3" w:rsidP="00E20FC3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4159CA86" w14:textId="77777777" w:rsidR="00E20FC3" w:rsidRPr="00CD1283" w:rsidRDefault="00E20FC3" w:rsidP="00E20FC3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4159CA87" w14:textId="77777777" w:rsidR="00E20FC3" w:rsidRPr="00CD1283" w:rsidRDefault="00E20FC3" w:rsidP="00E20FC3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4159CA88" w14:textId="77777777" w:rsidR="00E20FC3" w:rsidRPr="00CD1283" w:rsidRDefault="00E20FC3" w:rsidP="00E20FC3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4159CA89" w14:textId="77777777" w:rsidR="00E20FC3" w:rsidRPr="00CD1283" w:rsidRDefault="00E20FC3" w:rsidP="00E20FC3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4159CA8A" w14:textId="77777777" w:rsidR="00E20FC3" w:rsidRPr="00CD1283" w:rsidRDefault="00E20FC3" w:rsidP="00E20FC3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4159CA8B" w14:textId="77777777" w:rsidR="00E20FC3" w:rsidRPr="00CD1283" w:rsidRDefault="00E20FC3" w:rsidP="00E20FC3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4159CA8C" w14:textId="77777777" w:rsidR="00E20FC3" w:rsidRPr="00CD1283" w:rsidRDefault="00E20FC3" w:rsidP="00E20FC3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4159CA8D" w14:textId="77777777" w:rsidR="00E20FC3" w:rsidRPr="00CD1283" w:rsidRDefault="00E20FC3" w:rsidP="00E20FC3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4159CA8E" w14:textId="77777777" w:rsidR="00E20FC3" w:rsidRPr="00CD1283" w:rsidRDefault="00E20FC3" w:rsidP="00E20FC3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4159CA8F" w14:textId="77777777" w:rsidR="00E20FC3" w:rsidRPr="00CD1283" w:rsidRDefault="00E20FC3" w:rsidP="00E20FC3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4159CA90" w14:textId="77777777" w:rsidR="00E20FC3" w:rsidRPr="00CD1283" w:rsidRDefault="00E20FC3" w:rsidP="00E20FC3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4159CA91" w14:textId="77777777" w:rsidR="00E20FC3" w:rsidRPr="00CD1283" w:rsidRDefault="00E20FC3" w:rsidP="00E20FC3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4159CA92" w14:textId="77777777" w:rsidR="00E20FC3" w:rsidRPr="00CD1283" w:rsidRDefault="00C35B70" w:rsidP="00E20FC3">
      <w:pPr>
        <w:keepNext/>
        <w:widowControl w:val="0"/>
        <w:autoSpaceDE w:val="0"/>
        <w:autoSpaceDN w:val="0"/>
        <w:adjustRightInd w:val="0"/>
        <w:spacing w:before="280" w:after="220"/>
        <w:ind w:left="127" w:right="120"/>
        <w:jc w:val="center"/>
        <w:rPr>
          <w:b/>
          <w:bCs/>
          <w:color w:val="000000"/>
        </w:rPr>
      </w:pPr>
      <w:r w:rsidRPr="00CD1283">
        <w:rPr>
          <w:b/>
          <w:color w:val="000000"/>
        </w:rPr>
        <w:t>ANEXO II</w:t>
      </w:r>
    </w:p>
    <w:p w14:paraId="4159CA93" w14:textId="77777777" w:rsidR="00E20FC3" w:rsidRPr="00CD1283" w:rsidRDefault="00E20FC3" w:rsidP="00E20FC3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4159CA94" w14:textId="77777777" w:rsidR="00E20FC3" w:rsidRPr="00CD1283" w:rsidRDefault="00C35B70" w:rsidP="00E20FC3">
      <w:pPr>
        <w:pStyle w:val="ListParagraph"/>
        <w:keepNext/>
        <w:widowControl w:val="0"/>
        <w:numPr>
          <w:ilvl w:val="0"/>
          <w:numId w:val="29"/>
        </w:numPr>
        <w:autoSpaceDE w:val="0"/>
        <w:autoSpaceDN w:val="0"/>
        <w:adjustRightInd w:val="0"/>
        <w:spacing w:before="280"/>
        <w:ind w:right="120"/>
        <w:rPr>
          <w:b/>
          <w:bCs/>
          <w:color w:val="000000"/>
        </w:rPr>
      </w:pPr>
      <w:r w:rsidRPr="00CD1283">
        <w:rPr>
          <w:b/>
          <w:color w:val="000000"/>
        </w:rPr>
        <w:t xml:space="preserve">FABRICANTE(S) RESPONSÁVEL(VEIS) PELA LIBERTAÇÃO DO LOTE </w:t>
      </w:r>
    </w:p>
    <w:p w14:paraId="4159CA95" w14:textId="77777777" w:rsidR="00E20FC3" w:rsidRPr="00CD1283" w:rsidRDefault="00C35B70" w:rsidP="00E20FC3">
      <w:pPr>
        <w:pStyle w:val="ListParagraph"/>
        <w:keepNext/>
        <w:widowControl w:val="0"/>
        <w:numPr>
          <w:ilvl w:val="0"/>
          <w:numId w:val="29"/>
        </w:numPr>
        <w:autoSpaceDE w:val="0"/>
        <w:autoSpaceDN w:val="0"/>
        <w:adjustRightInd w:val="0"/>
        <w:spacing w:before="280" w:after="220"/>
        <w:ind w:left="573" w:right="119" w:hanging="448"/>
        <w:contextualSpacing w:val="0"/>
        <w:rPr>
          <w:b/>
          <w:bCs/>
          <w:color w:val="000000"/>
        </w:rPr>
      </w:pPr>
      <w:r w:rsidRPr="00CD1283">
        <w:rPr>
          <w:b/>
          <w:color w:val="000000"/>
        </w:rPr>
        <w:t>CONDIÇÕES OU RESTRIÇÕES RELATIVAS AO FORNECIMENTO E UTILIZAÇÃO</w:t>
      </w:r>
    </w:p>
    <w:p w14:paraId="4159CA96" w14:textId="77777777" w:rsidR="00E20FC3" w:rsidRPr="00CD1283" w:rsidRDefault="00E20FC3" w:rsidP="00E20FC3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4159CA97" w14:textId="77777777" w:rsidR="00E20FC3" w:rsidRPr="00CD1283" w:rsidRDefault="00C35B70" w:rsidP="00E20FC3">
      <w:pPr>
        <w:pStyle w:val="ListParagraph"/>
        <w:keepNext/>
        <w:widowControl w:val="0"/>
        <w:numPr>
          <w:ilvl w:val="0"/>
          <w:numId w:val="29"/>
        </w:numPr>
        <w:autoSpaceDE w:val="0"/>
        <w:autoSpaceDN w:val="0"/>
        <w:adjustRightInd w:val="0"/>
        <w:ind w:right="120"/>
        <w:rPr>
          <w:b/>
          <w:bCs/>
          <w:color w:val="000000"/>
        </w:rPr>
      </w:pPr>
      <w:r w:rsidRPr="00CD1283">
        <w:rPr>
          <w:b/>
          <w:color w:val="000000"/>
        </w:rPr>
        <w:t xml:space="preserve">OUTRAS CONDIÇÕES E </w:t>
      </w:r>
      <w:r w:rsidRPr="00CD1283">
        <w:rPr>
          <w:b/>
          <w:color w:val="000000"/>
        </w:rPr>
        <w:t>REQUISITOS DA AUTORIZAÇÃO DE INTRODUÇÃO NO MERCADO</w:t>
      </w:r>
    </w:p>
    <w:p w14:paraId="4159CA98" w14:textId="77777777" w:rsidR="00E20FC3" w:rsidRPr="00CD1283" w:rsidRDefault="00E20FC3" w:rsidP="00E20FC3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4159CA99" w14:textId="77777777" w:rsidR="00E20FC3" w:rsidRPr="00CD1283" w:rsidRDefault="00C35B70" w:rsidP="00E20FC3">
      <w:pPr>
        <w:pStyle w:val="ListParagraph"/>
        <w:keepNext/>
        <w:widowControl w:val="0"/>
        <w:numPr>
          <w:ilvl w:val="0"/>
          <w:numId w:val="29"/>
        </w:numPr>
        <w:autoSpaceDE w:val="0"/>
        <w:autoSpaceDN w:val="0"/>
        <w:adjustRightInd w:val="0"/>
        <w:ind w:right="120"/>
        <w:rPr>
          <w:b/>
          <w:bCs/>
          <w:color w:val="000000"/>
        </w:rPr>
      </w:pPr>
      <w:r w:rsidRPr="00CD1283">
        <w:rPr>
          <w:b/>
          <w:color w:val="000000"/>
        </w:rPr>
        <w:t>CONDIÇÕES OU RESTRIÇÕES RELATIVAS À UTILIZAÇÃO SEGURA E EFICAZ DO MEDICAMENTO</w:t>
      </w:r>
    </w:p>
    <w:p w14:paraId="4159CA9A" w14:textId="77777777" w:rsidR="00E20FC3" w:rsidRPr="00CD1283" w:rsidRDefault="00E20FC3" w:rsidP="00E20FC3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4159CA9B" w14:textId="77777777" w:rsidR="00E20FC3" w:rsidRPr="00CD1283" w:rsidRDefault="00E20FC3" w:rsidP="00E20FC3">
      <w:pPr>
        <w:keepNext/>
        <w:widowControl w:val="0"/>
        <w:autoSpaceDE w:val="0"/>
        <w:autoSpaceDN w:val="0"/>
        <w:adjustRightInd w:val="0"/>
        <w:spacing w:before="280"/>
        <w:ind w:left="127" w:right="120"/>
        <w:rPr>
          <w:color w:val="000000"/>
        </w:rPr>
      </w:pPr>
    </w:p>
    <w:p w14:paraId="4159CA9C" w14:textId="77777777" w:rsidR="00E20FC3" w:rsidRPr="00CD1283" w:rsidRDefault="00C35B70" w:rsidP="00E20FC3">
      <w:pPr>
        <w:pStyle w:val="ListParagraph"/>
        <w:keepNext/>
        <w:widowControl w:val="0"/>
        <w:numPr>
          <w:ilvl w:val="0"/>
          <w:numId w:val="30"/>
        </w:numPr>
        <w:autoSpaceDE w:val="0"/>
        <w:autoSpaceDN w:val="0"/>
        <w:adjustRightInd w:val="0"/>
        <w:spacing w:before="280" w:after="220"/>
        <w:ind w:right="120"/>
        <w:rPr>
          <w:b/>
          <w:bCs/>
          <w:color w:val="000000"/>
        </w:rPr>
      </w:pPr>
      <w:r w:rsidRPr="00CD1283">
        <w:br w:type="page"/>
      </w:r>
      <w:r w:rsidRPr="00CD1283">
        <w:rPr>
          <w:b/>
          <w:color w:val="000000"/>
        </w:rPr>
        <w:lastRenderedPageBreak/>
        <w:t>FABRICANTE(S) RESPONSÁVEL(VEIS) PELA LIBERTAÇÃO DO LOTE</w:t>
      </w:r>
    </w:p>
    <w:p w14:paraId="4159CA9D" w14:textId="77777777" w:rsidR="00E20FC3" w:rsidRPr="00CD1283" w:rsidRDefault="00C35B70" w:rsidP="00E20FC3">
      <w:pPr>
        <w:widowControl w:val="0"/>
        <w:autoSpaceDE w:val="0"/>
        <w:autoSpaceDN w:val="0"/>
        <w:adjustRightInd w:val="0"/>
        <w:spacing w:after="140" w:line="280" w:lineRule="atLeast"/>
        <w:ind w:left="127" w:right="120"/>
        <w:rPr>
          <w:color w:val="000000"/>
          <w:u w:val="single"/>
        </w:rPr>
      </w:pPr>
      <w:r w:rsidRPr="00CD1283">
        <w:rPr>
          <w:color w:val="000000"/>
          <w:u w:val="single"/>
        </w:rPr>
        <w:t>Nome e endereço do(s) fabricante(s) responsável(veis) pela libertaç</w:t>
      </w:r>
      <w:r w:rsidRPr="00CD1283">
        <w:rPr>
          <w:color w:val="000000"/>
          <w:u w:val="single"/>
        </w:rPr>
        <w:t>ão do lote</w:t>
      </w:r>
    </w:p>
    <w:p w14:paraId="4159CA9E" w14:textId="77777777" w:rsidR="00E20FC3" w:rsidRPr="00CD1283" w:rsidRDefault="00E20FC3" w:rsidP="00E20FC3">
      <w:pPr>
        <w:widowControl w:val="0"/>
        <w:autoSpaceDE w:val="0"/>
        <w:autoSpaceDN w:val="0"/>
        <w:adjustRightInd w:val="0"/>
        <w:spacing w:after="140" w:line="280" w:lineRule="atLeast"/>
        <w:ind w:left="127" w:right="120"/>
        <w:rPr>
          <w:color w:val="000000"/>
        </w:rPr>
      </w:pPr>
    </w:p>
    <w:p w14:paraId="4159CA9F" w14:textId="77777777" w:rsidR="00E20FC3" w:rsidRPr="00CD1283" w:rsidRDefault="00C35B70" w:rsidP="00E20FC3">
      <w:pPr>
        <w:widowControl w:val="0"/>
        <w:autoSpaceDE w:val="0"/>
        <w:autoSpaceDN w:val="0"/>
        <w:adjustRightInd w:val="0"/>
        <w:ind w:left="127" w:right="120"/>
        <w:rPr>
          <w:color w:val="000000"/>
          <w:lang w:val="fr-LU"/>
        </w:rPr>
      </w:pPr>
      <w:r w:rsidRPr="00CD1283">
        <w:rPr>
          <w:color w:val="000000"/>
          <w:lang w:val="fr-LU"/>
        </w:rPr>
        <w:t>DELPHARM EVREUX</w:t>
      </w:r>
      <w:r w:rsidRPr="00CD1283">
        <w:rPr>
          <w:color w:val="000000"/>
          <w:lang w:val="fr-LU"/>
        </w:rPr>
        <w:br/>
        <w:t>5 rue du Guesclin</w:t>
      </w:r>
      <w:r w:rsidRPr="00CD1283">
        <w:rPr>
          <w:color w:val="000000"/>
          <w:lang w:val="fr-LU"/>
        </w:rPr>
        <w:br/>
        <w:t>27000 Evreux</w:t>
      </w:r>
      <w:r w:rsidRPr="00CD1283">
        <w:rPr>
          <w:color w:val="000000"/>
          <w:lang w:val="fr-LU"/>
        </w:rPr>
        <w:br/>
        <w:t>França</w:t>
      </w:r>
    </w:p>
    <w:p w14:paraId="4159CAA0" w14:textId="77777777" w:rsidR="00E20FC3" w:rsidRPr="00CD1283" w:rsidRDefault="00C35B70" w:rsidP="00E20FC3">
      <w:pPr>
        <w:pStyle w:val="ListParagraph"/>
        <w:keepNext/>
        <w:widowControl w:val="0"/>
        <w:numPr>
          <w:ilvl w:val="0"/>
          <w:numId w:val="30"/>
        </w:numPr>
        <w:autoSpaceDE w:val="0"/>
        <w:autoSpaceDN w:val="0"/>
        <w:adjustRightInd w:val="0"/>
        <w:spacing w:before="280" w:after="220"/>
        <w:ind w:right="120"/>
        <w:rPr>
          <w:b/>
          <w:bCs/>
          <w:color w:val="000000"/>
        </w:rPr>
      </w:pPr>
      <w:r w:rsidRPr="00CD1283">
        <w:rPr>
          <w:b/>
          <w:color w:val="000000"/>
        </w:rPr>
        <w:t>CONDIÇÕES OU RESTRIÇÕES RELATIVAS AO FORNECIMENTO E UTILIZAÇÃO</w:t>
      </w:r>
    </w:p>
    <w:p w14:paraId="4159CAA1" w14:textId="77777777" w:rsidR="00E20FC3" w:rsidRPr="00CD1283" w:rsidRDefault="00C35B70" w:rsidP="00E20FC3">
      <w:pPr>
        <w:widowControl w:val="0"/>
        <w:autoSpaceDE w:val="0"/>
        <w:autoSpaceDN w:val="0"/>
        <w:adjustRightInd w:val="0"/>
        <w:spacing w:line="280" w:lineRule="exact"/>
        <w:ind w:left="127" w:right="120"/>
        <w:rPr>
          <w:color w:val="000000"/>
        </w:rPr>
      </w:pPr>
      <w:r w:rsidRPr="00CD1283">
        <w:rPr>
          <w:color w:val="000000"/>
        </w:rPr>
        <w:t>Medicamento de receita médica restrita, de utilização reservada a certos meios especializados (ver anexo I: Resumo das Caracter</w:t>
      </w:r>
      <w:r w:rsidRPr="00CD1283">
        <w:rPr>
          <w:color w:val="000000"/>
        </w:rPr>
        <w:t>ísticas do Medicamento, secção 4.2).</w:t>
      </w:r>
    </w:p>
    <w:p w14:paraId="4159CAA2" w14:textId="77777777" w:rsidR="00E20FC3" w:rsidRPr="00CD1283" w:rsidRDefault="00E20FC3" w:rsidP="00E20FC3">
      <w:pPr>
        <w:widowControl w:val="0"/>
        <w:autoSpaceDE w:val="0"/>
        <w:autoSpaceDN w:val="0"/>
        <w:adjustRightInd w:val="0"/>
        <w:spacing w:after="140" w:line="280" w:lineRule="atLeast"/>
        <w:ind w:left="127" w:right="120"/>
        <w:rPr>
          <w:color w:val="000000"/>
        </w:rPr>
      </w:pPr>
    </w:p>
    <w:p w14:paraId="4159CAA3" w14:textId="77777777" w:rsidR="00E20FC3" w:rsidRPr="00CD1283" w:rsidRDefault="00C35B70" w:rsidP="00E20FC3">
      <w:pPr>
        <w:pStyle w:val="ListParagraph"/>
        <w:keepNext/>
        <w:widowControl w:val="0"/>
        <w:numPr>
          <w:ilvl w:val="0"/>
          <w:numId w:val="30"/>
        </w:numPr>
        <w:autoSpaceDE w:val="0"/>
        <w:autoSpaceDN w:val="0"/>
        <w:adjustRightInd w:val="0"/>
        <w:spacing w:before="280" w:after="220"/>
        <w:ind w:right="120"/>
        <w:rPr>
          <w:b/>
          <w:bCs/>
          <w:color w:val="000000"/>
        </w:rPr>
      </w:pPr>
      <w:r w:rsidRPr="00CD1283">
        <w:rPr>
          <w:b/>
          <w:color w:val="000000"/>
        </w:rPr>
        <w:t xml:space="preserve">OUTRAS CONDIÇÕES E REQUISITOS DA AUTORIZAÇÃO DE INTRODUÇÃO NO MERCADO </w:t>
      </w:r>
    </w:p>
    <w:p w14:paraId="4159CAA4" w14:textId="77777777" w:rsidR="00E20FC3" w:rsidRPr="00CD1283" w:rsidRDefault="00E20FC3" w:rsidP="00E20FC3">
      <w:pPr>
        <w:widowControl w:val="0"/>
        <w:autoSpaceDE w:val="0"/>
        <w:autoSpaceDN w:val="0"/>
        <w:adjustRightInd w:val="0"/>
        <w:spacing w:after="140" w:line="280" w:lineRule="atLeast"/>
        <w:ind w:left="127" w:right="120"/>
        <w:rPr>
          <w:color w:val="000000"/>
        </w:rPr>
      </w:pPr>
    </w:p>
    <w:p w14:paraId="4159CAA5" w14:textId="77777777" w:rsidR="00E20FC3" w:rsidRPr="00CD1283" w:rsidRDefault="00C35B70" w:rsidP="00E20FC3">
      <w:pPr>
        <w:widowControl w:val="0"/>
        <w:numPr>
          <w:ilvl w:val="0"/>
          <w:numId w:val="21"/>
        </w:numPr>
        <w:tabs>
          <w:tab w:val="clear" w:pos="567"/>
          <w:tab w:val="clear" w:pos="720"/>
          <w:tab w:val="left" w:pos="468"/>
        </w:tabs>
        <w:autoSpaceDE w:val="0"/>
        <w:autoSpaceDN w:val="0"/>
        <w:adjustRightInd w:val="0"/>
        <w:spacing w:line="240" w:lineRule="auto"/>
        <w:ind w:left="468"/>
        <w:rPr>
          <w:color w:val="000000"/>
        </w:rPr>
      </w:pPr>
      <w:r w:rsidRPr="00CD1283">
        <w:rPr>
          <w:b/>
          <w:color w:val="000000"/>
        </w:rPr>
        <w:t xml:space="preserve">Relatórios Periódicos de Segurança </w:t>
      </w:r>
    </w:p>
    <w:p w14:paraId="4159CAA6" w14:textId="77777777" w:rsidR="00E20FC3" w:rsidRPr="00CD1283" w:rsidRDefault="00E20FC3" w:rsidP="00E20FC3">
      <w:pPr>
        <w:widowControl w:val="0"/>
        <w:autoSpaceDE w:val="0"/>
        <w:autoSpaceDN w:val="0"/>
        <w:adjustRightInd w:val="0"/>
        <w:spacing w:after="140" w:line="280" w:lineRule="atLeast"/>
        <w:ind w:left="127" w:right="120"/>
        <w:rPr>
          <w:color w:val="000000"/>
        </w:rPr>
      </w:pPr>
    </w:p>
    <w:p w14:paraId="4159CAA7" w14:textId="77777777" w:rsidR="00E20FC3" w:rsidRPr="00CD1283" w:rsidRDefault="00C35B70" w:rsidP="00E20FC3">
      <w:pPr>
        <w:widowControl w:val="0"/>
        <w:autoSpaceDE w:val="0"/>
        <w:autoSpaceDN w:val="0"/>
        <w:adjustRightInd w:val="0"/>
        <w:spacing w:after="140" w:line="280" w:lineRule="atLeast"/>
        <w:ind w:left="127" w:right="120"/>
        <w:rPr>
          <w:color w:val="000000"/>
        </w:rPr>
      </w:pPr>
      <w:r w:rsidRPr="00CD1283">
        <w:rPr>
          <w:color w:val="000000"/>
        </w:rPr>
        <w:t xml:space="preserve">Os requisitos para a apresentação de relatórios periódicos de segurança para este medicamento estão </w:t>
      </w:r>
      <w:r w:rsidRPr="00CD1283">
        <w:rPr>
          <w:color w:val="000000"/>
        </w:rPr>
        <w:t>estabelecidos na lista Europeia de datas de referência (lista EURD), tal como previsto nos termos do n.º 7 do artigo 107.º-C da Diretiva 2001/83/CE e quaisquer atualizações subsequentes publicadas no portal europeu de medicamentos.</w:t>
      </w:r>
    </w:p>
    <w:p w14:paraId="4159CAA8" w14:textId="77777777" w:rsidR="00E20FC3" w:rsidRPr="00CD1283" w:rsidRDefault="00C35B70" w:rsidP="00E20FC3">
      <w:pPr>
        <w:widowControl w:val="0"/>
        <w:autoSpaceDE w:val="0"/>
        <w:autoSpaceDN w:val="0"/>
        <w:adjustRightInd w:val="0"/>
        <w:spacing w:line="280" w:lineRule="atLeast"/>
        <w:ind w:left="127" w:right="120"/>
        <w:rPr>
          <w:color w:val="000000"/>
        </w:rPr>
      </w:pPr>
      <w:r w:rsidRPr="00CD1283">
        <w:rPr>
          <w:color w:val="000000"/>
        </w:rPr>
        <w:t>O Titular da Autorização</w:t>
      </w:r>
      <w:r w:rsidRPr="00CD1283">
        <w:rPr>
          <w:color w:val="000000"/>
        </w:rPr>
        <w:t xml:space="preserve"> de Introdução no Mercado deverá apresentar o primeiro relatório periódico de segurança para este medicamento no prazo de 6 meses após a concessão da autorização. </w:t>
      </w:r>
    </w:p>
    <w:p w14:paraId="4159CAA9" w14:textId="77777777" w:rsidR="00E20FC3" w:rsidRPr="00CD1283" w:rsidRDefault="00C35B70" w:rsidP="00E20FC3">
      <w:pPr>
        <w:pStyle w:val="ListParagraph"/>
        <w:keepNext/>
        <w:widowControl w:val="0"/>
        <w:numPr>
          <w:ilvl w:val="0"/>
          <w:numId w:val="30"/>
        </w:numPr>
        <w:autoSpaceDE w:val="0"/>
        <w:autoSpaceDN w:val="0"/>
        <w:adjustRightInd w:val="0"/>
        <w:spacing w:before="280" w:after="220"/>
        <w:ind w:right="120"/>
        <w:rPr>
          <w:b/>
          <w:bCs/>
          <w:color w:val="000000"/>
        </w:rPr>
      </w:pPr>
      <w:r w:rsidRPr="00CD1283">
        <w:rPr>
          <w:b/>
          <w:color w:val="000000"/>
        </w:rPr>
        <w:t>CONDIÇÕES OU RESTRIÇÕES RELATIVAS À UTILIZAÇÃO SEGURA E EFICAZ DO MEDICAMENTO</w:t>
      </w:r>
    </w:p>
    <w:p w14:paraId="4159CAAA" w14:textId="77777777" w:rsidR="00E20FC3" w:rsidRPr="00CD1283" w:rsidRDefault="00E20FC3" w:rsidP="00E20FC3">
      <w:pPr>
        <w:widowControl w:val="0"/>
        <w:autoSpaceDE w:val="0"/>
        <w:autoSpaceDN w:val="0"/>
        <w:adjustRightInd w:val="0"/>
        <w:spacing w:after="140" w:line="280" w:lineRule="atLeast"/>
        <w:ind w:left="127" w:right="120"/>
        <w:rPr>
          <w:color w:val="000000"/>
        </w:rPr>
      </w:pPr>
    </w:p>
    <w:p w14:paraId="4159CAAB" w14:textId="77777777" w:rsidR="00E20FC3" w:rsidRPr="00CD1283" w:rsidRDefault="00C35B70" w:rsidP="00E20FC3">
      <w:pPr>
        <w:widowControl w:val="0"/>
        <w:numPr>
          <w:ilvl w:val="0"/>
          <w:numId w:val="21"/>
        </w:numPr>
        <w:tabs>
          <w:tab w:val="clear" w:pos="567"/>
          <w:tab w:val="clear" w:pos="720"/>
          <w:tab w:val="left" w:pos="468"/>
        </w:tabs>
        <w:autoSpaceDE w:val="0"/>
        <w:autoSpaceDN w:val="0"/>
        <w:adjustRightInd w:val="0"/>
        <w:spacing w:line="240" w:lineRule="auto"/>
        <w:ind w:left="468"/>
        <w:rPr>
          <w:color w:val="000000"/>
        </w:rPr>
      </w:pPr>
      <w:r w:rsidRPr="00CD1283">
        <w:rPr>
          <w:b/>
          <w:color w:val="000000"/>
        </w:rPr>
        <w:t>Plano de Gest</w:t>
      </w:r>
      <w:r w:rsidRPr="00CD1283">
        <w:rPr>
          <w:b/>
          <w:color w:val="000000"/>
        </w:rPr>
        <w:t>ão do Risco (PGR)</w:t>
      </w:r>
    </w:p>
    <w:p w14:paraId="4159CAAC" w14:textId="77777777" w:rsidR="00E20FC3" w:rsidRPr="00CD1283" w:rsidRDefault="00E20FC3" w:rsidP="00E20FC3">
      <w:pPr>
        <w:widowControl w:val="0"/>
        <w:autoSpaceDE w:val="0"/>
        <w:autoSpaceDN w:val="0"/>
        <w:adjustRightInd w:val="0"/>
        <w:spacing w:after="140" w:line="280" w:lineRule="atLeast"/>
        <w:ind w:left="127" w:right="120"/>
        <w:rPr>
          <w:color w:val="000000"/>
        </w:rPr>
      </w:pPr>
    </w:p>
    <w:p w14:paraId="4159CAAD" w14:textId="77777777" w:rsidR="00E20FC3" w:rsidRPr="00CD1283" w:rsidRDefault="00C35B70" w:rsidP="00E20FC3">
      <w:pPr>
        <w:widowControl w:val="0"/>
        <w:autoSpaceDE w:val="0"/>
        <w:autoSpaceDN w:val="0"/>
        <w:adjustRightInd w:val="0"/>
        <w:spacing w:after="140" w:line="280" w:lineRule="atLeast"/>
        <w:ind w:left="127" w:right="120"/>
        <w:rPr>
          <w:color w:val="000000"/>
        </w:rPr>
      </w:pPr>
      <w:r w:rsidRPr="00CD1283">
        <w:rPr>
          <w:color w:val="000000"/>
        </w:rPr>
        <w:t>O Titular da AIM deve efetuar as atividades e as intervenções de farmacovigilância requeridas e detalhadas no PGR apresentado no Módulo 1.8.2. da Autorização de Introdução no Mercado e quaisquer atualizações subsequentes do PGR que sejam</w:t>
      </w:r>
      <w:r w:rsidRPr="00CD1283">
        <w:rPr>
          <w:color w:val="000000"/>
        </w:rPr>
        <w:t xml:space="preserve"> acordadas.</w:t>
      </w:r>
    </w:p>
    <w:p w14:paraId="4159CAAE" w14:textId="77777777" w:rsidR="00E20FC3" w:rsidRPr="00CD1283" w:rsidRDefault="00C35B70" w:rsidP="00E20FC3">
      <w:pPr>
        <w:widowControl w:val="0"/>
        <w:autoSpaceDE w:val="0"/>
        <w:autoSpaceDN w:val="0"/>
        <w:adjustRightInd w:val="0"/>
        <w:spacing w:after="140" w:line="280" w:lineRule="atLeast"/>
        <w:ind w:left="127" w:right="120"/>
        <w:rPr>
          <w:color w:val="000000"/>
        </w:rPr>
      </w:pPr>
      <w:r w:rsidRPr="00CD1283">
        <w:rPr>
          <w:color w:val="000000"/>
        </w:rPr>
        <w:t>Deve ser apresentado um PGR atualizado:</w:t>
      </w:r>
    </w:p>
    <w:p w14:paraId="4159CAAF" w14:textId="77777777" w:rsidR="00E20FC3" w:rsidRPr="00CD1283" w:rsidRDefault="00C35B70" w:rsidP="00E20FC3">
      <w:pPr>
        <w:widowControl w:val="0"/>
        <w:numPr>
          <w:ilvl w:val="0"/>
          <w:numId w:val="21"/>
        </w:numPr>
        <w:tabs>
          <w:tab w:val="clear" w:pos="567"/>
          <w:tab w:val="clear" w:pos="720"/>
          <w:tab w:val="left" w:pos="828"/>
        </w:tabs>
        <w:autoSpaceDE w:val="0"/>
        <w:autoSpaceDN w:val="0"/>
        <w:adjustRightInd w:val="0"/>
        <w:spacing w:after="140" w:line="280" w:lineRule="atLeast"/>
        <w:ind w:left="828"/>
        <w:rPr>
          <w:color w:val="000000"/>
        </w:rPr>
      </w:pPr>
      <w:r w:rsidRPr="00CD1283">
        <w:rPr>
          <w:color w:val="000000"/>
        </w:rPr>
        <w:t>A pedido da Agência Europeia de Medicamentos</w:t>
      </w:r>
    </w:p>
    <w:p w14:paraId="4159CAB0" w14:textId="77777777" w:rsidR="00E20FC3" w:rsidRPr="00CD1283" w:rsidRDefault="00C35B70" w:rsidP="00E20FC3">
      <w:pPr>
        <w:widowControl w:val="0"/>
        <w:numPr>
          <w:ilvl w:val="0"/>
          <w:numId w:val="21"/>
        </w:numPr>
        <w:tabs>
          <w:tab w:val="clear" w:pos="567"/>
          <w:tab w:val="clear" w:pos="720"/>
          <w:tab w:val="left" w:pos="828"/>
        </w:tabs>
        <w:autoSpaceDE w:val="0"/>
        <w:autoSpaceDN w:val="0"/>
        <w:adjustRightInd w:val="0"/>
        <w:spacing w:after="140" w:line="280" w:lineRule="atLeast"/>
        <w:ind w:left="828"/>
        <w:rPr>
          <w:color w:val="000000"/>
        </w:rPr>
      </w:pPr>
      <w:r w:rsidRPr="00CD1283">
        <w:rPr>
          <w:color w:val="000000"/>
        </w:rPr>
        <w:t xml:space="preserve">Sempre que o sistema de gestão do risco for modificado, especialmente como resultado da receção de nova informação que possa levar a alterações significativas </w:t>
      </w:r>
      <w:r w:rsidRPr="00CD1283">
        <w:rPr>
          <w:color w:val="000000"/>
        </w:rPr>
        <w:t xml:space="preserve">no perfil benefício-risco ou como resultado de ter sido atingido um objetivo importante (farmacovigilância ou minimização do risco). </w:t>
      </w:r>
    </w:p>
    <w:p w14:paraId="4159CAB1" w14:textId="77777777" w:rsidR="00E20FC3" w:rsidRPr="00CD1283" w:rsidRDefault="00C35B70" w:rsidP="00E20FC3">
      <w:pPr>
        <w:numPr>
          <w:ilvl w:val="12"/>
          <w:numId w:val="0"/>
        </w:numPr>
        <w:spacing w:line="240" w:lineRule="auto"/>
        <w:ind w:right="-2"/>
        <w:rPr>
          <w:noProof/>
          <w:szCs w:val="22"/>
        </w:rPr>
      </w:pPr>
      <w:r w:rsidRPr="00CD1283">
        <w:br w:type="page"/>
      </w:r>
    </w:p>
    <w:p w14:paraId="4159CAB2" w14:textId="77777777" w:rsidR="00E20FC3" w:rsidRPr="00CD1283" w:rsidRDefault="00E20FC3" w:rsidP="00E20FC3">
      <w:pPr>
        <w:spacing w:line="240" w:lineRule="auto"/>
        <w:ind w:right="566"/>
        <w:rPr>
          <w:noProof/>
          <w:szCs w:val="22"/>
        </w:rPr>
      </w:pPr>
    </w:p>
    <w:p w14:paraId="4159CAB3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AB4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AB5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AB6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AB7" w14:textId="77777777" w:rsidR="00E20FC3" w:rsidRPr="00CD1283" w:rsidRDefault="00E20FC3" w:rsidP="00E20FC3">
      <w:pPr>
        <w:spacing w:line="240" w:lineRule="auto"/>
      </w:pPr>
    </w:p>
    <w:p w14:paraId="4159CAB8" w14:textId="77777777" w:rsidR="00E20FC3" w:rsidRPr="00CD1283" w:rsidRDefault="00E20FC3" w:rsidP="00E20FC3">
      <w:pPr>
        <w:spacing w:line="240" w:lineRule="auto"/>
      </w:pPr>
    </w:p>
    <w:p w14:paraId="4159CAB9" w14:textId="77777777" w:rsidR="00E20FC3" w:rsidRPr="00CD1283" w:rsidRDefault="00E20FC3" w:rsidP="00E20FC3">
      <w:pPr>
        <w:spacing w:line="240" w:lineRule="auto"/>
      </w:pPr>
    </w:p>
    <w:p w14:paraId="4159CABA" w14:textId="77777777" w:rsidR="00E20FC3" w:rsidRPr="00CD1283" w:rsidRDefault="00E20FC3" w:rsidP="00E20FC3">
      <w:pPr>
        <w:spacing w:line="240" w:lineRule="auto"/>
      </w:pPr>
    </w:p>
    <w:p w14:paraId="4159CABB" w14:textId="77777777" w:rsidR="00E20FC3" w:rsidRPr="00CD1283" w:rsidRDefault="00E20FC3" w:rsidP="00E20FC3">
      <w:pPr>
        <w:spacing w:line="240" w:lineRule="auto"/>
      </w:pPr>
    </w:p>
    <w:p w14:paraId="4159CABC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ABD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ABE" w14:textId="77777777" w:rsidR="00E20FC3" w:rsidRPr="00CD1283" w:rsidRDefault="00E20FC3" w:rsidP="00E20FC3">
      <w:pPr>
        <w:rPr>
          <w:noProof/>
        </w:rPr>
      </w:pPr>
    </w:p>
    <w:p w14:paraId="4159CABF" w14:textId="77777777" w:rsidR="00E20FC3" w:rsidRPr="00CD1283" w:rsidRDefault="00E20FC3" w:rsidP="00E20FC3">
      <w:pPr>
        <w:rPr>
          <w:noProof/>
        </w:rPr>
      </w:pPr>
    </w:p>
    <w:p w14:paraId="4159CAC0" w14:textId="77777777" w:rsidR="00E20FC3" w:rsidRPr="00CD1283" w:rsidRDefault="00E20FC3" w:rsidP="00E20FC3">
      <w:pPr>
        <w:rPr>
          <w:noProof/>
        </w:rPr>
      </w:pPr>
    </w:p>
    <w:p w14:paraId="4159CAC1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AC2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AC3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AC4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AC5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AC6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AC7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AC8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AC9" w14:textId="77777777" w:rsidR="00E20FC3" w:rsidRPr="00CD1283" w:rsidRDefault="00C35B70" w:rsidP="00E20FC3">
      <w:pPr>
        <w:spacing w:line="240" w:lineRule="auto"/>
        <w:jc w:val="center"/>
        <w:outlineLvl w:val="0"/>
        <w:rPr>
          <w:b/>
          <w:noProof/>
          <w:szCs w:val="22"/>
        </w:rPr>
      </w:pPr>
      <w:r w:rsidRPr="00CD1283">
        <w:rPr>
          <w:b/>
          <w:noProof/>
        </w:rPr>
        <w:t>ANEXO III</w:t>
      </w:r>
    </w:p>
    <w:p w14:paraId="4159CACA" w14:textId="77777777" w:rsidR="00E20FC3" w:rsidRPr="00CD1283" w:rsidRDefault="00E20FC3" w:rsidP="00E20FC3">
      <w:pPr>
        <w:rPr>
          <w:noProof/>
        </w:rPr>
      </w:pPr>
    </w:p>
    <w:p w14:paraId="4159CACB" w14:textId="77777777" w:rsidR="00E20FC3" w:rsidRPr="00CD1283" w:rsidRDefault="00C35B70" w:rsidP="00E20FC3">
      <w:pPr>
        <w:spacing w:line="240" w:lineRule="auto"/>
        <w:jc w:val="center"/>
        <w:outlineLvl w:val="0"/>
        <w:rPr>
          <w:b/>
          <w:noProof/>
          <w:szCs w:val="22"/>
        </w:rPr>
      </w:pPr>
      <w:r w:rsidRPr="00CD1283">
        <w:rPr>
          <w:b/>
          <w:noProof/>
        </w:rPr>
        <w:t>ROTULAGEM E FOLHETO INFORMATIVO</w:t>
      </w:r>
    </w:p>
    <w:p w14:paraId="4159CACC" w14:textId="77777777" w:rsidR="00E20FC3" w:rsidRPr="00CD1283" w:rsidRDefault="00C35B70" w:rsidP="00E20FC3">
      <w:pPr>
        <w:rPr>
          <w:noProof/>
        </w:rPr>
      </w:pPr>
      <w:r w:rsidRPr="00CD1283">
        <w:br w:type="page"/>
      </w:r>
    </w:p>
    <w:p w14:paraId="4159CACD" w14:textId="77777777" w:rsidR="00E20FC3" w:rsidRPr="00CD1283" w:rsidRDefault="00E20FC3" w:rsidP="00E20FC3">
      <w:pPr>
        <w:rPr>
          <w:noProof/>
        </w:rPr>
      </w:pPr>
    </w:p>
    <w:p w14:paraId="4159CACE" w14:textId="77777777" w:rsidR="00E20FC3" w:rsidRPr="00CD1283" w:rsidRDefault="00E20FC3" w:rsidP="00E20FC3">
      <w:pPr>
        <w:rPr>
          <w:noProof/>
        </w:rPr>
      </w:pPr>
    </w:p>
    <w:p w14:paraId="4159CACF" w14:textId="77777777" w:rsidR="00E20FC3" w:rsidRPr="00CD1283" w:rsidRDefault="00E20FC3" w:rsidP="00E20FC3">
      <w:pPr>
        <w:rPr>
          <w:noProof/>
        </w:rPr>
      </w:pPr>
    </w:p>
    <w:p w14:paraId="4159CAD0" w14:textId="77777777" w:rsidR="00E20FC3" w:rsidRPr="00CD1283" w:rsidRDefault="00E20FC3" w:rsidP="00E20FC3">
      <w:pPr>
        <w:rPr>
          <w:noProof/>
        </w:rPr>
      </w:pPr>
    </w:p>
    <w:p w14:paraId="4159CAD1" w14:textId="77777777" w:rsidR="00E20FC3" w:rsidRPr="00CD1283" w:rsidRDefault="00E20FC3" w:rsidP="00E20FC3">
      <w:pPr>
        <w:rPr>
          <w:noProof/>
        </w:rPr>
      </w:pPr>
    </w:p>
    <w:p w14:paraId="4159CAD2" w14:textId="77777777" w:rsidR="00E20FC3" w:rsidRPr="00CD1283" w:rsidRDefault="00E20FC3" w:rsidP="00E20FC3">
      <w:pPr>
        <w:rPr>
          <w:noProof/>
        </w:rPr>
      </w:pPr>
    </w:p>
    <w:p w14:paraId="4159CAD3" w14:textId="77777777" w:rsidR="00E20FC3" w:rsidRPr="00CD1283" w:rsidRDefault="00E20FC3" w:rsidP="00E20FC3">
      <w:pPr>
        <w:rPr>
          <w:noProof/>
        </w:rPr>
      </w:pPr>
    </w:p>
    <w:p w14:paraId="4159CAD4" w14:textId="77777777" w:rsidR="00E20FC3" w:rsidRPr="00CD1283" w:rsidRDefault="00E20FC3" w:rsidP="00E20FC3">
      <w:pPr>
        <w:rPr>
          <w:noProof/>
        </w:rPr>
      </w:pPr>
    </w:p>
    <w:p w14:paraId="4159CAD5" w14:textId="77777777" w:rsidR="00E20FC3" w:rsidRPr="00CD1283" w:rsidRDefault="00E20FC3" w:rsidP="00E20FC3">
      <w:pPr>
        <w:rPr>
          <w:noProof/>
        </w:rPr>
      </w:pPr>
    </w:p>
    <w:p w14:paraId="4159CAD6" w14:textId="77777777" w:rsidR="00E20FC3" w:rsidRPr="00CD1283" w:rsidRDefault="00E20FC3" w:rsidP="00E20FC3">
      <w:pPr>
        <w:rPr>
          <w:noProof/>
        </w:rPr>
      </w:pPr>
    </w:p>
    <w:p w14:paraId="4159CAD7" w14:textId="77777777" w:rsidR="00E20FC3" w:rsidRPr="00CD1283" w:rsidRDefault="00E20FC3" w:rsidP="00E20FC3">
      <w:pPr>
        <w:rPr>
          <w:noProof/>
        </w:rPr>
      </w:pPr>
    </w:p>
    <w:p w14:paraId="4159CAD8" w14:textId="77777777" w:rsidR="00E20FC3" w:rsidRPr="00CD1283" w:rsidRDefault="00E20FC3" w:rsidP="00E20FC3">
      <w:pPr>
        <w:rPr>
          <w:noProof/>
        </w:rPr>
      </w:pPr>
    </w:p>
    <w:p w14:paraId="4159CAD9" w14:textId="77777777" w:rsidR="00E20FC3" w:rsidRPr="00CD1283" w:rsidRDefault="00E20FC3" w:rsidP="00E20FC3">
      <w:pPr>
        <w:rPr>
          <w:noProof/>
        </w:rPr>
      </w:pPr>
    </w:p>
    <w:p w14:paraId="4159CADA" w14:textId="77777777" w:rsidR="00E20FC3" w:rsidRPr="00CD1283" w:rsidRDefault="00E20FC3" w:rsidP="00E20FC3">
      <w:pPr>
        <w:rPr>
          <w:noProof/>
        </w:rPr>
      </w:pPr>
    </w:p>
    <w:p w14:paraId="4159CADB" w14:textId="77777777" w:rsidR="00E20FC3" w:rsidRPr="00CD1283" w:rsidRDefault="00E20FC3" w:rsidP="00E20FC3">
      <w:pPr>
        <w:rPr>
          <w:noProof/>
        </w:rPr>
      </w:pPr>
    </w:p>
    <w:p w14:paraId="4159CADC" w14:textId="77777777" w:rsidR="00E20FC3" w:rsidRPr="00CD1283" w:rsidRDefault="00E20FC3" w:rsidP="00E20FC3">
      <w:pPr>
        <w:rPr>
          <w:noProof/>
        </w:rPr>
      </w:pPr>
    </w:p>
    <w:p w14:paraId="4159CADD" w14:textId="77777777" w:rsidR="00E20FC3" w:rsidRPr="00CD1283" w:rsidRDefault="00E20FC3" w:rsidP="00E20FC3">
      <w:pPr>
        <w:rPr>
          <w:noProof/>
        </w:rPr>
      </w:pPr>
    </w:p>
    <w:p w14:paraId="4159CADE" w14:textId="77777777" w:rsidR="00E20FC3" w:rsidRPr="00CD1283" w:rsidRDefault="00E20FC3" w:rsidP="00E20FC3">
      <w:pPr>
        <w:rPr>
          <w:noProof/>
        </w:rPr>
      </w:pPr>
    </w:p>
    <w:p w14:paraId="4159CADF" w14:textId="77777777" w:rsidR="00E20FC3" w:rsidRPr="00CD1283" w:rsidRDefault="00E20FC3" w:rsidP="00E20FC3">
      <w:pPr>
        <w:rPr>
          <w:noProof/>
        </w:rPr>
      </w:pPr>
    </w:p>
    <w:p w14:paraId="4159CAE0" w14:textId="77777777" w:rsidR="00E20FC3" w:rsidRPr="00CD1283" w:rsidRDefault="00E20FC3" w:rsidP="00E20FC3">
      <w:pPr>
        <w:rPr>
          <w:noProof/>
        </w:rPr>
      </w:pPr>
    </w:p>
    <w:p w14:paraId="4159CAE1" w14:textId="77777777" w:rsidR="00E20FC3" w:rsidRPr="00CD1283" w:rsidRDefault="00E20FC3" w:rsidP="00E20FC3">
      <w:pPr>
        <w:rPr>
          <w:noProof/>
        </w:rPr>
      </w:pPr>
    </w:p>
    <w:p w14:paraId="4159CAE2" w14:textId="77777777" w:rsidR="00E20FC3" w:rsidRPr="00CD1283" w:rsidRDefault="00E20FC3" w:rsidP="00E20FC3">
      <w:pPr>
        <w:rPr>
          <w:noProof/>
        </w:rPr>
      </w:pPr>
    </w:p>
    <w:p w14:paraId="4159CAE3" w14:textId="77777777" w:rsidR="00E20FC3" w:rsidRPr="00CD1283" w:rsidRDefault="00C35B70" w:rsidP="00E20FC3">
      <w:pPr>
        <w:pStyle w:val="ListParagraph"/>
        <w:numPr>
          <w:ilvl w:val="0"/>
          <w:numId w:val="31"/>
        </w:numPr>
        <w:spacing w:line="240" w:lineRule="auto"/>
        <w:ind w:left="357" w:hanging="357"/>
        <w:jc w:val="center"/>
        <w:outlineLvl w:val="0"/>
        <w:rPr>
          <w:noProof/>
          <w:szCs w:val="22"/>
        </w:rPr>
      </w:pPr>
      <w:r w:rsidRPr="00CD1283">
        <w:rPr>
          <w:b/>
          <w:noProof/>
        </w:rPr>
        <w:t>ROTULAGEM</w:t>
      </w:r>
    </w:p>
    <w:p w14:paraId="4159CAE4" w14:textId="77777777" w:rsidR="00E20FC3" w:rsidRPr="00CD1283" w:rsidRDefault="00C35B70" w:rsidP="00E20FC3">
      <w:pPr>
        <w:shd w:val="clear" w:color="auto" w:fill="FFFFFF"/>
        <w:spacing w:line="240" w:lineRule="auto"/>
        <w:rPr>
          <w:noProof/>
          <w:szCs w:val="22"/>
        </w:rPr>
      </w:pPr>
      <w:r w:rsidRPr="00CD1283">
        <w:br w:type="page"/>
      </w:r>
    </w:p>
    <w:p w14:paraId="4159CAE5" w14:textId="77777777" w:rsidR="00E20FC3" w:rsidRPr="00CD1283" w:rsidRDefault="00C35B70" w:rsidP="00E20FC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noProof/>
          <w:szCs w:val="22"/>
        </w:rPr>
      </w:pPr>
      <w:r w:rsidRPr="00CD1283">
        <w:rPr>
          <w:b/>
          <w:noProof/>
        </w:rPr>
        <w:lastRenderedPageBreak/>
        <w:t>INDICAÇÕES A INCLUIR NO ACONDICIONAMENTO SECUNDÁRIO</w:t>
      </w:r>
    </w:p>
    <w:p w14:paraId="4159CAE6" w14:textId="77777777" w:rsidR="00E20FC3" w:rsidRPr="00CD1283" w:rsidRDefault="00E20FC3" w:rsidP="00E20FC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Cs/>
          <w:noProof/>
          <w:szCs w:val="22"/>
        </w:rPr>
      </w:pPr>
    </w:p>
    <w:p w14:paraId="4159CAE7" w14:textId="77777777" w:rsidR="00E20FC3" w:rsidRPr="00CD1283" w:rsidRDefault="00C35B70" w:rsidP="00E20FC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Cs/>
          <w:noProof/>
          <w:szCs w:val="22"/>
        </w:rPr>
      </w:pPr>
      <w:r w:rsidRPr="00CD1283">
        <w:rPr>
          <w:b/>
          <w:noProof/>
        </w:rPr>
        <w:t>EMBALAGEM EXTERIOR</w:t>
      </w:r>
    </w:p>
    <w:p w14:paraId="4159CAE8" w14:textId="77777777" w:rsidR="00E20FC3" w:rsidRPr="00CD1283" w:rsidRDefault="00E20FC3" w:rsidP="00E20FC3">
      <w:pPr>
        <w:spacing w:line="240" w:lineRule="auto"/>
      </w:pPr>
    </w:p>
    <w:p w14:paraId="4159CAE9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AEA" w14:textId="77777777" w:rsidR="00E20FC3" w:rsidRPr="00CD1283" w:rsidRDefault="00C35B70" w:rsidP="00E20FC3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</w:pPr>
      <w:r w:rsidRPr="00CD1283">
        <w:rPr>
          <w:b/>
        </w:rPr>
        <w:t>NOME DO MEDICAMENTO</w:t>
      </w:r>
    </w:p>
    <w:p w14:paraId="4159CAEB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AEC" w14:textId="77777777" w:rsidR="00E20FC3" w:rsidRPr="00CD1283" w:rsidRDefault="00C35B70" w:rsidP="00E20FC3">
      <w:pPr>
        <w:rPr>
          <w:noProof/>
          <w:szCs w:val="22"/>
        </w:rPr>
      </w:pPr>
      <w:r w:rsidRPr="00CD1283">
        <w:t>Cuprior 150 mg comprimidos revestidos por película</w:t>
      </w:r>
    </w:p>
    <w:p w14:paraId="4159CAED" w14:textId="77777777" w:rsidR="00E20FC3" w:rsidRPr="00CD1283" w:rsidRDefault="00C35B70" w:rsidP="00E20FC3">
      <w:pPr>
        <w:spacing w:line="240" w:lineRule="auto"/>
        <w:rPr>
          <w:b/>
          <w:szCs w:val="22"/>
        </w:rPr>
      </w:pPr>
      <w:r w:rsidRPr="00CD1283">
        <w:t>trientina</w:t>
      </w:r>
      <w:r w:rsidRPr="00CD1283">
        <w:rPr>
          <w:b/>
        </w:rPr>
        <w:t xml:space="preserve"> </w:t>
      </w:r>
    </w:p>
    <w:p w14:paraId="4159CAEE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AEF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AF0" w14:textId="77777777" w:rsidR="00E20FC3" w:rsidRPr="00CD1283" w:rsidRDefault="00C35B70" w:rsidP="00E20FC3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CD1283">
        <w:rPr>
          <w:b/>
        </w:rPr>
        <w:t>DESCRIÇÃO DA(S) SUBSTÂNCIA(S) ATIVA(S)</w:t>
      </w:r>
    </w:p>
    <w:p w14:paraId="4159CAF1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AF2" w14:textId="77777777" w:rsidR="00E20FC3" w:rsidRPr="00CD1283" w:rsidRDefault="00C35B70" w:rsidP="00E20FC3">
      <w:pPr>
        <w:widowControl w:val="0"/>
      </w:pPr>
      <w:r w:rsidRPr="00CD1283">
        <w:t xml:space="preserve">Cada comprimido </w:t>
      </w:r>
      <w:r w:rsidRPr="00CD1283">
        <w:t>revestido por película contém tetracloridrato de trientina, equivalente a 150 mg de trientina.</w:t>
      </w:r>
    </w:p>
    <w:p w14:paraId="4159CAF3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AF4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AF5" w14:textId="77777777" w:rsidR="00E20FC3" w:rsidRPr="00CD1283" w:rsidRDefault="00C35B70" w:rsidP="00E20FC3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CD1283">
        <w:rPr>
          <w:b/>
        </w:rPr>
        <w:t>LISTA DOS EXCIPIENTES</w:t>
      </w:r>
    </w:p>
    <w:p w14:paraId="4159CAF6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AF7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AF8" w14:textId="77777777" w:rsidR="00E20FC3" w:rsidRPr="00CD1283" w:rsidRDefault="00C35B70" w:rsidP="00E20FC3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CD1283">
        <w:rPr>
          <w:b/>
        </w:rPr>
        <w:t>FORMA FARMACÊUTICA E CONTEÚDO</w:t>
      </w:r>
    </w:p>
    <w:p w14:paraId="4159CAF9" w14:textId="77777777" w:rsidR="00E20FC3" w:rsidRPr="00CD1283" w:rsidRDefault="00E20FC3" w:rsidP="00E20FC3">
      <w:pPr>
        <w:rPr>
          <w:noProof/>
          <w:szCs w:val="22"/>
        </w:rPr>
      </w:pPr>
    </w:p>
    <w:p w14:paraId="4159CAFA" w14:textId="77777777" w:rsidR="00E20FC3" w:rsidRPr="00CD1283" w:rsidRDefault="00C35B70" w:rsidP="00E20FC3">
      <w:pPr>
        <w:rPr>
          <w:noProof/>
          <w:szCs w:val="22"/>
        </w:rPr>
      </w:pPr>
      <w:r w:rsidRPr="00CD1283">
        <w:rPr>
          <w:noProof/>
          <w:highlight w:val="lightGray"/>
        </w:rPr>
        <w:t>Comprimido revestido por película</w:t>
      </w:r>
    </w:p>
    <w:p w14:paraId="4159CAFB" w14:textId="49B15DBA" w:rsidR="00E20FC3" w:rsidRPr="00CD1283" w:rsidRDefault="00C35B70" w:rsidP="00E20FC3">
      <w:r w:rsidRPr="00CD1283">
        <w:t>72 comprimidos revestidos por película</w:t>
      </w:r>
    </w:p>
    <w:p w14:paraId="34657A2B" w14:textId="47B1184C" w:rsidR="00B81466" w:rsidRPr="00CD1283" w:rsidRDefault="00C35B70" w:rsidP="00E20FC3">
      <w:pPr>
        <w:rPr>
          <w:noProof/>
          <w:szCs w:val="22"/>
        </w:rPr>
      </w:pPr>
      <w:r w:rsidRPr="00CD1283">
        <w:rPr>
          <w:noProof/>
          <w:szCs w:val="22"/>
        </w:rPr>
        <w:t>96 comprimidos revestidos por p</w:t>
      </w:r>
      <w:r w:rsidRPr="00CD1283">
        <w:rPr>
          <w:noProof/>
          <w:szCs w:val="22"/>
        </w:rPr>
        <w:t>elícula</w:t>
      </w:r>
    </w:p>
    <w:p w14:paraId="4159CAFC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AFD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AFE" w14:textId="77777777" w:rsidR="00E20FC3" w:rsidRPr="00CD1283" w:rsidRDefault="00C35B70" w:rsidP="00E20FC3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CD1283">
        <w:rPr>
          <w:b/>
        </w:rPr>
        <w:t>MODO E VIA(S) DE ADMINISTRAÇÃO</w:t>
      </w:r>
    </w:p>
    <w:p w14:paraId="4159CAFF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B00" w14:textId="77777777" w:rsidR="00E20FC3" w:rsidRPr="00CD1283" w:rsidRDefault="00C35B70" w:rsidP="00E20FC3">
      <w:pPr>
        <w:rPr>
          <w:noProof/>
          <w:szCs w:val="22"/>
        </w:rPr>
      </w:pPr>
      <w:r w:rsidRPr="00CD1283">
        <w:t>Consultar o folheto informativo antes de utilizar.</w:t>
      </w:r>
    </w:p>
    <w:p w14:paraId="4159CB01" w14:textId="77777777" w:rsidR="00E20FC3" w:rsidRPr="00CD1283" w:rsidRDefault="00C35B70" w:rsidP="00E20FC3">
      <w:r w:rsidRPr="00CD1283">
        <w:t>Folheto informativo online em</w:t>
      </w:r>
      <w:r w:rsidRPr="00CD1283">
        <w:rPr>
          <w:i/>
          <w:noProof/>
        </w:rPr>
        <w:t xml:space="preserve"> </w:t>
      </w:r>
      <w:r w:rsidRPr="00CD1283">
        <w:rPr>
          <w:i/>
          <w:noProof/>
          <w:highlight w:val="lightGray"/>
        </w:rPr>
        <w:t>código QR a ser incluído</w:t>
      </w:r>
      <w:r w:rsidRPr="00CD1283">
        <w:rPr>
          <w:i/>
          <w:noProof/>
        </w:rPr>
        <w:t xml:space="preserve"> </w:t>
      </w:r>
      <w:hyperlink r:id="rId13" w:history="1">
        <w:r w:rsidRPr="00CD1283">
          <w:rPr>
            <w:rStyle w:val="Hyperlink"/>
          </w:rPr>
          <w:t>http://www.cuprior.com</w:t>
        </w:r>
      </w:hyperlink>
    </w:p>
    <w:p w14:paraId="4159CB02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B03" w14:textId="77777777" w:rsidR="00E20FC3" w:rsidRPr="00CD1283" w:rsidRDefault="00C35B70" w:rsidP="00E20FC3">
      <w:pPr>
        <w:rPr>
          <w:noProof/>
          <w:szCs w:val="22"/>
        </w:rPr>
      </w:pPr>
      <w:r w:rsidRPr="00CD1283">
        <w:t>Via oral.</w:t>
      </w:r>
    </w:p>
    <w:p w14:paraId="4159CB04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B05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B06" w14:textId="77777777" w:rsidR="00E20FC3" w:rsidRPr="00CD1283" w:rsidRDefault="00C35B70" w:rsidP="00E20FC3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CD1283">
        <w:rPr>
          <w:b/>
        </w:rPr>
        <w:t xml:space="preserve">ADVERTÊNCIA ESPECIAL DE QUE O </w:t>
      </w:r>
      <w:r w:rsidRPr="00CD1283">
        <w:rPr>
          <w:b/>
        </w:rPr>
        <w:t>MEDICAMENTO DEVE SER MANTIDO FORA DA VISTA E DO ALCANCE DAS CRIANÇAS</w:t>
      </w:r>
    </w:p>
    <w:p w14:paraId="4159CB07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B08" w14:textId="77777777" w:rsidR="00E20FC3" w:rsidRPr="00CD1283" w:rsidRDefault="00C35B70" w:rsidP="00E20FC3">
      <w:pPr>
        <w:tabs>
          <w:tab w:val="left" w:pos="749"/>
        </w:tabs>
        <w:spacing w:line="240" w:lineRule="auto"/>
        <w:rPr>
          <w:noProof/>
          <w:szCs w:val="22"/>
        </w:rPr>
      </w:pPr>
      <w:r w:rsidRPr="00CD1283">
        <w:t>Manter fora da vista e do alcance das crianças.</w:t>
      </w:r>
    </w:p>
    <w:p w14:paraId="4159CB09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B0A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B0B" w14:textId="77777777" w:rsidR="00E20FC3" w:rsidRPr="00CD1283" w:rsidRDefault="00C35B70" w:rsidP="00E20FC3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CD1283">
        <w:rPr>
          <w:b/>
        </w:rPr>
        <w:t>OUTRAS ADVERTÊNCIAS ESPECIAIS, SE NECESSÁRIO</w:t>
      </w:r>
    </w:p>
    <w:p w14:paraId="4159CB0C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B0D" w14:textId="77777777" w:rsidR="00E20FC3" w:rsidRPr="00CD1283" w:rsidRDefault="00C35B70" w:rsidP="00E20FC3">
      <w:pPr>
        <w:tabs>
          <w:tab w:val="left" w:pos="749"/>
        </w:tabs>
        <w:spacing w:line="240" w:lineRule="auto"/>
        <w:rPr>
          <w:szCs w:val="22"/>
        </w:rPr>
      </w:pPr>
      <w:r w:rsidRPr="00CD1283">
        <w:t xml:space="preserve">Tomar em jejum, pelo menos uma hora antes das refeições ou duas horas após as refeições e </w:t>
      </w:r>
      <w:r w:rsidRPr="00CD1283">
        <w:t>com, pelo menos, uma hora de intervalo relativamente a qualquer outro medicamento, alimento ou leite.</w:t>
      </w:r>
    </w:p>
    <w:p w14:paraId="4159CB0E" w14:textId="77777777" w:rsidR="00E20FC3" w:rsidRPr="00CD1283" w:rsidRDefault="00E20FC3" w:rsidP="00E20FC3">
      <w:pPr>
        <w:tabs>
          <w:tab w:val="left" w:pos="749"/>
        </w:tabs>
        <w:spacing w:line="240" w:lineRule="auto"/>
      </w:pPr>
    </w:p>
    <w:p w14:paraId="4159CB0F" w14:textId="77777777" w:rsidR="00E20FC3" w:rsidRPr="00CD1283" w:rsidRDefault="00E20FC3" w:rsidP="00E20FC3">
      <w:pPr>
        <w:tabs>
          <w:tab w:val="left" w:pos="749"/>
        </w:tabs>
        <w:spacing w:line="240" w:lineRule="auto"/>
      </w:pPr>
    </w:p>
    <w:p w14:paraId="4159CB10" w14:textId="77777777" w:rsidR="00E20FC3" w:rsidRPr="00CD1283" w:rsidRDefault="00C35B70" w:rsidP="00E20FC3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CD1283">
        <w:rPr>
          <w:b/>
        </w:rPr>
        <w:t>PRAZO DE VALIDADE</w:t>
      </w:r>
    </w:p>
    <w:p w14:paraId="4159CB11" w14:textId="77777777" w:rsidR="00E20FC3" w:rsidRPr="00CD1283" w:rsidRDefault="00E20FC3" w:rsidP="00E20FC3">
      <w:pPr>
        <w:spacing w:line="240" w:lineRule="auto"/>
      </w:pPr>
    </w:p>
    <w:p w14:paraId="4159CB12" w14:textId="77777777" w:rsidR="00E20FC3" w:rsidRPr="00CD1283" w:rsidRDefault="00C35B70" w:rsidP="00E20FC3">
      <w:pPr>
        <w:spacing w:line="240" w:lineRule="auto"/>
        <w:rPr>
          <w:noProof/>
          <w:szCs w:val="22"/>
        </w:rPr>
      </w:pPr>
      <w:r w:rsidRPr="00CD1283">
        <w:t>VAL.</w:t>
      </w:r>
    </w:p>
    <w:p w14:paraId="4159CB13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B14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B15" w14:textId="77777777" w:rsidR="00E20FC3" w:rsidRPr="00CD1283" w:rsidRDefault="00C35B70" w:rsidP="00E20FC3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CD1283">
        <w:rPr>
          <w:b/>
        </w:rPr>
        <w:t>CONDIÇÕES ESPECIAIS DE CONSERVAÇÃO</w:t>
      </w:r>
    </w:p>
    <w:p w14:paraId="4159CB16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B17" w14:textId="77777777" w:rsidR="00E20FC3" w:rsidRPr="00CD1283" w:rsidRDefault="00E20FC3" w:rsidP="00E20FC3">
      <w:pPr>
        <w:spacing w:line="240" w:lineRule="auto"/>
        <w:ind w:left="567" w:hanging="567"/>
        <w:rPr>
          <w:noProof/>
          <w:szCs w:val="22"/>
        </w:rPr>
      </w:pPr>
    </w:p>
    <w:p w14:paraId="4159CB18" w14:textId="77777777" w:rsidR="00E20FC3" w:rsidRPr="00CD1283" w:rsidRDefault="00C35B70" w:rsidP="00E20FC3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CD1283">
        <w:rPr>
          <w:b/>
        </w:rPr>
        <w:lastRenderedPageBreak/>
        <w:t xml:space="preserve">CUIDADOS ESPECIAIS QUANTO À ELIMINAÇÃO DO MEDICAMENTO NÃO UTILIZADO OU DOS </w:t>
      </w:r>
      <w:r w:rsidRPr="00CD1283">
        <w:rPr>
          <w:b/>
        </w:rPr>
        <w:t>RESÍDUOS PROVENIENTES DESSE MEDICAMENTO, SE APLICÁVEL</w:t>
      </w:r>
    </w:p>
    <w:p w14:paraId="4159CB19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B1A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B1B" w14:textId="77777777" w:rsidR="00E20FC3" w:rsidRPr="00CD1283" w:rsidRDefault="00C35B70" w:rsidP="00E20FC3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CD1283">
        <w:rPr>
          <w:b/>
        </w:rPr>
        <w:t>NOME E ENDEREÇO DO TITULAR DA AUTORIZAÇÃO DE INTRODUÇÃO NO MERCADO</w:t>
      </w:r>
    </w:p>
    <w:p w14:paraId="4159CB1C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B1D" w14:textId="38A5E79F" w:rsidR="00E20FC3" w:rsidRPr="00CD1283" w:rsidRDefault="00E25A12" w:rsidP="00E20FC3">
      <w:pPr>
        <w:rPr>
          <w:szCs w:val="22"/>
          <w:lang w:val="fr-LU"/>
        </w:rPr>
      </w:pPr>
      <w:proofErr w:type="spellStart"/>
      <w:r>
        <w:rPr>
          <w:lang w:val="fr-LU"/>
        </w:rPr>
        <w:t>Orphalan</w:t>
      </w:r>
      <w:proofErr w:type="spellEnd"/>
    </w:p>
    <w:p w14:paraId="053BE9A6" w14:textId="77777777" w:rsidR="0084503B" w:rsidRPr="002503BA" w:rsidRDefault="00C35B70" w:rsidP="0084503B">
      <w:pPr>
        <w:rPr>
          <w:szCs w:val="22"/>
          <w:lang w:val="fr-FR"/>
        </w:rPr>
      </w:pPr>
      <w:r w:rsidRPr="002503BA">
        <w:rPr>
          <w:szCs w:val="22"/>
          <w:lang w:val="fr-FR"/>
        </w:rPr>
        <w:t>226 Boulevard Voltaire</w:t>
      </w:r>
    </w:p>
    <w:p w14:paraId="4159CB20" w14:textId="4B9F1E41" w:rsidR="00E20FC3" w:rsidRPr="00CD1283" w:rsidRDefault="00C35B70" w:rsidP="00E20FC3">
      <w:pPr>
        <w:rPr>
          <w:szCs w:val="22"/>
          <w:lang w:val="fr-LU"/>
        </w:rPr>
      </w:pPr>
      <w:r w:rsidRPr="00CD1283">
        <w:rPr>
          <w:lang w:val="fr-LU"/>
        </w:rPr>
        <w:t>7501</w:t>
      </w:r>
      <w:r>
        <w:rPr>
          <w:lang w:val="fr-LU"/>
        </w:rPr>
        <w:t>1</w:t>
      </w:r>
      <w:r w:rsidRPr="00CD1283">
        <w:rPr>
          <w:lang w:val="fr-LU"/>
        </w:rPr>
        <w:t xml:space="preserve"> </w:t>
      </w:r>
      <w:r w:rsidR="00B9417E" w:rsidRPr="00CD1283">
        <w:rPr>
          <w:lang w:val="fr-LU"/>
        </w:rPr>
        <w:t>Paris, França</w:t>
      </w:r>
      <w:r w:rsidR="00B9417E" w:rsidRPr="00CD1283">
        <w:rPr>
          <w:i/>
          <w:noProof/>
          <w:lang w:val="fr-LU"/>
        </w:rPr>
        <w:t xml:space="preserve"> </w:t>
      </w:r>
    </w:p>
    <w:p w14:paraId="4159CB21" w14:textId="77777777" w:rsidR="00E20FC3" w:rsidRPr="00CD1283" w:rsidRDefault="00E20FC3" w:rsidP="00E20FC3">
      <w:pPr>
        <w:spacing w:line="240" w:lineRule="auto"/>
        <w:rPr>
          <w:noProof/>
          <w:szCs w:val="22"/>
          <w:lang w:val="fr-LU"/>
        </w:rPr>
      </w:pPr>
    </w:p>
    <w:p w14:paraId="4159CB22" w14:textId="77777777" w:rsidR="00E20FC3" w:rsidRPr="00CD1283" w:rsidRDefault="00E20FC3" w:rsidP="00E20FC3">
      <w:pPr>
        <w:spacing w:line="240" w:lineRule="auto"/>
        <w:rPr>
          <w:noProof/>
          <w:szCs w:val="22"/>
          <w:lang w:val="fr-LU"/>
        </w:rPr>
      </w:pPr>
    </w:p>
    <w:p w14:paraId="4159CB23" w14:textId="77777777" w:rsidR="00E20FC3" w:rsidRPr="00CD1283" w:rsidRDefault="00C35B70" w:rsidP="00E20FC3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CD1283">
        <w:rPr>
          <w:b/>
        </w:rPr>
        <w:t xml:space="preserve">NÚMERO(S) DA AUTORIZAÇÃO DE INTRODUÇÃO NO MERCADO </w:t>
      </w:r>
    </w:p>
    <w:p w14:paraId="4159CB24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641677A2" w14:textId="77777777" w:rsidR="00B81466" w:rsidRPr="00CD1283" w:rsidRDefault="00C35B70" w:rsidP="00B81466">
      <w:pPr>
        <w:spacing w:line="240" w:lineRule="auto"/>
        <w:rPr>
          <w:color w:val="000000"/>
        </w:rPr>
      </w:pPr>
      <w:r w:rsidRPr="00CD1283">
        <w:rPr>
          <w:color w:val="000000"/>
        </w:rPr>
        <w:t>EU/1/17/1199/001 72 comprimidos revestidos por película</w:t>
      </w:r>
    </w:p>
    <w:p w14:paraId="4159CB25" w14:textId="4CF88041" w:rsidR="00B9417E" w:rsidRPr="00CD1283" w:rsidRDefault="00C35B70" w:rsidP="00B81466">
      <w:pPr>
        <w:spacing w:line="240" w:lineRule="auto"/>
        <w:rPr>
          <w:color w:val="000000"/>
        </w:rPr>
      </w:pPr>
      <w:r w:rsidRPr="00CD1283">
        <w:rPr>
          <w:color w:val="000000"/>
        </w:rPr>
        <w:t>EU/1/17/1199/002 96 comprimidos revestidos por película</w:t>
      </w:r>
    </w:p>
    <w:p w14:paraId="4159CB26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B27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B28" w14:textId="77777777" w:rsidR="00E20FC3" w:rsidRPr="00CD1283" w:rsidRDefault="00C35B70" w:rsidP="00E20FC3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CD1283">
        <w:rPr>
          <w:b/>
        </w:rPr>
        <w:t>NÚMERO DO LOTE</w:t>
      </w:r>
    </w:p>
    <w:p w14:paraId="4159CB29" w14:textId="77777777" w:rsidR="00E20FC3" w:rsidRPr="00CD1283" w:rsidRDefault="00E20FC3" w:rsidP="00E20FC3">
      <w:pPr>
        <w:spacing w:line="240" w:lineRule="auto"/>
        <w:rPr>
          <w:i/>
          <w:noProof/>
          <w:szCs w:val="22"/>
        </w:rPr>
      </w:pPr>
    </w:p>
    <w:p w14:paraId="4159CB2A" w14:textId="77777777" w:rsidR="00E20FC3" w:rsidRPr="00CD1283" w:rsidRDefault="00C35B70" w:rsidP="00E20FC3">
      <w:pPr>
        <w:spacing w:line="240" w:lineRule="auto"/>
        <w:rPr>
          <w:noProof/>
          <w:szCs w:val="22"/>
        </w:rPr>
      </w:pPr>
      <w:r w:rsidRPr="00CD1283">
        <w:t xml:space="preserve">Lote </w:t>
      </w:r>
    </w:p>
    <w:p w14:paraId="4159CB2B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B2C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B2D" w14:textId="77777777" w:rsidR="00E20FC3" w:rsidRPr="00CD1283" w:rsidRDefault="00C35B70" w:rsidP="00E20FC3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CD1283">
        <w:rPr>
          <w:b/>
        </w:rPr>
        <w:t>CLASSIFICAÇÃO QUANTO À DISPENSA AO PÚBLICO</w:t>
      </w:r>
    </w:p>
    <w:p w14:paraId="4159CB2E" w14:textId="77777777" w:rsidR="00E20FC3" w:rsidRPr="00CD1283" w:rsidRDefault="00E20FC3" w:rsidP="00E20FC3">
      <w:pPr>
        <w:spacing w:line="240" w:lineRule="auto"/>
        <w:rPr>
          <w:i/>
          <w:noProof/>
          <w:szCs w:val="22"/>
        </w:rPr>
      </w:pPr>
    </w:p>
    <w:p w14:paraId="4159CB2F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B30" w14:textId="77777777" w:rsidR="00E20FC3" w:rsidRPr="00CD1283" w:rsidRDefault="00C35B70" w:rsidP="00E20FC3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CD1283">
        <w:rPr>
          <w:b/>
        </w:rPr>
        <w:t xml:space="preserve">INSTRUÇÕES DE </w:t>
      </w:r>
      <w:r w:rsidRPr="00CD1283">
        <w:rPr>
          <w:b/>
        </w:rPr>
        <w:t>UTILIZAÇÃO</w:t>
      </w:r>
    </w:p>
    <w:p w14:paraId="4159CB31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B32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B33" w14:textId="77777777" w:rsidR="00E20FC3" w:rsidRPr="00CD1283" w:rsidRDefault="00C35B70" w:rsidP="00E20FC3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CD1283">
        <w:rPr>
          <w:b/>
        </w:rPr>
        <w:t>INFORMAÇÃO EM BRAILLE</w:t>
      </w:r>
    </w:p>
    <w:p w14:paraId="4159CB34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B35" w14:textId="77777777" w:rsidR="00E20FC3" w:rsidRPr="00CD1283" w:rsidRDefault="00C35B70" w:rsidP="00E20FC3">
      <w:pPr>
        <w:rPr>
          <w:noProof/>
          <w:szCs w:val="22"/>
        </w:rPr>
      </w:pPr>
      <w:r w:rsidRPr="00CD1283">
        <w:t xml:space="preserve">Cuprior 150 mg </w:t>
      </w:r>
    </w:p>
    <w:p w14:paraId="4159CB36" w14:textId="77777777" w:rsidR="00E20FC3" w:rsidRPr="00CD1283" w:rsidRDefault="00E20FC3" w:rsidP="00E20FC3">
      <w:pPr>
        <w:spacing w:line="240" w:lineRule="auto"/>
        <w:rPr>
          <w:noProof/>
          <w:szCs w:val="22"/>
          <w:shd w:val="clear" w:color="auto" w:fill="CCCCCC"/>
        </w:rPr>
      </w:pPr>
    </w:p>
    <w:p w14:paraId="4159CB37" w14:textId="77777777" w:rsidR="00E20FC3" w:rsidRPr="00CD1283" w:rsidRDefault="00E20FC3" w:rsidP="00E20FC3">
      <w:pPr>
        <w:spacing w:line="240" w:lineRule="auto"/>
        <w:rPr>
          <w:noProof/>
          <w:szCs w:val="22"/>
          <w:shd w:val="clear" w:color="auto" w:fill="CCCCCC"/>
        </w:rPr>
      </w:pPr>
    </w:p>
    <w:p w14:paraId="4159CB38" w14:textId="77777777" w:rsidR="00E20FC3" w:rsidRPr="00CD1283" w:rsidRDefault="00C35B70" w:rsidP="00E20FC3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CD1283">
        <w:rPr>
          <w:b/>
        </w:rPr>
        <w:t>IDENTIFICADOR ÚNICO – CÓDIGO DE BARRAS 2D</w:t>
      </w:r>
    </w:p>
    <w:p w14:paraId="4159CB39" w14:textId="77777777" w:rsidR="00E20FC3" w:rsidRPr="00CD1283" w:rsidRDefault="00E20FC3" w:rsidP="00E20FC3">
      <w:pPr>
        <w:tabs>
          <w:tab w:val="clear" w:pos="567"/>
        </w:tabs>
        <w:spacing w:line="240" w:lineRule="auto"/>
        <w:rPr>
          <w:noProof/>
        </w:rPr>
      </w:pPr>
    </w:p>
    <w:p w14:paraId="4159CB3A" w14:textId="77777777" w:rsidR="00E20FC3" w:rsidRPr="00CD1283" w:rsidRDefault="00C35B70" w:rsidP="00E20FC3">
      <w:pPr>
        <w:rPr>
          <w:noProof/>
          <w:szCs w:val="22"/>
          <w:highlight w:val="lightGray"/>
        </w:rPr>
      </w:pPr>
      <w:r w:rsidRPr="00CD1283">
        <w:rPr>
          <w:noProof/>
          <w:highlight w:val="lightGray"/>
        </w:rPr>
        <w:t>Código de barras 2D com identificador único incluído</w:t>
      </w:r>
    </w:p>
    <w:p w14:paraId="4159CB3B" w14:textId="77777777" w:rsidR="00E20FC3" w:rsidRPr="00CD1283" w:rsidRDefault="00E20FC3" w:rsidP="00E20FC3">
      <w:pPr>
        <w:tabs>
          <w:tab w:val="clear" w:pos="567"/>
        </w:tabs>
        <w:spacing w:line="240" w:lineRule="auto"/>
        <w:rPr>
          <w:noProof/>
        </w:rPr>
      </w:pPr>
    </w:p>
    <w:p w14:paraId="4159CB3C" w14:textId="77777777" w:rsidR="00E20FC3" w:rsidRPr="00CD1283" w:rsidRDefault="00E20FC3" w:rsidP="00E20FC3">
      <w:pPr>
        <w:tabs>
          <w:tab w:val="clear" w:pos="567"/>
        </w:tabs>
        <w:spacing w:line="240" w:lineRule="auto"/>
        <w:rPr>
          <w:noProof/>
        </w:rPr>
      </w:pPr>
    </w:p>
    <w:p w14:paraId="4159CB3D" w14:textId="77777777" w:rsidR="00E20FC3" w:rsidRPr="00CD1283" w:rsidRDefault="00C35B70" w:rsidP="00E20FC3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CD1283">
        <w:rPr>
          <w:b/>
        </w:rPr>
        <w:t>IDENTIFICADOR ÚNICO - DADOS PARA LEITURA HUMANA</w:t>
      </w:r>
    </w:p>
    <w:p w14:paraId="4159CB3E" w14:textId="77777777" w:rsidR="00E20FC3" w:rsidRPr="00CD1283" w:rsidRDefault="00E20FC3" w:rsidP="00E20FC3">
      <w:pPr>
        <w:tabs>
          <w:tab w:val="clear" w:pos="567"/>
        </w:tabs>
        <w:spacing w:line="240" w:lineRule="auto"/>
        <w:rPr>
          <w:noProof/>
        </w:rPr>
      </w:pPr>
    </w:p>
    <w:p w14:paraId="4159CB3F" w14:textId="77777777" w:rsidR="00E20FC3" w:rsidRPr="00CD1283" w:rsidRDefault="00C35B70" w:rsidP="00E20FC3">
      <w:pPr>
        <w:rPr>
          <w:color w:val="008000"/>
          <w:szCs w:val="22"/>
        </w:rPr>
      </w:pPr>
      <w:r w:rsidRPr="00CD1283">
        <w:t xml:space="preserve">PC: {número} </w:t>
      </w:r>
    </w:p>
    <w:p w14:paraId="4159CB40" w14:textId="77777777" w:rsidR="00E20FC3" w:rsidRPr="00CD1283" w:rsidRDefault="00C35B70" w:rsidP="00E20FC3">
      <w:pPr>
        <w:rPr>
          <w:szCs w:val="22"/>
        </w:rPr>
      </w:pPr>
      <w:r w:rsidRPr="00CD1283">
        <w:t xml:space="preserve">SN: {número} </w:t>
      </w:r>
    </w:p>
    <w:p w14:paraId="4159CB41" w14:textId="77777777" w:rsidR="00E20FC3" w:rsidRPr="00CD1283" w:rsidRDefault="00C35B70" w:rsidP="00E20FC3">
      <w:pPr>
        <w:rPr>
          <w:szCs w:val="22"/>
        </w:rPr>
      </w:pPr>
      <w:r w:rsidRPr="00CD1283">
        <w:t xml:space="preserve">NN: {número} </w:t>
      </w:r>
    </w:p>
    <w:p w14:paraId="4159CB42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B43" w14:textId="77777777" w:rsidR="00E20FC3" w:rsidRPr="00CD1283" w:rsidRDefault="00E20FC3" w:rsidP="00E20FC3">
      <w:pPr>
        <w:spacing w:line="240" w:lineRule="auto"/>
        <w:rPr>
          <w:noProof/>
          <w:szCs w:val="22"/>
          <w:shd w:val="clear" w:color="auto" w:fill="CCCCCC"/>
        </w:rPr>
      </w:pPr>
    </w:p>
    <w:p w14:paraId="4159CB44" w14:textId="77777777" w:rsidR="00E20FC3" w:rsidRPr="00CD1283" w:rsidRDefault="00C35B70" w:rsidP="00E20FC3">
      <w:pPr>
        <w:spacing w:line="240" w:lineRule="auto"/>
        <w:rPr>
          <w:b/>
          <w:noProof/>
          <w:szCs w:val="22"/>
        </w:rPr>
      </w:pPr>
      <w:r w:rsidRPr="00CD1283">
        <w:br w:type="page"/>
      </w:r>
    </w:p>
    <w:p w14:paraId="4159CB45" w14:textId="77777777" w:rsidR="00E20FC3" w:rsidRPr="00CD1283" w:rsidRDefault="00C35B70" w:rsidP="00E2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noProof/>
          <w:szCs w:val="22"/>
        </w:rPr>
      </w:pPr>
      <w:r w:rsidRPr="00CD1283">
        <w:rPr>
          <w:b/>
          <w:noProof/>
        </w:rPr>
        <w:lastRenderedPageBreak/>
        <w:t>INDICAÇÕES MÍNIMAS A INCLUIR NAS EMBALAGENS BLISTER OU FITAS CONTENTORAS</w:t>
      </w:r>
    </w:p>
    <w:p w14:paraId="4159CB46" w14:textId="77777777" w:rsidR="00E20FC3" w:rsidRPr="00CD1283" w:rsidRDefault="00E20FC3" w:rsidP="00E2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noProof/>
          <w:szCs w:val="22"/>
        </w:rPr>
      </w:pPr>
    </w:p>
    <w:p w14:paraId="4159CB47" w14:textId="77777777" w:rsidR="00E20FC3" w:rsidRPr="00CD1283" w:rsidRDefault="00C35B70" w:rsidP="00E2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noProof/>
          <w:szCs w:val="22"/>
        </w:rPr>
      </w:pPr>
      <w:r w:rsidRPr="00CD1283">
        <w:rPr>
          <w:b/>
          <w:noProof/>
        </w:rPr>
        <w:t>BLISTER</w:t>
      </w:r>
    </w:p>
    <w:p w14:paraId="4159CB48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B49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B4A" w14:textId="77777777" w:rsidR="00E20FC3" w:rsidRPr="00CD1283" w:rsidRDefault="00C35B70" w:rsidP="00E20FC3">
      <w:pPr>
        <w:pStyle w:val="ListParagraph"/>
        <w:numPr>
          <w:ilvl w:val="1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  <w:noProof/>
          <w:szCs w:val="22"/>
        </w:rPr>
      </w:pPr>
      <w:r w:rsidRPr="00CD1283">
        <w:rPr>
          <w:b/>
          <w:noProof/>
        </w:rPr>
        <w:t>NOME DO MEDICAMENTO</w:t>
      </w:r>
    </w:p>
    <w:p w14:paraId="4159CB4B" w14:textId="77777777" w:rsidR="00E20FC3" w:rsidRPr="00CD1283" w:rsidRDefault="00E20FC3" w:rsidP="00E20FC3">
      <w:pPr>
        <w:spacing w:line="240" w:lineRule="auto"/>
        <w:rPr>
          <w:i/>
          <w:noProof/>
          <w:szCs w:val="22"/>
        </w:rPr>
      </w:pPr>
    </w:p>
    <w:p w14:paraId="4159CB4C" w14:textId="77777777" w:rsidR="00E20FC3" w:rsidRPr="00CD1283" w:rsidRDefault="00C35B70" w:rsidP="00E20FC3">
      <w:pPr>
        <w:rPr>
          <w:noProof/>
          <w:szCs w:val="22"/>
        </w:rPr>
      </w:pPr>
      <w:r w:rsidRPr="00CD1283">
        <w:t>Cuprior 150 mg comprimidos revestidos por película</w:t>
      </w:r>
    </w:p>
    <w:p w14:paraId="4159CB4D" w14:textId="77777777" w:rsidR="00E20FC3" w:rsidRPr="00CD1283" w:rsidRDefault="00C35B70" w:rsidP="00E20FC3">
      <w:pPr>
        <w:spacing w:line="240" w:lineRule="auto"/>
        <w:rPr>
          <w:noProof/>
          <w:szCs w:val="22"/>
        </w:rPr>
      </w:pPr>
      <w:r w:rsidRPr="00CD1283">
        <w:t>trientina</w:t>
      </w:r>
    </w:p>
    <w:p w14:paraId="4159CB4E" w14:textId="77777777" w:rsidR="00E20FC3" w:rsidRPr="00CD1283" w:rsidRDefault="00E20FC3" w:rsidP="00E20FC3">
      <w:pPr>
        <w:spacing w:line="240" w:lineRule="auto"/>
      </w:pPr>
    </w:p>
    <w:p w14:paraId="4159CB4F" w14:textId="77777777" w:rsidR="00E20FC3" w:rsidRPr="00CD1283" w:rsidRDefault="00E20FC3" w:rsidP="00E20FC3">
      <w:pPr>
        <w:spacing w:line="240" w:lineRule="auto"/>
      </w:pPr>
    </w:p>
    <w:p w14:paraId="4159CB50" w14:textId="77777777" w:rsidR="00E20FC3" w:rsidRPr="00CD1283" w:rsidRDefault="00C35B70" w:rsidP="00E20FC3">
      <w:pPr>
        <w:pStyle w:val="ListParagraph"/>
        <w:numPr>
          <w:ilvl w:val="1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  <w:noProof/>
          <w:szCs w:val="22"/>
        </w:rPr>
      </w:pPr>
      <w:r w:rsidRPr="00CD1283">
        <w:rPr>
          <w:b/>
          <w:noProof/>
        </w:rPr>
        <w:t>NOME DO TITULAR DA AUTORIZAÇÃO DE INTRODUÇÃO NO MERCADO</w:t>
      </w:r>
    </w:p>
    <w:p w14:paraId="4159CB51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B52" w14:textId="4FB398AD" w:rsidR="00E20FC3" w:rsidRPr="00CD1283" w:rsidRDefault="00E25A12" w:rsidP="00E20FC3">
      <w:pPr>
        <w:rPr>
          <w:szCs w:val="22"/>
        </w:rPr>
      </w:pPr>
      <w:proofErr w:type="spellStart"/>
      <w:r>
        <w:t>Orphalan</w:t>
      </w:r>
      <w:proofErr w:type="spellEnd"/>
    </w:p>
    <w:p w14:paraId="4159CB53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B54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B55" w14:textId="77777777" w:rsidR="00E20FC3" w:rsidRPr="00CD1283" w:rsidRDefault="00C35B70" w:rsidP="00E20FC3">
      <w:pPr>
        <w:pStyle w:val="ListParagraph"/>
        <w:numPr>
          <w:ilvl w:val="1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  <w:noProof/>
          <w:szCs w:val="22"/>
        </w:rPr>
      </w:pPr>
      <w:r w:rsidRPr="00CD1283">
        <w:rPr>
          <w:b/>
          <w:noProof/>
        </w:rPr>
        <w:t>PRAZO DE VALIDADE</w:t>
      </w:r>
    </w:p>
    <w:p w14:paraId="4159CB56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B57" w14:textId="77777777" w:rsidR="00E20FC3" w:rsidRPr="00CD1283" w:rsidRDefault="00C35B70" w:rsidP="00E20FC3">
      <w:pPr>
        <w:spacing w:line="240" w:lineRule="auto"/>
        <w:rPr>
          <w:noProof/>
          <w:szCs w:val="22"/>
        </w:rPr>
      </w:pPr>
      <w:r w:rsidRPr="00CD1283">
        <w:t>VAL.</w:t>
      </w:r>
    </w:p>
    <w:p w14:paraId="4159CB58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B59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B5A" w14:textId="77777777" w:rsidR="00E20FC3" w:rsidRPr="00CD1283" w:rsidRDefault="00C35B70" w:rsidP="00E20FC3">
      <w:pPr>
        <w:pStyle w:val="ListParagraph"/>
        <w:numPr>
          <w:ilvl w:val="1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  <w:noProof/>
          <w:szCs w:val="22"/>
        </w:rPr>
      </w:pPr>
      <w:r w:rsidRPr="00CD1283">
        <w:rPr>
          <w:b/>
          <w:noProof/>
        </w:rPr>
        <w:t>NÚMERO DO LOTE</w:t>
      </w:r>
    </w:p>
    <w:p w14:paraId="4159CB5B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B5C" w14:textId="77777777" w:rsidR="00E20FC3" w:rsidRPr="00CD1283" w:rsidRDefault="00C35B70" w:rsidP="00E20FC3">
      <w:pPr>
        <w:rPr>
          <w:noProof/>
          <w:szCs w:val="22"/>
        </w:rPr>
      </w:pPr>
      <w:r w:rsidRPr="00CD1283">
        <w:t>Lote</w:t>
      </w:r>
    </w:p>
    <w:p w14:paraId="4159CB5D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B5E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B5F" w14:textId="77777777" w:rsidR="00E20FC3" w:rsidRPr="00CD1283" w:rsidRDefault="00C35B70" w:rsidP="00E20FC3">
      <w:pPr>
        <w:pStyle w:val="ListParagraph"/>
        <w:numPr>
          <w:ilvl w:val="1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  <w:noProof/>
          <w:szCs w:val="22"/>
        </w:rPr>
      </w:pPr>
      <w:r w:rsidRPr="00CD1283">
        <w:rPr>
          <w:b/>
          <w:noProof/>
        </w:rPr>
        <w:t>OUTROS</w:t>
      </w:r>
    </w:p>
    <w:p w14:paraId="4159CB60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B61" w14:textId="77777777" w:rsidR="00E20FC3" w:rsidRPr="00CD1283" w:rsidRDefault="00E20FC3" w:rsidP="00E20FC3">
      <w:pPr>
        <w:spacing w:line="240" w:lineRule="auto"/>
        <w:rPr>
          <w:noProof/>
          <w:szCs w:val="22"/>
        </w:rPr>
      </w:pPr>
    </w:p>
    <w:p w14:paraId="4159CB62" w14:textId="77777777" w:rsidR="00E20FC3" w:rsidRPr="00CD1283" w:rsidRDefault="00C35B70" w:rsidP="00E20FC3">
      <w:r w:rsidRPr="00CD1283">
        <w:br w:type="page"/>
      </w:r>
    </w:p>
    <w:p w14:paraId="4159CB63" w14:textId="77777777" w:rsidR="00E20FC3" w:rsidRPr="00CD1283" w:rsidRDefault="00E20FC3" w:rsidP="00E20FC3">
      <w:pPr>
        <w:rPr>
          <w:noProof/>
        </w:rPr>
      </w:pPr>
    </w:p>
    <w:p w14:paraId="4159CB64" w14:textId="77777777" w:rsidR="00E20FC3" w:rsidRPr="00CD1283" w:rsidRDefault="00E20FC3" w:rsidP="00E20FC3">
      <w:pPr>
        <w:rPr>
          <w:noProof/>
        </w:rPr>
      </w:pPr>
    </w:p>
    <w:p w14:paraId="4159CB65" w14:textId="77777777" w:rsidR="00E20FC3" w:rsidRPr="00CD1283" w:rsidRDefault="00E20FC3" w:rsidP="00E20FC3">
      <w:pPr>
        <w:rPr>
          <w:noProof/>
        </w:rPr>
      </w:pPr>
    </w:p>
    <w:p w14:paraId="4159CB66" w14:textId="77777777" w:rsidR="00E20FC3" w:rsidRPr="00CD1283" w:rsidRDefault="00E20FC3" w:rsidP="00E20FC3">
      <w:pPr>
        <w:rPr>
          <w:noProof/>
        </w:rPr>
      </w:pPr>
    </w:p>
    <w:p w14:paraId="4159CB67" w14:textId="77777777" w:rsidR="00E20FC3" w:rsidRPr="00CD1283" w:rsidRDefault="00E20FC3" w:rsidP="00E20FC3">
      <w:pPr>
        <w:rPr>
          <w:noProof/>
        </w:rPr>
      </w:pPr>
    </w:p>
    <w:p w14:paraId="4159CB68" w14:textId="77777777" w:rsidR="00E20FC3" w:rsidRPr="00CD1283" w:rsidRDefault="00E20FC3" w:rsidP="00E20FC3">
      <w:pPr>
        <w:rPr>
          <w:noProof/>
        </w:rPr>
      </w:pPr>
    </w:p>
    <w:p w14:paraId="4159CB69" w14:textId="77777777" w:rsidR="00E20FC3" w:rsidRPr="00CD1283" w:rsidRDefault="00E20FC3" w:rsidP="00E20FC3">
      <w:pPr>
        <w:rPr>
          <w:noProof/>
        </w:rPr>
      </w:pPr>
    </w:p>
    <w:p w14:paraId="4159CB6A" w14:textId="77777777" w:rsidR="00E20FC3" w:rsidRPr="00CD1283" w:rsidRDefault="00E20FC3" w:rsidP="00E20FC3">
      <w:pPr>
        <w:rPr>
          <w:noProof/>
        </w:rPr>
      </w:pPr>
    </w:p>
    <w:p w14:paraId="4159CB6B" w14:textId="77777777" w:rsidR="00E20FC3" w:rsidRPr="00CD1283" w:rsidRDefault="00E20FC3" w:rsidP="00E20FC3">
      <w:pPr>
        <w:rPr>
          <w:noProof/>
        </w:rPr>
      </w:pPr>
    </w:p>
    <w:p w14:paraId="4159CB6C" w14:textId="77777777" w:rsidR="00E20FC3" w:rsidRPr="00CD1283" w:rsidRDefault="00E20FC3" w:rsidP="00E20FC3">
      <w:pPr>
        <w:rPr>
          <w:noProof/>
        </w:rPr>
      </w:pPr>
    </w:p>
    <w:p w14:paraId="4159CB6D" w14:textId="77777777" w:rsidR="00E20FC3" w:rsidRPr="00CD1283" w:rsidRDefault="00E20FC3" w:rsidP="00E20FC3">
      <w:pPr>
        <w:rPr>
          <w:noProof/>
        </w:rPr>
      </w:pPr>
    </w:p>
    <w:p w14:paraId="4159CB6E" w14:textId="77777777" w:rsidR="00E20FC3" w:rsidRPr="00CD1283" w:rsidRDefault="00E20FC3" w:rsidP="00E20FC3">
      <w:pPr>
        <w:rPr>
          <w:noProof/>
        </w:rPr>
      </w:pPr>
    </w:p>
    <w:p w14:paraId="4159CB6F" w14:textId="77777777" w:rsidR="00E20FC3" w:rsidRPr="00CD1283" w:rsidRDefault="00E20FC3" w:rsidP="00E20FC3">
      <w:pPr>
        <w:rPr>
          <w:noProof/>
        </w:rPr>
      </w:pPr>
    </w:p>
    <w:p w14:paraId="4159CB70" w14:textId="77777777" w:rsidR="00E20FC3" w:rsidRPr="00CD1283" w:rsidRDefault="00E20FC3" w:rsidP="00E20FC3">
      <w:pPr>
        <w:rPr>
          <w:noProof/>
        </w:rPr>
      </w:pPr>
    </w:p>
    <w:p w14:paraId="4159CB71" w14:textId="77777777" w:rsidR="00E20FC3" w:rsidRPr="00CD1283" w:rsidRDefault="00E20FC3" w:rsidP="00E20FC3">
      <w:pPr>
        <w:rPr>
          <w:noProof/>
        </w:rPr>
      </w:pPr>
    </w:p>
    <w:p w14:paraId="4159CB72" w14:textId="77777777" w:rsidR="00E20FC3" w:rsidRPr="00CD1283" w:rsidRDefault="00E20FC3" w:rsidP="00E20FC3">
      <w:pPr>
        <w:rPr>
          <w:noProof/>
        </w:rPr>
      </w:pPr>
    </w:p>
    <w:p w14:paraId="4159CB73" w14:textId="77777777" w:rsidR="00E20FC3" w:rsidRPr="00CD1283" w:rsidRDefault="00E20FC3" w:rsidP="00E20FC3">
      <w:pPr>
        <w:rPr>
          <w:noProof/>
        </w:rPr>
      </w:pPr>
    </w:p>
    <w:p w14:paraId="4159CB74" w14:textId="77777777" w:rsidR="00E20FC3" w:rsidRPr="00CD1283" w:rsidRDefault="00E20FC3" w:rsidP="00E20FC3">
      <w:pPr>
        <w:rPr>
          <w:noProof/>
        </w:rPr>
      </w:pPr>
    </w:p>
    <w:p w14:paraId="4159CB75" w14:textId="77777777" w:rsidR="00E20FC3" w:rsidRPr="00CD1283" w:rsidRDefault="00E20FC3" w:rsidP="00E20FC3">
      <w:pPr>
        <w:rPr>
          <w:noProof/>
        </w:rPr>
      </w:pPr>
    </w:p>
    <w:p w14:paraId="4159CB76" w14:textId="77777777" w:rsidR="00E20FC3" w:rsidRPr="00CD1283" w:rsidRDefault="00E20FC3" w:rsidP="00E20FC3">
      <w:pPr>
        <w:rPr>
          <w:noProof/>
        </w:rPr>
      </w:pPr>
    </w:p>
    <w:p w14:paraId="4159CB77" w14:textId="77777777" w:rsidR="00E20FC3" w:rsidRPr="00CD1283" w:rsidRDefault="00E20FC3" w:rsidP="00E20FC3">
      <w:pPr>
        <w:rPr>
          <w:noProof/>
        </w:rPr>
      </w:pPr>
    </w:p>
    <w:p w14:paraId="4159CB78" w14:textId="77777777" w:rsidR="00E20FC3" w:rsidRPr="00CD1283" w:rsidRDefault="00E20FC3" w:rsidP="00E20FC3">
      <w:pPr>
        <w:rPr>
          <w:noProof/>
        </w:rPr>
      </w:pPr>
    </w:p>
    <w:p w14:paraId="4159CB79" w14:textId="77777777" w:rsidR="00E20FC3" w:rsidRPr="00CD1283" w:rsidRDefault="00C35B70" w:rsidP="00E20FC3">
      <w:pPr>
        <w:pStyle w:val="ListParagraph"/>
        <w:numPr>
          <w:ilvl w:val="0"/>
          <w:numId w:val="31"/>
        </w:numPr>
        <w:spacing w:line="240" w:lineRule="auto"/>
        <w:ind w:left="357" w:hanging="357"/>
        <w:jc w:val="center"/>
        <w:outlineLvl w:val="0"/>
        <w:rPr>
          <w:b/>
          <w:noProof/>
        </w:rPr>
      </w:pPr>
      <w:r w:rsidRPr="00CD1283">
        <w:rPr>
          <w:b/>
          <w:noProof/>
        </w:rPr>
        <w:t>FOLHETO INFORMATIVO</w:t>
      </w:r>
    </w:p>
    <w:p w14:paraId="4159CB7A" w14:textId="77777777" w:rsidR="00E20FC3" w:rsidRPr="00CD1283" w:rsidRDefault="00C35B70" w:rsidP="00E20FC3">
      <w:pPr>
        <w:tabs>
          <w:tab w:val="clear" w:pos="567"/>
        </w:tabs>
        <w:spacing w:line="240" w:lineRule="auto"/>
        <w:jc w:val="center"/>
        <w:outlineLvl w:val="0"/>
        <w:rPr>
          <w:noProof/>
          <w:szCs w:val="22"/>
        </w:rPr>
      </w:pPr>
      <w:r w:rsidRPr="00CD1283">
        <w:br w:type="page"/>
      </w:r>
      <w:r w:rsidRPr="00CD1283">
        <w:rPr>
          <w:b/>
          <w:noProof/>
        </w:rPr>
        <w:lastRenderedPageBreak/>
        <w:t>Folheto informativo: Informação para o doente</w:t>
      </w:r>
    </w:p>
    <w:p w14:paraId="4159CB7B" w14:textId="77777777" w:rsidR="00E20FC3" w:rsidRPr="00CD1283" w:rsidRDefault="00E20FC3" w:rsidP="00E20FC3">
      <w:pPr>
        <w:numPr>
          <w:ilvl w:val="12"/>
          <w:numId w:val="0"/>
        </w:numPr>
        <w:shd w:val="clear" w:color="auto" w:fill="FFFFFF"/>
        <w:tabs>
          <w:tab w:val="clear" w:pos="567"/>
        </w:tabs>
        <w:spacing w:line="240" w:lineRule="auto"/>
        <w:jc w:val="center"/>
        <w:rPr>
          <w:noProof/>
          <w:szCs w:val="22"/>
        </w:rPr>
      </w:pPr>
    </w:p>
    <w:p w14:paraId="4159CB7C" w14:textId="77777777" w:rsidR="00E20FC3" w:rsidRPr="00CD1283" w:rsidRDefault="00C35B70" w:rsidP="00E20FC3">
      <w:pPr>
        <w:jc w:val="center"/>
        <w:rPr>
          <w:b/>
          <w:noProof/>
          <w:szCs w:val="22"/>
        </w:rPr>
      </w:pPr>
      <w:r w:rsidRPr="00CD1283">
        <w:rPr>
          <w:b/>
          <w:noProof/>
        </w:rPr>
        <w:t>Cuprior 150 mg comprimidos revestido</w:t>
      </w:r>
      <w:r w:rsidR="00C11676" w:rsidRPr="00CD1283">
        <w:rPr>
          <w:b/>
          <w:noProof/>
        </w:rPr>
        <w:t>s</w:t>
      </w:r>
      <w:r w:rsidRPr="00CD1283">
        <w:rPr>
          <w:b/>
          <w:noProof/>
        </w:rPr>
        <w:t xml:space="preserve"> por película</w:t>
      </w:r>
    </w:p>
    <w:p w14:paraId="4159CB7D" w14:textId="77777777" w:rsidR="00E20FC3" w:rsidRPr="00CD1283" w:rsidRDefault="00C35B70" w:rsidP="00E20FC3">
      <w:pPr>
        <w:numPr>
          <w:ilvl w:val="12"/>
          <w:numId w:val="0"/>
        </w:numPr>
        <w:tabs>
          <w:tab w:val="clear" w:pos="567"/>
        </w:tabs>
        <w:spacing w:line="240" w:lineRule="auto"/>
        <w:jc w:val="center"/>
        <w:rPr>
          <w:noProof/>
          <w:szCs w:val="22"/>
        </w:rPr>
      </w:pPr>
      <w:r w:rsidRPr="00CD1283">
        <w:t>trientina</w:t>
      </w:r>
    </w:p>
    <w:p w14:paraId="4159CB7E" w14:textId="77777777" w:rsidR="00E20FC3" w:rsidRPr="00CD1283" w:rsidRDefault="00E20FC3" w:rsidP="00E20FC3">
      <w:pPr>
        <w:jc w:val="center"/>
        <w:rPr>
          <w:szCs w:val="22"/>
        </w:rPr>
      </w:pPr>
    </w:p>
    <w:p w14:paraId="4159CB7F" w14:textId="77777777" w:rsidR="00E20FC3" w:rsidRPr="00CD1283" w:rsidRDefault="00C35B70" w:rsidP="00E20FC3">
      <w:r w:rsidRPr="00CD1283">
        <w:t xml:space="preserve">Pode obter também as informações ao ler o código QR abaixo com um </w:t>
      </w:r>
      <w:r w:rsidRPr="00CD1283">
        <w:rPr>
          <w:i/>
        </w:rPr>
        <w:t>smartphone</w:t>
      </w:r>
      <w:r w:rsidRPr="00CD1283">
        <w:t xml:space="preserve"> ou através do sítio da Internet </w:t>
      </w:r>
      <w:r w:rsidRPr="00CD1283">
        <w:rPr>
          <w:i/>
          <w:noProof/>
          <w:highlight w:val="lightGray"/>
        </w:rPr>
        <w:t>código QR a ser incluído</w:t>
      </w:r>
      <w:r w:rsidRPr="00CD1283">
        <w:rPr>
          <w:i/>
          <w:noProof/>
        </w:rPr>
        <w:t xml:space="preserve"> </w:t>
      </w:r>
      <w:hyperlink r:id="rId14" w:history="1">
        <w:r w:rsidRPr="00CD1283">
          <w:rPr>
            <w:rStyle w:val="Hyperlink"/>
          </w:rPr>
          <w:t>http://www.cuprior.com</w:t>
        </w:r>
      </w:hyperlink>
    </w:p>
    <w:p w14:paraId="4159CB80" w14:textId="77777777" w:rsidR="00E20FC3" w:rsidRPr="00CD1283" w:rsidRDefault="00E20FC3" w:rsidP="00E20FC3">
      <w:pPr>
        <w:tabs>
          <w:tab w:val="clear" w:pos="567"/>
        </w:tabs>
        <w:spacing w:line="240" w:lineRule="auto"/>
        <w:rPr>
          <w:noProof/>
          <w:szCs w:val="22"/>
        </w:rPr>
      </w:pPr>
    </w:p>
    <w:p w14:paraId="4159CB81" w14:textId="77777777" w:rsidR="00E20FC3" w:rsidRPr="00CD1283" w:rsidRDefault="00C35B70" w:rsidP="00E20FC3">
      <w:pPr>
        <w:tabs>
          <w:tab w:val="clear" w:pos="567"/>
        </w:tabs>
        <w:suppressAutoHyphens/>
        <w:spacing w:line="240" w:lineRule="auto"/>
        <w:ind w:left="142" w:hanging="142"/>
        <w:rPr>
          <w:noProof/>
          <w:szCs w:val="22"/>
        </w:rPr>
      </w:pPr>
      <w:r w:rsidRPr="00CD1283">
        <w:rPr>
          <w:b/>
          <w:noProof/>
        </w:rPr>
        <w:t>Leia com atenção todo este folheto antes de começar a toma</w:t>
      </w:r>
      <w:r w:rsidRPr="00CD1283">
        <w:rPr>
          <w:b/>
          <w:noProof/>
        </w:rPr>
        <w:t>r este medicamento, pois contém informação importante para si.</w:t>
      </w:r>
    </w:p>
    <w:p w14:paraId="4159CB82" w14:textId="77777777" w:rsidR="00E20FC3" w:rsidRPr="00CD1283" w:rsidRDefault="00C35B70" w:rsidP="00E20FC3">
      <w:pPr>
        <w:numPr>
          <w:ilvl w:val="0"/>
          <w:numId w:val="3"/>
        </w:numPr>
        <w:tabs>
          <w:tab w:val="clear" w:pos="567"/>
        </w:tabs>
        <w:spacing w:line="240" w:lineRule="auto"/>
        <w:ind w:left="567" w:right="-2" w:hanging="567"/>
        <w:rPr>
          <w:noProof/>
          <w:szCs w:val="22"/>
        </w:rPr>
      </w:pPr>
      <w:r w:rsidRPr="00CD1283">
        <w:t xml:space="preserve">Conserve este folheto. Pode ter necessidade de o ler novamente. </w:t>
      </w:r>
    </w:p>
    <w:p w14:paraId="4159CB83" w14:textId="77777777" w:rsidR="00E20FC3" w:rsidRPr="00CD1283" w:rsidRDefault="00C35B70" w:rsidP="00E20FC3">
      <w:pPr>
        <w:numPr>
          <w:ilvl w:val="0"/>
          <w:numId w:val="3"/>
        </w:numPr>
        <w:tabs>
          <w:tab w:val="clear" w:pos="567"/>
        </w:tabs>
        <w:spacing w:line="240" w:lineRule="auto"/>
        <w:ind w:left="567" w:right="-2" w:hanging="567"/>
        <w:rPr>
          <w:noProof/>
          <w:szCs w:val="22"/>
        </w:rPr>
      </w:pPr>
      <w:r w:rsidRPr="00CD1283">
        <w:t>Caso ainda tenha dúvidas, fale com o seu médico ou farmacêutico.</w:t>
      </w:r>
    </w:p>
    <w:p w14:paraId="4159CB84" w14:textId="77777777" w:rsidR="00E20FC3" w:rsidRPr="00CD1283" w:rsidRDefault="00C35B70" w:rsidP="00E20FC3">
      <w:pPr>
        <w:spacing w:line="240" w:lineRule="auto"/>
        <w:ind w:left="567" w:right="-2" w:hanging="567"/>
        <w:rPr>
          <w:noProof/>
          <w:szCs w:val="22"/>
        </w:rPr>
      </w:pPr>
      <w:r w:rsidRPr="00CD1283">
        <w:t>-</w:t>
      </w:r>
      <w:r w:rsidRPr="00CD1283">
        <w:tab/>
        <w:t>Este medicamento foi receitado apenas para si. Não deve dá-lo</w:t>
      </w:r>
      <w:r w:rsidRPr="00CD1283">
        <w:t xml:space="preserve"> a outros. O medicamento pode ser-lhes prejudicial mesmo que apresentem os mesmos sinais de doença.</w:t>
      </w:r>
      <w:r w:rsidRPr="00CD1283">
        <w:rPr>
          <w:noProof/>
          <w:color w:val="008000"/>
        </w:rPr>
        <w:t xml:space="preserve"> </w:t>
      </w:r>
    </w:p>
    <w:p w14:paraId="4159CB85" w14:textId="77777777" w:rsidR="00E20FC3" w:rsidRPr="00CD1283" w:rsidRDefault="00C35B70" w:rsidP="00E20FC3">
      <w:pPr>
        <w:numPr>
          <w:ilvl w:val="0"/>
          <w:numId w:val="3"/>
        </w:numPr>
        <w:spacing w:line="240" w:lineRule="auto"/>
        <w:ind w:left="567" w:hanging="567"/>
        <w:rPr>
          <w:szCs w:val="22"/>
        </w:rPr>
      </w:pPr>
      <w:r w:rsidRPr="00CD1283">
        <w:t>Se tiver quaisquer efeitos secundários, incluindo possíveis efeitos secundários não indicados neste folheto,</w:t>
      </w:r>
      <w:r w:rsidRPr="00CD1283">
        <w:rPr>
          <w:color w:val="FF0000"/>
        </w:rPr>
        <w:t xml:space="preserve"> </w:t>
      </w:r>
      <w:r w:rsidRPr="00CD1283">
        <w:t xml:space="preserve">fale com o seu médico ou </w:t>
      </w:r>
      <w:r w:rsidRPr="00CD1283">
        <w:t>farmacêutico. Ver secção 4.</w:t>
      </w:r>
    </w:p>
    <w:p w14:paraId="4159CB86" w14:textId="77777777" w:rsidR="00E20FC3" w:rsidRPr="00CD1283" w:rsidRDefault="00E20FC3" w:rsidP="00E20FC3">
      <w:pPr>
        <w:tabs>
          <w:tab w:val="clear" w:pos="567"/>
        </w:tabs>
        <w:spacing w:line="240" w:lineRule="auto"/>
        <w:ind w:right="-2"/>
        <w:rPr>
          <w:szCs w:val="22"/>
        </w:rPr>
      </w:pPr>
    </w:p>
    <w:p w14:paraId="4159CB87" w14:textId="77777777" w:rsidR="00E20FC3" w:rsidRPr="00CD1283" w:rsidRDefault="00E20FC3" w:rsidP="00E20FC3">
      <w:p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4159CB88" w14:textId="77777777" w:rsidR="00E20FC3" w:rsidRPr="00CD1283" w:rsidRDefault="00C35B70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noProof/>
          <w:szCs w:val="22"/>
        </w:rPr>
      </w:pPr>
      <w:r w:rsidRPr="00CD1283">
        <w:rPr>
          <w:b/>
          <w:noProof/>
        </w:rPr>
        <w:t>O que contém este folheto:</w:t>
      </w:r>
    </w:p>
    <w:p w14:paraId="4159CB89" w14:textId="77777777" w:rsidR="00E20FC3" w:rsidRPr="00CD1283" w:rsidRDefault="00E20FC3" w:rsidP="00E20FC3">
      <w:pPr>
        <w:rPr>
          <w:noProof/>
        </w:rPr>
      </w:pPr>
    </w:p>
    <w:p w14:paraId="4159CB8A" w14:textId="77777777" w:rsidR="00E20FC3" w:rsidRPr="00CD1283" w:rsidRDefault="00C35B70" w:rsidP="00E20FC3">
      <w:pPr>
        <w:pStyle w:val="ListParagraph"/>
        <w:numPr>
          <w:ilvl w:val="0"/>
          <w:numId w:val="32"/>
        </w:numPr>
        <w:tabs>
          <w:tab w:val="clear" w:pos="567"/>
          <w:tab w:val="left" w:pos="426"/>
        </w:tabs>
        <w:spacing w:line="240" w:lineRule="auto"/>
        <w:ind w:left="420" w:right="-28"/>
        <w:rPr>
          <w:noProof/>
          <w:szCs w:val="22"/>
        </w:rPr>
      </w:pPr>
      <w:r w:rsidRPr="00CD1283">
        <w:t xml:space="preserve">O que é Cuprior e para que é utilizado </w:t>
      </w:r>
    </w:p>
    <w:p w14:paraId="4159CB8B" w14:textId="77777777" w:rsidR="00E20FC3" w:rsidRPr="00CD1283" w:rsidRDefault="00C35B70" w:rsidP="00E20FC3">
      <w:pPr>
        <w:pStyle w:val="ListParagraph"/>
        <w:numPr>
          <w:ilvl w:val="0"/>
          <w:numId w:val="32"/>
        </w:numPr>
        <w:tabs>
          <w:tab w:val="clear" w:pos="567"/>
          <w:tab w:val="left" w:pos="426"/>
        </w:tabs>
        <w:spacing w:line="240" w:lineRule="auto"/>
        <w:ind w:left="420" w:right="-28"/>
        <w:rPr>
          <w:noProof/>
          <w:szCs w:val="22"/>
        </w:rPr>
      </w:pPr>
      <w:r w:rsidRPr="00CD1283">
        <w:t xml:space="preserve">O que precisa de saber antes de tomar Cuprior </w:t>
      </w:r>
    </w:p>
    <w:p w14:paraId="4159CB8C" w14:textId="77777777" w:rsidR="00E20FC3" w:rsidRPr="00CD1283" w:rsidRDefault="00C35B70" w:rsidP="00E20FC3">
      <w:pPr>
        <w:pStyle w:val="ListParagraph"/>
        <w:numPr>
          <w:ilvl w:val="0"/>
          <w:numId w:val="32"/>
        </w:numPr>
        <w:tabs>
          <w:tab w:val="clear" w:pos="567"/>
          <w:tab w:val="left" w:pos="426"/>
        </w:tabs>
        <w:spacing w:line="240" w:lineRule="auto"/>
        <w:ind w:left="420" w:right="-28"/>
        <w:rPr>
          <w:noProof/>
          <w:szCs w:val="22"/>
        </w:rPr>
      </w:pPr>
      <w:r w:rsidRPr="00CD1283">
        <w:t xml:space="preserve">Como tomar Cuprior </w:t>
      </w:r>
    </w:p>
    <w:p w14:paraId="4159CB8D" w14:textId="77777777" w:rsidR="00E20FC3" w:rsidRPr="00CD1283" w:rsidRDefault="00C35B70" w:rsidP="00E20FC3">
      <w:pPr>
        <w:pStyle w:val="ListParagraph"/>
        <w:numPr>
          <w:ilvl w:val="0"/>
          <w:numId w:val="32"/>
        </w:numPr>
        <w:tabs>
          <w:tab w:val="clear" w:pos="567"/>
          <w:tab w:val="left" w:pos="426"/>
        </w:tabs>
        <w:spacing w:line="240" w:lineRule="auto"/>
        <w:ind w:left="420" w:right="-28"/>
        <w:rPr>
          <w:noProof/>
          <w:szCs w:val="22"/>
        </w:rPr>
      </w:pPr>
      <w:r w:rsidRPr="00CD1283">
        <w:t xml:space="preserve">Efeitos secundários possíveis </w:t>
      </w:r>
    </w:p>
    <w:p w14:paraId="4159CB8E" w14:textId="77777777" w:rsidR="00E20FC3" w:rsidRPr="00CD1283" w:rsidRDefault="00C35B70" w:rsidP="00E20FC3">
      <w:pPr>
        <w:pStyle w:val="ListParagraph"/>
        <w:numPr>
          <w:ilvl w:val="0"/>
          <w:numId w:val="32"/>
        </w:numPr>
        <w:tabs>
          <w:tab w:val="clear" w:pos="567"/>
          <w:tab w:val="left" w:pos="426"/>
        </w:tabs>
        <w:spacing w:line="240" w:lineRule="auto"/>
        <w:ind w:left="420" w:right="-28"/>
        <w:rPr>
          <w:noProof/>
          <w:szCs w:val="22"/>
        </w:rPr>
      </w:pPr>
      <w:r w:rsidRPr="00CD1283">
        <w:t xml:space="preserve">Como conservar Cuprior </w:t>
      </w:r>
    </w:p>
    <w:p w14:paraId="4159CB8F" w14:textId="77777777" w:rsidR="00E20FC3" w:rsidRPr="00CD1283" w:rsidRDefault="00C35B70" w:rsidP="00E20FC3">
      <w:pPr>
        <w:pStyle w:val="ListParagraph"/>
        <w:numPr>
          <w:ilvl w:val="0"/>
          <w:numId w:val="32"/>
        </w:numPr>
        <w:tabs>
          <w:tab w:val="clear" w:pos="567"/>
          <w:tab w:val="left" w:pos="426"/>
        </w:tabs>
        <w:spacing w:line="240" w:lineRule="auto"/>
        <w:ind w:left="420" w:right="-28"/>
        <w:rPr>
          <w:noProof/>
          <w:szCs w:val="22"/>
        </w:rPr>
      </w:pPr>
      <w:r w:rsidRPr="00CD1283">
        <w:t xml:space="preserve">Conteúdo da embalagem e outras </w:t>
      </w:r>
      <w:r w:rsidRPr="00CD1283">
        <w:t>informações</w:t>
      </w:r>
    </w:p>
    <w:p w14:paraId="4159CB90" w14:textId="77777777" w:rsidR="00E20FC3" w:rsidRPr="00CD1283" w:rsidRDefault="00E20FC3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4159CB91" w14:textId="77777777" w:rsidR="00E20FC3" w:rsidRPr="00CD1283" w:rsidRDefault="00E20FC3" w:rsidP="00E20FC3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4159CB92" w14:textId="77777777" w:rsidR="00E20FC3" w:rsidRPr="00CD1283" w:rsidRDefault="00C35B70" w:rsidP="00E20FC3">
      <w:pPr>
        <w:pStyle w:val="ListParagraph"/>
        <w:numPr>
          <w:ilvl w:val="0"/>
          <w:numId w:val="33"/>
        </w:numPr>
        <w:tabs>
          <w:tab w:val="clear" w:pos="567"/>
        </w:tabs>
        <w:spacing w:line="240" w:lineRule="auto"/>
        <w:ind w:left="720"/>
        <w:outlineLvl w:val="0"/>
        <w:rPr>
          <w:b/>
          <w:noProof/>
          <w:szCs w:val="22"/>
        </w:rPr>
      </w:pPr>
      <w:r w:rsidRPr="00CD1283">
        <w:rPr>
          <w:b/>
          <w:noProof/>
        </w:rPr>
        <w:t>O que é Cuprior e para que é utilizado</w:t>
      </w:r>
    </w:p>
    <w:p w14:paraId="4159CB93" w14:textId="77777777" w:rsidR="00E20FC3" w:rsidRPr="00CD1283" w:rsidRDefault="00E20FC3" w:rsidP="00E20FC3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4159CB94" w14:textId="77777777" w:rsidR="00E20FC3" w:rsidRPr="00CD1283" w:rsidRDefault="00C35B70" w:rsidP="00E20FC3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  <w:r w:rsidRPr="00CD1283">
        <w:t xml:space="preserve">Cuprior é um medicamento utilizado para tratar a doença de Wilson que contém a substância ativa trientina. </w:t>
      </w:r>
    </w:p>
    <w:p w14:paraId="4159CB95" w14:textId="77777777" w:rsidR="00E20FC3" w:rsidRPr="00CD1283" w:rsidRDefault="00E20FC3" w:rsidP="00E20FC3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4159CB96" w14:textId="77777777" w:rsidR="00E20FC3" w:rsidRPr="00CD1283" w:rsidRDefault="00C35B70" w:rsidP="00E20FC3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  <w:r w:rsidRPr="00CD1283">
        <w:t>A doença de Wilson é uma condição hereditária que se caracteriza por o organismo não consegui</w:t>
      </w:r>
      <w:r w:rsidRPr="00CD1283">
        <w:t>r transportar cobre pelo organismo da maneira normal ou eliminar o cobre da maneira normal como uma secreção do fígado para o intestino. Isto significa que as pequenas quantidades de cobre dos alimentos e bebidas se acumulam em níveis excessivos e podem ca</w:t>
      </w:r>
      <w:r w:rsidRPr="00CD1283">
        <w:t>usar lesões no fígado e problemas no sistema nervoso. Este medicamento funciona principalmente ligando-se ao cobre no organismo, o que, de seguida, permite que este seja eliminado na urina, ajudando a baixar os níveis de cobre. Pode também ligar-se ao cobr</w:t>
      </w:r>
      <w:r w:rsidRPr="00CD1283">
        <w:t xml:space="preserve">e no intestino e, assim, reduzir a quantidade absorvida pelo organismo. </w:t>
      </w:r>
    </w:p>
    <w:p w14:paraId="4159CB97" w14:textId="77777777" w:rsidR="00E20FC3" w:rsidRPr="00CD1283" w:rsidRDefault="00C35B70" w:rsidP="00E20FC3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  <w:r w:rsidRPr="00CD1283">
        <w:t>Cuprior é administrado a adultos, adolescentes e crianças com idade igual ou superior a 5 anos que não conseguem tolerar o outro medicamento utilizado para tratar esta doença, a saber</w:t>
      </w:r>
      <w:r w:rsidRPr="00CD1283">
        <w:t>, a penicilamina.</w:t>
      </w:r>
    </w:p>
    <w:p w14:paraId="4159CB98" w14:textId="77777777" w:rsidR="00E20FC3" w:rsidRPr="00CD1283" w:rsidRDefault="00E20FC3" w:rsidP="00E20FC3">
      <w:p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4159CB99" w14:textId="77777777" w:rsidR="00E20FC3" w:rsidRPr="00CD1283" w:rsidRDefault="00E20FC3" w:rsidP="00E20FC3">
      <w:p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4159CB9A" w14:textId="77777777" w:rsidR="00E20FC3" w:rsidRPr="00CD1283" w:rsidRDefault="00C35B70" w:rsidP="00E20FC3">
      <w:pPr>
        <w:pStyle w:val="ListParagraph"/>
        <w:numPr>
          <w:ilvl w:val="0"/>
          <w:numId w:val="33"/>
        </w:numPr>
        <w:tabs>
          <w:tab w:val="clear" w:pos="567"/>
        </w:tabs>
        <w:spacing w:line="240" w:lineRule="auto"/>
        <w:ind w:left="720"/>
        <w:outlineLvl w:val="0"/>
        <w:rPr>
          <w:b/>
          <w:noProof/>
          <w:szCs w:val="22"/>
        </w:rPr>
      </w:pPr>
      <w:r w:rsidRPr="00CD1283">
        <w:rPr>
          <w:b/>
          <w:noProof/>
        </w:rPr>
        <w:t xml:space="preserve">O que precisa de saber antes de tomar Cuprior </w:t>
      </w:r>
    </w:p>
    <w:p w14:paraId="4159CB9B" w14:textId="77777777" w:rsidR="00E20FC3" w:rsidRPr="00CD1283" w:rsidRDefault="00E20FC3" w:rsidP="00E20FC3">
      <w:pPr>
        <w:rPr>
          <w:noProof/>
        </w:rPr>
      </w:pPr>
    </w:p>
    <w:p w14:paraId="4159CB9C" w14:textId="77777777" w:rsidR="00E20FC3" w:rsidRPr="00CD1283" w:rsidRDefault="00C35B70" w:rsidP="00E20FC3">
      <w:pPr>
        <w:numPr>
          <w:ilvl w:val="12"/>
          <w:numId w:val="0"/>
        </w:numPr>
        <w:tabs>
          <w:tab w:val="clear" w:pos="567"/>
        </w:tabs>
        <w:spacing w:line="240" w:lineRule="auto"/>
        <w:rPr>
          <w:b/>
          <w:szCs w:val="22"/>
        </w:rPr>
      </w:pPr>
      <w:r w:rsidRPr="00CD1283">
        <w:rPr>
          <w:b/>
        </w:rPr>
        <w:t>Não tome Cuprior:</w:t>
      </w:r>
    </w:p>
    <w:p w14:paraId="4159CB9D" w14:textId="77777777" w:rsidR="00E20FC3" w:rsidRPr="00CD1283" w:rsidRDefault="00C35B70" w:rsidP="00E20FC3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  <w:r w:rsidRPr="00CD1283">
        <w:t xml:space="preserve">Se tem alergia à trientina ou a qualquer outro componente deste medicamento (indicados na secção 6); </w:t>
      </w:r>
    </w:p>
    <w:p w14:paraId="4159CB9E" w14:textId="77777777" w:rsidR="00E20FC3" w:rsidRPr="00CD1283" w:rsidRDefault="00E20FC3" w:rsidP="00E20FC3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4159CB9F" w14:textId="77777777" w:rsidR="00E20FC3" w:rsidRPr="00CD1283" w:rsidRDefault="00C35B70" w:rsidP="00E20FC3">
      <w:pPr>
        <w:numPr>
          <w:ilvl w:val="12"/>
          <w:numId w:val="0"/>
        </w:numPr>
        <w:tabs>
          <w:tab w:val="clear" w:pos="567"/>
        </w:tabs>
        <w:spacing w:line="240" w:lineRule="auto"/>
        <w:rPr>
          <w:b/>
          <w:szCs w:val="22"/>
        </w:rPr>
      </w:pPr>
      <w:r w:rsidRPr="00CD1283">
        <w:rPr>
          <w:b/>
        </w:rPr>
        <w:t xml:space="preserve">Advertências e precauções </w:t>
      </w:r>
    </w:p>
    <w:p w14:paraId="4159CBA0" w14:textId="77777777" w:rsidR="00E20FC3" w:rsidRPr="00CD1283" w:rsidRDefault="00C35B70" w:rsidP="00E20FC3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  <w:r w:rsidRPr="00CD1283">
        <w:t>Fale com o seu médico ou farmacêutico antes de tomar Cuprior.</w:t>
      </w:r>
    </w:p>
    <w:p w14:paraId="4159CBA1" w14:textId="77777777" w:rsidR="00E20FC3" w:rsidRPr="00CD1283" w:rsidRDefault="00E20FC3" w:rsidP="00E20FC3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4159CBA2" w14:textId="726D2687" w:rsidR="00E20FC3" w:rsidRPr="00CD1283" w:rsidRDefault="00C35B70" w:rsidP="00E20FC3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  <w:r w:rsidRPr="00CD1283">
        <w:t>Se já estava a tomar outro medicamento com trientina, o seu méd</w:t>
      </w:r>
      <w:r w:rsidRPr="00CD1283">
        <w:t xml:space="preserve">ico poderá modificar a dose diária, o número de comprimidos ou o número de ingestões no dia em que muda para o tratamento com Cuprior. </w:t>
      </w:r>
    </w:p>
    <w:p w14:paraId="4159CBA3" w14:textId="77777777" w:rsidR="00E20FC3" w:rsidRPr="00CD1283" w:rsidRDefault="00E20FC3" w:rsidP="00E20FC3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4159CBA4" w14:textId="77777777" w:rsidR="00E20FC3" w:rsidRPr="00CD1283" w:rsidRDefault="00C35B70" w:rsidP="00E20FC3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  <w:r w:rsidRPr="00CD1283">
        <w:lastRenderedPageBreak/>
        <w:t>Os seus sintomas podem piorar inicialmente após o início do tratamento. Nesse caso, deve informar o seu médico.</w:t>
      </w:r>
    </w:p>
    <w:p w14:paraId="4159CBA5" w14:textId="77777777" w:rsidR="00E20FC3" w:rsidRPr="00CD1283" w:rsidRDefault="00E20FC3" w:rsidP="00E20FC3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4159CBA6" w14:textId="77777777" w:rsidR="00E20FC3" w:rsidRPr="00CD1283" w:rsidRDefault="00C35B70" w:rsidP="00E20FC3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  <w:r w:rsidRPr="00CD1283">
        <w:t xml:space="preserve">O seu </w:t>
      </w:r>
      <w:r w:rsidRPr="00CD1283">
        <w:t xml:space="preserve">médico irá analisar regularmente o seu sangue e urina para garantir que recebe a dose certa de Cuprior para controlar adequadamente os seus sintomas e níveis de cobre. </w:t>
      </w:r>
    </w:p>
    <w:p w14:paraId="4159CBA7" w14:textId="77777777" w:rsidR="00E20FC3" w:rsidRPr="00CD1283" w:rsidRDefault="00E20FC3" w:rsidP="00E20FC3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4159CBA8" w14:textId="77777777" w:rsidR="00E20FC3" w:rsidRPr="00CD1283" w:rsidRDefault="00C35B70" w:rsidP="00E20FC3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  <w:r w:rsidRPr="00CD1283">
        <w:t>Deve informar o seu médico se tiver quaisquer efeitos secundários, pois isso pode indi</w:t>
      </w:r>
      <w:r w:rsidRPr="00CD1283">
        <w:t xml:space="preserve">car que a dose de Cuprior precisa de ser ajustada, aumentando ou diminuindo. </w:t>
      </w:r>
    </w:p>
    <w:p w14:paraId="4159CBA9" w14:textId="77777777" w:rsidR="00E20FC3" w:rsidRPr="00CD1283" w:rsidRDefault="00E20FC3" w:rsidP="00E20FC3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4159CBAA" w14:textId="77777777" w:rsidR="00E20FC3" w:rsidRPr="00CD1283" w:rsidRDefault="00C35B70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CD1283">
        <w:t>Este medicamento pode também reduzir o nível de ferro no sangue e o seu médico poderá prescrever suplementos de ferro (ver secção "Outros medicamentos e Cuprior" abaixo).</w:t>
      </w:r>
    </w:p>
    <w:p w14:paraId="4159CBAB" w14:textId="77777777" w:rsidR="00E20FC3" w:rsidRPr="00CD1283" w:rsidRDefault="00E20FC3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4159CBAC" w14:textId="77777777" w:rsidR="00E20FC3" w:rsidRPr="00CD1283" w:rsidRDefault="00C35B70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CD1283">
        <w:t>Se ti</w:t>
      </w:r>
      <w:r w:rsidRPr="00CD1283">
        <w:t>ver problemas renais, o seu médico irá verificar regularmente se a dose de tratamento é adequada e não afeta o funcionamento dos seus rins.</w:t>
      </w:r>
    </w:p>
    <w:p w14:paraId="4159CBAD" w14:textId="77777777" w:rsidR="00E20FC3" w:rsidRPr="00CD1283" w:rsidRDefault="00E20FC3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4159CBAE" w14:textId="77777777" w:rsidR="00E20FC3" w:rsidRPr="00CD1283" w:rsidRDefault="00C35B70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CD1283">
        <w:t xml:space="preserve">Não é recomendada a associação de trientina a outro medicamento que contenha zinco. </w:t>
      </w:r>
    </w:p>
    <w:p w14:paraId="4159CBAF" w14:textId="77777777" w:rsidR="00E20FC3" w:rsidRPr="00CD1283" w:rsidRDefault="00E20FC3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4159CBB0" w14:textId="77777777" w:rsidR="00E20FC3" w:rsidRPr="00CD1283" w:rsidRDefault="00C35B70" w:rsidP="00E20FC3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szCs w:val="22"/>
        </w:rPr>
      </w:pPr>
      <w:r w:rsidRPr="00CD1283">
        <w:t>Foram comunicadas reações do tipo lúpus (os sintomas podem incluir erupção cutânea persistente, febre, dores nas articulações e cansaço) em alguns doentes que mudaram para o medicamento com trientina depois do medicamento com penicilamina. Contudo, não foi</w:t>
      </w:r>
      <w:r w:rsidRPr="00CD1283">
        <w:t xml:space="preserve"> possível determinar se a reação era devida à trientina ou ao tratamento anterior com penicilamina. </w:t>
      </w:r>
    </w:p>
    <w:p w14:paraId="4159CBB1" w14:textId="77777777" w:rsidR="00E20FC3" w:rsidRPr="00CD1283" w:rsidRDefault="00E20FC3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4159CBB2" w14:textId="77777777" w:rsidR="00E20FC3" w:rsidRPr="00CD1283" w:rsidRDefault="00C35B70" w:rsidP="00E20FC3">
      <w:pPr>
        <w:rPr>
          <w:rFonts w:eastAsia="SimSun"/>
          <w:b/>
          <w:bCs/>
          <w:szCs w:val="22"/>
        </w:rPr>
      </w:pPr>
      <w:r w:rsidRPr="00CD1283">
        <w:rPr>
          <w:b/>
        </w:rPr>
        <w:t>Crianças e adolescentes</w:t>
      </w:r>
    </w:p>
    <w:p w14:paraId="4159CBB3" w14:textId="77777777" w:rsidR="00E20FC3" w:rsidRPr="00CD1283" w:rsidRDefault="00C35B70" w:rsidP="00E20FC3">
      <w:pPr>
        <w:rPr>
          <w:noProof/>
          <w:szCs w:val="22"/>
        </w:rPr>
      </w:pPr>
      <w:r w:rsidRPr="00CD1283">
        <w:t>O seu médico irá realizar os controlos com mais frequência para garantir que os seus níveis de cobre são mantidos num nível adequa</w:t>
      </w:r>
      <w:r w:rsidRPr="00CD1283">
        <w:t xml:space="preserve">do para o crescimento e desenvolvimento mental normais. </w:t>
      </w:r>
    </w:p>
    <w:p w14:paraId="4159CBB4" w14:textId="77777777" w:rsidR="00E20FC3" w:rsidRPr="00CD1283" w:rsidRDefault="00C35B70" w:rsidP="00E20FC3">
      <w:pPr>
        <w:rPr>
          <w:noProof/>
          <w:szCs w:val="22"/>
        </w:rPr>
      </w:pPr>
      <w:r w:rsidRPr="00CD1283">
        <w:t>Este medicamento não é recomendado em crianças com menos de 5 anos de idade.</w:t>
      </w:r>
    </w:p>
    <w:p w14:paraId="4159CBB5" w14:textId="77777777" w:rsidR="00E20FC3" w:rsidRPr="00CD1283" w:rsidRDefault="00E20FC3" w:rsidP="00E20FC3">
      <w:pPr>
        <w:rPr>
          <w:noProof/>
          <w:szCs w:val="22"/>
          <w:highlight w:val="yellow"/>
        </w:rPr>
      </w:pPr>
    </w:p>
    <w:p w14:paraId="4159CBB6" w14:textId="77777777" w:rsidR="00E20FC3" w:rsidRPr="00CD1283" w:rsidRDefault="00C35B70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szCs w:val="22"/>
        </w:rPr>
      </w:pPr>
      <w:r w:rsidRPr="00CD1283">
        <w:rPr>
          <w:b/>
        </w:rPr>
        <w:t>Outros medicamentos e Cuprior</w:t>
      </w:r>
    </w:p>
    <w:p w14:paraId="4159CBB7" w14:textId="77777777" w:rsidR="00E20FC3" w:rsidRPr="00CD1283" w:rsidRDefault="00C35B70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CD1283">
        <w:t>Informe o seu médico se estiver a tomar, tiver tomado recentemente, ou se vier a tomar outr</w:t>
      </w:r>
      <w:r w:rsidRPr="00CD1283">
        <w:t xml:space="preserve">os medicamentos. </w:t>
      </w:r>
    </w:p>
    <w:p w14:paraId="4159CBB8" w14:textId="77777777" w:rsidR="00E20FC3" w:rsidRPr="00CD1283" w:rsidRDefault="00E20FC3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4159CBB9" w14:textId="77777777" w:rsidR="00E20FC3" w:rsidRPr="00CD1283" w:rsidRDefault="00C35B70" w:rsidP="00E20FC3">
      <w:pPr>
        <w:rPr>
          <w:noProof/>
          <w:szCs w:val="22"/>
        </w:rPr>
      </w:pPr>
      <w:r w:rsidRPr="00CD1283">
        <w:t xml:space="preserve">Mais especificamente, deve informar o seu médico se já está a tomar suplementos de ferro ou se toma medicamentos para a indigestão (medicamentos que reduzem o desconforto depois de comer). Se toma estes medicamentos, poderá ter de tomar </w:t>
      </w:r>
      <w:r w:rsidRPr="00CD1283">
        <w:t>Cuprior num momento diferente do dia, pois, caso contrário, Cuprior pode não ser tão eficaz. Se toma suplementos de ferro, certifique-se de que passaram, pelo menos, duas horas entre a toma de Cuprior e a toma dos seus suplementos de ferro.</w:t>
      </w:r>
    </w:p>
    <w:p w14:paraId="4159CBBA" w14:textId="77777777" w:rsidR="00E20FC3" w:rsidRPr="00CD1283" w:rsidRDefault="00E20FC3" w:rsidP="00E20FC3">
      <w:pPr>
        <w:rPr>
          <w:noProof/>
          <w:szCs w:val="22"/>
        </w:rPr>
      </w:pPr>
    </w:p>
    <w:p w14:paraId="4159CBBB" w14:textId="77777777" w:rsidR="00E20FC3" w:rsidRPr="00CD1283" w:rsidRDefault="00C35B70" w:rsidP="00E20FC3">
      <w:pPr>
        <w:numPr>
          <w:ilvl w:val="12"/>
          <w:numId w:val="0"/>
        </w:numPr>
        <w:tabs>
          <w:tab w:val="clear" w:pos="567"/>
        </w:tabs>
        <w:spacing w:line="240" w:lineRule="auto"/>
        <w:rPr>
          <w:b/>
          <w:szCs w:val="22"/>
        </w:rPr>
      </w:pPr>
      <w:r w:rsidRPr="00CD1283">
        <w:rPr>
          <w:b/>
        </w:rPr>
        <w:t>Gravidez e ama</w:t>
      </w:r>
      <w:r w:rsidRPr="00CD1283">
        <w:rPr>
          <w:b/>
        </w:rPr>
        <w:t xml:space="preserve">mentação </w:t>
      </w:r>
    </w:p>
    <w:p w14:paraId="4159CBBC" w14:textId="77777777" w:rsidR="00E20FC3" w:rsidRPr="00CD1283" w:rsidRDefault="00C35B70" w:rsidP="00E20FC3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  <w:r w:rsidRPr="00CD1283">
        <w:t xml:space="preserve">Se está grávida ou a amamentar, se pensa estar grávida ou planeia engravidar, consulte o seu médico antes de receber o tratamento. </w:t>
      </w:r>
    </w:p>
    <w:p w14:paraId="4159CBBD" w14:textId="77777777" w:rsidR="00E20FC3" w:rsidRPr="00CD1283" w:rsidRDefault="00E20FC3" w:rsidP="00E20FC3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</w:p>
    <w:p w14:paraId="4159CBBE" w14:textId="77777777" w:rsidR="00E20FC3" w:rsidRPr="00CD1283" w:rsidRDefault="00C35B70" w:rsidP="00E20FC3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  <w:r w:rsidRPr="00CD1283">
        <w:t>É muito importante continuar o tratamento para reduzir o cobre durante a gravidez. Deve discutir aprofundadamente</w:t>
      </w:r>
      <w:r w:rsidRPr="00CD1283">
        <w:t xml:space="preserve"> com o seu médico acerca dos benefícios potenciais do tratamento, considerando igualmente todos os possíveis riscos que possam existir. O seu médico irá informá-la do melhor tratamento e dose para a sua situação.</w:t>
      </w:r>
    </w:p>
    <w:p w14:paraId="4159CBBF" w14:textId="77777777" w:rsidR="00E20FC3" w:rsidRPr="00CD1283" w:rsidRDefault="00E20FC3" w:rsidP="00E20FC3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4159CBC0" w14:textId="77777777" w:rsidR="00E20FC3" w:rsidRPr="00CD1283" w:rsidRDefault="00C35B70" w:rsidP="00E20FC3">
      <w:pPr>
        <w:rPr>
          <w:noProof/>
          <w:szCs w:val="22"/>
        </w:rPr>
      </w:pPr>
      <w:r w:rsidRPr="00CD1283">
        <w:t>Se está grávida e toma Cuprior, será monit</w:t>
      </w:r>
      <w:r w:rsidRPr="00CD1283">
        <w:t xml:space="preserve">orizada durante toda a gravidez para detetar quaisquer efeitos no bebé ou mudanças nos seus níveis de cobre. Quando o bebé nascer, o nível de cobre no sangue do bebé também será monitorizado. </w:t>
      </w:r>
    </w:p>
    <w:p w14:paraId="4159CBC1" w14:textId="77777777" w:rsidR="00E20FC3" w:rsidRPr="00CD1283" w:rsidRDefault="00E20FC3" w:rsidP="00E20FC3">
      <w:pPr>
        <w:rPr>
          <w:noProof/>
          <w:szCs w:val="22"/>
        </w:rPr>
      </w:pPr>
    </w:p>
    <w:p w14:paraId="4159CBC2" w14:textId="77777777" w:rsidR="00E20FC3" w:rsidRPr="00CD1283" w:rsidRDefault="00C35B70" w:rsidP="00E20FC3">
      <w:pPr>
        <w:rPr>
          <w:noProof/>
          <w:szCs w:val="22"/>
        </w:rPr>
      </w:pPr>
      <w:r w:rsidRPr="00CD1283">
        <w:t>Ainda não se sabe se Cuprior passa para o leite materno. É imp</w:t>
      </w:r>
      <w:r w:rsidRPr="00CD1283">
        <w:t>ortante informar o seu médico se está a amamentar ou planeia fazê-lo. O seu médico irá então ajudá-la a decidir se deve parar de amamentar ou parar de tomar Cuprior, considerando o benefício da amamentação para o bebé e o benefício de Cuprior para a mãe. O</w:t>
      </w:r>
      <w:r w:rsidRPr="00CD1283">
        <w:t xml:space="preserve"> seu médico irá decidir qual o melhor tratamento e dose para a sua situação.</w:t>
      </w:r>
    </w:p>
    <w:p w14:paraId="4159CBC3" w14:textId="77777777" w:rsidR="00E20FC3" w:rsidRPr="00CD1283" w:rsidRDefault="00E20FC3" w:rsidP="00E20FC3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4159CBC4" w14:textId="77777777" w:rsidR="00E20FC3" w:rsidRPr="00CD1283" w:rsidRDefault="00C35B70" w:rsidP="00E20FC3">
      <w:pPr>
        <w:keepNext/>
        <w:numPr>
          <w:ilvl w:val="12"/>
          <w:numId w:val="0"/>
        </w:numPr>
        <w:tabs>
          <w:tab w:val="clear" w:pos="567"/>
        </w:tabs>
        <w:spacing w:line="240" w:lineRule="auto"/>
        <w:rPr>
          <w:b/>
          <w:szCs w:val="22"/>
        </w:rPr>
      </w:pPr>
      <w:r w:rsidRPr="00CD1283">
        <w:rPr>
          <w:b/>
        </w:rPr>
        <w:lastRenderedPageBreak/>
        <w:t>Condução de veículos e utilização de máquinas</w:t>
      </w:r>
    </w:p>
    <w:p w14:paraId="4159CBC5" w14:textId="77777777" w:rsidR="00E20FC3" w:rsidRPr="00CD1283" w:rsidRDefault="00C35B70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CD1283">
        <w:t>Não se prevê que Cuprior afete a sua capacidade de condução de veículos ou utilização de ferramentas ou máquinas.</w:t>
      </w:r>
    </w:p>
    <w:p w14:paraId="4159CBC6" w14:textId="77777777" w:rsidR="00E20FC3" w:rsidRPr="00CD1283" w:rsidRDefault="00E20FC3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4159CBC7" w14:textId="77777777" w:rsidR="00E20FC3" w:rsidRPr="00CD1283" w:rsidRDefault="00E20FC3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4159CBC8" w14:textId="77777777" w:rsidR="00E20FC3" w:rsidRPr="00CD1283" w:rsidRDefault="00C35B70" w:rsidP="00E20FC3">
      <w:pPr>
        <w:pStyle w:val="ListParagraph"/>
        <w:numPr>
          <w:ilvl w:val="0"/>
          <w:numId w:val="33"/>
        </w:numPr>
        <w:tabs>
          <w:tab w:val="clear" w:pos="567"/>
        </w:tabs>
        <w:spacing w:line="240" w:lineRule="auto"/>
        <w:ind w:left="720"/>
        <w:outlineLvl w:val="0"/>
        <w:rPr>
          <w:b/>
          <w:noProof/>
          <w:szCs w:val="22"/>
        </w:rPr>
      </w:pPr>
      <w:r w:rsidRPr="00CD1283">
        <w:rPr>
          <w:b/>
          <w:noProof/>
        </w:rPr>
        <w:t xml:space="preserve">Como tomar </w:t>
      </w:r>
      <w:r w:rsidRPr="00CD1283">
        <w:rPr>
          <w:b/>
          <w:noProof/>
        </w:rPr>
        <w:t>Cuprior</w:t>
      </w:r>
    </w:p>
    <w:p w14:paraId="4159CBC9" w14:textId="77777777" w:rsidR="00E20FC3" w:rsidRPr="00CD1283" w:rsidRDefault="00E20FC3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4159CBCA" w14:textId="77777777" w:rsidR="00E20FC3" w:rsidRPr="00CD1283" w:rsidRDefault="00C35B70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CD1283">
        <w:t xml:space="preserve">Tome este medicamento exatamente como indicado pelo seu médico ou farmacêutico. Fale com o seu médico ou farmacêutico se tiver dúvidas. </w:t>
      </w:r>
    </w:p>
    <w:p w14:paraId="4159CBCB" w14:textId="77777777" w:rsidR="00E20FC3" w:rsidRPr="00CD1283" w:rsidRDefault="00E20FC3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4159CBCC" w14:textId="0C3DB23D" w:rsidR="00E20FC3" w:rsidRPr="00CD1283" w:rsidRDefault="00C35B70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CD1283">
        <w:t>Em adultos de todas as idades, a dose diária total recomendada é de 3 a 6½ comprimidos por dia (perfazendo um</w:t>
      </w:r>
      <w:r w:rsidRPr="00CD1283">
        <w:t xml:space="preserve"> total entre 450 e 975 mg). Este total diário será dividido em 2 a 4 doses mais pequenas a serem tomadas durante o dia. O seu médico irá dizer-lhe quantos comprimidos deve tomar e com que frequência durante o dia. Os comprimidos podem ser divididos pela me</w:t>
      </w:r>
      <w:r w:rsidRPr="00CD1283">
        <w:t>tade, se necessário.</w:t>
      </w:r>
    </w:p>
    <w:p w14:paraId="4159CBCD" w14:textId="77777777" w:rsidR="00E20FC3" w:rsidRPr="00CD1283" w:rsidRDefault="00E20FC3" w:rsidP="00E20FC3">
      <w:pPr>
        <w:rPr>
          <w:noProof/>
          <w:szCs w:val="22"/>
        </w:rPr>
      </w:pPr>
    </w:p>
    <w:p w14:paraId="4159CBCE" w14:textId="77777777" w:rsidR="00E20FC3" w:rsidRPr="00CD1283" w:rsidRDefault="00C35B70" w:rsidP="00E20FC3">
      <w:pPr>
        <w:keepNext/>
        <w:autoSpaceDE w:val="0"/>
        <w:autoSpaceDN w:val="0"/>
        <w:adjustRightInd w:val="0"/>
        <w:spacing w:line="240" w:lineRule="auto"/>
        <w:rPr>
          <w:b/>
          <w:bCs/>
          <w:szCs w:val="22"/>
        </w:rPr>
      </w:pPr>
      <w:r w:rsidRPr="00CD1283">
        <w:rPr>
          <w:b/>
        </w:rPr>
        <w:t>Utilização em crianças e adolescentes</w:t>
      </w:r>
    </w:p>
    <w:p w14:paraId="4159CBCF" w14:textId="77777777" w:rsidR="00E20FC3" w:rsidRPr="00CD1283" w:rsidRDefault="00C35B70" w:rsidP="00E20FC3">
      <w:pPr>
        <w:rPr>
          <w:noProof/>
          <w:szCs w:val="22"/>
        </w:rPr>
      </w:pPr>
      <w:r w:rsidRPr="00CD1283">
        <w:t xml:space="preserve">A dose a tomar é geralmente mais pequena do que para um adulto e depende da idade e peso corporal. </w:t>
      </w:r>
    </w:p>
    <w:p w14:paraId="4159CBD0" w14:textId="29CFF9BF" w:rsidR="00E20FC3" w:rsidRPr="00CD1283" w:rsidRDefault="00C35B70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CD1283">
        <w:t>A dose diária total habitual varia entre 225 e 600 mg (1½ a 4 comprimidos por dia), que serão di</w:t>
      </w:r>
      <w:r w:rsidRPr="00CD1283">
        <w:t>vididos em 2 a 4 doses mais pequenas a tomar durante o dia. O seu médico irá dizer-lhe quantos comprimidos deve tomar e com que frequência durante o dia.</w:t>
      </w:r>
    </w:p>
    <w:p w14:paraId="4159CBD1" w14:textId="77777777" w:rsidR="00E20FC3" w:rsidRPr="00CD1283" w:rsidRDefault="00E20FC3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4159CBD2" w14:textId="77777777" w:rsidR="00E20FC3" w:rsidRPr="00CD1283" w:rsidRDefault="00C35B70" w:rsidP="00E20FC3">
      <w:pPr>
        <w:rPr>
          <w:noProof/>
          <w:szCs w:val="22"/>
        </w:rPr>
      </w:pPr>
      <w:r w:rsidRPr="00CD1283">
        <w:t>Depois de iniciar o tratamento, o seu médico poderá ajustar a dose com base na resposta ao tratamento</w:t>
      </w:r>
      <w:r w:rsidRPr="00CD1283">
        <w:t>.</w:t>
      </w:r>
    </w:p>
    <w:p w14:paraId="4159CBD3" w14:textId="77777777" w:rsidR="00E20FC3" w:rsidRPr="00CD1283" w:rsidRDefault="00E20FC3" w:rsidP="00E20FC3">
      <w:pPr>
        <w:rPr>
          <w:noProof/>
          <w:szCs w:val="22"/>
        </w:rPr>
      </w:pPr>
    </w:p>
    <w:p w14:paraId="4159CBD4" w14:textId="2AACDFFE" w:rsidR="00E20FC3" w:rsidRPr="00CD1283" w:rsidRDefault="00C35B70" w:rsidP="00E20FC3">
      <w:pPr>
        <w:rPr>
          <w:szCs w:val="22"/>
        </w:rPr>
      </w:pPr>
      <w:r w:rsidRPr="00CD1283">
        <w:t>Engula os comprimidos com água em jejum, pelo menos uma hora antes das refeições ou duas horas após as refeições e com, pelo menos, uma hora de intervalo relativamente a quaisquer outros medicamentos, alimentos ou leite.</w:t>
      </w:r>
    </w:p>
    <w:p w14:paraId="4159CBD5" w14:textId="77777777" w:rsidR="00E20FC3" w:rsidRPr="00CD1283" w:rsidRDefault="00E20FC3" w:rsidP="00E20FC3">
      <w:pPr>
        <w:rPr>
          <w:szCs w:val="22"/>
        </w:rPr>
      </w:pPr>
    </w:p>
    <w:p w14:paraId="4159CBD6" w14:textId="77777777" w:rsidR="00E20FC3" w:rsidRPr="00CD1283" w:rsidRDefault="00C35B70" w:rsidP="00E20FC3">
      <w:pPr>
        <w:rPr>
          <w:noProof/>
          <w:szCs w:val="22"/>
        </w:rPr>
      </w:pPr>
      <w:r w:rsidRPr="00CD1283">
        <w:t xml:space="preserve">Se tomar suplementos de ferro, </w:t>
      </w:r>
      <w:r w:rsidRPr="00CD1283">
        <w:t>tome-os, pelo menos, duas horas depois de tomar uma dose de Cuprior.</w:t>
      </w:r>
    </w:p>
    <w:p w14:paraId="4159CBD7" w14:textId="77777777" w:rsidR="00E20FC3" w:rsidRPr="00CD1283" w:rsidRDefault="00E20FC3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4159CBD8" w14:textId="77777777" w:rsidR="00E20FC3" w:rsidRPr="00CD1283" w:rsidRDefault="00C35B70" w:rsidP="00E20FC3">
      <w:pPr>
        <w:rPr>
          <w:b/>
          <w:szCs w:val="22"/>
        </w:rPr>
      </w:pPr>
      <w:r w:rsidRPr="00CD1283">
        <w:rPr>
          <w:b/>
        </w:rPr>
        <w:t>Se tomar mais Cuprior do que deveria</w:t>
      </w:r>
    </w:p>
    <w:p w14:paraId="4159CBD9" w14:textId="77777777" w:rsidR="00E20FC3" w:rsidRPr="00CD1283" w:rsidRDefault="00C35B70" w:rsidP="00E20FC3">
      <w:pPr>
        <w:rPr>
          <w:szCs w:val="22"/>
        </w:rPr>
      </w:pPr>
      <w:r w:rsidRPr="00CD1283">
        <w:t xml:space="preserve">Tome Cuprior apenas conforme lhe foi prescrito. Se pensa que pode ter tomado mais Cuprior do que lhe foi indicado, contacte o seu médico ou </w:t>
      </w:r>
      <w:r w:rsidRPr="00CD1283">
        <w:t>farmacêutico.</w:t>
      </w:r>
    </w:p>
    <w:p w14:paraId="4159CBDA" w14:textId="77777777" w:rsidR="00E20FC3" w:rsidRPr="00CD1283" w:rsidRDefault="00E20FC3" w:rsidP="00E20FC3">
      <w:pPr>
        <w:rPr>
          <w:noProof/>
          <w:szCs w:val="22"/>
        </w:rPr>
      </w:pPr>
    </w:p>
    <w:p w14:paraId="4159CBDB" w14:textId="77777777" w:rsidR="00E20FC3" w:rsidRPr="00CD1283" w:rsidRDefault="00C35B70" w:rsidP="00E20FC3">
      <w:pPr>
        <w:rPr>
          <w:b/>
          <w:szCs w:val="22"/>
        </w:rPr>
      </w:pPr>
      <w:r w:rsidRPr="00CD1283">
        <w:rPr>
          <w:b/>
        </w:rPr>
        <w:t>Caso se tenha esquecido de tomar Cuprior</w:t>
      </w:r>
    </w:p>
    <w:p w14:paraId="4159CBDC" w14:textId="77777777" w:rsidR="00E20FC3" w:rsidRPr="00CD1283" w:rsidRDefault="00C35B70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CD1283">
        <w:t>Não tome uma dose a dobrar para compensar uma dose que se esqueceu de tomar. Basta tomar a próxima dose à hora habitual.</w:t>
      </w:r>
    </w:p>
    <w:p w14:paraId="4159CBDD" w14:textId="77777777" w:rsidR="00E20FC3" w:rsidRPr="00CD1283" w:rsidRDefault="00E20FC3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</w:p>
    <w:p w14:paraId="4159CBDE" w14:textId="77777777" w:rsidR="00E20FC3" w:rsidRPr="00CD1283" w:rsidRDefault="00C35B70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szCs w:val="22"/>
        </w:rPr>
      </w:pPr>
      <w:r w:rsidRPr="00CD1283">
        <w:t xml:space="preserve">Caso ainda tenha dúvidas sobre a utilização deste medicamento, fale com o </w:t>
      </w:r>
      <w:r w:rsidRPr="00CD1283">
        <w:t>seu médico ou farmacêutico.</w:t>
      </w:r>
    </w:p>
    <w:p w14:paraId="4159CBDF" w14:textId="77777777" w:rsidR="00E20FC3" w:rsidRPr="00CD1283" w:rsidRDefault="00E20FC3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4159CBE0" w14:textId="77777777" w:rsidR="00E20FC3" w:rsidRPr="00CD1283" w:rsidRDefault="00C35B70" w:rsidP="00E20FC3">
      <w:pPr>
        <w:rPr>
          <w:b/>
          <w:szCs w:val="22"/>
        </w:rPr>
      </w:pPr>
      <w:r w:rsidRPr="00CD1283">
        <w:rPr>
          <w:b/>
        </w:rPr>
        <w:t>Se parar de tomar Cuprior</w:t>
      </w:r>
    </w:p>
    <w:p w14:paraId="4159CBE1" w14:textId="77777777" w:rsidR="00E20FC3" w:rsidRPr="00CD1283" w:rsidRDefault="00C35B70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CD1283">
        <w:t>Este medicamento é para utilização prolongada. Não pare o tratamento sem a indicação do seu médico, mesmo que se sinta melhor, pois a doença de Wilson é uma doença para toda a vida.</w:t>
      </w:r>
    </w:p>
    <w:p w14:paraId="4159CBE2" w14:textId="77777777" w:rsidR="00E20FC3" w:rsidRPr="00CD1283" w:rsidRDefault="00E20FC3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noProof/>
          <w:szCs w:val="22"/>
          <w:highlight w:val="yellow"/>
        </w:rPr>
      </w:pPr>
    </w:p>
    <w:p w14:paraId="4159CBE3" w14:textId="77777777" w:rsidR="00E20FC3" w:rsidRPr="00CD1283" w:rsidRDefault="00C35B70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szCs w:val="22"/>
        </w:rPr>
      </w:pPr>
      <w:r w:rsidRPr="00CD1283">
        <w:t>Caso ainda tenha d</w:t>
      </w:r>
      <w:r w:rsidRPr="00CD1283">
        <w:t>úvidas sobre a utilização deste medicamento, fale com o seu médico ou farmacêutico.</w:t>
      </w:r>
    </w:p>
    <w:p w14:paraId="4159CBE4" w14:textId="77777777" w:rsidR="00E20FC3" w:rsidRPr="00CD1283" w:rsidRDefault="00E20FC3" w:rsidP="00E20FC3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</w:p>
    <w:p w14:paraId="4159CBE5" w14:textId="77777777" w:rsidR="00E20FC3" w:rsidRPr="00CD1283" w:rsidRDefault="00E20FC3" w:rsidP="00E20FC3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</w:p>
    <w:p w14:paraId="4159CBE6" w14:textId="77777777" w:rsidR="00E20FC3" w:rsidRPr="00CD1283" w:rsidRDefault="00C35B70" w:rsidP="00E20FC3">
      <w:pPr>
        <w:pStyle w:val="ListParagraph"/>
        <w:numPr>
          <w:ilvl w:val="0"/>
          <w:numId w:val="33"/>
        </w:numPr>
        <w:tabs>
          <w:tab w:val="clear" w:pos="567"/>
        </w:tabs>
        <w:spacing w:line="240" w:lineRule="auto"/>
        <w:ind w:left="720"/>
        <w:outlineLvl w:val="0"/>
        <w:rPr>
          <w:b/>
          <w:noProof/>
          <w:szCs w:val="22"/>
        </w:rPr>
      </w:pPr>
      <w:r w:rsidRPr="00CD1283">
        <w:rPr>
          <w:b/>
          <w:noProof/>
        </w:rPr>
        <w:t>Efeitos secundários possíveis</w:t>
      </w:r>
    </w:p>
    <w:p w14:paraId="4159CBE7" w14:textId="77777777" w:rsidR="00E20FC3" w:rsidRPr="00CD1283" w:rsidRDefault="00E20FC3" w:rsidP="00E20FC3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</w:p>
    <w:p w14:paraId="4159CBE8" w14:textId="77777777" w:rsidR="00E20FC3" w:rsidRPr="00CD1283" w:rsidRDefault="00C35B70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CD1283">
        <w:t>Como todos os medicamentos, este medicamento pode causar efeitos secundários, embora estes não se manifestem em todas as pessoas.</w:t>
      </w:r>
    </w:p>
    <w:p w14:paraId="4159CBE9" w14:textId="77777777" w:rsidR="00E20FC3" w:rsidRPr="00CD1283" w:rsidRDefault="00E20FC3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</w:p>
    <w:p w14:paraId="4159CBEA" w14:textId="77777777" w:rsidR="00E20FC3" w:rsidRPr="00CD1283" w:rsidRDefault="00C35B70" w:rsidP="00E20FC3">
      <w:pPr>
        <w:keepNext/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CD1283">
        <w:lastRenderedPageBreak/>
        <w:t>Foram co</w:t>
      </w:r>
      <w:r w:rsidRPr="00CD1283">
        <w:t>municados os seguintes efeitos secundários:</w:t>
      </w:r>
    </w:p>
    <w:p w14:paraId="4159CBEB" w14:textId="77777777" w:rsidR="00E20FC3" w:rsidRPr="00CD1283" w:rsidRDefault="00E20FC3" w:rsidP="00E20FC3">
      <w:pPr>
        <w:keepNext/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</w:p>
    <w:p w14:paraId="4159CBEC" w14:textId="77777777" w:rsidR="00E20FC3" w:rsidRPr="00CD1283" w:rsidRDefault="00C35B70" w:rsidP="00E20FC3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i/>
          <w:noProof/>
          <w:szCs w:val="22"/>
        </w:rPr>
      </w:pPr>
      <w:r w:rsidRPr="00CD1283">
        <w:rPr>
          <w:i/>
          <w:noProof/>
        </w:rPr>
        <w:t>Frequentes (podem afetar até 1 em cada 10 pessoas)</w:t>
      </w:r>
    </w:p>
    <w:p w14:paraId="4159CBED" w14:textId="77777777" w:rsidR="00E20FC3" w:rsidRPr="00CD1283" w:rsidRDefault="00C35B70" w:rsidP="00E20FC3">
      <w:pPr>
        <w:numPr>
          <w:ilvl w:val="0"/>
          <w:numId w:val="15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CD1283">
        <w:t xml:space="preserve">enjoos (náuseas) </w:t>
      </w:r>
    </w:p>
    <w:p w14:paraId="4159CBEE" w14:textId="77777777" w:rsidR="00E20FC3" w:rsidRPr="00CD1283" w:rsidRDefault="00E20FC3" w:rsidP="00E20FC3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i/>
          <w:noProof/>
          <w:szCs w:val="22"/>
        </w:rPr>
      </w:pPr>
    </w:p>
    <w:p w14:paraId="4159CBEF" w14:textId="77777777" w:rsidR="00E20FC3" w:rsidRPr="00CD1283" w:rsidRDefault="00C35B70" w:rsidP="00E20FC3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i/>
          <w:noProof/>
          <w:szCs w:val="22"/>
        </w:rPr>
      </w:pPr>
      <w:r w:rsidRPr="00CD1283">
        <w:rPr>
          <w:i/>
          <w:noProof/>
        </w:rPr>
        <w:t>Pouco frequentes (podem afetar até 1 em cada 100 pessoas)</w:t>
      </w:r>
    </w:p>
    <w:p w14:paraId="4159CBF0" w14:textId="77777777" w:rsidR="00E20FC3" w:rsidRPr="00CD1283" w:rsidRDefault="00C35B70" w:rsidP="00E20FC3">
      <w:pPr>
        <w:numPr>
          <w:ilvl w:val="0"/>
          <w:numId w:val="15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CD1283">
        <w:t>erupções na pele</w:t>
      </w:r>
    </w:p>
    <w:p w14:paraId="4159CBF1" w14:textId="204E0759" w:rsidR="00E20FC3" w:rsidRPr="007B7AD4" w:rsidRDefault="00C35B70" w:rsidP="00E20FC3">
      <w:pPr>
        <w:numPr>
          <w:ilvl w:val="0"/>
          <w:numId w:val="15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CD1283">
        <w:t>comichão</w:t>
      </w:r>
    </w:p>
    <w:p w14:paraId="6C7C94CE" w14:textId="12468FBF" w:rsidR="007B7AD4" w:rsidRPr="00CD1283" w:rsidRDefault="00C35B70" w:rsidP="00E20FC3">
      <w:pPr>
        <w:numPr>
          <w:ilvl w:val="0"/>
          <w:numId w:val="15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7B7AD4">
        <w:rPr>
          <w:noProof/>
          <w:szCs w:val="22"/>
        </w:rPr>
        <w:t>anemia</w:t>
      </w:r>
    </w:p>
    <w:p w14:paraId="4159CBF2" w14:textId="77777777" w:rsidR="00E20FC3" w:rsidRPr="00CD1283" w:rsidRDefault="00E20FC3" w:rsidP="00E20FC3">
      <w:pPr>
        <w:tabs>
          <w:tab w:val="clear" w:pos="567"/>
        </w:tabs>
        <w:spacing w:line="240" w:lineRule="auto"/>
        <w:ind w:left="360" w:right="-29"/>
        <w:rPr>
          <w:noProof/>
          <w:szCs w:val="22"/>
        </w:rPr>
      </w:pPr>
    </w:p>
    <w:p w14:paraId="4159CBF3" w14:textId="77777777" w:rsidR="00E20FC3" w:rsidRPr="00CD1283" w:rsidRDefault="00C35B70" w:rsidP="00E20FC3">
      <w:pPr>
        <w:tabs>
          <w:tab w:val="clear" w:pos="567"/>
        </w:tabs>
        <w:spacing w:line="240" w:lineRule="auto"/>
        <w:ind w:right="-29"/>
        <w:rPr>
          <w:i/>
          <w:noProof/>
          <w:szCs w:val="22"/>
        </w:rPr>
      </w:pPr>
      <w:r w:rsidRPr="00CD1283">
        <w:rPr>
          <w:i/>
          <w:noProof/>
        </w:rPr>
        <w:t xml:space="preserve">Desconhecida (não pode ser calculada a </w:t>
      </w:r>
      <w:r w:rsidRPr="00CD1283">
        <w:rPr>
          <w:i/>
          <w:noProof/>
        </w:rPr>
        <w:t>partir dos dados disponíveis)</w:t>
      </w:r>
    </w:p>
    <w:p w14:paraId="4159CBF4" w14:textId="77777777" w:rsidR="00E20FC3" w:rsidRPr="00CD1283" w:rsidRDefault="00C35B70" w:rsidP="00E20FC3">
      <w:pPr>
        <w:numPr>
          <w:ilvl w:val="0"/>
          <w:numId w:val="15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CD1283">
        <w:t xml:space="preserve">problemas de estômago e desconforto, incluindo dores graves no abdómen (duodenite) </w:t>
      </w:r>
    </w:p>
    <w:p w14:paraId="4159CBF5" w14:textId="77777777" w:rsidR="00E20FC3" w:rsidRPr="00CD1283" w:rsidRDefault="00C35B70" w:rsidP="00E20FC3">
      <w:pPr>
        <w:numPr>
          <w:ilvl w:val="0"/>
          <w:numId w:val="15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CD1283">
        <w:t>inflamação do intestino que pode originar, por exemplo, dor abdominal, diarreia recorrente e sangue nas fezes (colite)</w:t>
      </w:r>
    </w:p>
    <w:p w14:paraId="4159CBF6" w14:textId="32587895" w:rsidR="00E20FC3" w:rsidRPr="00CD1283" w:rsidRDefault="00C35B70" w:rsidP="00E20FC3">
      <w:pPr>
        <w:numPr>
          <w:ilvl w:val="0"/>
          <w:numId w:val="15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CD1283">
        <w:t xml:space="preserve">diminuição do </w:t>
      </w:r>
      <w:r w:rsidRPr="00CD1283">
        <w:t>número de glóbulos vermelhos devido ao baixo nível de ferro no sangue (</w:t>
      </w:r>
      <w:r w:rsidR="007B7AD4" w:rsidRPr="007B7AD4">
        <w:t>falta de ferro</w:t>
      </w:r>
      <w:r w:rsidRPr="00CD1283">
        <w:t xml:space="preserve">) </w:t>
      </w:r>
    </w:p>
    <w:p w14:paraId="4159CBF7" w14:textId="77777777" w:rsidR="00E20FC3" w:rsidRPr="00CD1283" w:rsidRDefault="00C35B70" w:rsidP="00E20FC3">
      <w:pPr>
        <w:numPr>
          <w:ilvl w:val="0"/>
          <w:numId w:val="15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CD1283">
        <w:t>urticária ou erupções cutâneas</w:t>
      </w:r>
    </w:p>
    <w:p w14:paraId="4159CBF8" w14:textId="77777777" w:rsidR="00E20FC3" w:rsidRPr="00CD1283" w:rsidRDefault="00E20FC3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szCs w:val="22"/>
        </w:rPr>
      </w:pPr>
    </w:p>
    <w:p w14:paraId="4159CBF9" w14:textId="77777777" w:rsidR="00E20FC3" w:rsidRPr="00CD1283" w:rsidRDefault="00C35B70" w:rsidP="00E20FC3">
      <w:pPr>
        <w:rPr>
          <w:b/>
          <w:szCs w:val="22"/>
        </w:rPr>
      </w:pPr>
      <w:r w:rsidRPr="00CD1283">
        <w:rPr>
          <w:b/>
        </w:rPr>
        <w:t>Comunicação de efeitos secundários</w:t>
      </w:r>
    </w:p>
    <w:p w14:paraId="4159CBFA" w14:textId="77777777" w:rsidR="00E20FC3" w:rsidRPr="00CD1283" w:rsidRDefault="00C35B70" w:rsidP="00E20FC3">
      <w:pPr>
        <w:pStyle w:val="BodytextAgency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CD1283">
        <w:rPr>
          <w:rFonts w:ascii="Times New Roman" w:hAnsi="Times New Roman" w:cs="Times New Roman"/>
          <w:noProof/>
          <w:sz w:val="22"/>
        </w:rPr>
        <w:t>Se tiver quaisquer efeitos secundários, incluindo possíveis efeitos secundários não indicados neste f</w:t>
      </w:r>
      <w:r w:rsidRPr="00CD1283">
        <w:rPr>
          <w:rFonts w:ascii="Times New Roman" w:hAnsi="Times New Roman" w:cs="Times New Roman"/>
          <w:noProof/>
          <w:sz w:val="22"/>
        </w:rPr>
        <w:t>olheto,</w:t>
      </w:r>
      <w:r w:rsidRPr="00CD1283">
        <w:rPr>
          <w:rFonts w:ascii="Times New Roman" w:hAnsi="Times New Roman" w:cs="Times New Roman"/>
          <w:color w:val="FF0000"/>
          <w:sz w:val="22"/>
        </w:rPr>
        <w:t xml:space="preserve"> </w:t>
      </w:r>
      <w:r w:rsidRPr="00CD1283">
        <w:rPr>
          <w:rFonts w:ascii="Times New Roman" w:hAnsi="Times New Roman" w:cs="Times New Roman"/>
          <w:noProof/>
          <w:sz w:val="22"/>
        </w:rPr>
        <w:t xml:space="preserve">fale com o seu médico ou farmacêutico. Também poderá comunicar efeitos secundários diretamente através do </w:t>
      </w:r>
      <w:r w:rsidRPr="00CD1283">
        <w:rPr>
          <w:rFonts w:ascii="Times New Roman" w:hAnsi="Times New Roman" w:cs="Times New Roman"/>
          <w:sz w:val="22"/>
          <w:highlight w:val="lightGray"/>
        </w:rPr>
        <w:t>sistema nacional de notificação mencionado no</w:t>
      </w:r>
      <w:r w:rsidRPr="00CD1283">
        <w:rPr>
          <w:rFonts w:ascii="Times New Roman" w:hAnsi="Times New Roman" w:cs="Times New Roman"/>
          <w:noProof/>
          <w:sz w:val="22"/>
        </w:rPr>
        <w:t xml:space="preserve"> </w:t>
      </w:r>
      <w:hyperlink r:id="rId15" w:history="1">
        <w:r w:rsidRPr="00CD1283">
          <w:rPr>
            <w:rStyle w:val="Hyperlink"/>
            <w:rFonts w:ascii="Times New Roman" w:hAnsi="Times New Roman" w:cs="Times New Roman"/>
            <w:sz w:val="22"/>
            <w:highlight w:val="lightGray"/>
          </w:rPr>
          <w:t>Apêndice V</w:t>
        </w:r>
      </w:hyperlink>
      <w:r w:rsidRPr="00CD1283">
        <w:rPr>
          <w:rFonts w:ascii="Times New Roman" w:hAnsi="Times New Roman" w:cs="Times New Roman"/>
          <w:sz w:val="22"/>
        </w:rPr>
        <w:t>. Ao comunicar efeitos secundários, estará a ajudar a fornecer mais informações sobre a segurança deste medicamento.</w:t>
      </w:r>
    </w:p>
    <w:p w14:paraId="4159CBFB" w14:textId="77777777" w:rsidR="00E20FC3" w:rsidRPr="00CD1283" w:rsidRDefault="00E20FC3" w:rsidP="00E20FC3">
      <w:pPr>
        <w:autoSpaceDE w:val="0"/>
        <w:autoSpaceDN w:val="0"/>
        <w:adjustRightInd w:val="0"/>
        <w:spacing w:line="240" w:lineRule="auto"/>
        <w:rPr>
          <w:szCs w:val="22"/>
        </w:rPr>
      </w:pPr>
    </w:p>
    <w:p w14:paraId="4159CBFC" w14:textId="77777777" w:rsidR="00E20FC3" w:rsidRPr="00CD1283" w:rsidRDefault="00E20FC3" w:rsidP="00E20FC3">
      <w:pPr>
        <w:autoSpaceDE w:val="0"/>
        <w:autoSpaceDN w:val="0"/>
        <w:adjustRightInd w:val="0"/>
        <w:spacing w:line="240" w:lineRule="auto"/>
        <w:rPr>
          <w:szCs w:val="22"/>
        </w:rPr>
      </w:pPr>
    </w:p>
    <w:p w14:paraId="4159CBFD" w14:textId="77777777" w:rsidR="00E20FC3" w:rsidRPr="00CD1283" w:rsidRDefault="00C35B70" w:rsidP="00E20FC3">
      <w:pPr>
        <w:pStyle w:val="ListParagraph"/>
        <w:numPr>
          <w:ilvl w:val="0"/>
          <w:numId w:val="33"/>
        </w:numPr>
        <w:tabs>
          <w:tab w:val="clear" w:pos="567"/>
        </w:tabs>
        <w:spacing w:line="240" w:lineRule="auto"/>
        <w:ind w:left="720"/>
        <w:outlineLvl w:val="0"/>
        <w:rPr>
          <w:b/>
          <w:noProof/>
          <w:szCs w:val="22"/>
        </w:rPr>
      </w:pPr>
      <w:r w:rsidRPr="00CD1283">
        <w:rPr>
          <w:b/>
          <w:noProof/>
        </w:rPr>
        <w:t>Como conservar Cuprior</w:t>
      </w:r>
    </w:p>
    <w:p w14:paraId="4159CBFE" w14:textId="77777777" w:rsidR="00E20FC3" w:rsidRPr="00CD1283" w:rsidRDefault="00E20FC3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4159CBFF" w14:textId="77777777" w:rsidR="00E20FC3" w:rsidRPr="00CD1283" w:rsidRDefault="00C35B70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CD1283">
        <w:t>Manter este medicamento fora da vista e do alcance das crianças.</w:t>
      </w:r>
    </w:p>
    <w:p w14:paraId="4159CC00" w14:textId="77777777" w:rsidR="00E20FC3" w:rsidRPr="00CD1283" w:rsidRDefault="00E20FC3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4159CC01" w14:textId="77777777" w:rsidR="00E20FC3" w:rsidRPr="00CD1283" w:rsidRDefault="00C35B70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CD1283">
        <w:t xml:space="preserve">Não utilize este </w:t>
      </w:r>
      <w:r w:rsidRPr="00CD1283">
        <w:t>medicamento após o prazo de validade impresso na embalagem exterior e no blister, após VAL. O prazo de validade corresponde ao último dia do mês indicado.</w:t>
      </w:r>
    </w:p>
    <w:p w14:paraId="4159CC02" w14:textId="77777777" w:rsidR="00E20FC3" w:rsidRPr="00CD1283" w:rsidRDefault="00E20FC3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4159CC03" w14:textId="77777777" w:rsidR="00E20FC3" w:rsidRPr="00CD1283" w:rsidRDefault="00C35B70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CD1283">
        <w:t>O medicamento não necessita de quaisquer precauções especiais de conservação.</w:t>
      </w:r>
    </w:p>
    <w:p w14:paraId="4159CC04" w14:textId="77777777" w:rsidR="00E20FC3" w:rsidRPr="00CD1283" w:rsidRDefault="00E20FC3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4159CC05" w14:textId="77777777" w:rsidR="00E20FC3" w:rsidRPr="00CD1283" w:rsidRDefault="00C35B70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CD1283">
        <w:t>Não deite fora quaisq</w:t>
      </w:r>
      <w:r w:rsidRPr="00CD1283">
        <w:t>uer medicamentos na canalização ou no lixo doméstico. Pergunte ao seu farmacêutico como deitar fora os medicamentos que já não utiliza. Estas medidas ajudarão a proteger o ambiente.</w:t>
      </w:r>
    </w:p>
    <w:p w14:paraId="4159CC06" w14:textId="77777777" w:rsidR="00E20FC3" w:rsidRPr="00CD1283" w:rsidRDefault="00E20FC3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4159CC07" w14:textId="77777777" w:rsidR="00E20FC3" w:rsidRPr="00CD1283" w:rsidRDefault="00E20FC3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4159CC08" w14:textId="77777777" w:rsidR="00E20FC3" w:rsidRPr="00CD1283" w:rsidRDefault="00C35B70" w:rsidP="00E20FC3">
      <w:pPr>
        <w:pStyle w:val="ListParagraph"/>
        <w:numPr>
          <w:ilvl w:val="0"/>
          <w:numId w:val="33"/>
        </w:numPr>
        <w:tabs>
          <w:tab w:val="clear" w:pos="567"/>
        </w:tabs>
        <w:spacing w:line="240" w:lineRule="auto"/>
        <w:ind w:left="720"/>
        <w:outlineLvl w:val="0"/>
        <w:rPr>
          <w:b/>
          <w:noProof/>
          <w:szCs w:val="22"/>
        </w:rPr>
      </w:pPr>
      <w:r w:rsidRPr="00CD1283">
        <w:rPr>
          <w:b/>
          <w:noProof/>
        </w:rPr>
        <w:t>Conteúdo da embalagem e outras informações</w:t>
      </w:r>
    </w:p>
    <w:p w14:paraId="4159CC09" w14:textId="77777777" w:rsidR="00E20FC3" w:rsidRPr="00CD1283" w:rsidRDefault="00E20FC3" w:rsidP="00E20FC3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</w:p>
    <w:p w14:paraId="4159CC0A" w14:textId="77777777" w:rsidR="00E20FC3" w:rsidRPr="00CD1283" w:rsidRDefault="00C35B70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szCs w:val="22"/>
        </w:rPr>
      </w:pPr>
      <w:r w:rsidRPr="00CD1283">
        <w:rPr>
          <w:b/>
        </w:rPr>
        <w:t xml:space="preserve">Qual a composição de Cuprior </w:t>
      </w:r>
    </w:p>
    <w:p w14:paraId="4159CC0B" w14:textId="7B00CE8F" w:rsidR="00E20FC3" w:rsidRPr="00CD1283" w:rsidRDefault="00C35B70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CD1283">
        <w:t>A substância ativa é a trientina. Cada comprimido</w:t>
      </w:r>
      <w:r w:rsidR="007C56B0" w:rsidRPr="00CD1283">
        <w:t xml:space="preserve"> revestido por película</w:t>
      </w:r>
      <w:r w:rsidRPr="00CD1283">
        <w:t xml:space="preserve"> </w:t>
      </w:r>
      <w:r w:rsidR="00301C09" w:rsidRPr="00CD1283">
        <w:t xml:space="preserve">(comprimido) </w:t>
      </w:r>
      <w:r w:rsidRPr="00CD1283">
        <w:t xml:space="preserve">contém tetracloridrato de trientina, equivalente a 150 mg de trientina. </w:t>
      </w:r>
    </w:p>
    <w:p w14:paraId="4159CC0C" w14:textId="77777777" w:rsidR="007C56B0" w:rsidRPr="00CD1283" w:rsidRDefault="00C35B70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</w:pPr>
      <w:r w:rsidRPr="00CD1283">
        <w:t>Os outros componentes são:</w:t>
      </w:r>
    </w:p>
    <w:p w14:paraId="4159CC0D" w14:textId="77777777" w:rsidR="00E20FC3" w:rsidRPr="00CD1283" w:rsidRDefault="00C35B70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</w:pPr>
      <w:r w:rsidRPr="00CD1283">
        <w:t>Núcleo do comprimido:</w:t>
      </w:r>
      <w:r w:rsidR="00B9417E" w:rsidRPr="00CD1283">
        <w:t xml:space="preserve"> manitol, sílica coloidal anidra e dibehenato de glicerol.</w:t>
      </w:r>
    </w:p>
    <w:p w14:paraId="4159CC0E" w14:textId="77777777" w:rsidR="007C56B0" w:rsidRPr="00CD1283" w:rsidRDefault="00C35B70" w:rsidP="007C56B0">
      <w:pPr>
        <w:spacing w:line="240" w:lineRule="auto"/>
        <w:rPr>
          <w:noProof/>
          <w:szCs w:val="22"/>
        </w:rPr>
      </w:pPr>
      <w:r w:rsidRPr="00CD1283">
        <w:rPr>
          <w:noProof/>
          <w:szCs w:val="22"/>
        </w:rPr>
        <w:t>Revestimento do comprimido: álcool polivinílico, talco, d</w:t>
      </w:r>
      <w:r w:rsidRPr="00CD1283">
        <w:rPr>
          <w:rStyle w:val="st"/>
        </w:rPr>
        <w:t>ióxido de titânio, g</w:t>
      </w:r>
      <w:r w:rsidRPr="00CD1283">
        <w:rPr>
          <w:noProof/>
          <w:szCs w:val="22"/>
        </w:rPr>
        <w:t>licerol monocaprilocaprato (tipo I), ó</w:t>
      </w:r>
      <w:r w:rsidRPr="00CD1283">
        <w:rPr>
          <w:rStyle w:val="st"/>
        </w:rPr>
        <w:t>xido de ferro amarelo (E172) e l</w:t>
      </w:r>
      <w:r w:rsidRPr="00CD1283">
        <w:rPr>
          <w:noProof/>
          <w:szCs w:val="22"/>
        </w:rPr>
        <w:t>aurilsulfato de sódio.</w:t>
      </w:r>
    </w:p>
    <w:p w14:paraId="4159CC0F" w14:textId="77777777" w:rsidR="007C56B0" w:rsidRPr="00CD1283" w:rsidRDefault="007C56B0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4159CC10" w14:textId="77777777" w:rsidR="00E20FC3" w:rsidRPr="00CD1283" w:rsidRDefault="00E20FC3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4159CC11" w14:textId="77777777" w:rsidR="00E20FC3" w:rsidRPr="00CD1283" w:rsidRDefault="00C35B70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szCs w:val="22"/>
        </w:rPr>
      </w:pPr>
      <w:r w:rsidRPr="00CD1283">
        <w:rPr>
          <w:b/>
        </w:rPr>
        <w:t xml:space="preserve">Qual o aspeto de Cuprior e conteúdo da </w:t>
      </w:r>
      <w:r w:rsidRPr="00CD1283">
        <w:rPr>
          <w:b/>
        </w:rPr>
        <w:t>embalagem</w:t>
      </w:r>
    </w:p>
    <w:p w14:paraId="4159CC12" w14:textId="316D144F" w:rsidR="00E20FC3" w:rsidRPr="00CD1283" w:rsidRDefault="00C35B70" w:rsidP="00E20FC3">
      <w:pPr>
        <w:rPr>
          <w:noProof/>
          <w:szCs w:val="22"/>
        </w:rPr>
      </w:pPr>
      <w:r w:rsidRPr="00CD1283">
        <w:t xml:space="preserve">Comprimido </w:t>
      </w:r>
      <w:r w:rsidR="00E279B0" w:rsidRPr="00CD1283">
        <w:t>revestido por película amarelo</w:t>
      </w:r>
      <w:r w:rsidRPr="00CD1283">
        <w:t xml:space="preserve">, oblongo, de 16 mm x 8 mm, com uma ranhura </w:t>
      </w:r>
      <w:r w:rsidR="00E279B0" w:rsidRPr="00CD1283">
        <w:t>em cada face</w:t>
      </w:r>
      <w:r w:rsidRPr="00CD1283">
        <w:t xml:space="preserve">. O comprimido </w:t>
      </w:r>
      <w:r w:rsidR="00CE151B" w:rsidRPr="00CD1283">
        <w:t xml:space="preserve">revestido por película </w:t>
      </w:r>
      <w:r w:rsidRPr="00CD1283">
        <w:t>pode ser dividido em doses iguais.</w:t>
      </w:r>
    </w:p>
    <w:p w14:paraId="4159CC13" w14:textId="77777777" w:rsidR="00E20FC3" w:rsidRPr="00CD1283" w:rsidRDefault="00E20FC3" w:rsidP="00E20FC3">
      <w:pPr>
        <w:rPr>
          <w:noProof/>
          <w:szCs w:val="22"/>
        </w:rPr>
      </w:pPr>
    </w:p>
    <w:p w14:paraId="4159CC14" w14:textId="3289921E" w:rsidR="00E20FC3" w:rsidRPr="00CD1283" w:rsidRDefault="00C35B70" w:rsidP="00E20FC3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  <w:r w:rsidRPr="00CD1283">
        <w:t>Blisters de OPA/Alu/PVC-Alu, sendo que cada blister contém 8 comprimidos</w:t>
      </w:r>
      <w:r w:rsidR="009B626D" w:rsidRPr="00CD1283">
        <w:t xml:space="preserve"> revestidos por película</w:t>
      </w:r>
      <w:r w:rsidRPr="00CD1283">
        <w:t xml:space="preserve">. </w:t>
      </w:r>
      <w:r w:rsidR="00B81466" w:rsidRPr="00CD1283">
        <w:t xml:space="preserve">Cuprior está disponível em embalagens contendo a apresentação </w:t>
      </w:r>
      <w:r w:rsidRPr="00CD1283">
        <w:t xml:space="preserve">de 72 </w:t>
      </w:r>
      <w:r w:rsidR="00B81466" w:rsidRPr="00CD1283">
        <w:t xml:space="preserve">ou 96 </w:t>
      </w:r>
      <w:r w:rsidRPr="00CD1283">
        <w:t>comprimidos</w:t>
      </w:r>
      <w:r w:rsidR="00B81466" w:rsidRPr="00CD1283">
        <w:t xml:space="preserve"> revestidos por película</w:t>
      </w:r>
      <w:r w:rsidRPr="00CD1283">
        <w:t>.</w:t>
      </w:r>
    </w:p>
    <w:p w14:paraId="4159CC15" w14:textId="2D03F160" w:rsidR="00E20FC3" w:rsidRPr="00CD1283" w:rsidRDefault="00C35B70" w:rsidP="00E20FC3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  <w:r w:rsidRPr="00CD1283">
        <w:rPr>
          <w:szCs w:val="22"/>
        </w:rPr>
        <w:lastRenderedPageBreak/>
        <w:t>É possível que não sejam comercializadas todas as apresentações.</w:t>
      </w:r>
    </w:p>
    <w:p w14:paraId="4159CC16" w14:textId="77777777" w:rsidR="00E20FC3" w:rsidRPr="00CD1283" w:rsidRDefault="00C35B70" w:rsidP="00E20FC3">
      <w:pPr>
        <w:keepNext/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szCs w:val="22"/>
        </w:rPr>
      </w:pPr>
      <w:r w:rsidRPr="00CD1283">
        <w:rPr>
          <w:b/>
        </w:rPr>
        <w:t xml:space="preserve">Titular da Autorização de Introdução no Mercado </w:t>
      </w:r>
    </w:p>
    <w:p w14:paraId="4159CC17" w14:textId="4CAD79AE" w:rsidR="00E20FC3" w:rsidRPr="00851D41" w:rsidRDefault="00E25A12" w:rsidP="00E20FC3">
      <w:pPr>
        <w:keepNext/>
        <w:rPr>
          <w:szCs w:val="22"/>
          <w:lang w:val="fr-FR"/>
        </w:rPr>
      </w:pPr>
      <w:proofErr w:type="spellStart"/>
      <w:r w:rsidRPr="00851D41">
        <w:rPr>
          <w:lang w:val="fr-FR"/>
        </w:rPr>
        <w:t>Orphalan</w:t>
      </w:r>
      <w:proofErr w:type="spellEnd"/>
    </w:p>
    <w:p w14:paraId="0EF97F06" w14:textId="77777777" w:rsidR="0084503B" w:rsidRPr="00B310EE" w:rsidRDefault="00C35B70" w:rsidP="0084503B">
      <w:pPr>
        <w:rPr>
          <w:szCs w:val="22"/>
          <w:lang w:val="fr-FR"/>
        </w:rPr>
      </w:pPr>
      <w:r w:rsidRPr="00B310EE">
        <w:rPr>
          <w:szCs w:val="22"/>
          <w:lang w:val="fr-FR"/>
        </w:rPr>
        <w:t>226 Boulevard Voltaire</w:t>
      </w:r>
    </w:p>
    <w:p w14:paraId="148ACC18" w14:textId="77777777" w:rsidR="0084503B" w:rsidRPr="00B310EE" w:rsidRDefault="00C35B70" w:rsidP="0084503B">
      <w:pPr>
        <w:rPr>
          <w:szCs w:val="22"/>
          <w:lang w:val="fr-FR"/>
        </w:rPr>
      </w:pPr>
      <w:r w:rsidRPr="00B310EE">
        <w:rPr>
          <w:szCs w:val="22"/>
          <w:lang w:val="fr-FR"/>
        </w:rPr>
        <w:t>75011 Paris</w:t>
      </w:r>
    </w:p>
    <w:p w14:paraId="4159CC1B" w14:textId="77777777" w:rsidR="00E20FC3" w:rsidRPr="00B310EE" w:rsidRDefault="00E20FC3" w:rsidP="00E20FC3">
      <w:pPr>
        <w:keepNext/>
        <w:rPr>
          <w:szCs w:val="22"/>
          <w:lang w:val="fr-LU"/>
        </w:rPr>
      </w:pPr>
    </w:p>
    <w:p w14:paraId="4159CC1C" w14:textId="77777777" w:rsidR="00E20FC3" w:rsidRPr="00B310EE" w:rsidRDefault="00C35B70" w:rsidP="00E20FC3">
      <w:pPr>
        <w:keepNext/>
        <w:rPr>
          <w:szCs w:val="22"/>
          <w:lang w:val="fr-LU"/>
        </w:rPr>
      </w:pPr>
      <w:r w:rsidRPr="00B310EE">
        <w:rPr>
          <w:lang w:val="fr-LU"/>
        </w:rPr>
        <w:t>França</w:t>
      </w:r>
    </w:p>
    <w:p w14:paraId="4159CC1D" w14:textId="77777777" w:rsidR="00E20FC3" w:rsidRPr="00B310EE" w:rsidRDefault="00E20FC3" w:rsidP="00E20FC3">
      <w:pPr>
        <w:keepNext/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  <w:lang w:val="fr-LU"/>
        </w:rPr>
      </w:pPr>
    </w:p>
    <w:p w14:paraId="4159CC1E" w14:textId="77777777" w:rsidR="00E20FC3" w:rsidRPr="00CD1283" w:rsidRDefault="00C35B70" w:rsidP="00E20FC3">
      <w:pPr>
        <w:keepNext/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szCs w:val="22"/>
          <w:lang w:val="fr-LU"/>
        </w:rPr>
      </w:pPr>
      <w:r w:rsidRPr="00CD1283">
        <w:rPr>
          <w:b/>
          <w:lang w:val="fr-LU"/>
        </w:rPr>
        <w:t>Fabricante</w:t>
      </w:r>
    </w:p>
    <w:p w14:paraId="4159CC1F" w14:textId="77777777" w:rsidR="00E20FC3" w:rsidRPr="00CD1283" w:rsidRDefault="00C35B70" w:rsidP="00E20FC3">
      <w:pPr>
        <w:keepNext/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szCs w:val="22"/>
          <w:lang w:val="fr-LU"/>
        </w:rPr>
      </w:pPr>
      <w:r w:rsidRPr="00CD1283">
        <w:rPr>
          <w:lang w:val="fr-LU"/>
        </w:rPr>
        <w:t>Delpharm Evreux</w:t>
      </w:r>
    </w:p>
    <w:p w14:paraId="4159CC20" w14:textId="77777777" w:rsidR="00E20FC3" w:rsidRPr="00CD1283" w:rsidRDefault="00C35B70" w:rsidP="00E20FC3">
      <w:pPr>
        <w:keepNext/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szCs w:val="22"/>
          <w:lang w:val="fr-LU"/>
        </w:rPr>
      </w:pPr>
      <w:r w:rsidRPr="00CD1283">
        <w:rPr>
          <w:lang w:val="fr-LU"/>
        </w:rPr>
        <w:t>5 rue du Guesclin</w:t>
      </w:r>
    </w:p>
    <w:p w14:paraId="4159CC21" w14:textId="77777777" w:rsidR="00E20FC3" w:rsidRPr="00851D41" w:rsidRDefault="00C35B70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szCs w:val="22"/>
          <w:lang w:val="fr-FR"/>
        </w:rPr>
      </w:pPr>
      <w:r w:rsidRPr="00851D41">
        <w:rPr>
          <w:lang w:val="fr-FR"/>
        </w:rPr>
        <w:t>27000 Evreux</w:t>
      </w:r>
    </w:p>
    <w:p w14:paraId="4159CC22" w14:textId="77777777" w:rsidR="00E20FC3" w:rsidRPr="00CD1283" w:rsidRDefault="00C35B70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CD1283">
        <w:t>França</w:t>
      </w:r>
    </w:p>
    <w:p w14:paraId="4159CC23" w14:textId="77777777" w:rsidR="00E20FC3" w:rsidRPr="00CD1283" w:rsidRDefault="00E20FC3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tbl>
      <w:tblPr>
        <w:tblW w:w="935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678"/>
        <w:gridCol w:w="4678"/>
      </w:tblGrid>
      <w:tr w:rsidR="00354AFB" w14:paraId="4159CC26" w14:textId="77777777" w:rsidTr="00E20FC3">
        <w:tc>
          <w:tcPr>
            <w:tcW w:w="4678" w:type="dxa"/>
          </w:tcPr>
          <w:p w14:paraId="4159CC24" w14:textId="77777777" w:rsidR="00E20FC3" w:rsidRPr="00CD1283" w:rsidRDefault="00E20FC3" w:rsidP="00E20FC3">
            <w:pPr>
              <w:tabs>
                <w:tab w:val="left" w:pos="-720"/>
              </w:tabs>
              <w:suppressAutoHyphens/>
              <w:spacing w:line="240" w:lineRule="auto"/>
              <w:rPr>
                <w:noProof/>
                <w:szCs w:val="22"/>
              </w:rPr>
            </w:pPr>
          </w:p>
        </w:tc>
        <w:tc>
          <w:tcPr>
            <w:tcW w:w="4678" w:type="dxa"/>
          </w:tcPr>
          <w:p w14:paraId="4159CC25" w14:textId="77777777" w:rsidR="00E20FC3" w:rsidRPr="00CD1283" w:rsidRDefault="00E20FC3" w:rsidP="00E20FC3">
            <w:pPr>
              <w:tabs>
                <w:tab w:val="left" w:pos="-720"/>
              </w:tabs>
              <w:suppressAutoHyphens/>
              <w:spacing w:line="240" w:lineRule="auto"/>
              <w:rPr>
                <w:noProof/>
                <w:szCs w:val="22"/>
              </w:rPr>
            </w:pPr>
          </w:p>
        </w:tc>
      </w:tr>
    </w:tbl>
    <w:p w14:paraId="4159CC27" w14:textId="77777777" w:rsidR="00E20FC3" w:rsidRPr="00CD1283" w:rsidRDefault="00C35B70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szCs w:val="22"/>
        </w:rPr>
      </w:pPr>
      <w:r w:rsidRPr="00CD1283">
        <w:rPr>
          <w:b/>
        </w:rPr>
        <w:t>Este folheto foi revisto pela última vez em</w:t>
      </w:r>
    </w:p>
    <w:p w14:paraId="4159CC28" w14:textId="77777777" w:rsidR="00E20FC3" w:rsidRPr="00CD1283" w:rsidRDefault="00E20FC3" w:rsidP="00E20FC3">
      <w:pPr>
        <w:numPr>
          <w:ilvl w:val="12"/>
          <w:numId w:val="0"/>
        </w:numPr>
        <w:spacing w:line="240" w:lineRule="auto"/>
        <w:ind w:right="-2"/>
        <w:rPr>
          <w:noProof/>
          <w:szCs w:val="22"/>
        </w:rPr>
      </w:pPr>
    </w:p>
    <w:p w14:paraId="4159CC29" w14:textId="77777777" w:rsidR="00E20FC3" w:rsidRPr="00CD1283" w:rsidRDefault="00C35B70" w:rsidP="00E20FC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noProof/>
          <w:szCs w:val="22"/>
        </w:rPr>
      </w:pPr>
      <w:r w:rsidRPr="00CD1283">
        <w:rPr>
          <w:b/>
          <w:noProof/>
        </w:rPr>
        <w:t>Outras fontes de informação</w:t>
      </w:r>
    </w:p>
    <w:p w14:paraId="4159CC2A" w14:textId="558B6283" w:rsidR="00FC5A3E" w:rsidRPr="00CD1283" w:rsidRDefault="00C35B70" w:rsidP="00E20FC3">
      <w:pPr>
        <w:numPr>
          <w:ilvl w:val="12"/>
          <w:numId w:val="0"/>
        </w:numPr>
        <w:spacing w:line="240" w:lineRule="auto"/>
        <w:ind w:right="-2"/>
      </w:pPr>
      <w:r w:rsidRPr="00CD1283">
        <w:t xml:space="preserve">Está disponível informação pormenorizada sobre este medicamento no sítio da internet da Agência Europeia de Medicamentos: </w:t>
      </w:r>
      <w:hyperlink w:history="1">
        <w:r w:rsidRPr="00CD1283">
          <w:rPr>
            <w:rStyle w:val="Hyperlink"/>
            <w:noProof/>
          </w:rPr>
          <w:t>http://www.ema.europa.eu</w:t>
        </w:r>
      </w:hyperlink>
      <w:r w:rsidRPr="00CD1283">
        <w:t xml:space="preserve">. Também existem </w:t>
      </w:r>
      <w:r w:rsidRPr="00CD1283">
        <w:rPr>
          <w:i/>
        </w:rPr>
        <w:t>links</w:t>
      </w:r>
      <w:r w:rsidRPr="00CD1283">
        <w:t xml:space="preserve"> para outros sítios da internet sobre doenças raras e tratamentos. </w:t>
      </w:r>
    </w:p>
    <w:sectPr w:rsidR="00FC5A3E" w:rsidRPr="00CD1283" w:rsidSect="00E20FC3">
      <w:footerReference w:type="default" r:id="rId16"/>
      <w:footerReference w:type="first" r:id="rId17"/>
      <w:pgSz w:w="11907" w:h="16840" w:code="9"/>
      <w:pgMar w:top="1134" w:right="1418" w:bottom="1134" w:left="1418" w:header="737" w:footer="73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274AA" w14:textId="77777777" w:rsidR="00000000" w:rsidRDefault="00C35B70">
      <w:pPr>
        <w:spacing w:line="240" w:lineRule="auto"/>
      </w:pPr>
      <w:r>
        <w:separator/>
      </w:r>
    </w:p>
  </w:endnote>
  <w:endnote w:type="continuationSeparator" w:id="0">
    <w:p w14:paraId="3658CE4A" w14:textId="77777777" w:rsidR="00000000" w:rsidRDefault="00C35B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9CC2F" w14:textId="1641AA80" w:rsidR="00F902C0" w:rsidRDefault="00C35B70">
    <w:pPr>
      <w:pStyle w:val="Footer"/>
      <w:tabs>
        <w:tab w:val="right" w:pos="8931"/>
      </w:tabs>
      <w:ind w:right="96"/>
      <w:jc w:val="center"/>
    </w:pPr>
    <w:r>
      <w:fldChar w:fldCharType="begin"/>
    </w:r>
    <w:r>
      <w:instrText xml:space="preserve"> EQ </w:instrText>
    </w:r>
    <w:r>
      <w:fldChar w:fldCharType="end"/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separate"/>
    </w:r>
    <w:r w:rsidR="00CD1283">
      <w:rPr>
        <w:rStyle w:val="PageNumber"/>
        <w:rFonts w:cs="Arial"/>
      </w:rPr>
      <w:t>22</w:t>
    </w:r>
    <w:r>
      <w:rPr>
        <w:rStyle w:val="PageNumber"/>
        <w:rFonts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9CC30" w14:textId="19C74A94" w:rsidR="00F902C0" w:rsidRDefault="00C35B70">
    <w:pPr>
      <w:pStyle w:val="Footer"/>
      <w:tabs>
        <w:tab w:val="right" w:pos="8931"/>
      </w:tabs>
      <w:ind w:right="96"/>
      <w:jc w:val="center"/>
    </w:pPr>
    <w:r>
      <w:fldChar w:fldCharType="begin"/>
    </w:r>
    <w:r>
      <w:instrText xml:space="preserve"> EQ </w:instrText>
    </w:r>
    <w:r>
      <w:fldChar w:fldCharType="end"/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separate"/>
    </w:r>
    <w:r w:rsidR="00CD1283">
      <w:rPr>
        <w:rStyle w:val="PageNumber"/>
        <w:rFonts w:cs="Arial"/>
      </w:rPr>
      <w:t>1</w:t>
    </w:r>
    <w:r>
      <w:rPr>
        <w:rStyle w:val="PageNumber"/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9E783" w14:textId="77777777" w:rsidR="00000000" w:rsidRDefault="00C35B70">
      <w:pPr>
        <w:spacing w:line="240" w:lineRule="auto"/>
      </w:pPr>
      <w:r>
        <w:separator/>
      </w:r>
    </w:p>
  </w:footnote>
  <w:footnote w:type="continuationSeparator" w:id="0">
    <w:p w14:paraId="7102E872" w14:textId="77777777" w:rsidR="00000000" w:rsidRDefault="00C35B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900ED"/>
    <w:multiLevelType w:val="hybridMultilevel"/>
    <w:tmpl w:val="3D08C984"/>
    <w:lvl w:ilvl="0" w:tplc="1C30E5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BA8054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E9F27CF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A2C078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E2E945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03A862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30E30C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C27E6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C8A6E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590322"/>
    <w:multiLevelType w:val="singleLevel"/>
    <w:tmpl w:val="A8F43FF2"/>
    <w:lvl w:ilvl="0">
      <w:start w:val="1"/>
      <w:numFmt w:val="decimal"/>
      <w:lvlText w:val="Figure: %1. "/>
      <w:lvlJc w:val="left"/>
      <w:pPr>
        <w:tabs>
          <w:tab w:val="num" w:pos="1080"/>
        </w:tabs>
        <w:ind w:left="360" w:hanging="360"/>
      </w:pPr>
    </w:lvl>
  </w:abstractNum>
  <w:abstractNum w:abstractNumId="3" w15:restartNumberingAfterBreak="0">
    <w:nsid w:val="05BE74D3"/>
    <w:multiLevelType w:val="hybridMultilevel"/>
    <w:tmpl w:val="80502282"/>
    <w:lvl w:ilvl="0" w:tplc="6764E47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9FAE6702" w:tentative="1">
      <w:start w:val="1"/>
      <w:numFmt w:val="lowerLetter"/>
      <w:lvlText w:val="%2."/>
      <w:lvlJc w:val="left"/>
      <w:pPr>
        <w:ind w:left="1440" w:hanging="360"/>
      </w:pPr>
    </w:lvl>
    <w:lvl w:ilvl="2" w:tplc="3A1EDF50" w:tentative="1">
      <w:start w:val="1"/>
      <w:numFmt w:val="lowerRoman"/>
      <w:lvlText w:val="%3."/>
      <w:lvlJc w:val="right"/>
      <w:pPr>
        <w:ind w:left="2160" w:hanging="180"/>
      </w:pPr>
    </w:lvl>
    <w:lvl w:ilvl="3" w:tplc="C3D2EF28" w:tentative="1">
      <w:start w:val="1"/>
      <w:numFmt w:val="decimal"/>
      <w:lvlText w:val="%4."/>
      <w:lvlJc w:val="left"/>
      <w:pPr>
        <w:ind w:left="2880" w:hanging="360"/>
      </w:pPr>
    </w:lvl>
    <w:lvl w:ilvl="4" w:tplc="70141E0A" w:tentative="1">
      <w:start w:val="1"/>
      <w:numFmt w:val="lowerLetter"/>
      <w:lvlText w:val="%5."/>
      <w:lvlJc w:val="left"/>
      <w:pPr>
        <w:ind w:left="3600" w:hanging="360"/>
      </w:pPr>
    </w:lvl>
    <w:lvl w:ilvl="5" w:tplc="A5DEDFF4" w:tentative="1">
      <w:start w:val="1"/>
      <w:numFmt w:val="lowerRoman"/>
      <w:lvlText w:val="%6."/>
      <w:lvlJc w:val="right"/>
      <w:pPr>
        <w:ind w:left="4320" w:hanging="180"/>
      </w:pPr>
    </w:lvl>
    <w:lvl w:ilvl="6" w:tplc="3D6A7F78" w:tentative="1">
      <w:start w:val="1"/>
      <w:numFmt w:val="decimal"/>
      <w:lvlText w:val="%7."/>
      <w:lvlJc w:val="left"/>
      <w:pPr>
        <w:ind w:left="5040" w:hanging="360"/>
      </w:pPr>
    </w:lvl>
    <w:lvl w:ilvl="7" w:tplc="A224E3A0" w:tentative="1">
      <w:start w:val="1"/>
      <w:numFmt w:val="lowerLetter"/>
      <w:lvlText w:val="%8."/>
      <w:lvlJc w:val="left"/>
      <w:pPr>
        <w:ind w:left="5760" w:hanging="360"/>
      </w:pPr>
    </w:lvl>
    <w:lvl w:ilvl="8" w:tplc="F10027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F6289"/>
    <w:multiLevelType w:val="hybridMultilevel"/>
    <w:tmpl w:val="4B6610B4"/>
    <w:lvl w:ilvl="0" w:tplc="89E45272">
      <w:start w:val="1"/>
      <w:numFmt w:val="upperLetter"/>
      <w:lvlText w:val="%1."/>
      <w:lvlJc w:val="left"/>
      <w:pPr>
        <w:ind w:left="577" w:hanging="450"/>
      </w:pPr>
      <w:rPr>
        <w:rFonts w:hint="default"/>
      </w:rPr>
    </w:lvl>
    <w:lvl w:ilvl="1" w:tplc="6CE89090">
      <w:start w:val="1"/>
      <w:numFmt w:val="decimal"/>
      <w:lvlText w:val="%2."/>
      <w:lvlJc w:val="left"/>
      <w:pPr>
        <w:ind w:left="1417" w:hanging="570"/>
      </w:pPr>
      <w:rPr>
        <w:rFonts w:hint="default"/>
      </w:rPr>
    </w:lvl>
    <w:lvl w:ilvl="2" w:tplc="8B9C5B02" w:tentative="1">
      <w:start w:val="1"/>
      <w:numFmt w:val="lowerRoman"/>
      <w:lvlText w:val="%3."/>
      <w:lvlJc w:val="right"/>
      <w:pPr>
        <w:ind w:left="1927" w:hanging="180"/>
      </w:pPr>
    </w:lvl>
    <w:lvl w:ilvl="3" w:tplc="CA26AF94" w:tentative="1">
      <w:start w:val="1"/>
      <w:numFmt w:val="decimal"/>
      <w:lvlText w:val="%4."/>
      <w:lvlJc w:val="left"/>
      <w:pPr>
        <w:ind w:left="2647" w:hanging="360"/>
      </w:pPr>
    </w:lvl>
    <w:lvl w:ilvl="4" w:tplc="439E503A" w:tentative="1">
      <w:start w:val="1"/>
      <w:numFmt w:val="lowerLetter"/>
      <w:lvlText w:val="%5."/>
      <w:lvlJc w:val="left"/>
      <w:pPr>
        <w:ind w:left="3367" w:hanging="360"/>
      </w:pPr>
    </w:lvl>
    <w:lvl w:ilvl="5" w:tplc="4956ECB4" w:tentative="1">
      <w:start w:val="1"/>
      <w:numFmt w:val="lowerRoman"/>
      <w:lvlText w:val="%6."/>
      <w:lvlJc w:val="right"/>
      <w:pPr>
        <w:ind w:left="4087" w:hanging="180"/>
      </w:pPr>
    </w:lvl>
    <w:lvl w:ilvl="6" w:tplc="59600D46" w:tentative="1">
      <w:start w:val="1"/>
      <w:numFmt w:val="decimal"/>
      <w:lvlText w:val="%7."/>
      <w:lvlJc w:val="left"/>
      <w:pPr>
        <w:ind w:left="4807" w:hanging="360"/>
      </w:pPr>
    </w:lvl>
    <w:lvl w:ilvl="7" w:tplc="8C006402" w:tentative="1">
      <w:start w:val="1"/>
      <w:numFmt w:val="lowerLetter"/>
      <w:lvlText w:val="%8."/>
      <w:lvlJc w:val="left"/>
      <w:pPr>
        <w:ind w:left="5527" w:hanging="360"/>
      </w:pPr>
    </w:lvl>
    <w:lvl w:ilvl="8" w:tplc="03CC06D2" w:tentative="1">
      <w:start w:val="1"/>
      <w:numFmt w:val="lowerRoman"/>
      <w:lvlText w:val="%9."/>
      <w:lvlJc w:val="right"/>
      <w:pPr>
        <w:ind w:left="6247" w:hanging="180"/>
      </w:pPr>
    </w:lvl>
  </w:abstractNum>
  <w:abstractNum w:abstractNumId="5" w15:restartNumberingAfterBreak="0">
    <w:nsid w:val="09C44CC1"/>
    <w:multiLevelType w:val="hybridMultilevel"/>
    <w:tmpl w:val="7FF2C56E"/>
    <w:lvl w:ilvl="0" w:tplc="B7DE50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4809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7CAD5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2614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BCA6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E388F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B832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DA3B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46874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D3306"/>
    <w:multiLevelType w:val="hybridMultilevel"/>
    <w:tmpl w:val="956CF4A4"/>
    <w:lvl w:ilvl="0" w:tplc="6220C6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CFCA2240" w:tentative="1">
      <w:start w:val="1"/>
      <w:numFmt w:val="lowerLetter"/>
      <w:lvlText w:val="%2."/>
      <w:lvlJc w:val="left"/>
      <w:pPr>
        <w:ind w:left="1440" w:hanging="360"/>
      </w:pPr>
    </w:lvl>
    <w:lvl w:ilvl="2" w:tplc="61FEEC7A" w:tentative="1">
      <w:start w:val="1"/>
      <w:numFmt w:val="lowerRoman"/>
      <w:lvlText w:val="%3."/>
      <w:lvlJc w:val="right"/>
      <w:pPr>
        <w:ind w:left="2160" w:hanging="180"/>
      </w:pPr>
    </w:lvl>
    <w:lvl w:ilvl="3" w:tplc="8196CCA6" w:tentative="1">
      <w:start w:val="1"/>
      <w:numFmt w:val="decimal"/>
      <w:lvlText w:val="%4."/>
      <w:lvlJc w:val="left"/>
      <w:pPr>
        <w:ind w:left="2880" w:hanging="360"/>
      </w:pPr>
    </w:lvl>
    <w:lvl w:ilvl="4" w:tplc="73DE856A" w:tentative="1">
      <w:start w:val="1"/>
      <w:numFmt w:val="lowerLetter"/>
      <w:lvlText w:val="%5."/>
      <w:lvlJc w:val="left"/>
      <w:pPr>
        <w:ind w:left="3600" w:hanging="360"/>
      </w:pPr>
    </w:lvl>
    <w:lvl w:ilvl="5" w:tplc="AAE239DC" w:tentative="1">
      <w:start w:val="1"/>
      <w:numFmt w:val="lowerRoman"/>
      <w:lvlText w:val="%6."/>
      <w:lvlJc w:val="right"/>
      <w:pPr>
        <w:ind w:left="4320" w:hanging="180"/>
      </w:pPr>
    </w:lvl>
    <w:lvl w:ilvl="6" w:tplc="FA6ED3D8" w:tentative="1">
      <w:start w:val="1"/>
      <w:numFmt w:val="decimal"/>
      <w:lvlText w:val="%7."/>
      <w:lvlJc w:val="left"/>
      <w:pPr>
        <w:ind w:left="5040" w:hanging="360"/>
      </w:pPr>
    </w:lvl>
    <w:lvl w:ilvl="7" w:tplc="90CECB14" w:tentative="1">
      <w:start w:val="1"/>
      <w:numFmt w:val="lowerLetter"/>
      <w:lvlText w:val="%8."/>
      <w:lvlJc w:val="left"/>
      <w:pPr>
        <w:ind w:left="5760" w:hanging="360"/>
      </w:pPr>
    </w:lvl>
    <w:lvl w:ilvl="8" w:tplc="774285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E76AF"/>
    <w:multiLevelType w:val="multilevel"/>
    <w:tmpl w:val="ED740546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260A0176"/>
    <w:multiLevelType w:val="hybridMultilevel"/>
    <w:tmpl w:val="718ED2D0"/>
    <w:lvl w:ilvl="0" w:tplc="FDA43B3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FE28EEBA" w:tentative="1">
      <w:start w:val="1"/>
      <w:numFmt w:val="lowerLetter"/>
      <w:lvlText w:val="%2."/>
      <w:lvlJc w:val="left"/>
      <w:pPr>
        <w:ind w:left="1440" w:hanging="360"/>
      </w:pPr>
    </w:lvl>
    <w:lvl w:ilvl="2" w:tplc="E3E2FB7A" w:tentative="1">
      <w:start w:val="1"/>
      <w:numFmt w:val="lowerRoman"/>
      <w:lvlText w:val="%3."/>
      <w:lvlJc w:val="right"/>
      <w:pPr>
        <w:ind w:left="2160" w:hanging="180"/>
      </w:pPr>
    </w:lvl>
    <w:lvl w:ilvl="3" w:tplc="3D36A4BA" w:tentative="1">
      <w:start w:val="1"/>
      <w:numFmt w:val="decimal"/>
      <w:lvlText w:val="%4."/>
      <w:lvlJc w:val="left"/>
      <w:pPr>
        <w:ind w:left="2880" w:hanging="360"/>
      </w:pPr>
    </w:lvl>
    <w:lvl w:ilvl="4" w:tplc="270C72F6" w:tentative="1">
      <w:start w:val="1"/>
      <w:numFmt w:val="lowerLetter"/>
      <w:lvlText w:val="%5."/>
      <w:lvlJc w:val="left"/>
      <w:pPr>
        <w:ind w:left="3600" w:hanging="360"/>
      </w:pPr>
    </w:lvl>
    <w:lvl w:ilvl="5" w:tplc="E8FC8D96" w:tentative="1">
      <w:start w:val="1"/>
      <w:numFmt w:val="lowerRoman"/>
      <w:lvlText w:val="%6."/>
      <w:lvlJc w:val="right"/>
      <w:pPr>
        <w:ind w:left="4320" w:hanging="180"/>
      </w:pPr>
    </w:lvl>
    <w:lvl w:ilvl="6" w:tplc="1A14E86A" w:tentative="1">
      <w:start w:val="1"/>
      <w:numFmt w:val="decimal"/>
      <w:lvlText w:val="%7."/>
      <w:lvlJc w:val="left"/>
      <w:pPr>
        <w:ind w:left="5040" w:hanging="360"/>
      </w:pPr>
    </w:lvl>
    <w:lvl w:ilvl="7" w:tplc="B6BA8CEE" w:tentative="1">
      <w:start w:val="1"/>
      <w:numFmt w:val="lowerLetter"/>
      <w:lvlText w:val="%8."/>
      <w:lvlJc w:val="left"/>
      <w:pPr>
        <w:ind w:left="5760" w:hanging="360"/>
      </w:pPr>
    </w:lvl>
    <w:lvl w:ilvl="8" w:tplc="194CEA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110E1"/>
    <w:multiLevelType w:val="hybridMultilevel"/>
    <w:tmpl w:val="22EE80EE"/>
    <w:lvl w:ilvl="0" w:tplc="B6D8001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E34A17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26DC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847A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B6E6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6CC4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2052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3431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8C66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35BD9"/>
    <w:multiLevelType w:val="hybridMultilevel"/>
    <w:tmpl w:val="DAD6C0E0"/>
    <w:lvl w:ilvl="0" w:tplc="33408F18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756C4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6421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4612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E2F3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D1E9F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B483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3477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67ADD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41609"/>
    <w:multiLevelType w:val="hybridMultilevel"/>
    <w:tmpl w:val="1E5AABE8"/>
    <w:lvl w:ilvl="0" w:tplc="B62A178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DD0535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26026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3161A4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6A47A8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D84DBF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234AA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1C28D4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687E27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68E30D3"/>
    <w:multiLevelType w:val="multilevel"/>
    <w:tmpl w:val="88209D68"/>
    <w:lvl w:ilvl="0">
      <w:start w:val="6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 w15:restartNumberingAfterBreak="0">
    <w:nsid w:val="3B8C3C56"/>
    <w:multiLevelType w:val="hybridMultilevel"/>
    <w:tmpl w:val="BFBE97F2"/>
    <w:lvl w:ilvl="0" w:tplc="B37E7B32">
      <w:start w:val="1"/>
      <w:numFmt w:val="decimal"/>
      <w:lvlText w:val="%1."/>
      <w:lvlJc w:val="left"/>
      <w:pPr>
        <w:ind w:left="720" w:hanging="360"/>
      </w:pPr>
    </w:lvl>
    <w:lvl w:ilvl="1" w:tplc="B98CA608" w:tentative="1">
      <w:start w:val="1"/>
      <w:numFmt w:val="lowerLetter"/>
      <w:lvlText w:val="%2."/>
      <w:lvlJc w:val="left"/>
      <w:pPr>
        <w:ind w:left="1440" w:hanging="360"/>
      </w:pPr>
    </w:lvl>
    <w:lvl w:ilvl="2" w:tplc="0F8E28F2" w:tentative="1">
      <w:start w:val="1"/>
      <w:numFmt w:val="lowerRoman"/>
      <w:lvlText w:val="%3."/>
      <w:lvlJc w:val="right"/>
      <w:pPr>
        <w:ind w:left="2160" w:hanging="180"/>
      </w:pPr>
    </w:lvl>
    <w:lvl w:ilvl="3" w:tplc="2B8CF918" w:tentative="1">
      <w:start w:val="1"/>
      <w:numFmt w:val="decimal"/>
      <w:lvlText w:val="%4."/>
      <w:lvlJc w:val="left"/>
      <w:pPr>
        <w:ind w:left="2880" w:hanging="360"/>
      </w:pPr>
    </w:lvl>
    <w:lvl w:ilvl="4" w:tplc="C40A2BF4" w:tentative="1">
      <w:start w:val="1"/>
      <w:numFmt w:val="lowerLetter"/>
      <w:lvlText w:val="%5."/>
      <w:lvlJc w:val="left"/>
      <w:pPr>
        <w:ind w:left="3600" w:hanging="360"/>
      </w:pPr>
    </w:lvl>
    <w:lvl w:ilvl="5" w:tplc="762262C0" w:tentative="1">
      <w:start w:val="1"/>
      <w:numFmt w:val="lowerRoman"/>
      <w:lvlText w:val="%6."/>
      <w:lvlJc w:val="right"/>
      <w:pPr>
        <w:ind w:left="4320" w:hanging="180"/>
      </w:pPr>
    </w:lvl>
    <w:lvl w:ilvl="6" w:tplc="D938C9F4" w:tentative="1">
      <w:start w:val="1"/>
      <w:numFmt w:val="decimal"/>
      <w:lvlText w:val="%7."/>
      <w:lvlJc w:val="left"/>
      <w:pPr>
        <w:ind w:left="5040" w:hanging="360"/>
      </w:pPr>
    </w:lvl>
    <w:lvl w:ilvl="7" w:tplc="4DB69E28" w:tentative="1">
      <w:start w:val="1"/>
      <w:numFmt w:val="lowerLetter"/>
      <w:lvlText w:val="%8."/>
      <w:lvlJc w:val="left"/>
      <w:pPr>
        <w:ind w:left="5760" w:hanging="360"/>
      </w:pPr>
    </w:lvl>
    <w:lvl w:ilvl="8" w:tplc="E9F0314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7422D0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5" w15:restartNumberingAfterBreak="0">
    <w:nsid w:val="4A810019"/>
    <w:multiLevelType w:val="singleLevel"/>
    <w:tmpl w:val="FFFFFFFF"/>
    <w:lvl w:ilvl="0">
      <w:start w:val="1"/>
      <w:numFmt w:val="bullet"/>
      <w:lvlText w:val="-"/>
      <w:legacy w:legacy="1" w:legacySpace="0" w:legacyIndent="360"/>
      <w:lvlJc w:val="left"/>
      <w:pPr>
        <w:ind w:left="1800" w:hanging="360"/>
      </w:pPr>
    </w:lvl>
  </w:abstractNum>
  <w:abstractNum w:abstractNumId="16" w15:restartNumberingAfterBreak="0">
    <w:nsid w:val="53E83375"/>
    <w:multiLevelType w:val="multilevel"/>
    <w:tmpl w:val="18221FCC"/>
    <w:lvl w:ilvl="0">
      <w:start w:val="1"/>
      <w:numFmt w:val="decimal"/>
      <w:lvlText w:val="%1."/>
      <w:lvlJc w:val="left"/>
      <w:pPr>
        <w:ind w:left="930" w:hanging="57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930" w:hanging="57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17" w15:restartNumberingAfterBreak="0">
    <w:nsid w:val="560C4365"/>
    <w:multiLevelType w:val="singleLevel"/>
    <w:tmpl w:val="FFFFFFFF"/>
    <w:lvl w:ilvl="0">
      <w:start w:val="1"/>
      <w:numFmt w:val="bullet"/>
      <w:lvlText w:val="-"/>
      <w:legacy w:legacy="1" w:legacySpace="0" w:legacyIndent="360"/>
      <w:lvlJc w:val="left"/>
      <w:pPr>
        <w:ind w:left="1800" w:hanging="360"/>
      </w:pPr>
    </w:lvl>
  </w:abstractNum>
  <w:abstractNum w:abstractNumId="18" w15:restartNumberingAfterBreak="0">
    <w:nsid w:val="58B56C73"/>
    <w:multiLevelType w:val="hybridMultilevel"/>
    <w:tmpl w:val="5BA42128"/>
    <w:lvl w:ilvl="0" w:tplc="7A5CAB72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C2AA8D7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B021AD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CE0E1F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D1840D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CCFA290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A36AA1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C9A898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8EE2A7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42D6557"/>
    <w:multiLevelType w:val="multilevel"/>
    <w:tmpl w:val="1E5AABE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58C02A1"/>
    <w:multiLevelType w:val="singleLevel"/>
    <w:tmpl w:val="E7D22186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</w:abstractNum>
  <w:abstractNum w:abstractNumId="21" w15:restartNumberingAfterBreak="0">
    <w:nsid w:val="68247730"/>
    <w:multiLevelType w:val="singleLevel"/>
    <w:tmpl w:val="6096C72A"/>
    <w:lvl w:ilvl="0">
      <w:start w:val="5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22" w15:restartNumberingAfterBreak="0">
    <w:nsid w:val="69E95A54"/>
    <w:multiLevelType w:val="hybridMultilevel"/>
    <w:tmpl w:val="3C18EFB0"/>
    <w:lvl w:ilvl="0" w:tplc="7FC66E48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361E74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C88CD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30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68E5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E383A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6654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F26D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84280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014835"/>
    <w:multiLevelType w:val="multilevel"/>
    <w:tmpl w:val="CFACB26E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6D941758"/>
    <w:multiLevelType w:val="singleLevel"/>
    <w:tmpl w:val="98907B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5" w15:restartNumberingAfterBreak="0">
    <w:nsid w:val="6F9337D0"/>
    <w:multiLevelType w:val="hybridMultilevel"/>
    <w:tmpl w:val="B6C885E6"/>
    <w:lvl w:ilvl="0" w:tplc="9CC814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2682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30A00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1C99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14F8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7E0B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2E3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3A07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A907E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AB50F1"/>
    <w:multiLevelType w:val="hybridMultilevel"/>
    <w:tmpl w:val="64CEA6CC"/>
    <w:lvl w:ilvl="0" w:tplc="6178D7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1A036C" w:tentative="1">
      <w:start w:val="1"/>
      <w:numFmt w:val="lowerLetter"/>
      <w:lvlText w:val="%2."/>
      <w:lvlJc w:val="left"/>
      <w:pPr>
        <w:ind w:left="1440" w:hanging="360"/>
      </w:pPr>
    </w:lvl>
    <w:lvl w:ilvl="2" w:tplc="9954C5A0" w:tentative="1">
      <w:start w:val="1"/>
      <w:numFmt w:val="lowerRoman"/>
      <w:lvlText w:val="%3."/>
      <w:lvlJc w:val="right"/>
      <w:pPr>
        <w:ind w:left="2160" w:hanging="180"/>
      </w:pPr>
    </w:lvl>
    <w:lvl w:ilvl="3" w:tplc="26747650" w:tentative="1">
      <w:start w:val="1"/>
      <w:numFmt w:val="decimal"/>
      <w:lvlText w:val="%4."/>
      <w:lvlJc w:val="left"/>
      <w:pPr>
        <w:ind w:left="2880" w:hanging="360"/>
      </w:pPr>
    </w:lvl>
    <w:lvl w:ilvl="4" w:tplc="602E27EA" w:tentative="1">
      <w:start w:val="1"/>
      <w:numFmt w:val="lowerLetter"/>
      <w:lvlText w:val="%5."/>
      <w:lvlJc w:val="left"/>
      <w:pPr>
        <w:ind w:left="3600" w:hanging="360"/>
      </w:pPr>
    </w:lvl>
    <w:lvl w:ilvl="5" w:tplc="C8EA57C2" w:tentative="1">
      <w:start w:val="1"/>
      <w:numFmt w:val="lowerRoman"/>
      <w:lvlText w:val="%6."/>
      <w:lvlJc w:val="right"/>
      <w:pPr>
        <w:ind w:left="4320" w:hanging="180"/>
      </w:pPr>
    </w:lvl>
    <w:lvl w:ilvl="6" w:tplc="1B2EFF44" w:tentative="1">
      <w:start w:val="1"/>
      <w:numFmt w:val="decimal"/>
      <w:lvlText w:val="%7."/>
      <w:lvlJc w:val="left"/>
      <w:pPr>
        <w:ind w:left="5040" w:hanging="360"/>
      </w:pPr>
    </w:lvl>
    <w:lvl w:ilvl="7" w:tplc="A10CCC5C" w:tentative="1">
      <w:start w:val="1"/>
      <w:numFmt w:val="lowerLetter"/>
      <w:lvlText w:val="%8."/>
      <w:lvlJc w:val="left"/>
      <w:pPr>
        <w:ind w:left="5760" w:hanging="360"/>
      </w:pPr>
    </w:lvl>
    <w:lvl w:ilvl="8" w:tplc="5BF431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726D2E"/>
    <w:multiLevelType w:val="multilevel"/>
    <w:tmpl w:val="ED740546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7B136C31"/>
    <w:multiLevelType w:val="hybridMultilevel"/>
    <w:tmpl w:val="D8E2FC5A"/>
    <w:lvl w:ilvl="0" w:tplc="30A6C216">
      <w:start w:val="1"/>
      <w:numFmt w:val="upperLetter"/>
      <w:lvlText w:val="%1."/>
      <w:lvlJc w:val="left"/>
      <w:pPr>
        <w:ind w:left="577" w:hanging="450"/>
      </w:pPr>
      <w:rPr>
        <w:rFonts w:hint="default"/>
      </w:rPr>
    </w:lvl>
    <w:lvl w:ilvl="1" w:tplc="6270D6B8">
      <w:start w:val="1"/>
      <w:numFmt w:val="decimal"/>
      <w:lvlText w:val="%2."/>
      <w:lvlJc w:val="left"/>
      <w:pPr>
        <w:ind w:left="1417" w:hanging="570"/>
      </w:pPr>
      <w:rPr>
        <w:rFonts w:hint="default"/>
        <w:b/>
      </w:rPr>
    </w:lvl>
    <w:lvl w:ilvl="2" w:tplc="E18A2656" w:tentative="1">
      <w:start w:val="1"/>
      <w:numFmt w:val="lowerRoman"/>
      <w:lvlText w:val="%3."/>
      <w:lvlJc w:val="right"/>
      <w:pPr>
        <w:ind w:left="1927" w:hanging="180"/>
      </w:pPr>
    </w:lvl>
    <w:lvl w:ilvl="3" w:tplc="F8C6553A" w:tentative="1">
      <w:start w:val="1"/>
      <w:numFmt w:val="decimal"/>
      <w:lvlText w:val="%4."/>
      <w:lvlJc w:val="left"/>
      <w:pPr>
        <w:ind w:left="2647" w:hanging="360"/>
      </w:pPr>
    </w:lvl>
    <w:lvl w:ilvl="4" w:tplc="1DC46C7A" w:tentative="1">
      <w:start w:val="1"/>
      <w:numFmt w:val="lowerLetter"/>
      <w:lvlText w:val="%5."/>
      <w:lvlJc w:val="left"/>
      <w:pPr>
        <w:ind w:left="3367" w:hanging="360"/>
      </w:pPr>
    </w:lvl>
    <w:lvl w:ilvl="5" w:tplc="FB989C84" w:tentative="1">
      <w:start w:val="1"/>
      <w:numFmt w:val="lowerRoman"/>
      <w:lvlText w:val="%6."/>
      <w:lvlJc w:val="right"/>
      <w:pPr>
        <w:ind w:left="4087" w:hanging="180"/>
      </w:pPr>
    </w:lvl>
    <w:lvl w:ilvl="6" w:tplc="23BADE78" w:tentative="1">
      <w:start w:val="1"/>
      <w:numFmt w:val="decimal"/>
      <w:lvlText w:val="%7."/>
      <w:lvlJc w:val="left"/>
      <w:pPr>
        <w:ind w:left="4807" w:hanging="360"/>
      </w:pPr>
    </w:lvl>
    <w:lvl w:ilvl="7" w:tplc="291EED86" w:tentative="1">
      <w:start w:val="1"/>
      <w:numFmt w:val="lowerLetter"/>
      <w:lvlText w:val="%8."/>
      <w:lvlJc w:val="left"/>
      <w:pPr>
        <w:ind w:left="5527" w:hanging="360"/>
      </w:pPr>
    </w:lvl>
    <w:lvl w:ilvl="8" w:tplc="E332BB88" w:tentative="1">
      <w:start w:val="1"/>
      <w:numFmt w:val="lowerRoman"/>
      <w:lvlText w:val="%9."/>
      <w:lvlJc w:val="right"/>
      <w:pPr>
        <w:ind w:left="6247" w:hanging="180"/>
      </w:pPr>
    </w:lvl>
  </w:abstractNum>
  <w:num w:numId="1">
    <w:abstractNumId w:val="2"/>
  </w:num>
  <w:num w:numId="2">
    <w:abstractNumId w:val="20"/>
  </w:num>
  <w:num w:numId="3">
    <w:abstractNumId w:val="0"/>
    <w:lvlOverride w:ilvl="0">
      <w:lvl w:ilvl="0">
        <w:start w:val="1"/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21"/>
  </w:num>
  <w:num w:numId="6">
    <w:abstractNumId w:val="18"/>
  </w:num>
  <w:num w:numId="7">
    <w:abstractNumId w:val="11"/>
  </w:num>
  <w:num w:numId="8">
    <w:abstractNumId w:val="14"/>
  </w:num>
  <w:num w:numId="9">
    <w:abstractNumId w:val="26"/>
  </w:num>
  <w:num w:numId="10">
    <w:abstractNumId w:val="1"/>
  </w:num>
  <w:num w:numId="11">
    <w:abstractNumId w:val="23"/>
  </w:num>
  <w:num w:numId="12">
    <w:abstractNumId w:val="12"/>
  </w:num>
  <w:num w:numId="13">
    <w:abstractNumId w:val="7"/>
  </w:num>
  <w:num w:numId="14">
    <w:abstractNumId w:val="5"/>
  </w:num>
  <w:num w:numId="15">
    <w:abstractNumId w:val="0"/>
    <w:lvlOverride w:ilvl="0">
      <w:lvl w:ilvl="0">
        <w:start w:val="1"/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16">
    <w:abstractNumId w:val="24"/>
  </w:num>
  <w:num w:numId="17">
    <w:abstractNumId w:val="15"/>
  </w:num>
  <w:num w:numId="18">
    <w:abstractNumId w:val="17"/>
  </w:num>
  <w:num w:numId="19">
    <w:abstractNumId w:val="27"/>
  </w:num>
  <w:num w:numId="20">
    <w:abstractNumId w:val="19"/>
  </w:num>
  <w:num w:numId="21">
    <w:abstractNumId w:val="25"/>
  </w:num>
  <w:num w:numId="22">
    <w:abstractNumId w:val="22"/>
  </w:num>
  <w:num w:numId="23">
    <w:abstractNumId w:val="10"/>
  </w:num>
  <w:num w:numId="24">
    <w:abstractNumId w:val="25"/>
  </w:num>
  <w:num w:numId="25">
    <w:abstractNumId w:val="5"/>
  </w:num>
  <w:num w:numId="26">
    <w:abstractNumId w:val="9"/>
  </w:num>
  <w:num w:numId="27">
    <w:abstractNumId w:val="13"/>
  </w:num>
  <w:num w:numId="28">
    <w:abstractNumId w:val="16"/>
  </w:num>
  <w:num w:numId="29">
    <w:abstractNumId w:val="4"/>
  </w:num>
  <w:num w:numId="30">
    <w:abstractNumId w:val="28"/>
  </w:num>
  <w:num w:numId="31">
    <w:abstractNumId w:val="3"/>
  </w:num>
  <w:num w:numId="32">
    <w:abstractNumId w:val="8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gistered" w:val="-1"/>
    <w:docVar w:name="Version" w:val="0"/>
  </w:docVars>
  <w:rsids>
    <w:rsidRoot w:val="0022128D"/>
    <w:rsid w:val="000636F3"/>
    <w:rsid w:val="00091BB8"/>
    <w:rsid w:val="00102BAF"/>
    <w:rsid w:val="00162079"/>
    <w:rsid w:val="00184C11"/>
    <w:rsid w:val="001A2D7E"/>
    <w:rsid w:val="001A6695"/>
    <w:rsid w:val="001B7124"/>
    <w:rsid w:val="0022128D"/>
    <w:rsid w:val="002503BA"/>
    <w:rsid w:val="00262C2F"/>
    <w:rsid w:val="002B0BF0"/>
    <w:rsid w:val="002C42C6"/>
    <w:rsid w:val="00301C09"/>
    <w:rsid w:val="00354AFB"/>
    <w:rsid w:val="0036776A"/>
    <w:rsid w:val="00394C86"/>
    <w:rsid w:val="003C0902"/>
    <w:rsid w:val="003D7499"/>
    <w:rsid w:val="0042021F"/>
    <w:rsid w:val="00461094"/>
    <w:rsid w:val="00491349"/>
    <w:rsid w:val="004C1B51"/>
    <w:rsid w:val="0057594B"/>
    <w:rsid w:val="0058139E"/>
    <w:rsid w:val="005C199E"/>
    <w:rsid w:val="0071425D"/>
    <w:rsid w:val="007400DD"/>
    <w:rsid w:val="00764419"/>
    <w:rsid w:val="007B7AD4"/>
    <w:rsid w:val="007C56B0"/>
    <w:rsid w:val="0084503B"/>
    <w:rsid w:val="00851D41"/>
    <w:rsid w:val="00881540"/>
    <w:rsid w:val="0088352C"/>
    <w:rsid w:val="008C3E2C"/>
    <w:rsid w:val="008D61C7"/>
    <w:rsid w:val="0096059C"/>
    <w:rsid w:val="00967025"/>
    <w:rsid w:val="009B626D"/>
    <w:rsid w:val="009C619E"/>
    <w:rsid w:val="009D1F98"/>
    <w:rsid w:val="00A4740A"/>
    <w:rsid w:val="00A66194"/>
    <w:rsid w:val="00A80AD0"/>
    <w:rsid w:val="00AA4CA5"/>
    <w:rsid w:val="00AB03F0"/>
    <w:rsid w:val="00AB2A9F"/>
    <w:rsid w:val="00B26325"/>
    <w:rsid w:val="00B310EE"/>
    <w:rsid w:val="00B6500B"/>
    <w:rsid w:val="00B744D6"/>
    <w:rsid w:val="00B81466"/>
    <w:rsid w:val="00B9417E"/>
    <w:rsid w:val="00BB6D90"/>
    <w:rsid w:val="00BD6971"/>
    <w:rsid w:val="00C11676"/>
    <w:rsid w:val="00C35B70"/>
    <w:rsid w:val="00CD1283"/>
    <w:rsid w:val="00CE151B"/>
    <w:rsid w:val="00E20FC3"/>
    <w:rsid w:val="00E25A12"/>
    <w:rsid w:val="00E279B0"/>
    <w:rsid w:val="00F902C0"/>
    <w:rsid w:val="00FA2344"/>
    <w:rsid w:val="00FC5A3E"/>
    <w:rsid w:val="00FD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5:docId w15:val="{CA236127-4D17-4CBC-99F7-C7263E01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PT" w:eastAsia="pt-PT" w:bidi="pt-PT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D16"/>
    <w:pPr>
      <w:tabs>
        <w:tab w:val="left" w:pos="567"/>
      </w:tabs>
      <w:spacing w:line="260" w:lineRule="exact"/>
    </w:pPr>
    <w:rPr>
      <w:rFonts w:eastAsia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536"/>
        <w:tab w:val="right" w:pos="8306"/>
      </w:tabs>
    </w:pPr>
    <w:rPr>
      <w:rFonts w:ascii="Arial" w:hAnsi="Arial"/>
      <w:noProof/>
      <w:sz w:val="16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customStyle="1" w:styleId="MemoHeaderStyle">
    <w:name w:val="MemoHeaderStyle"/>
    <w:basedOn w:val="Normal"/>
    <w:next w:val="Normal"/>
    <w:pPr>
      <w:spacing w:line="120" w:lineRule="atLeast"/>
      <w:ind w:left="1418"/>
      <w:jc w:val="both"/>
    </w:pPr>
    <w:rPr>
      <w:rFonts w:ascii="Arial" w:hAnsi="Arial"/>
      <w:b/>
      <w:smallCaps/>
    </w:rPr>
  </w:style>
  <w:style w:type="character" w:styleId="PageNumber">
    <w:name w:val="page number"/>
    <w:basedOn w:val="DefaultParagraphFont"/>
    <w:rsid w:val="00812D16"/>
  </w:style>
  <w:style w:type="paragraph" w:styleId="BodyText">
    <w:name w:val="Body Text"/>
    <w:basedOn w:val="Normal"/>
    <w:rsid w:val="00812D16"/>
    <w:pPr>
      <w:tabs>
        <w:tab w:val="clear" w:pos="567"/>
      </w:tabs>
      <w:spacing w:line="240" w:lineRule="auto"/>
    </w:pPr>
    <w:rPr>
      <w:i/>
      <w:color w:val="008000"/>
    </w:rPr>
  </w:style>
  <w:style w:type="paragraph" w:styleId="CommentText">
    <w:name w:val="annotation text"/>
    <w:basedOn w:val="Normal"/>
    <w:link w:val="CommentTextChar"/>
    <w:semiHidden/>
    <w:unhideWhenUsed/>
    <w:pPr>
      <w:spacing w:line="240" w:lineRule="auto"/>
    </w:pPr>
    <w:rPr>
      <w:sz w:val="20"/>
    </w:rPr>
  </w:style>
  <w:style w:type="character" w:styleId="Hyperlink">
    <w:name w:val="Hyperlink"/>
    <w:rsid w:val="00812D16"/>
    <w:rPr>
      <w:color w:val="0000FF"/>
      <w:u w:val="single"/>
    </w:rPr>
  </w:style>
  <w:style w:type="paragraph" w:customStyle="1" w:styleId="EMEAEnBodyText">
    <w:name w:val="EMEA En Body Text"/>
    <w:basedOn w:val="Normal"/>
    <w:rsid w:val="00812D16"/>
    <w:pPr>
      <w:tabs>
        <w:tab w:val="clear" w:pos="567"/>
      </w:tabs>
      <w:spacing w:before="120" w:after="120" w:line="240" w:lineRule="auto"/>
      <w:jc w:val="both"/>
    </w:pPr>
  </w:style>
  <w:style w:type="paragraph" w:styleId="BalloonText">
    <w:name w:val="Balloon Text"/>
    <w:basedOn w:val="Normal"/>
    <w:semiHidden/>
    <w:rsid w:val="00A20C7F"/>
    <w:rPr>
      <w:rFonts w:ascii="Tahoma" w:hAnsi="Tahoma" w:cs="Tahoma"/>
      <w:sz w:val="16"/>
      <w:szCs w:val="16"/>
    </w:rPr>
  </w:style>
  <w:style w:type="paragraph" w:customStyle="1" w:styleId="BodytextAgency">
    <w:name w:val="Body text (Agency)"/>
    <w:basedOn w:val="Normal"/>
    <w:link w:val="BodytextAgencyChar"/>
    <w:qFormat/>
    <w:rsid w:val="00345F9C"/>
    <w:pPr>
      <w:tabs>
        <w:tab w:val="clear" w:pos="567"/>
      </w:tabs>
      <w:spacing w:after="140" w:line="280" w:lineRule="atLeast"/>
    </w:pPr>
    <w:rPr>
      <w:rFonts w:ascii="Verdana" w:eastAsia="Verdana" w:hAnsi="Verdana" w:cs="Verdana"/>
      <w:sz w:val="18"/>
      <w:szCs w:val="18"/>
    </w:rPr>
  </w:style>
  <w:style w:type="character" w:customStyle="1" w:styleId="BodytextAgencyChar">
    <w:name w:val="Body text (Agency) Char"/>
    <w:link w:val="BodytextAgency"/>
    <w:rsid w:val="00345F9C"/>
    <w:rPr>
      <w:rFonts w:ascii="Verdana" w:eastAsia="Verdana" w:hAnsi="Verdana" w:cs="Verdana"/>
      <w:sz w:val="18"/>
      <w:szCs w:val="18"/>
      <w:lang w:val="pt-PT" w:eastAsia="pt-PT" w:bidi="pt-PT"/>
    </w:rPr>
  </w:style>
  <w:style w:type="paragraph" w:customStyle="1" w:styleId="DraftingNotesAgency">
    <w:name w:val="Drafting Notes (Agency)"/>
    <w:basedOn w:val="Normal"/>
    <w:next w:val="BodytextAgency"/>
    <w:link w:val="DraftingNotesAgencyChar"/>
    <w:rsid w:val="00345F9C"/>
    <w:pPr>
      <w:tabs>
        <w:tab w:val="clear" w:pos="567"/>
      </w:tabs>
      <w:spacing w:after="140" w:line="280" w:lineRule="atLeast"/>
    </w:pPr>
    <w:rPr>
      <w:rFonts w:ascii="Courier New" w:eastAsia="Verdana" w:hAnsi="Courier New"/>
      <w:i/>
      <w:color w:val="339966"/>
      <w:szCs w:val="18"/>
    </w:rPr>
  </w:style>
  <w:style w:type="character" w:customStyle="1" w:styleId="DraftingNotesAgencyChar">
    <w:name w:val="Drafting Notes (Agency) Char"/>
    <w:link w:val="DraftingNotesAgency"/>
    <w:rsid w:val="00345F9C"/>
    <w:rPr>
      <w:rFonts w:ascii="Courier New" w:eastAsia="Verdana" w:hAnsi="Courier New"/>
      <w:i/>
      <w:color w:val="339966"/>
      <w:sz w:val="22"/>
      <w:szCs w:val="18"/>
      <w:lang w:val="pt-PT" w:eastAsia="pt-PT" w:bidi="pt-PT"/>
    </w:rPr>
  </w:style>
  <w:style w:type="paragraph" w:customStyle="1" w:styleId="NormalAgency">
    <w:name w:val="Normal (Agency)"/>
    <w:link w:val="NormalAgencyChar"/>
    <w:rsid w:val="00C179B0"/>
    <w:rPr>
      <w:rFonts w:ascii="Verdana" w:eastAsia="Verdana" w:hAnsi="Verdana" w:cs="Verdana"/>
      <w:sz w:val="18"/>
      <w:szCs w:val="18"/>
    </w:rPr>
  </w:style>
  <w:style w:type="table" w:customStyle="1" w:styleId="TablegridAgencyblack">
    <w:name w:val="Table grid (Agency) black"/>
    <w:basedOn w:val="TableNormal"/>
    <w:semiHidden/>
    <w:rsid w:val="00C179B0"/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auto"/>
    </w:tcPr>
    <w:tblStylePr w:type="firstRow">
      <w:rPr>
        <w:rFonts w:ascii="Times New Roman" w:hAnsi="Times New Roman"/>
        <w:b/>
        <w:i w:val="0"/>
        <w:color w:val="auto"/>
        <w:sz w:val="18"/>
        <w:szCs w:val="18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auto"/>
      </w:tcPr>
    </w:tblStylePr>
  </w:style>
  <w:style w:type="paragraph" w:customStyle="1" w:styleId="TableheadingrowsAgency">
    <w:name w:val="Table heading rows (Agency)"/>
    <w:basedOn w:val="BodytextAgency"/>
    <w:rsid w:val="00C179B0"/>
    <w:pPr>
      <w:keepNext/>
    </w:pPr>
    <w:rPr>
      <w:rFonts w:eastAsia="Times New Roman"/>
      <w:b/>
    </w:rPr>
  </w:style>
  <w:style w:type="paragraph" w:customStyle="1" w:styleId="TabletextrowsAgency">
    <w:name w:val="Table text rows (Agency)"/>
    <w:basedOn w:val="Normal"/>
    <w:rsid w:val="00C179B0"/>
    <w:pPr>
      <w:tabs>
        <w:tab w:val="clear" w:pos="567"/>
      </w:tabs>
      <w:spacing w:line="280" w:lineRule="exact"/>
    </w:pPr>
    <w:rPr>
      <w:rFonts w:ascii="Verdana" w:hAnsi="Verdana" w:cs="Verdana"/>
      <w:sz w:val="18"/>
      <w:szCs w:val="18"/>
    </w:rPr>
  </w:style>
  <w:style w:type="character" w:customStyle="1" w:styleId="NormalAgencyChar">
    <w:name w:val="Normal (Agency) Char"/>
    <w:link w:val="NormalAgency"/>
    <w:rsid w:val="00C179B0"/>
    <w:rPr>
      <w:rFonts w:ascii="Verdana" w:eastAsia="Verdana" w:hAnsi="Verdana" w:cs="Verdana"/>
      <w:sz w:val="18"/>
      <w:szCs w:val="18"/>
      <w:lang w:val="pt-PT" w:eastAsia="pt-PT" w:bidi="pt-PT"/>
    </w:rPr>
  </w:style>
  <w:style w:type="character" w:styleId="CommentReference">
    <w:name w:val="annotation reference"/>
    <w:basedOn w:val="DefaultParagraphFont"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BC6DC2"/>
    <w:rPr>
      <w:b/>
      <w:bCs/>
    </w:rPr>
  </w:style>
  <w:style w:type="character" w:customStyle="1" w:styleId="CommentTextChar">
    <w:name w:val="Comment Text Char"/>
    <w:link w:val="CommentText"/>
    <w:semiHidden/>
    <w:rsid w:val="00BC6DC2"/>
    <w:rPr>
      <w:rFonts w:eastAsia="Times New Roman"/>
      <w:lang w:eastAsia="pt-PT"/>
    </w:rPr>
  </w:style>
  <w:style w:type="character" w:customStyle="1" w:styleId="CommentSubjectChar">
    <w:name w:val="Comment Subject Char"/>
    <w:link w:val="CommentSubject"/>
    <w:rsid w:val="00BC6DC2"/>
    <w:rPr>
      <w:rFonts w:eastAsia="Times New Roman"/>
      <w:b/>
      <w:bCs/>
      <w:lang w:eastAsia="pt-PT"/>
    </w:rPr>
  </w:style>
  <w:style w:type="paragraph" w:styleId="Revision">
    <w:name w:val="Revision"/>
    <w:hidden/>
    <w:uiPriority w:val="99"/>
    <w:semiHidden/>
    <w:rsid w:val="00B21BE7"/>
    <w:rPr>
      <w:rFonts w:eastAsia="Times New Roman"/>
      <w:sz w:val="22"/>
    </w:rPr>
  </w:style>
  <w:style w:type="paragraph" w:customStyle="1" w:styleId="Default">
    <w:name w:val="Default"/>
    <w:rsid w:val="00C63A9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784"/>
    <w:pPr>
      <w:ind w:left="720"/>
      <w:contextualSpacing/>
    </w:pPr>
  </w:style>
  <w:style w:type="character" w:customStyle="1" w:styleId="st">
    <w:name w:val="st"/>
    <w:basedOn w:val="DefaultParagraphFont"/>
    <w:rsid w:val="00184C11"/>
  </w:style>
  <w:style w:type="paragraph" w:customStyle="1" w:styleId="TitleA">
    <w:name w:val="Title A"/>
    <w:basedOn w:val="Normal"/>
    <w:qFormat/>
    <w:rsid w:val="00FC5A3E"/>
    <w:pPr>
      <w:widowControl w:val="0"/>
      <w:autoSpaceDE w:val="0"/>
      <w:autoSpaceDN w:val="0"/>
      <w:adjustRightInd w:val="0"/>
      <w:spacing w:after="140" w:line="280" w:lineRule="atLeast"/>
      <w:ind w:right="120"/>
      <w:jc w:val="center"/>
    </w:pPr>
    <w:rPr>
      <w:rFonts w:cs="Verdana"/>
      <w:b/>
      <w:bCs/>
      <w:color w:val="000000"/>
      <w:sz w:val="24"/>
      <w:szCs w:val="24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uprior.com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ema.europa.eu.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ema.europa.eu/docs/en_GB/document_library/Template_or_form/2013/03/WC500139752.doc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ema.europa.eu/docs/en_GB/document_library/Template_or_form/2013/03/WC500139752.doc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cupri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F91DD1AE57B44B1BCEB7F1056F5D0" ma:contentTypeVersion="6" ma:contentTypeDescription="Create a new document." ma:contentTypeScope="" ma:versionID="80d1dd17cb0c17b7740334051d5d16b2">
  <xsd:schema xmlns:xsd="http://www.w3.org/2001/XMLSchema" xmlns:xs="http://www.w3.org/2001/XMLSchema" xmlns:p="http://schemas.microsoft.com/office/2006/metadata/properties" xmlns:ns2="a6a35199-84b7-4ca5-aa1c-39e9ca4c46ff" xmlns:ns3="0ac2e3cc-46bd-4320-b2ac-d7f7d167e1a9" targetNamespace="http://schemas.microsoft.com/office/2006/metadata/properties" ma:root="true" ma:fieldsID="c170dc105f61f60cf84b7b3e6d807e4f" ns2:_="" ns3:_="">
    <xsd:import namespace="a6a35199-84b7-4ca5-aa1c-39e9ca4c46ff"/>
    <xsd:import namespace="0ac2e3cc-46bd-4320-b2ac-d7f7d167e1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35199-84b7-4ca5-aa1c-39e9ca4c46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2e3cc-46bd-4320-b2ac-d7f7d167e1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405B6-3FCC-4C80-87DE-184A47B830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10B0DD-3A40-4B2B-B466-4930D7B8DBCD}"/>
</file>

<file path=customXml/itemProps3.xml><?xml version="1.0" encoding="utf-8"?>
<ds:datastoreItem xmlns:ds="http://schemas.openxmlformats.org/officeDocument/2006/customXml" ds:itemID="{231B58B2-D365-4103-87DF-CCBA10A409D6}">
  <ds:schemaRefs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9584C48-2C97-4E97-84A9-E4007EF66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5068</Words>
  <Characters>28589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Cuprior, INN-Trientine tetrahydrochloride</vt:lpstr>
    </vt:vector>
  </TitlesOfParts>
  <Company>VCLS</Company>
  <LinksUpToDate>false</LinksUpToDate>
  <CharactersWithSpaces>33590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ema-combined-h-4005-pt-annotated</dc:title>
  <dc:subject>EPAR</dc:subject>
  <dc:creator>CHMP</dc:creator>
  <cp:keywords>Cuprior, INN-Trientine tetrahydrochloride</cp:keywords>
  <cp:lastModifiedBy>Scanlan Elizabeth</cp:lastModifiedBy>
  <cp:revision>12</cp:revision>
  <cp:lastPrinted>2019-05-19T19:23:00Z</cp:lastPrinted>
  <dcterms:created xsi:type="dcterms:W3CDTF">2019-08-27T10:20:00Z</dcterms:created>
  <dcterms:modified xsi:type="dcterms:W3CDTF">2021-05-24T19:47:00Z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0x010100726F91DD1AE57B44B1BCEB7F1056F5D0</vt:lpwstr>
  </property>
  <property fmtid="{D5CDD505-2E9C-101B-9397-08002B2CF9AE}" pid="3" name="DM_Author">
    <vt:lpwstr/>
  </property>
  <property fmtid="{D5CDD505-2E9C-101B-9397-08002B2CF9AE}" pid="4" name="DM_Category">
    <vt:lpwstr>Product Information</vt:lpwstr>
  </property>
  <property fmtid="{D5CDD505-2E9C-101B-9397-08002B2CF9AE}" pid="5" name="DM_Creation_Date">
    <vt:lpwstr>28/08/2020 15:44:23</vt:lpwstr>
  </property>
  <property fmtid="{D5CDD505-2E9C-101B-9397-08002B2CF9AE}" pid="6" name="DM_Creator_Name">
    <vt:lpwstr>Leszczynska Edyta</vt:lpwstr>
  </property>
  <property fmtid="{D5CDD505-2E9C-101B-9397-08002B2CF9AE}" pid="7" name="DM_DocRefId">
    <vt:lpwstr>EMA/458169/2020</vt:lpwstr>
  </property>
  <property fmtid="{D5CDD505-2E9C-101B-9397-08002B2CF9AE}" pid="8" name="DM_emea_doc_ref_id">
    <vt:lpwstr>EMA/458169/2020</vt:lpwstr>
  </property>
  <property fmtid="{D5CDD505-2E9C-101B-9397-08002B2CF9AE}" pid="9" name="DM_Keywords">
    <vt:lpwstr/>
  </property>
  <property fmtid="{D5CDD505-2E9C-101B-9397-08002B2CF9AE}" pid="10" name="DM_Language">
    <vt:lpwstr/>
  </property>
  <property fmtid="{D5CDD505-2E9C-101B-9397-08002B2CF9AE}" pid="11" name="DM_Modifer_Name">
    <vt:lpwstr>Leszczynska Edyta</vt:lpwstr>
  </property>
  <property fmtid="{D5CDD505-2E9C-101B-9397-08002B2CF9AE}" pid="12" name="DM_Modified_Date">
    <vt:lpwstr>28/08/2020 15:44:23</vt:lpwstr>
  </property>
  <property fmtid="{D5CDD505-2E9C-101B-9397-08002B2CF9AE}" pid="13" name="DM_Modifier_Name">
    <vt:lpwstr>Leszczynska Edyta</vt:lpwstr>
  </property>
  <property fmtid="{D5CDD505-2E9C-101B-9397-08002B2CF9AE}" pid="14" name="DM_Modify_Date">
    <vt:lpwstr>28/08/2020 15:44:23</vt:lpwstr>
  </property>
  <property fmtid="{D5CDD505-2E9C-101B-9397-08002B2CF9AE}" pid="15" name="DM_Name">
    <vt:lpwstr>ema-combined-h-4005-pt-annotated</vt:lpwstr>
  </property>
  <property fmtid="{D5CDD505-2E9C-101B-9397-08002B2CF9AE}" pid="16" name="DM_Path">
    <vt:lpwstr>/01. Evaluation of Medicines/H-C/A-C/Cuprior - 004005/05 Post Authorisation/Post Activities/2020-xx-xx-4005-IAIN-0015/PI and EPAR documents/Word highlighted</vt:lpwstr>
  </property>
  <property fmtid="{D5CDD505-2E9C-101B-9397-08002B2CF9AE}" pid="17" name="DM_Status">
    <vt:lpwstr/>
  </property>
  <property fmtid="{D5CDD505-2E9C-101B-9397-08002B2CF9AE}" pid="18" name="DM_Subject">
    <vt:lpwstr/>
  </property>
  <property fmtid="{D5CDD505-2E9C-101B-9397-08002B2CF9AE}" pid="19" name="DM_Title">
    <vt:lpwstr/>
  </property>
  <property fmtid="{D5CDD505-2E9C-101B-9397-08002B2CF9AE}" pid="20" name="DM_Type">
    <vt:lpwstr>emea_document</vt:lpwstr>
  </property>
  <property fmtid="{D5CDD505-2E9C-101B-9397-08002B2CF9AE}" pid="21" name="DM_Version">
    <vt:lpwstr>1.0,CURRENT</vt:lpwstr>
  </property>
  <property fmtid="{D5CDD505-2E9C-101B-9397-08002B2CF9AE}" pid="22" name="MSIP_Label_0eea11ca-d417-4147-80ed-01a58412c458_Enabled">
    <vt:lpwstr>true</vt:lpwstr>
  </property>
  <property fmtid="{D5CDD505-2E9C-101B-9397-08002B2CF9AE}" pid="23" name="MSIP_Label_0eea11ca-d417-4147-80ed-01a58412c458_SetDate">
    <vt:lpwstr>2021-05-24T19:47:18Z</vt:lpwstr>
  </property>
  <property fmtid="{D5CDD505-2E9C-101B-9397-08002B2CF9AE}" pid="24" name="MSIP_Label_0eea11ca-d417-4147-80ed-01a58412c458_Method">
    <vt:lpwstr>Standard</vt:lpwstr>
  </property>
  <property fmtid="{D5CDD505-2E9C-101B-9397-08002B2CF9AE}" pid="25" name="MSIP_Label_0eea11ca-d417-4147-80ed-01a58412c458_Name">
    <vt:lpwstr>0eea11ca-d417-4147-80ed-01a58412c458</vt:lpwstr>
  </property>
  <property fmtid="{D5CDD505-2E9C-101B-9397-08002B2CF9AE}" pid="26" name="MSIP_Label_0eea11ca-d417-4147-80ed-01a58412c458_SiteId">
    <vt:lpwstr>bc9dc15c-61bc-4f03-b60b-e5b6d8922839</vt:lpwstr>
  </property>
  <property fmtid="{D5CDD505-2E9C-101B-9397-08002B2CF9AE}" pid="27" name="MSIP_Label_0eea11ca-d417-4147-80ed-01a58412c458_ActionId">
    <vt:lpwstr>fc03744f-b80c-4f78-b0c8-f77cc31e7393</vt:lpwstr>
  </property>
  <property fmtid="{D5CDD505-2E9C-101B-9397-08002B2CF9AE}" pid="28" name="MSIP_Label_0eea11ca-d417-4147-80ed-01a58412c458_ContentBits">
    <vt:lpwstr>2</vt:lpwstr>
  </property>
</Properties>
</file>