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FF3" w:rsidRPr="007722A3" w:rsidRDefault="008F7FF3" w:rsidP="00AF22ED">
      <w:pPr>
        <w:pStyle w:val="BodyText"/>
      </w:pPr>
      <w:bookmarkStart w:id="0" w:name="_GoBack"/>
      <w:bookmarkEnd w:id="0"/>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Heading1"/>
        <w:rPr>
          <w:lang w:val="en-GB"/>
        </w:rPr>
      </w:pPr>
      <w:r w:rsidRPr="007722A3">
        <w:rPr>
          <w:lang w:val="en-GB"/>
        </w:rPr>
        <w:t>ANNEX I</w:t>
      </w:r>
    </w:p>
    <w:p w:rsidR="008F7FF3" w:rsidRPr="007722A3" w:rsidRDefault="008F7FF3">
      <w:pPr>
        <w:pStyle w:val="BodyText"/>
        <w:jc w:val="center"/>
        <w:rPr>
          <w:b/>
          <w:bCs/>
        </w:rPr>
      </w:pPr>
    </w:p>
    <w:p w:rsidR="008F7FF3" w:rsidRPr="007722A3" w:rsidRDefault="008F7FF3" w:rsidP="002628EF">
      <w:pPr>
        <w:pStyle w:val="TitleA"/>
      </w:pPr>
      <w:r w:rsidRPr="007722A3">
        <w:t>SUMMARY OF PRODUCT CHARACTERISTICS</w:t>
      </w:r>
    </w:p>
    <w:p w:rsidR="008F7FF3" w:rsidRPr="007722A3" w:rsidRDefault="008F7FF3">
      <w:pPr>
        <w:pStyle w:val="Noraml"/>
        <w:outlineLvl w:val="9"/>
        <w:rPr>
          <w:bCs/>
        </w:rPr>
      </w:pPr>
      <w:r w:rsidRPr="007722A3">
        <w:br w:type="page"/>
      </w:r>
      <w:r w:rsidRPr="007722A3">
        <w:rPr>
          <w:bCs/>
        </w:rPr>
        <w:lastRenderedPageBreak/>
        <w:t>1.</w:t>
      </w:r>
      <w:r w:rsidRPr="007722A3">
        <w:rPr>
          <w:bCs/>
        </w:rPr>
        <w:tab/>
        <w:t>NAME OF THE MEDICINAL PRODUCT</w:t>
      </w:r>
    </w:p>
    <w:p w:rsidR="008F7FF3" w:rsidRPr="007722A3" w:rsidRDefault="008F7FF3">
      <w:pPr>
        <w:rPr>
          <w:b/>
          <w:sz w:val="22"/>
          <w:szCs w:val="22"/>
          <w:lang w:val="en-GB"/>
        </w:rPr>
      </w:pPr>
    </w:p>
    <w:p w:rsidR="008F7FF3" w:rsidRPr="007722A3" w:rsidRDefault="008F7FF3">
      <w:pPr>
        <w:rPr>
          <w:sz w:val="22"/>
          <w:szCs w:val="22"/>
          <w:lang w:val="en-GB"/>
        </w:rPr>
      </w:pPr>
      <w:r w:rsidRPr="007722A3">
        <w:rPr>
          <w:sz w:val="22"/>
          <w:szCs w:val="22"/>
          <w:lang w:val="en-GB"/>
        </w:rPr>
        <w:t>Ferriprox 500 mg film-coated tablets</w:t>
      </w:r>
    </w:p>
    <w:p w:rsidR="006D793D" w:rsidRPr="007722A3" w:rsidRDefault="006D793D" w:rsidP="006D793D">
      <w:pPr>
        <w:rPr>
          <w:sz w:val="22"/>
          <w:szCs w:val="22"/>
          <w:lang w:val="en-GB"/>
        </w:rPr>
      </w:pPr>
      <w:r w:rsidRPr="007722A3">
        <w:rPr>
          <w:sz w:val="22"/>
          <w:szCs w:val="22"/>
          <w:lang w:val="en-GB"/>
        </w:rPr>
        <w:t>Ferriprox 1000 mg film-coated tablets</w:t>
      </w:r>
    </w:p>
    <w:p w:rsidR="008F7FF3" w:rsidRPr="007722A3" w:rsidRDefault="008F7FF3" w:rsidP="006D793D">
      <w:pPr>
        <w:tabs>
          <w:tab w:val="left" w:pos="1056"/>
        </w:tabs>
        <w:rPr>
          <w:b/>
          <w:sz w:val="22"/>
          <w:szCs w:val="22"/>
          <w:lang w:val="en-GB"/>
        </w:rPr>
      </w:pPr>
    </w:p>
    <w:p w:rsidR="008F7FF3" w:rsidRPr="007722A3" w:rsidRDefault="008F7FF3">
      <w:pPr>
        <w:rPr>
          <w:b/>
          <w:sz w:val="22"/>
          <w:szCs w:val="22"/>
          <w:lang w:val="en-GB"/>
        </w:rPr>
      </w:pPr>
    </w:p>
    <w:p w:rsidR="008F7FF3" w:rsidRPr="007722A3" w:rsidRDefault="008F7FF3">
      <w:pPr>
        <w:pStyle w:val="Noraml"/>
        <w:outlineLvl w:val="9"/>
        <w:rPr>
          <w:caps/>
        </w:rPr>
      </w:pPr>
      <w:r w:rsidRPr="007722A3">
        <w:rPr>
          <w:caps/>
        </w:rPr>
        <w:t>2.</w:t>
      </w:r>
      <w:r w:rsidRPr="007722A3">
        <w:rPr>
          <w:caps/>
        </w:rPr>
        <w:tab/>
        <w:t>Qualitative and quantitative composition</w:t>
      </w:r>
    </w:p>
    <w:p w:rsidR="008F7FF3" w:rsidRPr="007722A3" w:rsidRDefault="008F7FF3">
      <w:pPr>
        <w:rPr>
          <w:b/>
          <w:sz w:val="22"/>
          <w:szCs w:val="22"/>
          <w:lang w:val="en-GB"/>
        </w:rPr>
      </w:pPr>
    </w:p>
    <w:p w:rsidR="006D793D" w:rsidRPr="006D793D" w:rsidRDefault="006D793D" w:rsidP="006D793D">
      <w:pPr>
        <w:rPr>
          <w:sz w:val="22"/>
          <w:szCs w:val="22"/>
          <w:u w:val="single"/>
          <w:lang w:val="en-GB"/>
        </w:rPr>
      </w:pPr>
      <w:r w:rsidRPr="006D793D">
        <w:rPr>
          <w:sz w:val="22"/>
          <w:szCs w:val="22"/>
          <w:u w:val="single"/>
          <w:lang w:val="en-GB"/>
        </w:rPr>
        <w:t>Ferriprox 500 mg film-coated tablets</w:t>
      </w:r>
    </w:p>
    <w:p w:rsidR="008F7FF3" w:rsidRPr="007722A3" w:rsidRDefault="008F7FF3">
      <w:pPr>
        <w:rPr>
          <w:sz w:val="22"/>
          <w:szCs w:val="22"/>
          <w:lang w:val="en-GB"/>
        </w:rPr>
      </w:pPr>
      <w:r w:rsidRPr="007722A3">
        <w:rPr>
          <w:sz w:val="22"/>
          <w:szCs w:val="22"/>
          <w:lang w:val="en-GB"/>
        </w:rPr>
        <w:t>Each tablet contains 500 mg deferiprone.</w:t>
      </w:r>
    </w:p>
    <w:p w:rsidR="008F7FF3" w:rsidRDefault="008F7FF3">
      <w:pPr>
        <w:rPr>
          <w:sz w:val="22"/>
          <w:szCs w:val="22"/>
          <w:lang w:val="en-GB"/>
        </w:rPr>
      </w:pPr>
    </w:p>
    <w:p w:rsidR="006D793D" w:rsidRPr="006D793D" w:rsidRDefault="006D793D" w:rsidP="006D793D">
      <w:pPr>
        <w:rPr>
          <w:sz w:val="22"/>
          <w:szCs w:val="22"/>
          <w:u w:val="single"/>
          <w:lang w:val="en-GB"/>
        </w:rPr>
      </w:pPr>
      <w:r w:rsidRPr="006D793D">
        <w:rPr>
          <w:sz w:val="22"/>
          <w:szCs w:val="22"/>
          <w:u w:val="single"/>
          <w:lang w:val="en-GB"/>
        </w:rPr>
        <w:t>Ferriprox 1000 mg film-coated tablets</w:t>
      </w:r>
    </w:p>
    <w:p w:rsidR="006D793D" w:rsidRDefault="006D793D">
      <w:pPr>
        <w:rPr>
          <w:sz w:val="22"/>
          <w:szCs w:val="22"/>
          <w:lang w:val="en-GB"/>
        </w:rPr>
      </w:pPr>
      <w:r w:rsidRPr="007722A3">
        <w:rPr>
          <w:sz w:val="22"/>
          <w:szCs w:val="22"/>
          <w:lang w:val="en-GB"/>
        </w:rPr>
        <w:t>Each tablet contains 1000 mg deferiprone.</w:t>
      </w:r>
    </w:p>
    <w:p w:rsidR="006D793D" w:rsidRPr="007722A3" w:rsidRDefault="006D793D">
      <w:pPr>
        <w:rPr>
          <w:sz w:val="22"/>
          <w:szCs w:val="22"/>
          <w:lang w:val="en-GB"/>
        </w:rPr>
      </w:pPr>
    </w:p>
    <w:p w:rsidR="008F7FF3" w:rsidRPr="007722A3" w:rsidRDefault="008F7FF3">
      <w:pPr>
        <w:rPr>
          <w:sz w:val="22"/>
          <w:szCs w:val="22"/>
          <w:lang w:val="en-GB"/>
        </w:rPr>
      </w:pPr>
      <w:r w:rsidRPr="007722A3">
        <w:rPr>
          <w:sz w:val="22"/>
          <w:szCs w:val="22"/>
          <w:lang w:val="en-GB"/>
        </w:rPr>
        <w:t xml:space="preserve">For </w:t>
      </w:r>
      <w:r w:rsidR="001276DC" w:rsidRPr="007722A3">
        <w:rPr>
          <w:sz w:val="22"/>
          <w:szCs w:val="22"/>
          <w:lang w:val="en-GB"/>
        </w:rPr>
        <w:t xml:space="preserve">the </w:t>
      </w:r>
      <w:r w:rsidRPr="007722A3">
        <w:rPr>
          <w:sz w:val="22"/>
          <w:szCs w:val="22"/>
          <w:lang w:val="en-GB"/>
        </w:rPr>
        <w:t>full list of excipients, see section 6.1.</w:t>
      </w:r>
    </w:p>
    <w:p w:rsidR="008F7FF3" w:rsidRPr="007722A3" w:rsidRDefault="008F7FF3">
      <w:pPr>
        <w:rPr>
          <w:b/>
          <w:caps/>
          <w:sz w:val="22"/>
          <w:szCs w:val="22"/>
          <w:lang w:val="en-GB"/>
        </w:rPr>
      </w:pPr>
    </w:p>
    <w:p w:rsidR="008F7FF3" w:rsidRPr="007722A3" w:rsidRDefault="008F7FF3">
      <w:pPr>
        <w:rPr>
          <w:b/>
          <w:caps/>
          <w:sz w:val="22"/>
          <w:szCs w:val="22"/>
          <w:lang w:val="en-GB"/>
        </w:rPr>
      </w:pPr>
    </w:p>
    <w:p w:rsidR="008F7FF3" w:rsidRPr="007722A3" w:rsidRDefault="008F7FF3">
      <w:pPr>
        <w:pStyle w:val="Noraml"/>
        <w:outlineLvl w:val="9"/>
        <w:rPr>
          <w:caps/>
        </w:rPr>
      </w:pPr>
      <w:r w:rsidRPr="007722A3">
        <w:rPr>
          <w:caps/>
        </w:rPr>
        <w:t>3.</w:t>
      </w:r>
      <w:r w:rsidRPr="007722A3">
        <w:rPr>
          <w:caps/>
        </w:rPr>
        <w:tab/>
        <w:t>Pharmaceutical form</w:t>
      </w:r>
    </w:p>
    <w:p w:rsidR="008F7FF3" w:rsidRPr="007722A3" w:rsidRDefault="008F7FF3">
      <w:pPr>
        <w:rPr>
          <w:b/>
          <w:sz w:val="22"/>
          <w:szCs w:val="22"/>
          <w:lang w:val="en-GB"/>
        </w:rPr>
      </w:pPr>
    </w:p>
    <w:p w:rsidR="008F7FF3" w:rsidRPr="007722A3" w:rsidRDefault="008F7FF3">
      <w:pPr>
        <w:rPr>
          <w:b/>
          <w:sz w:val="22"/>
          <w:szCs w:val="22"/>
          <w:lang w:val="en-GB"/>
        </w:rPr>
      </w:pPr>
      <w:r w:rsidRPr="007722A3">
        <w:rPr>
          <w:sz w:val="22"/>
          <w:szCs w:val="22"/>
          <w:lang w:val="en-GB"/>
        </w:rPr>
        <w:t>Film-coated tablet.</w:t>
      </w:r>
    </w:p>
    <w:p w:rsidR="008F7FF3" w:rsidRPr="007722A3" w:rsidRDefault="008F7FF3">
      <w:pPr>
        <w:rPr>
          <w:sz w:val="22"/>
          <w:szCs w:val="22"/>
          <w:lang w:val="en-GB"/>
        </w:rPr>
      </w:pPr>
    </w:p>
    <w:p w:rsidR="006D793D" w:rsidRPr="006D793D" w:rsidRDefault="006D793D" w:rsidP="006D793D">
      <w:pPr>
        <w:rPr>
          <w:sz w:val="22"/>
          <w:szCs w:val="22"/>
          <w:u w:val="single"/>
          <w:lang w:val="en-GB"/>
        </w:rPr>
      </w:pPr>
      <w:r w:rsidRPr="006D793D">
        <w:rPr>
          <w:sz w:val="22"/>
          <w:szCs w:val="22"/>
          <w:u w:val="single"/>
          <w:lang w:val="en-GB"/>
        </w:rPr>
        <w:t>Ferriprox 500 mg film-coated tablets</w:t>
      </w:r>
    </w:p>
    <w:p w:rsidR="008F7FF3" w:rsidRPr="007722A3" w:rsidRDefault="008F7FF3">
      <w:pPr>
        <w:rPr>
          <w:sz w:val="22"/>
          <w:szCs w:val="22"/>
          <w:lang w:val="en-GB"/>
        </w:rPr>
      </w:pPr>
      <w:r w:rsidRPr="007722A3">
        <w:rPr>
          <w:sz w:val="22"/>
          <w:szCs w:val="22"/>
          <w:lang w:val="en-GB"/>
        </w:rPr>
        <w:t>White to off-white, capsule-shaped, film-coated tablets imprinted “APO” bisect “500” on one side, plain on the other. The tablet is scored. The tablet can be divided into equal halves.</w:t>
      </w:r>
    </w:p>
    <w:p w:rsidR="006D793D" w:rsidRDefault="006D793D" w:rsidP="006D793D">
      <w:pPr>
        <w:rPr>
          <w:sz w:val="22"/>
          <w:szCs w:val="22"/>
          <w:u w:val="single"/>
          <w:lang w:val="en-GB"/>
        </w:rPr>
      </w:pPr>
    </w:p>
    <w:p w:rsidR="006D793D" w:rsidRPr="006D793D" w:rsidRDefault="006D793D" w:rsidP="006D793D">
      <w:pPr>
        <w:rPr>
          <w:sz w:val="22"/>
          <w:szCs w:val="22"/>
          <w:u w:val="single"/>
          <w:lang w:val="en-GB"/>
        </w:rPr>
      </w:pPr>
      <w:r w:rsidRPr="006D793D">
        <w:rPr>
          <w:sz w:val="22"/>
          <w:szCs w:val="22"/>
          <w:u w:val="single"/>
          <w:lang w:val="en-GB"/>
        </w:rPr>
        <w:t xml:space="preserve">Ferriprox </w:t>
      </w:r>
      <w:r>
        <w:rPr>
          <w:sz w:val="22"/>
          <w:szCs w:val="22"/>
          <w:u w:val="single"/>
          <w:lang w:val="en-GB"/>
        </w:rPr>
        <w:t>10</w:t>
      </w:r>
      <w:r w:rsidRPr="006D793D">
        <w:rPr>
          <w:sz w:val="22"/>
          <w:szCs w:val="22"/>
          <w:u w:val="single"/>
          <w:lang w:val="en-GB"/>
        </w:rPr>
        <w:t>00 mg film-coated tablets</w:t>
      </w:r>
    </w:p>
    <w:p w:rsidR="008F7FF3" w:rsidRDefault="006D793D">
      <w:pPr>
        <w:rPr>
          <w:sz w:val="22"/>
          <w:szCs w:val="22"/>
          <w:lang w:val="en-GB"/>
        </w:rPr>
      </w:pPr>
      <w:r w:rsidRPr="007722A3">
        <w:rPr>
          <w:sz w:val="22"/>
          <w:szCs w:val="22"/>
          <w:lang w:val="en-GB"/>
        </w:rPr>
        <w:t>White to off-white, capsule-shaped, film-coated tablets imprinted “APO” bisect “1000” on one side, plain on the other. The tablet is scored. The tablet can be divided into equal halves.</w:t>
      </w:r>
    </w:p>
    <w:p w:rsidR="006D793D" w:rsidRPr="007722A3" w:rsidRDefault="006D793D">
      <w:pPr>
        <w:rPr>
          <w:sz w:val="22"/>
          <w:szCs w:val="22"/>
          <w:lang w:val="en-GB"/>
        </w:rPr>
      </w:pPr>
    </w:p>
    <w:p w:rsidR="008F7FF3" w:rsidRPr="006D793D" w:rsidRDefault="008F7FF3">
      <w:pPr>
        <w:rPr>
          <w:sz w:val="22"/>
          <w:szCs w:val="22"/>
          <w:lang w:val="en-GB"/>
        </w:rPr>
      </w:pPr>
    </w:p>
    <w:p w:rsidR="008F7FF3" w:rsidRPr="007722A3" w:rsidRDefault="008F7FF3">
      <w:pPr>
        <w:tabs>
          <w:tab w:val="left" w:pos="567"/>
        </w:tabs>
        <w:rPr>
          <w:b/>
          <w:caps/>
          <w:sz w:val="22"/>
          <w:szCs w:val="22"/>
          <w:lang w:val="en-GB"/>
        </w:rPr>
      </w:pPr>
      <w:r w:rsidRPr="007722A3">
        <w:rPr>
          <w:b/>
          <w:caps/>
          <w:sz w:val="22"/>
          <w:szCs w:val="22"/>
          <w:lang w:val="en-GB"/>
        </w:rPr>
        <w:t>4.</w:t>
      </w:r>
      <w:r w:rsidRPr="007722A3">
        <w:rPr>
          <w:b/>
          <w:caps/>
          <w:sz w:val="22"/>
          <w:szCs w:val="22"/>
          <w:lang w:val="en-GB"/>
        </w:rPr>
        <w:tab/>
        <w:t>Clinical particulars</w:t>
      </w:r>
    </w:p>
    <w:p w:rsidR="008F7FF3" w:rsidRPr="007722A3" w:rsidRDefault="008F7FF3">
      <w:pPr>
        <w:tabs>
          <w:tab w:val="left" w:pos="567"/>
        </w:tabs>
        <w:rPr>
          <w:b/>
          <w:sz w:val="22"/>
          <w:szCs w:val="22"/>
          <w:lang w:val="en-GB"/>
        </w:rPr>
      </w:pPr>
    </w:p>
    <w:p w:rsidR="00A80C9B" w:rsidRPr="00822FD6" w:rsidRDefault="00A80C9B" w:rsidP="00A80C9B">
      <w:pPr>
        <w:tabs>
          <w:tab w:val="left" w:pos="567"/>
        </w:tabs>
        <w:rPr>
          <w:b/>
          <w:sz w:val="22"/>
          <w:szCs w:val="22"/>
          <w:lang w:val="en-GB"/>
        </w:rPr>
      </w:pPr>
      <w:r w:rsidRPr="00822FD6">
        <w:rPr>
          <w:b/>
          <w:sz w:val="22"/>
          <w:szCs w:val="22"/>
          <w:lang w:val="en-GB"/>
        </w:rPr>
        <w:t>4.1</w:t>
      </w:r>
      <w:r w:rsidRPr="00822FD6">
        <w:rPr>
          <w:b/>
          <w:sz w:val="22"/>
          <w:szCs w:val="22"/>
          <w:lang w:val="en-GB"/>
        </w:rPr>
        <w:tab/>
        <w:t>Therapeutic indications</w:t>
      </w:r>
    </w:p>
    <w:p w:rsidR="00A80C9B" w:rsidRPr="00822FD6" w:rsidRDefault="00A80C9B" w:rsidP="00A80C9B">
      <w:pPr>
        <w:rPr>
          <w:sz w:val="22"/>
          <w:szCs w:val="22"/>
          <w:lang w:val="en-GB"/>
        </w:rPr>
      </w:pPr>
    </w:p>
    <w:p w:rsidR="00A80C9B" w:rsidRDefault="00A80C9B" w:rsidP="00A80C9B">
      <w:pPr>
        <w:rPr>
          <w:sz w:val="22"/>
          <w:szCs w:val="22"/>
          <w:lang w:val="en-GB"/>
        </w:rPr>
      </w:pPr>
      <w:r w:rsidRPr="007722A3">
        <w:rPr>
          <w:sz w:val="22"/>
          <w:szCs w:val="22"/>
          <w:lang w:val="en-GB"/>
        </w:rPr>
        <w:t xml:space="preserve">Ferriprox </w:t>
      </w:r>
      <w:r>
        <w:rPr>
          <w:sz w:val="22"/>
          <w:szCs w:val="22"/>
          <w:lang w:val="en-GB"/>
        </w:rPr>
        <w:t xml:space="preserve">monotherapy </w:t>
      </w:r>
      <w:r w:rsidRPr="007722A3">
        <w:rPr>
          <w:sz w:val="22"/>
          <w:szCs w:val="22"/>
          <w:lang w:val="en-GB"/>
        </w:rPr>
        <w:t xml:space="preserve">is indicated for the treatment of iron overload in patients with thalassaemia major when </w:t>
      </w:r>
      <w:r>
        <w:rPr>
          <w:sz w:val="22"/>
          <w:szCs w:val="22"/>
          <w:lang w:val="en-GB"/>
        </w:rPr>
        <w:t>current chelation</w:t>
      </w:r>
      <w:r w:rsidRPr="007722A3">
        <w:rPr>
          <w:sz w:val="22"/>
          <w:szCs w:val="22"/>
          <w:lang w:val="en-GB"/>
        </w:rPr>
        <w:t xml:space="preserve"> therapy is contraindicated or inadequate.</w:t>
      </w:r>
    </w:p>
    <w:p w:rsidR="00A80C9B" w:rsidRDefault="00A80C9B" w:rsidP="00A80C9B">
      <w:pPr>
        <w:rPr>
          <w:sz w:val="22"/>
          <w:szCs w:val="22"/>
          <w:lang w:val="en-GB"/>
        </w:rPr>
      </w:pPr>
    </w:p>
    <w:p w:rsidR="00A80C9B" w:rsidRPr="007722A3" w:rsidRDefault="00A80C9B" w:rsidP="004730B1">
      <w:pPr>
        <w:rPr>
          <w:sz w:val="22"/>
          <w:szCs w:val="22"/>
          <w:lang w:val="en-GB"/>
        </w:rPr>
      </w:pPr>
      <w:r>
        <w:rPr>
          <w:sz w:val="22"/>
          <w:szCs w:val="22"/>
          <w:lang w:val="en-GB"/>
        </w:rPr>
        <w:t>Ferriprox</w:t>
      </w:r>
      <w:r w:rsidRPr="00006BA7">
        <w:t xml:space="preserve"> </w:t>
      </w:r>
      <w:r w:rsidRPr="00006BA7">
        <w:rPr>
          <w:sz w:val="22"/>
          <w:szCs w:val="22"/>
          <w:lang w:val="en-GB"/>
        </w:rPr>
        <w:t xml:space="preserve">in combination with another chelator </w:t>
      </w:r>
      <w:r>
        <w:rPr>
          <w:sz w:val="22"/>
          <w:szCs w:val="22"/>
          <w:lang w:val="en-GB"/>
        </w:rPr>
        <w:t xml:space="preserve">(see section 4.4) </w:t>
      </w:r>
      <w:r w:rsidRPr="00006BA7">
        <w:rPr>
          <w:sz w:val="22"/>
          <w:szCs w:val="22"/>
          <w:lang w:val="en-GB"/>
        </w:rPr>
        <w:t xml:space="preserve">is indicated in patients with thalassaemia major when monotherapy with any iron chelator is </w:t>
      </w:r>
      <w:r>
        <w:rPr>
          <w:sz w:val="22"/>
          <w:szCs w:val="22"/>
          <w:lang w:val="en-GB"/>
        </w:rPr>
        <w:t>ineff</w:t>
      </w:r>
      <w:r w:rsidR="003D1C10">
        <w:rPr>
          <w:sz w:val="22"/>
          <w:szCs w:val="22"/>
          <w:lang w:val="en-GB"/>
        </w:rPr>
        <w:t>ective</w:t>
      </w:r>
      <w:r>
        <w:rPr>
          <w:sz w:val="22"/>
          <w:szCs w:val="22"/>
          <w:lang w:val="en-GB"/>
        </w:rPr>
        <w:t>, or when prevention or treatment of life-threatening consequences of iron overload (mainly cardiac overload) justif</w:t>
      </w:r>
      <w:r w:rsidR="004730B1">
        <w:rPr>
          <w:sz w:val="22"/>
          <w:szCs w:val="22"/>
          <w:lang w:val="en-GB"/>
        </w:rPr>
        <w:t>ies</w:t>
      </w:r>
      <w:r>
        <w:rPr>
          <w:sz w:val="22"/>
          <w:szCs w:val="22"/>
          <w:lang w:val="en-GB"/>
        </w:rPr>
        <w:t xml:space="preserve"> rapid or intens</w:t>
      </w:r>
      <w:r w:rsidR="003D1C10">
        <w:rPr>
          <w:sz w:val="22"/>
          <w:szCs w:val="22"/>
          <w:lang w:val="en-GB"/>
        </w:rPr>
        <w:t>iv</w:t>
      </w:r>
      <w:r>
        <w:rPr>
          <w:sz w:val="22"/>
          <w:szCs w:val="22"/>
          <w:lang w:val="en-GB"/>
        </w:rPr>
        <w:t>e correction (see section 4.2).</w:t>
      </w:r>
    </w:p>
    <w:p w:rsidR="0077207F" w:rsidRPr="0077207F" w:rsidRDefault="0077207F">
      <w:pPr>
        <w:rPr>
          <w:b/>
          <w:sz w:val="22"/>
          <w:szCs w:val="22"/>
          <w:lang w:val="en-GB"/>
        </w:rPr>
      </w:pPr>
    </w:p>
    <w:p w:rsidR="008F7FF3" w:rsidRPr="007722A3" w:rsidRDefault="008F7FF3">
      <w:pPr>
        <w:pStyle w:val="Noraml"/>
        <w:outlineLvl w:val="9"/>
      </w:pPr>
      <w:r w:rsidRPr="007722A3">
        <w:t>4.2</w:t>
      </w:r>
      <w:r w:rsidRPr="007722A3">
        <w:tab/>
        <w:t>Posology and method of administration</w:t>
      </w:r>
    </w:p>
    <w:p w:rsidR="008F7FF3" w:rsidRPr="007722A3" w:rsidRDefault="008F7FF3">
      <w:pPr>
        <w:rPr>
          <w:sz w:val="22"/>
          <w:szCs w:val="22"/>
          <w:lang w:val="en-GB"/>
        </w:rPr>
      </w:pPr>
    </w:p>
    <w:p w:rsidR="008F7FF3" w:rsidRPr="007722A3" w:rsidRDefault="008F7FF3">
      <w:pPr>
        <w:pStyle w:val="BodyText"/>
      </w:pPr>
      <w:r w:rsidRPr="007722A3">
        <w:t>Deferiprone therapy should be initiated and maintained by a physician experienced in the treatment of patients with thalassaemia.</w:t>
      </w:r>
    </w:p>
    <w:p w:rsidR="008F7FF3" w:rsidRPr="007722A3" w:rsidRDefault="008F7FF3">
      <w:pPr>
        <w:rPr>
          <w:sz w:val="22"/>
          <w:szCs w:val="22"/>
          <w:lang w:val="en-GB"/>
        </w:rPr>
      </w:pPr>
    </w:p>
    <w:p w:rsidR="00BC301F" w:rsidRPr="007722A3" w:rsidRDefault="006604BA">
      <w:pPr>
        <w:rPr>
          <w:sz w:val="22"/>
          <w:szCs w:val="22"/>
          <w:u w:val="single"/>
          <w:lang w:val="en-GB"/>
        </w:rPr>
      </w:pPr>
      <w:r w:rsidRPr="007722A3">
        <w:rPr>
          <w:sz w:val="22"/>
          <w:szCs w:val="22"/>
          <w:u w:val="single"/>
          <w:lang w:val="en-GB"/>
        </w:rPr>
        <w:t>Posology</w:t>
      </w:r>
    </w:p>
    <w:p w:rsidR="008F7FF3" w:rsidRPr="007722A3" w:rsidRDefault="008F7FF3">
      <w:pPr>
        <w:rPr>
          <w:sz w:val="22"/>
          <w:szCs w:val="22"/>
          <w:lang w:val="en-GB"/>
        </w:rPr>
      </w:pPr>
      <w:r w:rsidRPr="007722A3">
        <w:rPr>
          <w:sz w:val="22"/>
          <w:szCs w:val="22"/>
          <w:lang w:val="en-GB"/>
        </w:rPr>
        <w:t>Deferiprone is usually given as 25 mg/kg body weight, orally, three times a day for a total daily dose of 75 mg/kg body weight. Dose per kilogram body weight should be calculated to the nearest half tablet. See table</w:t>
      </w:r>
      <w:r w:rsidR="006D793D">
        <w:rPr>
          <w:sz w:val="22"/>
          <w:szCs w:val="22"/>
          <w:lang w:val="en-GB"/>
        </w:rPr>
        <w:t>s</w:t>
      </w:r>
      <w:r w:rsidRPr="007722A3">
        <w:rPr>
          <w:sz w:val="22"/>
          <w:szCs w:val="22"/>
          <w:lang w:val="en-GB"/>
        </w:rPr>
        <w:t xml:space="preserve"> below for recommended doses for body weights at 10 kg increments.</w:t>
      </w:r>
    </w:p>
    <w:p w:rsidR="008F7FF3" w:rsidRPr="007722A3" w:rsidRDefault="008F7FF3">
      <w:pPr>
        <w:rPr>
          <w:sz w:val="22"/>
          <w:szCs w:val="22"/>
          <w:lang w:val="en-GB"/>
        </w:rPr>
      </w:pPr>
    </w:p>
    <w:p w:rsidR="008F7FF3" w:rsidRPr="007722A3" w:rsidRDefault="008F7FF3" w:rsidP="00E31F27">
      <w:pPr>
        <w:pStyle w:val="Norma"/>
        <w:keepNext/>
        <w:keepLines/>
        <w:rPr>
          <w:szCs w:val="22"/>
          <w:lang w:val="en-GB"/>
        </w:rPr>
      </w:pPr>
      <w:r w:rsidRPr="007722A3">
        <w:rPr>
          <w:szCs w:val="22"/>
          <w:lang w:val="en-GB"/>
        </w:rPr>
        <w:lastRenderedPageBreak/>
        <w:t>To obtain a dose of about 75 mg/kg/day, use the number of tablets suggested in the following table</w:t>
      </w:r>
      <w:r w:rsidR="00C41DA3">
        <w:rPr>
          <w:szCs w:val="22"/>
          <w:lang w:val="en-GB"/>
        </w:rPr>
        <w:t>s</w:t>
      </w:r>
      <w:r w:rsidRPr="007722A3">
        <w:rPr>
          <w:szCs w:val="22"/>
          <w:lang w:val="en-GB"/>
        </w:rPr>
        <w:t xml:space="preserve"> for the body weight of the patient. Sample body weights at 10 kg increments are listed.</w:t>
      </w:r>
    </w:p>
    <w:p w:rsidR="008F7FF3" w:rsidRDefault="008F7FF3" w:rsidP="00E31F27">
      <w:pPr>
        <w:keepNext/>
        <w:keepLines/>
        <w:rPr>
          <w:b/>
          <w:sz w:val="22"/>
          <w:szCs w:val="22"/>
          <w:lang w:val="en-GB"/>
        </w:rPr>
      </w:pPr>
    </w:p>
    <w:p w:rsidR="00C41DA3" w:rsidRPr="00C41DA3" w:rsidRDefault="00C41DA3" w:rsidP="00C41DA3">
      <w:pPr>
        <w:keepNext/>
        <w:rPr>
          <w:b/>
          <w:i/>
          <w:sz w:val="22"/>
          <w:szCs w:val="22"/>
          <w:lang w:val="en-GB"/>
        </w:rPr>
      </w:pPr>
      <w:r>
        <w:rPr>
          <w:b/>
          <w:i/>
          <w:sz w:val="22"/>
          <w:szCs w:val="22"/>
          <w:lang w:val="en-GB"/>
        </w:rPr>
        <w:t xml:space="preserve">Dose table for </w:t>
      </w:r>
      <w:r w:rsidRPr="006D793D">
        <w:rPr>
          <w:b/>
          <w:i/>
          <w:sz w:val="22"/>
          <w:szCs w:val="22"/>
          <w:lang w:val="en-GB"/>
        </w:rPr>
        <w:t>Ferriprox 500 mg film-coated tablets</w:t>
      </w:r>
    </w:p>
    <w:p w:rsidR="00C41DA3" w:rsidRPr="007722A3" w:rsidRDefault="00C41DA3" w:rsidP="00E31F27">
      <w:pPr>
        <w:keepNext/>
        <w:keepLines/>
        <w:rPr>
          <w:b/>
          <w:sz w:val="22"/>
          <w:szCs w:val="22"/>
          <w:lang w:val="en-GB"/>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9E1698">
        <w:tc>
          <w:tcPr>
            <w:tcW w:w="1800" w:type="dxa"/>
          </w:tcPr>
          <w:p w:rsidR="008F7FF3" w:rsidRPr="007722A3" w:rsidRDefault="008F7FF3" w:rsidP="00E31F27">
            <w:pPr>
              <w:keepNext/>
              <w:keepLines/>
              <w:tabs>
                <w:tab w:val="left" w:pos="72"/>
                <w:tab w:val="left" w:pos="162"/>
                <w:tab w:val="left" w:pos="432"/>
                <w:tab w:val="left" w:pos="702"/>
              </w:tabs>
              <w:ind w:left="-648" w:right="-558"/>
              <w:jc w:val="center"/>
              <w:rPr>
                <w:b/>
                <w:sz w:val="22"/>
                <w:szCs w:val="22"/>
                <w:lang w:val="en-GB"/>
              </w:rPr>
            </w:pPr>
            <w:r w:rsidRPr="007722A3">
              <w:rPr>
                <w:b/>
                <w:sz w:val="22"/>
                <w:szCs w:val="22"/>
                <w:lang w:val="en-GB"/>
              </w:rPr>
              <w:t>Body weight</w:t>
            </w:r>
          </w:p>
          <w:p w:rsidR="008F7FF3" w:rsidRPr="007722A3" w:rsidRDefault="008F7FF3" w:rsidP="00E31F27">
            <w:pPr>
              <w:keepNext/>
              <w:keepLines/>
              <w:jc w:val="center"/>
              <w:rPr>
                <w:b/>
                <w:sz w:val="22"/>
                <w:szCs w:val="22"/>
                <w:lang w:val="en-GB"/>
              </w:rPr>
            </w:pPr>
            <w:r w:rsidRPr="007722A3">
              <w:rPr>
                <w:b/>
                <w:sz w:val="22"/>
                <w:szCs w:val="22"/>
                <w:lang w:val="en-GB"/>
              </w:rPr>
              <w:t>(kg)</w:t>
            </w:r>
          </w:p>
        </w:tc>
        <w:tc>
          <w:tcPr>
            <w:tcW w:w="2520" w:type="dxa"/>
          </w:tcPr>
          <w:p w:rsidR="008F7FF3" w:rsidRPr="007722A3" w:rsidRDefault="008F7FF3" w:rsidP="00E31F27">
            <w:pPr>
              <w:keepNext/>
              <w:keepLines/>
              <w:jc w:val="center"/>
              <w:rPr>
                <w:b/>
                <w:sz w:val="22"/>
                <w:szCs w:val="22"/>
                <w:lang w:val="en-GB"/>
              </w:rPr>
            </w:pPr>
            <w:r w:rsidRPr="007722A3">
              <w:rPr>
                <w:b/>
                <w:sz w:val="22"/>
                <w:szCs w:val="22"/>
                <w:lang w:val="en-GB"/>
              </w:rPr>
              <w:t>Total daily dose</w:t>
            </w:r>
          </w:p>
          <w:p w:rsidR="008F7FF3" w:rsidRPr="007722A3" w:rsidRDefault="008F7FF3" w:rsidP="00E31F27">
            <w:pPr>
              <w:keepNext/>
              <w:keepLines/>
              <w:jc w:val="center"/>
              <w:rPr>
                <w:b/>
                <w:sz w:val="22"/>
                <w:szCs w:val="22"/>
                <w:lang w:val="en-GB"/>
              </w:rPr>
            </w:pPr>
            <w:r w:rsidRPr="007722A3">
              <w:rPr>
                <w:b/>
                <w:sz w:val="22"/>
                <w:szCs w:val="22"/>
                <w:lang w:val="en-GB"/>
              </w:rPr>
              <w:t>(mg)</w:t>
            </w:r>
          </w:p>
        </w:tc>
        <w:tc>
          <w:tcPr>
            <w:tcW w:w="2520" w:type="dxa"/>
          </w:tcPr>
          <w:p w:rsidR="008F7FF3" w:rsidRPr="007722A3" w:rsidRDefault="008F7FF3" w:rsidP="00E31F27">
            <w:pPr>
              <w:keepNext/>
              <w:keepLines/>
              <w:jc w:val="center"/>
              <w:rPr>
                <w:b/>
                <w:sz w:val="22"/>
                <w:szCs w:val="22"/>
                <w:lang w:val="en-GB"/>
              </w:rPr>
            </w:pPr>
            <w:r w:rsidRPr="007722A3">
              <w:rPr>
                <w:b/>
                <w:sz w:val="22"/>
                <w:szCs w:val="22"/>
                <w:lang w:val="en-GB"/>
              </w:rPr>
              <w:t>Dose</w:t>
            </w:r>
          </w:p>
          <w:p w:rsidR="008F7FF3" w:rsidRPr="007722A3" w:rsidRDefault="008F7FF3" w:rsidP="00E31F27">
            <w:pPr>
              <w:keepNext/>
              <w:keepLines/>
              <w:jc w:val="center"/>
              <w:rPr>
                <w:b/>
                <w:sz w:val="22"/>
                <w:szCs w:val="22"/>
                <w:lang w:val="en-GB"/>
              </w:rPr>
            </w:pPr>
            <w:r w:rsidRPr="007722A3">
              <w:rPr>
                <w:b/>
                <w:sz w:val="22"/>
                <w:szCs w:val="22"/>
                <w:lang w:val="en-GB"/>
              </w:rPr>
              <w:t>(mg, three times/day)</w:t>
            </w:r>
          </w:p>
        </w:tc>
        <w:tc>
          <w:tcPr>
            <w:tcW w:w="2610" w:type="dxa"/>
          </w:tcPr>
          <w:p w:rsidR="008F7FF3" w:rsidRPr="007722A3" w:rsidRDefault="008F7FF3" w:rsidP="00E31F27">
            <w:pPr>
              <w:keepNext/>
              <w:keepLines/>
              <w:jc w:val="center"/>
              <w:rPr>
                <w:b/>
                <w:sz w:val="22"/>
                <w:szCs w:val="22"/>
                <w:lang w:val="en-GB"/>
              </w:rPr>
            </w:pPr>
            <w:r w:rsidRPr="007722A3">
              <w:rPr>
                <w:b/>
                <w:sz w:val="22"/>
                <w:szCs w:val="22"/>
                <w:lang w:val="en-GB"/>
              </w:rPr>
              <w:t>Number of tablets</w:t>
            </w:r>
          </w:p>
          <w:p w:rsidR="008F7FF3" w:rsidRPr="007722A3" w:rsidRDefault="008F7FF3" w:rsidP="00E31F27">
            <w:pPr>
              <w:keepNext/>
              <w:keepLines/>
              <w:jc w:val="center"/>
              <w:rPr>
                <w:b/>
                <w:sz w:val="22"/>
                <w:szCs w:val="22"/>
                <w:lang w:val="en-GB"/>
              </w:rPr>
            </w:pPr>
            <w:r w:rsidRPr="007722A3">
              <w:rPr>
                <w:b/>
                <w:sz w:val="22"/>
                <w:szCs w:val="22"/>
                <w:lang w:val="en-GB"/>
              </w:rPr>
              <w:t>(three times/day)</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20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1500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500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1.0</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30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2250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750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1.5</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40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3000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1000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2.0</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50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3750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1250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2.5</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60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4500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1500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3.0</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70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5250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1750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3.5</w:t>
            </w:r>
          </w:p>
        </w:tc>
      </w:tr>
      <w:tr w:rsidR="009E1698">
        <w:tc>
          <w:tcPr>
            <w:tcW w:w="1800" w:type="dxa"/>
          </w:tcPr>
          <w:p w:rsidR="008F7FF3" w:rsidRPr="007722A3" w:rsidRDefault="008F7FF3" w:rsidP="00E31F27">
            <w:pPr>
              <w:keepNext/>
              <w:keepLines/>
              <w:jc w:val="center"/>
              <w:rPr>
                <w:sz w:val="22"/>
                <w:szCs w:val="22"/>
                <w:lang w:val="en-GB"/>
              </w:rPr>
            </w:pPr>
            <w:r w:rsidRPr="007722A3">
              <w:rPr>
                <w:sz w:val="22"/>
                <w:szCs w:val="22"/>
                <w:lang w:val="en-GB"/>
              </w:rPr>
              <w:t>80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6000</w:t>
            </w:r>
          </w:p>
        </w:tc>
        <w:tc>
          <w:tcPr>
            <w:tcW w:w="2520" w:type="dxa"/>
          </w:tcPr>
          <w:p w:rsidR="008F7FF3" w:rsidRPr="007722A3" w:rsidRDefault="008F7FF3" w:rsidP="00E31F27">
            <w:pPr>
              <w:keepNext/>
              <w:keepLines/>
              <w:jc w:val="center"/>
              <w:rPr>
                <w:sz w:val="22"/>
                <w:szCs w:val="22"/>
                <w:lang w:val="en-GB"/>
              </w:rPr>
            </w:pPr>
            <w:r w:rsidRPr="007722A3">
              <w:rPr>
                <w:sz w:val="22"/>
                <w:szCs w:val="22"/>
                <w:lang w:val="en-GB"/>
              </w:rPr>
              <w:t>2000</w:t>
            </w:r>
          </w:p>
        </w:tc>
        <w:tc>
          <w:tcPr>
            <w:tcW w:w="2610" w:type="dxa"/>
          </w:tcPr>
          <w:p w:rsidR="008F7FF3" w:rsidRPr="007722A3" w:rsidRDefault="008F7FF3" w:rsidP="00E31F27">
            <w:pPr>
              <w:keepNext/>
              <w:keepLines/>
              <w:jc w:val="center"/>
              <w:rPr>
                <w:sz w:val="22"/>
                <w:szCs w:val="22"/>
                <w:lang w:val="en-GB"/>
              </w:rPr>
            </w:pPr>
            <w:r w:rsidRPr="007722A3">
              <w:rPr>
                <w:sz w:val="22"/>
                <w:szCs w:val="22"/>
                <w:lang w:val="en-GB"/>
              </w:rPr>
              <w:t>4.0</w:t>
            </w:r>
          </w:p>
        </w:tc>
      </w:tr>
      <w:tr w:rsidR="009E1698">
        <w:tc>
          <w:tcPr>
            <w:tcW w:w="1800" w:type="dxa"/>
          </w:tcPr>
          <w:p w:rsidR="008F7FF3" w:rsidRPr="007722A3" w:rsidRDefault="008F7FF3" w:rsidP="0006787B">
            <w:pPr>
              <w:jc w:val="center"/>
              <w:rPr>
                <w:sz w:val="22"/>
                <w:szCs w:val="22"/>
                <w:lang w:val="en-GB"/>
              </w:rPr>
            </w:pPr>
            <w:r w:rsidRPr="007722A3">
              <w:rPr>
                <w:sz w:val="22"/>
                <w:szCs w:val="22"/>
                <w:lang w:val="en-GB"/>
              </w:rPr>
              <w:t>90</w:t>
            </w:r>
          </w:p>
        </w:tc>
        <w:tc>
          <w:tcPr>
            <w:tcW w:w="2520" w:type="dxa"/>
          </w:tcPr>
          <w:p w:rsidR="008F7FF3" w:rsidRPr="007722A3" w:rsidRDefault="008F7FF3" w:rsidP="0006787B">
            <w:pPr>
              <w:jc w:val="center"/>
              <w:rPr>
                <w:sz w:val="22"/>
                <w:szCs w:val="22"/>
                <w:lang w:val="en-GB"/>
              </w:rPr>
            </w:pPr>
            <w:r w:rsidRPr="007722A3">
              <w:rPr>
                <w:sz w:val="22"/>
                <w:szCs w:val="22"/>
                <w:lang w:val="en-GB"/>
              </w:rPr>
              <w:t>6750</w:t>
            </w:r>
          </w:p>
        </w:tc>
        <w:tc>
          <w:tcPr>
            <w:tcW w:w="2520" w:type="dxa"/>
          </w:tcPr>
          <w:p w:rsidR="008F7FF3" w:rsidRPr="007722A3" w:rsidRDefault="008F7FF3" w:rsidP="0006787B">
            <w:pPr>
              <w:jc w:val="center"/>
              <w:rPr>
                <w:sz w:val="22"/>
                <w:szCs w:val="22"/>
                <w:lang w:val="en-GB"/>
              </w:rPr>
            </w:pPr>
            <w:r w:rsidRPr="007722A3">
              <w:rPr>
                <w:sz w:val="22"/>
                <w:szCs w:val="22"/>
                <w:lang w:val="en-GB"/>
              </w:rPr>
              <w:t>2250</w:t>
            </w:r>
          </w:p>
        </w:tc>
        <w:tc>
          <w:tcPr>
            <w:tcW w:w="2610" w:type="dxa"/>
          </w:tcPr>
          <w:p w:rsidR="008F7FF3" w:rsidRPr="007722A3" w:rsidRDefault="008F7FF3" w:rsidP="0006787B">
            <w:pPr>
              <w:jc w:val="center"/>
              <w:rPr>
                <w:sz w:val="22"/>
                <w:szCs w:val="22"/>
                <w:lang w:val="en-GB"/>
              </w:rPr>
            </w:pPr>
            <w:r w:rsidRPr="007722A3">
              <w:rPr>
                <w:sz w:val="22"/>
                <w:szCs w:val="22"/>
                <w:lang w:val="en-GB"/>
              </w:rPr>
              <w:t>4.5</w:t>
            </w:r>
          </w:p>
        </w:tc>
      </w:tr>
    </w:tbl>
    <w:p w:rsidR="008F7FF3" w:rsidRPr="007722A3" w:rsidRDefault="008F7FF3">
      <w:pPr>
        <w:tabs>
          <w:tab w:val="left" w:pos="567"/>
        </w:tabs>
        <w:rPr>
          <w:b/>
          <w:sz w:val="22"/>
          <w:szCs w:val="22"/>
          <w:lang w:val="en-GB"/>
        </w:rPr>
      </w:pPr>
    </w:p>
    <w:p w:rsidR="006D793D" w:rsidRPr="006D793D" w:rsidRDefault="006D793D" w:rsidP="006D793D">
      <w:pPr>
        <w:keepNext/>
        <w:rPr>
          <w:b/>
          <w:i/>
          <w:sz w:val="22"/>
          <w:szCs w:val="22"/>
          <w:lang w:val="en-GB"/>
        </w:rPr>
      </w:pPr>
      <w:r>
        <w:rPr>
          <w:b/>
          <w:i/>
          <w:sz w:val="22"/>
          <w:szCs w:val="22"/>
          <w:lang w:val="en-GB"/>
        </w:rPr>
        <w:t xml:space="preserve">Dose table for </w:t>
      </w:r>
      <w:r w:rsidRPr="006D793D">
        <w:rPr>
          <w:b/>
          <w:i/>
          <w:sz w:val="22"/>
          <w:szCs w:val="22"/>
          <w:lang w:val="en-GB"/>
        </w:rPr>
        <w:t xml:space="preserve">Ferriprox </w:t>
      </w:r>
      <w:r>
        <w:rPr>
          <w:b/>
          <w:i/>
          <w:sz w:val="22"/>
          <w:szCs w:val="22"/>
          <w:lang w:val="en-GB"/>
        </w:rPr>
        <w:t>10</w:t>
      </w:r>
      <w:r w:rsidRPr="006D793D">
        <w:rPr>
          <w:b/>
          <w:i/>
          <w:sz w:val="22"/>
          <w:szCs w:val="22"/>
          <w:lang w:val="en-GB"/>
        </w:rPr>
        <w:t>00 mg film-coated tablets</w:t>
      </w:r>
    </w:p>
    <w:p w:rsidR="006D793D" w:rsidRPr="007722A3" w:rsidRDefault="006D793D" w:rsidP="006D793D">
      <w:pPr>
        <w:keepNext/>
        <w:keepLines/>
        <w:rPr>
          <w:b/>
          <w:sz w:val="22"/>
          <w:szCs w:val="22"/>
          <w:lang w:val="en-GB"/>
        </w:rPr>
      </w:pPr>
    </w:p>
    <w:tbl>
      <w:tblPr>
        <w:tblW w:w="907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1584"/>
        <w:gridCol w:w="1584"/>
        <w:gridCol w:w="1584"/>
      </w:tblGrid>
      <w:tr w:rsidR="009E1698" w:rsidTr="008F0358">
        <w:trPr>
          <w:trHeight w:val="196"/>
        </w:trPr>
        <w:tc>
          <w:tcPr>
            <w:tcW w:w="1800" w:type="dxa"/>
            <w:vMerge w:val="restart"/>
          </w:tcPr>
          <w:p w:rsidR="006D793D" w:rsidRPr="007722A3" w:rsidRDefault="006D793D" w:rsidP="008F0358">
            <w:pPr>
              <w:keepNext/>
              <w:keepLines/>
              <w:tabs>
                <w:tab w:val="left" w:pos="72"/>
                <w:tab w:val="left" w:pos="162"/>
                <w:tab w:val="left" w:pos="432"/>
                <w:tab w:val="left" w:pos="702"/>
              </w:tabs>
              <w:ind w:left="-648" w:right="-558"/>
              <w:jc w:val="center"/>
              <w:rPr>
                <w:b/>
                <w:sz w:val="22"/>
                <w:szCs w:val="22"/>
                <w:lang w:val="en-GB"/>
              </w:rPr>
            </w:pPr>
            <w:r w:rsidRPr="007722A3">
              <w:rPr>
                <w:b/>
                <w:sz w:val="22"/>
                <w:szCs w:val="22"/>
                <w:lang w:val="en-GB"/>
              </w:rPr>
              <w:t>Body weight</w:t>
            </w:r>
          </w:p>
          <w:p w:rsidR="006D793D" w:rsidRPr="007722A3" w:rsidRDefault="006D793D" w:rsidP="008F0358">
            <w:pPr>
              <w:keepNext/>
              <w:keepLines/>
              <w:jc w:val="center"/>
              <w:rPr>
                <w:b/>
                <w:sz w:val="22"/>
                <w:szCs w:val="22"/>
                <w:lang w:val="en-GB"/>
              </w:rPr>
            </w:pPr>
            <w:r w:rsidRPr="007722A3">
              <w:rPr>
                <w:b/>
                <w:sz w:val="22"/>
                <w:szCs w:val="22"/>
                <w:lang w:val="en-GB"/>
              </w:rPr>
              <w:t>(kg)</w:t>
            </w:r>
          </w:p>
        </w:tc>
        <w:tc>
          <w:tcPr>
            <w:tcW w:w="2520" w:type="dxa"/>
            <w:vMerge w:val="restart"/>
          </w:tcPr>
          <w:p w:rsidR="006D793D" w:rsidRPr="007722A3" w:rsidRDefault="006D793D" w:rsidP="008F0358">
            <w:pPr>
              <w:keepNext/>
              <w:keepLines/>
              <w:jc w:val="center"/>
              <w:rPr>
                <w:b/>
                <w:sz w:val="22"/>
                <w:szCs w:val="22"/>
                <w:lang w:val="en-GB"/>
              </w:rPr>
            </w:pPr>
            <w:r w:rsidRPr="007722A3">
              <w:rPr>
                <w:b/>
                <w:sz w:val="22"/>
                <w:szCs w:val="22"/>
                <w:lang w:val="en-GB"/>
              </w:rPr>
              <w:t>Total daily dose</w:t>
            </w:r>
          </w:p>
          <w:p w:rsidR="006D793D" w:rsidRPr="007722A3" w:rsidRDefault="006D793D" w:rsidP="008F0358">
            <w:pPr>
              <w:keepNext/>
              <w:keepLines/>
              <w:jc w:val="center"/>
              <w:rPr>
                <w:b/>
                <w:sz w:val="22"/>
                <w:szCs w:val="22"/>
                <w:lang w:val="en-GB"/>
              </w:rPr>
            </w:pPr>
            <w:r w:rsidRPr="007722A3">
              <w:rPr>
                <w:b/>
                <w:sz w:val="22"/>
                <w:szCs w:val="22"/>
                <w:lang w:val="en-GB"/>
              </w:rPr>
              <w:t>(mg)</w:t>
            </w:r>
          </w:p>
        </w:tc>
        <w:tc>
          <w:tcPr>
            <w:tcW w:w="4752" w:type="dxa"/>
            <w:gridSpan w:val="3"/>
          </w:tcPr>
          <w:p w:rsidR="006D793D" w:rsidRPr="007722A3" w:rsidRDefault="006D793D" w:rsidP="008F0358">
            <w:pPr>
              <w:keepNext/>
              <w:keepLines/>
              <w:jc w:val="center"/>
              <w:rPr>
                <w:b/>
                <w:sz w:val="22"/>
                <w:szCs w:val="22"/>
                <w:lang w:val="en-GB"/>
              </w:rPr>
            </w:pPr>
            <w:r w:rsidRPr="007722A3">
              <w:rPr>
                <w:b/>
                <w:sz w:val="22"/>
                <w:szCs w:val="22"/>
                <w:lang w:val="en-GB"/>
              </w:rPr>
              <w:t>Number of 1000 mg tablets*</w:t>
            </w:r>
          </w:p>
        </w:tc>
      </w:tr>
      <w:tr w:rsidR="009E1698" w:rsidTr="008F0358">
        <w:trPr>
          <w:trHeight w:val="196"/>
        </w:trPr>
        <w:tc>
          <w:tcPr>
            <w:tcW w:w="1800" w:type="dxa"/>
            <w:vMerge/>
          </w:tcPr>
          <w:p w:rsidR="006D793D" w:rsidRPr="007722A3" w:rsidRDefault="006D793D" w:rsidP="008F0358">
            <w:pPr>
              <w:keepNext/>
              <w:keepLines/>
              <w:tabs>
                <w:tab w:val="left" w:pos="72"/>
                <w:tab w:val="left" w:pos="162"/>
                <w:tab w:val="left" w:pos="432"/>
                <w:tab w:val="left" w:pos="702"/>
              </w:tabs>
              <w:ind w:left="-648" w:right="-558"/>
              <w:jc w:val="center"/>
              <w:rPr>
                <w:b/>
                <w:sz w:val="22"/>
                <w:szCs w:val="22"/>
                <w:lang w:val="en-GB"/>
              </w:rPr>
            </w:pPr>
          </w:p>
        </w:tc>
        <w:tc>
          <w:tcPr>
            <w:tcW w:w="2520" w:type="dxa"/>
            <w:vMerge/>
          </w:tcPr>
          <w:p w:rsidR="006D793D" w:rsidRPr="007722A3" w:rsidRDefault="006D793D" w:rsidP="008F0358">
            <w:pPr>
              <w:keepNext/>
              <w:keepLines/>
              <w:jc w:val="center"/>
              <w:rPr>
                <w:b/>
                <w:sz w:val="22"/>
                <w:szCs w:val="22"/>
                <w:lang w:val="en-GB"/>
              </w:rPr>
            </w:pPr>
          </w:p>
        </w:tc>
        <w:tc>
          <w:tcPr>
            <w:tcW w:w="1584" w:type="dxa"/>
          </w:tcPr>
          <w:p w:rsidR="006D793D" w:rsidRPr="007722A3" w:rsidRDefault="006D793D" w:rsidP="008F0358">
            <w:pPr>
              <w:keepNext/>
              <w:keepLines/>
              <w:jc w:val="center"/>
              <w:rPr>
                <w:b/>
                <w:sz w:val="22"/>
                <w:szCs w:val="22"/>
                <w:lang w:val="en-GB"/>
              </w:rPr>
            </w:pPr>
            <w:r w:rsidRPr="007722A3">
              <w:rPr>
                <w:b/>
                <w:sz w:val="22"/>
                <w:szCs w:val="22"/>
                <w:lang w:val="en-GB"/>
              </w:rPr>
              <w:t>Morning</w:t>
            </w:r>
          </w:p>
        </w:tc>
        <w:tc>
          <w:tcPr>
            <w:tcW w:w="1584" w:type="dxa"/>
          </w:tcPr>
          <w:p w:rsidR="006D793D" w:rsidRPr="007722A3" w:rsidRDefault="006D793D" w:rsidP="008F0358">
            <w:pPr>
              <w:keepNext/>
              <w:keepLines/>
              <w:jc w:val="center"/>
              <w:rPr>
                <w:b/>
                <w:sz w:val="22"/>
                <w:szCs w:val="22"/>
                <w:lang w:val="en-GB"/>
              </w:rPr>
            </w:pPr>
            <w:r w:rsidRPr="007722A3">
              <w:rPr>
                <w:b/>
                <w:sz w:val="22"/>
                <w:szCs w:val="22"/>
                <w:lang w:val="en-GB"/>
              </w:rPr>
              <w:t>Midday</w:t>
            </w:r>
          </w:p>
        </w:tc>
        <w:tc>
          <w:tcPr>
            <w:tcW w:w="1584" w:type="dxa"/>
          </w:tcPr>
          <w:p w:rsidR="006D793D" w:rsidRPr="007722A3" w:rsidRDefault="006D793D" w:rsidP="008F0358">
            <w:pPr>
              <w:keepNext/>
              <w:keepLines/>
              <w:jc w:val="center"/>
              <w:rPr>
                <w:b/>
                <w:sz w:val="22"/>
                <w:szCs w:val="22"/>
                <w:lang w:val="en-GB"/>
              </w:rPr>
            </w:pPr>
            <w:r w:rsidRPr="007722A3">
              <w:rPr>
                <w:b/>
                <w:sz w:val="22"/>
                <w:szCs w:val="22"/>
                <w:lang w:val="en-GB"/>
              </w:rPr>
              <w:t>Evening</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20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1500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0.5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0.5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0.5</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30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2250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0.5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40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3000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50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3750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60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4500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70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5250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1.5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80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6000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r>
      <w:tr w:rsidR="009E1698" w:rsidTr="008F0358">
        <w:tc>
          <w:tcPr>
            <w:tcW w:w="1800" w:type="dxa"/>
          </w:tcPr>
          <w:p w:rsidR="006D793D" w:rsidRPr="007722A3" w:rsidRDefault="006D793D" w:rsidP="008F0358">
            <w:pPr>
              <w:keepNext/>
              <w:keepLines/>
              <w:jc w:val="center"/>
              <w:rPr>
                <w:sz w:val="22"/>
                <w:szCs w:val="22"/>
                <w:lang w:val="en-GB"/>
              </w:rPr>
            </w:pPr>
            <w:r w:rsidRPr="007722A3">
              <w:rPr>
                <w:sz w:val="22"/>
                <w:szCs w:val="22"/>
                <w:lang w:val="en-GB"/>
              </w:rPr>
              <w:t>90</w:t>
            </w:r>
          </w:p>
        </w:tc>
        <w:tc>
          <w:tcPr>
            <w:tcW w:w="2520" w:type="dxa"/>
          </w:tcPr>
          <w:p w:rsidR="006D793D" w:rsidRPr="007722A3" w:rsidRDefault="006D793D" w:rsidP="008F0358">
            <w:pPr>
              <w:keepNext/>
              <w:keepLines/>
              <w:jc w:val="center"/>
              <w:rPr>
                <w:sz w:val="22"/>
                <w:szCs w:val="22"/>
                <w:lang w:val="en-GB"/>
              </w:rPr>
            </w:pPr>
            <w:r w:rsidRPr="007722A3">
              <w:rPr>
                <w:sz w:val="22"/>
                <w:szCs w:val="22"/>
                <w:lang w:val="en-GB"/>
              </w:rPr>
              <w:t>6750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2.5</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2.0</w:t>
            </w:r>
          </w:p>
        </w:tc>
        <w:tc>
          <w:tcPr>
            <w:tcW w:w="1584" w:type="dxa"/>
          </w:tcPr>
          <w:p w:rsidR="006D793D" w:rsidRPr="007722A3" w:rsidRDefault="006D793D" w:rsidP="008F0358">
            <w:pPr>
              <w:keepNext/>
              <w:keepLines/>
              <w:jc w:val="center"/>
              <w:rPr>
                <w:sz w:val="22"/>
                <w:szCs w:val="22"/>
                <w:lang w:val="en-GB"/>
              </w:rPr>
            </w:pPr>
            <w:r w:rsidRPr="007722A3">
              <w:rPr>
                <w:sz w:val="22"/>
                <w:szCs w:val="22"/>
                <w:lang w:val="en-GB"/>
              </w:rPr>
              <w:t>2.5</w:t>
            </w:r>
          </w:p>
        </w:tc>
      </w:tr>
    </w:tbl>
    <w:p w:rsidR="006D793D" w:rsidRPr="007722A3" w:rsidRDefault="006D793D" w:rsidP="006D793D">
      <w:pPr>
        <w:tabs>
          <w:tab w:val="left" w:pos="567"/>
        </w:tabs>
        <w:rPr>
          <w:sz w:val="22"/>
          <w:szCs w:val="22"/>
          <w:lang w:val="en-GB"/>
        </w:rPr>
      </w:pPr>
      <w:r w:rsidRPr="007722A3">
        <w:rPr>
          <w:sz w:val="22"/>
          <w:szCs w:val="22"/>
          <w:lang w:val="en-GB"/>
        </w:rPr>
        <w:t>*number of tablets rounded to nearest half tablet</w:t>
      </w:r>
    </w:p>
    <w:p w:rsidR="006D793D" w:rsidRDefault="006D793D">
      <w:pPr>
        <w:pStyle w:val="BodyText"/>
      </w:pPr>
    </w:p>
    <w:p w:rsidR="008F7FF3" w:rsidRPr="007722A3" w:rsidRDefault="006604BA">
      <w:pPr>
        <w:pStyle w:val="BodyText"/>
      </w:pPr>
      <w:r w:rsidRPr="007722A3">
        <w:t>A total daily dose</w:t>
      </w:r>
      <w:r w:rsidR="008F7FF3" w:rsidRPr="007722A3">
        <w:t xml:space="preserve"> above 100 mg/kg</w:t>
      </w:r>
      <w:r w:rsidRPr="007722A3">
        <w:t xml:space="preserve"> body weight is</w:t>
      </w:r>
      <w:r w:rsidR="008F7FF3" w:rsidRPr="007722A3">
        <w:t xml:space="preserve"> not recommended because of the potentially increased risk of adverse reactions (see sections 4.4, 4.8, and 4.9).</w:t>
      </w:r>
    </w:p>
    <w:p w:rsidR="00BC301F" w:rsidRPr="007722A3" w:rsidRDefault="00BC301F">
      <w:pPr>
        <w:pStyle w:val="BodyText"/>
      </w:pPr>
    </w:p>
    <w:p w:rsidR="00273402" w:rsidRPr="00273402" w:rsidRDefault="00273402" w:rsidP="00273402">
      <w:pPr>
        <w:pStyle w:val="BodyText"/>
        <w:keepNext/>
        <w:rPr>
          <w:i/>
        </w:rPr>
      </w:pPr>
      <w:r w:rsidRPr="00273402">
        <w:rPr>
          <w:i/>
        </w:rPr>
        <w:t>Dose adjustment</w:t>
      </w:r>
    </w:p>
    <w:p w:rsidR="00A31CC2" w:rsidRPr="007722A3" w:rsidRDefault="00F345F8" w:rsidP="006C438D">
      <w:pPr>
        <w:pStyle w:val="BodyText"/>
      </w:pPr>
      <w:r w:rsidRPr="007722A3">
        <w:t>The effect of Ferriprox in decreasing the body iron is directly influenced by the dose and the degree of iron overload. After starting Ferriprox therapy, it is recommended that serum ferritin concentrations, or other indicators of body iron load, be monitored every two to three months to assess the long-term effectiveness of the chelation regimen in controlling the body iron load. Dose adjustments should be tailored to the individual patient’s response and therapeutic goals (maintenance or reduction of body iron burden).</w:t>
      </w:r>
      <w:r w:rsidR="00174EE5" w:rsidRPr="007722A3">
        <w:t xml:space="preserve"> </w:t>
      </w:r>
      <w:r w:rsidR="00A31CC2" w:rsidRPr="007722A3">
        <w:t>Interruption of therapy with deferiprone should be considered if serum ferritin fall</w:t>
      </w:r>
      <w:r w:rsidR="00D6232B">
        <w:t>s</w:t>
      </w:r>
      <w:r w:rsidR="00A31CC2" w:rsidRPr="007722A3">
        <w:t xml:space="preserve"> below 500 </w:t>
      </w:r>
      <w:r w:rsidR="00A31CC2" w:rsidRPr="007722A3">
        <w:rPr>
          <w:rFonts w:ascii="Symbol" w:hAnsi="Symbol"/>
        </w:rPr>
        <w:sym w:font="Symbol" w:char="F06D"/>
      </w:r>
      <w:r w:rsidR="00A31CC2" w:rsidRPr="007722A3">
        <w:t>g/l.</w:t>
      </w:r>
    </w:p>
    <w:p w:rsidR="00A31CC2" w:rsidRPr="007722A3" w:rsidRDefault="00A31CC2" w:rsidP="006C438D">
      <w:pPr>
        <w:pStyle w:val="BodyText"/>
      </w:pPr>
    </w:p>
    <w:p w:rsidR="00A80C9B" w:rsidRPr="00CB1265" w:rsidRDefault="00A80C9B" w:rsidP="00A80C9B">
      <w:pPr>
        <w:pStyle w:val="BodyText"/>
        <w:keepNext/>
        <w:rPr>
          <w:i/>
        </w:rPr>
      </w:pPr>
      <w:r w:rsidRPr="00CB1265">
        <w:rPr>
          <w:i/>
        </w:rPr>
        <w:t>Dose adjustments when used with other iron chelators</w:t>
      </w:r>
    </w:p>
    <w:p w:rsidR="00A80C9B" w:rsidRPr="007A5554" w:rsidRDefault="00A80C9B" w:rsidP="00C1099F">
      <w:pPr>
        <w:pStyle w:val="BodyText"/>
      </w:pPr>
      <w:r w:rsidRPr="007A5554">
        <w:t xml:space="preserve">In patients for whom monotherapy is inadequate, Ferriprox may be </w:t>
      </w:r>
      <w:r>
        <w:t>used with deferoxamine at the standard dose (</w:t>
      </w:r>
      <w:r w:rsidRPr="007A5554">
        <w:t>75 mg/kg/day</w:t>
      </w:r>
      <w:r>
        <w:t>) but should not exceed 100 mg/kg/day.</w:t>
      </w:r>
    </w:p>
    <w:p w:rsidR="00A80C9B" w:rsidRPr="00330A5A" w:rsidRDefault="00A80C9B" w:rsidP="00A80C9B">
      <w:pPr>
        <w:pStyle w:val="BodyText"/>
      </w:pPr>
    </w:p>
    <w:p w:rsidR="00A80C9B" w:rsidRPr="00330A5A" w:rsidRDefault="00A80C9B" w:rsidP="00A80C9B">
      <w:pPr>
        <w:pStyle w:val="BodyText"/>
      </w:pPr>
      <w:r w:rsidRPr="00330A5A">
        <w:t>In the case of iron-induced heart failure, Ferriprox at 75-100 mg/kg/day should be added to deferoxamine therapy.</w:t>
      </w:r>
      <w:r>
        <w:t xml:space="preserve"> T</w:t>
      </w:r>
      <w:r w:rsidRPr="00D160B7">
        <w:t>he product information of deferoxamine should be consulted.</w:t>
      </w:r>
    </w:p>
    <w:p w:rsidR="00A80C9B" w:rsidRDefault="00A80C9B" w:rsidP="00A80C9B">
      <w:pPr>
        <w:pStyle w:val="BodyText"/>
      </w:pPr>
    </w:p>
    <w:p w:rsidR="00A80C9B" w:rsidRDefault="00A80C9B" w:rsidP="00A80C9B">
      <w:pPr>
        <w:pStyle w:val="BodyText"/>
      </w:pPr>
      <w:r w:rsidRPr="00271997">
        <w:t xml:space="preserve">Concurrent use of iron chelators is not recommended in patients </w:t>
      </w:r>
      <w:r w:rsidRPr="00EC58FE">
        <w:t xml:space="preserve">whose serum ferritin </w:t>
      </w:r>
      <w:r w:rsidRPr="00CB1265">
        <w:t>falls below 500 </w:t>
      </w:r>
      <w:r>
        <w:t>µ</w:t>
      </w:r>
      <w:r w:rsidRPr="00AF22ED">
        <w:t>g/l due to the risk of excessive iron removal.</w:t>
      </w:r>
    </w:p>
    <w:p w:rsidR="008B2628" w:rsidRDefault="008B2628" w:rsidP="008B2628">
      <w:pPr>
        <w:pStyle w:val="BodyText"/>
      </w:pPr>
    </w:p>
    <w:p w:rsidR="008F7FF3" w:rsidRPr="007722A3" w:rsidRDefault="00A55091" w:rsidP="00273402">
      <w:pPr>
        <w:pStyle w:val="BodyText"/>
        <w:keepNext/>
        <w:rPr>
          <w:i/>
        </w:rPr>
      </w:pPr>
      <w:r w:rsidRPr="007722A3">
        <w:rPr>
          <w:i/>
        </w:rPr>
        <w:t>Paediatric population</w:t>
      </w:r>
    </w:p>
    <w:p w:rsidR="003D0ABD" w:rsidRPr="007722A3" w:rsidRDefault="008F7FF3" w:rsidP="007B098E">
      <w:pPr>
        <w:pStyle w:val="BodyText"/>
      </w:pPr>
      <w:r w:rsidRPr="007722A3">
        <w:t>There are limited data available on the use of deferiprone in children between 6 and 10 years of age, and no data on deferiprone use in children under 6 years of age.</w:t>
      </w:r>
    </w:p>
    <w:p w:rsidR="004E10A9" w:rsidRPr="007722A3" w:rsidRDefault="004E10A9">
      <w:pPr>
        <w:pStyle w:val="BodyText"/>
      </w:pPr>
    </w:p>
    <w:p w:rsidR="00C82A74" w:rsidRDefault="00C82A74" w:rsidP="00C82A74">
      <w:pPr>
        <w:pStyle w:val="BodyText"/>
        <w:rPr>
          <w:i/>
          <w:iCs/>
        </w:rPr>
      </w:pPr>
      <w:r>
        <w:rPr>
          <w:i/>
          <w:iCs/>
        </w:rPr>
        <w:t>Renal impairment</w:t>
      </w:r>
    </w:p>
    <w:p w:rsidR="00C82A74" w:rsidRDefault="00C82A74" w:rsidP="00553293">
      <w:pPr>
        <w:pStyle w:val="BodyText"/>
      </w:pPr>
      <w:r>
        <w:t xml:space="preserve">Dose adjustment is not required </w:t>
      </w:r>
      <w:r w:rsidRPr="00341FDA">
        <w:t>in patients with</w:t>
      </w:r>
      <w:r w:rsidR="00F77060">
        <w:t xml:space="preserve"> </w:t>
      </w:r>
      <w:r w:rsidR="00F77060" w:rsidRPr="00F77060">
        <w:t>mild, moderate, or severe renal impairment</w:t>
      </w:r>
      <w:r w:rsidRPr="00341FDA">
        <w:t xml:space="preserve"> </w:t>
      </w:r>
      <w:r w:rsidR="00F77060">
        <w:t>(</w:t>
      </w:r>
      <w:r>
        <w:t>see section 5.2). The safety and pharmacokinetics of Ferriprox</w:t>
      </w:r>
      <w:r w:rsidR="00553293">
        <w:t xml:space="preserve"> in </w:t>
      </w:r>
      <w:r>
        <w:t>patients with end stage renal disease</w:t>
      </w:r>
      <w:r w:rsidR="00553293">
        <w:t xml:space="preserve"> are unknown</w:t>
      </w:r>
      <w:r>
        <w:t>.</w:t>
      </w:r>
    </w:p>
    <w:p w:rsidR="00C82A74" w:rsidRDefault="00C82A74" w:rsidP="00C82A74">
      <w:pPr>
        <w:pStyle w:val="BodyText"/>
      </w:pPr>
    </w:p>
    <w:p w:rsidR="00C82A74" w:rsidRDefault="00C82A74" w:rsidP="00C82A74">
      <w:pPr>
        <w:pStyle w:val="BodyText"/>
        <w:rPr>
          <w:i/>
          <w:iCs/>
        </w:rPr>
      </w:pPr>
      <w:r>
        <w:rPr>
          <w:i/>
          <w:iCs/>
        </w:rPr>
        <w:t>Hepatic impairment</w:t>
      </w:r>
    </w:p>
    <w:p w:rsidR="00C82A74" w:rsidRDefault="00C82A74" w:rsidP="00553293">
      <w:pPr>
        <w:pStyle w:val="BodyText"/>
        <w:rPr>
          <w:i/>
          <w:iCs/>
        </w:rPr>
      </w:pPr>
      <w:r>
        <w:t xml:space="preserve">Dose </w:t>
      </w:r>
      <w:r w:rsidRPr="00341FDA">
        <w:t xml:space="preserve">adjustment is </w:t>
      </w:r>
      <w:r>
        <w:t xml:space="preserve">not </w:t>
      </w:r>
      <w:r w:rsidRPr="00341FDA">
        <w:t xml:space="preserve">required in patients with </w:t>
      </w:r>
      <w:r>
        <w:t xml:space="preserve">mildly or moderately </w:t>
      </w:r>
      <w:r w:rsidRPr="00341FDA">
        <w:t xml:space="preserve">impaired </w:t>
      </w:r>
      <w:r>
        <w:t xml:space="preserve">hepatic function (see section 5.2). </w:t>
      </w:r>
      <w:r w:rsidRPr="00F85467">
        <w:t>The</w:t>
      </w:r>
      <w:r w:rsidR="00553293">
        <w:t xml:space="preserve"> safety and pharmacokinetics of Ferriprox in patients with </w:t>
      </w:r>
      <w:r>
        <w:t>severe hepatic impairment</w:t>
      </w:r>
      <w:r w:rsidR="00553293">
        <w:t xml:space="preserve"> are unknown</w:t>
      </w:r>
      <w:r>
        <w:t>.</w:t>
      </w:r>
    </w:p>
    <w:p w:rsidR="00C82A74" w:rsidRPr="007722A3" w:rsidRDefault="00C82A74" w:rsidP="00C82A74">
      <w:pPr>
        <w:pStyle w:val="BodyText"/>
      </w:pPr>
    </w:p>
    <w:p w:rsidR="006604BA" w:rsidRPr="007722A3" w:rsidRDefault="006604BA" w:rsidP="00273402">
      <w:pPr>
        <w:keepNext/>
        <w:tabs>
          <w:tab w:val="left" w:pos="567"/>
        </w:tabs>
        <w:rPr>
          <w:sz w:val="22"/>
          <w:szCs w:val="22"/>
          <w:u w:val="single"/>
          <w:lang w:val="en-GB"/>
        </w:rPr>
      </w:pPr>
      <w:r w:rsidRPr="007722A3">
        <w:rPr>
          <w:sz w:val="22"/>
          <w:szCs w:val="22"/>
          <w:u w:val="single"/>
          <w:lang w:val="en-GB"/>
        </w:rPr>
        <w:t xml:space="preserve">Method of </w:t>
      </w:r>
      <w:r w:rsidR="009A02E3" w:rsidRPr="007722A3">
        <w:rPr>
          <w:sz w:val="22"/>
          <w:szCs w:val="22"/>
          <w:u w:val="single"/>
          <w:lang w:val="en-GB"/>
        </w:rPr>
        <w:t>a</w:t>
      </w:r>
      <w:r w:rsidRPr="007722A3">
        <w:rPr>
          <w:sz w:val="22"/>
          <w:szCs w:val="22"/>
          <w:u w:val="single"/>
          <w:lang w:val="en-GB"/>
        </w:rPr>
        <w:t>dmin</w:t>
      </w:r>
      <w:r w:rsidR="00AA02B3" w:rsidRPr="007722A3">
        <w:rPr>
          <w:sz w:val="22"/>
          <w:szCs w:val="22"/>
          <w:u w:val="single"/>
          <w:lang w:val="en-GB"/>
        </w:rPr>
        <w:t>i</w:t>
      </w:r>
      <w:r w:rsidRPr="007722A3">
        <w:rPr>
          <w:sz w:val="22"/>
          <w:szCs w:val="22"/>
          <w:u w:val="single"/>
          <w:lang w:val="en-GB"/>
        </w:rPr>
        <w:t>stration</w:t>
      </w:r>
    </w:p>
    <w:p w:rsidR="00BE6D2A" w:rsidRPr="007722A3" w:rsidRDefault="006604BA">
      <w:pPr>
        <w:tabs>
          <w:tab w:val="left" w:pos="567"/>
        </w:tabs>
        <w:rPr>
          <w:sz w:val="22"/>
          <w:szCs w:val="22"/>
          <w:lang w:val="en-GB"/>
        </w:rPr>
      </w:pPr>
      <w:r w:rsidRPr="007722A3">
        <w:rPr>
          <w:sz w:val="22"/>
          <w:szCs w:val="22"/>
          <w:lang w:val="en-GB"/>
        </w:rPr>
        <w:t>For oral use</w:t>
      </w:r>
    </w:p>
    <w:p w:rsidR="00BE6D2A" w:rsidRPr="007722A3" w:rsidRDefault="00BE6D2A">
      <w:pPr>
        <w:tabs>
          <w:tab w:val="left" w:pos="567"/>
        </w:tabs>
        <w:rPr>
          <w:sz w:val="22"/>
          <w:szCs w:val="22"/>
          <w:lang w:val="en-GB"/>
        </w:rPr>
      </w:pPr>
    </w:p>
    <w:p w:rsidR="008F7FF3" w:rsidRPr="007722A3" w:rsidRDefault="008F7FF3">
      <w:pPr>
        <w:tabs>
          <w:tab w:val="left" w:pos="567"/>
        </w:tabs>
        <w:rPr>
          <w:b/>
          <w:sz w:val="22"/>
          <w:szCs w:val="22"/>
          <w:lang w:val="en-GB"/>
        </w:rPr>
      </w:pPr>
      <w:r w:rsidRPr="007722A3">
        <w:rPr>
          <w:b/>
          <w:sz w:val="22"/>
          <w:szCs w:val="22"/>
          <w:lang w:val="en-GB"/>
        </w:rPr>
        <w:t>4.3</w:t>
      </w:r>
      <w:r w:rsidRPr="007722A3">
        <w:rPr>
          <w:b/>
          <w:sz w:val="22"/>
          <w:szCs w:val="22"/>
          <w:lang w:val="en-GB"/>
        </w:rPr>
        <w:tab/>
        <w:t>Contraindications</w:t>
      </w:r>
    </w:p>
    <w:p w:rsidR="008F7FF3" w:rsidRPr="007722A3" w:rsidRDefault="008F7FF3">
      <w:pPr>
        <w:tabs>
          <w:tab w:val="left" w:pos="567"/>
        </w:tabs>
        <w:rPr>
          <w:sz w:val="22"/>
          <w:szCs w:val="22"/>
          <w:lang w:val="en-GB"/>
        </w:rPr>
      </w:pPr>
    </w:p>
    <w:p w:rsidR="008F7FF3" w:rsidRPr="007722A3" w:rsidRDefault="00AB16E5" w:rsidP="00BE6D2A">
      <w:pPr>
        <w:pStyle w:val="BodyText"/>
        <w:ind w:left="360" w:hanging="360"/>
      </w:pPr>
      <w:r w:rsidRPr="007722A3">
        <w:t>-</w:t>
      </w:r>
      <w:r w:rsidRPr="007722A3">
        <w:tab/>
      </w:r>
      <w:r w:rsidR="008F7FF3" w:rsidRPr="007722A3">
        <w:t>Hypersensitivity to the active substance or to any of the excipients</w:t>
      </w:r>
      <w:r w:rsidR="001276DC" w:rsidRPr="007722A3">
        <w:t xml:space="preserve"> listed in section 6.1</w:t>
      </w:r>
      <w:r w:rsidR="008F7FF3" w:rsidRPr="007722A3">
        <w:t>.</w:t>
      </w:r>
    </w:p>
    <w:p w:rsidR="008F7FF3" w:rsidRPr="007722A3" w:rsidRDefault="00AB16E5" w:rsidP="00BE6D2A">
      <w:pPr>
        <w:pStyle w:val="BodyText"/>
        <w:ind w:left="360" w:hanging="360"/>
      </w:pPr>
      <w:r w:rsidRPr="007722A3">
        <w:t>-</w:t>
      </w:r>
      <w:r w:rsidRPr="007722A3">
        <w:tab/>
      </w:r>
      <w:r w:rsidR="008F7FF3" w:rsidRPr="007722A3">
        <w:t>History of recurrent episodes of neutropenia.</w:t>
      </w:r>
    </w:p>
    <w:p w:rsidR="008F7FF3" w:rsidRPr="007722A3" w:rsidRDefault="00AB16E5" w:rsidP="00BE6D2A">
      <w:pPr>
        <w:pStyle w:val="BodyText"/>
        <w:ind w:left="360" w:hanging="360"/>
      </w:pPr>
      <w:r w:rsidRPr="007722A3">
        <w:t>-</w:t>
      </w:r>
      <w:r w:rsidRPr="007722A3">
        <w:tab/>
      </w:r>
      <w:r w:rsidR="008F7FF3" w:rsidRPr="007722A3">
        <w:t>History of agranulocytosis.</w:t>
      </w:r>
    </w:p>
    <w:p w:rsidR="008F7FF3" w:rsidRPr="007722A3" w:rsidRDefault="00AB16E5" w:rsidP="00BE6D2A">
      <w:pPr>
        <w:pStyle w:val="BodyText"/>
        <w:ind w:left="360" w:hanging="360"/>
      </w:pPr>
      <w:r w:rsidRPr="007722A3">
        <w:t>-</w:t>
      </w:r>
      <w:r w:rsidRPr="007722A3">
        <w:tab/>
      </w:r>
      <w:r w:rsidR="008F7FF3" w:rsidRPr="007722A3">
        <w:t>Pregnancy (see section 4.6).</w:t>
      </w:r>
    </w:p>
    <w:p w:rsidR="006604BA" w:rsidRPr="007722A3" w:rsidRDefault="00AB16E5" w:rsidP="00BE6D2A">
      <w:pPr>
        <w:pStyle w:val="BodyText"/>
        <w:ind w:left="360" w:hanging="360"/>
      </w:pPr>
      <w:r w:rsidRPr="007722A3">
        <w:t>-</w:t>
      </w:r>
      <w:r w:rsidRPr="007722A3">
        <w:tab/>
        <w:t>B</w:t>
      </w:r>
      <w:r w:rsidR="006604BA" w:rsidRPr="007722A3">
        <w:t>reast</w:t>
      </w:r>
      <w:r w:rsidR="00394D03" w:rsidRPr="007722A3">
        <w:t>-</w:t>
      </w:r>
      <w:r w:rsidR="006604BA" w:rsidRPr="007722A3">
        <w:t>feeding (see section 4.6).</w:t>
      </w:r>
    </w:p>
    <w:p w:rsidR="008F7FF3" w:rsidRPr="007722A3" w:rsidRDefault="00AB16E5" w:rsidP="00BE6D2A">
      <w:pPr>
        <w:pStyle w:val="BodyText"/>
        <w:ind w:left="360" w:hanging="360"/>
      </w:pPr>
      <w:r w:rsidRPr="007722A3">
        <w:t>-</w:t>
      </w:r>
      <w:r w:rsidRPr="007722A3">
        <w:tab/>
      </w:r>
      <w:r w:rsidR="008F7FF3" w:rsidRPr="007722A3">
        <w:t>Due to the unknown mechanism of deferiprone</w:t>
      </w:r>
      <w:r w:rsidR="008F7FF3" w:rsidRPr="007722A3">
        <w:noBreakHyphen/>
        <w:t xml:space="preserve">induced neutropenia, patients </w:t>
      </w:r>
      <w:r w:rsidR="00F222D2" w:rsidRPr="007722A3">
        <w:t xml:space="preserve">must </w:t>
      </w:r>
      <w:r w:rsidR="008F7FF3" w:rsidRPr="007722A3">
        <w:t>not take medicinal products known to be associated with neutropenia or those that can cause agranulocytosis (see section 4.5).</w:t>
      </w:r>
    </w:p>
    <w:p w:rsidR="008F7FF3" w:rsidRPr="007722A3" w:rsidRDefault="008F7FF3">
      <w:pPr>
        <w:rPr>
          <w:sz w:val="22"/>
          <w:szCs w:val="22"/>
          <w:lang w:val="en-GB"/>
        </w:rPr>
      </w:pPr>
    </w:p>
    <w:p w:rsidR="008F7FF3" w:rsidRPr="007722A3" w:rsidRDefault="008F7FF3" w:rsidP="00330AE8">
      <w:pPr>
        <w:keepNext/>
        <w:tabs>
          <w:tab w:val="left" w:pos="567"/>
        </w:tabs>
        <w:rPr>
          <w:b/>
          <w:sz w:val="22"/>
          <w:szCs w:val="22"/>
          <w:lang w:val="en-GB"/>
        </w:rPr>
      </w:pPr>
      <w:r w:rsidRPr="007722A3">
        <w:rPr>
          <w:b/>
          <w:sz w:val="22"/>
          <w:szCs w:val="22"/>
          <w:lang w:val="en-GB"/>
        </w:rPr>
        <w:t>4.4</w:t>
      </w:r>
      <w:r w:rsidRPr="007722A3">
        <w:rPr>
          <w:b/>
          <w:sz w:val="22"/>
          <w:szCs w:val="22"/>
          <w:lang w:val="en-GB"/>
        </w:rPr>
        <w:tab/>
        <w:t>Special warnings and precautions for use</w:t>
      </w:r>
    </w:p>
    <w:p w:rsidR="008F7FF3" w:rsidRPr="007722A3" w:rsidRDefault="008F7FF3" w:rsidP="00330AE8">
      <w:pPr>
        <w:keepNext/>
        <w:tabs>
          <w:tab w:val="left" w:pos="567"/>
        </w:tabs>
        <w:rPr>
          <w:b/>
          <w:sz w:val="22"/>
          <w:szCs w:val="22"/>
          <w:lang w:val="en-GB"/>
        </w:rPr>
      </w:pPr>
    </w:p>
    <w:p w:rsidR="00330AE8" w:rsidRPr="00A41E62" w:rsidRDefault="00330AE8" w:rsidP="00330AE8">
      <w:pPr>
        <w:pStyle w:val="Boxed"/>
        <w:keepNext/>
        <w:pBdr>
          <w:top w:val="single" w:sz="4" w:space="0" w:color="auto"/>
        </w:pBdr>
        <w:rPr>
          <w:iCs/>
          <w:u w:val="single"/>
        </w:rPr>
      </w:pPr>
      <w:r w:rsidRPr="00A41E62">
        <w:rPr>
          <w:iCs/>
          <w:u w:val="single"/>
        </w:rPr>
        <w:t>Neutropenia/Agranulocytosis</w:t>
      </w:r>
    </w:p>
    <w:p w:rsidR="00330AE8" w:rsidRPr="00A41E62" w:rsidRDefault="00330AE8" w:rsidP="00330AE8">
      <w:pPr>
        <w:pStyle w:val="Boxed"/>
        <w:pBdr>
          <w:top w:val="single" w:sz="4" w:space="0" w:color="auto"/>
        </w:pBdr>
        <w:rPr>
          <w:b/>
          <w:bCs/>
        </w:rPr>
      </w:pPr>
      <w:r w:rsidRPr="00A41E62">
        <w:rPr>
          <w:b/>
          <w:bCs/>
        </w:rPr>
        <w:t xml:space="preserve">Deferiprone has been shown to cause neutropenia, including agranulocytosis (see section 4.8 ‘Description of selected adverse reactions’). The patient’s absolute neutrophil count (ANC) should be monitored every week during the first year of therapy. For patients whose Ferriprox has not been interrupted during the first year of therapy due to any decrease in the neutrophil count, the frequency of ANC monitoring may be extended to the patient’s blood transfusion interval </w:t>
      </w:r>
      <w:r w:rsidRPr="00A41E62">
        <w:rPr>
          <w:b/>
          <w:szCs w:val="24"/>
        </w:rPr>
        <w:t>(every 2-4 weeks) after one year of deferiprone therapy</w:t>
      </w:r>
      <w:r w:rsidRPr="00A41E62">
        <w:rPr>
          <w:b/>
          <w:bCs/>
        </w:rPr>
        <w:t>.</w:t>
      </w:r>
    </w:p>
    <w:p w:rsidR="00330AE8" w:rsidRPr="00A41E62" w:rsidRDefault="00330AE8" w:rsidP="00330AE8">
      <w:pPr>
        <w:pStyle w:val="Boxed"/>
        <w:pBdr>
          <w:top w:val="single" w:sz="4" w:space="0" w:color="auto"/>
        </w:pBdr>
        <w:rPr>
          <w:b/>
          <w:bCs/>
        </w:rPr>
      </w:pPr>
    </w:p>
    <w:p w:rsidR="00330AE8" w:rsidRPr="00A41E62" w:rsidRDefault="00330AE8" w:rsidP="00330AE8">
      <w:pPr>
        <w:pStyle w:val="Boxed"/>
        <w:pBdr>
          <w:top w:val="single" w:sz="4" w:space="0" w:color="auto"/>
        </w:pBdr>
        <w:rPr>
          <w:b/>
          <w:bCs/>
        </w:rPr>
      </w:pPr>
      <w:r w:rsidRPr="00A41E62">
        <w:rPr>
          <w:szCs w:val="24"/>
        </w:rPr>
        <w:t>The change from weekly ANC monitoring to at the time of transfusion visits after 12 months of Ferriprox therapy, should be considered on an individual patient basis, according to the physician’s assessment of the patient’s understanding of the risk minimization measures required during therapy (see section 4.4 below).</w:t>
      </w:r>
    </w:p>
    <w:p w:rsidR="00330AE8" w:rsidRPr="00A41E62" w:rsidRDefault="00330AE8" w:rsidP="00330AE8">
      <w:pPr>
        <w:pStyle w:val="Boxed"/>
        <w:pBdr>
          <w:top w:val="single" w:sz="4" w:space="0" w:color="auto"/>
        </w:pBdr>
      </w:pPr>
    </w:p>
    <w:p w:rsidR="00330AE8" w:rsidRPr="00A41E62" w:rsidRDefault="00330AE8" w:rsidP="00330AE8">
      <w:pPr>
        <w:pStyle w:val="Boxed"/>
        <w:pBdr>
          <w:top w:val="single" w:sz="4" w:space="0" w:color="auto"/>
        </w:pBdr>
      </w:pPr>
      <w:r w:rsidRPr="00A41E62">
        <w:t>In clinical trials, weekly monitoring of the neutrophil count has been effective in identifying cases of neutropenia and agranulocytosis. Agranulocytosis and neutropenia usually resolve upon discontinuation of Ferriprox, but fatal cases of agranulocytosis have been reported. If the patient develops an infection while on deferiprone, therapy should be immediately interrupted, and an ANC obtained without delay. The neutrophil count should be then monitored more frequently.</w:t>
      </w:r>
    </w:p>
    <w:p w:rsidR="00330AE8" w:rsidRPr="00A41E62" w:rsidRDefault="00330AE8" w:rsidP="00330AE8">
      <w:pPr>
        <w:pStyle w:val="Boxed"/>
        <w:pBdr>
          <w:top w:val="single" w:sz="4" w:space="0" w:color="auto"/>
        </w:pBdr>
      </w:pPr>
    </w:p>
    <w:p w:rsidR="00330AE8" w:rsidRPr="00A41E62" w:rsidRDefault="00330AE8" w:rsidP="00330AE8">
      <w:pPr>
        <w:pStyle w:val="Boxed"/>
        <w:pBdr>
          <w:top w:val="single" w:sz="4" w:space="0" w:color="auto"/>
        </w:pBdr>
      </w:pPr>
      <w:r w:rsidRPr="00A41E62">
        <w:rPr>
          <w:b/>
        </w:rPr>
        <w:t>Patients should be aware to contact their physician if they experience any symptoms indicative of infection (such as fever, sore throat and flu-like symptoms). Immediately interrupt deferiprone if the patient experience infection.</w:t>
      </w:r>
    </w:p>
    <w:p w:rsidR="008F7FF3" w:rsidRPr="007722A3" w:rsidRDefault="008F7FF3">
      <w:pPr>
        <w:pStyle w:val="BodyText"/>
      </w:pPr>
    </w:p>
    <w:p w:rsidR="008F7FF3" w:rsidRDefault="008F7FF3" w:rsidP="00476596">
      <w:pPr>
        <w:pStyle w:val="BodyText"/>
      </w:pPr>
      <w:r w:rsidRPr="007722A3">
        <w:t>Suggested management of cases of neutropenia is outlined below. It is recommended that such a management protocol be in place prior to initiating any patient on deferiprone treatment.</w:t>
      </w:r>
    </w:p>
    <w:p w:rsidR="00476596" w:rsidRPr="007722A3" w:rsidRDefault="00476596" w:rsidP="00476596">
      <w:pPr>
        <w:pStyle w:val="BodyText"/>
      </w:pPr>
    </w:p>
    <w:p w:rsidR="008F7FF3" w:rsidRPr="007722A3" w:rsidRDefault="008F7FF3">
      <w:pPr>
        <w:pStyle w:val="BodyText"/>
        <w:rPr>
          <w:b/>
        </w:rPr>
      </w:pPr>
      <w:r w:rsidRPr="007722A3">
        <w:t xml:space="preserve">Treatment with deferiprone should not be initiated if the </w:t>
      </w:r>
      <w:r w:rsidRPr="002034E3">
        <w:t>patient is neutropenic. The risk of agranulocytos</w:t>
      </w:r>
      <w:r w:rsidRPr="007722A3">
        <w:t>is and neutropenia is higher if the baseline ANC is less than 1.5x10</w:t>
      </w:r>
      <w:r w:rsidRPr="007722A3">
        <w:rPr>
          <w:vertAlign w:val="superscript"/>
        </w:rPr>
        <w:t>9</w:t>
      </w:r>
      <w:r w:rsidRPr="007722A3">
        <w:t>/l.</w:t>
      </w:r>
    </w:p>
    <w:p w:rsidR="008F7FF3" w:rsidRPr="007722A3" w:rsidRDefault="008F7FF3">
      <w:pPr>
        <w:rPr>
          <w:sz w:val="22"/>
          <w:szCs w:val="22"/>
          <w:lang w:val="en-GB"/>
        </w:rPr>
      </w:pPr>
    </w:p>
    <w:p w:rsidR="00330AE8" w:rsidRPr="007722A3" w:rsidRDefault="00330AE8" w:rsidP="00330AE8">
      <w:pPr>
        <w:pStyle w:val="Heading4"/>
        <w:keepNext/>
        <w:rPr>
          <w:b w:val="0"/>
          <w:bCs w:val="0"/>
          <w:iCs/>
          <w:u w:val="single"/>
        </w:rPr>
      </w:pPr>
      <w:r w:rsidRPr="00915089">
        <w:rPr>
          <w:b w:val="0"/>
          <w:bCs w:val="0"/>
          <w:iCs/>
          <w:u w:val="single"/>
        </w:rPr>
        <w:t>For neutropenia events (ANC &lt; 1.5x10</w:t>
      </w:r>
      <w:r w:rsidRPr="00A7534C">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 xml:space="preserve"> and &gt; 0.5x10</w:t>
      </w:r>
      <w:r w:rsidRPr="00D40910">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w:t>
      </w:r>
      <w:r w:rsidRPr="007722A3">
        <w:rPr>
          <w:b w:val="0"/>
          <w:bCs w:val="0"/>
          <w:iCs/>
          <w:u w:val="single"/>
        </w:rPr>
        <w:t>:</w:t>
      </w:r>
    </w:p>
    <w:p w:rsidR="008F7FF3" w:rsidRPr="007722A3" w:rsidRDefault="008F7FF3">
      <w:pPr>
        <w:pStyle w:val="BodyText"/>
      </w:pPr>
      <w:r w:rsidRPr="007722A3">
        <w:t>Instruct the patient to immediately discontinue deferiprone and all other medicinal products with a potential to cause neutropenia. The patient should be advised to limit contact with other individuals in order to reduce the risk of infection. Obtain a complete blood cell (CBC) count, with a white blood cell (WBC) count, corrected for the presence of nucleated red blood cells, a neutrophil count, and a platelet count immediately upon diagnosing the event and then repeat daily. It is recommended that following recovery from neutropenia, weekly CBC, WBC, neutrophil and platelet counts continue to be obtained for three consecutive weeks, to ensure that the patient recovers fully. Should any evidence of infection develop concurrently with the neutropenia, the appropriate cultures and diagnostic procedures should be performed and an appropriate therapeutic regimen instituted.</w:t>
      </w:r>
    </w:p>
    <w:p w:rsidR="008F7FF3" w:rsidRPr="007722A3" w:rsidRDefault="008F7FF3">
      <w:pPr>
        <w:pStyle w:val="BodyText"/>
      </w:pPr>
    </w:p>
    <w:p w:rsidR="00330AE8" w:rsidRPr="007722A3" w:rsidRDefault="00330AE8" w:rsidP="00330AE8">
      <w:pPr>
        <w:pStyle w:val="Heading4"/>
        <w:keepNext/>
        <w:rPr>
          <w:b w:val="0"/>
          <w:bCs w:val="0"/>
          <w:iCs/>
          <w:u w:val="single"/>
        </w:rPr>
      </w:pPr>
      <w:r>
        <w:rPr>
          <w:b w:val="0"/>
          <w:bCs w:val="0"/>
          <w:iCs/>
          <w:u w:val="single"/>
        </w:rPr>
        <w:t xml:space="preserve">For </w:t>
      </w:r>
      <w:r w:rsidRPr="007722A3">
        <w:rPr>
          <w:b w:val="0"/>
          <w:bCs w:val="0"/>
          <w:iCs/>
          <w:u w:val="single"/>
        </w:rPr>
        <w:t>agranulocytosis</w:t>
      </w:r>
      <w:r>
        <w:rPr>
          <w:b w:val="0"/>
          <w:bCs w:val="0"/>
          <w:iCs/>
          <w:u w:val="single"/>
        </w:rPr>
        <w:t xml:space="preserve"> </w:t>
      </w:r>
      <w:r w:rsidRPr="00915089">
        <w:rPr>
          <w:b w:val="0"/>
          <w:bCs w:val="0"/>
          <w:iCs/>
          <w:u w:val="single"/>
        </w:rPr>
        <w:t>(ANC &lt; 0.5x10</w:t>
      </w:r>
      <w:r w:rsidRPr="00A7534C">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w:t>
      </w:r>
      <w:r w:rsidRPr="007722A3">
        <w:rPr>
          <w:b w:val="0"/>
          <w:bCs w:val="0"/>
          <w:iCs/>
          <w:u w:val="single"/>
        </w:rPr>
        <w:t>:</w:t>
      </w:r>
    </w:p>
    <w:p w:rsidR="008F7FF3" w:rsidRPr="007722A3" w:rsidRDefault="008F7FF3">
      <w:pPr>
        <w:pStyle w:val="BodyText"/>
      </w:pPr>
      <w:r w:rsidRPr="007722A3">
        <w:t>Follow the guidelines above and administer appropriate therapy such as granulocyte colony stimulating factor, beginning the same day that the event is identified; administer daily until the condition resolves. Provide protective isolation and if clinically indicated, admit patient to the hospital.</w:t>
      </w:r>
    </w:p>
    <w:p w:rsidR="008F7FF3" w:rsidRPr="007722A3" w:rsidRDefault="008F7FF3">
      <w:pPr>
        <w:pStyle w:val="BodyText"/>
      </w:pPr>
    </w:p>
    <w:p w:rsidR="008F7FF3" w:rsidRPr="007722A3" w:rsidRDefault="008F7FF3">
      <w:pPr>
        <w:pStyle w:val="BodyText"/>
      </w:pPr>
      <w:r w:rsidRPr="007722A3">
        <w:t>Limited information is available regarding rechallenge. Therefore, in the event of neutropenia, rechallenge is not recommended. In the event of agranulocytosis, rechallenge is contraindicated.</w:t>
      </w:r>
    </w:p>
    <w:p w:rsidR="008F7FF3" w:rsidRPr="007722A3" w:rsidRDefault="008F7FF3">
      <w:pPr>
        <w:pStyle w:val="BodyText"/>
      </w:pPr>
    </w:p>
    <w:p w:rsidR="008F7FF3" w:rsidRPr="007722A3" w:rsidRDefault="008F7FF3">
      <w:pPr>
        <w:pStyle w:val="Heading5"/>
        <w:rPr>
          <w:iCs/>
        </w:rPr>
      </w:pPr>
      <w:r w:rsidRPr="007722A3">
        <w:rPr>
          <w:iCs/>
        </w:rPr>
        <w:t>Carcinogenicity/mutagenicity</w:t>
      </w:r>
    </w:p>
    <w:p w:rsidR="008F7FF3" w:rsidRPr="007722A3" w:rsidRDefault="008F7FF3">
      <w:pPr>
        <w:pStyle w:val="BodyText"/>
      </w:pPr>
      <w:r w:rsidRPr="007722A3">
        <w:t>In view of the genotoxicity results, a carcinogenic potential of deferiprone cannot be excluded (see section 5.3).</w:t>
      </w:r>
    </w:p>
    <w:p w:rsidR="008F7FF3" w:rsidRPr="007722A3" w:rsidRDefault="008F7FF3">
      <w:pPr>
        <w:pStyle w:val="BodyText"/>
      </w:pPr>
    </w:p>
    <w:p w:rsidR="008F7FF3" w:rsidRPr="007722A3" w:rsidRDefault="00942873">
      <w:pPr>
        <w:pStyle w:val="Heading5"/>
        <w:rPr>
          <w:iCs/>
        </w:rPr>
      </w:pPr>
      <w:r w:rsidRPr="007722A3">
        <w:rPr>
          <w:iCs/>
        </w:rPr>
        <w:t>P</w:t>
      </w:r>
      <w:r w:rsidR="008F7FF3" w:rsidRPr="007722A3">
        <w:rPr>
          <w:iCs/>
        </w:rPr>
        <w:t>lasma Zn</w:t>
      </w:r>
      <w:r w:rsidR="008F7FF3" w:rsidRPr="007722A3">
        <w:rPr>
          <w:iCs/>
          <w:vertAlign w:val="superscript"/>
        </w:rPr>
        <w:t>2+</w:t>
      </w:r>
      <w:r w:rsidR="008F7FF3" w:rsidRPr="007722A3">
        <w:rPr>
          <w:iCs/>
        </w:rPr>
        <w:t xml:space="preserve"> concentration</w:t>
      </w:r>
    </w:p>
    <w:p w:rsidR="008F7FF3" w:rsidRPr="007722A3" w:rsidRDefault="008F7FF3">
      <w:pPr>
        <w:pStyle w:val="BodyText"/>
      </w:pPr>
      <w:r w:rsidRPr="007722A3">
        <w:t>Monitoring of plasma Zn</w:t>
      </w:r>
      <w:r w:rsidRPr="007722A3">
        <w:rPr>
          <w:vertAlign w:val="superscript"/>
        </w:rPr>
        <w:t>2+</w:t>
      </w:r>
      <w:r w:rsidRPr="007722A3">
        <w:t xml:space="preserve"> concentration, and supplementation in case of a deficiency, is recommended.</w:t>
      </w:r>
    </w:p>
    <w:p w:rsidR="008F7FF3" w:rsidRPr="007722A3" w:rsidRDefault="008F7FF3">
      <w:pPr>
        <w:pStyle w:val="BodyText"/>
      </w:pPr>
    </w:p>
    <w:p w:rsidR="008F7FF3" w:rsidRPr="007722A3" w:rsidRDefault="008F7FF3" w:rsidP="008C2118">
      <w:pPr>
        <w:pStyle w:val="Heading5"/>
        <w:rPr>
          <w:iCs/>
        </w:rPr>
      </w:pPr>
      <w:r w:rsidRPr="007722A3">
        <w:rPr>
          <w:iCs/>
        </w:rPr>
        <w:t>HIV positive or other immun</w:t>
      </w:r>
      <w:r w:rsidR="008C2118">
        <w:rPr>
          <w:iCs/>
        </w:rPr>
        <w:t>o</w:t>
      </w:r>
      <w:r w:rsidRPr="007722A3">
        <w:rPr>
          <w:iCs/>
        </w:rPr>
        <w:t>compromised patients</w:t>
      </w:r>
    </w:p>
    <w:p w:rsidR="008F7FF3" w:rsidRPr="007722A3" w:rsidRDefault="008F7FF3" w:rsidP="008C2118">
      <w:pPr>
        <w:pStyle w:val="BodyText"/>
      </w:pPr>
      <w:r w:rsidRPr="007722A3">
        <w:t>No data are available on the use of deferiprone in HIV positive or in other immun</w:t>
      </w:r>
      <w:r w:rsidR="008C2118">
        <w:t>o</w:t>
      </w:r>
      <w:r w:rsidRPr="007722A3">
        <w:t>compromised patients. Given that deferiprone can be associated with neutropenia and agranulocytosis, therapy in immun</w:t>
      </w:r>
      <w:r w:rsidR="008C2118">
        <w:t>o</w:t>
      </w:r>
      <w:r w:rsidRPr="007722A3">
        <w:t>compromised patients should not be initiated unless potential benefits outweigh potential risks.</w:t>
      </w:r>
    </w:p>
    <w:p w:rsidR="008F7FF3" w:rsidRPr="007722A3" w:rsidRDefault="008F7FF3">
      <w:pPr>
        <w:pStyle w:val="BodyText"/>
      </w:pPr>
    </w:p>
    <w:p w:rsidR="008F7FF3" w:rsidRPr="007722A3" w:rsidRDefault="008F7FF3">
      <w:pPr>
        <w:pStyle w:val="Heading5"/>
        <w:rPr>
          <w:iCs/>
        </w:rPr>
      </w:pPr>
      <w:r w:rsidRPr="007722A3">
        <w:rPr>
          <w:iCs/>
        </w:rPr>
        <w:t>Renal or hepatic impairment and liver fibrosis</w:t>
      </w:r>
    </w:p>
    <w:p w:rsidR="008F7FF3" w:rsidRPr="007722A3" w:rsidRDefault="008F7FF3" w:rsidP="00C82A74">
      <w:pPr>
        <w:pStyle w:val="BodyText"/>
      </w:pPr>
      <w:r w:rsidRPr="007722A3">
        <w:t xml:space="preserve">There are no data available on the use of deferiprone in patients with </w:t>
      </w:r>
      <w:r w:rsidR="00C82A74">
        <w:t xml:space="preserve">end stage </w:t>
      </w:r>
      <w:r w:rsidRPr="007722A3">
        <w:t xml:space="preserve">renal </w:t>
      </w:r>
      <w:r w:rsidR="00C82A74">
        <w:t xml:space="preserve">disease </w:t>
      </w:r>
      <w:r w:rsidRPr="007722A3">
        <w:t xml:space="preserve">or </w:t>
      </w:r>
      <w:r w:rsidR="00C82A74">
        <w:t xml:space="preserve">severe </w:t>
      </w:r>
      <w:r w:rsidRPr="007722A3">
        <w:t>hepatic impairment</w:t>
      </w:r>
      <w:r w:rsidR="00C82A74">
        <w:t xml:space="preserve"> (see section 5.2)</w:t>
      </w:r>
      <w:r w:rsidRPr="007722A3">
        <w:t>.</w:t>
      </w:r>
      <w:r w:rsidR="00C82A74" w:rsidRPr="007722A3">
        <w:rPr>
          <w:b/>
        </w:rPr>
        <w:t xml:space="preserve"> </w:t>
      </w:r>
      <w:r w:rsidR="00C82A74">
        <w:t>C</w:t>
      </w:r>
      <w:r w:rsidRPr="007722A3">
        <w:t xml:space="preserve">aution must be exercised in patients with </w:t>
      </w:r>
      <w:r w:rsidR="00C1099F">
        <w:t xml:space="preserve">end stage renal disease or </w:t>
      </w:r>
      <w:r w:rsidR="00C82A74">
        <w:t xml:space="preserve">severe </w:t>
      </w:r>
      <w:r w:rsidRPr="007722A3">
        <w:t>hepatic dysfunction. Renal and hepatic function should be monitored in th</w:t>
      </w:r>
      <w:r w:rsidR="006A7024">
        <w:t>ese</w:t>
      </w:r>
      <w:r w:rsidRPr="007722A3">
        <w:t xml:space="preserve"> patient population</w:t>
      </w:r>
      <w:r w:rsidR="006A7024">
        <w:t>s</w:t>
      </w:r>
      <w:r w:rsidRPr="007722A3">
        <w:t xml:space="preserve"> during deferiprone therapy. If there is a persistent increase in serum alanine aminotransferase (ALT), interruption of deferiprone therapy should be considered.</w:t>
      </w:r>
    </w:p>
    <w:p w:rsidR="008F7FF3" w:rsidRPr="007722A3" w:rsidRDefault="008F7FF3">
      <w:pPr>
        <w:pStyle w:val="BodyText"/>
      </w:pPr>
    </w:p>
    <w:p w:rsidR="008F7FF3" w:rsidRPr="007722A3" w:rsidRDefault="008F7FF3">
      <w:pPr>
        <w:pStyle w:val="BodyText"/>
      </w:pPr>
      <w:r w:rsidRPr="007722A3">
        <w:t>In thalassaemia patients there is an association between liver fibrosis and iron overload and/or hepatitis C. Special care must be taken to ensure that iron chelation in patients with hepatitis C is optimal. In these patients careful monitoring of liver histology is recommended.</w:t>
      </w:r>
    </w:p>
    <w:p w:rsidR="008F7FF3" w:rsidRPr="007722A3" w:rsidRDefault="008F7FF3">
      <w:pPr>
        <w:pStyle w:val="BodyText"/>
      </w:pPr>
    </w:p>
    <w:p w:rsidR="008F7FF3" w:rsidRPr="007722A3" w:rsidRDefault="008F7FF3">
      <w:pPr>
        <w:pStyle w:val="Heading5"/>
        <w:rPr>
          <w:iCs/>
        </w:rPr>
      </w:pPr>
      <w:r w:rsidRPr="007722A3">
        <w:rPr>
          <w:iCs/>
        </w:rPr>
        <w:t>Discoloration of urine</w:t>
      </w:r>
    </w:p>
    <w:p w:rsidR="008F7FF3" w:rsidRPr="007722A3" w:rsidRDefault="008F7FF3">
      <w:pPr>
        <w:pStyle w:val="BodyText"/>
      </w:pPr>
      <w:r w:rsidRPr="007722A3">
        <w:t>Patients should be informed that their urine may show a reddish/brown discoloration due to the excretion of the iron-deferiprone complex.</w:t>
      </w:r>
    </w:p>
    <w:p w:rsidR="008F7FF3" w:rsidRPr="007722A3" w:rsidRDefault="008F7FF3">
      <w:pPr>
        <w:pStyle w:val="BodyText"/>
      </w:pPr>
    </w:p>
    <w:p w:rsidR="008F7FF3" w:rsidRPr="007722A3" w:rsidRDefault="00312133">
      <w:pPr>
        <w:pStyle w:val="Heading5"/>
        <w:rPr>
          <w:iCs/>
        </w:rPr>
      </w:pPr>
      <w:r>
        <w:rPr>
          <w:iCs/>
        </w:rPr>
        <w:t>N</w:t>
      </w:r>
      <w:r w:rsidR="008F7FF3" w:rsidRPr="007722A3">
        <w:rPr>
          <w:iCs/>
        </w:rPr>
        <w:t>eurological disorders</w:t>
      </w:r>
    </w:p>
    <w:p w:rsidR="008F7FF3" w:rsidRPr="00362F99" w:rsidRDefault="008F7FF3" w:rsidP="00AE2551">
      <w:pPr>
        <w:pStyle w:val="BodyText"/>
      </w:pPr>
      <w:r w:rsidRPr="007722A3">
        <w:t xml:space="preserve">Neurological disorders have been observed in children treated with </w:t>
      </w:r>
      <w:r w:rsidR="00312133">
        <w:t xml:space="preserve">more than </w:t>
      </w:r>
      <w:r w:rsidRPr="007722A3">
        <w:t xml:space="preserve">2.5 times the </w:t>
      </w:r>
      <w:r w:rsidR="00312133">
        <w:t xml:space="preserve">maximum </w:t>
      </w:r>
      <w:r w:rsidRPr="007722A3">
        <w:t>recommended dose for several years</w:t>
      </w:r>
      <w:r w:rsidR="00312133">
        <w:t xml:space="preserve"> but ha</w:t>
      </w:r>
      <w:r w:rsidR="00AD5C7B">
        <w:t>ve</w:t>
      </w:r>
      <w:r w:rsidR="00312133">
        <w:t xml:space="preserve"> also been observed with standard doses of deferiprone</w:t>
      </w:r>
      <w:r w:rsidRPr="007722A3">
        <w:t>. Prescribers are reminded that the use of doses above 100 mg/kg/day are not recommended</w:t>
      </w:r>
      <w:r w:rsidR="00312133">
        <w:t xml:space="preserve">. </w:t>
      </w:r>
      <w:r w:rsidR="00312133" w:rsidRPr="00312133">
        <w:t>Deferiprone use should be discontinued if neurological disorders are observed</w:t>
      </w:r>
      <w:r w:rsidRPr="007722A3">
        <w:t xml:space="preserve"> (see sections 4.8 and 4.9).</w:t>
      </w:r>
    </w:p>
    <w:p w:rsidR="00591576" w:rsidRPr="00362F99" w:rsidRDefault="00591576" w:rsidP="00591576">
      <w:pPr>
        <w:tabs>
          <w:tab w:val="left" w:pos="567"/>
        </w:tabs>
        <w:rPr>
          <w:sz w:val="22"/>
          <w:szCs w:val="22"/>
          <w:u w:val="single"/>
          <w:lang w:val="en-GB"/>
        </w:rPr>
      </w:pPr>
    </w:p>
    <w:p w:rsidR="00A80C9B" w:rsidRPr="00B8676A" w:rsidRDefault="00A80C9B" w:rsidP="00A80C9B">
      <w:pPr>
        <w:keepNext/>
        <w:tabs>
          <w:tab w:val="left" w:pos="567"/>
        </w:tabs>
        <w:rPr>
          <w:sz w:val="22"/>
          <w:szCs w:val="22"/>
          <w:u w:val="single"/>
          <w:lang w:val="en-GB"/>
        </w:rPr>
      </w:pPr>
      <w:r w:rsidRPr="00B8676A">
        <w:rPr>
          <w:sz w:val="22"/>
          <w:szCs w:val="22"/>
          <w:u w:val="single"/>
          <w:lang w:val="en-GB"/>
        </w:rPr>
        <w:t>Combined use with other iron chelators</w:t>
      </w:r>
    </w:p>
    <w:p w:rsidR="00A80C9B" w:rsidRPr="00B8676A" w:rsidRDefault="00A80C9B" w:rsidP="00C1099F">
      <w:pPr>
        <w:tabs>
          <w:tab w:val="left" w:pos="567"/>
        </w:tabs>
        <w:rPr>
          <w:sz w:val="22"/>
          <w:szCs w:val="22"/>
          <w:lang w:val="en-GB"/>
        </w:rPr>
      </w:pPr>
      <w:r w:rsidRPr="00B8676A">
        <w:rPr>
          <w:sz w:val="22"/>
          <w:szCs w:val="22"/>
        </w:rPr>
        <w:t>The use of combination therapy should be considered on a case-by-case basis. The response to therapy should be assessed periodically, and the occurrence of adverse events closely monitored</w:t>
      </w:r>
      <w:r w:rsidRPr="000E50A5">
        <w:rPr>
          <w:sz w:val="22"/>
          <w:szCs w:val="22"/>
        </w:rPr>
        <w:t>.</w:t>
      </w:r>
      <w:r w:rsidR="0046594E">
        <w:rPr>
          <w:sz w:val="22"/>
          <w:szCs w:val="22"/>
        </w:rPr>
        <w:t xml:space="preserve"> </w:t>
      </w:r>
      <w:r w:rsidRPr="000E50A5">
        <w:rPr>
          <w:sz w:val="22"/>
          <w:szCs w:val="22"/>
        </w:rPr>
        <w:t xml:space="preserve">Fatalities and life-threatening situations (caused by agranulocytosis) have been reported with </w:t>
      </w:r>
      <w:r w:rsidR="0046594E">
        <w:rPr>
          <w:sz w:val="22"/>
          <w:szCs w:val="22"/>
        </w:rPr>
        <w:t xml:space="preserve">deferiprone </w:t>
      </w:r>
      <w:r w:rsidRPr="000E50A5">
        <w:rPr>
          <w:sz w:val="22"/>
          <w:szCs w:val="22"/>
        </w:rPr>
        <w:t>in combination with deferoxamine.</w:t>
      </w:r>
      <w:r>
        <w:rPr>
          <w:sz w:val="22"/>
          <w:szCs w:val="22"/>
        </w:rPr>
        <w:t xml:space="preserve"> </w:t>
      </w:r>
      <w:r w:rsidRPr="00B8676A">
        <w:rPr>
          <w:sz w:val="22"/>
          <w:szCs w:val="22"/>
          <w:lang w:val="en-GB"/>
        </w:rPr>
        <w:t xml:space="preserve">Combination therapy with deferoxamine </w:t>
      </w:r>
      <w:r>
        <w:rPr>
          <w:sz w:val="22"/>
          <w:szCs w:val="22"/>
          <w:lang w:val="en-GB"/>
        </w:rPr>
        <w:t xml:space="preserve">is not recommended </w:t>
      </w:r>
      <w:r w:rsidRPr="00B8676A">
        <w:rPr>
          <w:sz w:val="22"/>
          <w:szCs w:val="22"/>
          <w:lang w:val="en-GB"/>
        </w:rPr>
        <w:t xml:space="preserve">when monotherapy with either chelator is adequate or when serum ferritin falls below </w:t>
      </w:r>
      <w:r w:rsidRPr="00B8676A">
        <w:rPr>
          <w:sz w:val="22"/>
          <w:szCs w:val="22"/>
        </w:rPr>
        <w:t>500 </w:t>
      </w:r>
      <w:r>
        <w:rPr>
          <w:sz w:val="22"/>
          <w:szCs w:val="22"/>
        </w:rPr>
        <w:t>µ</w:t>
      </w:r>
      <w:r w:rsidRPr="00B8676A">
        <w:rPr>
          <w:sz w:val="22"/>
          <w:szCs w:val="22"/>
        </w:rPr>
        <w:t>g/l</w:t>
      </w:r>
      <w:r w:rsidRPr="00B8676A">
        <w:rPr>
          <w:sz w:val="22"/>
          <w:szCs w:val="22"/>
          <w:lang w:val="en-GB"/>
        </w:rPr>
        <w:t>.</w:t>
      </w:r>
      <w:r w:rsidRPr="00B8676A">
        <w:rPr>
          <w:sz w:val="22"/>
          <w:szCs w:val="22"/>
        </w:rPr>
        <w:t xml:space="preserve"> </w:t>
      </w:r>
      <w:r w:rsidRPr="00B8676A">
        <w:rPr>
          <w:sz w:val="22"/>
          <w:szCs w:val="22"/>
          <w:lang w:val="en-GB"/>
        </w:rPr>
        <w:t>Limited data are available on the combined use of Ferriprox and deferasirox</w:t>
      </w:r>
      <w:r>
        <w:rPr>
          <w:sz w:val="22"/>
          <w:szCs w:val="22"/>
          <w:lang w:val="en-GB"/>
        </w:rPr>
        <w:t>, and caution should be applied when considering the use of such combination</w:t>
      </w:r>
      <w:r w:rsidRPr="00B8676A">
        <w:rPr>
          <w:sz w:val="22"/>
          <w:szCs w:val="22"/>
          <w:lang w:val="en-GB"/>
        </w:rPr>
        <w:t>.</w:t>
      </w:r>
    </w:p>
    <w:p w:rsidR="008F7FF3" w:rsidRPr="007722A3" w:rsidRDefault="008F7FF3">
      <w:pPr>
        <w:tabs>
          <w:tab w:val="left" w:pos="567"/>
        </w:tabs>
        <w:rPr>
          <w:b/>
          <w:sz w:val="22"/>
          <w:szCs w:val="22"/>
          <w:lang w:val="en-GB"/>
        </w:rPr>
      </w:pPr>
    </w:p>
    <w:p w:rsidR="008F7FF3" w:rsidRPr="007722A3" w:rsidRDefault="008F7FF3" w:rsidP="00E31F27">
      <w:pPr>
        <w:keepNext/>
        <w:tabs>
          <w:tab w:val="left" w:pos="567"/>
        </w:tabs>
        <w:rPr>
          <w:b/>
          <w:sz w:val="22"/>
          <w:szCs w:val="22"/>
          <w:lang w:val="en-GB"/>
        </w:rPr>
      </w:pPr>
      <w:r w:rsidRPr="007722A3">
        <w:rPr>
          <w:b/>
          <w:sz w:val="22"/>
          <w:szCs w:val="22"/>
          <w:lang w:val="en-GB"/>
        </w:rPr>
        <w:t>4.5</w:t>
      </w:r>
      <w:r w:rsidRPr="007722A3">
        <w:rPr>
          <w:b/>
          <w:sz w:val="22"/>
          <w:szCs w:val="22"/>
          <w:lang w:val="en-GB"/>
        </w:rPr>
        <w:tab/>
        <w:t>Interaction with other medicinal products and other forms of interaction</w:t>
      </w:r>
    </w:p>
    <w:p w:rsidR="008F7FF3" w:rsidRPr="007722A3" w:rsidRDefault="008F7FF3" w:rsidP="00E31F27">
      <w:pPr>
        <w:keepNext/>
        <w:tabs>
          <w:tab w:val="left" w:pos="567"/>
        </w:tabs>
        <w:rPr>
          <w:sz w:val="22"/>
          <w:szCs w:val="22"/>
          <w:lang w:val="en-GB"/>
        </w:rPr>
      </w:pPr>
    </w:p>
    <w:p w:rsidR="008F7FF3" w:rsidRPr="007722A3" w:rsidRDefault="008F7FF3">
      <w:pPr>
        <w:pStyle w:val="BodyText"/>
      </w:pPr>
      <w:r w:rsidRPr="007722A3">
        <w:t>Due to the unknown mechanism of deferiprone</w:t>
      </w:r>
      <w:r w:rsidR="000B1493" w:rsidRPr="007722A3">
        <w:t>-</w:t>
      </w:r>
      <w:r w:rsidRPr="007722A3">
        <w:t xml:space="preserve">induced neutropenia, patients </w:t>
      </w:r>
      <w:r w:rsidR="00F222D2" w:rsidRPr="007722A3">
        <w:t>must</w:t>
      </w:r>
      <w:r w:rsidRPr="007722A3">
        <w:t xml:space="preserve"> not take medicinal products known to be associated with neutropenia or those that can cause agranulocytosis (see section 4.3).</w:t>
      </w:r>
    </w:p>
    <w:p w:rsidR="00AE2551" w:rsidRPr="007722A3" w:rsidRDefault="00AE2551">
      <w:pPr>
        <w:pStyle w:val="BodyText"/>
      </w:pPr>
    </w:p>
    <w:p w:rsidR="008F7FF3" w:rsidRPr="007722A3" w:rsidRDefault="00273402">
      <w:pPr>
        <w:pStyle w:val="BodyText"/>
      </w:pPr>
      <w:r>
        <w:t>S</w:t>
      </w:r>
      <w:r w:rsidR="008F7FF3" w:rsidRPr="007722A3">
        <w:t>ince deferiprone binds to metallic cations, the potential exists for interactions between deferiprone and trivalent cation-dependent medicinal products such as aluminium</w:t>
      </w:r>
      <w:r w:rsidR="008F7FF3" w:rsidRPr="007722A3">
        <w:noBreakHyphen/>
        <w:t>based antacids. Therefore, it is not recommended to concomitantly ingest aluminium</w:t>
      </w:r>
      <w:r w:rsidR="008F7FF3" w:rsidRPr="007722A3">
        <w:noBreakHyphen/>
        <w:t>based antacids and deferiprone.</w:t>
      </w:r>
    </w:p>
    <w:p w:rsidR="008F7FF3" w:rsidRPr="007722A3" w:rsidRDefault="008F7FF3">
      <w:pPr>
        <w:pStyle w:val="BodyText"/>
      </w:pPr>
    </w:p>
    <w:p w:rsidR="008F7FF3" w:rsidRPr="007722A3" w:rsidRDefault="008F7FF3">
      <w:pPr>
        <w:pStyle w:val="BodyText"/>
      </w:pPr>
      <w:r w:rsidRPr="007722A3">
        <w:t>The safety of concurrent use of deferiprone and vitamin C has not been formally studied. Based on the reported adverse interaction that can occur between deferoxamine and vitamin C, caution should be used when administering deferiprone and vitamin C concurrently.</w:t>
      </w:r>
    </w:p>
    <w:p w:rsidR="008F7FF3" w:rsidRPr="007722A3" w:rsidRDefault="008F7FF3">
      <w:pPr>
        <w:pStyle w:val="BodyText"/>
      </w:pPr>
    </w:p>
    <w:p w:rsidR="008F7FF3" w:rsidRPr="007722A3" w:rsidRDefault="008F7FF3" w:rsidP="00D45A94">
      <w:pPr>
        <w:pStyle w:val="Heading3"/>
        <w:keepNext/>
      </w:pPr>
      <w:r w:rsidRPr="007722A3">
        <w:t>4.6</w:t>
      </w:r>
      <w:r w:rsidRPr="007722A3">
        <w:tab/>
      </w:r>
      <w:r w:rsidR="008B65B1" w:rsidRPr="007722A3">
        <w:t>Fertility, p</w:t>
      </w:r>
      <w:r w:rsidRPr="007722A3">
        <w:t>regnancy and lactation</w:t>
      </w:r>
    </w:p>
    <w:p w:rsidR="008F7FF3" w:rsidRPr="007722A3" w:rsidRDefault="008F7FF3" w:rsidP="00D45A94">
      <w:pPr>
        <w:pStyle w:val="BodyText"/>
        <w:keepNext/>
      </w:pPr>
    </w:p>
    <w:p w:rsidR="008F7FF3" w:rsidRPr="007722A3" w:rsidRDefault="008F7FF3" w:rsidP="00D45A94">
      <w:pPr>
        <w:pStyle w:val="BodyText"/>
        <w:keepNext/>
        <w:rPr>
          <w:u w:val="single"/>
        </w:rPr>
      </w:pPr>
      <w:r w:rsidRPr="007722A3">
        <w:rPr>
          <w:u w:val="single"/>
        </w:rPr>
        <w:t>Pregnancy</w:t>
      </w:r>
    </w:p>
    <w:p w:rsidR="008F7FF3" w:rsidRPr="007722A3" w:rsidRDefault="008F7FF3">
      <w:pPr>
        <w:pStyle w:val="BodyText"/>
      </w:pPr>
      <w:r w:rsidRPr="007722A3">
        <w:t>There are no adequate data from the use of deferiprone in pregnant women. Studies in animals have shown reproductive toxicity (see section 5.3). The potential risk for humans is unknown.</w:t>
      </w:r>
    </w:p>
    <w:p w:rsidR="008F7FF3" w:rsidRPr="007722A3" w:rsidRDefault="008F7FF3">
      <w:pPr>
        <w:pStyle w:val="BodyText"/>
      </w:pPr>
    </w:p>
    <w:p w:rsidR="008F7FF3" w:rsidRPr="007722A3" w:rsidRDefault="008F7FF3" w:rsidP="00FB5929">
      <w:pPr>
        <w:pStyle w:val="BodyText"/>
      </w:pPr>
      <w:r w:rsidRPr="007722A3">
        <w:t xml:space="preserve">Women of childbearing potential must be advised to avoid pregnancy due to the clastogenic and teratogenic properties of the medicinal product. These women should be </w:t>
      </w:r>
      <w:r w:rsidR="008259D6" w:rsidRPr="007722A3">
        <w:t>advised</w:t>
      </w:r>
      <w:r w:rsidRPr="007722A3">
        <w:t xml:space="preserve"> to take contraceptive measures and must be advised to immediately stop taking deferiprone if they become pregnant or plan to become pregnant (see section 4.3).</w:t>
      </w:r>
    </w:p>
    <w:p w:rsidR="008F7FF3" w:rsidRPr="007722A3" w:rsidRDefault="008F7FF3">
      <w:pPr>
        <w:pStyle w:val="BodyText"/>
      </w:pPr>
    </w:p>
    <w:p w:rsidR="008F7FF3" w:rsidRPr="007722A3" w:rsidRDefault="00FF2625" w:rsidP="00D45A94">
      <w:pPr>
        <w:pStyle w:val="BodyText"/>
        <w:keepNext/>
        <w:rPr>
          <w:u w:val="single"/>
        </w:rPr>
      </w:pPr>
      <w:r w:rsidRPr="007722A3">
        <w:rPr>
          <w:u w:val="single"/>
        </w:rPr>
        <w:t>Breast</w:t>
      </w:r>
      <w:r w:rsidR="001276DC" w:rsidRPr="007722A3">
        <w:rPr>
          <w:u w:val="single"/>
        </w:rPr>
        <w:t>-</w:t>
      </w:r>
      <w:r w:rsidRPr="007722A3">
        <w:rPr>
          <w:u w:val="single"/>
        </w:rPr>
        <w:t>feeding</w:t>
      </w:r>
    </w:p>
    <w:p w:rsidR="008F7FF3" w:rsidRPr="007722A3" w:rsidRDefault="008F7FF3">
      <w:pPr>
        <w:pStyle w:val="BodyText"/>
      </w:pPr>
      <w:r w:rsidRPr="007722A3">
        <w:t xml:space="preserve">It is not known whether deferiprone is excreted in human milk. No prenatal and postnatal reproductive studies have been conducted in animals. Deferiprone must not be used by </w:t>
      </w:r>
      <w:r w:rsidR="006604BA" w:rsidRPr="007722A3">
        <w:t>breast</w:t>
      </w:r>
      <w:r w:rsidR="00B93099" w:rsidRPr="007722A3">
        <w:t>-</w:t>
      </w:r>
      <w:r w:rsidR="006604BA" w:rsidRPr="007722A3">
        <w:t>feeding</w:t>
      </w:r>
      <w:r w:rsidRPr="007722A3">
        <w:t xml:space="preserve"> mothers. If treatment is unavoidable, breast</w:t>
      </w:r>
      <w:r w:rsidR="00B93099" w:rsidRPr="007722A3">
        <w:t>-</w:t>
      </w:r>
      <w:r w:rsidRPr="007722A3">
        <w:t>feeding must be stopped</w:t>
      </w:r>
      <w:r w:rsidR="006604BA" w:rsidRPr="007722A3">
        <w:t xml:space="preserve"> (see section 4.3).</w:t>
      </w:r>
    </w:p>
    <w:p w:rsidR="0047550B" w:rsidRPr="007722A3" w:rsidRDefault="0047550B">
      <w:pPr>
        <w:pStyle w:val="Heading3"/>
        <w:rPr>
          <w:b w:val="0"/>
        </w:rPr>
      </w:pPr>
    </w:p>
    <w:p w:rsidR="008B65B1" w:rsidRPr="007722A3" w:rsidRDefault="008B65B1" w:rsidP="00D45A94">
      <w:pPr>
        <w:pStyle w:val="BodyText"/>
        <w:keepNext/>
        <w:rPr>
          <w:u w:val="single"/>
        </w:rPr>
      </w:pPr>
      <w:r w:rsidRPr="007722A3">
        <w:rPr>
          <w:u w:val="single"/>
        </w:rPr>
        <w:t>Fertility</w:t>
      </w:r>
    </w:p>
    <w:p w:rsidR="008B65B1" w:rsidRPr="007722A3" w:rsidRDefault="00494D50" w:rsidP="008B65B1">
      <w:pPr>
        <w:pStyle w:val="BodyText"/>
      </w:pPr>
      <w:r w:rsidRPr="007722A3">
        <w:t xml:space="preserve">No effects on fertility </w:t>
      </w:r>
      <w:r w:rsidR="003B6329" w:rsidRPr="007722A3">
        <w:t xml:space="preserve">or </w:t>
      </w:r>
      <w:r w:rsidRPr="007722A3">
        <w:t>early embryonic development were noted in animals (see section 5.3).</w:t>
      </w:r>
    </w:p>
    <w:p w:rsidR="008B65B1" w:rsidRPr="007722A3" w:rsidRDefault="008B65B1" w:rsidP="008B65B1">
      <w:pPr>
        <w:pStyle w:val="BodyText"/>
      </w:pPr>
    </w:p>
    <w:p w:rsidR="008F7FF3" w:rsidRPr="007722A3" w:rsidRDefault="008F7FF3" w:rsidP="00D45A94">
      <w:pPr>
        <w:pStyle w:val="Heading3"/>
        <w:keepNext/>
      </w:pPr>
      <w:r w:rsidRPr="007722A3">
        <w:t>4.7</w:t>
      </w:r>
      <w:r w:rsidRPr="007722A3">
        <w:tab/>
        <w:t>Effects on ability to drive and use machines</w:t>
      </w:r>
    </w:p>
    <w:p w:rsidR="008F7FF3" w:rsidRPr="007722A3" w:rsidRDefault="008F7FF3" w:rsidP="00D45A94">
      <w:pPr>
        <w:pStyle w:val="BodyText"/>
        <w:keepNext/>
      </w:pPr>
    </w:p>
    <w:p w:rsidR="008F7FF3" w:rsidRPr="007722A3" w:rsidRDefault="008F7FF3">
      <w:pPr>
        <w:pStyle w:val="BodyText"/>
      </w:pPr>
      <w:r w:rsidRPr="007722A3">
        <w:t>No</w:t>
      </w:r>
      <w:r w:rsidR="00DA2477" w:rsidRPr="007722A3">
        <w:t>t relevant</w:t>
      </w:r>
      <w:r w:rsidRPr="007722A3">
        <w:t>.</w:t>
      </w:r>
    </w:p>
    <w:p w:rsidR="008F7FF3" w:rsidRPr="007722A3" w:rsidRDefault="008F7FF3">
      <w:pPr>
        <w:pStyle w:val="BodyText"/>
      </w:pPr>
    </w:p>
    <w:p w:rsidR="008F7FF3" w:rsidRPr="007722A3" w:rsidRDefault="008F7FF3" w:rsidP="00997EB5">
      <w:pPr>
        <w:pStyle w:val="Heading3"/>
        <w:keepNext/>
      </w:pPr>
      <w:r w:rsidRPr="007722A3">
        <w:t>4.8</w:t>
      </w:r>
      <w:r w:rsidRPr="007722A3">
        <w:tab/>
        <w:t>Undesirable effects</w:t>
      </w:r>
    </w:p>
    <w:p w:rsidR="008F7FF3" w:rsidRPr="007722A3" w:rsidRDefault="008F7FF3" w:rsidP="00997EB5">
      <w:pPr>
        <w:pStyle w:val="BodyText"/>
        <w:keepNext/>
      </w:pPr>
    </w:p>
    <w:p w:rsidR="005740D9" w:rsidRPr="007722A3" w:rsidRDefault="005740D9" w:rsidP="007A5554">
      <w:pPr>
        <w:pStyle w:val="BodyText"/>
        <w:keepNext/>
        <w:rPr>
          <w:u w:val="single"/>
        </w:rPr>
      </w:pPr>
      <w:r w:rsidRPr="007722A3">
        <w:rPr>
          <w:u w:val="single"/>
        </w:rPr>
        <w:t>Summary of the safety profile</w:t>
      </w:r>
    </w:p>
    <w:p w:rsidR="00997EB5" w:rsidRPr="007722A3" w:rsidRDefault="00997EB5" w:rsidP="00997EB5">
      <w:pPr>
        <w:pStyle w:val="BodyText"/>
      </w:pPr>
      <w:r w:rsidRPr="007722A3">
        <w:t>The most common adverse reactions reported during therapy with deferiprone in clinical trials were nausea, vomiting, abdominal pain, and chromaturia, which were reported in more than 10% of patients. The most serious adverse reaction reported in clinical trials with deferiprone was agranulocytosis, defined as an absolute neutrophil count less than 0.5 x 10</w:t>
      </w:r>
      <w:r w:rsidRPr="007722A3">
        <w:rPr>
          <w:vertAlign w:val="superscript"/>
        </w:rPr>
        <w:t>9</w:t>
      </w:r>
      <w:r w:rsidRPr="007722A3">
        <w:t>/l, which occurred in approximately 1% of patients. Less severe episodes of neutropenia were reported in approximately 5% of patients.</w:t>
      </w:r>
    </w:p>
    <w:p w:rsidR="00997EB5" w:rsidRPr="007722A3" w:rsidRDefault="00997EB5" w:rsidP="00997EB5">
      <w:pPr>
        <w:pStyle w:val="BodyText"/>
      </w:pPr>
    </w:p>
    <w:p w:rsidR="005740D9" w:rsidRPr="007722A3" w:rsidRDefault="005740D9" w:rsidP="00997EB5">
      <w:pPr>
        <w:pStyle w:val="BodyText"/>
        <w:keepNext/>
        <w:rPr>
          <w:u w:val="single"/>
        </w:rPr>
      </w:pPr>
      <w:r w:rsidRPr="007722A3">
        <w:rPr>
          <w:u w:val="single"/>
        </w:rPr>
        <w:t>Tabulated list of adverse reactions</w:t>
      </w:r>
    </w:p>
    <w:p w:rsidR="00997EB5" w:rsidRPr="007722A3" w:rsidRDefault="00997EB5" w:rsidP="00997EB5">
      <w:pPr>
        <w:pStyle w:val="BodyText"/>
        <w:keepNext/>
      </w:pPr>
      <w:r w:rsidRPr="007722A3">
        <w:t>Adverse reaction frequencies: Very common (≥1/10), Common (≥1/100 to &lt;1/10)</w:t>
      </w:r>
      <w:r w:rsidR="00A319D7" w:rsidRPr="007722A3">
        <w:t xml:space="preserve">, </w:t>
      </w:r>
      <w:r w:rsidR="008754E4">
        <w:t>n</w:t>
      </w:r>
      <w:r w:rsidR="008754E4" w:rsidRPr="008754E4">
        <w:t>ot known (cannot be estimated from the available data)</w:t>
      </w:r>
      <w:r w:rsidRPr="007722A3">
        <w:t>.</w:t>
      </w:r>
    </w:p>
    <w:p w:rsidR="00997EB5" w:rsidRPr="007722A3" w:rsidRDefault="00997EB5" w:rsidP="00997EB5">
      <w:pPr>
        <w:keepNext/>
        <w:tabs>
          <w:tab w:val="left" w:pos="567"/>
        </w:tabs>
        <w:rPr>
          <w:noProof/>
          <w:sz w:val="22"/>
          <w:szCs w:val="22"/>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905"/>
        <w:gridCol w:w="2124"/>
        <w:gridCol w:w="2138"/>
        <w:gridCol w:w="2066"/>
      </w:tblGrid>
      <w:tr w:rsidR="009E1698" w:rsidTr="004C784C">
        <w:trPr>
          <w:cantSplit/>
          <w:tblHeader/>
          <w:jc w:val="center"/>
        </w:trPr>
        <w:tc>
          <w:tcPr>
            <w:tcW w:w="1573" w:type="pct"/>
          </w:tcPr>
          <w:p w:rsidR="00A319D7" w:rsidRPr="007722A3" w:rsidRDefault="00A319D7" w:rsidP="008B42AB">
            <w:pPr>
              <w:keepNext/>
              <w:adjustRightInd w:val="0"/>
              <w:rPr>
                <w:b/>
                <w:noProof/>
                <w:sz w:val="22"/>
                <w:szCs w:val="22"/>
                <w:lang w:val="en-GB"/>
              </w:rPr>
            </w:pPr>
            <w:r w:rsidRPr="007722A3">
              <w:rPr>
                <w:b/>
                <w:noProof/>
                <w:sz w:val="22"/>
                <w:szCs w:val="22"/>
                <w:lang w:val="en-GB"/>
              </w:rPr>
              <w:t>SYSTEM ORGAN CLASS</w:t>
            </w:r>
          </w:p>
        </w:tc>
        <w:tc>
          <w:tcPr>
            <w:tcW w:w="1150" w:type="pct"/>
          </w:tcPr>
          <w:p w:rsidR="004021E6" w:rsidRPr="007722A3" w:rsidRDefault="00A319D7" w:rsidP="008B42AB">
            <w:pPr>
              <w:keepNext/>
              <w:adjustRightInd w:val="0"/>
              <w:rPr>
                <w:b/>
                <w:noProof/>
                <w:sz w:val="22"/>
                <w:szCs w:val="22"/>
                <w:lang w:val="en-GB"/>
              </w:rPr>
            </w:pPr>
            <w:r w:rsidRPr="007722A3">
              <w:rPr>
                <w:b/>
                <w:noProof/>
                <w:sz w:val="22"/>
                <w:szCs w:val="22"/>
                <w:lang w:val="en-GB"/>
              </w:rPr>
              <w:t xml:space="preserve">VERY COMMON </w:t>
            </w:r>
          </w:p>
          <w:p w:rsidR="00A319D7" w:rsidRPr="007722A3" w:rsidRDefault="00A319D7" w:rsidP="008B42AB">
            <w:pPr>
              <w:keepNext/>
              <w:adjustRightInd w:val="0"/>
              <w:rPr>
                <w:b/>
                <w:noProof/>
                <w:sz w:val="22"/>
                <w:szCs w:val="22"/>
                <w:lang w:val="en-GB"/>
              </w:rPr>
            </w:pPr>
            <w:r w:rsidRPr="007722A3">
              <w:rPr>
                <w:b/>
                <w:noProof/>
                <w:sz w:val="22"/>
                <w:szCs w:val="22"/>
                <w:lang w:val="en-GB"/>
              </w:rPr>
              <w:t>(≥1/10)</w:t>
            </w:r>
          </w:p>
        </w:tc>
        <w:tc>
          <w:tcPr>
            <w:tcW w:w="1158" w:type="pct"/>
          </w:tcPr>
          <w:p w:rsidR="004021E6" w:rsidRPr="007722A3" w:rsidRDefault="00A319D7" w:rsidP="004021E6">
            <w:pPr>
              <w:keepNext/>
              <w:adjustRightInd w:val="0"/>
              <w:rPr>
                <w:b/>
                <w:noProof/>
                <w:sz w:val="22"/>
                <w:szCs w:val="22"/>
                <w:lang w:val="en-GB"/>
              </w:rPr>
            </w:pPr>
            <w:r w:rsidRPr="007722A3">
              <w:rPr>
                <w:b/>
                <w:noProof/>
                <w:sz w:val="22"/>
                <w:szCs w:val="22"/>
                <w:lang w:val="en-GB"/>
              </w:rPr>
              <w:t>COMMON</w:t>
            </w:r>
          </w:p>
          <w:p w:rsidR="00A319D7" w:rsidRPr="007722A3" w:rsidRDefault="00A319D7" w:rsidP="004021E6">
            <w:pPr>
              <w:keepNext/>
              <w:adjustRightInd w:val="0"/>
              <w:rPr>
                <w:b/>
                <w:noProof/>
                <w:sz w:val="22"/>
                <w:szCs w:val="22"/>
                <w:lang w:val="en-GB"/>
              </w:rPr>
            </w:pPr>
            <w:r w:rsidRPr="007722A3">
              <w:rPr>
                <w:b/>
                <w:noProof/>
                <w:sz w:val="22"/>
                <w:szCs w:val="22"/>
                <w:lang w:val="en-GB"/>
              </w:rPr>
              <w:t>(≥1/100 to &lt;1/10)</w:t>
            </w:r>
          </w:p>
        </w:tc>
        <w:tc>
          <w:tcPr>
            <w:tcW w:w="1119" w:type="pct"/>
          </w:tcPr>
          <w:p w:rsidR="00A319D7" w:rsidRPr="007722A3" w:rsidRDefault="008754E4" w:rsidP="008754E4">
            <w:pPr>
              <w:keepNext/>
              <w:adjustRightInd w:val="0"/>
              <w:rPr>
                <w:b/>
                <w:noProof/>
                <w:sz w:val="22"/>
                <w:szCs w:val="22"/>
                <w:lang w:val="en-GB"/>
              </w:rPr>
            </w:pPr>
            <w:r>
              <w:rPr>
                <w:b/>
                <w:noProof/>
                <w:sz w:val="22"/>
                <w:szCs w:val="22"/>
                <w:lang w:val="en-GB"/>
              </w:rPr>
              <w:t xml:space="preserve">FREQUENCY NOT KNOWN </w:t>
            </w:r>
          </w:p>
        </w:tc>
      </w:tr>
      <w:tr w:rsidR="009E1698" w:rsidTr="004C784C">
        <w:trPr>
          <w:cantSplit/>
          <w:jc w:val="center"/>
        </w:trPr>
        <w:tc>
          <w:tcPr>
            <w:tcW w:w="1573" w:type="pct"/>
          </w:tcPr>
          <w:p w:rsidR="00A319D7" w:rsidRPr="007722A3" w:rsidRDefault="00A319D7" w:rsidP="008B42AB">
            <w:pPr>
              <w:keepNext/>
              <w:adjustRightInd w:val="0"/>
              <w:rPr>
                <w:noProof/>
                <w:sz w:val="22"/>
                <w:szCs w:val="22"/>
                <w:lang w:val="en-GB"/>
              </w:rPr>
            </w:pPr>
            <w:r w:rsidRPr="007722A3">
              <w:rPr>
                <w:noProof/>
                <w:sz w:val="22"/>
                <w:szCs w:val="22"/>
                <w:lang w:val="en-GB"/>
              </w:rPr>
              <w:t>Blood and lymphatic system disorders</w:t>
            </w:r>
          </w:p>
        </w:tc>
        <w:tc>
          <w:tcPr>
            <w:tcW w:w="1150" w:type="pct"/>
          </w:tcPr>
          <w:p w:rsidR="00A319D7" w:rsidRPr="007722A3" w:rsidRDefault="00A319D7" w:rsidP="008B42AB">
            <w:pPr>
              <w:keepNext/>
              <w:adjustRightInd w:val="0"/>
              <w:rPr>
                <w:noProof/>
                <w:sz w:val="22"/>
                <w:szCs w:val="22"/>
                <w:lang w:val="en-GB"/>
              </w:rPr>
            </w:pPr>
          </w:p>
        </w:tc>
        <w:tc>
          <w:tcPr>
            <w:tcW w:w="1158" w:type="pct"/>
          </w:tcPr>
          <w:p w:rsidR="00A319D7" w:rsidRPr="007722A3" w:rsidRDefault="00A319D7" w:rsidP="008B42AB">
            <w:pPr>
              <w:keepNext/>
              <w:adjustRightInd w:val="0"/>
              <w:rPr>
                <w:noProof/>
                <w:sz w:val="22"/>
                <w:szCs w:val="22"/>
                <w:lang w:val="en-GB"/>
              </w:rPr>
            </w:pPr>
            <w:r w:rsidRPr="007722A3">
              <w:rPr>
                <w:noProof/>
                <w:sz w:val="22"/>
                <w:szCs w:val="22"/>
                <w:lang w:val="en-GB"/>
              </w:rPr>
              <w:t>Neutropenia</w:t>
            </w:r>
          </w:p>
          <w:p w:rsidR="00A319D7" w:rsidRPr="007722A3" w:rsidRDefault="00A319D7" w:rsidP="008B42AB">
            <w:pPr>
              <w:keepNext/>
              <w:adjustRightInd w:val="0"/>
              <w:rPr>
                <w:noProof/>
                <w:sz w:val="22"/>
                <w:szCs w:val="22"/>
                <w:lang w:val="en-GB"/>
              </w:rPr>
            </w:pPr>
            <w:r w:rsidRPr="007722A3">
              <w:rPr>
                <w:noProof/>
                <w:sz w:val="22"/>
                <w:szCs w:val="22"/>
                <w:lang w:val="en-GB"/>
              </w:rPr>
              <w:t>Agranulocytosis</w:t>
            </w:r>
          </w:p>
        </w:tc>
        <w:tc>
          <w:tcPr>
            <w:tcW w:w="1119" w:type="pct"/>
          </w:tcPr>
          <w:p w:rsidR="00A319D7" w:rsidRPr="007722A3" w:rsidRDefault="00A319D7"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Immune system disorders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8B42AB">
            <w:pPr>
              <w:keepNext/>
              <w:adjustRightInd w:val="0"/>
              <w:rPr>
                <w:noProof/>
                <w:sz w:val="22"/>
                <w:szCs w:val="22"/>
                <w:lang w:val="en-GB"/>
              </w:rPr>
            </w:pPr>
          </w:p>
        </w:tc>
        <w:tc>
          <w:tcPr>
            <w:tcW w:w="1119" w:type="pct"/>
          </w:tcPr>
          <w:p w:rsidR="008754E4" w:rsidRPr="007722A3" w:rsidRDefault="008754E4" w:rsidP="008B42AB">
            <w:pPr>
              <w:keepNext/>
              <w:adjustRightInd w:val="0"/>
              <w:rPr>
                <w:noProof/>
                <w:sz w:val="22"/>
                <w:szCs w:val="22"/>
                <w:lang w:val="en-GB"/>
              </w:rPr>
            </w:pPr>
            <w:r w:rsidRPr="007722A3">
              <w:rPr>
                <w:noProof/>
                <w:sz w:val="22"/>
                <w:szCs w:val="22"/>
                <w:lang w:val="en-GB"/>
              </w:rPr>
              <w:t>Hypersensitivity reactions</w:t>
            </w: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Metabolism and nutrition disorders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8B42AB">
            <w:pPr>
              <w:keepNext/>
              <w:adjustRightInd w:val="0"/>
              <w:rPr>
                <w:noProof/>
                <w:sz w:val="22"/>
                <w:szCs w:val="22"/>
                <w:lang w:val="en-GB"/>
              </w:rPr>
            </w:pPr>
            <w:r w:rsidRPr="007722A3">
              <w:rPr>
                <w:noProof/>
                <w:sz w:val="22"/>
                <w:szCs w:val="22"/>
                <w:lang w:val="en-GB"/>
              </w:rPr>
              <w:t>Increased Appetite</w:t>
            </w: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Nervous system disorders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8B42AB">
            <w:pPr>
              <w:keepNext/>
              <w:adjustRightInd w:val="0"/>
              <w:rPr>
                <w:noProof/>
                <w:sz w:val="22"/>
                <w:szCs w:val="22"/>
                <w:lang w:val="en-GB"/>
              </w:rPr>
            </w:pPr>
            <w:r w:rsidRPr="007722A3">
              <w:rPr>
                <w:noProof/>
                <w:sz w:val="22"/>
                <w:szCs w:val="22"/>
                <w:lang w:val="en-GB"/>
              </w:rPr>
              <w:t>Headache</w:t>
            </w: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Gastrointestinal disorders</w:t>
            </w:r>
          </w:p>
        </w:tc>
        <w:tc>
          <w:tcPr>
            <w:tcW w:w="1150" w:type="pct"/>
          </w:tcPr>
          <w:p w:rsidR="008754E4" w:rsidRPr="007722A3" w:rsidRDefault="008754E4" w:rsidP="008B42AB">
            <w:pPr>
              <w:keepNext/>
              <w:adjustRightInd w:val="0"/>
              <w:rPr>
                <w:noProof/>
                <w:sz w:val="22"/>
                <w:szCs w:val="22"/>
                <w:lang w:val="en-GB"/>
              </w:rPr>
            </w:pPr>
            <w:r w:rsidRPr="007722A3">
              <w:rPr>
                <w:noProof/>
                <w:sz w:val="22"/>
                <w:szCs w:val="22"/>
                <w:lang w:val="en-GB"/>
              </w:rPr>
              <w:t>Nausea</w:t>
            </w:r>
          </w:p>
          <w:p w:rsidR="008754E4" w:rsidRPr="007722A3" w:rsidRDefault="008754E4" w:rsidP="008B42AB">
            <w:pPr>
              <w:keepNext/>
              <w:adjustRightInd w:val="0"/>
              <w:rPr>
                <w:noProof/>
                <w:sz w:val="22"/>
                <w:szCs w:val="22"/>
                <w:lang w:val="en-GB"/>
              </w:rPr>
            </w:pPr>
            <w:r w:rsidRPr="007722A3">
              <w:rPr>
                <w:noProof/>
                <w:sz w:val="22"/>
                <w:szCs w:val="22"/>
                <w:lang w:val="en-GB"/>
              </w:rPr>
              <w:t>Abdominal Pain</w:t>
            </w:r>
          </w:p>
          <w:p w:rsidR="008754E4" w:rsidRPr="007722A3" w:rsidRDefault="008754E4" w:rsidP="008B42AB">
            <w:pPr>
              <w:keepNext/>
              <w:adjustRightInd w:val="0"/>
              <w:rPr>
                <w:noProof/>
                <w:sz w:val="22"/>
                <w:szCs w:val="22"/>
                <w:lang w:val="en-GB"/>
              </w:rPr>
            </w:pPr>
            <w:r w:rsidRPr="007722A3">
              <w:rPr>
                <w:noProof/>
                <w:sz w:val="22"/>
                <w:szCs w:val="22"/>
                <w:lang w:val="en-GB"/>
              </w:rPr>
              <w:t>Vomiting</w:t>
            </w:r>
          </w:p>
        </w:tc>
        <w:tc>
          <w:tcPr>
            <w:tcW w:w="1158" w:type="pct"/>
          </w:tcPr>
          <w:p w:rsidR="008754E4" w:rsidRPr="007722A3" w:rsidRDefault="008754E4" w:rsidP="008B42AB">
            <w:pPr>
              <w:keepNext/>
              <w:adjustRightInd w:val="0"/>
              <w:rPr>
                <w:noProof/>
                <w:sz w:val="22"/>
                <w:szCs w:val="22"/>
                <w:lang w:val="en-GB"/>
              </w:rPr>
            </w:pPr>
            <w:r w:rsidRPr="007722A3">
              <w:rPr>
                <w:noProof/>
                <w:sz w:val="22"/>
                <w:szCs w:val="22"/>
                <w:lang w:val="en-GB"/>
              </w:rPr>
              <w:t>Diarrhoea</w:t>
            </w: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Skin and subcutaneous tissue disorders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8B42AB">
            <w:pPr>
              <w:keepNext/>
              <w:adjustRightInd w:val="0"/>
              <w:rPr>
                <w:noProof/>
                <w:sz w:val="22"/>
                <w:szCs w:val="22"/>
                <w:lang w:val="en-GB"/>
              </w:rPr>
            </w:pPr>
          </w:p>
        </w:tc>
        <w:tc>
          <w:tcPr>
            <w:tcW w:w="1119" w:type="pct"/>
          </w:tcPr>
          <w:p w:rsidR="008754E4" w:rsidRPr="007722A3" w:rsidRDefault="008754E4" w:rsidP="00A319D7">
            <w:pPr>
              <w:keepNext/>
              <w:adjustRightInd w:val="0"/>
              <w:rPr>
                <w:noProof/>
                <w:sz w:val="22"/>
                <w:szCs w:val="22"/>
                <w:lang w:val="en-GB"/>
              </w:rPr>
            </w:pPr>
            <w:r w:rsidRPr="007722A3">
              <w:rPr>
                <w:noProof/>
                <w:sz w:val="22"/>
                <w:szCs w:val="22"/>
                <w:lang w:val="en-GB"/>
              </w:rPr>
              <w:t>Rash</w:t>
            </w:r>
          </w:p>
          <w:p w:rsidR="008754E4" w:rsidRPr="007722A3" w:rsidRDefault="008754E4" w:rsidP="00A319D7">
            <w:pPr>
              <w:keepNext/>
              <w:adjustRightInd w:val="0"/>
              <w:rPr>
                <w:noProof/>
                <w:sz w:val="22"/>
                <w:szCs w:val="22"/>
                <w:lang w:val="en-GB"/>
              </w:rPr>
            </w:pPr>
            <w:r w:rsidRPr="007722A3">
              <w:rPr>
                <w:noProof/>
                <w:sz w:val="22"/>
                <w:szCs w:val="22"/>
                <w:lang w:val="en-GB"/>
              </w:rPr>
              <w:t>Urticaria</w:t>
            </w: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Musculoskeletal and connective tissue disorders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506075">
            <w:pPr>
              <w:keepNext/>
              <w:adjustRightInd w:val="0"/>
              <w:rPr>
                <w:noProof/>
                <w:sz w:val="22"/>
                <w:szCs w:val="22"/>
                <w:lang w:val="en-GB"/>
              </w:rPr>
            </w:pPr>
            <w:r w:rsidRPr="007722A3">
              <w:rPr>
                <w:noProof/>
                <w:sz w:val="22"/>
                <w:szCs w:val="22"/>
                <w:lang w:val="en-GB"/>
              </w:rPr>
              <w:t>Arthralgia</w:t>
            </w: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Renal and urinary disorders</w:t>
            </w:r>
          </w:p>
        </w:tc>
        <w:tc>
          <w:tcPr>
            <w:tcW w:w="1150" w:type="pct"/>
          </w:tcPr>
          <w:p w:rsidR="008754E4" w:rsidRPr="007722A3" w:rsidRDefault="008754E4" w:rsidP="008B42AB">
            <w:pPr>
              <w:keepNext/>
              <w:adjustRightInd w:val="0"/>
              <w:rPr>
                <w:noProof/>
                <w:sz w:val="22"/>
                <w:szCs w:val="22"/>
                <w:lang w:val="en-GB"/>
              </w:rPr>
            </w:pPr>
            <w:r w:rsidRPr="007722A3">
              <w:rPr>
                <w:noProof/>
                <w:sz w:val="22"/>
                <w:szCs w:val="22"/>
                <w:lang w:val="en-GB"/>
              </w:rPr>
              <w:t>Chromaturia</w:t>
            </w:r>
          </w:p>
        </w:tc>
        <w:tc>
          <w:tcPr>
            <w:tcW w:w="1158" w:type="pct"/>
          </w:tcPr>
          <w:p w:rsidR="008754E4" w:rsidRPr="007722A3" w:rsidRDefault="008754E4" w:rsidP="008B42AB">
            <w:pPr>
              <w:keepNext/>
              <w:adjustRightInd w:val="0"/>
              <w:rPr>
                <w:noProof/>
                <w:sz w:val="22"/>
                <w:szCs w:val="22"/>
                <w:lang w:val="en-GB"/>
              </w:rPr>
            </w:pP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keepNext/>
              <w:adjustRightInd w:val="0"/>
              <w:rPr>
                <w:noProof/>
                <w:sz w:val="22"/>
                <w:szCs w:val="22"/>
                <w:lang w:val="en-GB"/>
              </w:rPr>
            </w:pPr>
            <w:r w:rsidRPr="007722A3">
              <w:rPr>
                <w:noProof/>
                <w:sz w:val="22"/>
                <w:szCs w:val="22"/>
                <w:lang w:val="en-GB"/>
              </w:rPr>
              <w:t>General disorders and administration site conditions</w:t>
            </w:r>
          </w:p>
        </w:tc>
        <w:tc>
          <w:tcPr>
            <w:tcW w:w="1150" w:type="pct"/>
          </w:tcPr>
          <w:p w:rsidR="008754E4" w:rsidRPr="007722A3" w:rsidRDefault="008754E4" w:rsidP="008B42AB">
            <w:pPr>
              <w:keepNext/>
              <w:adjustRightInd w:val="0"/>
              <w:rPr>
                <w:noProof/>
                <w:sz w:val="22"/>
                <w:szCs w:val="22"/>
                <w:lang w:val="en-GB"/>
              </w:rPr>
            </w:pPr>
          </w:p>
        </w:tc>
        <w:tc>
          <w:tcPr>
            <w:tcW w:w="1158" w:type="pct"/>
          </w:tcPr>
          <w:p w:rsidR="008754E4" w:rsidRPr="007722A3" w:rsidRDefault="008754E4" w:rsidP="008B42AB">
            <w:pPr>
              <w:keepNext/>
              <w:adjustRightInd w:val="0"/>
              <w:rPr>
                <w:noProof/>
                <w:sz w:val="22"/>
                <w:szCs w:val="22"/>
                <w:lang w:val="en-GB"/>
              </w:rPr>
            </w:pPr>
            <w:r w:rsidRPr="007722A3">
              <w:rPr>
                <w:noProof/>
                <w:sz w:val="22"/>
                <w:szCs w:val="22"/>
                <w:lang w:val="en-GB"/>
              </w:rPr>
              <w:t>Fatigue</w:t>
            </w:r>
          </w:p>
        </w:tc>
        <w:tc>
          <w:tcPr>
            <w:tcW w:w="1119" w:type="pct"/>
          </w:tcPr>
          <w:p w:rsidR="008754E4" w:rsidRPr="007722A3" w:rsidRDefault="008754E4" w:rsidP="008B42AB">
            <w:pPr>
              <w:keepNext/>
              <w:adjustRightInd w:val="0"/>
              <w:rPr>
                <w:noProof/>
                <w:sz w:val="22"/>
                <w:szCs w:val="22"/>
                <w:lang w:val="en-GB"/>
              </w:rPr>
            </w:pPr>
          </w:p>
        </w:tc>
      </w:tr>
      <w:tr w:rsidR="009E1698" w:rsidTr="004C784C">
        <w:trPr>
          <w:cantSplit/>
          <w:jc w:val="center"/>
        </w:trPr>
        <w:tc>
          <w:tcPr>
            <w:tcW w:w="1573" w:type="pct"/>
          </w:tcPr>
          <w:p w:rsidR="008754E4" w:rsidRPr="007722A3" w:rsidRDefault="008754E4" w:rsidP="008B42AB">
            <w:pPr>
              <w:adjustRightInd w:val="0"/>
              <w:rPr>
                <w:noProof/>
                <w:sz w:val="22"/>
                <w:szCs w:val="22"/>
                <w:lang w:val="en-GB"/>
              </w:rPr>
            </w:pPr>
            <w:r w:rsidRPr="007722A3">
              <w:rPr>
                <w:noProof/>
                <w:sz w:val="22"/>
                <w:szCs w:val="22"/>
                <w:lang w:val="en-GB"/>
              </w:rPr>
              <w:t>Investigations</w:t>
            </w:r>
          </w:p>
        </w:tc>
        <w:tc>
          <w:tcPr>
            <w:tcW w:w="1150" w:type="pct"/>
          </w:tcPr>
          <w:p w:rsidR="008754E4" w:rsidRPr="007722A3" w:rsidRDefault="008754E4" w:rsidP="008B42AB">
            <w:pPr>
              <w:adjustRightInd w:val="0"/>
              <w:rPr>
                <w:noProof/>
                <w:sz w:val="22"/>
                <w:szCs w:val="22"/>
                <w:lang w:val="en-GB"/>
              </w:rPr>
            </w:pPr>
          </w:p>
        </w:tc>
        <w:tc>
          <w:tcPr>
            <w:tcW w:w="1158" w:type="pct"/>
          </w:tcPr>
          <w:p w:rsidR="008754E4" w:rsidRPr="007722A3" w:rsidRDefault="008754E4" w:rsidP="008B42AB">
            <w:pPr>
              <w:adjustRightInd w:val="0"/>
              <w:rPr>
                <w:noProof/>
                <w:sz w:val="22"/>
                <w:szCs w:val="22"/>
                <w:lang w:val="en-GB"/>
              </w:rPr>
            </w:pPr>
            <w:r w:rsidRPr="007722A3">
              <w:rPr>
                <w:noProof/>
                <w:sz w:val="22"/>
                <w:szCs w:val="22"/>
                <w:lang w:val="en-GB"/>
              </w:rPr>
              <w:t>Increased liver enzymes</w:t>
            </w:r>
          </w:p>
        </w:tc>
        <w:tc>
          <w:tcPr>
            <w:tcW w:w="1119" w:type="pct"/>
          </w:tcPr>
          <w:p w:rsidR="008754E4" w:rsidRPr="007722A3" w:rsidRDefault="008754E4" w:rsidP="008B42AB">
            <w:pPr>
              <w:adjustRightInd w:val="0"/>
              <w:rPr>
                <w:noProof/>
                <w:sz w:val="22"/>
                <w:szCs w:val="22"/>
                <w:lang w:val="en-GB"/>
              </w:rPr>
            </w:pPr>
          </w:p>
        </w:tc>
      </w:tr>
    </w:tbl>
    <w:p w:rsidR="00997EB5" w:rsidRPr="007722A3" w:rsidRDefault="00997EB5" w:rsidP="00997EB5">
      <w:pPr>
        <w:rPr>
          <w:noProof/>
          <w:sz w:val="22"/>
          <w:szCs w:val="22"/>
          <w:lang w:val="en-GB"/>
        </w:rPr>
      </w:pPr>
    </w:p>
    <w:p w:rsidR="005740D9" w:rsidRPr="007722A3" w:rsidRDefault="005740D9" w:rsidP="00487296">
      <w:pPr>
        <w:pStyle w:val="BodyText"/>
        <w:rPr>
          <w:u w:val="single"/>
        </w:rPr>
      </w:pPr>
      <w:r w:rsidRPr="007722A3">
        <w:rPr>
          <w:u w:val="single"/>
        </w:rPr>
        <w:t>Description of selected adverse reactions</w:t>
      </w:r>
    </w:p>
    <w:p w:rsidR="00330AE8" w:rsidRDefault="00330AE8" w:rsidP="00330AE8">
      <w:pPr>
        <w:pStyle w:val="BodyText"/>
      </w:pPr>
      <w:r w:rsidRPr="007722A3">
        <w:t>The most serious adverse reaction reported in clinical trials with deferiprone is agranulocytosis (neutrophils &lt;0.5x10</w:t>
      </w:r>
      <w:r w:rsidRPr="007722A3">
        <w:rPr>
          <w:vertAlign w:val="superscript"/>
        </w:rPr>
        <w:t>9</w:t>
      </w:r>
      <w:r w:rsidRPr="007722A3">
        <w:t>/l), with an incidence of 1.1% (0.6 cases per 100</w:t>
      </w:r>
      <w:r>
        <w:t> </w:t>
      </w:r>
      <w:r w:rsidRPr="007722A3">
        <w:t>patient</w:t>
      </w:r>
      <w:r w:rsidRPr="007722A3">
        <w:noBreakHyphen/>
        <w:t xml:space="preserve">years of treatment) (see section 4.4). </w:t>
      </w:r>
      <w:r w:rsidRPr="0071038F">
        <w:t>Data from pooled clinical studies in patients with systemic iron overload show that 63% of the episodes of agranulocytosis occurred within the first six months of treatment, 74% within the first year and 26% after one year of therapy.</w:t>
      </w:r>
      <w:r>
        <w:t xml:space="preserve"> The median time to onset of the first episode of agranulocytosis was 190 days </w:t>
      </w:r>
      <w:r w:rsidRPr="0071038F">
        <w:t>(ranged 22 days- 17.6 years)</w:t>
      </w:r>
      <w:r>
        <w:t xml:space="preserve"> and median duration was 10 days in clinical trials. A fatal outcome was observed in 8.3% of the reported episodes of agranulocytosis from clinical trials and post-marketing experience.</w:t>
      </w:r>
    </w:p>
    <w:p w:rsidR="00330AE8" w:rsidRDefault="00330AE8" w:rsidP="00487296">
      <w:pPr>
        <w:pStyle w:val="BodyText"/>
      </w:pPr>
    </w:p>
    <w:p w:rsidR="008F7FF3" w:rsidRPr="007722A3" w:rsidRDefault="008F7FF3" w:rsidP="00487296">
      <w:pPr>
        <w:pStyle w:val="BodyText"/>
      </w:pPr>
      <w:r w:rsidRPr="007722A3">
        <w:t>The observed incidence of the less severe form of neutropenia (neutrophils &lt;1.5x10</w:t>
      </w:r>
      <w:r w:rsidRPr="007722A3">
        <w:rPr>
          <w:vertAlign w:val="superscript"/>
        </w:rPr>
        <w:t>9</w:t>
      </w:r>
      <w:r w:rsidRPr="007722A3">
        <w:t xml:space="preserve">/l) is </w:t>
      </w:r>
      <w:r w:rsidR="00487296" w:rsidRPr="007722A3">
        <w:t>4</w:t>
      </w:r>
      <w:r w:rsidRPr="007722A3">
        <w:t>.9% (2.5</w:t>
      </w:r>
      <w:r w:rsidR="00330AE8">
        <w:t> </w:t>
      </w:r>
      <w:r w:rsidRPr="007722A3">
        <w:t>cases per 100</w:t>
      </w:r>
      <w:r w:rsidR="00DA1B54">
        <w:t> </w:t>
      </w:r>
      <w:r w:rsidRPr="007722A3">
        <w:t>patient</w:t>
      </w:r>
      <w:r w:rsidRPr="007722A3">
        <w:noBreakHyphen/>
        <w:t>years). This rate should be considered in the context of the underlying elevated incidence of neutropenia in thalassaemia patients, particularly in those with hypersplenism.</w:t>
      </w:r>
    </w:p>
    <w:p w:rsidR="008F7FF3" w:rsidRPr="007722A3" w:rsidRDefault="008F7FF3">
      <w:pPr>
        <w:pStyle w:val="BodyText"/>
      </w:pPr>
    </w:p>
    <w:p w:rsidR="00D84FF9" w:rsidRPr="007722A3" w:rsidRDefault="00D84FF9" w:rsidP="00D84FF9">
      <w:pPr>
        <w:pStyle w:val="BodyText"/>
      </w:pPr>
      <w:r w:rsidRPr="007722A3">
        <w:t>Episodes of diarrhoea, mostly mild and transient, have been reported in patients treated with deferiprone. Gastrointestinal effects are more frequent at the beginning of therapy and resolve in most patients within a few weeks without the discontinuation of treatment. In some patients it may be beneficial to reduce the dose of deferiprone and then scale it back up to the former dose. Arthropathy events, which ranged from mild pain in one or more joints to severe arthritis with effusion and significant disability, have also been reported in patients treated with deferiprone. Mild arthropathies are generally transient.</w:t>
      </w:r>
    </w:p>
    <w:p w:rsidR="00D84FF9" w:rsidRPr="007722A3" w:rsidRDefault="00D84FF9" w:rsidP="00D84FF9">
      <w:pPr>
        <w:pStyle w:val="BodyText"/>
      </w:pPr>
    </w:p>
    <w:p w:rsidR="008F7FF3" w:rsidRPr="007722A3" w:rsidRDefault="008F7FF3">
      <w:pPr>
        <w:pStyle w:val="BodyText"/>
      </w:pPr>
      <w:r w:rsidRPr="007722A3">
        <w:t xml:space="preserve">Increased levels of serum liver enzymes have been reported in </w:t>
      </w:r>
      <w:r w:rsidR="00C5293E" w:rsidRPr="007722A3">
        <w:t>some</w:t>
      </w:r>
      <w:r w:rsidRPr="007722A3">
        <w:t xml:space="preserve"> patients taking deferiprone. In the majority of these patients, the increase was asymptomatic and transient, and returned to baseline without discontinuation or decreasing the dose of deferiprone (see section 4.4).</w:t>
      </w:r>
    </w:p>
    <w:p w:rsidR="008F7FF3" w:rsidRPr="007722A3" w:rsidRDefault="008F7FF3">
      <w:pPr>
        <w:pStyle w:val="BodyText"/>
      </w:pPr>
    </w:p>
    <w:p w:rsidR="008F7FF3" w:rsidRPr="007722A3" w:rsidRDefault="008F7FF3">
      <w:pPr>
        <w:pStyle w:val="BodyText"/>
      </w:pPr>
      <w:r w:rsidRPr="007722A3">
        <w:t>Some patients experienced progression of fibrosis associated with an increase in iron overload or hepatitis C.</w:t>
      </w:r>
    </w:p>
    <w:p w:rsidR="008F7FF3" w:rsidRPr="007722A3" w:rsidRDefault="008F7FF3">
      <w:pPr>
        <w:pStyle w:val="BodyText"/>
      </w:pPr>
    </w:p>
    <w:p w:rsidR="008F7FF3" w:rsidRPr="007722A3" w:rsidRDefault="008F7FF3">
      <w:pPr>
        <w:pStyle w:val="BodyText"/>
      </w:pPr>
      <w:r w:rsidRPr="007722A3">
        <w:t>Low plasma zinc levels have been associated with deferiprone in a minority of patients. The levels normalised with oral zinc supplementation.</w:t>
      </w:r>
    </w:p>
    <w:p w:rsidR="008F7FF3" w:rsidRPr="007722A3" w:rsidRDefault="008F7FF3">
      <w:pPr>
        <w:pStyle w:val="BodyText"/>
      </w:pPr>
    </w:p>
    <w:p w:rsidR="008F7FF3" w:rsidRDefault="008F7FF3">
      <w:pPr>
        <w:pStyle w:val="BodyText"/>
      </w:pPr>
      <w:r w:rsidRPr="007722A3">
        <w:t xml:space="preserve">Neurological disorders (such as cerebellar symptoms, diplopia, lateral nystagmus, psychomotor slowdown, hand movements and axial hypotonia) have been observed in children who had been voluntarily prescribed more than 2.5 times the maximum recommended dose of 100 mg/kg/day for several years. </w:t>
      </w:r>
      <w:r w:rsidR="0038335A" w:rsidRPr="0038335A">
        <w:t>Episodes of hypotonia, instability, inability to walk, and hypertonia with inability of limb movement, have been reported in children in the post-marketing setting with standard doses of deferiprone</w:t>
      </w:r>
      <w:r w:rsidR="0038335A">
        <w:t xml:space="preserve">. </w:t>
      </w:r>
      <w:r w:rsidRPr="007722A3">
        <w:t>The neurological disorders progressively regressed after deferiprone discontinuation (see sections 4.4 and 4.9).</w:t>
      </w:r>
    </w:p>
    <w:p w:rsidR="00CA25BD" w:rsidRDefault="00CA25BD">
      <w:pPr>
        <w:pStyle w:val="BodyText"/>
      </w:pPr>
    </w:p>
    <w:p w:rsidR="002201EF" w:rsidRDefault="004E3259" w:rsidP="004C0322">
      <w:pPr>
        <w:pStyle w:val="BodyText"/>
      </w:pPr>
      <w:r w:rsidRPr="004E3259">
        <w:t xml:space="preserve">The safety profile of combination therapy </w:t>
      </w:r>
      <w:r w:rsidR="00F51C31">
        <w:t xml:space="preserve">(deferiprone and deferoxamine) </w:t>
      </w:r>
      <w:r w:rsidRPr="004E3259">
        <w:t>observed in clinical trials, post-marketing experience or published literature was consistent with that characterized for monotherapy.</w:t>
      </w:r>
    </w:p>
    <w:p w:rsidR="00F51C31" w:rsidRDefault="00F51C31" w:rsidP="004C0322">
      <w:pPr>
        <w:pStyle w:val="BodyText"/>
      </w:pPr>
    </w:p>
    <w:p w:rsidR="00F51C31" w:rsidRDefault="005A04F4" w:rsidP="00D61042">
      <w:pPr>
        <w:pStyle w:val="BodyText"/>
      </w:pPr>
      <w:r w:rsidRPr="005A04F4">
        <w:t>Data from the pooled safety database from clinical trials (</w:t>
      </w:r>
      <w:r w:rsidR="00D61042">
        <w:t xml:space="preserve">1343 </w:t>
      </w:r>
      <w:r w:rsidRPr="005A04F4">
        <w:t>patient-years exposure to Ferripr</w:t>
      </w:r>
      <w:r>
        <w:t xml:space="preserve">ox monotherapy and </w:t>
      </w:r>
      <w:r w:rsidR="00D61042" w:rsidRPr="005A04F4">
        <w:t xml:space="preserve">244 </w:t>
      </w:r>
      <w:r>
        <w:t>patient</w:t>
      </w:r>
      <w:r w:rsidRPr="005A04F4">
        <w:t xml:space="preserve">-years exposure to Ferriprox and deferoxamine) showed statistically </w:t>
      </w:r>
      <w:r w:rsidR="00F51C31" w:rsidRPr="00F51C31">
        <w:t>significant (p&lt;0.05) differences in the incidence of adverse reactions based on S</w:t>
      </w:r>
      <w:r w:rsidR="00754C4F">
        <w:t xml:space="preserve">ystem </w:t>
      </w:r>
      <w:r w:rsidR="00F51C31" w:rsidRPr="00F51C31">
        <w:t>O</w:t>
      </w:r>
      <w:r w:rsidR="00754C4F">
        <w:t xml:space="preserve">rgan </w:t>
      </w:r>
      <w:r w:rsidR="00F51C31" w:rsidRPr="00F51C31">
        <w:t>C</w:t>
      </w:r>
      <w:r w:rsidR="00754C4F">
        <w:t>lass</w:t>
      </w:r>
      <w:r w:rsidR="00F51C31" w:rsidRPr="00F51C31">
        <w:t xml:space="preserve"> for “Cardiac disorders", "Musculoskeletal and connective tissue disorders” and "Renal and urinary disorders". The incidences of “Musculoskeletal and connective tissue disorders” and "Renal and urinary disorders" were lower during combination therapy than monotherapy, whereas the incidence of “Cardiac disorders" was higher during combination therapy than monotherapy. The higher rate of “Cardiac disorders" reported during combination therapy than monotherapy was possibly due to the higher incidence of pre-existing cardiac disorders in patients who received combination therapy. Careful monitoring of cardiac events in patients on combination therapy is warranted (see section 4.4)</w:t>
      </w:r>
      <w:r>
        <w:t>.</w:t>
      </w:r>
    </w:p>
    <w:p w:rsidR="00A80C9B" w:rsidRDefault="00A80C9B" w:rsidP="00A80C9B">
      <w:pPr>
        <w:pStyle w:val="BodyText"/>
      </w:pPr>
    </w:p>
    <w:p w:rsidR="00A80C9B" w:rsidRDefault="00B106E2" w:rsidP="00C1099F">
      <w:pPr>
        <w:pStyle w:val="BodyText"/>
      </w:pPr>
      <w:r>
        <w:t xml:space="preserve">The incidences of </w:t>
      </w:r>
      <w:r w:rsidR="00CE2AFA" w:rsidRPr="00CE2AFA">
        <w:t xml:space="preserve">adverse reactions experienced by 18 children </w:t>
      </w:r>
      <w:r>
        <w:t xml:space="preserve">and </w:t>
      </w:r>
      <w:r w:rsidR="00CE2AFA" w:rsidRPr="00CE2AFA">
        <w:t xml:space="preserve">97 adults treated with combination therapy </w:t>
      </w:r>
      <w:r>
        <w:t xml:space="preserve">were not </w:t>
      </w:r>
      <w:r w:rsidR="00CE2AFA" w:rsidRPr="00CE2AFA">
        <w:t>significant</w:t>
      </w:r>
      <w:r>
        <w:t>ly</w:t>
      </w:r>
      <w:r w:rsidR="00CE2AFA" w:rsidRPr="00CE2AFA">
        <w:t xml:space="preserve"> differen</w:t>
      </w:r>
      <w:r>
        <w:t xml:space="preserve">t </w:t>
      </w:r>
      <w:r w:rsidR="00CE2AFA" w:rsidRPr="00CE2AFA">
        <w:t xml:space="preserve">between the two age groups except in the incidence of arthropathy (11.1% in children vs. none in adults, p=0.02). </w:t>
      </w:r>
      <w:r>
        <w:t>E</w:t>
      </w:r>
      <w:r w:rsidR="00CE2AFA" w:rsidRPr="00CE2AFA">
        <w:t>valuat</w:t>
      </w:r>
      <w:r>
        <w:t xml:space="preserve">ion of </w:t>
      </w:r>
      <w:r w:rsidR="00CE2AFA" w:rsidRPr="00CE2AFA">
        <w:t>rate of reactions per 100</w:t>
      </w:r>
      <w:r>
        <w:t> </w:t>
      </w:r>
      <w:r w:rsidR="00CE2AFA" w:rsidRPr="00CE2AFA">
        <w:t>patient-years of exposure</w:t>
      </w:r>
      <w:r>
        <w:t xml:space="preserve"> showed that</w:t>
      </w:r>
      <w:r w:rsidR="00CE2AFA" w:rsidRPr="00CE2AFA">
        <w:t xml:space="preserve"> only the rate of diarrhoea was significantly higher in children (11.</w:t>
      </w:r>
      <w:r w:rsidR="00C1099F">
        <w:t>1</w:t>
      </w:r>
      <w:r w:rsidR="00CE2AFA" w:rsidRPr="00CE2AFA">
        <w:t>) than in adults (2.0, p=0.01).</w:t>
      </w:r>
    </w:p>
    <w:p w:rsidR="00E8124E" w:rsidRDefault="00E8124E" w:rsidP="00A80C9B">
      <w:pPr>
        <w:pStyle w:val="BodyText"/>
        <w:tabs>
          <w:tab w:val="left" w:pos="2376"/>
        </w:tabs>
      </w:pPr>
    </w:p>
    <w:p w:rsidR="002201EF" w:rsidRPr="00C42682" w:rsidRDefault="002201EF" w:rsidP="002201EF">
      <w:pPr>
        <w:pStyle w:val="BodyText"/>
        <w:rPr>
          <w:u w:val="single"/>
        </w:rPr>
      </w:pPr>
      <w:r w:rsidRPr="00C42682">
        <w:rPr>
          <w:u w:val="single"/>
        </w:rPr>
        <w:t>Reporting of suspected adverse reactions</w:t>
      </w:r>
    </w:p>
    <w:p w:rsidR="002201EF" w:rsidRDefault="002201EF" w:rsidP="00A80C9B">
      <w:pPr>
        <w:pStyle w:val="BodyText"/>
      </w:pPr>
      <w: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97465">
        <w:rPr>
          <w:highlight w:val="lightGray"/>
        </w:rPr>
        <w:t xml:space="preserve">the national reporting system listed in </w:t>
      </w:r>
      <w:hyperlink r:id="rId11" w:history="1">
        <w:r w:rsidR="00A80C9B" w:rsidRPr="00E97465">
          <w:rPr>
            <w:rStyle w:val="Hyperlink"/>
            <w:highlight w:val="lightGray"/>
          </w:rPr>
          <w:t>Appendix V</w:t>
        </w:r>
      </w:hyperlink>
      <w:r>
        <w:t>.</w:t>
      </w:r>
    </w:p>
    <w:p w:rsidR="00C42682" w:rsidRPr="007722A3" w:rsidRDefault="00C42682" w:rsidP="00C42682">
      <w:pPr>
        <w:pStyle w:val="BodyText"/>
      </w:pPr>
    </w:p>
    <w:p w:rsidR="008F7FF3" w:rsidRPr="007722A3" w:rsidRDefault="008F7FF3" w:rsidP="00D45A94">
      <w:pPr>
        <w:pStyle w:val="Heading3"/>
        <w:keepNext/>
      </w:pPr>
      <w:r w:rsidRPr="007722A3">
        <w:t>4.9</w:t>
      </w:r>
      <w:r w:rsidRPr="007722A3">
        <w:tab/>
        <w:t>Overdose</w:t>
      </w:r>
    </w:p>
    <w:p w:rsidR="008F7FF3" w:rsidRPr="007722A3" w:rsidRDefault="008F7FF3" w:rsidP="00D45A94">
      <w:pPr>
        <w:pStyle w:val="BodyText"/>
        <w:keepNext/>
      </w:pPr>
    </w:p>
    <w:p w:rsidR="008F7FF3" w:rsidRPr="007722A3" w:rsidRDefault="008F7FF3">
      <w:pPr>
        <w:pStyle w:val="BodyText"/>
      </w:pPr>
      <w:r w:rsidRPr="007722A3">
        <w:t>No cases of acute overdose have been reported. However, neurological disorders (such as cerebellar symptoms, diplopia, lateral nystagmus, psychomotor slowdown, hand movements and axial hypotonia) have been observed in children who had been voluntarily prescribed more than 2.5 times the maximum recommended dose of 100 mg/kg/day for several years. The neurological disorders progressively regressed after deferiprone discontinuation.</w:t>
      </w:r>
    </w:p>
    <w:p w:rsidR="008F7FF3" w:rsidRPr="007722A3" w:rsidRDefault="008F7FF3">
      <w:pPr>
        <w:pStyle w:val="BodyText"/>
      </w:pPr>
    </w:p>
    <w:p w:rsidR="008F7FF3" w:rsidRPr="007722A3" w:rsidRDefault="008F7FF3">
      <w:pPr>
        <w:pStyle w:val="BodyText"/>
        <w:rPr>
          <w:b/>
        </w:rPr>
      </w:pPr>
      <w:r w:rsidRPr="007722A3">
        <w:t>In case of overdose, close clinical supervision of the patient is required.</w:t>
      </w:r>
    </w:p>
    <w:p w:rsidR="008F7FF3" w:rsidRPr="007722A3" w:rsidRDefault="008F7FF3">
      <w:pPr>
        <w:pStyle w:val="BodyText"/>
      </w:pPr>
    </w:p>
    <w:p w:rsidR="008F7FF3" w:rsidRPr="007722A3" w:rsidRDefault="008F7FF3">
      <w:pPr>
        <w:pStyle w:val="BodyText"/>
      </w:pPr>
    </w:p>
    <w:p w:rsidR="008F7FF3" w:rsidRPr="00826883" w:rsidRDefault="008F7FF3" w:rsidP="00330AE8">
      <w:pPr>
        <w:keepNext/>
        <w:tabs>
          <w:tab w:val="left" w:pos="567"/>
        </w:tabs>
        <w:rPr>
          <w:b/>
          <w:caps/>
          <w:sz w:val="22"/>
          <w:szCs w:val="22"/>
          <w:lang w:val="en-GB"/>
        </w:rPr>
      </w:pPr>
      <w:r w:rsidRPr="00826883">
        <w:rPr>
          <w:b/>
          <w:caps/>
          <w:sz w:val="22"/>
          <w:szCs w:val="22"/>
          <w:lang w:val="en-GB"/>
        </w:rPr>
        <w:t>5.</w:t>
      </w:r>
      <w:r w:rsidRPr="00826883">
        <w:rPr>
          <w:b/>
          <w:caps/>
          <w:sz w:val="22"/>
          <w:szCs w:val="22"/>
          <w:lang w:val="en-GB"/>
        </w:rPr>
        <w:tab/>
        <w:t>Pharmacological properties</w:t>
      </w:r>
    </w:p>
    <w:p w:rsidR="008F7FF3" w:rsidRPr="007722A3" w:rsidRDefault="008F7FF3" w:rsidP="00D45A94">
      <w:pPr>
        <w:pStyle w:val="BodyText"/>
        <w:keepNext/>
      </w:pPr>
    </w:p>
    <w:p w:rsidR="008F7FF3" w:rsidRPr="007722A3" w:rsidRDefault="008F7FF3" w:rsidP="00D45A94">
      <w:pPr>
        <w:pStyle w:val="Heading3"/>
        <w:keepNext/>
      </w:pPr>
      <w:r w:rsidRPr="007722A3">
        <w:t xml:space="preserve">5.1 </w:t>
      </w:r>
      <w:r w:rsidRPr="007722A3">
        <w:tab/>
        <w:t>Pharmacodynamic properties</w:t>
      </w:r>
    </w:p>
    <w:p w:rsidR="008F7FF3" w:rsidRPr="007722A3" w:rsidRDefault="008F7FF3" w:rsidP="00D45A94">
      <w:pPr>
        <w:pStyle w:val="BodyText"/>
        <w:keepNext/>
      </w:pPr>
    </w:p>
    <w:p w:rsidR="008F7FF3" w:rsidRPr="007722A3" w:rsidRDefault="008F7FF3">
      <w:pPr>
        <w:pStyle w:val="BodyText"/>
        <w:rPr>
          <w:b/>
        </w:rPr>
      </w:pPr>
      <w:r w:rsidRPr="007722A3">
        <w:t>Pharmacotherapeutic group:</w:t>
      </w:r>
      <w:r w:rsidRPr="007722A3">
        <w:rPr>
          <w:b/>
        </w:rPr>
        <w:t xml:space="preserve"> </w:t>
      </w:r>
      <w:r w:rsidRPr="007722A3">
        <w:t>Iron chelating agents, ATC code:</w:t>
      </w:r>
      <w:r w:rsidRPr="007722A3">
        <w:rPr>
          <w:b/>
        </w:rPr>
        <w:t xml:space="preserve"> </w:t>
      </w:r>
      <w:r w:rsidRPr="007722A3">
        <w:t>V03AC02</w:t>
      </w:r>
    </w:p>
    <w:p w:rsidR="008F7FF3" w:rsidRPr="007722A3" w:rsidRDefault="008F7FF3">
      <w:pPr>
        <w:pStyle w:val="BodyText"/>
        <w:rPr>
          <w:b/>
        </w:rPr>
      </w:pPr>
    </w:p>
    <w:p w:rsidR="00A8546B" w:rsidRPr="007722A3" w:rsidRDefault="000759F3" w:rsidP="00D45A94">
      <w:pPr>
        <w:pStyle w:val="BodyText"/>
        <w:keepNext/>
        <w:rPr>
          <w:u w:val="single"/>
        </w:rPr>
      </w:pPr>
      <w:r>
        <w:rPr>
          <w:u w:val="single"/>
        </w:rPr>
        <w:t>Mechanism of action</w:t>
      </w:r>
    </w:p>
    <w:p w:rsidR="008F7FF3" w:rsidRPr="007722A3" w:rsidRDefault="008F7FF3">
      <w:pPr>
        <w:pStyle w:val="BodyText"/>
      </w:pPr>
      <w:r w:rsidRPr="007722A3">
        <w:t>The active substance is deferiprone (3-hydroxy-1,2-dimethylpyridin-4-one), a bidentate ligand which binds iron in a 3:1 molar ratio.</w:t>
      </w:r>
    </w:p>
    <w:p w:rsidR="008F7FF3" w:rsidRPr="007722A3" w:rsidRDefault="008F7FF3">
      <w:pPr>
        <w:pStyle w:val="BodyText"/>
      </w:pPr>
    </w:p>
    <w:p w:rsidR="00A8546B" w:rsidRPr="007722A3" w:rsidRDefault="00A8546B" w:rsidP="00D84FF9">
      <w:pPr>
        <w:pStyle w:val="BodyText"/>
        <w:keepNext/>
        <w:rPr>
          <w:u w:val="single"/>
        </w:rPr>
      </w:pPr>
      <w:r w:rsidRPr="007722A3">
        <w:rPr>
          <w:u w:val="single"/>
        </w:rPr>
        <w:t>Pharmacodynamic effects</w:t>
      </w:r>
    </w:p>
    <w:p w:rsidR="008F7FF3" w:rsidRPr="007722A3" w:rsidRDefault="008F7FF3" w:rsidP="005A04F4">
      <w:pPr>
        <w:pStyle w:val="BodyText"/>
      </w:pPr>
      <w:r w:rsidRPr="007722A3">
        <w:t xml:space="preserve">Clinical studies have demonstrated that </w:t>
      </w:r>
      <w:r w:rsidR="007D19FF" w:rsidRPr="007722A3">
        <w:t>F</w:t>
      </w:r>
      <w:r w:rsidRPr="007722A3">
        <w:t>er</w:t>
      </w:r>
      <w:r w:rsidR="007D19FF" w:rsidRPr="007722A3">
        <w:t>r</w:t>
      </w:r>
      <w:r w:rsidRPr="007722A3">
        <w:t>ipro</w:t>
      </w:r>
      <w:r w:rsidR="007D19FF" w:rsidRPr="007722A3">
        <w:t>x</w:t>
      </w:r>
      <w:r w:rsidRPr="007722A3">
        <w:t xml:space="preserve"> is effective in promoting iron excretion and that a dose of 25 mg/kg three times per day can prevent the progression of iron accumulation as assessed by serum ferritin, in patients with transfusion</w:t>
      </w:r>
      <w:r w:rsidRPr="007722A3">
        <w:noBreakHyphen/>
        <w:t xml:space="preserve">dependent thalassaemia. </w:t>
      </w:r>
      <w:r w:rsidR="00C61B1F">
        <w:rPr>
          <w:rFonts w:eastAsia="SimSun" w:cs="Calibri"/>
        </w:rPr>
        <w:t>Data from the published literature on iron balance studies in patients with thalass</w:t>
      </w:r>
      <w:r w:rsidR="0006048F">
        <w:rPr>
          <w:rFonts w:eastAsia="SimSun" w:cs="Calibri"/>
        </w:rPr>
        <w:t>a</w:t>
      </w:r>
      <w:r w:rsidR="00C61B1F">
        <w:rPr>
          <w:rFonts w:eastAsia="SimSun" w:cs="Calibri"/>
        </w:rPr>
        <w:t xml:space="preserve">emia major show that the use of Ferriprox concurrently with deferoxamine (coadministration of both chelators during the same day, either simultaneously or sequentially, e.g., Ferriprox during the day and deferoxamine during the night), promotes greater iron excretion than either drug alone. Doses of Ferriprox in those studies ranged from 50 to 100 mg/kg/day and </w:t>
      </w:r>
      <w:r w:rsidR="00E71F03">
        <w:rPr>
          <w:rFonts w:eastAsia="SimSun" w:cs="Calibri"/>
        </w:rPr>
        <w:t xml:space="preserve">doses </w:t>
      </w:r>
      <w:r w:rsidR="00C61B1F">
        <w:rPr>
          <w:rFonts w:eastAsia="SimSun" w:cs="Calibri"/>
        </w:rPr>
        <w:t xml:space="preserve">of deferoxamine </w:t>
      </w:r>
      <w:r w:rsidR="00E71F03">
        <w:rPr>
          <w:rFonts w:eastAsia="SimSun" w:cs="Calibri"/>
        </w:rPr>
        <w:t xml:space="preserve">from </w:t>
      </w:r>
      <w:r w:rsidR="00C61B1F">
        <w:rPr>
          <w:rFonts w:eastAsia="SimSun" w:cs="Calibri"/>
        </w:rPr>
        <w:t xml:space="preserve">40 to 60 mg/kg/day. </w:t>
      </w:r>
      <w:r w:rsidRPr="007722A3">
        <w:t>However, chelation therapy may not necessarily protect against iron</w:t>
      </w:r>
      <w:r w:rsidRPr="007722A3">
        <w:noBreakHyphen/>
        <w:t>induced organ damage.</w:t>
      </w:r>
    </w:p>
    <w:p w:rsidR="008F7FF3" w:rsidRPr="007722A3" w:rsidRDefault="008F7FF3">
      <w:pPr>
        <w:pStyle w:val="BodyText"/>
      </w:pPr>
    </w:p>
    <w:p w:rsidR="00D83DCA" w:rsidRPr="007722A3" w:rsidRDefault="00D83DCA" w:rsidP="00D83DCA">
      <w:pPr>
        <w:pStyle w:val="BodyText"/>
        <w:keepNext/>
        <w:rPr>
          <w:u w:val="single"/>
        </w:rPr>
      </w:pPr>
      <w:r w:rsidRPr="007722A3">
        <w:rPr>
          <w:u w:val="single"/>
        </w:rPr>
        <w:t>Clinical efficacy and safety</w:t>
      </w:r>
    </w:p>
    <w:p w:rsidR="004C6F77" w:rsidRPr="007722A3" w:rsidRDefault="004C6F77" w:rsidP="004C6F77">
      <w:pPr>
        <w:pStyle w:val="BodyText"/>
      </w:pPr>
      <w:r w:rsidRPr="007722A3">
        <w:t>Studies LA16-0102, LA-01 and LA08-9701 compared the efficacy of Ferriprox with that of deferoxamine in controlling serum ferritin in transfusion-dependent thalass</w:t>
      </w:r>
      <w:r w:rsidR="00EB01FA">
        <w:t>a</w:t>
      </w:r>
      <w:r w:rsidRPr="007722A3">
        <w:t>emia patients. Ferriprox and deferoxamine were equivalent in promoting a net stabilization or reduction of body iron load, despite the continuous transfusional iron administration in those patients (no difference in proportion of patients with a negative trend in serum ferritin between the two treatment groups by regression analysis; p &gt;0.05).</w:t>
      </w:r>
    </w:p>
    <w:p w:rsidR="004C6F77" w:rsidRPr="007722A3" w:rsidRDefault="004C6F77" w:rsidP="004C6F77">
      <w:pPr>
        <w:pStyle w:val="BodyText"/>
      </w:pPr>
    </w:p>
    <w:p w:rsidR="004C6F77" w:rsidRPr="007722A3" w:rsidRDefault="004C6F77" w:rsidP="004C6F77">
      <w:pPr>
        <w:pStyle w:val="BodyText"/>
      </w:pPr>
      <w:r w:rsidRPr="007722A3">
        <w:t>A magnetic resonance imaging (MRI) method, T2*, was also used to quantify myocardial iron load. Iron overload causes concentration-dependent MRI T2* signal loss, thus, increased myocardial iron reduces myocardial MRI T2* values. Myocardial MRI T2* values of less than 20</w:t>
      </w:r>
      <w:r w:rsidR="005E020E">
        <w:t> ms</w:t>
      </w:r>
      <w:r w:rsidRPr="007722A3">
        <w:t xml:space="preserve"> represent iron overload in the heart. An increase in MRI T2* on treatment indicates that iron is being removed from the heart. A positive correlation between MRI T2* values and cardiac function (as measured by Left Ventricular Ejection Fraction (LVEF)) has been documented.</w:t>
      </w:r>
    </w:p>
    <w:p w:rsidR="004C6F77" w:rsidRPr="007722A3" w:rsidRDefault="004C6F77" w:rsidP="004C6F77">
      <w:pPr>
        <w:pStyle w:val="BodyText"/>
      </w:pPr>
    </w:p>
    <w:p w:rsidR="004C6F77" w:rsidRPr="007722A3" w:rsidRDefault="004C6F77" w:rsidP="004C6F77">
      <w:pPr>
        <w:pStyle w:val="BodyText"/>
      </w:pPr>
      <w:r w:rsidRPr="007722A3">
        <w:t>Study LA16-0102 compared the efficacy of Ferriprox with that of deferoxamine in decreasing cardiac iron overload and in improving cardiac function (as measured by LVEF) in transfusion-dependent thalass</w:t>
      </w:r>
      <w:r w:rsidR="00EB01FA">
        <w:t>a</w:t>
      </w:r>
      <w:r w:rsidRPr="007722A3">
        <w:t>emia patients. Sixty-one patients with cardiac iron overload, previously treated with deferoxamine, were randomized to continue deferoxamine (average dose 43 mg/kg/day; N=31) or to switch to Ferriprox (average dose 92 mg/kg/day N=29). Over the 12-month duration of the study, Ferriprox was superior to deferoxamine in decreasing cardiac iron load. There was an improvement in cardiac T2* of more than 3</w:t>
      </w:r>
      <w:r w:rsidR="005E020E">
        <w:t> ms</w:t>
      </w:r>
      <w:r w:rsidRPr="007722A3">
        <w:t xml:space="preserve"> in patients treated with Ferriprox compared with a change of about 1</w:t>
      </w:r>
      <w:r w:rsidR="005E020E">
        <w:t> ms</w:t>
      </w:r>
      <w:r w:rsidRPr="007722A3">
        <w:t xml:space="preserve"> in patients treated with deferoxamine. At the same time point, LVEF had increased from baseline by 3.07 ± 3.58 absolute units (%) in the Ferriprox group and by 0.32 ± 3.38 absolute units (%) in the deferoxamine group (difference between groups; p=0.003).</w:t>
      </w:r>
    </w:p>
    <w:p w:rsidR="004C6F77" w:rsidRPr="007722A3" w:rsidRDefault="004C6F77" w:rsidP="004C6F77">
      <w:pPr>
        <w:pStyle w:val="BodyText"/>
      </w:pPr>
    </w:p>
    <w:p w:rsidR="004C6F77" w:rsidRPr="007722A3" w:rsidRDefault="006075DE" w:rsidP="004C6F77">
      <w:pPr>
        <w:pStyle w:val="BodyText"/>
      </w:pPr>
      <w:r w:rsidRPr="007722A3">
        <w:t>Study LA12-9907 compared survival, incidence of cardiac disease, and progression of cardiac disease in 129 patients with thalass</w:t>
      </w:r>
      <w:r w:rsidR="00EB01FA">
        <w:t>a</w:t>
      </w:r>
      <w:r w:rsidRPr="007722A3">
        <w:t>emia major treated for at least 4 years with Ferriprox (N=54) or deferoxamine (N=75). Cardiac endpoints were assessed by echocardiogram, electrocardiogram, the New York Heart Association classification and death due to cardiac disease. There was no significant difference in percentage of patients with cardiac dysfunction at first assessment (13% for Ferriprox vs. 16% for deferoxamine). Of patients with cardiac dysfunction at first assessment, none treated with deferiprone compared with four (33%) treated with deferoxamine had worsening of their cardiac status (p=0.245). Newly diagnosed cardiac dysfunction occurred in 13 (20.6%) deferoxamine-treated patients and in 2 (4.3%) Ferriprox-treated patients who were cardiac disease-free at the first assessment (p=0.013). Overall, fewer Ferriprox-treated patients than deferoxamine-treated patients showed a worsening of cardiac dysfunction from first assessment to last assessment (4% vs. 20%, p=0.007)</w:t>
      </w:r>
      <w:r w:rsidR="004C6F77" w:rsidRPr="007722A3">
        <w:t>.</w:t>
      </w:r>
    </w:p>
    <w:p w:rsidR="004C6F77" w:rsidRPr="007722A3" w:rsidRDefault="004C6F77" w:rsidP="004C6F77">
      <w:pPr>
        <w:pStyle w:val="BodyText"/>
      </w:pPr>
    </w:p>
    <w:p w:rsidR="004C6F77" w:rsidRPr="007722A3" w:rsidRDefault="004C6F77" w:rsidP="004C6F77">
      <w:pPr>
        <w:pStyle w:val="BodyText"/>
      </w:pPr>
      <w:r w:rsidRPr="007722A3">
        <w:t>Data from the published literature are consistent with the results from the Apotex studies, demonstrating less heart disease and/or increased survival in Ferriprox-treated patients than in those treated with deferoxamine.</w:t>
      </w:r>
    </w:p>
    <w:p w:rsidR="00E8124E" w:rsidRDefault="00E8124E" w:rsidP="00E8124E">
      <w:pPr>
        <w:pStyle w:val="BodyText"/>
      </w:pPr>
    </w:p>
    <w:p w:rsidR="00F02F80" w:rsidRDefault="006E00B0" w:rsidP="0006048F">
      <w:pPr>
        <w:pStyle w:val="BodyText"/>
      </w:pPr>
      <w:r>
        <w:t>A</w:t>
      </w:r>
      <w:r w:rsidR="00F02F80" w:rsidRPr="00F02F80">
        <w:t xml:space="preserve"> randomized, placebo-controlled, double-blind trial evaluated the effect of concurrent therapy with Ferriprox and deferoxamine in patients with thalass</w:t>
      </w:r>
      <w:r w:rsidR="0006048F">
        <w:t>a</w:t>
      </w:r>
      <w:r w:rsidR="00F02F80" w:rsidRPr="00F02F80">
        <w:t>emia major, who previously received the standard chelation monotherapy with subcutaneous deferoxamine and had mild to moderate cardiac iron loading (myocardial T2* from 8 to 20 ms). Following randomization, 32</w:t>
      </w:r>
      <w:r w:rsidR="0069244A">
        <w:t> </w:t>
      </w:r>
      <w:r w:rsidR="00F02F80" w:rsidRPr="00F02F80">
        <w:t>patients received deferoxamine (</w:t>
      </w:r>
      <w:r w:rsidR="005E020E" w:rsidRPr="00F02F80">
        <w:t>34.9</w:t>
      </w:r>
      <w:r w:rsidR="005E020E">
        <w:t> </w:t>
      </w:r>
      <w:r w:rsidR="00F02F80" w:rsidRPr="00F02F80">
        <w:t>mg/kg</w:t>
      </w:r>
      <w:r w:rsidR="0006048F">
        <w:t>/day</w:t>
      </w:r>
      <w:r w:rsidR="00F02F80" w:rsidRPr="00F02F80">
        <w:t xml:space="preserve"> for 5 days</w:t>
      </w:r>
      <w:r w:rsidR="0006048F">
        <w:t>/</w:t>
      </w:r>
      <w:r w:rsidR="00F02F80" w:rsidRPr="00F02F80">
        <w:t>week) and Ferriprox (75</w:t>
      </w:r>
      <w:r w:rsidR="0069244A">
        <w:t> </w:t>
      </w:r>
      <w:r w:rsidR="00F02F80" w:rsidRPr="00F02F80">
        <w:t>mg/kg/day) and 33 patients received deferoxamine monotherapy (</w:t>
      </w:r>
      <w:r w:rsidR="005E020E" w:rsidRPr="00F02F80">
        <w:t>43.4</w:t>
      </w:r>
      <w:r w:rsidR="005E020E">
        <w:t> </w:t>
      </w:r>
      <w:r w:rsidR="00F02F80" w:rsidRPr="00F02F80">
        <w:t>mg/kg</w:t>
      </w:r>
      <w:r w:rsidR="0006048F">
        <w:t xml:space="preserve">/day </w:t>
      </w:r>
      <w:r w:rsidR="00F02F80" w:rsidRPr="00F02F80">
        <w:t>for 5 days</w:t>
      </w:r>
      <w:r w:rsidR="0006048F">
        <w:t>/week</w:t>
      </w:r>
      <w:r w:rsidR="00F02F80" w:rsidRPr="00F02F80">
        <w:t xml:space="preserve">). After one year of study therapy, patients on concurrent chelation therapy </w:t>
      </w:r>
      <w:r w:rsidR="0006048F">
        <w:t xml:space="preserve">had </w:t>
      </w:r>
      <w:r w:rsidR="00F02F80" w:rsidRPr="00F02F80">
        <w:t xml:space="preserve">experienced </w:t>
      </w:r>
      <w:r w:rsidR="0006048F">
        <w:t xml:space="preserve">a </w:t>
      </w:r>
      <w:r w:rsidR="00F02F80" w:rsidRPr="00F02F80">
        <w:t>significant</w:t>
      </w:r>
      <w:r w:rsidR="0006048F">
        <w:t>ly</w:t>
      </w:r>
      <w:r w:rsidR="00F02F80" w:rsidRPr="00F02F80">
        <w:t xml:space="preserve"> greater reduction in serum ferritin (1574 µg/</w:t>
      </w:r>
      <w:r w:rsidR="0006048F">
        <w:t>l</w:t>
      </w:r>
      <w:r w:rsidR="00F02F80" w:rsidRPr="00F02F80">
        <w:t xml:space="preserve"> to 598 µg/</w:t>
      </w:r>
      <w:r w:rsidR="0006048F">
        <w:t>l</w:t>
      </w:r>
      <w:r w:rsidR="00F02F80" w:rsidRPr="00F02F80">
        <w:t xml:space="preserve"> with concurrent therapy vs</w:t>
      </w:r>
      <w:r w:rsidR="0006048F">
        <w:t>.</w:t>
      </w:r>
      <w:r w:rsidR="00F02F80" w:rsidRPr="00F02F80">
        <w:t xml:space="preserve"> 1379 µg/</w:t>
      </w:r>
      <w:r w:rsidR="0006048F">
        <w:t>l</w:t>
      </w:r>
      <w:r w:rsidR="00F02F80" w:rsidRPr="00F02F80">
        <w:t xml:space="preserve"> to 1146 µg/</w:t>
      </w:r>
      <w:r w:rsidR="0006048F">
        <w:t>l</w:t>
      </w:r>
      <w:r w:rsidR="00F02F80" w:rsidRPr="00F02F80">
        <w:t xml:space="preserve"> with deferoxamine monotherapy, p&lt;0.001), significant</w:t>
      </w:r>
      <w:r w:rsidR="0006048F">
        <w:t>ly</w:t>
      </w:r>
      <w:r w:rsidR="00F02F80" w:rsidRPr="00F02F80">
        <w:t xml:space="preserve"> greater reduction in myocardial iron overload, as assessed by an increase in MRI T2* (11.7 ms to 17.7 ms with concurrent therapy vs</w:t>
      </w:r>
      <w:r w:rsidR="0006048F">
        <w:t>.</w:t>
      </w:r>
      <w:r w:rsidR="00F02F80" w:rsidRPr="00F02F80">
        <w:t xml:space="preserve"> 12.4</w:t>
      </w:r>
      <w:r w:rsidR="0069244A">
        <w:t> </w:t>
      </w:r>
      <w:r w:rsidR="00F02F80" w:rsidRPr="00F02F80">
        <w:t>ms to 15.7</w:t>
      </w:r>
      <w:r w:rsidR="0006048F">
        <w:t> </w:t>
      </w:r>
      <w:r w:rsidR="00F02F80" w:rsidRPr="00F02F80">
        <w:t>ms with deferoxamine monotherapy, p=0.02) and significant</w:t>
      </w:r>
      <w:r w:rsidR="0006048F">
        <w:t>ly greater</w:t>
      </w:r>
      <w:r w:rsidR="00F02F80" w:rsidRPr="00F02F80">
        <w:t xml:space="preserve"> reduction in liver iron concentration, also assessed by an increase in MRI T2* (4.9 ms to 10.7 ms with concurrent therapy vs</w:t>
      </w:r>
      <w:r w:rsidR="0006048F">
        <w:t>.</w:t>
      </w:r>
      <w:r w:rsidR="00F02F80" w:rsidRPr="00F02F80">
        <w:t xml:space="preserve"> 4.2 ms to 5.0 ms with deferoxamine monotherapy, p&lt; 0.001).</w:t>
      </w:r>
    </w:p>
    <w:p w:rsidR="00F02F80" w:rsidRPr="00F02F80" w:rsidRDefault="00F02F80" w:rsidP="00C85081">
      <w:pPr>
        <w:pStyle w:val="BodyText"/>
      </w:pPr>
    </w:p>
    <w:p w:rsidR="00C85081" w:rsidRDefault="00C85081" w:rsidP="00C85081">
      <w:pPr>
        <w:pStyle w:val="BodyText"/>
      </w:pPr>
      <w:r w:rsidRPr="00C42682">
        <w:t>Study LA37-1111 was conducted to evaluate the effect of single therapeutic (33 mg/kg) and supratherapeutic (50 mg/kg) oral doses of deferiprone on the cardiac QT interval duration in healthy subjects. The maximum difference between the LS means of the therapeutic dose and placebo was 3.01</w:t>
      </w:r>
      <w:r w:rsidR="005E020E">
        <w:t> </w:t>
      </w:r>
      <w:r w:rsidRPr="00C42682">
        <w:t>ms (95% one-sided UCL: 5.01</w:t>
      </w:r>
      <w:r w:rsidR="005E020E">
        <w:t> </w:t>
      </w:r>
      <w:r w:rsidRPr="00C42682">
        <w:t>ms), and between the LS means of the supratherapeutic dose and placebo was 5.23</w:t>
      </w:r>
      <w:r w:rsidR="005E020E">
        <w:t> </w:t>
      </w:r>
      <w:r w:rsidRPr="00C42682">
        <w:t>ms (95% one-sided UCL: 7.19</w:t>
      </w:r>
      <w:r w:rsidR="005E020E">
        <w:t> </w:t>
      </w:r>
      <w:r w:rsidRPr="00C42682">
        <w:t>ms). Ferriprox was concluded to produce no significant prolongation of the QT interval.</w:t>
      </w:r>
    </w:p>
    <w:p w:rsidR="00C85081" w:rsidRPr="007722A3" w:rsidRDefault="00C85081" w:rsidP="00C85081">
      <w:pPr>
        <w:pStyle w:val="BodyText"/>
      </w:pPr>
    </w:p>
    <w:p w:rsidR="008F7FF3" w:rsidRPr="007722A3" w:rsidRDefault="008F7FF3" w:rsidP="00AE2551">
      <w:pPr>
        <w:pStyle w:val="Heading3"/>
        <w:keepNext/>
      </w:pPr>
      <w:r w:rsidRPr="007722A3">
        <w:t>5.2</w:t>
      </w:r>
      <w:r w:rsidRPr="007722A3">
        <w:tab/>
        <w:t>Pharmacokinetic properties</w:t>
      </w:r>
    </w:p>
    <w:p w:rsidR="008F7FF3" w:rsidRPr="007722A3" w:rsidRDefault="008F7FF3" w:rsidP="00AE2551">
      <w:pPr>
        <w:pStyle w:val="BodyText"/>
        <w:keepNext/>
      </w:pPr>
    </w:p>
    <w:p w:rsidR="008F7FF3" w:rsidRPr="007722A3" w:rsidRDefault="008F7FF3" w:rsidP="00AE2551">
      <w:pPr>
        <w:pStyle w:val="Heading4"/>
        <w:keepNext/>
        <w:rPr>
          <w:b w:val="0"/>
          <w:u w:val="single"/>
        </w:rPr>
      </w:pPr>
      <w:r w:rsidRPr="007722A3">
        <w:rPr>
          <w:b w:val="0"/>
          <w:u w:val="single"/>
        </w:rPr>
        <w:t>Absorption</w:t>
      </w:r>
    </w:p>
    <w:p w:rsidR="008F7FF3" w:rsidRPr="007722A3" w:rsidRDefault="008F7FF3">
      <w:pPr>
        <w:pStyle w:val="BodyText"/>
      </w:pPr>
      <w:r w:rsidRPr="007722A3">
        <w:t>Deferiprone is rapidly absorbed from the upper part of the gastrointestinal tract. Peak serum concentration occur</w:t>
      </w:r>
      <w:r w:rsidR="00A56D02">
        <w:t>s</w:t>
      </w:r>
      <w:r w:rsidRPr="007722A3">
        <w:t xml:space="preserve"> 45 to 60 minutes following a single dose in fasted patients. This may be extended to 2 hours in fed patients.</w:t>
      </w:r>
    </w:p>
    <w:p w:rsidR="008F7FF3" w:rsidRPr="007722A3" w:rsidRDefault="008F7FF3">
      <w:pPr>
        <w:pStyle w:val="BodyText"/>
      </w:pPr>
    </w:p>
    <w:p w:rsidR="008F7FF3" w:rsidRPr="007722A3" w:rsidRDefault="008F7FF3">
      <w:pPr>
        <w:pStyle w:val="BodyText"/>
      </w:pPr>
      <w:r w:rsidRPr="007722A3">
        <w:t xml:space="preserve">Following a dose of 25 mg/kg, lower peak serum concentrations have been detected in patients in the fed state (85 </w:t>
      </w:r>
      <w:r w:rsidRPr="007722A3">
        <w:rPr>
          <w:rFonts w:ascii="Symbol" w:hAnsi="Symbol"/>
        </w:rPr>
        <w:sym w:font="Symbol" w:char="F06D"/>
      </w:r>
      <w:r w:rsidRPr="007722A3">
        <w:t xml:space="preserve">mol/l) than in the fasting state (126 </w:t>
      </w:r>
      <w:r w:rsidRPr="007722A3">
        <w:rPr>
          <w:rFonts w:ascii="Symbol" w:hAnsi="Symbol"/>
        </w:rPr>
        <w:sym w:font="Symbol" w:char="F06D"/>
      </w:r>
      <w:r w:rsidRPr="007722A3">
        <w:t>mol/l), although there was no decrease in the amount of deferiprone absorbed when it was given with food.</w:t>
      </w:r>
    </w:p>
    <w:p w:rsidR="008F7FF3" w:rsidRPr="007722A3" w:rsidRDefault="008F7FF3">
      <w:pPr>
        <w:pStyle w:val="BodyText"/>
      </w:pPr>
    </w:p>
    <w:p w:rsidR="008F7FF3" w:rsidRPr="007722A3" w:rsidRDefault="008F7FF3" w:rsidP="00D45A94">
      <w:pPr>
        <w:pStyle w:val="Heading4"/>
        <w:keepNext/>
        <w:rPr>
          <w:b w:val="0"/>
          <w:bCs w:val="0"/>
          <w:iCs/>
          <w:u w:val="single"/>
        </w:rPr>
      </w:pPr>
      <w:r w:rsidRPr="007722A3">
        <w:rPr>
          <w:b w:val="0"/>
          <w:bCs w:val="0"/>
          <w:iCs/>
          <w:u w:val="single"/>
        </w:rPr>
        <w:t>Biotransformation</w:t>
      </w:r>
    </w:p>
    <w:p w:rsidR="008F7FF3" w:rsidRPr="007722A3" w:rsidRDefault="008F7FF3">
      <w:pPr>
        <w:pStyle w:val="BodyText"/>
      </w:pPr>
      <w:r w:rsidRPr="007722A3">
        <w:t>Deferiprone is metabolised predominantly to a glucuronide conjugate. This metabolite lacks iron</w:t>
      </w:r>
      <w:r w:rsidRPr="007722A3">
        <w:noBreakHyphen/>
        <w:t>binding capability due to inactivation of the 3-hydroxy group of deferiprone. Peak serum concentrations of the glucuronide occur 2 to 3 hours after administration of deferiprone.</w:t>
      </w:r>
    </w:p>
    <w:p w:rsidR="008F7FF3" w:rsidRPr="007722A3" w:rsidRDefault="008F7FF3">
      <w:pPr>
        <w:pStyle w:val="BodyText"/>
      </w:pPr>
    </w:p>
    <w:p w:rsidR="008F7FF3" w:rsidRPr="007722A3" w:rsidRDefault="008F7FF3" w:rsidP="00D45A94">
      <w:pPr>
        <w:pStyle w:val="Heading4"/>
        <w:keepNext/>
        <w:rPr>
          <w:b w:val="0"/>
          <w:bCs w:val="0"/>
          <w:iCs/>
          <w:u w:val="single"/>
        </w:rPr>
      </w:pPr>
      <w:r w:rsidRPr="007722A3">
        <w:rPr>
          <w:b w:val="0"/>
          <w:bCs w:val="0"/>
          <w:iCs/>
          <w:u w:val="single"/>
        </w:rPr>
        <w:t>Elimination</w:t>
      </w:r>
    </w:p>
    <w:p w:rsidR="008F7FF3" w:rsidRPr="007722A3" w:rsidRDefault="008F7FF3">
      <w:pPr>
        <w:pStyle w:val="BodyText"/>
      </w:pPr>
      <w:r w:rsidRPr="007722A3">
        <w:t>In humans, deferiprone is eliminated mainly via the kidneys; 75% to 90% of the ingested dose is reported as being recovered in the urine in the first 24 hours, in the form of free deferiprone, the glucuronide metabolite and the iron-deferiprone complex. A variable amount of elimination via the faeces has been reported. The elimination half</w:t>
      </w:r>
      <w:r w:rsidRPr="007722A3">
        <w:noBreakHyphen/>
        <w:t>life in most patients is 2 to 3 hours.</w:t>
      </w:r>
    </w:p>
    <w:p w:rsidR="008F7FF3" w:rsidRPr="007722A3" w:rsidRDefault="008F7FF3">
      <w:pPr>
        <w:rPr>
          <w:b/>
          <w:sz w:val="22"/>
          <w:szCs w:val="22"/>
          <w:lang w:val="en-GB"/>
        </w:rPr>
      </w:pPr>
    </w:p>
    <w:p w:rsidR="00A62A46" w:rsidRPr="0056562C" w:rsidRDefault="00A62A46" w:rsidP="00A62A46">
      <w:pPr>
        <w:keepNext/>
        <w:rPr>
          <w:bCs/>
          <w:sz w:val="22"/>
          <w:szCs w:val="22"/>
          <w:u w:val="single"/>
          <w:lang w:val="en-GB"/>
        </w:rPr>
      </w:pPr>
      <w:r w:rsidRPr="0056562C">
        <w:rPr>
          <w:bCs/>
          <w:sz w:val="22"/>
          <w:szCs w:val="22"/>
          <w:u w:val="single"/>
          <w:lang w:val="en-GB"/>
        </w:rPr>
        <w:t>Renal impairment</w:t>
      </w:r>
    </w:p>
    <w:p w:rsidR="00A62A46" w:rsidRDefault="00A62A46" w:rsidP="00A62A46">
      <w:pPr>
        <w:rPr>
          <w:bCs/>
          <w:sz w:val="22"/>
          <w:szCs w:val="22"/>
        </w:rPr>
      </w:pPr>
      <w:r w:rsidRPr="00C66310">
        <w:rPr>
          <w:bCs/>
          <w:sz w:val="22"/>
          <w:szCs w:val="22"/>
        </w:rPr>
        <w:t>An open-label, non-randomized, parallel group clinical study was conducted to evaluate the effect of impaired renal function on the safety, tolerability, and pharmacokinetics of a single 33 mg/kg oral dose of Ferriprox. Subjects were categorized into 4 groups based on estimated glomerular filtration rate (eGFR): healthy volunteers (eGFR ≥ 90 mL/min/1.73m</w:t>
      </w:r>
      <w:r w:rsidRPr="00C66310">
        <w:rPr>
          <w:bCs/>
          <w:sz w:val="22"/>
          <w:szCs w:val="22"/>
          <w:vertAlign w:val="superscript"/>
        </w:rPr>
        <w:t>2</w:t>
      </w:r>
      <w:r w:rsidRPr="00C66310">
        <w:rPr>
          <w:bCs/>
          <w:sz w:val="22"/>
          <w:szCs w:val="22"/>
        </w:rPr>
        <w:t>), mild renal impairment (eGFR 60</w:t>
      </w:r>
      <w:r>
        <w:rPr>
          <w:bCs/>
          <w:sz w:val="22"/>
          <w:szCs w:val="22"/>
        </w:rPr>
        <w:noBreakHyphen/>
      </w:r>
      <w:r w:rsidRPr="00C66310">
        <w:rPr>
          <w:bCs/>
          <w:sz w:val="22"/>
          <w:szCs w:val="22"/>
        </w:rPr>
        <w:t>89</w:t>
      </w:r>
      <w:r>
        <w:rPr>
          <w:bCs/>
          <w:sz w:val="22"/>
          <w:szCs w:val="22"/>
        </w:rPr>
        <w:t> </w:t>
      </w:r>
      <w:r w:rsidRPr="00C66310">
        <w:rPr>
          <w:bCs/>
          <w:sz w:val="22"/>
          <w:szCs w:val="22"/>
        </w:rPr>
        <w:t>mL/min/1.73m</w:t>
      </w:r>
      <w:r w:rsidRPr="00C66310">
        <w:rPr>
          <w:bCs/>
          <w:sz w:val="22"/>
          <w:szCs w:val="22"/>
          <w:vertAlign w:val="superscript"/>
        </w:rPr>
        <w:t>2</w:t>
      </w:r>
      <w:r w:rsidRPr="00C66310">
        <w:rPr>
          <w:bCs/>
          <w:sz w:val="22"/>
          <w:szCs w:val="22"/>
        </w:rPr>
        <w:t>), moderate renal impairment (eGFR 30–59 mL/min/1.73m</w:t>
      </w:r>
      <w:r w:rsidRPr="00C66310">
        <w:rPr>
          <w:bCs/>
          <w:sz w:val="22"/>
          <w:szCs w:val="22"/>
          <w:vertAlign w:val="superscript"/>
        </w:rPr>
        <w:t>2</w:t>
      </w:r>
      <w:r w:rsidRPr="00C66310">
        <w:rPr>
          <w:bCs/>
          <w:sz w:val="22"/>
          <w:szCs w:val="22"/>
        </w:rPr>
        <w:t>), and severe renal impairment (eGFR 15–29 mL/min/1.73m</w:t>
      </w:r>
      <w:r w:rsidRPr="00C66310">
        <w:rPr>
          <w:bCs/>
          <w:sz w:val="22"/>
          <w:szCs w:val="22"/>
          <w:vertAlign w:val="superscript"/>
        </w:rPr>
        <w:t>2</w:t>
      </w:r>
      <w:r w:rsidRPr="00C66310">
        <w:rPr>
          <w:bCs/>
          <w:sz w:val="22"/>
          <w:szCs w:val="22"/>
        </w:rPr>
        <w:t>). Systemic exposure to deferiprone and to its metabolite deferiprone 3-</w:t>
      </w:r>
      <w:r w:rsidRPr="00C66310">
        <w:rPr>
          <w:bCs/>
          <w:i/>
          <w:iCs/>
          <w:sz w:val="22"/>
          <w:szCs w:val="22"/>
        </w:rPr>
        <w:t>O</w:t>
      </w:r>
      <w:r w:rsidRPr="00C66310">
        <w:rPr>
          <w:bCs/>
          <w:sz w:val="22"/>
          <w:szCs w:val="22"/>
        </w:rPr>
        <w:t>-glucuronide was assessed by the PK parameters C</w:t>
      </w:r>
      <w:r w:rsidRPr="00C66310">
        <w:rPr>
          <w:bCs/>
          <w:sz w:val="22"/>
          <w:szCs w:val="22"/>
          <w:vertAlign w:val="subscript"/>
        </w:rPr>
        <w:t>max</w:t>
      </w:r>
      <w:r w:rsidRPr="00C66310">
        <w:rPr>
          <w:bCs/>
          <w:sz w:val="22"/>
          <w:szCs w:val="22"/>
        </w:rPr>
        <w:t xml:space="preserve"> and AUC.</w:t>
      </w:r>
    </w:p>
    <w:p w:rsidR="00A62A46" w:rsidRPr="00C66310" w:rsidRDefault="00A62A46" w:rsidP="00A62A46">
      <w:pPr>
        <w:rPr>
          <w:bCs/>
          <w:sz w:val="22"/>
          <w:szCs w:val="22"/>
        </w:rPr>
      </w:pPr>
    </w:p>
    <w:p w:rsidR="00A62A46" w:rsidRDefault="00A62A46" w:rsidP="00352151">
      <w:pPr>
        <w:rPr>
          <w:bCs/>
          <w:sz w:val="22"/>
          <w:szCs w:val="22"/>
        </w:rPr>
      </w:pPr>
      <w:r w:rsidRPr="00C66310">
        <w:rPr>
          <w:bCs/>
          <w:sz w:val="22"/>
          <w:szCs w:val="22"/>
        </w:rPr>
        <w:t>Regardless of the degree of renal impairment, the majority of the dose of Ferriprox was excreted in the urine over the first 24 hours as deferiprone 3-</w:t>
      </w:r>
      <w:r w:rsidRPr="00C66310">
        <w:rPr>
          <w:bCs/>
          <w:i/>
          <w:iCs/>
          <w:sz w:val="22"/>
          <w:szCs w:val="22"/>
        </w:rPr>
        <w:t>O</w:t>
      </w:r>
      <w:r w:rsidRPr="00C66310">
        <w:rPr>
          <w:bCs/>
          <w:sz w:val="22"/>
          <w:szCs w:val="22"/>
        </w:rPr>
        <w:t>-glucuronide. No significant effect of renal impairment was seen on systemic exposure to deferiprone. Systemic exposure to the inactive 3-</w:t>
      </w:r>
      <w:r w:rsidRPr="00C66310">
        <w:rPr>
          <w:bCs/>
          <w:i/>
          <w:iCs/>
          <w:sz w:val="22"/>
          <w:szCs w:val="22"/>
        </w:rPr>
        <w:t>O</w:t>
      </w:r>
      <w:r w:rsidRPr="00C66310">
        <w:rPr>
          <w:bCs/>
          <w:sz w:val="22"/>
          <w:szCs w:val="22"/>
        </w:rPr>
        <w:t>-glucuronide increased with decreasing eGFR. Based on the results of this study, no adjustment of the Ferriprox dosage regimen is required in patients with impaired renal function.</w:t>
      </w:r>
      <w:r>
        <w:rPr>
          <w:bCs/>
          <w:sz w:val="22"/>
          <w:szCs w:val="22"/>
        </w:rPr>
        <w:t xml:space="preserve"> The safety and pharmacokinetics of Ferriprox i</w:t>
      </w:r>
      <w:r w:rsidR="00352151">
        <w:rPr>
          <w:bCs/>
          <w:sz w:val="22"/>
          <w:szCs w:val="22"/>
        </w:rPr>
        <w:t xml:space="preserve">n </w:t>
      </w:r>
      <w:r>
        <w:rPr>
          <w:bCs/>
          <w:sz w:val="22"/>
          <w:szCs w:val="22"/>
        </w:rPr>
        <w:t>patients with end stage renal disease</w:t>
      </w:r>
      <w:r w:rsidR="00352151">
        <w:rPr>
          <w:bCs/>
          <w:sz w:val="22"/>
          <w:szCs w:val="22"/>
        </w:rPr>
        <w:t xml:space="preserve"> is unknown</w:t>
      </w:r>
      <w:r>
        <w:rPr>
          <w:bCs/>
          <w:sz w:val="22"/>
          <w:szCs w:val="22"/>
        </w:rPr>
        <w:t>.</w:t>
      </w:r>
    </w:p>
    <w:p w:rsidR="00A62A46" w:rsidRPr="00B9494D" w:rsidRDefault="00A62A46" w:rsidP="00A62A46">
      <w:pPr>
        <w:rPr>
          <w:bCs/>
          <w:sz w:val="22"/>
          <w:szCs w:val="22"/>
          <w:lang w:val="en-GB"/>
        </w:rPr>
      </w:pPr>
    </w:p>
    <w:p w:rsidR="00A62A46" w:rsidRPr="0056562C" w:rsidRDefault="00A62A46" w:rsidP="00A62A46">
      <w:pPr>
        <w:keepNext/>
        <w:rPr>
          <w:bCs/>
          <w:sz w:val="22"/>
          <w:szCs w:val="22"/>
          <w:u w:val="single"/>
          <w:lang w:val="en-GB"/>
        </w:rPr>
      </w:pPr>
      <w:r w:rsidRPr="0056562C">
        <w:rPr>
          <w:bCs/>
          <w:sz w:val="22"/>
          <w:szCs w:val="22"/>
          <w:u w:val="single"/>
          <w:lang w:val="en-GB"/>
        </w:rPr>
        <w:t>Hepatic impairment</w:t>
      </w:r>
    </w:p>
    <w:p w:rsidR="00E950A8" w:rsidRDefault="00A62A46" w:rsidP="00E950A8">
      <w:pPr>
        <w:rPr>
          <w:bCs/>
          <w:sz w:val="22"/>
          <w:szCs w:val="22"/>
          <w:lang w:val="en-GB"/>
        </w:rPr>
      </w:pPr>
      <w:r w:rsidRPr="00C66310">
        <w:rPr>
          <w:bCs/>
          <w:sz w:val="22"/>
          <w:szCs w:val="22"/>
          <w:lang w:val="en-GB"/>
        </w:rPr>
        <w:t>An open-label, non-randomized, parallel group clinical study was conducted to evaluate the effect of impaired hepatic function on the safety, tolerability, and pharmacokinetics of a single 33 mg/kg oral dose of Ferriprox. Subjects were categorized into 3 groups based on the Child-Pugh classification score: healthy volunteers, mild hepatic impairment (Class A: 5– 6 points), and moderate hepatic impairment (Class B: 7– 9 points). Systemic exposure to deferiprone and to its metabolite deferiprone 3-</w:t>
      </w:r>
      <w:r w:rsidRPr="00C66310">
        <w:rPr>
          <w:bCs/>
          <w:i/>
          <w:iCs/>
          <w:sz w:val="22"/>
          <w:szCs w:val="22"/>
          <w:lang w:val="en-GB"/>
        </w:rPr>
        <w:t>O</w:t>
      </w:r>
      <w:r w:rsidRPr="00C66310">
        <w:rPr>
          <w:bCs/>
          <w:sz w:val="22"/>
          <w:szCs w:val="22"/>
          <w:lang w:val="en-GB"/>
        </w:rPr>
        <w:t>-glucuronide was assessed by the PK parameters C</w:t>
      </w:r>
      <w:r w:rsidRPr="00D4747C">
        <w:rPr>
          <w:bCs/>
          <w:sz w:val="22"/>
          <w:szCs w:val="22"/>
          <w:vertAlign w:val="subscript"/>
          <w:lang w:val="en-GB"/>
        </w:rPr>
        <w:t>max</w:t>
      </w:r>
      <w:r w:rsidRPr="00C66310">
        <w:rPr>
          <w:bCs/>
          <w:sz w:val="22"/>
          <w:szCs w:val="22"/>
          <w:lang w:val="en-GB"/>
        </w:rPr>
        <w:t xml:space="preserve"> and AUC. </w:t>
      </w:r>
      <w:r w:rsidR="000C31E9" w:rsidRPr="000C31E9">
        <w:rPr>
          <w:bCs/>
          <w:sz w:val="22"/>
          <w:szCs w:val="22"/>
          <w:lang w:val="en-GB"/>
        </w:rPr>
        <w:t>Deferiprone AUCs did not differ between treatment groups, but C</w:t>
      </w:r>
      <w:r w:rsidR="000C31E9" w:rsidRPr="000C31E9">
        <w:rPr>
          <w:bCs/>
          <w:sz w:val="22"/>
          <w:szCs w:val="22"/>
          <w:vertAlign w:val="subscript"/>
          <w:lang w:val="en-GB"/>
        </w:rPr>
        <w:t>max</w:t>
      </w:r>
      <w:r w:rsidR="000C31E9" w:rsidRPr="000C31E9">
        <w:rPr>
          <w:bCs/>
          <w:sz w:val="22"/>
          <w:szCs w:val="22"/>
          <w:lang w:val="en-GB"/>
        </w:rPr>
        <w:t xml:space="preserve"> </w:t>
      </w:r>
      <w:r w:rsidR="00754473">
        <w:rPr>
          <w:bCs/>
          <w:sz w:val="22"/>
          <w:szCs w:val="22"/>
          <w:lang w:val="en-GB"/>
        </w:rPr>
        <w:t xml:space="preserve">was </w:t>
      </w:r>
      <w:r w:rsidR="000C31E9" w:rsidRPr="000C31E9">
        <w:rPr>
          <w:bCs/>
          <w:sz w:val="22"/>
          <w:szCs w:val="22"/>
          <w:lang w:val="en-GB"/>
        </w:rPr>
        <w:t xml:space="preserve">decreased by </w:t>
      </w:r>
      <w:r w:rsidR="00754473">
        <w:rPr>
          <w:bCs/>
          <w:sz w:val="22"/>
          <w:szCs w:val="22"/>
          <w:lang w:val="en-GB"/>
        </w:rPr>
        <w:t xml:space="preserve">20% in </w:t>
      </w:r>
      <w:r w:rsidR="000C31E9" w:rsidRPr="000C31E9">
        <w:rPr>
          <w:bCs/>
          <w:sz w:val="22"/>
          <w:szCs w:val="22"/>
          <w:lang w:val="en-GB"/>
        </w:rPr>
        <w:t>mild</w:t>
      </w:r>
      <w:r w:rsidR="00754473">
        <w:rPr>
          <w:bCs/>
          <w:sz w:val="22"/>
          <w:szCs w:val="22"/>
          <w:lang w:val="en-GB"/>
        </w:rPr>
        <w:t>ly</w:t>
      </w:r>
      <w:r w:rsidR="000C31E9" w:rsidRPr="000C31E9">
        <w:rPr>
          <w:bCs/>
          <w:sz w:val="22"/>
          <w:szCs w:val="22"/>
          <w:lang w:val="en-GB"/>
        </w:rPr>
        <w:t xml:space="preserve"> or moderate</w:t>
      </w:r>
      <w:r w:rsidR="00754473">
        <w:rPr>
          <w:bCs/>
          <w:sz w:val="22"/>
          <w:szCs w:val="22"/>
          <w:lang w:val="en-GB"/>
        </w:rPr>
        <w:t>ly</w:t>
      </w:r>
      <w:r w:rsidR="000C31E9" w:rsidRPr="000C31E9">
        <w:rPr>
          <w:bCs/>
          <w:sz w:val="22"/>
          <w:szCs w:val="22"/>
          <w:lang w:val="en-GB"/>
        </w:rPr>
        <w:t xml:space="preserve"> hepatic</w:t>
      </w:r>
      <w:r w:rsidR="00754473">
        <w:rPr>
          <w:bCs/>
          <w:sz w:val="22"/>
          <w:szCs w:val="22"/>
          <w:lang w:val="en-GB"/>
        </w:rPr>
        <w:t>ally</w:t>
      </w:r>
      <w:r w:rsidR="000C31E9" w:rsidRPr="000C31E9">
        <w:rPr>
          <w:bCs/>
          <w:sz w:val="22"/>
          <w:szCs w:val="22"/>
          <w:lang w:val="en-GB"/>
        </w:rPr>
        <w:t xml:space="preserve"> impaired subjects </w:t>
      </w:r>
      <w:r w:rsidR="00754473">
        <w:rPr>
          <w:bCs/>
          <w:sz w:val="22"/>
          <w:szCs w:val="22"/>
          <w:lang w:val="en-GB"/>
        </w:rPr>
        <w:t xml:space="preserve">compared </w:t>
      </w:r>
      <w:r w:rsidR="000C31E9" w:rsidRPr="000C31E9">
        <w:rPr>
          <w:bCs/>
          <w:sz w:val="22"/>
          <w:szCs w:val="22"/>
          <w:lang w:val="en-GB"/>
        </w:rPr>
        <w:t>with healthy volunteers. Deferiprone-3-</w:t>
      </w:r>
      <w:r w:rsidR="000C31E9" w:rsidRPr="000C31E9">
        <w:rPr>
          <w:bCs/>
          <w:i/>
          <w:iCs/>
          <w:sz w:val="22"/>
          <w:szCs w:val="22"/>
          <w:lang w:val="en-GB"/>
        </w:rPr>
        <w:t>O</w:t>
      </w:r>
      <w:r w:rsidR="000C31E9" w:rsidRPr="000C31E9">
        <w:rPr>
          <w:bCs/>
          <w:sz w:val="22"/>
          <w:szCs w:val="22"/>
          <w:lang w:val="en-GB"/>
        </w:rPr>
        <w:t>-glucuronide AUC</w:t>
      </w:r>
      <w:r w:rsidR="00754473">
        <w:rPr>
          <w:bCs/>
          <w:sz w:val="22"/>
          <w:szCs w:val="22"/>
          <w:lang w:val="en-GB"/>
        </w:rPr>
        <w:t xml:space="preserve"> wa</w:t>
      </w:r>
      <w:r w:rsidR="000C31E9" w:rsidRPr="000C31E9">
        <w:rPr>
          <w:bCs/>
          <w:sz w:val="22"/>
          <w:szCs w:val="22"/>
          <w:lang w:val="en-GB"/>
        </w:rPr>
        <w:t xml:space="preserve">s decreased by </w:t>
      </w:r>
      <w:r w:rsidR="00754473">
        <w:rPr>
          <w:bCs/>
          <w:sz w:val="22"/>
          <w:szCs w:val="22"/>
          <w:lang w:val="en-GB"/>
        </w:rPr>
        <w:t>10%</w:t>
      </w:r>
      <w:r w:rsidR="000C31E9" w:rsidRPr="000C31E9">
        <w:rPr>
          <w:bCs/>
          <w:sz w:val="22"/>
          <w:szCs w:val="22"/>
          <w:lang w:val="en-GB"/>
        </w:rPr>
        <w:t xml:space="preserve"> and C</w:t>
      </w:r>
      <w:r w:rsidR="000C31E9" w:rsidRPr="000C31E9">
        <w:rPr>
          <w:bCs/>
          <w:sz w:val="22"/>
          <w:szCs w:val="22"/>
          <w:vertAlign w:val="subscript"/>
          <w:lang w:val="en-GB"/>
        </w:rPr>
        <w:t>max</w:t>
      </w:r>
      <w:r w:rsidR="000C31E9" w:rsidRPr="000C31E9">
        <w:rPr>
          <w:bCs/>
          <w:sz w:val="22"/>
          <w:szCs w:val="22"/>
          <w:lang w:val="en-GB"/>
        </w:rPr>
        <w:t xml:space="preserve"> by </w:t>
      </w:r>
      <w:r w:rsidR="00754473">
        <w:rPr>
          <w:bCs/>
          <w:sz w:val="22"/>
          <w:szCs w:val="22"/>
          <w:lang w:val="en-GB"/>
        </w:rPr>
        <w:t>20% in</w:t>
      </w:r>
      <w:r w:rsidR="000C31E9" w:rsidRPr="000C31E9">
        <w:rPr>
          <w:bCs/>
          <w:sz w:val="22"/>
          <w:szCs w:val="22"/>
          <w:lang w:val="en-GB"/>
        </w:rPr>
        <w:t xml:space="preserve"> mild</w:t>
      </w:r>
      <w:r w:rsidR="00754473">
        <w:rPr>
          <w:bCs/>
          <w:sz w:val="22"/>
          <w:szCs w:val="22"/>
          <w:lang w:val="en-GB"/>
        </w:rPr>
        <w:t>ly</w:t>
      </w:r>
      <w:r w:rsidR="000C31E9" w:rsidRPr="000C31E9">
        <w:rPr>
          <w:bCs/>
          <w:sz w:val="22"/>
          <w:szCs w:val="22"/>
          <w:lang w:val="en-GB"/>
        </w:rPr>
        <w:t xml:space="preserve"> and moderate</w:t>
      </w:r>
      <w:r w:rsidR="00754473">
        <w:rPr>
          <w:bCs/>
          <w:sz w:val="22"/>
          <w:szCs w:val="22"/>
          <w:lang w:val="en-GB"/>
        </w:rPr>
        <w:t>ly</w:t>
      </w:r>
      <w:r w:rsidR="000C31E9" w:rsidRPr="000C31E9">
        <w:rPr>
          <w:bCs/>
          <w:sz w:val="22"/>
          <w:szCs w:val="22"/>
          <w:lang w:val="en-GB"/>
        </w:rPr>
        <w:t xml:space="preserve"> impaired subjects </w:t>
      </w:r>
      <w:r w:rsidR="00754473">
        <w:rPr>
          <w:bCs/>
          <w:sz w:val="22"/>
          <w:szCs w:val="22"/>
          <w:lang w:val="en-GB"/>
        </w:rPr>
        <w:t xml:space="preserve">compared </w:t>
      </w:r>
      <w:r w:rsidR="000C31E9" w:rsidRPr="000C31E9">
        <w:rPr>
          <w:bCs/>
          <w:sz w:val="22"/>
          <w:szCs w:val="22"/>
          <w:lang w:val="en-GB"/>
        </w:rPr>
        <w:t>with healthy volunteers.</w:t>
      </w:r>
      <w:r w:rsidR="000C31E9">
        <w:rPr>
          <w:bCs/>
          <w:sz w:val="22"/>
          <w:szCs w:val="22"/>
          <w:lang w:val="en-GB"/>
        </w:rPr>
        <w:t xml:space="preserve"> </w:t>
      </w:r>
      <w:r w:rsidRPr="00C66310">
        <w:rPr>
          <w:bCs/>
          <w:sz w:val="22"/>
          <w:szCs w:val="22"/>
          <w:lang w:val="en-GB"/>
        </w:rPr>
        <w:t>A serious adverse event of acute liver and renal injury was seen in one subject with moderate hepatic impairment. Based on the results of this study, no adjustment of the Ferriprox dosage regimen is required in patients with mildly or moderately impaired hepatic function.</w:t>
      </w:r>
      <w:r w:rsidR="00E950A8" w:rsidRPr="00E950A8">
        <w:rPr>
          <w:bCs/>
          <w:sz w:val="22"/>
          <w:szCs w:val="22"/>
          <w:lang w:val="en-GB"/>
        </w:rPr>
        <w:t xml:space="preserve"> </w:t>
      </w:r>
    </w:p>
    <w:p w:rsidR="00E950A8" w:rsidRDefault="00E950A8" w:rsidP="00E950A8">
      <w:pPr>
        <w:rPr>
          <w:bCs/>
          <w:sz w:val="22"/>
          <w:szCs w:val="22"/>
          <w:lang w:val="en-GB"/>
        </w:rPr>
      </w:pPr>
    </w:p>
    <w:p w:rsidR="00E950A8" w:rsidRDefault="00E950A8" w:rsidP="00352151">
      <w:pPr>
        <w:rPr>
          <w:bCs/>
          <w:sz w:val="22"/>
          <w:szCs w:val="22"/>
          <w:lang w:val="en-GB"/>
        </w:rPr>
      </w:pPr>
      <w:r w:rsidRPr="00C66310">
        <w:rPr>
          <w:bCs/>
          <w:sz w:val="22"/>
          <w:szCs w:val="22"/>
          <w:lang w:val="en-GB"/>
        </w:rPr>
        <w:t>The influence of severe hepatic impairment on the pharmacokinetics of deferiprone and deferiprone 3</w:t>
      </w:r>
      <w:r>
        <w:rPr>
          <w:bCs/>
          <w:sz w:val="22"/>
          <w:szCs w:val="22"/>
          <w:lang w:val="en-GB"/>
        </w:rPr>
        <w:noBreakHyphen/>
      </w:r>
      <w:r w:rsidRPr="00C66310">
        <w:rPr>
          <w:bCs/>
          <w:i/>
          <w:iCs/>
          <w:sz w:val="22"/>
          <w:szCs w:val="22"/>
          <w:lang w:val="en-GB"/>
        </w:rPr>
        <w:t>O</w:t>
      </w:r>
      <w:r w:rsidRPr="00C66310">
        <w:rPr>
          <w:bCs/>
          <w:sz w:val="22"/>
          <w:szCs w:val="22"/>
          <w:lang w:val="en-GB"/>
        </w:rPr>
        <w:t xml:space="preserve">-glucuronide has not been evaluated. </w:t>
      </w:r>
      <w:r w:rsidR="00352151">
        <w:rPr>
          <w:bCs/>
          <w:sz w:val="22"/>
          <w:szCs w:val="22"/>
          <w:lang w:val="en-GB"/>
        </w:rPr>
        <w:t>The s</w:t>
      </w:r>
      <w:r w:rsidRPr="00C66310">
        <w:rPr>
          <w:bCs/>
          <w:sz w:val="22"/>
          <w:szCs w:val="22"/>
          <w:lang w:val="en-GB"/>
        </w:rPr>
        <w:t xml:space="preserve">afety and </w:t>
      </w:r>
      <w:r w:rsidR="00352151">
        <w:rPr>
          <w:bCs/>
          <w:sz w:val="22"/>
          <w:szCs w:val="22"/>
          <w:lang w:val="en-GB"/>
        </w:rPr>
        <w:t xml:space="preserve">pharmacokinetics </w:t>
      </w:r>
      <w:r w:rsidRPr="00C66310">
        <w:rPr>
          <w:bCs/>
          <w:sz w:val="22"/>
          <w:szCs w:val="22"/>
          <w:lang w:val="en-GB"/>
        </w:rPr>
        <w:t>of Ferriprox in patients with severe hepatic impairment</w:t>
      </w:r>
      <w:r w:rsidR="00352151">
        <w:rPr>
          <w:bCs/>
          <w:sz w:val="22"/>
          <w:szCs w:val="22"/>
          <w:lang w:val="en-GB"/>
        </w:rPr>
        <w:t xml:space="preserve"> is unknown</w:t>
      </w:r>
      <w:r w:rsidRPr="00C66310">
        <w:rPr>
          <w:bCs/>
          <w:sz w:val="22"/>
          <w:szCs w:val="22"/>
          <w:lang w:val="en-GB"/>
        </w:rPr>
        <w:t>.</w:t>
      </w:r>
    </w:p>
    <w:p w:rsidR="00A62A46" w:rsidRPr="0056562C" w:rsidRDefault="00A62A46" w:rsidP="00A62A46">
      <w:pPr>
        <w:rPr>
          <w:bCs/>
          <w:sz w:val="22"/>
          <w:szCs w:val="22"/>
          <w:lang w:val="en-GB"/>
        </w:rPr>
      </w:pPr>
    </w:p>
    <w:p w:rsidR="008F7FF3" w:rsidRPr="007722A3" w:rsidRDefault="008F7FF3" w:rsidP="001002DC">
      <w:pPr>
        <w:pStyle w:val="Noraml"/>
        <w:keepNext/>
        <w:outlineLvl w:val="9"/>
      </w:pPr>
      <w:r w:rsidRPr="007722A3">
        <w:t>5.3</w:t>
      </w:r>
      <w:r w:rsidRPr="007722A3">
        <w:tab/>
        <w:t>Preclinical safety data</w:t>
      </w:r>
    </w:p>
    <w:p w:rsidR="008F7FF3" w:rsidRPr="007722A3" w:rsidRDefault="008F7FF3" w:rsidP="001002DC">
      <w:pPr>
        <w:keepNext/>
        <w:rPr>
          <w:sz w:val="22"/>
          <w:szCs w:val="22"/>
          <w:lang w:val="en-GB"/>
        </w:rPr>
      </w:pPr>
    </w:p>
    <w:p w:rsidR="008F7FF3" w:rsidRPr="007722A3" w:rsidRDefault="008F7FF3">
      <w:pPr>
        <w:pStyle w:val="BodyText"/>
      </w:pPr>
      <w:r w:rsidRPr="007722A3">
        <w:t>Non</w:t>
      </w:r>
      <w:r w:rsidRPr="007722A3">
        <w:noBreakHyphen/>
        <w:t>clinical studies have been conducted in animal species including mice, rats, rabbits, dogs and monkeys.</w:t>
      </w:r>
    </w:p>
    <w:p w:rsidR="008F7FF3" w:rsidRPr="007722A3" w:rsidRDefault="008F7FF3">
      <w:pPr>
        <w:pStyle w:val="BodyText"/>
      </w:pPr>
    </w:p>
    <w:p w:rsidR="008F7FF3" w:rsidRPr="007722A3" w:rsidRDefault="008F7FF3">
      <w:pPr>
        <w:pStyle w:val="BodyText"/>
      </w:pPr>
      <w:r w:rsidRPr="007722A3">
        <w:t>The most common finding</w:t>
      </w:r>
      <w:r w:rsidR="00C85081">
        <w:t>s</w:t>
      </w:r>
      <w:r w:rsidRPr="007722A3">
        <w:t xml:space="preserve"> in non</w:t>
      </w:r>
      <w:r w:rsidRPr="007722A3">
        <w:noBreakHyphen/>
        <w:t>iron</w:t>
      </w:r>
      <w:r w:rsidRPr="007722A3">
        <w:noBreakHyphen/>
        <w:t>loaded animals at doses of 100 mg/kg/day and above were hematologic effects such as bone marrow hypocellularity, and decreased WBC, RBC and/or platelet counts in peripheral blood.</w:t>
      </w:r>
    </w:p>
    <w:p w:rsidR="008F7FF3" w:rsidRPr="007722A3" w:rsidRDefault="008F7FF3">
      <w:pPr>
        <w:pStyle w:val="BodyText"/>
      </w:pPr>
    </w:p>
    <w:p w:rsidR="008F7FF3" w:rsidRPr="007722A3" w:rsidRDefault="008F7FF3">
      <w:pPr>
        <w:pStyle w:val="BodyText"/>
      </w:pPr>
      <w:r w:rsidRPr="007722A3">
        <w:t>Atrophy of the thymus, lymphoid tissues, and testis, and hypertrophy of the adrenals, were reported at doses of 100 mg/kg/day or greater in non</w:t>
      </w:r>
      <w:r w:rsidRPr="007722A3">
        <w:noBreakHyphen/>
        <w:t>iron</w:t>
      </w:r>
      <w:r w:rsidRPr="007722A3">
        <w:noBreakHyphen/>
        <w:t>loaded animals.</w:t>
      </w:r>
    </w:p>
    <w:p w:rsidR="008F7FF3" w:rsidRPr="007722A3" w:rsidRDefault="008F7FF3">
      <w:pPr>
        <w:pStyle w:val="BodyText"/>
      </w:pPr>
    </w:p>
    <w:p w:rsidR="008F7FF3" w:rsidRPr="007722A3" w:rsidRDefault="008F7FF3">
      <w:pPr>
        <w:pStyle w:val="BodyText"/>
      </w:pPr>
      <w:r w:rsidRPr="007722A3">
        <w:t xml:space="preserve">No carcinogenicity studies in animals have been conducted with deferiprone. The genotoxic potential of deferiprone was evaluated in a set of </w:t>
      </w:r>
      <w:r w:rsidRPr="007722A3">
        <w:rPr>
          <w:i/>
        </w:rPr>
        <w:t xml:space="preserve">in vitro </w:t>
      </w:r>
      <w:r w:rsidRPr="007722A3">
        <w:t>and</w:t>
      </w:r>
      <w:r w:rsidRPr="007722A3">
        <w:rPr>
          <w:i/>
        </w:rPr>
        <w:t xml:space="preserve"> in vivo </w:t>
      </w:r>
      <w:r w:rsidRPr="007722A3">
        <w:t xml:space="preserve">tests. Deferiprone did not show direct mutagenic properties; however, it did display clastogenic characteristics in </w:t>
      </w:r>
      <w:r w:rsidRPr="007722A3">
        <w:rPr>
          <w:i/>
          <w:iCs/>
        </w:rPr>
        <w:t>in vitro</w:t>
      </w:r>
      <w:r w:rsidRPr="007722A3">
        <w:t xml:space="preserve"> assays and in animals.</w:t>
      </w:r>
    </w:p>
    <w:p w:rsidR="008F7FF3" w:rsidRPr="007722A3" w:rsidRDefault="008F7FF3">
      <w:pPr>
        <w:pStyle w:val="BodyText"/>
      </w:pPr>
    </w:p>
    <w:p w:rsidR="002D3B68" w:rsidRPr="007722A3" w:rsidRDefault="008F7FF3">
      <w:pPr>
        <w:pStyle w:val="BodyText"/>
      </w:pPr>
      <w:r w:rsidRPr="007722A3">
        <w:t>Deferiprone was teratogenic and embryotoxic in reproductive studies in non</w:t>
      </w:r>
      <w:r w:rsidRPr="007722A3">
        <w:noBreakHyphen/>
        <w:t>iron</w:t>
      </w:r>
      <w:r w:rsidRPr="007722A3">
        <w:noBreakHyphen/>
        <w:t xml:space="preserve">loaded </w:t>
      </w:r>
      <w:r w:rsidR="005E71E9" w:rsidRPr="007722A3">
        <w:t xml:space="preserve">pregnant </w:t>
      </w:r>
      <w:r w:rsidRPr="007722A3">
        <w:t xml:space="preserve">rats and rabbits at doses at least as low as 25 mg/kg/day. </w:t>
      </w:r>
      <w:r w:rsidR="005E71E9" w:rsidRPr="007722A3">
        <w:t>No effect</w:t>
      </w:r>
      <w:r w:rsidR="002D3B68" w:rsidRPr="007722A3">
        <w:t>s</w:t>
      </w:r>
      <w:r w:rsidR="005E71E9" w:rsidRPr="007722A3">
        <w:t xml:space="preserve"> on fertility </w:t>
      </w:r>
      <w:r w:rsidR="002D3B68" w:rsidRPr="007722A3">
        <w:t xml:space="preserve">or </w:t>
      </w:r>
      <w:r w:rsidR="005E71E9" w:rsidRPr="007722A3">
        <w:t>early embryonic development were noted in non</w:t>
      </w:r>
      <w:r w:rsidR="002D3B68" w:rsidRPr="007722A3">
        <w:t>-</w:t>
      </w:r>
      <w:r w:rsidR="005E71E9" w:rsidRPr="007722A3">
        <w:t xml:space="preserve">iron-loaded male and female rats that received deferiprone orally at doses of up to 75 mg/kg twice daily for 28 days (males) or 2 weeks (females) prior to mating and until termination (males) or through early gestation (females). </w:t>
      </w:r>
      <w:r w:rsidR="00CC505A" w:rsidRPr="007722A3">
        <w:t xml:space="preserve">In females, an </w:t>
      </w:r>
      <w:r w:rsidR="00477261" w:rsidRPr="007722A3">
        <w:t xml:space="preserve">effect on the oestrous cycle </w:t>
      </w:r>
      <w:r w:rsidR="00366A1E" w:rsidRPr="007722A3">
        <w:t>delayed time to confirmed</w:t>
      </w:r>
      <w:r w:rsidR="00036AE9" w:rsidRPr="007722A3">
        <w:t xml:space="preserve"> mating </w:t>
      </w:r>
      <w:r w:rsidR="00CC505A" w:rsidRPr="007722A3">
        <w:t>at all doses tested</w:t>
      </w:r>
      <w:r w:rsidR="002D3B68" w:rsidRPr="007722A3">
        <w:t>.</w:t>
      </w:r>
    </w:p>
    <w:p w:rsidR="006F4F27" w:rsidRPr="007722A3" w:rsidRDefault="006F4F27">
      <w:pPr>
        <w:pStyle w:val="BodyText"/>
      </w:pPr>
    </w:p>
    <w:p w:rsidR="008F7FF3" w:rsidRPr="007722A3" w:rsidRDefault="008F7FF3">
      <w:pPr>
        <w:pStyle w:val="BodyText"/>
        <w:rPr>
          <w:b/>
        </w:rPr>
      </w:pPr>
      <w:r w:rsidRPr="007722A3">
        <w:t>No prenatal and postnatal reproductive studies have been conducted in animals.</w:t>
      </w:r>
    </w:p>
    <w:p w:rsidR="008F7FF3" w:rsidRPr="007722A3" w:rsidRDefault="008F7FF3" w:rsidP="00D07CF1">
      <w:pPr>
        <w:pStyle w:val="BodyText"/>
        <w:rPr>
          <w:b/>
          <w:caps/>
        </w:rPr>
      </w:pPr>
    </w:p>
    <w:p w:rsidR="008F7FF3" w:rsidRPr="007722A3" w:rsidRDefault="008F7FF3" w:rsidP="00D07CF1">
      <w:pPr>
        <w:pStyle w:val="BodyText"/>
        <w:rPr>
          <w:b/>
          <w:caps/>
        </w:rPr>
      </w:pPr>
    </w:p>
    <w:p w:rsidR="008F7FF3" w:rsidRPr="007722A3" w:rsidRDefault="008F7FF3" w:rsidP="00D45A94">
      <w:pPr>
        <w:keepNext/>
        <w:tabs>
          <w:tab w:val="left" w:pos="567"/>
        </w:tabs>
        <w:rPr>
          <w:b/>
          <w:caps/>
          <w:sz w:val="22"/>
          <w:szCs w:val="22"/>
          <w:lang w:val="en-GB"/>
        </w:rPr>
      </w:pPr>
      <w:r w:rsidRPr="007722A3">
        <w:rPr>
          <w:b/>
          <w:caps/>
          <w:sz w:val="22"/>
          <w:szCs w:val="22"/>
          <w:lang w:val="en-GB"/>
        </w:rPr>
        <w:t>6.</w:t>
      </w:r>
      <w:r w:rsidRPr="007722A3">
        <w:rPr>
          <w:b/>
          <w:caps/>
          <w:sz w:val="22"/>
          <w:szCs w:val="22"/>
          <w:lang w:val="en-GB"/>
        </w:rPr>
        <w:tab/>
        <w:t>Pharmaceutical particulars</w:t>
      </w:r>
    </w:p>
    <w:p w:rsidR="008F7FF3" w:rsidRPr="007722A3" w:rsidRDefault="008F7FF3" w:rsidP="00D45A94">
      <w:pPr>
        <w:keepNext/>
        <w:tabs>
          <w:tab w:val="left" w:pos="567"/>
        </w:tabs>
        <w:rPr>
          <w:b/>
          <w:sz w:val="22"/>
          <w:szCs w:val="22"/>
          <w:lang w:val="en-GB"/>
        </w:rPr>
      </w:pPr>
    </w:p>
    <w:p w:rsidR="008F7FF3" w:rsidRPr="007722A3" w:rsidRDefault="008F7FF3" w:rsidP="00D45A94">
      <w:pPr>
        <w:keepNext/>
        <w:tabs>
          <w:tab w:val="left" w:pos="567"/>
        </w:tabs>
        <w:ind w:left="570" w:hanging="570"/>
        <w:rPr>
          <w:b/>
          <w:sz w:val="22"/>
          <w:szCs w:val="22"/>
          <w:lang w:val="en-GB"/>
        </w:rPr>
      </w:pPr>
      <w:r w:rsidRPr="007722A3">
        <w:rPr>
          <w:b/>
          <w:sz w:val="22"/>
          <w:szCs w:val="22"/>
          <w:lang w:val="en-GB"/>
        </w:rPr>
        <w:t>6.1</w:t>
      </w:r>
      <w:r w:rsidRPr="007722A3">
        <w:rPr>
          <w:b/>
          <w:sz w:val="22"/>
          <w:szCs w:val="22"/>
          <w:lang w:val="en-GB"/>
        </w:rPr>
        <w:tab/>
        <w:t>List of excipients</w:t>
      </w:r>
    </w:p>
    <w:p w:rsidR="008F7FF3" w:rsidRPr="007722A3" w:rsidRDefault="008F7FF3" w:rsidP="00D45A94">
      <w:pPr>
        <w:keepNext/>
        <w:rPr>
          <w:b/>
          <w:sz w:val="22"/>
          <w:szCs w:val="22"/>
          <w:lang w:val="en-GB"/>
        </w:rPr>
      </w:pPr>
    </w:p>
    <w:p w:rsidR="00BE7A2F" w:rsidRPr="0097677F" w:rsidRDefault="00BE7A2F" w:rsidP="00EF0C5D">
      <w:pPr>
        <w:keepNext/>
        <w:rPr>
          <w:sz w:val="22"/>
          <w:szCs w:val="22"/>
          <w:u w:val="single"/>
          <w:lang w:val="en-GB"/>
        </w:rPr>
      </w:pPr>
      <w:r w:rsidRPr="0097677F">
        <w:rPr>
          <w:sz w:val="22"/>
          <w:szCs w:val="22"/>
          <w:u w:val="single"/>
          <w:lang w:val="en-GB"/>
        </w:rPr>
        <w:t>Ferriprox 500 mg film-coated tablets</w:t>
      </w:r>
    </w:p>
    <w:p w:rsidR="008F7FF3" w:rsidRPr="00C31746" w:rsidRDefault="008F7FF3" w:rsidP="00D45A94">
      <w:pPr>
        <w:keepNext/>
        <w:rPr>
          <w:bCs/>
          <w:i/>
          <w:iCs/>
          <w:sz w:val="22"/>
          <w:szCs w:val="22"/>
          <w:lang w:val="en-GB"/>
        </w:rPr>
      </w:pPr>
      <w:r w:rsidRPr="00C31746">
        <w:rPr>
          <w:bCs/>
          <w:i/>
          <w:iCs/>
          <w:sz w:val="22"/>
          <w:szCs w:val="22"/>
          <w:lang w:val="en-GB"/>
        </w:rPr>
        <w:t>Tablet core</w:t>
      </w:r>
    </w:p>
    <w:p w:rsidR="008F7FF3" w:rsidRPr="00C31746" w:rsidRDefault="008F7FF3">
      <w:pPr>
        <w:rPr>
          <w:sz w:val="22"/>
          <w:szCs w:val="22"/>
          <w:lang w:val="en-GB"/>
        </w:rPr>
      </w:pPr>
      <w:r w:rsidRPr="00C31746">
        <w:rPr>
          <w:sz w:val="22"/>
          <w:szCs w:val="22"/>
          <w:lang w:val="en-GB"/>
        </w:rPr>
        <w:t>Microcrystalline cellulose</w:t>
      </w:r>
    </w:p>
    <w:p w:rsidR="008F7FF3" w:rsidRPr="006E44AF" w:rsidRDefault="008F7FF3">
      <w:pPr>
        <w:rPr>
          <w:sz w:val="22"/>
          <w:szCs w:val="22"/>
          <w:lang w:val="it-IT"/>
        </w:rPr>
      </w:pPr>
      <w:r w:rsidRPr="006E44AF">
        <w:rPr>
          <w:sz w:val="22"/>
          <w:szCs w:val="22"/>
          <w:lang w:val="it-IT"/>
        </w:rPr>
        <w:t>Magnesium stearate</w:t>
      </w:r>
    </w:p>
    <w:p w:rsidR="008F7FF3" w:rsidRPr="006E44AF" w:rsidRDefault="008F7FF3">
      <w:pPr>
        <w:rPr>
          <w:sz w:val="22"/>
          <w:szCs w:val="22"/>
          <w:lang w:val="it-IT"/>
        </w:rPr>
      </w:pPr>
      <w:r w:rsidRPr="006E44AF">
        <w:rPr>
          <w:sz w:val="22"/>
          <w:szCs w:val="22"/>
          <w:lang w:val="it-IT"/>
        </w:rPr>
        <w:t>Colloidal silicon dioxide</w:t>
      </w:r>
    </w:p>
    <w:p w:rsidR="008F7FF3" w:rsidRPr="006E44AF" w:rsidRDefault="008F7FF3">
      <w:pPr>
        <w:rPr>
          <w:b/>
          <w:sz w:val="22"/>
          <w:szCs w:val="22"/>
          <w:lang w:val="it-IT"/>
        </w:rPr>
      </w:pPr>
    </w:p>
    <w:p w:rsidR="008F7FF3" w:rsidRPr="006E44AF" w:rsidRDefault="008F7FF3">
      <w:pPr>
        <w:rPr>
          <w:bCs/>
          <w:i/>
          <w:iCs/>
          <w:sz w:val="22"/>
          <w:szCs w:val="22"/>
          <w:lang w:val="it-IT"/>
        </w:rPr>
      </w:pPr>
      <w:r w:rsidRPr="006E44AF">
        <w:rPr>
          <w:bCs/>
          <w:i/>
          <w:iCs/>
          <w:sz w:val="22"/>
          <w:szCs w:val="22"/>
          <w:lang w:val="it-IT"/>
        </w:rPr>
        <w:t>Coating</w:t>
      </w:r>
    </w:p>
    <w:p w:rsidR="008F7FF3" w:rsidRPr="007722A3" w:rsidRDefault="008F7FF3">
      <w:pPr>
        <w:rPr>
          <w:sz w:val="22"/>
          <w:szCs w:val="22"/>
          <w:lang w:val="en-GB"/>
        </w:rPr>
      </w:pPr>
      <w:r w:rsidRPr="007722A3">
        <w:rPr>
          <w:sz w:val="22"/>
          <w:szCs w:val="22"/>
          <w:lang w:val="en-GB"/>
        </w:rPr>
        <w:t>Hypromellose</w:t>
      </w:r>
    </w:p>
    <w:p w:rsidR="008F7FF3" w:rsidRPr="007722A3" w:rsidRDefault="008F7FF3">
      <w:pPr>
        <w:rPr>
          <w:sz w:val="22"/>
          <w:szCs w:val="22"/>
          <w:lang w:val="en-GB"/>
        </w:rPr>
      </w:pPr>
      <w:r w:rsidRPr="007722A3">
        <w:rPr>
          <w:sz w:val="22"/>
          <w:szCs w:val="22"/>
          <w:lang w:val="en-GB"/>
        </w:rPr>
        <w:t>Macrogol</w:t>
      </w:r>
    </w:p>
    <w:p w:rsidR="008F7FF3" w:rsidRPr="007722A3" w:rsidRDefault="008F7FF3">
      <w:pPr>
        <w:rPr>
          <w:sz w:val="22"/>
          <w:szCs w:val="22"/>
          <w:lang w:val="en-GB"/>
        </w:rPr>
      </w:pPr>
      <w:r w:rsidRPr="007722A3">
        <w:rPr>
          <w:sz w:val="22"/>
          <w:szCs w:val="22"/>
          <w:lang w:val="en-GB"/>
        </w:rPr>
        <w:t>Titanium dioxide</w:t>
      </w:r>
    </w:p>
    <w:p w:rsidR="008F7FF3" w:rsidRDefault="008F7FF3">
      <w:pPr>
        <w:rPr>
          <w:sz w:val="22"/>
          <w:szCs w:val="22"/>
          <w:lang w:val="en-GB"/>
        </w:rPr>
      </w:pPr>
    </w:p>
    <w:p w:rsidR="00BE7A2F" w:rsidRPr="0097677F" w:rsidRDefault="00BE7A2F" w:rsidP="00476596">
      <w:pPr>
        <w:keepNext/>
        <w:rPr>
          <w:sz w:val="22"/>
          <w:szCs w:val="22"/>
          <w:u w:val="single"/>
          <w:lang w:val="en-GB"/>
        </w:rPr>
      </w:pPr>
      <w:r w:rsidRPr="0097677F">
        <w:rPr>
          <w:sz w:val="22"/>
          <w:szCs w:val="22"/>
          <w:u w:val="single"/>
          <w:lang w:val="en-GB"/>
        </w:rPr>
        <w:t>Ferriprox 1000 mg film-coated tablets</w:t>
      </w:r>
    </w:p>
    <w:p w:rsidR="00BE7A2F" w:rsidRPr="009F3321" w:rsidRDefault="00BE7A2F" w:rsidP="00BE7A2F">
      <w:pPr>
        <w:keepNext/>
        <w:rPr>
          <w:bCs/>
          <w:i/>
          <w:iCs/>
          <w:sz w:val="22"/>
          <w:szCs w:val="22"/>
          <w:lang w:val="en-GB"/>
        </w:rPr>
      </w:pPr>
      <w:r w:rsidRPr="009F3321">
        <w:rPr>
          <w:bCs/>
          <w:i/>
          <w:iCs/>
          <w:sz w:val="22"/>
          <w:szCs w:val="22"/>
          <w:lang w:val="en-GB"/>
        </w:rPr>
        <w:t>Tablet core</w:t>
      </w:r>
    </w:p>
    <w:p w:rsidR="00BE7A2F" w:rsidRPr="007722A3" w:rsidRDefault="00BE7A2F" w:rsidP="00BE7A2F">
      <w:pPr>
        <w:rPr>
          <w:sz w:val="22"/>
          <w:szCs w:val="22"/>
          <w:lang w:val="en-GB"/>
        </w:rPr>
      </w:pPr>
      <w:r w:rsidRPr="007722A3">
        <w:rPr>
          <w:sz w:val="22"/>
          <w:szCs w:val="22"/>
          <w:lang w:val="en-GB"/>
        </w:rPr>
        <w:t>Methylcellulose USP A15LV</w:t>
      </w:r>
    </w:p>
    <w:p w:rsidR="00BE7A2F" w:rsidRPr="007722A3" w:rsidRDefault="00BE7A2F" w:rsidP="00BE7A2F">
      <w:pPr>
        <w:rPr>
          <w:sz w:val="22"/>
          <w:szCs w:val="22"/>
          <w:lang w:val="en-GB"/>
        </w:rPr>
      </w:pPr>
      <w:r w:rsidRPr="007722A3">
        <w:rPr>
          <w:sz w:val="22"/>
          <w:szCs w:val="22"/>
          <w:lang w:val="en-GB"/>
        </w:rPr>
        <w:t>Crospovidone</w:t>
      </w:r>
    </w:p>
    <w:p w:rsidR="00BE7A2F" w:rsidRPr="007722A3" w:rsidRDefault="00BE7A2F" w:rsidP="00BE7A2F">
      <w:pPr>
        <w:rPr>
          <w:sz w:val="22"/>
          <w:szCs w:val="22"/>
          <w:lang w:val="en-GB"/>
        </w:rPr>
      </w:pPr>
      <w:r w:rsidRPr="007722A3">
        <w:rPr>
          <w:sz w:val="22"/>
          <w:szCs w:val="22"/>
          <w:lang w:val="en-GB"/>
        </w:rPr>
        <w:t>Magnesium stearate</w:t>
      </w:r>
    </w:p>
    <w:p w:rsidR="00BE7A2F" w:rsidRPr="007722A3" w:rsidRDefault="00BE7A2F" w:rsidP="00BE7A2F">
      <w:pPr>
        <w:rPr>
          <w:b/>
          <w:sz w:val="22"/>
          <w:szCs w:val="22"/>
          <w:lang w:val="en-GB"/>
        </w:rPr>
      </w:pPr>
    </w:p>
    <w:p w:rsidR="00BE7A2F" w:rsidRPr="009F3321" w:rsidRDefault="00BE7A2F" w:rsidP="00BE7A2F">
      <w:pPr>
        <w:keepNext/>
        <w:rPr>
          <w:bCs/>
          <w:i/>
          <w:iCs/>
          <w:sz w:val="22"/>
          <w:szCs w:val="22"/>
          <w:lang w:val="en-GB"/>
        </w:rPr>
      </w:pPr>
      <w:r w:rsidRPr="009F3321">
        <w:rPr>
          <w:bCs/>
          <w:i/>
          <w:iCs/>
          <w:sz w:val="22"/>
          <w:szCs w:val="22"/>
          <w:lang w:val="en-GB"/>
        </w:rPr>
        <w:t>Coating</w:t>
      </w:r>
    </w:p>
    <w:p w:rsidR="00BE7A2F" w:rsidRPr="007722A3" w:rsidRDefault="00BE7A2F" w:rsidP="00BE7A2F">
      <w:pPr>
        <w:rPr>
          <w:sz w:val="22"/>
          <w:szCs w:val="22"/>
          <w:lang w:val="en-GB"/>
        </w:rPr>
      </w:pPr>
      <w:r w:rsidRPr="007722A3">
        <w:rPr>
          <w:sz w:val="22"/>
          <w:szCs w:val="22"/>
          <w:lang w:val="en-GB"/>
        </w:rPr>
        <w:t>Hypromellose 2910 USP/EP</w:t>
      </w:r>
    </w:p>
    <w:p w:rsidR="00BE7A2F" w:rsidRPr="007722A3" w:rsidRDefault="00BE7A2F" w:rsidP="00BE7A2F">
      <w:pPr>
        <w:rPr>
          <w:sz w:val="22"/>
          <w:szCs w:val="22"/>
          <w:lang w:val="en-GB"/>
        </w:rPr>
      </w:pPr>
      <w:r w:rsidRPr="007722A3">
        <w:rPr>
          <w:sz w:val="22"/>
          <w:szCs w:val="22"/>
          <w:lang w:val="en-GB"/>
        </w:rPr>
        <w:t>Hydroxypropyl cellulose</w:t>
      </w:r>
    </w:p>
    <w:p w:rsidR="00BE7A2F" w:rsidRPr="007722A3" w:rsidRDefault="00BE7A2F" w:rsidP="00BE7A2F">
      <w:pPr>
        <w:rPr>
          <w:sz w:val="22"/>
          <w:szCs w:val="22"/>
          <w:lang w:val="en-GB"/>
        </w:rPr>
      </w:pPr>
      <w:r w:rsidRPr="007722A3">
        <w:rPr>
          <w:sz w:val="22"/>
          <w:szCs w:val="22"/>
          <w:lang w:val="en-GB"/>
        </w:rPr>
        <w:t>Macrogol</w:t>
      </w:r>
    </w:p>
    <w:p w:rsidR="00BE7A2F" w:rsidRPr="007722A3" w:rsidRDefault="00BE7A2F" w:rsidP="00BE7A2F">
      <w:pPr>
        <w:rPr>
          <w:sz w:val="22"/>
          <w:szCs w:val="22"/>
          <w:lang w:val="en-GB"/>
        </w:rPr>
      </w:pPr>
      <w:r w:rsidRPr="007722A3">
        <w:rPr>
          <w:sz w:val="22"/>
          <w:szCs w:val="22"/>
          <w:lang w:val="en-GB"/>
        </w:rPr>
        <w:t>Titanium dioxide</w:t>
      </w:r>
    </w:p>
    <w:p w:rsidR="00BE7A2F" w:rsidRPr="007722A3" w:rsidRDefault="00BE7A2F">
      <w:pPr>
        <w:rPr>
          <w:sz w:val="22"/>
          <w:szCs w:val="22"/>
          <w:lang w:val="en-GB"/>
        </w:rPr>
      </w:pPr>
    </w:p>
    <w:p w:rsidR="008F7FF3" w:rsidRPr="007722A3" w:rsidRDefault="008F7FF3" w:rsidP="007A5554">
      <w:pPr>
        <w:pStyle w:val="Noraml"/>
        <w:keepNext/>
        <w:outlineLvl w:val="9"/>
      </w:pPr>
      <w:r w:rsidRPr="007722A3">
        <w:t>6.2</w:t>
      </w:r>
      <w:r w:rsidRPr="007722A3">
        <w:tab/>
        <w:t>Incompatibilities</w:t>
      </w:r>
    </w:p>
    <w:p w:rsidR="008F7FF3" w:rsidRPr="007722A3" w:rsidRDefault="008F7FF3" w:rsidP="007A5554">
      <w:pPr>
        <w:keepNext/>
        <w:rPr>
          <w:sz w:val="22"/>
          <w:szCs w:val="22"/>
          <w:lang w:val="en-GB"/>
        </w:rPr>
      </w:pPr>
    </w:p>
    <w:p w:rsidR="008F7FF3" w:rsidRPr="007722A3" w:rsidRDefault="008F7FF3">
      <w:pPr>
        <w:rPr>
          <w:sz w:val="22"/>
          <w:szCs w:val="22"/>
          <w:lang w:val="en-GB"/>
        </w:rPr>
      </w:pPr>
      <w:r w:rsidRPr="007722A3">
        <w:rPr>
          <w:sz w:val="22"/>
          <w:szCs w:val="22"/>
          <w:lang w:val="en-GB"/>
        </w:rPr>
        <w:t>Not applicable.</w:t>
      </w:r>
    </w:p>
    <w:p w:rsidR="008F7FF3" w:rsidRPr="007722A3" w:rsidRDefault="008F7FF3">
      <w:pPr>
        <w:rPr>
          <w:sz w:val="22"/>
          <w:szCs w:val="22"/>
          <w:lang w:val="en-GB"/>
        </w:rPr>
      </w:pPr>
    </w:p>
    <w:p w:rsidR="008F7FF3" w:rsidRPr="007722A3" w:rsidRDefault="008F7FF3" w:rsidP="00F222D2">
      <w:pPr>
        <w:pStyle w:val="Noraml"/>
        <w:keepNext/>
        <w:outlineLvl w:val="9"/>
      </w:pPr>
      <w:r w:rsidRPr="007722A3">
        <w:t>6.3</w:t>
      </w:r>
      <w:r w:rsidRPr="007722A3">
        <w:tab/>
        <w:t>Shelf life</w:t>
      </w:r>
    </w:p>
    <w:p w:rsidR="008F7FF3" w:rsidRPr="007722A3" w:rsidRDefault="008F7FF3" w:rsidP="00F222D2">
      <w:pPr>
        <w:keepNext/>
        <w:rPr>
          <w:b/>
          <w:sz w:val="22"/>
          <w:szCs w:val="22"/>
          <w:lang w:val="en-GB"/>
        </w:rPr>
      </w:pPr>
    </w:p>
    <w:p w:rsidR="00BE7A2F" w:rsidRPr="009F3321" w:rsidRDefault="00BE7A2F" w:rsidP="00BE7A2F">
      <w:pPr>
        <w:rPr>
          <w:sz w:val="22"/>
          <w:szCs w:val="22"/>
          <w:u w:val="single"/>
          <w:lang w:val="en-GB"/>
        </w:rPr>
      </w:pPr>
      <w:r w:rsidRPr="009F3321">
        <w:rPr>
          <w:sz w:val="22"/>
          <w:szCs w:val="22"/>
          <w:u w:val="single"/>
          <w:lang w:val="en-GB"/>
        </w:rPr>
        <w:t>Ferriprox 500 mg film-coated tablets</w:t>
      </w:r>
    </w:p>
    <w:p w:rsidR="00BE7A2F" w:rsidRDefault="008F7FF3">
      <w:pPr>
        <w:rPr>
          <w:sz w:val="22"/>
          <w:szCs w:val="22"/>
          <w:lang w:val="en-GB"/>
        </w:rPr>
      </w:pPr>
      <w:r w:rsidRPr="007722A3">
        <w:rPr>
          <w:sz w:val="22"/>
          <w:szCs w:val="22"/>
          <w:lang w:val="en-GB"/>
        </w:rPr>
        <w:t>5 years</w:t>
      </w:r>
      <w:r w:rsidR="006604BA" w:rsidRPr="007722A3">
        <w:rPr>
          <w:sz w:val="22"/>
          <w:szCs w:val="22"/>
          <w:lang w:val="en-GB"/>
        </w:rPr>
        <w:t>.</w:t>
      </w:r>
    </w:p>
    <w:p w:rsidR="00BE7A2F" w:rsidRDefault="00BE7A2F">
      <w:pPr>
        <w:rPr>
          <w:sz w:val="22"/>
          <w:szCs w:val="22"/>
          <w:lang w:val="en-GB"/>
        </w:rPr>
      </w:pPr>
    </w:p>
    <w:p w:rsidR="00BE7A2F" w:rsidRPr="009F3321" w:rsidRDefault="00BE7A2F" w:rsidP="00BE7A2F">
      <w:pPr>
        <w:rPr>
          <w:sz w:val="22"/>
          <w:szCs w:val="22"/>
          <w:u w:val="single"/>
          <w:lang w:val="en-GB"/>
        </w:rPr>
      </w:pPr>
      <w:r w:rsidRPr="009F3321">
        <w:rPr>
          <w:sz w:val="22"/>
          <w:szCs w:val="22"/>
          <w:u w:val="single"/>
          <w:lang w:val="en-GB"/>
        </w:rPr>
        <w:t>Ferriprox 1000 mg film-coated tablets</w:t>
      </w:r>
    </w:p>
    <w:p w:rsidR="00BE7A2F" w:rsidRPr="007722A3" w:rsidRDefault="005E020E" w:rsidP="00BE7A2F">
      <w:pPr>
        <w:rPr>
          <w:sz w:val="22"/>
          <w:szCs w:val="22"/>
          <w:lang w:val="en-GB"/>
        </w:rPr>
      </w:pPr>
      <w:r>
        <w:rPr>
          <w:sz w:val="22"/>
          <w:szCs w:val="22"/>
          <w:lang w:val="en-GB"/>
        </w:rPr>
        <w:t>4</w:t>
      </w:r>
      <w:r w:rsidR="00BE7A2F" w:rsidRPr="007722A3">
        <w:rPr>
          <w:sz w:val="22"/>
          <w:szCs w:val="22"/>
          <w:lang w:val="en-GB"/>
        </w:rPr>
        <w:t xml:space="preserve"> years.</w:t>
      </w:r>
    </w:p>
    <w:p w:rsidR="00BE7A2F" w:rsidRPr="007722A3" w:rsidRDefault="00BE7A2F">
      <w:pPr>
        <w:rPr>
          <w:sz w:val="22"/>
          <w:szCs w:val="22"/>
          <w:lang w:val="en-GB"/>
        </w:rPr>
      </w:pPr>
      <w:r w:rsidRPr="007722A3">
        <w:rPr>
          <w:sz w:val="22"/>
          <w:szCs w:val="22"/>
          <w:lang w:val="en-GB"/>
        </w:rPr>
        <w:t>After first opening use within 50 days.</w:t>
      </w:r>
    </w:p>
    <w:p w:rsidR="008F7FF3" w:rsidRPr="007722A3" w:rsidRDefault="008F7FF3">
      <w:pPr>
        <w:rPr>
          <w:b/>
          <w:sz w:val="22"/>
          <w:szCs w:val="22"/>
          <w:lang w:val="en-GB"/>
        </w:rPr>
      </w:pPr>
    </w:p>
    <w:p w:rsidR="008F7FF3" w:rsidRPr="007722A3" w:rsidRDefault="008F7FF3" w:rsidP="00E33F4A">
      <w:pPr>
        <w:pStyle w:val="Noraml"/>
        <w:keepNext/>
        <w:outlineLvl w:val="9"/>
      </w:pPr>
      <w:r w:rsidRPr="007722A3">
        <w:t>6.4</w:t>
      </w:r>
      <w:r w:rsidRPr="007722A3">
        <w:tab/>
        <w:t>Special precautions for storage</w:t>
      </w:r>
    </w:p>
    <w:p w:rsidR="008F7FF3" w:rsidRPr="007722A3" w:rsidRDefault="008F7FF3" w:rsidP="00E33F4A">
      <w:pPr>
        <w:keepNext/>
        <w:rPr>
          <w:sz w:val="22"/>
          <w:szCs w:val="22"/>
          <w:lang w:val="en-GB"/>
        </w:rPr>
      </w:pPr>
    </w:p>
    <w:p w:rsidR="00BE7A2F" w:rsidRPr="009F3321" w:rsidRDefault="00BE7A2F" w:rsidP="00BE7A2F">
      <w:pPr>
        <w:rPr>
          <w:sz w:val="22"/>
          <w:szCs w:val="22"/>
          <w:u w:val="single"/>
          <w:lang w:val="en-GB"/>
        </w:rPr>
      </w:pPr>
      <w:r w:rsidRPr="009F3321">
        <w:rPr>
          <w:sz w:val="22"/>
          <w:szCs w:val="22"/>
          <w:u w:val="single"/>
          <w:lang w:val="en-GB"/>
        </w:rPr>
        <w:t>Ferriprox 500 mg film-coated tablets</w:t>
      </w:r>
    </w:p>
    <w:p w:rsidR="008F7FF3" w:rsidRPr="007722A3" w:rsidRDefault="008F7FF3">
      <w:pPr>
        <w:rPr>
          <w:sz w:val="22"/>
          <w:szCs w:val="22"/>
          <w:lang w:val="en-GB"/>
        </w:rPr>
      </w:pPr>
      <w:r w:rsidRPr="007722A3">
        <w:rPr>
          <w:sz w:val="22"/>
          <w:szCs w:val="22"/>
          <w:lang w:val="en-GB"/>
        </w:rPr>
        <w:t>Do not store above 30ºC</w:t>
      </w:r>
      <w:r w:rsidR="006604BA" w:rsidRPr="007722A3">
        <w:rPr>
          <w:sz w:val="22"/>
          <w:szCs w:val="22"/>
          <w:lang w:val="en-GB"/>
        </w:rPr>
        <w:t>.</w:t>
      </w:r>
    </w:p>
    <w:p w:rsidR="008F7FF3" w:rsidRDefault="008F7FF3">
      <w:pPr>
        <w:rPr>
          <w:b/>
          <w:sz w:val="22"/>
          <w:szCs w:val="22"/>
          <w:lang w:val="en-GB"/>
        </w:rPr>
      </w:pPr>
    </w:p>
    <w:p w:rsidR="00BE7A2F" w:rsidRPr="009F3321" w:rsidRDefault="00BE7A2F" w:rsidP="00BE7A2F">
      <w:pPr>
        <w:rPr>
          <w:sz w:val="22"/>
          <w:szCs w:val="22"/>
          <w:u w:val="single"/>
          <w:lang w:val="en-GB"/>
        </w:rPr>
      </w:pPr>
      <w:r w:rsidRPr="009F3321">
        <w:rPr>
          <w:sz w:val="22"/>
          <w:szCs w:val="22"/>
          <w:u w:val="single"/>
          <w:lang w:val="en-GB"/>
        </w:rPr>
        <w:t>Ferriprox 1000 mg film-coated tablets</w:t>
      </w:r>
    </w:p>
    <w:p w:rsidR="00BE7A2F" w:rsidRPr="007722A3" w:rsidRDefault="00BE7A2F" w:rsidP="00BE7A2F">
      <w:pPr>
        <w:rPr>
          <w:sz w:val="22"/>
          <w:szCs w:val="22"/>
          <w:lang w:val="en-GB"/>
        </w:rPr>
      </w:pPr>
      <w:r w:rsidRPr="007722A3">
        <w:rPr>
          <w:sz w:val="22"/>
          <w:szCs w:val="22"/>
          <w:lang w:val="en-GB"/>
        </w:rPr>
        <w:t>Do not store above 30ºC.</w:t>
      </w:r>
    </w:p>
    <w:p w:rsidR="00BE7A2F" w:rsidRPr="007722A3" w:rsidRDefault="00BE7A2F" w:rsidP="00BE7A2F">
      <w:pPr>
        <w:rPr>
          <w:sz w:val="22"/>
          <w:szCs w:val="22"/>
          <w:lang w:val="en-GB"/>
        </w:rPr>
      </w:pPr>
      <w:r w:rsidRPr="007722A3">
        <w:rPr>
          <w:sz w:val="22"/>
          <w:szCs w:val="22"/>
          <w:lang w:val="en-GB"/>
        </w:rPr>
        <w:t>Keep the bottle tightly closed in order to protect from moisture.</w:t>
      </w:r>
    </w:p>
    <w:p w:rsidR="00BE7A2F" w:rsidRPr="007722A3" w:rsidRDefault="00BE7A2F">
      <w:pPr>
        <w:rPr>
          <w:b/>
          <w:sz w:val="22"/>
          <w:szCs w:val="22"/>
          <w:lang w:val="en-GB"/>
        </w:rPr>
      </w:pPr>
    </w:p>
    <w:p w:rsidR="008F7FF3" w:rsidRPr="007722A3" w:rsidRDefault="008F7FF3" w:rsidP="00F834A4">
      <w:pPr>
        <w:pStyle w:val="Noraml"/>
        <w:keepNext/>
        <w:outlineLvl w:val="9"/>
      </w:pPr>
      <w:r w:rsidRPr="007722A3">
        <w:t>6.5</w:t>
      </w:r>
      <w:r w:rsidRPr="007722A3">
        <w:tab/>
        <w:t>Nature and contents of container</w:t>
      </w:r>
    </w:p>
    <w:p w:rsidR="008F7FF3" w:rsidRPr="007722A3" w:rsidRDefault="008F7FF3" w:rsidP="00F834A4">
      <w:pPr>
        <w:keepNext/>
        <w:rPr>
          <w:b/>
          <w:sz w:val="22"/>
          <w:szCs w:val="22"/>
          <w:lang w:val="en-GB"/>
        </w:rPr>
      </w:pPr>
    </w:p>
    <w:p w:rsidR="00BE7A2F" w:rsidRPr="009F3321" w:rsidRDefault="00BE7A2F" w:rsidP="00F834A4">
      <w:pPr>
        <w:keepNext/>
        <w:rPr>
          <w:sz w:val="22"/>
          <w:szCs w:val="22"/>
          <w:u w:val="single"/>
          <w:lang w:val="en-GB"/>
        </w:rPr>
      </w:pPr>
      <w:r w:rsidRPr="009F3321">
        <w:rPr>
          <w:sz w:val="22"/>
          <w:szCs w:val="22"/>
          <w:u w:val="single"/>
          <w:lang w:val="en-GB"/>
        </w:rPr>
        <w:t>Ferriprox 500 mg film-coated tablets</w:t>
      </w:r>
    </w:p>
    <w:p w:rsidR="008F7FF3" w:rsidRPr="007722A3" w:rsidRDefault="008F7FF3" w:rsidP="008031D4">
      <w:pPr>
        <w:rPr>
          <w:sz w:val="22"/>
          <w:szCs w:val="22"/>
          <w:lang w:val="en-GB"/>
        </w:rPr>
      </w:pPr>
      <w:r w:rsidRPr="007722A3">
        <w:rPr>
          <w:sz w:val="22"/>
          <w:szCs w:val="22"/>
          <w:lang w:val="en-GB"/>
        </w:rPr>
        <w:t xml:space="preserve">High density polyethylene (HDPE) bottle with </w:t>
      </w:r>
      <w:r w:rsidR="008031D4">
        <w:rPr>
          <w:sz w:val="22"/>
          <w:szCs w:val="22"/>
          <w:lang w:val="en-GB"/>
        </w:rPr>
        <w:t xml:space="preserve">a </w:t>
      </w:r>
      <w:r w:rsidRPr="007722A3">
        <w:rPr>
          <w:sz w:val="22"/>
          <w:szCs w:val="22"/>
          <w:lang w:val="en-GB"/>
        </w:rPr>
        <w:t xml:space="preserve">child resistant </w:t>
      </w:r>
      <w:r w:rsidR="008031D4">
        <w:rPr>
          <w:sz w:val="22"/>
          <w:szCs w:val="22"/>
          <w:lang w:val="en-GB"/>
        </w:rPr>
        <w:t>polypropylene cap</w:t>
      </w:r>
      <w:r w:rsidRPr="007722A3">
        <w:rPr>
          <w:sz w:val="22"/>
          <w:szCs w:val="22"/>
          <w:lang w:val="en-GB"/>
        </w:rPr>
        <w:t>.</w:t>
      </w:r>
    </w:p>
    <w:p w:rsidR="008F7FF3" w:rsidRDefault="00000380" w:rsidP="00000380">
      <w:pPr>
        <w:pStyle w:val="BodyText"/>
      </w:pPr>
      <w:r>
        <w:t xml:space="preserve">Pack size </w:t>
      </w:r>
      <w:r w:rsidR="008F7FF3" w:rsidRPr="007722A3">
        <w:t>of 100 tablets.</w:t>
      </w:r>
    </w:p>
    <w:p w:rsidR="00BE7A2F" w:rsidRDefault="00BE7A2F">
      <w:pPr>
        <w:pStyle w:val="BodyText"/>
      </w:pPr>
    </w:p>
    <w:p w:rsidR="00BE7A2F" w:rsidRPr="009F3321" w:rsidRDefault="00BE7A2F" w:rsidP="00BE7A2F">
      <w:pPr>
        <w:rPr>
          <w:sz w:val="22"/>
          <w:szCs w:val="22"/>
          <w:u w:val="single"/>
          <w:lang w:val="en-GB"/>
        </w:rPr>
      </w:pPr>
      <w:r w:rsidRPr="009F3321">
        <w:rPr>
          <w:sz w:val="22"/>
          <w:szCs w:val="22"/>
          <w:u w:val="single"/>
          <w:lang w:val="en-GB"/>
        </w:rPr>
        <w:t>Ferriprox 1000 mg film-coated tablets</w:t>
      </w:r>
    </w:p>
    <w:p w:rsidR="00BE7A2F" w:rsidRPr="007722A3" w:rsidRDefault="00BE7A2F" w:rsidP="00BE7A2F">
      <w:pPr>
        <w:rPr>
          <w:sz w:val="22"/>
          <w:szCs w:val="22"/>
          <w:lang w:val="en-GB"/>
        </w:rPr>
      </w:pPr>
      <w:r w:rsidRPr="007722A3">
        <w:rPr>
          <w:sz w:val="22"/>
          <w:szCs w:val="22"/>
          <w:lang w:val="en-GB"/>
        </w:rPr>
        <w:t>High density polyethylene (HDPE) bottle with a child resistant polypropylene cap and a desiccant.</w:t>
      </w:r>
    </w:p>
    <w:p w:rsidR="00BE7A2F" w:rsidRPr="007722A3" w:rsidRDefault="00BE7A2F" w:rsidP="00BE7A2F">
      <w:pPr>
        <w:pStyle w:val="BodyText"/>
      </w:pPr>
      <w:r w:rsidRPr="007722A3">
        <w:t>Pack size of 50 tablets.</w:t>
      </w:r>
    </w:p>
    <w:p w:rsidR="00BE7A2F" w:rsidRPr="007722A3" w:rsidRDefault="00BE7A2F" w:rsidP="00BE7A2F">
      <w:pPr>
        <w:rPr>
          <w:b/>
          <w:sz w:val="22"/>
          <w:szCs w:val="22"/>
          <w:lang w:val="en-GB"/>
        </w:rPr>
      </w:pPr>
    </w:p>
    <w:p w:rsidR="008F7FF3" w:rsidRPr="007722A3" w:rsidRDefault="008F7FF3" w:rsidP="000B58E3">
      <w:pPr>
        <w:pStyle w:val="Noraml"/>
        <w:keepNext/>
        <w:outlineLvl w:val="9"/>
      </w:pPr>
      <w:r w:rsidRPr="007722A3">
        <w:t>6.6</w:t>
      </w:r>
      <w:r w:rsidRPr="007722A3">
        <w:tab/>
        <w:t>Special precautions for disposal</w:t>
      </w:r>
    </w:p>
    <w:p w:rsidR="008F7FF3" w:rsidRPr="007722A3" w:rsidRDefault="008F7FF3" w:rsidP="000B58E3">
      <w:pPr>
        <w:keepNext/>
        <w:rPr>
          <w:sz w:val="22"/>
          <w:szCs w:val="22"/>
          <w:lang w:val="en-GB"/>
        </w:rPr>
      </w:pPr>
    </w:p>
    <w:p w:rsidR="00A80C9B" w:rsidRPr="00822FD6" w:rsidRDefault="00A80C9B" w:rsidP="00A80C9B">
      <w:pPr>
        <w:rPr>
          <w:sz w:val="22"/>
          <w:szCs w:val="22"/>
          <w:lang w:val="en-GB"/>
        </w:rPr>
      </w:pPr>
      <w:r w:rsidRPr="00DD5AE2">
        <w:rPr>
          <w:sz w:val="22"/>
          <w:szCs w:val="22"/>
          <w:lang w:val="en-GB"/>
        </w:rPr>
        <w:t>Any unused medicinal product or waste material should be disposed of in accordance with local requirements.</w:t>
      </w:r>
    </w:p>
    <w:p w:rsidR="008F7FF3" w:rsidRPr="007722A3" w:rsidRDefault="008F7FF3">
      <w:pPr>
        <w:rPr>
          <w:sz w:val="22"/>
          <w:szCs w:val="22"/>
          <w:lang w:val="en-GB"/>
        </w:rPr>
      </w:pPr>
    </w:p>
    <w:p w:rsidR="008F7FF3" w:rsidRPr="009A422B" w:rsidRDefault="008F7FF3">
      <w:pPr>
        <w:ind w:right="-449"/>
        <w:rPr>
          <w:bCs/>
          <w:sz w:val="22"/>
          <w:szCs w:val="22"/>
          <w:lang w:val="en-GB"/>
        </w:rPr>
      </w:pPr>
    </w:p>
    <w:p w:rsidR="008F7FF3" w:rsidRPr="007722A3" w:rsidRDefault="008F7FF3" w:rsidP="009A422B">
      <w:pPr>
        <w:pStyle w:val="Noraml"/>
        <w:keepNext/>
        <w:outlineLvl w:val="9"/>
      </w:pPr>
      <w:r w:rsidRPr="007722A3">
        <w:t>7.</w:t>
      </w:r>
      <w:r w:rsidRPr="007722A3">
        <w:tab/>
        <w:t>MARKETING AUTHORISATION HOLDER</w:t>
      </w:r>
    </w:p>
    <w:p w:rsidR="008F7FF3" w:rsidRPr="009A422B" w:rsidRDefault="008F7FF3" w:rsidP="009A422B">
      <w:pPr>
        <w:keepNext/>
        <w:rPr>
          <w:bCs/>
          <w:sz w:val="22"/>
          <w:szCs w:val="22"/>
          <w:lang w:val="en-GB"/>
        </w:rPr>
      </w:pPr>
    </w:p>
    <w:p w:rsidR="00504677" w:rsidRPr="00646D70" w:rsidRDefault="00504677" w:rsidP="009A422B">
      <w:pPr>
        <w:keepNext/>
        <w:rPr>
          <w:sz w:val="22"/>
          <w:szCs w:val="22"/>
          <w:lang w:val="it-IT"/>
        </w:rPr>
      </w:pPr>
      <w:r w:rsidRPr="00646D70">
        <w:rPr>
          <w:sz w:val="22"/>
          <w:szCs w:val="22"/>
          <w:lang w:val="it-IT"/>
        </w:rPr>
        <w:t>Chiesi Farmaceutici S.p.A</w:t>
      </w:r>
      <w:r w:rsidRPr="00504677">
        <w:rPr>
          <w:sz w:val="22"/>
          <w:szCs w:val="22"/>
          <w:lang w:val="it-IT"/>
        </w:rPr>
        <w:t>.</w:t>
      </w:r>
    </w:p>
    <w:p w:rsidR="00504677" w:rsidRPr="00504677" w:rsidRDefault="00504677" w:rsidP="009A422B">
      <w:pPr>
        <w:keepNext/>
        <w:rPr>
          <w:sz w:val="22"/>
          <w:szCs w:val="22"/>
        </w:rPr>
      </w:pPr>
      <w:r w:rsidRPr="00504677">
        <w:rPr>
          <w:sz w:val="22"/>
          <w:szCs w:val="22"/>
        </w:rPr>
        <w:t xml:space="preserve">Via Palermo 26/A </w:t>
      </w:r>
    </w:p>
    <w:p w:rsidR="00504677" w:rsidRPr="00504677" w:rsidRDefault="00504677" w:rsidP="009A422B">
      <w:pPr>
        <w:keepNext/>
        <w:rPr>
          <w:sz w:val="22"/>
          <w:szCs w:val="22"/>
        </w:rPr>
      </w:pPr>
      <w:r w:rsidRPr="00504677">
        <w:rPr>
          <w:sz w:val="22"/>
          <w:szCs w:val="22"/>
        </w:rPr>
        <w:t xml:space="preserve">43122 Parma </w:t>
      </w:r>
    </w:p>
    <w:p w:rsidR="008F7FF3" w:rsidRDefault="00504677">
      <w:pPr>
        <w:rPr>
          <w:sz w:val="22"/>
          <w:szCs w:val="22"/>
        </w:rPr>
      </w:pPr>
      <w:r w:rsidRPr="00504677">
        <w:rPr>
          <w:sz w:val="22"/>
          <w:szCs w:val="22"/>
        </w:rPr>
        <w:t>Italy</w:t>
      </w:r>
    </w:p>
    <w:p w:rsidR="00504677" w:rsidRPr="00504677" w:rsidRDefault="00504677">
      <w:pPr>
        <w:rPr>
          <w:b/>
          <w:sz w:val="24"/>
          <w:szCs w:val="24"/>
          <w:lang w:val="en-GB"/>
        </w:rPr>
      </w:pPr>
    </w:p>
    <w:p w:rsidR="008F7FF3" w:rsidRPr="007722A3" w:rsidRDefault="008F7FF3">
      <w:pPr>
        <w:rPr>
          <w:b/>
          <w:sz w:val="22"/>
          <w:szCs w:val="22"/>
          <w:lang w:val="en-GB"/>
        </w:rPr>
      </w:pPr>
    </w:p>
    <w:p w:rsidR="008F7FF3" w:rsidRPr="007722A3" w:rsidRDefault="008F7FF3" w:rsidP="007A5554">
      <w:pPr>
        <w:pStyle w:val="Noraml"/>
        <w:keepNext/>
        <w:outlineLvl w:val="9"/>
      </w:pPr>
      <w:r w:rsidRPr="007722A3">
        <w:t>8.</w:t>
      </w:r>
      <w:r w:rsidRPr="007722A3">
        <w:tab/>
        <w:t>MARKETING AUTHORISATION NUMBER</w:t>
      </w:r>
    </w:p>
    <w:p w:rsidR="008F7FF3" w:rsidRPr="007722A3" w:rsidRDefault="008F7FF3" w:rsidP="007A5554">
      <w:pPr>
        <w:pStyle w:val="EndnoteText"/>
        <w:keepNext/>
        <w:tabs>
          <w:tab w:val="clear" w:pos="567"/>
        </w:tabs>
        <w:rPr>
          <w:szCs w:val="22"/>
        </w:rPr>
      </w:pPr>
    </w:p>
    <w:p w:rsidR="00BE7A2F" w:rsidRPr="009F3321" w:rsidRDefault="00BE7A2F" w:rsidP="007A5554">
      <w:pPr>
        <w:keepNext/>
        <w:rPr>
          <w:sz w:val="22"/>
          <w:szCs w:val="22"/>
          <w:u w:val="single"/>
          <w:lang w:val="en-GB"/>
        </w:rPr>
      </w:pPr>
      <w:r w:rsidRPr="009F3321">
        <w:rPr>
          <w:sz w:val="22"/>
          <w:szCs w:val="22"/>
          <w:u w:val="single"/>
          <w:lang w:val="en-GB"/>
        </w:rPr>
        <w:t>Ferriprox 500 mg film-coated tablets</w:t>
      </w:r>
    </w:p>
    <w:p w:rsidR="008F7FF3" w:rsidRPr="007722A3" w:rsidRDefault="008F7FF3">
      <w:pPr>
        <w:rPr>
          <w:sz w:val="22"/>
          <w:szCs w:val="22"/>
          <w:lang w:val="en-GB"/>
        </w:rPr>
      </w:pPr>
      <w:r w:rsidRPr="007722A3">
        <w:rPr>
          <w:sz w:val="22"/>
          <w:szCs w:val="22"/>
          <w:lang w:val="en-GB"/>
        </w:rPr>
        <w:t>EU/1/99/108/001</w:t>
      </w:r>
    </w:p>
    <w:p w:rsidR="008F7FF3" w:rsidRDefault="008F7FF3">
      <w:pPr>
        <w:rPr>
          <w:sz w:val="22"/>
          <w:szCs w:val="22"/>
          <w:lang w:val="en-GB"/>
        </w:rPr>
      </w:pPr>
    </w:p>
    <w:p w:rsidR="00BE7A2F" w:rsidRPr="009F3321" w:rsidRDefault="00BE7A2F" w:rsidP="007A5554">
      <w:pPr>
        <w:keepNext/>
        <w:rPr>
          <w:sz w:val="22"/>
          <w:szCs w:val="22"/>
          <w:u w:val="single"/>
          <w:lang w:val="en-GB"/>
        </w:rPr>
      </w:pPr>
      <w:r w:rsidRPr="009F3321">
        <w:rPr>
          <w:sz w:val="22"/>
          <w:szCs w:val="22"/>
          <w:u w:val="single"/>
          <w:lang w:val="en-GB"/>
        </w:rPr>
        <w:t>Ferriprox 1000 mg film-coated tablets</w:t>
      </w:r>
    </w:p>
    <w:p w:rsidR="00BE7A2F" w:rsidRPr="007722A3" w:rsidRDefault="00BE7A2F" w:rsidP="007A5554">
      <w:pPr>
        <w:pStyle w:val="BodyText"/>
        <w:rPr>
          <w:bCs/>
        </w:rPr>
      </w:pPr>
      <w:r w:rsidRPr="007722A3">
        <w:rPr>
          <w:bCs/>
        </w:rPr>
        <w:t>EU/1/99/108/004</w:t>
      </w:r>
    </w:p>
    <w:p w:rsidR="00BE7A2F" w:rsidRPr="007722A3" w:rsidRDefault="00BE7A2F">
      <w:pPr>
        <w:rPr>
          <w:sz w:val="22"/>
          <w:szCs w:val="22"/>
          <w:lang w:val="en-GB"/>
        </w:rPr>
      </w:pPr>
    </w:p>
    <w:p w:rsidR="008F7FF3" w:rsidRPr="007722A3" w:rsidRDefault="008F7FF3">
      <w:pPr>
        <w:rPr>
          <w:b/>
          <w:sz w:val="22"/>
          <w:szCs w:val="22"/>
          <w:lang w:val="en-GB"/>
        </w:rPr>
      </w:pPr>
    </w:p>
    <w:p w:rsidR="008F7FF3" w:rsidRPr="007722A3" w:rsidRDefault="008F7FF3" w:rsidP="00D328FA">
      <w:pPr>
        <w:pStyle w:val="Noraml"/>
        <w:keepNext/>
        <w:outlineLvl w:val="9"/>
      </w:pPr>
      <w:r w:rsidRPr="007722A3">
        <w:t>9.</w:t>
      </w:r>
      <w:r w:rsidRPr="007722A3">
        <w:tab/>
        <w:t>DATE OF FIRST AUTHORISATION/RENEWAL OF THE AUTHORISATION</w:t>
      </w:r>
    </w:p>
    <w:p w:rsidR="008F7FF3" w:rsidRPr="007722A3" w:rsidRDefault="008F7FF3" w:rsidP="00D328FA">
      <w:pPr>
        <w:keepNext/>
        <w:rPr>
          <w:b/>
          <w:sz w:val="22"/>
          <w:szCs w:val="22"/>
          <w:lang w:val="en-GB"/>
        </w:rPr>
      </w:pPr>
    </w:p>
    <w:p w:rsidR="008F7FF3" w:rsidRPr="007722A3" w:rsidRDefault="008F7FF3">
      <w:pPr>
        <w:rPr>
          <w:sz w:val="22"/>
          <w:szCs w:val="22"/>
          <w:lang w:val="en-GB"/>
        </w:rPr>
      </w:pPr>
      <w:r w:rsidRPr="007722A3">
        <w:rPr>
          <w:sz w:val="22"/>
          <w:szCs w:val="22"/>
          <w:lang w:val="en-GB"/>
        </w:rPr>
        <w:t>Date of first authorisation: 25</w:t>
      </w:r>
      <w:r w:rsidR="009E32AD" w:rsidRPr="007722A3">
        <w:rPr>
          <w:sz w:val="22"/>
          <w:szCs w:val="22"/>
          <w:lang w:val="en-GB"/>
        </w:rPr>
        <w:t xml:space="preserve"> August </w:t>
      </w:r>
      <w:r w:rsidRPr="007722A3">
        <w:rPr>
          <w:sz w:val="22"/>
          <w:szCs w:val="22"/>
          <w:lang w:val="en-GB"/>
        </w:rPr>
        <w:t>1999</w:t>
      </w:r>
    </w:p>
    <w:p w:rsidR="008F7FF3" w:rsidRPr="007722A3" w:rsidRDefault="008F7FF3" w:rsidP="000D4B51">
      <w:pPr>
        <w:rPr>
          <w:sz w:val="22"/>
          <w:szCs w:val="22"/>
          <w:lang w:val="en-GB"/>
        </w:rPr>
      </w:pPr>
      <w:r w:rsidRPr="007722A3">
        <w:rPr>
          <w:sz w:val="22"/>
          <w:szCs w:val="22"/>
          <w:lang w:val="en-GB"/>
        </w:rPr>
        <w:t xml:space="preserve">Date of latest renewal: </w:t>
      </w:r>
      <w:r w:rsidR="00991733" w:rsidRPr="007722A3">
        <w:rPr>
          <w:sz w:val="22"/>
          <w:szCs w:val="22"/>
          <w:lang w:val="en-GB"/>
        </w:rPr>
        <w:t>2</w:t>
      </w:r>
      <w:r w:rsidR="00DF28E8">
        <w:rPr>
          <w:sz w:val="22"/>
          <w:szCs w:val="22"/>
          <w:lang w:val="en-GB"/>
        </w:rPr>
        <w:t>1</w:t>
      </w:r>
      <w:r w:rsidR="009E32AD" w:rsidRPr="007722A3">
        <w:rPr>
          <w:sz w:val="22"/>
          <w:szCs w:val="22"/>
          <w:lang w:val="en-GB"/>
        </w:rPr>
        <w:t xml:space="preserve"> </w:t>
      </w:r>
      <w:r w:rsidR="00DF28E8">
        <w:rPr>
          <w:sz w:val="22"/>
          <w:szCs w:val="22"/>
          <w:lang w:val="en-GB"/>
        </w:rPr>
        <w:t>September</w:t>
      </w:r>
      <w:r w:rsidR="009E32AD" w:rsidRPr="007722A3">
        <w:rPr>
          <w:sz w:val="22"/>
          <w:szCs w:val="22"/>
          <w:lang w:val="en-GB"/>
        </w:rPr>
        <w:t xml:space="preserve"> </w:t>
      </w:r>
      <w:r w:rsidR="00991733" w:rsidRPr="007722A3">
        <w:rPr>
          <w:sz w:val="22"/>
          <w:szCs w:val="22"/>
          <w:lang w:val="en-GB"/>
        </w:rPr>
        <w:t>2009</w:t>
      </w:r>
    </w:p>
    <w:p w:rsidR="008F7FF3" w:rsidRPr="007722A3" w:rsidRDefault="008F7FF3">
      <w:pPr>
        <w:rPr>
          <w:sz w:val="22"/>
          <w:szCs w:val="22"/>
          <w:lang w:val="en-GB"/>
        </w:rPr>
      </w:pPr>
    </w:p>
    <w:p w:rsidR="008F7FF3" w:rsidRPr="007722A3" w:rsidRDefault="008F7FF3">
      <w:pPr>
        <w:rPr>
          <w:sz w:val="22"/>
          <w:szCs w:val="22"/>
          <w:lang w:val="en-GB"/>
        </w:rPr>
      </w:pPr>
    </w:p>
    <w:p w:rsidR="008F7FF3" w:rsidRPr="007722A3" w:rsidRDefault="008F7FF3" w:rsidP="00226279">
      <w:pPr>
        <w:pStyle w:val="Noraml"/>
        <w:keepNext/>
        <w:outlineLvl w:val="9"/>
      </w:pPr>
      <w:r w:rsidRPr="007722A3">
        <w:t>10.</w:t>
      </w:r>
      <w:r w:rsidRPr="007722A3">
        <w:tab/>
        <w:t>DATE OF REVISION OF THE TEXT</w:t>
      </w:r>
    </w:p>
    <w:p w:rsidR="004C228A" w:rsidRPr="007722A3" w:rsidRDefault="004C228A" w:rsidP="00226279">
      <w:pPr>
        <w:pStyle w:val="Noraml"/>
        <w:keepNext/>
        <w:outlineLvl w:val="9"/>
        <w:rPr>
          <w:b w:val="0"/>
          <w:bCs/>
        </w:rPr>
      </w:pPr>
    </w:p>
    <w:p w:rsidR="00FB5929" w:rsidRPr="007722A3" w:rsidRDefault="00FB5929" w:rsidP="00226279">
      <w:pPr>
        <w:pStyle w:val="Noraml"/>
        <w:keepNext/>
        <w:outlineLvl w:val="9"/>
        <w:rPr>
          <w:b w:val="0"/>
          <w:bCs/>
        </w:rPr>
      </w:pPr>
    </w:p>
    <w:p w:rsidR="00FB5929" w:rsidRPr="007722A3" w:rsidRDefault="00FB5929" w:rsidP="00226279">
      <w:pPr>
        <w:pStyle w:val="Noraml"/>
        <w:keepNext/>
        <w:outlineLvl w:val="9"/>
        <w:rPr>
          <w:b w:val="0"/>
          <w:bCs/>
        </w:rPr>
      </w:pPr>
    </w:p>
    <w:p w:rsidR="00FB5929" w:rsidRPr="007722A3" w:rsidRDefault="00FB5929" w:rsidP="00226279">
      <w:pPr>
        <w:pStyle w:val="Noraml"/>
        <w:keepNext/>
        <w:outlineLvl w:val="9"/>
        <w:rPr>
          <w:b w:val="0"/>
          <w:bCs/>
        </w:rPr>
      </w:pPr>
    </w:p>
    <w:p w:rsidR="000C644B" w:rsidRPr="007722A3" w:rsidRDefault="0051053E" w:rsidP="00226279">
      <w:pPr>
        <w:pStyle w:val="Noraml"/>
        <w:keepNext/>
        <w:outlineLvl w:val="9"/>
        <w:rPr>
          <w:b w:val="0"/>
          <w:bCs/>
        </w:rPr>
      </w:pPr>
      <w:r w:rsidRPr="007722A3">
        <w:rPr>
          <w:b w:val="0"/>
          <w:bCs/>
        </w:rPr>
        <w:t xml:space="preserve">Detailed information on this </w:t>
      </w:r>
      <w:r w:rsidR="009E32AD" w:rsidRPr="007722A3">
        <w:rPr>
          <w:b w:val="0"/>
          <w:bCs/>
        </w:rPr>
        <w:t xml:space="preserve">medicinal </w:t>
      </w:r>
      <w:r w:rsidRPr="007722A3">
        <w:rPr>
          <w:b w:val="0"/>
          <w:bCs/>
        </w:rPr>
        <w:t>product is available on the website of the European Medicines Agency http://www.ema.europa.eu</w:t>
      </w:r>
      <w:r w:rsidR="002D5C59" w:rsidRPr="007722A3">
        <w:rPr>
          <w:b w:val="0"/>
          <w:bCs/>
        </w:rPr>
        <w:t>.</w:t>
      </w:r>
    </w:p>
    <w:p w:rsidR="008F7FF3" w:rsidRPr="007722A3" w:rsidRDefault="008F7FF3">
      <w:pPr>
        <w:pStyle w:val="Heading2"/>
      </w:pPr>
      <w:r w:rsidRPr="007722A3">
        <w:br w:type="page"/>
        <w:t>1.</w:t>
      </w:r>
      <w:r w:rsidRPr="007722A3">
        <w:tab/>
        <w:t>NAME OF THE MEDICINAL PRODUCT</w:t>
      </w:r>
    </w:p>
    <w:p w:rsidR="008F7FF3" w:rsidRPr="007722A3" w:rsidRDefault="008F7FF3">
      <w:pPr>
        <w:pStyle w:val="BodyText"/>
      </w:pPr>
    </w:p>
    <w:p w:rsidR="008F7FF3" w:rsidRPr="007722A3" w:rsidRDefault="008F7FF3">
      <w:pPr>
        <w:pStyle w:val="BodyText"/>
      </w:pPr>
      <w:r w:rsidRPr="007722A3">
        <w:t>Ferriprox 100 mg/ml oral solution</w:t>
      </w:r>
    </w:p>
    <w:p w:rsidR="008F7FF3" w:rsidRPr="007722A3" w:rsidRDefault="008F7FF3">
      <w:pPr>
        <w:pStyle w:val="BodyText"/>
      </w:pPr>
    </w:p>
    <w:p w:rsidR="008F7FF3" w:rsidRPr="007722A3" w:rsidRDefault="008F7FF3">
      <w:pPr>
        <w:pStyle w:val="BodyText"/>
      </w:pPr>
    </w:p>
    <w:p w:rsidR="008F7FF3" w:rsidRPr="007722A3" w:rsidRDefault="008F7FF3">
      <w:pPr>
        <w:pStyle w:val="Heading2"/>
      </w:pPr>
      <w:r w:rsidRPr="007722A3">
        <w:t>2.</w:t>
      </w:r>
      <w:r w:rsidRPr="007722A3">
        <w:tab/>
        <w:t>Qualitative and quantitative composition</w:t>
      </w:r>
    </w:p>
    <w:p w:rsidR="008F7FF3" w:rsidRPr="007722A3" w:rsidRDefault="008F7FF3">
      <w:pPr>
        <w:pStyle w:val="BodyText"/>
      </w:pPr>
    </w:p>
    <w:p w:rsidR="008F7FF3" w:rsidRPr="007722A3" w:rsidRDefault="008F7FF3">
      <w:pPr>
        <w:pStyle w:val="BodyText"/>
      </w:pPr>
      <w:r w:rsidRPr="007722A3">
        <w:t>Each ml of oral solution contains 100 mg deferiprone</w:t>
      </w:r>
      <w:r w:rsidR="00873C6E" w:rsidRPr="007722A3">
        <w:t xml:space="preserve"> (25 g deferiprone in 250 ml and 50 g deferiprone in 500 ml)</w:t>
      </w:r>
      <w:r w:rsidR="006604BA" w:rsidRPr="007722A3">
        <w:t>.</w:t>
      </w:r>
    </w:p>
    <w:p w:rsidR="008F7FF3" w:rsidRPr="007722A3" w:rsidRDefault="008F7FF3">
      <w:pPr>
        <w:pStyle w:val="BodyText"/>
      </w:pPr>
    </w:p>
    <w:p w:rsidR="008F7FF3" w:rsidRPr="007722A3" w:rsidRDefault="008F7FF3">
      <w:pPr>
        <w:pStyle w:val="BodyText"/>
      </w:pPr>
      <w:r w:rsidRPr="007722A3">
        <w:t>Excipient</w:t>
      </w:r>
      <w:r w:rsidR="002B2B91" w:rsidRPr="007722A3">
        <w:t xml:space="preserve"> with known effect</w:t>
      </w:r>
    </w:p>
    <w:p w:rsidR="008F7FF3" w:rsidRPr="007722A3" w:rsidRDefault="008F7FF3">
      <w:pPr>
        <w:pStyle w:val="BodyText"/>
      </w:pPr>
      <w:r w:rsidRPr="007722A3">
        <w:t>Each ml of oral solution contains 0.4 mg Sunset Yellow (E110).</w:t>
      </w:r>
    </w:p>
    <w:p w:rsidR="008F7FF3" w:rsidRPr="007722A3" w:rsidRDefault="008F7FF3">
      <w:pPr>
        <w:pStyle w:val="BodyText"/>
      </w:pPr>
      <w:r w:rsidRPr="007722A3">
        <w:t xml:space="preserve">For </w:t>
      </w:r>
      <w:r w:rsidR="002D5C59" w:rsidRPr="007722A3">
        <w:t>the</w:t>
      </w:r>
      <w:r w:rsidRPr="007722A3">
        <w:t xml:space="preserve"> full list of excipients, see section 6.1.</w:t>
      </w:r>
    </w:p>
    <w:p w:rsidR="008F7FF3" w:rsidRPr="007722A3" w:rsidRDefault="008F7FF3">
      <w:pPr>
        <w:pStyle w:val="BodyText"/>
        <w:rPr>
          <w:caps/>
        </w:rPr>
      </w:pPr>
    </w:p>
    <w:p w:rsidR="008F7FF3" w:rsidRPr="007722A3" w:rsidRDefault="008F7FF3">
      <w:pPr>
        <w:pStyle w:val="BodyText"/>
        <w:rPr>
          <w:caps/>
        </w:rPr>
      </w:pPr>
    </w:p>
    <w:p w:rsidR="008F7FF3" w:rsidRPr="007722A3" w:rsidRDefault="008F7FF3">
      <w:pPr>
        <w:pStyle w:val="Heading2"/>
      </w:pPr>
      <w:r w:rsidRPr="007722A3">
        <w:t>3.</w:t>
      </w:r>
      <w:r w:rsidRPr="007722A3">
        <w:tab/>
        <w:t>Pharmaceutical form</w:t>
      </w:r>
    </w:p>
    <w:p w:rsidR="008F7FF3" w:rsidRPr="007722A3" w:rsidRDefault="008F7FF3">
      <w:pPr>
        <w:pStyle w:val="BodyText"/>
      </w:pPr>
    </w:p>
    <w:p w:rsidR="008F7FF3" w:rsidRPr="007722A3" w:rsidRDefault="008F7FF3">
      <w:pPr>
        <w:pStyle w:val="BodyText"/>
      </w:pPr>
      <w:r w:rsidRPr="007722A3">
        <w:t>Oral solution.</w:t>
      </w:r>
    </w:p>
    <w:p w:rsidR="008F7FF3" w:rsidRPr="007722A3" w:rsidRDefault="008F7FF3">
      <w:pPr>
        <w:pStyle w:val="BodyText"/>
      </w:pPr>
    </w:p>
    <w:p w:rsidR="008F7FF3" w:rsidRPr="007722A3" w:rsidRDefault="008F7FF3">
      <w:pPr>
        <w:pStyle w:val="BodyText"/>
      </w:pPr>
      <w:r w:rsidRPr="007722A3">
        <w:t>Clear, reddish orange</w:t>
      </w:r>
      <w:r w:rsidR="000671EA">
        <w:t>-</w:t>
      </w:r>
      <w:r w:rsidRPr="007722A3">
        <w:t>coloured liquid.</w:t>
      </w:r>
    </w:p>
    <w:p w:rsidR="008F7FF3" w:rsidRPr="007722A3" w:rsidRDefault="008F7FF3">
      <w:pPr>
        <w:pStyle w:val="BodyText"/>
      </w:pPr>
    </w:p>
    <w:p w:rsidR="008F7FF3" w:rsidRPr="007722A3" w:rsidRDefault="008F7FF3">
      <w:pPr>
        <w:pStyle w:val="BodyText"/>
      </w:pPr>
    </w:p>
    <w:p w:rsidR="008F7FF3" w:rsidRPr="007722A3" w:rsidRDefault="008F7FF3">
      <w:pPr>
        <w:pStyle w:val="Heading2"/>
      </w:pPr>
      <w:r w:rsidRPr="007722A3">
        <w:t>4.</w:t>
      </w:r>
      <w:r w:rsidRPr="007722A3">
        <w:tab/>
        <w:t>Clinical particulars</w:t>
      </w:r>
    </w:p>
    <w:p w:rsidR="008F7FF3" w:rsidRPr="007722A3" w:rsidRDefault="008F7FF3">
      <w:pPr>
        <w:pStyle w:val="BodyText"/>
      </w:pPr>
    </w:p>
    <w:p w:rsidR="00A80C9B" w:rsidRPr="00822FD6" w:rsidRDefault="00A80C9B" w:rsidP="00A80C9B">
      <w:pPr>
        <w:tabs>
          <w:tab w:val="left" w:pos="567"/>
        </w:tabs>
        <w:rPr>
          <w:b/>
          <w:sz w:val="22"/>
          <w:szCs w:val="22"/>
          <w:lang w:val="en-GB"/>
        </w:rPr>
      </w:pPr>
      <w:r w:rsidRPr="00822FD6">
        <w:rPr>
          <w:b/>
          <w:sz w:val="22"/>
          <w:szCs w:val="22"/>
          <w:lang w:val="en-GB"/>
        </w:rPr>
        <w:t>4.1</w:t>
      </w:r>
      <w:r w:rsidRPr="00822FD6">
        <w:rPr>
          <w:b/>
          <w:sz w:val="22"/>
          <w:szCs w:val="22"/>
          <w:lang w:val="en-GB"/>
        </w:rPr>
        <w:tab/>
        <w:t>Therapeutic indications</w:t>
      </w:r>
    </w:p>
    <w:p w:rsidR="00A80C9B" w:rsidRPr="00822FD6" w:rsidRDefault="00A80C9B" w:rsidP="00A80C9B">
      <w:pPr>
        <w:rPr>
          <w:sz w:val="22"/>
          <w:szCs w:val="22"/>
          <w:lang w:val="en-GB"/>
        </w:rPr>
      </w:pPr>
    </w:p>
    <w:p w:rsidR="00A80C9B" w:rsidRDefault="00A80C9B" w:rsidP="00A80C9B">
      <w:pPr>
        <w:rPr>
          <w:sz w:val="22"/>
          <w:szCs w:val="22"/>
          <w:lang w:val="en-GB"/>
        </w:rPr>
      </w:pPr>
      <w:r w:rsidRPr="007722A3">
        <w:rPr>
          <w:sz w:val="22"/>
          <w:szCs w:val="22"/>
          <w:lang w:val="en-GB"/>
        </w:rPr>
        <w:t xml:space="preserve">Ferriprox </w:t>
      </w:r>
      <w:r>
        <w:rPr>
          <w:sz w:val="22"/>
          <w:szCs w:val="22"/>
          <w:lang w:val="en-GB"/>
        </w:rPr>
        <w:t xml:space="preserve">monotherapy </w:t>
      </w:r>
      <w:r w:rsidRPr="007722A3">
        <w:rPr>
          <w:sz w:val="22"/>
          <w:szCs w:val="22"/>
          <w:lang w:val="en-GB"/>
        </w:rPr>
        <w:t xml:space="preserve">is indicated for the treatment of iron overload in patients with thalassaemia major when </w:t>
      </w:r>
      <w:r>
        <w:rPr>
          <w:sz w:val="22"/>
          <w:szCs w:val="22"/>
          <w:lang w:val="en-GB"/>
        </w:rPr>
        <w:t>current chelation</w:t>
      </w:r>
      <w:r w:rsidRPr="007722A3">
        <w:rPr>
          <w:sz w:val="22"/>
          <w:szCs w:val="22"/>
          <w:lang w:val="en-GB"/>
        </w:rPr>
        <w:t xml:space="preserve"> therapy is contraindicated or inadequate.</w:t>
      </w:r>
    </w:p>
    <w:p w:rsidR="00A80C9B" w:rsidRDefault="00A80C9B" w:rsidP="00A80C9B">
      <w:pPr>
        <w:rPr>
          <w:sz w:val="22"/>
          <w:szCs w:val="22"/>
          <w:lang w:val="en-GB"/>
        </w:rPr>
      </w:pPr>
    </w:p>
    <w:p w:rsidR="00A80C9B" w:rsidRPr="007722A3" w:rsidRDefault="00A80C9B" w:rsidP="004730B1">
      <w:pPr>
        <w:rPr>
          <w:sz w:val="22"/>
          <w:szCs w:val="22"/>
          <w:lang w:val="en-GB"/>
        </w:rPr>
      </w:pPr>
      <w:r>
        <w:rPr>
          <w:sz w:val="22"/>
          <w:szCs w:val="22"/>
          <w:lang w:val="en-GB"/>
        </w:rPr>
        <w:t>Ferriprox</w:t>
      </w:r>
      <w:r w:rsidRPr="00006BA7">
        <w:t xml:space="preserve"> </w:t>
      </w:r>
      <w:r w:rsidRPr="00006BA7">
        <w:rPr>
          <w:sz w:val="22"/>
          <w:szCs w:val="22"/>
          <w:lang w:val="en-GB"/>
        </w:rPr>
        <w:t xml:space="preserve">in combination with another chelator </w:t>
      </w:r>
      <w:r>
        <w:rPr>
          <w:sz w:val="22"/>
          <w:szCs w:val="22"/>
          <w:lang w:val="en-GB"/>
        </w:rPr>
        <w:t xml:space="preserve">(see section 4.4) </w:t>
      </w:r>
      <w:r w:rsidRPr="00006BA7">
        <w:rPr>
          <w:sz w:val="22"/>
          <w:szCs w:val="22"/>
          <w:lang w:val="en-GB"/>
        </w:rPr>
        <w:t xml:space="preserve">is indicated in patients with thalassaemia major when monotherapy with any iron chelator is </w:t>
      </w:r>
      <w:r>
        <w:rPr>
          <w:sz w:val="22"/>
          <w:szCs w:val="22"/>
          <w:lang w:val="en-GB"/>
        </w:rPr>
        <w:t>ineff</w:t>
      </w:r>
      <w:r w:rsidR="003D1C10">
        <w:rPr>
          <w:sz w:val="22"/>
          <w:szCs w:val="22"/>
          <w:lang w:val="en-GB"/>
        </w:rPr>
        <w:t>ective</w:t>
      </w:r>
      <w:r>
        <w:rPr>
          <w:sz w:val="22"/>
          <w:szCs w:val="22"/>
          <w:lang w:val="en-GB"/>
        </w:rPr>
        <w:t>, or when prevention or treatment of life-threatening consequences of iron overload (mainly cardiac overload) justif</w:t>
      </w:r>
      <w:r w:rsidR="004730B1">
        <w:rPr>
          <w:sz w:val="22"/>
          <w:szCs w:val="22"/>
          <w:lang w:val="en-GB"/>
        </w:rPr>
        <w:t xml:space="preserve">ies </w:t>
      </w:r>
      <w:r>
        <w:rPr>
          <w:sz w:val="22"/>
          <w:szCs w:val="22"/>
          <w:lang w:val="en-GB"/>
        </w:rPr>
        <w:t>rapid or intens</w:t>
      </w:r>
      <w:r w:rsidR="003D1C10">
        <w:rPr>
          <w:sz w:val="22"/>
          <w:szCs w:val="22"/>
          <w:lang w:val="en-GB"/>
        </w:rPr>
        <w:t>iv</w:t>
      </w:r>
      <w:r>
        <w:rPr>
          <w:sz w:val="22"/>
          <w:szCs w:val="22"/>
          <w:lang w:val="en-GB"/>
        </w:rPr>
        <w:t>e correction (see section 4.2).</w:t>
      </w:r>
    </w:p>
    <w:p w:rsidR="008F7FF3" w:rsidRPr="007722A3" w:rsidRDefault="008F7FF3">
      <w:pPr>
        <w:pStyle w:val="BodyText"/>
        <w:rPr>
          <w:b/>
        </w:rPr>
      </w:pPr>
    </w:p>
    <w:p w:rsidR="008F7FF3" w:rsidRPr="007722A3" w:rsidRDefault="008F7FF3">
      <w:pPr>
        <w:pStyle w:val="Heading3"/>
      </w:pPr>
      <w:r w:rsidRPr="007722A3">
        <w:t>4.2</w:t>
      </w:r>
      <w:r w:rsidRPr="007722A3">
        <w:tab/>
        <w:t>Posology and method of administration</w:t>
      </w:r>
    </w:p>
    <w:p w:rsidR="008F7FF3" w:rsidRPr="007722A3" w:rsidRDefault="008F7FF3">
      <w:pPr>
        <w:pStyle w:val="BodyText"/>
      </w:pPr>
    </w:p>
    <w:p w:rsidR="008F7FF3" w:rsidRPr="007722A3" w:rsidRDefault="008F7FF3">
      <w:pPr>
        <w:pStyle w:val="BodyText"/>
      </w:pPr>
      <w:r w:rsidRPr="007722A3">
        <w:t>Deferiprone therapy should be initiated and maintained by a physician experienced in the treatment of patients with thalassaemia.</w:t>
      </w:r>
    </w:p>
    <w:p w:rsidR="008F7FF3" w:rsidRPr="007722A3" w:rsidRDefault="008F7FF3">
      <w:pPr>
        <w:pStyle w:val="BodyText"/>
      </w:pPr>
    </w:p>
    <w:p w:rsidR="00BE6D2A" w:rsidRPr="007722A3" w:rsidRDefault="00863C4A" w:rsidP="00BE6D2A">
      <w:pPr>
        <w:pStyle w:val="BodyText"/>
      </w:pPr>
      <w:r w:rsidRPr="007722A3">
        <w:rPr>
          <w:u w:val="single"/>
        </w:rPr>
        <w:t>Posology</w:t>
      </w:r>
    </w:p>
    <w:p w:rsidR="008F7FF3" w:rsidRPr="007722A3" w:rsidRDefault="008F7FF3">
      <w:pPr>
        <w:pStyle w:val="BodyText"/>
      </w:pPr>
      <w:r w:rsidRPr="007722A3">
        <w:t>Deferiprone is usually given as 25 mg/kg body weight, orally, three times a day for a total daily dose of 75 mg/kg body weight. Dose per kilogram body weight should be calculated to the nearest 2.5 ml. See table below for recommended doses for body weights at 10 kg increments.</w:t>
      </w:r>
    </w:p>
    <w:p w:rsidR="008F7FF3" w:rsidRPr="007722A3" w:rsidRDefault="008F7FF3">
      <w:pPr>
        <w:pStyle w:val="BodyText"/>
      </w:pPr>
    </w:p>
    <w:p w:rsidR="008F7FF3" w:rsidRPr="007722A3" w:rsidRDefault="008F7FF3" w:rsidP="0006787B">
      <w:pPr>
        <w:pStyle w:val="Heading4"/>
        <w:keepNext/>
      </w:pPr>
      <w:r w:rsidRPr="007722A3">
        <w:rPr>
          <w:b w:val="0"/>
          <w:bCs w:val="0"/>
          <w:i/>
          <w:iCs/>
        </w:rPr>
        <w:t>Dose table</w:t>
      </w:r>
    </w:p>
    <w:p w:rsidR="008F7FF3" w:rsidRPr="007722A3" w:rsidRDefault="008F7FF3" w:rsidP="0006787B">
      <w:pPr>
        <w:pStyle w:val="BodyText"/>
        <w:keepNext/>
      </w:pPr>
      <w:r w:rsidRPr="007722A3">
        <w:t>To obtain a dose of about 75 mg/kg/day, use the volume of oral solution suggested in the following table for the body weight of the patient. Sample body weights at 10 kg increments are listed.</w:t>
      </w:r>
    </w:p>
    <w:p w:rsidR="008F7FF3" w:rsidRPr="007722A3" w:rsidRDefault="008F7FF3" w:rsidP="0006787B">
      <w:pPr>
        <w:pStyle w:val="BodyText"/>
        <w:keepNext/>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9E1698">
        <w:tc>
          <w:tcPr>
            <w:tcW w:w="1800" w:type="dxa"/>
          </w:tcPr>
          <w:p w:rsidR="008F7FF3" w:rsidRPr="007722A3" w:rsidRDefault="008F7FF3" w:rsidP="0006787B">
            <w:pPr>
              <w:pStyle w:val="BodyText"/>
              <w:keepNext/>
              <w:jc w:val="center"/>
              <w:rPr>
                <w:b/>
                <w:bCs/>
              </w:rPr>
            </w:pPr>
            <w:r w:rsidRPr="007722A3">
              <w:rPr>
                <w:b/>
                <w:bCs/>
              </w:rPr>
              <w:t>Body weight</w:t>
            </w:r>
          </w:p>
          <w:p w:rsidR="008F7FF3" w:rsidRPr="007722A3" w:rsidRDefault="008F7FF3" w:rsidP="0006787B">
            <w:pPr>
              <w:pStyle w:val="BodyText"/>
              <w:keepNext/>
              <w:jc w:val="center"/>
              <w:rPr>
                <w:b/>
                <w:bCs/>
              </w:rPr>
            </w:pPr>
            <w:r w:rsidRPr="007722A3">
              <w:rPr>
                <w:b/>
                <w:bCs/>
              </w:rPr>
              <w:t>(kg)</w:t>
            </w:r>
          </w:p>
        </w:tc>
        <w:tc>
          <w:tcPr>
            <w:tcW w:w="2520" w:type="dxa"/>
          </w:tcPr>
          <w:p w:rsidR="008F7FF3" w:rsidRPr="007722A3" w:rsidRDefault="008F7FF3" w:rsidP="0006787B">
            <w:pPr>
              <w:pStyle w:val="BodyText"/>
              <w:keepNext/>
              <w:jc w:val="center"/>
              <w:rPr>
                <w:b/>
                <w:bCs/>
              </w:rPr>
            </w:pPr>
            <w:r w:rsidRPr="007722A3">
              <w:rPr>
                <w:b/>
                <w:bCs/>
              </w:rPr>
              <w:t>Total daily dose</w:t>
            </w:r>
          </w:p>
          <w:p w:rsidR="008F7FF3" w:rsidRPr="007722A3" w:rsidRDefault="008F7FF3" w:rsidP="0006787B">
            <w:pPr>
              <w:pStyle w:val="BodyText"/>
              <w:keepNext/>
              <w:jc w:val="center"/>
              <w:rPr>
                <w:b/>
                <w:bCs/>
              </w:rPr>
            </w:pPr>
            <w:r w:rsidRPr="007722A3">
              <w:rPr>
                <w:b/>
                <w:bCs/>
              </w:rPr>
              <w:t>(mg)</w:t>
            </w:r>
          </w:p>
        </w:tc>
        <w:tc>
          <w:tcPr>
            <w:tcW w:w="2520" w:type="dxa"/>
          </w:tcPr>
          <w:p w:rsidR="008F7FF3" w:rsidRPr="007722A3" w:rsidRDefault="008F7FF3" w:rsidP="0006787B">
            <w:pPr>
              <w:pStyle w:val="BodyText"/>
              <w:keepNext/>
              <w:jc w:val="center"/>
              <w:rPr>
                <w:b/>
                <w:bCs/>
              </w:rPr>
            </w:pPr>
            <w:r w:rsidRPr="007722A3">
              <w:rPr>
                <w:b/>
                <w:bCs/>
              </w:rPr>
              <w:t>Dose</w:t>
            </w:r>
          </w:p>
          <w:p w:rsidR="008F7FF3" w:rsidRPr="007722A3" w:rsidRDefault="008F7FF3" w:rsidP="0006787B">
            <w:pPr>
              <w:pStyle w:val="BodyText"/>
              <w:keepNext/>
              <w:jc w:val="center"/>
              <w:rPr>
                <w:b/>
                <w:bCs/>
              </w:rPr>
            </w:pPr>
            <w:r w:rsidRPr="007722A3">
              <w:rPr>
                <w:b/>
                <w:bCs/>
              </w:rPr>
              <w:t>(mg, three times/day)</w:t>
            </w:r>
          </w:p>
        </w:tc>
        <w:tc>
          <w:tcPr>
            <w:tcW w:w="2610" w:type="dxa"/>
          </w:tcPr>
          <w:p w:rsidR="008F7FF3" w:rsidRPr="007722A3" w:rsidRDefault="008F7FF3" w:rsidP="0006787B">
            <w:pPr>
              <w:pStyle w:val="BodyText"/>
              <w:keepNext/>
              <w:jc w:val="center"/>
              <w:rPr>
                <w:b/>
                <w:bCs/>
              </w:rPr>
            </w:pPr>
            <w:r w:rsidRPr="007722A3">
              <w:rPr>
                <w:b/>
                <w:bCs/>
              </w:rPr>
              <w:t>ml of oral solution</w:t>
            </w:r>
          </w:p>
          <w:p w:rsidR="008F7FF3" w:rsidRPr="007722A3" w:rsidRDefault="008F7FF3" w:rsidP="0006787B">
            <w:pPr>
              <w:pStyle w:val="BodyText"/>
              <w:keepNext/>
              <w:jc w:val="center"/>
              <w:rPr>
                <w:b/>
                <w:bCs/>
              </w:rPr>
            </w:pPr>
            <w:r w:rsidRPr="007722A3">
              <w:rPr>
                <w:b/>
                <w:bCs/>
              </w:rPr>
              <w:t>(three times/day)</w:t>
            </w:r>
          </w:p>
        </w:tc>
      </w:tr>
      <w:tr w:rsidR="009E1698">
        <w:tc>
          <w:tcPr>
            <w:tcW w:w="1800" w:type="dxa"/>
          </w:tcPr>
          <w:p w:rsidR="008F7FF3" w:rsidRPr="007722A3" w:rsidRDefault="008F7FF3" w:rsidP="0006787B">
            <w:pPr>
              <w:pStyle w:val="BodyText"/>
              <w:keepNext/>
              <w:jc w:val="center"/>
            </w:pPr>
            <w:r w:rsidRPr="007722A3">
              <w:t>20</w:t>
            </w:r>
          </w:p>
        </w:tc>
        <w:tc>
          <w:tcPr>
            <w:tcW w:w="2520" w:type="dxa"/>
          </w:tcPr>
          <w:p w:rsidR="008F7FF3" w:rsidRPr="007722A3" w:rsidRDefault="008F7FF3" w:rsidP="0006787B">
            <w:pPr>
              <w:pStyle w:val="BodyText"/>
              <w:keepNext/>
              <w:jc w:val="center"/>
            </w:pPr>
            <w:r w:rsidRPr="007722A3">
              <w:t>1500</w:t>
            </w:r>
          </w:p>
        </w:tc>
        <w:tc>
          <w:tcPr>
            <w:tcW w:w="2520" w:type="dxa"/>
          </w:tcPr>
          <w:p w:rsidR="008F7FF3" w:rsidRPr="007722A3" w:rsidRDefault="008F7FF3" w:rsidP="0006787B">
            <w:pPr>
              <w:pStyle w:val="BodyText"/>
              <w:keepNext/>
              <w:jc w:val="center"/>
            </w:pPr>
            <w:r w:rsidRPr="007722A3">
              <w:t>500</w:t>
            </w:r>
          </w:p>
        </w:tc>
        <w:tc>
          <w:tcPr>
            <w:tcW w:w="2610" w:type="dxa"/>
          </w:tcPr>
          <w:p w:rsidR="008F7FF3" w:rsidRPr="007722A3" w:rsidRDefault="008F7FF3" w:rsidP="0006787B">
            <w:pPr>
              <w:pStyle w:val="BodyText"/>
              <w:keepNext/>
              <w:jc w:val="center"/>
            </w:pPr>
            <w:r w:rsidRPr="007722A3">
              <w:t>5.0</w:t>
            </w:r>
          </w:p>
        </w:tc>
      </w:tr>
      <w:tr w:rsidR="009E1698">
        <w:tc>
          <w:tcPr>
            <w:tcW w:w="1800" w:type="dxa"/>
          </w:tcPr>
          <w:p w:rsidR="008F7FF3" w:rsidRPr="007722A3" w:rsidRDefault="008F7FF3" w:rsidP="0006787B">
            <w:pPr>
              <w:pStyle w:val="BodyText"/>
              <w:keepNext/>
              <w:jc w:val="center"/>
            </w:pPr>
            <w:r w:rsidRPr="007722A3">
              <w:t>30</w:t>
            </w:r>
          </w:p>
        </w:tc>
        <w:tc>
          <w:tcPr>
            <w:tcW w:w="2520" w:type="dxa"/>
          </w:tcPr>
          <w:p w:rsidR="008F7FF3" w:rsidRPr="007722A3" w:rsidRDefault="008F7FF3" w:rsidP="0006787B">
            <w:pPr>
              <w:pStyle w:val="BodyText"/>
              <w:keepNext/>
              <w:jc w:val="center"/>
            </w:pPr>
            <w:r w:rsidRPr="007722A3">
              <w:t>2250</w:t>
            </w:r>
          </w:p>
        </w:tc>
        <w:tc>
          <w:tcPr>
            <w:tcW w:w="2520" w:type="dxa"/>
          </w:tcPr>
          <w:p w:rsidR="008F7FF3" w:rsidRPr="007722A3" w:rsidRDefault="008F7FF3" w:rsidP="0006787B">
            <w:pPr>
              <w:pStyle w:val="BodyText"/>
              <w:keepNext/>
              <w:jc w:val="center"/>
            </w:pPr>
            <w:r w:rsidRPr="007722A3">
              <w:t>750</w:t>
            </w:r>
          </w:p>
        </w:tc>
        <w:tc>
          <w:tcPr>
            <w:tcW w:w="2610" w:type="dxa"/>
          </w:tcPr>
          <w:p w:rsidR="008F7FF3" w:rsidRPr="007722A3" w:rsidRDefault="008F7FF3" w:rsidP="0006787B">
            <w:pPr>
              <w:pStyle w:val="BodyText"/>
              <w:keepNext/>
              <w:jc w:val="center"/>
            </w:pPr>
            <w:r w:rsidRPr="007722A3">
              <w:t>7.5</w:t>
            </w:r>
          </w:p>
        </w:tc>
      </w:tr>
      <w:tr w:rsidR="009E1698">
        <w:tc>
          <w:tcPr>
            <w:tcW w:w="1800" w:type="dxa"/>
          </w:tcPr>
          <w:p w:rsidR="008F7FF3" w:rsidRPr="007722A3" w:rsidRDefault="008F7FF3" w:rsidP="0006787B">
            <w:pPr>
              <w:pStyle w:val="BodyText"/>
              <w:keepNext/>
              <w:jc w:val="center"/>
            </w:pPr>
            <w:r w:rsidRPr="007722A3">
              <w:t>40</w:t>
            </w:r>
          </w:p>
        </w:tc>
        <w:tc>
          <w:tcPr>
            <w:tcW w:w="2520" w:type="dxa"/>
          </w:tcPr>
          <w:p w:rsidR="008F7FF3" w:rsidRPr="007722A3" w:rsidRDefault="008F7FF3" w:rsidP="0006787B">
            <w:pPr>
              <w:pStyle w:val="BodyText"/>
              <w:keepNext/>
              <w:jc w:val="center"/>
            </w:pPr>
            <w:r w:rsidRPr="007722A3">
              <w:t>3000</w:t>
            </w:r>
          </w:p>
        </w:tc>
        <w:tc>
          <w:tcPr>
            <w:tcW w:w="2520" w:type="dxa"/>
          </w:tcPr>
          <w:p w:rsidR="008F7FF3" w:rsidRPr="007722A3" w:rsidRDefault="008F7FF3" w:rsidP="0006787B">
            <w:pPr>
              <w:pStyle w:val="BodyText"/>
              <w:keepNext/>
              <w:jc w:val="center"/>
            </w:pPr>
            <w:r w:rsidRPr="007722A3">
              <w:t>1000</w:t>
            </w:r>
          </w:p>
        </w:tc>
        <w:tc>
          <w:tcPr>
            <w:tcW w:w="2610" w:type="dxa"/>
          </w:tcPr>
          <w:p w:rsidR="008F7FF3" w:rsidRPr="007722A3" w:rsidRDefault="008F7FF3" w:rsidP="0006787B">
            <w:pPr>
              <w:pStyle w:val="BodyText"/>
              <w:keepNext/>
              <w:jc w:val="center"/>
            </w:pPr>
            <w:r w:rsidRPr="007722A3">
              <w:t>10.0</w:t>
            </w:r>
          </w:p>
        </w:tc>
      </w:tr>
      <w:tr w:rsidR="009E1698">
        <w:tc>
          <w:tcPr>
            <w:tcW w:w="1800" w:type="dxa"/>
          </w:tcPr>
          <w:p w:rsidR="008F7FF3" w:rsidRPr="007722A3" w:rsidRDefault="008F7FF3" w:rsidP="0006787B">
            <w:pPr>
              <w:pStyle w:val="BodyText"/>
              <w:keepNext/>
              <w:jc w:val="center"/>
            </w:pPr>
            <w:r w:rsidRPr="007722A3">
              <w:t>50</w:t>
            </w:r>
          </w:p>
        </w:tc>
        <w:tc>
          <w:tcPr>
            <w:tcW w:w="2520" w:type="dxa"/>
          </w:tcPr>
          <w:p w:rsidR="008F7FF3" w:rsidRPr="007722A3" w:rsidRDefault="008F7FF3" w:rsidP="0006787B">
            <w:pPr>
              <w:pStyle w:val="BodyText"/>
              <w:keepNext/>
              <w:jc w:val="center"/>
            </w:pPr>
            <w:r w:rsidRPr="007722A3">
              <w:t>3750</w:t>
            </w:r>
          </w:p>
        </w:tc>
        <w:tc>
          <w:tcPr>
            <w:tcW w:w="2520" w:type="dxa"/>
          </w:tcPr>
          <w:p w:rsidR="008F7FF3" w:rsidRPr="007722A3" w:rsidRDefault="008F7FF3" w:rsidP="0006787B">
            <w:pPr>
              <w:pStyle w:val="BodyText"/>
              <w:keepNext/>
              <w:jc w:val="center"/>
            </w:pPr>
            <w:r w:rsidRPr="007722A3">
              <w:t>1250</w:t>
            </w:r>
          </w:p>
        </w:tc>
        <w:tc>
          <w:tcPr>
            <w:tcW w:w="2610" w:type="dxa"/>
          </w:tcPr>
          <w:p w:rsidR="008F7FF3" w:rsidRPr="007722A3" w:rsidRDefault="008F7FF3" w:rsidP="0006787B">
            <w:pPr>
              <w:pStyle w:val="BodyText"/>
              <w:keepNext/>
              <w:jc w:val="center"/>
            </w:pPr>
            <w:r w:rsidRPr="007722A3">
              <w:t>12.5</w:t>
            </w:r>
          </w:p>
        </w:tc>
      </w:tr>
      <w:tr w:rsidR="009E1698">
        <w:tc>
          <w:tcPr>
            <w:tcW w:w="1800" w:type="dxa"/>
          </w:tcPr>
          <w:p w:rsidR="008F7FF3" w:rsidRPr="007722A3" w:rsidRDefault="008F7FF3" w:rsidP="0006787B">
            <w:pPr>
              <w:pStyle w:val="BodyText"/>
              <w:keepNext/>
              <w:jc w:val="center"/>
            </w:pPr>
            <w:r w:rsidRPr="007722A3">
              <w:t>60</w:t>
            </w:r>
          </w:p>
        </w:tc>
        <w:tc>
          <w:tcPr>
            <w:tcW w:w="2520" w:type="dxa"/>
          </w:tcPr>
          <w:p w:rsidR="008F7FF3" w:rsidRPr="007722A3" w:rsidRDefault="008F7FF3" w:rsidP="0006787B">
            <w:pPr>
              <w:pStyle w:val="BodyText"/>
              <w:keepNext/>
              <w:jc w:val="center"/>
            </w:pPr>
            <w:r w:rsidRPr="007722A3">
              <w:t>4500</w:t>
            </w:r>
          </w:p>
        </w:tc>
        <w:tc>
          <w:tcPr>
            <w:tcW w:w="2520" w:type="dxa"/>
          </w:tcPr>
          <w:p w:rsidR="008F7FF3" w:rsidRPr="007722A3" w:rsidRDefault="008F7FF3" w:rsidP="0006787B">
            <w:pPr>
              <w:pStyle w:val="BodyText"/>
              <w:keepNext/>
              <w:jc w:val="center"/>
            </w:pPr>
            <w:r w:rsidRPr="007722A3">
              <w:t>1500</w:t>
            </w:r>
          </w:p>
        </w:tc>
        <w:tc>
          <w:tcPr>
            <w:tcW w:w="2610" w:type="dxa"/>
          </w:tcPr>
          <w:p w:rsidR="008F7FF3" w:rsidRPr="007722A3" w:rsidRDefault="008F7FF3" w:rsidP="0006787B">
            <w:pPr>
              <w:pStyle w:val="BodyText"/>
              <w:keepNext/>
              <w:jc w:val="center"/>
            </w:pPr>
            <w:r w:rsidRPr="007722A3">
              <w:t>15.0</w:t>
            </w:r>
          </w:p>
        </w:tc>
      </w:tr>
      <w:tr w:rsidR="009E1698">
        <w:tc>
          <w:tcPr>
            <w:tcW w:w="1800" w:type="dxa"/>
          </w:tcPr>
          <w:p w:rsidR="008F7FF3" w:rsidRPr="007722A3" w:rsidRDefault="008F7FF3" w:rsidP="0006787B">
            <w:pPr>
              <w:pStyle w:val="BodyText"/>
              <w:keepNext/>
              <w:jc w:val="center"/>
            </w:pPr>
            <w:r w:rsidRPr="007722A3">
              <w:t>70</w:t>
            </w:r>
          </w:p>
        </w:tc>
        <w:tc>
          <w:tcPr>
            <w:tcW w:w="2520" w:type="dxa"/>
          </w:tcPr>
          <w:p w:rsidR="008F7FF3" w:rsidRPr="007722A3" w:rsidRDefault="008F7FF3" w:rsidP="0006787B">
            <w:pPr>
              <w:pStyle w:val="BodyText"/>
              <w:keepNext/>
              <w:jc w:val="center"/>
            </w:pPr>
            <w:r w:rsidRPr="007722A3">
              <w:t>5250</w:t>
            </w:r>
          </w:p>
        </w:tc>
        <w:tc>
          <w:tcPr>
            <w:tcW w:w="2520" w:type="dxa"/>
          </w:tcPr>
          <w:p w:rsidR="008F7FF3" w:rsidRPr="007722A3" w:rsidRDefault="008F7FF3" w:rsidP="0006787B">
            <w:pPr>
              <w:pStyle w:val="BodyText"/>
              <w:keepNext/>
              <w:jc w:val="center"/>
            </w:pPr>
            <w:r w:rsidRPr="007722A3">
              <w:t>1750</w:t>
            </w:r>
          </w:p>
        </w:tc>
        <w:tc>
          <w:tcPr>
            <w:tcW w:w="2610" w:type="dxa"/>
          </w:tcPr>
          <w:p w:rsidR="008F7FF3" w:rsidRPr="007722A3" w:rsidRDefault="008F7FF3" w:rsidP="0006787B">
            <w:pPr>
              <w:pStyle w:val="BodyText"/>
              <w:keepNext/>
              <w:jc w:val="center"/>
            </w:pPr>
            <w:r w:rsidRPr="007722A3">
              <w:t>17.5</w:t>
            </w:r>
          </w:p>
        </w:tc>
      </w:tr>
      <w:tr w:rsidR="009E1698">
        <w:tc>
          <w:tcPr>
            <w:tcW w:w="1800" w:type="dxa"/>
          </w:tcPr>
          <w:p w:rsidR="008F7FF3" w:rsidRPr="007722A3" w:rsidRDefault="008F7FF3" w:rsidP="0006787B">
            <w:pPr>
              <w:pStyle w:val="BodyText"/>
              <w:keepNext/>
              <w:jc w:val="center"/>
            </w:pPr>
            <w:r w:rsidRPr="007722A3">
              <w:t>80</w:t>
            </w:r>
          </w:p>
        </w:tc>
        <w:tc>
          <w:tcPr>
            <w:tcW w:w="2520" w:type="dxa"/>
          </w:tcPr>
          <w:p w:rsidR="008F7FF3" w:rsidRPr="007722A3" w:rsidRDefault="008F7FF3" w:rsidP="0006787B">
            <w:pPr>
              <w:pStyle w:val="BodyText"/>
              <w:keepNext/>
              <w:jc w:val="center"/>
            </w:pPr>
            <w:r w:rsidRPr="007722A3">
              <w:t>6000</w:t>
            </w:r>
          </w:p>
        </w:tc>
        <w:tc>
          <w:tcPr>
            <w:tcW w:w="2520" w:type="dxa"/>
          </w:tcPr>
          <w:p w:rsidR="008F7FF3" w:rsidRPr="007722A3" w:rsidRDefault="008F7FF3" w:rsidP="0006787B">
            <w:pPr>
              <w:pStyle w:val="BodyText"/>
              <w:keepNext/>
              <w:jc w:val="center"/>
            </w:pPr>
            <w:r w:rsidRPr="007722A3">
              <w:t>2000</w:t>
            </w:r>
          </w:p>
        </w:tc>
        <w:tc>
          <w:tcPr>
            <w:tcW w:w="2610" w:type="dxa"/>
          </w:tcPr>
          <w:p w:rsidR="008F7FF3" w:rsidRPr="007722A3" w:rsidRDefault="008F7FF3" w:rsidP="0006787B">
            <w:pPr>
              <w:pStyle w:val="BodyText"/>
              <w:keepNext/>
              <w:jc w:val="center"/>
            </w:pPr>
            <w:r w:rsidRPr="007722A3">
              <w:t>20.0</w:t>
            </w:r>
          </w:p>
        </w:tc>
      </w:tr>
      <w:tr w:rsidR="009E1698">
        <w:tc>
          <w:tcPr>
            <w:tcW w:w="1800" w:type="dxa"/>
          </w:tcPr>
          <w:p w:rsidR="008F7FF3" w:rsidRPr="007722A3" w:rsidRDefault="008F7FF3">
            <w:pPr>
              <w:pStyle w:val="BodyText"/>
              <w:jc w:val="center"/>
            </w:pPr>
            <w:r w:rsidRPr="007722A3">
              <w:t>90</w:t>
            </w:r>
          </w:p>
        </w:tc>
        <w:tc>
          <w:tcPr>
            <w:tcW w:w="2520" w:type="dxa"/>
          </w:tcPr>
          <w:p w:rsidR="008F7FF3" w:rsidRPr="007722A3" w:rsidRDefault="008F7FF3">
            <w:pPr>
              <w:pStyle w:val="BodyText"/>
              <w:jc w:val="center"/>
            </w:pPr>
            <w:r w:rsidRPr="007722A3">
              <w:t>6750</w:t>
            </w:r>
          </w:p>
        </w:tc>
        <w:tc>
          <w:tcPr>
            <w:tcW w:w="2520" w:type="dxa"/>
          </w:tcPr>
          <w:p w:rsidR="008F7FF3" w:rsidRPr="007722A3" w:rsidRDefault="008F7FF3">
            <w:pPr>
              <w:pStyle w:val="BodyText"/>
              <w:jc w:val="center"/>
            </w:pPr>
            <w:r w:rsidRPr="007722A3">
              <w:t>2250</w:t>
            </w:r>
          </w:p>
        </w:tc>
        <w:tc>
          <w:tcPr>
            <w:tcW w:w="2610" w:type="dxa"/>
          </w:tcPr>
          <w:p w:rsidR="008F7FF3" w:rsidRPr="007722A3" w:rsidRDefault="008F7FF3">
            <w:pPr>
              <w:pStyle w:val="BodyText"/>
              <w:jc w:val="center"/>
            </w:pPr>
            <w:r w:rsidRPr="007722A3">
              <w:t>22.5</w:t>
            </w:r>
          </w:p>
        </w:tc>
      </w:tr>
    </w:tbl>
    <w:p w:rsidR="00BE6D2A" w:rsidRPr="007722A3" w:rsidRDefault="00BE6D2A">
      <w:pPr>
        <w:pStyle w:val="BodyText"/>
      </w:pPr>
    </w:p>
    <w:p w:rsidR="00BE6D2A" w:rsidRPr="007722A3" w:rsidRDefault="00863C4A" w:rsidP="00BE6D2A">
      <w:pPr>
        <w:pStyle w:val="BodyText"/>
      </w:pPr>
      <w:r w:rsidRPr="007722A3">
        <w:t xml:space="preserve">A total daily dose </w:t>
      </w:r>
      <w:r w:rsidR="006604BA" w:rsidRPr="007722A3">
        <w:t>above 100 mg/kg</w:t>
      </w:r>
      <w:r w:rsidRPr="007722A3">
        <w:t xml:space="preserve"> body weight is</w:t>
      </w:r>
      <w:r w:rsidR="006604BA" w:rsidRPr="007722A3">
        <w:t xml:space="preserve"> not recommended because of the potentially increased risk of adverse reactions (see sections 4.4, 4.8, and 4.9).</w:t>
      </w:r>
    </w:p>
    <w:p w:rsidR="00BE6D2A" w:rsidRPr="007722A3" w:rsidRDefault="00BE6D2A" w:rsidP="00BE6D2A">
      <w:pPr>
        <w:pStyle w:val="BodyText"/>
      </w:pPr>
    </w:p>
    <w:p w:rsidR="00273402" w:rsidRPr="00273402" w:rsidRDefault="00273402" w:rsidP="00273402">
      <w:pPr>
        <w:pStyle w:val="BodyText"/>
        <w:keepNext/>
        <w:rPr>
          <w:i/>
        </w:rPr>
      </w:pPr>
      <w:r w:rsidRPr="00273402">
        <w:rPr>
          <w:i/>
        </w:rPr>
        <w:t>Dose adjustment</w:t>
      </w:r>
    </w:p>
    <w:p w:rsidR="006C0C7D" w:rsidRPr="007722A3" w:rsidRDefault="00C64529" w:rsidP="006C0C7D">
      <w:pPr>
        <w:pStyle w:val="BodyText"/>
      </w:pPr>
      <w:r w:rsidRPr="007722A3">
        <w:t xml:space="preserve">The effect of Ferriprox in decreasing the body iron is directly influenced by the dose and the degree of iron overload. After starting Ferriprox therapy, it is recommended that serum ferritin concentrations, or other indicators of body iron load, be monitored every two to three months to assess the long-term effectiveness of the chelation regimen in controlling the body iron load. Dose adjustments should be tailored to the individual patient’s response and therapeutic goals (maintenance or reduction of body iron burden). </w:t>
      </w:r>
      <w:r w:rsidR="006C0C7D" w:rsidRPr="007722A3">
        <w:t>Interruption of therapy with deferiprone should be considered if serum ferritin fall</w:t>
      </w:r>
      <w:r w:rsidR="00CB1265">
        <w:t>s</w:t>
      </w:r>
      <w:r w:rsidR="006C0C7D" w:rsidRPr="007722A3">
        <w:t xml:space="preserve"> below 500 </w:t>
      </w:r>
      <w:r w:rsidR="006C0C7D" w:rsidRPr="007722A3">
        <w:rPr>
          <w:rFonts w:ascii="Symbol" w:hAnsi="Symbol"/>
        </w:rPr>
        <w:sym w:font="Symbol" w:char="F06D"/>
      </w:r>
      <w:r w:rsidR="006C0C7D" w:rsidRPr="007722A3">
        <w:t>g/l.</w:t>
      </w:r>
    </w:p>
    <w:p w:rsidR="006C0C7D" w:rsidRPr="007722A3" w:rsidRDefault="006C0C7D" w:rsidP="006C438D">
      <w:pPr>
        <w:pStyle w:val="BodyText"/>
      </w:pPr>
    </w:p>
    <w:p w:rsidR="00A80C9B" w:rsidRPr="00CB1265" w:rsidRDefault="00A80C9B" w:rsidP="00A80C9B">
      <w:pPr>
        <w:pStyle w:val="BodyText"/>
        <w:keepNext/>
        <w:rPr>
          <w:i/>
        </w:rPr>
      </w:pPr>
      <w:r w:rsidRPr="00CB1265">
        <w:rPr>
          <w:i/>
        </w:rPr>
        <w:t>Dose adjustments when used with other iron chelators</w:t>
      </w:r>
    </w:p>
    <w:p w:rsidR="00A80C9B" w:rsidRPr="007A5554" w:rsidRDefault="00A80C9B" w:rsidP="00005C3A">
      <w:pPr>
        <w:pStyle w:val="BodyText"/>
      </w:pPr>
      <w:r w:rsidRPr="007A5554">
        <w:t xml:space="preserve">In patients for whom monotherapy is inadequate, Ferriprox may be </w:t>
      </w:r>
      <w:r>
        <w:t>used with deferoxamine at the standard dose (</w:t>
      </w:r>
      <w:r w:rsidRPr="007A5554">
        <w:t>75 mg/kg/day</w:t>
      </w:r>
      <w:r>
        <w:t>) but should not exceed 100 mg/kg/day.</w:t>
      </w:r>
    </w:p>
    <w:p w:rsidR="00A80C9B" w:rsidRPr="00330A5A" w:rsidRDefault="00A80C9B" w:rsidP="00A80C9B">
      <w:pPr>
        <w:pStyle w:val="BodyText"/>
      </w:pPr>
    </w:p>
    <w:p w:rsidR="00A80C9B" w:rsidRPr="00330A5A" w:rsidRDefault="00A80C9B" w:rsidP="00A80C9B">
      <w:pPr>
        <w:pStyle w:val="BodyText"/>
      </w:pPr>
      <w:r w:rsidRPr="00330A5A">
        <w:t>In the case of iron-induced heart failure, Ferriprox at 75-100 mg/kg/day should be added to deferoxamine therapy.</w:t>
      </w:r>
      <w:r>
        <w:t xml:space="preserve"> T</w:t>
      </w:r>
      <w:r w:rsidRPr="00D160B7">
        <w:t>he product information of deferoxamine should be consulted.</w:t>
      </w:r>
    </w:p>
    <w:p w:rsidR="00A80C9B" w:rsidRDefault="00A80C9B" w:rsidP="00A80C9B">
      <w:pPr>
        <w:pStyle w:val="BodyText"/>
      </w:pPr>
    </w:p>
    <w:p w:rsidR="00A80C9B" w:rsidRDefault="00A80C9B" w:rsidP="00A80C9B">
      <w:pPr>
        <w:pStyle w:val="BodyText"/>
      </w:pPr>
      <w:r w:rsidRPr="00271997">
        <w:t xml:space="preserve">Concurrent use of iron chelators is not recommended in patients </w:t>
      </w:r>
      <w:r w:rsidRPr="00EC58FE">
        <w:t xml:space="preserve">whose serum ferritin </w:t>
      </w:r>
      <w:r w:rsidRPr="00CB1265">
        <w:t>falls below 500 </w:t>
      </w:r>
      <w:r>
        <w:t>µ</w:t>
      </w:r>
      <w:r w:rsidRPr="00AF22ED">
        <w:t>g/l due to the risk of excessive iron removal.</w:t>
      </w:r>
    </w:p>
    <w:p w:rsidR="00CB1265" w:rsidRPr="00A80C9B" w:rsidRDefault="00CB1265" w:rsidP="00CB1265">
      <w:pPr>
        <w:pStyle w:val="BodyText"/>
        <w:rPr>
          <w:iCs/>
        </w:rPr>
      </w:pPr>
    </w:p>
    <w:p w:rsidR="00BE6D2A" w:rsidRPr="007722A3" w:rsidRDefault="00BE6D2A" w:rsidP="00BE6D2A">
      <w:pPr>
        <w:pStyle w:val="BodyText"/>
        <w:rPr>
          <w:i/>
          <w:iCs/>
        </w:rPr>
      </w:pPr>
      <w:r w:rsidRPr="007722A3">
        <w:rPr>
          <w:i/>
          <w:iCs/>
        </w:rPr>
        <w:t>Paediatric population</w:t>
      </w:r>
    </w:p>
    <w:p w:rsidR="008F7FF3" w:rsidRPr="007722A3" w:rsidRDefault="008F7FF3" w:rsidP="00BE6D2A">
      <w:pPr>
        <w:pStyle w:val="BodyText"/>
      </w:pPr>
      <w:r w:rsidRPr="007722A3">
        <w:t>There are limited data available on the use of deferiprone in children between 6 and 10 years of age, and no data on deferiprone use in children under 6 years of age.</w:t>
      </w:r>
    </w:p>
    <w:p w:rsidR="00BE6D2A" w:rsidRPr="007722A3" w:rsidRDefault="00BE6D2A" w:rsidP="00BE6D2A">
      <w:pPr>
        <w:pStyle w:val="BodyText"/>
      </w:pPr>
    </w:p>
    <w:p w:rsidR="00591BD3" w:rsidRDefault="00591BD3" w:rsidP="00591BD3">
      <w:pPr>
        <w:pStyle w:val="BodyText"/>
        <w:rPr>
          <w:i/>
          <w:iCs/>
        </w:rPr>
      </w:pPr>
      <w:r>
        <w:rPr>
          <w:i/>
          <w:iCs/>
        </w:rPr>
        <w:t>Renal impairment</w:t>
      </w:r>
    </w:p>
    <w:p w:rsidR="00591BD3" w:rsidRDefault="00591BD3" w:rsidP="00591BD3">
      <w:pPr>
        <w:pStyle w:val="BodyText"/>
      </w:pPr>
      <w:r>
        <w:t xml:space="preserve">Dose adjustment is not required </w:t>
      </w:r>
      <w:r w:rsidRPr="00341FDA">
        <w:t>in patients with</w:t>
      </w:r>
      <w:r>
        <w:t xml:space="preserve"> </w:t>
      </w:r>
      <w:r w:rsidRPr="00F77060">
        <w:t>mild, moderate, or severe renal impairment</w:t>
      </w:r>
      <w:r w:rsidRPr="00341FDA">
        <w:t xml:space="preserve"> </w:t>
      </w:r>
      <w:r>
        <w:t>(see section 5.2). The safety and pharmacokinetics of Ferriprox in patients with end stage renal disease are unknown.</w:t>
      </w:r>
    </w:p>
    <w:p w:rsidR="00591BD3" w:rsidRDefault="00591BD3" w:rsidP="00591BD3">
      <w:pPr>
        <w:pStyle w:val="BodyText"/>
      </w:pPr>
    </w:p>
    <w:p w:rsidR="00591BD3" w:rsidRDefault="00591BD3" w:rsidP="00591BD3">
      <w:pPr>
        <w:pStyle w:val="BodyText"/>
        <w:rPr>
          <w:i/>
          <w:iCs/>
        </w:rPr>
      </w:pPr>
      <w:r>
        <w:rPr>
          <w:i/>
          <w:iCs/>
        </w:rPr>
        <w:t>Hepatic impairment</w:t>
      </w:r>
    </w:p>
    <w:p w:rsidR="00591BD3" w:rsidRDefault="00591BD3" w:rsidP="00591BD3">
      <w:pPr>
        <w:pStyle w:val="BodyText"/>
        <w:rPr>
          <w:i/>
          <w:iCs/>
        </w:rPr>
      </w:pPr>
      <w:r>
        <w:t xml:space="preserve">Dose </w:t>
      </w:r>
      <w:r w:rsidRPr="00341FDA">
        <w:t xml:space="preserve">adjustment is </w:t>
      </w:r>
      <w:r>
        <w:t xml:space="preserve">not </w:t>
      </w:r>
      <w:r w:rsidRPr="00341FDA">
        <w:t xml:space="preserve">required in patients with </w:t>
      </w:r>
      <w:r>
        <w:t xml:space="preserve">mildly or moderately </w:t>
      </w:r>
      <w:r w:rsidRPr="00341FDA">
        <w:t xml:space="preserve">impaired </w:t>
      </w:r>
      <w:r>
        <w:t xml:space="preserve">hepatic function (see section 5.2). </w:t>
      </w:r>
      <w:r w:rsidRPr="00F85467">
        <w:t>The</w:t>
      </w:r>
      <w:r>
        <w:t xml:space="preserve"> safety and pharmacokinetics of Ferriprox in patients with severe hepatic impairment are unknown.</w:t>
      </w:r>
    </w:p>
    <w:p w:rsidR="00591BD3" w:rsidRPr="007722A3" w:rsidRDefault="00591BD3" w:rsidP="00591BD3">
      <w:pPr>
        <w:pStyle w:val="BodyText"/>
      </w:pPr>
    </w:p>
    <w:p w:rsidR="00BE6D2A" w:rsidRPr="007722A3" w:rsidRDefault="009A02E3" w:rsidP="00273402">
      <w:pPr>
        <w:pStyle w:val="BodyText"/>
        <w:keepNext/>
        <w:rPr>
          <w:u w:val="single"/>
        </w:rPr>
      </w:pPr>
      <w:r w:rsidRPr="007722A3">
        <w:rPr>
          <w:u w:val="single"/>
        </w:rPr>
        <w:t>Method of administration</w:t>
      </w:r>
    </w:p>
    <w:p w:rsidR="008F7FF3" w:rsidRPr="007722A3" w:rsidRDefault="008F7FF3">
      <w:pPr>
        <w:pStyle w:val="BodyText"/>
      </w:pPr>
      <w:r w:rsidRPr="007722A3">
        <w:t>For oral use.</w:t>
      </w:r>
    </w:p>
    <w:p w:rsidR="008F7FF3" w:rsidRPr="007722A3" w:rsidRDefault="008F7FF3">
      <w:pPr>
        <w:pStyle w:val="BodyText"/>
      </w:pPr>
    </w:p>
    <w:p w:rsidR="008F7FF3" w:rsidRPr="007722A3" w:rsidRDefault="008F7FF3" w:rsidP="00591BD3">
      <w:pPr>
        <w:pStyle w:val="Heading3"/>
        <w:keepNext/>
      </w:pPr>
      <w:r w:rsidRPr="007722A3">
        <w:t>4.3</w:t>
      </w:r>
      <w:r w:rsidRPr="007722A3">
        <w:tab/>
        <w:t>Contraindications</w:t>
      </w:r>
    </w:p>
    <w:p w:rsidR="008F7FF3" w:rsidRPr="007722A3" w:rsidRDefault="008F7FF3" w:rsidP="00591BD3">
      <w:pPr>
        <w:pStyle w:val="BodyText"/>
        <w:keepNext/>
      </w:pPr>
    </w:p>
    <w:p w:rsidR="008F7FF3" w:rsidRPr="007722A3" w:rsidRDefault="00873C6E" w:rsidP="00BE6D2A">
      <w:pPr>
        <w:pStyle w:val="BodyText"/>
        <w:ind w:left="360" w:hanging="360"/>
      </w:pPr>
      <w:r w:rsidRPr="007722A3">
        <w:t>-</w:t>
      </w:r>
      <w:r w:rsidRPr="007722A3">
        <w:tab/>
      </w:r>
      <w:r w:rsidR="008F7FF3" w:rsidRPr="007722A3">
        <w:t>Hypersensitivity to the active substance or to any of the excipients</w:t>
      </w:r>
      <w:r w:rsidR="002D5C59" w:rsidRPr="007722A3">
        <w:t xml:space="preserve"> listed in section 6.1</w:t>
      </w:r>
      <w:r w:rsidR="008F7FF3" w:rsidRPr="007722A3">
        <w:t>.</w:t>
      </w:r>
    </w:p>
    <w:p w:rsidR="008F7FF3" w:rsidRPr="007722A3" w:rsidRDefault="00873C6E" w:rsidP="00BE6D2A">
      <w:pPr>
        <w:pStyle w:val="BodyText"/>
        <w:ind w:left="360" w:hanging="360"/>
      </w:pPr>
      <w:r w:rsidRPr="007722A3">
        <w:t>-</w:t>
      </w:r>
      <w:r w:rsidRPr="007722A3">
        <w:tab/>
      </w:r>
      <w:r w:rsidR="008F7FF3" w:rsidRPr="007722A3">
        <w:t>History of recurrent episodes of neutropenia.</w:t>
      </w:r>
    </w:p>
    <w:p w:rsidR="008F7FF3" w:rsidRPr="007722A3" w:rsidRDefault="00873C6E" w:rsidP="00BE6D2A">
      <w:pPr>
        <w:pStyle w:val="BodyText"/>
        <w:ind w:left="360" w:hanging="360"/>
      </w:pPr>
      <w:r w:rsidRPr="007722A3">
        <w:t>-</w:t>
      </w:r>
      <w:r w:rsidRPr="007722A3">
        <w:tab/>
      </w:r>
      <w:r w:rsidR="008F7FF3" w:rsidRPr="007722A3">
        <w:t>History of agranulocytosis.</w:t>
      </w:r>
    </w:p>
    <w:p w:rsidR="0049257F" w:rsidRPr="007722A3" w:rsidRDefault="00873C6E" w:rsidP="00BE6D2A">
      <w:pPr>
        <w:pStyle w:val="BodyText"/>
        <w:ind w:left="360" w:hanging="360"/>
      </w:pPr>
      <w:r w:rsidRPr="007722A3">
        <w:t>-</w:t>
      </w:r>
      <w:r w:rsidRPr="007722A3">
        <w:tab/>
      </w:r>
      <w:r w:rsidR="008F7FF3" w:rsidRPr="007722A3">
        <w:t xml:space="preserve">Pregnancy </w:t>
      </w:r>
      <w:r w:rsidRPr="007722A3">
        <w:t>(see section 4.6).</w:t>
      </w:r>
    </w:p>
    <w:p w:rsidR="008F7FF3" w:rsidRPr="007722A3" w:rsidRDefault="0049257F" w:rsidP="00FB5929">
      <w:pPr>
        <w:pStyle w:val="BodyText"/>
        <w:ind w:left="360" w:hanging="360"/>
      </w:pPr>
      <w:r w:rsidRPr="007722A3">
        <w:t>-</w:t>
      </w:r>
      <w:r w:rsidRPr="007722A3">
        <w:tab/>
      </w:r>
      <w:r w:rsidR="00FB5929" w:rsidRPr="007722A3">
        <w:t>B</w:t>
      </w:r>
      <w:r w:rsidR="008F7FF3" w:rsidRPr="007722A3">
        <w:t>reast</w:t>
      </w:r>
      <w:r w:rsidR="00394D03" w:rsidRPr="007722A3">
        <w:t>-</w:t>
      </w:r>
      <w:r w:rsidR="008F7FF3" w:rsidRPr="007722A3">
        <w:t>feeding (see section 4.6).</w:t>
      </w:r>
    </w:p>
    <w:p w:rsidR="008F7FF3" w:rsidRPr="007722A3" w:rsidRDefault="00873C6E" w:rsidP="00BE6D2A">
      <w:pPr>
        <w:pStyle w:val="BodyText"/>
        <w:ind w:left="360" w:hanging="360"/>
      </w:pPr>
      <w:r w:rsidRPr="007722A3">
        <w:t>-</w:t>
      </w:r>
      <w:r w:rsidRPr="007722A3">
        <w:tab/>
      </w:r>
      <w:r w:rsidR="008F7FF3" w:rsidRPr="007722A3">
        <w:t>Due to the unknown mechanism of deferiprone</w:t>
      </w:r>
      <w:r w:rsidR="008F7FF3" w:rsidRPr="007722A3">
        <w:noBreakHyphen/>
        <w:t xml:space="preserve">induced neutropenia, patients </w:t>
      </w:r>
      <w:r w:rsidR="00F222D2" w:rsidRPr="007722A3">
        <w:t>must</w:t>
      </w:r>
      <w:r w:rsidR="00C64529" w:rsidRPr="007722A3">
        <w:t xml:space="preserve"> </w:t>
      </w:r>
      <w:r w:rsidR="008F7FF3" w:rsidRPr="007722A3">
        <w:t>not take medicinal products known to be associated with neutropenia or those that can cause agranulocytosis (see section 4.5).</w:t>
      </w:r>
    </w:p>
    <w:p w:rsidR="008F7FF3" w:rsidRPr="007722A3" w:rsidRDefault="008F7FF3">
      <w:pPr>
        <w:pStyle w:val="BodyText"/>
      </w:pPr>
    </w:p>
    <w:p w:rsidR="008F7FF3" w:rsidRPr="007722A3" w:rsidRDefault="008F7FF3" w:rsidP="00A514B2">
      <w:pPr>
        <w:pStyle w:val="Heading3"/>
        <w:keepNext/>
      </w:pPr>
      <w:r w:rsidRPr="007722A3">
        <w:t>4.4</w:t>
      </w:r>
      <w:r w:rsidRPr="007722A3">
        <w:tab/>
        <w:t>Special warnings and precautions for use</w:t>
      </w:r>
    </w:p>
    <w:p w:rsidR="008F7FF3" w:rsidRPr="007722A3" w:rsidRDefault="008F7FF3" w:rsidP="00A514B2">
      <w:pPr>
        <w:pStyle w:val="BodyText"/>
        <w:keepNext/>
      </w:pPr>
    </w:p>
    <w:p w:rsidR="00330AE8" w:rsidRPr="00A41E62" w:rsidRDefault="00330AE8" w:rsidP="00330AE8">
      <w:pPr>
        <w:pStyle w:val="Boxed"/>
        <w:keepNext/>
        <w:pBdr>
          <w:top w:val="single" w:sz="4" w:space="0" w:color="auto"/>
        </w:pBdr>
        <w:rPr>
          <w:iCs/>
          <w:u w:val="single"/>
        </w:rPr>
      </w:pPr>
      <w:r w:rsidRPr="00A41E62">
        <w:rPr>
          <w:iCs/>
          <w:u w:val="single"/>
        </w:rPr>
        <w:t>Neutropenia/Agranulocytosis</w:t>
      </w:r>
    </w:p>
    <w:p w:rsidR="00330AE8" w:rsidRPr="00A41E62" w:rsidRDefault="00330AE8" w:rsidP="00330AE8">
      <w:pPr>
        <w:pStyle w:val="Boxed"/>
        <w:pBdr>
          <w:top w:val="single" w:sz="4" w:space="0" w:color="auto"/>
        </w:pBdr>
        <w:rPr>
          <w:b/>
          <w:bCs/>
        </w:rPr>
      </w:pPr>
      <w:r w:rsidRPr="00A41E62">
        <w:rPr>
          <w:b/>
          <w:bCs/>
        </w:rPr>
        <w:t xml:space="preserve">Deferiprone has been shown to cause neutropenia, including agranulocytosis (see section 4.8 ‘Description of selected adverse reactions’). The patient’s absolute neutrophil count (ANC) should be monitored every week during the first year of therapy. For patients whose Ferriprox has not been interrupted during the first year of therapy due to any decrease in the neutrophil count, the frequency of ANC monitoring may be extended to the patient’s blood transfusion interval </w:t>
      </w:r>
      <w:r w:rsidRPr="00A41E62">
        <w:rPr>
          <w:b/>
          <w:szCs w:val="24"/>
        </w:rPr>
        <w:t>(every 2-4 weeks) after one year of deferiprone therapy</w:t>
      </w:r>
      <w:r w:rsidRPr="00A41E62">
        <w:rPr>
          <w:b/>
          <w:bCs/>
        </w:rPr>
        <w:t>.</w:t>
      </w:r>
    </w:p>
    <w:p w:rsidR="00330AE8" w:rsidRPr="00A41E62" w:rsidRDefault="00330AE8" w:rsidP="00330AE8">
      <w:pPr>
        <w:pStyle w:val="Boxed"/>
        <w:pBdr>
          <w:top w:val="single" w:sz="4" w:space="0" w:color="auto"/>
        </w:pBdr>
        <w:rPr>
          <w:b/>
          <w:bCs/>
        </w:rPr>
      </w:pPr>
    </w:p>
    <w:p w:rsidR="00330AE8" w:rsidRPr="00A41E62" w:rsidRDefault="00330AE8" w:rsidP="00330AE8">
      <w:pPr>
        <w:pStyle w:val="Boxed"/>
        <w:pBdr>
          <w:top w:val="single" w:sz="4" w:space="0" w:color="auto"/>
        </w:pBdr>
        <w:rPr>
          <w:b/>
          <w:bCs/>
        </w:rPr>
      </w:pPr>
      <w:r w:rsidRPr="00A41E62">
        <w:rPr>
          <w:szCs w:val="24"/>
        </w:rPr>
        <w:t>The change from weekly ANC monitoring to at the time of transfusion visits after 12 months of Ferriprox therapy, should be considered on an individual patient basis, according to the physician’s assessment of the patient’s understanding of the risk minimization measures required during therapy (see section 4.4 below).</w:t>
      </w:r>
    </w:p>
    <w:p w:rsidR="00330AE8" w:rsidRPr="00A41E62" w:rsidRDefault="00330AE8" w:rsidP="00330AE8">
      <w:pPr>
        <w:pStyle w:val="Boxed"/>
        <w:pBdr>
          <w:top w:val="single" w:sz="4" w:space="0" w:color="auto"/>
        </w:pBdr>
      </w:pPr>
    </w:p>
    <w:p w:rsidR="00330AE8" w:rsidRPr="00A41E62" w:rsidRDefault="00330AE8" w:rsidP="00330AE8">
      <w:pPr>
        <w:pStyle w:val="Boxed"/>
        <w:pBdr>
          <w:top w:val="single" w:sz="4" w:space="0" w:color="auto"/>
        </w:pBdr>
      </w:pPr>
      <w:r w:rsidRPr="00A41E62">
        <w:t>In clinical trials, weekly monitoring of the neutrophil count has been effective in identifying cases of neutropenia and agranulocytosis. Agranulocytosis and neutropenia usually resolve upon discontinuation of Ferriprox, but fatal cases of agranulocytosis have been reported. If the patient develops an infection while on deferiprone, therapy should be immediately interrupted, and an ANC obtained without delay. The neutrophil count should be then monitored more frequently.</w:t>
      </w:r>
    </w:p>
    <w:p w:rsidR="00330AE8" w:rsidRPr="00A41E62" w:rsidRDefault="00330AE8" w:rsidP="00330AE8">
      <w:pPr>
        <w:pStyle w:val="Boxed"/>
        <w:pBdr>
          <w:top w:val="single" w:sz="4" w:space="0" w:color="auto"/>
        </w:pBdr>
      </w:pPr>
    </w:p>
    <w:p w:rsidR="00330AE8" w:rsidRPr="00A41E62" w:rsidRDefault="00330AE8" w:rsidP="00330AE8">
      <w:pPr>
        <w:pStyle w:val="Boxed"/>
        <w:pBdr>
          <w:top w:val="single" w:sz="4" w:space="0" w:color="auto"/>
        </w:pBdr>
      </w:pPr>
      <w:r w:rsidRPr="00A41E62">
        <w:rPr>
          <w:b/>
        </w:rPr>
        <w:t>Patients should be aware to contact their physician if they experience any symptoms indicative of infection (such as fever, sore throat and flu-like symptoms). Immediately interrupt deferiprone if the patient experience infection.</w:t>
      </w:r>
    </w:p>
    <w:p w:rsidR="008F7FF3" w:rsidRPr="007722A3" w:rsidRDefault="008F7FF3">
      <w:pPr>
        <w:pStyle w:val="BodyText"/>
      </w:pPr>
    </w:p>
    <w:p w:rsidR="008F7FF3" w:rsidRPr="007722A3" w:rsidRDefault="008F7FF3">
      <w:pPr>
        <w:pStyle w:val="BodyText"/>
      </w:pPr>
      <w:r w:rsidRPr="007722A3">
        <w:t>Suggested management of cases of neutropenia is outlined below. It is recommended that such a management protocol be in place prior to initiating any patient on deferiprone treatment.</w:t>
      </w:r>
    </w:p>
    <w:p w:rsidR="008F7FF3" w:rsidRPr="007722A3" w:rsidRDefault="008F7FF3">
      <w:pPr>
        <w:pStyle w:val="BodyText"/>
      </w:pPr>
    </w:p>
    <w:p w:rsidR="008F7FF3" w:rsidRPr="007722A3" w:rsidRDefault="008F7FF3">
      <w:pPr>
        <w:pStyle w:val="BodyText"/>
        <w:rPr>
          <w:b/>
        </w:rPr>
      </w:pPr>
      <w:r w:rsidRPr="007722A3">
        <w:t>Treatment with deferiprone should not be initiated if the patient is neutropenic.</w:t>
      </w:r>
      <w:r w:rsidRPr="007722A3">
        <w:rPr>
          <w:b/>
        </w:rPr>
        <w:t xml:space="preserve"> </w:t>
      </w:r>
      <w:r w:rsidRPr="007722A3">
        <w:t>The risk of agranulocytosis and neutropenia is higher if the baseline ANC is less than 1.5x10</w:t>
      </w:r>
      <w:r w:rsidRPr="007722A3">
        <w:rPr>
          <w:vertAlign w:val="superscript"/>
        </w:rPr>
        <w:t>9</w:t>
      </w:r>
      <w:r w:rsidRPr="007722A3">
        <w:t>/l.</w:t>
      </w:r>
    </w:p>
    <w:p w:rsidR="008F7FF3" w:rsidRPr="007722A3" w:rsidRDefault="008F7FF3">
      <w:pPr>
        <w:pStyle w:val="BodyText"/>
      </w:pPr>
    </w:p>
    <w:p w:rsidR="00330AE8" w:rsidRPr="007722A3" w:rsidRDefault="00330AE8" w:rsidP="00330AE8">
      <w:pPr>
        <w:pStyle w:val="Heading4"/>
        <w:keepNext/>
        <w:rPr>
          <w:b w:val="0"/>
          <w:bCs w:val="0"/>
          <w:iCs/>
          <w:u w:val="single"/>
        </w:rPr>
      </w:pPr>
      <w:r>
        <w:rPr>
          <w:b w:val="0"/>
          <w:bCs w:val="0"/>
          <w:iCs/>
          <w:u w:val="single"/>
        </w:rPr>
        <w:t xml:space="preserve">For neutropenia </w:t>
      </w:r>
      <w:r w:rsidRPr="007722A3">
        <w:rPr>
          <w:b w:val="0"/>
          <w:bCs w:val="0"/>
          <w:iCs/>
          <w:u w:val="single"/>
        </w:rPr>
        <w:t>event</w:t>
      </w:r>
      <w:r>
        <w:rPr>
          <w:b w:val="0"/>
          <w:bCs w:val="0"/>
          <w:iCs/>
          <w:u w:val="single"/>
        </w:rPr>
        <w:t>s</w:t>
      </w:r>
      <w:r w:rsidRPr="007722A3">
        <w:rPr>
          <w:b w:val="0"/>
          <w:bCs w:val="0"/>
          <w:iCs/>
          <w:u w:val="single"/>
        </w:rPr>
        <w:t xml:space="preserve"> </w:t>
      </w:r>
      <w:r w:rsidRPr="00915089">
        <w:rPr>
          <w:b w:val="0"/>
          <w:bCs w:val="0"/>
          <w:iCs/>
          <w:u w:val="single"/>
        </w:rPr>
        <w:t>(ANC &lt; 1.5x10</w:t>
      </w:r>
      <w:r w:rsidRPr="00A7534C">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 xml:space="preserve"> and &gt; 0.5x10</w:t>
      </w:r>
      <w:r w:rsidRPr="00D40910">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w:t>
      </w:r>
      <w:r w:rsidRPr="007722A3">
        <w:rPr>
          <w:b w:val="0"/>
          <w:bCs w:val="0"/>
          <w:iCs/>
          <w:u w:val="single"/>
        </w:rPr>
        <w:t>:</w:t>
      </w:r>
    </w:p>
    <w:p w:rsidR="008F7FF3" w:rsidRPr="007722A3" w:rsidRDefault="008F7FF3">
      <w:pPr>
        <w:pStyle w:val="BodyText"/>
      </w:pPr>
      <w:r w:rsidRPr="007722A3">
        <w:t>Instruct the patient to immediately discontinue deferiprone and all other medicinal products with a potential to cause neutropenia. The patient should be advised to limit contact with other individuals in order to reduce the risk of infection. Obtain a complete blood cell (CBC) count, with a white blood cell (WBC) count, corrected for the presence of nucleated red blood cells, a neutrophil count, and a platelet count immediately upon diagnosing the event and then repeat daily. It is recommended that following recovery from neutropenia, weekly CBC, WBC, neutrophil and platelet counts continue to be obtained for three consecutive weeks, to ensure that the patient recovers fully. Should any evidence of infection develop concurrently with the neutropenia, the appropriate cultures and diagnostic procedures should be performed and an appropriate therapeutic regimen instituted.</w:t>
      </w:r>
    </w:p>
    <w:p w:rsidR="008F7FF3" w:rsidRPr="007722A3" w:rsidRDefault="008F7FF3">
      <w:pPr>
        <w:pStyle w:val="BodyText"/>
      </w:pPr>
    </w:p>
    <w:p w:rsidR="00330AE8" w:rsidRPr="007722A3" w:rsidRDefault="00330AE8" w:rsidP="00330AE8">
      <w:pPr>
        <w:pStyle w:val="Heading4"/>
        <w:keepNext/>
        <w:rPr>
          <w:b w:val="0"/>
          <w:bCs w:val="0"/>
          <w:iCs/>
          <w:u w:val="single"/>
        </w:rPr>
      </w:pPr>
      <w:r>
        <w:rPr>
          <w:b w:val="0"/>
          <w:bCs w:val="0"/>
          <w:iCs/>
          <w:u w:val="single"/>
        </w:rPr>
        <w:t xml:space="preserve">For </w:t>
      </w:r>
      <w:r w:rsidRPr="007722A3">
        <w:rPr>
          <w:b w:val="0"/>
          <w:bCs w:val="0"/>
          <w:iCs/>
          <w:u w:val="single"/>
        </w:rPr>
        <w:t>agranulocytosis</w:t>
      </w:r>
      <w:r>
        <w:rPr>
          <w:b w:val="0"/>
          <w:bCs w:val="0"/>
          <w:iCs/>
          <w:u w:val="single"/>
        </w:rPr>
        <w:t xml:space="preserve"> </w:t>
      </w:r>
      <w:r w:rsidRPr="00915089">
        <w:rPr>
          <w:b w:val="0"/>
          <w:bCs w:val="0"/>
          <w:iCs/>
          <w:u w:val="single"/>
        </w:rPr>
        <w:t>(ANC &lt; 0.5x10</w:t>
      </w:r>
      <w:r w:rsidRPr="00A7534C">
        <w:rPr>
          <w:b w:val="0"/>
          <w:bCs w:val="0"/>
          <w:iCs/>
          <w:u w:val="single"/>
          <w:vertAlign w:val="superscript"/>
        </w:rPr>
        <w:t>9</w:t>
      </w:r>
      <w:r w:rsidRPr="00915089">
        <w:rPr>
          <w:b w:val="0"/>
          <w:bCs w:val="0"/>
          <w:iCs/>
          <w:u w:val="single"/>
        </w:rPr>
        <w:t>/</w:t>
      </w:r>
      <w:r>
        <w:rPr>
          <w:b w:val="0"/>
          <w:bCs w:val="0"/>
          <w:iCs/>
          <w:u w:val="single"/>
        </w:rPr>
        <w:t>l</w:t>
      </w:r>
      <w:r w:rsidRPr="00915089">
        <w:rPr>
          <w:b w:val="0"/>
          <w:bCs w:val="0"/>
          <w:iCs/>
          <w:u w:val="single"/>
        </w:rPr>
        <w:t>)</w:t>
      </w:r>
      <w:r w:rsidRPr="007722A3">
        <w:rPr>
          <w:b w:val="0"/>
          <w:bCs w:val="0"/>
          <w:iCs/>
          <w:u w:val="single"/>
        </w:rPr>
        <w:t>:</w:t>
      </w:r>
    </w:p>
    <w:p w:rsidR="008F7FF3" w:rsidRPr="007722A3" w:rsidRDefault="008F7FF3">
      <w:pPr>
        <w:pStyle w:val="BodyText"/>
      </w:pPr>
      <w:r w:rsidRPr="007722A3">
        <w:t>Follow the guidelines above and administer appropriate therapy such as granulocyte colony stimulating factor, beginning the same day that the event is identified; administer daily until the condition resolves. Provide protective isolation and if clinically indicated, admit patient to the hospital.</w:t>
      </w:r>
    </w:p>
    <w:p w:rsidR="008F7FF3" w:rsidRPr="007722A3" w:rsidRDefault="008F7FF3">
      <w:pPr>
        <w:pStyle w:val="BodyText"/>
      </w:pPr>
    </w:p>
    <w:p w:rsidR="008F7FF3" w:rsidRPr="007722A3" w:rsidRDefault="008F7FF3">
      <w:pPr>
        <w:pStyle w:val="BodyText"/>
      </w:pPr>
      <w:r w:rsidRPr="007722A3">
        <w:t>Limited information is available regarding rechallenge. Therefore, in the event of neutropenia, rechallenge is not recommended. In the event of agranulocytosis, rechallenge is contraindicated.</w:t>
      </w:r>
    </w:p>
    <w:p w:rsidR="008F7FF3" w:rsidRPr="007722A3" w:rsidRDefault="008F7FF3">
      <w:pPr>
        <w:pStyle w:val="BodyText"/>
      </w:pPr>
    </w:p>
    <w:p w:rsidR="008F7FF3" w:rsidRPr="007722A3" w:rsidRDefault="008F7FF3">
      <w:pPr>
        <w:pStyle w:val="Heading5"/>
        <w:rPr>
          <w:iCs/>
        </w:rPr>
      </w:pPr>
      <w:r w:rsidRPr="007722A3">
        <w:rPr>
          <w:iCs/>
        </w:rPr>
        <w:t>Carcinogenicity/mutagenicity</w:t>
      </w:r>
    </w:p>
    <w:p w:rsidR="008F7FF3" w:rsidRPr="007722A3" w:rsidRDefault="008F7FF3">
      <w:pPr>
        <w:pStyle w:val="BodyText"/>
      </w:pPr>
      <w:r w:rsidRPr="007722A3">
        <w:t>In view of the genotoxicity results, a carcinogenic potential of deferiprone cannot be excluded (see section 5.3).</w:t>
      </w:r>
    </w:p>
    <w:p w:rsidR="008F7FF3" w:rsidRPr="007722A3" w:rsidRDefault="008F7FF3">
      <w:pPr>
        <w:pStyle w:val="BodyText"/>
      </w:pPr>
    </w:p>
    <w:p w:rsidR="008F7FF3" w:rsidRPr="007722A3" w:rsidRDefault="00C64529" w:rsidP="00273402">
      <w:pPr>
        <w:pStyle w:val="BodyText"/>
        <w:keepNext/>
        <w:rPr>
          <w:iCs/>
          <w:u w:val="single"/>
        </w:rPr>
      </w:pPr>
      <w:r w:rsidRPr="007722A3">
        <w:rPr>
          <w:iCs/>
          <w:u w:val="single"/>
        </w:rPr>
        <w:t>P</w:t>
      </w:r>
      <w:r w:rsidR="008F7FF3" w:rsidRPr="007722A3">
        <w:rPr>
          <w:iCs/>
          <w:u w:val="single"/>
        </w:rPr>
        <w:t>lasma Zn</w:t>
      </w:r>
      <w:r w:rsidR="008F7FF3" w:rsidRPr="007722A3">
        <w:rPr>
          <w:iCs/>
          <w:u w:val="single"/>
          <w:vertAlign w:val="superscript"/>
        </w:rPr>
        <w:t>2+</w:t>
      </w:r>
      <w:r w:rsidR="008F7FF3" w:rsidRPr="007722A3">
        <w:rPr>
          <w:iCs/>
          <w:u w:val="single"/>
        </w:rPr>
        <w:t xml:space="preserve"> concentration</w:t>
      </w:r>
    </w:p>
    <w:p w:rsidR="008F7FF3" w:rsidRPr="007722A3" w:rsidRDefault="008F7FF3">
      <w:pPr>
        <w:pStyle w:val="BodyText"/>
      </w:pPr>
      <w:r w:rsidRPr="007722A3">
        <w:t>Monitoring of plasma Zn</w:t>
      </w:r>
      <w:r w:rsidRPr="007722A3">
        <w:rPr>
          <w:vertAlign w:val="superscript"/>
        </w:rPr>
        <w:t>2+</w:t>
      </w:r>
      <w:r w:rsidRPr="007722A3">
        <w:t xml:space="preserve"> concentration, and supplementation in case of a deficiency, is recommended.</w:t>
      </w:r>
    </w:p>
    <w:p w:rsidR="008F7FF3" w:rsidRPr="007722A3" w:rsidRDefault="008F7FF3">
      <w:pPr>
        <w:pStyle w:val="BodyText"/>
      </w:pPr>
    </w:p>
    <w:p w:rsidR="00591BD3" w:rsidRPr="007722A3" w:rsidRDefault="00591BD3" w:rsidP="00591BD3">
      <w:pPr>
        <w:pStyle w:val="Heading5"/>
        <w:rPr>
          <w:iCs/>
        </w:rPr>
      </w:pPr>
      <w:r w:rsidRPr="007722A3">
        <w:rPr>
          <w:iCs/>
        </w:rPr>
        <w:t>HIV positive or other immun</w:t>
      </w:r>
      <w:r>
        <w:rPr>
          <w:iCs/>
        </w:rPr>
        <w:t>o</w:t>
      </w:r>
      <w:r w:rsidRPr="007722A3">
        <w:rPr>
          <w:iCs/>
        </w:rPr>
        <w:t>compromised patients</w:t>
      </w:r>
    </w:p>
    <w:p w:rsidR="00591BD3" w:rsidRPr="007722A3" w:rsidRDefault="00591BD3" w:rsidP="00591BD3">
      <w:pPr>
        <w:pStyle w:val="BodyText"/>
      </w:pPr>
      <w:r w:rsidRPr="007722A3">
        <w:t>No data are available on the use of deferiprone in HIV positive or in other immun</w:t>
      </w:r>
      <w:r>
        <w:t>o</w:t>
      </w:r>
      <w:r w:rsidRPr="007722A3">
        <w:t>compromised patients. Given that deferiprone can be associated with neutropenia and agranulocytosis, therapy in immun</w:t>
      </w:r>
      <w:r>
        <w:t>o</w:t>
      </w:r>
      <w:r w:rsidRPr="007722A3">
        <w:t>compromised patients should not be initiated unless potential benefits outweigh potential risks.</w:t>
      </w:r>
    </w:p>
    <w:p w:rsidR="008F7FF3" w:rsidRPr="007722A3" w:rsidRDefault="008F7FF3">
      <w:pPr>
        <w:pStyle w:val="BodyText"/>
      </w:pPr>
    </w:p>
    <w:p w:rsidR="008F7FF3" w:rsidRPr="007722A3" w:rsidRDefault="008F7FF3">
      <w:pPr>
        <w:pStyle w:val="Heading5"/>
        <w:rPr>
          <w:iCs/>
        </w:rPr>
      </w:pPr>
      <w:r w:rsidRPr="007722A3">
        <w:rPr>
          <w:iCs/>
        </w:rPr>
        <w:t>Renal or hepatic impairment and liver fibrosis</w:t>
      </w:r>
    </w:p>
    <w:p w:rsidR="00591BD3" w:rsidRPr="007722A3" w:rsidRDefault="00591BD3" w:rsidP="00591BD3">
      <w:pPr>
        <w:pStyle w:val="BodyText"/>
      </w:pPr>
      <w:r w:rsidRPr="007722A3">
        <w:t xml:space="preserve">There are no data available on the use of deferiprone in patients with </w:t>
      </w:r>
      <w:r>
        <w:t xml:space="preserve">end stage </w:t>
      </w:r>
      <w:r w:rsidRPr="007722A3">
        <w:t xml:space="preserve">renal </w:t>
      </w:r>
      <w:r>
        <w:t xml:space="preserve">disease </w:t>
      </w:r>
      <w:r w:rsidRPr="007722A3">
        <w:t xml:space="preserve">or </w:t>
      </w:r>
      <w:r>
        <w:t xml:space="preserve">severe </w:t>
      </w:r>
      <w:r w:rsidRPr="007722A3">
        <w:t>hepatic impairment</w:t>
      </w:r>
      <w:r>
        <w:t xml:space="preserve"> (see section 5.2)</w:t>
      </w:r>
      <w:r w:rsidRPr="007722A3">
        <w:t>.</w:t>
      </w:r>
      <w:r w:rsidRPr="007722A3">
        <w:rPr>
          <w:b/>
        </w:rPr>
        <w:t xml:space="preserve"> </w:t>
      </w:r>
      <w:r>
        <w:t>C</w:t>
      </w:r>
      <w:r w:rsidRPr="007722A3">
        <w:t xml:space="preserve">aution must be exercised in patients with </w:t>
      </w:r>
      <w:r>
        <w:t xml:space="preserve">end stage renal disease or severe </w:t>
      </w:r>
      <w:r w:rsidRPr="007722A3">
        <w:t>hepatic dysfunction. Renal and hepatic function should be monitored in th</w:t>
      </w:r>
      <w:r w:rsidR="00476596">
        <w:t>ese</w:t>
      </w:r>
      <w:r w:rsidRPr="007722A3">
        <w:t xml:space="preserve"> patient population</w:t>
      </w:r>
      <w:r w:rsidR="00476596">
        <w:t>s</w:t>
      </w:r>
      <w:r w:rsidRPr="007722A3">
        <w:t xml:space="preserve"> during deferiprone therapy. If there is a persistent increase in serum alanine aminotransferase (ALT), interruption of deferiprone therapy should be considered.</w:t>
      </w:r>
    </w:p>
    <w:p w:rsidR="008F7FF3" w:rsidRPr="007722A3" w:rsidRDefault="008F7FF3">
      <w:pPr>
        <w:pStyle w:val="BodyText"/>
      </w:pPr>
    </w:p>
    <w:p w:rsidR="008F7FF3" w:rsidRPr="007722A3" w:rsidRDefault="008F7FF3">
      <w:pPr>
        <w:pStyle w:val="BodyText"/>
      </w:pPr>
      <w:r w:rsidRPr="007722A3">
        <w:t>In thalassaemia patients there is an association between liver fibrosis and iron overload and/or hepatitis C. Special care must be taken to ensure that iron chelation in patients with hepatitis C is optimal. In these patients careful monitoring of liver histology is recommended.</w:t>
      </w:r>
    </w:p>
    <w:p w:rsidR="008F7FF3" w:rsidRPr="007722A3" w:rsidRDefault="008F7FF3">
      <w:pPr>
        <w:pStyle w:val="BodyText"/>
      </w:pPr>
    </w:p>
    <w:p w:rsidR="008F7FF3" w:rsidRPr="007722A3" w:rsidRDefault="008F7FF3">
      <w:pPr>
        <w:pStyle w:val="Heading5"/>
        <w:rPr>
          <w:iCs/>
        </w:rPr>
      </w:pPr>
      <w:r w:rsidRPr="007722A3">
        <w:rPr>
          <w:iCs/>
        </w:rPr>
        <w:t>Discoloration of urine</w:t>
      </w:r>
    </w:p>
    <w:p w:rsidR="008F7FF3" w:rsidRPr="007722A3" w:rsidRDefault="008F7FF3">
      <w:pPr>
        <w:pStyle w:val="BodyText"/>
      </w:pPr>
      <w:r w:rsidRPr="007722A3">
        <w:t>Patients should be informed that their urine may show a reddish/brown discoloration due to the excretion of the iron-deferiprone complex.</w:t>
      </w:r>
    </w:p>
    <w:p w:rsidR="008F7FF3" w:rsidRPr="007722A3" w:rsidRDefault="008F7FF3">
      <w:pPr>
        <w:pStyle w:val="BodyText"/>
      </w:pPr>
    </w:p>
    <w:p w:rsidR="0038335A" w:rsidRPr="007722A3" w:rsidRDefault="0038335A" w:rsidP="0038335A">
      <w:pPr>
        <w:pStyle w:val="Heading5"/>
        <w:rPr>
          <w:iCs/>
        </w:rPr>
      </w:pPr>
      <w:r>
        <w:rPr>
          <w:iCs/>
        </w:rPr>
        <w:t>N</w:t>
      </w:r>
      <w:r w:rsidRPr="007722A3">
        <w:rPr>
          <w:iCs/>
        </w:rPr>
        <w:t>eurological disorders</w:t>
      </w:r>
    </w:p>
    <w:p w:rsidR="0038335A" w:rsidRPr="00362F99" w:rsidRDefault="0038335A" w:rsidP="0038335A">
      <w:pPr>
        <w:pStyle w:val="BodyText"/>
      </w:pPr>
      <w:r w:rsidRPr="007722A3">
        <w:t xml:space="preserve">Neurological disorders have been observed in children treated with </w:t>
      </w:r>
      <w:r>
        <w:t xml:space="preserve">more than </w:t>
      </w:r>
      <w:r w:rsidRPr="007722A3">
        <w:t xml:space="preserve">2.5 times the </w:t>
      </w:r>
      <w:r>
        <w:t xml:space="preserve">maximum </w:t>
      </w:r>
      <w:r w:rsidRPr="007722A3">
        <w:t>recommended dose for several years</w:t>
      </w:r>
      <w:r>
        <w:t xml:space="preserve"> but ha</w:t>
      </w:r>
      <w:r w:rsidR="00AD5C7B">
        <w:t>ve</w:t>
      </w:r>
      <w:r>
        <w:t xml:space="preserve"> also been observed with standard doses of deferiprone</w:t>
      </w:r>
      <w:r w:rsidRPr="007722A3">
        <w:t>. Prescribers are reminded that the use of doses above 100 mg/kg/day are not recommended</w:t>
      </w:r>
      <w:r>
        <w:t xml:space="preserve">. </w:t>
      </w:r>
      <w:r w:rsidRPr="00312133">
        <w:t>Deferiprone use should be discontinued if neurological disorders are observed</w:t>
      </w:r>
      <w:r w:rsidRPr="007722A3">
        <w:t xml:space="preserve"> (see sections 4.8 and 4.9).</w:t>
      </w:r>
    </w:p>
    <w:p w:rsidR="00591576" w:rsidRPr="00362F99" w:rsidRDefault="00591576" w:rsidP="00591576">
      <w:pPr>
        <w:tabs>
          <w:tab w:val="left" w:pos="567"/>
        </w:tabs>
        <w:rPr>
          <w:sz w:val="22"/>
          <w:szCs w:val="22"/>
          <w:u w:val="single"/>
          <w:lang w:val="en-GB"/>
        </w:rPr>
      </w:pPr>
    </w:p>
    <w:p w:rsidR="00A80C9B" w:rsidRPr="00B8676A" w:rsidRDefault="00A80C9B" w:rsidP="00A80C9B">
      <w:pPr>
        <w:keepNext/>
        <w:tabs>
          <w:tab w:val="left" w:pos="567"/>
        </w:tabs>
        <w:rPr>
          <w:sz w:val="22"/>
          <w:szCs w:val="22"/>
          <w:u w:val="single"/>
          <w:lang w:val="en-GB"/>
        </w:rPr>
      </w:pPr>
      <w:r w:rsidRPr="00B8676A">
        <w:rPr>
          <w:sz w:val="22"/>
          <w:szCs w:val="22"/>
          <w:u w:val="single"/>
          <w:lang w:val="en-GB"/>
        </w:rPr>
        <w:t>Combined use with other iron chelators</w:t>
      </w:r>
    </w:p>
    <w:p w:rsidR="00696203" w:rsidRPr="00B8676A" w:rsidRDefault="00696203" w:rsidP="00591BD3">
      <w:pPr>
        <w:tabs>
          <w:tab w:val="left" w:pos="567"/>
        </w:tabs>
        <w:rPr>
          <w:sz w:val="22"/>
          <w:szCs w:val="22"/>
          <w:lang w:val="en-GB"/>
        </w:rPr>
      </w:pPr>
      <w:r w:rsidRPr="00B8676A">
        <w:rPr>
          <w:sz w:val="22"/>
          <w:szCs w:val="22"/>
        </w:rPr>
        <w:t>The use of combination therapy should be considered on a case-by-case basis. The response to therapy should be assessed periodically, and the occurrence of adverse events closely monitored</w:t>
      </w:r>
      <w:r w:rsidRPr="000E50A5">
        <w:rPr>
          <w:sz w:val="22"/>
          <w:szCs w:val="22"/>
        </w:rPr>
        <w:t>.</w:t>
      </w:r>
      <w:r>
        <w:rPr>
          <w:sz w:val="22"/>
          <w:szCs w:val="22"/>
        </w:rPr>
        <w:t xml:space="preserve"> </w:t>
      </w:r>
      <w:r w:rsidRPr="000E50A5">
        <w:rPr>
          <w:sz w:val="22"/>
          <w:szCs w:val="22"/>
        </w:rPr>
        <w:t xml:space="preserve">Fatalities and life-threatening situations (caused by agranulocytosis) have been reported with </w:t>
      </w:r>
      <w:r>
        <w:rPr>
          <w:sz w:val="22"/>
          <w:szCs w:val="22"/>
        </w:rPr>
        <w:t xml:space="preserve">deferiprone </w:t>
      </w:r>
      <w:r w:rsidRPr="000E50A5">
        <w:rPr>
          <w:sz w:val="22"/>
          <w:szCs w:val="22"/>
        </w:rPr>
        <w:t>in combination with deferoxamine.</w:t>
      </w:r>
      <w:r>
        <w:rPr>
          <w:sz w:val="22"/>
          <w:szCs w:val="22"/>
        </w:rPr>
        <w:t xml:space="preserve"> </w:t>
      </w:r>
      <w:r w:rsidRPr="00B8676A">
        <w:rPr>
          <w:sz w:val="22"/>
          <w:szCs w:val="22"/>
          <w:lang w:val="en-GB"/>
        </w:rPr>
        <w:t xml:space="preserve">Combination therapy with deferoxamine </w:t>
      </w:r>
      <w:r>
        <w:rPr>
          <w:sz w:val="22"/>
          <w:szCs w:val="22"/>
          <w:lang w:val="en-GB"/>
        </w:rPr>
        <w:t xml:space="preserve">is not recommended </w:t>
      </w:r>
      <w:r w:rsidRPr="00B8676A">
        <w:rPr>
          <w:sz w:val="22"/>
          <w:szCs w:val="22"/>
          <w:lang w:val="en-GB"/>
        </w:rPr>
        <w:t xml:space="preserve">when monotherapy with either chelator is adequate or when serum ferritin falls below </w:t>
      </w:r>
      <w:r w:rsidRPr="00B8676A">
        <w:rPr>
          <w:sz w:val="22"/>
          <w:szCs w:val="22"/>
        </w:rPr>
        <w:t>500 </w:t>
      </w:r>
      <w:r>
        <w:rPr>
          <w:sz w:val="22"/>
          <w:szCs w:val="22"/>
        </w:rPr>
        <w:t>µ</w:t>
      </w:r>
      <w:r w:rsidRPr="00B8676A">
        <w:rPr>
          <w:sz w:val="22"/>
          <w:szCs w:val="22"/>
        </w:rPr>
        <w:t>g/l</w:t>
      </w:r>
      <w:r w:rsidRPr="00B8676A">
        <w:rPr>
          <w:sz w:val="22"/>
          <w:szCs w:val="22"/>
          <w:lang w:val="en-GB"/>
        </w:rPr>
        <w:t>.</w:t>
      </w:r>
      <w:r w:rsidRPr="00B8676A">
        <w:rPr>
          <w:sz w:val="22"/>
          <w:szCs w:val="22"/>
        </w:rPr>
        <w:t xml:space="preserve"> </w:t>
      </w:r>
      <w:r w:rsidRPr="00B8676A">
        <w:rPr>
          <w:sz w:val="22"/>
          <w:szCs w:val="22"/>
          <w:lang w:val="en-GB"/>
        </w:rPr>
        <w:t>Limited data are available on the combined use of Ferriprox and deferasirox</w:t>
      </w:r>
      <w:r>
        <w:rPr>
          <w:sz w:val="22"/>
          <w:szCs w:val="22"/>
          <w:lang w:val="en-GB"/>
        </w:rPr>
        <w:t>, and caution should be applied when considering the use of such combination</w:t>
      </w:r>
      <w:r w:rsidRPr="00B8676A">
        <w:rPr>
          <w:sz w:val="22"/>
          <w:szCs w:val="22"/>
          <w:lang w:val="en-GB"/>
        </w:rPr>
        <w:t>.</w:t>
      </w:r>
    </w:p>
    <w:p w:rsidR="00273402" w:rsidRPr="00B8676A" w:rsidRDefault="00273402" w:rsidP="00273402">
      <w:pPr>
        <w:tabs>
          <w:tab w:val="left" w:pos="567"/>
        </w:tabs>
        <w:rPr>
          <w:b/>
          <w:sz w:val="22"/>
          <w:szCs w:val="22"/>
          <w:lang w:val="en-GB"/>
        </w:rPr>
      </w:pPr>
    </w:p>
    <w:p w:rsidR="008F7FF3" w:rsidRPr="007722A3" w:rsidRDefault="008F7FF3" w:rsidP="00A514B2">
      <w:pPr>
        <w:pStyle w:val="BodyText"/>
        <w:keepNext/>
        <w:rPr>
          <w:iCs/>
          <w:u w:val="single"/>
        </w:rPr>
      </w:pPr>
      <w:r w:rsidRPr="007722A3">
        <w:rPr>
          <w:iCs/>
          <w:u w:val="single"/>
        </w:rPr>
        <w:t>Excipients</w:t>
      </w:r>
    </w:p>
    <w:p w:rsidR="008F7FF3" w:rsidRPr="007722A3" w:rsidRDefault="008F7FF3">
      <w:pPr>
        <w:pStyle w:val="BodyText"/>
      </w:pPr>
      <w:r w:rsidRPr="007722A3">
        <w:t>Ferriprox oral solution contains the colouring agent Sunset Yellow (E110) which may cause allergic reactions.</w:t>
      </w:r>
    </w:p>
    <w:p w:rsidR="008F7FF3" w:rsidRPr="007722A3" w:rsidRDefault="008F7FF3">
      <w:pPr>
        <w:pStyle w:val="BodyText"/>
      </w:pPr>
    </w:p>
    <w:p w:rsidR="008F7FF3" w:rsidRPr="007722A3" w:rsidRDefault="008F7FF3" w:rsidP="00C64529">
      <w:pPr>
        <w:pStyle w:val="Heading3"/>
        <w:keepNext/>
      </w:pPr>
      <w:r w:rsidRPr="007722A3">
        <w:t>4.5</w:t>
      </w:r>
      <w:r w:rsidRPr="007722A3">
        <w:tab/>
        <w:t>Interaction with other medicinal products and other forms of interaction</w:t>
      </w:r>
    </w:p>
    <w:p w:rsidR="008F7FF3" w:rsidRPr="007722A3" w:rsidRDefault="008F7FF3" w:rsidP="00C64529">
      <w:pPr>
        <w:pStyle w:val="BodyText"/>
        <w:keepNext/>
      </w:pPr>
    </w:p>
    <w:p w:rsidR="00AE2551" w:rsidRPr="007722A3" w:rsidRDefault="008F7FF3">
      <w:pPr>
        <w:pStyle w:val="BodyText"/>
      </w:pPr>
      <w:r w:rsidRPr="007722A3">
        <w:t>Due to the unknown mechanism of deferiprone</w:t>
      </w:r>
      <w:r w:rsidR="000B7416" w:rsidRPr="007722A3">
        <w:t>-</w:t>
      </w:r>
      <w:r w:rsidRPr="007722A3">
        <w:t xml:space="preserve">induced neutropenia, patients </w:t>
      </w:r>
      <w:r w:rsidR="00F222D2" w:rsidRPr="007722A3">
        <w:t>must</w:t>
      </w:r>
      <w:r w:rsidR="00C64529" w:rsidRPr="007722A3">
        <w:t xml:space="preserve"> </w:t>
      </w:r>
      <w:r w:rsidRPr="007722A3">
        <w:t>not take medicinal products known to be associated with neutropenia or those that can cause agranulocytosis (see section 4.3).</w:t>
      </w:r>
    </w:p>
    <w:p w:rsidR="00AE2551" w:rsidRPr="007722A3" w:rsidRDefault="00AE2551">
      <w:pPr>
        <w:pStyle w:val="BodyText"/>
      </w:pPr>
    </w:p>
    <w:p w:rsidR="008F7FF3" w:rsidRPr="007722A3" w:rsidRDefault="00273402">
      <w:pPr>
        <w:pStyle w:val="BodyText"/>
      </w:pPr>
      <w:r>
        <w:t>S</w:t>
      </w:r>
      <w:r w:rsidR="008F7FF3" w:rsidRPr="007722A3">
        <w:t>ince deferiprone binds to metallic cations, the potential exists for interactions between deferiprone and trivalent cation-dependent medicinal products such as aluminium</w:t>
      </w:r>
      <w:r w:rsidR="008F7FF3" w:rsidRPr="007722A3">
        <w:noBreakHyphen/>
        <w:t>based antacids. Therefore, it is not recommended to concomitantly ingest aluminium</w:t>
      </w:r>
      <w:r w:rsidR="008F7FF3" w:rsidRPr="007722A3">
        <w:noBreakHyphen/>
        <w:t>based antacids and deferiprone.</w:t>
      </w:r>
    </w:p>
    <w:p w:rsidR="008F7FF3" w:rsidRPr="007722A3" w:rsidRDefault="008F7FF3">
      <w:pPr>
        <w:pStyle w:val="BodyText"/>
      </w:pPr>
    </w:p>
    <w:p w:rsidR="008F7FF3" w:rsidRPr="007722A3" w:rsidRDefault="008F7FF3">
      <w:pPr>
        <w:pStyle w:val="BodyText"/>
      </w:pPr>
      <w:r w:rsidRPr="007722A3">
        <w:t>The safety of concurrent use of deferiprone and vitamin C has not been formally studied. Based on the reported adverse interaction that can occur between deferoxamine and vitamin C, caution should be used when administering deferiprone and vitamin C concurrently.</w:t>
      </w:r>
    </w:p>
    <w:p w:rsidR="008F7FF3" w:rsidRPr="007722A3" w:rsidRDefault="008F7FF3">
      <w:pPr>
        <w:pStyle w:val="BodyText"/>
      </w:pPr>
    </w:p>
    <w:p w:rsidR="008F7FF3" w:rsidRPr="007722A3" w:rsidRDefault="008F7FF3" w:rsidP="00A514B2">
      <w:pPr>
        <w:pStyle w:val="BodyText"/>
        <w:keepNext/>
        <w:rPr>
          <w:b/>
        </w:rPr>
      </w:pPr>
      <w:r w:rsidRPr="007722A3">
        <w:rPr>
          <w:b/>
        </w:rPr>
        <w:t>4.6</w:t>
      </w:r>
      <w:r w:rsidRPr="007722A3">
        <w:rPr>
          <w:b/>
        </w:rPr>
        <w:tab/>
      </w:r>
      <w:r w:rsidR="008B65B1" w:rsidRPr="007722A3">
        <w:rPr>
          <w:b/>
        </w:rPr>
        <w:t>Fertility, p</w:t>
      </w:r>
      <w:r w:rsidRPr="007722A3">
        <w:rPr>
          <w:b/>
        </w:rPr>
        <w:t>regnancy and lactation</w:t>
      </w:r>
    </w:p>
    <w:p w:rsidR="008F7FF3" w:rsidRPr="007722A3" w:rsidRDefault="008F7FF3" w:rsidP="00A514B2">
      <w:pPr>
        <w:pStyle w:val="BodyText"/>
        <w:keepNext/>
      </w:pPr>
    </w:p>
    <w:p w:rsidR="008F7FF3" w:rsidRPr="007722A3" w:rsidRDefault="008F7FF3" w:rsidP="00A514B2">
      <w:pPr>
        <w:pStyle w:val="BodyText"/>
        <w:keepNext/>
        <w:rPr>
          <w:u w:val="single"/>
        </w:rPr>
      </w:pPr>
      <w:r w:rsidRPr="007722A3">
        <w:rPr>
          <w:u w:val="single"/>
        </w:rPr>
        <w:t>Pregnancy</w:t>
      </w:r>
    </w:p>
    <w:p w:rsidR="008F7FF3" w:rsidRPr="007722A3" w:rsidRDefault="008F7FF3">
      <w:pPr>
        <w:pStyle w:val="BodyText"/>
      </w:pPr>
      <w:r w:rsidRPr="007722A3">
        <w:t>There are no adequate data from the use of deferiprone in pregnant women. Studies in animals have shown reproductive toxicity (see section 5.3). The potential risk for humans is unknown.</w:t>
      </w:r>
    </w:p>
    <w:p w:rsidR="008F7FF3" w:rsidRPr="007722A3" w:rsidRDefault="008F7FF3">
      <w:pPr>
        <w:pStyle w:val="BodyText"/>
      </w:pPr>
    </w:p>
    <w:p w:rsidR="008F7FF3" w:rsidRPr="007722A3" w:rsidRDefault="008F7FF3">
      <w:pPr>
        <w:pStyle w:val="BodyText"/>
      </w:pPr>
      <w:r w:rsidRPr="007722A3">
        <w:t xml:space="preserve">Women of childbearing potential must be advised to avoid pregnancy due to the clastogenic and teratogenic properties of the medicinal product. These women should be advised to </w:t>
      </w:r>
      <w:r w:rsidR="006604BA" w:rsidRPr="007722A3">
        <w:t xml:space="preserve">take contraceptive measures and must be advised to </w:t>
      </w:r>
      <w:r w:rsidRPr="007722A3">
        <w:t>immediately stop taking deferiprone if they become pregnant or plan to become pregnant (see section 4.3).</w:t>
      </w:r>
    </w:p>
    <w:p w:rsidR="008F7FF3" w:rsidRPr="007722A3" w:rsidRDefault="008F7FF3">
      <w:pPr>
        <w:pStyle w:val="BodyText"/>
      </w:pPr>
    </w:p>
    <w:p w:rsidR="008F7FF3" w:rsidRPr="007722A3" w:rsidRDefault="00AE2551" w:rsidP="00A514B2">
      <w:pPr>
        <w:pStyle w:val="BodyText"/>
        <w:keepNext/>
        <w:rPr>
          <w:u w:val="single"/>
        </w:rPr>
      </w:pPr>
      <w:r w:rsidRPr="007722A3">
        <w:rPr>
          <w:u w:val="single"/>
        </w:rPr>
        <w:t>Breast</w:t>
      </w:r>
      <w:r w:rsidR="002D5C59" w:rsidRPr="007722A3">
        <w:rPr>
          <w:u w:val="single"/>
        </w:rPr>
        <w:t>-</w:t>
      </w:r>
      <w:r w:rsidRPr="007722A3">
        <w:rPr>
          <w:u w:val="single"/>
        </w:rPr>
        <w:t>feeding</w:t>
      </w:r>
    </w:p>
    <w:p w:rsidR="008F7FF3" w:rsidRPr="007722A3" w:rsidRDefault="008F7FF3">
      <w:pPr>
        <w:pStyle w:val="BodyText"/>
      </w:pPr>
      <w:r w:rsidRPr="007722A3">
        <w:t>It is not known whether deferiprone is excreted in human milk. No prenatal and postnatal reproductive studies have been conducted in animals. Deferiprone must not be used by breast</w:t>
      </w:r>
      <w:r w:rsidR="0049173F" w:rsidRPr="007722A3">
        <w:t>-</w:t>
      </w:r>
      <w:r w:rsidRPr="007722A3">
        <w:t>feeding mothers. If treatment is unavoidable, breast</w:t>
      </w:r>
      <w:r w:rsidR="009A02E3" w:rsidRPr="007722A3">
        <w:t>-</w:t>
      </w:r>
      <w:r w:rsidRPr="007722A3">
        <w:t>feeding must be stopped</w:t>
      </w:r>
      <w:r w:rsidR="009A02E3" w:rsidRPr="007722A3">
        <w:t xml:space="preserve"> (see section 4.3)</w:t>
      </w:r>
      <w:r w:rsidR="006604BA" w:rsidRPr="007722A3">
        <w:t>.</w:t>
      </w:r>
    </w:p>
    <w:p w:rsidR="00C64529" w:rsidRPr="007722A3" w:rsidRDefault="00C64529">
      <w:pPr>
        <w:pStyle w:val="BodyText"/>
      </w:pPr>
    </w:p>
    <w:p w:rsidR="008B65B1" w:rsidRPr="007722A3" w:rsidRDefault="008B65B1" w:rsidP="00A514B2">
      <w:pPr>
        <w:pStyle w:val="BodyText"/>
        <w:keepNext/>
        <w:rPr>
          <w:u w:val="single"/>
        </w:rPr>
      </w:pPr>
      <w:r w:rsidRPr="007722A3">
        <w:rPr>
          <w:u w:val="single"/>
        </w:rPr>
        <w:t>Fertility</w:t>
      </w:r>
    </w:p>
    <w:p w:rsidR="008B65B1" w:rsidRPr="007722A3" w:rsidRDefault="00494D50" w:rsidP="008B65B1">
      <w:pPr>
        <w:pStyle w:val="BodyText"/>
      </w:pPr>
      <w:r w:rsidRPr="007722A3">
        <w:t xml:space="preserve">No effects on fertility </w:t>
      </w:r>
      <w:r w:rsidR="003B6329" w:rsidRPr="007722A3">
        <w:t xml:space="preserve">or </w:t>
      </w:r>
      <w:r w:rsidRPr="007722A3">
        <w:t>early embryonic development were noted in animals (see section 5.3).</w:t>
      </w:r>
    </w:p>
    <w:p w:rsidR="008B65B1" w:rsidRPr="007722A3" w:rsidRDefault="008B65B1" w:rsidP="008B65B1">
      <w:pPr>
        <w:pStyle w:val="BodyText"/>
      </w:pPr>
    </w:p>
    <w:p w:rsidR="008F7FF3" w:rsidRPr="007722A3" w:rsidRDefault="008F7FF3" w:rsidP="00A514B2">
      <w:pPr>
        <w:pStyle w:val="Heading3"/>
        <w:keepNext/>
      </w:pPr>
      <w:r w:rsidRPr="007722A3">
        <w:t>4.7</w:t>
      </w:r>
      <w:r w:rsidRPr="007722A3">
        <w:tab/>
        <w:t>Effects on ability to drive and use machines</w:t>
      </w:r>
    </w:p>
    <w:p w:rsidR="008F7FF3" w:rsidRPr="007722A3" w:rsidRDefault="008F7FF3" w:rsidP="00A514B2">
      <w:pPr>
        <w:pStyle w:val="BodyText"/>
        <w:keepNext/>
      </w:pPr>
    </w:p>
    <w:p w:rsidR="008F7FF3" w:rsidRPr="007722A3" w:rsidRDefault="008F7FF3">
      <w:pPr>
        <w:pStyle w:val="BodyText"/>
      </w:pPr>
      <w:r w:rsidRPr="007722A3">
        <w:t>No</w:t>
      </w:r>
      <w:r w:rsidR="00DA2477" w:rsidRPr="007722A3">
        <w:t>t relevant</w:t>
      </w:r>
      <w:r w:rsidRPr="007722A3">
        <w:t>.</w:t>
      </w:r>
    </w:p>
    <w:p w:rsidR="008F7FF3" w:rsidRPr="007722A3" w:rsidRDefault="008F7FF3">
      <w:pPr>
        <w:pStyle w:val="BodyText"/>
      </w:pPr>
    </w:p>
    <w:p w:rsidR="008F7FF3" w:rsidRPr="007722A3" w:rsidRDefault="008F7FF3" w:rsidP="001C0186">
      <w:pPr>
        <w:pStyle w:val="Heading3"/>
        <w:keepNext/>
      </w:pPr>
      <w:r w:rsidRPr="007722A3">
        <w:t>4.8</w:t>
      </w:r>
      <w:r w:rsidRPr="007722A3">
        <w:tab/>
        <w:t>Undesirable effects</w:t>
      </w:r>
    </w:p>
    <w:p w:rsidR="001C0186" w:rsidRPr="007722A3" w:rsidRDefault="001C0186" w:rsidP="001C0186">
      <w:pPr>
        <w:pStyle w:val="BodyText"/>
        <w:keepNext/>
      </w:pPr>
    </w:p>
    <w:p w:rsidR="00051788" w:rsidRPr="007722A3" w:rsidRDefault="00051788" w:rsidP="00051788">
      <w:pPr>
        <w:pStyle w:val="BodyText"/>
        <w:rPr>
          <w:u w:val="single"/>
        </w:rPr>
      </w:pPr>
      <w:r w:rsidRPr="007722A3">
        <w:rPr>
          <w:u w:val="single"/>
        </w:rPr>
        <w:t>Summary of the safety profile</w:t>
      </w:r>
    </w:p>
    <w:p w:rsidR="001C0186" w:rsidRPr="007722A3" w:rsidRDefault="001C0186" w:rsidP="001C0186">
      <w:pPr>
        <w:pStyle w:val="BodyText"/>
      </w:pPr>
      <w:r w:rsidRPr="007722A3">
        <w:t>The most common adverse reactions reported during therapy with deferiprone in clinical trials were nausea, vomiting, abdominal pain, and chromaturia, which were reported in more than 10% of patients. The most serious adverse reaction reported in clinical trials with deferiprone was agranulocytosis, defined as an absolute neutrophil count less than 0.5 x 10</w:t>
      </w:r>
      <w:r w:rsidRPr="007722A3">
        <w:rPr>
          <w:vertAlign w:val="superscript"/>
        </w:rPr>
        <w:t>9</w:t>
      </w:r>
      <w:r w:rsidRPr="007722A3">
        <w:t>/l, which occurred in approximately 1% of patients. Less severe episodes of neutropenia were reported in approximately 5% of patients.</w:t>
      </w:r>
    </w:p>
    <w:p w:rsidR="001C0186" w:rsidRPr="007722A3" w:rsidRDefault="001C0186" w:rsidP="002F3368">
      <w:pPr>
        <w:pStyle w:val="BodyText"/>
      </w:pPr>
    </w:p>
    <w:p w:rsidR="00051788" w:rsidRPr="007722A3" w:rsidRDefault="00051788" w:rsidP="00051788">
      <w:pPr>
        <w:pStyle w:val="BodyText"/>
        <w:keepNext/>
        <w:rPr>
          <w:u w:val="single"/>
        </w:rPr>
      </w:pPr>
      <w:r w:rsidRPr="007722A3">
        <w:rPr>
          <w:u w:val="single"/>
        </w:rPr>
        <w:t>Tabulated list of adverse reactions</w:t>
      </w:r>
    </w:p>
    <w:p w:rsidR="001C0186" w:rsidRPr="007722A3" w:rsidRDefault="001C0186" w:rsidP="001C0186">
      <w:pPr>
        <w:pStyle w:val="BodyText"/>
        <w:keepNext/>
      </w:pPr>
      <w:r w:rsidRPr="007722A3">
        <w:t>Adverse reaction frequencies: Very common (≥1/10), Common (≥1/100 to &lt;1/10)</w:t>
      </w:r>
      <w:r w:rsidR="00B547AF" w:rsidRPr="007722A3">
        <w:t xml:space="preserve">, </w:t>
      </w:r>
      <w:r w:rsidR="004C784C">
        <w:t>n</w:t>
      </w:r>
      <w:r w:rsidR="004C784C" w:rsidRPr="008754E4">
        <w:t>ot known (cannot be estimated from the available data)</w:t>
      </w:r>
      <w:r w:rsidRPr="007722A3">
        <w:t>.</w:t>
      </w:r>
    </w:p>
    <w:p w:rsidR="001C0186" w:rsidRPr="007722A3" w:rsidRDefault="001C0186" w:rsidP="001C0186">
      <w:pPr>
        <w:keepNext/>
        <w:tabs>
          <w:tab w:val="left" w:pos="567"/>
        </w:tabs>
        <w:rPr>
          <w:noProof/>
          <w:sz w:val="22"/>
          <w:szCs w:val="22"/>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828"/>
        <w:gridCol w:w="2135"/>
        <w:gridCol w:w="2135"/>
        <w:gridCol w:w="2135"/>
      </w:tblGrid>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A319D7" w:rsidRPr="007722A3" w:rsidRDefault="00A319D7" w:rsidP="008B42AB">
            <w:pPr>
              <w:keepNext/>
              <w:adjustRightInd w:val="0"/>
              <w:rPr>
                <w:b/>
                <w:noProof/>
                <w:sz w:val="22"/>
                <w:szCs w:val="22"/>
                <w:lang w:val="en-GB"/>
              </w:rPr>
            </w:pPr>
            <w:r w:rsidRPr="007722A3">
              <w:rPr>
                <w:b/>
                <w:noProof/>
                <w:sz w:val="22"/>
                <w:szCs w:val="22"/>
                <w:lang w:val="en-GB"/>
              </w:rPr>
              <w:t>SYSTEM ORGAN CLASS</w:t>
            </w:r>
          </w:p>
        </w:tc>
        <w:tc>
          <w:tcPr>
            <w:tcW w:w="1156" w:type="pct"/>
            <w:tcBorders>
              <w:top w:val="single" w:sz="4" w:space="0" w:color="auto"/>
              <w:left w:val="single" w:sz="4" w:space="0" w:color="auto"/>
              <w:bottom w:val="single" w:sz="4" w:space="0" w:color="auto"/>
              <w:right w:val="single" w:sz="4" w:space="0" w:color="auto"/>
            </w:tcBorders>
          </w:tcPr>
          <w:p w:rsidR="00004B00" w:rsidRPr="007722A3" w:rsidRDefault="00A319D7" w:rsidP="008B42AB">
            <w:pPr>
              <w:keepNext/>
              <w:adjustRightInd w:val="0"/>
              <w:rPr>
                <w:b/>
                <w:noProof/>
                <w:sz w:val="22"/>
                <w:szCs w:val="22"/>
                <w:lang w:val="en-GB"/>
              </w:rPr>
            </w:pPr>
            <w:r w:rsidRPr="007722A3">
              <w:rPr>
                <w:b/>
                <w:noProof/>
                <w:sz w:val="22"/>
                <w:szCs w:val="22"/>
                <w:lang w:val="en-GB"/>
              </w:rPr>
              <w:t xml:space="preserve">VERY </w:t>
            </w:r>
            <w:r w:rsidR="00004B00" w:rsidRPr="007722A3">
              <w:rPr>
                <w:b/>
                <w:noProof/>
                <w:sz w:val="22"/>
                <w:szCs w:val="22"/>
                <w:lang w:val="en-GB"/>
              </w:rPr>
              <w:t>COMMON</w:t>
            </w:r>
          </w:p>
          <w:p w:rsidR="00A319D7" w:rsidRPr="007722A3" w:rsidRDefault="00A319D7" w:rsidP="008B42AB">
            <w:pPr>
              <w:keepNext/>
              <w:adjustRightInd w:val="0"/>
              <w:rPr>
                <w:b/>
                <w:noProof/>
                <w:sz w:val="22"/>
                <w:szCs w:val="22"/>
                <w:lang w:val="en-GB"/>
              </w:rPr>
            </w:pPr>
            <w:r w:rsidRPr="007722A3">
              <w:rPr>
                <w:b/>
                <w:noProof/>
                <w:sz w:val="22"/>
                <w:szCs w:val="22"/>
                <w:lang w:val="en-GB"/>
              </w:rPr>
              <w:t>(≥1/10)</w:t>
            </w:r>
          </w:p>
        </w:tc>
        <w:tc>
          <w:tcPr>
            <w:tcW w:w="1156" w:type="pct"/>
            <w:tcBorders>
              <w:top w:val="single" w:sz="4" w:space="0" w:color="auto"/>
              <w:left w:val="single" w:sz="4" w:space="0" w:color="auto"/>
              <w:bottom w:val="single" w:sz="4" w:space="0" w:color="auto"/>
              <w:right w:val="single" w:sz="4" w:space="0" w:color="auto"/>
            </w:tcBorders>
          </w:tcPr>
          <w:p w:rsidR="00004B00" w:rsidRPr="007722A3" w:rsidRDefault="00A319D7" w:rsidP="008B42AB">
            <w:pPr>
              <w:keepNext/>
              <w:adjustRightInd w:val="0"/>
              <w:rPr>
                <w:b/>
                <w:noProof/>
                <w:sz w:val="22"/>
                <w:szCs w:val="22"/>
                <w:lang w:val="en-GB"/>
              </w:rPr>
            </w:pPr>
            <w:r w:rsidRPr="007722A3">
              <w:rPr>
                <w:b/>
                <w:noProof/>
                <w:sz w:val="22"/>
                <w:szCs w:val="22"/>
                <w:lang w:val="en-GB"/>
              </w:rPr>
              <w:t>COMMON</w:t>
            </w:r>
          </w:p>
          <w:p w:rsidR="00A319D7" w:rsidRPr="007722A3" w:rsidRDefault="00A319D7" w:rsidP="008B42AB">
            <w:pPr>
              <w:keepNext/>
              <w:adjustRightInd w:val="0"/>
              <w:rPr>
                <w:b/>
                <w:noProof/>
                <w:sz w:val="22"/>
                <w:szCs w:val="22"/>
                <w:lang w:val="en-GB"/>
              </w:rPr>
            </w:pPr>
            <w:r w:rsidRPr="007722A3">
              <w:rPr>
                <w:b/>
                <w:noProof/>
                <w:sz w:val="22"/>
                <w:szCs w:val="22"/>
                <w:lang w:val="en-GB"/>
              </w:rPr>
              <w:t>(≥1/100 to &lt;1/10)</w:t>
            </w:r>
          </w:p>
        </w:tc>
        <w:tc>
          <w:tcPr>
            <w:tcW w:w="1156" w:type="pct"/>
            <w:tcBorders>
              <w:top w:val="single" w:sz="4" w:space="0" w:color="auto"/>
              <w:left w:val="single" w:sz="4" w:space="0" w:color="auto"/>
              <w:bottom w:val="single" w:sz="4" w:space="0" w:color="auto"/>
              <w:right w:val="single" w:sz="4" w:space="0" w:color="auto"/>
            </w:tcBorders>
          </w:tcPr>
          <w:p w:rsidR="00A319D7" w:rsidRPr="007722A3" w:rsidRDefault="004C784C" w:rsidP="00004B00">
            <w:pPr>
              <w:keepNext/>
              <w:adjustRightInd w:val="0"/>
              <w:rPr>
                <w:b/>
                <w:noProof/>
                <w:sz w:val="22"/>
                <w:szCs w:val="22"/>
                <w:lang w:val="en-GB"/>
              </w:rPr>
            </w:pPr>
            <w:r>
              <w:rPr>
                <w:b/>
                <w:noProof/>
                <w:sz w:val="22"/>
                <w:szCs w:val="22"/>
                <w:lang w:val="en-GB"/>
              </w:rPr>
              <w:t>FREQUENCY NOT KNOWN</w:t>
            </w: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A319D7" w:rsidRPr="007722A3" w:rsidRDefault="00A319D7" w:rsidP="008B42AB">
            <w:pPr>
              <w:keepNext/>
              <w:adjustRightInd w:val="0"/>
              <w:rPr>
                <w:bCs/>
                <w:noProof/>
                <w:sz w:val="22"/>
                <w:szCs w:val="22"/>
                <w:lang w:val="en-GB"/>
              </w:rPr>
            </w:pPr>
            <w:r w:rsidRPr="007722A3">
              <w:rPr>
                <w:bCs/>
                <w:noProof/>
                <w:sz w:val="22"/>
                <w:szCs w:val="22"/>
                <w:lang w:val="en-GB"/>
              </w:rPr>
              <w:t>Blood and lymphatic system disorders</w:t>
            </w:r>
          </w:p>
        </w:tc>
        <w:tc>
          <w:tcPr>
            <w:tcW w:w="1156" w:type="pct"/>
            <w:tcBorders>
              <w:top w:val="single" w:sz="4" w:space="0" w:color="auto"/>
              <w:left w:val="single" w:sz="4" w:space="0" w:color="auto"/>
              <w:bottom w:val="single" w:sz="4" w:space="0" w:color="auto"/>
              <w:right w:val="single" w:sz="4" w:space="0" w:color="auto"/>
            </w:tcBorders>
          </w:tcPr>
          <w:p w:rsidR="00A319D7" w:rsidRPr="007722A3" w:rsidRDefault="00A319D7"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A319D7" w:rsidRPr="007722A3" w:rsidRDefault="00A319D7" w:rsidP="008B42AB">
            <w:pPr>
              <w:keepNext/>
              <w:adjustRightInd w:val="0"/>
              <w:rPr>
                <w:bCs/>
                <w:noProof/>
                <w:sz w:val="22"/>
                <w:szCs w:val="22"/>
                <w:lang w:val="en-GB"/>
              </w:rPr>
            </w:pPr>
            <w:r w:rsidRPr="007722A3">
              <w:rPr>
                <w:bCs/>
                <w:noProof/>
                <w:sz w:val="22"/>
                <w:szCs w:val="22"/>
                <w:lang w:val="en-GB"/>
              </w:rPr>
              <w:t>Neutropenia</w:t>
            </w:r>
          </w:p>
          <w:p w:rsidR="00A319D7" w:rsidRPr="007722A3" w:rsidRDefault="00A319D7" w:rsidP="008B42AB">
            <w:pPr>
              <w:keepNext/>
              <w:adjustRightInd w:val="0"/>
              <w:rPr>
                <w:bCs/>
                <w:noProof/>
                <w:sz w:val="22"/>
                <w:szCs w:val="22"/>
                <w:lang w:val="en-GB"/>
              </w:rPr>
            </w:pPr>
            <w:r w:rsidRPr="007722A3">
              <w:rPr>
                <w:bCs/>
                <w:noProof/>
                <w:sz w:val="22"/>
                <w:szCs w:val="22"/>
                <w:lang w:val="en-GB"/>
              </w:rPr>
              <w:t>Agranulocytosis</w:t>
            </w:r>
          </w:p>
        </w:tc>
        <w:tc>
          <w:tcPr>
            <w:tcW w:w="1156" w:type="pct"/>
            <w:tcBorders>
              <w:top w:val="single" w:sz="4" w:space="0" w:color="auto"/>
              <w:left w:val="single" w:sz="4" w:space="0" w:color="auto"/>
              <w:bottom w:val="single" w:sz="4" w:space="0" w:color="auto"/>
              <w:right w:val="single" w:sz="4" w:space="0" w:color="auto"/>
            </w:tcBorders>
          </w:tcPr>
          <w:p w:rsidR="00A319D7" w:rsidRPr="007722A3" w:rsidRDefault="00A319D7"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noProof/>
                <w:sz w:val="22"/>
                <w:szCs w:val="22"/>
                <w:lang w:val="en-GB"/>
              </w:rPr>
              <w:t>Immune system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noProof/>
                <w:sz w:val="22"/>
                <w:szCs w:val="22"/>
                <w:lang w:val="en-GB"/>
              </w:rPr>
              <w:t>Hypersensitivity reactions</w:t>
            </w: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Metabolism and nutrition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Increased Appetite</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Nervous system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Headache</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Gastrointestinal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Nausea</w:t>
            </w:r>
          </w:p>
          <w:p w:rsidR="004C784C" w:rsidRPr="007722A3" w:rsidRDefault="004C784C" w:rsidP="008B42AB">
            <w:pPr>
              <w:keepNext/>
              <w:adjustRightInd w:val="0"/>
              <w:rPr>
                <w:bCs/>
                <w:noProof/>
                <w:sz w:val="22"/>
                <w:szCs w:val="22"/>
                <w:lang w:val="en-GB"/>
              </w:rPr>
            </w:pPr>
            <w:r w:rsidRPr="007722A3">
              <w:rPr>
                <w:bCs/>
                <w:noProof/>
                <w:sz w:val="22"/>
                <w:szCs w:val="22"/>
                <w:lang w:val="en-GB"/>
              </w:rPr>
              <w:t>Abdominal Pain</w:t>
            </w:r>
          </w:p>
          <w:p w:rsidR="004C784C" w:rsidRPr="007722A3" w:rsidRDefault="004C784C" w:rsidP="008B42AB">
            <w:pPr>
              <w:keepNext/>
              <w:adjustRightInd w:val="0"/>
              <w:rPr>
                <w:bCs/>
                <w:noProof/>
                <w:sz w:val="22"/>
                <w:szCs w:val="22"/>
                <w:lang w:val="en-GB"/>
              </w:rPr>
            </w:pPr>
            <w:r w:rsidRPr="007722A3">
              <w:rPr>
                <w:bCs/>
                <w:noProof/>
                <w:sz w:val="22"/>
                <w:szCs w:val="22"/>
                <w:lang w:val="en-GB"/>
              </w:rPr>
              <w:t>Vomiting</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Diarrhoea</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noProof/>
                <w:sz w:val="22"/>
                <w:szCs w:val="22"/>
                <w:lang w:val="en-GB"/>
              </w:rPr>
              <w:t>Skin and subcutaneous tissue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A319D7">
            <w:pPr>
              <w:keepNext/>
              <w:adjustRightInd w:val="0"/>
              <w:rPr>
                <w:noProof/>
                <w:sz w:val="22"/>
                <w:szCs w:val="22"/>
                <w:lang w:val="en-GB"/>
              </w:rPr>
            </w:pPr>
            <w:r w:rsidRPr="007722A3">
              <w:rPr>
                <w:noProof/>
                <w:sz w:val="22"/>
                <w:szCs w:val="22"/>
                <w:lang w:val="en-GB"/>
              </w:rPr>
              <w:t>Rash</w:t>
            </w:r>
          </w:p>
          <w:p w:rsidR="004C784C" w:rsidRPr="007722A3" w:rsidRDefault="004C784C" w:rsidP="00A319D7">
            <w:pPr>
              <w:keepNext/>
              <w:adjustRightInd w:val="0"/>
              <w:rPr>
                <w:noProof/>
                <w:sz w:val="22"/>
                <w:szCs w:val="22"/>
                <w:lang w:val="en-GB"/>
              </w:rPr>
            </w:pPr>
            <w:r w:rsidRPr="007722A3">
              <w:rPr>
                <w:noProof/>
                <w:sz w:val="22"/>
                <w:szCs w:val="22"/>
                <w:lang w:val="en-GB"/>
              </w:rPr>
              <w:t>Urticaria</w:t>
            </w: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Musculoskeletal and connective tissue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Arthralgia</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Renal and urinary disorders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Chromaturia</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General disorders and administration site conditions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r w:rsidRPr="007722A3">
              <w:rPr>
                <w:bCs/>
                <w:noProof/>
                <w:sz w:val="22"/>
                <w:szCs w:val="22"/>
                <w:lang w:val="en-GB"/>
              </w:rPr>
              <w:t>Fatigue</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keepNext/>
              <w:adjustRightInd w:val="0"/>
              <w:rPr>
                <w:bCs/>
                <w:noProof/>
                <w:sz w:val="22"/>
                <w:szCs w:val="22"/>
                <w:lang w:val="en-GB"/>
              </w:rPr>
            </w:pPr>
          </w:p>
        </w:tc>
      </w:tr>
      <w:tr w:rsidR="009E1698" w:rsidTr="004C784C">
        <w:trPr>
          <w:cantSplit/>
          <w:jc w:val="center"/>
        </w:trPr>
        <w:tc>
          <w:tcPr>
            <w:tcW w:w="1531"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adjustRightInd w:val="0"/>
              <w:rPr>
                <w:bCs/>
                <w:noProof/>
                <w:sz w:val="22"/>
                <w:szCs w:val="22"/>
                <w:lang w:val="en-GB"/>
              </w:rPr>
            </w:pPr>
            <w:r w:rsidRPr="007722A3">
              <w:rPr>
                <w:bCs/>
                <w:noProof/>
                <w:sz w:val="22"/>
                <w:szCs w:val="22"/>
                <w:lang w:val="en-GB"/>
              </w:rPr>
              <w:t>Investigations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adjustRightInd w:val="0"/>
              <w:rPr>
                <w:bCs/>
                <w:noProof/>
                <w:sz w:val="22"/>
                <w:szCs w:val="22"/>
                <w:lang w:val="en-GB"/>
              </w:rPr>
            </w:pP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adjustRightInd w:val="0"/>
              <w:rPr>
                <w:bCs/>
                <w:noProof/>
                <w:sz w:val="22"/>
                <w:szCs w:val="22"/>
                <w:lang w:val="en-GB"/>
              </w:rPr>
            </w:pPr>
            <w:r w:rsidRPr="007722A3">
              <w:rPr>
                <w:bCs/>
                <w:noProof/>
                <w:sz w:val="22"/>
                <w:szCs w:val="22"/>
                <w:lang w:val="en-GB"/>
              </w:rPr>
              <w:t>Increased liver enzymes</w:t>
            </w:r>
          </w:p>
        </w:tc>
        <w:tc>
          <w:tcPr>
            <w:tcW w:w="1156" w:type="pct"/>
            <w:tcBorders>
              <w:top w:val="single" w:sz="4" w:space="0" w:color="auto"/>
              <w:left w:val="single" w:sz="4" w:space="0" w:color="auto"/>
              <w:bottom w:val="single" w:sz="4" w:space="0" w:color="auto"/>
              <w:right w:val="single" w:sz="4" w:space="0" w:color="auto"/>
            </w:tcBorders>
          </w:tcPr>
          <w:p w:rsidR="004C784C" w:rsidRPr="007722A3" w:rsidRDefault="004C784C" w:rsidP="008B42AB">
            <w:pPr>
              <w:adjustRightInd w:val="0"/>
              <w:rPr>
                <w:bCs/>
                <w:noProof/>
                <w:sz w:val="22"/>
                <w:szCs w:val="22"/>
                <w:lang w:val="en-GB"/>
              </w:rPr>
            </w:pPr>
          </w:p>
        </w:tc>
      </w:tr>
    </w:tbl>
    <w:p w:rsidR="001C0186" w:rsidRPr="007722A3" w:rsidRDefault="001C0186" w:rsidP="001C0186">
      <w:pPr>
        <w:pStyle w:val="BodyText"/>
      </w:pPr>
    </w:p>
    <w:p w:rsidR="00051788" w:rsidRPr="007722A3" w:rsidRDefault="00051788" w:rsidP="00051788">
      <w:pPr>
        <w:pStyle w:val="BodyText"/>
        <w:rPr>
          <w:u w:val="single"/>
        </w:rPr>
      </w:pPr>
      <w:r w:rsidRPr="007722A3">
        <w:rPr>
          <w:u w:val="single"/>
        </w:rPr>
        <w:t>Description of selected adverse reactions</w:t>
      </w:r>
    </w:p>
    <w:p w:rsidR="00330AE8" w:rsidRDefault="00330AE8" w:rsidP="00330AE8">
      <w:pPr>
        <w:pStyle w:val="BodyText"/>
      </w:pPr>
      <w:bookmarkStart w:id="1" w:name="_Hlk11692259"/>
      <w:r w:rsidRPr="007722A3">
        <w:t>The most serious adverse reaction reported in clinical trials with deferiprone is agranulocytosis (neutrophils &lt;0.5x10</w:t>
      </w:r>
      <w:r w:rsidRPr="007722A3">
        <w:rPr>
          <w:vertAlign w:val="superscript"/>
        </w:rPr>
        <w:t>9</w:t>
      </w:r>
      <w:r w:rsidRPr="007722A3">
        <w:t>/l), with an incidence of 1.1% (0.6 cases per 100</w:t>
      </w:r>
      <w:r>
        <w:t> </w:t>
      </w:r>
      <w:r w:rsidRPr="007722A3">
        <w:t>patient</w:t>
      </w:r>
      <w:r w:rsidRPr="007722A3">
        <w:noBreakHyphen/>
        <w:t xml:space="preserve">years of treatment) (see section 4.4). </w:t>
      </w:r>
      <w:r w:rsidRPr="0071038F">
        <w:t>Data from pooled clinical studies in patients with systemic iron overload show that 63% of the episodes of agranulocytosis occurred within the first six months of treatment, 74% within the first year and 26% after one year of therapy.</w:t>
      </w:r>
      <w:r>
        <w:t xml:space="preserve"> The median time to onset of the first episode of agranulocytosis was 190 days </w:t>
      </w:r>
      <w:r w:rsidRPr="0071038F">
        <w:t>(ranged 22 days- 17.6 years)</w:t>
      </w:r>
      <w:r>
        <w:t xml:space="preserve"> and median duration was 10 days in clinical trials. A fatal outcome was observed in 8.3% of the reported episodes of agranulocytosis from clinical trials and post-marketing experience.</w:t>
      </w:r>
    </w:p>
    <w:bookmarkEnd w:id="1"/>
    <w:p w:rsidR="00330AE8" w:rsidRDefault="00330AE8" w:rsidP="00330AE8">
      <w:pPr>
        <w:pStyle w:val="BodyText"/>
      </w:pPr>
    </w:p>
    <w:p w:rsidR="00330AE8" w:rsidRPr="007722A3" w:rsidRDefault="00330AE8" w:rsidP="00330AE8">
      <w:pPr>
        <w:pStyle w:val="BodyText"/>
      </w:pPr>
      <w:r w:rsidRPr="007722A3">
        <w:t>The observed incidence of the less severe form of neutropenia (neutrophils &lt;1.5x10</w:t>
      </w:r>
      <w:r w:rsidRPr="007722A3">
        <w:rPr>
          <w:vertAlign w:val="superscript"/>
        </w:rPr>
        <w:t>9</w:t>
      </w:r>
      <w:r w:rsidRPr="007722A3">
        <w:t>/l) is 4.9% (2.5</w:t>
      </w:r>
      <w:r>
        <w:t> </w:t>
      </w:r>
      <w:r w:rsidRPr="007722A3">
        <w:t>cases per 100</w:t>
      </w:r>
      <w:r>
        <w:t> </w:t>
      </w:r>
      <w:r w:rsidRPr="007722A3">
        <w:t>patient</w:t>
      </w:r>
      <w:r w:rsidRPr="007722A3">
        <w:noBreakHyphen/>
        <w:t>years). This rate should be considered in the context of the underlying elevated incidence of neutropenia in thalassaemia patients, particularly in those with hypersplenism.</w:t>
      </w:r>
    </w:p>
    <w:p w:rsidR="008F7FF3" w:rsidRPr="007722A3" w:rsidRDefault="008F7FF3">
      <w:pPr>
        <w:pStyle w:val="BodyText"/>
      </w:pPr>
    </w:p>
    <w:p w:rsidR="00D84FF9" w:rsidRPr="007722A3" w:rsidRDefault="00D84FF9" w:rsidP="00D84FF9">
      <w:pPr>
        <w:pStyle w:val="BodyText"/>
      </w:pPr>
      <w:r w:rsidRPr="007722A3">
        <w:t>Episodes of diarrhoea, mostly mild and transient, have been reported in patients treated with deferiprone. Gastrointestinal effects are more frequent at the beginning of therapy and resolve in most patients within a few weeks without the discontinuation of treatment. In some patients it may be beneficial to reduce the dose of deferiprone and then scale it back up to the former dose. Arthropathy events, which ranged from mild pain in one or more joints to severe arthritis with effusion and significant disability, have also been reported in patients treated with deferiprone. Mild arthropathies are generally transient.</w:t>
      </w:r>
    </w:p>
    <w:p w:rsidR="00D84FF9" w:rsidRPr="007722A3" w:rsidRDefault="00D84FF9" w:rsidP="00D84FF9">
      <w:pPr>
        <w:pStyle w:val="BodyText"/>
      </w:pPr>
    </w:p>
    <w:p w:rsidR="008F7FF3" w:rsidRPr="007722A3" w:rsidRDefault="008F7FF3">
      <w:pPr>
        <w:pStyle w:val="BodyText"/>
      </w:pPr>
      <w:r w:rsidRPr="007722A3">
        <w:t xml:space="preserve">Increased levels of serum liver enzymes have been reported in </w:t>
      </w:r>
      <w:r w:rsidR="00C64529" w:rsidRPr="007722A3">
        <w:t xml:space="preserve">some </w:t>
      </w:r>
      <w:r w:rsidRPr="007722A3">
        <w:t>patients taking deferiprone. In the majority of these patients, the increase was asymptomatic and transient, and returned to baseline without discontinuation or decreasing the dose of deferiprone (see section 4.4).</w:t>
      </w:r>
    </w:p>
    <w:p w:rsidR="008F7FF3" w:rsidRPr="007722A3" w:rsidRDefault="008F7FF3">
      <w:pPr>
        <w:pStyle w:val="BodyText"/>
      </w:pPr>
    </w:p>
    <w:p w:rsidR="008F7FF3" w:rsidRPr="007722A3" w:rsidRDefault="008F7FF3">
      <w:pPr>
        <w:pStyle w:val="BodyText"/>
      </w:pPr>
      <w:r w:rsidRPr="007722A3">
        <w:t>Some patients experienced progression of fibrosis associated with an increase in iron overload or hepatitis C.</w:t>
      </w:r>
    </w:p>
    <w:p w:rsidR="008F7FF3" w:rsidRPr="007722A3" w:rsidRDefault="008F7FF3">
      <w:pPr>
        <w:pStyle w:val="BodyText"/>
      </w:pPr>
    </w:p>
    <w:p w:rsidR="008F7FF3" w:rsidRPr="007722A3" w:rsidRDefault="008F7FF3">
      <w:pPr>
        <w:pStyle w:val="BodyText"/>
      </w:pPr>
      <w:r w:rsidRPr="007722A3">
        <w:t>Low plasma zinc levels have been associated with deferiprone in a minority of patients. The levels normalised with oral zinc supplementation.</w:t>
      </w:r>
    </w:p>
    <w:p w:rsidR="008F7FF3" w:rsidRPr="007722A3" w:rsidRDefault="008F7FF3">
      <w:pPr>
        <w:pStyle w:val="BodyText"/>
      </w:pPr>
    </w:p>
    <w:p w:rsidR="0038335A" w:rsidRDefault="0038335A" w:rsidP="0038335A">
      <w:pPr>
        <w:pStyle w:val="BodyText"/>
      </w:pPr>
      <w:r w:rsidRPr="007722A3">
        <w:t xml:space="preserve">Neurological disorders (such as cerebellar symptoms, diplopia, lateral nystagmus, psychomotor slowdown, hand movements and axial hypotonia) have been observed in children who had been voluntarily prescribed more than 2.5 times the maximum recommended dose of 100 mg/kg/day for several years. </w:t>
      </w:r>
      <w:r w:rsidRPr="0038335A">
        <w:t>Episodes of hypotonia, instability, inability to walk, and hypertonia with inability of limb movement, have been reported in children in the post-marketing setting with standard doses of deferiprone</w:t>
      </w:r>
      <w:r>
        <w:t xml:space="preserve">. </w:t>
      </w:r>
      <w:r w:rsidRPr="007722A3">
        <w:t>The neurological disorders progressively regressed after deferiprone discontinuation (see sections 4.4 and 4.9).</w:t>
      </w:r>
    </w:p>
    <w:p w:rsidR="00F00CF3" w:rsidRDefault="00F00CF3" w:rsidP="00F00CF3">
      <w:pPr>
        <w:pStyle w:val="BodyText"/>
      </w:pPr>
    </w:p>
    <w:p w:rsidR="00A80C9B" w:rsidRPr="008A602B" w:rsidRDefault="004E3259" w:rsidP="00A80C9B">
      <w:pPr>
        <w:pStyle w:val="BodyText"/>
      </w:pPr>
      <w:r w:rsidRPr="004E3259">
        <w:t xml:space="preserve">The safety profile of combination therapy </w:t>
      </w:r>
      <w:r w:rsidR="005A04F4">
        <w:t xml:space="preserve">(deferiprone and deferoxamine) </w:t>
      </w:r>
      <w:r w:rsidRPr="004E3259">
        <w:t>observed in clinical trials, post-marketing experience or published literature was consistent with that characterized for monotherapy.</w:t>
      </w:r>
    </w:p>
    <w:p w:rsidR="00A80C9B" w:rsidRDefault="00A80C9B" w:rsidP="00A80C9B">
      <w:pPr>
        <w:pStyle w:val="BodyText"/>
      </w:pPr>
    </w:p>
    <w:p w:rsidR="005A04F4" w:rsidRDefault="005A04F4" w:rsidP="00D61042">
      <w:pPr>
        <w:pStyle w:val="BodyText"/>
      </w:pPr>
      <w:r w:rsidRPr="005A04F4">
        <w:t>Data from the pooled safety database from clinical trials (</w:t>
      </w:r>
      <w:r w:rsidR="00D61042" w:rsidRPr="005A04F4">
        <w:t xml:space="preserve">1343 </w:t>
      </w:r>
      <w:r w:rsidRPr="005A04F4">
        <w:t xml:space="preserve">patient-years exposure to Ferriprox monotherapy and </w:t>
      </w:r>
      <w:r w:rsidR="00D61042" w:rsidRPr="005A04F4">
        <w:t xml:space="preserve">244 </w:t>
      </w:r>
      <w:r w:rsidRPr="005A04F4">
        <w:t xml:space="preserve">patient-years exposure to Ferriprox and deferoxamine) showed statistically </w:t>
      </w:r>
      <w:r w:rsidRPr="00F51C31">
        <w:t>significant (p&lt;0.05) differences in the incidence of adverse reactions based on S</w:t>
      </w:r>
      <w:r w:rsidR="00754C4F">
        <w:t xml:space="preserve">ystem </w:t>
      </w:r>
      <w:r w:rsidRPr="00F51C31">
        <w:t>O</w:t>
      </w:r>
      <w:r w:rsidR="00754C4F">
        <w:t xml:space="preserve">rgan </w:t>
      </w:r>
      <w:r w:rsidRPr="00F51C31">
        <w:t>C</w:t>
      </w:r>
      <w:r w:rsidR="00754C4F">
        <w:t>lass</w:t>
      </w:r>
      <w:r w:rsidRPr="00F51C31">
        <w:t xml:space="preserve"> for “Cardiac disorders", "Musculoskeletal and connective tissue disorders” and "Renal and urinary disorders". The incidences of “Musculoskeletal and connective tissue disorders” and "Renal and urinary disorders" were lower during combination therapy than monotherapy, whereas the incidence of “Cardiac disorders" was higher during combination therapy than monotherapy. The higher rate of “Cardiac disorders" reported during combination therapy than monotherapy was possibly due to the higher incidence of pre-existing cardiac disorders in patients who received combination therapy. Careful monitoring of cardiac events in patients on combination therapy is warranted (see section 4.4)</w:t>
      </w:r>
      <w:r>
        <w:t>.</w:t>
      </w:r>
    </w:p>
    <w:p w:rsidR="005A04F4" w:rsidRDefault="005A04F4" w:rsidP="00B106E2">
      <w:pPr>
        <w:pStyle w:val="BodyText"/>
      </w:pPr>
    </w:p>
    <w:p w:rsidR="00A80C9B" w:rsidRDefault="00B106E2" w:rsidP="00591BD3">
      <w:pPr>
        <w:pStyle w:val="BodyText"/>
      </w:pPr>
      <w:r w:rsidRPr="00B106E2">
        <w:t>The incidences of adverse reactions experienced by 18 children and 97 adults treated with combination therapy were not significantly different between the two age groups except in the incidence of arthropathy (11.1% in children vs. none in adults, p=0.02). Evaluation of rate of reactions per 100</w:t>
      </w:r>
      <w:r>
        <w:t> </w:t>
      </w:r>
      <w:r w:rsidRPr="00B106E2">
        <w:t>patient-years of exposure showed that only the rate of diarrhoea was significantly higher in children (11.</w:t>
      </w:r>
      <w:r w:rsidR="00591BD3">
        <w:t>1</w:t>
      </w:r>
      <w:r w:rsidRPr="00B106E2">
        <w:t>) than in adults (2.0, p=0.01).</w:t>
      </w:r>
    </w:p>
    <w:p w:rsidR="00E8124E" w:rsidRDefault="00E8124E" w:rsidP="00F00CF3">
      <w:pPr>
        <w:pStyle w:val="BodyText"/>
      </w:pPr>
    </w:p>
    <w:p w:rsidR="00F00CF3" w:rsidRPr="00C42682" w:rsidRDefault="00F00CF3" w:rsidP="00F00CF3">
      <w:pPr>
        <w:pStyle w:val="BodyText"/>
        <w:rPr>
          <w:u w:val="single"/>
        </w:rPr>
      </w:pPr>
      <w:r w:rsidRPr="00C42682">
        <w:rPr>
          <w:u w:val="single"/>
        </w:rPr>
        <w:t>Reporting of suspected adverse reactions</w:t>
      </w:r>
    </w:p>
    <w:p w:rsidR="00F00CF3" w:rsidRDefault="00F00CF3" w:rsidP="00A80C9B">
      <w:pPr>
        <w:pStyle w:val="BodyText"/>
      </w:pPr>
      <w: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E97465">
        <w:rPr>
          <w:highlight w:val="lightGray"/>
        </w:rPr>
        <w:t xml:space="preserve">the national reporting system listed in </w:t>
      </w:r>
      <w:hyperlink r:id="rId12" w:history="1">
        <w:r w:rsidR="00A80C9B" w:rsidRPr="00E97465">
          <w:rPr>
            <w:rStyle w:val="Hyperlink"/>
            <w:highlight w:val="lightGray"/>
          </w:rPr>
          <w:t>Appendix V</w:t>
        </w:r>
      </w:hyperlink>
      <w:r>
        <w:t>.</w:t>
      </w:r>
    </w:p>
    <w:p w:rsidR="008F7FF3" w:rsidRPr="007722A3" w:rsidRDefault="008F7FF3">
      <w:pPr>
        <w:pStyle w:val="BodyText"/>
      </w:pPr>
    </w:p>
    <w:p w:rsidR="008F7FF3" w:rsidRPr="007722A3" w:rsidRDefault="008F7FF3" w:rsidP="00A514B2">
      <w:pPr>
        <w:pStyle w:val="Heading3"/>
        <w:keepNext/>
      </w:pPr>
      <w:r w:rsidRPr="007722A3">
        <w:t>4.9</w:t>
      </w:r>
      <w:r w:rsidRPr="007722A3">
        <w:tab/>
        <w:t>Overdose</w:t>
      </w:r>
    </w:p>
    <w:p w:rsidR="008F7FF3" w:rsidRPr="007722A3" w:rsidRDefault="008F7FF3" w:rsidP="00A514B2">
      <w:pPr>
        <w:pStyle w:val="BodyText"/>
        <w:keepNext/>
      </w:pPr>
    </w:p>
    <w:p w:rsidR="008F7FF3" w:rsidRPr="007722A3" w:rsidRDefault="008F7FF3">
      <w:pPr>
        <w:pStyle w:val="BodyText"/>
      </w:pPr>
      <w:r w:rsidRPr="007722A3">
        <w:t>No cases of acute overdose have been reported. However, neurological disorders (such as cerebellar symptoms, diplopia, lateral nystagmus, psychomotor slowdown, hand movements and axial hypotonia) have been observed in children who had been voluntarily prescribed more than 2.5 times the maximum recommended dose of 100 mg/kg/day for several years. The neurological disorders progressively regressed after deferiprone discontinuation.</w:t>
      </w:r>
    </w:p>
    <w:p w:rsidR="008F7FF3" w:rsidRPr="007722A3" w:rsidRDefault="008F7FF3">
      <w:pPr>
        <w:pStyle w:val="BodyText"/>
      </w:pPr>
    </w:p>
    <w:p w:rsidR="008F7FF3" w:rsidRPr="007722A3" w:rsidRDefault="008F7FF3">
      <w:pPr>
        <w:pStyle w:val="BodyText"/>
        <w:rPr>
          <w:b/>
        </w:rPr>
      </w:pPr>
      <w:r w:rsidRPr="007722A3">
        <w:t>In case of overdose, close clinical supervision of the patient is required.</w:t>
      </w:r>
    </w:p>
    <w:p w:rsidR="008F7FF3" w:rsidRPr="007722A3" w:rsidRDefault="008F7FF3">
      <w:pPr>
        <w:pStyle w:val="BodyText"/>
      </w:pPr>
    </w:p>
    <w:p w:rsidR="008F7FF3" w:rsidRPr="007722A3" w:rsidRDefault="008F7FF3">
      <w:pPr>
        <w:pStyle w:val="BodyText"/>
      </w:pPr>
    </w:p>
    <w:p w:rsidR="008F7FF3" w:rsidRPr="00826883" w:rsidRDefault="008F7FF3" w:rsidP="00826883">
      <w:pPr>
        <w:tabs>
          <w:tab w:val="left" w:pos="567"/>
        </w:tabs>
        <w:rPr>
          <w:b/>
          <w:caps/>
          <w:sz w:val="22"/>
          <w:szCs w:val="22"/>
          <w:lang w:val="en-GB"/>
        </w:rPr>
      </w:pPr>
      <w:r w:rsidRPr="00826883">
        <w:rPr>
          <w:b/>
          <w:caps/>
          <w:sz w:val="22"/>
          <w:szCs w:val="22"/>
          <w:lang w:val="en-GB"/>
        </w:rPr>
        <w:t>5.</w:t>
      </w:r>
      <w:r w:rsidRPr="00826883">
        <w:rPr>
          <w:b/>
          <w:caps/>
          <w:sz w:val="22"/>
          <w:szCs w:val="22"/>
          <w:lang w:val="en-GB"/>
        </w:rPr>
        <w:tab/>
        <w:t>Pharmacological properties</w:t>
      </w:r>
    </w:p>
    <w:p w:rsidR="008F7FF3" w:rsidRPr="007722A3" w:rsidRDefault="008F7FF3" w:rsidP="00F27C95">
      <w:pPr>
        <w:pStyle w:val="BodyText"/>
        <w:keepNext/>
      </w:pPr>
    </w:p>
    <w:p w:rsidR="008F7FF3" w:rsidRPr="007722A3" w:rsidRDefault="008F7FF3" w:rsidP="00F27C95">
      <w:pPr>
        <w:pStyle w:val="Heading3"/>
        <w:keepNext/>
      </w:pPr>
      <w:r w:rsidRPr="007722A3">
        <w:t xml:space="preserve">5.1 </w:t>
      </w:r>
      <w:r w:rsidRPr="007722A3">
        <w:tab/>
        <w:t>Pharmacodynamic properties</w:t>
      </w:r>
    </w:p>
    <w:p w:rsidR="008F7FF3" w:rsidRPr="007722A3" w:rsidRDefault="008F7FF3" w:rsidP="00F27C95">
      <w:pPr>
        <w:pStyle w:val="BodyText"/>
        <w:keepNext/>
      </w:pPr>
    </w:p>
    <w:p w:rsidR="008F7FF3" w:rsidRPr="007722A3" w:rsidRDefault="008F7FF3">
      <w:pPr>
        <w:pStyle w:val="BodyText"/>
        <w:rPr>
          <w:b/>
        </w:rPr>
      </w:pPr>
      <w:r w:rsidRPr="007722A3">
        <w:t>Pharmacotherapeutic group:</w:t>
      </w:r>
      <w:r w:rsidRPr="007722A3">
        <w:rPr>
          <w:b/>
        </w:rPr>
        <w:t xml:space="preserve"> </w:t>
      </w:r>
      <w:r w:rsidRPr="007722A3">
        <w:t>Iron chelating agents, ATC code:</w:t>
      </w:r>
      <w:r w:rsidRPr="007722A3">
        <w:rPr>
          <w:b/>
        </w:rPr>
        <w:t xml:space="preserve"> </w:t>
      </w:r>
      <w:r w:rsidRPr="007722A3">
        <w:t>V03AC02</w:t>
      </w:r>
    </w:p>
    <w:p w:rsidR="008F7FF3" w:rsidRPr="007722A3" w:rsidRDefault="008F7FF3">
      <w:pPr>
        <w:pStyle w:val="BodyText"/>
        <w:rPr>
          <w:b/>
        </w:rPr>
      </w:pPr>
    </w:p>
    <w:p w:rsidR="008D14B4" w:rsidRPr="007722A3" w:rsidRDefault="008D14B4" w:rsidP="00A514B2">
      <w:pPr>
        <w:pStyle w:val="BodyText"/>
        <w:keepNext/>
        <w:rPr>
          <w:u w:val="single"/>
        </w:rPr>
      </w:pPr>
      <w:r w:rsidRPr="007722A3">
        <w:rPr>
          <w:u w:val="single"/>
        </w:rPr>
        <w:t xml:space="preserve">Mechanism of action </w:t>
      </w:r>
    </w:p>
    <w:p w:rsidR="008F7FF3" w:rsidRPr="007722A3" w:rsidRDefault="008F7FF3">
      <w:pPr>
        <w:pStyle w:val="BodyText"/>
      </w:pPr>
      <w:r w:rsidRPr="007722A3">
        <w:t>The active substance is deferiprone (3-hydroxy-1,2-dimethylpyridin-4-one), a bidentate ligand which binds iron in a 3:1 molar ratio.</w:t>
      </w:r>
    </w:p>
    <w:p w:rsidR="008F7FF3" w:rsidRPr="007722A3" w:rsidRDefault="008F7FF3">
      <w:pPr>
        <w:pStyle w:val="BodyText"/>
      </w:pPr>
    </w:p>
    <w:p w:rsidR="008D14B4" w:rsidRPr="007722A3" w:rsidRDefault="008D14B4" w:rsidP="00D84FF9">
      <w:pPr>
        <w:pStyle w:val="BodyText"/>
        <w:keepNext/>
        <w:rPr>
          <w:u w:val="single"/>
        </w:rPr>
      </w:pPr>
      <w:r w:rsidRPr="007722A3">
        <w:rPr>
          <w:u w:val="single"/>
        </w:rPr>
        <w:t>Pharmacodynamic effects</w:t>
      </w:r>
    </w:p>
    <w:p w:rsidR="008F7FF3" w:rsidRPr="007722A3" w:rsidRDefault="008F7FF3" w:rsidP="005A04F4">
      <w:pPr>
        <w:pStyle w:val="BodyText"/>
      </w:pPr>
      <w:r w:rsidRPr="007722A3">
        <w:t xml:space="preserve">Clinical studies have demonstrated that </w:t>
      </w:r>
      <w:r w:rsidR="00C64529" w:rsidRPr="007722A3">
        <w:t>Ferriprox</w:t>
      </w:r>
      <w:r w:rsidRPr="007722A3">
        <w:t xml:space="preserve"> is effective in promoting iron excretion and that a dose of 25 mg/kg three times per day can prevent the progression of iron accumulation as assessed by serum ferritin, in patients with transfusion</w:t>
      </w:r>
      <w:r w:rsidRPr="007722A3">
        <w:noBreakHyphen/>
        <w:t xml:space="preserve">dependent thalassaemia. </w:t>
      </w:r>
      <w:r w:rsidR="00EF0C5D">
        <w:rPr>
          <w:rFonts w:eastAsia="SimSun" w:cs="Calibri"/>
        </w:rPr>
        <w:t xml:space="preserve">Data from the published literature on iron balance studies in patients with thalassaemia major show that the use of Ferriprox concurrently with deferoxamine (coadministration of both chelators during the same day, either simultaneously or sequentially, e.g., Ferriprox during the day and deferoxamine during the night), promotes greater iron excretion than either drug alone. Doses of Ferriprox in those studies ranged from 50 to 100 mg/kg/day and </w:t>
      </w:r>
      <w:r w:rsidR="00E71F03">
        <w:rPr>
          <w:rFonts w:eastAsia="SimSun" w:cs="Calibri"/>
        </w:rPr>
        <w:t xml:space="preserve">doses </w:t>
      </w:r>
      <w:r w:rsidR="00EF0C5D">
        <w:rPr>
          <w:rFonts w:eastAsia="SimSun" w:cs="Calibri"/>
        </w:rPr>
        <w:t xml:space="preserve">of deferoxamine </w:t>
      </w:r>
      <w:r w:rsidR="00E71F03">
        <w:rPr>
          <w:rFonts w:eastAsia="SimSun" w:cs="Calibri"/>
        </w:rPr>
        <w:t xml:space="preserve">from </w:t>
      </w:r>
      <w:r w:rsidR="00EF0C5D">
        <w:rPr>
          <w:rFonts w:eastAsia="SimSun" w:cs="Calibri"/>
        </w:rPr>
        <w:t xml:space="preserve">40 to 60 mg/kg/day. </w:t>
      </w:r>
      <w:r w:rsidRPr="007722A3">
        <w:t>However, chelation therapy may not necessarily protect against iron</w:t>
      </w:r>
      <w:r w:rsidRPr="007722A3">
        <w:noBreakHyphen/>
        <w:t>induced organ damage.</w:t>
      </w:r>
    </w:p>
    <w:p w:rsidR="000335AE" w:rsidRPr="007722A3" w:rsidRDefault="000335AE">
      <w:pPr>
        <w:pStyle w:val="BodyText"/>
      </w:pPr>
    </w:p>
    <w:p w:rsidR="008F7FF3" w:rsidRPr="007722A3" w:rsidRDefault="008D14B4" w:rsidP="00A514B2">
      <w:pPr>
        <w:pStyle w:val="BodyText"/>
        <w:keepNext/>
        <w:rPr>
          <w:u w:val="single"/>
        </w:rPr>
      </w:pPr>
      <w:r w:rsidRPr="007722A3">
        <w:rPr>
          <w:u w:val="single"/>
        </w:rPr>
        <w:t>Clinical efficacy and safety</w:t>
      </w:r>
    </w:p>
    <w:p w:rsidR="004C6F77" w:rsidRPr="007722A3" w:rsidRDefault="004C6F77" w:rsidP="004C6F77">
      <w:pPr>
        <w:pStyle w:val="BodyText"/>
      </w:pPr>
      <w:r w:rsidRPr="007722A3">
        <w:t>Studies LA16-0102, LA-01 and LA08-9701 compared the efficacy of Ferriprox with that of deferoxamine in controlling serum ferritin in transfusion-dependent thalass</w:t>
      </w:r>
      <w:r w:rsidR="00EB01FA">
        <w:t>a</w:t>
      </w:r>
      <w:r w:rsidRPr="007722A3">
        <w:t>emia patients. Ferriprox and deferoxamine were equivalent in promoting a net stabilization or reduction of body iron load, despite the continuous transfusional iron administration in those patients (no difference in proportion of patients with a negative trend in serum ferritin between the two treatment groups by regression analysis; p &gt;0.05).</w:t>
      </w:r>
    </w:p>
    <w:p w:rsidR="004C6F77" w:rsidRPr="007722A3" w:rsidRDefault="004C6F77" w:rsidP="004C6F77">
      <w:pPr>
        <w:pStyle w:val="BodyText"/>
      </w:pPr>
    </w:p>
    <w:p w:rsidR="004C6F77" w:rsidRPr="007722A3" w:rsidRDefault="004C6F77" w:rsidP="004C6F77">
      <w:pPr>
        <w:pStyle w:val="BodyText"/>
      </w:pPr>
      <w:r w:rsidRPr="007722A3">
        <w:t>A magnetic resonance imaging (MRI) method, T2*, was also used to quantify myocardial iron load. Iron overload causes concentration-dependent MRI T2* signal loss, thus, increased myocardial iron reduces myocardial MRI T2* values. Myocardial MRI T2* values of less than 20</w:t>
      </w:r>
      <w:r w:rsidR="005E020E">
        <w:t> ms</w:t>
      </w:r>
      <w:r w:rsidRPr="007722A3">
        <w:t xml:space="preserve"> represent iron overload in the heart. An increase in MRI T2* on treatment indicates that iron is being removed from the heart. A positive correlation between MRI T2* values and cardiac function (as measured by Left Ventricular Ejection Fraction (LVEF)) has been documented.</w:t>
      </w:r>
    </w:p>
    <w:p w:rsidR="004C6F77" w:rsidRPr="007722A3" w:rsidRDefault="004C6F77" w:rsidP="004C6F77">
      <w:pPr>
        <w:pStyle w:val="BodyText"/>
      </w:pPr>
    </w:p>
    <w:p w:rsidR="004C6F77" w:rsidRPr="007722A3" w:rsidRDefault="004C6F77" w:rsidP="004C6F77">
      <w:pPr>
        <w:pStyle w:val="BodyText"/>
      </w:pPr>
      <w:r w:rsidRPr="007722A3">
        <w:t>Study LA16-0102 compared the efficacy of Ferriprox with that of deferoxamine in decreasing cardiac iron overload and in improving cardiac function (as measured by LVEF) in transfusion-dependent thalass</w:t>
      </w:r>
      <w:r w:rsidR="00EB01FA">
        <w:t>a</w:t>
      </w:r>
      <w:r w:rsidRPr="007722A3">
        <w:t>emia patients. Sixty-one patients with cardiac iron overload, previously treated with deferoxamine, were randomized to continue deferoxamine (average dose 43 mg/kg/day; N=31) or to switch to Ferriprox (average dose 92 mg/kg/day N=29). Over the 12-month duration of the study, Ferriprox was superior to deferoxamine in decreasing cardiac iron load. There was an improvement in cardiac T2* of more than 3</w:t>
      </w:r>
      <w:r w:rsidR="005E020E">
        <w:t> ms</w:t>
      </w:r>
      <w:r w:rsidRPr="007722A3">
        <w:t xml:space="preserve"> in patients treated with Ferriprox compared with a change of about 1</w:t>
      </w:r>
      <w:r w:rsidR="005E020E">
        <w:t> ms</w:t>
      </w:r>
      <w:r w:rsidRPr="007722A3">
        <w:t xml:space="preserve"> in patients treated with deferoxamine. At the same time point, LVEF had increased from baseline by 3.07 ± 3.58 absolute units (%) in the Ferriprox group and by 0.32 ± 3.38 absolute units (%) in the deferoxamine group (difference between groups; p=0.003).</w:t>
      </w:r>
    </w:p>
    <w:p w:rsidR="004C6F77" w:rsidRPr="007722A3" w:rsidRDefault="004C6F77" w:rsidP="004C6F77">
      <w:pPr>
        <w:pStyle w:val="BodyText"/>
      </w:pPr>
    </w:p>
    <w:p w:rsidR="004C6F77" w:rsidRPr="007722A3" w:rsidRDefault="006075DE" w:rsidP="004C6F77">
      <w:pPr>
        <w:pStyle w:val="BodyText"/>
      </w:pPr>
      <w:r w:rsidRPr="007722A3">
        <w:t>Study LA12-9907 compared survival, incidence of cardiac disease, and progression of cardiac disease in 129 patients with thalass</w:t>
      </w:r>
      <w:r w:rsidR="00EB01FA">
        <w:t>a</w:t>
      </w:r>
      <w:r w:rsidRPr="007722A3">
        <w:t>emia major treated for at least 4 years with Ferriprox (N=54) or deferoxamine (N=75). Cardiac endpoints were assessed by echocardiogram, electrocardiogram, the New York Heart Association classification and death due to cardiac disease. There was no significant difference in percentage of patients with cardiac dysfunction at first assessment (13% for Ferriprox vs. 16% for deferoxamine). Of patients with cardiac dysfunction at first assessment, none treated with deferiprone compared with four (33%) treated with deferoxamine had worsening of their cardiac status (p=0.245). Newly diagnosed cardiac dysfunction occurred in 13 (20.6%) deferoxamine-treated patients and in 2 (4.3%) Ferriprox-treated patients who were cardiac disease-free at the first assessment (p=0.013). Overall, fewer Ferriprox-treated patients than deferoxamine-treated patients showed a worsening of cardiac dysfunction from first assessment to last assessment (4% vs. 20%, p=0.007)</w:t>
      </w:r>
      <w:r w:rsidR="004C6F77" w:rsidRPr="007722A3">
        <w:t>.</w:t>
      </w:r>
    </w:p>
    <w:p w:rsidR="004C6F77" w:rsidRPr="007722A3" w:rsidRDefault="004C6F77" w:rsidP="004C6F77">
      <w:pPr>
        <w:pStyle w:val="BodyText"/>
      </w:pPr>
    </w:p>
    <w:p w:rsidR="004C6F77" w:rsidRPr="007722A3" w:rsidRDefault="004C6F77" w:rsidP="004C6F77">
      <w:pPr>
        <w:pStyle w:val="BodyText"/>
      </w:pPr>
      <w:r w:rsidRPr="007722A3">
        <w:t>Data from the published literature are consistent with the results from the Apotex studies, demonstrating less heart disease and/or increased survival in Ferriprox-treated patients than in those treated with deferoxamine.</w:t>
      </w:r>
    </w:p>
    <w:p w:rsidR="00E8124E" w:rsidRDefault="00E8124E" w:rsidP="00E8124E">
      <w:pPr>
        <w:pStyle w:val="BodyText"/>
      </w:pPr>
    </w:p>
    <w:p w:rsidR="00E8124E" w:rsidRPr="00251ED8" w:rsidRDefault="00EF0C5D" w:rsidP="00EF0C5D">
      <w:pPr>
        <w:pStyle w:val="BodyText"/>
      </w:pPr>
      <w:r>
        <w:t>A</w:t>
      </w:r>
      <w:r w:rsidRPr="00F02F80">
        <w:t xml:space="preserve"> randomized, placebo-controlled, double-blind trial evaluated the effect of concurrent therapy with Ferriprox and deferoxamine in patients with thalass</w:t>
      </w:r>
      <w:r>
        <w:t>a</w:t>
      </w:r>
      <w:r w:rsidRPr="00F02F80">
        <w:t>emia major, who previously received the standard chelation monotherapy with subcutaneous deferoxamine and had mild to moderate cardiac iron loading (myocardial T2* from 8 to 20 ms). Following randomization, 32</w:t>
      </w:r>
      <w:r>
        <w:t> </w:t>
      </w:r>
      <w:r w:rsidRPr="00F02F80">
        <w:t>patients received deferoxamine (</w:t>
      </w:r>
      <w:r w:rsidR="005E020E" w:rsidRPr="00F02F80">
        <w:t>34.9</w:t>
      </w:r>
      <w:r w:rsidR="005E020E">
        <w:t> </w:t>
      </w:r>
      <w:r w:rsidRPr="00F02F80">
        <w:t>mg/kg</w:t>
      </w:r>
      <w:r>
        <w:t>/day</w:t>
      </w:r>
      <w:r w:rsidRPr="00F02F80">
        <w:t xml:space="preserve"> for 5 days</w:t>
      </w:r>
      <w:r>
        <w:t>/</w:t>
      </w:r>
      <w:r w:rsidRPr="00F02F80">
        <w:t>week) and Ferriprox (75</w:t>
      </w:r>
      <w:r>
        <w:t> </w:t>
      </w:r>
      <w:r w:rsidRPr="00F02F80">
        <w:t>mg/kg/day) and 33 patients received deferoxamine monotherapy (</w:t>
      </w:r>
      <w:r w:rsidR="005E020E" w:rsidRPr="00F02F80">
        <w:t>43.4</w:t>
      </w:r>
      <w:r w:rsidR="005E020E">
        <w:t> </w:t>
      </w:r>
      <w:r w:rsidRPr="00F02F80">
        <w:t>mg/kg</w:t>
      </w:r>
      <w:r>
        <w:t xml:space="preserve">/day </w:t>
      </w:r>
      <w:r w:rsidRPr="00F02F80">
        <w:t>for 5 days</w:t>
      </w:r>
      <w:r>
        <w:t>/week</w:t>
      </w:r>
      <w:r w:rsidRPr="00F02F80">
        <w:t xml:space="preserve">). After one year of study therapy, patients on concurrent chelation therapy </w:t>
      </w:r>
      <w:r>
        <w:t xml:space="preserve">had </w:t>
      </w:r>
      <w:r w:rsidRPr="00F02F80">
        <w:t xml:space="preserve">experienced </w:t>
      </w:r>
      <w:r>
        <w:t xml:space="preserve">a </w:t>
      </w:r>
      <w:r w:rsidRPr="00F02F80">
        <w:t>significant</w:t>
      </w:r>
      <w:r>
        <w:t>ly</w:t>
      </w:r>
      <w:r w:rsidRPr="00F02F80">
        <w:t xml:space="preserve"> greater reduction in serum ferritin (1574 µg/</w:t>
      </w:r>
      <w:r>
        <w:t>l</w:t>
      </w:r>
      <w:r w:rsidRPr="00F02F80">
        <w:t xml:space="preserve"> to 598 µg/</w:t>
      </w:r>
      <w:r>
        <w:t>l</w:t>
      </w:r>
      <w:r w:rsidRPr="00F02F80">
        <w:t xml:space="preserve"> with concurrent therapy vs</w:t>
      </w:r>
      <w:r>
        <w:t>.</w:t>
      </w:r>
      <w:r w:rsidRPr="00F02F80">
        <w:t xml:space="preserve"> 1379 µg/</w:t>
      </w:r>
      <w:r>
        <w:t>l</w:t>
      </w:r>
      <w:r w:rsidRPr="00F02F80">
        <w:t xml:space="preserve"> to 1146 µg/</w:t>
      </w:r>
      <w:r>
        <w:t>l</w:t>
      </w:r>
      <w:r w:rsidRPr="00F02F80">
        <w:t xml:space="preserve"> with deferoxamine monotherapy, p&lt;0.001), significant</w:t>
      </w:r>
      <w:r>
        <w:t>ly</w:t>
      </w:r>
      <w:r w:rsidRPr="00F02F80">
        <w:t xml:space="preserve"> greater reduction in myocardial iron overload, as assessed by an increase in MRI T2* (11.7 ms to 17.7 ms with concurrent therapy vs</w:t>
      </w:r>
      <w:r>
        <w:t>.</w:t>
      </w:r>
      <w:r w:rsidRPr="00F02F80">
        <w:t xml:space="preserve"> 12.4</w:t>
      </w:r>
      <w:r>
        <w:t> </w:t>
      </w:r>
      <w:r w:rsidRPr="00F02F80">
        <w:t>ms to 15.7</w:t>
      </w:r>
      <w:r>
        <w:t> </w:t>
      </w:r>
      <w:r w:rsidRPr="00F02F80">
        <w:t>ms with deferoxamine monotherapy, p=0.02) and significant</w:t>
      </w:r>
      <w:r>
        <w:t>ly greater</w:t>
      </w:r>
      <w:r w:rsidRPr="00F02F80">
        <w:t xml:space="preserve"> reduction in liver iron concentration, also assessed by an increase in MRI T2* (4.9 ms to 10.7 ms with concurrent therapy vs</w:t>
      </w:r>
      <w:r>
        <w:t>.</w:t>
      </w:r>
      <w:r w:rsidRPr="00F02F80">
        <w:t xml:space="preserve"> 4.2 ms to 5.0 ms with deferoxamine monotherapy, p&lt; 0.001).</w:t>
      </w:r>
    </w:p>
    <w:p w:rsidR="00EA19FA" w:rsidRDefault="00EA19FA" w:rsidP="00E8124E">
      <w:pPr>
        <w:pStyle w:val="BodyText"/>
      </w:pPr>
    </w:p>
    <w:p w:rsidR="00E879A8" w:rsidRDefault="00E879A8" w:rsidP="00E879A8">
      <w:pPr>
        <w:pStyle w:val="BodyText"/>
      </w:pPr>
      <w:r w:rsidRPr="00C42682">
        <w:t>Study LA37-1111 was conducted to evaluate the effect of single therapeutic (33 mg/kg) and supratherapeutic (50 mg/kg) oral doses of deferiprone on the cardiac QT interval duration in healthy subjects. The maximum difference between the LS means of the therapeutic dose and placebo was 3.01</w:t>
      </w:r>
      <w:r w:rsidR="005E020E">
        <w:t> </w:t>
      </w:r>
      <w:r w:rsidRPr="00C42682">
        <w:t>ms (95% one-sided UCL: 5.01</w:t>
      </w:r>
      <w:r w:rsidR="005E020E">
        <w:t> </w:t>
      </w:r>
      <w:r w:rsidRPr="00C42682">
        <w:t>ms), and between the LS means of the supratherapeutic dose and placebo was 5.23</w:t>
      </w:r>
      <w:r w:rsidR="005E020E">
        <w:t> </w:t>
      </w:r>
      <w:r w:rsidRPr="00C42682">
        <w:t>ms (95% one-sided UCL: 7.19</w:t>
      </w:r>
      <w:r w:rsidR="005E020E">
        <w:t> </w:t>
      </w:r>
      <w:r w:rsidRPr="00C42682">
        <w:t>ms). Ferriprox was concluded to produce no significant prolongation of the QT interval.</w:t>
      </w:r>
    </w:p>
    <w:p w:rsidR="00E879A8" w:rsidRPr="007722A3" w:rsidRDefault="00E879A8" w:rsidP="00E879A8">
      <w:pPr>
        <w:pStyle w:val="BodyText"/>
      </w:pPr>
    </w:p>
    <w:p w:rsidR="008F7FF3" w:rsidRPr="007722A3" w:rsidRDefault="008F7FF3" w:rsidP="001642A5">
      <w:pPr>
        <w:pStyle w:val="Heading3"/>
        <w:keepNext/>
      </w:pPr>
      <w:r w:rsidRPr="007722A3">
        <w:t>5.2</w:t>
      </w:r>
      <w:r w:rsidRPr="007722A3">
        <w:tab/>
        <w:t>Pharmacokinetic properties</w:t>
      </w:r>
    </w:p>
    <w:p w:rsidR="008F7FF3" w:rsidRPr="007722A3" w:rsidRDefault="008F7FF3" w:rsidP="001642A5">
      <w:pPr>
        <w:pStyle w:val="BodyText"/>
        <w:keepNext/>
      </w:pPr>
    </w:p>
    <w:p w:rsidR="008F7FF3" w:rsidRPr="007722A3" w:rsidRDefault="008F7FF3" w:rsidP="001642A5">
      <w:pPr>
        <w:pStyle w:val="Heading4"/>
        <w:keepNext/>
        <w:rPr>
          <w:b w:val="0"/>
          <w:u w:val="single"/>
        </w:rPr>
      </w:pPr>
      <w:r w:rsidRPr="007722A3">
        <w:rPr>
          <w:b w:val="0"/>
          <w:u w:val="single"/>
        </w:rPr>
        <w:t>Absorption</w:t>
      </w:r>
    </w:p>
    <w:p w:rsidR="008F7FF3" w:rsidRPr="007722A3" w:rsidRDefault="008F7FF3">
      <w:pPr>
        <w:pStyle w:val="BodyText"/>
      </w:pPr>
      <w:r w:rsidRPr="007722A3">
        <w:t>Deferiprone is rapidly absorbed from the upper part of the gastrointestinal tract. Peak serum concentration occur</w:t>
      </w:r>
      <w:r w:rsidR="008731CB">
        <w:t>s</w:t>
      </w:r>
      <w:r w:rsidRPr="007722A3">
        <w:t xml:space="preserve"> 45 to 60 minutes following a single dose in fasted patients. This may be extended to 2 hours in fed patients.</w:t>
      </w:r>
    </w:p>
    <w:p w:rsidR="008F7FF3" w:rsidRPr="007722A3" w:rsidRDefault="008F7FF3">
      <w:pPr>
        <w:pStyle w:val="BodyText"/>
      </w:pPr>
    </w:p>
    <w:p w:rsidR="008F7FF3" w:rsidRPr="007722A3" w:rsidRDefault="008F7FF3">
      <w:pPr>
        <w:pStyle w:val="BodyText"/>
      </w:pPr>
      <w:r w:rsidRPr="007722A3">
        <w:t xml:space="preserve">Following a dose of 25 mg/kg, lower peak serum concentrations have been detected in patients in the fed state (85 </w:t>
      </w:r>
      <w:r w:rsidRPr="007722A3">
        <w:rPr>
          <w:rFonts w:ascii="Symbol" w:hAnsi="Symbol"/>
        </w:rPr>
        <w:sym w:font="Symbol" w:char="F06D"/>
      </w:r>
      <w:r w:rsidRPr="007722A3">
        <w:t xml:space="preserve">mol/l) than in the fasting state (126 </w:t>
      </w:r>
      <w:r w:rsidRPr="007722A3">
        <w:rPr>
          <w:rFonts w:ascii="Symbol" w:hAnsi="Symbol"/>
        </w:rPr>
        <w:sym w:font="Symbol" w:char="F06D"/>
      </w:r>
      <w:r w:rsidRPr="007722A3">
        <w:t>mol/l), although there was no decrease in the amount of deferiprone absorbed when it was given with food.</w:t>
      </w:r>
    </w:p>
    <w:p w:rsidR="008F7FF3" w:rsidRPr="007722A3" w:rsidRDefault="008F7FF3">
      <w:pPr>
        <w:pStyle w:val="BodyText"/>
      </w:pPr>
    </w:p>
    <w:p w:rsidR="008F7FF3" w:rsidRPr="007722A3" w:rsidRDefault="008F7FF3" w:rsidP="00A514B2">
      <w:pPr>
        <w:pStyle w:val="Heading4"/>
        <w:keepNext/>
        <w:rPr>
          <w:b w:val="0"/>
          <w:bCs w:val="0"/>
          <w:iCs/>
          <w:u w:val="single"/>
        </w:rPr>
      </w:pPr>
      <w:r w:rsidRPr="007722A3">
        <w:rPr>
          <w:b w:val="0"/>
          <w:bCs w:val="0"/>
          <w:iCs/>
          <w:u w:val="single"/>
        </w:rPr>
        <w:t>Biotransformation</w:t>
      </w:r>
    </w:p>
    <w:p w:rsidR="008F7FF3" w:rsidRPr="007722A3" w:rsidRDefault="008F7FF3">
      <w:pPr>
        <w:pStyle w:val="BodyText"/>
      </w:pPr>
      <w:r w:rsidRPr="007722A3">
        <w:t>Deferiprone is metabolised predominantly to a glucuronide conjugate. This metabolite lacks iron</w:t>
      </w:r>
      <w:r w:rsidRPr="007722A3">
        <w:noBreakHyphen/>
        <w:t>binding capability due to inactivation of the 3-hydroxy group of deferiprone. Peak serum concentrations of the glucuronide occur 2 to 3 hours after administration of deferiprone.</w:t>
      </w:r>
    </w:p>
    <w:p w:rsidR="008F7FF3" w:rsidRPr="007722A3" w:rsidRDefault="008F7FF3">
      <w:pPr>
        <w:pStyle w:val="BodyText"/>
      </w:pPr>
    </w:p>
    <w:p w:rsidR="008F7FF3" w:rsidRPr="007722A3" w:rsidRDefault="008F7FF3" w:rsidP="00A514B2">
      <w:pPr>
        <w:pStyle w:val="Heading4"/>
        <w:keepNext/>
        <w:rPr>
          <w:b w:val="0"/>
          <w:bCs w:val="0"/>
          <w:iCs/>
          <w:u w:val="single"/>
        </w:rPr>
      </w:pPr>
      <w:r w:rsidRPr="007722A3">
        <w:rPr>
          <w:b w:val="0"/>
          <w:bCs w:val="0"/>
          <w:iCs/>
          <w:u w:val="single"/>
        </w:rPr>
        <w:t>Elimination</w:t>
      </w:r>
    </w:p>
    <w:p w:rsidR="008F7FF3" w:rsidRPr="007722A3" w:rsidRDefault="008F7FF3">
      <w:pPr>
        <w:pStyle w:val="BodyText"/>
      </w:pPr>
      <w:r w:rsidRPr="007722A3">
        <w:t>In humans, deferiprone is eliminated mainly via the kidneys; 75% to 90% of the ingested dose is reported as being recovered in the urine in the first 24 hours, in the form of free deferiprone, the glucuronide metabolite and the iron-deferiprone complex. A variable amount of elimination via the faeces has been reported. The elimination half</w:t>
      </w:r>
      <w:r w:rsidRPr="007722A3">
        <w:noBreakHyphen/>
        <w:t>life in most patients is 2 to 3 hours.</w:t>
      </w:r>
    </w:p>
    <w:p w:rsidR="008F7FF3" w:rsidRPr="007722A3" w:rsidRDefault="008F7FF3">
      <w:pPr>
        <w:pStyle w:val="BodyText"/>
      </w:pPr>
    </w:p>
    <w:p w:rsidR="00591BD3" w:rsidRPr="0056562C" w:rsidRDefault="00591BD3" w:rsidP="00591BD3">
      <w:pPr>
        <w:keepNext/>
        <w:rPr>
          <w:bCs/>
          <w:sz w:val="22"/>
          <w:szCs w:val="22"/>
          <w:u w:val="single"/>
          <w:lang w:val="en-GB"/>
        </w:rPr>
      </w:pPr>
      <w:r w:rsidRPr="0056562C">
        <w:rPr>
          <w:bCs/>
          <w:sz w:val="22"/>
          <w:szCs w:val="22"/>
          <w:u w:val="single"/>
          <w:lang w:val="en-GB"/>
        </w:rPr>
        <w:t>Renal impairment</w:t>
      </w:r>
    </w:p>
    <w:p w:rsidR="00591BD3" w:rsidRDefault="00591BD3" w:rsidP="00591BD3">
      <w:pPr>
        <w:rPr>
          <w:bCs/>
          <w:sz w:val="22"/>
          <w:szCs w:val="22"/>
        </w:rPr>
      </w:pPr>
      <w:r w:rsidRPr="00C66310">
        <w:rPr>
          <w:bCs/>
          <w:sz w:val="22"/>
          <w:szCs w:val="22"/>
        </w:rPr>
        <w:t>An open-label, non-randomized, parallel group clinical study was conducted to evaluate the effect of impaired renal function on the safety, tolerability, and pharmacokinetics of a single 33 mg/kg oral dose of Ferriprox. Subjects were categorized into 4 groups based on estimated glomerular filtration rate (eGFR): healthy volunteers (eGFR ≥ 90 mL/min/1.73m</w:t>
      </w:r>
      <w:r w:rsidRPr="00C66310">
        <w:rPr>
          <w:bCs/>
          <w:sz w:val="22"/>
          <w:szCs w:val="22"/>
          <w:vertAlign w:val="superscript"/>
        </w:rPr>
        <w:t>2</w:t>
      </w:r>
      <w:r w:rsidRPr="00C66310">
        <w:rPr>
          <w:bCs/>
          <w:sz w:val="22"/>
          <w:szCs w:val="22"/>
        </w:rPr>
        <w:t>), mild renal impairment (eGFR 60</w:t>
      </w:r>
      <w:r>
        <w:rPr>
          <w:bCs/>
          <w:sz w:val="22"/>
          <w:szCs w:val="22"/>
        </w:rPr>
        <w:noBreakHyphen/>
      </w:r>
      <w:r w:rsidRPr="00C66310">
        <w:rPr>
          <w:bCs/>
          <w:sz w:val="22"/>
          <w:szCs w:val="22"/>
        </w:rPr>
        <w:t>89</w:t>
      </w:r>
      <w:r>
        <w:rPr>
          <w:bCs/>
          <w:sz w:val="22"/>
          <w:szCs w:val="22"/>
        </w:rPr>
        <w:t> </w:t>
      </w:r>
      <w:r w:rsidRPr="00C66310">
        <w:rPr>
          <w:bCs/>
          <w:sz w:val="22"/>
          <w:szCs w:val="22"/>
        </w:rPr>
        <w:t>mL/min/1.73m</w:t>
      </w:r>
      <w:r w:rsidRPr="00C66310">
        <w:rPr>
          <w:bCs/>
          <w:sz w:val="22"/>
          <w:szCs w:val="22"/>
          <w:vertAlign w:val="superscript"/>
        </w:rPr>
        <w:t>2</w:t>
      </w:r>
      <w:r w:rsidRPr="00C66310">
        <w:rPr>
          <w:bCs/>
          <w:sz w:val="22"/>
          <w:szCs w:val="22"/>
        </w:rPr>
        <w:t>), moderate renal impairment (eGFR 30–59 mL/min/1.73m</w:t>
      </w:r>
      <w:r w:rsidRPr="00C66310">
        <w:rPr>
          <w:bCs/>
          <w:sz w:val="22"/>
          <w:szCs w:val="22"/>
          <w:vertAlign w:val="superscript"/>
        </w:rPr>
        <w:t>2</w:t>
      </w:r>
      <w:r w:rsidRPr="00C66310">
        <w:rPr>
          <w:bCs/>
          <w:sz w:val="22"/>
          <w:szCs w:val="22"/>
        </w:rPr>
        <w:t>), and severe renal impairment (eGFR 15–29 mL/min/1.73m</w:t>
      </w:r>
      <w:r w:rsidRPr="00C66310">
        <w:rPr>
          <w:bCs/>
          <w:sz w:val="22"/>
          <w:szCs w:val="22"/>
          <w:vertAlign w:val="superscript"/>
        </w:rPr>
        <w:t>2</w:t>
      </w:r>
      <w:r w:rsidRPr="00C66310">
        <w:rPr>
          <w:bCs/>
          <w:sz w:val="22"/>
          <w:szCs w:val="22"/>
        </w:rPr>
        <w:t>). Systemic exposure to deferiprone and to its metabolite deferiprone 3-</w:t>
      </w:r>
      <w:r w:rsidRPr="00C66310">
        <w:rPr>
          <w:bCs/>
          <w:i/>
          <w:iCs/>
          <w:sz w:val="22"/>
          <w:szCs w:val="22"/>
        </w:rPr>
        <w:t>O</w:t>
      </w:r>
      <w:r w:rsidRPr="00C66310">
        <w:rPr>
          <w:bCs/>
          <w:sz w:val="22"/>
          <w:szCs w:val="22"/>
        </w:rPr>
        <w:t>-glucuronide was assessed by the PK parameters C</w:t>
      </w:r>
      <w:r w:rsidRPr="00C66310">
        <w:rPr>
          <w:bCs/>
          <w:sz w:val="22"/>
          <w:szCs w:val="22"/>
          <w:vertAlign w:val="subscript"/>
        </w:rPr>
        <w:t>max</w:t>
      </w:r>
      <w:r w:rsidRPr="00C66310">
        <w:rPr>
          <w:bCs/>
          <w:sz w:val="22"/>
          <w:szCs w:val="22"/>
        </w:rPr>
        <w:t xml:space="preserve"> and AUC.</w:t>
      </w:r>
    </w:p>
    <w:p w:rsidR="00591BD3" w:rsidRPr="00C66310" w:rsidRDefault="00591BD3" w:rsidP="00591BD3">
      <w:pPr>
        <w:rPr>
          <w:bCs/>
          <w:sz w:val="22"/>
          <w:szCs w:val="22"/>
        </w:rPr>
      </w:pPr>
    </w:p>
    <w:p w:rsidR="00591BD3" w:rsidRDefault="00591BD3" w:rsidP="00591BD3">
      <w:pPr>
        <w:rPr>
          <w:bCs/>
          <w:sz w:val="22"/>
          <w:szCs w:val="22"/>
        </w:rPr>
      </w:pPr>
      <w:r w:rsidRPr="00C66310">
        <w:rPr>
          <w:bCs/>
          <w:sz w:val="22"/>
          <w:szCs w:val="22"/>
        </w:rPr>
        <w:t>Regardless of the degree of renal impairment, the majority of the dose of Ferriprox was excreted in the urine over the first 24 hours as deferiprone 3-</w:t>
      </w:r>
      <w:r w:rsidRPr="00C66310">
        <w:rPr>
          <w:bCs/>
          <w:i/>
          <w:iCs/>
          <w:sz w:val="22"/>
          <w:szCs w:val="22"/>
        </w:rPr>
        <w:t>O</w:t>
      </w:r>
      <w:r w:rsidRPr="00C66310">
        <w:rPr>
          <w:bCs/>
          <w:sz w:val="22"/>
          <w:szCs w:val="22"/>
        </w:rPr>
        <w:t>-glucuronide. No significant effect of renal impairment was seen on systemic exposure to deferiprone. Systemic exposure to the inactive 3-</w:t>
      </w:r>
      <w:r w:rsidRPr="00C66310">
        <w:rPr>
          <w:bCs/>
          <w:i/>
          <w:iCs/>
          <w:sz w:val="22"/>
          <w:szCs w:val="22"/>
        </w:rPr>
        <w:t>O</w:t>
      </w:r>
      <w:r w:rsidRPr="00C66310">
        <w:rPr>
          <w:bCs/>
          <w:sz w:val="22"/>
          <w:szCs w:val="22"/>
        </w:rPr>
        <w:t>-glucuronide increased with decreasing eGFR. Based on the results of this study, no adjustment of the Ferriprox dosage regimen is required in patients with impaired renal function.</w:t>
      </w:r>
      <w:r>
        <w:rPr>
          <w:bCs/>
          <w:sz w:val="22"/>
          <w:szCs w:val="22"/>
        </w:rPr>
        <w:t xml:space="preserve"> The safety and pharmacokinetics of Ferriprox in patients with end stage renal disease is unknown.</w:t>
      </w:r>
    </w:p>
    <w:p w:rsidR="00591BD3" w:rsidRPr="00B9494D" w:rsidRDefault="00591BD3" w:rsidP="00591BD3">
      <w:pPr>
        <w:rPr>
          <w:bCs/>
          <w:sz w:val="22"/>
          <w:szCs w:val="22"/>
          <w:lang w:val="en-GB"/>
        </w:rPr>
      </w:pPr>
    </w:p>
    <w:p w:rsidR="00591BD3" w:rsidRPr="0056562C" w:rsidRDefault="00591BD3" w:rsidP="00591BD3">
      <w:pPr>
        <w:keepNext/>
        <w:rPr>
          <w:bCs/>
          <w:sz w:val="22"/>
          <w:szCs w:val="22"/>
          <w:u w:val="single"/>
          <w:lang w:val="en-GB"/>
        </w:rPr>
      </w:pPr>
      <w:r w:rsidRPr="0056562C">
        <w:rPr>
          <w:bCs/>
          <w:sz w:val="22"/>
          <w:szCs w:val="22"/>
          <w:u w:val="single"/>
          <w:lang w:val="en-GB"/>
        </w:rPr>
        <w:t>Hepatic impairment</w:t>
      </w:r>
    </w:p>
    <w:p w:rsidR="00754473" w:rsidRDefault="00754473" w:rsidP="00754473">
      <w:pPr>
        <w:rPr>
          <w:bCs/>
          <w:sz w:val="22"/>
          <w:szCs w:val="22"/>
          <w:lang w:val="en-GB"/>
        </w:rPr>
      </w:pPr>
      <w:r w:rsidRPr="00C66310">
        <w:rPr>
          <w:bCs/>
          <w:sz w:val="22"/>
          <w:szCs w:val="22"/>
          <w:lang w:val="en-GB"/>
        </w:rPr>
        <w:t>An open-label, non-randomized, parallel group clinical study was conducted to evaluate the effect of impaired hepatic function on the safety, tolerability, and pharmacokinetics of a single 33 mg/kg oral dose of Ferriprox. Subjects were categorized into 3 groups based on the Child-Pugh classification score: healthy volunteers, mild hepatic impairment (Class A: 5– 6 points), and moderate hepatic impairment (Class B: 7– 9 points). Systemic exposure to deferiprone and to its metabolite deferiprone 3-</w:t>
      </w:r>
      <w:r w:rsidRPr="00C66310">
        <w:rPr>
          <w:bCs/>
          <w:i/>
          <w:iCs/>
          <w:sz w:val="22"/>
          <w:szCs w:val="22"/>
          <w:lang w:val="en-GB"/>
        </w:rPr>
        <w:t>O</w:t>
      </w:r>
      <w:r w:rsidRPr="00C66310">
        <w:rPr>
          <w:bCs/>
          <w:sz w:val="22"/>
          <w:szCs w:val="22"/>
          <w:lang w:val="en-GB"/>
        </w:rPr>
        <w:t>-glucuronide was assessed by the PK parameters C</w:t>
      </w:r>
      <w:r w:rsidRPr="00D4747C">
        <w:rPr>
          <w:bCs/>
          <w:sz w:val="22"/>
          <w:szCs w:val="22"/>
          <w:vertAlign w:val="subscript"/>
          <w:lang w:val="en-GB"/>
        </w:rPr>
        <w:t>max</w:t>
      </w:r>
      <w:r w:rsidRPr="00C66310">
        <w:rPr>
          <w:bCs/>
          <w:sz w:val="22"/>
          <w:szCs w:val="22"/>
          <w:lang w:val="en-GB"/>
        </w:rPr>
        <w:t xml:space="preserve"> and AUC. </w:t>
      </w:r>
      <w:r w:rsidRPr="000C31E9">
        <w:rPr>
          <w:bCs/>
          <w:sz w:val="22"/>
          <w:szCs w:val="22"/>
          <w:lang w:val="en-GB"/>
        </w:rPr>
        <w:t>Deferiprone AUCs did not differ between treatment groups, but C</w:t>
      </w:r>
      <w:r w:rsidRPr="000C31E9">
        <w:rPr>
          <w:bCs/>
          <w:sz w:val="22"/>
          <w:szCs w:val="22"/>
          <w:vertAlign w:val="subscript"/>
          <w:lang w:val="en-GB"/>
        </w:rPr>
        <w:t>max</w:t>
      </w:r>
      <w:r w:rsidRPr="000C31E9">
        <w:rPr>
          <w:bCs/>
          <w:sz w:val="22"/>
          <w:szCs w:val="22"/>
          <w:lang w:val="en-GB"/>
        </w:rPr>
        <w:t xml:space="preserve"> </w:t>
      </w:r>
      <w:r>
        <w:rPr>
          <w:bCs/>
          <w:sz w:val="22"/>
          <w:szCs w:val="22"/>
          <w:lang w:val="en-GB"/>
        </w:rPr>
        <w:t xml:space="preserve">was </w:t>
      </w:r>
      <w:r w:rsidRPr="000C31E9">
        <w:rPr>
          <w:bCs/>
          <w:sz w:val="22"/>
          <w:szCs w:val="22"/>
          <w:lang w:val="en-GB"/>
        </w:rPr>
        <w:t xml:space="preserve">decreased by </w:t>
      </w:r>
      <w:r>
        <w:rPr>
          <w:bCs/>
          <w:sz w:val="22"/>
          <w:szCs w:val="22"/>
          <w:lang w:val="en-GB"/>
        </w:rPr>
        <w:t xml:space="preserve">20% in </w:t>
      </w:r>
      <w:r w:rsidRPr="000C31E9">
        <w:rPr>
          <w:bCs/>
          <w:sz w:val="22"/>
          <w:szCs w:val="22"/>
          <w:lang w:val="en-GB"/>
        </w:rPr>
        <w:t>mild</w:t>
      </w:r>
      <w:r>
        <w:rPr>
          <w:bCs/>
          <w:sz w:val="22"/>
          <w:szCs w:val="22"/>
          <w:lang w:val="en-GB"/>
        </w:rPr>
        <w:t>ly</w:t>
      </w:r>
      <w:r w:rsidRPr="000C31E9">
        <w:rPr>
          <w:bCs/>
          <w:sz w:val="22"/>
          <w:szCs w:val="22"/>
          <w:lang w:val="en-GB"/>
        </w:rPr>
        <w:t xml:space="preserve"> or moderate</w:t>
      </w:r>
      <w:r>
        <w:rPr>
          <w:bCs/>
          <w:sz w:val="22"/>
          <w:szCs w:val="22"/>
          <w:lang w:val="en-GB"/>
        </w:rPr>
        <w:t>ly</w:t>
      </w:r>
      <w:r w:rsidRPr="000C31E9">
        <w:rPr>
          <w:bCs/>
          <w:sz w:val="22"/>
          <w:szCs w:val="22"/>
          <w:lang w:val="en-GB"/>
        </w:rPr>
        <w:t xml:space="preserve"> hepatic</w:t>
      </w:r>
      <w:r>
        <w:rPr>
          <w:bCs/>
          <w:sz w:val="22"/>
          <w:szCs w:val="22"/>
          <w:lang w:val="en-GB"/>
        </w:rPr>
        <w:t>ally</w:t>
      </w:r>
      <w:r w:rsidRPr="000C31E9">
        <w:rPr>
          <w:bCs/>
          <w:sz w:val="22"/>
          <w:szCs w:val="22"/>
          <w:lang w:val="en-GB"/>
        </w:rPr>
        <w:t xml:space="preserve"> impaired subjects </w:t>
      </w:r>
      <w:r>
        <w:rPr>
          <w:bCs/>
          <w:sz w:val="22"/>
          <w:szCs w:val="22"/>
          <w:lang w:val="en-GB"/>
        </w:rPr>
        <w:t xml:space="preserve">compared </w:t>
      </w:r>
      <w:r w:rsidRPr="000C31E9">
        <w:rPr>
          <w:bCs/>
          <w:sz w:val="22"/>
          <w:szCs w:val="22"/>
          <w:lang w:val="en-GB"/>
        </w:rPr>
        <w:t>with healthy volunteers. Deferiprone-3-</w:t>
      </w:r>
      <w:r w:rsidRPr="000C31E9">
        <w:rPr>
          <w:bCs/>
          <w:i/>
          <w:iCs/>
          <w:sz w:val="22"/>
          <w:szCs w:val="22"/>
          <w:lang w:val="en-GB"/>
        </w:rPr>
        <w:t>O</w:t>
      </w:r>
      <w:r w:rsidRPr="000C31E9">
        <w:rPr>
          <w:bCs/>
          <w:sz w:val="22"/>
          <w:szCs w:val="22"/>
          <w:lang w:val="en-GB"/>
        </w:rPr>
        <w:t>-glucuronide AUC</w:t>
      </w:r>
      <w:r>
        <w:rPr>
          <w:bCs/>
          <w:sz w:val="22"/>
          <w:szCs w:val="22"/>
          <w:lang w:val="en-GB"/>
        </w:rPr>
        <w:t xml:space="preserve"> wa</w:t>
      </w:r>
      <w:r w:rsidRPr="000C31E9">
        <w:rPr>
          <w:bCs/>
          <w:sz w:val="22"/>
          <w:szCs w:val="22"/>
          <w:lang w:val="en-GB"/>
        </w:rPr>
        <w:t xml:space="preserve">s decreased by </w:t>
      </w:r>
      <w:r>
        <w:rPr>
          <w:bCs/>
          <w:sz w:val="22"/>
          <w:szCs w:val="22"/>
          <w:lang w:val="en-GB"/>
        </w:rPr>
        <w:t>10%</w:t>
      </w:r>
      <w:r w:rsidRPr="000C31E9">
        <w:rPr>
          <w:bCs/>
          <w:sz w:val="22"/>
          <w:szCs w:val="22"/>
          <w:lang w:val="en-GB"/>
        </w:rPr>
        <w:t xml:space="preserve"> and C</w:t>
      </w:r>
      <w:r w:rsidRPr="000C31E9">
        <w:rPr>
          <w:bCs/>
          <w:sz w:val="22"/>
          <w:szCs w:val="22"/>
          <w:vertAlign w:val="subscript"/>
          <w:lang w:val="en-GB"/>
        </w:rPr>
        <w:t>max</w:t>
      </w:r>
      <w:r w:rsidRPr="000C31E9">
        <w:rPr>
          <w:bCs/>
          <w:sz w:val="22"/>
          <w:szCs w:val="22"/>
          <w:lang w:val="en-GB"/>
        </w:rPr>
        <w:t xml:space="preserve"> by </w:t>
      </w:r>
      <w:r>
        <w:rPr>
          <w:bCs/>
          <w:sz w:val="22"/>
          <w:szCs w:val="22"/>
          <w:lang w:val="en-GB"/>
        </w:rPr>
        <w:t>20% in</w:t>
      </w:r>
      <w:r w:rsidRPr="000C31E9">
        <w:rPr>
          <w:bCs/>
          <w:sz w:val="22"/>
          <w:szCs w:val="22"/>
          <w:lang w:val="en-GB"/>
        </w:rPr>
        <w:t xml:space="preserve"> mild</w:t>
      </w:r>
      <w:r>
        <w:rPr>
          <w:bCs/>
          <w:sz w:val="22"/>
          <w:szCs w:val="22"/>
          <w:lang w:val="en-GB"/>
        </w:rPr>
        <w:t>ly</w:t>
      </w:r>
      <w:r w:rsidRPr="000C31E9">
        <w:rPr>
          <w:bCs/>
          <w:sz w:val="22"/>
          <w:szCs w:val="22"/>
          <w:lang w:val="en-GB"/>
        </w:rPr>
        <w:t xml:space="preserve"> and moderate</w:t>
      </w:r>
      <w:r>
        <w:rPr>
          <w:bCs/>
          <w:sz w:val="22"/>
          <w:szCs w:val="22"/>
          <w:lang w:val="en-GB"/>
        </w:rPr>
        <w:t>ly</w:t>
      </w:r>
      <w:r w:rsidRPr="000C31E9">
        <w:rPr>
          <w:bCs/>
          <w:sz w:val="22"/>
          <w:szCs w:val="22"/>
          <w:lang w:val="en-GB"/>
        </w:rPr>
        <w:t xml:space="preserve"> impaired subjects </w:t>
      </w:r>
      <w:r>
        <w:rPr>
          <w:bCs/>
          <w:sz w:val="22"/>
          <w:szCs w:val="22"/>
          <w:lang w:val="en-GB"/>
        </w:rPr>
        <w:t xml:space="preserve">compared </w:t>
      </w:r>
      <w:r w:rsidRPr="000C31E9">
        <w:rPr>
          <w:bCs/>
          <w:sz w:val="22"/>
          <w:szCs w:val="22"/>
          <w:lang w:val="en-GB"/>
        </w:rPr>
        <w:t>with healthy volunteers.</w:t>
      </w:r>
      <w:r>
        <w:rPr>
          <w:bCs/>
          <w:sz w:val="22"/>
          <w:szCs w:val="22"/>
          <w:lang w:val="en-GB"/>
        </w:rPr>
        <w:t xml:space="preserve"> </w:t>
      </w:r>
      <w:r w:rsidRPr="00C66310">
        <w:rPr>
          <w:bCs/>
          <w:sz w:val="22"/>
          <w:szCs w:val="22"/>
          <w:lang w:val="en-GB"/>
        </w:rPr>
        <w:t>A serious adverse event of acute liver and renal injury was seen in one subject with moderate hepatic impairment. Based on the results of this study, no adjustment of the Ferriprox dosage regimen is required in patients with mildly or moderately impaired hepatic function.</w:t>
      </w:r>
      <w:r w:rsidRPr="00E950A8">
        <w:rPr>
          <w:bCs/>
          <w:sz w:val="22"/>
          <w:szCs w:val="22"/>
          <w:lang w:val="en-GB"/>
        </w:rPr>
        <w:t xml:space="preserve"> </w:t>
      </w:r>
    </w:p>
    <w:p w:rsidR="00591BD3" w:rsidRDefault="00591BD3" w:rsidP="00591BD3">
      <w:pPr>
        <w:rPr>
          <w:bCs/>
          <w:sz w:val="22"/>
          <w:szCs w:val="22"/>
          <w:lang w:val="en-GB"/>
        </w:rPr>
      </w:pPr>
    </w:p>
    <w:p w:rsidR="00591BD3" w:rsidRDefault="00591BD3" w:rsidP="00591BD3">
      <w:pPr>
        <w:rPr>
          <w:bCs/>
          <w:sz w:val="22"/>
          <w:szCs w:val="22"/>
          <w:lang w:val="en-GB"/>
        </w:rPr>
      </w:pPr>
      <w:r w:rsidRPr="00C66310">
        <w:rPr>
          <w:bCs/>
          <w:sz w:val="22"/>
          <w:szCs w:val="22"/>
          <w:lang w:val="en-GB"/>
        </w:rPr>
        <w:t>The influence of severe hepatic impairment on the pharmacokinetics of deferiprone and deferiprone 3</w:t>
      </w:r>
      <w:r>
        <w:rPr>
          <w:bCs/>
          <w:sz w:val="22"/>
          <w:szCs w:val="22"/>
          <w:lang w:val="en-GB"/>
        </w:rPr>
        <w:noBreakHyphen/>
      </w:r>
      <w:r w:rsidRPr="00C66310">
        <w:rPr>
          <w:bCs/>
          <w:i/>
          <w:iCs/>
          <w:sz w:val="22"/>
          <w:szCs w:val="22"/>
          <w:lang w:val="en-GB"/>
        </w:rPr>
        <w:t>O</w:t>
      </w:r>
      <w:r w:rsidRPr="00C66310">
        <w:rPr>
          <w:bCs/>
          <w:sz w:val="22"/>
          <w:szCs w:val="22"/>
          <w:lang w:val="en-GB"/>
        </w:rPr>
        <w:t xml:space="preserve">-glucuronide has not been evaluated. </w:t>
      </w:r>
      <w:r>
        <w:rPr>
          <w:bCs/>
          <w:sz w:val="22"/>
          <w:szCs w:val="22"/>
          <w:lang w:val="en-GB"/>
        </w:rPr>
        <w:t>The s</w:t>
      </w:r>
      <w:r w:rsidRPr="00C66310">
        <w:rPr>
          <w:bCs/>
          <w:sz w:val="22"/>
          <w:szCs w:val="22"/>
          <w:lang w:val="en-GB"/>
        </w:rPr>
        <w:t xml:space="preserve">afety and </w:t>
      </w:r>
      <w:r>
        <w:rPr>
          <w:bCs/>
          <w:sz w:val="22"/>
          <w:szCs w:val="22"/>
          <w:lang w:val="en-GB"/>
        </w:rPr>
        <w:t xml:space="preserve">pharmacokinetics </w:t>
      </w:r>
      <w:r w:rsidRPr="00C66310">
        <w:rPr>
          <w:bCs/>
          <w:sz w:val="22"/>
          <w:szCs w:val="22"/>
          <w:lang w:val="en-GB"/>
        </w:rPr>
        <w:t>of Ferriprox in patients with severe hepatic impairment</w:t>
      </w:r>
      <w:r>
        <w:rPr>
          <w:bCs/>
          <w:sz w:val="22"/>
          <w:szCs w:val="22"/>
          <w:lang w:val="en-GB"/>
        </w:rPr>
        <w:t xml:space="preserve"> is unknown</w:t>
      </w:r>
      <w:r w:rsidRPr="00C66310">
        <w:rPr>
          <w:bCs/>
          <w:sz w:val="22"/>
          <w:szCs w:val="22"/>
          <w:lang w:val="en-GB"/>
        </w:rPr>
        <w:t>.</w:t>
      </w:r>
    </w:p>
    <w:p w:rsidR="00591BD3" w:rsidRPr="0056562C" w:rsidRDefault="00591BD3" w:rsidP="00591BD3">
      <w:pPr>
        <w:rPr>
          <w:bCs/>
          <w:sz w:val="22"/>
          <w:szCs w:val="22"/>
          <w:lang w:val="en-GB"/>
        </w:rPr>
      </w:pPr>
    </w:p>
    <w:p w:rsidR="008F7FF3" w:rsidRPr="007722A3" w:rsidRDefault="008F7FF3" w:rsidP="00160480">
      <w:pPr>
        <w:pStyle w:val="Heading4"/>
        <w:keepNext/>
      </w:pPr>
      <w:r w:rsidRPr="007722A3">
        <w:t>5.3</w:t>
      </w:r>
      <w:r w:rsidRPr="007722A3">
        <w:tab/>
        <w:t>Preclinical safety data</w:t>
      </w:r>
    </w:p>
    <w:p w:rsidR="008F7FF3" w:rsidRPr="007722A3" w:rsidRDefault="008F7FF3" w:rsidP="00160480">
      <w:pPr>
        <w:pStyle w:val="BodyText"/>
        <w:keepNext/>
      </w:pPr>
    </w:p>
    <w:p w:rsidR="008F7FF3" w:rsidRPr="007722A3" w:rsidRDefault="008F7FF3">
      <w:pPr>
        <w:pStyle w:val="BodyText"/>
      </w:pPr>
      <w:r w:rsidRPr="007722A3">
        <w:t>Non</w:t>
      </w:r>
      <w:r w:rsidRPr="007722A3">
        <w:noBreakHyphen/>
        <w:t>clinical studies have been conducted in animal species including mice, rats, rabbits, dogs and monkeys.</w:t>
      </w:r>
    </w:p>
    <w:p w:rsidR="008F7FF3" w:rsidRPr="007722A3" w:rsidRDefault="008F7FF3">
      <w:pPr>
        <w:pStyle w:val="BodyText"/>
      </w:pPr>
    </w:p>
    <w:p w:rsidR="008F7FF3" w:rsidRPr="007722A3" w:rsidRDefault="008F7FF3">
      <w:pPr>
        <w:pStyle w:val="BodyText"/>
      </w:pPr>
      <w:r w:rsidRPr="007722A3">
        <w:t>The most common finding</w:t>
      </w:r>
      <w:r w:rsidR="00D4155B">
        <w:t>s</w:t>
      </w:r>
      <w:r w:rsidRPr="007722A3">
        <w:t xml:space="preserve"> in non</w:t>
      </w:r>
      <w:r w:rsidRPr="007722A3">
        <w:noBreakHyphen/>
        <w:t>iron</w:t>
      </w:r>
      <w:r w:rsidRPr="007722A3">
        <w:noBreakHyphen/>
        <w:t>loaded animals at doses of 100 mg/kg/day and above were hematologic effects such as bone marrow hypocellularity, and decreased WBC, RBC and/or platelet counts in peripheral blood.</w:t>
      </w:r>
    </w:p>
    <w:p w:rsidR="008F7FF3" w:rsidRPr="007722A3" w:rsidRDefault="008F7FF3">
      <w:pPr>
        <w:pStyle w:val="BodyText"/>
      </w:pPr>
    </w:p>
    <w:p w:rsidR="008F7FF3" w:rsidRPr="007722A3" w:rsidRDefault="008F7FF3">
      <w:pPr>
        <w:pStyle w:val="BodyText"/>
      </w:pPr>
      <w:r w:rsidRPr="007722A3">
        <w:t>Atrophy of the thymus, lymphoid tissues, and testis, and hypertrophy of the adrenals, were reported at doses of 100 mg/kg/day or greater in non</w:t>
      </w:r>
      <w:r w:rsidRPr="007722A3">
        <w:noBreakHyphen/>
        <w:t>iron</w:t>
      </w:r>
      <w:r w:rsidRPr="007722A3">
        <w:noBreakHyphen/>
        <w:t>loaded animals.</w:t>
      </w:r>
    </w:p>
    <w:p w:rsidR="008F7FF3" w:rsidRPr="007722A3" w:rsidRDefault="008F7FF3">
      <w:pPr>
        <w:pStyle w:val="BodyText"/>
      </w:pPr>
    </w:p>
    <w:p w:rsidR="008F7FF3" w:rsidRPr="007722A3" w:rsidRDefault="008F7FF3">
      <w:pPr>
        <w:pStyle w:val="BodyText"/>
      </w:pPr>
      <w:r w:rsidRPr="007722A3">
        <w:t xml:space="preserve">No carcinogenicity studies in animals have been conducted with deferiprone. The genotoxic potential of deferiprone was evaluated in a set of </w:t>
      </w:r>
      <w:r w:rsidRPr="007722A3">
        <w:rPr>
          <w:i/>
        </w:rPr>
        <w:t xml:space="preserve">in vitro </w:t>
      </w:r>
      <w:r w:rsidRPr="007722A3">
        <w:t>and</w:t>
      </w:r>
      <w:r w:rsidRPr="007722A3">
        <w:rPr>
          <w:i/>
        </w:rPr>
        <w:t xml:space="preserve"> in vivo </w:t>
      </w:r>
      <w:r w:rsidRPr="007722A3">
        <w:t xml:space="preserve">tests. Deferiprone did not show direct mutagenic properties; however, it did display clastogenic characteristics in </w:t>
      </w:r>
      <w:r w:rsidRPr="007722A3">
        <w:rPr>
          <w:i/>
          <w:iCs/>
        </w:rPr>
        <w:t>in vitro</w:t>
      </w:r>
      <w:r w:rsidRPr="007722A3">
        <w:t xml:space="preserve"> assays and in animals.</w:t>
      </w:r>
    </w:p>
    <w:p w:rsidR="008F7FF3" w:rsidRPr="007722A3" w:rsidRDefault="008F7FF3">
      <w:pPr>
        <w:pStyle w:val="BodyText"/>
      </w:pPr>
    </w:p>
    <w:p w:rsidR="006F4F27" w:rsidRPr="007722A3" w:rsidRDefault="008F7FF3">
      <w:pPr>
        <w:pStyle w:val="BodyText"/>
      </w:pPr>
      <w:r w:rsidRPr="007722A3">
        <w:t>Deferiprone was teratogenic and embryotoxic in reproductive studies in non</w:t>
      </w:r>
      <w:r w:rsidRPr="007722A3">
        <w:noBreakHyphen/>
        <w:t>iron</w:t>
      </w:r>
      <w:r w:rsidRPr="007722A3">
        <w:noBreakHyphen/>
        <w:t xml:space="preserve">loaded </w:t>
      </w:r>
      <w:r w:rsidR="005E71E9" w:rsidRPr="007722A3">
        <w:t xml:space="preserve">pregnant </w:t>
      </w:r>
      <w:r w:rsidRPr="007722A3">
        <w:t xml:space="preserve">rats and rabbits at doses at least as low as 25 mg/kg/day. </w:t>
      </w:r>
      <w:r w:rsidR="00E218F6" w:rsidRPr="007722A3">
        <w:t xml:space="preserve">No effects on fertility or early embryonic development were noted in non-iron-loaded male and female rats that received deferiprone orally at doses of up to 75 mg/kg twice daily for 28 days (males) or 2 weeks (females) prior to mating and until termination (males) or through early gestation (females). </w:t>
      </w:r>
      <w:r w:rsidR="00CC505A" w:rsidRPr="007722A3">
        <w:t>In females, an effect on the oestrous cycle delayed time to confirmed mating at all doses tested.</w:t>
      </w:r>
    </w:p>
    <w:p w:rsidR="006F4F27" w:rsidRPr="007722A3" w:rsidRDefault="006F4F27">
      <w:pPr>
        <w:pStyle w:val="BodyText"/>
      </w:pPr>
    </w:p>
    <w:p w:rsidR="008F7FF3" w:rsidRPr="007722A3" w:rsidRDefault="008F7FF3">
      <w:pPr>
        <w:pStyle w:val="BodyText"/>
        <w:rPr>
          <w:b/>
        </w:rPr>
      </w:pPr>
      <w:r w:rsidRPr="007722A3">
        <w:t>No prenatal and postnatal reproductive studies have been conducted in animals.</w:t>
      </w:r>
    </w:p>
    <w:p w:rsidR="008F7FF3" w:rsidRPr="007722A3" w:rsidRDefault="008F7FF3">
      <w:pPr>
        <w:pStyle w:val="BodyText"/>
      </w:pPr>
    </w:p>
    <w:p w:rsidR="008F7FF3" w:rsidRPr="007722A3" w:rsidRDefault="008F7FF3">
      <w:pPr>
        <w:pStyle w:val="BodyText"/>
      </w:pPr>
    </w:p>
    <w:p w:rsidR="008F7FF3" w:rsidRPr="007722A3" w:rsidRDefault="008F7FF3" w:rsidP="00A514B2">
      <w:pPr>
        <w:pStyle w:val="Heading2"/>
        <w:keepNext/>
        <w:ind w:left="562" w:hanging="562"/>
      </w:pPr>
      <w:r w:rsidRPr="007722A3">
        <w:t>6.</w:t>
      </w:r>
      <w:r w:rsidRPr="007722A3">
        <w:tab/>
        <w:t>Pharmaceutical particulars</w:t>
      </w:r>
    </w:p>
    <w:p w:rsidR="008F7FF3" w:rsidRPr="007722A3" w:rsidRDefault="008F7FF3" w:rsidP="00A514B2">
      <w:pPr>
        <w:pStyle w:val="BodyText"/>
        <w:keepNext/>
      </w:pPr>
    </w:p>
    <w:p w:rsidR="008F7FF3" w:rsidRPr="007722A3" w:rsidRDefault="008F7FF3" w:rsidP="00A514B2">
      <w:pPr>
        <w:pStyle w:val="Heading3"/>
        <w:keepNext/>
      </w:pPr>
      <w:r w:rsidRPr="007722A3">
        <w:t>6.1</w:t>
      </w:r>
      <w:r w:rsidRPr="007722A3">
        <w:tab/>
        <w:t>List of excipients</w:t>
      </w:r>
    </w:p>
    <w:p w:rsidR="008F7FF3" w:rsidRPr="007722A3" w:rsidRDefault="008F7FF3" w:rsidP="00A514B2">
      <w:pPr>
        <w:pStyle w:val="BodyText"/>
        <w:keepNext/>
      </w:pPr>
    </w:p>
    <w:p w:rsidR="008F7FF3" w:rsidRPr="007722A3" w:rsidRDefault="008F7FF3">
      <w:pPr>
        <w:pStyle w:val="BodyText"/>
      </w:pPr>
      <w:r w:rsidRPr="007722A3">
        <w:t>Purified water</w:t>
      </w:r>
    </w:p>
    <w:p w:rsidR="008F7FF3" w:rsidRPr="007722A3" w:rsidRDefault="008F7FF3">
      <w:pPr>
        <w:pStyle w:val="BodyText"/>
      </w:pPr>
      <w:r w:rsidRPr="007722A3">
        <w:t>Hydroxyethylcellulose</w:t>
      </w:r>
    </w:p>
    <w:p w:rsidR="008F7FF3" w:rsidRPr="007722A3" w:rsidRDefault="008F7FF3" w:rsidP="00771519">
      <w:pPr>
        <w:pStyle w:val="BodyText"/>
      </w:pPr>
      <w:r w:rsidRPr="007722A3">
        <w:t>Glycerol</w:t>
      </w:r>
      <w:r w:rsidR="00771519">
        <w:t xml:space="preserve"> (E422)</w:t>
      </w:r>
    </w:p>
    <w:p w:rsidR="008F7FF3" w:rsidRPr="007722A3" w:rsidRDefault="008F7FF3">
      <w:pPr>
        <w:pStyle w:val="BodyText"/>
      </w:pPr>
      <w:r w:rsidRPr="007722A3">
        <w:t>Hydrochloric acid, concentrated</w:t>
      </w:r>
      <w:r w:rsidR="005C471A">
        <w:t>, for pH adjustment</w:t>
      </w:r>
    </w:p>
    <w:p w:rsidR="008F7FF3" w:rsidRPr="007722A3" w:rsidRDefault="008F7FF3">
      <w:pPr>
        <w:pStyle w:val="BodyText"/>
      </w:pPr>
      <w:r w:rsidRPr="007722A3">
        <w:t>Artificial cherry flavour</w:t>
      </w:r>
    </w:p>
    <w:p w:rsidR="008F7FF3" w:rsidRPr="007722A3" w:rsidRDefault="008F7FF3">
      <w:pPr>
        <w:pStyle w:val="BodyText"/>
      </w:pPr>
      <w:r w:rsidRPr="007722A3">
        <w:t>Peppermint oil</w:t>
      </w:r>
    </w:p>
    <w:p w:rsidR="008F7FF3" w:rsidRPr="007722A3" w:rsidRDefault="008F7FF3">
      <w:pPr>
        <w:pStyle w:val="BodyText"/>
      </w:pPr>
      <w:r w:rsidRPr="007722A3">
        <w:t>Sunset Yellow (E110)</w:t>
      </w:r>
    </w:p>
    <w:p w:rsidR="008F7FF3" w:rsidRPr="007722A3" w:rsidRDefault="008F7FF3">
      <w:pPr>
        <w:pStyle w:val="BodyText"/>
      </w:pPr>
      <w:r w:rsidRPr="007722A3">
        <w:t>Sucralose (E955)</w:t>
      </w:r>
    </w:p>
    <w:p w:rsidR="008F7FF3" w:rsidRPr="007722A3" w:rsidRDefault="008F7FF3">
      <w:pPr>
        <w:pStyle w:val="BodyText"/>
      </w:pPr>
    </w:p>
    <w:p w:rsidR="008F7FF3" w:rsidRPr="007722A3" w:rsidRDefault="008F7FF3">
      <w:pPr>
        <w:pStyle w:val="Heading3"/>
      </w:pPr>
      <w:r w:rsidRPr="007722A3">
        <w:t>6.2</w:t>
      </w:r>
      <w:r w:rsidRPr="007722A3">
        <w:tab/>
        <w:t>Incompatibilities</w:t>
      </w:r>
    </w:p>
    <w:p w:rsidR="008F7FF3" w:rsidRPr="007722A3" w:rsidRDefault="008F7FF3">
      <w:pPr>
        <w:pStyle w:val="BodyText"/>
      </w:pPr>
    </w:p>
    <w:p w:rsidR="008F7FF3" w:rsidRPr="007722A3" w:rsidRDefault="008F7FF3">
      <w:pPr>
        <w:pStyle w:val="BodyText"/>
      </w:pPr>
      <w:r w:rsidRPr="007722A3">
        <w:t>Not applicable.</w:t>
      </w:r>
    </w:p>
    <w:p w:rsidR="008F7FF3" w:rsidRPr="007722A3" w:rsidRDefault="008F7FF3">
      <w:pPr>
        <w:pStyle w:val="BodyText"/>
      </w:pPr>
    </w:p>
    <w:p w:rsidR="008F7FF3" w:rsidRPr="007722A3" w:rsidRDefault="008F7FF3" w:rsidP="000E0D4C">
      <w:pPr>
        <w:pStyle w:val="Heading3"/>
        <w:keepNext/>
      </w:pPr>
      <w:r w:rsidRPr="007722A3">
        <w:t>6.3</w:t>
      </w:r>
      <w:r w:rsidRPr="007722A3">
        <w:tab/>
        <w:t>Shelf life</w:t>
      </w:r>
    </w:p>
    <w:p w:rsidR="008F7FF3" w:rsidRPr="007722A3" w:rsidRDefault="008F7FF3" w:rsidP="000E0D4C">
      <w:pPr>
        <w:pStyle w:val="BodyText"/>
        <w:keepNext/>
      </w:pPr>
    </w:p>
    <w:p w:rsidR="008F7FF3" w:rsidRPr="007722A3" w:rsidRDefault="00711A8B">
      <w:pPr>
        <w:pStyle w:val="BodyText"/>
      </w:pPr>
      <w:r w:rsidRPr="007722A3">
        <w:t xml:space="preserve">3 </w:t>
      </w:r>
      <w:r w:rsidR="008F7FF3" w:rsidRPr="007722A3">
        <w:t>years.</w:t>
      </w:r>
    </w:p>
    <w:p w:rsidR="0022597C" w:rsidRPr="007722A3" w:rsidRDefault="0022597C">
      <w:pPr>
        <w:pStyle w:val="BodyText"/>
      </w:pPr>
    </w:p>
    <w:p w:rsidR="008F7FF3" w:rsidRPr="007722A3" w:rsidRDefault="008F7FF3">
      <w:pPr>
        <w:pStyle w:val="BodyText"/>
      </w:pPr>
      <w:r w:rsidRPr="007722A3">
        <w:t>After first opening use within 35 days.</w:t>
      </w:r>
    </w:p>
    <w:p w:rsidR="008F7FF3" w:rsidRPr="007722A3" w:rsidRDefault="008F7FF3">
      <w:pPr>
        <w:pStyle w:val="BodyText"/>
      </w:pPr>
    </w:p>
    <w:p w:rsidR="008F7FF3" w:rsidRPr="007722A3" w:rsidRDefault="008F7FF3" w:rsidP="003974E8">
      <w:pPr>
        <w:pStyle w:val="Heading3"/>
        <w:keepNext/>
      </w:pPr>
      <w:r w:rsidRPr="007722A3">
        <w:t>6.4</w:t>
      </w:r>
      <w:r w:rsidRPr="007722A3">
        <w:tab/>
        <w:t>Special precautions for storage</w:t>
      </w:r>
    </w:p>
    <w:p w:rsidR="008F7FF3" w:rsidRPr="007722A3" w:rsidRDefault="008F7FF3" w:rsidP="003974E8">
      <w:pPr>
        <w:pStyle w:val="BodyText"/>
        <w:keepNext/>
      </w:pPr>
    </w:p>
    <w:p w:rsidR="008F7FF3" w:rsidRPr="007722A3" w:rsidRDefault="008F7FF3">
      <w:pPr>
        <w:pStyle w:val="BodyText"/>
      </w:pPr>
      <w:r w:rsidRPr="007722A3">
        <w:t>Do not store above 30ºC. Store in the original package in order to protect from light.</w:t>
      </w:r>
    </w:p>
    <w:p w:rsidR="008F7FF3" w:rsidRPr="007722A3" w:rsidRDefault="008F7FF3">
      <w:pPr>
        <w:pStyle w:val="BodyText"/>
        <w:rPr>
          <w:b/>
        </w:rPr>
      </w:pPr>
    </w:p>
    <w:p w:rsidR="008F7FF3" w:rsidRPr="007722A3" w:rsidRDefault="008F7FF3" w:rsidP="003974E8">
      <w:pPr>
        <w:pStyle w:val="Heading3"/>
        <w:keepNext/>
      </w:pPr>
      <w:r w:rsidRPr="007722A3">
        <w:t>6.5</w:t>
      </w:r>
      <w:r w:rsidRPr="007722A3">
        <w:tab/>
        <w:t>Nature and contents of container</w:t>
      </w:r>
    </w:p>
    <w:p w:rsidR="008F7FF3" w:rsidRPr="007722A3" w:rsidRDefault="008F7FF3" w:rsidP="003974E8">
      <w:pPr>
        <w:pStyle w:val="BodyText"/>
        <w:keepNext/>
      </w:pPr>
    </w:p>
    <w:p w:rsidR="008F7FF3" w:rsidRPr="007722A3" w:rsidRDefault="008F7FF3">
      <w:pPr>
        <w:pStyle w:val="BodyText"/>
      </w:pPr>
      <w:r w:rsidRPr="007722A3">
        <w:t>Amber polyethylene terephthalate (PET) bottles with child resistant closure (polypropylene), and a graduated measuring cup (polypropylene).</w:t>
      </w:r>
    </w:p>
    <w:p w:rsidR="002D5C59" w:rsidRPr="007722A3" w:rsidRDefault="002D5C59">
      <w:pPr>
        <w:pStyle w:val="BodyText"/>
      </w:pPr>
    </w:p>
    <w:p w:rsidR="008F7FF3" w:rsidRPr="007722A3" w:rsidRDefault="008F7FF3">
      <w:pPr>
        <w:pStyle w:val="BodyText"/>
      </w:pPr>
      <w:r w:rsidRPr="007722A3">
        <w:t>Each pack contains one bottle of 250 ml or 500 ml oral solution.</w:t>
      </w:r>
    </w:p>
    <w:p w:rsidR="002D5C59" w:rsidRPr="007722A3" w:rsidRDefault="002D5C59">
      <w:pPr>
        <w:pStyle w:val="BodyText"/>
      </w:pPr>
    </w:p>
    <w:p w:rsidR="008F7FF3" w:rsidRPr="007722A3" w:rsidRDefault="008F7FF3">
      <w:pPr>
        <w:pStyle w:val="BodyText"/>
      </w:pPr>
      <w:r w:rsidRPr="007722A3">
        <w:t>Not all pack sizes may be marketed.</w:t>
      </w:r>
    </w:p>
    <w:p w:rsidR="008F7FF3" w:rsidRPr="007722A3" w:rsidRDefault="008F7FF3">
      <w:pPr>
        <w:pStyle w:val="BodyText"/>
      </w:pPr>
    </w:p>
    <w:p w:rsidR="008F7FF3" w:rsidRPr="007722A3" w:rsidRDefault="008F7FF3" w:rsidP="000B58E3">
      <w:pPr>
        <w:pStyle w:val="Heading3"/>
        <w:keepNext/>
      </w:pPr>
      <w:r w:rsidRPr="007722A3">
        <w:t>6.6</w:t>
      </w:r>
      <w:r w:rsidRPr="007722A3">
        <w:tab/>
        <w:t>Special precautions for disposal</w:t>
      </w:r>
    </w:p>
    <w:p w:rsidR="008F7FF3" w:rsidRPr="007722A3" w:rsidRDefault="008F7FF3" w:rsidP="000B58E3">
      <w:pPr>
        <w:pStyle w:val="BodyText"/>
        <w:keepNext/>
      </w:pPr>
    </w:p>
    <w:p w:rsidR="00A80C9B" w:rsidRPr="00822FD6" w:rsidRDefault="00A80C9B" w:rsidP="00A80C9B">
      <w:pPr>
        <w:rPr>
          <w:sz w:val="22"/>
          <w:szCs w:val="22"/>
          <w:lang w:val="en-GB"/>
        </w:rPr>
      </w:pPr>
      <w:r w:rsidRPr="00DD5AE2">
        <w:rPr>
          <w:sz w:val="22"/>
          <w:szCs w:val="22"/>
          <w:lang w:val="en-GB"/>
        </w:rPr>
        <w:t>Any unused medicinal product or waste material should be disposed of in accordance with local requirements.</w:t>
      </w:r>
    </w:p>
    <w:p w:rsidR="008F7FF3" w:rsidRPr="007722A3" w:rsidRDefault="008F7FF3">
      <w:pPr>
        <w:pStyle w:val="BodyText"/>
      </w:pPr>
    </w:p>
    <w:p w:rsidR="008F7FF3" w:rsidRPr="007722A3" w:rsidRDefault="008F7FF3">
      <w:pPr>
        <w:pStyle w:val="BodyText"/>
        <w:rPr>
          <w:b/>
        </w:rPr>
      </w:pPr>
    </w:p>
    <w:p w:rsidR="008F7FF3" w:rsidRPr="007722A3" w:rsidRDefault="008F7FF3" w:rsidP="00CE21BA">
      <w:pPr>
        <w:pStyle w:val="Heading2"/>
        <w:keepNext/>
      </w:pPr>
      <w:r w:rsidRPr="007722A3">
        <w:t>7.</w:t>
      </w:r>
      <w:r w:rsidRPr="007722A3">
        <w:tab/>
        <w:t>MARKETING AUTHORISATION HOLDER</w:t>
      </w:r>
    </w:p>
    <w:p w:rsidR="008F7FF3" w:rsidRPr="007722A3" w:rsidRDefault="008F7FF3" w:rsidP="00CE21BA">
      <w:pPr>
        <w:pStyle w:val="BodyText"/>
        <w:keepNext/>
      </w:pPr>
    </w:p>
    <w:p w:rsidR="00A30160" w:rsidRPr="00A30160" w:rsidRDefault="00A30160" w:rsidP="00A30160">
      <w:pPr>
        <w:rPr>
          <w:sz w:val="22"/>
          <w:szCs w:val="22"/>
          <w:lang w:val="it-IT"/>
        </w:rPr>
      </w:pPr>
      <w:r w:rsidRPr="00A30160">
        <w:rPr>
          <w:sz w:val="22"/>
          <w:szCs w:val="22"/>
          <w:lang w:val="it-IT"/>
        </w:rPr>
        <w:t>Chiesi Farmaceutici S.p.A</w:t>
      </w:r>
      <w:r w:rsidRPr="00504677">
        <w:rPr>
          <w:sz w:val="22"/>
          <w:szCs w:val="22"/>
          <w:lang w:val="it-IT"/>
        </w:rPr>
        <w:t>.</w:t>
      </w:r>
    </w:p>
    <w:p w:rsidR="00A30160" w:rsidRPr="00504677" w:rsidRDefault="00A30160" w:rsidP="00A30160">
      <w:pPr>
        <w:rPr>
          <w:sz w:val="22"/>
          <w:szCs w:val="22"/>
        </w:rPr>
      </w:pPr>
      <w:r w:rsidRPr="00504677">
        <w:rPr>
          <w:sz w:val="22"/>
          <w:szCs w:val="22"/>
        </w:rPr>
        <w:t xml:space="preserve">Via Palermo 26/A </w:t>
      </w:r>
    </w:p>
    <w:p w:rsidR="00A30160" w:rsidRPr="00504677" w:rsidRDefault="00A30160" w:rsidP="00A30160">
      <w:pPr>
        <w:rPr>
          <w:sz w:val="22"/>
          <w:szCs w:val="22"/>
        </w:rPr>
      </w:pPr>
      <w:r w:rsidRPr="00504677">
        <w:rPr>
          <w:sz w:val="22"/>
          <w:szCs w:val="22"/>
        </w:rPr>
        <w:t xml:space="preserve">43122 Parma </w:t>
      </w:r>
    </w:p>
    <w:p w:rsidR="00A30160" w:rsidRDefault="00A30160" w:rsidP="00A30160">
      <w:pPr>
        <w:rPr>
          <w:sz w:val="22"/>
          <w:szCs w:val="22"/>
        </w:rPr>
      </w:pPr>
      <w:r w:rsidRPr="00504677">
        <w:rPr>
          <w:sz w:val="22"/>
          <w:szCs w:val="22"/>
        </w:rPr>
        <w:t>Italy</w:t>
      </w:r>
    </w:p>
    <w:p w:rsidR="008F7FF3" w:rsidRPr="007722A3" w:rsidRDefault="008F7FF3">
      <w:pPr>
        <w:pStyle w:val="BodyText"/>
      </w:pPr>
    </w:p>
    <w:p w:rsidR="008F7FF3" w:rsidRPr="007722A3" w:rsidRDefault="008F7FF3">
      <w:pPr>
        <w:pStyle w:val="BodyText"/>
      </w:pPr>
    </w:p>
    <w:p w:rsidR="008F7FF3" w:rsidRPr="007722A3" w:rsidRDefault="008F7FF3" w:rsidP="0006787B">
      <w:pPr>
        <w:pStyle w:val="Heading2"/>
        <w:keepNext/>
      </w:pPr>
      <w:r w:rsidRPr="007722A3">
        <w:t>8.</w:t>
      </w:r>
      <w:r w:rsidRPr="007722A3">
        <w:tab/>
        <w:t>MARKETING AUTHORISATION NUMBER</w:t>
      </w:r>
    </w:p>
    <w:p w:rsidR="008F7FF3" w:rsidRPr="007722A3" w:rsidRDefault="008F7FF3" w:rsidP="0006787B">
      <w:pPr>
        <w:pStyle w:val="BodyText"/>
        <w:keepNext/>
        <w:rPr>
          <w:bCs/>
        </w:rPr>
      </w:pPr>
    </w:p>
    <w:p w:rsidR="004C228A" w:rsidRPr="007722A3" w:rsidRDefault="004C228A" w:rsidP="0006787B">
      <w:pPr>
        <w:pStyle w:val="BodyText"/>
        <w:keepNext/>
        <w:rPr>
          <w:bCs/>
        </w:rPr>
      </w:pPr>
      <w:r w:rsidRPr="007722A3">
        <w:rPr>
          <w:bCs/>
        </w:rPr>
        <w:t>EU/1/99/108/002</w:t>
      </w:r>
    </w:p>
    <w:p w:rsidR="004C228A" w:rsidRPr="007722A3" w:rsidRDefault="004C228A">
      <w:pPr>
        <w:pStyle w:val="BodyText"/>
        <w:rPr>
          <w:bCs/>
        </w:rPr>
      </w:pPr>
      <w:r w:rsidRPr="007722A3">
        <w:rPr>
          <w:bCs/>
        </w:rPr>
        <w:t>EU/1/99/108/003</w:t>
      </w:r>
    </w:p>
    <w:p w:rsidR="004C228A" w:rsidRPr="007722A3" w:rsidRDefault="004C228A">
      <w:pPr>
        <w:pStyle w:val="BodyText"/>
        <w:rPr>
          <w:bCs/>
        </w:rPr>
      </w:pPr>
    </w:p>
    <w:p w:rsidR="008F7FF3" w:rsidRPr="007722A3" w:rsidRDefault="008F7FF3">
      <w:pPr>
        <w:pStyle w:val="BodyText"/>
        <w:rPr>
          <w:bCs/>
        </w:rPr>
      </w:pPr>
    </w:p>
    <w:p w:rsidR="008F7FF3" w:rsidRPr="007722A3" w:rsidRDefault="008F7FF3" w:rsidP="0006787B">
      <w:pPr>
        <w:pStyle w:val="Heading2"/>
        <w:keepNext/>
      </w:pPr>
      <w:r w:rsidRPr="007722A3">
        <w:t>9.</w:t>
      </w:r>
      <w:r w:rsidRPr="007722A3">
        <w:tab/>
        <w:t>DATE OF FIRST AUTHORISATION/RENEWAL OF THE AUTHORISATION</w:t>
      </w:r>
    </w:p>
    <w:p w:rsidR="008F7FF3" w:rsidRPr="007722A3" w:rsidRDefault="008F7FF3" w:rsidP="0006787B">
      <w:pPr>
        <w:pStyle w:val="BodyText"/>
        <w:keepNext/>
      </w:pPr>
    </w:p>
    <w:p w:rsidR="008F7FF3" w:rsidRPr="007722A3" w:rsidRDefault="008F7FF3" w:rsidP="0006787B">
      <w:pPr>
        <w:keepNext/>
        <w:rPr>
          <w:sz w:val="22"/>
          <w:szCs w:val="22"/>
          <w:lang w:val="en-GB"/>
        </w:rPr>
      </w:pPr>
      <w:r w:rsidRPr="007722A3">
        <w:rPr>
          <w:sz w:val="22"/>
          <w:szCs w:val="22"/>
          <w:lang w:val="en-GB"/>
        </w:rPr>
        <w:t>Date of first authorisation: 25</w:t>
      </w:r>
      <w:r w:rsidR="002D5C59" w:rsidRPr="007722A3">
        <w:rPr>
          <w:sz w:val="22"/>
          <w:szCs w:val="22"/>
          <w:lang w:val="en-GB"/>
        </w:rPr>
        <w:t xml:space="preserve"> August </w:t>
      </w:r>
      <w:r w:rsidRPr="007722A3">
        <w:rPr>
          <w:sz w:val="22"/>
          <w:szCs w:val="22"/>
          <w:lang w:val="en-GB"/>
        </w:rPr>
        <w:t>1999</w:t>
      </w:r>
    </w:p>
    <w:p w:rsidR="00DF28E8" w:rsidRPr="007722A3" w:rsidRDefault="00DF28E8" w:rsidP="00DF28E8">
      <w:pPr>
        <w:rPr>
          <w:sz w:val="22"/>
          <w:szCs w:val="22"/>
          <w:lang w:val="en-GB"/>
        </w:rPr>
      </w:pPr>
      <w:r w:rsidRPr="007722A3">
        <w:rPr>
          <w:sz w:val="22"/>
          <w:szCs w:val="22"/>
          <w:lang w:val="en-GB"/>
        </w:rPr>
        <w:t>Date of latest renewal: 2</w:t>
      </w:r>
      <w:r>
        <w:rPr>
          <w:sz w:val="22"/>
          <w:szCs w:val="22"/>
          <w:lang w:val="en-GB"/>
        </w:rPr>
        <w:t>1</w:t>
      </w:r>
      <w:r w:rsidRPr="007722A3">
        <w:rPr>
          <w:sz w:val="22"/>
          <w:szCs w:val="22"/>
          <w:lang w:val="en-GB"/>
        </w:rPr>
        <w:t xml:space="preserve"> </w:t>
      </w:r>
      <w:r>
        <w:rPr>
          <w:sz w:val="22"/>
          <w:szCs w:val="22"/>
          <w:lang w:val="en-GB"/>
        </w:rPr>
        <w:t>September</w:t>
      </w:r>
      <w:r w:rsidRPr="007722A3">
        <w:rPr>
          <w:sz w:val="22"/>
          <w:szCs w:val="22"/>
          <w:lang w:val="en-GB"/>
        </w:rPr>
        <w:t xml:space="preserve"> 2009</w:t>
      </w:r>
    </w:p>
    <w:p w:rsidR="008F7FF3" w:rsidRPr="007722A3" w:rsidRDefault="008F7FF3">
      <w:pPr>
        <w:pStyle w:val="BodyText"/>
      </w:pPr>
    </w:p>
    <w:p w:rsidR="008F7FF3" w:rsidRPr="007722A3" w:rsidRDefault="008F7FF3">
      <w:pPr>
        <w:pStyle w:val="BodyText"/>
      </w:pPr>
    </w:p>
    <w:p w:rsidR="008F7FF3" w:rsidRPr="007722A3" w:rsidRDefault="008F7FF3">
      <w:pPr>
        <w:pStyle w:val="Heading2"/>
      </w:pPr>
      <w:r w:rsidRPr="007722A3">
        <w:t>10.</w:t>
      </w:r>
      <w:r w:rsidRPr="007722A3">
        <w:tab/>
        <w:t>DATE OF REVISION OF THE TEXT</w:t>
      </w:r>
    </w:p>
    <w:p w:rsidR="00991733" w:rsidRPr="007722A3" w:rsidRDefault="00991733" w:rsidP="00941F31">
      <w:pPr>
        <w:rPr>
          <w:sz w:val="22"/>
          <w:szCs w:val="22"/>
          <w:lang w:val="en-GB"/>
        </w:rPr>
      </w:pPr>
    </w:p>
    <w:p w:rsidR="00C237E4" w:rsidRPr="007722A3" w:rsidRDefault="00C237E4" w:rsidP="00941F31">
      <w:pPr>
        <w:rPr>
          <w:sz w:val="22"/>
          <w:szCs w:val="22"/>
          <w:lang w:val="en-GB"/>
        </w:rPr>
      </w:pPr>
    </w:p>
    <w:p w:rsidR="00C237E4" w:rsidRPr="007722A3" w:rsidRDefault="00C237E4" w:rsidP="00941F31">
      <w:pPr>
        <w:rPr>
          <w:sz w:val="22"/>
          <w:szCs w:val="22"/>
          <w:lang w:val="en-GB"/>
        </w:rPr>
      </w:pPr>
    </w:p>
    <w:p w:rsidR="00C237E4" w:rsidRPr="007722A3" w:rsidRDefault="00C237E4" w:rsidP="00941F31">
      <w:pPr>
        <w:rPr>
          <w:sz w:val="22"/>
          <w:szCs w:val="22"/>
          <w:lang w:val="en-GB"/>
        </w:rPr>
      </w:pPr>
    </w:p>
    <w:p w:rsidR="0023790F" w:rsidRPr="007722A3" w:rsidRDefault="009A02E3" w:rsidP="00941F31">
      <w:pPr>
        <w:rPr>
          <w:sz w:val="22"/>
          <w:szCs w:val="22"/>
          <w:u w:val="single"/>
          <w:lang w:val="en-GB"/>
        </w:rPr>
      </w:pPr>
      <w:r w:rsidRPr="007722A3">
        <w:rPr>
          <w:sz w:val="22"/>
          <w:szCs w:val="22"/>
          <w:lang w:val="en-GB"/>
        </w:rPr>
        <w:t xml:space="preserve">Detailed information on this </w:t>
      </w:r>
      <w:r w:rsidR="002D5C59" w:rsidRPr="007722A3">
        <w:rPr>
          <w:sz w:val="22"/>
          <w:szCs w:val="22"/>
          <w:lang w:val="en-GB"/>
        </w:rPr>
        <w:t xml:space="preserve">medicinal </w:t>
      </w:r>
      <w:r w:rsidRPr="007722A3">
        <w:rPr>
          <w:sz w:val="22"/>
          <w:szCs w:val="22"/>
          <w:lang w:val="en-GB"/>
        </w:rPr>
        <w:t>product is available on the website of the European Medicines Agency http://www.ema.europa.eu</w:t>
      </w:r>
      <w:r w:rsidR="0022597C" w:rsidRPr="007722A3">
        <w:rPr>
          <w:sz w:val="22"/>
          <w:szCs w:val="22"/>
          <w:lang w:val="en-GB"/>
        </w:rPr>
        <w:t>.</w:t>
      </w:r>
    </w:p>
    <w:p w:rsidR="0023790F" w:rsidRPr="007722A3" w:rsidRDefault="00006BA7" w:rsidP="006D793D">
      <w:pPr>
        <w:pStyle w:val="Noraml"/>
        <w:outlineLvl w:val="9"/>
        <w:rPr>
          <w:b w:val="0"/>
        </w:rPr>
      </w:pPr>
      <w:r>
        <w:rPr>
          <w:color w:val="0000FF"/>
          <w:u w:val="single"/>
        </w:rPr>
        <w:br w:type="page"/>
      </w:r>
    </w:p>
    <w:p w:rsidR="009D0EC8" w:rsidRPr="007722A3" w:rsidRDefault="009D0EC8" w:rsidP="0023790F">
      <w:pPr>
        <w:tabs>
          <w:tab w:val="left" w:pos="567"/>
        </w:tabs>
        <w:rPr>
          <w:b/>
          <w:sz w:val="22"/>
          <w:szCs w:val="22"/>
          <w:lang w:val="en-GB"/>
        </w:rPr>
      </w:pPr>
    </w:p>
    <w:p w:rsidR="0023790F" w:rsidRPr="007722A3" w:rsidRDefault="0023790F" w:rsidP="0023790F">
      <w:pPr>
        <w:pStyle w:val="BodyText"/>
      </w:pPr>
    </w:p>
    <w:p w:rsidR="0023790F" w:rsidRPr="007722A3" w:rsidRDefault="0023790F" w:rsidP="00A514B2">
      <w:pPr>
        <w:keepNext/>
        <w:rPr>
          <w:b/>
          <w:sz w:val="22"/>
          <w:szCs w:val="22"/>
          <w:lang w:val="en-GB"/>
        </w:rPr>
      </w:pPr>
    </w:p>
    <w:p w:rsidR="000303B1" w:rsidRPr="007722A3" w:rsidRDefault="000303B1" w:rsidP="000303B1">
      <w:pPr>
        <w:pStyle w:val="BodyText"/>
      </w:pPr>
    </w:p>
    <w:p w:rsidR="000303B1" w:rsidRPr="007722A3" w:rsidRDefault="000303B1" w:rsidP="000303B1">
      <w:pPr>
        <w:rPr>
          <w:sz w:val="22"/>
          <w:szCs w:val="22"/>
          <w:lang w:val="en-GB"/>
        </w:rPr>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Heading1"/>
        <w:rPr>
          <w:lang w:val="en-GB"/>
        </w:rPr>
      </w:pPr>
      <w:r w:rsidRPr="007722A3">
        <w:rPr>
          <w:lang w:val="en-GB"/>
        </w:rPr>
        <w:t>ANNEX II</w:t>
      </w:r>
    </w:p>
    <w:p w:rsidR="008F7FF3" w:rsidRPr="007722A3" w:rsidRDefault="008F7FF3">
      <w:pPr>
        <w:pStyle w:val="BodyText"/>
      </w:pPr>
    </w:p>
    <w:p w:rsidR="008F7FF3" w:rsidRPr="007722A3" w:rsidRDefault="008F7FF3" w:rsidP="00F00BB5">
      <w:pPr>
        <w:pStyle w:val="Heading1b"/>
        <w:ind w:right="883"/>
      </w:pPr>
      <w:r w:rsidRPr="007722A3">
        <w:t>A.</w:t>
      </w:r>
      <w:r w:rsidRPr="007722A3">
        <w:tab/>
        <w:t>MANUFACTUR</w:t>
      </w:r>
      <w:r w:rsidR="005A1965" w:rsidRPr="007722A3">
        <w:t>ER</w:t>
      </w:r>
      <w:r w:rsidRPr="007722A3">
        <w:t xml:space="preserve"> RESPONSIBLE FOR BATCH RELEASE</w:t>
      </w:r>
    </w:p>
    <w:p w:rsidR="008F7FF3" w:rsidRPr="007722A3" w:rsidRDefault="008F7FF3" w:rsidP="00F00BB5">
      <w:pPr>
        <w:pStyle w:val="BodyText"/>
        <w:ind w:right="883"/>
      </w:pPr>
    </w:p>
    <w:p w:rsidR="008F7FF3" w:rsidRPr="007722A3" w:rsidRDefault="008F7FF3" w:rsidP="00F00BB5">
      <w:pPr>
        <w:pStyle w:val="Heading1b"/>
        <w:ind w:right="883"/>
      </w:pPr>
      <w:r w:rsidRPr="007722A3">
        <w:t>B.</w:t>
      </w:r>
      <w:r w:rsidRPr="007722A3">
        <w:tab/>
        <w:t xml:space="preserve">CONDITIONS </w:t>
      </w:r>
      <w:r w:rsidR="005A1965" w:rsidRPr="007722A3">
        <w:t>OR RESTRICTIONS REGARDING SUPPLY AND USE</w:t>
      </w:r>
    </w:p>
    <w:p w:rsidR="005A1965" w:rsidRPr="007722A3" w:rsidRDefault="005A1965" w:rsidP="00F00BB5">
      <w:pPr>
        <w:pStyle w:val="Heading1b"/>
        <w:ind w:right="883"/>
      </w:pPr>
    </w:p>
    <w:p w:rsidR="005A1965" w:rsidRPr="007722A3" w:rsidRDefault="005A1965" w:rsidP="00F00BB5">
      <w:pPr>
        <w:pStyle w:val="Heading1b"/>
        <w:ind w:right="883"/>
      </w:pPr>
      <w:r w:rsidRPr="007722A3">
        <w:t>C.</w:t>
      </w:r>
      <w:r w:rsidRPr="007722A3">
        <w:tab/>
        <w:t>OTHER CONDITIONS AND REQUIREMENTS</w:t>
      </w:r>
      <w:r w:rsidR="00231F94" w:rsidRPr="007722A3">
        <w:t xml:space="preserve"> OF THE MARKETING AUTHORISATION</w:t>
      </w:r>
    </w:p>
    <w:p w:rsidR="00B764A2" w:rsidRPr="007722A3" w:rsidRDefault="00B764A2" w:rsidP="00F00BB5">
      <w:pPr>
        <w:pStyle w:val="Heading1b"/>
        <w:ind w:right="883"/>
      </w:pPr>
    </w:p>
    <w:p w:rsidR="00B764A2" w:rsidRPr="007722A3" w:rsidRDefault="00B764A2" w:rsidP="00F00BB5">
      <w:pPr>
        <w:pStyle w:val="Heading1b"/>
        <w:ind w:right="883"/>
      </w:pPr>
      <w:r w:rsidRPr="007722A3">
        <w:t>D.</w:t>
      </w:r>
      <w:r w:rsidRPr="007722A3">
        <w:tab/>
        <w:t>CONDITIONS OR RESTRICTIONS WITH REGARD TO THE SAFE AND EFFECTIVE USE OF THE MEDICINAL PRODUCT</w:t>
      </w:r>
    </w:p>
    <w:p w:rsidR="008F7FF3" w:rsidRPr="007722A3" w:rsidRDefault="008F7FF3">
      <w:pPr>
        <w:pStyle w:val="BodyText"/>
      </w:pPr>
    </w:p>
    <w:p w:rsidR="008F7FF3" w:rsidRPr="007722A3" w:rsidRDefault="008F7FF3" w:rsidP="002628EF">
      <w:pPr>
        <w:pStyle w:val="TitleB"/>
      </w:pPr>
      <w:r w:rsidRPr="007722A3">
        <w:br w:type="page"/>
        <w:t>A.</w:t>
      </w:r>
      <w:r w:rsidRPr="007722A3">
        <w:tab/>
        <w:t>MANUFACTUR</w:t>
      </w:r>
      <w:r w:rsidR="00231F94" w:rsidRPr="007722A3">
        <w:t>ER</w:t>
      </w:r>
      <w:r w:rsidRPr="007722A3">
        <w:t xml:space="preserve"> RESPONSIBLE FOR BATCH RELEASE</w:t>
      </w:r>
    </w:p>
    <w:p w:rsidR="008F7FF3" w:rsidRPr="007722A3" w:rsidRDefault="008F7FF3">
      <w:pPr>
        <w:pStyle w:val="BodyText"/>
      </w:pPr>
    </w:p>
    <w:p w:rsidR="00842934" w:rsidRDefault="00842934" w:rsidP="00842934">
      <w:pPr>
        <w:numPr>
          <w:ilvl w:val="12"/>
          <w:numId w:val="0"/>
        </w:numPr>
        <w:outlineLvl w:val="0"/>
        <w:rPr>
          <w:iCs/>
          <w:sz w:val="22"/>
          <w:szCs w:val="22"/>
          <w:u w:val="single"/>
          <w:lang w:val="en-GB"/>
        </w:rPr>
      </w:pPr>
      <w:r>
        <w:rPr>
          <w:iCs/>
          <w:sz w:val="22"/>
          <w:szCs w:val="22"/>
          <w:u w:val="single"/>
          <w:lang w:val="en-GB"/>
        </w:rPr>
        <w:t>Name and address of the manufacturer responsible for batch release</w:t>
      </w:r>
    </w:p>
    <w:p w:rsidR="00842934" w:rsidRPr="00842934" w:rsidRDefault="00842934" w:rsidP="00842934">
      <w:pPr>
        <w:pStyle w:val="PILMAHaddress"/>
        <w:tabs>
          <w:tab w:val="left" w:pos="720"/>
        </w:tabs>
        <w:rPr>
          <w:lang w:val="fr-FR"/>
        </w:rPr>
      </w:pPr>
      <w:bookmarkStart w:id="2" w:name="OLE_LINK12"/>
      <w:bookmarkStart w:id="3" w:name="OLE_LINK11"/>
      <w:r w:rsidRPr="00842934">
        <w:rPr>
          <w:lang w:val="fr-FR"/>
        </w:rPr>
        <w:t>Eurofins PROXY Laboratories B.V.</w:t>
      </w:r>
    </w:p>
    <w:p w:rsidR="00842934" w:rsidRDefault="00842934" w:rsidP="00842934">
      <w:pPr>
        <w:pStyle w:val="PILMAHaddress"/>
        <w:tabs>
          <w:tab w:val="left" w:pos="720"/>
        </w:tabs>
      </w:pPr>
      <w:r>
        <w:t>Archimedesweg 25</w:t>
      </w:r>
    </w:p>
    <w:p w:rsidR="00842934" w:rsidRDefault="00842934" w:rsidP="00842934">
      <w:pPr>
        <w:pStyle w:val="PILMAHaddress"/>
        <w:tabs>
          <w:tab w:val="left" w:pos="720"/>
        </w:tabs>
      </w:pPr>
      <w:r>
        <w:t>2333 CM Leiden</w:t>
      </w:r>
    </w:p>
    <w:p w:rsidR="00842934" w:rsidRDefault="00842934" w:rsidP="00842934">
      <w:pPr>
        <w:pStyle w:val="PILMAHaddress"/>
        <w:tabs>
          <w:tab w:val="left" w:pos="720"/>
        </w:tabs>
      </w:pPr>
      <w:r>
        <w:t>Netherlands</w:t>
      </w:r>
    </w:p>
    <w:bookmarkEnd w:id="2"/>
    <w:bookmarkEnd w:id="3"/>
    <w:p w:rsidR="00842934" w:rsidRDefault="00842934" w:rsidP="00842934">
      <w:pPr>
        <w:pStyle w:val="BodyText"/>
      </w:pPr>
    </w:p>
    <w:p w:rsidR="00842934" w:rsidRDefault="00842934" w:rsidP="00842934">
      <w:pPr>
        <w:pStyle w:val="BodyText"/>
      </w:pPr>
    </w:p>
    <w:p w:rsidR="008F7FF3" w:rsidRPr="007722A3" w:rsidRDefault="008F7FF3" w:rsidP="002628EF">
      <w:pPr>
        <w:pStyle w:val="TitleB"/>
      </w:pPr>
      <w:r w:rsidRPr="007722A3">
        <w:t>B.</w:t>
      </w:r>
      <w:r w:rsidRPr="007722A3">
        <w:tab/>
        <w:t xml:space="preserve">CONDITIONS </w:t>
      </w:r>
      <w:r w:rsidR="00EA1A22" w:rsidRPr="007722A3">
        <w:t>OR RESTRICTIONS REGARDING SUPPLY AND USE</w:t>
      </w:r>
    </w:p>
    <w:p w:rsidR="008F7FF3" w:rsidRPr="007722A3" w:rsidRDefault="008F7FF3">
      <w:pPr>
        <w:pStyle w:val="BodyText"/>
      </w:pPr>
    </w:p>
    <w:p w:rsidR="008F7FF3" w:rsidRPr="007722A3" w:rsidRDefault="008F7FF3">
      <w:pPr>
        <w:pStyle w:val="BodyText"/>
      </w:pPr>
      <w:r w:rsidRPr="007722A3">
        <w:t>Medicinal product subject to restricted medical prescription (</w:t>
      </w:r>
      <w:r w:rsidR="00516103" w:rsidRPr="007722A3">
        <w:t>s</w:t>
      </w:r>
      <w:r w:rsidRPr="007722A3">
        <w:t>ee Annex I: Summary of Product Characteristics, section 4.2).</w:t>
      </w:r>
    </w:p>
    <w:p w:rsidR="008F7FF3" w:rsidRPr="007722A3" w:rsidRDefault="008F7FF3">
      <w:pPr>
        <w:pStyle w:val="BodyText"/>
      </w:pPr>
    </w:p>
    <w:p w:rsidR="00516103" w:rsidRPr="007722A3" w:rsidRDefault="00516103">
      <w:pPr>
        <w:pStyle w:val="BodyText"/>
      </w:pPr>
    </w:p>
    <w:p w:rsidR="008F7FF3" w:rsidRPr="007722A3" w:rsidRDefault="00516103" w:rsidP="00516103">
      <w:pPr>
        <w:pStyle w:val="TitleB"/>
      </w:pPr>
      <w:r w:rsidRPr="007722A3">
        <w:t>C.</w:t>
      </w:r>
      <w:r w:rsidRPr="007722A3">
        <w:tab/>
        <w:t xml:space="preserve">OTHER </w:t>
      </w:r>
      <w:r w:rsidR="008F7FF3" w:rsidRPr="007722A3">
        <w:t xml:space="preserve">CONDITIONS </w:t>
      </w:r>
      <w:r w:rsidRPr="007722A3">
        <w:t>AND REQUIREMENTS OF THE MARKETING AUTHORISATION</w:t>
      </w:r>
    </w:p>
    <w:p w:rsidR="008F7FF3" w:rsidRPr="007722A3" w:rsidRDefault="008F7FF3">
      <w:pPr>
        <w:pStyle w:val="BodyText"/>
      </w:pPr>
    </w:p>
    <w:p w:rsidR="00703D35" w:rsidRPr="007722A3" w:rsidRDefault="00703D35" w:rsidP="00703D35">
      <w:pPr>
        <w:numPr>
          <w:ilvl w:val="0"/>
          <w:numId w:val="16"/>
        </w:numPr>
        <w:suppressLineNumbers/>
        <w:tabs>
          <w:tab w:val="left" w:pos="567"/>
        </w:tabs>
        <w:spacing w:line="260" w:lineRule="exact"/>
        <w:ind w:right="-1" w:hanging="720"/>
        <w:rPr>
          <w:b/>
          <w:sz w:val="22"/>
          <w:szCs w:val="22"/>
          <w:lang w:val="en-GB"/>
        </w:rPr>
      </w:pPr>
      <w:r w:rsidRPr="007722A3">
        <w:rPr>
          <w:b/>
          <w:sz w:val="22"/>
          <w:szCs w:val="22"/>
          <w:lang w:val="en-GB"/>
        </w:rPr>
        <w:t xml:space="preserve">Periodic </w:t>
      </w:r>
      <w:r w:rsidR="007D29D6">
        <w:rPr>
          <w:b/>
          <w:sz w:val="22"/>
          <w:szCs w:val="22"/>
          <w:lang w:val="en-GB"/>
        </w:rPr>
        <w:t>s</w:t>
      </w:r>
      <w:r w:rsidRPr="007722A3">
        <w:rPr>
          <w:b/>
          <w:sz w:val="22"/>
          <w:szCs w:val="22"/>
          <w:lang w:val="en-GB"/>
        </w:rPr>
        <w:t xml:space="preserve">afety </w:t>
      </w:r>
      <w:r w:rsidR="007D29D6">
        <w:rPr>
          <w:b/>
          <w:sz w:val="22"/>
          <w:szCs w:val="22"/>
          <w:lang w:val="en-GB"/>
        </w:rPr>
        <w:t>u</w:t>
      </w:r>
      <w:r w:rsidRPr="007722A3">
        <w:rPr>
          <w:b/>
          <w:sz w:val="22"/>
          <w:szCs w:val="22"/>
          <w:lang w:val="en-GB"/>
        </w:rPr>
        <w:t xml:space="preserve">pdate </w:t>
      </w:r>
      <w:r w:rsidR="007D29D6">
        <w:rPr>
          <w:b/>
          <w:sz w:val="22"/>
          <w:szCs w:val="22"/>
          <w:lang w:val="en-GB"/>
        </w:rPr>
        <w:t>r</w:t>
      </w:r>
      <w:r w:rsidRPr="007722A3">
        <w:rPr>
          <w:b/>
          <w:sz w:val="22"/>
          <w:szCs w:val="22"/>
          <w:lang w:val="en-GB"/>
        </w:rPr>
        <w:t>eports</w:t>
      </w:r>
      <w:r w:rsidR="007D29D6">
        <w:rPr>
          <w:b/>
          <w:sz w:val="22"/>
          <w:szCs w:val="22"/>
          <w:lang w:val="en-GB"/>
        </w:rPr>
        <w:t xml:space="preserve"> (PSURs)</w:t>
      </w:r>
    </w:p>
    <w:p w:rsidR="00925111" w:rsidRDefault="00925111" w:rsidP="00703D35">
      <w:pPr>
        <w:pStyle w:val="BodyText"/>
      </w:pPr>
    </w:p>
    <w:p w:rsidR="00703D35" w:rsidRPr="007722A3" w:rsidRDefault="005C53A0" w:rsidP="00861E01">
      <w:pPr>
        <w:pStyle w:val="BodyText"/>
      </w:pPr>
      <w:r w:rsidRPr="005C53A0">
        <w:t xml:space="preserve">The requirements </w:t>
      </w:r>
      <w:r w:rsidR="00861E01">
        <w:t xml:space="preserve">for submission of </w:t>
      </w:r>
      <w:r w:rsidR="007D29D6">
        <w:t>PSURs</w:t>
      </w:r>
      <w:r w:rsidR="00861E01">
        <w:t xml:space="preserve"> for this medicinal product are </w:t>
      </w:r>
      <w:r w:rsidRPr="005C53A0">
        <w:t xml:space="preserve">set out in the list of Union reference dates (EURD list) provided for under Article 107c(7) of Directive 2001/83/EC and </w:t>
      </w:r>
      <w:r w:rsidR="00861E01">
        <w:t xml:space="preserve">any subsequent updates </w:t>
      </w:r>
      <w:r w:rsidRPr="005C53A0">
        <w:t>published on the European medicines web-portal.</w:t>
      </w:r>
    </w:p>
    <w:p w:rsidR="00703D35" w:rsidRDefault="00703D35" w:rsidP="00703D35">
      <w:pPr>
        <w:pStyle w:val="BodyText"/>
      </w:pPr>
    </w:p>
    <w:p w:rsidR="00490D42" w:rsidRPr="007722A3" w:rsidRDefault="00490D42" w:rsidP="00703D35">
      <w:pPr>
        <w:pStyle w:val="BodyText"/>
      </w:pPr>
    </w:p>
    <w:p w:rsidR="00703D35" w:rsidRPr="007722A3" w:rsidRDefault="00703D35" w:rsidP="00703D35">
      <w:pPr>
        <w:pStyle w:val="TitleB"/>
      </w:pPr>
      <w:r w:rsidRPr="007722A3">
        <w:t>D.</w:t>
      </w:r>
      <w:r w:rsidRPr="007722A3">
        <w:tab/>
        <w:t>CONDITIONS OR RESTRICTIONS with REGARD to the safe and effective use of the medicinal product</w:t>
      </w:r>
    </w:p>
    <w:p w:rsidR="008F7FF3" w:rsidRPr="007722A3" w:rsidRDefault="008F7FF3">
      <w:pPr>
        <w:rPr>
          <w:sz w:val="22"/>
          <w:szCs w:val="22"/>
          <w:lang w:val="en-GB"/>
        </w:rPr>
      </w:pPr>
    </w:p>
    <w:p w:rsidR="008F7FF3" w:rsidRPr="007722A3" w:rsidRDefault="008F7FF3" w:rsidP="00034DF5">
      <w:pPr>
        <w:numPr>
          <w:ilvl w:val="0"/>
          <w:numId w:val="16"/>
        </w:numPr>
        <w:suppressLineNumbers/>
        <w:tabs>
          <w:tab w:val="left" w:pos="567"/>
        </w:tabs>
        <w:spacing w:line="260" w:lineRule="exact"/>
        <w:ind w:right="-1" w:hanging="720"/>
        <w:rPr>
          <w:b/>
          <w:sz w:val="22"/>
          <w:szCs w:val="22"/>
          <w:lang w:val="en-GB"/>
        </w:rPr>
      </w:pPr>
      <w:r w:rsidRPr="007722A3">
        <w:rPr>
          <w:b/>
          <w:sz w:val="22"/>
          <w:szCs w:val="22"/>
          <w:lang w:val="en-GB"/>
        </w:rPr>
        <w:t xml:space="preserve">Risk </w:t>
      </w:r>
      <w:r w:rsidR="007D29D6">
        <w:rPr>
          <w:b/>
          <w:sz w:val="22"/>
          <w:szCs w:val="22"/>
          <w:lang w:val="en-GB"/>
        </w:rPr>
        <w:t>m</w:t>
      </w:r>
      <w:r w:rsidRPr="007722A3">
        <w:rPr>
          <w:b/>
          <w:sz w:val="22"/>
          <w:szCs w:val="22"/>
          <w:lang w:val="en-GB"/>
        </w:rPr>
        <w:t xml:space="preserve">anagement </w:t>
      </w:r>
      <w:r w:rsidR="007D29D6">
        <w:rPr>
          <w:b/>
          <w:sz w:val="22"/>
          <w:szCs w:val="22"/>
          <w:lang w:val="en-GB"/>
        </w:rPr>
        <w:t>p</w:t>
      </w:r>
      <w:r w:rsidRPr="007722A3">
        <w:rPr>
          <w:b/>
          <w:sz w:val="22"/>
          <w:szCs w:val="22"/>
          <w:lang w:val="en-GB"/>
        </w:rPr>
        <w:t>lan</w:t>
      </w:r>
      <w:r w:rsidR="004D56B5" w:rsidRPr="007722A3">
        <w:rPr>
          <w:b/>
          <w:sz w:val="22"/>
          <w:szCs w:val="22"/>
          <w:lang w:val="en-GB"/>
        </w:rPr>
        <w:t xml:space="preserve"> (RMP)</w:t>
      </w:r>
    </w:p>
    <w:p w:rsidR="002F7CA1" w:rsidRDefault="002F7CA1">
      <w:pPr>
        <w:rPr>
          <w:sz w:val="22"/>
          <w:szCs w:val="22"/>
          <w:lang w:val="en-GB"/>
        </w:rPr>
      </w:pPr>
    </w:p>
    <w:p w:rsidR="008F7FF3" w:rsidRPr="007722A3" w:rsidRDefault="008F7FF3" w:rsidP="00861E01">
      <w:pPr>
        <w:rPr>
          <w:noProof/>
          <w:sz w:val="22"/>
          <w:szCs w:val="22"/>
          <w:lang w:val="en-GB"/>
        </w:rPr>
      </w:pPr>
      <w:r w:rsidRPr="007722A3">
        <w:rPr>
          <w:sz w:val="22"/>
          <w:szCs w:val="22"/>
          <w:lang w:val="en-GB"/>
        </w:rPr>
        <w:t xml:space="preserve">The </w:t>
      </w:r>
      <w:r w:rsidR="007D29D6">
        <w:rPr>
          <w:sz w:val="22"/>
          <w:szCs w:val="22"/>
          <w:lang w:val="en-GB"/>
        </w:rPr>
        <w:t>marketing authorisation holder (</w:t>
      </w:r>
      <w:r w:rsidRPr="007722A3">
        <w:rPr>
          <w:sz w:val="22"/>
          <w:szCs w:val="22"/>
          <w:lang w:val="en-GB"/>
        </w:rPr>
        <w:t>MAH</w:t>
      </w:r>
      <w:r w:rsidR="007D29D6">
        <w:rPr>
          <w:sz w:val="22"/>
          <w:szCs w:val="22"/>
          <w:lang w:val="en-GB"/>
        </w:rPr>
        <w:t>)</w:t>
      </w:r>
      <w:r w:rsidRPr="007722A3">
        <w:rPr>
          <w:sz w:val="22"/>
          <w:szCs w:val="22"/>
          <w:lang w:val="en-GB"/>
        </w:rPr>
        <w:t xml:space="preserve"> </w:t>
      </w:r>
      <w:r w:rsidR="004D56B5" w:rsidRPr="007722A3">
        <w:rPr>
          <w:sz w:val="22"/>
          <w:szCs w:val="22"/>
          <w:lang w:val="en-GB"/>
        </w:rPr>
        <w:t>shall</w:t>
      </w:r>
      <w:r w:rsidRPr="007722A3">
        <w:rPr>
          <w:sz w:val="22"/>
          <w:szCs w:val="22"/>
          <w:lang w:val="en-GB"/>
        </w:rPr>
        <w:t xml:space="preserve"> perform the </w:t>
      </w:r>
      <w:r w:rsidR="00034DF5" w:rsidRPr="007722A3">
        <w:rPr>
          <w:sz w:val="22"/>
          <w:szCs w:val="22"/>
          <w:lang w:val="en-GB"/>
        </w:rPr>
        <w:t xml:space="preserve">required </w:t>
      </w:r>
      <w:r w:rsidRPr="007722A3">
        <w:rPr>
          <w:sz w:val="22"/>
          <w:szCs w:val="22"/>
          <w:lang w:val="en-GB"/>
        </w:rPr>
        <w:t xml:space="preserve">pharmacovigilance activities </w:t>
      </w:r>
      <w:r w:rsidR="00034DF5" w:rsidRPr="007722A3">
        <w:rPr>
          <w:sz w:val="22"/>
          <w:szCs w:val="22"/>
          <w:lang w:val="en-GB"/>
        </w:rPr>
        <w:t xml:space="preserve">and interventions </w:t>
      </w:r>
      <w:r w:rsidRPr="007722A3">
        <w:rPr>
          <w:sz w:val="22"/>
          <w:szCs w:val="22"/>
          <w:lang w:val="en-GB"/>
        </w:rPr>
        <w:t xml:space="preserve">detailed in the agreed RMP presented in Module 1.8.2 of the </w:t>
      </w:r>
      <w:r w:rsidR="007D29D6">
        <w:rPr>
          <w:sz w:val="22"/>
          <w:szCs w:val="22"/>
          <w:lang w:val="en-GB"/>
        </w:rPr>
        <w:t>m</w:t>
      </w:r>
      <w:r w:rsidRPr="007722A3">
        <w:rPr>
          <w:noProof/>
          <w:sz w:val="22"/>
          <w:szCs w:val="22"/>
          <w:lang w:val="en-GB"/>
        </w:rPr>
        <w:t xml:space="preserve">arketing </w:t>
      </w:r>
      <w:r w:rsidR="007D29D6">
        <w:rPr>
          <w:noProof/>
          <w:sz w:val="22"/>
          <w:szCs w:val="22"/>
          <w:lang w:val="en-GB"/>
        </w:rPr>
        <w:t>a</w:t>
      </w:r>
      <w:r w:rsidRPr="007722A3">
        <w:rPr>
          <w:noProof/>
          <w:sz w:val="22"/>
          <w:szCs w:val="22"/>
          <w:lang w:val="en-GB"/>
        </w:rPr>
        <w:t xml:space="preserve">uthorisation and any </w:t>
      </w:r>
      <w:r w:rsidR="00034DF5" w:rsidRPr="007722A3">
        <w:rPr>
          <w:noProof/>
          <w:sz w:val="22"/>
          <w:szCs w:val="22"/>
          <w:lang w:val="en-GB"/>
        </w:rPr>
        <w:t xml:space="preserve">agreed </w:t>
      </w:r>
      <w:r w:rsidRPr="007722A3">
        <w:rPr>
          <w:noProof/>
          <w:sz w:val="22"/>
          <w:szCs w:val="22"/>
          <w:lang w:val="en-GB"/>
        </w:rPr>
        <w:t>subsequent updates of the RMP</w:t>
      </w:r>
      <w:r w:rsidR="00FA2E5D" w:rsidRPr="007722A3">
        <w:rPr>
          <w:noProof/>
          <w:sz w:val="22"/>
          <w:szCs w:val="22"/>
          <w:lang w:val="en-GB"/>
        </w:rPr>
        <w:t>.</w:t>
      </w:r>
    </w:p>
    <w:p w:rsidR="008F7FF3" w:rsidRPr="007722A3" w:rsidRDefault="008F7FF3">
      <w:pPr>
        <w:rPr>
          <w:sz w:val="22"/>
          <w:szCs w:val="22"/>
          <w:lang w:val="en-GB"/>
        </w:rPr>
      </w:pPr>
    </w:p>
    <w:p w:rsidR="008F7FF3" w:rsidRPr="007722A3" w:rsidRDefault="00034DF5" w:rsidP="00D25E54">
      <w:pPr>
        <w:rPr>
          <w:sz w:val="22"/>
          <w:szCs w:val="22"/>
          <w:lang w:val="en-GB"/>
        </w:rPr>
      </w:pPr>
      <w:r w:rsidRPr="007722A3">
        <w:rPr>
          <w:sz w:val="22"/>
          <w:szCs w:val="22"/>
          <w:lang w:val="en-GB"/>
        </w:rPr>
        <w:t xml:space="preserve">An </w:t>
      </w:r>
      <w:r w:rsidR="008F7FF3" w:rsidRPr="007722A3">
        <w:rPr>
          <w:sz w:val="22"/>
          <w:szCs w:val="22"/>
          <w:lang w:val="en-GB"/>
        </w:rPr>
        <w:t>updated RMP should be submitted:</w:t>
      </w:r>
    </w:p>
    <w:p w:rsidR="00EB6FDC" w:rsidRPr="007722A3" w:rsidRDefault="00EB6FDC" w:rsidP="00480B3A">
      <w:pPr>
        <w:numPr>
          <w:ilvl w:val="0"/>
          <w:numId w:val="3"/>
        </w:numPr>
        <w:rPr>
          <w:iCs/>
          <w:sz w:val="22"/>
          <w:szCs w:val="22"/>
          <w:lang w:val="en-GB"/>
        </w:rPr>
      </w:pPr>
      <w:r w:rsidRPr="007722A3">
        <w:rPr>
          <w:iCs/>
          <w:sz w:val="22"/>
          <w:szCs w:val="22"/>
          <w:lang w:val="en-GB"/>
        </w:rPr>
        <w:t>At the request of the European Medicines Agency</w:t>
      </w:r>
    </w:p>
    <w:p w:rsidR="008F7FF3" w:rsidRPr="007722A3" w:rsidRDefault="008F7FF3" w:rsidP="004A7022">
      <w:pPr>
        <w:numPr>
          <w:ilvl w:val="0"/>
          <w:numId w:val="3"/>
        </w:numPr>
        <w:rPr>
          <w:iCs/>
          <w:sz w:val="22"/>
          <w:szCs w:val="22"/>
          <w:lang w:val="en-GB"/>
        </w:rPr>
      </w:pPr>
      <w:r w:rsidRPr="007722A3">
        <w:rPr>
          <w:sz w:val="22"/>
          <w:szCs w:val="22"/>
          <w:lang w:val="en-GB"/>
        </w:rPr>
        <w:t>When</w:t>
      </w:r>
      <w:r w:rsidR="00EB6FDC" w:rsidRPr="007722A3">
        <w:rPr>
          <w:sz w:val="22"/>
          <w:szCs w:val="22"/>
          <w:lang w:val="en-GB"/>
        </w:rPr>
        <w:t>ever the risk management system is modified, especially as a result of</w:t>
      </w:r>
      <w:r w:rsidRPr="007722A3">
        <w:rPr>
          <w:sz w:val="22"/>
          <w:szCs w:val="22"/>
          <w:lang w:val="en-GB"/>
        </w:rPr>
        <w:t xml:space="preserve"> new information </w:t>
      </w:r>
      <w:r w:rsidR="00EB6FDC" w:rsidRPr="007722A3">
        <w:rPr>
          <w:sz w:val="22"/>
          <w:szCs w:val="22"/>
          <w:lang w:val="en-GB"/>
        </w:rPr>
        <w:t xml:space="preserve">being </w:t>
      </w:r>
      <w:r w:rsidRPr="007722A3">
        <w:rPr>
          <w:sz w:val="22"/>
          <w:szCs w:val="22"/>
          <w:lang w:val="en-GB"/>
        </w:rPr>
        <w:t xml:space="preserve">received that may </w:t>
      </w:r>
      <w:r w:rsidR="00EB6FDC" w:rsidRPr="007722A3">
        <w:rPr>
          <w:sz w:val="22"/>
          <w:szCs w:val="22"/>
          <w:lang w:val="en-GB"/>
        </w:rPr>
        <w:t>lead to a significant change to the benefit/risk profile or as the result</w:t>
      </w:r>
      <w:r w:rsidRPr="007722A3">
        <w:rPr>
          <w:sz w:val="22"/>
          <w:szCs w:val="22"/>
          <w:lang w:val="en-GB"/>
        </w:rPr>
        <w:t xml:space="preserve"> of an important (pharmacovigilance or risk minimisation) milestone being reached.</w:t>
      </w:r>
    </w:p>
    <w:p w:rsidR="00DD2302" w:rsidRDefault="00DD2302" w:rsidP="00DD2302">
      <w:pPr>
        <w:widowControl w:val="0"/>
        <w:tabs>
          <w:tab w:val="left" w:pos="567"/>
        </w:tabs>
        <w:spacing w:line="260" w:lineRule="exact"/>
      </w:pPr>
    </w:p>
    <w:p w:rsidR="004A7022" w:rsidRPr="007722A3" w:rsidRDefault="004A7022" w:rsidP="004A7022">
      <w:pPr>
        <w:numPr>
          <w:ilvl w:val="0"/>
          <w:numId w:val="16"/>
        </w:numPr>
        <w:suppressLineNumbers/>
        <w:tabs>
          <w:tab w:val="left" w:pos="567"/>
        </w:tabs>
        <w:spacing w:line="260" w:lineRule="exact"/>
        <w:ind w:right="-1" w:hanging="720"/>
        <w:rPr>
          <w:b/>
          <w:sz w:val="22"/>
          <w:szCs w:val="22"/>
          <w:lang w:val="en-GB"/>
        </w:rPr>
      </w:pPr>
      <w:r w:rsidRPr="007722A3">
        <w:rPr>
          <w:b/>
          <w:sz w:val="22"/>
          <w:szCs w:val="22"/>
          <w:lang w:val="en-GB"/>
        </w:rPr>
        <w:t>Additional risk minimi</w:t>
      </w:r>
      <w:r w:rsidR="007722A3">
        <w:rPr>
          <w:b/>
          <w:sz w:val="22"/>
          <w:szCs w:val="22"/>
          <w:lang w:val="en-GB"/>
        </w:rPr>
        <w:t>s</w:t>
      </w:r>
      <w:r w:rsidRPr="007722A3">
        <w:rPr>
          <w:b/>
          <w:sz w:val="22"/>
          <w:szCs w:val="22"/>
          <w:lang w:val="en-GB"/>
        </w:rPr>
        <w:t>ation measures</w:t>
      </w:r>
    </w:p>
    <w:p w:rsidR="00DD2302" w:rsidRDefault="00DD2302" w:rsidP="00125EF4">
      <w:pPr>
        <w:pStyle w:val="Heading2bulleted"/>
        <w:numPr>
          <w:ilvl w:val="0"/>
          <w:numId w:val="0"/>
        </w:numPr>
        <w:rPr>
          <w:b w:val="0"/>
        </w:rPr>
      </w:pPr>
    </w:p>
    <w:p w:rsidR="00330AE8" w:rsidRPr="00330AE8" w:rsidRDefault="00125EF4" w:rsidP="00330AE8">
      <w:pPr>
        <w:pStyle w:val="Heading2bulleted"/>
        <w:numPr>
          <w:ilvl w:val="0"/>
          <w:numId w:val="0"/>
        </w:numPr>
        <w:rPr>
          <w:rFonts w:cs="Verdana"/>
          <w:b w:val="0"/>
          <w:bCs/>
          <w:color w:val="231F20"/>
        </w:rPr>
      </w:pPr>
      <w:r w:rsidRPr="007722A3">
        <w:rPr>
          <w:b w:val="0"/>
        </w:rPr>
        <w:t>The MAH should provide a patient/carer reminder card in each pack, the text of which is included in the Package Leaflet.</w:t>
      </w:r>
      <w:r w:rsidR="00330AE8">
        <w:rPr>
          <w:b w:val="0"/>
        </w:rPr>
        <w:t xml:space="preserve"> </w:t>
      </w:r>
      <w:r w:rsidR="00330AE8" w:rsidRPr="00330AE8">
        <w:rPr>
          <w:rFonts w:cs="Verdana"/>
          <w:b w:val="0"/>
          <w:bCs/>
          <w:color w:val="231F20"/>
        </w:rPr>
        <w:t xml:space="preserve">The Patient/Carer reminder card shall contain the following key messages: </w:t>
      </w:r>
    </w:p>
    <w:p w:rsidR="00330AE8" w:rsidRPr="00330AE8" w:rsidRDefault="00330AE8" w:rsidP="00330AE8">
      <w:pPr>
        <w:numPr>
          <w:ilvl w:val="0"/>
          <w:numId w:val="3"/>
        </w:numPr>
        <w:rPr>
          <w:sz w:val="22"/>
          <w:szCs w:val="22"/>
          <w:lang w:val="en-GB"/>
        </w:rPr>
      </w:pPr>
      <w:r w:rsidRPr="00330AE8">
        <w:rPr>
          <w:sz w:val="22"/>
          <w:szCs w:val="22"/>
          <w:lang w:val="en-GB"/>
        </w:rPr>
        <w:t>To increase patient awareness of the importance of regular monitoring of the neutrophil count during treatment with deferiprone</w:t>
      </w:r>
    </w:p>
    <w:p w:rsidR="00330AE8" w:rsidRPr="00330AE8" w:rsidRDefault="00330AE8" w:rsidP="00330AE8">
      <w:pPr>
        <w:numPr>
          <w:ilvl w:val="0"/>
          <w:numId w:val="3"/>
        </w:numPr>
        <w:rPr>
          <w:sz w:val="22"/>
          <w:szCs w:val="22"/>
          <w:lang w:val="en-GB"/>
        </w:rPr>
      </w:pPr>
      <w:r w:rsidRPr="00330AE8">
        <w:rPr>
          <w:sz w:val="22"/>
          <w:szCs w:val="22"/>
          <w:lang w:val="en-GB"/>
        </w:rPr>
        <w:t>To increase patient awareness of the significance of any symptoms of infection while taking deferiprone</w:t>
      </w:r>
    </w:p>
    <w:p w:rsidR="00330AE8" w:rsidRPr="00330AE8" w:rsidRDefault="00330AE8" w:rsidP="00330AE8">
      <w:pPr>
        <w:numPr>
          <w:ilvl w:val="0"/>
          <w:numId w:val="3"/>
        </w:numPr>
        <w:rPr>
          <w:sz w:val="22"/>
          <w:szCs w:val="22"/>
          <w:lang w:val="en-GB"/>
        </w:rPr>
      </w:pPr>
      <w:r w:rsidRPr="00330AE8">
        <w:rPr>
          <w:sz w:val="22"/>
          <w:szCs w:val="22"/>
          <w:lang w:val="en-GB"/>
        </w:rPr>
        <w:t>To warn women of childbearing age to not become pregnant because deferiprone may seriously harm the unborn baby.</w:t>
      </w:r>
    </w:p>
    <w:p w:rsidR="00330AE8" w:rsidRPr="00330AE8" w:rsidRDefault="00330AE8" w:rsidP="00125EF4">
      <w:pPr>
        <w:pStyle w:val="Heading2bulleted"/>
        <w:numPr>
          <w:ilvl w:val="0"/>
          <w:numId w:val="0"/>
        </w:numPr>
        <w:rPr>
          <w:b w:val="0"/>
          <w:lang w:val="en-US"/>
        </w:rPr>
      </w:pPr>
    </w:p>
    <w:p w:rsidR="00125EF4" w:rsidRPr="007722A3" w:rsidRDefault="00125EF4" w:rsidP="00125EF4">
      <w:pPr>
        <w:pStyle w:val="BodyText"/>
      </w:pPr>
    </w:p>
    <w:p w:rsidR="008F7FF3" w:rsidRPr="007722A3" w:rsidRDefault="008F7FF3">
      <w:pPr>
        <w:pStyle w:val="BodyText"/>
      </w:pPr>
      <w:r w:rsidRPr="007722A3">
        <w:br w:type="page"/>
      </w: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rPr>
          <w:b/>
        </w:rPr>
      </w:pPr>
    </w:p>
    <w:p w:rsidR="008F7FF3" w:rsidRPr="007722A3" w:rsidRDefault="008F7FF3">
      <w:pPr>
        <w:pStyle w:val="BodyText"/>
        <w:rPr>
          <w:b/>
        </w:rPr>
      </w:pPr>
    </w:p>
    <w:p w:rsidR="008F7FF3" w:rsidRPr="007722A3" w:rsidRDefault="008F7FF3">
      <w:pPr>
        <w:pStyle w:val="BodyText"/>
        <w:rPr>
          <w:b/>
        </w:rPr>
      </w:pPr>
    </w:p>
    <w:p w:rsidR="008F7FF3" w:rsidRPr="007722A3" w:rsidRDefault="008F7FF3">
      <w:pPr>
        <w:pStyle w:val="BodyText"/>
        <w:rPr>
          <w:b/>
        </w:rPr>
      </w:pPr>
    </w:p>
    <w:p w:rsidR="008F7FF3" w:rsidRPr="007722A3" w:rsidRDefault="008F7FF3">
      <w:pPr>
        <w:pStyle w:val="BodyText"/>
        <w:rPr>
          <w:b/>
        </w:rPr>
      </w:pPr>
    </w:p>
    <w:p w:rsidR="008F7FF3" w:rsidRPr="007722A3" w:rsidRDefault="008F7FF3">
      <w:pPr>
        <w:pStyle w:val="Heading1"/>
        <w:rPr>
          <w:lang w:val="en-GB"/>
        </w:rPr>
      </w:pPr>
      <w:r w:rsidRPr="007722A3">
        <w:rPr>
          <w:lang w:val="en-GB"/>
        </w:rPr>
        <w:t>ANNEX III</w:t>
      </w:r>
    </w:p>
    <w:p w:rsidR="008F7FF3" w:rsidRPr="007722A3" w:rsidRDefault="008F7FF3">
      <w:pPr>
        <w:pStyle w:val="BodyText"/>
      </w:pPr>
    </w:p>
    <w:p w:rsidR="008F7FF3" w:rsidRPr="007722A3" w:rsidRDefault="008F7FF3">
      <w:pPr>
        <w:pStyle w:val="Heading1a"/>
      </w:pPr>
      <w:r w:rsidRPr="007722A3">
        <w:t>LABELLING AND PACKAGE LEAFLET</w:t>
      </w:r>
    </w:p>
    <w:p w:rsidR="008F7FF3" w:rsidRPr="007722A3" w:rsidRDefault="008F7FF3">
      <w:pPr>
        <w:pStyle w:val="BodyText"/>
      </w:pPr>
    </w:p>
    <w:p w:rsidR="008F7FF3" w:rsidRPr="007722A3" w:rsidRDefault="008F7FF3">
      <w:pPr>
        <w:pStyle w:val="BodyText"/>
      </w:pPr>
    </w:p>
    <w:p w:rsidR="008F7FF3" w:rsidRPr="007722A3" w:rsidRDefault="008F7FF3">
      <w:pPr>
        <w:pStyle w:val="BodyText"/>
      </w:pPr>
      <w:r w:rsidRPr="007722A3">
        <w:br w:type="page"/>
      </w: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rsidP="002628EF">
      <w:pPr>
        <w:pStyle w:val="TitleA"/>
      </w:pPr>
      <w:r w:rsidRPr="007722A3">
        <w:t>A. LABELLING</w:t>
      </w:r>
    </w:p>
    <w:p w:rsidR="008F7FF3" w:rsidRPr="007722A3" w:rsidRDefault="008F7FF3">
      <w:pPr>
        <w:pStyle w:val="BodyText"/>
      </w:pPr>
    </w:p>
    <w:p w:rsidR="008F7FF3" w:rsidRPr="007722A3" w:rsidRDefault="008F7FF3">
      <w:pPr>
        <w:rPr>
          <w:sz w:val="22"/>
          <w:szCs w:val="22"/>
          <w:lang w:val="en-GB"/>
        </w:rPr>
      </w:pPr>
      <w:r w:rsidRPr="007722A3">
        <w:rPr>
          <w:sz w:val="22"/>
          <w:szCs w:val="22"/>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rPr>
          <w:trHeight w:val="544"/>
        </w:trPr>
        <w:tc>
          <w:tcPr>
            <w:tcW w:w="9287" w:type="dxa"/>
            <w:tcBorders>
              <w:bottom w:val="single" w:sz="4" w:space="0" w:color="auto"/>
            </w:tcBorders>
          </w:tcPr>
          <w:p w:rsidR="008F7FF3" w:rsidRPr="007722A3" w:rsidRDefault="008F7FF3">
            <w:pPr>
              <w:rPr>
                <w:b/>
                <w:sz w:val="22"/>
                <w:szCs w:val="22"/>
                <w:lang w:val="en-GB"/>
              </w:rPr>
            </w:pPr>
            <w:r w:rsidRPr="007722A3">
              <w:rPr>
                <w:b/>
                <w:sz w:val="22"/>
                <w:szCs w:val="22"/>
                <w:lang w:val="en-GB"/>
              </w:rPr>
              <w:t>PARTICULARS TO APPEAR ON THE OUTER PACKAGING AND THE IMMEDIATE PACKAGING</w:t>
            </w:r>
          </w:p>
          <w:p w:rsidR="008F7FF3" w:rsidRPr="007722A3" w:rsidRDefault="008F7FF3">
            <w:pPr>
              <w:rPr>
                <w:b/>
                <w:sz w:val="22"/>
                <w:szCs w:val="22"/>
                <w:lang w:val="en-GB"/>
              </w:rPr>
            </w:pPr>
          </w:p>
          <w:p w:rsidR="008F7FF3" w:rsidRPr="007722A3" w:rsidRDefault="008F7FF3">
            <w:pPr>
              <w:rPr>
                <w:b/>
                <w:sz w:val="22"/>
                <w:szCs w:val="22"/>
                <w:lang w:val="en-GB"/>
              </w:rPr>
            </w:pPr>
            <w:r w:rsidRPr="007722A3">
              <w:rPr>
                <w:b/>
                <w:sz w:val="22"/>
                <w:szCs w:val="22"/>
                <w:lang w:val="en-GB"/>
              </w:rPr>
              <w:t>BOTTLE OF 100 TABLETS</w:t>
            </w:r>
          </w:p>
        </w:tc>
      </w:tr>
    </w:tbl>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w:t>
            </w:r>
            <w:r w:rsidRPr="007722A3">
              <w:rPr>
                <w:b/>
                <w:sz w:val="22"/>
                <w:szCs w:val="22"/>
                <w:lang w:val="en-GB"/>
              </w:rPr>
              <w:tab/>
              <w:t>NAME OF THE MEDICINAL PRODUCT</w:t>
            </w:r>
          </w:p>
        </w:tc>
      </w:tr>
    </w:tbl>
    <w:p w:rsidR="008F7FF3" w:rsidRPr="007722A3" w:rsidRDefault="008F7FF3">
      <w:pPr>
        <w:rPr>
          <w:sz w:val="22"/>
          <w:szCs w:val="22"/>
          <w:lang w:val="en-GB"/>
        </w:rPr>
      </w:pPr>
    </w:p>
    <w:p w:rsidR="008F7FF3" w:rsidRPr="007722A3" w:rsidRDefault="008F7FF3">
      <w:pPr>
        <w:pStyle w:val="Norma"/>
        <w:rPr>
          <w:szCs w:val="22"/>
          <w:lang w:val="en-GB"/>
        </w:rPr>
      </w:pPr>
      <w:r w:rsidRPr="007722A3">
        <w:rPr>
          <w:szCs w:val="22"/>
          <w:lang w:val="en-GB"/>
        </w:rPr>
        <w:t>Ferriprox 500 mg film-coated tablets</w:t>
      </w:r>
    </w:p>
    <w:p w:rsidR="008F7FF3" w:rsidRPr="007722A3" w:rsidRDefault="008F7FF3">
      <w:pPr>
        <w:rPr>
          <w:sz w:val="22"/>
          <w:szCs w:val="22"/>
          <w:lang w:val="en-GB"/>
        </w:rPr>
      </w:pPr>
      <w:r w:rsidRPr="007722A3">
        <w:rPr>
          <w:sz w:val="22"/>
          <w:szCs w:val="22"/>
          <w:lang w:val="en-GB"/>
        </w:rPr>
        <w:t>deferiprone</w:t>
      </w:r>
    </w:p>
    <w:p w:rsidR="008F7FF3" w:rsidRPr="007722A3" w:rsidRDefault="008F7FF3">
      <w:pPr>
        <w:pStyle w:val="Norma"/>
        <w:rPr>
          <w:szCs w:val="22"/>
          <w:lang w:val="en-GB"/>
        </w:rPr>
      </w:pPr>
    </w:p>
    <w:p w:rsidR="008F7FF3" w:rsidRPr="007722A3" w:rsidRDefault="008F7FF3">
      <w:pPr>
        <w:pStyle w:val="Norma"/>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2.</w:t>
            </w:r>
            <w:r w:rsidRPr="007722A3">
              <w:rPr>
                <w:b/>
                <w:sz w:val="22"/>
                <w:szCs w:val="22"/>
                <w:lang w:val="en-GB"/>
              </w:rPr>
              <w:tab/>
              <w:t>STATEMENT OF ACTIVE SUBSTANCE(S)</w:t>
            </w:r>
          </w:p>
        </w:tc>
      </w:tr>
    </w:tbl>
    <w:p w:rsidR="008F7FF3" w:rsidRPr="007722A3" w:rsidRDefault="008F7FF3">
      <w:pPr>
        <w:rPr>
          <w:sz w:val="22"/>
          <w:szCs w:val="22"/>
          <w:lang w:val="en-GB"/>
        </w:rPr>
      </w:pPr>
    </w:p>
    <w:p w:rsidR="008F7FF3" w:rsidRPr="007722A3" w:rsidRDefault="008F7FF3">
      <w:pPr>
        <w:rPr>
          <w:noProof/>
          <w:sz w:val="22"/>
          <w:szCs w:val="22"/>
          <w:lang w:val="en-GB"/>
        </w:rPr>
      </w:pPr>
      <w:r w:rsidRPr="007722A3">
        <w:rPr>
          <w:noProof/>
          <w:sz w:val="22"/>
          <w:szCs w:val="22"/>
          <w:lang w:val="en-GB"/>
        </w:rPr>
        <w:t>One tablet contains 500 mg deferiprone</w:t>
      </w:r>
      <w:r w:rsidR="006604BA" w:rsidRPr="007722A3">
        <w:rPr>
          <w:noProof/>
          <w:sz w:val="22"/>
          <w:szCs w:val="22"/>
          <w:lang w:val="en-GB"/>
        </w:rPr>
        <w:t>.</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3.</w:t>
            </w:r>
            <w:r w:rsidRPr="007722A3">
              <w:rPr>
                <w:b/>
                <w:sz w:val="22"/>
                <w:szCs w:val="22"/>
                <w:lang w:val="en-GB"/>
              </w:rPr>
              <w:tab/>
              <w:t>LIST OF EXCIPIENTS</w:t>
            </w:r>
          </w:p>
        </w:tc>
      </w:tr>
    </w:tbl>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4.</w:t>
            </w:r>
            <w:r w:rsidRPr="007722A3">
              <w:rPr>
                <w:b/>
                <w:sz w:val="22"/>
                <w:szCs w:val="22"/>
                <w:lang w:val="en-GB"/>
              </w:rPr>
              <w:tab/>
              <w:t>PHARMACEUTICAL FORM AND CONTENTS</w:t>
            </w:r>
          </w:p>
        </w:tc>
      </w:tr>
    </w:tbl>
    <w:p w:rsidR="008F7FF3" w:rsidRPr="007722A3" w:rsidRDefault="008F7FF3">
      <w:pPr>
        <w:rPr>
          <w:sz w:val="22"/>
          <w:szCs w:val="22"/>
          <w:lang w:val="en-GB"/>
        </w:rPr>
      </w:pPr>
    </w:p>
    <w:p w:rsidR="008F7FF3" w:rsidRPr="007722A3" w:rsidRDefault="008F7FF3">
      <w:pPr>
        <w:rPr>
          <w:noProof/>
          <w:sz w:val="22"/>
          <w:szCs w:val="22"/>
          <w:lang w:val="en-GB"/>
        </w:rPr>
      </w:pPr>
      <w:r w:rsidRPr="007722A3">
        <w:rPr>
          <w:noProof/>
          <w:sz w:val="22"/>
          <w:szCs w:val="22"/>
          <w:lang w:val="en-GB"/>
        </w:rPr>
        <w:t xml:space="preserve">100 </w:t>
      </w:r>
      <w:r w:rsidR="0035640F" w:rsidRPr="007722A3">
        <w:rPr>
          <w:noProof/>
          <w:sz w:val="22"/>
          <w:szCs w:val="22"/>
          <w:lang w:val="en-GB"/>
        </w:rPr>
        <w:t xml:space="preserve">film-coated </w:t>
      </w:r>
      <w:r w:rsidRPr="007722A3">
        <w:rPr>
          <w:noProof/>
          <w:sz w:val="22"/>
          <w:szCs w:val="22"/>
          <w:lang w:val="en-GB"/>
        </w:rPr>
        <w:t>tablets</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5.</w:t>
            </w:r>
            <w:r w:rsidRPr="007722A3">
              <w:rPr>
                <w:b/>
                <w:sz w:val="22"/>
                <w:szCs w:val="22"/>
                <w:lang w:val="en-GB"/>
              </w:rPr>
              <w:tab/>
              <w:t>METHOD AND ROUTE(S) OF ADMINISTRATION</w:t>
            </w:r>
          </w:p>
        </w:tc>
      </w:tr>
    </w:tbl>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Oral use</w:t>
      </w:r>
    </w:p>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Read the package leaflet before use.</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rsidP="0067305A">
            <w:pPr>
              <w:tabs>
                <w:tab w:val="left" w:pos="142"/>
              </w:tabs>
              <w:ind w:left="567" w:hanging="567"/>
              <w:rPr>
                <w:b/>
                <w:sz w:val="22"/>
                <w:szCs w:val="22"/>
                <w:lang w:val="en-GB"/>
              </w:rPr>
            </w:pPr>
            <w:r w:rsidRPr="007722A3">
              <w:rPr>
                <w:b/>
                <w:sz w:val="22"/>
                <w:szCs w:val="22"/>
                <w:lang w:val="en-GB"/>
              </w:rPr>
              <w:t>6.</w:t>
            </w:r>
            <w:r w:rsidRPr="007722A3">
              <w:rPr>
                <w:b/>
                <w:sz w:val="22"/>
                <w:szCs w:val="22"/>
                <w:lang w:val="en-GB"/>
              </w:rPr>
              <w:tab/>
              <w:t xml:space="preserve">SPECIAL WARNING THAT THE MEDICINAL PRODUCT MUST BE STORED OUT OF THE </w:t>
            </w:r>
            <w:r w:rsidR="0067305A" w:rsidRPr="007722A3">
              <w:rPr>
                <w:b/>
                <w:sz w:val="22"/>
                <w:szCs w:val="22"/>
                <w:lang w:val="en-GB"/>
              </w:rPr>
              <w:t xml:space="preserve">SIGHT AND </w:t>
            </w:r>
            <w:r w:rsidRPr="007722A3">
              <w:rPr>
                <w:b/>
                <w:sz w:val="22"/>
                <w:szCs w:val="22"/>
                <w:lang w:val="en-GB"/>
              </w:rPr>
              <w:t>REACH OF CHILDREN</w:t>
            </w:r>
          </w:p>
        </w:tc>
      </w:tr>
    </w:tbl>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 xml:space="preserve">Keep out of the </w:t>
      </w:r>
      <w:r w:rsidR="0067305A" w:rsidRPr="007722A3">
        <w:rPr>
          <w:sz w:val="22"/>
          <w:szCs w:val="22"/>
          <w:lang w:val="en-GB"/>
        </w:rPr>
        <w:t xml:space="preserve">sight and </w:t>
      </w:r>
      <w:r w:rsidRPr="007722A3">
        <w:rPr>
          <w:sz w:val="22"/>
          <w:szCs w:val="22"/>
          <w:lang w:val="en-GB"/>
        </w:rPr>
        <w:t>reach of children</w:t>
      </w:r>
      <w:r w:rsidR="00A80C9B">
        <w:rPr>
          <w:sz w:val="22"/>
          <w:szCs w:val="22"/>
          <w:lang w:val="en-GB"/>
        </w:rPr>
        <w:t>.</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7.</w:t>
            </w:r>
            <w:r w:rsidRPr="007722A3">
              <w:rPr>
                <w:b/>
                <w:sz w:val="22"/>
                <w:szCs w:val="22"/>
                <w:lang w:val="en-GB"/>
              </w:rPr>
              <w:tab/>
              <w:t>OTHER SPECIAL WARNING(S), IF NECESSARY</w:t>
            </w:r>
          </w:p>
        </w:tc>
      </w:tr>
    </w:tbl>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rsidP="00357EB1">
            <w:pPr>
              <w:keepNext/>
              <w:tabs>
                <w:tab w:val="left" w:pos="142"/>
              </w:tabs>
              <w:ind w:left="567" w:hanging="567"/>
              <w:rPr>
                <w:b/>
                <w:sz w:val="22"/>
                <w:szCs w:val="22"/>
                <w:lang w:val="en-GB"/>
              </w:rPr>
            </w:pPr>
            <w:r w:rsidRPr="007722A3">
              <w:rPr>
                <w:b/>
                <w:sz w:val="22"/>
                <w:szCs w:val="22"/>
                <w:lang w:val="en-GB"/>
              </w:rPr>
              <w:t>8.</w:t>
            </w:r>
            <w:r w:rsidRPr="007722A3">
              <w:rPr>
                <w:b/>
                <w:sz w:val="22"/>
                <w:szCs w:val="22"/>
                <w:lang w:val="en-GB"/>
              </w:rPr>
              <w:tab/>
              <w:t>EXPIRY DATE</w:t>
            </w:r>
          </w:p>
        </w:tc>
      </w:tr>
    </w:tbl>
    <w:p w:rsidR="008F7FF3" w:rsidRPr="007722A3" w:rsidRDefault="008F7FF3" w:rsidP="00357EB1">
      <w:pPr>
        <w:keepNext/>
        <w:rPr>
          <w:sz w:val="22"/>
          <w:szCs w:val="22"/>
          <w:lang w:val="en-GB"/>
        </w:rPr>
      </w:pPr>
    </w:p>
    <w:p w:rsidR="008F7FF3" w:rsidRPr="007722A3" w:rsidRDefault="008F7FF3">
      <w:pPr>
        <w:rPr>
          <w:sz w:val="22"/>
          <w:szCs w:val="22"/>
          <w:lang w:val="en-GB"/>
        </w:rPr>
      </w:pPr>
      <w:r w:rsidRPr="007722A3">
        <w:rPr>
          <w:sz w:val="22"/>
          <w:szCs w:val="22"/>
          <w:lang w:val="en-GB"/>
        </w:rPr>
        <w:t>EXP</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rsidP="00357EB1">
            <w:pPr>
              <w:keepNext/>
              <w:tabs>
                <w:tab w:val="left" w:pos="142"/>
              </w:tabs>
              <w:ind w:left="567" w:hanging="567"/>
              <w:rPr>
                <w:sz w:val="22"/>
                <w:szCs w:val="22"/>
                <w:lang w:val="en-GB"/>
              </w:rPr>
            </w:pPr>
            <w:r w:rsidRPr="007722A3">
              <w:rPr>
                <w:b/>
                <w:sz w:val="22"/>
                <w:szCs w:val="22"/>
                <w:lang w:val="en-GB"/>
              </w:rPr>
              <w:t>9.</w:t>
            </w:r>
            <w:r w:rsidRPr="007722A3">
              <w:rPr>
                <w:b/>
                <w:sz w:val="22"/>
                <w:szCs w:val="22"/>
                <w:lang w:val="en-GB"/>
              </w:rPr>
              <w:tab/>
              <w:t>SPECIAL STORAGE CONDITIONS</w:t>
            </w:r>
          </w:p>
        </w:tc>
      </w:tr>
    </w:tbl>
    <w:p w:rsidR="008F7FF3" w:rsidRPr="007722A3" w:rsidRDefault="008F7FF3" w:rsidP="00357EB1">
      <w:pPr>
        <w:keepNext/>
        <w:rPr>
          <w:sz w:val="22"/>
          <w:szCs w:val="22"/>
          <w:lang w:val="en-GB"/>
        </w:rPr>
      </w:pPr>
    </w:p>
    <w:p w:rsidR="008F7FF3" w:rsidRPr="007722A3" w:rsidRDefault="008F7FF3">
      <w:pPr>
        <w:rPr>
          <w:sz w:val="22"/>
          <w:szCs w:val="22"/>
          <w:lang w:val="en-GB"/>
        </w:rPr>
      </w:pPr>
      <w:r w:rsidRPr="007722A3">
        <w:rPr>
          <w:sz w:val="22"/>
          <w:szCs w:val="22"/>
          <w:lang w:val="en-GB"/>
        </w:rPr>
        <w:t>Do not store above 30</w:t>
      </w:r>
      <w:r w:rsidRPr="007722A3">
        <w:rPr>
          <w:rFonts w:ascii="Symbol" w:hAnsi="Symbol"/>
          <w:sz w:val="22"/>
          <w:szCs w:val="22"/>
          <w:lang w:val="en-GB"/>
        </w:rPr>
        <w:sym w:font="Symbol" w:char="F0B0"/>
      </w:r>
      <w:r w:rsidRPr="007722A3">
        <w:rPr>
          <w:sz w:val="22"/>
          <w:szCs w:val="22"/>
          <w:lang w:val="en-GB"/>
        </w:rPr>
        <w:t>C</w:t>
      </w:r>
      <w:r w:rsidR="006604BA" w:rsidRPr="007722A3">
        <w:rPr>
          <w:sz w:val="22"/>
          <w:szCs w:val="22"/>
          <w:lang w:val="en-GB"/>
        </w:rPr>
        <w:t>.</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10.</w:t>
            </w:r>
            <w:r w:rsidRPr="007722A3">
              <w:rPr>
                <w:b/>
                <w:sz w:val="22"/>
                <w:szCs w:val="22"/>
                <w:lang w:val="en-GB"/>
              </w:rPr>
              <w:tab/>
              <w:t>SPECIAL PRECAUTIONS FOR DISPOSAL OF UNUSED MEDICINAL PRODUCTS OR WASTE MATERIALS DERIVED FROM SUCH MEDICINAL PRODUCTS, IF APPROPRIATE</w:t>
            </w:r>
          </w:p>
        </w:tc>
      </w:tr>
    </w:tbl>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rsidP="00357EB1">
            <w:pPr>
              <w:keepNext/>
              <w:tabs>
                <w:tab w:val="left" w:pos="142"/>
              </w:tabs>
              <w:ind w:left="567" w:hanging="567"/>
              <w:rPr>
                <w:b/>
                <w:sz w:val="22"/>
                <w:szCs w:val="22"/>
                <w:lang w:val="en-GB"/>
              </w:rPr>
            </w:pPr>
            <w:r w:rsidRPr="007722A3">
              <w:rPr>
                <w:b/>
                <w:sz w:val="22"/>
                <w:szCs w:val="22"/>
                <w:lang w:val="en-GB"/>
              </w:rPr>
              <w:t>11.</w:t>
            </w:r>
            <w:r w:rsidRPr="007722A3">
              <w:rPr>
                <w:b/>
                <w:sz w:val="22"/>
                <w:szCs w:val="22"/>
                <w:lang w:val="en-GB"/>
              </w:rPr>
              <w:tab/>
              <w:t>NAME AND ADDRESS OF THE MARKETING AUTHORISATION HOLDER</w:t>
            </w:r>
          </w:p>
        </w:tc>
      </w:tr>
    </w:tbl>
    <w:p w:rsidR="008F7FF3" w:rsidRPr="007722A3" w:rsidRDefault="008F7FF3" w:rsidP="00357EB1">
      <w:pPr>
        <w:keepNext/>
        <w:rPr>
          <w:sz w:val="22"/>
          <w:szCs w:val="22"/>
          <w:lang w:val="en-GB"/>
        </w:rPr>
      </w:pPr>
    </w:p>
    <w:p w:rsidR="00A30160" w:rsidRPr="00A30160" w:rsidRDefault="00A30160" w:rsidP="00A30160">
      <w:pPr>
        <w:rPr>
          <w:sz w:val="22"/>
          <w:szCs w:val="22"/>
          <w:lang w:val="it-IT"/>
        </w:rPr>
      </w:pPr>
      <w:r w:rsidRPr="00A30160">
        <w:rPr>
          <w:sz w:val="22"/>
          <w:szCs w:val="22"/>
          <w:lang w:val="it-IT"/>
        </w:rPr>
        <w:t xml:space="preserve">Chiesi </w:t>
      </w:r>
      <w:r w:rsidRPr="00567559">
        <w:rPr>
          <w:sz w:val="22"/>
          <w:szCs w:val="22"/>
          <w:lang w:val="it-IT"/>
        </w:rPr>
        <w:t>Farmaceutici S.p.A.</w:t>
      </w:r>
    </w:p>
    <w:p w:rsidR="00A30160" w:rsidRPr="00A30160" w:rsidRDefault="00A30160" w:rsidP="00A30160">
      <w:pPr>
        <w:rPr>
          <w:sz w:val="22"/>
          <w:szCs w:val="22"/>
          <w:highlight w:val="lightGray"/>
        </w:rPr>
      </w:pPr>
      <w:r w:rsidRPr="00A30160">
        <w:rPr>
          <w:sz w:val="22"/>
          <w:szCs w:val="22"/>
          <w:highlight w:val="lightGray"/>
        </w:rPr>
        <w:t xml:space="preserve">Via Palermo 26/A </w:t>
      </w:r>
    </w:p>
    <w:p w:rsidR="00A30160" w:rsidRPr="00A30160" w:rsidRDefault="00A30160" w:rsidP="00A30160">
      <w:pPr>
        <w:rPr>
          <w:sz w:val="22"/>
          <w:szCs w:val="22"/>
          <w:highlight w:val="lightGray"/>
        </w:rPr>
      </w:pPr>
      <w:r w:rsidRPr="00A30160">
        <w:rPr>
          <w:sz w:val="22"/>
          <w:szCs w:val="22"/>
          <w:highlight w:val="lightGray"/>
        </w:rPr>
        <w:t xml:space="preserve">43122 Parma </w:t>
      </w:r>
    </w:p>
    <w:p w:rsidR="00A30160" w:rsidRDefault="00A30160" w:rsidP="00A30160">
      <w:pPr>
        <w:rPr>
          <w:sz w:val="22"/>
          <w:szCs w:val="22"/>
        </w:rPr>
      </w:pPr>
      <w:r w:rsidRPr="00A30160">
        <w:rPr>
          <w:sz w:val="22"/>
          <w:szCs w:val="22"/>
          <w:highlight w:val="lightGray"/>
        </w:rPr>
        <w:t>Italy</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12.</w:t>
            </w:r>
            <w:r w:rsidRPr="007722A3">
              <w:rPr>
                <w:b/>
                <w:sz w:val="22"/>
                <w:szCs w:val="22"/>
                <w:lang w:val="en-GB"/>
              </w:rPr>
              <w:tab/>
              <w:t>MARKETING AUTHORISATION NUMBER(S)</w:t>
            </w:r>
          </w:p>
        </w:tc>
      </w:tr>
    </w:tbl>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EU/1/99/108/001</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13.</w:t>
            </w:r>
            <w:r w:rsidRPr="007722A3">
              <w:rPr>
                <w:b/>
                <w:sz w:val="22"/>
                <w:szCs w:val="22"/>
                <w:lang w:val="en-GB"/>
              </w:rPr>
              <w:tab/>
              <w:t>BATCH NUMBER</w:t>
            </w:r>
          </w:p>
        </w:tc>
      </w:tr>
    </w:tbl>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Lot</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14.</w:t>
            </w:r>
            <w:r w:rsidRPr="007722A3">
              <w:rPr>
                <w:b/>
                <w:sz w:val="22"/>
                <w:szCs w:val="22"/>
                <w:lang w:val="en-GB"/>
              </w:rPr>
              <w:tab/>
              <w:t>GENERAL CLASSIFICATION FOR SUPPLY</w:t>
            </w:r>
          </w:p>
        </w:tc>
      </w:tr>
    </w:tbl>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Medicinal product subject to medical prescription</w:t>
      </w:r>
      <w:r w:rsidR="006604BA" w:rsidRPr="007722A3">
        <w:rPr>
          <w:sz w:val="22"/>
          <w:szCs w:val="22"/>
          <w:lang w:val="en-GB"/>
        </w:rPr>
        <w:t>.</w:t>
      </w:r>
    </w:p>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15.</w:t>
            </w:r>
            <w:r w:rsidRPr="007722A3">
              <w:rPr>
                <w:b/>
                <w:sz w:val="22"/>
                <w:szCs w:val="22"/>
                <w:lang w:val="en-GB"/>
              </w:rPr>
              <w:tab/>
              <w:t>INSTRUCTIONS ON USE</w:t>
            </w:r>
          </w:p>
        </w:tc>
      </w:tr>
    </w:tbl>
    <w:p w:rsidR="008F7FF3" w:rsidRPr="007722A3" w:rsidRDefault="008F7FF3">
      <w:pPr>
        <w:rPr>
          <w:sz w:val="22"/>
          <w:szCs w:val="22"/>
          <w:lang w:val="en-GB"/>
        </w:rPr>
      </w:pPr>
    </w:p>
    <w:p w:rsidR="008F7FF3" w:rsidRPr="007722A3" w:rsidRDefault="008F7FF3">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8F7FF3" w:rsidRPr="007722A3" w:rsidRDefault="008F7FF3">
            <w:pPr>
              <w:tabs>
                <w:tab w:val="left" w:pos="142"/>
              </w:tabs>
              <w:ind w:left="567" w:hanging="567"/>
              <w:rPr>
                <w:b/>
                <w:sz w:val="22"/>
                <w:szCs w:val="22"/>
                <w:lang w:val="en-GB"/>
              </w:rPr>
            </w:pPr>
            <w:r w:rsidRPr="007722A3">
              <w:rPr>
                <w:b/>
                <w:sz w:val="22"/>
                <w:szCs w:val="22"/>
                <w:lang w:val="en-GB"/>
              </w:rPr>
              <w:t>16.</w:t>
            </w:r>
            <w:r w:rsidRPr="007722A3">
              <w:rPr>
                <w:b/>
                <w:sz w:val="22"/>
                <w:szCs w:val="22"/>
                <w:lang w:val="en-GB"/>
              </w:rPr>
              <w:tab/>
              <w:t>INFORMATION IN BRAILLE</w:t>
            </w:r>
          </w:p>
        </w:tc>
      </w:tr>
    </w:tbl>
    <w:p w:rsidR="008F7FF3" w:rsidRPr="007722A3" w:rsidRDefault="008F7FF3">
      <w:pPr>
        <w:rPr>
          <w:sz w:val="22"/>
          <w:szCs w:val="22"/>
          <w:lang w:val="en-GB"/>
        </w:rPr>
      </w:pPr>
    </w:p>
    <w:p w:rsidR="008F7FF3" w:rsidRDefault="008F7FF3">
      <w:pPr>
        <w:rPr>
          <w:noProof/>
          <w:sz w:val="22"/>
          <w:szCs w:val="22"/>
          <w:lang w:val="en-GB"/>
        </w:rPr>
      </w:pPr>
      <w:r w:rsidRPr="00E97465">
        <w:rPr>
          <w:noProof/>
          <w:sz w:val="22"/>
          <w:szCs w:val="22"/>
          <w:highlight w:val="lightGray"/>
          <w:lang w:val="en-GB"/>
        </w:rPr>
        <w:t>Ferriprox</w:t>
      </w:r>
      <w:r w:rsidR="00293334" w:rsidRPr="00E97465">
        <w:rPr>
          <w:noProof/>
          <w:sz w:val="22"/>
          <w:szCs w:val="22"/>
          <w:highlight w:val="lightGray"/>
          <w:lang w:val="en-GB"/>
        </w:rPr>
        <w:t xml:space="preserve"> 500 mg</w:t>
      </w:r>
    </w:p>
    <w:p w:rsidR="00B47C2F" w:rsidRPr="00E97465" w:rsidRDefault="00B47C2F" w:rsidP="00B47C2F">
      <w:pPr>
        <w:pStyle w:val="BodyText"/>
        <w:rPr>
          <w:noProof/>
          <w:highlight w:val="lightGray"/>
        </w:rPr>
      </w:pPr>
    </w:p>
    <w:p w:rsidR="00B47C2F" w:rsidRPr="00E97465" w:rsidRDefault="00B47C2F" w:rsidP="00B47C2F">
      <w:pPr>
        <w:pStyle w:val="BodyText"/>
        <w:rPr>
          <w:noProof/>
          <w:highlight w:val="lightGray"/>
        </w:rPr>
      </w:pPr>
    </w:p>
    <w:p w:rsidR="00B47C2F" w:rsidRPr="001C3A5C" w:rsidRDefault="00B47C2F" w:rsidP="00B47C2F">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17.</w:t>
      </w:r>
      <w:r w:rsidRPr="001C3A5C">
        <w:rPr>
          <w:b/>
          <w:noProof/>
          <w:sz w:val="22"/>
          <w:szCs w:val="22"/>
        </w:rPr>
        <w:tab/>
        <w:t>UNIQUE IDENTIFIER – 2D BARCODE</w:t>
      </w:r>
    </w:p>
    <w:p w:rsidR="00B47C2F" w:rsidRPr="001C3A5C" w:rsidRDefault="00B47C2F" w:rsidP="00B47C2F">
      <w:pPr>
        <w:rPr>
          <w:noProof/>
          <w:sz w:val="22"/>
          <w:szCs w:val="22"/>
        </w:rPr>
      </w:pPr>
    </w:p>
    <w:p w:rsidR="00B47C2F" w:rsidRPr="00224D20" w:rsidRDefault="00B47C2F" w:rsidP="00B47C2F">
      <w:pPr>
        <w:rPr>
          <w:noProof/>
          <w:sz w:val="22"/>
          <w:szCs w:val="22"/>
          <w:shd w:val="clear" w:color="auto" w:fill="CCCCCC"/>
        </w:rPr>
      </w:pPr>
      <w:r w:rsidRPr="00E97465">
        <w:rPr>
          <w:noProof/>
          <w:sz w:val="22"/>
          <w:highlight w:val="lightGray"/>
        </w:rPr>
        <w:t>2D barcode carrying the unique identifier included.</w:t>
      </w:r>
    </w:p>
    <w:p w:rsidR="00B47C2F" w:rsidRDefault="00B47C2F" w:rsidP="00B47C2F">
      <w:pPr>
        <w:rPr>
          <w:noProof/>
          <w:sz w:val="22"/>
          <w:szCs w:val="22"/>
        </w:rPr>
      </w:pPr>
    </w:p>
    <w:p w:rsidR="00B47C2F" w:rsidRPr="001C3A5C" w:rsidRDefault="00B47C2F" w:rsidP="00B47C2F">
      <w:pPr>
        <w:rPr>
          <w:noProof/>
          <w:sz w:val="22"/>
          <w:szCs w:val="22"/>
        </w:rPr>
      </w:pPr>
    </w:p>
    <w:p w:rsidR="00B47C2F" w:rsidRPr="001C3A5C" w:rsidRDefault="00B47C2F" w:rsidP="00B47C2F">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18.</w:t>
      </w:r>
      <w:r w:rsidRPr="001C3A5C">
        <w:rPr>
          <w:b/>
          <w:noProof/>
          <w:sz w:val="22"/>
          <w:szCs w:val="22"/>
        </w:rPr>
        <w:tab/>
        <w:t>UNIQUE IDENTIFIER - HUMAN READABLE DATA</w:t>
      </w:r>
    </w:p>
    <w:p w:rsidR="00B47C2F" w:rsidRPr="001C3A5C" w:rsidRDefault="00B47C2F" w:rsidP="00B47C2F">
      <w:pPr>
        <w:rPr>
          <w:noProof/>
          <w:sz w:val="22"/>
          <w:szCs w:val="22"/>
        </w:rPr>
      </w:pPr>
    </w:p>
    <w:p w:rsidR="00B47C2F" w:rsidRPr="00097AFC" w:rsidRDefault="00B47C2F" w:rsidP="00B47C2F">
      <w:pPr>
        <w:rPr>
          <w:noProof/>
          <w:sz w:val="22"/>
          <w:szCs w:val="22"/>
        </w:rPr>
      </w:pPr>
      <w:r w:rsidRPr="001C3A5C">
        <w:rPr>
          <w:noProof/>
          <w:sz w:val="22"/>
          <w:szCs w:val="22"/>
        </w:rPr>
        <w:t xml:space="preserve">PC </w:t>
      </w:r>
    </w:p>
    <w:p w:rsidR="00B47C2F" w:rsidRPr="001C3A5C" w:rsidRDefault="00B47C2F" w:rsidP="00B47C2F">
      <w:pPr>
        <w:rPr>
          <w:sz w:val="22"/>
          <w:szCs w:val="22"/>
        </w:rPr>
      </w:pPr>
      <w:r w:rsidRPr="001C3A5C">
        <w:rPr>
          <w:sz w:val="22"/>
          <w:szCs w:val="22"/>
        </w:rPr>
        <w:t xml:space="preserve">SN </w:t>
      </w:r>
    </w:p>
    <w:p w:rsidR="00B47C2F" w:rsidRPr="00E97465" w:rsidRDefault="00B47C2F" w:rsidP="00B47C2F">
      <w:pPr>
        <w:pStyle w:val="BodyText"/>
        <w:rPr>
          <w:noProof/>
          <w:highlight w:val="lightGray"/>
        </w:rPr>
      </w:pPr>
      <w:r w:rsidRPr="001C3A5C">
        <w:t xml:space="preserve">NN </w:t>
      </w:r>
    </w:p>
    <w:p w:rsidR="00B47C2F" w:rsidRPr="007722A3" w:rsidRDefault="00B47C2F">
      <w:pPr>
        <w:rPr>
          <w:sz w:val="22"/>
          <w:szCs w:val="22"/>
          <w:lang w:val="en-GB"/>
        </w:rPr>
      </w:pPr>
    </w:p>
    <w:p w:rsidR="008F7FF3" w:rsidRPr="007722A3" w:rsidRDefault="008F7FF3">
      <w:pPr>
        <w:rPr>
          <w:sz w:val="22"/>
          <w:szCs w:val="22"/>
          <w:lang w:val="en-GB"/>
        </w:rPr>
      </w:pPr>
      <w:r w:rsidRPr="007722A3">
        <w:rPr>
          <w:sz w:val="22"/>
          <w:szCs w:val="22"/>
          <w:lang w:val="en-GB"/>
        </w:rPr>
        <w:br w:type="page"/>
      </w:r>
    </w:p>
    <w:p w:rsidR="008F7FF3" w:rsidRPr="007722A3" w:rsidRDefault="008F7FF3">
      <w:pPr>
        <w:pStyle w:val="Labellingboxheading"/>
      </w:pPr>
      <w:r w:rsidRPr="007722A3">
        <w:t>PARTICULARS TO APPEAR ON THE OUTER PACKAGING AND THE IMMEDIATE PACKAGING</w:t>
      </w:r>
    </w:p>
    <w:p w:rsidR="008F7FF3" w:rsidRPr="007722A3" w:rsidRDefault="008F7FF3">
      <w:pPr>
        <w:pStyle w:val="Labellingboxheading"/>
      </w:pPr>
    </w:p>
    <w:p w:rsidR="008F7FF3" w:rsidRPr="007722A3" w:rsidRDefault="008F7FF3">
      <w:pPr>
        <w:pStyle w:val="Labellingboxheading"/>
      </w:pPr>
      <w:r w:rsidRPr="007722A3">
        <w:t>BOTTLES OF 250 ML AND 500 ML ORAL SOLUTION</w:t>
      </w:r>
    </w:p>
    <w:p w:rsidR="008F7FF3" w:rsidRPr="007722A3" w:rsidRDefault="008F7FF3">
      <w:pPr>
        <w:pStyle w:val="BodyText"/>
        <w:rPr>
          <w:b/>
        </w:rPr>
      </w:pPr>
    </w:p>
    <w:p w:rsidR="008F7FF3" w:rsidRPr="007722A3" w:rsidRDefault="008F7FF3">
      <w:pPr>
        <w:pStyle w:val="BodyText"/>
        <w:rPr>
          <w:b/>
        </w:rPr>
      </w:pPr>
    </w:p>
    <w:p w:rsidR="008F7FF3" w:rsidRPr="007722A3" w:rsidRDefault="008F7FF3">
      <w:pPr>
        <w:pStyle w:val="Labellingbox"/>
      </w:pPr>
      <w:r w:rsidRPr="007722A3">
        <w:t>1.</w:t>
      </w:r>
      <w:r w:rsidRPr="007722A3">
        <w:tab/>
        <w:t>NAME OF THE MEDICINAL PRODUCT</w:t>
      </w:r>
    </w:p>
    <w:p w:rsidR="008F7FF3" w:rsidRPr="007722A3" w:rsidRDefault="008F7FF3">
      <w:pPr>
        <w:pStyle w:val="BodyText"/>
      </w:pPr>
    </w:p>
    <w:p w:rsidR="008F7FF3" w:rsidRPr="007722A3" w:rsidRDefault="008F7FF3">
      <w:pPr>
        <w:pStyle w:val="BodyText"/>
      </w:pPr>
      <w:r w:rsidRPr="007722A3">
        <w:t>Ferriprox 100 mg/ml oral solution</w:t>
      </w:r>
    </w:p>
    <w:p w:rsidR="008F7FF3" w:rsidRPr="007722A3" w:rsidRDefault="00330AE8">
      <w:pPr>
        <w:pStyle w:val="BodyText"/>
      </w:pPr>
      <w:r>
        <w:t>d</w:t>
      </w:r>
      <w:r w:rsidR="008F7FF3" w:rsidRPr="007722A3">
        <w:t>eferiprone</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2.</w:t>
      </w:r>
      <w:r w:rsidRPr="007722A3">
        <w:tab/>
        <w:t>STATEMENT OF ACTIVE SUBSTANCE(S)</w:t>
      </w:r>
    </w:p>
    <w:p w:rsidR="008F7FF3" w:rsidRPr="007722A3" w:rsidRDefault="008F7FF3">
      <w:pPr>
        <w:pStyle w:val="BodyText"/>
      </w:pPr>
    </w:p>
    <w:p w:rsidR="006B070A" w:rsidRPr="007722A3" w:rsidRDefault="008F7FF3">
      <w:pPr>
        <w:pStyle w:val="BodyText"/>
      </w:pPr>
      <w:r w:rsidRPr="007722A3">
        <w:rPr>
          <w:noProof/>
        </w:rPr>
        <w:t>Each ml of oral solution contains 100 mg deferiprone</w:t>
      </w:r>
      <w:r w:rsidR="00873C6E" w:rsidRPr="007722A3">
        <w:t xml:space="preserve"> (25 g deferiprone in 250 ml</w:t>
      </w:r>
      <w:r w:rsidR="006B070A" w:rsidRPr="007722A3">
        <w:t>).</w:t>
      </w:r>
    </w:p>
    <w:p w:rsidR="008F7FF3" w:rsidRPr="007722A3" w:rsidRDefault="006B070A">
      <w:pPr>
        <w:pStyle w:val="BodyText"/>
        <w:rPr>
          <w:noProof/>
        </w:rPr>
      </w:pPr>
      <w:r w:rsidRPr="00E97465">
        <w:rPr>
          <w:noProof/>
          <w:highlight w:val="lightGray"/>
        </w:rPr>
        <w:t>Each ml of oral solution contains 100 mg deferiprone</w:t>
      </w:r>
      <w:r w:rsidRPr="00E97465">
        <w:rPr>
          <w:highlight w:val="lightGray"/>
        </w:rPr>
        <w:t xml:space="preserve"> (</w:t>
      </w:r>
      <w:r w:rsidR="00873C6E" w:rsidRPr="00E97465">
        <w:rPr>
          <w:highlight w:val="lightGray"/>
        </w:rPr>
        <w:t>50 g deferiprone in 500 ml)</w:t>
      </w:r>
      <w:r w:rsidR="006604BA" w:rsidRPr="00E97465">
        <w:rPr>
          <w:noProof/>
          <w:highlight w:val="lightGray"/>
        </w:rPr>
        <w:t>.</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3.</w:t>
      </w:r>
      <w:r w:rsidRPr="007722A3">
        <w:tab/>
        <w:t>LIST OF EXCIPIENTS</w:t>
      </w:r>
    </w:p>
    <w:p w:rsidR="008F7FF3" w:rsidRPr="007722A3" w:rsidRDefault="008F7FF3">
      <w:pPr>
        <w:pStyle w:val="BodyText"/>
      </w:pPr>
    </w:p>
    <w:p w:rsidR="008F7FF3" w:rsidRPr="007722A3" w:rsidRDefault="008F7FF3">
      <w:pPr>
        <w:pStyle w:val="BodyText"/>
      </w:pPr>
      <w:r w:rsidRPr="007722A3">
        <w:t>Contains Sunset Yellow (E110); see leaflet for further information.</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4.</w:t>
      </w:r>
      <w:r w:rsidRPr="007722A3">
        <w:tab/>
        <w:t>PHARMACEUTICAL FORM AND CONTENTS</w:t>
      </w:r>
    </w:p>
    <w:p w:rsidR="008F7FF3" w:rsidRPr="007722A3" w:rsidRDefault="008F7FF3">
      <w:pPr>
        <w:pStyle w:val="BodyText"/>
      </w:pPr>
    </w:p>
    <w:p w:rsidR="008F7FF3" w:rsidRPr="007722A3" w:rsidRDefault="008F7FF3">
      <w:pPr>
        <w:pStyle w:val="BodyText"/>
        <w:rPr>
          <w:noProof/>
        </w:rPr>
      </w:pPr>
      <w:r w:rsidRPr="007722A3">
        <w:rPr>
          <w:noProof/>
        </w:rPr>
        <w:t>250 ml oral solution</w:t>
      </w:r>
    </w:p>
    <w:p w:rsidR="008F7FF3" w:rsidRPr="007722A3" w:rsidRDefault="008F7FF3">
      <w:pPr>
        <w:pStyle w:val="BodyText"/>
        <w:rPr>
          <w:noProof/>
        </w:rPr>
      </w:pPr>
      <w:r w:rsidRPr="00E97465">
        <w:rPr>
          <w:noProof/>
          <w:highlight w:val="lightGray"/>
        </w:rPr>
        <w:t>500 ml oral solution</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5.</w:t>
      </w:r>
      <w:r w:rsidRPr="007722A3">
        <w:tab/>
        <w:t>METHOD AND ROUTE(S) OF ADMINISTRATION</w:t>
      </w:r>
    </w:p>
    <w:p w:rsidR="008F7FF3" w:rsidRPr="007722A3" w:rsidRDefault="008F7FF3">
      <w:pPr>
        <w:pStyle w:val="BodyText"/>
      </w:pPr>
    </w:p>
    <w:p w:rsidR="008F7FF3" w:rsidRPr="007722A3" w:rsidRDefault="008F7FF3">
      <w:pPr>
        <w:pStyle w:val="BodyText"/>
      </w:pPr>
      <w:r w:rsidRPr="007722A3">
        <w:t>Oral use</w:t>
      </w:r>
    </w:p>
    <w:p w:rsidR="008F7FF3" w:rsidRPr="007722A3" w:rsidRDefault="008F7FF3">
      <w:pPr>
        <w:pStyle w:val="BodyText"/>
      </w:pPr>
    </w:p>
    <w:p w:rsidR="008F7FF3" w:rsidRPr="007722A3" w:rsidRDefault="008F7FF3">
      <w:pPr>
        <w:pStyle w:val="BodyText"/>
      </w:pPr>
      <w:r w:rsidRPr="007722A3">
        <w:t>Read the package leaflet before use.</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6.</w:t>
      </w:r>
      <w:r w:rsidRPr="007722A3">
        <w:tab/>
        <w:t xml:space="preserve">SPECIAL WARNING THAT THE MEDICINAL PRODUCT MUST BE STORED OUT OF THE </w:t>
      </w:r>
      <w:r w:rsidR="0067305A" w:rsidRPr="007722A3">
        <w:t xml:space="preserve">SIGHT AND </w:t>
      </w:r>
      <w:r w:rsidRPr="007722A3">
        <w:t>REACH OF CHILDREN</w:t>
      </w:r>
    </w:p>
    <w:p w:rsidR="008F7FF3" w:rsidRPr="007722A3" w:rsidRDefault="008F7FF3">
      <w:pPr>
        <w:pStyle w:val="BodyText"/>
      </w:pPr>
    </w:p>
    <w:p w:rsidR="008F7FF3" w:rsidRPr="007722A3" w:rsidRDefault="008F7FF3">
      <w:pPr>
        <w:pStyle w:val="BodyText"/>
      </w:pPr>
      <w:r w:rsidRPr="007722A3">
        <w:t xml:space="preserve">Keep out of the </w:t>
      </w:r>
      <w:r w:rsidR="0067305A" w:rsidRPr="007722A3">
        <w:t xml:space="preserve">sight and </w:t>
      </w:r>
      <w:r w:rsidRPr="007722A3">
        <w:t>reach of children</w:t>
      </w:r>
      <w:r w:rsidR="00A80C9B">
        <w:t>.</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7.</w:t>
      </w:r>
      <w:r w:rsidRPr="007722A3">
        <w:tab/>
        <w:t>OTHER SPECIAL WARNING(S), IF NECESSARY</w:t>
      </w:r>
    </w:p>
    <w:p w:rsidR="008F7FF3" w:rsidRPr="007722A3" w:rsidRDefault="008F7FF3">
      <w:pPr>
        <w:pStyle w:val="BodyText"/>
      </w:pPr>
    </w:p>
    <w:p w:rsidR="008F7FF3" w:rsidRPr="007722A3" w:rsidRDefault="008F7FF3">
      <w:pPr>
        <w:pStyle w:val="BodyText"/>
      </w:pPr>
    </w:p>
    <w:p w:rsidR="008F7FF3" w:rsidRPr="007722A3" w:rsidRDefault="008F7FF3" w:rsidP="00357EB1">
      <w:pPr>
        <w:pStyle w:val="Labellingbox"/>
        <w:keepNext/>
      </w:pPr>
      <w:r w:rsidRPr="007722A3">
        <w:t>8.</w:t>
      </w:r>
      <w:r w:rsidRPr="007722A3">
        <w:tab/>
        <w:t>EXPIRY DATE</w:t>
      </w:r>
    </w:p>
    <w:p w:rsidR="008F7FF3" w:rsidRPr="007722A3" w:rsidRDefault="008F7FF3" w:rsidP="00357EB1">
      <w:pPr>
        <w:pStyle w:val="BodyText"/>
        <w:keepNext/>
      </w:pPr>
    </w:p>
    <w:p w:rsidR="008F7FF3" w:rsidRPr="007722A3" w:rsidRDefault="008F7FF3">
      <w:pPr>
        <w:pStyle w:val="BodyText"/>
      </w:pPr>
      <w:r w:rsidRPr="007722A3">
        <w:t>EXP</w:t>
      </w:r>
    </w:p>
    <w:p w:rsidR="008F7FF3" w:rsidRPr="007722A3" w:rsidRDefault="008F7FF3">
      <w:pPr>
        <w:pStyle w:val="BodyText"/>
      </w:pPr>
    </w:p>
    <w:p w:rsidR="008F7FF3" w:rsidRPr="007722A3" w:rsidRDefault="008F7FF3">
      <w:pPr>
        <w:pStyle w:val="BodyText"/>
      </w:pPr>
      <w:bookmarkStart w:id="4" w:name="OLE_LINK7"/>
      <w:bookmarkStart w:id="5" w:name="OLE_LINK8"/>
      <w:r w:rsidRPr="007722A3">
        <w:t>After first opening use within 35 days.</w:t>
      </w:r>
    </w:p>
    <w:bookmarkEnd w:id="4"/>
    <w:bookmarkEnd w:id="5"/>
    <w:p w:rsidR="008F7FF3" w:rsidRPr="007722A3" w:rsidRDefault="008F7FF3">
      <w:pPr>
        <w:pStyle w:val="BodyText"/>
      </w:pPr>
    </w:p>
    <w:p w:rsidR="008F7FF3" w:rsidRPr="007722A3" w:rsidRDefault="008F7FF3">
      <w:pPr>
        <w:pStyle w:val="BodyText"/>
      </w:pPr>
    </w:p>
    <w:p w:rsidR="008F7FF3" w:rsidRPr="007722A3" w:rsidRDefault="008F7FF3" w:rsidP="00FB5929">
      <w:pPr>
        <w:pStyle w:val="Labellingbox"/>
        <w:keepNext/>
        <w:ind w:left="547" w:hanging="547"/>
      </w:pPr>
      <w:r w:rsidRPr="007722A3">
        <w:t>9.</w:t>
      </w:r>
      <w:r w:rsidRPr="007722A3">
        <w:tab/>
        <w:t>SPECIAL STORAGE CONDITIONS</w:t>
      </w:r>
    </w:p>
    <w:p w:rsidR="008F7FF3" w:rsidRPr="007722A3" w:rsidRDefault="008F7FF3" w:rsidP="00FB5929">
      <w:pPr>
        <w:pStyle w:val="BodyText"/>
        <w:keepNext/>
      </w:pPr>
    </w:p>
    <w:p w:rsidR="008F7FF3" w:rsidRPr="007722A3" w:rsidRDefault="008F7FF3">
      <w:pPr>
        <w:pStyle w:val="BodyText"/>
      </w:pPr>
      <w:r w:rsidRPr="007722A3">
        <w:t>Do not store above 30</w:t>
      </w:r>
      <w:r w:rsidRPr="007722A3">
        <w:rPr>
          <w:rFonts w:ascii="Symbol" w:hAnsi="Symbol"/>
        </w:rPr>
        <w:sym w:font="Symbol" w:char="F0B0"/>
      </w:r>
      <w:r w:rsidRPr="007722A3">
        <w:t>C</w:t>
      </w:r>
      <w:r w:rsidR="009A02E3" w:rsidRPr="007722A3">
        <w:t>.</w:t>
      </w:r>
    </w:p>
    <w:p w:rsidR="008F7FF3" w:rsidRPr="007722A3" w:rsidRDefault="008F7FF3">
      <w:pPr>
        <w:pStyle w:val="BodyText"/>
      </w:pPr>
    </w:p>
    <w:p w:rsidR="008F7FF3" w:rsidRPr="007722A3" w:rsidRDefault="008F7FF3">
      <w:pPr>
        <w:pStyle w:val="BodyText"/>
      </w:pPr>
      <w:r w:rsidRPr="007722A3">
        <w:t>Store in the original package in order to protect from light.</w:t>
      </w:r>
    </w:p>
    <w:p w:rsidR="008F7FF3" w:rsidRPr="007722A3" w:rsidRDefault="008F7FF3">
      <w:pPr>
        <w:pStyle w:val="BodyText"/>
      </w:pPr>
    </w:p>
    <w:p w:rsidR="008F7FF3" w:rsidRPr="007722A3" w:rsidRDefault="008F7FF3">
      <w:pPr>
        <w:pStyle w:val="Labellingbox"/>
      </w:pPr>
      <w:r w:rsidRPr="007722A3">
        <w:t>10.</w:t>
      </w:r>
      <w:r w:rsidRPr="007722A3">
        <w:tab/>
        <w:t>SPECIAL PRECAUTIONS FOR DISPOSAL OF UNUSED MEDICINAL PRODUCTS OR WASTE MATERIALS DERIVED FROM SUCH MEDICINAL PRODUCTS, IF APPROPRIATE</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11.</w:t>
      </w:r>
      <w:r w:rsidRPr="007722A3">
        <w:tab/>
        <w:t>NAME AND ADDRESS OF THE MARKETING AUTHORISATION HOLDER</w:t>
      </w:r>
    </w:p>
    <w:p w:rsidR="008F7FF3" w:rsidRPr="007722A3" w:rsidRDefault="008F7FF3">
      <w:pPr>
        <w:pStyle w:val="BodyText"/>
      </w:pPr>
    </w:p>
    <w:p w:rsidR="00A30160" w:rsidRPr="00A30160" w:rsidRDefault="00A30160" w:rsidP="00A30160">
      <w:pPr>
        <w:rPr>
          <w:sz w:val="22"/>
          <w:szCs w:val="22"/>
          <w:lang w:val="it-IT"/>
        </w:rPr>
      </w:pPr>
      <w:r w:rsidRPr="00A30160">
        <w:rPr>
          <w:sz w:val="22"/>
          <w:szCs w:val="22"/>
          <w:lang w:val="it-IT"/>
        </w:rPr>
        <w:t xml:space="preserve">Chiesi </w:t>
      </w:r>
      <w:r w:rsidRPr="00567559">
        <w:rPr>
          <w:sz w:val="22"/>
          <w:szCs w:val="22"/>
          <w:lang w:val="it-IT"/>
        </w:rPr>
        <w:t>Farmaceutici S.p.A.</w:t>
      </w:r>
    </w:p>
    <w:p w:rsidR="00A30160" w:rsidRPr="00A30160" w:rsidRDefault="00A30160" w:rsidP="00A30160">
      <w:pPr>
        <w:rPr>
          <w:sz w:val="22"/>
          <w:szCs w:val="22"/>
          <w:highlight w:val="lightGray"/>
        </w:rPr>
      </w:pPr>
      <w:r w:rsidRPr="00A30160">
        <w:rPr>
          <w:sz w:val="22"/>
          <w:szCs w:val="22"/>
          <w:highlight w:val="lightGray"/>
        </w:rPr>
        <w:t xml:space="preserve">Via Palermo 26/A </w:t>
      </w:r>
    </w:p>
    <w:p w:rsidR="00A30160" w:rsidRPr="00A30160" w:rsidRDefault="00A30160" w:rsidP="00A30160">
      <w:pPr>
        <w:rPr>
          <w:sz w:val="22"/>
          <w:szCs w:val="22"/>
          <w:highlight w:val="lightGray"/>
        </w:rPr>
      </w:pPr>
      <w:r w:rsidRPr="00A30160">
        <w:rPr>
          <w:sz w:val="22"/>
          <w:szCs w:val="22"/>
          <w:highlight w:val="lightGray"/>
        </w:rPr>
        <w:t xml:space="preserve">43122 Parma </w:t>
      </w:r>
    </w:p>
    <w:p w:rsidR="00A30160" w:rsidRDefault="00A30160" w:rsidP="00A30160">
      <w:pPr>
        <w:rPr>
          <w:sz w:val="22"/>
          <w:szCs w:val="22"/>
        </w:rPr>
      </w:pPr>
      <w:r w:rsidRPr="00A30160">
        <w:rPr>
          <w:sz w:val="22"/>
          <w:szCs w:val="22"/>
          <w:highlight w:val="lightGray"/>
        </w:rPr>
        <w:t>Italy</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12.</w:t>
      </w:r>
      <w:r w:rsidRPr="007722A3">
        <w:tab/>
        <w:t>MARKETING AUTHORISATION NUMBER(S)</w:t>
      </w:r>
    </w:p>
    <w:p w:rsidR="008F7FF3" w:rsidRPr="007722A3" w:rsidRDefault="008F7FF3">
      <w:pPr>
        <w:pStyle w:val="BodyText"/>
      </w:pPr>
    </w:p>
    <w:p w:rsidR="004C228A" w:rsidRPr="007722A3" w:rsidRDefault="004C228A" w:rsidP="004C228A">
      <w:pPr>
        <w:pStyle w:val="BodyText"/>
      </w:pPr>
      <w:r w:rsidRPr="007722A3">
        <w:t>EU/1/99/108/002</w:t>
      </w:r>
    </w:p>
    <w:p w:rsidR="004C228A" w:rsidRPr="007722A3" w:rsidRDefault="004C228A" w:rsidP="004C228A">
      <w:pPr>
        <w:pStyle w:val="BodyText"/>
      </w:pPr>
      <w:r w:rsidRPr="00E97465">
        <w:rPr>
          <w:highlight w:val="lightGray"/>
        </w:rPr>
        <w:t>EU/1/99/108/003</w:t>
      </w:r>
    </w:p>
    <w:p w:rsidR="004C228A" w:rsidRPr="007722A3" w:rsidRDefault="004C228A" w:rsidP="004C228A">
      <w:pPr>
        <w:pStyle w:val="BodyText"/>
      </w:pPr>
    </w:p>
    <w:p w:rsidR="008F7FF3" w:rsidRPr="007722A3" w:rsidRDefault="008F7FF3">
      <w:pPr>
        <w:pStyle w:val="BodyText"/>
      </w:pPr>
    </w:p>
    <w:p w:rsidR="008F7FF3" w:rsidRPr="007722A3" w:rsidRDefault="008F7FF3">
      <w:pPr>
        <w:pStyle w:val="Labellingbox"/>
      </w:pPr>
      <w:r w:rsidRPr="007722A3">
        <w:t>13.</w:t>
      </w:r>
      <w:r w:rsidRPr="007722A3">
        <w:tab/>
        <w:t>BATCH NUMBER</w:t>
      </w:r>
    </w:p>
    <w:p w:rsidR="008F7FF3" w:rsidRPr="007722A3" w:rsidRDefault="008F7FF3">
      <w:pPr>
        <w:pStyle w:val="BodyText"/>
      </w:pPr>
    </w:p>
    <w:p w:rsidR="008F7FF3" w:rsidRPr="007722A3" w:rsidRDefault="008F7FF3">
      <w:pPr>
        <w:pStyle w:val="BodyText"/>
      </w:pPr>
      <w:r w:rsidRPr="007722A3">
        <w:t>Lot</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14.</w:t>
      </w:r>
      <w:r w:rsidRPr="007722A3">
        <w:tab/>
        <w:t>GENERAL CLASSIFICATION FOR SUPPLY</w:t>
      </w:r>
    </w:p>
    <w:p w:rsidR="008F7FF3" w:rsidRPr="007722A3" w:rsidRDefault="008F7FF3">
      <w:pPr>
        <w:pStyle w:val="BodyText"/>
      </w:pPr>
    </w:p>
    <w:p w:rsidR="008F7FF3" w:rsidRPr="007722A3" w:rsidRDefault="008F7FF3">
      <w:pPr>
        <w:pStyle w:val="BodyText"/>
      </w:pPr>
      <w:r w:rsidRPr="007722A3">
        <w:t>Medicinal product subject to medical prescription</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15.</w:t>
      </w:r>
      <w:r w:rsidRPr="007722A3">
        <w:tab/>
        <w:t>INSTRUCTIONS ON USE</w:t>
      </w:r>
    </w:p>
    <w:p w:rsidR="008F7FF3" w:rsidRPr="007722A3" w:rsidRDefault="008F7FF3">
      <w:pPr>
        <w:pStyle w:val="BodyText"/>
      </w:pPr>
    </w:p>
    <w:p w:rsidR="008F7FF3" w:rsidRPr="007722A3" w:rsidRDefault="008F7FF3">
      <w:pPr>
        <w:pStyle w:val="BodyText"/>
      </w:pPr>
    </w:p>
    <w:p w:rsidR="008F7FF3" w:rsidRPr="007722A3" w:rsidRDefault="008F7FF3">
      <w:pPr>
        <w:pStyle w:val="Labellingbox"/>
      </w:pPr>
      <w:r w:rsidRPr="007722A3">
        <w:t>16.</w:t>
      </w:r>
      <w:r w:rsidRPr="007722A3">
        <w:tab/>
        <w:t>INFORMATION IN BRAILLE</w:t>
      </w:r>
    </w:p>
    <w:p w:rsidR="008F7FF3" w:rsidRPr="007722A3" w:rsidRDefault="008F7FF3">
      <w:pPr>
        <w:pStyle w:val="BodyText"/>
      </w:pPr>
    </w:p>
    <w:p w:rsidR="001A14B4" w:rsidRPr="00E97465" w:rsidRDefault="008F7FF3">
      <w:pPr>
        <w:pStyle w:val="BodyText"/>
        <w:rPr>
          <w:noProof/>
          <w:highlight w:val="lightGray"/>
        </w:rPr>
      </w:pPr>
      <w:r w:rsidRPr="00E97465">
        <w:rPr>
          <w:noProof/>
          <w:highlight w:val="lightGray"/>
        </w:rPr>
        <w:t xml:space="preserve">Ferriprox </w:t>
      </w:r>
      <w:r w:rsidR="00B52186" w:rsidRPr="00E97465">
        <w:rPr>
          <w:noProof/>
          <w:highlight w:val="lightGray"/>
        </w:rPr>
        <w:t>100 mg/ml</w:t>
      </w:r>
    </w:p>
    <w:p w:rsidR="00D602A1" w:rsidRPr="00E97465" w:rsidRDefault="00D602A1">
      <w:pPr>
        <w:pStyle w:val="BodyText"/>
        <w:rPr>
          <w:noProof/>
          <w:highlight w:val="lightGray"/>
        </w:rPr>
      </w:pPr>
    </w:p>
    <w:p w:rsidR="00D602A1" w:rsidRPr="00E97465" w:rsidRDefault="00D602A1">
      <w:pPr>
        <w:pStyle w:val="BodyText"/>
        <w:rPr>
          <w:noProof/>
          <w:highlight w:val="lightGray"/>
        </w:rPr>
      </w:pPr>
    </w:p>
    <w:p w:rsidR="00D602A1" w:rsidRPr="001C3A5C" w:rsidRDefault="00D602A1" w:rsidP="00D602A1">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17.</w:t>
      </w:r>
      <w:r w:rsidRPr="001C3A5C">
        <w:rPr>
          <w:b/>
          <w:noProof/>
          <w:sz w:val="22"/>
          <w:szCs w:val="22"/>
        </w:rPr>
        <w:tab/>
        <w:t>UNIQUE IDENTIFIER – 2D BARCODE</w:t>
      </w:r>
    </w:p>
    <w:p w:rsidR="00D602A1" w:rsidRPr="001C3A5C" w:rsidRDefault="00D602A1" w:rsidP="00D602A1">
      <w:pPr>
        <w:rPr>
          <w:noProof/>
          <w:sz w:val="22"/>
          <w:szCs w:val="22"/>
        </w:rPr>
      </w:pPr>
    </w:p>
    <w:p w:rsidR="00224D20" w:rsidRPr="00224D20" w:rsidRDefault="00224D20" w:rsidP="00224D20">
      <w:pPr>
        <w:rPr>
          <w:noProof/>
          <w:sz w:val="22"/>
          <w:szCs w:val="22"/>
          <w:shd w:val="clear" w:color="auto" w:fill="CCCCCC"/>
        </w:rPr>
      </w:pPr>
      <w:r w:rsidRPr="00E97465">
        <w:rPr>
          <w:noProof/>
          <w:sz w:val="22"/>
          <w:highlight w:val="lightGray"/>
        </w:rPr>
        <w:t>2D barcode carrying the unique identifier included.</w:t>
      </w:r>
    </w:p>
    <w:p w:rsidR="00D602A1" w:rsidRDefault="00D602A1" w:rsidP="00D602A1">
      <w:pPr>
        <w:rPr>
          <w:noProof/>
          <w:sz w:val="22"/>
          <w:szCs w:val="22"/>
        </w:rPr>
      </w:pPr>
    </w:p>
    <w:p w:rsidR="00224D20" w:rsidRPr="001C3A5C" w:rsidRDefault="00224D20" w:rsidP="00D602A1">
      <w:pPr>
        <w:rPr>
          <w:noProof/>
          <w:sz w:val="22"/>
          <w:szCs w:val="22"/>
        </w:rPr>
      </w:pPr>
    </w:p>
    <w:p w:rsidR="00D602A1" w:rsidRPr="001C3A5C" w:rsidRDefault="00D602A1" w:rsidP="00D602A1">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18.</w:t>
      </w:r>
      <w:r w:rsidRPr="001C3A5C">
        <w:rPr>
          <w:b/>
          <w:noProof/>
          <w:sz w:val="22"/>
          <w:szCs w:val="22"/>
        </w:rPr>
        <w:tab/>
        <w:t>UNIQUE IDENTIFIER - HUMAN READABLE DATA</w:t>
      </w:r>
    </w:p>
    <w:p w:rsidR="00D602A1" w:rsidRPr="001C3A5C" w:rsidRDefault="00D602A1" w:rsidP="00D602A1">
      <w:pPr>
        <w:rPr>
          <w:noProof/>
          <w:sz w:val="22"/>
          <w:szCs w:val="22"/>
        </w:rPr>
      </w:pPr>
    </w:p>
    <w:p w:rsidR="00D602A1" w:rsidRPr="00097AFC" w:rsidRDefault="00D602A1" w:rsidP="00D602A1">
      <w:pPr>
        <w:rPr>
          <w:noProof/>
          <w:sz w:val="22"/>
          <w:szCs w:val="22"/>
        </w:rPr>
      </w:pPr>
      <w:r w:rsidRPr="001C3A5C">
        <w:rPr>
          <w:noProof/>
          <w:sz w:val="22"/>
          <w:szCs w:val="22"/>
        </w:rPr>
        <w:t xml:space="preserve">PC </w:t>
      </w:r>
    </w:p>
    <w:p w:rsidR="00D602A1" w:rsidRPr="001C3A5C" w:rsidRDefault="00D602A1" w:rsidP="00D602A1">
      <w:pPr>
        <w:rPr>
          <w:sz w:val="22"/>
          <w:szCs w:val="22"/>
        </w:rPr>
      </w:pPr>
      <w:r w:rsidRPr="001C3A5C">
        <w:rPr>
          <w:sz w:val="22"/>
          <w:szCs w:val="22"/>
        </w:rPr>
        <w:t xml:space="preserve">SN </w:t>
      </w:r>
    </w:p>
    <w:p w:rsidR="00D602A1" w:rsidRPr="00E97465" w:rsidRDefault="00D602A1" w:rsidP="00224D20">
      <w:pPr>
        <w:pStyle w:val="BodyText"/>
        <w:rPr>
          <w:noProof/>
          <w:highlight w:val="lightGray"/>
        </w:rPr>
      </w:pPr>
      <w:r w:rsidRPr="001C3A5C">
        <w:t xml:space="preserve">NN </w:t>
      </w:r>
    </w:p>
    <w:p w:rsidR="001A14B4" w:rsidRPr="00E97465" w:rsidRDefault="001A14B4">
      <w:pPr>
        <w:pStyle w:val="BodyText"/>
        <w:rPr>
          <w:noProof/>
          <w:highlight w:val="lightGray"/>
        </w:rPr>
      </w:pPr>
    </w:p>
    <w:p w:rsidR="00930CD8" w:rsidRPr="007722A3" w:rsidRDefault="001A14B4" w:rsidP="00930CD8">
      <w:pPr>
        <w:rPr>
          <w:lang w:val="en-GB"/>
        </w:rPr>
      </w:pPr>
      <w:r w:rsidRPr="007722A3">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rPr>
          <w:trHeight w:val="544"/>
        </w:trPr>
        <w:tc>
          <w:tcPr>
            <w:tcW w:w="9287" w:type="dxa"/>
            <w:tcBorders>
              <w:bottom w:val="single" w:sz="4" w:space="0" w:color="auto"/>
            </w:tcBorders>
          </w:tcPr>
          <w:p w:rsidR="00930CD8" w:rsidRPr="007722A3" w:rsidRDefault="00930CD8" w:rsidP="00480B3A">
            <w:pPr>
              <w:rPr>
                <w:b/>
                <w:sz w:val="22"/>
                <w:szCs w:val="22"/>
                <w:lang w:val="en-GB"/>
              </w:rPr>
            </w:pPr>
            <w:r w:rsidRPr="00E97465">
              <w:rPr>
                <w:noProof/>
                <w:highlight w:val="lightGray"/>
                <w:lang w:val="en-GB"/>
              </w:rPr>
              <w:br w:type="page"/>
            </w:r>
            <w:r w:rsidRPr="007722A3">
              <w:rPr>
                <w:b/>
                <w:sz w:val="22"/>
                <w:szCs w:val="22"/>
                <w:lang w:val="en-GB"/>
              </w:rPr>
              <w:t>PARTICULARS TO APPEAR ON THE OUTER PACKAGING AND THE IMMEDIATE PACKAGING</w:t>
            </w:r>
          </w:p>
          <w:p w:rsidR="00930CD8" w:rsidRPr="007722A3" w:rsidRDefault="00930CD8" w:rsidP="00480B3A">
            <w:pPr>
              <w:rPr>
                <w:b/>
                <w:sz w:val="22"/>
                <w:szCs w:val="22"/>
                <w:lang w:val="en-GB"/>
              </w:rPr>
            </w:pPr>
          </w:p>
          <w:p w:rsidR="00930CD8" w:rsidRPr="007722A3" w:rsidRDefault="00930CD8" w:rsidP="0030708E">
            <w:pPr>
              <w:rPr>
                <w:b/>
                <w:sz w:val="22"/>
                <w:szCs w:val="22"/>
                <w:lang w:val="en-GB"/>
              </w:rPr>
            </w:pPr>
            <w:r w:rsidRPr="007722A3">
              <w:rPr>
                <w:b/>
                <w:sz w:val="22"/>
                <w:szCs w:val="22"/>
                <w:lang w:val="en-GB"/>
              </w:rPr>
              <w:t>BOTTLE OF 50 TABLETS</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w:t>
            </w:r>
            <w:r w:rsidRPr="007722A3">
              <w:rPr>
                <w:b/>
                <w:sz w:val="22"/>
                <w:szCs w:val="22"/>
                <w:lang w:val="en-GB"/>
              </w:rPr>
              <w:tab/>
              <w:t>NAME OF THE MEDICINAL PRODUCT</w:t>
            </w:r>
          </w:p>
        </w:tc>
      </w:tr>
    </w:tbl>
    <w:p w:rsidR="00930CD8" w:rsidRPr="007722A3" w:rsidRDefault="00930CD8" w:rsidP="00930CD8">
      <w:pPr>
        <w:rPr>
          <w:sz w:val="22"/>
          <w:szCs w:val="22"/>
          <w:lang w:val="en-GB"/>
        </w:rPr>
      </w:pPr>
    </w:p>
    <w:p w:rsidR="00930CD8" w:rsidRPr="007722A3" w:rsidRDefault="00930CD8" w:rsidP="00930CD8">
      <w:pPr>
        <w:pStyle w:val="Norma"/>
        <w:rPr>
          <w:szCs w:val="22"/>
          <w:lang w:val="en-GB"/>
        </w:rPr>
      </w:pPr>
      <w:r w:rsidRPr="007722A3">
        <w:rPr>
          <w:szCs w:val="22"/>
          <w:lang w:val="en-GB"/>
        </w:rPr>
        <w:t>Ferriprox 1000 mg film-coated tablets</w:t>
      </w:r>
    </w:p>
    <w:p w:rsidR="00930CD8" w:rsidRPr="007722A3" w:rsidRDefault="00930CD8" w:rsidP="00930CD8">
      <w:pPr>
        <w:rPr>
          <w:sz w:val="22"/>
          <w:szCs w:val="22"/>
          <w:lang w:val="en-GB"/>
        </w:rPr>
      </w:pPr>
      <w:r w:rsidRPr="007722A3">
        <w:rPr>
          <w:sz w:val="22"/>
          <w:szCs w:val="22"/>
          <w:lang w:val="en-GB"/>
        </w:rPr>
        <w:t>deferiprone</w:t>
      </w:r>
    </w:p>
    <w:p w:rsidR="00930CD8" w:rsidRPr="007722A3" w:rsidRDefault="00930CD8" w:rsidP="00930CD8">
      <w:pPr>
        <w:pStyle w:val="Norma"/>
        <w:rPr>
          <w:szCs w:val="22"/>
          <w:lang w:val="en-GB"/>
        </w:rPr>
      </w:pPr>
    </w:p>
    <w:p w:rsidR="00930CD8" w:rsidRPr="007722A3" w:rsidRDefault="00930CD8" w:rsidP="00930CD8">
      <w:pPr>
        <w:pStyle w:val="Norma"/>
        <w:rPr>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2.</w:t>
            </w:r>
            <w:r w:rsidRPr="007722A3">
              <w:rPr>
                <w:b/>
                <w:sz w:val="22"/>
                <w:szCs w:val="22"/>
                <w:lang w:val="en-GB"/>
              </w:rPr>
              <w:tab/>
              <w:t>STATEMENT OF ACTIVE SUBSTANCE(S)</w:t>
            </w:r>
          </w:p>
        </w:tc>
      </w:tr>
    </w:tbl>
    <w:p w:rsidR="00930CD8" w:rsidRPr="007722A3" w:rsidRDefault="00930CD8" w:rsidP="00930CD8">
      <w:pPr>
        <w:rPr>
          <w:sz w:val="22"/>
          <w:szCs w:val="22"/>
          <w:lang w:val="en-GB"/>
        </w:rPr>
      </w:pPr>
    </w:p>
    <w:p w:rsidR="00930CD8" w:rsidRPr="007722A3" w:rsidRDefault="00930CD8" w:rsidP="00930CD8">
      <w:pPr>
        <w:rPr>
          <w:noProof/>
          <w:sz w:val="22"/>
          <w:szCs w:val="22"/>
          <w:lang w:val="en-GB"/>
        </w:rPr>
      </w:pPr>
      <w:r w:rsidRPr="007722A3">
        <w:rPr>
          <w:noProof/>
          <w:sz w:val="22"/>
          <w:szCs w:val="22"/>
          <w:lang w:val="en-GB"/>
        </w:rPr>
        <w:t>One tablet contains 1000 mg deferiprone.</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3.</w:t>
            </w:r>
            <w:r w:rsidRPr="007722A3">
              <w:rPr>
                <w:b/>
                <w:sz w:val="22"/>
                <w:szCs w:val="22"/>
                <w:lang w:val="en-GB"/>
              </w:rPr>
              <w:tab/>
              <w:t>LIST OF EXCIPIENTS</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4.</w:t>
            </w:r>
            <w:r w:rsidRPr="007722A3">
              <w:rPr>
                <w:b/>
                <w:sz w:val="22"/>
                <w:szCs w:val="22"/>
                <w:lang w:val="en-GB"/>
              </w:rPr>
              <w:tab/>
              <w:t>PHARMACEUTICAL FORM AND CONTENTS</w:t>
            </w:r>
          </w:p>
        </w:tc>
      </w:tr>
    </w:tbl>
    <w:p w:rsidR="00930CD8" w:rsidRPr="007722A3" w:rsidRDefault="00930CD8" w:rsidP="00930CD8">
      <w:pPr>
        <w:rPr>
          <w:sz w:val="22"/>
          <w:szCs w:val="22"/>
          <w:lang w:val="en-GB"/>
        </w:rPr>
      </w:pPr>
    </w:p>
    <w:p w:rsidR="00930CD8" w:rsidRPr="007722A3" w:rsidRDefault="00930CD8" w:rsidP="00930CD8">
      <w:pPr>
        <w:rPr>
          <w:noProof/>
          <w:sz w:val="22"/>
          <w:szCs w:val="22"/>
          <w:lang w:val="en-GB"/>
        </w:rPr>
      </w:pPr>
      <w:r w:rsidRPr="007722A3">
        <w:rPr>
          <w:noProof/>
          <w:sz w:val="22"/>
          <w:szCs w:val="22"/>
          <w:lang w:val="en-GB"/>
        </w:rPr>
        <w:t xml:space="preserve">50 </w:t>
      </w:r>
      <w:r w:rsidR="0035640F" w:rsidRPr="007722A3">
        <w:rPr>
          <w:noProof/>
          <w:sz w:val="22"/>
          <w:szCs w:val="22"/>
          <w:lang w:val="en-GB"/>
        </w:rPr>
        <w:t xml:space="preserve">film-coated </w:t>
      </w:r>
      <w:r w:rsidRPr="007722A3">
        <w:rPr>
          <w:noProof/>
          <w:sz w:val="22"/>
          <w:szCs w:val="22"/>
          <w:lang w:val="en-GB"/>
        </w:rPr>
        <w:t>tablets</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5.</w:t>
            </w:r>
            <w:r w:rsidRPr="007722A3">
              <w:rPr>
                <w:b/>
                <w:sz w:val="22"/>
                <w:szCs w:val="22"/>
                <w:lang w:val="en-GB"/>
              </w:rPr>
              <w:tab/>
              <w:t>METHOD AND ROUTE(S) OF ADMINISTRATION</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Oral use</w:t>
      </w:r>
    </w:p>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Read the package leaflet before use.</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67305A">
            <w:pPr>
              <w:tabs>
                <w:tab w:val="left" w:pos="142"/>
              </w:tabs>
              <w:ind w:left="567" w:hanging="567"/>
              <w:rPr>
                <w:b/>
                <w:sz w:val="22"/>
                <w:szCs w:val="22"/>
                <w:lang w:val="en-GB"/>
              </w:rPr>
            </w:pPr>
            <w:r w:rsidRPr="007722A3">
              <w:rPr>
                <w:b/>
                <w:sz w:val="22"/>
                <w:szCs w:val="22"/>
                <w:lang w:val="en-GB"/>
              </w:rPr>
              <w:t>6.</w:t>
            </w:r>
            <w:r w:rsidRPr="007722A3">
              <w:rPr>
                <w:b/>
                <w:sz w:val="22"/>
                <w:szCs w:val="22"/>
                <w:lang w:val="en-GB"/>
              </w:rPr>
              <w:tab/>
              <w:t xml:space="preserve">SPECIAL WARNING THAT THE MEDICINAL PRODUCT MUST BE STORED OUT OF THE </w:t>
            </w:r>
            <w:r w:rsidR="0067305A" w:rsidRPr="007722A3">
              <w:rPr>
                <w:b/>
                <w:sz w:val="22"/>
                <w:szCs w:val="22"/>
                <w:lang w:val="en-GB"/>
              </w:rPr>
              <w:t xml:space="preserve">SIGHT AND </w:t>
            </w:r>
            <w:r w:rsidRPr="007722A3">
              <w:rPr>
                <w:b/>
                <w:sz w:val="22"/>
                <w:szCs w:val="22"/>
                <w:lang w:val="en-GB"/>
              </w:rPr>
              <w:t>REACH OF CHILDREN</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 xml:space="preserve">Keep out of the </w:t>
      </w:r>
      <w:r w:rsidR="0067305A" w:rsidRPr="007722A3">
        <w:rPr>
          <w:sz w:val="22"/>
          <w:szCs w:val="22"/>
          <w:lang w:val="en-GB"/>
        </w:rPr>
        <w:t xml:space="preserve">sight and </w:t>
      </w:r>
      <w:r w:rsidRPr="007722A3">
        <w:rPr>
          <w:sz w:val="22"/>
          <w:szCs w:val="22"/>
          <w:lang w:val="en-GB"/>
        </w:rPr>
        <w:t>reach of children</w:t>
      </w:r>
      <w:r w:rsidR="00A80C9B">
        <w:rPr>
          <w:sz w:val="22"/>
          <w:szCs w:val="22"/>
          <w:lang w:val="en-GB"/>
        </w:rPr>
        <w:t>.</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7.</w:t>
            </w:r>
            <w:r w:rsidRPr="007722A3">
              <w:rPr>
                <w:b/>
                <w:sz w:val="22"/>
                <w:szCs w:val="22"/>
                <w:lang w:val="en-GB"/>
              </w:rPr>
              <w:tab/>
              <w:t>OTHER SPECIAL WARNING(S), IF NECESSARY</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357EB1">
            <w:pPr>
              <w:keepNext/>
              <w:tabs>
                <w:tab w:val="left" w:pos="142"/>
              </w:tabs>
              <w:ind w:left="567" w:hanging="567"/>
              <w:rPr>
                <w:b/>
                <w:sz w:val="22"/>
                <w:szCs w:val="22"/>
                <w:lang w:val="en-GB"/>
              </w:rPr>
            </w:pPr>
            <w:r w:rsidRPr="007722A3">
              <w:rPr>
                <w:b/>
                <w:sz w:val="22"/>
                <w:szCs w:val="22"/>
                <w:lang w:val="en-GB"/>
              </w:rPr>
              <w:t>8.</w:t>
            </w:r>
            <w:r w:rsidRPr="007722A3">
              <w:rPr>
                <w:b/>
                <w:sz w:val="22"/>
                <w:szCs w:val="22"/>
                <w:lang w:val="en-GB"/>
              </w:rPr>
              <w:tab/>
              <w:t>EXPIRY DATE</w:t>
            </w:r>
          </w:p>
        </w:tc>
      </w:tr>
    </w:tbl>
    <w:p w:rsidR="00930CD8" w:rsidRPr="007722A3" w:rsidRDefault="00930CD8" w:rsidP="00357EB1">
      <w:pPr>
        <w:keepNext/>
        <w:rPr>
          <w:sz w:val="22"/>
          <w:szCs w:val="22"/>
          <w:lang w:val="en-GB"/>
        </w:rPr>
      </w:pPr>
    </w:p>
    <w:p w:rsidR="00930CD8" w:rsidRPr="007722A3" w:rsidRDefault="00930CD8" w:rsidP="00930CD8">
      <w:pPr>
        <w:rPr>
          <w:sz w:val="22"/>
          <w:szCs w:val="22"/>
          <w:lang w:val="en-GB"/>
        </w:rPr>
      </w:pPr>
      <w:r w:rsidRPr="007722A3">
        <w:rPr>
          <w:sz w:val="22"/>
          <w:szCs w:val="22"/>
          <w:lang w:val="en-GB"/>
        </w:rPr>
        <w:t>EXP</w:t>
      </w:r>
    </w:p>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After first opening use within 50 days.</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1D1B7A">
            <w:pPr>
              <w:keepNext/>
              <w:tabs>
                <w:tab w:val="left" w:pos="142"/>
              </w:tabs>
              <w:ind w:left="567" w:hanging="567"/>
              <w:rPr>
                <w:sz w:val="22"/>
                <w:szCs w:val="22"/>
                <w:lang w:val="en-GB"/>
              </w:rPr>
            </w:pPr>
            <w:r w:rsidRPr="007722A3">
              <w:rPr>
                <w:b/>
                <w:sz w:val="22"/>
                <w:szCs w:val="22"/>
                <w:lang w:val="en-GB"/>
              </w:rPr>
              <w:t>9.</w:t>
            </w:r>
            <w:r w:rsidRPr="007722A3">
              <w:rPr>
                <w:b/>
                <w:sz w:val="22"/>
                <w:szCs w:val="22"/>
                <w:lang w:val="en-GB"/>
              </w:rPr>
              <w:tab/>
              <w:t>SPECIAL STORAGE CONDITIONS</w:t>
            </w:r>
          </w:p>
        </w:tc>
      </w:tr>
    </w:tbl>
    <w:p w:rsidR="00930CD8" w:rsidRPr="007722A3" w:rsidRDefault="00930CD8" w:rsidP="001D1B7A">
      <w:pPr>
        <w:keepNext/>
        <w:rPr>
          <w:sz w:val="22"/>
          <w:szCs w:val="22"/>
          <w:lang w:val="en-GB"/>
        </w:rPr>
      </w:pPr>
    </w:p>
    <w:p w:rsidR="00930CD8" w:rsidRPr="007722A3" w:rsidRDefault="00930CD8" w:rsidP="001D1B7A">
      <w:pPr>
        <w:keepNext/>
        <w:rPr>
          <w:sz w:val="22"/>
          <w:szCs w:val="22"/>
          <w:lang w:val="en-GB"/>
        </w:rPr>
      </w:pPr>
      <w:r w:rsidRPr="007722A3">
        <w:rPr>
          <w:sz w:val="22"/>
          <w:szCs w:val="22"/>
          <w:lang w:val="en-GB"/>
        </w:rPr>
        <w:t>Do not store above 30</w:t>
      </w:r>
      <w:r w:rsidRPr="007722A3">
        <w:rPr>
          <w:rFonts w:ascii="Symbol" w:hAnsi="Symbol"/>
          <w:sz w:val="22"/>
          <w:szCs w:val="22"/>
          <w:lang w:val="en-GB"/>
        </w:rPr>
        <w:sym w:font="Symbol" w:char="F0B0"/>
      </w:r>
      <w:r w:rsidR="0035640F" w:rsidRPr="007722A3">
        <w:rPr>
          <w:sz w:val="22"/>
          <w:szCs w:val="22"/>
          <w:lang w:val="en-GB"/>
        </w:rPr>
        <w:t>C.</w:t>
      </w:r>
    </w:p>
    <w:p w:rsidR="00930CD8" w:rsidRPr="007722A3" w:rsidRDefault="00930CD8" w:rsidP="001D1B7A">
      <w:pPr>
        <w:keepNext/>
        <w:rPr>
          <w:sz w:val="22"/>
          <w:szCs w:val="22"/>
          <w:lang w:val="en-GB"/>
        </w:rPr>
      </w:pPr>
      <w:r w:rsidRPr="007722A3">
        <w:rPr>
          <w:sz w:val="22"/>
          <w:szCs w:val="22"/>
          <w:lang w:val="en-GB"/>
        </w:rPr>
        <w:t>Keep the bottle tightly closed in order to protect from moisture.</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keepNext/>
              <w:keepLines/>
              <w:tabs>
                <w:tab w:val="left" w:pos="142"/>
              </w:tabs>
              <w:ind w:left="562" w:hanging="562"/>
              <w:rPr>
                <w:b/>
                <w:sz w:val="22"/>
                <w:szCs w:val="22"/>
                <w:lang w:val="en-GB"/>
              </w:rPr>
            </w:pPr>
            <w:r w:rsidRPr="007722A3">
              <w:rPr>
                <w:b/>
                <w:sz w:val="22"/>
                <w:szCs w:val="22"/>
                <w:lang w:val="en-GB"/>
              </w:rPr>
              <w:t>10.</w:t>
            </w:r>
            <w:r w:rsidRPr="007722A3">
              <w:rPr>
                <w:b/>
                <w:sz w:val="22"/>
                <w:szCs w:val="22"/>
                <w:lang w:val="en-GB"/>
              </w:rPr>
              <w:tab/>
              <w:t>SPECIAL PRECAUTIONS FOR DISPOSAL OF UNUSED MEDICINAL PRODUCTS OR WASTE MATERIALS DERIVED FROM SUCH MEDICINAL PRODUCTS, IF APPROPRIATE</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11.</w:t>
            </w:r>
            <w:r w:rsidRPr="007722A3">
              <w:rPr>
                <w:b/>
                <w:sz w:val="22"/>
                <w:szCs w:val="22"/>
                <w:lang w:val="en-GB"/>
              </w:rPr>
              <w:tab/>
              <w:t>NAME AND ADDRESS OF THE MARKETING AUTHORISATION HOLDER</w:t>
            </w:r>
          </w:p>
        </w:tc>
      </w:tr>
    </w:tbl>
    <w:p w:rsidR="00930CD8" w:rsidRPr="007722A3" w:rsidRDefault="00930CD8" w:rsidP="00930CD8">
      <w:pPr>
        <w:rPr>
          <w:sz w:val="22"/>
          <w:szCs w:val="22"/>
          <w:lang w:val="en-GB"/>
        </w:rPr>
      </w:pPr>
    </w:p>
    <w:p w:rsidR="00A30160" w:rsidRPr="00A30160" w:rsidRDefault="00A30160" w:rsidP="00A30160">
      <w:pPr>
        <w:rPr>
          <w:sz w:val="22"/>
          <w:szCs w:val="22"/>
          <w:lang w:val="it-IT"/>
        </w:rPr>
      </w:pPr>
      <w:r w:rsidRPr="00A30160">
        <w:rPr>
          <w:sz w:val="22"/>
          <w:szCs w:val="22"/>
          <w:lang w:val="it-IT"/>
        </w:rPr>
        <w:t xml:space="preserve">Chiesi </w:t>
      </w:r>
      <w:r w:rsidRPr="00567559">
        <w:rPr>
          <w:sz w:val="22"/>
          <w:szCs w:val="22"/>
          <w:lang w:val="it-IT"/>
        </w:rPr>
        <w:t>Farmaceutici S.p.A.</w:t>
      </w:r>
    </w:p>
    <w:p w:rsidR="00A30160" w:rsidRPr="00A30160" w:rsidRDefault="00A30160" w:rsidP="00A30160">
      <w:pPr>
        <w:rPr>
          <w:sz w:val="22"/>
          <w:szCs w:val="22"/>
          <w:highlight w:val="lightGray"/>
        </w:rPr>
      </w:pPr>
      <w:r w:rsidRPr="00A30160">
        <w:rPr>
          <w:sz w:val="22"/>
          <w:szCs w:val="22"/>
          <w:highlight w:val="lightGray"/>
        </w:rPr>
        <w:t xml:space="preserve">Via Palermo 26/A </w:t>
      </w:r>
    </w:p>
    <w:p w:rsidR="00A30160" w:rsidRPr="00A30160" w:rsidRDefault="00A30160" w:rsidP="00A30160">
      <w:pPr>
        <w:rPr>
          <w:sz w:val="22"/>
          <w:szCs w:val="22"/>
          <w:highlight w:val="lightGray"/>
        </w:rPr>
      </w:pPr>
      <w:r w:rsidRPr="00A30160">
        <w:rPr>
          <w:sz w:val="22"/>
          <w:szCs w:val="22"/>
          <w:highlight w:val="lightGray"/>
        </w:rPr>
        <w:t xml:space="preserve">43122 Parma </w:t>
      </w:r>
    </w:p>
    <w:p w:rsidR="00A30160" w:rsidRDefault="00A30160" w:rsidP="00A30160">
      <w:pPr>
        <w:rPr>
          <w:sz w:val="22"/>
          <w:szCs w:val="22"/>
        </w:rPr>
      </w:pPr>
      <w:r w:rsidRPr="00A30160">
        <w:rPr>
          <w:sz w:val="22"/>
          <w:szCs w:val="22"/>
          <w:highlight w:val="lightGray"/>
        </w:rPr>
        <w:t>Italy</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12.</w:t>
            </w:r>
            <w:r w:rsidRPr="007722A3">
              <w:rPr>
                <w:b/>
                <w:sz w:val="22"/>
                <w:szCs w:val="22"/>
                <w:lang w:val="en-GB"/>
              </w:rPr>
              <w:tab/>
              <w:t>MARKETING AUTHORISATION NUMBER(S)</w:t>
            </w:r>
          </w:p>
        </w:tc>
      </w:tr>
    </w:tbl>
    <w:p w:rsidR="00930CD8" w:rsidRPr="007722A3" w:rsidRDefault="00930CD8" w:rsidP="00930CD8">
      <w:pPr>
        <w:rPr>
          <w:sz w:val="22"/>
          <w:szCs w:val="22"/>
          <w:lang w:val="en-GB"/>
        </w:rPr>
      </w:pPr>
    </w:p>
    <w:p w:rsidR="00930CD8" w:rsidRPr="00E97465" w:rsidRDefault="007E6464" w:rsidP="00930CD8">
      <w:pPr>
        <w:rPr>
          <w:sz w:val="22"/>
          <w:szCs w:val="22"/>
          <w:highlight w:val="lightGray"/>
          <w:lang w:val="en-GB"/>
        </w:rPr>
      </w:pPr>
      <w:r w:rsidRPr="007722A3">
        <w:rPr>
          <w:bCs/>
          <w:sz w:val="22"/>
          <w:szCs w:val="22"/>
          <w:lang w:val="en-GB"/>
        </w:rPr>
        <w:t>EU/1/99/108/004</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13.</w:t>
            </w:r>
            <w:r w:rsidRPr="007722A3">
              <w:rPr>
                <w:b/>
                <w:sz w:val="22"/>
                <w:szCs w:val="22"/>
                <w:lang w:val="en-GB"/>
              </w:rPr>
              <w:tab/>
              <w:t>BATCH NUMBER</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Lot</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14.</w:t>
            </w:r>
            <w:r w:rsidRPr="007722A3">
              <w:rPr>
                <w:b/>
                <w:sz w:val="22"/>
                <w:szCs w:val="22"/>
                <w:lang w:val="en-GB"/>
              </w:rPr>
              <w:tab/>
              <w:t>GENERAL CLASSIFICATION FOR SUPPLY</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r w:rsidRPr="007722A3">
        <w:rPr>
          <w:sz w:val="22"/>
          <w:szCs w:val="22"/>
          <w:lang w:val="en-GB"/>
        </w:rPr>
        <w:t>Medicinal product subject to medical prescription.</w:t>
      </w:r>
    </w:p>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15.</w:t>
            </w:r>
            <w:r w:rsidRPr="007722A3">
              <w:rPr>
                <w:b/>
                <w:sz w:val="22"/>
                <w:szCs w:val="22"/>
                <w:lang w:val="en-GB"/>
              </w:rPr>
              <w:tab/>
              <w:t>INSTRUCTIONS ON USE</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E1698">
        <w:tc>
          <w:tcPr>
            <w:tcW w:w="9287" w:type="dxa"/>
          </w:tcPr>
          <w:p w:rsidR="00930CD8" w:rsidRPr="007722A3" w:rsidRDefault="00930CD8" w:rsidP="00480B3A">
            <w:pPr>
              <w:tabs>
                <w:tab w:val="left" w:pos="142"/>
              </w:tabs>
              <w:ind w:left="567" w:hanging="567"/>
              <w:rPr>
                <w:b/>
                <w:sz w:val="22"/>
                <w:szCs w:val="22"/>
                <w:lang w:val="en-GB"/>
              </w:rPr>
            </w:pPr>
            <w:r w:rsidRPr="007722A3">
              <w:rPr>
                <w:b/>
                <w:sz w:val="22"/>
                <w:szCs w:val="22"/>
                <w:lang w:val="en-GB"/>
              </w:rPr>
              <w:t>16.</w:t>
            </w:r>
            <w:r w:rsidRPr="007722A3">
              <w:rPr>
                <w:b/>
                <w:sz w:val="22"/>
                <w:szCs w:val="22"/>
                <w:lang w:val="en-GB"/>
              </w:rPr>
              <w:tab/>
              <w:t>INFORMATION IN BRAILLE</w:t>
            </w:r>
          </w:p>
        </w:tc>
      </w:tr>
    </w:tbl>
    <w:p w:rsidR="00930CD8" w:rsidRPr="007722A3" w:rsidRDefault="00930CD8" w:rsidP="00930CD8">
      <w:pPr>
        <w:rPr>
          <w:sz w:val="22"/>
          <w:szCs w:val="22"/>
          <w:lang w:val="en-GB"/>
        </w:rPr>
      </w:pPr>
    </w:p>
    <w:p w:rsidR="00930CD8" w:rsidRPr="007722A3" w:rsidRDefault="00930CD8" w:rsidP="00930CD8">
      <w:pPr>
        <w:rPr>
          <w:sz w:val="22"/>
          <w:szCs w:val="22"/>
          <w:lang w:val="en-GB"/>
        </w:rPr>
      </w:pPr>
      <w:r w:rsidRPr="00E97465">
        <w:rPr>
          <w:noProof/>
          <w:sz w:val="22"/>
          <w:szCs w:val="22"/>
          <w:highlight w:val="lightGray"/>
          <w:lang w:val="en-GB"/>
        </w:rPr>
        <w:t>Ferriprox 1000 mg</w:t>
      </w:r>
    </w:p>
    <w:p w:rsidR="00A144A0" w:rsidRPr="00E97465" w:rsidRDefault="00A144A0" w:rsidP="00A144A0">
      <w:pPr>
        <w:pStyle w:val="BodyText"/>
        <w:rPr>
          <w:noProof/>
          <w:highlight w:val="lightGray"/>
        </w:rPr>
      </w:pPr>
    </w:p>
    <w:p w:rsidR="00A144A0" w:rsidRPr="00E97465" w:rsidRDefault="00A144A0" w:rsidP="00A144A0">
      <w:pPr>
        <w:pStyle w:val="BodyText"/>
        <w:rPr>
          <w:noProof/>
          <w:highlight w:val="lightGray"/>
        </w:rPr>
      </w:pPr>
    </w:p>
    <w:p w:rsidR="00A144A0" w:rsidRPr="001C3A5C" w:rsidRDefault="00A144A0" w:rsidP="00A144A0">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17.</w:t>
      </w:r>
      <w:r w:rsidRPr="001C3A5C">
        <w:rPr>
          <w:b/>
          <w:noProof/>
          <w:sz w:val="22"/>
          <w:szCs w:val="22"/>
        </w:rPr>
        <w:tab/>
        <w:t>UNIQUE IDENTIFIER – 2D BARCODE</w:t>
      </w:r>
    </w:p>
    <w:p w:rsidR="00A144A0" w:rsidRPr="001C3A5C" w:rsidRDefault="00A144A0" w:rsidP="00A144A0">
      <w:pPr>
        <w:rPr>
          <w:noProof/>
          <w:sz w:val="22"/>
          <w:szCs w:val="22"/>
        </w:rPr>
      </w:pPr>
    </w:p>
    <w:p w:rsidR="00FC39E4" w:rsidRPr="00224D20" w:rsidRDefault="00FC39E4" w:rsidP="00FC39E4">
      <w:pPr>
        <w:rPr>
          <w:noProof/>
          <w:sz w:val="22"/>
          <w:szCs w:val="22"/>
          <w:shd w:val="clear" w:color="auto" w:fill="CCCCCC"/>
        </w:rPr>
      </w:pPr>
      <w:r w:rsidRPr="00E97465">
        <w:rPr>
          <w:noProof/>
          <w:sz w:val="22"/>
          <w:highlight w:val="lightGray"/>
        </w:rPr>
        <w:t>2D barcode carrying the unique identifier included.</w:t>
      </w:r>
    </w:p>
    <w:p w:rsidR="00A144A0" w:rsidRDefault="00A144A0" w:rsidP="00A144A0">
      <w:pPr>
        <w:rPr>
          <w:noProof/>
          <w:sz w:val="22"/>
          <w:szCs w:val="22"/>
        </w:rPr>
      </w:pPr>
    </w:p>
    <w:p w:rsidR="00FC39E4" w:rsidRPr="001C3A5C" w:rsidRDefault="00FC39E4" w:rsidP="00A144A0">
      <w:pPr>
        <w:rPr>
          <w:noProof/>
          <w:sz w:val="22"/>
          <w:szCs w:val="22"/>
        </w:rPr>
      </w:pPr>
    </w:p>
    <w:p w:rsidR="00A144A0" w:rsidRPr="001C3A5C" w:rsidRDefault="00A144A0" w:rsidP="00A144A0">
      <w:pPr>
        <w:pBdr>
          <w:top w:val="single" w:sz="4" w:space="1" w:color="auto"/>
          <w:left w:val="single" w:sz="4" w:space="4" w:color="auto"/>
          <w:bottom w:val="single" w:sz="4" w:space="0" w:color="auto"/>
          <w:right w:val="single" w:sz="4" w:space="4" w:color="auto"/>
        </w:pBdr>
        <w:rPr>
          <w:i/>
          <w:noProof/>
          <w:sz w:val="22"/>
          <w:szCs w:val="22"/>
        </w:rPr>
      </w:pPr>
      <w:r w:rsidRPr="001C3A5C">
        <w:rPr>
          <w:b/>
          <w:noProof/>
          <w:sz w:val="22"/>
          <w:szCs w:val="22"/>
        </w:rPr>
        <w:t>18.</w:t>
      </w:r>
      <w:r w:rsidRPr="001C3A5C">
        <w:rPr>
          <w:b/>
          <w:noProof/>
          <w:sz w:val="22"/>
          <w:szCs w:val="22"/>
        </w:rPr>
        <w:tab/>
        <w:t>UNIQUE IDENTIFIER - HUMAN READABLE DATA</w:t>
      </w:r>
    </w:p>
    <w:p w:rsidR="00A144A0" w:rsidRPr="001C3A5C" w:rsidRDefault="00A144A0" w:rsidP="00A144A0">
      <w:pPr>
        <w:rPr>
          <w:noProof/>
          <w:sz w:val="22"/>
          <w:szCs w:val="22"/>
        </w:rPr>
      </w:pPr>
    </w:p>
    <w:p w:rsidR="00A144A0" w:rsidRPr="00097AFC" w:rsidRDefault="00A144A0" w:rsidP="00A144A0">
      <w:pPr>
        <w:rPr>
          <w:noProof/>
          <w:sz w:val="22"/>
          <w:szCs w:val="22"/>
        </w:rPr>
      </w:pPr>
      <w:r w:rsidRPr="001C3A5C">
        <w:rPr>
          <w:noProof/>
          <w:sz w:val="22"/>
          <w:szCs w:val="22"/>
        </w:rPr>
        <w:t xml:space="preserve">PC </w:t>
      </w:r>
    </w:p>
    <w:p w:rsidR="00A144A0" w:rsidRPr="001C3A5C" w:rsidRDefault="00A144A0" w:rsidP="00A144A0">
      <w:pPr>
        <w:rPr>
          <w:noProof/>
          <w:sz w:val="22"/>
          <w:szCs w:val="22"/>
        </w:rPr>
      </w:pPr>
      <w:r w:rsidRPr="001C3A5C">
        <w:rPr>
          <w:noProof/>
          <w:sz w:val="22"/>
          <w:szCs w:val="22"/>
        </w:rPr>
        <w:t xml:space="preserve">SN </w:t>
      </w:r>
    </w:p>
    <w:p w:rsidR="00A144A0" w:rsidRPr="001C3A5C" w:rsidRDefault="00A144A0" w:rsidP="00A144A0">
      <w:pPr>
        <w:rPr>
          <w:sz w:val="22"/>
          <w:szCs w:val="22"/>
        </w:rPr>
      </w:pPr>
      <w:r w:rsidRPr="001C3A5C">
        <w:rPr>
          <w:sz w:val="22"/>
          <w:szCs w:val="22"/>
        </w:rPr>
        <w:t>NN</w:t>
      </w:r>
      <w:r w:rsidR="00B47C2F">
        <w:rPr>
          <w:sz w:val="22"/>
          <w:szCs w:val="22"/>
        </w:rPr>
        <w:t xml:space="preserve"> </w:t>
      </w:r>
    </w:p>
    <w:p w:rsidR="00A144A0" w:rsidRPr="00E97465" w:rsidRDefault="00A144A0" w:rsidP="00A144A0">
      <w:pPr>
        <w:pStyle w:val="BodyText"/>
        <w:rPr>
          <w:noProof/>
          <w:highlight w:val="lightGray"/>
        </w:rPr>
      </w:pPr>
    </w:p>
    <w:p w:rsidR="00930CD8" w:rsidRPr="007722A3" w:rsidRDefault="00930CD8" w:rsidP="00930CD8">
      <w:pPr>
        <w:rPr>
          <w:sz w:val="22"/>
          <w:szCs w:val="22"/>
          <w:lang w:val="en-GB"/>
        </w:rPr>
      </w:pPr>
    </w:p>
    <w:p w:rsidR="008F7FF3" w:rsidRPr="007722A3" w:rsidRDefault="008F7FF3">
      <w:pPr>
        <w:pStyle w:val="BodyText"/>
      </w:pPr>
      <w:r w:rsidRPr="007722A3">
        <w:br w:type="page"/>
      </w: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pPr>
        <w:pStyle w:val="BodyText"/>
      </w:pPr>
    </w:p>
    <w:p w:rsidR="008F7FF3" w:rsidRPr="007722A3" w:rsidRDefault="008F7FF3" w:rsidP="002628EF">
      <w:pPr>
        <w:pStyle w:val="TitleA"/>
      </w:pPr>
      <w:r w:rsidRPr="007722A3">
        <w:t>B. PACKAGE LEAFLET</w:t>
      </w:r>
    </w:p>
    <w:p w:rsidR="008F7FF3" w:rsidRPr="007722A3" w:rsidRDefault="008F7FF3">
      <w:pPr>
        <w:pStyle w:val="Title"/>
        <w:rPr>
          <w:szCs w:val="22"/>
          <w:lang w:val="en-GB"/>
        </w:rPr>
      </w:pPr>
      <w:r w:rsidRPr="007722A3">
        <w:rPr>
          <w:szCs w:val="22"/>
          <w:lang w:val="en-GB"/>
        </w:rPr>
        <w:br w:type="page"/>
        <w:t>P</w:t>
      </w:r>
      <w:r w:rsidR="00AA6FC8" w:rsidRPr="007722A3">
        <w:rPr>
          <w:szCs w:val="22"/>
          <w:lang w:val="en-GB"/>
        </w:rPr>
        <w:t>ackage leaflet</w:t>
      </w:r>
      <w:r w:rsidRPr="007722A3">
        <w:rPr>
          <w:szCs w:val="22"/>
          <w:lang w:val="en-GB"/>
        </w:rPr>
        <w:t>: I</w:t>
      </w:r>
      <w:r w:rsidR="00AA6FC8" w:rsidRPr="007722A3">
        <w:rPr>
          <w:szCs w:val="22"/>
          <w:lang w:val="en-GB"/>
        </w:rPr>
        <w:t>nformation for the user</w:t>
      </w:r>
    </w:p>
    <w:p w:rsidR="008F7FF3" w:rsidRPr="007722A3" w:rsidRDefault="008F7FF3">
      <w:pPr>
        <w:pStyle w:val="Title"/>
        <w:rPr>
          <w:szCs w:val="22"/>
          <w:lang w:val="en-GB"/>
        </w:rPr>
      </w:pPr>
    </w:p>
    <w:p w:rsidR="008F7FF3" w:rsidRPr="007722A3" w:rsidRDefault="008F7FF3">
      <w:pPr>
        <w:pStyle w:val="Title"/>
        <w:rPr>
          <w:szCs w:val="22"/>
          <w:lang w:val="en-GB"/>
        </w:rPr>
      </w:pPr>
      <w:r w:rsidRPr="007722A3">
        <w:rPr>
          <w:szCs w:val="22"/>
          <w:lang w:val="en-GB"/>
        </w:rPr>
        <w:t>Ferriprox 500 mg film-coated tablets</w:t>
      </w:r>
    </w:p>
    <w:p w:rsidR="008F7FF3" w:rsidRPr="007722A3" w:rsidRDefault="00330AE8">
      <w:pPr>
        <w:pStyle w:val="Title"/>
        <w:rPr>
          <w:b w:val="0"/>
          <w:bCs/>
          <w:szCs w:val="22"/>
          <w:lang w:val="en-GB"/>
        </w:rPr>
      </w:pPr>
      <w:r>
        <w:rPr>
          <w:b w:val="0"/>
          <w:bCs/>
          <w:szCs w:val="22"/>
          <w:lang w:val="en-GB"/>
        </w:rPr>
        <w:t>d</w:t>
      </w:r>
      <w:r w:rsidR="008F7FF3" w:rsidRPr="007722A3">
        <w:rPr>
          <w:b w:val="0"/>
          <w:bCs/>
          <w:szCs w:val="22"/>
          <w:lang w:val="en-GB"/>
        </w:rPr>
        <w:t>eferiprone</w:t>
      </w:r>
    </w:p>
    <w:p w:rsidR="008F7FF3" w:rsidRPr="007722A3" w:rsidRDefault="008F7FF3">
      <w:pPr>
        <w:rPr>
          <w:sz w:val="22"/>
          <w:szCs w:val="22"/>
          <w:lang w:val="en-GB"/>
        </w:rPr>
      </w:pPr>
    </w:p>
    <w:p w:rsidR="008F7FF3" w:rsidRPr="007722A3" w:rsidRDefault="008F7FF3">
      <w:pPr>
        <w:rPr>
          <w:b/>
          <w:bCs/>
          <w:sz w:val="22"/>
          <w:szCs w:val="22"/>
          <w:lang w:val="en-GB"/>
        </w:rPr>
      </w:pPr>
      <w:r w:rsidRPr="007722A3">
        <w:rPr>
          <w:b/>
          <w:bCs/>
          <w:sz w:val="22"/>
          <w:szCs w:val="22"/>
          <w:lang w:val="en-GB"/>
        </w:rPr>
        <w:t>Read all of this leaflet carefully before you start taking this medicine</w:t>
      </w:r>
      <w:r w:rsidR="00AA6FC8" w:rsidRPr="007722A3">
        <w:rPr>
          <w:b/>
          <w:bCs/>
          <w:sz w:val="22"/>
          <w:szCs w:val="22"/>
          <w:lang w:val="en-GB"/>
        </w:rPr>
        <w:t xml:space="preserve"> because it contains important information for you</w:t>
      </w:r>
      <w:r w:rsidRPr="007722A3">
        <w:rPr>
          <w:b/>
          <w:bCs/>
          <w:sz w:val="22"/>
          <w:szCs w:val="22"/>
          <w:lang w:val="en-GB"/>
        </w:rPr>
        <w:t>.</w:t>
      </w:r>
    </w:p>
    <w:p w:rsidR="008F7FF3" w:rsidRPr="007722A3" w:rsidRDefault="008F7FF3" w:rsidP="00480B3A">
      <w:pPr>
        <w:numPr>
          <w:ilvl w:val="0"/>
          <w:numId w:val="2"/>
        </w:numPr>
        <w:tabs>
          <w:tab w:val="clear" w:pos="360"/>
        </w:tabs>
        <w:ind w:left="567" w:hanging="567"/>
        <w:rPr>
          <w:sz w:val="22"/>
          <w:szCs w:val="22"/>
          <w:lang w:val="en-GB"/>
        </w:rPr>
      </w:pPr>
      <w:r w:rsidRPr="007722A3">
        <w:rPr>
          <w:sz w:val="22"/>
          <w:szCs w:val="22"/>
          <w:lang w:val="en-GB"/>
        </w:rPr>
        <w:t>Keep this leaflet. You may need to read it again.</w:t>
      </w:r>
    </w:p>
    <w:p w:rsidR="008F7FF3" w:rsidRPr="007722A3" w:rsidRDefault="008F7FF3" w:rsidP="00480B3A">
      <w:pPr>
        <w:numPr>
          <w:ilvl w:val="0"/>
          <w:numId w:val="2"/>
        </w:numPr>
        <w:tabs>
          <w:tab w:val="clear" w:pos="360"/>
        </w:tabs>
        <w:ind w:left="567" w:hanging="567"/>
        <w:rPr>
          <w:sz w:val="22"/>
          <w:szCs w:val="22"/>
          <w:lang w:val="en-GB"/>
        </w:rPr>
      </w:pPr>
      <w:r w:rsidRPr="007722A3">
        <w:rPr>
          <w:sz w:val="22"/>
          <w:szCs w:val="22"/>
          <w:lang w:val="en-GB"/>
        </w:rPr>
        <w:t>If you have any further questions, ask your doctor or pharmacist.</w:t>
      </w:r>
    </w:p>
    <w:p w:rsidR="008F7FF3" w:rsidRPr="007722A3" w:rsidRDefault="008F7FF3" w:rsidP="00480B3A">
      <w:pPr>
        <w:numPr>
          <w:ilvl w:val="0"/>
          <w:numId w:val="2"/>
        </w:numPr>
        <w:tabs>
          <w:tab w:val="clear" w:pos="360"/>
        </w:tabs>
        <w:ind w:left="567" w:hanging="567"/>
        <w:rPr>
          <w:sz w:val="22"/>
          <w:szCs w:val="22"/>
          <w:lang w:val="en-GB"/>
        </w:rPr>
      </w:pPr>
      <w:r w:rsidRPr="007722A3">
        <w:rPr>
          <w:sz w:val="22"/>
          <w:szCs w:val="22"/>
          <w:lang w:val="en-GB"/>
        </w:rPr>
        <w:t>This medicine has been prescribed for you</w:t>
      </w:r>
      <w:r w:rsidR="00AA6FC8" w:rsidRPr="007722A3">
        <w:rPr>
          <w:sz w:val="22"/>
          <w:szCs w:val="22"/>
          <w:lang w:val="en-GB"/>
        </w:rPr>
        <w:t xml:space="preserve"> only</w:t>
      </w:r>
      <w:r w:rsidRPr="007722A3">
        <w:rPr>
          <w:sz w:val="22"/>
          <w:szCs w:val="22"/>
          <w:lang w:val="en-GB"/>
        </w:rPr>
        <w:t xml:space="preserve">. Do not pass it on to others. It may harm them, even if their </w:t>
      </w:r>
      <w:r w:rsidR="00AA6FC8" w:rsidRPr="007722A3">
        <w:rPr>
          <w:sz w:val="22"/>
          <w:szCs w:val="22"/>
          <w:lang w:val="en-GB"/>
        </w:rPr>
        <w:t>signs of illness</w:t>
      </w:r>
      <w:r w:rsidRPr="007722A3">
        <w:rPr>
          <w:sz w:val="22"/>
          <w:szCs w:val="22"/>
          <w:lang w:val="en-GB"/>
        </w:rPr>
        <w:t xml:space="preserve"> are the same as yours.</w:t>
      </w:r>
    </w:p>
    <w:p w:rsidR="008F7FF3" w:rsidRPr="007722A3" w:rsidRDefault="008F7FF3" w:rsidP="00631550">
      <w:pPr>
        <w:numPr>
          <w:ilvl w:val="0"/>
          <w:numId w:val="2"/>
        </w:numPr>
        <w:tabs>
          <w:tab w:val="clear" w:pos="360"/>
        </w:tabs>
        <w:ind w:left="567" w:hanging="567"/>
        <w:rPr>
          <w:sz w:val="22"/>
          <w:szCs w:val="22"/>
          <w:lang w:val="en-GB"/>
        </w:rPr>
      </w:pPr>
      <w:r w:rsidRPr="007722A3">
        <w:rPr>
          <w:sz w:val="22"/>
          <w:szCs w:val="22"/>
          <w:lang w:val="en-GB"/>
        </w:rPr>
        <w:t xml:space="preserve">If you </w:t>
      </w:r>
      <w:r w:rsidR="00AA6FC8" w:rsidRPr="007722A3">
        <w:rPr>
          <w:sz w:val="22"/>
          <w:szCs w:val="22"/>
          <w:lang w:val="en-GB"/>
        </w:rPr>
        <w:t>get</w:t>
      </w:r>
      <w:r w:rsidRPr="007722A3">
        <w:rPr>
          <w:sz w:val="22"/>
          <w:szCs w:val="22"/>
          <w:lang w:val="en-GB"/>
        </w:rPr>
        <w:t xml:space="preserve"> any side </w:t>
      </w:r>
      <w:r w:rsidR="00EB70F5" w:rsidRPr="007722A3">
        <w:rPr>
          <w:sz w:val="22"/>
          <w:szCs w:val="22"/>
          <w:lang w:val="en-GB"/>
        </w:rPr>
        <w:t>effects, talk</w:t>
      </w:r>
      <w:r w:rsidR="00AA6FC8" w:rsidRPr="007722A3">
        <w:rPr>
          <w:sz w:val="22"/>
          <w:szCs w:val="22"/>
          <w:lang w:val="en-GB"/>
        </w:rPr>
        <w:t xml:space="preserve"> to </w:t>
      </w:r>
      <w:r w:rsidRPr="007722A3">
        <w:rPr>
          <w:sz w:val="22"/>
          <w:szCs w:val="22"/>
          <w:lang w:val="en-GB"/>
        </w:rPr>
        <w:t>your doctor or pharmacist.</w:t>
      </w:r>
      <w:r w:rsidR="00AA6FC8" w:rsidRPr="007722A3">
        <w:rPr>
          <w:sz w:val="22"/>
          <w:szCs w:val="22"/>
          <w:lang w:val="en-GB"/>
        </w:rPr>
        <w:t xml:space="preserve"> This includes any possible side effects not listed in this leaflet</w:t>
      </w:r>
      <w:r w:rsidR="00631550">
        <w:rPr>
          <w:sz w:val="22"/>
          <w:szCs w:val="22"/>
          <w:lang w:val="en-GB"/>
        </w:rPr>
        <w:t>. See section 4.</w:t>
      </w:r>
    </w:p>
    <w:p w:rsidR="00330AE8" w:rsidRPr="007C78AF" w:rsidRDefault="00330AE8" w:rsidP="00330AE8">
      <w:pPr>
        <w:numPr>
          <w:ilvl w:val="0"/>
          <w:numId w:val="2"/>
        </w:numPr>
        <w:tabs>
          <w:tab w:val="clear" w:pos="360"/>
        </w:tabs>
        <w:ind w:left="567" w:hanging="567"/>
        <w:rPr>
          <w:sz w:val="22"/>
          <w:szCs w:val="22"/>
          <w:lang w:val="en-GB"/>
        </w:rPr>
      </w:pPr>
      <w:r w:rsidRPr="007C78AF">
        <w:rPr>
          <w:sz w:val="22"/>
          <w:szCs w:val="22"/>
          <w:lang w:val="en-GB"/>
        </w:rPr>
        <w:t xml:space="preserve">Attached to this leaflet you will find a patient/carer reminder card. You should detach, complete, read the card carefully and carry it with you. </w:t>
      </w:r>
      <w:r w:rsidRPr="007C78AF">
        <w:rPr>
          <w:sz w:val="22"/>
          <w:szCs w:val="22"/>
        </w:rPr>
        <w:t>Provide this card to your doctor if you develop infection symptoms such as a fever, sore throat or flu-like symptoms.</w:t>
      </w:r>
    </w:p>
    <w:p w:rsidR="008F7FF3" w:rsidRPr="007722A3" w:rsidRDefault="008F7FF3">
      <w:pPr>
        <w:rPr>
          <w:sz w:val="22"/>
          <w:szCs w:val="22"/>
          <w:lang w:val="en-GB"/>
        </w:rPr>
      </w:pPr>
    </w:p>
    <w:p w:rsidR="008F7FF3" w:rsidRPr="007722A3" w:rsidRDefault="00BE7F45">
      <w:pPr>
        <w:pStyle w:val="Heading3"/>
      </w:pPr>
      <w:r w:rsidRPr="007722A3">
        <w:t>What is i</w:t>
      </w:r>
      <w:r w:rsidR="008F7FF3" w:rsidRPr="007722A3">
        <w:t>n this leaflet</w:t>
      </w:r>
    </w:p>
    <w:p w:rsidR="008F7FF3" w:rsidRPr="007722A3" w:rsidRDefault="008F7FF3">
      <w:pPr>
        <w:ind w:left="540" w:hanging="540"/>
        <w:rPr>
          <w:sz w:val="22"/>
          <w:szCs w:val="22"/>
          <w:lang w:val="en-GB"/>
        </w:rPr>
      </w:pPr>
      <w:r w:rsidRPr="007722A3">
        <w:rPr>
          <w:sz w:val="22"/>
          <w:szCs w:val="22"/>
          <w:lang w:val="en-GB"/>
        </w:rPr>
        <w:t>1.</w:t>
      </w:r>
      <w:r w:rsidRPr="007722A3">
        <w:rPr>
          <w:sz w:val="22"/>
          <w:szCs w:val="22"/>
          <w:lang w:val="en-GB"/>
        </w:rPr>
        <w:tab/>
        <w:t>What Ferriprox is and what it is used for</w:t>
      </w:r>
    </w:p>
    <w:p w:rsidR="008F7FF3" w:rsidRPr="007722A3" w:rsidRDefault="008F7FF3">
      <w:pPr>
        <w:ind w:left="540" w:hanging="540"/>
        <w:rPr>
          <w:sz w:val="22"/>
          <w:szCs w:val="22"/>
          <w:lang w:val="en-GB"/>
        </w:rPr>
      </w:pPr>
      <w:r w:rsidRPr="007722A3">
        <w:rPr>
          <w:sz w:val="22"/>
          <w:szCs w:val="22"/>
          <w:lang w:val="en-GB"/>
        </w:rPr>
        <w:t>2.</w:t>
      </w:r>
      <w:r w:rsidRPr="007722A3">
        <w:rPr>
          <w:sz w:val="22"/>
          <w:szCs w:val="22"/>
          <w:lang w:val="en-GB"/>
        </w:rPr>
        <w:tab/>
      </w:r>
      <w:r w:rsidR="00BE7F45" w:rsidRPr="007722A3">
        <w:rPr>
          <w:sz w:val="22"/>
          <w:szCs w:val="22"/>
          <w:lang w:val="en-GB"/>
        </w:rPr>
        <w:t>What you need to know b</w:t>
      </w:r>
      <w:r w:rsidRPr="007722A3">
        <w:rPr>
          <w:sz w:val="22"/>
          <w:szCs w:val="22"/>
          <w:lang w:val="en-GB"/>
        </w:rPr>
        <w:t>efore you take Ferriprox</w:t>
      </w:r>
    </w:p>
    <w:p w:rsidR="008F7FF3" w:rsidRPr="007722A3" w:rsidRDefault="008F7FF3">
      <w:pPr>
        <w:ind w:left="540" w:hanging="540"/>
        <w:rPr>
          <w:sz w:val="22"/>
          <w:szCs w:val="22"/>
          <w:lang w:val="en-GB"/>
        </w:rPr>
      </w:pPr>
      <w:r w:rsidRPr="007722A3">
        <w:rPr>
          <w:sz w:val="22"/>
          <w:szCs w:val="22"/>
          <w:lang w:val="en-GB"/>
        </w:rPr>
        <w:t>3.</w:t>
      </w:r>
      <w:r w:rsidRPr="007722A3">
        <w:rPr>
          <w:sz w:val="22"/>
          <w:szCs w:val="22"/>
          <w:lang w:val="en-GB"/>
        </w:rPr>
        <w:tab/>
        <w:t>How to take Ferriprox</w:t>
      </w:r>
    </w:p>
    <w:p w:rsidR="008F7FF3" w:rsidRPr="007722A3" w:rsidRDefault="008F7FF3">
      <w:pPr>
        <w:ind w:left="540" w:hanging="540"/>
        <w:rPr>
          <w:sz w:val="22"/>
          <w:szCs w:val="22"/>
          <w:lang w:val="en-GB"/>
        </w:rPr>
      </w:pPr>
      <w:r w:rsidRPr="007722A3">
        <w:rPr>
          <w:sz w:val="22"/>
          <w:szCs w:val="22"/>
          <w:lang w:val="en-GB"/>
        </w:rPr>
        <w:t>4.</w:t>
      </w:r>
      <w:r w:rsidRPr="007722A3">
        <w:rPr>
          <w:sz w:val="22"/>
          <w:szCs w:val="22"/>
          <w:lang w:val="en-GB"/>
        </w:rPr>
        <w:tab/>
        <w:t>Possible side effects</w:t>
      </w:r>
    </w:p>
    <w:p w:rsidR="008F7FF3" w:rsidRPr="007722A3" w:rsidRDefault="008F7FF3">
      <w:pPr>
        <w:ind w:left="540" w:hanging="540"/>
        <w:rPr>
          <w:sz w:val="22"/>
          <w:szCs w:val="22"/>
          <w:lang w:val="en-GB"/>
        </w:rPr>
      </w:pPr>
      <w:r w:rsidRPr="007722A3">
        <w:rPr>
          <w:sz w:val="22"/>
          <w:szCs w:val="22"/>
          <w:lang w:val="en-GB"/>
        </w:rPr>
        <w:t>5.</w:t>
      </w:r>
      <w:r w:rsidRPr="007722A3">
        <w:rPr>
          <w:sz w:val="22"/>
          <w:szCs w:val="22"/>
          <w:lang w:val="en-GB"/>
        </w:rPr>
        <w:tab/>
        <w:t>How to store Ferriprox</w:t>
      </w:r>
    </w:p>
    <w:p w:rsidR="008F7FF3" w:rsidRPr="007722A3" w:rsidRDefault="008F7FF3">
      <w:pPr>
        <w:ind w:left="540" w:hanging="540"/>
        <w:rPr>
          <w:sz w:val="22"/>
          <w:szCs w:val="22"/>
          <w:lang w:val="en-GB"/>
        </w:rPr>
      </w:pPr>
      <w:r w:rsidRPr="007722A3">
        <w:rPr>
          <w:sz w:val="22"/>
          <w:szCs w:val="22"/>
          <w:lang w:val="en-GB"/>
        </w:rPr>
        <w:t>6.</w:t>
      </w:r>
      <w:r w:rsidRPr="007722A3">
        <w:rPr>
          <w:sz w:val="22"/>
          <w:szCs w:val="22"/>
          <w:lang w:val="en-GB"/>
        </w:rPr>
        <w:tab/>
      </w:r>
      <w:r w:rsidR="00BE7F45" w:rsidRPr="007722A3">
        <w:rPr>
          <w:sz w:val="22"/>
          <w:szCs w:val="22"/>
          <w:lang w:val="en-GB"/>
        </w:rPr>
        <w:t>Contents of the pack and other</w:t>
      </w:r>
      <w:r w:rsidRPr="007722A3">
        <w:rPr>
          <w:sz w:val="22"/>
          <w:szCs w:val="22"/>
          <w:lang w:val="en-GB"/>
        </w:rPr>
        <w:t xml:space="preserve"> information</w:t>
      </w:r>
    </w:p>
    <w:p w:rsidR="008F7FF3" w:rsidRPr="007722A3" w:rsidRDefault="008F7FF3">
      <w:pPr>
        <w:rPr>
          <w:sz w:val="22"/>
          <w:szCs w:val="22"/>
          <w:lang w:val="en-GB"/>
        </w:rPr>
      </w:pPr>
    </w:p>
    <w:p w:rsidR="008F7FF3" w:rsidRPr="007722A3" w:rsidRDefault="008F7FF3">
      <w:pPr>
        <w:rPr>
          <w:sz w:val="22"/>
          <w:szCs w:val="22"/>
          <w:lang w:val="en-GB"/>
        </w:rPr>
      </w:pPr>
    </w:p>
    <w:p w:rsidR="008F7FF3" w:rsidRPr="007722A3" w:rsidRDefault="008F7FF3">
      <w:pPr>
        <w:ind w:left="540" w:hanging="540"/>
        <w:rPr>
          <w:b/>
          <w:sz w:val="22"/>
          <w:szCs w:val="22"/>
          <w:lang w:val="en-GB"/>
        </w:rPr>
      </w:pPr>
      <w:r w:rsidRPr="007722A3">
        <w:rPr>
          <w:b/>
          <w:sz w:val="22"/>
          <w:szCs w:val="22"/>
          <w:lang w:val="en-GB"/>
        </w:rPr>
        <w:t>1.</w:t>
      </w:r>
      <w:r w:rsidRPr="007722A3">
        <w:rPr>
          <w:b/>
          <w:sz w:val="22"/>
          <w:szCs w:val="22"/>
          <w:lang w:val="en-GB"/>
        </w:rPr>
        <w:tab/>
        <w:t>W</w:t>
      </w:r>
      <w:r w:rsidR="00BE7F45" w:rsidRPr="007722A3">
        <w:rPr>
          <w:b/>
          <w:sz w:val="22"/>
          <w:szCs w:val="22"/>
          <w:lang w:val="en-GB"/>
        </w:rPr>
        <w:t xml:space="preserve">hat Ferriprox </w:t>
      </w:r>
      <w:r w:rsidR="00CD70B8">
        <w:rPr>
          <w:b/>
          <w:sz w:val="22"/>
          <w:szCs w:val="22"/>
          <w:lang w:val="en-GB"/>
        </w:rPr>
        <w:t xml:space="preserve">is </w:t>
      </w:r>
      <w:r w:rsidR="00BE7F45" w:rsidRPr="007722A3">
        <w:rPr>
          <w:b/>
          <w:sz w:val="22"/>
          <w:szCs w:val="22"/>
          <w:lang w:val="en-GB"/>
        </w:rPr>
        <w:t>and what it is used for</w:t>
      </w:r>
    </w:p>
    <w:p w:rsidR="008F7FF3" w:rsidRPr="007722A3" w:rsidRDefault="008F7FF3">
      <w:pPr>
        <w:rPr>
          <w:sz w:val="22"/>
          <w:szCs w:val="22"/>
          <w:lang w:val="en-GB"/>
        </w:rPr>
      </w:pPr>
    </w:p>
    <w:p w:rsidR="00352151" w:rsidRPr="007722A3" w:rsidRDefault="00352151" w:rsidP="00352151">
      <w:pPr>
        <w:rPr>
          <w:sz w:val="22"/>
          <w:szCs w:val="22"/>
          <w:lang w:val="en-GB"/>
        </w:rPr>
      </w:pPr>
      <w:r w:rsidRPr="007722A3">
        <w:rPr>
          <w:sz w:val="22"/>
          <w:szCs w:val="22"/>
          <w:lang w:val="en-GB"/>
        </w:rPr>
        <w:t xml:space="preserve">Ferriprox contains the active substance deferiprone. Ferriprox is </w:t>
      </w:r>
      <w:r w:rsidR="00861106">
        <w:rPr>
          <w:sz w:val="22"/>
          <w:szCs w:val="22"/>
          <w:lang w:val="en-GB"/>
        </w:rPr>
        <w:t xml:space="preserve">an iron chelator, </w:t>
      </w:r>
      <w:r w:rsidRPr="007722A3">
        <w:rPr>
          <w:sz w:val="22"/>
          <w:szCs w:val="22"/>
          <w:lang w:val="en-GB"/>
        </w:rPr>
        <w:t xml:space="preserve">a </w:t>
      </w:r>
      <w:r w:rsidR="00861106">
        <w:rPr>
          <w:sz w:val="22"/>
          <w:szCs w:val="22"/>
          <w:lang w:val="en-GB"/>
        </w:rPr>
        <w:t xml:space="preserve">type of </w:t>
      </w:r>
      <w:r w:rsidRPr="007722A3">
        <w:rPr>
          <w:sz w:val="22"/>
          <w:szCs w:val="22"/>
          <w:lang w:val="en-GB"/>
        </w:rPr>
        <w:t xml:space="preserve">medicine that removes </w:t>
      </w:r>
      <w:r w:rsidR="00861106">
        <w:rPr>
          <w:sz w:val="22"/>
          <w:szCs w:val="22"/>
          <w:lang w:val="en-GB"/>
        </w:rPr>
        <w:t xml:space="preserve">excess </w:t>
      </w:r>
      <w:r w:rsidRPr="007722A3">
        <w:rPr>
          <w:sz w:val="22"/>
          <w:szCs w:val="22"/>
          <w:lang w:val="en-GB"/>
        </w:rPr>
        <w:t>iron from the body.</w:t>
      </w:r>
    </w:p>
    <w:p w:rsidR="008F7FF3" w:rsidRPr="007722A3" w:rsidRDefault="008F7FF3">
      <w:pPr>
        <w:rPr>
          <w:sz w:val="22"/>
          <w:szCs w:val="22"/>
          <w:lang w:val="en-GB"/>
        </w:rPr>
      </w:pPr>
    </w:p>
    <w:p w:rsidR="008F7FF3" w:rsidRPr="007722A3" w:rsidRDefault="008F7FF3">
      <w:pPr>
        <w:rPr>
          <w:sz w:val="22"/>
          <w:szCs w:val="22"/>
          <w:lang w:val="en-GB"/>
        </w:rPr>
      </w:pPr>
      <w:r w:rsidRPr="007722A3">
        <w:rPr>
          <w:sz w:val="22"/>
          <w:szCs w:val="22"/>
          <w:lang w:val="en-GB"/>
        </w:rPr>
        <w:t xml:space="preserve">Ferriprox is </w:t>
      </w:r>
      <w:r w:rsidR="00CB6756" w:rsidRPr="007722A3">
        <w:rPr>
          <w:sz w:val="22"/>
          <w:szCs w:val="22"/>
          <w:lang w:val="en-GB"/>
        </w:rPr>
        <w:t>used to treat</w:t>
      </w:r>
      <w:r w:rsidRPr="007722A3">
        <w:rPr>
          <w:sz w:val="22"/>
          <w:szCs w:val="22"/>
          <w:lang w:val="en-GB"/>
        </w:rPr>
        <w:t xml:space="preserve"> iron overload </w:t>
      </w:r>
      <w:r w:rsidR="00CB6756" w:rsidRPr="007722A3">
        <w:rPr>
          <w:sz w:val="22"/>
          <w:szCs w:val="22"/>
          <w:lang w:val="en-GB"/>
        </w:rPr>
        <w:t xml:space="preserve">caused by frequent blood transfusions </w:t>
      </w:r>
      <w:r w:rsidRPr="007722A3">
        <w:rPr>
          <w:sz w:val="22"/>
          <w:szCs w:val="22"/>
          <w:lang w:val="en-GB"/>
        </w:rPr>
        <w:t xml:space="preserve">in patients with thalassaemia major when </w:t>
      </w:r>
      <w:r w:rsidR="00D83DCA">
        <w:rPr>
          <w:sz w:val="22"/>
          <w:szCs w:val="22"/>
          <w:lang w:val="en-GB"/>
        </w:rPr>
        <w:t xml:space="preserve">current chelation </w:t>
      </w:r>
      <w:r w:rsidRPr="007722A3">
        <w:rPr>
          <w:sz w:val="22"/>
          <w:szCs w:val="22"/>
          <w:lang w:val="en-GB"/>
        </w:rPr>
        <w:t>therapy is contraindicated or inadequate.</w:t>
      </w:r>
    </w:p>
    <w:p w:rsidR="008F7FF3" w:rsidRPr="007722A3" w:rsidRDefault="008F7FF3">
      <w:pPr>
        <w:rPr>
          <w:sz w:val="22"/>
          <w:szCs w:val="22"/>
          <w:lang w:val="en-GB"/>
        </w:rPr>
      </w:pPr>
    </w:p>
    <w:p w:rsidR="008F7FF3" w:rsidRPr="007722A3" w:rsidRDefault="008F7FF3">
      <w:pPr>
        <w:rPr>
          <w:sz w:val="22"/>
          <w:szCs w:val="22"/>
          <w:lang w:val="en-GB"/>
        </w:rPr>
      </w:pPr>
    </w:p>
    <w:p w:rsidR="008F7FF3" w:rsidRPr="007722A3" w:rsidRDefault="008F7FF3">
      <w:pPr>
        <w:ind w:left="540" w:hanging="540"/>
        <w:rPr>
          <w:b/>
          <w:sz w:val="22"/>
          <w:szCs w:val="22"/>
          <w:lang w:val="en-GB"/>
        </w:rPr>
      </w:pPr>
      <w:r w:rsidRPr="007722A3">
        <w:rPr>
          <w:b/>
          <w:sz w:val="22"/>
          <w:szCs w:val="22"/>
          <w:lang w:val="en-GB"/>
        </w:rPr>
        <w:t>2.</w:t>
      </w:r>
      <w:r w:rsidRPr="007722A3">
        <w:rPr>
          <w:b/>
          <w:sz w:val="22"/>
          <w:szCs w:val="22"/>
          <w:lang w:val="en-GB"/>
        </w:rPr>
        <w:tab/>
      </w:r>
      <w:r w:rsidR="00954CA6" w:rsidRPr="007722A3">
        <w:rPr>
          <w:b/>
          <w:sz w:val="22"/>
          <w:szCs w:val="22"/>
          <w:lang w:val="en-GB"/>
        </w:rPr>
        <w:t>What you need to know before you take Ferriprox</w:t>
      </w:r>
    </w:p>
    <w:p w:rsidR="008F7FF3" w:rsidRPr="007722A3" w:rsidRDefault="008F7FF3">
      <w:pPr>
        <w:ind w:left="567" w:hanging="567"/>
        <w:rPr>
          <w:b/>
          <w:sz w:val="22"/>
          <w:szCs w:val="22"/>
          <w:lang w:val="en-GB"/>
        </w:rPr>
      </w:pPr>
    </w:p>
    <w:p w:rsidR="008F7FF3" w:rsidRPr="007722A3" w:rsidRDefault="008F7FF3">
      <w:pPr>
        <w:pStyle w:val="Heading3"/>
      </w:pPr>
      <w:r w:rsidRPr="007722A3">
        <w:t>Do not take Ferriprox</w:t>
      </w:r>
    </w:p>
    <w:p w:rsidR="008F7FF3" w:rsidRPr="007722A3" w:rsidRDefault="008F7FF3" w:rsidP="007E6BDB">
      <w:pPr>
        <w:pStyle w:val="PILbullets"/>
        <w:tabs>
          <w:tab w:val="clear" w:pos="360"/>
          <w:tab w:val="left" w:pos="540"/>
        </w:tabs>
        <w:ind w:left="540" w:hanging="540"/>
      </w:pPr>
      <w:r w:rsidRPr="007722A3">
        <w:t xml:space="preserve">if you are allergic to deferiprone or any of the other ingredients of </w:t>
      </w:r>
      <w:r w:rsidR="00954CA6" w:rsidRPr="007722A3">
        <w:t>this medicine (listed in section 6)</w:t>
      </w:r>
      <w:r w:rsidRPr="007722A3">
        <w:t>.</w:t>
      </w:r>
    </w:p>
    <w:p w:rsidR="008F7FF3" w:rsidRPr="007722A3" w:rsidRDefault="008F7FF3" w:rsidP="007E6BDB">
      <w:pPr>
        <w:pStyle w:val="PILbullets"/>
        <w:tabs>
          <w:tab w:val="clear" w:pos="360"/>
          <w:tab w:val="left" w:pos="540"/>
        </w:tabs>
        <w:ind w:left="540" w:hanging="540"/>
      </w:pPr>
      <w:r w:rsidRPr="007722A3">
        <w:t xml:space="preserve">if you have a history of repeated episodes of neutropenia (low </w:t>
      </w:r>
      <w:r w:rsidR="007B6D7C" w:rsidRPr="007722A3">
        <w:t>white blood cell (</w:t>
      </w:r>
      <w:r w:rsidRPr="007722A3">
        <w:t>neutrophil</w:t>
      </w:r>
      <w:r w:rsidR="007B6D7C" w:rsidRPr="007722A3">
        <w:t>)</w:t>
      </w:r>
      <w:r w:rsidRPr="007722A3">
        <w:t xml:space="preserve"> count).</w:t>
      </w:r>
    </w:p>
    <w:p w:rsidR="008F7FF3" w:rsidRPr="007722A3" w:rsidRDefault="008F7FF3" w:rsidP="007E6BDB">
      <w:pPr>
        <w:pStyle w:val="PILbullets"/>
        <w:tabs>
          <w:tab w:val="clear" w:pos="360"/>
          <w:tab w:val="left" w:pos="540"/>
        </w:tabs>
        <w:ind w:left="540" w:hanging="540"/>
      </w:pPr>
      <w:r w:rsidRPr="007722A3">
        <w:t xml:space="preserve">if you have a history of agranulocytosis (very low white blood cell </w:t>
      </w:r>
      <w:r w:rsidR="00661D8D" w:rsidRPr="007722A3">
        <w:t xml:space="preserve">(neutrophil) </w:t>
      </w:r>
      <w:r w:rsidRPr="007722A3">
        <w:t>count</w:t>
      </w:r>
      <w:r w:rsidR="006604BA" w:rsidRPr="007722A3">
        <w:t>).</w:t>
      </w:r>
    </w:p>
    <w:p w:rsidR="008F7FF3" w:rsidRPr="007722A3" w:rsidRDefault="008F7FF3" w:rsidP="007E6BDB">
      <w:pPr>
        <w:pStyle w:val="PILbullets"/>
        <w:tabs>
          <w:tab w:val="clear" w:pos="360"/>
          <w:tab w:val="left" w:pos="540"/>
        </w:tabs>
        <w:ind w:left="540" w:hanging="540"/>
      </w:pPr>
      <w:r w:rsidRPr="007722A3">
        <w:t>if you are currently taking medicines known to cause neutropenia</w:t>
      </w:r>
      <w:r w:rsidR="006604BA" w:rsidRPr="007722A3">
        <w:t xml:space="preserve"> or agranulocytosis</w:t>
      </w:r>
      <w:r w:rsidR="00CB6756" w:rsidRPr="007722A3">
        <w:t xml:space="preserve"> (see “</w:t>
      </w:r>
      <w:r w:rsidR="006567C2" w:rsidRPr="007722A3">
        <w:t>Other medicines and Ferriprox</w:t>
      </w:r>
      <w:r w:rsidR="00CB6756" w:rsidRPr="007722A3">
        <w:t>”)</w:t>
      </w:r>
      <w:r w:rsidR="006604BA" w:rsidRPr="007722A3">
        <w:t>.</w:t>
      </w:r>
    </w:p>
    <w:p w:rsidR="008F7FF3" w:rsidRPr="007722A3" w:rsidRDefault="008F7FF3" w:rsidP="007E6BDB">
      <w:pPr>
        <w:pStyle w:val="PILbullets"/>
        <w:tabs>
          <w:tab w:val="clear" w:pos="360"/>
          <w:tab w:val="left" w:pos="540"/>
        </w:tabs>
        <w:ind w:left="540" w:hanging="540"/>
      </w:pPr>
      <w:r w:rsidRPr="007722A3">
        <w:t xml:space="preserve">if you are pregnant or </w:t>
      </w:r>
      <w:r w:rsidR="006604BA" w:rsidRPr="007722A3">
        <w:t>breast</w:t>
      </w:r>
      <w:r w:rsidR="00954CA6" w:rsidRPr="007722A3">
        <w:t>-</w:t>
      </w:r>
      <w:r w:rsidR="006604BA" w:rsidRPr="007722A3">
        <w:t>feeding.</w:t>
      </w:r>
    </w:p>
    <w:p w:rsidR="008F7FF3" w:rsidRPr="007722A3" w:rsidRDefault="008F7FF3">
      <w:pPr>
        <w:pStyle w:val="BodyText"/>
      </w:pPr>
    </w:p>
    <w:p w:rsidR="008F7FF3" w:rsidRPr="007722A3" w:rsidRDefault="00954CA6">
      <w:pPr>
        <w:pStyle w:val="Heading3"/>
      </w:pPr>
      <w:r w:rsidRPr="007722A3">
        <w:t>Warnings and precautions</w:t>
      </w:r>
    </w:p>
    <w:p w:rsidR="00330AE8" w:rsidRPr="00461557" w:rsidRDefault="00330AE8" w:rsidP="00330AE8">
      <w:pPr>
        <w:pStyle w:val="PILbullets"/>
        <w:tabs>
          <w:tab w:val="clear" w:pos="360"/>
          <w:tab w:val="num" w:pos="540"/>
        </w:tabs>
        <w:ind w:left="540" w:hanging="540"/>
      </w:pPr>
      <w:r w:rsidRPr="007722A3">
        <w:t>the most serious side effect that may occur while taking Ferriprox is a very low white blood cell (neutrophil) count. This condition, known as severe neutropenia or agranulocytosis, has occurred in 1 to 2 out of 100 people who have taken Ferriprox in clinical studies. Because white blood cells help to fight infection, a low neutrophil count may place you at risk of developing a serious and potentially life</w:t>
      </w:r>
      <w:r w:rsidRPr="007722A3">
        <w:noBreakHyphen/>
        <w:t>threatening infection. To monitor for neutropenia, your doctor will ask you to have a blood test (to check your white blood cell count) performed</w:t>
      </w:r>
      <w:r>
        <w:t xml:space="preserve"> </w:t>
      </w:r>
      <w:r w:rsidRPr="007722A3">
        <w:t xml:space="preserve">regularly, as frequently as every week, while you are being treated with Ferriprox. It is very important for you to keep all of these appointments. Please refer to the patient/carer reminder card attached to this leaflet. </w:t>
      </w:r>
      <w:r w:rsidRPr="00354B0F">
        <w:rPr>
          <w:bCs/>
          <w:color w:val="000000"/>
          <w:lang w:val="en-US"/>
        </w:rPr>
        <w:t>If you get any symptoms of infection such as fever, sore throat or flu-like symptoms, immediately seek medical attention. Your white blood cell count must be checked within 24 hours in order to detect potential agranulocytosis.</w:t>
      </w:r>
    </w:p>
    <w:p w:rsidR="00330AE8" w:rsidRPr="007722A3" w:rsidRDefault="00330AE8" w:rsidP="00330AE8">
      <w:pPr>
        <w:pStyle w:val="PILbullets"/>
        <w:tabs>
          <w:tab w:val="clear" w:pos="360"/>
          <w:tab w:val="num" w:pos="540"/>
        </w:tabs>
        <w:ind w:left="540" w:hanging="540"/>
      </w:pPr>
      <w:r w:rsidRPr="007722A3">
        <w:t xml:space="preserve">if you are HIV positive or if your liver </w:t>
      </w:r>
      <w:r>
        <w:t xml:space="preserve">or kidney </w:t>
      </w:r>
      <w:r w:rsidRPr="007722A3">
        <w:t xml:space="preserve">function is </w:t>
      </w:r>
      <w:r>
        <w:t xml:space="preserve">severely </w:t>
      </w:r>
      <w:r w:rsidRPr="007722A3">
        <w:t>impaired, your doctor may recommend additional tests.</w:t>
      </w:r>
    </w:p>
    <w:p w:rsidR="00AE2551" w:rsidRPr="007722A3" w:rsidRDefault="00AE2551" w:rsidP="00AE2551">
      <w:pPr>
        <w:pStyle w:val="PILbullets"/>
        <w:numPr>
          <w:ilvl w:val="0"/>
          <w:numId w:val="0"/>
        </w:numPr>
      </w:pPr>
    </w:p>
    <w:p w:rsidR="00E9161F" w:rsidRPr="00822FD6" w:rsidRDefault="00E9161F" w:rsidP="00E9161F">
      <w:pPr>
        <w:pStyle w:val="BodyText"/>
      </w:pPr>
      <w:r w:rsidRPr="00822FD6">
        <w:t xml:space="preserve">Your doctor will also ask you to come in for tests to monitor body iron load. In addition he or </w:t>
      </w:r>
      <w:r w:rsidR="00053EE8" w:rsidRPr="00822FD6">
        <w:t>she</w:t>
      </w:r>
      <w:r w:rsidR="002F530D">
        <w:t xml:space="preserve"> </w:t>
      </w:r>
      <w:r w:rsidR="00053EE8" w:rsidRPr="00822FD6">
        <w:t>might</w:t>
      </w:r>
      <w:r w:rsidRPr="00822FD6">
        <w:t xml:space="preserve"> ask you to undergo liver biopsies.</w:t>
      </w:r>
    </w:p>
    <w:p w:rsidR="008F7FF3" w:rsidRPr="007722A3" w:rsidRDefault="008F7FF3">
      <w:pPr>
        <w:pStyle w:val="BodyText"/>
      </w:pPr>
    </w:p>
    <w:p w:rsidR="008F7FF3" w:rsidRPr="007722A3" w:rsidRDefault="00954CA6">
      <w:pPr>
        <w:pStyle w:val="Heading3"/>
      </w:pPr>
      <w:r w:rsidRPr="007722A3">
        <w:t>O</w:t>
      </w:r>
      <w:r w:rsidR="008F7FF3" w:rsidRPr="007722A3">
        <w:t>ther medicines</w:t>
      </w:r>
      <w:r w:rsidRPr="007722A3">
        <w:t xml:space="preserve"> and Ferriprox</w:t>
      </w:r>
    </w:p>
    <w:p w:rsidR="00265683" w:rsidRPr="007722A3" w:rsidRDefault="00CB6756">
      <w:pPr>
        <w:pStyle w:val="BodyText"/>
      </w:pPr>
      <w:r w:rsidRPr="007722A3">
        <w:t xml:space="preserve">Do not take medicines known to cause neutropenia or agranulocytosis (see “Do not take Ferriprox”). </w:t>
      </w:r>
      <w:r w:rsidR="00954CA6" w:rsidRPr="007722A3">
        <w:t>Tell</w:t>
      </w:r>
      <w:r w:rsidR="008F7FF3" w:rsidRPr="007722A3">
        <w:t xml:space="preserve"> your doctor or pharmacist if you are taking</w:t>
      </w:r>
      <w:r w:rsidR="00954CA6" w:rsidRPr="007722A3">
        <w:t>,</w:t>
      </w:r>
      <w:r w:rsidR="008F7FF3" w:rsidRPr="007722A3">
        <w:t xml:space="preserve"> have recently taken</w:t>
      </w:r>
      <w:r w:rsidR="00954CA6" w:rsidRPr="007722A3">
        <w:t>, or might take</w:t>
      </w:r>
      <w:r w:rsidR="008F7FF3" w:rsidRPr="007722A3">
        <w:t xml:space="preserve"> any other medicines</w:t>
      </w:r>
      <w:r w:rsidR="008F7FF3" w:rsidRPr="00216707">
        <w:t xml:space="preserve">, </w:t>
      </w:r>
      <w:r w:rsidR="006604BA" w:rsidRPr="00216707">
        <w:t>including medicines obtained without a prescription</w:t>
      </w:r>
      <w:r w:rsidR="007B6D7C" w:rsidRPr="00216707">
        <w:t>.</w:t>
      </w:r>
    </w:p>
    <w:p w:rsidR="008F7FF3" w:rsidRPr="007722A3" w:rsidRDefault="008F7FF3" w:rsidP="00E9161F">
      <w:pPr>
        <w:pStyle w:val="BodyText"/>
        <w:tabs>
          <w:tab w:val="left" w:pos="3618"/>
        </w:tabs>
      </w:pPr>
    </w:p>
    <w:p w:rsidR="00E9161F" w:rsidRPr="00822FD6" w:rsidRDefault="00E9161F" w:rsidP="00125946">
      <w:pPr>
        <w:pStyle w:val="BodyText"/>
      </w:pPr>
      <w:r w:rsidRPr="00822FD6">
        <w:t>Do not take aluminium</w:t>
      </w:r>
      <w:r w:rsidRPr="00822FD6">
        <w:noBreakHyphen/>
        <w:t>based antacids</w:t>
      </w:r>
      <w:r w:rsidR="00125946">
        <w:t xml:space="preserve"> at the same time as</w:t>
      </w:r>
      <w:r w:rsidRPr="00822FD6">
        <w:t xml:space="preserve"> taking Ferriprox.</w:t>
      </w:r>
    </w:p>
    <w:p w:rsidR="006604BA" w:rsidRPr="007722A3" w:rsidRDefault="006604BA">
      <w:pPr>
        <w:pStyle w:val="BodyText"/>
      </w:pPr>
    </w:p>
    <w:p w:rsidR="008F7FF3" w:rsidRPr="007722A3" w:rsidRDefault="006604BA">
      <w:pPr>
        <w:pStyle w:val="BodyText"/>
      </w:pPr>
      <w:r w:rsidRPr="007722A3">
        <w:t>Please consult with your doctor or pharmacist before t</w:t>
      </w:r>
      <w:r w:rsidR="000D5068" w:rsidRPr="007722A3">
        <w:t>aking vitamin C with Ferriprox.</w:t>
      </w:r>
    </w:p>
    <w:p w:rsidR="00265683" w:rsidRPr="007722A3" w:rsidRDefault="00265683">
      <w:pPr>
        <w:pStyle w:val="BodyText"/>
      </w:pPr>
    </w:p>
    <w:p w:rsidR="008F7FF3" w:rsidRPr="007722A3" w:rsidRDefault="008F7FF3" w:rsidP="00265683">
      <w:pPr>
        <w:pStyle w:val="Heading3"/>
      </w:pPr>
      <w:r w:rsidRPr="007722A3">
        <w:t>Pregnancy and breast</w:t>
      </w:r>
      <w:r w:rsidR="00954CA6" w:rsidRPr="007722A3">
        <w:t>-</w:t>
      </w:r>
      <w:r w:rsidRPr="007722A3">
        <w:t>feeding</w:t>
      </w:r>
    </w:p>
    <w:p w:rsidR="006B69A4" w:rsidRPr="007722A3" w:rsidRDefault="008F7FF3" w:rsidP="00941F75">
      <w:pPr>
        <w:pStyle w:val="BodyText"/>
      </w:pPr>
      <w:r w:rsidRPr="007722A3">
        <w:t>Do not take this medicine if you are pregnant or if you are trying to become pregnant. This medicine could seriously harm your baby. You must use effective contraception while you are taking Ferriprox. Ask your doctor which method is best for you. If you become pregnant while taking Ferriprox, stop taking the medicine immediately and tell your doctor.</w:t>
      </w:r>
    </w:p>
    <w:p w:rsidR="006B69A4" w:rsidRPr="007722A3" w:rsidRDefault="006B69A4" w:rsidP="00941F75">
      <w:pPr>
        <w:pStyle w:val="BodyText"/>
      </w:pPr>
    </w:p>
    <w:p w:rsidR="008F7FF3" w:rsidRPr="007722A3" w:rsidRDefault="008F7FF3" w:rsidP="00941F75">
      <w:pPr>
        <w:pStyle w:val="BodyText"/>
      </w:pPr>
      <w:r w:rsidRPr="007722A3">
        <w:t xml:space="preserve">Do not use Ferriprox if you are </w:t>
      </w:r>
      <w:r w:rsidR="006B69A4" w:rsidRPr="007722A3">
        <w:t>breast-feeding</w:t>
      </w:r>
      <w:r w:rsidRPr="007722A3">
        <w:t>.</w:t>
      </w:r>
      <w:r w:rsidR="00C17B2D" w:rsidRPr="007722A3">
        <w:t xml:space="preserve"> </w:t>
      </w:r>
      <w:r w:rsidR="00941F75" w:rsidRPr="007722A3">
        <w:t>Please refer to the patient/carer reminder card attached to this leaflet.</w:t>
      </w:r>
    </w:p>
    <w:p w:rsidR="008F7FF3" w:rsidRPr="007722A3" w:rsidRDefault="008F7FF3">
      <w:pPr>
        <w:pStyle w:val="BodyText"/>
      </w:pPr>
    </w:p>
    <w:p w:rsidR="008F7FF3" w:rsidRPr="007722A3" w:rsidRDefault="008F7FF3">
      <w:pPr>
        <w:pStyle w:val="Heading3"/>
      </w:pPr>
      <w:r w:rsidRPr="007722A3">
        <w:t>Driving and using machines</w:t>
      </w:r>
    </w:p>
    <w:p w:rsidR="008F7FF3" w:rsidRPr="007722A3" w:rsidRDefault="00D912B6">
      <w:pPr>
        <w:pStyle w:val="BodyText"/>
      </w:pPr>
      <w:r w:rsidRPr="007722A3">
        <w:t>Not relevant.</w:t>
      </w:r>
    </w:p>
    <w:p w:rsidR="008F7FF3" w:rsidRPr="007722A3" w:rsidRDefault="008F7FF3">
      <w:pPr>
        <w:tabs>
          <w:tab w:val="left" w:pos="851"/>
        </w:tabs>
        <w:ind w:left="567" w:hanging="567"/>
        <w:rPr>
          <w:sz w:val="22"/>
          <w:szCs w:val="22"/>
          <w:lang w:val="en-GB"/>
        </w:rPr>
      </w:pPr>
    </w:p>
    <w:p w:rsidR="008F7FF3" w:rsidRPr="007722A3" w:rsidRDefault="008F7FF3">
      <w:pPr>
        <w:tabs>
          <w:tab w:val="left" w:pos="851"/>
        </w:tabs>
        <w:ind w:left="567" w:hanging="567"/>
        <w:rPr>
          <w:sz w:val="22"/>
          <w:szCs w:val="22"/>
          <w:lang w:val="en-GB"/>
        </w:rPr>
      </w:pPr>
    </w:p>
    <w:p w:rsidR="008F7FF3" w:rsidRPr="007722A3" w:rsidRDefault="008F7FF3">
      <w:pPr>
        <w:ind w:left="540" w:hanging="540"/>
        <w:rPr>
          <w:b/>
          <w:sz w:val="22"/>
          <w:szCs w:val="22"/>
          <w:lang w:val="en-GB"/>
        </w:rPr>
      </w:pPr>
      <w:r w:rsidRPr="007722A3">
        <w:rPr>
          <w:b/>
          <w:sz w:val="22"/>
          <w:szCs w:val="22"/>
          <w:lang w:val="en-GB"/>
        </w:rPr>
        <w:t>3.</w:t>
      </w:r>
      <w:r w:rsidRPr="007722A3">
        <w:rPr>
          <w:b/>
          <w:sz w:val="22"/>
          <w:szCs w:val="22"/>
          <w:lang w:val="en-GB"/>
        </w:rPr>
        <w:tab/>
        <w:t>H</w:t>
      </w:r>
      <w:r w:rsidR="00954CA6" w:rsidRPr="007722A3">
        <w:rPr>
          <w:b/>
          <w:sz w:val="22"/>
          <w:szCs w:val="22"/>
          <w:lang w:val="en-GB"/>
        </w:rPr>
        <w:t xml:space="preserve">ow to take </w:t>
      </w:r>
      <w:r w:rsidRPr="007722A3">
        <w:rPr>
          <w:b/>
          <w:sz w:val="22"/>
          <w:szCs w:val="22"/>
          <w:lang w:val="en-GB"/>
        </w:rPr>
        <w:t>F</w:t>
      </w:r>
      <w:r w:rsidR="00954CA6" w:rsidRPr="007722A3">
        <w:rPr>
          <w:b/>
          <w:sz w:val="22"/>
          <w:szCs w:val="22"/>
          <w:lang w:val="en-GB"/>
        </w:rPr>
        <w:t>erriprox</w:t>
      </w:r>
    </w:p>
    <w:p w:rsidR="008F7FF3" w:rsidRPr="007722A3" w:rsidRDefault="008F7FF3">
      <w:pPr>
        <w:pStyle w:val="EndnoteText"/>
        <w:numPr>
          <w:ilvl w:val="12"/>
          <w:numId w:val="0"/>
        </w:numPr>
        <w:tabs>
          <w:tab w:val="clear" w:pos="567"/>
        </w:tabs>
        <w:rPr>
          <w:szCs w:val="22"/>
        </w:rPr>
      </w:pPr>
    </w:p>
    <w:p w:rsidR="008F7FF3" w:rsidRPr="007722A3" w:rsidRDefault="008F7FF3" w:rsidP="003F689B">
      <w:pPr>
        <w:pStyle w:val="BodyText"/>
      </w:pPr>
      <w:r w:rsidRPr="007722A3">
        <w:t xml:space="preserve">Always take </w:t>
      </w:r>
      <w:r w:rsidR="00954CA6" w:rsidRPr="007722A3">
        <w:t>this medicine</w:t>
      </w:r>
      <w:r w:rsidRPr="007722A3">
        <w:t xml:space="preserve"> exactly as your doctor has told you. </w:t>
      </w:r>
      <w:r w:rsidR="00954CA6" w:rsidRPr="007722A3">
        <w:t>C</w:t>
      </w:r>
      <w:r w:rsidRPr="007722A3">
        <w:t xml:space="preserve">heck with your doctor or pharmacist if you are not sure. The amount of Ferriprox that you take will depend on your weight. The usual dose is 25 mg/kg, 3 times per day, for a total daily dose of 75 mg/kg. The total daily dose should not exceed 100 mg/kg. Take your first dose in the morning. Take your second dose midday. Take your third dose in the evening. Ferriprox </w:t>
      </w:r>
      <w:r w:rsidR="006604BA" w:rsidRPr="007722A3">
        <w:t xml:space="preserve">can be taken </w:t>
      </w:r>
      <w:r w:rsidRPr="007722A3">
        <w:t xml:space="preserve">with </w:t>
      </w:r>
      <w:r w:rsidR="006604BA" w:rsidRPr="007722A3">
        <w:t>or without food</w:t>
      </w:r>
      <w:r w:rsidR="003B10DB" w:rsidRPr="007722A3">
        <w:t>;</w:t>
      </w:r>
      <w:r w:rsidRPr="007722A3">
        <w:t xml:space="preserve"> </w:t>
      </w:r>
      <w:r w:rsidR="003F689B" w:rsidRPr="007722A3">
        <w:t>h</w:t>
      </w:r>
      <w:r w:rsidRPr="007722A3">
        <w:t>owever, you may find it easier to remember to take Ferriprox if you take it with your meals.</w:t>
      </w:r>
    </w:p>
    <w:p w:rsidR="008F7FF3" w:rsidRPr="007722A3" w:rsidRDefault="008F7FF3">
      <w:pPr>
        <w:pStyle w:val="Noraml"/>
        <w:numPr>
          <w:ilvl w:val="12"/>
          <w:numId w:val="0"/>
        </w:numPr>
        <w:outlineLvl w:val="9"/>
      </w:pPr>
    </w:p>
    <w:p w:rsidR="008F7FF3" w:rsidRPr="007722A3" w:rsidRDefault="008F7FF3">
      <w:pPr>
        <w:pStyle w:val="Noraml"/>
        <w:numPr>
          <w:ilvl w:val="12"/>
          <w:numId w:val="0"/>
        </w:numPr>
        <w:outlineLvl w:val="9"/>
      </w:pPr>
      <w:r w:rsidRPr="007722A3">
        <w:t>If you take more Ferriprox than you should</w:t>
      </w:r>
    </w:p>
    <w:p w:rsidR="008F7FF3" w:rsidRPr="007722A3" w:rsidRDefault="008F7FF3">
      <w:pPr>
        <w:numPr>
          <w:ilvl w:val="12"/>
          <w:numId w:val="0"/>
        </w:numPr>
        <w:tabs>
          <w:tab w:val="left" w:pos="851"/>
        </w:tabs>
        <w:rPr>
          <w:sz w:val="22"/>
          <w:szCs w:val="22"/>
          <w:lang w:val="en-GB"/>
        </w:rPr>
      </w:pPr>
      <w:r w:rsidRPr="007722A3">
        <w:rPr>
          <w:sz w:val="22"/>
          <w:szCs w:val="22"/>
          <w:lang w:val="en-GB"/>
        </w:rPr>
        <w:t>There are no reports of acute overdose with Ferriprox. If you have accidentally taken more than the prescribed dose, you should contact your doctor.</w:t>
      </w:r>
    </w:p>
    <w:p w:rsidR="008F7FF3" w:rsidRPr="007722A3" w:rsidRDefault="008F7FF3">
      <w:pPr>
        <w:numPr>
          <w:ilvl w:val="12"/>
          <w:numId w:val="0"/>
        </w:numPr>
        <w:rPr>
          <w:b/>
          <w:sz w:val="22"/>
          <w:szCs w:val="22"/>
          <w:lang w:val="en-GB"/>
        </w:rPr>
      </w:pPr>
    </w:p>
    <w:p w:rsidR="008F7FF3" w:rsidRPr="007722A3" w:rsidRDefault="008F7FF3">
      <w:pPr>
        <w:numPr>
          <w:ilvl w:val="12"/>
          <w:numId w:val="0"/>
        </w:numPr>
        <w:rPr>
          <w:b/>
          <w:sz w:val="22"/>
          <w:szCs w:val="22"/>
          <w:lang w:val="en-GB"/>
        </w:rPr>
      </w:pPr>
      <w:r w:rsidRPr="007722A3">
        <w:rPr>
          <w:b/>
          <w:sz w:val="22"/>
          <w:szCs w:val="22"/>
          <w:lang w:val="en-GB"/>
        </w:rPr>
        <w:t>If you forget to take Ferriprox</w:t>
      </w:r>
    </w:p>
    <w:p w:rsidR="008F7FF3" w:rsidRPr="007722A3" w:rsidRDefault="008F7FF3">
      <w:pPr>
        <w:numPr>
          <w:ilvl w:val="12"/>
          <w:numId w:val="0"/>
        </w:numPr>
        <w:rPr>
          <w:sz w:val="22"/>
          <w:szCs w:val="22"/>
          <w:lang w:val="en-GB"/>
        </w:rPr>
      </w:pPr>
      <w:r w:rsidRPr="007722A3">
        <w:rPr>
          <w:sz w:val="22"/>
          <w:szCs w:val="22"/>
          <w:lang w:val="en-GB"/>
        </w:rPr>
        <w:t>Ferriprox will be most effective if you do not miss any doses. If you do miss one dose take it as soon as you remember and take your next dose at its regularly scheduled time. If you miss more than one dose do not take a double dose to make up for forgotten individual doses, just continue with your normal schedule. Do not change your daily dose without first talking to your doctor.</w:t>
      </w:r>
    </w:p>
    <w:p w:rsidR="008F7FF3" w:rsidRPr="007722A3" w:rsidRDefault="008F7FF3">
      <w:pPr>
        <w:numPr>
          <w:ilvl w:val="12"/>
          <w:numId w:val="0"/>
        </w:numPr>
        <w:rPr>
          <w:sz w:val="22"/>
          <w:szCs w:val="22"/>
          <w:lang w:val="en-GB"/>
        </w:rPr>
      </w:pPr>
    </w:p>
    <w:p w:rsidR="008F1339" w:rsidRPr="007722A3" w:rsidRDefault="008F1339">
      <w:pPr>
        <w:numPr>
          <w:ilvl w:val="12"/>
          <w:numId w:val="0"/>
        </w:numPr>
        <w:rPr>
          <w:sz w:val="22"/>
          <w:szCs w:val="22"/>
          <w:lang w:val="en-GB"/>
        </w:rPr>
      </w:pPr>
    </w:p>
    <w:p w:rsidR="008F7FF3" w:rsidRPr="007722A3" w:rsidRDefault="008F7FF3" w:rsidP="00FA50EE">
      <w:pPr>
        <w:keepNext/>
        <w:ind w:left="540" w:hanging="540"/>
        <w:rPr>
          <w:b/>
          <w:sz w:val="22"/>
          <w:szCs w:val="22"/>
          <w:lang w:val="en-GB"/>
        </w:rPr>
      </w:pPr>
      <w:r w:rsidRPr="007722A3">
        <w:rPr>
          <w:b/>
          <w:sz w:val="22"/>
          <w:szCs w:val="22"/>
          <w:lang w:val="en-GB"/>
        </w:rPr>
        <w:t>4.</w:t>
      </w:r>
      <w:r w:rsidRPr="007722A3">
        <w:rPr>
          <w:b/>
          <w:sz w:val="22"/>
          <w:szCs w:val="22"/>
          <w:lang w:val="en-GB"/>
        </w:rPr>
        <w:tab/>
        <w:t>P</w:t>
      </w:r>
      <w:r w:rsidR="00954CA6" w:rsidRPr="007722A3">
        <w:rPr>
          <w:b/>
          <w:sz w:val="22"/>
          <w:szCs w:val="22"/>
          <w:lang w:val="en-GB"/>
        </w:rPr>
        <w:t>ossible side effects</w:t>
      </w:r>
    </w:p>
    <w:p w:rsidR="008F7FF3" w:rsidRPr="007722A3" w:rsidRDefault="008F7FF3" w:rsidP="00FA50EE">
      <w:pPr>
        <w:keepNext/>
        <w:rPr>
          <w:sz w:val="22"/>
          <w:szCs w:val="22"/>
          <w:lang w:val="en-GB"/>
        </w:rPr>
      </w:pPr>
    </w:p>
    <w:p w:rsidR="008F7FF3" w:rsidRPr="007722A3" w:rsidRDefault="008F7FF3">
      <w:pPr>
        <w:pStyle w:val="BodyText"/>
      </w:pPr>
      <w:r w:rsidRPr="007722A3">
        <w:t xml:space="preserve">Like all medicines, </w:t>
      </w:r>
      <w:r w:rsidR="00954CA6" w:rsidRPr="007722A3">
        <w:t>this medicine</w:t>
      </w:r>
      <w:r w:rsidRPr="007722A3">
        <w:t xml:space="preserve"> can </w:t>
      </w:r>
      <w:r w:rsidR="00954CA6" w:rsidRPr="007722A3">
        <w:t>cause</w:t>
      </w:r>
      <w:r w:rsidRPr="007722A3">
        <w:t xml:space="preserve"> side effects, although not everybody gets them.</w:t>
      </w:r>
    </w:p>
    <w:p w:rsidR="008F7FF3" w:rsidRPr="007722A3" w:rsidRDefault="008F7FF3">
      <w:pPr>
        <w:pStyle w:val="BodyText"/>
      </w:pPr>
    </w:p>
    <w:p w:rsidR="00AF2D00" w:rsidRPr="007722A3" w:rsidRDefault="00AF2D00" w:rsidP="00B0441D">
      <w:pPr>
        <w:pStyle w:val="BodyText"/>
        <w:rPr>
          <w:bCs/>
        </w:rPr>
      </w:pPr>
      <w:r w:rsidRPr="007722A3">
        <w:rPr>
          <w:bCs/>
        </w:rPr>
        <w:t xml:space="preserve">The most serious side effect of Ferriprox is a very low white blood cell (neutrophil) count. This condition, known as severe neutropenia or agranulocytosis, has occurred in </w:t>
      </w:r>
      <w:r w:rsidR="005B6A5F" w:rsidRPr="007722A3">
        <w:rPr>
          <w:bCs/>
        </w:rPr>
        <w:t xml:space="preserve">1 to 2 out of </w:t>
      </w:r>
      <w:r w:rsidRPr="007722A3">
        <w:rPr>
          <w:bCs/>
        </w:rPr>
        <w:t>100</w:t>
      </w:r>
      <w:r w:rsidR="00C83333" w:rsidRPr="007722A3">
        <w:rPr>
          <w:bCs/>
        </w:rPr>
        <w:t> </w:t>
      </w:r>
      <w:r w:rsidRPr="007722A3">
        <w:rPr>
          <w:bCs/>
        </w:rPr>
        <w:t>people who have taken Ferriprox in clinical studies. A low white blood cell count can be associated with a serious and potentially life</w:t>
      </w:r>
      <w:r w:rsidRPr="007722A3">
        <w:rPr>
          <w:bCs/>
        </w:rPr>
        <w:noBreakHyphen/>
        <w:t xml:space="preserve">threatening infection. Report immediately to your doctor any symptoms of infection such as: fever, sore throat or </w:t>
      </w:r>
      <w:r w:rsidR="00B0441D" w:rsidRPr="007722A3">
        <w:rPr>
          <w:bCs/>
        </w:rPr>
        <w:t>flu</w:t>
      </w:r>
      <w:r w:rsidR="00B0441D" w:rsidRPr="007722A3">
        <w:rPr>
          <w:bCs/>
        </w:rPr>
        <w:noBreakHyphen/>
        <w:t>like</w:t>
      </w:r>
      <w:r w:rsidRPr="007722A3">
        <w:rPr>
          <w:bCs/>
        </w:rPr>
        <w:t xml:space="preserve"> symptoms.</w:t>
      </w:r>
    </w:p>
    <w:p w:rsidR="00265683" w:rsidRPr="007722A3" w:rsidRDefault="00265683" w:rsidP="00AF2D00">
      <w:pPr>
        <w:pStyle w:val="BodyText"/>
        <w:rPr>
          <w:bCs/>
        </w:rPr>
      </w:pPr>
    </w:p>
    <w:p w:rsidR="00265683" w:rsidRPr="007722A3" w:rsidRDefault="00AE60B7" w:rsidP="00C83333">
      <w:pPr>
        <w:pStyle w:val="BodyText"/>
        <w:keepNext/>
      </w:pPr>
      <w:r w:rsidRPr="007722A3">
        <w:rPr>
          <w:b/>
          <w:bCs/>
        </w:rPr>
        <w:t>Very common side effects</w:t>
      </w:r>
      <w:r w:rsidRPr="007722A3">
        <w:t xml:space="preserve"> (</w:t>
      </w:r>
      <w:r w:rsidR="00FA50EE" w:rsidRPr="007722A3">
        <w:t xml:space="preserve">may </w:t>
      </w:r>
      <w:r w:rsidR="00DA1073" w:rsidRPr="007722A3">
        <w:t xml:space="preserve">affect </w:t>
      </w:r>
      <w:r w:rsidRPr="007722A3">
        <w:t>more than 1 in 10</w:t>
      </w:r>
      <w:r w:rsidR="005B359E" w:rsidRPr="007722A3">
        <w:t xml:space="preserve"> people</w:t>
      </w:r>
      <w:r w:rsidR="006604BA" w:rsidRPr="007722A3">
        <w:t>):</w:t>
      </w:r>
    </w:p>
    <w:p w:rsidR="00265683" w:rsidRPr="007722A3" w:rsidRDefault="00265683" w:rsidP="003F4F65">
      <w:pPr>
        <w:pStyle w:val="PILbullets"/>
        <w:tabs>
          <w:tab w:val="clear" w:pos="360"/>
          <w:tab w:val="num" w:pos="540"/>
        </w:tabs>
        <w:ind w:left="540" w:hanging="540"/>
      </w:pPr>
      <w:r w:rsidRPr="007722A3">
        <w:t>a</w:t>
      </w:r>
      <w:r w:rsidR="00AE60B7" w:rsidRPr="007722A3">
        <w:t>bdominal pain</w:t>
      </w:r>
    </w:p>
    <w:p w:rsidR="00265683" w:rsidRPr="007722A3" w:rsidRDefault="00AE60B7" w:rsidP="003F4F65">
      <w:pPr>
        <w:pStyle w:val="PILbullets"/>
        <w:tabs>
          <w:tab w:val="clear" w:pos="360"/>
          <w:tab w:val="num" w:pos="540"/>
        </w:tabs>
        <w:ind w:left="540" w:hanging="540"/>
      </w:pPr>
      <w:r w:rsidRPr="007722A3">
        <w:t>nausea</w:t>
      </w:r>
    </w:p>
    <w:p w:rsidR="00265683" w:rsidRPr="007722A3" w:rsidRDefault="00AE60B7" w:rsidP="003F4F65">
      <w:pPr>
        <w:pStyle w:val="PILbullets"/>
        <w:tabs>
          <w:tab w:val="clear" w:pos="360"/>
          <w:tab w:val="num" w:pos="540"/>
        </w:tabs>
        <w:ind w:left="540" w:hanging="540"/>
      </w:pPr>
      <w:r w:rsidRPr="007722A3">
        <w:t>vomiting</w:t>
      </w:r>
    </w:p>
    <w:p w:rsidR="00AE60B7" w:rsidRPr="007722A3" w:rsidRDefault="00AE60B7" w:rsidP="003F4F65">
      <w:pPr>
        <w:pStyle w:val="PILbullets"/>
        <w:tabs>
          <w:tab w:val="clear" w:pos="360"/>
          <w:tab w:val="num" w:pos="540"/>
        </w:tabs>
        <w:ind w:left="540" w:hanging="540"/>
      </w:pPr>
      <w:r w:rsidRPr="007722A3">
        <w:t>reddish/brown discoloration of urine</w:t>
      </w:r>
    </w:p>
    <w:p w:rsidR="00AE60B7" w:rsidRPr="007722A3" w:rsidRDefault="00AE60B7" w:rsidP="00AE60B7">
      <w:pPr>
        <w:pStyle w:val="BodyText"/>
      </w:pPr>
    </w:p>
    <w:p w:rsidR="00AE60B7" w:rsidRPr="007722A3" w:rsidRDefault="00AE60B7" w:rsidP="00AE60B7">
      <w:pPr>
        <w:pStyle w:val="BodyText"/>
      </w:pPr>
      <w:r w:rsidRPr="007722A3">
        <w:t>If you experience nausea or vomiting, it may help to take your Ferriprox with some food. Discolored urine is a very common effect and is not harmful.</w:t>
      </w:r>
    </w:p>
    <w:p w:rsidR="00AE60B7" w:rsidRPr="007722A3" w:rsidRDefault="00AE60B7" w:rsidP="00AE60B7">
      <w:pPr>
        <w:pStyle w:val="BodyText"/>
      </w:pPr>
    </w:p>
    <w:p w:rsidR="00265683" w:rsidRPr="007722A3" w:rsidRDefault="00AE60B7" w:rsidP="000F1AE3">
      <w:pPr>
        <w:pStyle w:val="BodyText"/>
      </w:pPr>
      <w:r w:rsidRPr="007722A3">
        <w:rPr>
          <w:b/>
          <w:bCs/>
        </w:rPr>
        <w:t>Common side effects</w:t>
      </w:r>
      <w:r w:rsidRPr="007722A3">
        <w:t xml:space="preserve"> </w:t>
      </w:r>
      <w:r w:rsidR="006604BA" w:rsidRPr="007722A3">
        <w:t>(</w:t>
      </w:r>
      <w:r w:rsidR="00FA50EE" w:rsidRPr="007722A3">
        <w:t xml:space="preserve">may </w:t>
      </w:r>
      <w:r w:rsidR="00DA1073" w:rsidRPr="007722A3">
        <w:t>affect</w:t>
      </w:r>
      <w:r w:rsidR="00FA50EE" w:rsidRPr="007722A3">
        <w:t xml:space="preserve"> up to</w:t>
      </w:r>
      <w:r w:rsidRPr="007722A3">
        <w:t xml:space="preserve"> 1 </w:t>
      </w:r>
      <w:r w:rsidR="00FA50EE" w:rsidRPr="007722A3">
        <w:t xml:space="preserve">in </w:t>
      </w:r>
      <w:r w:rsidRPr="007722A3">
        <w:t xml:space="preserve">10 </w:t>
      </w:r>
      <w:r w:rsidR="005B359E" w:rsidRPr="007722A3">
        <w:t>people</w:t>
      </w:r>
      <w:r w:rsidR="006604BA" w:rsidRPr="007722A3">
        <w:t>):</w:t>
      </w:r>
    </w:p>
    <w:p w:rsidR="00265683" w:rsidRPr="007722A3" w:rsidRDefault="00265683" w:rsidP="003F4F65">
      <w:pPr>
        <w:pStyle w:val="PILbullets"/>
        <w:tabs>
          <w:tab w:val="clear" w:pos="360"/>
          <w:tab w:val="num" w:pos="540"/>
        </w:tabs>
        <w:ind w:left="540" w:hanging="540"/>
      </w:pPr>
      <w:r w:rsidRPr="007722A3">
        <w:t>l</w:t>
      </w:r>
      <w:r w:rsidR="00AE60B7" w:rsidRPr="007722A3">
        <w:t>ow white blood cell count (agranulocytosis and neutropenia)</w:t>
      </w:r>
    </w:p>
    <w:p w:rsidR="00265683" w:rsidRPr="007722A3" w:rsidRDefault="00265683" w:rsidP="003F4F65">
      <w:pPr>
        <w:pStyle w:val="PILbullets"/>
        <w:tabs>
          <w:tab w:val="clear" w:pos="360"/>
          <w:tab w:val="num" w:pos="540"/>
        </w:tabs>
        <w:ind w:left="540" w:hanging="540"/>
      </w:pPr>
      <w:r w:rsidRPr="007722A3">
        <w:t>h</w:t>
      </w:r>
      <w:r w:rsidR="00AE60B7" w:rsidRPr="007722A3">
        <w:t>eadache</w:t>
      </w:r>
    </w:p>
    <w:p w:rsidR="00265683" w:rsidRPr="007722A3" w:rsidRDefault="00F479ED" w:rsidP="003F4F65">
      <w:pPr>
        <w:pStyle w:val="PILbullets"/>
        <w:tabs>
          <w:tab w:val="clear" w:pos="360"/>
          <w:tab w:val="num" w:pos="540"/>
        </w:tabs>
        <w:ind w:left="540" w:hanging="540"/>
      </w:pPr>
      <w:r w:rsidRPr="007722A3">
        <w:t>diarrhoea</w:t>
      </w:r>
    </w:p>
    <w:p w:rsidR="00265683" w:rsidRPr="007722A3" w:rsidRDefault="00F479ED" w:rsidP="003F4F65">
      <w:pPr>
        <w:pStyle w:val="PILbullets"/>
        <w:tabs>
          <w:tab w:val="clear" w:pos="360"/>
          <w:tab w:val="num" w:pos="540"/>
        </w:tabs>
        <w:ind w:left="540" w:hanging="540"/>
      </w:pPr>
      <w:r w:rsidRPr="007722A3">
        <w:t>increase in liver enzymes</w:t>
      </w:r>
    </w:p>
    <w:p w:rsidR="00265683" w:rsidRPr="007722A3" w:rsidRDefault="00F479ED" w:rsidP="003F4F65">
      <w:pPr>
        <w:pStyle w:val="PILbullets"/>
        <w:tabs>
          <w:tab w:val="clear" w:pos="360"/>
          <w:tab w:val="num" w:pos="540"/>
        </w:tabs>
        <w:ind w:left="540" w:hanging="540"/>
      </w:pPr>
      <w:r w:rsidRPr="007722A3">
        <w:t>fatigue</w:t>
      </w:r>
    </w:p>
    <w:p w:rsidR="00AE60B7" w:rsidRPr="007722A3" w:rsidRDefault="00AE60B7" w:rsidP="003F4F65">
      <w:pPr>
        <w:pStyle w:val="PILbullets"/>
        <w:tabs>
          <w:tab w:val="clear" w:pos="360"/>
          <w:tab w:val="num" w:pos="540"/>
        </w:tabs>
        <w:ind w:left="540" w:hanging="540"/>
      </w:pPr>
      <w:r w:rsidRPr="007722A3">
        <w:t>increase in appetite</w:t>
      </w:r>
    </w:p>
    <w:p w:rsidR="00FA50EE" w:rsidRPr="007722A3" w:rsidRDefault="00FA50EE" w:rsidP="00FA50EE">
      <w:pPr>
        <w:pStyle w:val="BodyText"/>
        <w:rPr>
          <w:b/>
          <w:bCs/>
        </w:rPr>
      </w:pPr>
    </w:p>
    <w:p w:rsidR="00FA50EE" w:rsidRPr="007722A3" w:rsidRDefault="004C3559" w:rsidP="00FA50EE">
      <w:pPr>
        <w:pStyle w:val="BodyText"/>
      </w:pPr>
      <w:r w:rsidRPr="004C3559">
        <w:rPr>
          <w:b/>
          <w:bCs/>
        </w:rPr>
        <w:t>Not known</w:t>
      </w:r>
      <w:r w:rsidRPr="004C3559">
        <w:rPr>
          <w:bCs/>
        </w:rPr>
        <w:t xml:space="preserve"> (frequency cannot be estimated from the available data</w:t>
      </w:r>
      <w:r>
        <w:rPr>
          <w:bCs/>
        </w:rPr>
        <w:t>)</w:t>
      </w:r>
      <w:r w:rsidR="00FA50EE" w:rsidRPr="007722A3">
        <w:t>:</w:t>
      </w:r>
    </w:p>
    <w:p w:rsidR="00E41DB0" w:rsidRPr="007722A3" w:rsidRDefault="00E41DB0" w:rsidP="003F4F65">
      <w:pPr>
        <w:pStyle w:val="PILbullets"/>
        <w:tabs>
          <w:tab w:val="clear" w:pos="360"/>
          <w:tab w:val="num" w:pos="540"/>
        </w:tabs>
        <w:ind w:left="540" w:hanging="540"/>
      </w:pPr>
      <w:r w:rsidRPr="007722A3">
        <w:t>allergic reaction</w:t>
      </w:r>
      <w:r w:rsidR="00E87321" w:rsidRPr="007722A3">
        <w:t>s</w:t>
      </w:r>
      <w:r w:rsidRPr="007722A3">
        <w:t xml:space="preserve"> including </w:t>
      </w:r>
      <w:r w:rsidR="00E87321" w:rsidRPr="007722A3">
        <w:t xml:space="preserve">skin </w:t>
      </w:r>
      <w:r w:rsidRPr="007722A3">
        <w:t>rash or hives</w:t>
      </w:r>
    </w:p>
    <w:p w:rsidR="00AE60B7" w:rsidRPr="007722A3" w:rsidRDefault="00AE60B7" w:rsidP="00AE60B7">
      <w:pPr>
        <w:pStyle w:val="BodyText"/>
      </w:pPr>
    </w:p>
    <w:p w:rsidR="00AE60B7" w:rsidRPr="007722A3" w:rsidRDefault="00AE60B7" w:rsidP="00AE60B7">
      <w:pPr>
        <w:pStyle w:val="BodyText"/>
      </w:pPr>
      <w:r w:rsidRPr="007722A3">
        <w:t>Events of joint pain and swelling ranged from mild pain in one or more joints to severe disability. In most cases, the pain disappeared while patients continued taking Ferriprox.</w:t>
      </w:r>
    </w:p>
    <w:p w:rsidR="00AE60B7" w:rsidRPr="007722A3" w:rsidRDefault="00AE60B7" w:rsidP="00AE60B7">
      <w:pPr>
        <w:pStyle w:val="BodyText"/>
      </w:pPr>
    </w:p>
    <w:p w:rsidR="008F7FF3" w:rsidRPr="007722A3" w:rsidRDefault="0038335A">
      <w:pPr>
        <w:pStyle w:val="BodyText"/>
      </w:pPr>
      <w:r>
        <w:t>N</w:t>
      </w:r>
      <w:r w:rsidR="008F7FF3" w:rsidRPr="007722A3">
        <w:t>eurological disorders (such as tremors, walking disorders, double vision, involuntary muscle contractions, problems with movement coordination) have been reported in children who had been voluntarily prescribed more than double the maximum recommended dose of 100 mg/kg/day for several years</w:t>
      </w:r>
      <w:r>
        <w:t xml:space="preserve"> and have also been observed </w:t>
      </w:r>
      <w:r w:rsidR="00AD5C7B">
        <w:t xml:space="preserve">in children </w:t>
      </w:r>
      <w:r>
        <w:t>with standard doses of deferiprone</w:t>
      </w:r>
      <w:r w:rsidR="008F7FF3" w:rsidRPr="007722A3">
        <w:t>. The</w:t>
      </w:r>
      <w:r w:rsidR="00AD5C7B">
        <w:t xml:space="preserve"> children</w:t>
      </w:r>
      <w:r w:rsidR="008F7FF3" w:rsidRPr="007722A3">
        <w:t xml:space="preserve"> </w:t>
      </w:r>
      <w:r w:rsidR="008F7FF3" w:rsidRPr="007722A3">
        <w:rPr>
          <w:lang w:eastAsia="fr-FR"/>
        </w:rPr>
        <w:t>recovered from these symptoms after Ferriprox discontinuation.</w:t>
      </w:r>
    </w:p>
    <w:p w:rsidR="008F7FF3" w:rsidRPr="007722A3" w:rsidRDefault="008F7FF3">
      <w:pPr>
        <w:pStyle w:val="BodyText"/>
      </w:pPr>
    </w:p>
    <w:p w:rsidR="00142176" w:rsidRPr="000F2CD4" w:rsidRDefault="00142176" w:rsidP="00142176">
      <w:pPr>
        <w:rPr>
          <w:b/>
          <w:sz w:val="22"/>
          <w:szCs w:val="22"/>
          <w:lang w:val="en-GB"/>
        </w:rPr>
      </w:pPr>
      <w:r w:rsidRPr="000F2CD4">
        <w:rPr>
          <w:b/>
          <w:sz w:val="22"/>
          <w:szCs w:val="22"/>
          <w:lang w:val="en-GB"/>
        </w:rPr>
        <w:t>Reporting of side effects</w:t>
      </w:r>
    </w:p>
    <w:p w:rsidR="000F2CD4" w:rsidRPr="000F2CD4" w:rsidRDefault="008F7FF3" w:rsidP="0030326B">
      <w:pPr>
        <w:pStyle w:val="BodyText"/>
      </w:pPr>
      <w:r w:rsidRPr="007722A3">
        <w:t xml:space="preserve">If you </w:t>
      </w:r>
      <w:r w:rsidR="00954CA6" w:rsidRPr="007722A3">
        <w:t>get</w:t>
      </w:r>
      <w:r w:rsidRPr="007722A3">
        <w:t xml:space="preserve"> any side effects</w:t>
      </w:r>
      <w:r w:rsidR="000004E5" w:rsidRPr="007722A3">
        <w:t>, talk to</w:t>
      </w:r>
      <w:r w:rsidRPr="007722A3">
        <w:t xml:space="preserve"> your doctor or pharmacist.</w:t>
      </w:r>
      <w:r w:rsidR="000004E5" w:rsidRPr="007722A3">
        <w:t xml:space="preserve"> This includes any possible side effects not listed in this leaflet.</w:t>
      </w:r>
      <w:r w:rsidR="00142176" w:rsidRPr="000F2CD4">
        <w:t xml:space="preserve"> You can also report side effects directly via </w:t>
      </w:r>
      <w:r w:rsidR="00142176" w:rsidRPr="00E97465">
        <w:rPr>
          <w:highlight w:val="lightGray"/>
        </w:rPr>
        <w:t xml:space="preserve">the national reporting system listed in </w:t>
      </w:r>
      <w:hyperlink r:id="rId13" w:history="1">
        <w:r w:rsidR="0030326B" w:rsidRPr="00E97465">
          <w:rPr>
            <w:rStyle w:val="Hyperlink"/>
            <w:highlight w:val="lightGray"/>
          </w:rPr>
          <w:t>Appendix V</w:t>
        </w:r>
      </w:hyperlink>
      <w:r w:rsidR="00142176" w:rsidRPr="000F2CD4">
        <w:t>. By reporting side effects you can help provide more information on the safety of this medicine.</w:t>
      </w:r>
    </w:p>
    <w:p w:rsidR="008F7FF3" w:rsidRPr="007722A3" w:rsidRDefault="008F7FF3">
      <w:pPr>
        <w:rPr>
          <w:sz w:val="22"/>
          <w:szCs w:val="22"/>
          <w:lang w:val="en-GB"/>
        </w:rPr>
      </w:pPr>
    </w:p>
    <w:p w:rsidR="008F7FF3" w:rsidRPr="007722A3" w:rsidRDefault="008F7FF3">
      <w:pPr>
        <w:rPr>
          <w:sz w:val="22"/>
          <w:szCs w:val="22"/>
          <w:lang w:val="en-GB"/>
        </w:rPr>
      </w:pPr>
    </w:p>
    <w:p w:rsidR="008F7FF3" w:rsidRPr="007722A3" w:rsidRDefault="008F7FF3">
      <w:pPr>
        <w:ind w:left="540" w:hanging="540"/>
        <w:rPr>
          <w:b/>
          <w:sz w:val="22"/>
          <w:szCs w:val="22"/>
          <w:lang w:val="en-GB"/>
        </w:rPr>
      </w:pPr>
      <w:r w:rsidRPr="007722A3">
        <w:rPr>
          <w:b/>
          <w:sz w:val="22"/>
          <w:szCs w:val="22"/>
          <w:lang w:val="en-GB"/>
        </w:rPr>
        <w:t>5.</w:t>
      </w:r>
      <w:r w:rsidRPr="007722A3">
        <w:rPr>
          <w:b/>
          <w:sz w:val="22"/>
          <w:szCs w:val="22"/>
          <w:lang w:val="en-GB"/>
        </w:rPr>
        <w:tab/>
        <w:t>H</w:t>
      </w:r>
      <w:r w:rsidR="000004E5" w:rsidRPr="007722A3">
        <w:rPr>
          <w:b/>
          <w:sz w:val="22"/>
          <w:szCs w:val="22"/>
          <w:lang w:val="en-GB"/>
        </w:rPr>
        <w:t>ow to store Ferriprox</w:t>
      </w:r>
    </w:p>
    <w:p w:rsidR="008F7FF3" w:rsidRPr="007722A3" w:rsidRDefault="008F7FF3">
      <w:pPr>
        <w:rPr>
          <w:b/>
          <w:sz w:val="22"/>
          <w:szCs w:val="22"/>
          <w:lang w:val="en-GB"/>
        </w:rPr>
      </w:pPr>
    </w:p>
    <w:p w:rsidR="008F7FF3" w:rsidRPr="007722A3" w:rsidRDefault="008F7FF3">
      <w:pPr>
        <w:rPr>
          <w:sz w:val="22"/>
          <w:szCs w:val="22"/>
          <w:lang w:val="en-GB"/>
        </w:rPr>
      </w:pPr>
      <w:r w:rsidRPr="007722A3">
        <w:rPr>
          <w:sz w:val="22"/>
          <w:szCs w:val="22"/>
          <w:lang w:val="en-GB"/>
        </w:rPr>
        <w:t xml:space="preserve">Keep </w:t>
      </w:r>
      <w:r w:rsidR="000004E5" w:rsidRPr="007722A3">
        <w:rPr>
          <w:sz w:val="22"/>
          <w:szCs w:val="22"/>
          <w:lang w:val="en-GB"/>
        </w:rPr>
        <w:t xml:space="preserve">this medicine </w:t>
      </w:r>
      <w:r w:rsidRPr="007722A3">
        <w:rPr>
          <w:sz w:val="22"/>
          <w:szCs w:val="22"/>
          <w:lang w:val="en-GB"/>
        </w:rPr>
        <w:t xml:space="preserve">out of the </w:t>
      </w:r>
      <w:r w:rsidR="000004E5" w:rsidRPr="007722A3">
        <w:rPr>
          <w:sz w:val="22"/>
          <w:szCs w:val="22"/>
          <w:lang w:val="en-GB"/>
        </w:rPr>
        <w:t xml:space="preserve">sight and </w:t>
      </w:r>
      <w:r w:rsidRPr="007722A3">
        <w:rPr>
          <w:sz w:val="22"/>
          <w:szCs w:val="22"/>
          <w:lang w:val="en-GB"/>
        </w:rPr>
        <w:t>reach of children</w:t>
      </w:r>
      <w:r w:rsidR="00A72DE1" w:rsidRPr="007722A3">
        <w:rPr>
          <w:sz w:val="22"/>
          <w:szCs w:val="22"/>
          <w:lang w:val="en-GB"/>
        </w:rPr>
        <w:t>.</w:t>
      </w:r>
    </w:p>
    <w:p w:rsidR="00353100" w:rsidRPr="007722A3" w:rsidRDefault="00353100">
      <w:pPr>
        <w:rPr>
          <w:sz w:val="22"/>
          <w:szCs w:val="22"/>
          <w:lang w:val="en-GB"/>
        </w:rPr>
      </w:pPr>
    </w:p>
    <w:p w:rsidR="008F7FF3" w:rsidRPr="007722A3" w:rsidRDefault="008F7FF3">
      <w:pPr>
        <w:rPr>
          <w:sz w:val="22"/>
          <w:szCs w:val="22"/>
          <w:lang w:val="en-GB"/>
        </w:rPr>
      </w:pPr>
      <w:r w:rsidRPr="007722A3">
        <w:rPr>
          <w:sz w:val="22"/>
          <w:szCs w:val="22"/>
          <w:lang w:val="en-GB"/>
        </w:rPr>
        <w:t xml:space="preserve">Do not use </w:t>
      </w:r>
      <w:r w:rsidR="000004E5" w:rsidRPr="007722A3">
        <w:rPr>
          <w:sz w:val="22"/>
          <w:szCs w:val="22"/>
          <w:lang w:val="en-GB"/>
        </w:rPr>
        <w:t>this medicine</w:t>
      </w:r>
      <w:r w:rsidRPr="007722A3">
        <w:rPr>
          <w:sz w:val="22"/>
          <w:szCs w:val="22"/>
          <w:lang w:val="en-GB"/>
        </w:rPr>
        <w:t xml:space="preserve"> after the expiry date which is stated on the carton and the label after EXP.</w:t>
      </w:r>
    </w:p>
    <w:p w:rsidR="00353100" w:rsidRPr="007722A3" w:rsidRDefault="00353100">
      <w:pPr>
        <w:rPr>
          <w:sz w:val="22"/>
          <w:szCs w:val="22"/>
          <w:lang w:val="en-GB"/>
        </w:rPr>
      </w:pPr>
    </w:p>
    <w:p w:rsidR="008F7FF3" w:rsidRPr="007722A3" w:rsidRDefault="008F7FF3">
      <w:pPr>
        <w:rPr>
          <w:sz w:val="22"/>
          <w:szCs w:val="22"/>
          <w:lang w:val="en-GB"/>
        </w:rPr>
      </w:pPr>
      <w:r w:rsidRPr="007722A3">
        <w:rPr>
          <w:sz w:val="22"/>
          <w:szCs w:val="22"/>
          <w:lang w:val="en-GB"/>
        </w:rPr>
        <w:t>Do not store above 30ºC</w:t>
      </w:r>
      <w:r w:rsidR="00A72DE1" w:rsidRPr="007722A3">
        <w:rPr>
          <w:sz w:val="22"/>
          <w:szCs w:val="22"/>
          <w:lang w:val="en-GB"/>
        </w:rPr>
        <w:t>.</w:t>
      </w:r>
    </w:p>
    <w:p w:rsidR="00F724A5" w:rsidRDefault="00F724A5" w:rsidP="00F724A5">
      <w:pPr>
        <w:rPr>
          <w:sz w:val="22"/>
          <w:szCs w:val="22"/>
          <w:lang w:val="en-GB"/>
        </w:rPr>
      </w:pPr>
    </w:p>
    <w:p w:rsidR="00F724A5" w:rsidRPr="00822FD6" w:rsidRDefault="00F724A5" w:rsidP="00F724A5">
      <w:pPr>
        <w:rPr>
          <w:sz w:val="22"/>
          <w:szCs w:val="22"/>
          <w:lang w:val="en-GB"/>
        </w:rPr>
      </w:pPr>
      <w:r w:rsidRPr="00DD5AE2">
        <w:rPr>
          <w:sz w:val="22"/>
          <w:szCs w:val="22"/>
          <w:lang w:val="en-GB"/>
        </w:rPr>
        <w:t>Do not throw away any medicines via wastewater or household waste. Ask your pharmacist how to throw away medicines you no longer use. These measures will help protect the environment.</w:t>
      </w:r>
    </w:p>
    <w:p w:rsidR="00FD5669" w:rsidRPr="001844C5" w:rsidRDefault="00FD5669" w:rsidP="00CD36CE">
      <w:pPr>
        <w:rPr>
          <w:sz w:val="22"/>
          <w:szCs w:val="22"/>
          <w:lang w:val="en-GB"/>
        </w:rPr>
      </w:pPr>
    </w:p>
    <w:p w:rsidR="008F7FF3" w:rsidRPr="001844C5" w:rsidRDefault="008F7FF3">
      <w:pPr>
        <w:tabs>
          <w:tab w:val="left" w:pos="567"/>
        </w:tabs>
        <w:rPr>
          <w:b/>
          <w:sz w:val="22"/>
          <w:szCs w:val="22"/>
          <w:lang w:val="en-GB"/>
        </w:rPr>
      </w:pPr>
    </w:p>
    <w:p w:rsidR="008F7FF3" w:rsidRPr="001844C5" w:rsidRDefault="008F7FF3" w:rsidP="00216AC6">
      <w:pPr>
        <w:keepNext/>
        <w:ind w:left="540" w:hanging="540"/>
        <w:rPr>
          <w:b/>
          <w:sz w:val="22"/>
          <w:szCs w:val="22"/>
          <w:lang w:val="en-GB"/>
        </w:rPr>
      </w:pPr>
      <w:r w:rsidRPr="001844C5">
        <w:rPr>
          <w:b/>
          <w:sz w:val="22"/>
          <w:szCs w:val="22"/>
          <w:lang w:val="en-GB"/>
        </w:rPr>
        <w:t>6.</w:t>
      </w:r>
      <w:r w:rsidRPr="001844C5">
        <w:rPr>
          <w:b/>
          <w:sz w:val="22"/>
          <w:szCs w:val="22"/>
          <w:lang w:val="en-GB"/>
        </w:rPr>
        <w:tab/>
      </w:r>
      <w:r w:rsidR="000004E5" w:rsidRPr="001844C5">
        <w:rPr>
          <w:b/>
          <w:sz w:val="22"/>
          <w:szCs w:val="22"/>
          <w:lang w:val="en-GB"/>
        </w:rPr>
        <w:t>Contents of the pack and other information</w:t>
      </w:r>
    </w:p>
    <w:p w:rsidR="008F7FF3" w:rsidRPr="001844C5" w:rsidRDefault="008F7FF3" w:rsidP="00216AC6">
      <w:pPr>
        <w:keepNext/>
        <w:rPr>
          <w:sz w:val="22"/>
          <w:szCs w:val="22"/>
          <w:lang w:val="en-GB"/>
        </w:rPr>
      </w:pPr>
    </w:p>
    <w:p w:rsidR="008F7FF3" w:rsidRPr="001844C5" w:rsidRDefault="008F7FF3" w:rsidP="001844C5">
      <w:pPr>
        <w:keepNext/>
        <w:rPr>
          <w:b/>
          <w:sz w:val="22"/>
          <w:szCs w:val="22"/>
          <w:lang w:val="en-GB"/>
        </w:rPr>
      </w:pPr>
      <w:r w:rsidRPr="001844C5">
        <w:rPr>
          <w:b/>
          <w:sz w:val="22"/>
          <w:szCs w:val="22"/>
          <w:lang w:val="en-GB"/>
        </w:rPr>
        <w:t>What Ferriprox contains</w:t>
      </w:r>
    </w:p>
    <w:p w:rsidR="008F7FF3" w:rsidRPr="001844C5" w:rsidRDefault="008F7FF3" w:rsidP="001844C5">
      <w:pPr>
        <w:keepNext/>
        <w:rPr>
          <w:sz w:val="22"/>
          <w:szCs w:val="22"/>
        </w:rPr>
      </w:pPr>
      <w:r w:rsidRPr="001844C5">
        <w:rPr>
          <w:sz w:val="22"/>
          <w:szCs w:val="22"/>
        </w:rPr>
        <w:t xml:space="preserve">The active substance is deferiprone. Each </w:t>
      </w:r>
      <w:r w:rsidR="006F52C4">
        <w:rPr>
          <w:sz w:val="22"/>
          <w:szCs w:val="22"/>
        </w:rPr>
        <w:t xml:space="preserve">500 mg </w:t>
      </w:r>
      <w:r w:rsidRPr="001844C5">
        <w:rPr>
          <w:sz w:val="22"/>
          <w:szCs w:val="22"/>
        </w:rPr>
        <w:t>tablet contains 500 mg deferiprone.</w:t>
      </w:r>
    </w:p>
    <w:p w:rsidR="008F7FF3" w:rsidRPr="001844C5" w:rsidRDefault="008F7FF3" w:rsidP="001844C5">
      <w:pPr>
        <w:keepNext/>
        <w:rPr>
          <w:sz w:val="22"/>
          <w:szCs w:val="22"/>
        </w:rPr>
      </w:pPr>
    </w:p>
    <w:p w:rsidR="008F7FF3" w:rsidRPr="001844C5" w:rsidRDefault="008F7FF3" w:rsidP="00434E37">
      <w:pPr>
        <w:keepNext/>
        <w:rPr>
          <w:sz w:val="22"/>
          <w:szCs w:val="22"/>
        </w:rPr>
      </w:pPr>
      <w:r w:rsidRPr="001844C5">
        <w:rPr>
          <w:sz w:val="22"/>
          <w:szCs w:val="22"/>
        </w:rPr>
        <w:t>The other ingredients are:</w:t>
      </w:r>
      <w:r w:rsidR="006F52C4">
        <w:rPr>
          <w:sz w:val="22"/>
          <w:szCs w:val="22"/>
        </w:rPr>
        <w:t xml:space="preserve"> </w:t>
      </w:r>
      <w:r w:rsidRPr="00434E37">
        <w:rPr>
          <w:i/>
          <w:iCs/>
          <w:sz w:val="22"/>
          <w:szCs w:val="22"/>
        </w:rPr>
        <w:t>Tablet core:</w:t>
      </w:r>
      <w:r w:rsidRPr="001844C5">
        <w:rPr>
          <w:sz w:val="22"/>
          <w:szCs w:val="22"/>
        </w:rPr>
        <w:t xml:space="preserve"> Microcrystalline cellulose, Magnesium stearate, Colloidal silicon dioxide.</w:t>
      </w:r>
      <w:r w:rsidR="006F52C4">
        <w:rPr>
          <w:sz w:val="22"/>
          <w:szCs w:val="22"/>
        </w:rPr>
        <w:t xml:space="preserve"> </w:t>
      </w:r>
      <w:r w:rsidRPr="00434E37">
        <w:rPr>
          <w:i/>
          <w:iCs/>
          <w:sz w:val="22"/>
          <w:szCs w:val="22"/>
        </w:rPr>
        <w:t>Coating:</w:t>
      </w:r>
      <w:r w:rsidRPr="001844C5">
        <w:rPr>
          <w:sz w:val="22"/>
          <w:szCs w:val="22"/>
        </w:rPr>
        <w:t xml:space="preserve"> Hypromellose, Macrogol, Titanium dioxide.</w:t>
      </w:r>
    </w:p>
    <w:p w:rsidR="00CD36CE" w:rsidRPr="001844C5" w:rsidRDefault="00CD36CE">
      <w:pPr>
        <w:rPr>
          <w:sz w:val="22"/>
          <w:szCs w:val="22"/>
          <w:lang w:val="en-GB"/>
        </w:rPr>
      </w:pPr>
    </w:p>
    <w:p w:rsidR="008F7FF3" w:rsidRPr="007722A3" w:rsidRDefault="008F7FF3" w:rsidP="00CB4FBE">
      <w:pPr>
        <w:keepNext/>
        <w:rPr>
          <w:b/>
          <w:sz w:val="22"/>
          <w:szCs w:val="22"/>
          <w:lang w:val="en-GB"/>
        </w:rPr>
      </w:pPr>
      <w:r w:rsidRPr="007722A3">
        <w:rPr>
          <w:b/>
          <w:sz w:val="22"/>
          <w:szCs w:val="22"/>
          <w:lang w:val="en-GB"/>
        </w:rPr>
        <w:t>What Ferriprox looks like and contents of the pack</w:t>
      </w:r>
    </w:p>
    <w:p w:rsidR="008F7FF3" w:rsidRPr="007722A3" w:rsidRDefault="008F7FF3">
      <w:pPr>
        <w:rPr>
          <w:sz w:val="22"/>
          <w:szCs w:val="22"/>
          <w:lang w:val="en-GB"/>
        </w:rPr>
      </w:pPr>
      <w:r w:rsidRPr="007722A3">
        <w:rPr>
          <w:sz w:val="22"/>
          <w:szCs w:val="22"/>
          <w:lang w:val="en-GB"/>
        </w:rPr>
        <w:t xml:space="preserve">Ferriprox </w:t>
      </w:r>
      <w:r w:rsidR="006F52C4">
        <w:rPr>
          <w:sz w:val="22"/>
          <w:szCs w:val="22"/>
          <w:lang w:val="en-GB"/>
        </w:rPr>
        <w:t xml:space="preserve">500 mg </w:t>
      </w:r>
      <w:r w:rsidRPr="007722A3">
        <w:rPr>
          <w:sz w:val="22"/>
          <w:szCs w:val="22"/>
          <w:lang w:val="en-GB"/>
        </w:rPr>
        <w:t>tablets are white to off-white, capsule-shaped, film-coated tablets imprinted “APO” bisect “500” on one side, plain on the other. The tablets are scored and breakable in half. Ferriprox is packaged in bottles of 100 tablets.</w:t>
      </w:r>
    </w:p>
    <w:p w:rsidR="008F7FF3" w:rsidRPr="007722A3" w:rsidRDefault="008F7FF3">
      <w:pPr>
        <w:rPr>
          <w:sz w:val="22"/>
          <w:szCs w:val="22"/>
          <w:lang w:val="en-GB"/>
        </w:rPr>
      </w:pPr>
    </w:p>
    <w:p w:rsidR="008F7FF3" w:rsidRPr="007722A3" w:rsidRDefault="008F7FF3" w:rsidP="00B36F2D">
      <w:pPr>
        <w:pStyle w:val="Heading3"/>
        <w:keepNext/>
      </w:pPr>
      <w:r w:rsidRPr="007722A3">
        <w:t>Marketing Authorisation Holder and Manufacturer</w:t>
      </w:r>
    </w:p>
    <w:p w:rsidR="00842934" w:rsidRDefault="00842934" w:rsidP="00B36F2D">
      <w:pPr>
        <w:keepNext/>
        <w:tabs>
          <w:tab w:val="left" w:pos="3600"/>
        </w:tabs>
        <w:rPr>
          <w:sz w:val="22"/>
          <w:szCs w:val="22"/>
          <w:lang w:val="en-GB"/>
        </w:rPr>
      </w:pPr>
      <w:r>
        <w:rPr>
          <w:sz w:val="22"/>
          <w:szCs w:val="22"/>
          <w:lang w:val="en-GB"/>
        </w:rPr>
        <w:t>Marketing Authorisation Holder:</w:t>
      </w:r>
    </w:p>
    <w:p w:rsidR="00A30160" w:rsidRPr="00A30160" w:rsidRDefault="00A30160" w:rsidP="00A30160">
      <w:pPr>
        <w:ind w:left="720"/>
        <w:rPr>
          <w:sz w:val="22"/>
          <w:szCs w:val="22"/>
          <w:lang w:val="it-IT"/>
        </w:rPr>
      </w:pPr>
      <w:r w:rsidRPr="00A30160">
        <w:rPr>
          <w:sz w:val="22"/>
          <w:szCs w:val="22"/>
          <w:lang w:val="it-IT"/>
        </w:rPr>
        <w:t>Chiesi Farmaceutici S.p.A.</w:t>
      </w:r>
    </w:p>
    <w:p w:rsidR="00A30160" w:rsidRPr="00831E22" w:rsidRDefault="00A30160" w:rsidP="00A30160">
      <w:pPr>
        <w:ind w:left="720"/>
        <w:rPr>
          <w:sz w:val="22"/>
          <w:szCs w:val="22"/>
          <w:lang w:val="pt-PT"/>
        </w:rPr>
      </w:pPr>
      <w:r w:rsidRPr="00831E22">
        <w:rPr>
          <w:sz w:val="22"/>
          <w:szCs w:val="22"/>
          <w:lang w:val="pt-PT"/>
        </w:rPr>
        <w:t xml:space="preserve">Via Palermo 26/A </w:t>
      </w:r>
    </w:p>
    <w:p w:rsidR="00A30160" w:rsidRPr="00831E22" w:rsidRDefault="00A30160" w:rsidP="00A30160">
      <w:pPr>
        <w:ind w:left="720"/>
        <w:rPr>
          <w:sz w:val="22"/>
          <w:szCs w:val="22"/>
          <w:lang w:val="pt-PT"/>
        </w:rPr>
      </w:pPr>
      <w:r w:rsidRPr="00831E22">
        <w:rPr>
          <w:sz w:val="22"/>
          <w:szCs w:val="22"/>
          <w:lang w:val="pt-PT"/>
        </w:rPr>
        <w:t xml:space="preserve">43122 Parma </w:t>
      </w:r>
    </w:p>
    <w:p w:rsidR="00A30160" w:rsidRPr="00831E22" w:rsidRDefault="00A30160" w:rsidP="00A30160">
      <w:pPr>
        <w:ind w:left="720"/>
        <w:rPr>
          <w:sz w:val="22"/>
          <w:szCs w:val="22"/>
          <w:lang w:val="pt-PT"/>
        </w:rPr>
      </w:pPr>
      <w:r w:rsidRPr="00831E22">
        <w:rPr>
          <w:sz w:val="22"/>
          <w:szCs w:val="22"/>
          <w:lang w:val="pt-PT"/>
        </w:rPr>
        <w:t>Italy</w:t>
      </w:r>
    </w:p>
    <w:p w:rsidR="008F7FF3" w:rsidRPr="00831E22" w:rsidRDefault="008F7FF3" w:rsidP="001E17E3">
      <w:pPr>
        <w:tabs>
          <w:tab w:val="left" w:pos="3600"/>
        </w:tabs>
        <w:rPr>
          <w:sz w:val="22"/>
          <w:szCs w:val="22"/>
          <w:lang w:val="pt-PT"/>
        </w:rPr>
      </w:pPr>
    </w:p>
    <w:p w:rsidR="00842934" w:rsidRPr="00831E22" w:rsidRDefault="008F7FF3" w:rsidP="00ED09A9">
      <w:pPr>
        <w:pStyle w:val="BodyText"/>
        <w:keepNext/>
        <w:tabs>
          <w:tab w:val="left" w:pos="3600"/>
        </w:tabs>
        <w:rPr>
          <w:b/>
          <w:lang w:val="pt-PT"/>
        </w:rPr>
      </w:pPr>
      <w:r w:rsidRPr="00831E22">
        <w:rPr>
          <w:lang w:val="pt-PT"/>
        </w:rPr>
        <w:t>Manufactur</w:t>
      </w:r>
      <w:r w:rsidR="00831E22" w:rsidRPr="00831E22">
        <w:rPr>
          <w:lang w:val="pt-PT"/>
        </w:rPr>
        <w:t>er</w:t>
      </w:r>
      <w:r w:rsidRPr="00831E22">
        <w:rPr>
          <w:lang w:val="pt-PT"/>
        </w:rPr>
        <w:t>:</w:t>
      </w:r>
    </w:p>
    <w:p w:rsidR="00842934" w:rsidRPr="00831E22" w:rsidRDefault="00842934" w:rsidP="00842934">
      <w:pPr>
        <w:pStyle w:val="PILMAHaddress"/>
        <w:tabs>
          <w:tab w:val="left" w:pos="720"/>
        </w:tabs>
        <w:ind w:left="720"/>
        <w:rPr>
          <w:lang w:val="pt-PT"/>
        </w:rPr>
      </w:pPr>
      <w:r w:rsidRPr="00831E22">
        <w:rPr>
          <w:lang w:val="pt-PT"/>
        </w:rPr>
        <w:t>Eurofins PROXY Laboratories B.V.</w:t>
      </w:r>
    </w:p>
    <w:p w:rsidR="00842934" w:rsidRDefault="00842934" w:rsidP="00842934">
      <w:pPr>
        <w:pStyle w:val="PILMAHaddress"/>
        <w:tabs>
          <w:tab w:val="left" w:pos="720"/>
        </w:tabs>
        <w:ind w:left="720"/>
      </w:pPr>
      <w:r>
        <w:t>Archimedesweg 25</w:t>
      </w:r>
    </w:p>
    <w:p w:rsidR="00842934" w:rsidRDefault="00842934" w:rsidP="00842934">
      <w:pPr>
        <w:pStyle w:val="PILMAHaddress"/>
        <w:tabs>
          <w:tab w:val="left" w:pos="720"/>
        </w:tabs>
        <w:ind w:left="720"/>
      </w:pPr>
      <w:r>
        <w:t>2333 CM Leiden</w:t>
      </w:r>
    </w:p>
    <w:p w:rsidR="00842934" w:rsidRDefault="00842934" w:rsidP="00842934">
      <w:pPr>
        <w:pStyle w:val="PILMAHaddress"/>
        <w:tabs>
          <w:tab w:val="left" w:pos="720"/>
        </w:tabs>
        <w:ind w:left="720"/>
      </w:pPr>
      <w:r>
        <w:t>Netherlands</w:t>
      </w:r>
    </w:p>
    <w:p w:rsidR="008F7FF3" w:rsidRPr="007722A3" w:rsidRDefault="008F7FF3">
      <w:pPr>
        <w:tabs>
          <w:tab w:val="left" w:pos="4320"/>
        </w:tabs>
        <w:rPr>
          <w:sz w:val="22"/>
          <w:szCs w:val="22"/>
          <w:lang w:val="en-GB"/>
        </w:rPr>
      </w:pPr>
    </w:p>
    <w:p w:rsidR="008F7FF3" w:rsidRDefault="008F7FF3">
      <w:pPr>
        <w:ind w:right="-2"/>
        <w:rPr>
          <w:sz w:val="22"/>
          <w:szCs w:val="22"/>
          <w:lang w:val="en-GB"/>
        </w:rPr>
      </w:pPr>
      <w:r w:rsidRPr="007722A3">
        <w:rPr>
          <w:sz w:val="22"/>
          <w:szCs w:val="22"/>
          <w:lang w:val="en-GB"/>
        </w:rPr>
        <w:t>For any information about this medicine, please contact the local representative of the Marketing Authorisation Holder:</w:t>
      </w:r>
    </w:p>
    <w:p w:rsidR="00A141B1" w:rsidRDefault="00A141B1">
      <w:pPr>
        <w:ind w:right="-2"/>
        <w:rPr>
          <w:sz w:val="22"/>
          <w:szCs w:val="22"/>
          <w:lang w:val="en-GB"/>
        </w:rPr>
      </w:pPr>
    </w:p>
    <w:tbl>
      <w:tblPr>
        <w:tblW w:w="9723" w:type="dxa"/>
        <w:tblInd w:w="-72" w:type="dxa"/>
        <w:tblLayout w:type="fixed"/>
        <w:tblLook w:val="0000" w:firstRow="0" w:lastRow="0" w:firstColumn="0" w:lastColumn="0" w:noHBand="0" w:noVBand="0"/>
      </w:tblPr>
      <w:tblGrid>
        <w:gridCol w:w="4855"/>
        <w:gridCol w:w="4860"/>
        <w:gridCol w:w="8"/>
      </w:tblGrid>
      <w:tr w:rsidR="009E1698" w:rsidTr="00D97152">
        <w:trPr>
          <w:cantSplit/>
        </w:trPr>
        <w:tc>
          <w:tcPr>
            <w:tcW w:w="4855" w:type="dxa"/>
          </w:tcPr>
          <w:p w:rsidR="00646D70" w:rsidRPr="009D293D" w:rsidRDefault="00646D70" w:rsidP="00D97152">
            <w:pPr>
              <w:rPr>
                <w:sz w:val="22"/>
                <w:szCs w:val="22"/>
                <w:lang w:val="fr-FR"/>
              </w:rPr>
            </w:pPr>
            <w:r w:rsidRPr="009D293D">
              <w:rPr>
                <w:b/>
                <w:sz w:val="22"/>
                <w:szCs w:val="22"/>
                <w:lang w:val="fr-FR"/>
              </w:rPr>
              <w:t>België/Belgique/Belgien</w:t>
            </w:r>
          </w:p>
          <w:p w:rsidR="00646D70" w:rsidRPr="009D293D" w:rsidRDefault="00646D70" w:rsidP="00D97152">
            <w:pPr>
              <w:pStyle w:val="Default"/>
              <w:rPr>
                <w:sz w:val="22"/>
                <w:szCs w:val="22"/>
                <w:lang w:val="fr-FR"/>
              </w:rPr>
            </w:pPr>
            <w:r w:rsidRPr="009D293D">
              <w:rPr>
                <w:sz w:val="22"/>
                <w:szCs w:val="22"/>
                <w:lang w:val="fr-FR"/>
              </w:rPr>
              <w:t xml:space="preserve">Chiesi sa/nv </w:t>
            </w:r>
          </w:p>
          <w:p w:rsidR="00646D70" w:rsidRPr="00BA1F5F" w:rsidRDefault="00646D70" w:rsidP="00D97152">
            <w:pPr>
              <w:ind w:right="34"/>
              <w:rPr>
                <w:sz w:val="22"/>
                <w:szCs w:val="22"/>
                <w:lang w:val="en-GB"/>
              </w:rPr>
            </w:pPr>
            <w:r>
              <w:rPr>
                <w:sz w:val="22"/>
                <w:szCs w:val="22"/>
              </w:rPr>
              <w:t>Tél/Tel: + 32 (0)2 788 42 00</w:t>
            </w:r>
          </w:p>
          <w:p w:rsidR="00646D70" w:rsidRPr="00BA1F5F" w:rsidRDefault="00646D70" w:rsidP="00D97152">
            <w:pPr>
              <w:ind w:right="34"/>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Lietuva</w:t>
            </w:r>
          </w:p>
          <w:p w:rsidR="00646D70" w:rsidRDefault="00646D70" w:rsidP="00D97152">
            <w:pPr>
              <w:pStyle w:val="Default"/>
              <w:rPr>
                <w:sz w:val="22"/>
                <w:szCs w:val="22"/>
              </w:rPr>
            </w:pPr>
            <w:r>
              <w:rPr>
                <w:sz w:val="22"/>
                <w:szCs w:val="22"/>
              </w:rPr>
              <w:t xml:space="preserve">Chiesi Pharmaceuticals GmbH </w:t>
            </w:r>
          </w:p>
          <w:p w:rsidR="00646D70" w:rsidRPr="00EB1EF1" w:rsidRDefault="00646D70" w:rsidP="00D97152">
            <w:pPr>
              <w:suppressAutoHyphens/>
              <w:rPr>
                <w:sz w:val="22"/>
                <w:szCs w:val="22"/>
              </w:rPr>
            </w:pPr>
            <w:r w:rsidRPr="00646D70">
              <w:rPr>
                <w:sz w:val="22"/>
                <w:szCs w:val="22"/>
                <w:lang w:val="en-GB"/>
              </w:rPr>
              <w:t xml:space="preserve">Tel: </w:t>
            </w:r>
            <w:r>
              <w:rPr>
                <w:sz w:val="22"/>
                <w:szCs w:val="22"/>
              </w:rPr>
              <w:t xml:space="preserve">+ 43 1 4073919 </w:t>
            </w:r>
          </w:p>
          <w:p w:rsidR="00646D70" w:rsidRPr="00646D70" w:rsidRDefault="00646D70" w:rsidP="00D97152">
            <w:pPr>
              <w:suppressAutoHyphens/>
              <w:rPr>
                <w:sz w:val="22"/>
                <w:szCs w:val="22"/>
                <w:lang w:val="en-GB"/>
              </w:rPr>
            </w:pPr>
          </w:p>
        </w:tc>
      </w:tr>
      <w:tr w:rsidR="009E1698" w:rsidTr="00D97152">
        <w:trPr>
          <w:cantSplit/>
        </w:trPr>
        <w:tc>
          <w:tcPr>
            <w:tcW w:w="4855" w:type="dxa"/>
          </w:tcPr>
          <w:p w:rsidR="00646D70" w:rsidRPr="00BA1F5F" w:rsidRDefault="00646D70" w:rsidP="00D97152">
            <w:pPr>
              <w:autoSpaceDE w:val="0"/>
              <w:autoSpaceDN w:val="0"/>
              <w:adjustRightInd w:val="0"/>
              <w:rPr>
                <w:b/>
                <w:bCs/>
                <w:sz w:val="22"/>
                <w:szCs w:val="22"/>
                <w:lang w:val="it-CH"/>
              </w:rPr>
            </w:pPr>
            <w:r w:rsidRPr="00BA1F5F">
              <w:rPr>
                <w:b/>
                <w:bCs/>
                <w:sz w:val="22"/>
                <w:szCs w:val="22"/>
                <w:lang w:val="en-GB"/>
              </w:rPr>
              <w:t>България</w:t>
            </w:r>
          </w:p>
          <w:p w:rsidR="00646D70" w:rsidRPr="00BA1F5F" w:rsidRDefault="00646D70" w:rsidP="00D97152">
            <w:pPr>
              <w:pStyle w:val="Default"/>
              <w:rPr>
                <w:sz w:val="22"/>
                <w:szCs w:val="22"/>
                <w:lang w:val="it-CH"/>
              </w:rPr>
            </w:pPr>
            <w:r w:rsidRPr="009D293D">
              <w:rPr>
                <w:sz w:val="22"/>
                <w:szCs w:val="22"/>
                <w:lang w:val="it-IT"/>
              </w:rPr>
              <w:t xml:space="preserve">Chiesi Bulgaria EOOD </w:t>
            </w:r>
          </w:p>
          <w:p w:rsidR="00646D70" w:rsidRPr="009D293D" w:rsidRDefault="00646D70" w:rsidP="00D97152">
            <w:pPr>
              <w:autoSpaceDE w:val="0"/>
              <w:autoSpaceDN w:val="0"/>
              <w:adjustRightInd w:val="0"/>
              <w:rPr>
                <w:sz w:val="22"/>
                <w:szCs w:val="22"/>
                <w:lang w:val="it-IT"/>
              </w:rPr>
            </w:pPr>
            <w:r w:rsidRPr="00BA1F5F">
              <w:rPr>
                <w:sz w:val="22"/>
                <w:szCs w:val="22"/>
                <w:lang w:val="en-GB"/>
              </w:rPr>
              <w:t>Тел</w:t>
            </w:r>
            <w:r w:rsidRPr="00BA1F5F">
              <w:rPr>
                <w:sz w:val="22"/>
                <w:szCs w:val="22"/>
                <w:lang w:val="it-CH"/>
              </w:rPr>
              <w:t>.: +359</w:t>
            </w:r>
            <w:r>
              <w:rPr>
                <w:sz w:val="22"/>
                <w:szCs w:val="22"/>
                <w:lang w:val="it-CH"/>
              </w:rPr>
              <w:t xml:space="preserve"> </w:t>
            </w:r>
            <w:r w:rsidRPr="009D293D">
              <w:rPr>
                <w:sz w:val="22"/>
                <w:szCs w:val="22"/>
                <w:lang w:val="it-IT"/>
              </w:rPr>
              <w:t xml:space="preserve">29201205 </w:t>
            </w:r>
          </w:p>
          <w:p w:rsidR="00646D70" w:rsidRPr="00BA1F5F" w:rsidRDefault="00646D70" w:rsidP="00D97152">
            <w:pPr>
              <w:tabs>
                <w:tab w:val="left" w:pos="-720"/>
              </w:tabs>
              <w:suppressAutoHyphens/>
              <w:jc w:val="both"/>
              <w:rPr>
                <w:b/>
                <w:sz w:val="22"/>
                <w:szCs w:val="22"/>
                <w:lang w:val="it-CH"/>
              </w:rPr>
            </w:pPr>
          </w:p>
        </w:tc>
        <w:tc>
          <w:tcPr>
            <w:tcW w:w="4868" w:type="dxa"/>
            <w:gridSpan w:val="2"/>
          </w:tcPr>
          <w:p w:rsidR="00646D70" w:rsidRPr="00BA1F5F" w:rsidRDefault="00646D70" w:rsidP="00D97152">
            <w:pPr>
              <w:rPr>
                <w:sz w:val="22"/>
                <w:szCs w:val="22"/>
                <w:lang w:val="it-CH"/>
              </w:rPr>
            </w:pPr>
            <w:r w:rsidRPr="00BA1F5F">
              <w:rPr>
                <w:b/>
                <w:sz w:val="22"/>
                <w:szCs w:val="22"/>
                <w:lang w:val="it-CH"/>
              </w:rPr>
              <w:t>Luxembourg/Luxemburg</w:t>
            </w:r>
          </w:p>
          <w:p w:rsidR="00646D70" w:rsidRPr="00BA1F5F" w:rsidRDefault="00646D70" w:rsidP="00D97152">
            <w:pPr>
              <w:rPr>
                <w:sz w:val="22"/>
                <w:szCs w:val="22"/>
                <w:lang w:val="it-CH"/>
              </w:rPr>
            </w:pPr>
            <w:r w:rsidRPr="00EB1EF1">
              <w:rPr>
                <w:sz w:val="22"/>
                <w:szCs w:val="22"/>
                <w:lang w:val="it-CH"/>
              </w:rPr>
              <w:t>Chiesi sa/nv</w:t>
            </w:r>
          </w:p>
          <w:p w:rsidR="00646D70" w:rsidRPr="00646D70" w:rsidRDefault="00646D70" w:rsidP="00D97152">
            <w:pPr>
              <w:suppressAutoHyphens/>
              <w:rPr>
                <w:sz w:val="22"/>
                <w:szCs w:val="22"/>
                <w:lang w:val="it-CH"/>
              </w:rPr>
            </w:pPr>
            <w:r w:rsidRPr="00646D70">
              <w:rPr>
                <w:sz w:val="22"/>
                <w:szCs w:val="22"/>
                <w:lang w:val="it-CH"/>
              </w:rPr>
              <w:t xml:space="preserve">Tél/Tel: + 32 (0)2 788 42 00 </w:t>
            </w:r>
          </w:p>
        </w:tc>
      </w:tr>
      <w:tr w:rsidR="009E1698" w:rsidTr="00D97152">
        <w:trPr>
          <w:cantSplit/>
        </w:trPr>
        <w:tc>
          <w:tcPr>
            <w:tcW w:w="4855" w:type="dxa"/>
          </w:tcPr>
          <w:p w:rsidR="00646D70" w:rsidRPr="00646D70" w:rsidRDefault="00646D70" w:rsidP="00D97152">
            <w:pPr>
              <w:tabs>
                <w:tab w:val="left" w:pos="-720"/>
              </w:tabs>
              <w:suppressAutoHyphens/>
              <w:rPr>
                <w:sz w:val="22"/>
                <w:szCs w:val="22"/>
                <w:lang w:val="pt-BR"/>
              </w:rPr>
            </w:pPr>
            <w:r w:rsidRPr="00646D70">
              <w:rPr>
                <w:b/>
                <w:sz w:val="22"/>
                <w:szCs w:val="22"/>
                <w:lang w:val="pt-BR"/>
              </w:rPr>
              <w:t>Česká republika</w:t>
            </w:r>
          </w:p>
          <w:p w:rsidR="00646D70" w:rsidRPr="00646D70" w:rsidRDefault="00646D70" w:rsidP="00D97152">
            <w:pPr>
              <w:tabs>
                <w:tab w:val="left" w:pos="-720"/>
              </w:tabs>
              <w:suppressAutoHyphens/>
              <w:rPr>
                <w:sz w:val="22"/>
                <w:szCs w:val="22"/>
                <w:lang w:val="pt-BR"/>
              </w:rPr>
            </w:pPr>
            <w:r w:rsidRPr="00646D70">
              <w:rPr>
                <w:sz w:val="22"/>
                <w:szCs w:val="22"/>
                <w:lang w:val="pt-BR"/>
              </w:rPr>
              <w:t>Aurovitas, spol. s r.o.</w:t>
            </w:r>
          </w:p>
          <w:p w:rsidR="00646D70" w:rsidRPr="00CB3E22" w:rsidRDefault="00646D70" w:rsidP="00D97152">
            <w:pPr>
              <w:tabs>
                <w:tab w:val="left" w:pos="-720"/>
              </w:tabs>
              <w:suppressAutoHyphens/>
              <w:rPr>
                <w:sz w:val="22"/>
                <w:szCs w:val="22"/>
                <w:lang w:val="it-CH"/>
              </w:rPr>
            </w:pPr>
            <w:r w:rsidRPr="00CB3E22">
              <w:rPr>
                <w:sz w:val="22"/>
                <w:szCs w:val="22"/>
                <w:lang w:val="it-CH"/>
              </w:rPr>
              <w:t>Tel: +00420 234 705 700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CB3E22" w:rsidRDefault="00646D70" w:rsidP="00D97152">
            <w:pPr>
              <w:spacing w:line="260" w:lineRule="atLeast"/>
              <w:rPr>
                <w:b/>
                <w:sz w:val="22"/>
                <w:szCs w:val="22"/>
                <w:lang w:val="it-CH"/>
              </w:rPr>
            </w:pPr>
            <w:r w:rsidRPr="00CB3E22">
              <w:rPr>
                <w:b/>
                <w:sz w:val="22"/>
                <w:szCs w:val="22"/>
                <w:lang w:val="it-CH"/>
              </w:rPr>
              <w:t>Magyarország</w:t>
            </w:r>
          </w:p>
          <w:p w:rsidR="00646D70" w:rsidRPr="00CB3E22" w:rsidRDefault="00646D70" w:rsidP="00D97152">
            <w:pPr>
              <w:spacing w:line="260" w:lineRule="atLeast"/>
              <w:rPr>
                <w:sz w:val="22"/>
                <w:szCs w:val="22"/>
                <w:lang w:val="it-CH"/>
              </w:rPr>
            </w:pPr>
            <w:r w:rsidRPr="00CB3E22">
              <w:rPr>
                <w:bCs/>
                <w:sz w:val="22"/>
                <w:szCs w:val="22"/>
                <w:lang w:val="it-CH"/>
              </w:rPr>
              <w:t>Chiesi Hungary Kft.</w:t>
            </w:r>
          </w:p>
          <w:p w:rsidR="00646D70" w:rsidRPr="00CB3E22" w:rsidRDefault="00646D70" w:rsidP="00D97152">
            <w:pPr>
              <w:tabs>
                <w:tab w:val="left" w:pos="-720"/>
              </w:tabs>
              <w:suppressAutoHyphens/>
              <w:rPr>
                <w:sz w:val="22"/>
                <w:szCs w:val="22"/>
                <w:lang w:val="it-CH"/>
              </w:rPr>
            </w:pPr>
            <w:r w:rsidRPr="00CB3E22">
              <w:rPr>
                <w:sz w:val="22"/>
                <w:szCs w:val="22"/>
                <w:lang w:val="it-CH"/>
              </w:rPr>
              <w:t>Tel.: + 36-1-429 1060</w:t>
            </w:r>
          </w:p>
        </w:tc>
      </w:tr>
      <w:tr w:rsidR="009E1698" w:rsidTr="00D97152">
        <w:trPr>
          <w:cantSplit/>
        </w:trPr>
        <w:tc>
          <w:tcPr>
            <w:tcW w:w="4855" w:type="dxa"/>
          </w:tcPr>
          <w:p w:rsidR="00646D70" w:rsidRPr="00CB3E22" w:rsidRDefault="00646D70" w:rsidP="00D97152">
            <w:pPr>
              <w:rPr>
                <w:sz w:val="22"/>
                <w:szCs w:val="22"/>
                <w:lang w:val="it-CH"/>
              </w:rPr>
            </w:pPr>
            <w:r w:rsidRPr="00CB3E22">
              <w:rPr>
                <w:b/>
                <w:sz w:val="22"/>
                <w:szCs w:val="22"/>
                <w:lang w:val="it-CH"/>
              </w:rPr>
              <w:t>Danmark</w:t>
            </w:r>
          </w:p>
          <w:p w:rsidR="00646D70" w:rsidRPr="00CB3E22" w:rsidRDefault="00646D70" w:rsidP="00D97152">
            <w:pPr>
              <w:rPr>
                <w:sz w:val="22"/>
                <w:szCs w:val="22"/>
                <w:lang w:val="it-CH"/>
              </w:rPr>
            </w:pPr>
            <w:r w:rsidRPr="00CB3E22">
              <w:rPr>
                <w:sz w:val="22"/>
                <w:szCs w:val="22"/>
                <w:lang w:val="it-CH"/>
              </w:rPr>
              <w:t>Chiesi Pharma AB</w:t>
            </w:r>
          </w:p>
          <w:p w:rsidR="00646D70" w:rsidRPr="00CB3E22" w:rsidRDefault="00646D70" w:rsidP="00D97152">
            <w:pPr>
              <w:tabs>
                <w:tab w:val="left" w:pos="-720"/>
              </w:tabs>
              <w:suppressAutoHyphens/>
              <w:rPr>
                <w:sz w:val="22"/>
                <w:szCs w:val="22"/>
                <w:lang w:val="it-CH"/>
              </w:rPr>
            </w:pPr>
            <w:r w:rsidRPr="00CB3E22">
              <w:rPr>
                <w:sz w:val="22"/>
                <w:szCs w:val="22"/>
                <w:lang w:val="it-CH"/>
              </w:rPr>
              <w:t>Tlf: + 46 8 753 35 20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Malta</w:t>
            </w:r>
          </w:p>
          <w:p w:rsidR="00646D70" w:rsidRPr="009D293D" w:rsidRDefault="00646D70" w:rsidP="00D97152">
            <w:pPr>
              <w:pStyle w:val="Default"/>
              <w:rPr>
                <w:sz w:val="22"/>
                <w:szCs w:val="22"/>
                <w:lang w:val="it-IT"/>
              </w:rPr>
            </w:pPr>
            <w:r w:rsidRPr="009D293D">
              <w:rPr>
                <w:sz w:val="22"/>
                <w:szCs w:val="22"/>
                <w:lang w:val="it-IT"/>
              </w:rPr>
              <w:t>Chiesi Farmaceutici S.p.A.</w:t>
            </w:r>
          </w:p>
          <w:p w:rsidR="00646D70" w:rsidRPr="00BA1F5F" w:rsidRDefault="00646D70" w:rsidP="00D97152">
            <w:pPr>
              <w:rPr>
                <w:sz w:val="22"/>
                <w:szCs w:val="22"/>
                <w:lang w:val="en-GB"/>
              </w:rPr>
            </w:pPr>
            <w:r w:rsidRPr="00BA1F5F">
              <w:rPr>
                <w:sz w:val="22"/>
                <w:szCs w:val="22"/>
                <w:lang w:val="en-GB"/>
              </w:rPr>
              <w:t xml:space="preserve">Tel: + 39 0521 </w:t>
            </w:r>
            <w:r>
              <w:rPr>
                <w:sz w:val="22"/>
                <w:szCs w:val="22"/>
              </w:rPr>
              <w:t>2791</w:t>
            </w:r>
          </w:p>
        </w:tc>
      </w:tr>
      <w:tr w:rsidR="009E1698" w:rsidTr="00D97152">
        <w:trPr>
          <w:cantSplit/>
        </w:trPr>
        <w:tc>
          <w:tcPr>
            <w:tcW w:w="4855" w:type="dxa"/>
          </w:tcPr>
          <w:p w:rsidR="00646D70" w:rsidRPr="00BA1F5F" w:rsidRDefault="00646D70" w:rsidP="00D97152">
            <w:pPr>
              <w:rPr>
                <w:sz w:val="22"/>
                <w:szCs w:val="22"/>
                <w:lang w:val="de-DE"/>
              </w:rPr>
            </w:pPr>
            <w:r w:rsidRPr="00BA1F5F">
              <w:rPr>
                <w:b/>
                <w:sz w:val="22"/>
                <w:szCs w:val="22"/>
                <w:lang w:val="de-DE"/>
              </w:rPr>
              <w:t>Deutschland</w:t>
            </w:r>
          </w:p>
          <w:p w:rsidR="00646D70" w:rsidRPr="00BA1F5F" w:rsidRDefault="00646D70" w:rsidP="00D97152">
            <w:pPr>
              <w:rPr>
                <w:sz w:val="22"/>
                <w:szCs w:val="22"/>
                <w:lang w:val="de-DE"/>
              </w:rPr>
            </w:pPr>
            <w:r w:rsidRPr="00A7625F">
              <w:rPr>
                <w:sz w:val="22"/>
                <w:szCs w:val="22"/>
                <w:lang w:val="de-DE"/>
              </w:rPr>
              <w:t>Chiesi GmbH</w:t>
            </w:r>
          </w:p>
          <w:p w:rsidR="00646D70" w:rsidRPr="00BA1F5F" w:rsidRDefault="00646D70" w:rsidP="00D97152">
            <w:pPr>
              <w:tabs>
                <w:tab w:val="left" w:pos="-720"/>
              </w:tabs>
              <w:suppressAutoHyphens/>
              <w:rPr>
                <w:sz w:val="22"/>
                <w:szCs w:val="22"/>
                <w:lang w:val="de-DE"/>
              </w:rPr>
            </w:pPr>
            <w:r w:rsidRPr="00BA1F5F">
              <w:rPr>
                <w:sz w:val="22"/>
                <w:szCs w:val="22"/>
                <w:lang w:val="de-DE"/>
              </w:rPr>
              <w:t>Tel: +</w:t>
            </w:r>
            <w:r>
              <w:rPr>
                <w:sz w:val="22"/>
                <w:szCs w:val="22"/>
                <w:lang w:val="de-DE"/>
              </w:rPr>
              <w:t xml:space="preserve"> </w:t>
            </w:r>
            <w:r w:rsidRPr="00A7625F">
              <w:rPr>
                <w:sz w:val="22"/>
                <w:szCs w:val="22"/>
                <w:lang w:val="de-DE"/>
              </w:rPr>
              <w:t>49 40 89724-0</w:t>
            </w:r>
          </w:p>
          <w:p w:rsidR="00646D70" w:rsidRPr="00BA1F5F" w:rsidRDefault="00646D70" w:rsidP="00D97152">
            <w:pPr>
              <w:tabs>
                <w:tab w:val="left" w:pos="-720"/>
              </w:tabs>
              <w:suppressAutoHyphens/>
              <w:rPr>
                <w:sz w:val="22"/>
                <w:szCs w:val="22"/>
                <w:lang w:val="de-DE"/>
              </w:rPr>
            </w:pPr>
          </w:p>
        </w:tc>
        <w:tc>
          <w:tcPr>
            <w:tcW w:w="4868" w:type="dxa"/>
            <w:gridSpan w:val="2"/>
          </w:tcPr>
          <w:p w:rsidR="00646D70" w:rsidRPr="00BA1F5F" w:rsidRDefault="00646D70" w:rsidP="00D97152">
            <w:pPr>
              <w:tabs>
                <w:tab w:val="left" w:pos="-720"/>
                <w:tab w:val="left" w:pos="4536"/>
              </w:tabs>
              <w:suppressAutoHyphens/>
              <w:rPr>
                <w:b/>
                <w:sz w:val="22"/>
                <w:szCs w:val="22"/>
                <w:lang w:val="sv-SE"/>
              </w:rPr>
            </w:pPr>
            <w:r w:rsidRPr="00BA1F5F">
              <w:rPr>
                <w:b/>
                <w:sz w:val="22"/>
                <w:szCs w:val="22"/>
                <w:lang w:val="sv-SE"/>
              </w:rPr>
              <w:t>Nederland</w:t>
            </w:r>
          </w:p>
          <w:p w:rsidR="00646D70" w:rsidRPr="00BA1F5F" w:rsidRDefault="00646D70" w:rsidP="00D97152">
            <w:pPr>
              <w:rPr>
                <w:sz w:val="22"/>
                <w:szCs w:val="22"/>
                <w:lang w:val="sv-SE"/>
              </w:rPr>
            </w:pPr>
            <w:r w:rsidRPr="00A7625F">
              <w:rPr>
                <w:sz w:val="22"/>
                <w:szCs w:val="22"/>
                <w:lang w:val="sv-SE"/>
              </w:rPr>
              <w:t>Chiesi Pharmaceuticals B.V.</w:t>
            </w:r>
          </w:p>
          <w:p w:rsidR="00646D70" w:rsidRPr="00BA1F5F" w:rsidRDefault="00646D70" w:rsidP="00D97152">
            <w:pPr>
              <w:rPr>
                <w:sz w:val="22"/>
                <w:szCs w:val="22"/>
                <w:lang w:val="sv-SE"/>
              </w:rPr>
            </w:pPr>
            <w:r w:rsidRPr="00BA1F5F">
              <w:rPr>
                <w:sz w:val="22"/>
                <w:szCs w:val="22"/>
                <w:lang w:val="sv-SE"/>
              </w:rPr>
              <w:t>Tel: +</w:t>
            </w:r>
            <w:r>
              <w:rPr>
                <w:sz w:val="22"/>
                <w:szCs w:val="22"/>
                <w:lang w:val="sv-SE"/>
              </w:rPr>
              <w:t xml:space="preserve"> </w:t>
            </w:r>
            <w:r w:rsidRPr="00A7625F">
              <w:rPr>
                <w:sz w:val="22"/>
                <w:szCs w:val="22"/>
                <w:lang w:val="sv-SE"/>
              </w:rPr>
              <w:t>31 88 501 64 00</w:t>
            </w:r>
          </w:p>
        </w:tc>
      </w:tr>
      <w:tr w:rsidR="009E1698" w:rsidTr="00D97152">
        <w:trPr>
          <w:cantSplit/>
        </w:trPr>
        <w:tc>
          <w:tcPr>
            <w:tcW w:w="4855" w:type="dxa"/>
          </w:tcPr>
          <w:p w:rsidR="00646D70" w:rsidRPr="00646D70" w:rsidRDefault="00646D70" w:rsidP="00D97152">
            <w:pPr>
              <w:tabs>
                <w:tab w:val="left" w:pos="-720"/>
              </w:tabs>
              <w:suppressAutoHyphens/>
              <w:rPr>
                <w:b/>
                <w:bCs/>
                <w:sz w:val="22"/>
                <w:szCs w:val="22"/>
              </w:rPr>
            </w:pPr>
            <w:r w:rsidRPr="00646D70">
              <w:rPr>
                <w:b/>
                <w:bCs/>
                <w:sz w:val="22"/>
                <w:szCs w:val="22"/>
              </w:rPr>
              <w:t>Eesti</w:t>
            </w:r>
          </w:p>
          <w:p w:rsidR="00646D70" w:rsidRPr="00646D70" w:rsidRDefault="00646D70" w:rsidP="00D97152">
            <w:pPr>
              <w:rPr>
                <w:sz w:val="22"/>
                <w:szCs w:val="22"/>
              </w:rPr>
            </w:pPr>
            <w:r w:rsidRPr="00646D70">
              <w:rPr>
                <w:sz w:val="22"/>
                <w:szCs w:val="22"/>
              </w:rPr>
              <w:t>Chiesi Pharmaceuticals GmbH</w:t>
            </w:r>
          </w:p>
          <w:p w:rsidR="00646D70" w:rsidRPr="00646D70" w:rsidRDefault="00646D70" w:rsidP="00D97152">
            <w:pPr>
              <w:rPr>
                <w:sz w:val="22"/>
                <w:szCs w:val="22"/>
              </w:rPr>
            </w:pPr>
            <w:r w:rsidRPr="00646D70">
              <w:rPr>
                <w:sz w:val="22"/>
                <w:szCs w:val="22"/>
              </w:rPr>
              <w:t>Tel: + 43 1 4073919</w:t>
            </w:r>
          </w:p>
          <w:p w:rsidR="00646D70" w:rsidRPr="00646D70" w:rsidRDefault="00646D70" w:rsidP="00D97152">
            <w:pPr>
              <w:tabs>
                <w:tab w:val="left" w:pos="-720"/>
              </w:tabs>
              <w:suppressAutoHyphens/>
              <w:rPr>
                <w:sz w:val="22"/>
                <w:szCs w:val="22"/>
              </w:rPr>
            </w:pPr>
          </w:p>
        </w:tc>
        <w:tc>
          <w:tcPr>
            <w:tcW w:w="4868" w:type="dxa"/>
            <w:gridSpan w:val="2"/>
          </w:tcPr>
          <w:p w:rsidR="00646D70" w:rsidRPr="009D293D" w:rsidRDefault="00646D70" w:rsidP="00D97152">
            <w:pPr>
              <w:keepNext/>
              <w:ind w:left="709" w:hanging="709"/>
              <w:outlineLvl w:val="1"/>
              <w:rPr>
                <w:rFonts w:ascii="Times New Roman Bold" w:hAnsi="Times New Roman Bold"/>
                <w:b/>
                <w:bCs/>
                <w:caps/>
                <w:snapToGrid w:val="0"/>
                <w:sz w:val="22"/>
                <w:szCs w:val="22"/>
                <w:lang w:val="it-IT"/>
              </w:rPr>
            </w:pPr>
            <w:r w:rsidRPr="009D293D">
              <w:rPr>
                <w:rFonts w:ascii="Times New Roman Bold" w:hAnsi="Times New Roman Bold"/>
                <w:b/>
                <w:bCs/>
                <w:snapToGrid w:val="0"/>
                <w:sz w:val="22"/>
                <w:szCs w:val="22"/>
                <w:lang w:val="it-IT"/>
              </w:rPr>
              <w:t>Norge</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rPr>
                <w:sz w:val="22"/>
                <w:szCs w:val="22"/>
                <w:lang w:val="it-IT"/>
              </w:rPr>
            </w:pPr>
            <w:r w:rsidRPr="009D293D">
              <w:rPr>
                <w:sz w:val="22"/>
                <w:szCs w:val="22"/>
                <w:lang w:val="it-IT"/>
              </w:rPr>
              <w:t>Tlf: + 46 8 753 35 20</w:t>
            </w:r>
          </w:p>
        </w:tc>
      </w:tr>
      <w:tr w:rsidR="009E1698" w:rsidTr="00D97152">
        <w:trPr>
          <w:cantSplit/>
        </w:trPr>
        <w:tc>
          <w:tcPr>
            <w:tcW w:w="4855" w:type="dxa"/>
          </w:tcPr>
          <w:p w:rsidR="00646D70" w:rsidRPr="00BA1F5F" w:rsidRDefault="00646D70" w:rsidP="00D97152">
            <w:pPr>
              <w:rPr>
                <w:sz w:val="22"/>
                <w:szCs w:val="22"/>
                <w:lang w:val="en-GB"/>
              </w:rPr>
            </w:pPr>
            <w:r w:rsidRPr="00BA1F5F">
              <w:rPr>
                <w:b/>
                <w:sz w:val="22"/>
                <w:szCs w:val="22"/>
                <w:lang w:val="en-GB"/>
              </w:rPr>
              <w:t>Ελλάδα</w:t>
            </w:r>
          </w:p>
          <w:p w:rsidR="00646D70" w:rsidRPr="00BA1F5F" w:rsidRDefault="00646D70" w:rsidP="00D97152">
            <w:pPr>
              <w:rPr>
                <w:snapToGrid w:val="0"/>
                <w:sz w:val="22"/>
                <w:szCs w:val="22"/>
                <w:lang w:val="en-GB"/>
              </w:rPr>
            </w:pPr>
            <w:r w:rsidRPr="00BA1F5F">
              <w:rPr>
                <w:snapToGrid w:val="0"/>
                <w:sz w:val="22"/>
                <w:szCs w:val="22"/>
                <w:lang w:val="en-GB"/>
              </w:rPr>
              <w:t>DEMO ABEE</w:t>
            </w:r>
          </w:p>
          <w:p w:rsidR="00646D70" w:rsidRPr="00BA1F5F" w:rsidRDefault="00646D70" w:rsidP="00D97152">
            <w:pPr>
              <w:tabs>
                <w:tab w:val="left" w:pos="-720"/>
              </w:tabs>
              <w:suppressAutoHyphens/>
              <w:rPr>
                <w:sz w:val="22"/>
                <w:szCs w:val="22"/>
                <w:lang w:val="en-GB"/>
              </w:rPr>
            </w:pPr>
            <w:r w:rsidRPr="00BA1F5F">
              <w:rPr>
                <w:sz w:val="22"/>
                <w:szCs w:val="22"/>
                <w:lang w:val="en-GB"/>
              </w:rPr>
              <w:t>Τηλ: + 30 210 8161802</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Österreich</w:t>
            </w:r>
          </w:p>
          <w:p w:rsidR="00646D70" w:rsidRPr="00A7625F" w:rsidRDefault="00646D70" w:rsidP="00D97152">
            <w:pPr>
              <w:rPr>
                <w:sz w:val="22"/>
                <w:szCs w:val="22"/>
                <w:lang w:val="en-GB"/>
              </w:rPr>
            </w:pPr>
            <w:r w:rsidRPr="00A7625F">
              <w:rPr>
                <w:sz w:val="22"/>
                <w:szCs w:val="22"/>
                <w:lang w:val="en-GB"/>
              </w:rPr>
              <w:t>Chiesi Pharmaceuticals GmbH</w:t>
            </w:r>
          </w:p>
          <w:p w:rsidR="00646D70" w:rsidRPr="00BA1F5F" w:rsidRDefault="00646D70" w:rsidP="00D97152">
            <w:pPr>
              <w:rPr>
                <w:sz w:val="22"/>
                <w:szCs w:val="22"/>
                <w:lang w:val="en-GB"/>
              </w:rPr>
            </w:pPr>
            <w:r w:rsidRPr="00A7625F">
              <w:rPr>
                <w:sz w:val="22"/>
                <w:szCs w:val="22"/>
                <w:lang w:val="en-GB"/>
              </w:rPr>
              <w:t>Tel: + 43 1 4073919</w:t>
            </w:r>
          </w:p>
        </w:tc>
      </w:tr>
      <w:tr w:rsidR="009E1698" w:rsidTr="00D97152">
        <w:trPr>
          <w:cantSplit/>
        </w:trPr>
        <w:tc>
          <w:tcPr>
            <w:tcW w:w="4855" w:type="dxa"/>
          </w:tcPr>
          <w:p w:rsidR="00646D70" w:rsidRPr="00646D70" w:rsidRDefault="00646D70" w:rsidP="00D97152">
            <w:pPr>
              <w:tabs>
                <w:tab w:val="left" w:pos="-720"/>
                <w:tab w:val="left" w:pos="4536"/>
              </w:tabs>
              <w:suppressAutoHyphens/>
              <w:rPr>
                <w:b/>
                <w:sz w:val="22"/>
                <w:szCs w:val="22"/>
                <w:lang w:val="es-ES"/>
              </w:rPr>
            </w:pPr>
            <w:r w:rsidRPr="00646D70">
              <w:rPr>
                <w:b/>
                <w:sz w:val="22"/>
                <w:szCs w:val="22"/>
                <w:lang w:val="es-ES"/>
              </w:rPr>
              <w:t>España</w:t>
            </w:r>
          </w:p>
          <w:p w:rsidR="00646D70" w:rsidRPr="00646D70" w:rsidRDefault="00646D70" w:rsidP="00D97152">
            <w:pPr>
              <w:rPr>
                <w:sz w:val="22"/>
                <w:szCs w:val="22"/>
                <w:lang w:val="es-ES"/>
              </w:rPr>
            </w:pPr>
            <w:r w:rsidRPr="00646D70">
              <w:rPr>
                <w:sz w:val="22"/>
                <w:szCs w:val="22"/>
                <w:lang w:val="es-ES"/>
              </w:rPr>
              <w:t>Chiesi España, S.A.U.</w:t>
            </w:r>
          </w:p>
          <w:p w:rsidR="00646D70" w:rsidRPr="00BA1F5F" w:rsidRDefault="00646D70" w:rsidP="00D97152">
            <w:pPr>
              <w:rPr>
                <w:sz w:val="22"/>
                <w:szCs w:val="22"/>
                <w:lang w:val="en-GB"/>
              </w:rPr>
            </w:pPr>
            <w:r w:rsidRPr="00A7625F">
              <w:rPr>
                <w:sz w:val="22"/>
                <w:szCs w:val="22"/>
                <w:lang w:val="en-GB"/>
              </w:rPr>
              <w:t>Tel: + 34 934948000</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Polska</w:t>
            </w:r>
          </w:p>
          <w:p w:rsidR="00646D70" w:rsidRPr="00A7625F" w:rsidRDefault="00646D70" w:rsidP="00D97152">
            <w:pPr>
              <w:tabs>
                <w:tab w:val="left" w:pos="-720"/>
              </w:tabs>
              <w:suppressAutoHyphens/>
              <w:rPr>
                <w:bCs/>
                <w:sz w:val="22"/>
                <w:szCs w:val="22"/>
                <w:lang w:val="it-CH"/>
              </w:rPr>
            </w:pPr>
            <w:r w:rsidRPr="00A7625F">
              <w:rPr>
                <w:bCs/>
                <w:sz w:val="22"/>
                <w:szCs w:val="22"/>
                <w:lang w:val="it-CH"/>
              </w:rPr>
              <w:t>Chiesi Poland Sp. z.o.o.</w:t>
            </w:r>
          </w:p>
          <w:p w:rsidR="00646D70" w:rsidRPr="00BA1F5F" w:rsidRDefault="00646D70" w:rsidP="00D97152">
            <w:pPr>
              <w:tabs>
                <w:tab w:val="left" w:pos="-720"/>
              </w:tabs>
              <w:suppressAutoHyphens/>
              <w:rPr>
                <w:sz w:val="22"/>
                <w:szCs w:val="22"/>
                <w:lang w:val="en-GB"/>
              </w:rPr>
            </w:pPr>
            <w:r w:rsidRPr="00A7625F">
              <w:rPr>
                <w:bCs/>
                <w:sz w:val="22"/>
                <w:szCs w:val="22"/>
                <w:lang w:val="it-CH"/>
              </w:rPr>
              <w:t>Tel.: + 48 22 620 1421</w:t>
            </w:r>
          </w:p>
        </w:tc>
      </w:tr>
      <w:tr w:rsidR="009E1698" w:rsidTr="00D97152">
        <w:trPr>
          <w:cantSplit/>
        </w:trPr>
        <w:tc>
          <w:tcPr>
            <w:tcW w:w="4855" w:type="dxa"/>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France</w:t>
            </w:r>
          </w:p>
          <w:p w:rsidR="00646D70" w:rsidRPr="009D293D" w:rsidRDefault="00646D70" w:rsidP="00D97152">
            <w:pPr>
              <w:pStyle w:val="Default"/>
              <w:rPr>
                <w:sz w:val="22"/>
                <w:szCs w:val="22"/>
                <w:lang w:val="it-IT"/>
              </w:rPr>
            </w:pPr>
            <w:r w:rsidRPr="009D293D">
              <w:rPr>
                <w:sz w:val="22"/>
                <w:szCs w:val="22"/>
                <w:lang w:val="it-IT"/>
              </w:rPr>
              <w:t xml:space="preserve">Chiesi S.A.S. </w:t>
            </w:r>
          </w:p>
          <w:p w:rsidR="00646D70" w:rsidRPr="00BA1F5F" w:rsidRDefault="00646D70" w:rsidP="00D97152">
            <w:pPr>
              <w:rPr>
                <w:sz w:val="22"/>
                <w:szCs w:val="22"/>
                <w:lang w:val="en-GB"/>
              </w:rPr>
            </w:pPr>
            <w:r>
              <w:rPr>
                <w:sz w:val="22"/>
                <w:szCs w:val="22"/>
              </w:rPr>
              <w:t xml:space="preserve">Tél: + 33 1 47688899 </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rPr>
                <w:sz w:val="22"/>
                <w:szCs w:val="22"/>
                <w:lang w:val="it-IT"/>
              </w:rPr>
            </w:pPr>
            <w:r w:rsidRPr="009D293D">
              <w:rPr>
                <w:b/>
                <w:sz w:val="22"/>
                <w:szCs w:val="22"/>
                <w:lang w:val="it-IT"/>
              </w:rPr>
              <w:t>Portugal</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A7625F">
              <w:rPr>
                <w:sz w:val="22"/>
                <w:szCs w:val="22"/>
                <w:lang w:val="en-GB"/>
              </w:rPr>
              <w:t>Tel: + 39 0521 2791</w:t>
            </w:r>
          </w:p>
        </w:tc>
      </w:tr>
      <w:tr w:rsidR="009E1698" w:rsidTr="00D97152">
        <w:trPr>
          <w:cantSplit/>
        </w:trPr>
        <w:tc>
          <w:tcPr>
            <w:tcW w:w="4855" w:type="dxa"/>
          </w:tcPr>
          <w:p w:rsidR="00646D70" w:rsidRPr="00BA1F5F" w:rsidRDefault="00646D70" w:rsidP="00D97152">
            <w:pPr>
              <w:tabs>
                <w:tab w:val="left" w:pos="-720"/>
                <w:tab w:val="left" w:pos="4536"/>
              </w:tabs>
              <w:suppressAutoHyphens/>
              <w:rPr>
                <w:b/>
                <w:noProof/>
                <w:sz w:val="22"/>
                <w:szCs w:val="22"/>
                <w:lang w:val="hr-HR"/>
              </w:rPr>
            </w:pPr>
            <w:r w:rsidRPr="00BA1F5F">
              <w:rPr>
                <w:b/>
                <w:noProof/>
                <w:sz w:val="22"/>
                <w:szCs w:val="22"/>
                <w:lang w:val="hr-HR"/>
              </w:rPr>
              <w:t>Hrvatska</w:t>
            </w:r>
          </w:p>
          <w:p w:rsidR="00646D70" w:rsidRPr="00A7625F" w:rsidRDefault="00646D70" w:rsidP="00D97152">
            <w:pPr>
              <w:tabs>
                <w:tab w:val="left" w:pos="-720"/>
                <w:tab w:val="left" w:pos="4536"/>
              </w:tabs>
              <w:suppressAutoHyphens/>
              <w:rPr>
                <w:sz w:val="22"/>
                <w:szCs w:val="22"/>
                <w:lang w:val="hr-HR"/>
              </w:rPr>
            </w:pPr>
            <w:r w:rsidRPr="00A7625F">
              <w:rPr>
                <w:sz w:val="22"/>
                <w:szCs w:val="22"/>
                <w:lang w:val="hr-HR"/>
              </w:rPr>
              <w:t>Chiesi Pharmaceuticals GmbH</w:t>
            </w:r>
          </w:p>
          <w:p w:rsidR="00646D70" w:rsidRPr="00BA1F5F" w:rsidRDefault="00646D70" w:rsidP="00D97152">
            <w:pPr>
              <w:tabs>
                <w:tab w:val="left" w:pos="-720"/>
                <w:tab w:val="left" w:pos="4536"/>
              </w:tabs>
              <w:suppressAutoHyphens/>
              <w:rPr>
                <w:b/>
                <w:sz w:val="22"/>
                <w:szCs w:val="22"/>
                <w:lang w:val="hr-HR"/>
              </w:rPr>
            </w:pPr>
            <w:r w:rsidRPr="00A7625F">
              <w:rPr>
                <w:sz w:val="22"/>
                <w:szCs w:val="22"/>
                <w:lang w:val="hr-HR"/>
              </w:rPr>
              <w:t>Tel: + 43 1 4073919</w:t>
            </w: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România</w:t>
            </w:r>
          </w:p>
          <w:p w:rsidR="00646D70" w:rsidRPr="00BA1F5F" w:rsidRDefault="00646D70" w:rsidP="00D97152">
            <w:pPr>
              <w:tabs>
                <w:tab w:val="left" w:pos="-720"/>
              </w:tabs>
              <w:suppressAutoHyphens/>
              <w:rPr>
                <w:sz w:val="22"/>
                <w:szCs w:val="22"/>
                <w:lang w:val="it-CH"/>
              </w:rPr>
            </w:pPr>
            <w:r w:rsidRPr="00EB006A">
              <w:rPr>
                <w:sz w:val="22"/>
                <w:szCs w:val="22"/>
                <w:lang w:val="it-CH"/>
              </w:rPr>
              <w:t>Chiesi Romania S.R.L.</w:t>
            </w:r>
          </w:p>
          <w:p w:rsidR="00646D70" w:rsidRPr="00BA1F5F" w:rsidRDefault="00646D70" w:rsidP="00D97152">
            <w:pPr>
              <w:tabs>
                <w:tab w:val="left" w:pos="-720"/>
              </w:tabs>
              <w:suppressAutoHyphens/>
              <w:rPr>
                <w:sz w:val="22"/>
                <w:szCs w:val="22"/>
                <w:lang w:val="en-GB"/>
              </w:rPr>
            </w:pPr>
            <w:r w:rsidRPr="00BA1F5F">
              <w:rPr>
                <w:sz w:val="22"/>
                <w:szCs w:val="22"/>
                <w:lang w:val="en-GB"/>
              </w:rPr>
              <w:t>Tel: + 40</w:t>
            </w:r>
            <w:r>
              <w:rPr>
                <w:sz w:val="22"/>
                <w:szCs w:val="22"/>
                <w:lang w:val="en-GB"/>
              </w:rPr>
              <w:t xml:space="preserve"> </w:t>
            </w:r>
            <w:r w:rsidRPr="00BA1F5F">
              <w:rPr>
                <w:sz w:val="22"/>
                <w:szCs w:val="22"/>
                <w:lang w:val="en-GB"/>
              </w:rPr>
              <w:t>212023642</w:t>
            </w:r>
          </w:p>
          <w:p w:rsidR="00646D70" w:rsidRPr="00BA1F5F" w:rsidRDefault="00646D70" w:rsidP="00D97152">
            <w:pPr>
              <w:tabs>
                <w:tab w:val="left" w:pos="-720"/>
              </w:tabs>
              <w:suppressAutoHyphens/>
              <w:rPr>
                <w:sz w:val="22"/>
                <w:szCs w:val="22"/>
                <w:lang w:val="en-GB"/>
              </w:rPr>
            </w:pPr>
          </w:p>
        </w:tc>
      </w:tr>
      <w:tr w:rsidR="009E1698" w:rsidTr="00D97152">
        <w:trPr>
          <w:gridAfter w:val="1"/>
          <w:wAfter w:w="8" w:type="dxa"/>
          <w:cantSplit/>
        </w:trPr>
        <w:tc>
          <w:tcPr>
            <w:tcW w:w="4855" w:type="dxa"/>
          </w:tcPr>
          <w:p w:rsidR="00646D70" w:rsidRPr="009D293D" w:rsidRDefault="00646D70" w:rsidP="00D97152">
            <w:pPr>
              <w:rPr>
                <w:sz w:val="22"/>
                <w:szCs w:val="22"/>
                <w:lang w:val="it-IT"/>
              </w:rPr>
            </w:pPr>
            <w:r w:rsidRPr="009D293D">
              <w:rPr>
                <w:b/>
                <w:sz w:val="22"/>
                <w:szCs w:val="22"/>
                <w:lang w:val="it-IT"/>
              </w:rPr>
              <w:t>Ireland</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EB006A">
              <w:rPr>
                <w:sz w:val="22"/>
                <w:szCs w:val="22"/>
                <w:lang w:val="en-GB"/>
              </w:rPr>
              <w:t>Tel: + 39 0521 2791</w:t>
            </w:r>
          </w:p>
          <w:p w:rsidR="00646D70" w:rsidRPr="00BA1F5F" w:rsidRDefault="00646D70" w:rsidP="00D97152">
            <w:pPr>
              <w:tabs>
                <w:tab w:val="left" w:pos="-720"/>
              </w:tabs>
              <w:suppressAutoHyphens/>
              <w:rPr>
                <w:sz w:val="22"/>
                <w:szCs w:val="22"/>
                <w:lang w:val="en-GB"/>
              </w:rPr>
            </w:pPr>
          </w:p>
        </w:tc>
        <w:tc>
          <w:tcPr>
            <w:tcW w:w="4860" w:type="dxa"/>
          </w:tcPr>
          <w:p w:rsidR="00646D70" w:rsidRPr="00BA1F5F" w:rsidRDefault="00646D70" w:rsidP="00D97152">
            <w:pPr>
              <w:rPr>
                <w:sz w:val="22"/>
                <w:szCs w:val="22"/>
                <w:lang w:val="it-CH"/>
              </w:rPr>
            </w:pPr>
            <w:r w:rsidRPr="00BA1F5F">
              <w:rPr>
                <w:b/>
                <w:sz w:val="22"/>
                <w:szCs w:val="22"/>
                <w:lang w:val="it-CH"/>
              </w:rPr>
              <w:t>Slovenija</w:t>
            </w:r>
          </w:p>
          <w:p w:rsidR="00646D70" w:rsidRPr="00BA1F5F" w:rsidRDefault="00646D70" w:rsidP="00D97152">
            <w:pPr>
              <w:rPr>
                <w:sz w:val="22"/>
                <w:szCs w:val="22"/>
                <w:lang w:val="it-CH"/>
              </w:rPr>
            </w:pPr>
            <w:r w:rsidRPr="00BA1F5F">
              <w:rPr>
                <w:bCs/>
                <w:sz w:val="22"/>
                <w:szCs w:val="22"/>
                <w:lang w:val="it-CH"/>
              </w:rPr>
              <w:t>Chiesi Slovenija d.o.o.</w:t>
            </w:r>
          </w:p>
          <w:p w:rsidR="00646D70" w:rsidRPr="00BA1F5F" w:rsidRDefault="00646D70" w:rsidP="00D97152">
            <w:pPr>
              <w:tabs>
                <w:tab w:val="left" w:pos="-720"/>
              </w:tabs>
              <w:suppressAutoHyphens/>
              <w:rPr>
                <w:sz w:val="22"/>
                <w:szCs w:val="22"/>
                <w:lang w:val="en-GB"/>
              </w:rPr>
            </w:pPr>
            <w:r w:rsidRPr="00BA1F5F">
              <w:rPr>
                <w:sz w:val="22"/>
                <w:szCs w:val="22"/>
                <w:lang w:val="en-GB"/>
              </w:rPr>
              <w:t>Tel: + 386-1-43 00 901</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Ísland</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rPr>
                <w:sz w:val="22"/>
                <w:szCs w:val="22"/>
                <w:lang w:val="en-GB"/>
              </w:rPr>
            </w:pPr>
            <w:r w:rsidRPr="00EB006A">
              <w:rPr>
                <w:sz w:val="22"/>
                <w:szCs w:val="22"/>
                <w:lang w:val="en-GB"/>
              </w:rPr>
              <w:t>Sími: +46 8 753 35 20</w:t>
            </w:r>
          </w:p>
          <w:p w:rsidR="00646D70" w:rsidRPr="00BA1F5F" w:rsidRDefault="00646D70" w:rsidP="00D97152">
            <w:pPr>
              <w:rPr>
                <w:b/>
                <w:sz w:val="22"/>
                <w:szCs w:val="22"/>
                <w:lang w:val="en-GB"/>
              </w:rPr>
            </w:pPr>
          </w:p>
        </w:tc>
        <w:tc>
          <w:tcPr>
            <w:tcW w:w="4868" w:type="dxa"/>
            <w:gridSpan w:val="2"/>
          </w:tcPr>
          <w:p w:rsidR="00646D70" w:rsidRPr="00C31746" w:rsidRDefault="00646D70" w:rsidP="00D97152">
            <w:pPr>
              <w:tabs>
                <w:tab w:val="left" w:pos="-720"/>
              </w:tabs>
              <w:suppressAutoHyphens/>
              <w:rPr>
                <w:b/>
                <w:sz w:val="22"/>
                <w:szCs w:val="22"/>
                <w:lang w:val="en-GB"/>
              </w:rPr>
            </w:pPr>
            <w:r w:rsidRPr="00C31746">
              <w:rPr>
                <w:b/>
                <w:sz w:val="22"/>
                <w:szCs w:val="22"/>
                <w:lang w:val="en-GB"/>
              </w:rPr>
              <w:t>Slovenská republika</w:t>
            </w:r>
          </w:p>
          <w:p w:rsidR="00646D70" w:rsidRPr="00C31746" w:rsidRDefault="00646D70" w:rsidP="00D97152">
            <w:pPr>
              <w:spacing w:line="260" w:lineRule="atLeast"/>
              <w:rPr>
                <w:sz w:val="22"/>
                <w:szCs w:val="22"/>
                <w:lang w:val="en-GB"/>
              </w:rPr>
            </w:pPr>
            <w:r w:rsidRPr="00C31746">
              <w:rPr>
                <w:bCs/>
                <w:sz w:val="22"/>
                <w:szCs w:val="22"/>
                <w:lang w:val="en-GB"/>
              </w:rPr>
              <w:t>Chiesi Slovakia s.r.o.</w:t>
            </w:r>
          </w:p>
          <w:p w:rsidR="00646D70" w:rsidRPr="00BA1F5F" w:rsidRDefault="00646D70" w:rsidP="00D97152">
            <w:pPr>
              <w:tabs>
                <w:tab w:val="left" w:pos="-720"/>
              </w:tabs>
              <w:suppressAutoHyphens/>
              <w:rPr>
                <w:b/>
                <w:sz w:val="22"/>
                <w:szCs w:val="22"/>
                <w:lang w:val="en-GB"/>
              </w:rPr>
            </w:pPr>
            <w:r w:rsidRPr="00BA1F5F">
              <w:rPr>
                <w:sz w:val="22"/>
                <w:szCs w:val="22"/>
                <w:lang w:val="en-GB"/>
              </w:rPr>
              <w:t>Tel: + 421</w:t>
            </w:r>
            <w:r>
              <w:rPr>
                <w:sz w:val="22"/>
                <w:szCs w:val="22"/>
                <w:lang w:val="en-GB"/>
              </w:rPr>
              <w:t xml:space="preserve"> </w:t>
            </w:r>
            <w:r w:rsidRPr="00BA1F5F">
              <w:rPr>
                <w:sz w:val="22"/>
                <w:szCs w:val="22"/>
                <w:lang w:val="en-GB"/>
              </w:rPr>
              <w:t>2593</w:t>
            </w:r>
            <w:r>
              <w:rPr>
                <w:sz w:val="22"/>
                <w:szCs w:val="22"/>
                <w:lang w:val="en-GB"/>
              </w:rPr>
              <w:t>0</w:t>
            </w:r>
            <w:r w:rsidRPr="00BA1F5F">
              <w:rPr>
                <w:sz w:val="22"/>
                <w:szCs w:val="22"/>
                <w:lang w:val="en-GB"/>
              </w:rPr>
              <w:t>0060</w:t>
            </w:r>
          </w:p>
        </w:tc>
      </w:tr>
      <w:tr w:rsidR="009E1698" w:rsidTr="00D97152">
        <w:trPr>
          <w:cantSplit/>
        </w:trPr>
        <w:tc>
          <w:tcPr>
            <w:tcW w:w="4855" w:type="dxa"/>
          </w:tcPr>
          <w:p w:rsidR="00646D70" w:rsidRPr="00BA1F5F" w:rsidRDefault="00646D70" w:rsidP="00D97152">
            <w:pPr>
              <w:rPr>
                <w:sz w:val="22"/>
                <w:szCs w:val="22"/>
                <w:lang w:val="it-CH"/>
              </w:rPr>
            </w:pPr>
            <w:r w:rsidRPr="00BA1F5F">
              <w:rPr>
                <w:b/>
                <w:sz w:val="22"/>
                <w:szCs w:val="22"/>
                <w:lang w:val="it-CH"/>
              </w:rPr>
              <w:t>Italia</w:t>
            </w:r>
          </w:p>
          <w:p w:rsidR="00646D70" w:rsidRPr="00BA1F5F" w:rsidRDefault="00646D70" w:rsidP="00D97152">
            <w:pPr>
              <w:rPr>
                <w:sz w:val="22"/>
                <w:szCs w:val="22"/>
                <w:lang w:val="it-CH"/>
              </w:rPr>
            </w:pPr>
            <w:r w:rsidRPr="00BA1F5F">
              <w:rPr>
                <w:sz w:val="22"/>
                <w:szCs w:val="22"/>
                <w:lang w:val="it-CH"/>
              </w:rPr>
              <w:t xml:space="preserve">Chiesi </w:t>
            </w:r>
            <w:r w:rsidRPr="009D293D">
              <w:rPr>
                <w:sz w:val="22"/>
                <w:szCs w:val="22"/>
                <w:lang w:val="it-CH"/>
              </w:rPr>
              <w:t xml:space="preserve">Italia </w:t>
            </w:r>
            <w:r w:rsidRPr="00BA1F5F">
              <w:rPr>
                <w:sz w:val="22"/>
                <w:szCs w:val="22"/>
                <w:lang w:val="it-CH"/>
              </w:rPr>
              <w:t>S.p.A</w:t>
            </w:r>
            <w:r>
              <w:rPr>
                <w:sz w:val="22"/>
                <w:szCs w:val="22"/>
                <w:lang w:val="it-CH"/>
              </w:rPr>
              <w:t>.</w:t>
            </w:r>
          </w:p>
          <w:p w:rsidR="00646D70" w:rsidRPr="00BA1F5F" w:rsidRDefault="00646D70" w:rsidP="00D97152">
            <w:pPr>
              <w:rPr>
                <w:sz w:val="22"/>
                <w:szCs w:val="22"/>
                <w:lang w:val="en-GB"/>
              </w:rPr>
            </w:pPr>
            <w:r w:rsidRPr="00BA1F5F">
              <w:rPr>
                <w:sz w:val="22"/>
                <w:szCs w:val="22"/>
                <w:lang w:val="en-GB"/>
              </w:rPr>
              <w:t>Tel: + 39 0521 2791</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tabs>
                <w:tab w:val="left" w:pos="-720"/>
                <w:tab w:val="left" w:pos="4536"/>
              </w:tabs>
              <w:suppressAutoHyphens/>
              <w:rPr>
                <w:sz w:val="22"/>
                <w:szCs w:val="22"/>
                <w:lang w:val="it-IT"/>
              </w:rPr>
            </w:pPr>
            <w:r w:rsidRPr="009D293D">
              <w:rPr>
                <w:b/>
                <w:sz w:val="22"/>
                <w:szCs w:val="22"/>
                <w:lang w:val="it-IT"/>
              </w:rPr>
              <w:t>Suomi/Finland</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tabs>
                <w:tab w:val="left" w:pos="-720"/>
              </w:tabs>
              <w:suppressAutoHyphens/>
              <w:rPr>
                <w:b/>
                <w:sz w:val="22"/>
                <w:szCs w:val="22"/>
                <w:lang w:val="it-IT"/>
              </w:rPr>
            </w:pPr>
            <w:r w:rsidRPr="009D293D">
              <w:rPr>
                <w:sz w:val="22"/>
                <w:szCs w:val="22"/>
                <w:lang w:val="it-IT"/>
              </w:rPr>
              <w:t>Puh/Tel: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Κύπρος</w:t>
            </w:r>
          </w:p>
          <w:p w:rsidR="00646D70" w:rsidRPr="00BA1F5F" w:rsidRDefault="00646D70" w:rsidP="00D97152">
            <w:pPr>
              <w:rPr>
                <w:sz w:val="22"/>
                <w:szCs w:val="22"/>
                <w:lang w:val="en-GB"/>
              </w:rPr>
            </w:pPr>
            <w:r w:rsidRPr="00BA1F5F">
              <w:rPr>
                <w:sz w:val="22"/>
                <w:szCs w:val="22"/>
                <w:lang w:val="en-GB"/>
              </w:rPr>
              <w:t>The Star Medicines Importers Co. Ltd.</w:t>
            </w:r>
          </w:p>
          <w:p w:rsidR="00646D70" w:rsidRPr="00BA1F5F" w:rsidRDefault="00646D70" w:rsidP="00D97152">
            <w:pPr>
              <w:rPr>
                <w:sz w:val="22"/>
                <w:szCs w:val="22"/>
                <w:lang w:val="en-GB" w:eastAsia="en-CA"/>
              </w:rPr>
            </w:pPr>
            <w:r w:rsidRPr="00BA1F5F">
              <w:rPr>
                <w:sz w:val="22"/>
                <w:szCs w:val="22"/>
                <w:lang w:val="en-GB"/>
              </w:rPr>
              <w:t xml:space="preserve">Τηλ: + </w:t>
            </w:r>
            <w:r w:rsidRPr="00BA1F5F">
              <w:rPr>
                <w:sz w:val="22"/>
                <w:szCs w:val="22"/>
                <w:lang w:val="en-GB" w:eastAsia="en-CA"/>
              </w:rPr>
              <w:t>357 25 371056</w:t>
            </w:r>
          </w:p>
          <w:p w:rsidR="00646D70" w:rsidRPr="00BA1F5F" w:rsidRDefault="00646D70" w:rsidP="00D97152">
            <w:pPr>
              <w:rPr>
                <w:b/>
                <w:sz w:val="22"/>
                <w:szCs w:val="22"/>
                <w:lang w:val="en-GB"/>
              </w:rPr>
            </w:pP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Sverige</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tabs>
                <w:tab w:val="left" w:pos="-720"/>
                <w:tab w:val="left" w:pos="4536"/>
              </w:tabs>
              <w:suppressAutoHyphens/>
              <w:rPr>
                <w:b/>
                <w:sz w:val="22"/>
                <w:szCs w:val="22"/>
                <w:lang w:val="en-GB"/>
              </w:rPr>
            </w:pPr>
            <w:r w:rsidRPr="00EB006A">
              <w:rPr>
                <w:sz w:val="22"/>
                <w:szCs w:val="22"/>
                <w:lang w:val="en-GB"/>
              </w:rPr>
              <w:t>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Latvija</w:t>
            </w:r>
          </w:p>
          <w:p w:rsidR="00646D70" w:rsidRPr="00EB006A" w:rsidRDefault="00646D70" w:rsidP="00D97152">
            <w:pPr>
              <w:rPr>
                <w:sz w:val="22"/>
                <w:szCs w:val="22"/>
                <w:lang w:val="en-GB"/>
              </w:rPr>
            </w:pPr>
            <w:r w:rsidRPr="00EB006A">
              <w:rPr>
                <w:sz w:val="22"/>
                <w:szCs w:val="22"/>
                <w:lang w:val="en-GB"/>
              </w:rPr>
              <w:t>Chiesi Pharmaceuticals GmbH</w:t>
            </w:r>
          </w:p>
          <w:p w:rsidR="00646D70" w:rsidRPr="00646D70" w:rsidRDefault="00646D70" w:rsidP="00D97152">
            <w:pPr>
              <w:rPr>
                <w:sz w:val="22"/>
                <w:szCs w:val="22"/>
              </w:rPr>
            </w:pPr>
            <w:r w:rsidRPr="00EB006A">
              <w:rPr>
                <w:sz w:val="22"/>
                <w:szCs w:val="22"/>
                <w:lang w:val="en-GB"/>
              </w:rPr>
              <w:t>Tel: + 43 1 4073919</w:t>
            </w: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United Kingdom</w:t>
            </w:r>
          </w:p>
          <w:p w:rsidR="00646D70" w:rsidRDefault="00646D70" w:rsidP="00D97152">
            <w:pPr>
              <w:pStyle w:val="Default"/>
              <w:rPr>
                <w:sz w:val="22"/>
                <w:szCs w:val="22"/>
              </w:rPr>
            </w:pPr>
            <w:r>
              <w:rPr>
                <w:sz w:val="22"/>
                <w:szCs w:val="22"/>
              </w:rPr>
              <w:t xml:space="preserve">Chiesi Ltd </w:t>
            </w:r>
          </w:p>
          <w:p w:rsidR="00646D70" w:rsidRPr="00BA1F5F" w:rsidRDefault="00646D70" w:rsidP="00D97152">
            <w:pPr>
              <w:rPr>
                <w:sz w:val="22"/>
                <w:szCs w:val="22"/>
                <w:lang w:val="en-GB"/>
              </w:rPr>
            </w:pPr>
            <w:r>
              <w:rPr>
                <w:sz w:val="22"/>
                <w:szCs w:val="22"/>
              </w:rPr>
              <w:t xml:space="preserve">Tel: + 44 (0)161 488 5555 </w:t>
            </w:r>
          </w:p>
        </w:tc>
      </w:tr>
    </w:tbl>
    <w:p w:rsidR="00EB1EF1" w:rsidRPr="00646D70" w:rsidRDefault="00EB1EF1">
      <w:pPr>
        <w:ind w:right="-2"/>
        <w:rPr>
          <w:sz w:val="22"/>
          <w:szCs w:val="22"/>
        </w:rPr>
      </w:pPr>
    </w:p>
    <w:p w:rsidR="008F7FF3" w:rsidRPr="007722A3" w:rsidRDefault="008F7FF3">
      <w:pPr>
        <w:rPr>
          <w:sz w:val="22"/>
          <w:szCs w:val="22"/>
          <w:lang w:val="en-GB"/>
        </w:rPr>
      </w:pPr>
    </w:p>
    <w:p w:rsidR="006A24BF" w:rsidRPr="007722A3" w:rsidRDefault="008F7FF3" w:rsidP="006A24BF">
      <w:pPr>
        <w:rPr>
          <w:b/>
          <w:sz w:val="22"/>
          <w:szCs w:val="22"/>
          <w:lang w:val="en-GB"/>
        </w:rPr>
      </w:pPr>
      <w:r w:rsidRPr="007722A3">
        <w:rPr>
          <w:b/>
          <w:sz w:val="22"/>
          <w:szCs w:val="22"/>
          <w:lang w:val="en-GB"/>
        </w:rPr>
        <w:t xml:space="preserve">This leaflet was last </w:t>
      </w:r>
      <w:r w:rsidR="000004E5" w:rsidRPr="007722A3">
        <w:rPr>
          <w:b/>
          <w:sz w:val="22"/>
          <w:szCs w:val="22"/>
          <w:lang w:val="en-GB"/>
        </w:rPr>
        <w:t>revised</w:t>
      </w:r>
      <w:r w:rsidRPr="007722A3">
        <w:rPr>
          <w:b/>
          <w:sz w:val="22"/>
          <w:szCs w:val="22"/>
          <w:lang w:val="en-GB"/>
        </w:rPr>
        <w:t xml:space="preserve"> in</w:t>
      </w:r>
      <w:r w:rsidR="000004E5" w:rsidRPr="007722A3">
        <w:rPr>
          <w:b/>
          <w:sz w:val="22"/>
          <w:szCs w:val="22"/>
          <w:lang w:val="en-GB"/>
        </w:rPr>
        <w:t xml:space="preserve"> .</w:t>
      </w:r>
    </w:p>
    <w:p w:rsidR="006A24BF" w:rsidRPr="007722A3" w:rsidRDefault="006A24BF" w:rsidP="006A24BF">
      <w:pPr>
        <w:rPr>
          <w:sz w:val="22"/>
          <w:szCs w:val="22"/>
          <w:lang w:val="en-GB"/>
        </w:rPr>
      </w:pPr>
    </w:p>
    <w:p w:rsidR="008F7FF3" w:rsidRPr="007722A3" w:rsidRDefault="006A24BF" w:rsidP="006A24BF">
      <w:pPr>
        <w:rPr>
          <w:b/>
          <w:sz w:val="22"/>
          <w:szCs w:val="22"/>
          <w:lang w:val="en-GB"/>
        </w:rPr>
      </w:pPr>
      <w:r w:rsidRPr="007722A3">
        <w:rPr>
          <w:sz w:val="22"/>
          <w:szCs w:val="22"/>
          <w:lang w:val="en-GB"/>
        </w:rPr>
        <w:t>Detailed information on this medicine is available on the European Medicines Agency web site: http://www.ema.europa.eu</w:t>
      </w:r>
      <w:r w:rsidR="000004E5" w:rsidRPr="007722A3">
        <w:rPr>
          <w:sz w:val="22"/>
          <w:szCs w:val="22"/>
          <w:lang w:val="en-GB"/>
        </w:rPr>
        <w:t>.</w:t>
      </w:r>
    </w:p>
    <w:p w:rsidR="008F7FF3" w:rsidRPr="007722A3" w:rsidRDefault="008F7FF3">
      <w:pPr>
        <w:pStyle w:val="Heading1a"/>
      </w:pPr>
      <w:r w:rsidRPr="007722A3">
        <w:br w:type="page"/>
        <w:t>P</w:t>
      </w:r>
      <w:r w:rsidR="00412FDF" w:rsidRPr="007722A3">
        <w:t>ackage leaflet</w:t>
      </w:r>
      <w:r w:rsidRPr="007722A3">
        <w:t>: I</w:t>
      </w:r>
      <w:r w:rsidR="00412FDF" w:rsidRPr="007722A3">
        <w:t>nformation for the user</w:t>
      </w:r>
    </w:p>
    <w:p w:rsidR="008F7FF3" w:rsidRPr="007722A3" w:rsidRDefault="008F7FF3">
      <w:pPr>
        <w:pStyle w:val="BodyText"/>
      </w:pPr>
    </w:p>
    <w:p w:rsidR="008F7FF3" w:rsidRPr="00831E22" w:rsidRDefault="008F7FF3">
      <w:pPr>
        <w:pStyle w:val="Heading1a"/>
      </w:pPr>
      <w:r w:rsidRPr="00831E22">
        <w:t>Ferriprox 100 mg/ml oral solution</w:t>
      </w:r>
    </w:p>
    <w:p w:rsidR="008F7FF3" w:rsidRPr="00831E22" w:rsidRDefault="00330AE8">
      <w:pPr>
        <w:pStyle w:val="BodyText"/>
        <w:jc w:val="center"/>
      </w:pPr>
      <w:r w:rsidRPr="00831E22">
        <w:t>d</w:t>
      </w:r>
      <w:r w:rsidR="008F7FF3" w:rsidRPr="00831E22">
        <w:t>eferiprone</w:t>
      </w:r>
    </w:p>
    <w:p w:rsidR="008F7FF3" w:rsidRPr="00831E22" w:rsidRDefault="008F7FF3">
      <w:pPr>
        <w:pStyle w:val="BodyText"/>
      </w:pPr>
    </w:p>
    <w:p w:rsidR="008F7FF3" w:rsidRPr="007722A3" w:rsidRDefault="008F7FF3">
      <w:pPr>
        <w:pStyle w:val="Heading3"/>
      </w:pPr>
      <w:r w:rsidRPr="007722A3">
        <w:t>Read all of this leaflet carefully before you start taking this medicine</w:t>
      </w:r>
      <w:r w:rsidR="00412FDF" w:rsidRPr="007722A3">
        <w:t xml:space="preserve"> because it contains important information for you</w:t>
      </w:r>
      <w:r w:rsidRPr="007722A3">
        <w:t>.</w:t>
      </w:r>
    </w:p>
    <w:p w:rsidR="008F7FF3" w:rsidRPr="007722A3" w:rsidRDefault="008F7FF3" w:rsidP="003F4F65">
      <w:pPr>
        <w:numPr>
          <w:ilvl w:val="0"/>
          <w:numId w:val="2"/>
        </w:numPr>
        <w:tabs>
          <w:tab w:val="clear" w:pos="360"/>
        </w:tabs>
        <w:ind w:left="540" w:hanging="540"/>
        <w:rPr>
          <w:sz w:val="22"/>
          <w:szCs w:val="22"/>
          <w:lang w:val="en-GB"/>
        </w:rPr>
      </w:pPr>
      <w:r w:rsidRPr="007722A3">
        <w:rPr>
          <w:sz w:val="22"/>
          <w:szCs w:val="22"/>
          <w:lang w:val="en-GB"/>
        </w:rPr>
        <w:t>Keep this leaflet. You may need to read it again.</w:t>
      </w:r>
    </w:p>
    <w:p w:rsidR="008F7FF3" w:rsidRPr="007722A3" w:rsidRDefault="008F7FF3" w:rsidP="003F4F65">
      <w:pPr>
        <w:numPr>
          <w:ilvl w:val="0"/>
          <w:numId w:val="2"/>
        </w:numPr>
        <w:tabs>
          <w:tab w:val="clear" w:pos="360"/>
        </w:tabs>
        <w:ind w:left="540" w:hanging="540"/>
        <w:rPr>
          <w:sz w:val="22"/>
          <w:szCs w:val="22"/>
          <w:lang w:val="en-GB"/>
        </w:rPr>
      </w:pPr>
      <w:r w:rsidRPr="007722A3">
        <w:rPr>
          <w:sz w:val="22"/>
          <w:szCs w:val="22"/>
          <w:lang w:val="en-GB"/>
        </w:rPr>
        <w:t>If you have any further questions, ask your doctor or pharmacist.</w:t>
      </w:r>
    </w:p>
    <w:p w:rsidR="008F7FF3" w:rsidRPr="007722A3" w:rsidRDefault="008F7FF3" w:rsidP="003F4F65">
      <w:pPr>
        <w:numPr>
          <w:ilvl w:val="0"/>
          <w:numId w:val="2"/>
        </w:numPr>
        <w:tabs>
          <w:tab w:val="clear" w:pos="360"/>
        </w:tabs>
        <w:ind w:left="540" w:hanging="540"/>
        <w:rPr>
          <w:sz w:val="22"/>
          <w:szCs w:val="22"/>
          <w:lang w:val="en-GB"/>
        </w:rPr>
      </w:pPr>
      <w:r w:rsidRPr="007722A3">
        <w:rPr>
          <w:sz w:val="22"/>
          <w:szCs w:val="22"/>
          <w:lang w:val="en-GB"/>
        </w:rPr>
        <w:t>This medicine has been prescribed for you</w:t>
      </w:r>
      <w:r w:rsidR="00412FDF" w:rsidRPr="007722A3">
        <w:rPr>
          <w:sz w:val="22"/>
          <w:szCs w:val="22"/>
          <w:lang w:val="en-GB"/>
        </w:rPr>
        <w:t xml:space="preserve"> only</w:t>
      </w:r>
      <w:r w:rsidRPr="007722A3">
        <w:rPr>
          <w:sz w:val="22"/>
          <w:szCs w:val="22"/>
          <w:lang w:val="en-GB"/>
        </w:rPr>
        <w:t xml:space="preserve">. Do not pass it on to others. It may harm them, even if their </w:t>
      </w:r>
      <w:r w:rsidR="00412FDF" w:rsidRPr="007722A3">
        <w:rPr>
          <w:sz w:val="22"/>
          <w:szCs w:val="22"/>
          <w:lang w:val="en-GB"/>
        </w:rPr>
        <w:t>signs of illness</w:t>
      </w:r>
      <w:r w:rsidRPr="007722A3">
        <w:rPr>
          <w:sz w:val="22"/>
          <w:szCs w:val="22"/>
          <w:lang w:val="en-GB"/>
        </w:rPr>
        <w:t xml:space="preserve"> are the same as yours.</w:t>
      </w:r>
    </w:p>
    <w:p w:rsidR="00631550" w:rsidRPr="007722A3" w:rsidRDefault="00631550" w:rsidP="003F4F65">
      <w:pPr>
        <w:numPr>
          <w:ilvl w:val="0"/>
          <w:numId w:val="2"/>
        </w:numPr>
        <w:tabs>
          <w:tab w:val="clear" w:pos="360"/>
        </w:tabs>
        <w:ind w:left="540" w:hanging="540"/>
        <w:rPr>
          <w:sz w:val="22"/>
          <w:szCs w:val="22"/>
          <w:lang w:val="en-GB"/>
        </w:rPr>
      </w:pPr>
      <w:r w:rsidRPr="007722A3">
        <w:rPr>
          <w:sz w:val="22"/>
          <w:szCs w:val="22"/>
          <w:lang w:val="en-GB"/>
        </w:rPr>
        <w:t>If you get any side effects, talk to your doctor or pharmacist. This includes any possible side effects not listed in this leaflet</w:t>
      </w:r>
      <w:r>
        <w:rPr>
          <w:sz w:val="22"/>
          <w:szCs w:val="22"/>
          <w:lang w:val="en-GB"/>
        </w:rPr>
        <w:t>. See section 4.</w:t>
      </w:r>
    </w:p>
    <w:p w:rsidR="00330AE8" w:rsidRPr="007C78AF" w:rsidRDefault="00330AE8" w:rsidP="00330AE8">
      <w:pPr>
        <w:numPr>
          <w:ilvl w:val="0"/>
          <w:numId w:val="2"/>
        </w:numPr>
        <w:tabs>
          <w:tab w:val="clear" w:pos="360"/>
        </w:tabs>
        <w:ind w:left="540" w:hanging="540"/>
        <w:rPr>
          <w:sz w:val="22"/>
          <w:szCs w:val="22"/>
          <w:lang w:val="en-GB"/>
        </w:rPr>
      </w:pPr>
      <w:r w:rsidRPr="007C78AF">
        <w:rPr>
          <w:sz w:val="22"/>
          <w:szCs w:val="22"/>
          <w:lang w:val="en-GB"/>
        </w:rPr>
        <w:t>Attached to this leaflet you will find a patient/carer reminder card. You should detach, complete, read the card carefully and carry it with you.</w:t>
      </w:r>
      <w:r w:rsidRPr="007C78AF">
        <w:rPr>
          <w:sz w:val="22"/>
          <w:szCs w:val="22"/>
        </w:rPr>
        <w:t xml:space="preserve"> Provide this card to your doctor if you develop infection symptoms such as a fever, sore throat or flu-like symptoms.</w:t>
      </w:r>
    </w:p>
    <w:p w:rsidR="008F7FF3" w:rsidRPr="007722A3" w:rsidRDefault="008F7FF3">
      <w:pPr>
        <w:pStyle w:val="BodyText"/>
      </w:pPr>
    </w:p>
    <w:p w:rsidR="008F7FF3" w:rsidRPr="007722A3" w:rsidRDefault="00412FDF">
      <w:pPr>
        <w:pStyle w:val="Heading3"/>
      </w:pPr>
      <w:r w:rsidRPr="007722A3">
        <w:t>What is i</w:t>
      </w:r>
      <w:r w:rsidR="008F7FF3" w:rsidRPr="007722A3">
        <w:t>n this leaflet</w:t>
      </w:r>
    </w:p>
    <w:p w:rsidR="008F7FF3" w:rsidRPr="007722A3" w:rsidRDefault="008F7FF3">
      <w:pPr>
        <w:pStyle w:val="PILnumbullets"/>
      </w:pPr>
      <w:r w:rsidRPr="007722A3">
        <w:t>1.</w:t>
      </w:r>
      <w:r w:rsidRPr="007722A3">
        <w:tab/>
        <w:t>What Ferriprox is and what it is used for</w:t>
      </w:r>
    </w:p>
    <w:p w:rsidR="008F7FF3" w:rsidRPr="007722A3" w:rsidRDefault="008F7FF3">
      <w:pPr>
        <w:pStyle w:val="PILnumbullets"/>
      </w:pPr>
      <w:r w:rsidRPr="007722A3">
        <w:t>2.</w:t>
      </w:r>
      <w:r w:rsidRPr="007722A3">
        <w:tab/>
      </w:r>
      <w:r w:rsidR="00412FDF" w:rsidRPr="007722A3">
        <w:t>What you need to know b</w:t>
      </w:r>
      <w:r w:rsidRPr="007722A3">
        <w:t>efore you take Ferriprox</w:t>
      </w:r>
    </w:p>
    <w:p w:rsidR="008F7FF3" w:rsidRPr="007722A3" w:rsidRDefault="008F7FF3">
      <w:pPr>
        <w:pStyle w:val="PILnumbullets"/>
      </w:pPr>
      <w:r w:rsidRPr="007722A3">
        <w:t>3.</w:t>
      </w:r>
      <w:r w:rsidRPr="007722A3">
        <w:tab/>
        <w:t>How to take Ferriprox</w:t>
      </w:r>
    </w:p>
    <w:p w:rsidR="008F7FF3" w:rsidRPr="007722A3" w:rsidRDefault="008F7FF3">
      <w:pPr>
        <w:pStyle w:val="PILnumbullets"/>
      </w:pPr>
      <w:r w:rsidRPr="007722A3">
        <w:t>4.</w:t>
      </w:r>
      <w:r w:rsidRPr="007722A3">
        <w:tab/>
        <w:t>Possible side effects</w:t>
      </w:r>
    </w:p>
    <w:p w:rsidR="008F7FF3" w:rsidRPr="007722A3" w:rsidRDefault="008F7FF3">
      <w:pPr>
        <w:pStyle w:val="PILnumbullets"/>
      </w:pPr>
      <w:r w:rsidRPr="007722A3">
        <w:t>5.</w:t>
      </w:r>
      <w:r w:rsidRPr="007722A3">
        <w:tab/>
        <w:t>How to store Ferriprox</w:t>
      </w:r>
    </w:p>
    <w:p w:rsidR="008F7FF3" w:rsidRPr="007722A3" w:rsidRDefault="008F7FF3">
      <w:pPr>
        <w:pStyle w:val="PILnumbullets"/>
      </w:pPr>
      <w:r w:rsidRPr="007722A3">
        <w:t>6.</w:t>
      </w:r>
      <w:r w:rsidRPr="007722A3">
        <w:tab/>
      </w:r>
      <w:r w:rsidR="00412FDF" w:rsidRPr="007722A3">
        <w:t>Contents of the pack and other</w:t>
      </w:r>
      <w:r w:rsidRPr="007722A3">
        <w:t xml:space="preserve"> information</w:t>
      </w:r>
    </w:p>
    <w:p w:rsidR="008F7FF3" w:rsidRPr="007722A3" w:rsidRDefault="008F7FF3">
      <w:pPr>
        <w:pStyle w:val="BodyText"/>
      </w:pPr>
    </w:p>
    <w:p w:rsidR="008F7FF3" w:rsidRPr="007722A3" w:rsidRDefault="008F7FF3">
      <w:pPr>
        <w:pStyle w:val="BodyText"/>
      </w:pPr>
    </w:p>
    <w:p w:rsidR="008F7FF3" w:rsidRPr="007722A3" w:rsidRDefault="008F7FF3">
      <w:pPr>
        <w:ind w:left="540" w:hanging="540"/>
        <w:rPr>
          <w:b/>
          <w:sz w:val="22"/>
          <w:szCs w:val="22"/>
          <w:lang w:val="en-GB"/>
        </w:rPr>
      </w:pPr>
      <w:r w:rsidRPr="007722A3">
        <w:rPr>
          <w:b/>
          <w:sz w:val="22"/>
          <w:szCs w:val="22"/>
          <w:lang w:val="en-GB"/>
        </w:rPr>
        <w:t>1.</w:t>
      </w:r>
      <w:r w:rsidRPr="007722A3">
        <w:rPr>
          <w:b/>
          <w:sz w:val="22"/>
          <w:szCs w:val="22"/>
          <w:lang w:val="en-GB"/>
        </w:rPr>
        <w:tab/>
        <w:t>W</w:t>
      </w:r>
      <w:r w:rsidR="00412FDF" w:rsidRPr="007722A3">
        <w:rPr>
          <w:b/>
          <w:sz w:val="22"/>
          <w:szCs w:val="22"/>
          <w:lang w:val="en-GB"/>
        </w:rPr>
        <w:t xml:space="preserve">hat Ferriprox </w:t>
      </w:r>
      <w:r w:rsidR="00CD70B8">
        <w:rPr>
          <w:b/>
          <w:sz w:val="22"/>
          <w:szCs w:val="22"/>
          <w:lang w:val="en-GB"/>
        </w:rPr>
        <w:t xml:space="preserve">is </w:t>
      </w:r>
      <w:r w:rsidR="00412FDF" w:rsidRPr="007722A3">
        <w:rPr>
          <w:b/>
          <w:sz w:val="22"/>
          <w:szCs w:val="22"/>
          <w:lang w:val="en-GB"/>
        </w:rPr>
        <w:t>and what it is used for</w:t>
      </w:r>
    </w:p>
    <w:p w:rsidR="008F7FF3" w:rsidRPr="007722A3" w:rsidRDefault="008F7FF3">
      <w:pPr>
        <w:pStyle w:val="BodyText"/>
      </w:pPr>
    </w:p>
    <w:p w:rsidR="00861106" w:rsidRPr="007722A3" w:rsidRDefault="00861106" w:rsidP="00861106">
      <w:pPr>
        <w:rPr>
          <w:sz w:val="22"/>
          <w:szCs w:val="22"/>
          <w:lang w:val="en-GB"/>
        </w:rPr>
      </w:pPr>
      <w:r w:rsidRPr="007722A3">
        <w:rPr>
          <w:sz w:val="22"/>
          <w:szCs w:val="22"/>
          <w:lang w:val="en-GB"/>
        </w:rPr>
        <w:t xml:space="preserve">Ferriprox contains the active substance deferiprone. Ferriprox is </w:t>
      </w:r>
      <w:r>
        <w:rPr>
          <w:sz w:val="22"/>
          <w:szCs w:val="22"/>
          <w:lang w:val="en-GB"/>
        </w:rPr>
        <w:t xml:space="preserve">an iron chelator, </w:t>
      </w:r>
      <w:r w:rsidRPr="007722A3">
        <w:rPr>
          <w:sz w:val="22"/>
          <w:szCs w:val="22"/>
          <w:lang w:val="en-GB"/>
        </w:rPr>
        <w:t xml:space="preserve">a </w:t>
      </w:r>
      <w:r>
        <w:rPr>
          <w:sz w:val="22"/>
          <w:szCs w:val="22"/>
          <w:lang w:val="en-GB"/>
        </w:rPr>
        <w:t xml:space="preserve">type of </w:t>
      </w:r>
      <w:r w:rsidRPr="007722A3">
        <w:rPr>
          <w:sz w:val="22"/>
          <w:szCs w:val="22"/>
          <w:lang w:val="en-GB"/>
        </w:rPr>
        <w:t xml:space="preserve">medicine that removes </w:t>
      </w:r>
      <w:r>
        <w:rPr>
          <w:sz w:val="22"/>
          <w:szCs w:val="22"/>
          <w:lang w:val="en-GB"/>
        </w:rPr>
        <w:t xml:space="preserve">excess </w:t>
      </w:r>
      <w:r w:rsidRPr="007722A3">
        <w:rPr>
          <w:sz w:val="22"/>
          <w:szCs w:val="22"/>
          <w:lang w:val="en-GB"/>
        </w:rPr>
        <w:t>iron from the body.</w:t>
      </w:r>
    </w:p>
    <w:p w:rsidR="008F7FF3" w:rsidRPr="007722A3" w:rsidRDefault="008F7FF3">
      <w:pPr>
        <w:pStyle w:val="BodyText"/>
      </w:pPr>
    </w:p>
    <w:p w:rsidR="00FA48DB" w:rsidRPr="007722A3" w:rsidRDefault="00FA48DB" w:rsidP="00FA48DB">
      <w:pPr>
        <w:rPr>
          <w:sz w:val="22"/>
          <w:szCs w:val="22"/>
          <w:lang w:val="en-GB"/>
        </w:rPr>
      </w:pPr>
      <w:r w:rsidRPr="007722A3">
        <w:rPr>
          <w:sz w:val="22"/>
          <w:szCs w:val="22"/>
          <w:lang w:val="en-GB"/>
        </w:rPr>
        <w:t xml:space="preserve">Ferriprox is used to treat iron overload caused by frequent blood transfusions in patients with thalassaemia major when </w:t>
      </w:r>
      <w:r>
        <w:rPr>
          <w:sz w:val="22"/>
          <w:szCs w:val="22"/>
          <w:lang w:val="en-GB"/>
        </w:rPr>
        <w:t xml:space="preserve">current chelation </w:t>
      </w:r>
      <w:r w:rsidRPr="007722A3">
        <w:rPr>
          <w:sz w:val="22"/>
          <w:szCs w:val="22"/>
          <w:lang w:val="en-GB"/>
        </w:rPr>
        <w:t>therapy is contraindicated or inadequate.</w:t>
      </w:r>
    </w:p>
    <w:p w:rsidR="008F7FF3" w:rsidRPr="007722A3" w:rsidRDefault="008F7FF3">
      <w:pPr>
        <w:pStyle w:val="BodyText"/>
      </w:pPr>
    </w:p>
    <w:p w:rsidR="008F7FF3" w:rsidRPr="007722A3" w:rsidRDefault="008F7FF3">
      <w:pPr>
        <w:pStyle w:val="BodyText"/>
      </w:pPr>
    </w:p>
    <w:p w:rsidR="008F7FF3" w:rsidRPr="007722A3" w:rsidRDefault="008F7FF3">
      <w:pPr>
        <w:ind w:left="540" w:hanging="540"/>
        <w:rPr>
          <w:b/>
          <w:sz w:val="22"/>
          <w:szCs w:val="22"/>
          <w:lang w:val="en-GB"/>
        </w:rPr>
      </w:pPr>
      <w:r w:rsidRPr="007722A3">
        <w:rPr>
          <w:b/>
          <w:sz w:val="22"/>
          <w:szCs w:val="22"/>
          <w:lang w:val="en-GB"/>
        </w:rPr>
        <w:t>2.</w:t>
      </w:r>
      <w:r w:rsidRPr="007722A3">
        <w:rPr>
          <w:b/>
          <w:sz w:val="22"/>
          <w:szCs w:val="22"/>
          <w:lang w:val="en-GB"/>
        </w:rPr>
        <w:tab/>
      </w:r>
      <w:r w:rsidR="00412FDF" w:rsidRPr="007722A3">
        <w:rPr>
          <w:b/>
          <w:sz w:val="22"/>
          <w:szCs w:val="22"/>
          <w:lang w:val="en-GB"/>
        </w:rPr>
        <w:t>What you need to know before you take Ferriprox</w:t>
      </w:r>
    </w:p>
    <w:p w:rsidR="008F7FF3" w:rsidRPr="007722A3" w:rsidRDefault="008F7FF3">
      <w:pPr>
        <w:pStyle w:val="BodyText"/>
      </w:pPr>
    </w:p>
    <w:p w:rsidR="008F7FF3" w:rsidRPr="007722A3" w:rsidRDefault="008F7FF3">
      <w:pPr>
        <w:pStyle w:val="Heading3"/>
      </w:pPr>
      <w:r w:rsidRPr="007722A3">
        <w:t>Do not take Ferriprox</w:t>
      </w:r>
    </w:p>
    <w:p w:rsidR="008F7FF3" w:rsidRPr="007722A3" w:rsidRDefault="008F7FF3" w:rsidP="003F4F65">
      <w:pPr>
        <w:pStyle w:val="PILbullets"/>
        <w:tabs>
          <w:tab w:val="clear" w:pos="360"/>
          <w:tab w:val="num" w:pos="540"/>
        </w:tabs>
        <w:ind w:left="540" w:hanging="540"/>
      </w:pPr>
      <w:r w:rsidRPr="007722A3">
        <w:t xml:space="preserve">if you are allergic to deferiprone or any of the other ingredients of </w:t>
      </w:r>
      <w:r w:rsidR="00645394" w:rsidRPr="007722A3">
        <w:t>this medicine (listed in section 6)</w:t>
      </w:r>
      <w:r w:rsidRPr="007722A3">
        <w:t>.</w:t>
      </w:r>
    </w:p>
    <w:p w:rsidR="008F7FF3" w:rsidRPr="007722A3" w:rsidRDefault="008F7FF3" w:rsidP="003F4F65">
      <w:pPr>
        <w:pStyle w:val="PILbullets"/>
        <w:tabs>
          <w:tab w:val="clear" w:pos="360"/>
          <w:tab w:val="num" w:pos="540"/>
        </w:tabs>
        <w:ind w:left="540" w:hanging="540"/>
      </w:pPr>
      <w:r w:rsidRPr="007722A3">
        <w:t xml:space="preserve">if you have a history of repeated episodes of neutropenia (low </w:t>
      </w:r>
      <w:r w:rsidR="00DA1073" w:rsidRPr="007722A3">
        <w:t>white blood cell (</w:t>
      </w:r>
      <w:r w:rsidRPr="007722A3">
        <w:t>neutrophil</w:t>
      </w:r>
      <w:r w:rsidR="00DA1073" w:rsidRPr="007722A3">
        <w:t>)</w:t>
      </w:r>
      <w:r w:rsidRPr="007722A3">
        <w:t xml:space="preserve"> count).</w:t>
      </w:r>
    </w:p>
    <w:p w:rsidR="008F7FF3" w:rsidRPr="007722A3" w:rsidRDefault="008F7FF3" w:rsidP="003F4F65">
      <w:pPr>
        <w:pStyle w:val="PILbullets"/>
        <w:tabs>
          <w:tab w:val="clear" w:pos="360"/>
          <w:tab w:val="num" w:pos="540"/>
        </w:tabs>
        <w:ind w:left="540" w:hanging="540"/>
      </w:pPr>
      <w:r w:rsidRPr="007722A3">
        <w:t xml:space="preserve">if you have a history of agranulocytosis (very low white blood cell </w:t>
      </w:r>
      <w:r w:rsidR="000B08B5" w:rsidRPr="007722A3">
        <w:t xml:space="preserve">(neutrophil) </w:t>
      </w:r>
      <w:r w:rsidRPr="007722A3">
        <w:t>count</w:t>
      </w:r>
      <w:r w:rsidR="006604BA" w:rsidRPr="007722A3">
        <w:t>).</w:t>
      </w:r>
    </w:p>
    <w:p w:rsidR="008F7FF3" w:rsidRPr="007722A3" w:rsidRDefault="008F7FF3" w:rsidP="003F4F65">
      <w:pPr>
        <w:pStyle w:val="PILbullets"/>
        <w:tabs>
          <w:tab w:val="clear" w:pos="360"/>
          <w:tab w:val="num" w:pos="540"/>
        </w:tabs>
        <w:ind w:left="540" w:hanging="540"/>
      </w:pPr>
      <w:r w:rsidRPr="007722A3">
        <w:t>if you are currently taking medicines known to cause neutropenia</w:t>
      </w:r>
      <w:r w:rsidR="00DA1073" w:rsidRPr="007722A3">
        <w:t xml:space="preserve"> or agranulocytosis</w:t>
      </w:r>
      <w:r w:rsidR="00CB6756" w:rsidRPr="007722A3">
        <w:t xml:space="preserve"> (see “</w:t>
      </w:r>
      <w:r w:rsidR="006567C2" w:rsidRPr="007722A3">
        <w:t>Other medicines and Ferriprox</w:t>
      </w:r>
      <w:r w:rsidR="00CB6756" w:rsidRPr="007722A3">
        <w:t>”)</w:t>
      </w:r>
      <w:r w:rsidR="006604BA" w:rsidRPr="007722A3">
        <w:t>.</w:t>
      </w:r>
    </w:p>
    <w:p w:rsidR="008F7FF3" w:rsidRPr="007722A3" w:rsidRDefault="008F7FF3" w:rsidP="003F4F65">
      <w:pPr>
        <w:pStyle w:val="PILbullets"/>
        <w:tabs>
          <w:tab w:val="clear" w:pos="360"/>
          <w:tab w:val="num" w:pos="540"/>
        </w:tabs>
        <w:ind w:left="540" w:hanging="540"/>
      </w:pPr>
      <w:r w:rsidRPr="007722A3">
        <w:t>if you are pregnant or breast</w:t>
      </w:r>
      <w:r w:rsidR="00645394" w:rsidRPr="007722A3">
        <w:t>-</w:t>
      </w:r>
      <w:r w:rsidRPr="007722A3">
        <w:t>feeding.</w:t>
      </w:r>
    </w:p>
    <w:p w:rsidR="008F7FF3" w:rsidRPr="007722A3" w:rsidRDefault="008F7FF3">
      <w:pPr>
        <w:pStyle w:val="BodyText"/>
      </w:pPr>
    </w:p>
    <w:p w:rsidR="008F7FF3" w:rsidRPr="007722A3" w:rsidRDefault="00645394">
      <w:pPr>
        <w:pStyle w:val="Heading3"/>
      </w:pPr>
      <w:r w:rsidRPr="007722A3">
        <w:t>Warnings and precautions</w:t>
      </w:r>
    </w:p>
    <w:p w:rsidR="00330AE8" w:rsidRPr="007722A3" w:rsidRDefault="00330AE8" w:rsidP="00330AE8">
      <w:pPr>
        <w:pStyle w:val="PILbullets"/>
        <w:tabs>
          <w:tab w:val="clear" w:pos="360"/>
          <w:tab w:val="num" w:pos="540"/>
        </w:tabs>
        <w:ind w:left="540" w:hanging="540"/>
      </w:pPr>
      <w:r w:rsidRPr="007722A3">
        <w:t>the most serious side effect that may occur while taking Ferriprox is a very low white blood cell (neutrophil) count. This condition, known as severe neutropenia or agranulocytosis, has occurred in 1 to 2 out of 100 people who have taken Ferriprox in clinical studies. Because white blood cells help to fight infection, a low neutrophil count may place you at risk of developing a serious and potentially life</w:t>
      </w:r>
      <w:r w:rsidRPr="007722A3">
        <w:noBreakHyphen/>
        <w:t xml:space="preserve">threatening infection. To monitor for neutropenia, your doctor will ask you to have a blood test (to check your white blood cell count) performed regularly, as frequently as every week, while you are being treated with Ferriprox. It is very important for you to keep all of these appointments. Please refer to the patient/carer reminder card attached to this leaflet. </w:t>
      </w:r>
      <w:r w:rsidRPr="003A0EB1">
        <w:t>If you get any symptoms of infection such as fever, sore throat or flu-like symptoms, immediately seek medical attention. Your white blood cell count must be checked within 24 hours in order to detect potential agranulocytosis.</w:t>
      </w:r>
    </w:p>
    <w:p w:rsidR="00330AE8" w:rsidRPr="007722A3" w:rsidRDefault="00330AE8" w:rsidP="00330AE8">
      <w:pPr>
        <w:pStyle w:val="PILbullets"/>
        <w:tabs>
          <w:tab w:val="clear" w:pos="360"/>
          <w:tab w:val="num" w:pos="540"/>
        </w:tabs>
        <w:ind w:left="540" w:hanging="540"/>
      </w:pPr>
      <w:r w:rsidRPr="007722A3">
        <w:t xml:space="preserve">if you are HIV positive or if your liver </w:t>
      </w:r>
      <w:r>
        <w:t xml:space="preserve">or kidney </w:t>
      </w:r>
      <w:r w:rsidRPr="007722A3">
        <w:t xml:space="preserve">function is </w:t>
      </w:r>
      <w:r>
        <w:t xml:space="preserve">severely </w:t>
      </w:r>
      <w:r w:rsidRPr="007722A3">
        <w:t>impaired, your doctor may recommend additional tests.</w:t>
      </w:r>
    </w:p>
    <w:p w:rsidR="00AE2551" w:rsidRPr="007722A3" w:rsidRDefault="00AE2551" w:rsidP="00AE2551">
      <w:pPr>
        <w:pStyle w:val="PILbullets"/>
        <w:numPr>
          <w:ilvl w:val="0"/>
          <w:numId w:val="0"/>
        </w:numPr>
      </w:pPr>
    </w:p>
    <w:p w:rsidR="008F7FF3" w:rsidRPr="007722A3" w:rsidRDefault="008F7FF3">
      <w:pPr>
        <w:pStyle w:val="BodyText"/>
      </w:pPr>
      <w:r w:rsidRPr="007722A3">
        <w:t>Your doctor will also ask you to come in for tests to monitor body iron load. In addition he or she might ask you to undergo liver biopsies.</w:t>
      </w:r>
    </w:p>
    <w:p w:rsidR="008F7FF3" w:rsidRPr="007722A3" w:rsidRDefault="008F7FF3">
      <w:pPr>
        <w:pStyle w:val="BodyText"/>
      </w:pPr>
    </w:p>
    <w:p w:rsidR="008F7FF3" w:rsidRPr="007722A3" w:rsidRDefault="00645394">
      <w:pPr>
        <w:pStyle w:val="Heading3"/>
      </w:pPr>
      <w:r w:rsidRPr="007722A3">
        <w:t>O</w:t>
      </w:r>
      <w:r w:rsidR="008F7FF3" w:rsidRPr="007722A3">
        <w:t>ther medicines</w:t>
      </w:r>
      <w:r w:rsidRPr="007722A3">
        <w:t xml:space="preserve"> and Ferriprox</w:t>
      </w:r>
    </w:p>
    <w:p w:rsidR="00265683" w:rsidRPr="007722A3" w:rsidRDefault="00CB6756">
      <w:pPr>
        <w:pStyle w:val="BodyText"/>
      </w:pPr>
      <w:r w:rsidRPr="007722A3">
        <w:t xml:space="preserve">Do not take medicines known to cause neutropenia or agranulocytosis (see “Do not take Ferriprox”). </w:t>
      </w:r>
      <w:r w:rsidR="00645394" w:rsidRPr="007722A3">
        <w:t>Tell</w:t>
      </w:r>
      <w:r w:rsidR="008F7FF3" w:rsidRPr="007722A3">
        <w:t xml:space="preserve"> your doctor or pharmacist if you are taking</w:t>
      </w:r>
      <w:r w:rsidR="00645394" w:rsidRPr="007722A3">
        <w:t>,</w:t>
      </w:r>
      <w:r w:rsidR="008F7FF3" w:rsidRPr="007722A3">
        <w:t xml:space="preserve"> have recently taken</w:t>
      </w:r>
      <w:r w:rsidR="00645394" w:rsidRPr="007722A3">
        <w:t>, or might take</w:t>
      </w:r>
      <w:r w:rsidR="008F7FF3" w:rsidRPr="007722A3">
        <w:t xml:space="preserve"> any other medicines, </w:t>
      </w:r>
      <w:r w:rsidR="008D68F1" w:rsidRPr="007722A3">
        <w:t>including medicines obtained without a prescription.</w:t>
      </w:r>
    </w:p>
    <w:p w:rsidR="008F7FF3" w:rsidRPr="007722A3" w:rsidRDefault="008F7FF3">
      <w:pPr>
        <w:pStyle w:val="BodyText"/>
      </w:pPr>
    </w:p>
    <w:p w:rsidR="008D68F1" w:rsidRPr="007722A3" w:rsidRDefault="006604BA" w:rsidP="003471A1">
      <w:pPr>
        <w:pStyle w:val="BodyText"/>
      </w:pPr>
      <w:r w:rsidRPr="007722A3">
        <w:t>Do not take aluminium</w:t>
      </w:r>
      <w:r w:rsidRPr="007722A3">
        <w:noBreakHyphen/>
        <w:t>based a</w:t>
      </w:r>
      <w:r w:rsidR="000D5068" w:rsidRPr="007722A3">
        <w:t xml:space="preserve">ntacids </w:t>
      </w:r>
      <w:r w:rsidR="003471A1">
        <w:t>at the same time as</w:t>
      </w:r>
      <w:r w:rsidR="000D5068" w:rsidRPr="007722A3">
        <w:t xml:space="preserve"> taking Ferriprox.</w:t>
      </w:r>
    </w:p>
    <w:p w:rsidR="006604BA" w:rsidRPr="007722A3" w:rsidRDefault="006604BA">
      <w:pPr>
        <w:pStyle w:val="BodyText"/>
      </w:pPr>
    </w:p>
    <w:p w:rsidR="008F7FF3" w:rsidRPr="007722A3" w:rsidRDefault="00443F63">
      <w:pPr>
        <w:pStyle w:val="BodyText"/>
      </w:pPr>
      <w:r w:rsidRPr="007722A3">
        <w:t>Please consult with your doctor or pharmacist before taking vitamin C with Ferriprox.</w:t>
      </w:r>
    </w:p>
    <w:p w:rsidR="00265683" w:rsidRPr="007722A3" w:rsidRDefault="00265683">
      <w:pPr>
        <w:pStyle w:val="BodyText"/>
      </w:pPr>
    </w:p>
    <w:p w:rsidR="008F7FF3" w:rsidRPr="007722A3" w:rsidRDefault="008F7FF3" w:rsidP="00265683">
      <w:pPr>
        <w:pStyle w:val="Heading3"/>
      </w:pPr>
      <w:r w:rsidRPr="007722A3">
        <w:t>Pregnancy and breast</w:t>
      </w:r>
      <w:r w:rsidR="000D5068" w:rsidRPr="007722A3">
        <w:t>-</w:t>
      </w:r>
      <w:r w:rsidRPr="007722A3">
        <w:t>feeding</w:t>
      </w:r>
    </w:p>
    <w:p w:rsidR="006B69A4" w:rsidRPr="007722A3" w:rsidRDefault="008F7FF3" w:rsidP="00941F75">
      <w:pPr>
        <w:pStyle w:val="BodyText"/>
      </w:pPr>
      <w:r w:rsidRPr="007722A3">
        <w:t>Do not take this medicine if you are pregnant or if you are trying to become pregnant. This medicine could seriously harm your baby. You must use effective contraception while you are taking Ferriprox. Ask your doctor which method is best for you. If you become pregnant while taking Ferriprox, stop taking the medicine im</w:t>
      </w:r>
      <w:r w:rsidR="006B69A4" w:rsidRPr="007722A3">
        <w:t>mediately and tell your doctor.</w:t>
      </w:r>
    </w:p>
    <w:p w:rsidR="006B69A4" w:rsidRPr="007722A3" w:rsidRDefault="006B69A4" w:rsidP="00941F75">
      <w:pPr>
        <w:pStyle w:val="BodyText"/>
      </w:pPr>
    </w:p>
    <w:p w:rsidR="008F7FF3" w:rsidRPr="007722A3" w:rsidRDefault="008F7FF3" w:rsidP="00941F75">
      <w:pPr>
        <w:pStyle w:val="BodyText"/>
      </w:pPr>
      <w:r w:rsidRPr="007722A3">
        <w:t xml:space="preserve">Do not use Ferriprox if you are </w:t>
      </w:r>
      <w:r w:rsidR="006B69A4" w:rsidRPr="007722A3">
        <w:t>breast-feeding</w:t>
      </w:r>
      <w:r w:rsidRPr="007722A3">
        <w:t>.</w:t>
      </w:r>
      <w:r w:rsidR="00C17B2D" w:rsidRPr="007722A3">
        <w:t xml:space="preserve"> </w:t>
      </w:r>
      <w:r w:rsidR="00941F75" w:rsidRPr="007722A3">
        <w:t>Please refer to the patient/carer reminder card attached to this leaflet</w:t>
      </w:r>
      <w:r w:rsidR="00C17B2D" w:rsidRPr="007722A3">
        <w:t>.</w:t>
      </w:r>
    </w:p>
    <w:p w:rsidR="008F7FF3" w:rsidRPr="007722A3" w:rsidRDefault="008F7FF3">
      <w:pPr>
        <w:pStyle w:val="BodyText"/>
      </w:pPr>
    </w:p>
    <w:p w:rsidR="008F7FF3" w:rsidRPr="007722A3" w:rsidRDefault="008F7FF3">
      <w:pPr>
        <w:pStyle w:val="Heading3"/>
      </w:pPr>
      <w:r w:rsidRPr="007722A3">
        <w:t>Driving and using machines</w:t>
      </w:r>
    </w:p>
    <w:p w:rsidR="008F7FF3" w:rsidRPr="007722A3" w:rsidRDefault="00D912B6">
      <w:pPr>
        <w:pStyle w:val="BodyText"/>
      </w:pPr>
      <w:r w:rsidRPr="007722A3">
        <w:t>Not relevant.</w:t>
      </w:r>
    </w:p>
    <w:p w:rsidR="008F7FF3" w:rsidRPr="007722A3" w:rsidRDefault="008F7FF3">
      <w:pPr>
        <w:pStyle w:val="BodyText"/>
      </w:pPr>
    </w:p>
    <w:p w:rsidR="008F7FF3" w:rsidRPr="007722A3" w:rsidRDefault="00705232">
      <w:pPr>
        <w:pStyle w:val="Heading3"/>
      </w:pPr>
      <w:r w:rsidRPr="007722A3">
        <w:t>Ferriprox oral solution contains Sunset Yellow (E110)</w:t>
      </w:r>
    </w:p>
    <w:p w:rsidR="008F7FF3" w:rsidRPr="007722A3" w:rsidRDefault="008F7FF3">
      <w:pPr>
        <w:pStyle w:val="BodyText"/>
      </w:pPr>
      <w:r w:rsidRPr="007722A3">
        <w:t xml:space="preserve">Sunset Yellow (E110) </w:t>
      </w:r>
      <w:r w:rsidR="00705232" w:rsidRPr="007722A3">
        <w:t xml:space="preserve">is a colouring agent </w:t>
      </w:r>
      <w:r w:rsidRPr="007722A3">
        <w:t>which may cause allergic reactions.</w:t>
      </w:r>
    </w:p>
    <w:p w:rsidR="008F7FF3" w:rsidRPr="007722A3" w:rsidRDefault="008F7FF3">
      <w:pPr>
        <w:pStyle w:val="BodyText"/>
      </w:pPr>
    </w:p>
    <w:p w:rsidR="008F7FF3" w:rsidRPr="007722A3" w:rsidRDefault="008F7FF3">
      <w:pPr>
        <w:pStyle w:val="BodyText"/>
      </w:pPr>
    </w:p>
    <w:p w:rsidR="008F7FF3" w:rsidRPr="007722A3" w:rsidRDefault="008F7FF3">
      <w:pPr>
        <w:ind w:left="540" w:hanging="540"/>
        <w:rPr>
          <w:b/>
          <w:sz w:val="22"/>
          <w:szCs w:val="22"/>
          <w:lang w:val="en-GB"/>
        </w:rPr>
      </w:pPr>
      <w:r w:rsidRPr="007722A3">
        <w:rPr>
          <w:b/>
          <w:sz w:val="22"/>
          <w:szCs w:val="22"/>
          <w:lang w:val="en-GB"/>
        </w:rPr>
        <w:t>3.</w:t>
      </w:r>
      <w:r w:rsidRPr="007722A3">
        <w:rPr>
          <w:b/>
          <w:sz w:val="22"/>
          <w:szCs w:val="22"/>
          <w:lang w:val="en-GB"/>
        </w:rPr>
        <w:tab/>
        <w:t>H</w:t>
      </w:r>
      <w:r w:rsidR="000D5068" w:rsidRPr="007722A3">
        <w:rPr>
          <w:b/>
          <w:sz w:val="22"/>
          <w:szCs w:val="22"/>
          <w:lang w:val="en-GB"/>
        </w:rPr>
        <w:t>ow to take Ferriprox</w:t>
      </w:r>
    </w:p>
    <w:p w:rsidR="008F7FF3" w:rsidRPr="007722A3" w:rsidRDefault="008F7FF3">
      <w:pPr>
        <w:pStyle w:val="BodyText"/>
      </w:pPr>
    </w:p>
    <w:p w:rsidR="008F7FF3" w:rsidRPr="007722A3" w:rsidRDefault="008F7FF3" w:rsidP="004A1DEF">
      <w:pPr>
        <w:pStyle w:val="BodyText"/>
      </w:pPr>
      <w:r w:rsidRPr="007722A3">
        <w:t xml:space="preserve">Always take </w:t>
      </w:r>
      <w:r w:rsidR="000D5068" w:rsidRPr="007722A3">
        <w:t>this medicine</w:t>
      </w:r>
      <w:r w:rsidRPr="007722A3">
        <w:t xml:space="preserve"> exactly as your doctor has told you. </w:t>
      </w:r>
      <w:r w:rsidR="000D5068" w:rsidRPr="007722A3">
        <w:t>C</w:t>
      </w:r>
      <w:r w:rsidRPr="007722A3">
        <w:t xml:space="preserve">heck with your doctor or pharmacist if you are not sure. The amount of Ferriprox that you take will depend on your weight. The usual dose is 25 mg/kg, 3 times per day, for a total daily dose of 75 mg/kg. The total daily dose should not exceed 100 mg/kg. Use the measuring cup to measure the volume prescribed by your doctor. Take your first dose in the morning. Take your second dose midday. Take your third dose in the evening. Ferriprox </w:t>
      </w:r>
      <w:r w:rsidR="008D68F1" w:rsidRPr="007722A3">
        <w:t xml:space="preserve">can be taken </w:t>
      </w:r>
      <w:r w:rsidRPr="007722A3">
        <w:t xml:space="preserve">with </w:t>
      </w:r>
      <w:r w:rsidR="008D68F1" w:rsidRPr="007722A3">
        <w:t>or without food</w:t>
      </w:r>
      <w:r w:rsidRPr="007722A3">
        <w:t xml:space="preserve"> </w:t>
      </w:r>
      <w:r w:rsidR="004A1DEF" w:rsidRPr="007722A3">
        <w:t>h</w:t>
      </w:r>
      <w:r w:rsidRPr="007722A3">
        <w:t>owever, you may find it easier to remember to take Ferriprox if you take it with your meals.</w:t>
      </w:r>
    </w:p>
    <w:p w:rsidR="008F7FF3" w:rsidRPr="007722A3" w:rsidRDefault="008F7FF3">
      <w:pPr>
        <w:pStyle w:val="BodyText"/>
      </w:pPr>
    </w:p>
    <w:p w:rsidR="008F7FF3" w:rsidRPr="007722A3" w:rsidRDefault="008F7FF3">
      <w:pPr>
        <w:pStyle w:val="Heading3"/>
      </w:pPr>
      <w:r w:rsidRPr="007722A3">
        <w:t>If you take more Ferriprox than you should</w:t>
      </w:r>
    </w:p>
    <w:p w:rsidR="008F7FF3" w:rsidRPr="007722A3" w:rsidRDefault="008F7FF3">
      <w:pPr>
        <w:pStyle w:val="BodyText"/>
      </w:pPr>
      <w:r w:rsidRPr="007722A3">
        <w:t>There are no reports of acute overdose with Ferriprox. If you have accidentally taken more than the prescribed dose, you should contact your doctor.</w:t>
      </w:r>
    </w:p>
    <w:p w:rsidR="008F7FF3" w:rsidRPr="007722A3" w:rsidRDefault="008F7FF3">
      <w:pPr>
        <w:pStyle w:val="BodyText"/>
        <w:rPr>
          <w:b/>
        </w:rPr>
      </w:pPr>
    </w:p>
    <w:p w:rsidR="008F7FF3" w:rsidRPr="007722A3" w:rsidRDefault="008F7FF3">
      <w:pPr>
        <w:pStyle w:val="Heading3"/>
      </w:pPr>
      <w:r w:rsidRPr="007722A3">
        <w:t>If you forget to take Ferriprox</w:t>
      </w:r>
    </w:p>
    <w:p w:rsidR="008F7FF3" w:rsidRPr="007722A3" w:rsidRDefault="008F7FF3">
      <w:pPr>
        <w:pStyle w:val="BodyText"/>
      </w:pPr>
      <w:r w:rsidRPr="007722A3">
        <w:t>Ferriprox will be most effective if you do not miss any doses. If you do miss one dose take it as soon as you remember and take your next dose at its regularly scheduled time. If you miss more than one dose do not take a double dose to make up for forgotten individual doses, just continue with your normal schedule. Do not change your daily dose without first talking to your doctor.</w:t>
      </w:r>
    </w:p>
    <w:p w:rsidR="008F7FF3" w:rsidRPr="007722A3" w:rsidRDefault="008F7FF3">
      <w:pPr>
        <w:pStyle w:val="BodyText"/>
      </w:pPr>
    </w:p>
    <w:p w:rsidR="008F7FF3" w:rsidRPr="007722A3" w:rsidRDefault="008F7FF3">
      <w:pPr>
        <w:pStyle w:val="BodyText"/>
      </w:pPr>
    </w:p>
    <w:p w:rsidR="008F7FF3" w:rsidRPr="007722A3" w:rsidRDefault="008F7FF3" w:rsidP="00EB5264">
      <w:pPr>
        <w:keepNext/>
        <w:ind w:left="540" w:hanging="540"/>
        <w:rPr>
          <w:b/>
          <w:sz w:val="22"/>
          <w:szCs w:val="22"/>
          <w:lang w:val="en-GB"/>
        </w:rPr>
      </w:pPr>
      <w:r w:rsidRPr="007722A3">
        <w:rPr>
          <w:b/>
          <w:sz w:val="22"/>
          <w:szCs w:val="22"/>
          <w:lang w:val="en-GB"/>
        </w:rPr>
        <w:t>4.</w:t>
      </w:r>
      <w:r w:rsidRPr="007722A3">
        <w:rPr>
          <w:b/>
          <w:sz w:val="22"/>
          <w:szCs w:val="22"/>
          <w:lang w:val="en-GB"/>
        </w:rPr>
        <w:tab/>
        <w:t>P</w:t>
      </w:r>
      <w:r w:rsidR="000D5068" w:rsidRPr="007722A3">
        <w:rPr>
          <w:b/>
          <w:sz w:val="22"/>
          <w:szCs w:val="22"/>
          <w:lang w:val="en-GB"/>
        </w:rPr>
        <w:t>ossible side effects</w:t>
      </w:r>
    </w:p>
    <w:p w:rsidR="008F7FF3" w:rsidRPr="007722A3" w:rsidRDefault="008F7FF3" w:rsidP="00EB5264">
      <w:pPr>
        <w:pStyle w:val="BodyText"/>
        <w:keepNext/>
      </w:pPr>
    </w:p>
    <w:p w:rsidR="008F7FF3" w:rsidRPr="007722A3" w:rsidRDefault="008F7FF3">
      <w:pPr>
        <w:pStyle w:val="BodyText"/>
      </w:pPr>
      <w:r w:rsidRPr="007722A3">
        <w:t xml:space="preserve">Like all medicines, </w:t>
      </w:r>
      <w:r w:rsidR="000D5068" w:rsidRPr="007722A3">
        <w:t>this medicine</w:t>
      </w:r>
      <w:r w:rsidRPr="007722A3">
        <w:t xml:space="preserve"> can </w:t>
      </w:r>
      <w:r w:rsidR="000D5068" w:rsidRPr="007722A3">
        <w:t>cause</w:t>
      </w:r>
      <w:r w:rsidRPr="007722A3">
        <w:t xml:space="preserve"> side effects, although not everybody gets them.</w:t>
      </w:r>
    </w:p>
    <w:p w:rsidR="008F7FF3" w:rsidRPr="007722A3" w:rsidRDefault="008F7FF3">
      <w:pPr>
        <w:pStyle w:val="BodyText"/>
      </w:pPr>
    </w:p>
    <w:p w:rsidR="00AE60B7" w:rsidRPr="007722A3" w:rsidRDefault="00AE60B7" w:rsidP="00B0441D">
      <w:pPr>
        <w:pStyle w:val="BodyText"/>
        <w:rPr>
          <w:bCs/>
        </w:rPr>
      </w:pPr>
      <w:r w:rsidRPr="007722A3">
        <w:rPr>
          <w:bCs/>
        </w:rPr>
        <w:t xml:space="preserve">The most serious side effect of Ferriprox is a very low white blood cell (neutrophil) count. This condition, known as severe neutropenia or agranulocytosis, has occurred in </w:t>
      </w:r>
      <w:r w:rsidR="005B6A5F" w:rsidRPr="007722A3">
        <w:rPr>
          <w:bCs/>
        </w:rPr>
        <w:t>1 to 2 out of</w:t>
      </w:r>
      <w:r w:rsidRPr="007722A3">
        <w:rPr>
          <w:bCs/>
        </w:rPr>
        <w:t xml:space="preserve"> 100</w:t>
      </w:r>
      <w:r w:rsidR="004B1577" w:rsidRPr="007722A3">
        <w:rPr>
          <w:bCs/>
        </w:rPr>
        <w:t> </w:t>
      </w:r>
      <w:r w:rsidRPr="007722A3">
        <w:rPr>
          <w:bCs/>
        </w:rPr>
        <w:t>people who have taken Ferriprox in clinical studies. A low white blood cell count can be associated with a serious and potentially life</w:t>
      </w:r>
      <w:r w:rsidRPr="007722A3">
        <w:rPr>
          <w:bCs/>
        </w:rPr>
        <w:noBreakHyphen/>
        <w:t xml:space="preserve">threatening infection. Report immediately to your doctor any symptoms of infection such as: fever, sore throat or </w:t>
      </w:r>
      <w:r w:rsidR="00B0441D" w:rsidRPr="007722A3">
        <w:rPr>
          <w:bCs/>
        </w:rPr>
        <w:t>flu</w:t>
      </w:r>
      <w:r w:rsidR="00B0441D" w:rsidRPr="007722A3">
        <w:rPr>
          <w:bCs/>
        </w:rPr>
        <w:noBreakHyphen/>
        <w:t>like</w:t>
      </w:r>
      <w:r w:rsidRPr="007722A3">
        <w:rPr>
          <w:bCs/>
        </w:rPr>
        <w:t xml:space="preserve"> symptoms.</w:t>
      </w:r>
    </w:p>
    <w:p w:rsidR="00AE60B7" w:rsidRPr="007722A3" w:rsidRDefault="00AE60B7" w:rsidP="00AE60B7">
      <w:pPr>
        <w:pStyle w:val="BodyText"/>
      </w:pPr>
    </w:p>
    <w:p w:rsidR="00265683" w:rsidRPr="007722A3" w:rsidRDefault="00AF2D00" w:rsidP="00265683">
      <w:pPr>
        <w:pStyle w:val="BodyText"/>
      </w:pPr>
      <w:r w:rsidRPr="007722A3">
        <w:rPr>
          <w:b/>
          <w:bCs/>
        </w:rPr>
        <w:t>Very common side effects</w:t>
      </w:r>
      <w:r w:rsidRPr="007722A3">
        <w:t xml:space="preserve"> (</w:t>
      </w:r>
      <w:r w:rsidR="000D5068" w:rsidRPr="007722A3">
        <w:t xml:space="preserve">may </w:t>
      </w:r>
      <w:r w:rsidR="008D68F1" w:rsidRPr="007722A3">
        <w:t xml:space="preserve">affect </w:t>
      </w:r>
      <w:r w:rsidRPr="007722A3">
        <w:t>more than 1 in 10</w:t>
      </w:r>
      <w:r w:rsidR="005B359E" w:rsidRPr="007722A3">
        <w:t xml:space="preserve"> people</w:t>
      </w:r>
      <w:r w:rsidR="006604BA" w:rsidRPr="007722A3">
        <w:t xml:space="preserve">): </w:t>
      </w:r>
    </w:p>
    <w:p w:rsidR="00265683" w:rsidRPr="007722A3" w:rsidRDefault="00265683" w:rsidP="003F4F65">
      <w:pPr>
        <w:pStyle w:val="BodyText"/>
        <w:numPr>
          <w:ilvl w:val="0"/>
          <w:numId w:val="14"/>
        </w:numPr>
        <w:tabs>
          <w:tab w:val="left" w:pos="540"/>
        </w:tabs>
        <w:ind w:left="540" w:hanging="540"/>
      </w:pPr>
      <w:r w:rsidRPr="007722A3">
        <w:t>a</w:t>
      </w:r>
      <w:r w:rsidR="00AF2D00" w:rsidRPr="007722A3">
        <w:t>bdominal pain</w:t>
      </w:r>
    </w:p>
    <w:p w:rsidR="00265683" w:rsidRPr="007722A3" w:rsidRDefault="00AF2D00" w:rsidP="003F4F65">
      <w:pPr>
        <w:pStyle w:val="BodyText"/>
        <w:numPr>
          <w:ilvl w:val="0"/>
          <w:numId w:val="14"/>
        </w:numPr>
        <w:tabs>
          <w:tab w:val="left" w:pos="540"/>
        </w:tabs>
        <w:ind w:left="540" w:hanging="540"/>
      </w:pPr>
      <w:r w:rsidRPr="007722A3">
        <w:t>nausea</w:t>
      </w:r>
    </w:p>
    <w:p w:rsidR="00265683" w:rsidRPr="007722A3" w:rsidRDefault="00AF2D00" w:rsidP="003F4F65">
      <w:pPr>
        <w:pStyle w:val="BodyText"/>
        <w:numPr>
          <w:ilvl w:val="0"/>
          <w:numId w:val="14"/>
        </w:numPr>
        <w:tabs>
          <w:tab w:val="left" w:pos="540"/>
        </w:tabs>
        <w:ind w:left="540" w:hanging="540"/>
      </w:pPr>
      <w:r w:rsidRPr="007722A3">
        <w:t>vomiting</w:t>
      </w:r>
    </w:p>
    <w:p w:rsidR="00AF2D00" w:rsidRPr="007722A3" w:rsidRDefault="00AF2D00" w:rsidP="003F4F65">
      <w:pPr>
        <w:pStyle w:val="BodyText"/>
        <w:numPr>
          <w:ilvl w:val="0"/>
          <w:numId w:val="14"/>
        </w:numPr>
        <w:tabs>
          <w:tab w:val="left" w:pos="540"/>
        </w:tabs>
        <w:ind w:left="540" w:hanging="540"/>
      </w:pPr>
      <w:r w:rsidRPr="007722A3">
        <w:t>reddish/brown discoloration of urine</w:t>
      </w:r>
    </w:p>
    <w:p w:rsidR="00AF2D00" w:rsidRPr="007722A3" w:rsidRDefault="00AF2D00" w:rsidP="00AF2D00">
      <w:pPr>
        <w:pStyle w:val="BodyText"/>
      </w:pPr>
    </w:p>
    <w:p w:rsidR="00AF2D00" w:rsidRPr="007722A3" w:rsidRDefault="00AF2D00" w:rsidP="00AF2D00">
      <w:pPr>
        <w:pStyle w:val="BodyText"/>
      </w:pPr>
      <w:r w:rsidRPr="007722A3">
        <w:t xml:space="preserve">If you experience nausea or vomiting, it may help to take </w:t>
      </w:r>
      <w:r w:rsidR="008968F4" w:rsidRPr="007722A3">
        <w:t xml:space="preserve">your Ferriprox with some food. </w:t>
      </w:r>
      <w:r w:rsidRPr="007722A3">
        <w:t>Discolored urine is a very common effect and is not harmful.</w:t>
      </w:r>
    </w:p>
    <w:p w:rsidR="00AF2D00" w:rsidRPr="007722A3" w:rsidRDefault="00AF2D00" w:rsidP="00AF2D00">
      <w:pPr>
        <w:pStyle w:val="BodyText"/>
      </w:pPr>
    </w:p>
    <w:p w:rsidR="00265683" w:rsidRPr="007722A3" w:rsidRDefault="00AF2D00" w:rsidP="00BB0E88">
      <w:pPr>
        <w:pStyle w:val="BodyText"/>
      </w:pPr>
      <w:r w:rsidRPr="007722A3">
        <w:rPr>
          <w:b/>
          <w:bCs/>
        </w:rPr>
        <w:t>Common side effects</w:t>
      </w:r>
      <w:r w:rsidRPr="007722A3">
        <w:t xml:space="preserve"> </w:t>
      </w:r>
      <w:r w:rsidR="006604BA" w:rsidRPr="007722A3">
        <w:t>(</w:t>
      </w:r>
      <w:r w:rsidR="000D5068" w:rsidRPr="007722A3">
        <w:t xml:space="preserve">may </w:t>
      </w:r>
      <w:r w:rsidR="008D68F1" w:rsidRPr="007722A3">
        <w:t>affect</w:t>
      </w:r>
      <w:r w:rsidR="000D5068" w:rsidRPr="007722A3">
        <w:t xml:space="preserve"> up to</w:t>
      </w:r>
      <w:r w:rsidRPr="007722A3">
        <w:t xml:space="preserve"> 1 </w:t>
      </w:r>
      <w:r w:rsidR="000D5068" w:rsidRPr="007722A3">
        <w:t>in</w:t>
      </w:r>
      <w:r w:rsidRPr="007722A3">
        <w:t xml:space="preserve"> 10 </w:t>
      </w:r>
      <w:r w:rsidR="005B359E" w:rsidRPr="007722A3">
        <w:t>people</w:t>
      </w:r>
      <w:r w:rsidR="006604BA" w:rsidRPr="007722A3">
        <w:t>):</w:t>
      </w:r>
    </w:p>
    <w:p w:rsidR="00265683" w:rsidRPr="007722A3" w:rsidRDefault="00265683" w:rsidP="003F4F65">
      <w:pPr>
        <w:pStyle w:val="BodyText"/>
        <w:numPr>
          <w:ilvl w:val="0"/>
          <w:numId w:val="14"/>
        </w:numPr>
        <w:tabs>
          <w:tab w:val="left" w:pos="540"/>
        </w:tabs>
        <w:ind w:left="540" w:hanging="540"/>
      </w:pPr>
      <w:r w:rsidRPr="007722A3">
        <w:t>l</w:t>
      </w:r>
      <w:r w:rsidR="00AF2D00" w:rsidRPr="007722A3">
        <w:t>ow white blood cell count (agranulocytosis and neutropenia)</w:t>
      </w:r>
    </w:p>
    <w:p w:rsidR="00265683" w:rsidRPr="007722A3" w:rsidRDefault="00AF2D00" w:rsidP="003F4F65">
      <w:pPr>
        <w:pStyle w:val="BodyText"/>
        <w:numPr>
          <w:ilvl w:val="0"/>
          <w:numId w:val="14"/>
        </w:numPr>
        <w:tabs>
          <w:tab w:val="left" w:pos="540"/>
        </w:tabs>
        <w:ind w:left="540" w:hanging="540"/>
      </w:pPr>
      <w:r w:rsidRPr="007722A3">
        <w:t>headache</w:t>
      </w:r>
    </w:p>
    <w:p w:rsidR="00265683" w:rsidRPr="007722A3" w:rsidRDefault="00BB0E88" w:rsidP="003F4F65">
      <w:pPr>
        <w:pStyle w:val="BodyText"/>
        <w:numPr>
          <w:ilvl w:val="0"/>
          <w:numId w:val="14"/>
        </w:numPr>
        <w:tabs>
          <w:tab w:val="left" w:pos="540"/>
        </w:tabs>
        <w:ind w:left="540" w:hanging="540"/>
      </w:pPr>
      <w:r w:rsidRPr="007722A3">
        <w:t>diarrhoea</w:t>
      </w:r>
    </w:p>
    <w:p w:rsidR="00265683" w:rsidRPr="007722A3" w:rsidRDefault="00BB0E88" w:rsidP="003F4F65">
      <w:pPr>
        <w:pStyle w:val="BodyText"/>
        <w:numPr>
          <w:ilvl w:val="0"/>
          <w:numId w:val="14"/>
        </w:numPr>
        <w:tabs>
          <w:tab w:val="left" w:pos="540"/>
        </w:tabs>
        <w:ind w:left="540" w:hanging="540"/>
      </w:pPr>
      <w:r w:rsidRPr="007722A3">
        <w:t>increase in liver enzymes</w:t>
      </w:r>
    </w:p>
    <w:p w:rsidR="00265683" w:rsidRPr="007722A3" w:rsidRDefault="00BB0E88" w:rsidP="003F4F65">
      <w:pPr>
        <w:pStyle w:val="BodyText"/>
        <w:numPr>
          <w:ilvl w:val="0"/>
          <w:numId w:val="14"/>
        </w:numPr>
        <w:tabs>
          <w:tab w:val="left" w:pos="540"/>
        </w:tabs>
        <w:ind w:left="540" w:hanging="540"/>
      </w:pPr>
      <w:r w:rsidRPr="007722A3">
        <w:t>fatigue</w:t>
      </w:r>
    </w:p>
    <w:p w:rsidR="00AF2D00" w:rsidRPr="007722A3" w:rsidRDefault="00BB0E88" w:rsidP="003F4F65">
      <w:pPr>
        <w:pStyle w:val="BodyText"/>
        <w:numPr>
          <w:ilvl w:val="0"/>
          <w:numId w:val="14"/>
        </w:numPr>
        <w:tabs>
          <w:tab w:val="left" w:pos="540"/>
        </w:tabs>
        <w:ind w:left="540" w:hanging="540"/>
      </w:pPr>
      <w:r w:rsidRPr="007722A3">
        <w:t xml:space="preserve">increase </w:t>
      </w:r>
      <w:r w:rsidR="00AF2D00" w:rsidRPr="007722A3">
        <w:t>in appetite</w:t>
      </w:r>
    </w:p>
    <w:p w:rsidR="000D5068" w:rsidRPr="007722A3" w:rsidRDefault="000D5068" w:rsidP="000D5068">
      <w:pPr>
        <w:pStyle w:val="BodyText"/>
        <w:rPr>
          <w:b/>
          <w:bCs/>
        </w:rPr>
      </w:pPr>
    </w:p>
    <w:p w:rsidR="000D5068" w:rsidRPr="007722A3" w:rsidRDefault="009803E2" w:rsidP="000D5068">
      <w:pPr>
        <w:pStyle w:val="BodyText"/>
      </w:pPr>
      <w:r w:rsidRPr="004C3559">
        <w:rPr>
          <w:b/>
          <w:bCs/>
        </w:rPr>
        <w:t>Not known</w:t>
      </w:r>
      <w:r w:rsidRPr="004C3559">
        <w:rPr>
          <w:bCs/>
        </w:rPr>
        <w:t xml:space="preserve"> (frequency cannot be estimated from the available data</w:t>
      </w:r>
      <w:r>
        <w:rPr>
          <w:bCs/>
        </w:rPr>
        <w:t>)</w:t>
      </w:r>
      <w:r w:rsidR="000D5068" w:rsidRPr="007722A3">
        <w:t>:</w:t>
      </w:r>
    </w:p>
    <w:p w:rsidR="000D5068" w:rsidRPr="007722A3" w:rsidRDefault="000D5068" w:rsidP="003F4F65">
      <w:pPr>
        <w:pStyle w:val="BodyText"/>
        <w:numPr>
          <w:ilvl w:val="0"/>
          <w:numId w:val="14"/>
        </w:numPr>
        <w:tabs>
          <w:tab w:val="left" w:pos="540"/>
        </w:tabs>
        <w:ind w:left="540" w:hanging="540"/>
      </w:pPr>
      <w:r w:rsidRPr="007722A3">
        <w:t>allergic reactions including skin rash or hives</w:t>
      </w:r>
    </w:p>
    <w:p w:rsidR="00AF2D00" w:rsidRPr="007722A3" w:rsidRDefault="00AF2D00" w:rsidP="00AF2D00">
      <w:pPr>
        <w:pStyle w:val="BodyText"/>
      </w:pPr>
    </w:p>
    <w:p w:rsidR="00AF2D00" w:rsidRPr="007722A3" w:rsidRDefault="00AF2D00" w:rsidP="00AF2D00">
      <w:pPr>
        <w:pStyle w:val="BodyText"/>
      </w:pPr>
      <w:r w:rsidRPr="007722A3">
        <w:t>Events of joint pain and swelling ranged from mild pain in one or more joints to severe disability. In most cases, the pain disappeared while patients continued taking Ferriprox.</w:t>
      </w:r>
    </w:p>
    <w:p w:rsidR="00AF2D00" w:rsidRPr="007722A3" w:rsidRDefault="00AF2D00" w:rsidP="00AF2D00">
      <w:pPr>
        <w:pStyle w:val="BodyText"/>
      </w:pPr>
    </w:p>
    <w:p w:rsidR="00AD5C7B" w:rsidRPr="007722A3" w:rsidRDefault="00AD5C7B" w:rsidP="00AD5C7B">
      <w:pPr>
        <w:pStyle w:val="BodyText"/>
      </w:pPr>
      <w:r>
        <w:t>N</w:t>
      </w:r>
      <w:r w:rsidRPr="007722A3">
        <w:t>eurological disorders (such as tremors, walking disorders, double vision, involuntary muscle contractions, problems with movement coordination) have been reported in children who had been voluntarily prescribed more than double the maximum recommended dose of 100 mg/kg/day for several years</w:t>
      </w:r>
      <w:r>
        <w:t xml:space="preserve"> and have also been observed in children with standard doses of deferiprone</w:t>
      </w:r>
      <w:r w:rsidRPr="007722A3">
        <w:t>. The</w:t>
      </w:r>
      <w:r>
        <w:t xml:space="preserve"> children</w:t>
      </w:r>
      <w:r w:rsidRPr="007722A3">
        <w:t xml:space="preserve"> </w:t>
      </w:r>
      <w:r w:rsidRPr="007722A3">
        <w:rPr>
          <w:lang w:eastAsia="fr-FR"/>
        </w:rPr>
        <w:t>recovered from these symptoms after Ferriprox discontinuation.</w:t>
      </w:r>
    </w:p>
    <w:p w:rsidR="008F7FF3" w:rsidRPr="007722A3" w:rsidRDefault="008F7FF3">
      <w:pPr>
        <w:pStyle w:val="BodyText"/>
      </w:pPr>
    </w:p>
    <w:p w:rsidR="0040723E" w:rsidRPr="000F2CD4" w:rsidRDefault="0040723E" w:rsidP="0040723E">
      <w:pPr>
        <w:rPr>
          <w:b/>
          <w:sz w:val="22"/>
          <w:szCs w:val="22"/>
          <w:lang w:val="en-GB"/>
        </w:rPr>
      </w:pPr>
      <w:r w:rsidRPr="000F2CD4">
        <w:rPr>
          <w:b/>
          <w:sz w:val="22"/>
          <w:szCs w:val="22"/>
          <w:lang w:val="en-GB"/>
        </w:rPr>
        <w:t>Reporting of side effects</w:t>
      </w:r>
    </w:p>
    <w:p w:rsidR="0040723E" w:rsidRPr="000F2CD4" w:rsidRDefault="0040723E" w:rsidP="0030326B">
      <w:pPr>
        <w:pStyle w:val="BodyText"/>
      </w:pPr>
      <w:r w:rsidRPr="007722A3">
        <w:t>If you get any side effects, talk to your doctor or pharmacist. This includes any possible side effects not listed in this leaflet.</w:t>
      </w:r>
      <w:r w:rsidRPr="000F2CD4">
        <w:t xml:space="preserve"> You can also report side effects directly via </w:t>
      </w:r>
      <w:r w:rsidRPr="00E97465">
        <w:rPr>
          <w:highlight w:val="lightGray"/>
        </w:rPr>
        <w:t xml:space="preserve">the national reporting system listed in </w:t>
      </w:r>
      <w:hyperlink r:id="rId14" w:history="1">
        <w:r w:rsidR="0030326B" w:rsidRPr="00E97465">
          <w:rPr>
            <w:rStyle w:val="Hyperlink"/>
            <w:highlight w:val="lightGray"/>
          </w:rPr>
          <w:t>Appendix V</w:t>
        </w:r>
      </w:hyperlink>
      <w:r w:rsidRPr="000F2CD4">
        <w:t>. By reporting side effects you can help provide more information on the safety of this medicine.</w:t>
      </w:r>
    </w:p>
    <w:p w:rsidR="008F7FF3" w:rsidRPr="007722A3" w:rsidRDefault="008F7FF3">
      <w:pPr>
        <w:pStyle w:val="BodyText"/>
      </w:pPr>
    </w:p>
    <w:p w:rsidR="008F7FF3" w:rsidRPr="007722A3" w:rsidRDefault="008F7FF3">
      <w:pPr>
        <w:pStyle w:val="BodyText"/>
      </w:pPr>
    </w:p>
    <w:p w:rsidR="008F7FF3" w:rsidRPr="007722A3" w:rsidRDefault="008F7FF3">
      <w:pPr>
        <w:ind w:left="540" w:hanging="540"/>
        <w:rPr>
          <w:b/>
          <w:sz w:val="22"/>
          <w:szCs w:val="22"/>
          <w:lang w:val="en-GB"/>
        </w:rPr>
      </w:pPr>
      <w:r w:rsidRPr="007722A3">
        <w:rPr>
          <w:b/>
          <w:sz w:val="22"/>
          <w:szCs w:val="22"/>
          <w:lang w:val="en-GB"/>
        </w:rPr>
        <w:t>5.</w:t>
      </w:r>
      <w:r w:rsidRPr="007722A3">
        <w:rPr>
          <w:b/>
          <w:sz w:val="22"/>
          <w:szCs w:val="22"/>
          <w:lang w:val="en-GB"/>
        </w:rPr>
        <w:tab/>
        <w:t>H</w:t>
      </w:r>
      <w:r w:rsidR="009C17B7" w:rsidRPr="007722A3">
        <w:rPr>
          <w:b/>
          <w:sz w:val="22"/>
          <w:szCs w:val="22"/>
          <w:lang w:val="en-GB"/>
        </w:rPr>
        <w:t>ow to store Ferriprox</w:t>
      </w:r>
    </w:p>
    <w:p w:rsidR="008F7FF3" w:rsidRPr="007722A3" w:rsidRDefault="008F7FF3">
      <w:pPr>
        <w:pStyle w:val="BodyText"/>
      </w:pPr>
    </w:p>
    <w:p w:rsidR="008F7FF3" w:rsidRPr="007722A3" w:rsidRDefault="008F7FF3">
      <w:pPr>
        <w:pStyle w:val="BodyText"/>
      </w:pPr>
      <w:r w:rsidRPr="007722A3">
        <w:t xml:space="preserve">Keep </w:t>
      </w:r>
      <w:r w:rsidR="009C17B7" w:rsidRPr="007722A3">
        <w:t xml:space="preserve">this medicine </w:t>
      </w:r>
      <w:r w:rsidRPr="007722A3">
        <w:t xml:space="preserve">out of the </w:t>
      </w:r>
      <w:r w:rsidR="009C17B7" w:rsidRPr="007722A3">
        <w:t xml:space="preserve">sight and </w:t>
      </w:r>
      <w:r w:rsidRPr="007722A3">
        <w:t>reach of children.</w:t>
      </w:r>
    </w:p>
    <w:p w:rsidR="00353100" w:rsidRPr="007722A3" w:rsidRDefault="00353100">
      <w:pPr>
        <w:pStyle w:val="BodyText"/>
      </w:pPr>
    </w:p>
    <w:p w:rsidR="008F7FF3" w:rsidRPr="007722A3" w:rsidRDefault="008F7FF3">
      <w:pPr>
        <w:pStyle w:val="BodyText"/>
      </w:pPr>
      <w:r w:rsidRPr="007722A3">
        <w:t xml:space="preserve">Do not use </w:t>
      </w:r>
      <w:r w:rsidR="009C17B7" w:rsidRPr="007722A3">
        <w:t xml:space="preserve">this medicine </w:t>
      </w:r>
      <w:r w:rsidRPr="007722A3">
        <w:t>after the expiry date which is stated on the carton and the label after EXP.</w:t>
      </w:r>
    </w:p>
    <w:p w:rsidR="00353100" w:rsidRPr="007722A3" w:rsidRDefault="00353100">
      <w:pPr>
        <w:pStyle w:val="BodyText"/>
      </w:pPr>
    </w:p>
    <w:p w:rsidR="008F7FF3" w:rsidRPr="007722A3" w:rsidRDefault="006604BA">
      <w:pPr>
        <w:pStyle w:val="BodyText"/>
      </w:pPr>
      <w:r w:rsidRPr="007722A3">
        <w:t>After first opening use within 35 days.</w:t>
      </w:r>
      <w:r w:rsidR="00933262" w:rsidRPr="007722A3">
        <w:t xml:space="preserve"> </w:t>
      </w:r>
      <w:r w:rsidR="008F7FF3" w:rsidRPr="007722A3">
        <w:t>Do not store above 30ºC.</w:t>
      </w:r>
      <w:r w:rsidR="00C646F9">
        <w:t xml:space="preserve"> </w:t>
      </w:r>
      <w:r w:rsidR="008F7FF3" w:rsidRPr="007722A3">
        <w:t>Store in the original package in order to protect from light.</w:t>
      </w:r>
    </w:p>
    <w:p w:rsidR="009C1703" w:rsidRDefault="009C1703" w:rsidP="009C1703">
      <w:pPr>
        <w:rPr>
          <w:sz w:val="22"/>
          <w:szCs w:val="22"/>
          <w:lang w:val="en-GB"/>
        </w:rPr>
      </w:pPr>
    </w:p>
    <w:p w:rsidR="009C1703" w:rsidRPr="00822FD6" w:rsidRDefault="009C1703" w:rsidP="009C1703">
      <w:pPr>
        <w:rPr>
          <w:sz w:val="22"/>
          <w:szCs w:val="22"/>
          <w:lang w:val="en-GB"/>
        </w:rPr>
      </w:pPr>
      <w:r w:rsidRPr="00DD5AE2">
        <w:rPr>
          <w:sz w:val="22"/>
          <w:szCs w:val="22"/>
          <w:lang w:val="en-GB"/>
        </w:rPr>
        <w:t>Do not throw away any medicines via wastewater or household waste. Ask your pharmacist how to throw away medicines you no longer use. These measures will help protect the environment.</w:t>
      </w:r>
    </w:p>
    <w:p w:rsidR="008F7FF3" w:rsidRPr="007722A3" w:rsidRDefault="008F7FF3" w:rsidP="00265683">
      <w:pPr>
        <w:pStyle w:val="BodyText"/>
      </w:pPr>
    </w:p>
    <w:p w:rsidR="008F7FF3" w:rsidRPr="007722A3" w:rsidRDefault="008F7FF3">
      <w:pPr>
        <w:pStyle w:val="BodyText"/>
      </w:pPr>
    </w:p>
    <w:p w:rsidR="008F7FF3" w:rsidRPr="007722A3" w:rsidRDefault="008F7FF3" w:rsidP="009C17B7">
      <w:pPr>
        <w:keepNext/>
        <w:ind w:left="540" w:hanging="540"/>
        <w:rPr>
          <w:b/>
          <w:sz w:val="22"/>
          <w:szCs w:val="22"/>
          <w:lang w:val="en-GB"/>
        </w:rPr>
      </w:pPr>
      <w:r w:rsidRPr="007722A3">
        <w:rPr>
          <w:b/>
          <w:sz w:val="22"/>
          <w:szCs w:val="22"/>
          <w:lang w:val="en-GB"/>
        </w:rPr>
        <w:t>6.</w:t>
      </w:r>
      <w:r w:rsidRPr="007722A3">
        <w:rPr>
          <w:b/>
          <w:sz w:val="22"/>
          <w:szCs w:val="22"/>
          <w:lang w:val="en-GB"/>
        </w:rPr>
        <w:tab/>
      </w:r>
      <w:r w:rsidR="009C17B7" w:rsidRPr="007722A3">
        <w:rPr>
          <w:b/>
          <w:sz w:val="22"/>
          <w:szCs w:val="22"/>
          <w:lang w:val="en-GB"/>
        </w:rPr>
        <w:t>Contents of the pack and other information</w:t>
      </w:r>
    </w:p>
    <w:p w:rsidR="008F7FF3" w:rsidRPr="007722A3" w:rsidRDefault="008F7FF3" w:rsidP="009C17B7">
      <w:pPr>
        <w:pStyle w:val="BodyText"/>
        <w:keepNext/>
      </w:pPr>
    </w:p>
    <w:p w:rsidR="008F7FF3" w:rsidRPr="007722A3" w:rsidRDefault="008F7FF3">
      <w:pPr>
        <w:pStyle w:val="Heading3"/>
      </w:pPr>
      <w:r w:rsidRPr="007722A3">
        <w:t>What Ferriprox contains</w:t>
      </w:r>
    </w:p>
    <w:p w:rsidR="003F4F65" w:rsidRDefault="008F7FF3" w:rsidP="001844C5">
      <w:pPr>
        <w:pStyle w:val="BodyText"/>
      </w:pPr>
      <w:r w:rsidRPr="007722A3">
        <w:t>The active substance is deferiprone. Each ml of oral solution contains 100 mg deferiprone.</w:t>
      </w:r>
    </w:p>
    <w:p w:rsidR="001844C5" w:rsidRDefault="001844C5" w:rsidP="001844C5">
      <w:pPr>
        <w:pStyle w:val="BodyText"/>
      </w:pPr>
    </w:p>
    <w:p w:rsidR="008F7FF3" w:rsidRPr="007722A3" w:rsidRDefault="008F7FF3" w:rsidP="001844C5">
      <w:pPr>
        <w:pStyle w:val="BodyText"/>
      </w:pPr>
      <w:r w:rsidRPr="007722A3">
        <w:t>The other ingredients are: purified water; hydroxyethylcellulose; glycerol</w:t>
      </w:r>
      <w:r w:rsidR="000128DD">
        <w:t xml:space="preserve"> (E422)</w:t>
      </w:r>
      <w:r w:rsidRPr="007722A3">
        <w:t>; hydrochloric acid, concentrated</w:t>
      </w:r>
      <w:r w:rsidR="000128DD">
        <w:t xml:space="preserve"> (for pH adjustment)</w:t>
      </w:r>
      <w:r w:rsidRPr="007722A3">
        <w:t>; artificial cherry flavour; peppermint oil; Sunset Yellow (E110); sucralose (E955).</w:t>
      </w:r>
    </w:p>
    <w:p w:rsidR="008F7FF3" w:rsidRPr="007722A3" w:rsidRDefault="008F7FF3">
      <w:pPr>
        <w:pStyle w:val="BodyText"/>
      </w:pPr>
    </w:p>
    <w:p w:rsidR="008F7FF3" w:rsidRPr="007722A3" w:rsidRDefault="008F7FF3">
      <w:pPr>
        <w:pStyle w:val="Heading3"/>
      </w:pPr>
      <w:r w:rsidRPr="007722A3">
        <w:t>What Ferriprox looks like and contents of the pack</w:t>
      </w:r>
    </w:p>
    <w:p w:rsidR="008F7FF3" w:rsidRPr="007722A3" w:rsidRDefault="008F7FF3">
      <w:pPr>
        <w:pStyle w:val="BodyText"/>
      </w:pPr>
      <w:r w:rsidRPr="007722A3">
        <w:t>Ferriprox oral solution is a clear, reddish orange coloured liquid. It is packaged in bottles of 250 ml or 500 ml.</w:t>
      </w:r>
    </w:p>
    <w:p w:rsidR="008F7FF3" w:rsidRPr="007722A3" w:rsidRDefault="008F7FF3">
      <w:pPr>
        <w:pStyle w:val="BodyText"/>
      </w:pPr>
    </w:p>
    <w:p w:rsidR="008F7FF3" w:rsidRPr="007722A3" w:rsidRDefault="008F7FF3" w:rsidP="00B36F2D">
      <w:pPr>
        <w:pStyle w:val="Heading3"/>
        <w:keepNext/>
      </w:pPr>
      <w:r w:rsidRPr="007722A3">
        <w:t>Marketing Authorisation Holder and Manufacturer</w:t>
      </w:r>
    </w:p>
    <w:p w:rsidR="00842934" w:rsidRDefault="00842934" w:rsidP="00842934">
      <w:pPr>
        <w:keepNext/>
        <w:tabs>
          <w:tab w:val="left" w:pos="3600"/>
        </w:tabs>
        <w:rPr>
          <w:sz w:val="22"/>
          <w:szCs w:val="22"/>
          <w:lang w:val="en-GB"/>
        </w:rPr>
      </w:pPr>
      <w:r>
        <w:rPr>
          <w:sz w:val="22"/>
          <w:szCs w:val="22"/>
          <w:lang w:val="en-GB"/>
        </w:rPr>
        <w:t>Marketing Authorisation Holder:</w:t>
      </w:r>
    </w:p>
    <w:p w:rsidR="00A30160" w:rsidRPr="00A30160" w:rsidRDefault="00A30160" w:rsidP="00A30160">
      <w:pPr>
        <w:ind w:left="720"/>
        <w:rPr>
          <w:sz w:val="22"/>
          <w:szCs w:val="22"/>
          <w:lang w:val="it-IT"/>
        </w:rPr>
      </w:pPr>
      <w:r w:rsidRPr="00A30160">
        <w:rPr>
          <w:sz w:val="22"/>
          <w:szCs w:val="22"/>
          <w:lang w:val="it-IT"/>
        </w:rPr>
        <w:t>Chiesi Farmaceutici S.p.A.</w:t>
      </w:r>
    </w:p>
    <w:p w:rsidR="00A30160" w:rsidRPr="00A30160" w:rsidRDefault="00A30160" w:rsidP="00A30160">
      <w:pPr>
        <w:ind w:left="720"/>
        <w:rPr>
          <w:sz w:val="22"/>
          <w:szCs w:val="22"/>
        </w:rPr>
      </w:pPr>
      <w:r w:rsidRPr="00A30160">
        <w:rPr>
          <w:sz w:val="22"/>
          <w:szCs w:val="22"/>
        </w:rPr>
        <w:t xml:space="preserve">Via Palermo 26/A </w:t>
      </w:r>
    </w:p>
    <w:p w:rsidR="00A30160" w:rsidRPr="00A30160" w:rsidRDefault="00A30160" w:rsidP="00A30160">
      <w:pPr>
        <w:ind w:left="720"/>
        <w:rPr>
          <w:sz w:val="22"/>
          <w:szCs w:val="22"/>
        </w:rPr>
      </w:pPr>
      <w:r w:rsidRPr="00A30160">
        <w:rPr>
          <w:sz w:val="22"/>
          <w:szCs w:val="22"/>
        </w:rPr>
        <w:t xml:space="preserve">43122 Parma </w:t>
      </w:r>
    </w:p>
    <w:p w:rsidR="00A30160" w:rsidRDefault="00A30160" w:rsidP="00A30160">
      <w:pPr>
        <w:ind w:left="720"/>
        <w:rPr>
          <w:sz w:val="22"/>
          <w:szCs w:val="22"/>
          <w:lang w:val="en-GB"/>
        </w:rPr>
      </w:pPr>
      <w:r w:rsidRPr="00A30160">
        <w:rPr>
          <w:sz w:val="22"/>
          <w:szCs w:val="22"/>
        </w:rPr>
        <w:t>Italy</w:t>
      </w:r>
    </w:p>
    <w:p w:rsidR="00842934" w:rsidRPr="007722A3" w:rsidRDefault="00842934" w:rsidP="00842934">
      <w:pPr>
        <w:tabs>
          <w:tab w:val="left" w:pos="3600"/>
        </w:tabs>
        <w:rPr>
          <w:sz w:val="22"/>
          <w:szCs w:val="22"/>
          <w:lang w:val="en-GB"/>
        </w:rPr>
      </w:pPr>
    </w:p>
    <w:p w:rsidR="00842934" w:rsidRPr="00831E22" w:rsidRDefault="00842934" w:rsidP="00842934">
      <w:pPr>
        <w:pStyle w:val="BodyText"/>
        <w:keepNext/>
        <w:tabs>
          <w:tab w:val="left" w:pos="3600"/>
        </w:tabs>
        <w:rPr>
          <w:b/>
          <w:lang w:val="fr-FR"/>
        </w:rPr>
      </w:pPr>
      <w:r w:rsidRPr="007722A3">
        <w:t>Manufactur</w:t>
      </w:r>
      <w:r w:rsidR="00831E22">
        <w:t>er</w:t>
      </w:r>
      <w:r w:rsidRPr="007722A3">
        <w:t>:</w:t>
      </w:r>
    </w:p>
    <w:p w:rsidR="00842934" w:rsidRPr="00842934" w:rsidRDefault="00842934" w:rsidP="00842934">
      <w:pPr>
        <w:pStyle w:val="PILMAHaddress"/>
        <w:tabs>
          <w:tab w:val="left" w:pos="720"/>
        </w:tabs>
        <w:ind w:left="720"/>
        <w:rPr>
          <w:lang w:val="fr-FR"/>
        </w:rPr>
      </w:pPr>
      <w:r w:rsidRPr="00842934">
        <w:rPr>
          <w:lang w:val="fr-FR"/>
        </w:rPr>
        <w:t>Eurofins PROXY Laboratories B.V.</w:t>
      </w:r>
    </w:p>
    <w:p w:rsidR="00842934" w:rsidRDefault="00842934" w:rsidP="00842934">
      <w:pPr>
        <w:pStyle w:val="PILMAHaddress"/>
        <w:tabs>
          <w:tab w:val="left" w:pos="720"/>
        </w:tabs>
        <w:ind w:left="720"/>
      </w:pPr>
      <w:r>
        <w:t>Archimedesweg 25</w:t>
      </w:r>
    </w:p>
    <w:p w:rsidR="00842934" w:rsidRDefault="00842934" w:rsidP="00842934">
      <w:pPr>
        <w:pStyle w:val="PILMAHaddress"/>
        <w:tabs>
          <w:tab w:val="left" w:pos="720"/>
        </w:tabs>
        <w:ind w:left="720"/>
      </w:pPr>
      <w:r>
        <w:t>2333 CM Leiden</w:t>
      </w:r>
    </w:p>
    <w:p w:rsidR="00842934" w:rsidRDefault="00842934" w:rsidP="00842934">
      <w:pPr>
        <w:pStyle w:val="PILMAHaddress"/>
        <w:tabs>
          <w:tab w:val="left" w:pos="720"/>
        </w:tabs>
        <w:ind w:left="720"/>
      </w:pPr>
      <w:r>
        <w:t>Netherlands</w:t>
      </w:r>
    </w:p>
    <w:p w:rsidR="00842934" w:rsidRPr="007722A3" w:rsidRDefault="00842934" w:rsidP="00842934">
      <w:pPr>
        <w:tabs>
          <w:tab w:val="left" w:pos="4320"/>
        </w:tabs>
        <w:rPr>
          <w:sz w:val="22"/>
          <w:szCs w:val="22"/>
          <w:lang w:val="en-GB"/>
        </w:rPr>
      </w:pPr>
    </w:p>
    <w:p w:rsidR="007743CF" w:rsidRDefault="008F7FF3" w:rsidP="007743CF">
      <w:pPr>
        <w:rPr>
          <w:sz w:val="22"/>
          <w:szCs w:val="22"/>
          <w:lang w:val="en-GB"/>
        </w:rPr>
      </w:pPr>
      <w:r w:rsidRPr="007722A3">
        <w:rPr>
          <w:sz w:val="22"/>
          <w:szCs w:val="22"/>
          <w:lang w:val="en-GB"/>
        </w:rPr>
        <w:t>For any information about this medicine, please contact the local representative of the Marketing Authorisation Holder:</w:t>
      </w:r>
      <w:r w:rsidR="007743CF" w:rsidRPr="007722A3">
        <w:rPr>
          <w:sz w:val="22"/>
          <w:szCs w:val="22"/>
          <w:lang w:val="en-GB"/>
        </w:rPr>
        <w:t xml:space="preserve"> </w:t>
      </w:r>
    </w:p>
    <w:p w:rsidR="000F6015" w:rsidRDefault="000F6015" w:rsidP="007743CF">
      <w:pPr>
        <w:rPr>
          <w:sz w:val="22"/>
          <w:szCs w:val="22"/>
          <w:lang w:val="en-GB"/>
        </w:rPr>
      </w:pPr>
    </w:p>
    <w:tbl>
      <w:tblPr>
        <w:tblW w:w="9723" w:type="dxa"/>
        <w:tblInd w:w="-72" w:type="dxa"/>
        <w:tblLayout w:type="fixed"/>
        <w:tblLook w:val="0000" w:firstRow="0" w:lastRow="0" w:firstColumn="0" w:lastColumn="0" w:noHBand="0" w:noVBand="0"/>
      </w:tblPr>
      <w:tblGrid>
        <w:gridCol w:w="4855"/>
        <w:gridCol w:w="4860"/>
        <w:gridCol w:w="8"/>
      </w:tblGrid>
      <w:tr w:rsidR="009E1698" w:rsidTr="00D97152">
        <w:trPr>
          <w:cantSplit/>
        </w:trPr>
        <w:tc>
          <w:tcPr>
            <w:tcW w:w="4855" w:type="dxa"/>
          </w:tcPr>
          <w:p w:rsidR="00646D70" w:rsidRPr="009D293D" w:rsidRDefault="00646D70" w:rsidP="00D97152">
            <w:pPr>
              <w:rPr>
                <w:sz w:val="22"/>
                <w:szCs w:val="22"/>
                <w:lang w:val="fr-FR"/>
              </w:rPr>
            </w:pPr>
            <w:r w:rsidRPr="009D293D">
              <w:rPr>
                <w:b/>
                <w:sz w:val="22"/>
                <w:szCs w:val="22"/>
                <w:lang w:val="fr-FR"/>
              </w:rPr>
              <w:t>België/Belgique/Belgien</w:t>
            </w:r>
          </w:p>
          <w:p w:rsidR="00646D70" w:rsidRPr="009D293D" w:rsidRDefault="00646D70" w:rsidP="00D97152">
            <w:pPr>
              <w:pStyle w:val="Default"/>
              <w:rPr>
                <w:sz w:val="22"/>
                <w:szCs w:val="22"/>
                <w:lang w:val="fr-FR"/>
              </w:rPr>
            </w:pPr>
            <w:r w:rsidRPr="009D293D">
              <w:rPr>
                <w:sz w:val="22"/>
                <w:szCs w:val="22"/>
                <w:lang w:val="fr-FR"/>
              </w:rPr>
              <w:t xml:space="preserve">Chiesi sa/nv </w:t>
            </w:r>
          </w:p>
          <w:p w:rsidR="00646D70" w:rsidRPr="00BA1F5F" w:rsidRDefault="00646D70" w:rsidP="00D97152">
            <w:pPr>
              <w:ind w:right="34"/>
              <w:rPr>
                <w:sz w:val="22"/>
                <w:szCs w:val="22"/>
                <w:lang w:val="en-GB"/>
              </w:rPr>
            </w:pPr>
            <w:r>
              <w:rPr>
                <w:sz w:val="22"/>
                <w:szCs w:val="22"/>
              </w:rPr>
              <w:t>Tél/Tel: + 32 (0)2 788 42 00</w:t>
            </w:r>
          </w:p>
          <w:p w:rsidR="00646D70" w:rsidRPr="00BA1F5F" w:rsidRDefault="00646D70" w:rsidP="00D97152">
            <w:pPr>
              <w:ind w:right="34"/>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Lietuva</w:t>
            </w:r>
          </w:p>
          <w:p w:rsidR="00646D70" w:rsidRDefault="00646D70" w:rsidP="00D97152">
            <w:pPr>
              <w:pStyle w:val="Default"/>
              <w:rPr>
                <w:sz w:val="22"/>
                <w:szCs w:val="22"/>
              </w:rPr>
            </w:pPr>
            <w:r>
              <w:rPr>
                <w:sz w:val="22"/>
                <w:szCs w:val="22"/>
              </w:rPr>
              <w:t xml:space="preserve">Chiesi Pharmaceuticals GmbH </w:t>
            </w:r>
          </w:p>
          <w:p w:rsidR="00646D70" w:rsidRPr="00EB1EF1" w:rsidRDefault="00646D70" w:rsidP="00D97152">
            <w:pPr>
              <w:suppressAutoHyphens/>
              <w:rPr>
                <w:sz w:val="22"/>
                <w:szCs w:val="22"/>
              </w:rPr>
            </w:pPr>
            <w:r w:rsidRPr="00646D70">
              <w:rPr>
                <w:sz w:val="22"/>
                <w:szCs w:val="22"/>
                <w:lang w:val="en-GB"/>
              </w:rPr>
              <w:t xml:space="preserve">Tel: </w:t>
            </w:r>
            <w:r>
              <w:rPr>
                <w:sz w:val="22"/>
                <w:szCs w:val="22"/>
              </w:rPr>
              <w:t xml:space="preserve">+ 43 1 4073919 </w:t>
            </w:r>
          </w:p>
          <w:p w:rsidR="00646D70" w:rsidRPr="00646D70" w:rsidRDefault="00646D70" w:rsidP="00D97152">
            <w:pPr>
              <w:suppressAutoHyphens/>
              <w:rPr>
                <w:sz w:val="22"/>
                <w:szCs w:val="22"/>
                <w:lang w:val="en-GB"/>
              </w:rPr>
            </w:pPr>
          </w:p>
        </w:tc>
      </w:tr>
      <w:tr w:rsidR="009E1698" w:rsidTr="00D97152">
        <w:trPr>
          <w:cantSplit/>
        </w:trPr>
        <w:tc>
          <w:tcPr>
            <w:tcW w:w="4855" w:type="dxa"/>
          </w:tcPr>
          <w:p w:rsidR="00646D70" w:rsidRPr="00BA1F5F" w:rsidRDefault="00646D70" w:rsidP="00D97152">
            <w:pPr>
              <w:autoSpaceDE w:val="0"/>
              <w:autoSpaceDN w:val="0"/>
              <w:adjustRightInd w:val="0"/>
              <w:rPr>
                <w:b/>
                <w:bCs/>
                <w:sz w:val="22"/>
                <w:szCs w:val="22"/>
                <w:lang w:val="it-CH"/>
              </w:rPr>
            </w:pPr>
            <w:r w:rsidRPr="00BA1F5F">
              <w:rPr>
                <w:b/>
                <w:bCs/>
                <w:sz w:val="22"/>
                <w:szCs w:val="22"/>
                <w:lang w:val="en-GB"/>
              </w:rPr>
              <w:t>България</w:t>
            </w:r>
          </w:p>
          <w:p w:rsidR="00646D70" w:rsidRPr="00BA1F5F" w:rsidRDefault="00646D70" w:rsidP="00D97152">
            <w:pPr>
              <w:pStyle w:val="Default"/>
              <w:rPr>
                <w:sz w:val="22"/>
                <w:szCs w:val="22"/>
                <w:lang w:val="it-CH"/>
              </w:rPr>
            </w:pPr>
            <w:r w:rsidRPr="009D293D">
              <w:rPr>
                <w:sz w:val="22"/>
                <w:szCs w:val="22"/>
                <w:lang w:val="it-IT"/>
              </w:rPr>
              <w:t xml:space="preserve">Chiesi Bulgaria EOOD </w:t>
            </w:r>
          </w:p>
          <w:p w:rsidR="00646D70" w:rsidRPr="009D293D" w:rsidRDefault="00646D70" w:rsidP="00D97152">
            <w:pPr>
              <w:autoSpaceDE w:val="0"/>
              <w:autoSpaceDN w:val="0"/>
              <w:adjustRightInd w:val="0"/>
              <w:rPr>
                <w:sz w:val="22"/>
                <w:szCs w:val="22"/>
                <w:lang w:val="it-IT"/>
              </w:rPr>
            </w:pPr>
            <w:r w:rsidRPr="00BA1F5F">
              <w:rPr>
                <w:sz w:val="22"/>
                <w:szCs w:val="22"/>
                <w:lang w:val="en-GB"/>
              </w:rPr>
              <w:t>Тел</w:t>
            </w:r>
            <w:r w:rsidRPr="00BA1F5F">
              <w:rPr>
                <w:sz w:val="22"/>
                <w:szCs w:val="22"/>
                <w:lang w:val="it-CH"/>
              </w:rPr>
              <w:t>.: +359</w:t>
            </w:r>
            <w:r>
              <w:rPr>
                <w:sz w:val="22"/>
                <w:szCs w:val="22"/>
                <w:lang w:val="it-CH"/>
              </w:rPr>
              <w:t xml:space="preserve"> </w:t>
            </w:r>
            <w:r w:rsidRPr="009D293D">
              <w:rPr>
                <w:sz w:val="22"/>
                <w:szCs w:val="22"/>
                <w:lang w:val="it-IT"/>
              </w:rPr>
              <w:t xml:space="preserve">29201205 </w:t>
            </w:r>
          </w:p>
          <w:p w:rsidR="00646D70" w:rsidRPr="00BA1F5F" w:rsidRDefault="00646D70" w:rsidP="00D97152">
            <w:pPr>
              <w:tabs>
                <w:tab w:val="left" w:pos="-720"/>
              </w:tabs>
              <w:suppressAutoHyphens/>
              <w:jc w:val="both"/>
              <w:rPr>
                <w:b/>
                <w:sz w:val="22"/>
                <w:szCs w:val="22"/>
                <w:lang w:val="it-CH"/>
              </w:rPr>
            </w:pPr>
          </w:p>
        </w:tc>
        <w:tc>
          <w:tcPr>
            <w:tcW w:w="4868" w:type="dxa"/>
            <w:gridSpan w:val="2"/>
          </w:tcPr>
          <w:p w:rsidR="00646D70" w:rsidRPr="00BA1F5F" w:rsidRDefault="00646D70" w:rsidP="00D97152">
            <w:pPr>
              <w:rPr>
                <w:sz w:val="22"/>
                <w:szCs w:val="22"/>
                <w:lang w:val="it-CH"/>
              </w:rPr>
            </w:pPr>
            <w:r w:rsidRPr="00BA1F5F">
              <w:rPr>
                <w:b/>
                <w:sz w:val="22"/>
                <w:szCs w:val="22"/>
                <w:lang w:val="it-CH"/>
              </w:rPr>
              <w:t>Luxembourg/Luxemburg</w:t>
            </w:r>
          </w:p>
          <w:p w:rsidR="00646D70" w:rsidRPr="00BA1F5F" w:rsidRDefault="00646D70" w:rsidP="00D97152">
            <w:pPr>
              <w:rPr>
                <w:sz w:val="22"/>
                <w:szCs w:val="22"/>
                <w:lang w:val="it-CH"/>
              </w:rPr>
            </w:pPr>
            <w:r w:rsidRPr="00EB1EF1">
              <w:rPr>
                <w:sz w:val="22"/>
                <w:szCs w:val="22"/>
                <w:lang w:val="it-CH"/>
              </w:rPr>
              <w:t>Chiesi sa/nv</w:t>
            </w:r>
          </w:p>
          <w:p w:rsidR="00646D70" w:rsidRPr="00646D70" w:rsidRDefault="00646D70" w:rsidP="00D97152">
            <w:pPr>
              <w:suppressAutoHyphens/>
              <w:rPr>
                <w:sz w:val="22"/>
                <w:szCs w:val="22"/>
                <w:lang w:val="it-CH"/>
              </w:rPr>
            </w:pPr>
            <w:r w:rsidRPr="00646D70">
              <w:rPr>
                <w:sz w:val="22"/>
                <w:szCs w:val="22"/>
                <w:lang w:val="it-CH"/>
              </w:rPr>
              <w:t xml:space="preserve">Tél/Tel: + 32 (0)2 788 42 00 </w:t>
            </w:r>
          </w:p>
        </w:tc>
      </w:tr>
      <w:tr w:rsidR="009E1698" w:rsidTr="00D97152">
        <w:trPr>
          <w:cantSplit/>
        </w:trPr>
        <w:tc>
          <w:tcPr>
            <w:tcW w:w="4855" w:type="dxa"/>
          </w:tcPr>
          <w:p w:rsidR="00646D70" w:rsidRPr="00646D70" w:rsidRDefault="00646D70" w:rsidP="00D97152">
            <w:pPr>
              <w:tabs>
                <w:tab w:val="left" w:pos="-720"/>
              </w:tabs>
              <w:suppressAutoHyphens/>
              <w:rPr>
                <w:sz w:val="22"/>
                <w:szCs w:val="22"/>
                <w:lang w:val="pt-BR"/>
              </w:rPr>
            </w:pPr>
            <w:r w:rsidRPr="00646D70">
              <w:rPr>
                <w:b/>
                <w:sz w:val="22"/>
                <w:szCs w:val="22"/>
                <w:lang w:val="pt-BR"/>
              </w:rPr>
              <w:t>Česká republika</w:t>
            </w:r>
          </w:p>
          <w:p w:rsidR="00646D70" w:rsidRPr="00646D70" w:rsidRDefault="00646D70" w:rsidP="00D97152">
            <w:pPr>
              <w:tabs>
                <w:tab w:val="left" w:pos="-720"/>
              </w:tabs>
              <w:suppressAutoHyphens/>
              <w:rPr>
                <w:sz w:val="22"/>
                <w:szCs w:val="22"/>
                <w:lang w:val="pt-BR"/>
              </w:rPr>
            </w:pPr>
            <w:r w:rsidRPr="00646D70">
              <w:rPr>
                <w:sz w:val="22"/>
                <w:szCs w:val="22"/>
                <w:lang w:val="pt-BR"/>
              </w:rPr>
              <w:t>Aurovitas, spol. s r.o.</w:t>
            </w:r>
          </w:p>
          <w:p w:rsidR="00646D70" w:rsidRPr="00CB3E22" w:rsidRDefault="00646D70" w:rsidP="00D97152">
            <w:pPr>
              <w:tabs>
                <w:tab w:val="left" w:pos="-720"/>
              </w:tabs>
              <w:suppressAutoHyphens/>
              <w:rPr>
                <w:sz w:val="22"/>
                <w:szCs w:val="22"/>
                <w:lang w:val="it-CH"/>
              </w:rPr>
            </w:pPr>
            <w:r w:rsidRPr="00CB3E22">
              <w:rPr>
                <w:sz w:val="22"/>
                <w:szCs w:val="22"/>
                <w:lang w:val="it-CH"/>
              </w:rPr>
              <w:t>Tel: +00420 234 705 700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CB3E22" w:rsidRDefault="00646D70" w:rsidP="00D97152">
            <w:pPr>
              <w:spacing w:line="260" w:lineRule="atLeast"/>
              <w:rPr>
                <w:b/>
                <w:sz w:val="22"/>
                <w:szCs w:val="22"/>
                <w:lang w:val="it-CH"/>
              </w:rPr>
            </w:pPr>
            <w:r w:rsidRPr="00CB3E22">
              <w:rPr>
                <w:b/>
                <w:sz w:val="22"/>
                <w:szCs w:val="22"/>
                <w:lang w:val="it-CH"/>
              </w:rPr>
              <w:t>Magyarország</w:t>
            </w:r>
          </w:p>
          <w:p w:rsidR="00646D70" w:rsidRPr="00CB3E22" w:rsidRDefault="00646D70" w:rsidP="00D97152">
            <w:pPr>
              <w:spacing w:line="260" w:lineRule="atLeast"/>
              <w:rPr>
                <w:sz w:val="22"/>
                <w:szCs w:val="22"/>
                <w:lang w:val="it-CH"/>
              </w:rPr>
            </w:pPr>
            <w:r w:rsidRPr="00CB3E22">
              <w:rPr>
                <w:bCs/>
                <w:sz w:val="22"/>
                <w:szCs w:val="22"/>
                <w:lang w:val="it-CH"/>
              </w:rPr>
              <w:t>Chiesi Hungary Kft.</w:t>
            </w:r>
          </w:p>
          <w:p w:rsidR="00646D70" w:rsidRPr="00CB3E22" w:rsidRDefault="00646D70" w:rsidP="00D97152">
            <w:pPr>
              <w:tabs>
                <w:tab w:val="left" w:pos="-720"/>
              </w:tabs>
              <w:suppressAutoHyphens/>
              <w:rPr>
                <w:sz w:val="22"/>
                <w:szCs w:val="22"/>
                <w:lang w:val="it-CH"/>
              </w:rPr>
            </w:pPr>
            <w:r w:rsidRPr="00CB3E22">
              <w:rPr>
                <w:sz w:val="22"/>
                <w:szCs w:val="22"/>
                <w:lang w:val="it-CH"/>
              </w:rPr>
              <w:t>Tel.: + 36-1-429 1060</w:t>
            </w:r>
          </w:p>
        </w:tc>
      </w:tr>
      <w:tr w:rsidR="009E1698" w:rsidTr="00D97152">
        <w:trPr>
          <w:cantSplit/>
        </w:trPr>
        <w:tc>
          <w:tcPr>
            <w:tcW w:w="4855" w:type="dxa"/>
          </w:tcPr>
          <w:p w:rsidR="00646D70" w:rsidRPr="00CB3E22" w:rsidRDefault="00646D70" w:rsidP="00D97152">
            <w:pPr>
              <w:rPr>
                <w:sz w:val="22"/>
                <w:szCs w:val="22"/>
                <w:lang w:val="it-CH"/>
              </w:rPr>
            </w:pPr>
            <w:r w:rsidRPr="00CB3E22">
              <w:rPr>
                <w:b/>
                <w:sz w:val="22"/>
                <w:szCs w:val="22"/>
                <w:lang w:val="it-CH"/>
              </w:rPr>
              <w:t>Danmark</w:t>
            </w:r>
          </w:p>
          <w:p w:rsidR="00646D70" w:rsidRPr="00CB3E22" w:rsidRDefault="00646D70" w:rsidP="00D97152">
            <w:pPr>
              <w:rPr>
                <w:sz w:val="22"/>
                <w:szCs w:val="22"/>
                <w:lang w:val="it-CH"/>
              </w:rPr>
            </w:pPr>
            <w:r w:rsidRPr="00CB3E22">
              <w:rPr>
                <w:sz w:val="22"/>
                <w:szCs w:val="22"/>
                <w:lang w:val="it-CH"/>
              </w:rPr>
              <w:t>Chiesi Pharma AB</w:t>
            </w:r>
          </w:p>
          <w:p w:rsidR="00646D70" w:rsidRPr="00CB3E22" w:rsidRDefault="00646D70" w:rsidP="00D97152">
            <w:pPr>
              <w:tabs>
                <w:tab w:val="left" w:pos="-720"/>
              </w:tabs>
              <w:suppressAutoHyphens/>
              <w:rPr>
                <w:sz w:val="22"/>
                <w:szCs w:val="22"/>
                <w:lang w:val="it-CH"/>
              </w:rPr>
            </w:pPr>
            <w:r w:rsidRPr="00CB3E22">
              <w:rPr>
                <w:sz w:val="22"/>
                <w:szCs w:val="22"/>
                <w:lang w:val="it-CH"/>
              </w:rPr>
              <w:t>Tlf: + 46 8 753 35 20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Malta</w:t>
            </w:r>
          </w:p>
          <w:p w:rsidR="00646D70" w:rsidRPr="009D293D" w:rsidRDefault="00646D70" w:rsidP="00D97152">
            <w:pPr>
              <w:pStyle w:val="Default"/>
              <w:rPr>
                <w:sz w:val="22"/>
                <w:szCs w:val="22"/>
                <w:lang w:val="it-IT"/>
              </w:rPr>
            </w:pPr>
            <w:r w:rsidRPr="009D293D">
              <w:rPr>
                <w:sz w:val="22"/>
                <w:szCs w:val="22"/>
                <w:lang w:val="it-IT"/>
              </w:rPr>
              <w:t>Chiesi Farmaceutici S.p.A.</w:t>
            </w:r>
          </w:p>
          <w:p w:rsidR="00646D70" w:rsidRPr="00BA1F5F" w:rsidRDefault="00646D70" w:rsidP="00D97152">
            <w:pPr>
              <w:rPr>
                <w:sz w:val="22"/>
                <w:szCs w:val="22"/>
                <w:lang w:val="en-GB"/>
              </w:rPr>
            </w:pPr>
            <w:r w:rsidRPr="00BA1F5F">
              <w:rPr>
                <w:sz w:val="22"/>
                <w:szCs w:val="22"/>
                <w:lang w:val="en-GB"/>
              </w:rPr>
              <w:t xml:space="preserve">Tel: + 39 0521 </w:t>
            </w:r>
            <w:r>
              <w:rPr>
                <w:sz w:val="22"/>
                <w:szCs w:val="22"/>
              </w:rPr>
              <w:t>2791</w:t>
            </w:r>
          </w:p>
        </w:tc>
      </w:tr>
      <w:tr w:rsidR="009E1698" w:rsidTr="00D97152">
        <w:trPr>
          <w:cantSplit/>
        </w:trPr>
        <w:tc>
          <w:tcPr>
            <w:tcW w:w="4855" w:type="dxa"/>
          </w:tcPr>
          <w:p w:rsidR="00646D70" w:rsidRPr="00BA1F5F" w:rsidRDefault="00646D70" w:rsidP="00D97152">
            <w:pPr>
              <w:rPr>
                <w:sz w:val="22"/>
                <w:szCs w:val="22"/>
                <w:lang w:val="de-DE"/>
              </w:rPr>
            </w:pPr>
            <w:r w:rsidRPr="00BA1F5F">
              <w:rPr>
                <w:b/>
                <w:sz w:val="22"/>
                <w:szCs w:val="22"/>
                <w:lang w:val="de-DE"/>
              </w:rPr>
              <w:t>Deutschland</w:t>
            </w:r>
          </w:p>
          <w:p w:rsidR="00646D70" w:rsidRPr="00BA1F5F" w:rsidRDefault="00646D70" w:rsidP="00D97152">
            <w:pPr>
              <w:rPr>
                <w:sz w:val="22"/>
                <w:szCs w:val="22"/>
                <w:lang w:val="de-DE"/>
              </w:rPr>
            </w:pPr>
            <w:r w:rsidRPr="00A7625F">
              <w:rPr>
                <w:sz w:val="22"/>
                <w:szCs w:val="22"/>
                <w:lang w:val="de-DE"/>
              </w:rPr>
              <w:t>Chiesi GmbH</w:t>
            </w:r>
          </w:p>
          <w:p w:rsidR="00646D70" w:rsidRPr="00BA1F5F" w:rsidRDefault="00646D70" w:rsidP="00D97152">
            <w:pPr>
              <w:tabs>
                <w:tab w:val="left" w:pos="-720"/>
              </w:tabs>
              <w:suppressAutoHyphens/>
              <w:rPr>
                <w:sz w:val="22"/>
                <w:szCs w:val="22"/>
                <w:lang w:val="de-DE"/>
              </w:rPr>
            </w:pPr>
            <w:r w:rsidRPr="00BA1F5F">
              <w:rPr>
                <w:sz w:val="22"/>
                <w:szCs w:val="22"/>
                <w:lang w:val="de-DE"/>
              </w:rPr>
              <w:t>Tel: +</w:t>
            </w:r>
            <w:r>
              <w:rPr>
                <w:sz w:val="22"/>
                <w:szCs w:val="22"/>
                <w:lang w:val="de-DE"/>
              </w:rPr>
              <w:t xml:space="preserve"> </w:t>
            </w:r>
            <w:r w:rsidRPr="00A7625F">
              <w:rPr>
                <w:sz w:val="22"/>
                <w:szCs w:val="22"/>
                <w:lang w:val="de-DE"/>
              </w:rPr>
              <w:t>49 40 89724-0</w:t>
            </w:r>
          </w:p>
          <w:p w:rsidR="00646D70" w:rsidRPr="00BA1F5F" w:rsidRDefault="00646D70" w:rsidP="00D97152">
            <w:pPr>
              <w:tabs>
                <w:tab w:val="left" w:pos="-720"/>
              </w:tabs>
              <w:suppressAutoHyphens/>
              <w:rPr>
                <w:sz w:val="22"/>
                <w:szCs w:val="22"/>
                <w:lang w:val="de-DE"/>
              </w:rPr>
            </w:pPr>
          </w:p>
        </w:tc>
        <w:tc>
          <w:tcPr>
            <w:tcW w:w="4868" w:type="dxa"/>
            <w:gridSpan w:val="2"/>
          </w:tcPr>
          <w:p w:rsidR="00646D70" w:rsidRPr="00BA1F5F" w:rsidRDefault="00646D70" w:rsidP="00D97152">
            <w:pPr>
              <w:tabs>
                <w:tab w:val="left" w:pos="-720"/>
                <w:tab w:val="left" w:pos="4536"/>
              </w:tabs>
              <w:suppressAutoHyphens/>
              <w:rPr>
                <w:b/>
                <w:sz w:val="22"/>
                <w:szCs w:val="22"/>
                <w:lang w:val="sv-SE"/>
              </w:rPr>
            </w:pPr>
            <w:r w:rsidRPr="00BA1F5F">
              <w:rPr>
                <w:b/>
                <w:sz w:val="22"/>
                <w:szCs w:val="22"/>
                <w:lang w:val="sv-SE"/>
              </w:rPr>
              <w:t>Nederland</w:t>
            </w:r>
          </w:p>
          <w:p w:rsidR="00646D70" w:rsidRPr="00BA1F5F" w:rsidRDefault="00646D70" w:rsidP="00D97152">
            <w:pPr>
              <w:rPr>
                <w:sz w:val="22"/>
                <w:szCs w:val="22"/>
                <w:lang w:val="sv-SE"/>
              </w:rPr>
            </w:pPr>
            <w:r w:rsidRPr="00A7625F">
              <w:rPr>
                <w:sz w:val="22"/>
                <w:szCs w:val="22"/>
                <w:lang w:val="sv-SE"/>
              </w:rPr>
              <w:t>Chiesi Pharmaceuticals B.V.</w:t>
            </w:r>
          </w:p>
          <w:p w:rsidR="00646D70" w:rsidRPr="00BA1F5F" w:rsidRDefault="00646D70" w:rsidP="00D97152">
            <w:pPr>
              <w:rPr>
                <w:sz w:val="22"/>
                <w:szCs w:val="22"/>
                <w:lang w:val="sv-SE"/>
              </w:rPr>
            </w:pPr>
            <w:r w:rsidRPr="00BA1F5F">
              <w:rPr>
                <w:sz w:val="22"/>
                <w:szCs w:val="22"/>
                <w:lang w:val="sv-SE"/>
              </w:rPr>
              <w:t>Tel: +</w:t>
            </w:r>
            <w:r>
              <w:rPr>
                <w:sz w:val="22"/>
                <w:szCs w:val="22"/>
                <w:lang w:val="sv-SE"/>
              </w:rPr>
              <w:t xml:space="preserve"> </w:t>
            </w:r>
            <w:r w:rsidRPr="00A7625F">
              <w:rPr>
                <w:sz w:val="22"/>
                <w:szCs w:val="22"/>
                <w:lang w:val="sv-SE"/>
              </w:rPr>
              <w:t>31 88 501 64 00</w:t>
            </w:r>
          </w:p>
        </w:tc>
      </w:tr>
      <w:tr w:rsidR="009E1698" w:rsidTr="00D97152">
        <w:trPr>
          <w:cantSplit/>
        </w:trPr>
        <w:tc>
          <w:tcPr>
            <w:tcW w:w="4855" w:type="dxa"/>
          </w:tcPr>
          <w:p w:rsidR="00646D70" w:rsidRPr="00646D70" w:rsidRDefault="00646D70" w:rsidP="00D97152">
            <w:pPr>
              <w:tabs>
                <w:tab w:val="left" w:pos="-720"/>
              </w:tabs>
              <w:suppressAutoHyphens/>
              <w:rPr>
                <w:b/>
                <w:bCs/>
                <w:sz w:val="22"/>
                <w:szCs w:val="22"/>
              </w:rPr>
            </w:pPr>
            <w:r w:rsidRPr="00646D70">
              <w:rPr>
                <w:b/>
                <w:bCs/>
                <w:sz w:val="22"/>
                <w:szCs w:val="22"/>
              </w:rPr>
              <w:t>Eesti</w:t>
            </w:r>
          </w:p>
          <w:p w:rsidR="00646D70" w:rsidRPr="00646D70" w:rsidRDefault="00646D70" w:rsidP="00D97152">
            <w:pPr>
              <w:rPr>
                <w:sz w:val="22"/>
                <w:szCs w:val="22"/>
              </w:rPr>
            </w:pPr>
            <w:r w:rsidRPr="00646D70">
              <w:rPr>
                <w:sz w:val="22"/>
                <w:szCs w:val="22"/>
              </w:rPr>
              <w:t>Chiesi Pharmaceuticals GmbH</w:t>
            </w:r>
          </w:p>
          <w:p w:rsidR="00646D70" w:rsidRPr="00646D70" w:rsidRDefault="00646D70" w:rsidP="00D97152">
            <w:pPr>
              <w:rPr>
                <w:sz w:val="22"/>
                <w:szCs w:val="22"/>
              </w:rPr>
            </w:pPr>
            <w:r w:rsidRPr="00646D70">
              <w:rPr>
                <w:sz w:val="22"/>
                <w:szCs w:val="22"/>
              </w:rPr>
              <w:t>Tel: + 43 1 4073919</w:t>
            </w:r>
          </w:p>
          <w:p w:rsidR="00646D70" w:rsidRPr="00646D70" w:rsidRDefault="00646D70" w:rsidP="00D97152">
            <w:pPr>
              <w:tabs>
                <w:tab w:val="left" w:pos="-720"/>
              </w:tabs>
              <w:suppressAutoHyphens/>
              <w:rPr>
                <w:sz w:val="22"/>
                <w:szCs w:val="22"/>
              </w:rPr>
            </w:pPr>
          </w:p>
        </w:tc>
        <w:tc>
          <w:tcPr>
            <w:tcW w:w="4868" w:type="dxa"/>
            <w:gridSpan w:val="2"/>
          </w:tcPr>
          <w:p w:rsidR="00646D70" w:rsidRPr="009D293D" w:rsidRDefault="00646D70" w:rsidP="00D97152">
            <w:pPr>
              <w:keepNext/>
              <w:ind w:left="709" w:hanging="709"/>
              <w:outlineLvl w:val="1"/>
              <w:rPr>
                <w:rFonts w:ascii="Times New Roman Bold" w:hAnsi="Times New Roman Bold"/>
                <w:b/>
                <w:bCs/>
                <w:caps/>
                <w:snapToGrid w:val="0"/>
                <w:sz w:val="22"/>
                <w:szCs w:val="22"/>
                <w:lang w:val="it-IT"/>
              </w:rPr>
            </w:pPr>
            <w:r w:rsidRPr="009D293D">
              <w:rPr>
                <w:rFonts w:ascii="Times New Roman Bold" w:hAnsi="Times New Roman Bold"/>
                <w:b/>
                <w:bCs/>
                <w:snapToGrid w:val="0"/>
                <w:sz w:val="22"/>
                <w:szCs w:val="22"/>
                <w:lang w:val="it-IT"/>
              </w:rPr>
              <w:t>Norge</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rPr>
                <w:sz w:val="22"/>
                <w:szCs w:val="22"/>
                <w:lang w:val="it-IT"/>
              </w:rPr>
            </w:pPr>
            <w:r w:rsidRPr="009D293D">
              <w:rPr>
                <w:sz w:val="22"/>
                <w:szCs w:val="22"/>
                <w:lang w:val="it-IT"/>
              </w:rPr>
              <w:t>Tlf: + 46 8 753 35 20</w:t>
            </w:r>
          </w:p>
        </w:tc>
      </w:tr>
      <w:tr w:rsidR="009E1698" w:rsidTr="00D97152">
        <w:trPr>
          <w:cantSplit/>
        </w:trPr>
        <w:tc>
          <w:tcPr>
            <w:tcW w:w="4855" w:type="dxa"/>
          </w:tcPr>
          <w:p w:rsidR="00646D70" w:rsidRPr="00BA1F5F" w:rsidRDefault="00646D70" w:rsidP="00D97152">
            <w:pPr>
              <w:rPr>
                <w:sz w:val="22"/>
                <w:szCs w:val="22"/>
                <w:lang w:val="en-GB"/>
              </w:rPr>
            </w:pPr>
            <w:r w:rsidRPr="00BA1F5F">
              <w:rPr>
                <w:b/>
                <w:sz w:val="22"/>
                <w:szCs w:val="22"/>
                <w:lang w:val="en-GB"/>
              </w:rPr>
              <w:t>Ελλάδα</w:t>
            </w:r>
          </w:p>
          <w:p w:rsidR="00646D70" w:rsidRPr="00BA1F5F" w:rsidRDefault="00646D70" w:rsidP="00D97152">
            <w:pPr>
              <w:rPr>
                <w:snapToGrid w:val="0"/>
                <w:sz w:val="22"/>
                <w:szCs w:val="22"/>
                <w:lang w:val="en-GB"/>
              </w:rPr>
            </w:pPr>
            <w:r w:rsidRPr="00BA1F5F">
              <w:rPr>
                <w:snapToGrid w:val="0"/>
                <w:sz w:val="22"/>
                <w:szCs w:val="22"/>
                <w:lang w:val="en-GB"/>
              </w:rPr>
              <w:t>DEMO ABEE</w:t>
            </w:r>
          </w:p>
          <w:p w:rsidR="00646D70" w:rsidRPr="00BA1F5F" w:rsidRDefault="00646D70" w:rsidP="00D97152">
            <w:pPr>
              <w:tabs>
                <w:tab w:val="left" w:pos="-720"/>
              </w:tabs>
              <w:suppressAutoHyphens/>
              <w:rPr>
                <w:sz w:val="22"/>
                <w:szCs w:val="22"/>
                <w:lang w:val="en-GB"/>
              </w:rPr>
            </w:pPr>
            <w:r w:rsidRPr="00BA1F5F">
              <w:rPr>
                <w:sz w:val="22"/>
                <w:szCs w:val="22"/>
                <w:lang w:val="en-GB"/>
              </w:rPr>
              <w:t>Τηλ: + 30 210 8161802</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Österreich</w:t>
            </w:r>
          </w:p>
          <w:p w:rsidR="00646D70" w:rsidRPr="00A7625F" w:rsidRDefault="00646D70" w:rsidP="00D97152">
            <w:pPr>
              <w:rPr>
                <w:sz w:val="22"/>
                <w:szCs w:val="22"/>
                <w:lang w:val="en-GB"/>
              </w:rPr>
            </w:pPr>
            <w:r w:rsidRPr="00A7625F">
              <w:rPr>
                <w:sz w:val="22"/>
                <w:szCs w:val="22"/>
                <w:lang w:val="en-GB"/>
              </w:rPr>
              <w:t>Chiesi Pharmaceuticals GmbH</w:t>
            </w:r>
          </w:p>
          <w:p w:rsidR="00646D70" w:rsidRPr="00BA1F5F" w:rsidRDefault="00646D70" w:rsidP="00D97152">
            <w:pPr>
              <w:rPr>
                <w:sz w:val="22"/>
                <w:szCs w:val="22"/>
                <w:lang w:val="en-GB"/>
              </w:rPr>
            </w:pPr>
            <w:r w:rsidRPr="00A7625F">
              <w:rPr>
                <w:sz w:val="22"/>
                <w:szCs w:val="22"/>
                <w:lang w:val="en-GB"/>
              </w:rPr>
              <w:t>Tel: + 43 1 4073919</w:t>
            </w:r>
          </w:p>
        </w:tc>
      </w:tr>
      <w:tr w:rsidR="009E1698" w:rsidTr="00D97152">
        <w:trPr>
          <w:cantSplit/>
        </w:trPr>
        <w:tc>
          <w:tcPr>
            <w:tcW w:w="4855" w:type="dxa"/>
          </w:tcPr>
          <w:p w:rsidR="00646D70" w:rsidRPr="00646D70" w:rsidRDefault="00646D70" w:rsidP="00D97152">
            <w:pPr>
              <w:tabs>
                <w:tab w:val="left" w:pos="-720"/>
                <w:tab w:val="left" w:pos="4536"/>
              </w:tabs>
              <w:suppressAutoHyphens/>
              <w:rPr>
                <w:b/>
                <w:sz w:val="22"/>
                <w:szCs w:val="22"/>
                <w:lang w:val="es-ES"/>
              </w:rPr>
            </w:pPr>
            <w:r w:rsidRPr="00646D70">
              <w:rPr>
                <w:b/>
                <w:sz w:val="22"/>
                <w:szCs w:val="22"/>
                <w:lang w:val="es-ES"/>
              </w:rPr>
              <w:t>España</w:t>
            </w:r>
          </w:p>
          <w:p w:rsidR="00646D70" w:rsidRPr="00646D70" w:rsidRDefault="00646D70" w:rsidP="00D97152">
            <w:pPr>
              <w:rPr>
                <w:sz w:val="22"/>
                <w:szCs w:val="22"/>
                <w:lang w:val="es-ES"/>
              </w:rPr>
            </w:pPr>
            <w:r w:rsidRPr="00646D70">
              <w:rPr>
                <w:sz w:val="22"/>
                <w:szCs w:val="22"/>
                <w:lang w:val="es-ES"/>
              </w:rPr>
              <w:t>Chiesi España, S.A.U.</w:t>
            </w:r>
          </w:p>
          <w:p w:rsidR="00646D70" w:rsidRPr="00BA1F5F" w:rsidRDefault="00646D70" w:rsidP="00D97152">
            <w:pPr>
              <w:rPr>
                <w:sz w:val="22"/>
                <w:szCs w:val="22"/>
                <w:lang w:val="en-GB"/>
              </w:rPr>
            </w:pPr>
            <w:r w:rsidRPr="00A7625F">
              <w:rPr>
                <w:sz w:val="22"/>
                <w:szCs w:val="22"/>
                <w:lang w:val="en-GB"/>
              </w:rPr>
              <w:t>Tel: + 34 934948000</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Polska</w:t>
            </w:r>
          </w:p>
          <w:p w:rsidR="00646D70" w:rsidRPr="00A7625F" w:rsidRDefault="00646D70" w:rsidP="00D97152">
            <w:pPr>
              <w:tabs>
                <w:tab w:val="left" w:pos="-720"/>
              </w:tabs>
              <w:suppressAutoHyphens/>
              <w:rPr>
                <w:bCs/>
                <w:sz w:val="22"/>
                <w:szCs w:val="22"/>
                <w:lang w:val="it-CH"/>
              </w:rPr>
            </w:pPr>
            <w:r w:rsidRPr="00A7625F">
              <w:rPr>
                <w:bCs/>
                <w:sz w:val="22"/>
                <w:szCs w:val="22"/>
                <w:lang w:val="it-CH"/>
              </w:rPr>
              <w:t>Chiesi Poland Sp. z.o.o.</w:t>
            </w:r>
          </w:p>
          <w:p w:rsidR="00646D70" w:rsidRPr="00BA1F5F" w:rsidRDefault="00646D70" w:rsidP="00D97152">
            <w:pPr>
              <w:tabs>
                <w:tab w:val="left" w:pos="-720"/>
              </w:tabs>
              <w:suppressAutoHyphens/>
              <w:rPr>
                <w:sz w:val="22"/>
                <w:szCs w:val="22"/>
                <w:lang w:val="en-GB"/>
              </w:rPr>
            </w:pPr>
            <w:r w:rsidRPr="00A7625F">
              <w:rPr>
                <w:bCs/>
                <w:sz w:val="22"/>
                <w:szCs w:val="22"/>
                <w:lang w:val="it-CH"/>
              </w:rPr>
              <w:t>Tel.: + 48 22 620 1421</w:t>
            </w:r>
          </w:p>
        </w:tc>
      </w:tr>
      <w:tr w:rsidR="009E1698" w:rsidTr="00D97152">
        <w:trPr>
          <w:cantSplit/>
        </w:trPr>
        <w:tc>
          <w:tcPr>
            <w:tcW w:w="4855" w:type="dxa"/>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France</w:t>
            </w:r>
          </w:p>
          <w:p w:rsidR="00646D70" w:rsidRPr="009D293D" w:rsidRDefault="00646D70" w:rsidP="00D97152">
            <w:pPr>
              <w:pStyle w:val="Default"/>
              <w:rPr>
                <w:sz w:val="22"/>
                <w:szCs w:val="22"/>
                <w:lang w:val="it-IT"/>
              </w:rPr>
            </w:pPr>
            <w:r w:rsidRPr="009D293D">
              <w:rPr>
                <w:sz w:val="22"/>
                <w:szCs w:val="22"/>
                <w:lang w:val="it-IT"/>
              </w:rPr>
              <w:t xml:space="preserve">Chiesi S.A.S. </w:t>
            </w:r>
          </w:p>
          <w:p w:rsidR="00646D70" w:rsidRPr="00BA1F5F" w:rsidRDefault="00646D70" w:rsidP="00D97152">
            <w:pPr>
              <w:rPr>
                <w:sz w:val="22"/>
                <w:szCs w:val="22"/>
                <w:lang w:val="en-GB"/>
              </w:rPr>
            </w:pPr>
            <w:r>
              <w:rPr>
                <w:sz w:val="22"/>
                <w:szCs w:val="22"/>
              </w:rPr>
              <w:t xml:space="preserve">Tél: + 33 1 47688899 </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rPr>
                <w:sz w:val="22"/>
                <w:szCs w:val="22"/>
                <w:lang w:val="it-IT"/>
              </w:rPr>
            </w:pPr>
            <w:r w:rsidRPr="009D293D">
              <w:rPr>
                <w:b/>
                <w:sz w:val="22"/>
                <w:szCs w:val="22"/>
                <w:lang w:val="it-IT"/>
              </w:rPr>
              <w:t>Portugal</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A7625F">
              <w:rPr>
                <w:sz w:val="22"/>
                <w:szCs w:val="22"/>
                <w:lang w:val="en-GB"/>
              </w:rPr>
              <w:t>Tel: + 39 0521 2791</w:t>
            </w:r>
          </w:p>
        </w:tc>
      </w:tr>
      <w:tr w:rsidR="009E1698" w:rsidTr="00D97152">
        <w:trPr>
          <w:cantSplit/>
        </w:trPr>
        <w:tc>
          <w:tcPr>
            <w:tcW w:w="4855" w:type="dxa"/>
          </w:tcPr>
          <w:p w:rsidR="00646D70" w:rsidRPr="00BA1F5F" w:rsidRDefault="00646D70" w:rsidP="00D97152">
            <w:pPr>
              <w:tabs>
                <w:tab w:val="left" w:pos="-720"/>
                <w:tab w:val="left" w:pos="4536"/>
              </w:tabs>
              <w:suppressAutoHyphens/>
              <w:rPr>
                <w:b/>
                <w:noProof/>
                <w:sz w:val="22"/>
                <w:szCs w:val="22"/>
                <w:lang w:val="hr-HR"/>
              </w:rPr>
            </w:pPr>
            <w:r w:rsidRPr="00BA1F5F">
              <w:rPr>
                <w:b/>
                <w:noProof/>
                <w:sz w:val="22"/>
                <w:szCs w:val="22"/>
                <w:lang w:val="hr-HR"/>
              </w:rPr>
              <w:t>Hrvatska</w:t>
            </w:r>
          </w:p>
          <w:p w:rsidR="00646D70" w:rsidRPr="00A7625F" w:rsidRDefault="00646D70" w:rsidP="00D97152">
            <w:pPr>
              <w:tabs>
                <w:tab w:val="left" w:pos="-720"/>
                <w:tab w:val="left" w:pos="4536"/>
              </w:tabs>
              <w:suppressAutoHyphens/>
              <w:rPr>
                <w:sz w:val="22"/>
                <w:szCs w:val="22"/>
                <w:lang w:val="hr-HR"/>
              </w:rPr>
            </w:pPr>
            <w:r w:rsidRPr="00A7625F">
              <w:rPr>
                <w:sz w:val="22"/>
                <w:szCs w:val="22"/>
                <w:lang w:val="hr-HR"/>
              </w:rPr>
              <w:t>Chiesi Pharmaceuticals GmbH</w:t>
            </w:r>
          </w:p>
          <w:p w:rsidR="00646D70" w:rsidRPr="00BA1F5F" w:rsidRDefault="00646D70" w:rsidP="00D97152">
            <w:pPr>
              <w:tabs>
                <w:tab w:val="left" w:pos="-720"/>
                <w:tab w:val="left" w:pos="4536"/>
              </w:tabs>
              <w:suppressAutoHyphens/>
              <w:rPr>
                <w:b/>
                <w:sz w:val="22"/>
                <w:szCs w:val="22"/>
                <w:lang w:val="hr-HR"/>
              </w:rPr>
            </w:pPr>
            <w:r w:rsidRPr="00A7625F">
              <w:rPr>
                <w:sz w:val="22"/>
                <w:szCs w:val="22"/>
                <w:lang w:val="hr-HR"/>
              </w:rPr>
              <w:t>Tel: + 43 1 4073919</w:t>
            </w: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România</w:t>
            </w:r>
          </w:p>
          <w:p w:rsidR="00646D70" w:rsidRPr="00BA1F5F" w:rsidRDefault="00646D70" w:rsidP="00D97152">
            <w:pPr>
              <w:tabs>
                <w:tab w:val="left" w:pos="-720"/>
              </w:tabs>
              <w:suppressAutoHyphens/>
              <w:rPr>
                <w:sz w:val="22"/>
                <w:szCs w:val="22"/>
                <w:lang w:val="it-CH"/>
              </w:rPr>
            </w:pPr>
            <w:r w:rsidRPr="00EB006A">
              <w:rPr>
                <w:sz w:val="22"/>
                <w:szCs w:val="22"/>
                <w:lang w:val="it-CH"/>
              </w:rPr>
              <w:t>Chiesi Romania S.R.L.</w:t>
            </w:r>
          </w:p>
          <w:p w:rsidR="00646D70" w:rsidRPr="00BA1F5F" w:rsidRDefault="00646D70" w:rsidP="00D97152">
            <w:pPr>
              <w:tabs>
                <w:tab w:val="left" w:pos="-720"/>
              </w:tabs>
              <w:suppressAutoHyphens/>
              <w:rPr>
                <w:sz w:val="22"/>
                <w:szCs w:val="22"/>
                <w:lang w:val="en-GB"/>
              </w:rPr>
            </w:pPr>
            <w:r w:rsidRPr="00BA1F5F">
              <w:rPr>
                <w:sz w:val="22"/>
                <w:szCs w:val="22"/>
                <w:lang w:val="en-GB"/>
              </w:rPr>
              <w:t>Tel: + 40</w:t>
            </w:r>
            <w:r>
              <w:rPr>
                <w:sz w:val="22"/>
                <w:szCs w:val="22"/>
                <w:lang w:val="en-GB"/>
              </w:rPr>
              <w:t xml:space="preserve"> </w:t>
            </w:r>
            <w:r w:rsidRPr="00BA1F5F">
              <w:rPr>
                <w:sz w:val="22"/>
                <w:szCs w:val="22"/>
                <w:lang w:val="en-GB"/>
              </w:rPr>
              <w:t>212023642</w:t>
            </w:r>
          </w:p>
          <w:p w:rsidR="00646D70" w:rsidRPr="00BA1F5F" w:rsidRDefault="00646D70" w:rsidP="00D97152">
            <w:pPr>
              <w:tabs>
                <w:tab w:val="left" w:pos="-720"/>
              </w:tabs>
              <w:suppressAutoHyphens/>
              <w:rPr>
                <w:sz w:val="22"/>
                <w:szCs w:val="22"/>
                <w:lang w:val="en-GB"/>
              </w:rPr>
            </w:pPr>
          </w:p>
        </w:tc>
      </w:tr>
      <w:tr w:rsidR="009E1698" w:rsidTr="00D97152">
        <w:trPr>
          <w:gridAfter w:val="1"/>
          <w:wAfter w:w="8" w:type="dxa"/>
          <w:cantSplit/>
        </w:trPr>
        <w:tc>
          <w:tcPr>
            <w:tcW w:w="4855" w:type="dxa"/>
          </w:tcPr>
          <w:p w:rsidR="00646D70" w:rsidRPr="009D293D" w:rsidRDefault="00646D70" w:rsidP="00D97152">
            <w:pPr>
              <w:rPr>
                <w:sz w:val="22"/>
                <w:szCs w:val="22"/>
                <w:lang w:val="it-IT"/>
              </w:rPr>
            </w:pPr>
            <w:r w:rsidRPr="009D293D">
              <w:rPr>
                <w:b/>
                <w:sz w:val="22"/>
                <w:szCs w:val="22"/>
                <w:lang w:val="it-IT"/>
              </w:rPr>
              <w:t>Ireland</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EB006A">
              <w:rPr>
                <w:sz w:val="22"/>
                <w:szCs w:val="22"/>
                <w:lang w:val="en-GB"/>
              </w:rPr>
              <w:t>Tel: + 39 0521 2791</w:t>
            </w:r>
          </w:p>
          <w:p w:rsidR="00646D70" w:rsidRPr="00BA1F5F" w:rsidRDefault="00646D70" w:rsidP="00D97152">
            <w:pPr>
              <w:tabs>
                <w:tab w:val="left" w:pos="-720"/>
              </w:tabs>
              <w:suppressAutoHyphens/>
              <w:rPr>
                <w:sz w:val="22"/>
                <w:szCs w:val="22"/>
                <w:lang w:val="en-GB"/>
              </w:rPr>
            </w:pPr>
          </w:p>
        </w:tc>
        <w:tc>
          <w:tcPr>
            <w:tcW w:w="4860" w:type="dxa"/>
          </w:tcPr>
          <w:p w:rsidR="00646D70" w:rsidRPr="00BA1F5F" w:rsidRDefault="00646D70" w:rsidP="00D97152">
            <w:pPr>
              <w:rPr>
                <w:sz w:val="22"/>
                <w:szCs w:val="22"/>
                <w:lang w:val="it-CH"/>
              </w:rPr>
            </w:pPr>
            <w:r w:rsidRPr="00BA1F5F">
              <w:rPr>
                <w:b/>
                <w:sz w:val="22"/>
                <w:szCs w:val="22"/>
                <w:lang w:val="it-CH"/>
              </w:rPr>
              <w:t>Slovenija</w:t>
            </w:r>
          </w:p>
          <w:p w:rsidR="00646D70" w:rsidRPr="00BA1F5F" w:rsidRDefault="00646D70" w:rsidP="00D97152">
            <w:pPr>
              <w:rPr>
                <w:sz w:val="22"/>
                <w:szCs w:val="22"/>
                <w:lang w:val="it-CH"/>
              </w:rPr>
            </w:pPr>
            <w:r w:rsidRPr="00BA1F5F">
              <w:rPr>
                <w:bCs/>
                <w:sz w:val="22"/>
                <w:szCs w:val="22"/>
                <w:lang w:val="it-CH"/>
              </w:rPr>
              <w:t>Chiesi Slovenija d.o.o.</w:t>
            </w:r>
          </w:p>
          <w:p w:rsidR="00646D70" w:rsidRPr="00BA1F5F" w:rsidRDefault="00646D70" w:rsidP="00D97152">
            <w:pPr>
              <w:tabs>
                <w:tab w:val="left" w:pos="-720"/>
              </w:tabs>
              <w:suppressAutoHyphens/>
              <w:rPr>
                <w:sz w:val="22"/>
                <w:szCs w:val="22"/>
                <w:lang w:val="en-GB"/>
              </w:rPr>
            </w:pPr>
            <w:r w:rsidRPr="00BA1F5F">
              <w:rPr>
                <w:sz w:val="22"/>
                <w:szCs w:val="22"/>
                <w:lang w:val="en-GB"/>
              </w:rPr>
              <w:t>Tel: + 386-1-43 00 901</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Ísland</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rPr>
                <w:sz w:val="22"/>
                <w:szCs w:val="22"/>
                <w:lang w:val="en-GB"/>
              </w:rPr>
            </w:pPr>
            <w:r w:rsidRPr="00EB006A">
              <w:rPr>
                <w:sz w:val="22"/>
                <w:szCs w:val="22"/>
                <w:lang w:val="en-GB"/>
              </w:rPr>
              <w:t>Sími: +46 8 753 35 20</w:t>
            </w:r>
          </w:p>
          <w:p w:rsidR="00646D70" w:rsidRPr="00BA1F5F" w:rsidRDefault="00646D70" w:rsidP="00D97152">
            <w:pPr>
              <w:rPr>
                <w:b/>
                <w:sz w:val="22"/>
                <w:szCs w:val="22"/>
                <w:lang w:val="en-GB"/>
              </w:rPr>
            </w:pPr>
          </w:p>
        </w:tc>
        <w:tc>
          <w:tcPr>
            <w:tcW w:w="4868" w:type="dxa"/>
            <w:gridSpan w:val="2"/>
          </w:tcPr>
          <w:p w:rsidR="00646D70" w:rsidRPr="00C31746" w:rsidRDefault="00646D70" w:rsidP="00D97152">
            <w:pPr>
              <w:tabs>
                <w:tab w:val="left" w:pos="-720"/>
              </w:tabs>
              <w:suppressAutoHyphens/>
              <w:rPr>
                <w:b/>
                <w:sz w:val="22"/>
                <w:szCs w:val="22"/>
                <w:lang w:val="en-GB"/>
              </w:rPr>
            </w:pPr>
            <w:r w:rsidRPr="00C31746">
              <w:rPr>
                <w:b/>
                <w:sz w:val="22"/>
                <w:szCs w:val="22"/>
                <w:lang w:val="en-GB"/>
              </w:rPr>
              <w:t>Slovenská republika</w:t>
            </w:r>
          </w:p>
          <w:p w:rsidR="00646D70" w:rsidRPr="00C31746" w:rsidRDefault="00646D70" w:rsidP="00D97152">
            <w:pPr>
              <w:spacing w:line="260" w:lineRule="atLeast"/>
              <w:rPr>
                <w:sz w:val="22"/>
                <w:szCs w:val="22"/>
                <w:lang w:val="en-GB"/>
              </w:rPr>
            </w:pPr>
            <w:r w:rsidRPr="00C31746">
              <w:rPr>
                <w:bCs/>
                <w:sz w:val="22"/>
                <w:szCs w:val="22"/>
                <w:lang w:val="en-GB"/>
              </w:rPr>
              <w:t>Chiesi Slovakia s.r.o.</w:t>
            </w:r>
          </w:p>
          <w:p w:rsidR="00646D70" w:rsidRPr="00BA1F5F" w:rsidRDefault="00646D70" w:rsidP="00D97152">
            <w:pPr>
              <w:tabs>
                <w:tab w:val="left" w:pos="-720"/>
              </w:tabs>
              <w:suppressAutoHyphens/>
              <w:rPr>
                <w:b/>
                <w:sz w:val="22"/>
                <w:szCs w:val="22"/>
                <w:lang w:val="en-GB"/>
              </w:rPr>
            </w:pPr>
            <w:r w:rsidRPr="00BA1F5F">
              <w:rPr>
                <w:sz w:val="22"/>
                <w:szCs w:val="22"/>
                <w:lang w:val="en-GB"/>
              </w:rPr>
              <w:t>Tel: + 421</w:t>
            </w:r>
            <w:r>
              <w:rPr>
                <w:sz w:val="22"/>
                <w:szCs w:val="22"/>
                <w:lang w:val="en-GB"/>
              </w:rPr>
              <w:t xml:space="preserve"> </w:t>
            </w:r>
            <w:r w:rsidRPr="00BA1F5F">
              <w:rPr>
                <w:sz w:val="22"/>
                <w:szCs w:val="22"/>
                <w:lang w:val="en-GB"/>
              </w:rPr>
              <w:t>2593</w:t>
            </w:r>
            <w:r>
              <w:rPr>
                <w:sz w:val="22"/>
                <w:szCs w:val="22"/>
                <w:lang w:val="en-GB"/>
              </w:rPr>
              <w:t>0</w:t>
            </w:r>
            <w:r w:rsidRPr="00BA1F5F">
              <w:rPr>
                <w:sz w:val="22"/>
                <w:szCs w:val="22"/>
                <w:lang w:val="en-GB"/>
              </w:rPr>
              <w:t>0060</w:t>
            </w:r>
          </w:p>
        </w:tc>
      </w:tr>
      <w:tr w:rsidR="009E1698" w:rsidTr="00D97152">
        <w:trPr>
          <w:cantSplit/>
        </w:trPr>
        <w:tc>
          <w:tcPr>
            <w:tcW w:w="4855" w:type="dxa"/>
          </w:tcPr>
          <w:p w:rsidR="00646D70" w:rsidRPr="00BA1F5F" w:rsidRDefault="00646D70" w:rsidP="00D97152">
            <w:pPr>
              <w:rPr>
                <w:sz w:val="22"/>
                <w:szCs w:val="22"/>
                <w:lang w:val="it-CH"/>
              </w:rPr>
            </w:pPr>
            <w:r w:rsidRPr="00BA1F5F">
              <w:rPr>
                <w:b/>
                <w:sz w:val="22"/>
                <w:szCs w:val="22"/>
                <w:lang w:val="it-CH"/>
              </w:rPr>
              <w:t>Italia</w:t>
            </w:r>
          </w:p>
          <w:p w:rsidR="00646D70" w:rsidRPr="00BA1F5F" w:rsidRDefault="00646D70" w:rsidP="00D97152">
            <w:pPr>
              <w:rPr>
                <w:sz w:val="22"/>
                <w:szCs w:val="22"/>
                <w:lang w:val="it-CH"/>
              </w:rPr>
            </w:pPr>
            <w:r w:rsidRPr="00BA1F5F">
              <w:rPr>
                <w:sz w:val="22"/>
                <w:szCs w:val="22"/>
                <w:lang w:val="it-CH"/>
              </w:rPr>
              <w:t xml:space="preserve">Chiesi </w:t>
            </w:r>
            <w:r w:rsidRPr="009D293D">
              <w:rPr>
                <w:sz w:val="22"/>
                <w:szCs w:val="22"/>
                <w:lang w:val="it-CH"/>
              </w:rPr>
              <w:t xml:space="preserve">Italia </w:t>
            </w:r>
            <w:r w:rsidRPr="00BA1F5F">
              <w:rPr>
                <w:sz w:val="22"/>
                <w:szCs w:val="22"/>
                <w:lang w:val="it-CH"/>
              </w:rPr>
              <w:t>S.p.A</w:t>
            </w:r>
            <w:r>
              <w:rPr>
                <w:sz w:val="22"/>
                <w:szCs w:val="22"/>
                <w:lang w:val="it-CH"/>
              </w:rPr>
              <w:t>.</w:t>
            </w:r>
          </w:p>
          <w:p w:rsidR="00646D70" w:rsidRPr="00BA1F5F" w:rsidRDefault="00646D70" w:rsidP="00D97152">
            <w:pPr>
              <w:rPr>
                <w:sz w:val="22"/>
                <w:szCs w:val="22"/>
                <w:lang w:val="en-GB"/>
              </w:rPr>
            </w:pPr>
            <w:r w:rsidRPr="00BA1F5F">
              <w:rPr>
                <w:sz w:val="22"/>
                <w:szCs w:val="22"/>
                <w:lang w:val="en-GB"/>
              </w:rPr>
              <w:t>Tel: + 39 0521 2791</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tabs>
                <w:tab w:val="left" w:pos="-720"/>
                <w:tab w:val="left" w:pos="4536"/>
              </w:tabs>
              <w:suppressAutoHyphens/>
              <w:rPr>
                <w:sz w:val="22"/>
                <w:szCs w:val="22"/>
                <w:lang w:val="it-IT"/>
              </w:rPr>
            </w:pPr>
            <w:r w:rsidRPr="009D293D">
              <w:rPr>
                <w:b/>
                <w:sz w:val="22"/>
                <w:szCs w:val="22"/>
                <w:lang w:val="it-IT"/>
              </w:rPr>
              <w:t>Suomi/Finland</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tabs>
                <w:tab w:val="left" w:pos="-720"/>
              </w:tabs>
              <w:suppressAutoHyphens/>
              <w:rPr>
                <w:b/>
                <w:sz w:val="22"/>
                <w:szCs w:val="22"/>
                <w:lang w:val="it-IT"/>
              </w:rPr>
            </w:pPr>
            <w:r w:rsidRPr="009D293D">
              <w:rPr>
                <w:sz w:val="22"/>
                <w:szCs w:val="22"/>
                <w:lang w:val="it-IT"/>
              </w:rPr>
              <w:t>Puh/Tel: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Κύπρος</w:t>
            </w:r>
          </w:p>
          <w:p w:rsidR="00646D70" w:rsidRPr="00BA1F5F" w:rsidRDefault="00646D70" w:rsidP="00D97152">
            <w:pPr>
              <w:rPr>
                <w:sz w:val="22"/>
                <w:szCs w:val="22"/>
                <w:lang w:val="en-GB"/>
              </w:rPr>
            </w:pPr>
            <w:r w:rsidRPr="00BA1F5F">
              <w:rPr>
                <w:sz w:val="22"/>
                <w:szCs w:val="22"/>
                <w:lang w:val="en-GB"/>
              </w:rPr>
              <w:t>The Star Medicines Importers Co. Ltd.</w:t>
            </w:r>
          </w:p>
          <w:p w:rsidR="00646D70" w:rsidRPr="00BA1F5F" w:rsidRDefault="00646D70" w:rsidP="00D97152">
            <w:pPr>
              <w:rPr>
                <w:sz w:val="22"/>
                <w:szCs w:val="22"/>
                <w:lang w:val="en-GB" w:eastAsia="en-CA"/>
              </w:rPr>
            </w:pPr>
            <w:r w:rsidRPr="00BA1F5F">
              <w:rPr>
                <w:sz w:val="22"/>
                <w:szCs w:val="22"/>
                <w:lang w:val="en-GB"/>
              </w:rPr>
              <w:t xml:space="preserve">Τηλ: + </w:t>
            </w:r>
            <w:r w:rsidRPr="00BA1F5F">
              <w:rPr>
                <w:sz w:val="22"/>
                <w:szCs w:val="22"/>
                <w:lang w:val="en-GB" w:eastAsia="en-CA"/>
              </w:rPr>
              <w:t>357 25 371056</w:t>
            </w:r>
          </w:p>
          <w:p w:rsidR="00646D70" w:rsidRPr="00BA1F5F" w:rsidRDefault="00646D70" w:rsidP="00D97152">
            <w:pPr>
              <w:rPr>
                <w:b/>
                <w:sz w:val="22"/>
                <w:szCs w:val="22"/>
                <w:lang w:val="en-GB"/>
              </w:rPr>
            </w:pP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Sverige</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tabs>
                <w:tab w:val="left" w:pos="-720"/>
                <w:tab w:val="left" w:pos="4536"/>
              </w:tabs>
              <w:suppressAutoHyphens/>
              <w:rPr>
                <w:b/>
                <w:sz w:val="22"/>
                <w:szCs w:val="22"/>
                <w:lang w:val="en-GB"/>
              </w:rPr>
            </w:pPr>
            <w:r w:rsidRPr="00EB006A">
              <w:rPr>
                <w:sz w:val="22"/>
                <w:szCs w:val="22"/>
                <w:lang w:val="en-GB"/>
              </w:rPr>
              <w:t>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Latvija</w:t>
            </w:r>
          </w:p>
          <w:p w:rsidR="00646D70" w:rsidRPr="00EB006A" w:rsidRDefault="00646D70" w:rsidP="00D97152">
            <w:pPr>
              <w:rPr>
                <w:sz w:val="22"/>
                <w:szCs w:val="22"/>
                <w:lang w:val="en-GB"/>
              </w:rPr>
            </w:pPr>
            <w:r w:rsidRPr="00EB006A">
              <w:rPr>
                <w:sz w:val="22"/>
                <w:szCs w:val="22"/>
                <w:lang w:val="en-GB"/>
              </w:rPr>
              <w:t>Chiesi Pharmaceuticals GmbH</w:t>
            </w:r>
          </w:p>
          <w:p w:rsidR="00646D70" w:rsidRPr="00646D70" w:rsidRDefault="00646D70" w:rsidP="00D97152">
            <w:pPr>
              <w:rPr>
                <w:sz w:val="22"/>
                <w:szCs w:val="22"/>
              </w:rPr>
            </w:pPr>
            <w:r w:rsidRPr="00EB006A">
              <w:rPr>
                <w:sz w:val="22"/>
                <w:szCs w:val="22"/>
                <w:lang w:val="en-GB"/>
              </w:rPr>
              <w:t>Tel: + 43 1 4073919</w:t>
            </w: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United Kingdom</w:t>
            </w:r>
          </w:p>
          <w:p w:rsidR="00646D70" w:rsidRDefault="00646D70" w:rsidP="00D97152">
            <w:pPr>
              <w:pStyle w:val="Default"/>
              <w:rPr>
                <w:sz w:val="22"/>
                <w:szCs w:val="22"/>
              </w:rPr>
            </w:pPr>
            <w:r>
              <w:rPr>
                <w:sz w:val="22"/>
                <w:szCs w:val="22"/>
              </w:rPr>
              <w:t xml:space="preserve">Chiesi Ltd </w:t>
            </w:r>
          </w:p>
          <w:p w:rsidR="00646D70" w:rsidRPr="00BA1F5F" w:rsidRDefault="00646D70" w:rsidP="00D97152">
            <w:pPr>
              <w:rPr>
                <w:sz w:val="22"/>
                <w:szCs w:val="22"/>
                <w:lang w:val="en-GB"/>
              </w:rPr>
            </w:pPr>
            <w:r>
              <w:rPr>
                <w:sz w:val="22"/>
                <w:szCs w:val="22"/>
              </w:rPr>
              <w:t xml:space="preserve">Tel: + 44 (0)161 488 5555 </w:t>
            </w:r>
          </w:p>
        </w:tc>
      </w:tr>
    </w:tbl>
    <w:p w:rsidR="00BA1F5F" w:rsidRPr="00646D70" w:rsidRDefault="00BA1F5F" w:rsidP="00BA1F5F">
      <w:pPr>
        <w:rPr>
          <w:sz w:val="22"/>
          <w:szCs w:val="22"/>
        </w:rPr>
      </w:pPr>
    </w:p>
    <w:p w:rsidR="00655BAA" w:rsidRPr="00BA1F5F" w:rsidRDefault="00655BAA" w:rsidP="00BA1F5F">
      <w:pPr>
        <w:rPr>
          <w:sz w:val="22"/>
          <w:szCs w:val="22"/>
          <w:lang w:val="en-GB"/>
        </w:rPr>
      </w:pPr>
    </w:p>
    <w:p w:rsidR="000F1AE3" w:rsidRPr="007722A3" w:rsidRDefault="008F7FF3" w:rsidP="00933262">
      <w:pPr>
        <w:pStyle w:val="Heading3"/>
        <w:rPr>
          <w:noProof/>
        </w:rPr>
      </w:pPr>
      <w:r w:rsidRPr="007722A3">
        <w:t xml:space="preserve">This leaflet was last </w:t>
      </w:r>
      <w:r w:rsidR="009C17B7" w:rsidRPr="007722A3">
        <w:t>revised</w:t>
      </w:r>
      <w:r w:rsidRPr="007722A3">
        <w:t xml:space="preserve"> in</w:t>
      </w:r>
      <w:r w:rsidR="009C17B7" w:rsidRPr="007722A3">
        <w:t xml:space="preserve"> .</w:t>
      </w:r>
    </w:p>
    <w:p w:rsidR="006A24BF" w:rsidRPr="007722A3" w:rsidRDefault="006A24BF" w:rsidP="006A24BF">
      <w:pPr>
        <w:rPr>
          <w:sz w:val="22"/>
          <w:szCs w:val="22"/>
          <w:lang w:val="en-GB"/>
        </w:rPr>
      </w:pPr>
    </w:p>
    <w:p w:rsidR="006A24BF" w:rsidRPr="007722A3" w:rsidRDefault="006A24BF" w:rsidP="006A24BF">
      <w:pPr>
        <w:rPr>
          <w:b/>
          <w:sz w:val="22"/>
          <w:szCs w:val="22"/>
          <w:lang w:val="en-GB"/>
        </w:rPr>
      </w:pPr>
      <w:r w:rsidRPr="007722A3">
        <w:rPr>
          <w:sz w:val="22"/>
          <w:szCs w:val="22"/>
          <w:lang w:val="en-GB"/>
        </w:rPr>
        <w:t>Detailed information on this medicine is available on the European Medicines Agency web site: http://www.ema.europa.eu</w:t>
      </w:r>
      <w:r w:rsidR="009C17B7" w:rsidRPr="007722A3">
        <w:rPr>
          <w:sz w:val="22"/>
          <w:szCs w:val="22"/>
          <w:lang w:val="en-GB"/>
        </w:rPr>
        <w:t>.</w:t>
      </w:r>
    </w:p>
    <w:p w:rsidR="00122CDB" w:rsidRPr="007722A3" w:rsidRDefault="00122CDB" w:rsidP="00122CDB">
      <w:pPr>
        <w:pStyle w:val="Title"/>
        <w:rPr>
          <w:szCs w:val="22"/>
          <w:lang w:val="en-GB"/>
        </w:rPr>
      </w:pPr>
      <w:r>
        <w:rPr>
          <w:szCs w:val="22"/>
          <w:lang w:val="en-GB"/>
        </w:rPr>
        <w:br w:type="page"/>
      </w:r>
      <w:r w:rsidRPr="007722A3">
        <w:rPr>
          <w:szCs w:val="22"/>
          <w:lang w:val="en-GB"/>
        </w:rPr>
        <w:t>Package leaflet: Information for the user</w:t>
      </w:r>
    </w:p>
    <w:p w:rsidR="00122CDB" w:rsidRPr="007722A3" w:rsidRDefault="00122CDB" w:rsidP="00122CDB">
      <w:pPr>
        <w:pStyle w:val="Title"/>
        <w:rPr>
          <w:szCs w:val="22"/>
          <w:lang w:val="en-GB"/>
        </w:rPr>
      </w:pPr>
    </w:p>
    <w:p w:rsidR="00122CDB" w:rsidRPr="007722A3" w:rsidRDefault="00122CDB" w:rsidP="00122CDB">
      <w:pPr>
        <w:pStyle w:val="Title"/>
        <w:rPr>
          <w:szCs w:val="22"/>
          <w:lang w:val="en-GB"/>
        </w:rPr>
      </w:pPr>
      <w:r w:rsidRPr="007722A3">
        <w:rPr>
          <w:szCs w:val="22"/>
          <w:lang w:val="en-GB"/>
        </w:rPr>
        <w:t>Ferriprox 1000 mg film-coated tablets</w:t>
      </w:r>
    </w:p>
    <w:p w:rsidR="00122CDB" w:rsidRPr="007722A3" w:rsidRDefault="00330AE8" w:rsidP="00122CDB">
      <w:pPr>
        <w:pStyle w:val="Title"/>
        <w:rPr>
          <w:b w:val="0"/>
          <w:bCs/>
          <w:szCs w:val="22"/>
          <w:lang w:val="en-GB"/>
        </w:rPr>
      </w:pPr>
      <w:r>
        <w:rPr>
          <w:b w:val="0"/>
          <w:bCs/>
          <w:szCs w:val="22"/>
          <w:lang w:val="en-GB"/>
        </w:rPr>
        <w:t>d</w:t>
      </w:r>
      <w:r w:rsidR="00122CDB" w:rsidRPr="007722A3">
        <w:rPr>
          <w:b w:val="0"/>
          <w:bCs/>
          <w:szCs w:val="22"/>
          <w:lang w:val="en-GB"/>
        </w:rPr>
        <w:t>eferiprone</w:t>
      </w:r>
    </w:p>
    <w:p w:rsidR="00122CDB" w:rsidRPr="007722A3" w:rsidRDefault="00122CDB" w:rsidP="00122CDB">
      <w:pPr>
        <w:rPr>
          <w:sz w:val="22"/>
          <w:szCs w:val="22"/>
          <w:lang w:val="en-GB"/>
        </w:rPr>
      </w:pPr>
    </w:p>
    <w:p w:rsidR="00122CDB" w:rsidRPr="007722A3" w:rsidRDefault="00122CDB" w:rsidP="00122CDB">
      <w:pPr>
        <w:rPr>
          <w:b/>
          <w:bCs/>
          <w:sz w:val="22"/>
          <w:szCs w:val="22"/>
          <w:lang w:val="en-GB"/>
        </w:rPr>
      </w:pPr>
      <w:r w:rsidRPr="007722A3">
        <w:rPr>
          <w:b/>
          <w:bCs/>
          <w:sz w:val="22"/>
          <w:szCs w:val="22"/>
          <w:lang w:val="en-GB"/>
        </w:rPr>
        <w:t>Read all of this leaflet carefully before you start taking this medicine because it contains important information for you.</w:t>
      </w:r>
    </w:p>
    <w:p w:rsidR="00122CDB" w:rsidRPr="007722A3" w:rsidRDefault="00122CDB" w:rsidP="00306CE4">
      <w:pPr>
        <w:numPr>
          <w:ilvl w:val="0"/>
          <w:numId w:val="2"/>
        </w:numPr>
        <w:tabs>
          <w:tab w:val="clear" w:pos="360"/>
        </w:tabs>
        <w:ind w:left="540" w:hanging="540"/>
        <w:rPr>
          <w:sz w:val="22"/>
          <w:szCs w:val="22"/>
          <w:lang w:val="en-GB"/>
        </w:rPr>
      </w:pPr>
      <w:r w:rsidRPr="007722A3">
        <w:rPr>
          <w:sz w:val="22"/>
          <w:szCs w:val="22"/>
          <w:lang w:val="en-GB"/>
        </w:rPr>
        <w:t>Keep this leaflet. You may need to read it again.</w:t>
      </w:r>
    </w:p>
    <w:p w:rsidR="00122CDB" w:rsidRPr="007722A3" w:rsidRDefault="00122CDB" w:rsidP="00306CE4">
      <w:pPr>
        <w:numPr>
          <w:ilvl w:val="0"/>
          <w:numId w:val="2"/>
        </w:numPr>
        <w:tabs>
          <w:tab w:val="clear" w:pos="360"/>
        </w:tabs>
        <w:ind w:left="540" w:hanging="540"/>
        <w:rPr>
          <w:sz w:val="22"/>
          <w:szCs w:val="22"/>
          <w:lang w:val="en-GB"/>
        </w:rPr>
      </w:pPr>
      <w:r w:rsidRPr="007722A3">
        <w:rPr>
          <w:sz w:val="22"/>
          <w:szCs w:val="22"/>
          <w:lang w:val="en-GB"/>
        </w:rPr>
        <w:t>If you have any further questions, ask your doctor or pharmacist.</w:t>
      </w:r>
    </w:p>
    <w:p w:rsidR="00122CDB" w:rsidRPr="007722A3" w:rsidRDefault="00122CDB" w:rsidP="00306CE4">
      <w:pPr>
        <w:numPr>
          <w:ilvl w:val="0"/>
          <w:numId w:val="2"/>
        </w:numPr>
        <w:tabs>
          <w:tab w:val="clear" w:pos="360"/>
        </w:tabs>
        <w:ind w:left="540" w:hanging="540"/>
        <w:rPr>
          <w:sz w:val="22"/>
          <w:szCs w:val="22"/>
          <w:lang w:val="en-GB"/>
        </w:rPr>
      </w:pPr>
      <w:r w:rsidRPr="007722A3">
        <w:rPr>
          <w:sz w:val="22"/>
          <w:szCs w:val="22"/>
          <w:lang w:val="en-GB"/>
        </w:rPr>
        <w:t>This medicine has been prescribed for you only. Do not pass it on to others. It may harm them, even if their signs of illness are the same as yours.</w:t>
      </w:r>
    </w:p>
    <w:p w:rsidR="00631550" w:rsidRPr="007722A3" w:rsidRDefault="00631550" w:rsidP="00306CE4">
      <w:pPr>
        <w:numPr>
          <w:ilvl w:val="0"/>
          <w:numId w:val="2"/>
        </w:numPr>
        <w:tabs>
          <w:tab w:val="clear" w:pos="360"/>
        </w:tabs>
        <w:ind w:left="540" w:hanging="540"/>
        <w:rPr>
          <w:sz w:val="22"/>
          <w:szCs w:val="22"/>
          <w:lang w:val="en-GB"/>
        </w:rPr>
      </w:pPr>
      <w:r w:rsidRPr="007722A3">
        <w:rPr>
          <w:sz w:val="22"/>
          <w:szCs w:val="22"/>
          <w:lang w:val="en-GB"/>
        </w:rPr>
        <w:t>If you get any side effects, talk to your doctor or pharmacist. This includes any possible side effects not listed in this leaflet</w:t>
      </w:r>
      <w:r>
        <w:rPr>
          <w:sz w:val="22"/>
          <w:szCs w:val="22"/>
          <w:lang w:val="en-GB"/>
        </w:rPr>
        <w:t>. See section 4.</w:t>
      </w:r>
    </w:p>
    <w:p w:rsidR="00330AE8" w:rsidRPr="007C78AF" w:rsidRDefault="00330AE8" w:rsidP="00330AE8">
      <w:pPr>
        <w:pStyle w:val="PILbullets"/>
        <w:tabs>
          <w:tab w:val="clear" w:pos="360"/>
        </w:tabs>
        <w:ind w:left="540" w:hanging="540"/>
      </w:pPr>
      <w:r w:rsidRPr="007C78AF">
        <w:t>Attached to this leaflet you will find a patient/carer reminder card. You should detach, complete, read the card carefully and carry it with you. Provide this card to your doctor if you develop infection symptoms such as a fever, sore throat or flu-like symptoms.</w:t>
      </w:r>
    </w:p>
    <w:p w:rsidR="00122CDB" w:rsidRPr="007722A3" w:rsidRDefault="00122CDB" w:rsidP="00122CDB">
      <w:pPr>
        <w:rPr>
          <w:sz w:val="22"/>
          <w:szCs w:val="22"/>
          <w:lang w:val="en-GB"/>
        </w:rPr>
      </w:pPr>
    </w:p>
    <w:p w:rsidR="00122CDB" w:rsidRPr="007722A3" w:rsidRDefault="00122CDB" w:rsidP="00122CDB">
      <w:pPr>
        <w:pStyle w:val="Heading3"/>
      </w:pPr>
      <w:r w:rsidRPr="007722A3">
        <w:t>What is in this leaflet:</w:t>
      </w:r>
    </w:p>
    <w:p w:rsidR="00122CDB" w:rsidRPr="007722A3" w:rsidRDefault="00122CDB" w:rsidP="00122CDB">
      <w:pPr>
        <w:ind w:left="540" w:hanging="540"/>
        <w:rPr>
          <w:sz w:val="22"/>
          <w:szCs w:val="22"/>
          <w:lang w:val="en-GB"/>
        </w:rPr>
      </w:pPr>
      <w:r w:rsidRPr="007722A3">
        <w:rPr>
          <w:sz w:val="22"/>
          <w:szCs w:val="22"/>
          <w:lang w:val="en-GB"/>
        </w:rPr>
        <w:t>1.</w:t>
      </w:r>
      <w:r w:rsidRPr="007722A3">
        <w:rPr>
          <w:sz w:val="22"/>
          <w:szCs w:val="22"/>
          <w:lang w:val="en-GB"/>
        </w:rPr>
        <w:tab/>
        <w:t>What Ferriprox is and what it is used for</w:t>
      </w:r>
    </w:p>
    <w:p w:rsidR="00122CDB" w:rsidRPr="007722A3" w:rsidRDefault="00122CDB" w:rsidP="00122CDB">
      <w:pPr>
        <w:ind w:left="540" w:hanging="540"/>
        <w:rPr>
          <w:sz w:val="22"/>
          <w:szCs w:val="22"/>
          <w:lang w:val="en-GB"/>
        </w:rPr>
      </w:pPr>
      <w:r w:rsidRPr="007722A3">
        <w:rPr>
          <w:sz w:val="22"/>
          <w:szCs w:val="22"/>
          <w:lang w:val="en-GB"/>
        </w:rPr>
        <w:t>2.</w:t>
      </w:r>
      <w:r w:rsidRPr="007722A3">
        <w:rPr>
          <w:sz w:val="22"/>
          <w:szCs w:val="22"/>
          <w:lang w:val="en-GB"/>
        </w:rPr>
        <w:tab/>
        <w:t>What you need to know before you take Ferriprox</w:t>
      </w:r>
    </w:p>
    <w:p w:rsidR="00122CDB" w:rsidRPr="007722A3" w:rsidRDefault="00122CDB" w:rsidP="00122CDB">
      <w:pPr>
        <w:ind w:left="540" w:hanging="540"/>
        <w:rPr>
          <w:sz w:val="22"/>
          <w:szCs w:val="22"/>
          <w:lang w:val="en-GB"/>
        </w:rPr>
      </w:pPr>
      <w:r w:rsidRPr="007722A3">
        <w:rPr>
          <w:sz w:val="22"/>
          <w:szCs w:val="22"/>
          <w:lang w:val="en-GB"/>
        </w:rPr>
        <w:t>3.</w:t>
      </w:r>
      <w:r w:rsidRPr="007722A3">
        <w:rPr>
          <w:sz w:val="22"/>
          <w:szCs w:val="22"/>
          <w:lang w:val="en-GB"/>
        </w:rPr>
        <w:tab/>
        <w:t>How to take Ferriprox</w:t>
      </w:r>
    </w:p>
    <w:p w:rsidR="00122CDB" w:rsidRPr="007722A3" w:rsidRDefault="00122CDB" w:rsidP="00122CDB">
      <w:pPr>
        <w:ind w:left="540" w:hanging="540"/>
        <w:rPr>
          <w:sz w:val="22"/>
          <w:szCs w:val="22"/>
          <w:lang w:val="en-GB"/>
        </w:rPr>
      </w:pPr>
      <w:r w:rsidRPr="007722A3">
        <w:rPr>
          <w:sz w:val="22"/>
          <w:szCs w:val="22"/>
          <w:lang w:val="en-GB"/>
        </w:rPr>
        <w:t>4.</w:t>
      </w:r>
      <w:r w:rsidRPr="007722A3">
        <w:rPr>
          <w:sz w:val="22"/>
          <w:szCs w:val="22"/>
          <w:lang w:val="en-GB"/>
        </w:rPr>
        <w:tab/>
        <w:t>Possible side effects</w:t>
      </w:r>
    </w:p>
    <w:p w:rsidR="00122CDB" w:rsidRPr="007722A3" w:rsidRDefault="00122CDB" w:rsidP="00122CDB">
      <w:pPr>
        <w:ind w:left="540" w:hanging="540"/>
        <w:rPr>
          <w:sz w:val="22"/>
          <w:szCs w:val="22"/>
          <w:lang w:val="en-GB"/>
        </w:rPr>
      </w:pPr>
      <w:r w:rsidRPr="007722A3">
        <w:rPr>
          <w:sz w:val="22"/>
          <w:szCs w:val="22"/>
          <w:lang w:val="en-GB"/>
        </w:rPr>
        <w:t>5.</w:t>
      </w:r>
      <w:r w:rsidRPr="007722A3">
        <w:rPr>
          <w:sz w:val="22"/>
          <w:szCs w:val="22"/>
          <w:lang w:val="en-GB"/>
        </w:rPr>
        <w:tab/>
        <w:t>How to store Ferriprox</w:t>
      </w:r>
    </w:p>
    <w:p w:rsidR="00122CDB" w:rsidRPr="007722A3" w:rsidRDefault="00122CDB" w:rsidP="00122CDB">
      <w:pPr>
        <w:ind w:left="540" w:hanging="540"/>
        <w:rPr>
          <w:sz w:val="22"/>
          <w:szCs w:val="22"/>
          <w:lang w:val="en-GB"/>
        </w:rPr>
      </w:pPr>
      <w:r w:rsidRPr="007722A3">
        <w:rPr>
          <w:sz w:val="22"/>
          <w:szCs w:val="22"/>
          <w:lang w:val="en-GB"/>
        </w:rPr>
        <w:t>6.</w:t>
      </w:r>
      <w:r w:rsidRPr="007722A3">
        <w:rPr>
          <w:sz w:val="22"/>
          <w:szCs w:val="22"/>
          <w:lang w:val="en-GB"/>
        </w:rPr>
        <w:tab/>
        <w:t>Contents of the pack and other information</w:t>
      </w:r>
    </w:p>
    <w:p w:rsidR="00122CDB" w:rsidRPr="007722A3" w:rsidRDefault="00122CDB" w:rsidP="00122CDB">
      <w:pPr>
        <w:rPr>
          <w:sz w:val="22"/>
          <w:szCs w:val="22"/>
          <w:lang w:val="en-GB"/>
        </w:rPr>
      </w:pPr>
    </w:p>
    <w:p w:rsidR="00122CDB" w:rsidRPr="007722A3" w:rsidRDefault="00122CDB" w:rsidP="00122CDB">
      <w:pPr>
        <w:rPr>
          <w:sz w:val="22"/>
          <w:szCs w:val="22"/>
          <w:lang w:val="en-GB"/>
        </w:rPr>
      </w:pPr>
    </w:p>
    <w:p w:rsidR="00122CDB" w:rsidRPr="007722A3" w:rsidRDefault="00122CDB" w:rsidP="00122CDB">
      <w:pPr>
        <w:ind w:left="540" w:hanging="540"/>
        <w:rPr>
          <w:b/>
          <w:sz w:val="22"/>
          <w:szCs w:val="22"/>
          <w:lang w:val="en-GB"/>
        </w:rPr>
      </w:pPr>
      <w:r w:rsidRPr="007722A3">
        <w:rPr>
          <w:b/>
          <w:sz w:val="22"/>
          <w:szCs w:val="22"/>
          <w:lang w:val="en-GB"/>
        </w:rPr>
        <w:t>1.</w:t>
      </w:r>
      <w:r w:rsidRPr="007722A3">
        <w:rPr>
          <w:b/>
          <w:sz w:val="22"/>
          <w:szCs w:val="22"/>
          <w:lang w:val="en-GB"/>
        </w:rPr>
        <w:tab/>
        <w:t xml:space="preserve">What Ferriprox </w:t>
      </w:r>
      <w:r w:rsidR="00CD70B8">
        <w:rPr>
          <w:b/>
          <w:sz w:val="22"/>
          <w:szCs w:val="22"/>
          <w:lang w:val="en-GB"/>
        </w:rPr>
        <w:t xml:space="preserve">is </w:t>
      </w:r>
      <w:r w:rsidRPr="007722A3">
        <w:rPr>
          <w:b/>
          <w:sz w:val="22"/>
          <w:szCs w:val="22"/>
          <w:lang w:val="en-GB"/>
        </w:rPr>
        <w:t>and what it is used for</w:t>
      </w:r>
    </w:p>
    <w:p w:rsidR="00122CDB" w:rsidRPr="007722A3" w:rsidRDefault="00122CDB" w:rsidP="00122CDB">
      <w:pPr>
        <w:rPr>
          <w:sz w:val="22"/>
          <w:szCs w:val="22"/>
          <w:lang w:val="en-GB"/>
        </w:rPr>
      </w:pPr>
    </w:p>
    <w:p w:rsidR="00861106" w:rsidRPr="007722A3" w:rsidRDefault="00861106" w:rsidP="00861106">
      <w:pPr>
        <w:rPr>
          <w:sz w:val="22"/>
          <w:szCs w:val="22"/>
          <w:lang w:val="en-GB"/>
        </w:rPr>
      </w:pPr>
      <w:r w:rsidRPr="007722A3">
        <w:rPr>
          <w:sz w:val="22"/>
          <w:szCs w:val="22"/>
          <w:lang w:val="en-GB"/>
        </w:rPr>
        <w:t xml:space="preserve">Ferriprox contains the active substance deferiprone. Ferriprox is </w:t>
      </w:r>
      <w:r>
        <w:rPr>
          <w:sz w:val="22"/>
          <w:szCs w:val="22"/>
          <w:lang w:val="en-GB"/>
        </w:rPr>
        <w:t xml:space="preserve">an iron chelator, </w:t>
      </w:r>
      <w:r w:rsidRPr="007722A3">
        <w:rPr>
          <w:sz w:val="22"/>
          <w:szCs w:val="22"/>
          <w:lang w:val="en-GB"/>
        </w:rPr>
        <w:t xml:space="preserve">a </w:t>
      </w:r>
      <w:r>
        <w:rPr>
          <w:sz w:val="22"/>
          <w:szCs w:val="22"/>
          <w:lang w:val="en-GB"/>
        </w:rPr>
        <w:t xml:space="preserve">type of </w:t>
      </w:r>
      <w:r w:rsidRPr="007722A3">
        <w:rPr>
          <w:sz w:val="22"/>
          <w:szCs w:val="22"/>
          <w:lang w:val="en-GB"/>
        </w:rPr>
        <w:t xml:space="preserve">medicine that removes </w:t>
      </w:r>
      <w:r>
        <w:rPr>
          <w:sz w:val="22"/>
          <w:szCs w:val="22"/>
          <w:lang w:val="en-GB"/>
        </w:rPr>
        <w:t xml:space="preserve">excess </w:t>
      </w:r>
      <w:r w:rsidRPr="007722A3">
        <w:rPr>
          <w:sz w:val="22"/>
          <w:szCs w:val="22"/>
          <w:lang w:val="en-GB"/>
        </w:rPr>
        <w:t>iron from the body.</w:t>
      </w:r>
    </w:p>
    <w:p w:rsidR="00122CDB" w:rsidRPr="007722A3" w:rsidRDefault="00122CDB" w:rsidP="00122CDB">
      <w:pPr>
        <w:rPr>
          <w:sz w:val="22"/>
          <w:szCs w:val="22"/>
          <w:lang w:val="en-GB"/>
        </w:rPr>
      </w:pPr>
    </w:p>
    <w:p w:rsidR="00CC7C4C" w:rsidRPr="007722A3" w:rsidRDefault="00CC7C4C" w:rsidP="00CC7C4C">
      <w:pPr>
        <w:rPr>
          <w:sz w:val="22"/>
          <w:szCs w:val="22"/>
          <w:lang w:val="en-GB"/>
        </w:rPr>
      </w:pPr>
      <w:r w:rsidRPr="007722A3">
        <w:rPr>
          <w:sz w:val="22"/>
          <w:szCs w:val="22"/>
          <w:lang w:val="en-GB"/>
        </w:rPr>
        <w:t xml:space="preserve">Ferriprox is used to treat iron overload caused by frequent blood transfusions in patients with thalassaemia major when </w:t>
      </w:r>
      <w:r>
        <w:rPr>
          <w:sz w:val="22"/>
          <w:szCs w:val="22"/>
          <w:lang w:val="en-GB"/>
        </w:rPr>
        <w:t xml:space="preserve">current chelation </w:t>
      </w:r>
      <w:r w:rsidRPr="007722A3">
        <w:rPr>
          <w:sz w:val="22"/>
          <w:szCs w:val="22"/>
          <w:lang w:val="en-GB"/>
        </w:rPr>
        <w:t>therapy is contraindicated or inadequate.</w:t>
      </w:r>
    </w:p>
    <w:p w:rsidR="00122CDB" w:rsidRPr="007722A3" w:rsidRDefault="00122CDB" w:rsidP="00122CDB">
      <w:pPr>
        <w:rPr>
          <w:sz w:val="22"/>
          <w:szCs w:val="22"/>
          <w:lang w:val="en-GB"/>
        </w:rPr>
      </w:pPr>
    </w:p>
    <w:p w:rsidR="00122CDB" w:rsidRPr="007722A3" w:rsidRDefault="00122CDB" w:rsidP="00122CDB">
      <w:pPr>
        <w:rPr>
          <w:sz w:val="22"/>
          <w:szCs w:val="22"/>
          <w:lang w:val="en-GB"/>
        </w:rPr>
      </w:pPr>
    </w:p>
    <w:p w:rsidR="00122CDB" w:rsidRPr="007722A3" w:rsidRDefault="00122CDB" w:rsidP="00122CDB">
      <w:pPr>
        <w:ind w:left="540" w:hanging="540"/>
        <w:rPr>
          <w:b/>
          <w:sz w:val="22"/>
          <w:szCs w:val="22"/>
          <w:lang w:val="en-GB"/>
        </w:rPr>
      </w:pPr>
      <w:r w:rsidRPr="007722A3">
        <w:rPr>
          <w:b/>
          <w:sz w:val="22"/>
          <w:szCs w:val="22"/>
          <w:lang w:val="en-GB"/>
        </w:rPr>
        <w:t>2.</w:t>
      </w:r>
      <w:r w:rsidRPr="007722A3">
        <w:rPr>
          <w:b/>
          <w:sz w:val="22"/>
          <w:szCs w:val="22"/>
          <w:lang w:val="en-GB"/>
        </w:rPr>
        <w:tab/>
        <w:t>What you need to know before you take Ferriprox</w:t>
      </w:r>
    </w:p>
    <w:p w:rsidR="00122CDB" w:rsidRPr="007722A3" w:rsidRDefault="00122CDB" w:rsidP="00122CDB">
      <w:pPr>
        <w:ind w:left="567" w:hanging="567"/>
        <w:rPr>
          <w:b/>
          <w:sz w:val="22"/>
          <w:szCs w:val="22"/>
          <w:lang w:val="en-GB"/>
        </w:rPr>
      </w:pPr>
    </w:p>
    <w:p w:rsidR="00122CDB" w:rsidRPr="007722A3" w:rsidRDefault="00122CDB" w:rsidP="00122CDB">
      <w:pPr>
        <w:pStyle w:val="Heading3"/>
      </w:pPr>
      <w:r w:rsidRPr="007722A3">
        <w:t>Do not take Ferriprox</w:t>
      </w:r>
    </w:p>
    <w:p w:rsidR="00122CDB" w:rsidRPr="00306CE4" w:rsidRDefault="00122CDB" w:rsidP="00306CE4">
      <w:pPr>
        <w:numPr>
          <w:ilvl w:val="0"/>
          <w:numId w:val="2"/>
        </w:numPr>
        <w:tabs>
          <w:tab w:val="clear" w:pos="360"/>
        </w:tabs>
        <w:ind w:left="540" w:hanging="540"/>
        <w:rPr>
          <w:sz w:val="22"/>
          <w:szCs w:val="22"/>
          <w:lang w:val="en-GB"/>
        </w:rPr>
      </w:pPr>
      <w:r w:rsidRPr="00306CE4">
        <w:rPr>
          <w:sz w:val="22"/>
          <w:szCs w:val="22"/>
          <w:lang w:val="en-GB"/>
        </w:rPr>
        <w:t>if you are allergic to deferiprone or any of the other ingredients of this medicine (listed in section 6).</w:t>
      </w:r>
    </w:p>
    <w:p w:rsidR="00122CDB" w:rsidRPr="00306CE4" w:rsidRDefault="00122CDB" w:rsidP="00306CE4">
      <w:pPr>
        <w:numPr>
          <w:ilvl w:val="0"/>
          <w:numId w:val="2"/>
        </w:numPr>
        <w:tabs>
          <w:tab w:val="clear" w:pos="360"/>
        </w:tabs>
        <w:ind w:left="540" w:hanging="540"/>
        <w:rPr>
          <w:sz w:val="22"/>
          <w:szCs w:val="22"/>
          <w:lang w:val="en-GB"/>
        </w:rPr>
      </w:pPr>
      <w:r w:rsidRPr="00306CE4">
        <w:rPr>
          <w:sz w:val="22"/>
          <w:szCs w:val="22"/>
          <w:lang w:val="en-GB"/>
        </w:rPr>
        <w:t>if you have a history of repeated episodes of neutropenia (low white blood cell (neutrophil) count).</w:t>
      </w:r>
    </w:p>
    <w:p w:rsidR="00122CDB" w:rsidRPr="00306CE4" w:rsidRDefault="00122CDB" w:rsidP="00306CE4">
      <w:pPr>
        <w:numPr>
          <w:ilvl w:val="0"/>
          <w:numId w:val="2"/>
        </w:numPr>
        <w:tabs>
          <w:tab w:val="clear" w:pos="360"/>
        </w:tabs>
        <w:ind w:left="540" w:hanging="540"/>
        <w:rPr>
          <w:sz w:val="22"/>
          <w:szCs w:val="22"/>
          <w:lang w:val="en-GB"/>
        </w:rPr>
      </w:pPr>
      <w:r w:rsidRPr="00306CE4">
        <w:rPr>
          <w:sz w:val="22"/>
          <w:szCs w:val="22"/>
          <w:lang w:val="en-GB"/>
        </w:rPr>
        <w:t>if you have a history of agranulocytosis (very low white blood cell (neutrophil) count).</w:t>
      </w:r>
    </w:p>
    <w:p w:rsidR="00122CDB" w:rsidRPr="00306CE4" w:rsidRDefault="00122CDB" w:rsidP="00306CE4">
      <w:pPr>
        <w:numPr>
          <w:ilvl w:val="0"/>
          <w:numId w:val="2"/>
        </w:numPr>
        <w:tabs>
          <w:tab w:val="clear" w:pos="360"/>
        </w:tabs>
        <w:ind w:left="540" w:hanging="540"/>
        <w:rPr>
          <w:sz w:val="22"/>
          <w:szCs w:val="22"/>
          <w:lang w:val="en-GB"/>
        </w:rPr>
      </w:pPr>
      <w:r w:rsidRPr="00306CE4">
        <w:rPr>
          <w:sz w:val="22"/>
          <w:szCs w:val="22"/>
          <w:lang w:val="en-GB"/>
        </w:rPr>
        <w:t>if you are currently taking medicines known to cause neutropenia or agranulocytosis (see “Other medicines and Ferriprox”).</w:t>
      </w:r>
    </w:p>
    <w:p w:rsidR="00122CDB" w:rsidRPr="00306CE4" w:rsidRDefault="00122CDB" w:rsidP="00306CE4">
      <w:pPr>
        <w:numPr>
          <w:ilvl w:val="0"/>
          <w:numId w:val="2"/>
        </w:numPr>
        <w:tabs>
          <w:tab w:val="clear" w:pos="360"/>
        </w:tabs>
        <w:ind w:left="540" w:hanging="540"/>
        <w:rPr>
          <w:sz w:val="22"/>
          <w:szCs w:val="22"/>
          <w:lang w:val="en-GB"/>
        </w:rPr>
      </w:pPr>
      <w:r w:rsidRPr="00306CE4">
        <w:rPr>
          <w:sz w:val="22"/>
          <w:szCs w:val="22"/>
          <w:lang w:val="en-GB"/>
        </w:rPr>
        <w:t>if you are pregnant or breast-feeding.</w:t>
      </w:r>
    </w:p>
    <w:p w:rsidR="00122CDB" w:rsidRPr="007722A3" w:rsidRDefault="00122CDB" w:rsidP="00122CDB">
      <w:pPr>
        <w:pStyle w:val="BodyText"/>
      </w:pPr>
    </w:p>
    <w:p w:rsidR="00122CDB" w:rsidRPr="007722A3" w:rsidRDefault="00122CDB" w:rsidP="00122CDB">
      <w:pPr>
        <w:pStyle w:val="Heading3"/>
      </w:pPr>
      <w:r w:rsidRPr="007722A3">
        <w:t>Warnings and precautions</w:t>
      </w:r>
    </w:p>
    <w:p w:rsidR="00330AE8" w:rsidRPr="00330AE8" w:rsidRDefault="00330AE8" w:rsidP="00330AE8">
      <w:pPr>
        <w:numPr>
          <w:ilvl w:val="0"/>
          <w:numId w:val="2"/>
        </w:numPr>
        <w:tabs>
          <w:tab w:val="clear" w:pos="360"/>
        </w:tabs>
        <w:ind w:left="540" w:hanging="540"/>
        <w:rPr>
          <w:sz w:val="22"/>
          <w:szCs w:val="22"/>
          <w:lang w:val="en-GB"/>
        </w:rPr>
      </w:pPr>
      <w:r w:rsidRPr="00330AE8">
        <w:rPr>
          <w:sz w:val="22"/>
          <w:szCs w:val="22"/>
          <w:lang w:val="en-GB"/>
        </w:rPr>
        <w:t>the most serious side effect that may occur while taking Ferriprox is a very low white blood cell (neutrophil) count. This condition, known as severe neutropenia or agranulocytosis, has occurred in 1 to 2 out of 100 people who have taken Ferriprox in clinical studies. Because white blood cells help to fight infection, a low neutrophil count may place you at risk of developing a serious and potentially life</w:t>
      </w:r>
      <w:r w:rsidRPr="00330AE8">
        <w:rPr>
          <w:sz w:val="22"/>
          <w:szCs w:val="22"/>
          <w:lang w:val="en-GB"/>
        </w:rPr>
        <w:noBreakHyphen/>
        <w:t>threatening infection. To monitor for neutropenia, your doctor will ask you to have a blood test (to check your white blood cell count) performed regularly, as frequently as every week, while you are being treated with Ferriprox. It is very important for you to keep all of these appointments. Please refer to the patient/carer reminder card attached to this leaflet. If you get any symptoms of infection such as fever, sore throat or flu-like symptoms, immediately seek medical attention. Your white blood cell count must be checked within 24 hours in order to detect potential agranulocytosis.</w:t>
      </w:r>
    </w:p>
    <w:p w:rsidR="00330AE8" w:rsidRPr="00330AE8" w:rsidRDefault="00330AE8" w:rsidP="00330AE8">
      <w:pPr>
        <w:numPr>
          <w:ilvl w:val="0"/>
          <w:numId w:val="2"/>
        </w:numPr>
        <w:tabs>
          <w:tab w:val="clear" w:pos="360"/>
        </w:tabs>
        <w:ind w:left="540" w:hanging="540"/>
        <w:rPr>
          <w:sz w:val="22"/>
          <w:szCs w:val="22"/>
          <w:lang w:val="en-GB"/>
        </w:rPr>
      </w:pPr>
      <w:r w:rsidRPr="00330AE8">
        <w:rPr>
          <w:sz w:val="22"/>
          <w:szCs w:val="22"/>
          <w:lang w:val="en-GB"/>
        </w:rPr>
        <w:t>if you are HIV positive or if your liver or kidney function is severely impaired, your doctor may recommend additional tests.</w:t>
      </w:r>
    </w:p>
    <w:p w:rsidR="00330AE8" w:rsidRDefault="00330AE8" w:rsidP="00122CDB">
      <w:pPr>
        <w:pStyle w:val="BodyText"/>
      </w:pPr>
    </w:p>
    <w:p w:rsidR="00122CDB" w:rsidRPr="007722A3" w:rsidRDefault="00122CDB" w:rsidP="00122CDB">
      <w:pPr>
        <w:pStyle w:val="BodyText"/>
      </w:pPr>
      <w:r w:rsidRPr="007722A3">
        <w:t>Your doctor will also ask you to come in for tests to monitor body iron load. In addition he or she might ask you to undergo liver biopsies.</w:t>
      </w:r>
    </w:p>
    <w:p w:rsidR="00122CDB" w:rsidRPr="007722A3" w:rsidRDefault="00122CDB" w:rsidP="00122CDB">
      <w:pPr>
        <w:pStyle w:val="BodyText"/>
      </w:pPr>
    </w:p>
    <w:p w:rsidR="00122CDB" w:rsidRPr="007722A3" w:rsidRDefault="00122CDB" w:rsidP="00122CDB">
      <w:pPr>
        <w:pStyle w:val="Heading3"/>
      </w:pPr>
      <w:r w:rsidRPr="007722A3">
        <w:t>Other medicines and Ferriprox</w:t>
      </w:r>
    </w:p>
    <w:p w:rsidR="00122CDB" w:rsidRPr="007722A3" w:rsidRDefault="00122CDB" w:rsidP="00122CDB">
      <w:pPr>
        <w:pStyle w:val="BodyText"/>
      </w:pPr>
      <w:r w:rsidRPr="007722A3">
        <w:t>Do not take medicines known to cause neutropenia or agranulocytosis (see “Do not take Ferriprox”). Tell your doctor or pharmacist if you are taking, have recently taken, or might take any other medicines, including medicines obtained without a prescription.</w:t>
      </w:r>
    </w:p>
    <w:p w:rsidR="00122CDB" w:rsidRPr="007722A3" w:rsidRDefault="00122CDB" w:rsidP="00122CDB">
      <w:pPr>
        <w:pStyle w:val="BodyText"/>
      </w:pPr>
    </w:p>
    <w:p w:rsidR="00122CDB" w:rsidRPr="007722A3" w:rsidRDefault="00122CDB" w:rsidP="003471A1">
      <w:pPr>
        <w:pStyle w:val="BodyText"/>
      </w:pPr>
      <w:r w:rsidRPr="007722A3">
        <w:t>Do not take aluminium</w:t>
      </w:r>
      <w:r w:rsidRPr="007722A3">
        <w:noBreakHyphen/>
        <w:t xml:space="preserve">based antacids </w:t>
      </w:r>
      <w:r w:rsidR="003471A1">
        <w:t>at the same time as</w:t>
      </w:r>
      <w:r w:rsidRPr="007722A3">
        <w:t xml:space="preserve"> taking Ferriprox.</w:t>
      </w:r>
    </w:p>
    <w:p w:rsidR="00122CDB" w:rsidRPr="007722A3" w:rsidRDefault="00122CDB" w:rsidP="00122CDB">
      <w:pPr>
        <w:pStyle w:val="BodyText"/>
      </w:pPr>
    </w:p>
    <w:p w:rsidR="00122CDB" w:rsidRPr="007722A3" w:rsidRDefault="00122CDB" w:rsidP="00122CDB">
      <w:pPr>
        <w:pStyle w:val="BodyText"/>
      </w:pPr>
      <w:r w:rsidRPr="007722A3">
        <w:t>Please consult with your doctor or pharmacist before taking vitamin C with Ferriprox.</w:t>
      </w:r>
    </w:p>
    <w:p w:rsidR="00122CDB" w:rsidRPr="007722A3" w:rsidRDefault="00122CDB" w:rsidP="00122CDB">
      <w:pPr>
        <w:pStyle w:val="BodyText"/>
      </w:pPr>
    </w:p>
    <w:p w:rsidR="00122CDB" w:rsidRPr="007722A3" w:rsidRDefault="00122CDB" w:rsidP="00122CDB">
      <w:pPr>
        <w:pStyle w:val="Heading3"/>
      </w:pPr>
      <w:r w:rsidRPr="007722A3">
        <w:t>Pregnancy and breast-feeding</w:t>
      </w:r>
    </w:p>
    <w:p w:rsidR="00122CDB" w:rsidRPr="007722A3" w:rsidRDefault="00122CDB" w:rsidP="00122CDB">
      <w:pPr>
        <w:pStyle w:val="BodyText"/>
      </w:pPr>
      <w:r w:rsidRPr="007722A3">
        <w:t xml:space="preserve">Do not take this medicine if you are pregnant or if you are trying to become pregnant. This medicine could seriously harm your baby. You must use effective contraception while you are taking Ferriprox. Ask your doctor which method is best for you. If you become pregnant while taking Ferriprox, stop taking the medicine immediately and tell your doctor. </w:t>
      </w:r>
    </w:p>
    <w:p w:rsidR="00122CDB" w:rsidRPr="007722A3" w:rsidRDefault="00122CDB" w:rsidP="00122CDB">
      <w:pPr>
        <w:pStyle w:val="BodyText"/>
      </w:pPr>
    </w:p>
    <w:p w:rsidR="00122CDB" w:rsidRPr="007722A3" w:rsidRDefault="00122CDB" w:rsidP="00122CDB">
      <w:pPr>
        <w:pStyle w:val="BodyText"/>
      </w:pPr>
      <w:r w:rsidRPr="007722A3">
        <w:t>Do not use Ferriprox if you are breast-feeding. Please refer to the patient/carer reminder card attached to this leaflet.</w:t>
      </w:r>
    </w:p>
    <w:p w:rsidR="00122CDB" w:rsidRPr="007722A3" w:rsidRDefault="00122CDB" w:rsidP="00122CDB">
      <w:pPr>
        <w:pStyle w:val="BodyText"/>
      </w:pPr>
    </w:p>
    <w:p w:rsidR="00122CDB" w:rsidRPr="007722A3" w:rsidRDefault="00122CDB" w:rsidP="00122CDB">
      <w:pPr>
        <w:pStyle w:val="Heading3"/>
      </w:pPr>
      <w:r w:rsidRPr="007722A3">
        <w:t>Driving and using machines</w:t>
      </w:r>
    </w:p>
    <w:p w:rsidR="00122CDB" w:rsidRPr="007722A3" w:rsidRDefault="00122CDB" w:rsidP="00122CDB">
      <w:pPr>
        <w:pStyle w:val="BodyText"/>
      </w:pPr>
      <w:r w:rsidRPr="007722A3">
        <w:t>Not relevant.</w:t>
      </w:r>
    </w:p>
    <w:p w:rsidR="00122CDB" w:rsidRPr="007722A3" w:rsidRDefault="00122CDB" w:rsidP="00122CDB">
      <w:pPr>
        <w:tabs>
          <w:tab w:val="left" w:pos="851"/>
        </w:tabs>
        <w:ind w:left="567" w:hanging="567"/>
        <w:rPr>
          <w:i/>
          <w:sz w:val="22"/>
          <w:szCs w:val="22"/>
          <w:lang w:val="en-GB"/>
        </w:rPr>
      </w:pPr>
    </w:p>
    <w:p w:rsidR="00122CDB" w:rsidRPr="007722A3" w:rsidRDefault="00122CDB" w:rsidP="00122CDB">
      <w:pPr>
        <w:tabs>
          <w:tab w:val="left" w:pos="851"/>
        </w:tabs>
        <w:ind w:left="567" w:hanging="567"/>
        <w:rPr>
          <w:sz w:val="22"/>
          <w:szCs w:val="22"/>
          <w:lang w:val="en-GB"/>
        </w:rPr>
      </w:pPr>
    </w:p>
    <w:p w:rsidR="00122CDB" w:rsidRPr="007722A3" w:rsidRDefault="00122CDB" w:rsidP="00122CDB">
      <w:pPr>
        <w:ind w:left="540" w:hanging="540"/>
        <w:rPr>
          <w:b/>
          <w:sz w:val="22"/>
          <w:szCs w:val="22"/>
          <w:lang w:val="en-GB"/>
        </w:rPr>
      </w:pPr>
      <w:r w:rsidRPr="007722A3">
        <w:rPr>
          <w:b/>
          <w:sz w:val="22"/>
          <w:szCs w:val="22"/>
          <w:lang w:val="en-GB"/>
        </w:rPr>
        <w:t>3.</w:t>
      </w:r>
      <w:r w:rsidRPr="007722A3">
        <w:rPr>
          <w:b/>
          <w:sz w:val="22"/>
          <w:szCs w:val="22"/>
          <w:lang w:val="en-GB"/>
        </w:rPr>
        <w:tab/>
        <w:t>How to take Ferriprox</w:t>
      </w:r>
    </w:p>
    <w:p w:rsidR="00122CDB" w:rsidRPr="007722A3" w:rsidRDefault="00122CDB" w:rsidP="00122CDB">
      <w:pPr>
        <w:pStyle w:val="EndnoteText"/>
        <w:numPr>
          <w:ilvl w:val="12"/>
          <w:numId w:val="0"/>
        </w:numPr>
        <w:tabs>
          <w:tab w:val="clear" w:pos="567"/>
        </w:tabs>
        <w:rPr>
          <w:szCs w:val="22"/>
        </w:rPr>
      </w:pPr>
    </w:p>
    <w:p w:rsidR="00122CDB" w:rsidRPr="007722A3" w:rsidRDefault="00122CDB" w:rsidP="00122CDB">
      <w:pPr>
        <w:pStyle w:val="BodyText"/>
      </w:pPr>
      <w:r w:rsidRPr="007722A3">
        <w:t>Always take this medicine exactly as your doctor has told you. Check with your doctor or pharmacist if you are not sure. The amount of Ferriprox that you take will depend on your weight. The usual dose is 25 mg/kg, 3 times per day, for a total daily dose of 75 mg/kg. The total daily dose should not exceed 100 mg/kg. Take your first dose in the morning. Take your second dose midday. Take your third dose in the evening. Ferriprox can be taken with or without food; however, you may find it easier to remember to take Ferriprox if you take it with your meals.</w:t>
      </w:r>
    </w:p>
    <w:p w:rsidR="00122CDB" w:rsidRPr="007722A3" w:rsidRDefault="00122CDB" w:rsidP="00122CDB">
      <w:pPr>
        <w:pStyle w:val="Noraml"/>
        <w:numPr>
          <w:ilvl w:val="12"/>
          <w:numId w:val="0"/>
        </w:numPr>
        <w:outlineLvl w:val="9"/>
      </w:pPr>
    </w:p>
    <w:p w:rsidR="00122CDB" w:rsidRPr="007722A3" w:rsidRDefault="00122CDB" w:rsidP="00122CDB">
      <w:pPr>
        <w:pStyle w:val="Noraml"/>
        <w:numPr>
          <w:ilvl w:val="12"/>
          <w:numId w:val="0"/>
        </w:numPr>
        <w:outlineLvl w:val="9"/>
      </w:pPr>
      <w:r w:rsidRPr="007722A3">
        <w:t>If you take more Ferriprox than you should</w:t>
      </w:r>
    </w:p>
    <w:p w:rsidR="00122CDB" w:rsidRPr="007722A3" w:rsidRDefault="00122CDB" w:rsidP="00122CDB">
      <w:pPr>
        <w:numPr>
          <w:ilvl w:val="12"/>
          <w:numId w:val="0"/>
        </w:numPr>
        <w:tabs>
          <w:tab w:val="left" w:pos="851"/>
        </w:tabs>
        <w:rPr>
          <w:sz w:val="22"/>
          <w:szCs w:val="22"/>
          <w:lang w:val="en-GB"/>
        </w:rPr>
      </w:pPr>
      <w:r w:rsidRPr="007722A3">
        <w:rPr>
          <w:sz w:val="22"/>
          <w:szCs w:val="22"/>
          <w:lang w:val="en-GB"/>
        </w:rPr>
        <w:t>There are no reports of acute overdose with Ferriprox. If you have accidentally taken more than the prescribed dose, you should contact your doctor.</w:t>
      </w:r>
    </w:p>
    <w:p w:rsidR="00122CDB" w:rsidRPr="007722A3" w:rsidRDefault="00122CDB" w:rsidP="00122CDB">
      <w:pPr>
        <w:numPr>
          <w:ilvl w:val="12"/>
          <w:numId w:val="0"/>
        </w:numPr>
        <w:rPr>
          <w:b/>
          <w:sz w:val="22"/>
          <w:szCs w:val="22"/>
          <w:lang w:val="en-GB"/>
        </w:rPr>
      </w:pPr>
    </w:p>
    <w:p w:rsidR="00122CDB" w:rsidRPr="007722A3" w:rsidRDefault="00122CDB" w:rsidP="00122CDB">
      <w:pPr>
        <w:numPr>
          <w:ilvl w:val="12"/>
          <w:numId w:val="0"/>
        </w:numPr>
        <w:rPr>
          <w:b/>
          <w:sz w:val="22"/>
          <w:szCs w:val="22"/>
          <w:lang w:val="en-GB"/>
        </w:rPr>
      </w:pPr>
      <w:r w:rsidRPr="007722A3">
        <w:rPr>
          <w:b/>
          <w:sz w:val="22"/>
          <w:szCs w:val="22"/>
          <w:lang w:val="en-GB"/>
        </w:rPr>
        <w:t>If you forget to take Ferriprox</w:t>
      </w:r>
    </w:p>
    <w:p w:rsidR="00122CDB" w:rsidRPr="007722A3" w:rsidRDefault="00122CDB" w:rsidP="00122CDB">
      <w:pPr>
        <w:numPr>
          <w:ilvl w:val="12"/>
          <w:numId w:val="0"/>
        </w:numPr>
        <w:rPr>
          <w:sz w:val="22"/>
          <w:szCs w:val="22"/>
          <w:lang w:val="en-GB"/>
        </w:rPr>
      </w:pPr>
      <w:r w:rsidRPr="007722A3">
        <w:rPr>
          <w:sz w:val="22"/>
          <w:szCs w:val="22"/>
          <w:lang w:val="en-GB"/>
        </w:rPr>
        <w:t>Ferriprox will be most effective if you do not miss any doses. If you do miss one dose take it as soon as you remember and take your next dose at its regularly scheduled time. If you miss more than one dose do not take a double dose to make up for forgotten individual doses, just continue with your normal schedule. Do not change your daily dose without first talking to your doctor.</w:t>
      </w:r>
    </w:p>
    <w:p w:rsidR="00122CDB" w:rsidRPr="007722A3" w:rsidRDefault="00122CDB" w:rsidP="00122CDB">
      <w:pPr>
        <w:numPr>
          <w:ilvl w:val="12"/>
          <w:numId w:val="0"/>
        </w:numPr>
        <w:rPr>
          <w:sz w:val="22"/>
          <w:szCs w:val="22"/>
          <w:lang w:val="en-GB"/>
        </w:rPr>
      </w:pPr>
    </w:p>
    <w:p w:rsidR="00122CDB" w:rsidRPr="007722A3" w:rsidRDefault="00122CDB" w:rsidP="00122CDB">
      <w:pPr>
        <w:numPr>
          <w:ilvl w:val="12"/>
          <w:numId w:val="0"/>
        </w:numPr>
        <w:rPr>
          <w:sz w:val="22"/>
          <w:szCs w:val="22"/>
          <w:lang w:val="en-GB"/>
        </w:rPr>
      </w:pPr>
    </w:p>
    <w:p w:rsidR="00122CDB" w:rsidRPr="007722A3" w:rsidRDefault="00122CDB" w:rsidP="00122CDB">
      <w:pPr>
        <w:keepNext/>
        <w:ind w:left="540" w:hanging="540"/>
        <w:rPr>
          <w:b/>
          <w:sz w:val="22"/>
          <w:szCs w:val="22"/>
          <w:lang w:val="en-GB"/>
        </w:rPr>
      </w:pPr>
      <w:r w:rsidRPr="007722A3">
        <w:rPr>
          <w:b/>
          <w:sz w:val="22"/>
          <w:szCs w:val="22"/>
          <w:lang w:val="en-GB"/>
        </w:rPr>
        <w:t>4.</w:t>
      </w:r>
      <w:r w:rsidRPr="007722A3">
        <w:rPr>
          <w:b/>
          <w:sz w:val="22"/>
          <w:szCs w:val="22"/>
          <w:lang w:val="en-GB"/>
        </w:rPr>
        <w:tab/>
        <w:t>Possible side effects</w:t>
      </w:r>
    </w:p>
    <w:p w:rsidR="00122CDB" w:rsidRPr="007722A3" w:rsidRDefault="00122CDB" w:rsidP="00122CDB">
      <w:pPr>
        <w:keepNext/>
        <w:rPr>
          <w:sz w:val="22"/>
          <w:szCs w:val="22"/>
          <w:lang w:val="en-GB"/>
        </w:rPr>
      </w:pPr>
    </w:p>
    <w:p w:rsidR="00122CDB" w:rsidRPr="007722A3" w:rsidRDefault="00122CDB" w:rsidP="00122CDB">
      <w:pPr>
        <w:pStyle w:val="BodyText"/>
      </w:pPr>
      <w:r w:rsidRPr="007722A3">
        <w:t>Like all medicines, this medicine can cause side effects, although not everybody gets them.</w:t>
      </w:r>
    </w:p>
    <w:p w:rsidR="00122CDB" w:rsidRPr="007722A3" w:rsidRDefault="00122CDB" w:rsidP="00122CDB">
      <w:pPr>
        <w:pStyle w:val="BodyText"/>
      </w:pPr>
    </w:p>
    <w:p w:rsidR="00122CDB" w:rsidRPr="007722A3" w:rsidRDefault="00122CDB" w:rsidP="00122CDB">
      <w:pPr>
        <w:pStyle w:val="BodyText"/>
        <w:rPr>
          <w:bCs/>
        </w:rPr>
      </w:pPr>
      <w:r w:rsidRPr="007722A3">
        <w:rPr>
          <w:bCs/>
        </w:rPr>
        <w:t>The most serious side effect of Ferriprox is a very low white blood cell (neutrophil) count. This condition, known as severe neutropenia or agranulocytosis, has occurred in 1 to 2 out of 100 people who have taken Ferriprox in clinical studies. A low white blood cell count can be associated with a serious and potentially life</w:t>
      </w:r>
      <w:r w:rsidRPr="007722A3">
        <w:rPr>
          <w:bCs/>
        </w:rPr>
        <w:noBreakHyphen/>
        <w:t>threatening infection. Report immediately to your doctor any symptoms of infection such as: fever, sore throat or flu</w:t>
      </w:r>
      <w:r w:rsidRPr="007722A3">
        <w:rPr>
          <w:bCs/>
        </w:rPr>
        <w:noBreakHyphen/>
        <w:t>like symptoms.</w:t>
      </w:r>
    </w:p>
    <w:p w:rsidR="00122CDB" w:rsidRPr="007722A3" w:rsidRDefault="00122CDB" w:rsidP="00122CDB">
      <w:pPr>
        <w:pStyle w:val="BodyText"/>
        <w:rPr>
          <w:b/>
          <w:bCs/>
        </w:rPr>
      </w:pPr>
    </w:p>
    <w:p w:rsidR="00122CDB" w:rsidRPr="007722A3" w:rsidRDefault="00122CDB" w:rsidP="00122CDB">
      <w:pPr>
        <w:pStyle w:val="BodyText"/>
        <w:keepNext/>
      </w:pPr>
      <w:r w:rsidRPr="007722A3">
        <w:rPr>
          <w:b/>
          <w:bCs/>
        </w:rPr>
        <w:t>Very common side effects</w:t>
      </w:r>
      <w:r w:rsidRPr="007722A3">
        <w:t xml:space="preserve"> (may affect more than 1 in 10 people):</w:t>
      </w:r>
    </w:p>
    <w:p w:rsidR="00122CDB" w:rsidRPr="007722A3" w:rsidRDefault="00122CDB" w:rsidP="00306CE4">
      <w:pPr>
        <w:pStyle w:val="PILbullets"/>
        <w:tabs>
          <w:tab w:val="clear" w:pos="360"/>
        </w:tabs>
        <w:ind w:left="540" w:hanging="540"/>
      </w:pPr>
      <w:r w:rsidRPr="007722A3">
        <w:t>abdominal pain</w:t>
      </w:r>
    </w:p>
    <w:p w:rsidR="00122CDB" w:rsidRPr="007722A3" w:rsidRDefault="00122CDB" w:rsidP="00306CE4">
      <w:pPr>
        <w:pStyle w:val="PILbullets"/>
        <w:tabs>
          <w:tab w:val="clear" w:pos="360"/>
        </w:tabs>
        <w:ind w:left="540" w:hanging="540"/>
      </w:pPr>
      <w:r w:rsidRPr="007722A3">
        <w:t>nausea</w:t>
      </w:r>
    </w:p>
    <w:p w:rsidR="00122CDB" w:rsidRPr="007722A3" w:rsidRDefault="00122CDB" w:rsidP="00306CE4">
      <w:pPr>
        <w:pStyle w:val="PILbullets"/>
        <w:tabs>
          <w:tab w:val="clear" w:pos="360"/>
        </w:tabs>
        <w:ind w:left="540" w:hanging="540"/>
      </w:pPr>
      <w:r w:rsidRPr="007722A3">
        <w:t>vomiting</w:t>
      </w:r>
    </w:p>
    <w:p w:rsidR="00122CDB" w:rsidRPr="007722A3" w:rsidRDefault="00122CDB" w:rsidP="00306CE4">
      <w:pPr>
        <w:pStyle w:val="PILbullets"/>
        <w:tabs>
          <w:tab w:val="clear" w:pos="360"/>
        </w:tabs>
        <w:ind w:left="540" w:hanging="540"/>
      </w:pPr>
      <w:r w:rsidRPr="007722A3">
        <w:t>reddish/brown discoloration of urine</w:t>
      </w:r>
    </w:p>
    <w:p w:rsidR="00122CDB" w:rsidRPr="007722A3" w:rsidRDefault="00122CDB" w:rsidP="00122CDB">
      <w:pPr>
        <w:pStyle w:val="BodyText"/>
      </w:pPr>
    </w:p>
    <w:p w:rsidR="00122CDB" w:rsidRPr="007722A3" w:rsidRDefault="00122CDB" w:rsidP="00122CDB">
      <w:pPr>
        <w:pStyle w:val="BodyText"/>
      </w:pPr>
      <w:r w:rsidRPr="007722A3">
        <w:t xml:space="preserve">If you experience nausea or vomiting, it may help to take your Ferriprox with some food. </w:t>
      </w:r>
      <w:r w:rsidR="00C31746" w:rsidRPr="007722A3">
        <w:t>Discoloured</w:t>
      </w:r>
      <w:r w:rsidRPr="007722A3">
        <w:t xml:space="preserve"> urine is a very common effect and is not harmful.</w:t>
      </w:r>
    </w:p>
    <w:p w:rsidR="00122CDB" w:rsidRPr="007722A3" w:rsidRDefault="00122CDB" w:rsidP="00122CDB">
      <w:pPr>
        <w:pStyle w:val="BodyText"/>
      </w:pPr>
    </w:p>
    <w:p w:rsidR="00122CDB" w:rsidRPr="007722A3" w:rsidRDefault="00122CDB" w:rsidP="00122CDB">
      <w:pPr>
        <w:pStyle w:val="BodyText"/>
      </w:pPr>
      <w:r w:rsidRPr="007722A3">
        <w:rPr>
          <w:b/>
          <w:bCs/>
        </w:rPr>
        <w:t>Common side effects</w:t>
      </w:r>
      <w:r w:rsidRPr="007722A3">
        <w:t xml:space="preserve"> (may affect up to 1 in 10 people):</w:t>
      </w:r>
    </w:p>
    <w:p w:rsidR="00122CDB" w:rsidRPr="007722A3" w:rsidRDefault="00122CDB" w:rsidP="00306CE4">
      <w:pPr>
        <w:pStyle w:val="PILbullets"/>
        <w:tabs>
          <w:tab w:val="clear" w:pos="360"/>
        </w:tabs>
        <w:ind w:left="540" w:hanging="540"/>
      </w:pPr>
      <w:r w:rsidRPr="007722A3">
        <w:t>low white blood cell count (agranulocytosis and neutropenia)</w:t>
      </w:r>
    </w:p>
    <w:p w:rsidR="00122CDB" w:rsidRPr="007722A3" w:rsidRDefault="00122CDB" w:rsidP="00306CE4">
      <w:pPr>
        <w:pStyle w:val="PILbullets"/>
        <w:tabs>
          <w:tab w:val="clear" w:pos="360"/>
        </w:tabs>
        <w:ind w:left="540" w:hanging="540"/>
      </w:pPr>
      <w:r w:rsidRPr="007722A3">
        <w:t>headache</w:t>
      </w:r>
    </w:p>
    <w:p w:rsidR="00122CDB" w:rsidRPr="007722A3" w:rsidRDefault="00122CDB" w:rsidP="00306CE4">
      <w:pPr>
        <w:pStyle w:val="PILbullets"/>
        <w:tabs>
          <w:tab w:val="clear" w:pos="360"/>
        </w:tabs>
        <w:ind w:left="540" w:hanging="540"/>
      </w:pPr>
      <w:r w:rsidRPr="007722A3">
        <w:t>diarrhoea</w:t>
      </w:r>
    </w:p>
    <w:p w:rsidR="00122CDB" w:rsidRPr="007722A3" w:rsidRDefault="00122CDB" w:rsidP="00306CE4">
      <w:pPr>
        <w:pStyle w:val="PILbullets"/>
        <w:tabs>
          <w:tab w:val="clear" w:pos="360"/>
        </w:tabs>
        <w:ind w:left="540" w:hanging="540"/>
      </w:pPr>
      <w:r w:rsidRPr="007722A3">
        <w:t>increase in liver enzymes</w:t>
      </w:r>
    </w:p>
    <w:p w:rsidR="00122CDB" w:rsidRPr="007722A3" w:rsidRDefault="00122CDB" w:rsidP="00306CE4">
      <w:pPr>
        <w:pStyle w:val="PILbullets"/>
        <w:tabs>
          <w:tab w:val="clear" w:pos="360"/>
        </w:tabs>
        <w:ind w:left="540" w:hanging="540"/>
      </w:pPr>
      <w:r w:rsidRPr="007722A3">
        <w:t>fatigue</w:t>
      </w:r>
    </w:p>
    <w:p w:rsidR="00122CDB" w:rsidRPr="007722A3" w:rsidRDefault="00122CDB" w:rsidP="00306CE4">
      <w:pPr>
        <w:pStyle w:val="PILbullets"/>
        <w:tabs>
          <w:tab w:val="clear" w:pos="360"/>
        </w:tabs>
        <w:ind w:left="540" w:hanging="540"/>
      </w:pPr>
      <w:r w:rsidRPr="007722A3">
        <w:t>increase in appetite</w:t>
      </w:r>
    </w:p>
    <w:p w:rsidR="00122CDB" w:rsidRPr="007722A3" w:rsidRDefault="00122CDB" w:rsidP="00122CDB">
      <w:pPr>
        <w:pStyle w:val="BodyText"/>
        <w:rPr>
          <w:b/>
          <w:bCs/>
        </w:rPr>
      </w:pPr>
    </w:p>
    <w:p w:rsidR="00122CDB" w:rsidRPr="007722A3" w:rsidRDefault="00122CDB" w:rsidP="00122CDB">
      <w:pPr>
        <w:pStyle w:val="BodyText"/>
      </w:pPr>
      <w:r w:rsidRPr="004C3559">
        <w:rPr>
          <w:b/>
          <w:bCs/>
        </w:rPr>
        <w:t>Not known</w:t>
      </w:r>
      <w:r w:rsidRPr="004C3559">
        <w:rPr>
          <w:bCs/>
        </w:rPr>
        <w:t xml:space="preserve"> (frequency cannot be estimated from the available data</w:t>
      </w:r>
      <w:r>
        <w:rPr>
          <w:bCs/>
        </w:rPr>
        <w:t>)</w:t>
      </w:r>
      <w:r w:rsidRPr="007722A3">
        <w:t>:</w:t>
      </w:r>
    </w:p>
    <w:p w:rsidR="00122CDB" w:rsidRPr="007722A3" w:rsidRDefault="00122CDB" w:rsidP="00306CE4">
      <w:pPr>
        <w:pStyle w:val="PILbullets"/>
        <w:tabs>
          <w:tab w:val="clear" w:pos="360"/>
        </w:tabs>
        <w:ind w:left="540" w:hanging="540"/>
      </w:pPr>
      <w:r w:rsidRPr="007722A3">
        <w:t>allergic reactions including skin rash or hives</w:t>
      </w:r>
    </w:p>
    <w:p w:rsidR="00122CDB" w:rsidRPr="007722A3" w:rsidRDefault="00122CDB" w:rsidP="00122CDB">
      <w:pPr>
        <w:pStyle w:val="BodyText"/>
      </w:pPr>
    </w:p>
    <w:p w:rsidR="00122CDB" w:rsidRPr="007722A3" w:rsidRDefault="00122CDB" w:rsidP="00122CDB">
      <w:pPr>
        <w:pStyle w:val="BodyText"/>
      </w:pPr>
      <w:r w:rsidRPr="007722A3">
        <w:t>Events of joint pain and swelling ranged from mild pain in one or more joints to severe disability. In most cases, the pain disappeared while patients continued taking Ferriprox.</w:t>
      </w:r>
    </w:p>
    <w:p w:rsidR="00122CDB" w:rsidRPr="007722A3" w:rsidRDefault="00122CDB" w:rsidP="00122CDB">
      <w:pPr>
        <w:pStyle w:val="BodyText"/>
      </w:pPr>
    </w:p>
    <w:p w:rsidR="00AD5C7B" w:rsidRPr="007722A3" w:rsidRDefault="00AD5C7B" w:rsidP="00AD5C7B">
      <w:pPr>
        <w:pStyle w:val="BodyText"/>
      </w:pPr>
      <w:r>
        <w:t>N</w:t>
      </w:r>
      <w:r w:rsidRPr="007722A3">
        <w:t>eurological disorders (such as tremors, walking disorders, double vision, involuntary muscle contractions, problems with movement coordination) have been reported in children who had been voluntarily prescribed more than double the maximum recommended dose of 100 mg/kg/day for several years</w:t>
      </w:r>
      <w:r>
        <w:t xml:space="preserve"> and have also been observed in children with standard doses of deferiprone</w:t>
      </w:r>
      <w:r w:rsidRPr="007722A3">
        <w:t>. The</w:t>
      </w:r>
      <w:r>
        <w:t xml:space="preserve"> children</w:t>
      </w:r>
      <w:r w:rsidRPr="007722A3">
        <w:t xml:space="preserve"> </w:t>
      </w:r>
      <w:r w:rsidRPr="007722A3">
        <w:rPr>
          <w:lang w:eastAsia="fr-FR"/>
        </w:rPr>
        <w:t>recovered from these symptoms after Ferriprox discontinuation.</w:t>
      </w:r>
    </w:p>
    <w:p w:rsidR="00122CDB" w:rsidRPr="007722A3" w:rsidRDefault="00122CDB" w:rsidP="00122CDB">
      <w:pPr>
        <w:pStyle w:val="BodyText"/>
      </w:pPr>
    </w:p>
    <w:p w:rsidR="0040723E" w:rsidRPr="000F2CD4" w:rsidRDefault="0040723E" w:rsidP="0040723E">
      <w:pPr>
        <w:rPr>
          <w:b/>
          <w:sz w:val="22"/>
          <w:szCs w:val="22"/>
          <w:lang w:val="en-GB"/>
        </w:rPr>
      </w:pPr>
      <w:r w:rsidRPr="000F2CD4">
        <w:rPr>
          <w:b/>
          <w:sz w:val="22"/>
          <w:szCs w:val="22"/>
          <w:lang w:val="en-GB"/>
        </w:rPr>
        <w:t>Reporting of side effects</w:t>
      </w:r>
    </w:p>
    <w:p w:rsidR="0040723E" w:rsidRPr="000F2CD4" w:rsidRDefault="0040723E" w:rsidP="0030326B">
      <w:pPr>
        <w:pStyle w:val="BodyText"/>
      </w:pPr>
      <w:r w:rsidRPr="007722A3">
        <w:t>If you get any side effects, talk to your doctor or pharmacist. This includes any possible side effects not listed in this leaflet.</w:t>
      </w:r>
      <w:r w:rsidRPr="000F2CD4">
        <w:t xml:space="preserve"> You can also report side effects directly via </w:t>
      </w:r>
      <w:r w:rsidRPr="00E97465">
        <w:rPr>
          <w:highlight w:val="lightGray"/>
        </w:rPr>
        <w:t xml:space="preserve">the national reporting system listed in </w:t>
      </w:r>
      <w:hyperlink r:id="rId15" w:history="1">
        <w:r w:rsidR="0030326B" w:rsidRPr="00E97465">
          <w:rPr>
            <w:rStyle w:val="Hyperlink"/>
            <w:highlight w:val="lightGray"/>
          </w:rPr>
          <w:t>Appendix V</w:t>
        </w:r>
      </w:hyperlink>
      <w:r w:rsidRPr="000F2CD4">
        <w:t>. By reporting side effects you can help provide more information on the safety of this medicine.</w:t>
      </w:r>
    </w:p>
    <w:p w:rsidR="00122CDB" w:rsidRPr="007722A3" w:rsidRDefault="00122CDB" w:rsidP="00122CDB">
      <w:pPr>
        <w:rPr>
          <w:sz w:val="22"/>
          <w:szCs w:val="22"/>
          <w:lang w:val="en-GB"/>
        </w:rPr>
      </w:pPr>
    </w:p>
    <w:p w:rsidR="00122CDB" w:rsidRPr="007722A3" w:rsidRDefault="00122CDB" w:rsidP="00122CDB">
      <w:pPr>
        <w:rPr>
          <w:sz w:val="22"/>
          <w:szCs w:val="22"/>
          <w:lang w:val="en-GB"/>
        </w:rPr>
      </w:pPr>
    </w:p>
    <w:p w:rsidR="00122CDB" w:rsidRPr="007722A3" w:rsidRDefault="00122CDB" w:rsidP="00122CDB">
      <w:pPr>
        <w:ind w:left="540" w:hanging="540"/>
        <w:rPr>
          <w:b/>
          <w:sz w:val="22"/>
          <w:szCs w:val="22"/>
          <w:lang w:val="en-GB"/>
        </w:rPr>
      </w:pPr>
      <w:r w:rsidRPr="007722A3">
        <w:rPr>
          <w:b/>
          <w:sz w:val="22"/>
          <w:szCs w:val="22"/>
          <w:lang w:val="en-GB"/>
        </w:rPr>
        <w:t>5.</w:t>
      </w:r>
      <w:r w:rsidRPr="007722A3">
        <w:rPr>
          <w:b/>
          <w:sz w:val="22"/>
          <w:szCs w:val="22"/>
          <w:lang w:val="en-GB"/>
        </w:rPr>
        <w:tab/>
        <w:t>How to store Ferriprox</w:t>
      </w:r>
    </w:p>
    <w:p w:rsidR="00122CDB" w:rsidRPr="007722A3" w:rsidRDefault="00122CDB" w:rsidP="00122CDB">
      <w:pPr>
        <w:rPr>
          <w:b/>
          <w:sz w:val="22"/>
          <w:szCs w:val="22"/>
          <w:lang w:val="en-GB"/>
        </w:rPr>
      </w:pPr>
    </w:p>
    <w:p w:rsidR="00122CDB" w:rsidRPr="007722A3" w:rsidRDefault="00122CDB" w:rsidP="00122CDB">
      <w:pPr>
        <w:rPr>
          <w:sz w:val="22"/>
          <w:szCs w:val="22"/>
          <w:lang w:val="en-GB"/>
        </w:rPr>
      </w:pPr>
      <w:r w:rsidRPr="007722A3">
        <w:rPr>
          <w:sz w:val="22"/>
          <w:szCs w:val="22"/>
          <w:lang w:val="en-GB"/>
        </w:rPr>
        <w:t>Keep this medicine out of the sight and reach of children.</w:t>
      </w:r>
    </w:p>
    <w:p w:rsidR="00122CDB" w:rsidRPr="007722A3" w:rsidRDefault="00122CDB" w:rsidP="00122CDB">
      <w:pPr>
        <w:rPr>
          <w:sz w:val="22"/>
          <w:szCs w:val="22"/>
          <w:lang w:val="en-GB"/>
        </w:rPr>
      </w:pPr>
    </w:p>
    <w:p w:rsidR="00122CDB" w:rsidRPr="007722A3" w:rsidRDefault="00122CDB" w:rsidP="00122CDB">
      <w:pPr>
        <w:rPr>
          <w:sz w:val="22"/>
          <w:szCs w:val="22"/>
          <w:lang w:val="en-GB"/>
        </w:rPr>
      </w:pPr>
      <w:r w:rsidRPr="007722A3">
        <w:rPr>
          <w:sz w:val="22"/>
          <w:szCs w:val="22"/>
          <w:lang w:val="en-GB"/>
        </w:rPr>
        <w:t>Do not use this medicine after the expiry date which is stated on the carton and the label after EXP.</w:t>
      </w:r>
    </w:p>
    <w:p w:rsidR="00122CDB" w:rsidRPr="007722A3" w:rsidRDefault="00122CDB" w:rsidP="00122CDB">
      <w:pPr>
        <w:rPr>
          <w:sz w:val="22"/>
          <w:szCs w:val="22"/>
          <w:lang w:val="en-GB"/>
        </w:rPr>
      </w:pPr>
    </w:p>
    <w:p w:rsidR="00122CDB" w:rsidRPr="007722A3" w:rsidRDefault="00122CDB" w:rsidP="0030708E">
      <w:pPr>
        <w:rPr>
          <w:sz w:val="22"/>
          <w:szCs w:val="22"/>
          <w:lang w:val="en-GB"/>
        </w:rPr>
      </w:pPr>
      <w:r w:rsidRPr="007722A3">
        <w:rPr>
          <w:sz w:val="22"/>
          <w:szCs w:val="22"/>
          <w:lang w:val="en-GB"/>
        </w:rPr>
        <w:t>Do not store above 30ºC. Keep the bottle tightly closed in order to protect from moisture. After first opening use within 50 days.</w:t>
      </w:r>
    </w:p>
    <w:p w:rsidR="00122CDB" w:rsidRPr="007722A3" w:rsidRDefault="00122CDB" w:rsidP="00122CDB">
      <w:pPr>
        <w:rPr>
          <w:sz w:val="22"/>
          <w:szCs w:val="22"/>
          <w:lang w:val="en-GB"/>
        </w:rPr>
      </w:pPr>
    </w:p>
    <w:p w:rsidR="009C1703" w:rsidRPr="00822FD6" w:rsidRDefault="009C1703" w:rsidP="009C1703">
      <w:pPr>
        <w:rPr>
          <w:sz w:val="22"/>
          <w:szCs w:val="22"/>
          <w:lang w:val="en-GB"/>
        </w:rPr>
      </w:pPr>
      <w:r w:rsidRPr="00DD5AE2">
        <w:rPr>
          <w:sz w:val="22"/>
          <w:szCs w:val="22"/>
          <w:lang w:val="en-GB"/>
        </w:rPr>
        <w:t>Do not throw away any medicines via wastewater or household waste. Ask your pharmacist how to throw away medicines you no longer use. These measures will help protect the environment.</w:t>
      </w:r>
    </w:p>
    <w:p w:rsidR="00122CDB" w:rsidRPr="007722A3" w:rsidRDefault="00122CDB" w:rsidP="00122CDB">
      <w:pPr>
        <w:rPr>
          <w:sz w:val="22"/>
          <w:szCs w:val="22"/>
          <w:lang w:val="en-GB"/>
        </w:rPr>
      </w:pPr>
    </w:p>
    <w:p w:rsidR="00122CDB" w:rsidRPr="007722A3" w:rsidRDefault="00122CDB" w:rsidP="00122CDB">
      <w:pPr>
        <w:tabs>
          <w:tab w:val="left" w:pos="567"/>
        </w:tabs>
        <w:rPr>
          <w:b/>
          <w:sz w:val="22"/>
          <w:szCs w:val="22"/>
          <w:lang w:val="en-GB"/>
        </w:rPr>
      </w:pPr>
    </w:p>
    <w:p w:rsidR="00122CDB" w:rsidRPr="007722A3" w:rsidRDefault="00122CDB" w:rsidP="00122CDB">
      <w:pPr>
        <w:keepNext/>
        <w:ind w:left="540" w:hanging="540"/>
        <w:rPr>
          <w:b/>
          <w:sz w:val="22"/>
          <w:szCs w:val="22"/>
          <w:lang w:val="en-GB"/>
        </w:rPr>
      </w:pPr>
      <w:r w:rsidRPr="007722A3">
        <w:rPr>
          <w:b/>
          <w:sz w:val="22"/>
          <w:szCs w:val="22"/>
          <w:lang w:val="en-GB"/>
        </w:rPr>
        <w:t>6.</w:t>
      </w:r>
      <w:r w:rsidRPr="007722A3">
        <w:rPr>
          <w:b/>
          <w:sz w:val="22"/>
          <w:szCs w:val="22"/>
          <w:lang w:val="en-GB"/>
        </w:rPr>
        <w:tab/>
        <w:t>Contents of the pack and other information</w:t>
      </w:r>
    </w:p>
    <w:p w:rsidR="00122CDB" w:rsidRPr="007722A3" w:rsidRDefault="00122CDB" w:rsidP="00122CDB">
      <w:pPr>
        <w:keepNext/>
        <w:rPr>
          <w:sz w:val="22"/>
          <w:szCs w:val="22"/>
          <w:lang w:val="en-GB"/>
        </w:rPr>
      </w:pPr>
    </w:p>
    <w:p w:rsidR="00122CDB" w:rsidRPr="007722A3" w:rsidRDefault="00122CDB" w:rsidP="00122CDB">
      <w:pPr>
        <w:keepNext/>
        <w:rPr>
          <w:b/>
          <w:sz w:val="22"/>
          <w:szCs w:val="22"/>
          <w:lang w:val="en-GB"/>
        </w:rPr>
      </w:pPr>
      <w:r w:rsidRPr="007722A3">
        <w:rPr>
          <w:b/>
          <w:sz w:val="22"/>
          <w:szCs w:val="22"/>
          <w:lang w:val="en-GB"/>
        </w:rPr>
        <w:t>What Ferriprox contains</w:t>
      </w:r>
    </w:p>
    <w:p w:rsidR="00122CDB" w:rsidRPr="007722A3" w:rsidRDefault="00122CDB" w:rsidP="001844C5">
      <w:pPr>
        <w:pStyle w:val="PILbullets"/>
        <w:numPr>
          <w:ilvl w:val="0"/>
          <w:numId w:val="0"/>
        </w:numPr>
      </w:pPr>
      <w:r w:rsidRPr="007722A3">
        <w:t>The active substance is deferiprone. Each 1000 mg tablet contains 1000 mg deferiprone.</w:t>
      </w:r>
    </w:p>
    <w:p w:rsidR="00122CDB" w:rsidRPr="007722A3" w:rsidRDefault="00122CDB" w:rsidP="001844C5">
      <w:pPr>
        <w:pStyle w:val="PILbullets"/>
        <w:numPr>
          <w:ilvl w:val="0"/>
          <w:numId w:val="0"/>
        </w:numPr>
      </w:pPr>
    </w:p>
    <w:p w:rsidR="00122CDB" w:rsidRPr="007722A3" w:rsidRDefault="00122CDB" w:rsidP="001844C5">
      <w:pPr>
        <w:pStyle w:val="PILbullets"/>
        <w:numPr>
          <w:ilvl w:val="0"/>
          <w:numId w:val="0"/>
        </w:numPr>
      </w:pPr>
      <w:r w:rsidRPr="007722A3">
        <w:t>The other ingredients are:</w:t>
      </w:r>
    </w:p>
    <w:p w:rsidR="00122CDB" w:rsidRPr="001844C5" w:rsidRDefault="00122CDB" w:rsidP="001844C5">
      <w:pPr>
        <w:pStyle w:val="PILbullets"/>
        <w:numPr>
          <w:ilvl w:val="0"/>
          <w:numId w:val="0"/>
        </w:numPr>
      </w:pPr>
      <w:r w:rsidRPr="00434E37">
        <w:rPr>
          <w:i/>
          <w:iCs/>
        </w:rPr>
        <w:t xml:space="preserve">Tablet core: </w:t>
      </w:r>
      <w:r w:rsidRPr="001844C5">
        <w:t>Methylcellulose, crospovidone, magnesium stearate.</w:t>
      </w:r>
    </w:p>
    <w:p w:rsidR="00122CDB" w:rsidRPr="007722A3" w:rsidRDefault="00122CDB" w:rsidP="001844C5">
      <w:pPr>
        <w:pStyle w:val="PILbullets"/>
        <w:numPr>
          <w:ilvl w:val="0"/>
          <w:numId w:val="0"/>
        </w:numPr>
      </w:pPr>
      <w:r w:rsidRPr="00434E37">
        <w:rPr>
          <w:i/>
          <w:iCs/>
        </w:rPr>
        <w:t>Coating:</w:t>
      </w:r>
      <w:r w:rsidRPr="001844C5">
        <w:t xml:space="preserve"> Hypromellose</w:t>
      </w:r>
      <w:r w:rsidRPr="007722A3">
        <w:t>, hydroxypropyl cellulose, macrogol, titanium dioxide.</w:t>
      </w:r>
    </w:p>
    <w:p w:rsidR="00122CDB" w:rsidRPr="007722A3" w:rsidRDefault="00122CDB" w:rsidP="00122CDB">
      <w:pPr>
        <w:rPr>
          <w:sz w:val="22"/>
          <w:szCs w:val="22"/>
          <w:lang w:val="en-GB"/>
        </w:rPr>
      </w:pPr>
    </w:p>
    <w:p w:rsidR="00122CDB" w:rsidRPr="007722A3" w:rsidRDefault="00122CDB" w:rsidP="00122CDB">
      <w:pPr>
        <w:keepNext/>
        <w:rPr>
          <w:b/>
          <w:sz w:val="22"/>
          <w:szCs w:val="22"/>
          <w:lang w:val="en-GB"/>
        </w:rPr>
      </w:pPr>
      <w:r w:rsidRPr="007722A3">
        <w:rPr>
          <w:b/>
          <w:sz w:val="22"/>
          <w:szCs w:val="22"/>
          <w:lang w:val="en-GB"/>
        </w:rPr>
        <w:t>What Ferriprox looks like and contents of the pack</w:t>
      </w:r>
    </w:p>
    <w:p w:rsidR="00122CDB" w:rsidRPr="007722A3" w:rsidRDefault="00122CDB" w:rsidP="00122CDB">
      <w:pPr>
        <w:rPr>
          <w:sz w:val="22"/>
          <w:szCs w:val="22"/>
          <w:lang w:val="en-GB"/>
        </w:rPr>
      </w:pPr>
      <w:r w:rsidRPr="007722A3">
        <w:rPr>
          <w:sz w:val="22"/>
          <w:szCs w:val="22"/>
          <w:lang w:val="en-GB"/>
        </w:rPr>
        <w:t>Ferriprox 1000 mg tablets are white to off-white, capsule-shaped, film-coated tablets imprinted “APO” bisect “1000” on one side, plain on the other. The tablets are scored and breakable in half. Ferriprox is packaged in bottles of 50 tablets.</w:t>
      </w:r>
    </w:p>
    <w:p w:rsidR="00122CDB" w:rsidRPr="007722A3" w:rsidRDefault="00122CDB" w:rsidP="00122CDB">
      <w:pPr>
        <w:rPr>
          <w:sz w:val="22"/>
          <w:szCs w:val="22"/>
          <w:lang w:val="en-GB"/>
        </w:rPr>
      </w:pPr>
    </w:p>
    <w:p w:rsidR="00122CDB" w:rsidRPr="007722A3" w:rsidRDefault="00122CDB" w:rsidP="00122CDB">
      <w:pPr>
        <w:pStyle w:val="Heading3"/>
        <w:keepNext/>
      </w:pPr>
      <w:r w:rsidRPr="007722A3">
        <w:t>Marketing Authorisation Holder and Manufacturer</w:t>
      </w:r>
    </w:p>
    <w:p w:rsidR="00842934" w:rsidRDefault="00842934" w:rsidP="00842934">
      <w:pPr>
        <w:keepNext/>
        <w:tabs>
          <w:tab w:val="left" w:pos="3600"/>
        </w:tabs>
        <w:rPr>
          <w:sz w:val="22"/>
          <w:szCs w:val="22"/>
          <w:lang w:val="en-GB"/>
        </w:rPr>
      </w:pPr>
      <w:r>
        <w:rPr>
          <w:sz w:val="22"/>
          <w:szCs w:val="22"/>
          <w:lang w:val="en-GB"/>
        </w:rPr>
        <w:t>Marketing Authorisation Holder:</w:t>
      </w:r>
    </w:p>
    <w:p w:rsidR="00A30160" w:rsidRPr="00A30160" w:rsidRDefault="00A30160" w:rsidP="00A30160">
      <w:pPr>
        <w:ind w:left="720"/>
        <w:rPr>
          <w:sz w:val="22"/>
          <w:szCs w:val="22"/>
          <w:lang w:val="it-IT"/>
        </w:rPr>
      </w:pPr>
      <w:r w:rsidRPr="00A30160">
        <w:rPr>
          <w:sz w:val="22"/>
          <w:szCs w:val="22"/>
          <w:lang w:val="it-IT"/>
        </w:rPr>
        <w:t>Chiesi Farmaceutici S.p.A.</w:t>
      </w:r>
    </w:p>
    <w:p w:rsidR="00A30160" w:rsidRPr="00A30160" w:rsidRDefault="00A30160" w:rsidP="00A30160">
      <w:pPr>
        <w:ind w:left="720"/>
        <w:rPr>
          <w:sz w:val="22"/>
          <w:szCs w:val="22"/>
        </w:rPr>
      </w:pPr>
      <w:r w:rsidRPr="00A30160">
        <w:rPr>
          <w:sz w:val="22"/>
          <w:szCs w:val="22"/>
        </w:rPr>
        <w:t xml:space="preserve">Via Palermo 26/A </w:t>
      </w:r>
    </w:p>
    <w:p w:rsidR="00A30160" w:rsidRPr="00A30160" w:rsidRDefault="00A30160" w:rsidP="00A30160">
      <w:pPr>
        <w:ind w:left="720"/>
        <w:rPr>
          <w:sz w:val="22"/>
          <w:szCs w:val="22"/>
        </w:rPr>
      </w:pPr>
      <w:r w:rsidRPr="00A30160">
        <w:rPr>
          <w:sz w:val="22"/>
          <w:szCs w:val="22"/>
        </w:rPr>
        <w:t xml:space="preserve">43122 Parma </w:t>
      </w:r>
    </w:p>
    <w:p w:rsidR="00A30160" w:rsidRDefault="00A30160" w:rsidP="00A30160">
      <w:pPr>
        <w:ind w:left="720"/>
        <w:rPr>
          <w:sz w:val="22"/>
          <w:szCs w:val="22"/>
          <w:lang w:val="en-GB"/>
        </w:rPr>
      </w:pPr>
      <w:r w:rsidRPr="00A30160">
        <w:rPr>
          <w:sz w:val="22"/>
          <w:szCs w:val="22"/>
        </w:rPr>
        <w:t>Italy</w:t>
      </w:r>
    </w:p>
    <w:p w:rsidR="00842934" w:rsidRPr="007722A3" w:rsidRDefault="00842934" w:rsidP="00842934">
      <w:pPr>
        <w:tabs>
          <w:tab w:val="left" w:pos="3600"/>
        </w:tabs>
        <w:rPr>
          <w:sz w:val="22"/>
          <w:szCs w:val="22"/>
          <w:lang w:val="en-GB"/>
        </w:rPr>
      </w:pPr>
    </w:p>
    <w:p w:rsidR="00842934" w:rsidRDefault="00842934" w:rsidP="00842934">
      <w:pPr>
        <w:pStyle w:val="BodyText"/>
        <w:keepNext/>
        <w:tabs>
          <w:tab w:val="left" w:pos="3600"/>
        </w:tabs>
        <w:rPr>
          <w:b/>
        </w:rPr>
      </w:pPr>
      <w:r w:rsidRPr="007722A3">
        <w:t>Manufactur</w:t>
      </w:r>
      <w:r w:rsidR="00831E22">
        <w:t>er</w:t>
      </w:r>
      <w:r w:rsidRPr="007722A3">
        <w:t>:</w:t>
      </w:r>
    </w:p>
    <w:p w:rsidR="00842934" w:rsidRPr="00172967" w:rsidRDefault="00842934" w:rsidP="00842934">
      <w:pPr>
        <w:pStyle w:val="PILMAHaddress"/>
        <w:tabs>
          <w:tab w:val="left" w:pos="720"/>
        </w:tabs>
        <w:ind w:left="720"/>
        <w:rPr>
          <w:lang w:val="en-US"/>
        </w:rPr>
      </w:pPr>
      <w:r w:rsidRPr="00172967">
        <w:rPr>
          <w:lang w:val="en-US"/>
        </w:rPr>
        <w:t>Eurofins PROXY Laboratories B.V.</w:t>
      </w:r>
    </w:p>
    <w:p w:rsidR="00842934" w:rsidRDefault="00842934" w:rsidP="00842934">
      <w:pPr>
        <w:pStyle w:val="PILMAHaddress"/>
        <w:tabs>
          <w:tab w:val="left" w:pos="720"/>
        </w:tabs>
        <w:ind w:left="720"/>
      </w:pPr>
      <w:r>
        <w:t>Archimedesweg 25</w:t>
      </w:r>
    </w:p>
    <w:p w:rsidR="00842934" w:rsidRDefault="00842934" w:rsidP="00842934">
      <w:pPr>
        <w:pStyle w:val="PILMAHaddress"/>
        <w:tabs>
          <w:tab w:val="left" w:pos="720"/>
        </w:tabs>
        <w:ind w:left="720"/>
      </w:pPr>
      <w:r>
        <w:t>2333 CM Leiden</w:t>
      </w:r>
    </w:p>
    <w:p w:rsidR="00842934" w:rsidRDefault="00842934" w:rsidP="00842934">
      <w:pPr>
        <w:pStyle w:val="PILMAHaddress"/>
        <w:tabs>
          <w:tab w:val="left" w:pos="720"/>
        </w:tabs>
        <w:ind w:left="720"/>
      </w:pPr>
      <w:r>
        <w:t>Netherlands</w:t>
      </w:r>
    </w:p>
    <w:p w:rsidR="00842934" w:rsidRPr="007722A3" w:rsidRDefault="00842934" w:rsidP="00842934">
      <w:pPr>
        <w:tabs>
          <w:tab w:val="left" w:pos="4320"/>
        </w:tabs>
        <w:rPr>
          <w:sz w:val="22"/>
          <w:szCs w:val="22"/>
          <w:lang w:val="en-GB"/>
        </w:rPr>
      </w:pPr>
    </w:p>
    <w:p w:rsidR="00122CDB" w:rsidRDefault="00122CDB" w:rsidP="00122CDB">
      <w:pPr>
        <w:pStyle w:val="BodyText"/>
      </w:pPr>
      <w:r w:rsidRPr="007722A3">
        <w:t>For any information about this medicine, please contact the local representative of the Marketing Authorisation Holder:</w:t>
      </w:r>
    </w:p>
    <w:p w:rsidR="000F6015" w:rsidRPr="007722A3" w:rsidRDefault="000F6015" w:rsidP="00122CDB">
      <w:pPr>
        <w:pStyle w:val="BodyText"/>
      </w:pPr>
    </w:p>
    <w:tbl>
      <w:tblPr>
        <w:tblW w:w="9723" w:type="dxa"/>
        <w:tblInd w:w="-72" w:type="dxa"/>
        <w:tblLayout w:type="fixed"/>
        <w:tblLook w:val="0000" w:firstRow="0" w:lastRow="0" w:firstColumn="0" w:lastColumn="0" w:noHBand="0" w:noVBand="0"/>
      </w:tblPr>
      <w:tblGrid>
        <w:gridCol w:w="4855"/>
        <w:gridCol w:w="4860"/>
        <w:gridCol w:w="8"/>
      </w:tblGrid>
      <w:tr w:rsidR="009E1698" w:rsidTr="00D97152">
        <w:trPr>
          <w:cantSplit/>
        </w:trPr>
        <w:tc>
          <w:tcPr>
            <w:tcW w:w="4855" w:type="dxa"/>
          </w:tcPr>
          <w:p w:rsidR="00646D70" w:rsidRPr="009D293D" w:rsidRDefault="00646D70" w:rsidP="00D97152">
            <w:pPr>
              <w:rPr>
                <w:sz w:val="22"/>
                <w:szCs w:val="22"/>
                <w:lang w:val="fr-FR"/>
              </w:rPr>
            </w:pPr>
            <w:r w:rsidRPr="009D293D">
              <w:rPr>
                <w:b/>
                <w:sz w:val="22"/>
                <w:szCs w:val="22"/>
                <w:lang w:val="fr-FR"/>
              </w:rPr>
              <w:t>België/Belgique/Belgien</w:t>
            </w:r>
          </w:p>
          <w:p w:rsidR="00646D70" w:rsidRPr="009D293D" w:rsidRDefault="00646D70" w:rsidP="00D97152">
            <w:pPr>
              <w:pStyle w:val="Default"/>
              <w:rPr>
                <w:sz w:val="22"/>
                <w:szCs w:val="22"/>
                <w:lang w:val="fr-FR"/>
              </w:rPr>
            </w:pPr>
            <w:r w:rsidRPr="009D293D">
              <w:rPr>
                <w:sz w:val="22"/>
                <w:szCs w:val="22"/>
                <w:lang w:val="fr-FR"/>
              </w:rPr>
              <w:t xml:space="preserve">Chiesi sa/nv </w:t>
            </w:r>
          </w:p>
          <w:p w:rsidR="00646D70" w:rsidRPr="00BA1F5F" w:rsidRDefault="00646D70" w:rsidP="00D97152">
            <w:pPr>
              <w:ind w:right="34"/>
              <w:rPr>
                <w:sz w:val="22"/>
                <w:szCs w:val="22"/>
                <w:lang w:val="en-GB"/>
              </w:rPr>
            </w:pPr>
            <w:r>
              <w:rPr>
                <w:sz w:val="22"/>
                <w:szCs w:val="22"/>
              </w:rPr>
              <w:t>Tél/Tel: + 32 (0)2 788 42 00</w:t>
            </w:r>
          </w:p>
          <w:p w:rsidR="00646D70" w:rsidRPr="00BA1F5F" w:rsidRDefault="00646D70" w:rsidP="00D97152">
            <w:pPr>
              <w:ind w:right="34"/>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Lietuva</w:t>
            </w:r>
          </w:p>
          <w:p w:rsidR="00646D70" w:rsidRDefault="00646D70" w:rsidP="00D97152">
            <w:pPr>
              <w:pStyle w:val="Default"/>
              <w:rPr>
                <w:sz w:val="22"/>
                <w:szCs w:val="22"/>
              </w:rPr>
            </w:pPr>
            <w:r>
              <w:rPr>
                <w:sz w:val="22"/>
                <w:szCs w:val="22"/>
              </w:rPr>
              <w:t xml:space="preserve">Chiesi Pharmaceuticals GmbH </w:t>
            </w:r>
          </w:p>
          <w:p w:rsidR="00646D70" w:rsidRPr="00EB1EF1" w:rsidRDefault="00646D70" w:rsidP="00D97152">
            <w:pPr>
              <w:suppressAutoHyphens/>
              <w:rPr>
                <w:sz w:val="22"/>
                <w:szCs w:val="22"/>
              </w:rPr>
            </w:pPr>
            <w:r w:rsidRPr="00646D70">
              <w:rPr>
                <w:sz w:val="22"/>
                <w:szCs w:val="22"/>
                <w:lang w:val="en-GB"/>
              </w:rPr>
              <w:t xml:space="preserve">Tel: </w:t>
            </w:r>
            <w:r>
              <w:rPr>
                <w:sz w:val="22"/>
                <w:szCs w:val="22"/>
              </w:rPr>
              <w:t xml:space="preserve">+ 43 1 4073919 </w:t>
            </w:r>
          </w:p>
          <w:p w:rsidR="00646D70" w:rsidRPr="00646D70" w:rsidRDefault="00646D70" w:rsidP="00D97152">
            <w:pPr>
              <w:suppressAutoHyphens/>
              <w:rPr>
                <w:sz w:val="22"/>
                <w:szCs w:val="22"/>
                <w:lang w:val="en-GB"/>
              </w:rPr>
            </w:pPr>
          </w:p>
        </w:tc>
      </w:tr>
      <w:tr w:rsidR="009E1698" w:rsidTr="00D97152">
        <w:trPr>
          <w:cantSplit/>
        </w:trPr>
        <w:tc>
          <w:tcPr>
            <w:tcW w:w="4855" w:type="dxa"/>
          </w:tcPr>
          <w:p w:rsidR="00646D70" w:rsidRPr="00BA1F5F" w:rsidRDefault="00646D70" w:rsidP="00D97152">
            <w:pPr>
              <w:autoSpaceDE w:val="0"/>
              <w:autoSpaceDN w:val="0"/>
              <w:adjustRightInd w:val="0"/>
              <w:rPr>
                <w:b/>
                <w:bCs/>
                <w:sz w:val="22"/>
                <w:szCs w:val="22"/>
                <w:lang w:val="it-CH"/>
              </w:rPr>
            </w:pPr>
            <w:r w:rsidRPr="00BA1F5F">
              <w:rPr>
                <w:b/>
                <w:bCs/>
                <w:sz w:val="22"/>
                <w:szCs w:val="22"/>
                <w:lang w:val="en-GB"/>
              </w:rPr>
              <w:t>България</w:t>
            </w:r>
          </w:p>
          <w:p w:rsidR="00646D70" w:rsidRPr="00BA1F5F" w:rsidRDefault="00646D70" w:rsidP="00D97152">
            <w:pPr>
              <w:pStyle w:val="Default"/>
              <w:rPr>
                <w:sz w:val="22"/>
                <w:szCs w:val="22"/>
                <w:lang w:val="it-CH"/>
              </w:rPr>
            </w:pPr>
            <w:r w:rsidRPr="009D293D">
              <w:rPr>
                <w:sz w:val="22"/>
                <w:szCs w:val="22"/>
                <w:lang w:val="it-IT"/>
              </w:rPr>
              <w:t xml:space="preserve">Chiesi Bulgaria EOOD </w:t>
            </w:r>
          </w:p>
          <w:p w:rsidR="00646D70" w:rsidRPr="009D293D" w:rsidRDefault="00646D70" w:rsidP="00D97152">
            <w:pPr>
              <w:autoSpaceDE w:val="0"/>
              <w:autoSpaceDN w:val="0"/>
              <w:adjustRightInd w:val="0"/>
              <w:rPr>
                <w:sz w:val="22"/>
                <w:szCs w:val="22"/>
                <w:lang w:val="it-IT"/>
              </w:rPr>
            </w:pPr>
            <w:r w:rsidRPr="00BA1F5F">
              <w:rPr>
                <w:sz w:val="22"/>
                <w:szCs w:val="22"/>
                <w:lang w:val="en-GB"/>
              </w:rPr>
              <w:t>Тел</w:t>
            </w:r>
            <w:r w:rsidRPr="00BA1F5F">
              <w:rPr>
                <w:sz w:val="22"/>
                <w:szCs w:val="22"/>
                <w:lang w:val="it-CH"/>
              </w:rPr>
              <w:t>.: +359</w:t>
            </w:r>
            <w:r>
              <w:rPr>
                <w:sz w:val="22"/>
                <w:szCs w:val="22"/>
                <w:lang w:val="it-CH"/>
              </w:rPr>
              <w:t xml:space="preserve"> </w:t>
            </w:r>
            <w:r w:rsidRPr="009D293D">
              <w:rPr>
                <w:sz w:val="22"/>
                <w:szCs w:val="22"/>
                <w:lang w:val="it-IT"/>
              </w:rPr>
              <w:t xml:space="preserve">29201205 </w:t>
            </w:r>
          </w:p>
          <w:p w:rsidR="00646D70" w:rsidRPr="00BA1F5F" w:rsidRDefault="00646D70" w:rsidP="00D97152">
            <w:pPr>
              <w:tabs>
                <w:tab w:val="left" w:pos="-720"/>
              </w:tabs>
              <w:suppressAutoHyphens/>
              <w:jc w:val="both"/>
              <w:rPr>
                <w:b/>
                <w:sz w:val="22"/>
                <w:szCs w:val="22"/>
                <w:lang w:val="it-CH"/>
              </w:rPr>
            </w:pPr>
          </w:p>
        </w:tc>
        <w:tc>
          <w:tcPr>
            <w:tcW w:w="4868" w:type="dxa"/>
            <w:gridSpan w:val="2"/>
          </w:tcPr>
          <w:p w:rsidR="00646D70" w:rsidRPr="00BA1F5F" w:rsidRDefault="00646D70" w:rsidP="00D97152">
            <w:pPr>
              <w:rPr>
                <w:sz w:val="22"/>
                <w:szCs w:val="22"/>
                <w:lang w:val="it-CH"/>
              </w:rPr>
            </w:pPr>
            <w:r w:rsidRPr="00BA1F5F">
              <w:rPr>
                <w:b/>
                <w:sz w:val="22"/>
                <w:szCs w:val="22"/>
                <w:lang w:val="it-CH"/>
              </w:rPr>
              <w:t>Luxembourg/Luxemburg</w:t>
            </w:r>
          </w:p>
          <w:p w:rsidR="00646D70" w:rsidRPr="00BA1F5F" w:rsidRDefault="00646D70" w:rsidP="00D97152">
            <w:pPr>
              <w:rPr>
                <w:sz w:val="22"/>
                <w:szCs w:val="22"/>
                <w:lang w:val="it-CH"/>
              </w:rPr>
            </w:pPr>
            <w:r w:rsidRPr="00EB1EF1">
              <w:rPr>
                <w:sz w:val="22"/>
                <w:szCs w:val="22"/>
                <w:lang w:val="it-CH"/>
              </w:rPr>
              <w:t>Chiesi sa/nv</w:t>
            </w:r>
          </w:p>
          <w:p w:rsidR="00646D70" w:rsidRPr="00646D70" w:rsidRDefault="00646D70" w:rsidP="00D97152">
            <w:pPr>
              <w:suppressAutoHyphens/>
              <w:rPr>
                <w:sz w:val="22"/>
                <w:szCs w:val="22"/>
                <w:lang w:val="it-CH"/>
              </w:rPr>
            </w:pPr>
            <w:r w:rsidRPr="00646D70">
              <w:rPr>
                <w:sz w:val="22"/>
                <w:szCs w:val="22"/>
                <w:lang w:val="it-CH"/>
              </w:rPr>
              <w:t xml:space="preserve">Tél/Tel: + 32 (0)2 788 42 00 </w:t>
            </w:r>
          </w:p>
        </w:tc>
      </w:tr>
      <w:tr w:rsidR="009E1698" w:rsidTr="00D97152">
        <w:trPr>
          <w:cantSplit/>
        </w:trPr>
        <w:tc>
          <w:tcPr>
            <w:tcW w:w="4855" w:type="dxa"/>
          </w:tcPr>
          <w:p w:rsidR="00646D70" w:rsidRPr="00646D70" w:rsidRDefault="00646D70" w:rsidP="00D97152">
            <w:pPr>
              <w:tabs>
                <w:tab w:val="left" w:pos="-720"/>
              </w:tabs>
              <w:suppressAutoHyphens/>
              <w:rPr>
                <w:sz w:val="22"/>
                <w:szCs w:val="22"/>
                <w:lang w:val="pt-BR"/>
              </w:rPr>
            </w:pPr>
            <w:r w:rsidRPr="00646D70">
              <w:rPr>
                <w:b/>
                <w:sz w:val="22"/>
                <w:szCs w:val="22"/>
                <w:lang w:val="pt-BR"/>
              </w:rPr>
              <w:t>Česká republika</w:t>
            </w:r>
          </w:p>
          <w:p w:rsidR="00646D70" w:rsidRPr="00646D70" w:rsidRDefault="00646D70" w:rsidP="00D97152">
            <w:pPr>
              <w:tabs>
                <w:tab w:val="left" w:pos="-720"/>
              </w:tabs>
              <w:suppressAutoHyphens/>
              <w:rPr>
                <w:sz w:val="22"/>
                <w:szCs w:val="22"/>
                <w:lang w:val="pt-BR"/>
              </w:rPr>
            </w:pPr>
            <w:r w:rsidRPr="00646D70">
              <w:rPr>
                <w:sz w:val="22"/>
                <w:szCs w:val="22"/>
                <w:lang w:val="pt-BR"/>
              </w:rPr>
              <w:t>Aurovitas, spol. s r.o.</w:t>
            </w:r>
          </w:p>
          <w:p w:rsidR="00646D70" w:rsidRPr="00CB3E22" w:rsidRDefault="00646D70" w:rsidP="00D97152">
            <w:pPr>
              <w:tabs>
                <w:tab w:val="left" w:pos="-720"/>
              </w:tabs>
              <w:suppressAutoHyphens/>
              <w:rPr>
                <w:sz w:val="22"/>
                <w:szCs w:val="22"/>
                <w:lang w:val="it-CH"/>
              </w:rPr>
            </w:pPr>
            <w:r w:rsidRPr="00CB3E22">
              <w:rPr>
                <w:sz w:val="22"/>
                <w:szCs w:val="22"/>
                <w:lang w:val="it-CH"/>
              </w:rPr>
              <w:t>Tel: +00420 234 705 700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CB3E22" w:rsidRDefault="00646D70" w:rsidP="00D97152">
            <w:pPr>
              <w:spacing w:line="260" w:lineRule="atLeast"/>
              <w:rPr>
                <w:b/>
                <w:sz w:val="22"/>
                <w:szCs w:val="22"/>
                <w:lang w:val="it-CH"/>
              </w:rPr>
            </w:pPr>
            <w:r w:rsidRPr="00CB3E22">
              <w:rPr>
                <w:b/>
                <w:sz w:val="22"/>
                <w:szCs w:val="22"/>
                <w:lang w:val="it-CH"/>
              </w:rPr>
              <w:t>Magyarország</w:t>
            </w:r>
          </w:p>
          <w:p w:rsidR="00646D70" w:rsidRPr="00CB3E22" w:rsidRDefault="00646D70" w:rsidP="00D97152">
            <w:pPr>
              <w:spacing w:line="260" w:lineRule="atLeast"/>
              <w:rPr>
                <w:sz w:val="22"/>
                <w:szCs w:val="22"/>
                <w:lang w:val="it-CH"/>
              </w:rPr>
            </w:pPr>
            <w:r w:rsidRPr="00CB3E22">
              <w:rPr>
                <w:bCs/>
                <w:sz w:val="22"/>
                <w:szCs w:val="22"/>
                <w:lang w:val="it-CH"/>
              </w:rPr>
              <w:t>Chiesi Hungary Kft.</w:t>
            </w:r>
          </w:p>
          <w:p w:rsidR="00646D70" w:rsidRPr="00CB3E22" w:rsidRDefault="00646D70" w:rsidP="00D97152">
            <w:pPr>
              <w:tabs>
                <w:tab w:val="left" w:pos="-720"/>
              </w:tabs>
              <w:suppressAutoHyphens/>
              <w:rPr>
                <w:sz w:val="22"/>
                <w:szCs w:val="22"/>
                <w:lang w:val="it-CH"/>
              </w:rPr>
            </w:pPr>
            <w:r w:rsidRPr="00CB3E22">
              <w:rPr>
                <w:sz w:val="22"/>
                <w:szCs w:val="22"/>
                <w:lang w:val="it-CH"/>
              </w:rPr>
              <w:t>Tel.: + 36-1-429 1060</w:t>
            </w:r>
          </w:p>
        </w:tc>
      </w:tr>
      <w:tr w:rsidR="009E1698" w:rsidTr="00D97152">
        <w:trPr>
          <w:cantSplit/>
        </w:trPr>
        <w:tc>
          <w:tcPr>
            <w:tcW w:w="4855" w:type="dxa"/>
          </w:tcPr>
          <w:p w:rsidR="00646D70" w:rsidRPr="00CB3E22" w:rsidRDefault="00646D70" w:rsidP="00D97152">
            <w:pPr>
              <w:rPr>
                <w:sz w:val="22"/>
                <w:szCs w:val="22"/>
                <w:lang w:val="it-CH"/>
              </w:rPr>
            </w:pPr>
            <w:r w:rsidRPr="00CB3E22">
              <w:rPr>
                <w:b/>
                <w:sz w:val="22"/>
                <w:szCs w:val="22"/>
                <w:lang w:val="it-CH"/>
              </w:rPr>
              <w:t>Danmark</w:t>
            </w:r>
          </w:p>
          <w:p w:rsidR="00646D70" w:rsidRPr="00CB3E22" w:rsidRDefault="00646D70" w:rsidP="00D97152">
            <w:pPr>
              <w:rPr>
                <w:sz w:val="22"/>
                <w:szCs w:val="22"/>
                <w:lang w:val="it-CH"/>
              </w:rPr>
            </w:pPr>
            <w:r w:rsidRPr="00CB3E22">
              <w:rPr>
                <w:sz w:val="22"/>
                <w:szCs w:val="22"/>
                <w:lang w:val="it-CH"/>
              </w:rPr>
              <w:t>Chiesi Pharma AB</w:t>
            </w:r>
          </w:p>
          <w:p w:rsidR="00646D70" w:rsidRPr="00CB3E22" w:rsidRDefault="00646D70" w:rsidP="00D97152">
            <w:pPr>
              <w:tabs>
                <w:tab w:val="left" w:pos="-720"/>
              </w:tabs>
              <w:suppressAutoHyphens/>
              <w:rPr>
                <w:sz w:val="22"/>
                <w:szCs w:val="22"/>
                <w:lang w:val="it-CH"/>
              </w:rPr>
            </w:pPr>
            <w:r w:rsidRPr="00CB3E22">
              <w:rPr>
                <w:sz w:val="22"/>
                <w:szCs w:val="22"/>
                <w:lang w:val="it-CH"/>
              </w:rPr>
              <w:t>Tlf: + 46 8 753 35 20</w:t>
            </w:r>
          </w:p>
          <w:p w:rsidR="00646D70" w:rsidRPr="00CB3E22" w:rsidRDefault="00646D70" w:rsidP="00D97152">
            <w:pPr>
              <w:tabs>
                <w:tab w:val="left" w:pos="-720"/>
              </w:tabs>
              <w:suppressAutoHyphens/>
              <w:rPr>
                <w:sz w:val="22"/>
                <w:szCs w:val="22"/>
                <w:lang w:val="it-CH"/>
              </w:rPr>
            </w:pPr>
          </w:p>
        </w:tc>
        <w:tc>
          <w:tcPr>
            <w:tcW w:w="4868" w:type="dxa"/>
            <w:gridSpan w:val="2"/>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Malta</w:t>
            </w:r>
          </w:p>
          <w:p w:rsidR="00646D70" w:rsidRPr="009D293D" w:rsidRDefault="00646D70" w:rsidP="00D97152">
            <w:pPr>
              <w:pStyle w:val="Default"/>
              <w:rPr>
                <w:sz w:val="22"/>
                <w:szCs w:val="22"/>
                <w:lang w:val="it-IT"/>
              </w:rPr>
            </w:pPr>
            <w:r w:rsidRPr="009D293D">
              <w:rPr>
                <w:sz w:val="22"/>
                <w:szCs w:val="22"/>
                <w:lang w:val="it-IT"/>
              </w:rPr>
              <w:t>Chiesi Farmaceutici S.p.A.</w:t>
            </w:r>
          </w:p>
          <w:p w:rsidR="00646D70" w:rsidRPr="00BA1F5F" w:rsidRDefault="00646D70" w:rsidP="00D97152">
            <w:pPr>
              <w:rPr>
                <w:sz w:val="22"/>
                <w:szCs w:val="22"/>
                <w:lang w:val="en-GB"/>
              </w:rPr>
            </w:pPr>
            <w:r w:rsidRPr="00BA1F5F">
              <w:rPr>
                <w:sz w:val="22"/>
                <w:szCs w:val="22"/>
                <w:lang w:val="en-GB"/>
              </w:rPr>
              <w:t xml:space="preserve">Tel: + 39 0521 </w:t>
            </w:r>
            <w:r>
              <w:rPr>
                <w:sz w:val="22"/>
                <w:szCs w:val="22"/>
              </w:rPr>
              <w:t>2791</w:t>
            </w:r>
          </w:p>
        </w:tc>
      </w:tr>
      <w:tr w:rsidR="009E1698" w:rsidTr="00D97152">
        <w:trPr>
          <w:cantSplit/>
        </w:trPr>
        <w:tc>
          <w:tcPr>
            <w:tcW w:w="4855" w:type="dxa"/>
          </w:tcPr>
          <w:p w:rsidR="00646D70" w:rsidRPr="00BA1F5F" w:rsidRDefault="00646D70" w:rsidP="00D97152">
            <w:pPr>
              <w:rPr>
                <w:sz w:val="22"/>
                <w:szCs w:val="22"/>
                <w:lang w:val="de-DE"/>
              </w:rPr>
            </w:pPr>
            <w:r w:rsidRPr="00BA1F5F">
              <w:rPr>
                <w:b/>
                <w:sz w:val="22"/>
                <w:szCs w:val="22"/>
                <w:lang w:val="de-DE"/>
              </w:rPr>
              <w:t>Deutschland</w:t>
            </w:r>
          </w:p>
          <w:p w:rsidR="00646D70" w:rsidRPr="00BA1F5F" w:rsidRDefault="00646D70" w:rsidP="00D97152">
            <w:pPr>
              <w:rPr>
                <w:sz w:val="22"/>
                <w:szCs w:val="22"/>
                <w:lang w:val="de-DE"/>
              </w:rPr>
            </w:pPr>
            <w:r w:rsidRPr="00A7625F">
              <w:rPr>
                <w:sz w:val="22"/>
                <w:szCs w:val="22"/>
                <w:lang w:val="de-DE"/>
              </w:rPr>
              <w:t>Chiesi GmbH</w:t>
            </w:r>
          </w:p>
          <w:p w:rsidR="00646D70" w:rsidRPr="00BA1F5F" w:rsidRDefault="00646D70" w:rsidP="00D97152">
            <w:pPr>
              <w:tabs>
                <w:tab w:val="left" w:pos="-720"/>
              </w:tabs>
              <w:suppressAutoHyphens/>
              <w:rPr>
                <w:sz w:val="22"/>
                <w:szCs w:val="22"/>
                <w:lang w:val="de-DE"/>
              </w:rPr>
            </w:pPr>
            <w:r w:rsidRPr="00BA1F5F">
              <w:rPr>
                <w:sz w:val="22"/>
                <w:szCs w:val="22"/>
                <w:lang w:val="de-DE"/>
              </w:rPr>
              <w:t>Tel: +</w:t>
            </w:r>
            <w:r>
              <w:rPr>
                <w:sz w:val="22"/>
                <w:szCs w:val="22"/>
                <w:lang w:val="de-DE"/>
              </w:rPr>
              <w:t xml:space="preserve"> </w:t>
            </w:r>
            <w:r w:rsidRPr="00A7625F">
              <w:rPr>
                <w:sz w:val="22"/>
                <w:szCs w:val="22"/>
                <w:lang w:val="de-DE"/>
              </w:rPr>
              <w:t>49 40 89724-0</w:t>
            </w:r>
          </w:p>
          <w:p w:rsidR="00646D70" w:rsidRPr="00BA1F5F" w:rsidRDefault="00646D70" w:rsidP="00D97152">
            <w:pPr>
              <w:tabs>
                <w:tab w:val="left" w:pos="-720"/>
              </w:tabs>
              <w:suppressAutoHyphens/>
              <w:rPr>
                <w:sz w:val="22"/>
                <w:szCs w:val="22"/>
                <w:lang w:val="de-DE"/>
              </w:rPr>
            </w:pPr>
          </w:p>
        </w:tc>
        <w:tc>
          <w:tcPr>
            <w:tcW w:w="4868" w:type="dxa"/>
            <w:gridSpan w:val="2"/>
          </w:tcPr>
          <w:p w:rsidR="00646D70" w:rsidRPr="00BA1F5F" w:rsidRDefault="00646D70" w:rsidP="00D97152">
            <w:pPr>
              <w:tabs>
                <w:tab w:val="left" w:pos="-720"/>
                <w:tab w:val="left" w:pos="4536"/>
              </w:tabs>
              <w:suppressAutoHyphens/>
              <w:rPr>
                <w:b/>
                <w:sz w:val="22"/>
                <w:szCs w:val="22"/>
                <w:lang w:val="sv-SE"/>
              </w:rPr>
            </w:pPr>
            <w:r w:rsidRPr="00BA1F5F">
              <w:rPr>
                <w:b/>
                <w:sz w:val="22"/>
                <w:szCs w:val="22"/>
                <w:lang w:val="sv-SE"/>
              </w:rPr>
              <w:t>Nederland</w:t>
            </w:r>
          </w:p>
          <w:p w:rsidR="00646D70" w:rsidRPr="00BA1F5F" w:rsidRDefault="00646D70" w:rsidP="00D97152">
            <w:pPr>
              <w:rPr>
                <w:sz w:val="22"/>
                <w:szCs w:val="22"/>
                <w:lang w:val="sv-SE"/>
              </w:rPr>
            </w:pPr>
            <w:r w:rsidRPr="00A7625F">
              <w:rPr>
                <w:sz w:val="22"/>
                <w:szCs w:val="22"/>
                <w:lang w:val="sv-SE"/>
              </w:rPr>
              <w:t>Chiesi Pharmaceuticals B.V.</w:t>
            </w:r>
          </w:p>
          <w:p w:rsidR="00646D70" w:rsidRPr="00BA1F5F" w:rsidRDefault="00646D70" w:rsidP="00D97152">
            <w:pPr>
              <w:rPr>
                <w:sz w:val="22"/>
                <w:szCs w:val="22"/>
                <w:lang w:val="sv-SE"/>
              </w:rPr>
            </w:pPr>
            <w:r w:rsidRPr="00BA1F5F">
              <w:rPr>
                <w:sz w:val="22"/>
                <w:szCs w:val="22"/>
                <w:lang w:val="sv-SE"/>
              </w:rPr>
              <w:t>Tel: +</w:t>
            </w:r>
            <w:r>
              <w:rPr>
                <w:sz w:val="22"/>
                <w:szCs w:val="22"/>
                <w:lang w:val="sv-SE"/>
              </w:rPr>
              <w:t xml:space="preserve"> </w:t>
            </w:r>
            <w:r w:rsidRPr="00A7625F">
              <w:rPr>
                <w:sz w:val="22"/>
                <w:szCs w:val="22"/>
                <w:lang w:val="sv-SE"/>
              </w:rPr>
              <w:t>31 88 501 64 00</w:t>
            </w:r>
          </w:p>
        </w:tc>
      </w:tr>
      <w:tr w:rsidR="009E1698" w:rsidTr="00D97152">
        <w:trPr>
          <w:cantSplit/>
        </w:trPr>
        <w:tc>
          <w:tcPr>
            <w:tcW w:w="4855" w:type="dxa"/>
          </w:tcPr>
          <w:p w:rsidR="00646D70" w:rsidRPr="00646D70" w:rsidRDefault="00646D70" w:rsidP="00D97152">
            <w:pPr>
              <w:tabs>
                <w:tab w:val="left" w:pos="-720"/>
              </w:tabs>
              <w:suppressAutoHyphens/>
              <w:rPr>
                <w:b/>
                <w:bCs/>
                <w:sz w:val="22"/>
                <w:szCs w:val="22"/>
              </w:rPr>
            </w:pPr>
            <w:r w:rsidRPr="00646D70">
              <w:rPr>
                <w:b/>
                <w:bCs/>
                <w:sz w:val="22"/>
                <w:szCs w:val="22"/>
              </w:rPr>
              <w:t>Eesti</w:t>
            </w:r>
          </w:p>
          <w:p w:rsidR="00646D70" w:rsidRPr="00646D70" w:rsidRDefault="00646D70" w:rsidP="00D97152">
            <w:pPr>
              <w:rPr>
                <w:sz w:val="22"/>
                <w:szCs w:val="22"/>
              </w:rPr>
            </w:pPr>
            <w:r w:rsidRPr="00646D70">
              <w:rPr>
                <w:sz w:val="22"/>
                <w:szCs w:val="22"/>
              </w:rPr>
              <w:t>Chiesi Pharmaceuticals GmbH</w:t>
            </w:r>
          </w:p>
          <w:p w:rsidR="00646D70" w:rsidRPr="00646D70" w:rsidRDefault="00646D70" w:rsidP="00D97152">
            <w:pPr>
              <w:rPr>
                <w:sz w:val="22"/>
                <w:szCs w:val="22"/>
              </w:rPr>
            </w:pPr>
            <w:r w:rsidRPr="00646D70">
              <w:rPr>
                <w:sz w:val="22"/>
                <w:szCs w:val="22"/>
              </w:rPr>
              <w:t>Tel: + 43 1 4073919</w:t>
            </w:r>
          </w:p>
          <w:p w:rsidR="00646D70" w:rsidRPr="00646D70" w:rsidRDefault="00646D70" w:rsidP="00D97152">
            <w:pPr>
              <w:tabs>
                <w:tab w:val="left" w:pos="-720"/>
              </w:tabs>
              <w:suppressAutoHyphens/>
              <w:rPr>
                <w:sz w:val="22"/>
                <w:szCs w:val="22"/>
              </w:rPr>
            </w:pPr>
          </w:p>
        </w:tc>
        <w:tc>
          <w:tcPr>
            <w:tcW w:w="4868" w:type="dxa"/>
            <w:gridSpan w:val="2"/>
          </w:tcPr>
          <w:p w:rsidR="00646D70" w:rsidRPr="009D293D" w:rsidRDefault="00646D70" w:rsidP="00D97152">
            <w:pPr>
              <w:keepNext/>
              <w:ind w:left="709" w:hanging="709"/>
              <w:outlineLvl w:val="1"/>
              <w:rPr>
                <w:rFonts w:ascii="Times New Roman Bold" w:hAnsi="Times New Roman Bold"/>
                <w:b/>
                <w:bCs/>
                <w:caps/>
                <w:snapToGrid w:val="0"/>
                <w:sz w:val="22"/>
                <w:szCs w:val="22"/>
                <w:lang w:val="it-IT"/>
              </w:rPr>
            </w:pPr>
            <w:r w:rsidRPr="009D293D">
              <w:rPr>
                <w:rFonts w:ascii="Times New Roman Bold" w:hAnsi="Times New Roman Bold"/>
                <w:b/>
                <w:bCs/>
                <w:snapToGrid w:val="0"/>
                <w:sz w:val="22"/>
                <w:szCs w:val="22"/>
                <w:lang w:val="it-IT"/>
              </w:rPr>
              <w:t>Norge</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rPr>
                <w:sz w:val="22"/>
                <w:szCs w:val="22"/>
                <w:lang w:val="it-IT"/>
              </w:rPr>
            </w:pPr>
            <w:r w:rsidRPr="009D293D">
              <w:rPr>
                <w:sz w:val="22"/>
                <w:szCs w:val="22"/>
                <w:lang w:val="it-IT"/>
              </w:rPr>
              <w:t>Tlf: + 46 8 753 35 20</w:t>
            </w:r>
          </w:p>
        </w:tc>
      </w:tr>
      <w:tr w:rsidR="009E1698" w:rsidTr="00D97152">
        <w:trPr>
          <w:cantSplit/>
        </w:trPr>
        <w:tc>
          <w:tcPr>
            <w:tcW w:w="4855" w:type="dxa"/>
          </w:tcPr>
          <w:p w:rsidR="00646D70" w:rsidRPr="00BA1F5F" w:rsidRDefault="00646D70" w:rsidP="00D97152">
            <w:pPr>
              <w:rPr>
                <w:sz w:val="22"/>
                <w:szCs w:val="22"/>
                <w:lang w:val="en-GB"/>
              </w:rPr>
            </w:pPr>
            <w:r w:rsidRPr="00BA1F5F">
              <w:rPr>
                <w:b/>
                <w:sz w:val="22"/>
                <w:szCs w:val="22"/>
                <w:lang w:val="en-GB"/>
              </w:rPr>
              <w:t>Ελλάδα</w:t>
            </w:r>
          </w:p>
          <w:p w:rsidR="00646D70" w:rsidRPr="00BA1F5F" w:rsidRDefault="00646D70" w:rsidP="00D97152">
            <w:pPr>
              <w:rPr>
                <w:snapToGrid w:val="0"/>
                <w:sz w:val="22"/>
                <w:szCs w:val="22"/>
                <w:lang w:val="en-GB"/>
              </w:rPr>
            </w:pPr>
            <w:r w:rsidRPr="00BA1F5F">
              <w:rPr>
                <w:snapToGrid w:val="0"/>
                <w:sz w:val="22"/>
                <w:szCs w:val="22"/>
                <w:lang w:val="en-GB"/>
              </w:rPr>
              <w:t>DEMO ABEE</w:t>
            </w:r>
          </w:p>
          <w:p w:rsidR="00646D70" w:rsidRPr="00BA1F5F" w:rsidRDefault="00646D70" w:rsidP="00D97152">
            <w:pPr>
              <w:tabs>
                <w:tab w:val="left" w:pos="-720"/>
              </w:tabs>
              <w:suppressAutoHyphens/>
              <w:rPr>
                <w:sz w:val="22"/>
                <w:szCs w:val="22"/>
                <w:lang w:val="en-GB"/>
              </w:rPr>
            </w:pPr>
            <w:r w:rsidRPr="00BA1F5F">
              <w:rPr>
                <w:sz w:val="22"/>
                <w:szCs w:val="22"/>
                <w:lang w:val="en-GB"/>
              </w:rPr>
              <w:t>Τηλ: + 30 210 8161802</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rPr>
                <w:sz w:val="22"/>
                <w:szCs w:val="22"/>
                <w:lang w:val="en-GB"/>
              </w:rPr>
            </w:pPr>
            <w:r w:rsidRPr="00BA1F5F">
              <w:rPr>
                <w:b/>
                <w:sz w:val="22"/>
                <w:szCs w:val="22"/>
                <w:lang w:val="en-GB"/>
              </w:rPr>
              <w:t>Österreich</w:t>
            </w:r>
          </w:p>
          <w:p w:rsidR="00646D70" w:rsidRPr="00A7625F" w:rsidRDefault="00646D70" w:rsidP="00D97152">
            <w:pPr>
              <w:rPr>
                <w:sz w:val="22"/>
                <w:szCs w:val="22"/>
                <w:lang w:val="en-GB"/>
              </w:rPr>
            </w:pPr>
            <w:r w:rsidRPr="00A7625F">
              <w:rPr>
                <w:sz w:val="22"/>
                <w:szCs w:val="22"/>
                <w:lang w:val="en-GB"/>
              </w:rPr>
              <w:t>Chiesi Pharmaceuticals GmbH</w:t>
            </w:r>
          </w:p>
          <w:p w:rsidR="00646D70" w:rsidRPr="00BA1F5F" w:rsidRDefault="00646D70" w:rsidP="00D97152">
            <w:pPr>
              <w:rPr>
                <w:sz w:val="22"/>
                <w:szCs w:val="22"/>
                <w:lang w:val="en-GB"/>
              </w:rPr>
            </w:pPr>
            <w:r w:rsidRPr="00A7625F">
              <w:rPr>
                <w:sz w:val="22"/>
                <w:szCs w:val="22"/>
                <w:lang w:val="en-GB"/>
              </w:rPr>
              <w:t>Tel: + 43 1 4073919</w:t>
            </w:r>
          </w:p>
        </w:tc>
      </w:tr>
      <w:tr w:rsidR="009E1698" w:rsidTr="00D97152">
        <w:trPr>
          <w:cantSplit/>
        </w:trPr>
        <w:tc>
          <w:tcPr>
            <w:tcW w:w="4855" w:type="dxa"/>
          </w:tcPr>
          <w:p w:rsidR="00646D70" w:rsidRPr="00646D70" w:rsidRDefault="00646D70" w:rsidP="00D97152">
            <w:pPr>
              <w:tabs>
                <w:tab w:val="left" w:pos="-720"/>
                <w:tab w:val="left" w:pos="4536"/>
              </w:tabs>
              <w:suppressAutoHyphens/>
              <w:rPr>
                <w:b/>
                <w:sz w:val="22"/>
                <w:szCs w:val="22"/>
                <w:lang w:val="es-ES"/>
              </w:rPr>
            </w:pPr>
            <w:r w:rsidRPr="00646D70">
              <w:rPr>
                <w:b/>
                <w:sz w:val="22"/>
                <w:szCs w:val="22"/>
                <w:lang w:val="es-ES"/>
              </w:rPr>
              <w:t>España</w:t>
            </w:r>
          </w:p>
          <w:p w:rsidR="00646D70" w:rsidRPr="00646D70" w:rsidRDefault="00646D70" w:rsidP="00D97152">
            <w:pPr>
              <w:rPr>
                <w:sz w:val="22"/>
                <w:szCs w:val="22"/>
                <w:lang w:val="es-ES"/>
              </w:rPr>
            </w:pPr>
            <w:r w:rsidRPr="00646D70">
              <w:rPr>
                <w:sz w:val="22"/>
                <w:szCs w:val="22"/>
                <w:lang w:val="es-ES"/>
              </w:rPr>
              <w:t>Chiesi España, S.A.U.</w:t>
            </w:r>
          </w:p>
          <w:p w:rsidR="00646D70" w:rsidRPr="00BA1F5F" w:rsidRDefault="00646D70" w:rsidP="00D97152">
            <w:pPr>
              <w:rPr>
                <w:sz w:val="22"/>
                <w:szCs w:val="22"/>
                <w:lang w:val="en-GB"/>
              </w:rPr>
            </w:pPr>
            <w:r w:rsidRPr="00A7625F">
              <w:rPr>
                <w:sz w:val="22"/>
                <w:szCs w:val="22"/>
                <w:lang w:val="en-GB"/>
              </w:rPr>
              <w:t>Tel: + 34 934948000</w:t>
            </w:r>
          </w:p>
          <w:p w:rsidR="00646D70" w:rsidRPr="00BA1F5F" w:rsidRDefault="00646D70" w:rsidP="00D97152">
            <w:pPr>
              <w:tabs>
                <w:tab w:val="left" w:pos="-720"/>
              </w:tabs>
              <w:suppressAutoHyphens/>
              <w:rPr>
                <w:sz w:val="22"/>
                <w:szCs w:val="22"/>
                <w:lang w:val="en-GB"/>
              </w:rPr>
            </w:pP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Polska</w:t>
            </w:r>
          </w:p>
          <w:p w:rsidR="00646D70" w:rsidRPr="00A7625F" w:rsidRDefault="00646D70" w:rsidP="00D97152">
            <w:pPr>
              <w:tabs>
                <w:tab w:val="left" w:pos="-720"/>
              </w:tabs>
              <w:suppressAutoHyphens/>
              <w:rPr>
                <w:bCs/>
                <w:sz w:val="22"/>
                <w:szCs w:val="22"/>
                <w:lang w:val="it-CH"/>
              </w:rPr>
            </w:pPr>
            <w:r w:rsidRPr="00A7625F">
              <w:rPr>
                <w:bCs/>
                <w:sz w:val="22"/>
                <w:szCs w:val="22"/>
                <w:lang w:val="it-CH"/>
              </w:rPr>
              <w:t>Chiesi Poland Sp. z.o.o.</w:t>
            </w:r>
          </w:p>
          <w:p w:rsidR="00646D70" w:rsidRPr="00BA1F5F" w:rsidRDefault="00646D70" w:rsidP="00D97152">
            <w:pPr>
              <w:tabs>
                <w:tab w:val="left" w:pos="-720"/>
              </w:tabs>
              <w:suppressAutoHyphens/>
              <w:rPr>
                <w:sz w:val="22"/>
                <w:szCs w:val="22"/>
                <w:lang w:val="en-GB"/>
              </w:rPr>
            </w:pPr>
            <w:r w:rsidRPr="00A7625F">
              <w:rPr>
                <w:bCs/>
                <w:sz w:val="22"/>
                <w:szCs w:val="22"/>
                <w:lang w:val="it-CH"/>
              </w:rPr>
              <w:t>Tel.: + 48 22 620 1421</w:t>
            </w:r>
          </w:p>
        </w:tc>
      </w:tr>
      <w:tr w:rsidR="009E1698" w:rsidTr="00D97152">
        <w:trPr>
          <w:cantSplit/>
        </w:trPr>
        <w:tc>
          <w:tcPr>
            <w:tcW w:w="4855" w:type="dxa"/>
          </w:tcPr>
          <w:p w:rsidR="00646D70" w:rsidRPr="009D293D" w:rsidRDefault="00646D70" w:rsidP="00D97152">
            <w:pPr>
              <w:tabs>
                <w:tab w:val="left" w:pos="-720"/>
                <w:tab w:val="left" w:pos="4536"/>
              </w:tabs>
              <w:suppressAutoHyphens/>
              <w:rPr>
                <w:b/>
                <w:sz w:val="22"/>
                <w:szCs w:val="22"/>
                <w:lang w:val="it-IT"/>
              </w:rPr>
            </w:pPr>
            <w:r w:rsidRPr="009D293D">
              <w:rPr>
                <w:b/>
                <w:sz w:val="22"/>
                <w:szCs w:val="22"/>
                <w:lang w:val="it-IT"/>
              </w:rPr>
              <w:t>France</w:t>
            </w:r>
          </w:p>
          <w:p w:rsidR="00646D70" w:rsidRPr="009D293D" w:rsidRDefault="00646D70" w:rsidP="00D97152">
            <w:pPr>
              <w:pStyle w:val="Default"/>
              <w:rPr>
                <w:sz w:val="22"/>
                <w:szCs w:val="22"/>
                <w:lang w:val="it-IT"/>
              </w:rPr>
            </w:pPr>
            <w:r w:rsidRPr="009D293D">
              <w:rPr>
                <w:sz w:val="22"/>
                <w:szCs w:val="22"/>
                <w:lang w:val="it-IT"/>
              </w:rPr>
              <w:t xml:space="preserve">Chiesi S.A.S. </w:t>
            </w:r>
          </w:p>
          <w:p w:rsidR="00646D70" w:rsidRPr="00BA1F5F" w:rsidRDefault="00646D70" w:rsidP="00D97152">
            <w:pPr>
              <w:rPr>
                <w:sz w:val="22"/>
                <w:szCs w:val="22"/>
                <w:lang w:val="en-GB"/>
              </w:rPr>
            </w:pPr>
            <w:r>
              <w:rPr>
                <w:sz w:val="22"/>
                <w:szCs w:val="22"/>
              </w:rPr>
              <w:t xml:space="preserve">Tél: + 33 1 47688899 </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rPr>
                <w:sz w:val="22"/>
                <w:szCs w:val="22"/>
                <w:lang w:val="it-IT"/>
              </w:rPr>
            </w:pPr>
            <w:r w:rsidRPr="009D293D">
              <w:rPr>
                <w:b/>
                <w:sz w:val="22"/>
                <w:szCs w:val="22"/>
                <w:lang w:val="it-IT"/>
              </w:rPr>
              <w:t>Portugal</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A7625F">
              <w:rPr>
                <w:sz w:val="22"/>
                <w:szCs w:val="22"/>
                <w:lang w:val="en-GB"/>
              </w:rPr>
              <w:t>Tel: + 39 0521 2791</w:t>
            </w:r>
          </w:p>
        </w:tc>
      </w:tr>
      <w:tr w:rsidR="009E1698" w:rsidTr="00D97152">
        <w:trPr>
          <w:cantSplit/>
        </w:trPr>
        <w:tc>
          <w:tcPr>
            <w:tcW w:w="4855" w:type="dxa"/>
          </w:tcPr>
          <w:p w:rsidR="00646D70" w:rsidRPr="00BA1F5F" w:rsidRDefault="00646D70" w:rsidP="00D97152">
            <w:pPr>
              <w:tabs>
                <w:tab w:val="left" w:pos="-720"/>
                <w:tab w:val="left" w:pos="4536"/>
              </w:tabs>
              <w:suppressAutoHyphens/>
              <w:rPr>
                <w:b/>
                <w:noProof/>
                <w:sz w:val="22"/>
                <w:szCs w:val="22"/>
                <w:lang w:val="hr-HR"/>
              </w:rPr>
            </w:pPr>
            <w:r w:rsidRPr="00BA1F5F">
              <w:rPr>
                <w:b/>
                <w:noProof/>
                <w:sz w:val="22"/>
                <w:szCs w:val="22"/>
                <w:lang w:val="hr-HR"/>
              </w:rPr>
              <w:t>Hrvatska</w:t>
            </w:r>
          </w:p>
          <w:p w:rsidR="00646D70" w:rsidRPr="00A7625F" w:rsidRDefault="00646D70" w:rsidP="00D97152">
            <w:pPr>
              <w:tabs>
                <w:tab w:val="left" w:pos="-720"/>
                <w:tab w:val="left" w:pos="4536"/>
              </w:tabs>
              <w:suppressAutoHyphens/>
              <w:rPr>
                <w:sz w:val="22"/>
                <w:szCs w:val="22"/>
                <w:lang w:val="hr-HR"/>
              </w:rPr>
            </w:pPr>
            <w:r w:rsidRPr="00A7625F">
              <w:rPr>
                <w:sz w:val="22"/>
                <w:szCs w:val="22"/>
                <w:lang w:val="hr-HR"/>
              </w:rPr>
              <w:t>Chiesi Pharmaceuticals GmbH</w:t>
            </w:r>
          </w:p>
          <w:p w:rsidR="00646D70" w:rsidRPr="00BA1F5F" w:rsidRDefault="00646D70" w:rsidP="00D97152">
            <w:pPr>
              <w:tabs>
                <w:tab w:val="left" w:pos="-720"/>
                <w:tab w:val="left" w:pos="4536"/>
              </w:tabs>
              <w:suppressAutoHyphens/>
              <w:rPr>
                <w:b/>
                <w:sz w:val="22"/>
                <w:szCs w:val="22"/>
                <w:lang w:val="hr-HR"/>
              </w:rPr>
            </w:pPr>
            <w:r w:rsidRPr="00A7625F">
              <w:rPr>
                <w:sz w:val="22"/>
                <w:szCs w:val="22"/>
                <w:lang w:val="hr-HR"/>
              </w:rPr>
              <w:t>Tel: + 43 1 4073919</w:t>
            </w:r>
          </w:p>
        </w:tc>
        <w:tc>
          <w:tcPr>
            <w:tcW w:w="4868" w:type="dxa"/>
            <w:gridSpan w:val="2"/>
          </w:tcPr>
          <w:p w:rsidR="00646D70" w:rsidRPr="00BA1F5F" w:rsidRDefault="00646D70" w:rsidP="00D97152">
            <w:pPr>
              <w:tabs>
                <w:tab w:val="left" w:pos="-720"/>
              </w:tabs>
              <w:suppressAutoHyphens/>
              <w:rPr>
                <w:b/>
                <w:sz w:val="22"/>
                <w:szCs w:val="22"/>
                <w:lang w:val="it-CH"/>
              </w:rPr>
            </w:pPr>
            <w:r w:rsidRPr="00BA1F5F">
              <w:rPr>
                <w:b/>
                <w:sz w:val="22"/>
                <w:szCs w:val="22"/>
                <w:lang w:val="it-CH"/>
              </w:rPr>
              <w:t>România</w:t>
            </w:r>
          </w:p>
          <w:p w:rsidR="00646D70" w:rsidRPr="00BA1F5F" w:rsidRDefault="00646D70" w:rsidP="00D97152">
            <w:pPr>
              <w:tabs>
                <w:tab w:val="left" w:pos="-720"/>
              </w:tabs>
              <w:suppressAutoHyphens/>
              <w:rPr>
                <w:sz w:val="22"/>
                <w:szCs w:val="22"/>
                <w:lang w:val="it-CH"/>
              </w:rPr>
            </w:pPr>
            <w:r w:rsidRPr="00EB006A">
              <w:rPr>
                <w:sz w:val="22"/>
                <w:szCs w:val="22"/>
                <w:lang w:val="it-CH"/>
              </w:rPr>
              <w:t>Chiesi Romania S.R.L.</w:t>
            </w:r>
          </w:p>
          <w:p w:rsidR="00646D70" w:rsidRPr="00BA1F5F" w:rsidRDefault="00646D70" w:rsidP="00D97152">
            <w:pPr>
              <w:tabs>
                <w:tab w:val="left" w:pos="-720"/>
              </w:tabs>
              <w:suppressAutoHyphens/>
              <w:rPr>
                <w:sz w:val="22"/>
                <w:szCs w:val="22"/>
                <w:lang w:val="en-GB"/>
              </w:rPr>
            </w:pPr>
            <w:r w:rsidRPr="00BA1F5F">
              <w:rPr>
                <w:sz w:val="22"/>
                <w:szCs w:val="22"/>
                <w:lang w:val="en-GB"/>
              </w:rPr>
              <w:t>Tel: + 40</w:t>
            </w:r>
            <w:r>
              <w:rPr>
                <w:sz w:val="22"/>
                <w:szCs w:val="22"/>
                <w:lang w:val="en-GB"/>
              </w:rPr>
              <w:t xml:space="preserve"> </w:t>
            </w:r>
            <w:r w:rsidRPr="00BA1F5F">
              <w:rPr>
                <w:sz w:val="22"/>
                <w:szCs w:val="22"/>
                <w:lang w:val="en-GB"/>
              </w:rPr>
              <w:t>212023642</w:t>
            </w:r>
          </w:p>
          <w:p w:rsidR="00646D70" w:rsidRPr="00BA1F5F" w:rsidRDefault="00646D70" w:rsidP="00D97152">
            <w:pPr>
              <w:tabs>
                <w:tab w:val="left" w:pos="-720"/>
              </w:tabs>
              <w:suppressAutoHyphens/>
              <w:rPr>
                <w:sz w:val="22"/>
                <w:szCs w:val="22"/>
                <w:lang w:val="en-GB"/>
              </w:rPr>
            </w:pPr>
          </w:p>
        </w:tc>
      </w:tr>
      <w:tr w:rsidR="009E1698" w:rsidTr="00D97152">
        <w:trPr>
          <w:gridAfter w:val="1"/>
          <w:wAfter w:w="8" w:type="dxa"/>
          <w:cantSplit/>
        </w:trPr>
        <w:tc>
          <w:tcPr>
            <w:tcW w:w="4855" w:type="dxa"/>
          </w:tcPr>
          <w:p w:rsidR="00646D70" w:rsidRPr="009D293D" w:rsidRDefault="00646D70" w:rsidP="00D97152">
            <w:pPr>
              <w:rPr>
                <w:sz w:val="22"/>
                <w:szCs w:val="22"/>
                <w:lang w:val="it-IT"/>
              </w:rPr>
            </w:pPr>
            <w:r w:rsidRPr="009D293D">
              <w:rPr>
                <w:b/>
                <w:sz w:val="22"/>
                <w:szCs w:val="22"/>
                <w:lang w:val="it-IT"/>
              </w:rPr>
              <w:t>Ireland</w:t>
            </w:r>
          </w:p>
          <w:p w:rsidR="00646D70" w:rsidRPr="009D293D" w:rsidRDefault="00646D70" w:rsidP="00D97152">
            <w:pPr>
              <w:rPr>
                <w:sz w:val="22"/>
                <w:szCs w:val="22"/>
                <w:lang w:val="it-IT"/>
              </w:rPr>
            </w:pPr>
            <w:r w:rsidRPr="009D293D">
              <w:rPr>
                <w:sz w:val="22"/>
                <w:szCs w:val="22"/>
                <w:lang w:val="it-IT"/>
              </w:rPr>
              <w:t>Chiesi Farmaceutici S.p.A.</w:t>
            </w:r>
          </w:p>
          <w:p w:rsidR="00646D70" w:rsidRPr="00BA1F5F" w:rsidRDefault="00646D70" w:rsidP="00D97152">
            <w:pPr>
              <w:tabs>
                <w:tab w:val="left" w:pos="-720"/>
              </w:tabs>
              <w:suppressAutoHyphens/>
              <w:rPr>
                <w:sz w:val="22"/>
                <w:szCs w:val="22"/>
                <w:lang w:val="en-GB"/>
              </w:rPr>
            </w:pPr>
            <w:r w:rsidRPr="00EB006A">
              <w:rPr>
                <w:sz w:val="22"/>
                <w:szCs w:val="22"/>
                <w:lang w:val="en-GB"/>
              </w:rPr>
              <w:t>Tel: + 39 0521 2791</w:t>
            </w:r>
          </w:p>
          <w:p w:rsidR="00646D70" w:rsidRPr="00BA1F5F" w:rsidRDefault="00646D70" w:rsidP="00D97152">
            <w:pPr>
              <w:tabs>
                <w:tab w:val="left" w:pos="-720"/>
              </w:tabs>
              <w:suppressAutoHyphens/>
              <w:rPr>
                <w:sz w:val="22"/>
                <w:szCs w:val="22"/>
                <w:lang w:val="en-GB"/>
              </w:rPr>
            </w:pPr>
          </w:p>
        </w:tc>
        <w:tc>
          <w:tcPr>
            <w:tcW w:w="4860" w:type="dxa"/>
          </w:tcPr>
          <w:p w:rsidR="00646D70" w:rsidRPr="00BA1F5F" w:rsidRDefault="00646D70" w:rsidP="00D97152">
            <w:pPr>
              <w:rPr>
                <w:sz w:val="22"/>
                <w:szCs w:val="22"/>
                <w:lang w:val="it-CH"/>
              </w:rPr>
            </w:pPr>
            <w:r w:rsidRPr="00BA1F5F">
              <w:rPr>
                <w:b/>
                <w:sz w:val="22"/>
                <w:szCs w:val="22"/>
                <w:lang w:val="it-CH"/>
              </w:rPr>
              <w:t>Slovenija</w:t>
            </w:r>
          </w:p>
          <w:p w:rsidR="00646D70" w:rsidRPr="00BA1F5F" w:rsidRDefault="00646D70" w:rsidP="00D97152">
            <w:pPr>
              <w:rPr>
                <w:sz w:val="22"/>
                <w:szCs w:val="22"/>
                <w:lang w:val="it-CH"/>
              </w:rPr>
            </w:pPr>
            <w:r w:rsidRPr="00BA1F5F">
              <w:rPr>
                <w:bCs/>
                <w:sz w:val="22"/>
                <w:szCs w:val="22"/>
                <w:lang w:val="it-CH"/>
              </w:rPr>
              <w:t>Chiesi Slovenija d.o.o.</w:t>
            </w:r>
          </w:p>
          <w:p w:rsidR="00646D70" w:rsidRPr="00BA1F5F" w:rsidRDefault="00646D70" w:rsidP="00D97152">
            <w:pPr>
              <w:tabs>
                <w:tab w:val="left" w:pos="-720"/>
              </w:tabs>
              <w:suppressAutoHyphens/>
              <w:rPr>
                <w:sz w:val="22"/>
                <w:szCs w:val="22"/>
                <w:lang w:val="en-GB"/>
              </w:rPr>
            </w:pPr>
            <w:r w:rsidRPr="00BA1F5F">
              <w:rPr>
                <w:sz w:val="22"/>
                <w:szCs w:val="22"/>
                <w:lang w:val="en-GB"/>
              </w:rPr>
              <w:t>Tel: + 386-1-43 00 901</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Ísland</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rPr>
                <w:sz w:val="22"/>
                <w:szCs w:val="22"/>
                <w:lang w:val="en-GB"/>
              </w:rPr>
            </w:pPr>
            <w:r w:rsidRPr="00EB006A">
              <w:rPr>
                <w:sz w:val="22"/>
                <w:szCs w:val="22"/>
                <w:lang w:val="en-GB"/>
              </w:rPr>
              <w:t>Sími: +46 8 753 35 20</w:t>
            </w:r>
          </w:p>
          <w:p w:rsidR="00646D70" w:rsidRPr="00BA1F5F" w:rsidRDefault="00646D70" w:rsidP="00D97152">
            <w:pPr>
              <w:rPr>
                <w:b/>
                <w:sz w:val="22"/>
                <w:szCs w:val="22"/>
                <w:lang w:val="en-GB"/>
              </w:rPr>
            </w:pPr>
          </w:p>
        </w:tc>
        <w:tc>
          <w:tcPr>
            <w:tcW w:w="4868" w:type="dxa"/>
            <w:gridSpan w:val="2"/>
          </w:tcPr>
          <w:p w:rsidR="00646D70" w:rsidRPr="00C31746" w:rsidRDefault="00646D70" w:rsidP="00D97152">
            <w:pPr>
              <w:tabs>
                <w:tab w:val="left" w:pos="-720"/>
              </w:tabs>
              <w:suppressAutoHyphens/>
              <w:rPr>
                <w:b/>
                <w:sz w:val="22"/>
                <w:szCs w:val="22"/>
                <w:lang w:val="en-GB"/>
              </w:rPr>
            </w:pPr>
            <w:r w:rsidRPr="00C31746">
              <w:rPr>
                <w:b/>
                <w:sz w:val="22"/>
                <w:szCs w:val="22"/>
                <w:lang w:val="en-GB"/>
              </w:rPr>
              <w:t>Slovenská republika</w:t>
            </w:r>
          </w:p>
          <w:p w:rsidR="00646D70" w:rsidRPr="00C31746" w:rsidRDefault="00646D70" w:rsidP="00D97152">
            <w:pPr>
              <w:spacing w:line="260" w:lineRule="atLeast"/>
              <w:rPr>
                <w:sz w:val="22"/>
                <w:szCs w:val="22"/>
                <w:lang w:val="en-GB"/>
              </w:rPr>
            </w:pPr>
            <w:r w:rsidRPr="00C31746">
              <w:rPr>
                <w:bCs/>
                <w:sz w:val="22"/>
                <w:szCs w:val="22"/>
                <w:lang w:val="en-GB"/>
              </w:rPr>
              <w:t>Chiesi Slovakia s.r.o.</w:t>
            </w:r>
          </w:p>
          <w:p w:rsidR="00646D70" w:rsidRPr="00BA1F5F" w:rsidRDefault="00646D70" w:rsidP="00D97152">
            <w:pPr>
              <w:tabs>
                <w:tab w:val="left" w:pos="-720"/>
              </w:tabs>
              <w:suppressAutoHyphens/>
              <w:rPr>
                <w:b/>
                <w:sz w:val="22"/>
                <w:szCs w:val="22"/>
                <w:lang w:val="en-GB"/>
              </w:rPr>
            </w:pPr>
            <w:r w:rsidRPr="00BA1F5F">
              <w:rPr>
                <w:sz w:val="22"/>
                <w:szCs w:val="22"/>
                <w:lang w:val="en-GB"/>
              </w:rPr>
              <w:t>Tel: + 421</w:t>
            </w:r>
            <w:r>
              <w:rPr>
                <w:sz w:val="22"/>
                <w:szCs w:val="22"/>
                <w:lang w:val="en-GB"/>
              </w:rPr>
              <w:t xml:space="preserve"> </w:t>
            </w:r>
            <w:r w:rsidRPr="00BA1F5F">
              <w:rPr>
                <w:sz w:val="22"/>
                <w:szCs w:val="22"/>
                <w:lang w:val="en-GB"/>
              </w:rPr>
              <w:t>2593</w:t>
            </w:r>
            <w:r>
              <w:rPr>
                <w:sz w:val="22"/>
                <w:szCs w:val="22"/>
                <w:lang w:val="en-GB"/>
              </w:rPr>
              <w:t>0</w:t>
            </w:r>
            <w:r w:rsidRPr="00BA1F5F">
              <w:rPr>
                <w:sz w:val="22"/>
                <w:szCs w:val="22"/>
                <w:lang w:val="en-GB"/>
              </w:rPr>
              <w:t>0060</w:t>
            </w:r>
          </w:p>
        </w:tc>
      </w:tr>
      <w:tr w:rsidR="009E1698" w:rsidTr="00D97152">
        <w:trPr>
          <w:cantSplit/>
        </w:trPr>
        <w:tc>
          <w:tcPr>
            <w:tcW w:w="4855" w:type="dxa"/>
          </w:tcPr>
          <w:p w:rsidR="00646D70" w:rsidRPr="00BA1F5F" w:rsidRDefault="00646D70" w:rsidP="00D97152">
            <w:pPr>
              <w:rPr>
                <w:sz w:val="22"/>
                <w:szCs w:val="22"/>
                <w:lang w:val="it-CH"/>
              </w:rPr>
            </w:pPr>
            <w:r w:rsidRPr="00BA1F5F">
              <w:rPr>
                <w:b/>
                <w:sz w:val="22"/>
                <w:szCs w:val="22"/>
                <w:lang w:val="it-CH"/>
              </w:rPr>
              <w:t>Italia</w:t>
            </w:r>
          </w:p>
          <w:p w:rsidR="00646D70" w:rsidRPr="00BA1F5F" w:rsidRDefault="00646D70" w:rsidP="00D97152">
            <w:pPr>
              <w:rPr>
                <w:sz w:val="22"/>
                <w:szCs w:val="22"/>
                <w:lang w:val="it-CH"/>
              </w:rPr>
            </w:pPr>
            <w:r w:rsidRPr="00BA1F5F">
              <w:rPr>
                <w:sz w:val="22"/>
                <w:szCs w:val="22"/>
                <w:lang w:val="it-CH"/>
              </w:rPr>
              <w:t xml:space="preserve">Chiesi </w:t>
            </w:r>
            <w:r w:rsidRPr="009D293D">
              <w:rPr>
                <w:sz w:val="22"/>
                <w:szCs w:val="22"/>
                <w:lang w:val="it-CH"/>
              </w:rPr>
              <w:t xml:space="preserve">Italia </w:t>
            </w:r>
            <w:r w:rsidRPr="00BA1F5F">
              <w:rPr>
                <w:sz w:val="22"/>
                <w:szCs w:val="22"/>
                <w:lang w:val="it-CH"/>
              </w:rPr>
              <w:t>S.p.A</w:t>
            </w:r>
            <w:r>
              <w:rPr>
                <w:sz w:val="22"/>
                <w:szCs w:val="22"/>
                <w:lang w:val="it-CH"/>
              </w:rPr>
              <w:t>.</w:t>
            </w:r>
          </w:p>
          <w:p w:rsidR="00646D70" w:rsidRPr="00BA1F5F" w:rsidRDefault="00646D70" w:rsidP="00D97152">
            <w:pPr>
              <w:rPr>
                <w:sz w:val="22"/>
                <w:szCs w:val="22"/>
                <w:lang w:val="en-GB"/>
              </w:rPr>
            </w:pPr>
            <w:r w:rsidRPr="00BA1F5F">
              <w:rPr>
                <w:sz w:val="22"/>
                <w:szCs w:val="22"/>
                <w:lang w:val="en-GB"/>
              </w:rPr>
              <w:t>Tel: + 39 0521 2791</w:t>
            </w:r>
          </w:p>
          <w:p w:rsidR="00646D70" w:rsidRPr="00BA1F5F" w:rsidRDefault="00646D70" w:rsidP="00D97152">
            <w:pPr>
              <w:rPr>
                <w:b/>
                <w:sz w:val="22"/>
                <w:szCs w:val="22"/>
                <w:lang w:val="en-GB"/>
              </w:rPr>
            </w:pPr>
          </w:p>
        </w:tc>
        <w:tc>
          <w:tcPr>
            <w:tcW w:w="4868" w:type="dxa"/>
            <w:gridSpan w:val="2"/>
          </w:tcPr>
          <w:p w:rsidR="00646D70" w:rsidRPr="009D293D" w:rsidRDefault="00646D70" w:rsidP="00D97152">
            <w:pPr>
              <w:tabs>
                <w:tab w:val="left" w:pos="-720"/>
                <w:tab w:val="left" w:pos="4536"/>
              </w:tabs>
              <w:suppressAutoHyphens/>
              <w:rPr>
                <w:sz w:val="22"/>
                <w:szCs w:val="22"/>
                <w:lang w:val="it-IT"/>
              </w:rPr>
            </w:pPr>
            <w:r w:rsidRPr="009D293D">
              <w:rPr>
                <w:b/>
                <w:sz w:val="22"/>
                <w:szCs w:val="22"/>
                <w:lang w:val="it-IT"/>
              </w:rPr>
              <w:t>Suomi/Finland</w:t>
            </w:r>
          </w:p>
          <w:p w:rsidR="00646D70" w:rsidRPr="009D293D" w:rsidRDefault="00646D70" w:rsidP="00D97152">
            <w:pPr>
              <w:rPr>
                <w:sz w:val="22"/>
                <w:szCs w:val="22"/>
                <w:lang w:val="it-IT"/>
              </w:rPr>
            </w:pPr>
            <w:r w:rsidRPr="009D293D">
              <w:rPr>
                <w:sz w:val="22"/>
                <w:szCs w:val="22"/>
                <w:lang w:val="it-IT"/>
              </w:rPr>
              <w:t>Chiesi Pharma AB</w:t>
            </w:r>
          </w:p>
          <w:p w:rsidR="00646D70" w:rsidRPr="009D293D" w:rsidRDefault="00646D70" w:rsidP="00D97152">
            <w:pPr>
              <w:tabs>
                <w:tab w:val="left" w:pos="-720"/>
              </w:tabs>
              <w:suppressAutoHyphens/>
              <w:rPr>
                <w:b/>
                <w:sz w:val="22"/>
                <w:szCs w:val="22"/>
                <w:lang w:val="it-IT"/>
              </w:rPr>
            </w:pPr>
            <w:r w:rsidRPr="009D293D">
              <w:rPr>
                <w:sz w:val="22"/>
                <w:szCs w:val="22"/>
                <w:lang w:val="it-IT"/>
              </w:rPr>
              <w:t>Puh/Tel: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Κύπρος</w:t>
            </w:r>
          </w:p>
          <w:p w:rsidR="00646D70" w:rsidRPr="00BA1F5F" w:rsidRDefault="00646D70" w:rsidP="00D97152">
            <w:pPr>
              <w:rPr>
                <w:sz w:val="22"/>
                <w:szCs w:val="22"/>
                <w:lang w:val="en-GB"/>
              </w:rPr>
            </w:pPr>
            <w:r w:rsidRPr="00BA1F5F">
              <w:rPr>
                <w:sz w:val="22"/>
                <w:szCs w:val="22"/>
                <w:lang w:val="en-GB"/>
              </w:rPr>
              <w:t>The Star Medicines Importers Co. Ltd.</w:t>
            </w:r>
          </w:p>
          <w:p w:rsidR="00646D70" w:rsidRPr="00BA1F5F" w:rsidRDefault="00646D70" w:rsidP="00D97152">
            <w:pPr>
              <w:rPr>
                <w:sz w:val="22"/>
                <w:szCs w:val="22"/>
                <w:lang w:val="en-GB" w:eastAsia="en-CA"/>
              </w:rPr>
            </w:pPr>
            <w:r w:rsidRPr="00BA1F5F">
              <w:rPr>
                <w:sz w:val="22"/>
                <w:szCs w:val="22"/>
                <w:lang w:val="en-GB"/>
              </w:rPr>
              <w:t xml:space="preserve">Τηλ: + </w:t>
            </w:r>
            <w:r w:rsidRPr="00BA1F5F">
              <w:rPr>
                <w:sz w:val="22"/>
                <w:szCs w:val="22"/>
                <w:lang w:val="en-GB" w:eastAsia="en-CA"/>
              </w:rPr>
              <w:t>357 25 371056</w:t>
            </w:r>
          </w:p>
          <w:p w:rsidR="00646D70" w:rsidRPr="00BA1F5F" w:rsidRDefault="00646D70" w:rsidP="00D97152">
            <w:pPr>
              <w:rPr>
                <w:b/>
                <w:sz w:val="22"/>
                <w:szCs w:val="22"/>
                <w:lang w:val="en-GB"/>
              </w:rPr>
            </w:pP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Sverige</w:t>
            </w:r>
          </w:p>
          <w:p w:rsidR="00646D70" w:rsidRPr="00EB006A" w:rsidRDefault="00646D70" w:rsidP="00D97152">
            <w:pPr>
              <w:rPr>
                <w:sz w:val="22"/>
                <w:szCs w:val="22"/>
                <w:lang w:val="en-GB"/>
              </w:rPr>
            </w:pPr>
            <w:r w:rsidRPr="00EB006A">
              <w:rPr>
                <w:sz w:val="22"/>
                <w:szCs w:val="22"/>
                <w:lang w:val="en-GB"/>
              </w:rPr>
              <w:t>Chiesi Pharma AB</w:t>
            </w:r>
          </w:p>
          <w:p w:rsidR="00646D70" w:rsidRPr="00BA1F5F" w:rsidRDefault="00646D70" w:rsidP="00D97152">
            <w:pPr>
              <w:tabs>
                <w:tab w:val="left" w:pos="-720"/>
                <w:tab w:val="left" w:pos="4536"/>
              </w:tabs>
              <w:suppressAutoHyphens/>
              <w:rPr>
                <w:b/>
                <w:sz w:val="22"/>
                <w:szCs w:val="22"/>
                <w:lang w:val="en-GB"/>
              </w:rPr>
            </w:pPr>
            <w:r w:rsidRPr="00EB006A">
              <w:rPr>
                <w:sz w:val="22"/>
                <w:szCs w:val="22"/>
                <w:lang w:val="en-GB"/>
              </w:rPr>
              <w:t>Tel: +46 8 753 35 20</w:t>
            </w:r>
          </w:p>
        </w:tc>
      </w:tr>
      <w:tr w:rsidR="009E1698" w:rsidTr="00D97152">
        <w:trPr>
          <w:cantSplit/>
        </w:trPr>
        <w:tc>
          <w:tcPr>
            <w:tcW w:w="4855" w:type="dxa"/>
          </w:tcPr>
          <w:p w:rsidR="00646D70" w:rsidRPr="00BA1F5F" w:rsidRDefault="00646D70" w:rsidP="00D97152">
            <w:pPr>
              <w:rPr>
                <w:b/>
                <w:sz w:val="22"/>
                <w:szCs w:val="22"/>
                <w:lang w:val="en-GB"/>
              </w:rPr>
            </w:pPr>
            <w:r w:rsidRPr="00BA1F5F">
              <w:rPr>
                <w:b/>
                <w:sz w:val="22"/>
                <w:szCs w:val="22"/>
                <w:lang w:val="en-GB"/>
              </w:rPr>
              <w:t>Latvija</w:t>
            </w:r>
          </w:p>
          <w:p w:rsidR="00646D70" w:rsidRPr="00EB006A" w:rsidRDefault="00646D70" w:rsidP="00D97152">
            <w:pPr>
              <w:rPr>
                <w:sz w:val="22"/>
                <w:szCs w:val="22"/>
                <w:lang w:val="en-GB"/>
              </w:rPr>
            </w:pPr>
            <w:r w:rsidRPr="00EB006A">
              <w:rPr>
                <w:sz w:val="22"/>
                <w:szCs w:val="22"/>
                <w:lang w:val="en-GB"/>
              </w:rPr>
              <w:t>Chiesi Pharmaceuticals GmbH</w:t>
            </w:r>
          </w:p>
          <w:p w:rsidR="00646D70" w:rsidRPr="00646D70" w:rsidRDefault="00646D70" w:rsidP="00D97152">
            <w:pPr>
              <w:rPr>
                <w:sz w:val="22"/>
                <w:szCs w:val="22"/>
              </w:rPr>
            </w:pPr>
            <w:r w:rsidRPr="00EB006A">
              <w:rPr>
                <w:sz w:val="22"/>
                <w:szCs w:val="22"/>
                <w:lang w:val="en-GB"/>
              </w:rPr>
              <w:t>Tel: + 43 1 4073919</w:t>
            </w:r>
          </w:p>
        </w:tc>
        <w:tc>
          <w:tcPr>
            <w:tcW w:w="4868" w:type="dxa"/>
            <w:gridSpan w:val="2"/>
          </w:tcPr>
          <w:p w:rsidR="00646D70" w:rsidRPr="00BA1F5F" w:rsidRDefault="00646D70" w:rsidP="00D97152">
            <w:pPr>
              <w:tabs>
                <w:tab w:val="left" w:pos="-720"/>
                <w:tab w:val="left" w:pos="4536"/>
              </w:tabs>
              <w:suppressAutoHyphens/>
              <w:rPr>
                <w:b/>
                <w:sz w:val="22"/>
                <w:szCs w:val="22"/>
                <w:lang w:val="en-GB"/>
              </w:rPr>
            </w:pPr>
            <w:r w:rsidRPr="00BA1F5F">
              <w:rPr>
                <w:b/>
                <w:sz w:val="22"/>
                <w:szCs w:val="22"/>
                <w:lang w:val="en-GB"/>
              </w:rPr>
              <w:t>United Kingdom</w:t>
            </w:r>
          </w:p>
          <w:p w:rsidR="00646D70" w:rsidRDefault="00646D70" w:rsidP="00D97152">
            <w:pPr>
              <w:pStyle w:val="Default"/>
              <w:rPr>
                <w:sz w:val="22"/>
                <w:szCs w:val="22"/>
              </w:rPr>
            </w:pPr>
            <w:r>
              <w:rPr>
                <w:sz w:val="22"/>
                <w:szCs w:val="22"/>
              </w:rPr>
              <w:t xml:space="preserve">Chiesi Ltd </w:t>
            </w:r>
          </w:p>
          <w:p w:rsidR="00646D70" w:rsidRPr="00BA1F5F" w:rsidRDefault="00646D70" w:rsidP="00D97152">
            <w:pPr>
              <w:rPr>
                <w:sz w:val="22"/>
                <w:szCs w:val="22"/>
                <w:lang w:val="en-GB"/>
              </w:rPr>
            </w:pPr>
            <w:r>
              <w:rPr>
                <w:sz w:val="22"/>
                <w:szCs w:val="22"/>
              </w:rPr>
              <w:t xml:space="preserve">Tel: + 44 (0)161 488 5555 </w:t>
            </w:r>
          </w:p>
        </w:tc>
      </w:tr>
    </w:tbl>
    <w:p w:rsidR="00122CDB" w:rsidRDefault="00122CDB" w:rsidP="00122CDB">
      <w:pPr>
        <w:pStyle w:val="BodyText"/>
        <w:rPr>
          <w:lang w:val="en-US"/>
        </w:rPr>
      </w:pPr>
    </w:p>
    <w:p w:rsidR="00090F00" w:rsidRPr="00646D70" w:rsidRDefault="00090F00" w:rsidP="00122CDB">
      <w:pPr>
        <w:pStyle w:val="BodyText"/>
        <w:rPr>
          <w:lang w:val="en-US"/>
        </w:rPr>
      </w:pPr>
    </w:p>
    <w:p w:rsidR="00122CDB" w:rsidRPr="007722A3" w:rsidRDefault="00122CDB" w:rsidP="00122CDB">
      <w:pPr>
        <w:pStyle w:val="Heading3"/>
        <w:rPr>
          <w:noProof/>
        </w:rPr>
      </w:pPr>
      <w:r w:rsidRPr="007722A3">
        <w:t>This leaflet was last revised in .</w:t>
      </w:r>
    </w:p>
    <w:p w:rsidR="00122CDB" w:rsidRPr="007722A3" w:rsidRDefault="00122CDB" w:rsidP="00122CDB">
      <w:pPr>
        <w:rPr>
          <w:sz w:val="22"/>
          <w:szCs w:val="22"/>
          <w:lang w:val="en-GB"/>
        </w:rPr>
      </w:pPr>
    </w:p>
    <w:p w:rsidR="00122CDB" w:rsidRPr="007722A3" w:rsidRDefault="00122CDB" w:rsidP="00122CDB">
      <w:pPr>
        <w:rPr>
          <w:sz w:val="22"/>
          <w:szCs w:val="22"/>
          <w:lang w:val="en-GB"/>
        </w:rPr>
      </w:pPr>
      <w:r w:rsidRPr="007722A3">
        <w:rPr>
          <w:sz w:val="22"/>
          <w:szCs w:val="22"/>
          <w:lang w:val="en-GB"/>
        </w:rPr>
        <w:t>Detailed information on this medicine is available on the European Medicines Agency web site: http://www.ema.europa.eu.</w:t>
      </w:r>
    </w:p>
    <w:p w:rsidR="00601226" w:rsidRPr="007722A3" w:rsidRDefault="00122CDB" w:rsidP="00122CDB">
      <w:pPr>
        <w:pStyle w:val="Title"/>
        <w:jc w:val="left"/>
        <w:rPr>
          <w:szCs w:val="22"/>
          <w:lang w:val="en-GB"/>
        </w:rPr>
      </w:pPr>
      <w:r w:rsidRPr="007722A3">
        <w:rPr>
          <w:rtl/>
        </w:rPr>
        <w:br w:type="page"/>
      </w:r>
    </w:p>
    <w:p w:rsidR="00DA1B72" w:rsidRPr="007722A3" w:rsidRDefault="00DA1B72" w:rsidP="00DA1B72">
      <w:pPr>
        <w:pStyle w:val="BodyText"/>
        <w:pBdr>
          <w:top w:val="single" w:sz="4" w:space="1" w:color="auto"/>
          <w:left w:val="single" w:sz="4" w:space="4" w:color="auto"/>
          <w:bottom w:val="single" w:sz="4" w:space="1" w:color="auto"/>
          <w:right w:val="single" w:sz="4" w:space="4" w:color="auto"/>
        </w:pBdr>
        <w:rPr>
          <w:b/>
        </w:rPr>
      </w:pPr>
      <w:r w:rsidRPr="007722A3">
        <w:rPr>
          <w:b/>
        </w:rPr>
        <w:t>PATIENT/CARER REMINDER CARD</w:t>
      </w:r>
    </w:p>
    <w:p w:rsidR="00DA1B72" w:rsidRPr="007722A3" w:rsidRDefault="00DA1B72" w:rsidP="00DA1B72">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5"/>
      </w:tblGrid>
      <w:tr w:rsidR="009E1698" w:rsidTr="00810C5A">
        <w:trPr>
          <w:jc w:val="center"/>
        </w:trPr>
        <w:tc>
          <w:tcPr>
            <w:tcW w:w="4644" w:type="dxa"/>
          </w:tcPr>
          <w:p w:rsidR="00DA1B72" w:rsidRPr="007722A3" w:rsidRDefault="00DA1B72" w:rsidP="00DA1B72">
            <w:pPr>
              <w:pStyle w:val="BodyText"/>
            </w:pPr>
            <w:r w:rsidRPr="00E97465">
              <w:rPr>
                <w:highlight w:val="lightGray"/>
              </w:rPr>
              <w:t>((Front Cover))</w:t>
            </w:r>
          </w:p>
          <w:p w:rsidR="00DA1B72" w:rsidRPr="007722A3" w:rsidRDefault="00DA1B72" w:rsidP="00DA1B72">
            <w:pPr>
              <w:pStyle w:val="BodyText"/>
            </w:pPr>
          </w:p>
          <w:p w:rsidR="00DA1B72" w:rsidRPr="007722A3" w:rsidRDefault="00DA1B72" w:rsidP="00DA1B72">
            <w:pPr>
              <w:pStyle w:val="BodyText"/>
              <w:rPr>
                <w:b/>
              </w:rPr>
            </w:pPr>
            <w:r w:rsidRPr="007722A3">
              <w:rPr>
                <w:b/>
              </w:rPr>
              <w:t>Important Safety Reminders for Patients taking Ferriprox (deferiprone)</w:t>
            </w:r>
          </w:p>
          <w:p w:rsidR="00DA1B72" w:rsidRPr="007722A3" w:rsidRDefault="00DA1B72" w:rsidP="00DA1B72">
            <w:pPr>
              <w:pStyle w:val="BodyText"/>
            </w:pPr>
          </w:p>
          <w:p w:rsidR="00DA1B72" w:rsidRPr="007722A3" w:rsidRDefault="00DA1B72" w:rsidP="00DA1B72">
            <w:pPr>
              <w:pStyle w:val="BodyText"/>
            </w:pPr>
            <w:r w:rsidRPr="007722A3">
              <w:t xml:space="preserve">Prescribing doctor: </w:t>
            </w:r>
            <w:r w:rsidR="00315C48">
              <w:rPr>
                <w:u w:val="single"/>
              </w:rPr>
              <w:t>_________________</w:t>
            </w:r>
          </w:p>
          <w:p w:rsidR="00DA1B72" w:rsidRPr="007722A3" w:rsidRDefault="00DA1B72" w:rsidP="00DA1B72">
            <w:pPr>
              <w:pStyle w:val="BodyText"/>
            </w:pPr>
          </w:p>
          <w:p w:rsidR="00DA1B72" w:rsidRDefault="00DA1B72" w:rsidP="00DA1B72">
            <w:pPr>
              <w:pStyle w:val="BodyText"/>
              <w:rPr>
                <w:u w:val="single"/>
              </w:rPr>
            </w:pPr>
            <w:r w:rsidRPr="007722A3">
              <w:t xml:space="preserve">Phone No: </w:t>
            </w:r>
            <w:r w:rsidR="00315C48">
              <w:rPr>
                <w:u w:val="single"/>
              </w:rPr>
              <w:t>________________________</w:t>
            </w:r>
          </w:p>
          <w:p w:rsidR="00810C5A" w:rsidRPr="007722A3" w:rsidRDefault="00810C5A" w:rsidP="00DA1B72">
            <w:pPr>
              <w:pStyle w:val="BodyText"/>
            </w:pPr>
          </w:p>
        </w:tc>
        <w:tc>
          <w:tcPr>
            <w:tcW w:w="4645" w:type="dxa"/>
          </w:tcPr>
          <w:p w:rsidR="00DA1B72" w:rsidRPr="007722A3" w:rsidRDefault="00DA1B72" w:rsidP="00DA1B72">
            <w:pPr>
              <w:pStyle w:val="BodyText"/>
            </w:pPr>
            <w:r w:rsidRPr="00E97465">
              <w:rPr>
                <w:highlight w:val="lightGray"/>
              </w:rPr>
              <w:t xml:space="preserve">((Back </w:t>
            </w:r>
            <w:r w:rsidR="005046AE" w:rsidRPr="00E97465">
              <w:rPr>
                <w:highlight w:val="lightGray"/>
              </w:rPr>
              <w:t>C</w:t>
            </w:r>
            <w:r w:rsidRPr="00E97465">
              <w:rPr>
                <w:highlight w:val="lightGray"/>
              </w:rPr>
              <w:t>over))</w:t>
            </w:r>
          </w:p>
          <w:p w:rsidR="00DA1B72" w:rsidRPr="007722A3" w:rsidRDefault="00DA1B72" w:rsidP="00DA1B72">
            <w:pPr>
              <w:pStyle w:val="BodyText"/>
            </w:pPr>
          </w:p>
          <w:p w:rsidR="00DA1B72" w:rsidRPr="007722A3" w:rsidRDefault="00DA1B72" w:rsidP="00DA1B72">
            <w:pPr>
              <w:pStyle w:val="BodyText"/>
              <w:rPr>
                <w:b/>
              </w:rPr>
            </w:pPr>
            <w:r w:rsidRPr="007722A3">
              <w:rPr>
                <w:b/>
              </w:rPr>
              <w:t>FOR WOMEN OF CHILD BEARING AGE</w:t>
            </w:r>
          </w:p>
          <w:p w:rsidR="00DA1B72" w:rsidRPr="007722A3" w:rsidRDefault="00DA1B72" w:rsidP="00DA1B72">
            <w:pPr>
              <w:pStyle w:val="BodyText"/>
            </w:pPr>
          </w:p>
          <w:p w:rsidR="00DA1B72" w:rsidRPr="007722A3" w:rsidRDefault="00DA1B72" w:rsidP="00DA1B72">
            <w:pPr>
              <w:pStyle w:val="BodyText"/>
            </w:pPr>
            <w:r w:rsidRPr="007722A3">
              <w:t>Do not take Ferriprox if you are pregnant or if you are trying to become pregnant. If taken during pregnancy, Ferriprox may seriously harm the unborn baby.</w:t>
            </w:r>
          </w:p>
          <w:p w:rsidR="00DA1B72" w:rsidRPr="007722A3" w:rsidRDefault="00DA1B72" w:rsidP="00DA1B72">
            <w:pPr>
              <w:pStyle w:val="BodyText"/>
            </w:pPr>
          </w:p>
          <w:p w:rsidR="00DA1B72" w:rsidRPr="007722A3" w:rsidRDefault="00DA1B72" w:rsidP="00DA1B72">
            <w:pPr>
              <w:pStyle w:val="BodyText"/>
            </w:pPr>
            <w:r w:rsidRPr="007722A3">
              <w:t>You must use effective contraception while you are taking Ferriprox. Ask your doctor which method is best for you. If you become pregnant while taking Ferriprox, stop taking the medicine immediately and tell your doctor. Do not take Ferriprox if you are breast-feeding.</w:t>
            </w:r>
          </w:p>
        </w:tc>
      </w:tr>
      <w:tr w:rsidR="009E1698" w:rsidTr="00810C5A">
        <w:trPr>
          <w:jc w:val="center"/>
        </w:trPr>
        <w:tc>
          <w:tcPr>
            <w:tcW w:w="4644" w:type="dxa"/>
          </w:tcPr>
          <w:p w:rsidR="00DA1B72" w:rsidRPr="007722A3" w:rsidRDefault="00DA1B72" w:rsidP="00DA1B72">
            <w:pPr>
              <w:pStyle w:val="BodyText"/>
            </w:pPr>
            <w:r w:rsidRPr="00E97465">
              <w:rPr>
                <w:highlight w:val="lightGray"/>
              </w:rPr>
              <w:t>((Inside 1))</w:t>
            </w:r>
          </w:p>
          <w:p w:rsidR="00DA1B72" w:rsidRPr="007722A3" w:rsidRDefault="00DA1B72" w:rsidP="00DA1B72">
            <w:pPr>
              <w:pStyle w:val="BodyText"/>
            </w:pPr>
          </w:p>
          <w:p w:rsidR="00DA1B72" w:rsidRPr="007722A3" w:rsidRDefault="00DA1B72" w:rsidP="00DA1B72">
            <w:pPr>
              <w:pStyle w:val="BodyText"/>
              <w:rPr>
                <w:b/>
              </w:rPr>
            </w:pPr>
            <w:r w:rsidRPr="007722A3">
              <w:rPr>
                <w:b/>
              </w:rPr>
              <w:t>MONITORING YOUR WHITE BLOOD CELL COUNT WITH FERRIPROX</w:t>
            </w:r>
          </w:p>
          <w:p w:rsidR="00DA1B72" w:rsidRPr="007722A3" w:rsidRDefault="00DA1B72" w:rsidP="00DA1B72">
            <w:pPr>
              <w:pStyle w:val="BodyText"/>
            </w:pPr>
          </w:p>
          <w:p w:rsidR="006800B1" w:rsidRPr="007722A3" w:rsidRDefault="00DA1B72" w:rsidP="006800B1">
            <w:pPr>
              <w:pStyle w:val="BodyText"/>
            </w:pPr>
            <w:r w:rsidRPr="007722A3">
              <w:t>There is a small chance that you may develop agranulocytosis (very low white blood cell count) while taking Ferriprox, which may lead to a serious infection. Even though agranulocytosis only affects 1 to 2 out of 100 users, it is important to monitor your blood on a regular basis.</w:t>
            </w:r>
          </w:p>
        </w:tc>
        <w:tc>
          <w:tcPr>
            <w:tcW w:w="4645" w:type="dxa"/>
          </w:tcPr>
          <w:p w:rsidR="004307EA" w:rsidRPr="00C30211" w:rsidRDefault="004307EA" w:rsidP="004307EA">
            <w:pPr>
              <w:pStyle w:val="BodyText"/>
            </w:pPr>
            <w:r w:rsidRPr="00C30211">
              <w:rPr>
                <w:highlight w:val="lightGray"/>
              </w:rPr>
              <w:t>((Inside 2))</w:t>
            </w:r>
          </w:p>
          <w:p w:rsidR="004307EA" w:rsidRPr="00C30211" w:rsidRDefault="004307EA" w:rsidP="004307EA">
            <w:pPr>
              <w:pStyle w:val="BodyText"/>
            </w:pPr>
          </w:p>
          <w:p w:rsidR="004307EA" w:rsidRPr="00C30211" w:rsidRDefault="004307EA" w:rsidP="004307EA">
            <w:pPr>
              <w:pStyle w:val="BodyText"/>
            </w:pPr>
            <w:r w:rsidRPr="00C30211">
              <w:t>Make sure you do the following:</w:t>
            </w:r>
          </w:p>
          <w:p w:rsidR="004307EA" w:rsidRPr="00C30211" w:rsidRDefault="004307EA" w:rsidP="004307EA">
            <w:pPr>
              <w:pStyle w:val="BodyText"/>
            </w:pPr>
          </w:p>
          <w:p w:rsidR="004307EA" w:rsidRPr="00C30211" w:rsidRDefault="004307EA" w:rsidP="004307EA">
            <w:pPr>
              <w:pStyle w:val="BodyText"/>
              <w:rPr>
                <w:lang w:val="en-US"/>
              </w:rPr>
            </w:pPr>
            <w:r w:rsidRPr="00C30211">
              <w:t xml:space="preserve">1. </w:t>
            </w:r>
            <w:r w:rsidR="0005119C" w:rsidRPr="00C30211">
              <w:rPr>
                <w:rFonts w:eastAsia="Calibri"/>
                <w:bCs/>
                <w:noProof/>
                <w:color w:val="000000"/>
              </w:rPr>
              <w:t>Have y</w:t>
            </w:r>
            <w:r w:rsidRPr="00C30211">
              <w:rPr>
                <w:rFonts w:eastAsia="Calibri"/>
                <w:bCs/>
                <w:noProof/>
                <w:color w:val="000000"/>
              </w:rPr>
              <w:t>our blood monitored on a weekly basis for the first one year of treatment with Ferriprox and as regularly as your doctor recommends thereafter.</w:t>
            </w:r>
          </w:p>
          <w:p w:rsidR="004307EA" w:rsidRPr="00C30211" w:rsidRDefault="004307EA" w:rsidP="004307EA">
            <w:pPr>
              <w:pStyle w:val="BodyText"/>
            </w:pPr>
          </w:p>
          <w:p w:rsidR="006800B1" w:rsidRPr="00C30211" w:rsidRDefault="004307EA" w:rsidP="004307EA">
            <w:pPr>
              <w:pStyle w:val="BodyText"/>
            </w:pPr>
            <w:r w:rsidRPr="00C30211">
              <w:t xml:space="preserve">2. </w:t>
            </w:r>
            <w:r w:rsidRPr="00C30211">
              <w:rPr>
                <w:bCs/>
                <w:color w:val="000000"/>
                <w:lang w:val="en-US"/>
              </w:rPr>
              <w:t>If you get any symptoms of infection such as fever, sore throat or flu-like symptoms, immediately seek medical attention. Your white blood cell count must be checked within 24 hours in order to detect potential agranulocytosis.</w:t>
            </w:r>
          </w:p>
        </w:tc>
      </w:tr>
    </w:tbl>
    <w:p w:rsidR="00DA1B72" w:rsidRPr="000B37D1" w:rsidRDefault="00DA1B72" w:rsidP="006F52C4">
      <w:pPr>
        <w:rPr>
          <w:sz w:val="22"/>
          <w:szCs w:val="22"/>
          <w:lang w:val="en-GB"/>
        </w:rPr>
      </w:pPr>
    </w:p>
    <w:sectPr w:rsidR="00DA1B72" w:rsidRPr="000B37D1" w:rsidSect="002628EF">
      <w:headerReference w:type="even" r:id="rId16"/>
      <w:headerReference w:type="default" r:id="rId17"/>
      <w:footerReference w:type="even" r:id="rId18"/>
      <w:footerReference w:type="default" r:id="rId19"/>
      <w:headerReference w:type="first" r:id="rId20"/>
      <w:footerReference w:type="first" r:id="rId21"/>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698" w:rsidRDefault="009E1698">
      <w:r>
        <w:separator/>
      </w:r>
    </w:p>
  </w:endnote>
  <w:endnote w:type="continuationSeparator" w:id="0">
    <w:p w:rsidR="009E1698" w:rsidRDefault="009E1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44D" w:rsidRDefault="00D004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rsidR="00D0044D" w:rsidRDefault="00D00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44D" w:rsidRDefault="00D0044D">
    <w:pPr>
      <w:pStyle w:val="Footer"/>
      <w:jc w:val="center"/>
      <w:rPr>
        <w:rFonts w:ascii="Arial" w:hAnsi="Arial" w:cs="Arial"/>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945E33">
      <w:rPr>
        <w:rStyle w:val="PageNumber"/>
        <w:rFonts w:ascii="Arial" w:hAnsi="Arial" w:cs="Arial"/>
        <w:noProof/>
      </w:rPr>
      <w:t>1</w:t>
    </w:r>
    <w:r>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44D" w:rsidRDefault="00D0044D">
    <w:pPr>
      <w:pStyle w:val="Footer"/>
      <w:jc w:val="center"/>
      <w:rPr>
        <w:rFonts w:ascii="Times New Roman" w:hAnsi="Times New Roman"/>
        <w:noProof/>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698" w:rsidRDefault="009E1698">
      <w:r>
        <w:separator/>
      </w:r>
    </w:p>
  </w:footnote>
  <w:footnote w:type="continuationSeparator" w:id="0">
    <w:p w:rsidR="009E1698" w:rsidRDefault="009E1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22" w:rsidRDefault="00831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44D" w:rsidRDefault="00D0044D">
    <w:pPr>
      <w:pStyle w:val="Header"/>
      <w:ind w:left="900" w:hanging="9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ayout w:type="fixed"/>
      <w:tblLook w:val="0000" w:firstRow="0" w:lastRow="0" w:firstColumn="0" w:lastColumn="0" w:noHBand="0" w:noVBand="0"/>
    </w:tblPr>
    <w:tblGrid>
      <w:gridCol w:w="3403"/>
      <w:gridCol w:w="5953"/>
    </w:tblGrid>
    <w:tr w:rsidR="009E1698">
      <w:tc>
        <w:tcPr>
          <w:tcW w:w="3403" w:type="dxa"/>
        </w:tcPr>
        <w:p w:rsidR="00D0044D" w:rsidRDefault="00D0044D">
          <w:pPr>
            <w:pStyle w:val="Header"/>
            <w:ind w:left="176"/>
          </w:pPr>
        </w:p>
      </w:tc>
      <w:tc>
        <w:tcPr>
          <w:tcW w:w="5953" w:type="dxa"/>
        </w:tcPr>
        <w:p w:rsidR="00D0044D" w:rsidRDefault="00D0044D">
          <w:pPr>
            <w:pStyle w:val="Header"/>
          </w:pPr>
        </w:p>
      </w:tc>
    </w:tr>
  </w:tbl>
  <w:p w:rsidR="00D0044D" w:rsidRDefault="00D0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1C98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EE642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1626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CB6D2E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DA4A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D2F3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9A40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A2CF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58B7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3E2D7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0609742"/>
    <w:lvl w:ilvl="0">
      <w:numFmt w:val="decimal"/>
      <w:lvlText w:val="*"/>
      <w:lvlJc w:val="left"/>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8D0573"/>
    <w:multiLevelType w:val="singleLevel"/>
    <w:tmpl w:val="3994305E"/>
    <w:lvl w:ilvl="0">
      <w:start w:val="1"/>
      <w:numFmt w:val="bullet"/>
      <w:pStyle w:val="PILbullets"/>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4"/>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4C228A"/>
    <w:rsid w:val="000000CB"/>
    <w:rsid w:val="00000380"/>
    <w:rsid w:val="000004E5"/>
    <w:rsid w:val="000025A3"/>
    <w:rsid w:val="00004B00"/>
    <w:rsid w:val="0000550F"/>
    <w:rsid w:val="00005C3A"/>
    <w:rsid w:val="00006BA7"/>
    <w:rsid w:val="000125C3"/>
    <w:rsid w:val="000128DD"/>
    <w:rsid w:val="00013246"/>
    <w:rsid w:val="00014B2B"/>
    <w:rsid w:val="00017022"/>
    <w:rsid w:val="00021786"/>
    <w:rsid w:val="000249A4"/>
    <w:rsid w:val="00025691"/>
    <w:rsid w:val="00025AE9"/>
    <w:rsid w:val="00025D93"/>
    <w:rsid w:val="00026DA0"/>
    <w:rsid w:val="000303B1"/>
    <w:rsid w:val="00032982"/>
    <w:rsid w:val="00032AEC"/>
    <w:rsid w:val="000335AE"/>
    <w:rsid w:val="00034A96"/>
    <w:rsid w:val="00034DF5"/>
    <w:rsid w:val="00035B8B"/>
    <w:rsid w:val="00036197"/>
    <w:rsid w:val="00036AE9"/>
    <w:rsid w:val="0004199A"/>
    <w:rsid w:val="0004371B"/>
    <w:rsid w:val="000449E4"/>
    <w:rsid w:val="00044CA7"/>
    <w:rsid w:val="000465D5"/>
    <w:rsid w:val="000477EB"/>
    <w:rsid w:val="0005119C"/>
    <w:rsid w:val="00051788"/>
    <w:rsid w:val="000523BC"/>
    <w:rsid w:val="00052A13"/>
    <w:rsid w:val="00053EE8"/>
    <w:rsid w:val="000544C3"/>
    <w:rsid w:val="00054A31"/>
    <w:rsid w:val="0005567B"/>
    <w:rsid w:val="0005712B"/>
    <w:rsid w:val="0006048F"/>
    <w:rsid w:val="0006353A"/>
    <w:rsid w:val="0006673D"/>
    <w:rsid w:val="000671EA"/>
    <w:rsid w:val="0006787B"/>
    <w:rsid w:val="0007004A"/>
    <w:rsid w:val="00070299"/>
    <w:rsid w:val="00072379"/>
    <w:rsid w:val="00072652"/>
    <w:rsid w:val="00072BF4"/>
    <w:rsid w:val="00073257"/>
    <w:rsid w:val="0007422C"/>
    <w:rsid w:val="000744B5"/>
    <w:rsid w:val="00074786"/>
    <w:rsid w:val="000759F3"/>
    <w:rsid w:val="000770F1"/>
    <w:rsid w:val="00081C6D"/>
    <w:rsid w:val="00084F6A"/>
    <w:rsid w:val="00086661"/>
    <w:rsid w:val="000876F3"/>
    <w:rsid w:val="000908FD"/>
    <w:rsid w:val="00090B26"/>
    <w:rsid w:val="00090F00"/>
    <w:rsid w:val="0009216F"/>
    <w:rsid w:val="000940AF"/>
    <w:rsid w:val="00096723"/>
    <w:rsid w:val="00097AFC"/>
    <w:rsid w:val="000A4FFD"/>
    <w:rsid w:val="000A68DA"/>
    <w:rsid w:val="000A6C5B"/>
    <w:rsid w:val="000A77EA"/>
    <w:rsid w:val="000A7D9B"/>
    <w:rsid w:val="000B08B5"/>
    <w:rsid w:val="000B0D8E"/>
    <w:rsid w:val="000B10A4"/>
    <w:rsid w:val="000B1493"/>
    <w:rsid w:val="000B1904"/>
    <w:rsid w:val="000B37D1"/>
    <w:rsid w:val="000B3AEF"/>
    <w:rsid w:val="000B3F09"/>
    <w:rsid w:val="000B58E3"/>
    <w:rsid w:val="000B5FC4"/>
    <w:rsid w:val="000B6457"/>
    <w:rsid w:val="000B6DFB"/>
    <w:rsid w:val="000B72A1"/>
    <w:rsid w:val="000B7416"/>
    <w:rsid w:val="000B779F"/>
    <w:rsid w:val="000C0E3D"/>
    <w:rsid w:val="000C189A"/>
    <w:rsid w:val="000C31E9"/>
    <w:rsid w:val="000C3A04"/>
    <w:rsid w:val="000C4EDD"/>
    <w:rsid w:val="000C62CC"/>
    <w:rsid w:val="000C644B"/>
    <w:rsid w:val="000D114E"/>
    <w:rsid w:val="000D2AF2"/>
    <w:rsid w:val="000D34EE"/>
    <w:rsid w:val="000D4B51"/>
    <w:rsid w:val="000D5068"/>
    <w:rsid w:val="000D5B60"/>
    <w:rsid w:val="000D6150"/>
    <w:rsid w:val="000E0D4C"/>
    <w:rsid w:val="000E50A5"/>
    <w:rsid w:val="000E64EE"/>
    <w:rsid w:val="000E73DC"/>
    <w:rsid w:val="000F1AE3"/>
    <w:rsid w:val="000F2AA2"/>
    <w:rsid w:val="000F2CD4"/>
    <w:rsid w:val="000F4081"/>
    <w:rsid w:val="000F5154"/>
    <w:rsid w:val="000F542B"/>
    <w:rsid w:val="000F6015"/>
    <w:rsid w:val="000F62F0"/>
    <w:rsid w:val="000F66C4"/>
    <w:rsid w:val="001002DC"/>
    <w:rsid w:val="0010156A"/>
    <w:rsid w:val="00104877"/>
    <w:rsid w:val="0010512C"/>
    <w:rsid w:val="00106EE3"/>
    <w:rsid w:val="00110C1F"/>
    <w:rsid w:val="001110B6"/>
    <w:rsid w:val="001117FB"/>
    <w:rsid w:val="0011181C"/>
    <w:rsid w:val="001123EB"/>
    <w:rsid w:val="00114173"/>
    <w:rsid w:val="0011493C"/>
    <w:rsid w:val="00115F66"/>
    <w:rsid w:val="00116A2C"/>
    <w:rsid w:val="001177E9"/>
    <w:rsid w:val="00121A02"/>
    <w:rsid w:val="00121A1C"/>
    <w:rsid w:val="00122CDB"/>
    <w:rsid w:val="0012472C"/>
    <w:rsid w:val="00125946"/>
    <w:rsid w:val="00125AE5"/>
    <w:rsid w:val="00125EF4"/>
    <w:rsid w:val="001270C3"/>
    <w:rsid w:val="00127292"/>
    <w:rsid w:val="001276DC"/>
    <w:rsid w:val="00130772"/>
    <w:rsid w:val="00132F1C"/>
    <w:rsid w:val="001355D0"/>
    <w:rsid w:val="00137C12"/>
    <w:rsid w:val="001409F3"/>
    <w:rsid w:val="00142176"/>
    <w:rsid w:val="00145C6D"/>
    <w:rsid w:val="0014601F"/>
    <w:rsid w:val="00146148"/>
    <w:rsid w:val="00150021"/>
    <w:rsid w:val="00155832"/>
    <w:rsid w:val="00155AE7"/>
    <w:rsid w:val="00160480"/>
    <w:rsid w:val="0016061A"/>
    <w:rsid w:val="00161E92"/>
    <w:rsid w:val="001637DD"/>
    <w:rsid w:val="001642A5"/>
    <w:rsid w:val="001652E7"/>
    <w:rsid w:val="0016539C"/>
    <w:rsid w:val="00166EBB"/>
    <w:rsid w:val="00167683"/>
    <w:rsid w:val="001705F5"/>
    <w:rsid w:val="00170C77"/>
    <w:rsid w:val="00171A7B"/>
    <w:rsid w:val="00172232"/>
    <w:rsid w:val="00172967"/>
    <w:rsid w:val="00172D75"/>
    <w:rsid w:val="00173F88"/>
    <w:rsid w:val="00173FD5"/>
    <w:rsid w:val="00174EE5"/>
    <w:rsid w:val="001758DC"/>
    <w:rsid w:val="00176612"/>
    <w:rsid w:val="001772C2"/>
    <w:rsid w:val="0018015B"/>
    <w:rsid w:val="00183563"/>
    <w:rsid w:val="001844C5"/>
    <w:rsid w:val="0018725C"/>
    <w:rsid w:val="0018741B"/>
    <w:rsid w:val="00191484"/>
    <w:rsid w:val="00192886"/>
    <w:rsid w:val="0019553E"/>
    <w:rsid w:val="00195752"/>
    <w:rsid w:val="00195914"/>
    <w:rsid w:val="00197F5A"/>
    <w:rsid w:val="001A14B4"/>
    <w:rsid w:val="001A3119"/>
    <w:rsid w:val="001A3DB8"/>
    <w:rsid w:val="001A5A20"/>
    <w:rsid w:val="001A7403"/>
    <w:rsid w:val="001B1448"/>
    <w:rsid w:val="001B1DCC"/>
    <w:rsid w:val="001B2498"/>
    <w:rsid w:val="001B3823"/>
    <w:rsid w:val="001B433A"/>
    <w:rsid w:val="001B5CAE"/>
    <w:rsid w:val="001B6B12"/>
    <w:rsid w:val="001B76ED"/>
    <w:rsid w:val="001B7E5F"/>
    <w:rsid w:val="001C0186"/>
    <w:rsid w:val="001C29AE"/>
    <w:rsid w:val="001C2C0B"/>
    <w:rsid w:val="001C3A5C"/>
    <w:rsid w:val="001C44F8"/>
    <w:rsid w:val="001C4E6D"/>
    <w:rsid w:val="001C5163"/>
    <w:rsid w:val="001C5DB1"/>
    <w:rsid w:val="001C6228"/>
    <w:rsid w:val="001C678A"/>
    <w:rsid w:val="001D0682"/>
    <w:rsid w:val="001D0CF4"/>
    <w:rsid w:val="001D1B7A"/>
    <w:rsid w:val="001D1E5A"/>
    <w:rsid w:val="001D23A6"/>
    <w:rsid w:val="001D48FE"/>
    <w:rsid w:val="001D6AE2"/>
    <w:rsid w:val="001D78DB"/>
    <w:rsid w:val="001E0E1A"/>
    <w:rsid w:val="001E17E3"/>
    <w:rsid w:val="001E47FA"/>
    <w:rsid w:val="001E4A67"/>
    <w:rsid w:val="001E4B53"/>
    <w:rsid w:val="001E4EFD"/>
    <w:rsid w:val="001E570C"/>
    <w:rsid w:val="001E6088"/>
    <w:rsid w:val="001E6547"/>
    <w:rsid w:val="001F212A"/>
    <w:rsid w:val="001F3479"/>
    <w:rsid w:val="001F59E5"/>
    <w:rsid w:val="002006E4"/>
    <w:rsid w:val="00200A36"/>
    <w:rsid w:val="002013ED"/>
    <w:rsid w:val="00201BE5"/>
    <w:rsid w:val="002034E3"/>
    <w:rsid w:val="00203B42"/>
    <w:rsid w:val="00204991"/>
    <w:rsid w:val="00205F8F"/>
    <w:rsid w:val="00206020"/>
    <w:rsid w:val="00206EC2"/>
    <w:rsid w:val="00210533"/>
    <w:rsid w:val="00210E2C"/>
    <w:rsid w:val="002110A9"/>
    <w:rsid w:val="00212100"/>
    <w:rsid w:val="00212F6F"/>
    <w:rsid w:val="00213F40"/>
    <w:rsid w:val="00214F49"/>
    <w:rsid w:val="0021656C"/>
    <w:rsid w:val="00216707"/>
    <w:rsid w:val="00216AC6"/>
    <w:rsid w:val="00217172"/>
    <w:rsid w:val="00217A4E"/>
    <w:rsid w:val="002201EF"/>
    <w:rsid w:val="00220579"/>
    <w:rsid w:val="00224D20"/>
    <w:rsid w:val="0022597C"/>
    <w:rsid w:val="00226279"/>
    <w:rsid w:val="002265B4"/>
    <w:rsid w:val="00226C05"/>
    <w:rsid w:val="00227DFA"/>
    <w:rsid w:val="00231F94"/>
    <w:rsid w:val="00231F95"/>
    <w:rsid w:val="002327A9"/>
    <w:rsid w:val="00232EBC"/>
    <w:rsid w:val="00234D9E"/>
    <w:rsid w:val="0023539D"/>
    <w:rsid w:val="0023743E"/>
    <w:rsid w:val="0023790F"/>
    <w:rsid w:val="00237BE8"/>
    <w:rsid w:val="002410EC"/>
    <w:rsid w:val="00241B6A"/>
    <w:rsid w:val="00244AAE"/>
    <w:rsid w:val="00244F54"/>
    <w:rsid w:val="00247F51"/>
    <w:rsid w:val="00250D6E"/>
    <w:rsid w:val="00251ED8"/>
    <w:rsid w:val="0025215A"/>
    <w:rsid w:val="002539B1"/>
    <w:rsid w:val="00254093"/>
    <w:rsid w:val="0025491F"/>
    <w:rsid w:val="00254E5C"/>
    <w:rsid w:val="0025529D"/>
    <w:rsid w:val="00255D45"/>
    <w:rsid w:val="00256519"/>
    <w:rsid w:val="00256B3F"/>
    <w:rsid w:val="002574B0"/>
    <w:rsid w:val="00257E20"/>
    <w:rsid w:val="00260D12"/>
    <w:rsid w:val="002616BB"/>
    <w:rsid w:val="002620FA"/>
    <w:rsid w:val="002628EF"/>
    <w:rsid w:val="0026403B"/>
    <w:rsid w:val="0026408E"/>
    <w:rsid w:val="00265683"/>
    <w:rsid w:val="00265D99"/>
    <w:rsid w:val="002662B4"/>
    <w:rsid w:val="00267409"/>
    <w:rsid w:val="00271997"/>
    <w:rsid w:val="00271CF9"/>
    <w:rsid w:val="00272522"/>
    <w:rsid w:val="00273402"/>
    <w:rsid w:val="0027391D"/>
    <w:rsid w:val="00274F39"/>
    <w:rsid w:val="00275E6D"/>
    <w:rsid w:val="002763EF"/>
    <w:rsid w:val="00276574"/>
    <w:rsid w:val="0027710E"/>
    <w:rsid w:val="00277D8C"/>
    <w:rsid w:val="00281345"/>
    <w:rsid w:val="002856A5"/>
    <w:rsid w:val="00286EEA"/>
    <w:rsid w:val="002873A2"/>
    <w:rsid w:val="00290964"/>
    <w:rsid w:val="002917EF"/>
    <w:rsid w:val="00293334"/>
    <w:rsid w:val="00293C93"/>
    <w:rsid w:val="00294F3D"/>
    <w:rsid w:val="002953E7"/>
    <w:rsid w:val="00297868"/>
    <w:rsid w:val="002A05CE"/>
    <w:rsid w:val="002A0BB0"/>
    <w:rsid w:val="002A10B0"/>
    <w:rsid w:val="002A2556"/>
    <w:rsid w:val="002A28C8"/>
    <w:rsid w:val="002A3C4C"/>
    <w:rsid w:val="002B1266"/>
    <w:rsid w:val="002B1839"/>
    <w:rsid w:val="002B2B91"/>
    <w:rsid w:val="002B5211"/>
    <w:rsid w:val="002B7668"/>
    <w:rsid w:val="002C4AA1"/>
    <w:rsid w:val="002C6B9B"/>
    <w:rsid w:val="002C7A7D"/>
    <w:rsid w:val="002D1DDD"/>
    <w:rsid w:val="002D3B68"/>
    <w:rsid w:val="002D5460"/>
    <w:rsid w:val="002D5C59"/>
    <w:rsid w:val="002D6590"/>
    <w:rsid w:val="002D7699"/>
    <w:rsid w:val="002E0550"/>
    <w:rsid w:val="002E0C84"/>
    <w:rsid w:val="002E1F03"/>
    <w:rsid w:val="002E3262"/>
    <w:rsid w:val="002E5C69"/>
    <w:rsid w:val="002E644F"/>
    <w:rsid w:val="002E7AE8"/>
    <w:rsid w:val="002F27D2"/>
    <w:rsid w:val="002F3368"/>
    <w:rsid w:val="002F39A9"/>
    <w:rsid w:val="002F3A79"/>
    <w:rsid w:val="002F530D"/>
    <w:rsid w:val="002F592D"/>
    <w:rsid w:val="002F5A96"/>
    <w:rsid w:val="002F601B"/>
    <w:rsid w:val="002F66E4"/>
    <w:rsid w:val="002F732E"/>
    <w:rsid w:val="002F7CA1"/>
    <w:rsid w:val="003015A2"/>
    <w:rsid w:val="00301EC8"/>
    <w:rsid w:val="0030326B"/>
    <w:rsid w:val="00306CE4"/>
    <w:rsid w:val="0030708E"/>
    <w:rsid w:val="00307BDB"/>
    <w:rsid w:val="00310807"/>
    <w:rsid w:val="00310F18"/>
    <w:rsid w:val="00312133"/>
    <w:rsid w:val="00313ECF"/>
    <w:rsid w:val="00315BF7"/>
    <w:rsid w:val="00315C48"/>
    <w:rsid w:val="00322086"/>
    <w:rsid w:val="003233F9"/>
    <w:rsid w:val="003250B2"/>
    <w:rsid w:val="003254B1"/>
    <w:rsid w:val="00325DC8"/>
    <w:rsid w:val="00327314"/>
    <w:rsid w:val="00327F49"/>
    <w:rsid w:val="00330A5A"/>
    <w:rsid w:val="00330AE8"/>
    <w:rsid w:val="00330D07"/>
    <w:rsid w:val="003349AE"/>
    <w:rsid w:val="00336F67"/>
    <w:rsid w:val="003374A3"/>
    <w:rsid w:val="003378F1"/>
    <w:rsid w:val="003416CF"/>
    <w:rsid w:val="00341FDA"/>
    <w:rsid w:val="00343838"/>
    <w:rsid w:val="0034557C"/>
    <w:rsid w:val="00345B50"/>
    <w:rsid w:val="00345F0F"/>
    <w:rsid w:val="003471A1"/>
    <w:rsid w:val="00352151"/>
    <w:rsid w:val="0035259C"/>
    <w:rsid w:val="003530DF"/>
    <w:rsid w:val="00353100"/>
    <w:rsid w:val="003540B4"/>
    <w:rsid w:val="0035432F"/>
    <w:rsid w:val="0035475D"/>
    <w:rsid w:val="00354B0F"/>
    <w:rsid w:val="00356240"/>
    <w:rsid w:val="0035640F"/>
    <w:rsid w:val="00356511"/>
    <w:rsid w:val="00357EB1"/>
    <w:rsid w:val="00361A00"/>
    <w:rsid w:val="00362593"/>
    <w:rsid w:val="00362F99"/>
    <w:rsid w:val="00364383"/>
    <w:rsid w:val="00365157"/>
    <w:rsid w:val="00366A1E"/>
    <w:rsid w:val="00370A0C"/>
    <w:rsid w:val="00370C6B"/>
    <w:rsid w:val="003718C8"/>
    <w:rsid w:val="00372A91"/>
    <w:rsid w:val="00373B15"/>
    <w:rsid w:val="00375977"/>
    <w:rsid w:val="00380260"/>
    <w:rsid w:val="003816C7"/>
    <w:rsid w:val="00382C1E"/>
    <w:rsid w:val="0038335A"/>
    <w:rsid w:val="003835E7"/>
    <w:rsid w:val="003837DC"/>
    <w:rsid w:val="00384565"/>
    <w:rsid w:val="00386AA5"/>
    <w:rsid w:val="00386C03"/>
    <w:rsid w:val="00387CA8"/>
    <w:rsid w:val="003904E0"/>
    <w:rsid w:val="0039171C"/>
    <w:rsid w:val="0039325B"/>
    <w:rsid w:val="00394D03"/>
    <w:rsid w:val="0039578A"/>
    <w:rsid w:val="00395CE9"/>
    <w:rsid w:val="00395E76"/>
    <w:rsid w:val="00396909"/>
    <w:rsid w:val="003974E8"/>
    <w:rsid w:val="00397D4C"/>
    <w:rsid w:val="003A0EB1"/>
    <w:rsid w:val="003A5E5B"/>
    <w:rsid w:val="003B10DB"/>
    <w:rsid w:val="003B12DB"/>
    <w:rsid w:val="003B2F14"/>
    <w:rsid w:val="003B3F68"/>
    <w:rsid w:val="003B401D"/>
    <w:rsid w:val="003B4CA9"/>
    <w:rsid w:val="003B625C"/>
    <w:rsid w:val="003B6329"/>
    <w:rsid w:val="003B6CC3"/>
    <w:rsid w:val="003B7959"/>
    <w:rsid w:val="003C063D"/>
    <w:rsid w:val="003C066A"/>
    <w:rsid w:val="003C0DB6"/>
    <w:rsid w:val="003C0EB6"/>
    <w:rsid w:val="003C30A4"/>
    <w:rsid w:val="003C5DA6"/>
    <w:rsid w:val="003D0ABD"/>
    <w:rsid w:val="003D1585"/>
    <w:rsid w:val="003D1A1F"/>
    <w:rsid w:val="003D1C10"/>
    <w:rsid w:val="003D4F2B"/>
    <w:rsid w:val="003D527E"/>
    <w:rsid w:val="003D7DFD"/>
    <w:rsid w:val="003E099D"/>
    <w:rsid w:val="003E1B86"/>
    <w:rsid w:val="003E5BFB"/>
    <w:rsid w:val="003F0569"/>
    <w:rsid w:val="003F3082"/>
    <w:rsid w:val="003F4F65"/>
    <w:rsid w:val="003F50C4"/>
    <w:rsid w:val="003F66FF"/>
    <w:rsid w:val="003F689B"/>
    <w:rsid w:val="004006AF"/>
    <w:rsid w:val="004021E6"/>
    <w:rsid w:val="0040271C"/>
    <w:rsid w:val="0040281B"/>
    <w:rsid w:val="00402F9A"/>
    <w:rsid w:val="00404CCA"/>
    <w:rsid w:val="00405A86"/>
    <w:rsid w:val="00405B8B"/>
    <w:rsid w:val="00406B85"/>
    <w:rsid w:val="0040723E"/>
    <w:rsid w:val="0040787F"/>
    <w:rsid w:val="004123B8"/>
    <w:rsid w:val="0041251D"/>
    <w:rsid w:val="00412FDF"/>
    <w:rsid w:val="00414147"/>
    <w:rsid w:val="00416C35"/>
    <w:rsid w:val="00421765"/>
    <w:rsid w:val="00423A07"/>
    <w:rsid w:val="00424348"/>
    <w:rsid w:val="004271D3"/>
    <w:rsid w:val="004307EA"/>
    <w:rsid w:val="004312B3"/>
    <w:rsid w:val="0043174D"/>
    <w:rsid w:val="0043276D"/>
    <w:rsid w:val="004330C0"/>
    <w:rsid w:val="00433780"/>
    <w:rsid w:val="00433CA6"/>
    <w:rsid w:val="004340EF"/>
    <w:rsid w:val="00434E37"/>
    <w:rsid w:val="00435973"/>
    <w:rsid w:val="00436FD1"/>
    <w:rsid w:val="00440547"/>
    <w:rsid w:val="00442C99"/>
    <w:rsid w:val="00443A99"/>
    <w:rsid w:val="00443F63"/>
    <w:rsid w:val="0044460E"/>
    <w:rsid w:val="00444FE0"/>
    <w:rsid w:val="00445D19"/>
    <w:rsid w:val="0044619F"/>
    <w:rsid w:val="004466D9"/>
    <w:rsid w:val="00451537"/>
    <w:rsid w:val="00452249"/>
    <w:rsid w:val="004529F8"/>
    <w:rsid w:val="00453547"/>
    <w:rsid w:val="0045393E"/>
    <w:rsid w:val="00453B35"/>
    <w:rsid w:val="00454ECD"/>
    <w:rsid w:val="0045629B"/>
    <w:rsid w:val="004569DC"/>
    <w:rsid w:val="004607CF"/>
    <w:rsid w:val="00461557"/>
    <w:rsid w:val="00464178"/>
    <w:rsid w:val="0046594E"/>
    <w:rsid w:val="00466A7F"/>
    <w:rsid w:val="00470915"/>
    <w:rsid w:val="004727F7"/>
    <w:rsid w:val="004730B1"/>
    <w:rsid w:val="004748CC"/>
    <w:rsid w:val="0047550B"/>
    <w:rsid w:val="00476000"/>
    <w:rsid w:val="00476596"/>
    <w:rsid w:val="00477261"/>
    <w:rsid w:val="00480B3A"/>
    <w:rsid w:val="0048122F"/>
    <w:rsid w:val="004865BD"/>
    <w:rsid w:val="00487296"/>
    <w:rsid w:val="004875A9"/>
    <w:rsid w:val="00490D42"/>
    <w:rsid w:val="00490DFA"/>
    <w:rsid w:val="0049173F"/>
    <w:rsid w:val="0049257F"/>
    <w:rsid w:val="004925D3"/>
    <w:rsid w:val="00492C25"/>
    <w:rsid w:val="00493539"/>
    <w:rsid w:val="00494D50"/>
    <w:rsid w:val="004A0C32"/>
    <w:rsid w:val="004A1DEF"/>
    <w:rsid w:val="004A2A41"/>
    <w:rsid w:val="004A7022"/>
    <w:rsid w:val="004B008D"/>
    <w:rsid w:val="004B1577"/>
    <w:rsid w:val="004B2C56"/>
    <w:rsid w:val="004B317B"/>
    <w:rsid w:val="004B4BF7"/>
    <w:rsid w:val="004B7304"/>
    <w:rsid w:val="004C0322"/>
    <w:rsid w:val="004C093A"/>
    <w:rsid w:val="004C1D96"/>
    <w:rsid w:val="004C228A"/>
    <w:rsid w:val="004C3559"/>
    <w:rsid w:val="004C598A"/>
    <w:rsid w:val="004C5F75"/>
    <w:rsid w:val="004C63BD"/>
    <w:rsid w:val="004C6F77"/>
    <w:rsid w:val="004C784C"/>
    <w:rsid w:val="004D0434"/>
    <w:rsid w:val="004D14E3"/>
    <w:rsid w:val="004D2832"/>
    <w:rsid w:val="004D5668"/>
    <w:rsid w:val="004D56B5"/>
    <w:rsid w:val="004E0B5E"/>
    <w:rsid w:val="004E10A9"/>
    <w:rsid w:val="004E1AFC"/>
    <w:rsid w:val="004E3007"/>
    <w:rsid w:val="004E3259"/>
    <w:rsid w:val="004E32A2"/>
    <w:rsid w:val="004E3E42"/>
    <w:rsid w:val="004E3FD4"/>
    <w:rsid w:val="004E7A3B"/>
    <w:rsid w:val="004F0E3D"/>
    <w:rsid w:val="004F1BD6"/>
    <w:rsid w:val="004F37E9"/>
    <w:rsid w:val="004F5602"/>
    <w:rsid w:val="004F5A5B"/>
    <w:rsid w:val="004F62D4"/>
    <w:rsid w:val="00501CB4"/>
    <w:rsid w:val="00501F16"/>
    <w:rsid w:val="00504677"/>
    <w:rsid w:val="005046AE"/>
    <w:rsid w:val="0050508C"/>
    <w:rsid w:val="00506075"/>
    <w:rsid w:val="005060CA"/>
    <w:rsid w:val="00507C8D"/>
    <w:rsid w:val="00510521"/>
    <w:rsid w:val="0051053E"/>
    <w:rsid w:val="0051207B"/>
    <w:rsid w:val="00512C16"/>
    <w:rsid w:val="00513EA5"/>
    <w:rsid w:val="00513EC6"/>
    <w:rsid w:val="005146AF"/>
    <w:rsid w:val="00514F3B"/>
    <w:rsid w:val="00516103"/>
    <w:rsid w:val="0051686D"/>
    <w:rsid w:val="00517A5D"/>
    <w:rsid w:val="0053289B"/>
    <w:rsid w:val="005375E2"/>
    <w:rsid w:val="00542552"/>
    <w:rsid w:val="005426B2"/>
    <w:rsid w:val="0054502B"/>
    <w:rsid w:val="00546DA2"/>
    <w:rsid w:val="00550D05"/>
    <w:rsid w:val="00553293"/>
    <w:rsid w:val="0055440D"/>
    <w:rsid w:val="005553CC"/>
    <w:rsid w:val="00555525"/>
    <w:rsid w:val="00556002"/>
    <w:rsid w:val="00557527"/>
    <w:rsid w:val="00557797"/>
    <w:rsid w:val="00560903"/>
    <w:rsid w:val="00560A41"/>
    <w:rsid w:val="00562044"/>
    <w:rsid w:val="0056562C"/>
    <w:rsid w:val="00567559"/>
    <w:rsid w:val="00570280"/>
    <w:rsid w:val="00570A9E"/>
    <w:rsid w:val="0057247F"/>
    <w:rsid w:val="00573572"/>
    <w:rsid w:val="0057367D"/>
    <w:rsid w:val="005740D9"/>
    <w:rsid w:val="0057791D"/>
    <w:rsid w:val="00580D42"/>
    <w:rsid w:val="00580F87"/>
    <w:rsid w:val="00581812"/>
    <w:rsid w:val="00581C42"/>
    <w:rsid w:val="0058256D"/>
    <w:rsid w:val="005873A9"/>
    <w:rsid w:val="00590F4B"/>
    <w:rsid w:val="00591576"/>
    <w:rsid w:val="00591BD3"/>
    <w:rsid w:val="0059261A"/>
    <w:rsid w:val="00593162"/>
    <w:rsid w:val="00594271"/>
    <w:rsid w:val="0059773F"/>
    <w:rsid w:val="005A04F4"/>
    <w:rsid w:val="005A0B4C"/>
    <w:rsid w:val="005A1965"/>
    <w:rsid w:val="005A3DA2"/>
    <w:rsid w:val="005A4F22"/>
    <w:rsid w:val="005A71B4"/>
    <w:rsid w:val="005B185A"/>
    <w:rsid w:val="005B2644"/>
    <w:rsid w:val="005B359E"/>
    <w:rsid w:val="005B6A5F"/>
    <w:rsid w:val="005C471A"/>
    <w:rsid w:val="005C49C4"/>
    <w:rsid w:val="005C53A0"/>
    <w:rsid w:val="005C5E10"/>
    <w:rsid w:val="005C6845"/>
    <w:rsid w:val="005C7757"/>
    <w:rsid w:val="005C7E3A"/>
    <w:rsid w:val="005D0D86"/>
    <w:rsid w:val="005D43BB"/>
    <w:rsid w:val="005D63E7"/>
    <w:rsid w:val="005D6B07"/>
    <w:rsid w:val="005E020E"/>
    <w:rsid w:val="005E05AA"/>
    <w:rsid w:val="005E251A"/>
    <w:rsid w:val="005E330D"/>
    <w:rsid w:val="005E4F11"/>
    <w:rsid w:val="005E679D"/>
    <w:rsid w:val="005E71E9"/>
    <w:rsid w:val="005E7399"/>
    <w:rsid w:val="005F0615"/>
    <w:rsid w:val="005F2600"/>
    <w:rsid w:val="005F5489"/>
    <w:rsid w:val="005F5A1B"/>
    <w:rsid w:val="00601226"/>
    <w:rsid w:val="0060159E"/>
    <w:rsid w:val="00602E15"/>
    <w:rsid w:val="00603270"/>
    <w:rsid w:val="0060567B"/>
    <w:rsid w:val="00605836"/>
    <w:rsid w:val="006058AA"/>
    <w:rsid w:val="006067FF"/>
    <w:rsid w:val="006074A3"/>
    <w:rsid w:val="006075DE"/>
    <w:rsid w:val="00610725"/>
    <w:rsid w:val="006119BE"/>
    <w:rsid w:val="00611D96"/>
    <w:rsid w:val="00612C66"/>
    <w:rsid w:val="00613D75"/>
    <w:rsid w:val="00620638"/>
    <w:rsid w:val="00623B8B"/>
    <w:rsid w:val="006241C1"/>
    <w:rsid w:val="006243BD"/>
    <w:rsid w:val="00625A21"/>
    <w:rsid w:val="006267AE"/>
    <w:rsid w:val="00626D3F"/>
    <w:rsid w:val="00627397"/>
    <w:rsid w:val="006300BA"/>
    <w:rsid w:val="00630DE6"/>
    <w:rsid w:val="00631550"/>
    <w:rsid w:val="00631C0C"/>
    <w:rsid w:val="0063268E"/>
    <w:rsid w:val="006346FE"/>
    <w:rsid w:val="00634C4D"/>
    <w:rsid w:val="0063575A"/>
    <w:rsid w:val="006358A0"/>
    <w:rsid w:val="006368CF"/>
    <w:rsid w:val="00637D6E"/>
    <w:rsid w:val="00640615"/>
    <w:rsid w:val="006422D1"/>
    <w:rsid w:val="00645394"/>
    <w:rsid w:val="00646450"/>
    <w:rsid w:val="00646D70"/>
    <w:rsid w:val="00646E6D"/>
    <w:rsid w:val="006476E3"/>
    <w:rsid w:val="00647B2B"/>
    <w:rsid w:val="006528FA"/>
    <w:rsid w:val="0065345C"/>
    <w:rsid w:val="00655B45"/>
    <w:rsid w:val="00655BAA"/>
    <w:rsid w:val="00656529"/>
    <w:rsid w:val="006567C2"/>
    <w:rsid w:val="00657825"/>
    <w:rsid w:val="00657C19"/>
    <w:rsid w:val="00660062"/>
    <w:rsid w:val="006604BA"/>
    <w:rsid w:val="0066099D"/>
    <w:rsid w:val="00660E00"/>
    <w:rsid w:val="0066127D"/>
    <w:rsid w:val="00661D8D"/>
    <w:rsid w:val="0066290C"/>
    <w:rsid w:val="00663DB9"/>
    <w:rsid w:val="00665AD2"/>
    <w:rsid w:val="0066650B"/>
    <w:rsid w:val="00666804"/>
    <w:rsid w:val="00671485"/>
    <w:rsid w:val="0067297A"/>
    <w:rsid w:val="0067305A"/>
    <w:rsid w:val="00675BC1"/>
    <w:rsid w:val="00676DB9"/>
    <w:rsid w:val="006800B1"/>
    <w:rsid w:val="006812E9"/>
    <w:rsid w:val="0069244A"/>
    <w:rsid w:val="00692B1B"/>
    <w:rsid w:val="0069348E"/>
    <w:rsid w:val="006955AC"/>
    <w:rsid w:val="00696203"/>
    <w:rsid w:val="006977EE"/>
    <w:rsid w:val="006A0CFD"/>
    <w:rsid w:val="006A24BF"/>
    <w:rsid w:val="006A67AB"/>
    <w:rsid w:val="006A690A"/>
    <w:rsid w:val="006A6AC1"/>
    <w:rsid w:val="006A7024"/>
    <w:rsid w:val="006A77A4"/>
    <w:rsid w:val="006B04B8"/>
    <w:rsid w:val="006B070A"/>
    <w:rsid w:val="006B0D7D"/>
    <w:rsid w:val="006B2396"/>
    <w:rsid w:val="006B4F45"/>
    <w:rsid w:val="006B4F73"/>
    <w:rsid w:val="006B5725"/>
    <w:rsid w:val="006B69A4"/>
    <w:rsid w:val="006C0C1C"/>
    <w:rsid w:val="006C0C7D"/>
    <w:rsid w:val="006C12D9"/>
    <w:rsid w:val="006C21A6"/>
    <w:rsid w:val="006C3318"/>
    <w:rsid w:val="006C438D"/>
    <w:rsid w:val="006D0B89"/>
    <w:rsid w:val="006D0B98"/>
    <w:rsid w:val="006D154F"/>
    <w:rsid w:val="006D22FD"/>
    <w:rsid w:val="006D47A8"/>
    <w:rsid w:val="006D548C"/>
    <w:rsid w:val="006D5A4D"/>
    <w:rsid w:val="006D609D"/>
    <w:rsid w:val="006D63C5"/>
    <w:rsid w:val="006D77D7"/>
    <w:rsid w:val="006D793D"/>
    <w:rsid w:val="006E00B0"/>
    <w:rsid w:val="006E3D85"/>
    <w:rsid w:val="006E44AF"/>
    <w:rsid w:val="006E49E5"/>
    <w:rsid w:val="006E5724"/>
    <w:rsid w:val="006E6E71"/>
    <w:rsid w:val="006E7D10"/>
    <w:rsid w:val="006F2279"/>
    <w:rsid w:val="006F3242"/>
    <w:rsid w:val="006F4F27"/>
    <w:rsid w:val="006F4FFC"/>
    <w:rsid w:val="006F52C4"/>
    <w:rsid w:val="006F5730"/>
    <w:rsid w:val="006F639B"/>
    <w:rsid w:val="0070005D"/>
    <w:rsid w:val="00702028"/>
    <w:rsid w:val="007026F9"/>
    <w:rsid w:val="00703D35"/>
    <w:rsid w:val="00705232"/>
    <w:rsid w:val="00705712"/>
    <w:rsid w:val="00706839"/>
    <w:rsid w:val="0070791D"/>
    <w:rsid w:val="0071038F"/>
    <w:rsid w:val="00710C8E"/>
    <w:rsid w:val="00711055"/>
    <w:rsid w:val="00711A8B"/>
    <w:rsid w:val="00713879"/>
    <w:rsid w:val="00714C65"/>
    <w:rsid w:val="007209AF"/>
    <w:rsid w:val="00720A3C"/>
    <w:rsid w:val="0072388E"/>
    <w:rsid w:val="00723EC2"/>
    <w:rsid w:val="0072721D"/>
    <w:rsid w:val="00730358"/>
    <w:rsid w:val="00731872"/>
    <w:rsid w:val="007320F0"/>
    <w:rsid w:val="00733577"/>
    <w:rsid w:val="00733EE5"/>
    <w:rsid w:val="007352AF"/>
    <w:rsid w:val="00735547"/>
    <w:rsid w:val="0073554E"/>
    <w:rsid w:val="00740883"/>
    <w:rsid w:val="007425E8"/>
    <w:rsid w:val="007427ED"/>
    <w:rsid w:val="00743DEA"/>
    <w:rsid w:val="00743EBC"/>
    <w:rsid w:val="00744978"/>
    <w:rsid w:val="00745F6F"/>
    <w:rsid w:val="00747342"/>
    <w:rsid w:val="00747C20"/>
    <w:rsid w:val="00750E0A"/>
    <w:rsid w:val="007513A4"/>
    <w:rsid w:val="00753B3E"/>
    <w:rsid w:val="00754473"/>
    <w:rsid w:val="00754C4F"/>
    <w:rsid w:val="00755D51"/>
    <w:rsid w:val="00757B10"/>
    <w:rsid w:val="00757DE0"/>
    <w:rsid w:val="0076508A"/>
    <w:rsid w:val="00765334"/>
    <w:rsid w:val="00765509"/>
    <w:rsid w:val="00771232"/>
    <w:rsid w:val="00771519"/>
    <w:rsid w:val="00771679"/>
    <w:rsid w:val="00771944"/>
    <w:rsid w:val="0077207F"/>
    <w:rsid w:val="007722A3"/>
    <w:rsid w:val="007728C9"/>
    <w:rsid w:val="00773108"/>
    <w:rsid w:val="007743CF"/>
    <w:rsid w:val="00774CA9"/>
    <w:rsid w:val="0077586E"/>
    <w:rsid w:val="007764D6"/>
    <w:rsid w:val="00777967"/>
    <w:rsid w:val="00780984"/>
    <w:rsid w:val="00780F76"/>
    <w:rsid w:val="0078138B"/>
    <w:rsid w:val="007836D0"/>
    <w:rsid w:val="00784B99"/>
    <w:rsid w:val="00784F28"/>
    <w:rsid w:val="00791F09"/>
    <w:rsid w:val="00793E65"/>
    <w:rsid w:val="00795530"/>
    <w:rsid w:val="007A069E"/>
    <w:rsid w:val="007A0DC5"/>
    <w:rsid w:val="007A3ABB"/>
    <w:rsid w:val="007A4550"/>
    <w:rsid w:val="007A5554"/>
    <w:rsid w:val="007A5780"/>
    <w:rsid w:val="007A594E"/>
    <w:rsid w:val="007B01AB"/>
    <w:rsid w:val="007B0754"/>
    <w:rsid w:val="007B098E"/>
    <w:rsid w:val="007B0CA2"/>
    <w:rsid w:val="007B29C4"/>
    <w:rsid w:val="007B3B5C"/>
    <w:rsid w:val="007B4851"/>
    <w:rsid w:val="007B4E9B"/>
    <w:rsid w:val="007B5207"/>
    <w:rsid w:val="007B5FF8"/>
    <w:rsid w:val="007B68C1"/>
    <w:rsid w:val="007B6A69"/>
    <w:rsid w:val="007B6D7C"/>
    <w:rsid w:val="007C18A2"/>
    <w:rsid w:val="007C2F8D"/>
    <w:rsid w:val="007C4C18"/>
    <w:rsid w:val="007C51E0"/>
    <w:rsid w:val="007C6AB6"/>
    <w:rsid w:val="007C6B67"/>
    <w:rsid w:val="007C78AF"/>
    <w:rsid w:val="007D134E"/>
    <w:rsid w:val="007D14B5"/>
    <w:rsid w:val="007D19FF"/>
    <w:rsid w:val="007D29D6"/>
    <w:rsid w:val="007D2C46"/>
    <w:rsid w:val="007D2F55"/>
    <w:rsid w:val="007D5BC6"/>
    <w:rsid w:val="007D6989"/>
    <w:rsid w:val="007D6E2B"/>
    <w:rsid w:val="007E0BAF"/>
    <w:rsid w:val="007E6464"/>
    <w:rsid w:val="007E6BDB"/>
    <w:rsid w:val="007F1665"/>
    <w:rsid w:val="007F1BAD"/>
    <w:rsid w:val="007F2113"/>
    <w:rsid w:val="007F2825"/>
    <w:rsid w:val="007F2B94"/>
    <w:rsid w:val="007F59F8"/>
    <w:rsid w:val="007F5A91"/>
    <w:rsid w:val="00801D2A"/>
    <w:rsid w:val="00801DE7"/>
    <w:rsid w:val="00802B94"/>
    <w:rsid w:val="008031D4"/>
    <w:rsid w:val="00804A61"/>
    <w:rsid w:val="00804EB1"/>
    <w:rsid w:val="00804F68"/>
    <w:rsid w:val="00806BCE"/>
    <w:rsid w:val="008071BD"/>
    <w:rsid w:val="00807767"/>
    <w:rsid w:val="008102D2"/>
    <w:rsid w:val="00810C5A"/>
    <w:rsid w:val="0081362B"/>
    <w:rsid w:val="00813639"/>
    <w:rsid w:val="00815DC8"/>
    <w:rsid w:val="00816814"/>
    <w:rsid w:val="0082294D"/>
    <w:rsid w:val="00822FD6"/>
    <w:rsid w:val="0082597E"/>
    <w:rsid w:val="008259D6"/>
    <w:rsid w:val="00826883"/>
    <w:rsid w:val="008277B0"/>
    <w:rsid w:val="00831E22"/>
    <w:rsid w:val="00831E3B"/>
    <w:rsid w:val="00834A32"/>
    <w:rsid w:val="00834DEB"/>
    <w:rsid w:val="00836630"/>
    <w:rsid w:val="00837A26"/>
    <w:rsid w:val="00840E42"/>
    <w:rsid w:val="00841852"/>
    <w:rsid w:val="00841CC5"/>
    <w:rsid w:val="00842934"/>
    <w:rsid w:val="00842F60"/>
    <w:rsid w:val="00844581"/>
    <w:rsid w:val="00846690"/>
    <w:rsid w:val="00846A93"/>
    <w:rsid w:val="00850077"/>
    <w:rsid w:val="008519B3"/>
    <w:rsid w:val="00851F04"/>
    <w:rsid w:val="00861106"/>
    <w:rsid w:val="008618DD"/>
    <w:rsid w:val="00861E01"/>
    <w:rsid w:val="0086240F"/>
    <w:rsid w:val="00863C4A"/>
    <w:rsid w:val="00863C8A"/>
    <w:rsid w:val="0086768D"/>
    <w:rsid w:val="00867838"/>
    <w:rsid w:val="00867CA4"/>
    <w:rsid w:val="00867D78"/>
    <w:rsid w:val="00870572"/>
    <w:rsid w:val="00871661"/>
    <w:rsid w:val="00872955"/>
    <w:rsid w:val="00872A71"/>
    <w:rsid w:val="008731CB"/>
    <w:rsid w:val="00873733"/>
    <w:rsid w:val="008737A8"/>
    <w:rsid w:val="00873C6E"/>
    <w:rsid w:val="0087481E"/>
    <w:rsid w:val="008754E4"/>
    <w:rsid w:val="00877D73"/>
    <w:rsid w:val="00877DAB"/>
    <w:rsid w:val="00877E34"/>
    <w:rsid w:val="008849C6"/>
    <w:rsid w:val="00884AD1"/>
    <w:rsid w:val="0088577B"/>
    <w:rsid w:val="008907C0"/>
    <w:rsid w:val="008961B3"/>
    <w:rsid w:val="008968F4"/>
    <w:rsid w:val="008A0DA4"/>
    <w:rsid w:val="008A1369"/>
    <w:rsid w:val="008A1BE2"/>
    <w:rsid w:val="008A2242"/>
    <w:rsid w:val="008A25F7"/>
    <w:rsid w:val="008A2E79"/>
    <w:rsid w:val="008A602B"/>
    <w:rsid w:val="008A664B"/>
    <w:rsid w:val="008A783E"/>
    <w:rsid w:val="008A7F49"/>
    <w:rsid w:val="008B1153"/>
    <w:rsid w:val="008B1CD9"/>
    <w:rsid w:val="008B2628"/>
    <w:rsid w:val="008B28FC"/>
    <w:rsid w:val="008B2F4C"/>
    <w:rsid w:val="008B42AB"/>
    <w:rsid w:val="008B4B6D"/>
    <w:rsid w:val="008B5A21"/>
    <w:rsid w:val="008B65B1"/>
    <w:rsid w:val="008C0BF5"/>
    <w:rsid w:val="008C1362"/>
    <w:rsid w:val="008C2118"/>
    <w:rsid w:val="008C382C"/>
    <w:rsid w:val="008C4B1A"/>
    <w:rsid w:val="008D14B4"/>
    <w:rsid w:val="008D1899"/>
    <w:rsid w:val="008D4FB0"/>
    <w:rsid w:val="008D68F1"/>
    <w:rsid w:val="008D6D0E"/>
    <w:rsid w:val="008D756E"/>
    <w:rsid w:val="008D7855"/>
    <w:rsid w:val="008E0039"/>
    <w:rsid w:val="008E0C64"/>
    <w:rsid w:val="008E3DA8"/>
    <w:rsid w:val="008E76E2"/>
    <w:rsid w:val="008E77B2"/>
    <w:rsid w:val="008F0358"/>
    <w:rsid w:val="008F1339"/>
    <w:rsid w:val="008F4173"/>
    <w:rsid w:val="008F4414"/>
    <w:rsid w:val="008F4F01"/>
    <w:rsid w:val="008F55E4"/>
    <w:rsid w:val="008F56B5"/>
    <w:rsid w:val="008F7F77"/>
    <w:rsid w:val="008F7FF3"/>
    <w:rsid w:val="009001D4"/>
    <w:rsid w:val="009019A3"/>
    <w:rsid w:val="00901DD8"/>
    <w:rsid w:val="00901FE4"/>
    <w:rsid w:val="009029B4"/>
    <w:rsid w:val="00903CA6"/>
    <w:rsid w:val="00911968"/>
    <w:rsid w:val="009126E7"/>
    <w:rsid w:val="0091370E"/>
    <w:rsid w:val="00915089"/>
    <w:rsid w:val="0091549B"/>
    <w:rsid w:val="00920186"/>
    <w:rsid w:val="00921063"/>
    <w:rsid w:val="00921456"/>
    <w:rsid w:val="009238A8"/>
    <w:rsid w:val="00925111"/>
    <w:rsid w:val="00926BF5"/>
    <w:rsid w:val="00926E7B"/>
    <w:rsid w:val="00927AC1"/>
    <w:rsid w:val="00930CD8"/>
    <w:rsid w:val="00930F2E"/>
    <w:rsid w:val="00930FF3"/>
    <w:rsid w:val="00931AF4"/>
    <w:rsid w:val="00931F02"/>
    <w:rsid w:val="00933262"/>
    <w:rsid w:val="00934E71"/>
    <w:rsid w:val="00935165"/>
    <w:rsid w:val="00935DFC"/>
    <w:rsid w:val="00940035"/>
    <w:rsid w:val="00940486"/>
    <w:rsid w:val="00941755"/>
    <w:rsid w:val="00941F31"/>
    <w:rsid w:val="00941F75"/>
    <w:rsid w:val="00942873"/>
    <w:rsid w:val="00945E33"/>
    <w:rsid w:val="0094645C"/>
    <w:rsid w:val="00946C7C"/>
    <w:rsid w:val="00946EFF"/>
    <w:rsid w:val="00951893"/>
    <w:rsid w:val="00951CE0"/>
    <w:rsid w:val="009548C4"/>
    <w:rsid w:val="00954CA6"/>
    <w:rsid w:val="00954F31"/>
    <w:rsid w:val="00955124"/>
    <w:rsid w:val="00955AB4"/>
    <w:rsid w:val="00955D11"/>
    <w:rsid w:val="009602B1"/>
    <w:rsid w:val="0096400E"/>
    <w:rsid w:val="009645B2"/>
    <w:rsid w:val="00967AC1"/>
    <w:rsid w:val="00971735"/>
    <w:rsid w:val="009748F7"/>
    <w:rsid w:val="00976248"/>
    <w:rsid w:val="0097677F"/>
    <w:rsid w:val="00977EC7"/>
    <w:rsid w:val="009803E2"/>
    <w:rsid w:val="009803F1"/>
    <w:rsid w:val="0098274E"/>
    <w:rsid w:val="00985BD9"/>
    <w:rsid w:val="00985E74"/>
    <w:rsid w:val="009866CC"/>
    <w:rsid w:val="00986F9E"/>
    <w:rsid w:val="00991733"/>
    <w:rsid w:val="00992450"/>
    <w:rsid w:val="0099442F"/>
    <w:rsid w:val="00994534"/>
    <w:rsid w:val="00994CF3"/>
    <w:rsid w:val="00994DA0"/>
    <w:rsid w:val="00994F3E"/>
    <w:rsid w:val="00997EB5"/>
    <w:rsid w:val="009A02E3"/>
    <w:rsid w:val="009A03E0"/>
    <w:rsid w:val="009A2066"/>
    <w:rsid w:val="009A33E9"/>
    <w:rsid w:val="009A3EFC"/>
    <w:rsid w:val="009A422B"/>
    <w:rsid w:val="009A4F5F"/>
    <w:rsid w:val="009A5B5A"/>
    <w:rsid w:val="009A6B95"/>
    <w:rsid w:val="009A72F1"/>
    <w:rsid w:val="009B035D"/>
    <w:rsid w:val="009B2410"/>
    <w:rsid w:val="009B6891"/>
    <w:rsid w:val="009B695F"/>
    <w:rsid w:val="009C1703"/>
    <w:rsid w:val="009C17B7"/>
    <w:rsid w:val="009C1F02"/>
    <w:rsid w:val="009C427E"/>
    <w:rsid w:val="009C596B"/>
    <w:rsid w:val="009C5AB7"/>
    <w:rsid w:val="009C61DF"/>
    <w:rsid w:val="009C730D"/>
    <w:rsid w:val="009D095B"/>
    <w:rsid w:val="009D0EC8"/>
    <w:rsid w:val="009D113C"/>
    <w:rsid w:val="009D293D"/>
    <w:rsid w:val="009D29D6"/>
    <w:rsid w:val="009D6D47"/>
    <w:rsid w:val="009E0D43"/>
    <w:rsid w:val="009E1698"/>
    <w:rsid w:val="009E32AD"/>
    <w:rsid w:val="009E38E7"/>
    <w:rsid w:val="009E49D8"/>
    <w:rsid w:val="009E5F51"/>
    <w:rsid w:val="009E6933"/>
    <w:rsid w:val="009E79DC"/>
    <w:rsid w:val="009F0D33"/>
    <w:rsid w:val="009F200A"/>
    <w:rsid w:val="009F2A00"/>
    <w:rsid w:val="009F3321"/>
    <w:rsid w:val="009F615B"/>
    <w:rsid w:val="009F7C68"/>
    <w:rsid w:val="00A02779"/>
    <w:rsid w:val="00A040F7"/>
    <w:rsid w:val="00A04333"/>
    <w:rsid w:val="00A05A68"/>
    <w:rsid w:val="00A07652"/>
    <w:rsid w:val="00A07C7B"/>
    <w:rsid w:val="00A12F53"/>
    <w:rsid w:val="00A13E44"/>
    <w:rsid w:val="00A141B1"/>
    <w:rsid w:val="00A144A0"/>
    <w:rsid w:val="00A15120"/>
    <w:rsid w:val="00A16025"/>
    <w:rsid w:val="00A21610"/>
    <w:rsid w:val="00A246E1"/>
    <w:rsid w:val="00A25B08"/>
    <w:rsid w:val="00A271BE"/>
    <w:rsid w:val="00A27297"/>
    <w:rsid w:val="00A279F4"/>
    <w:rsid w:val="00A30160"/>
    <w:rsid w:val="00A3089D"/>
    <w:rsid w:val="00A30EDC"/>
    <w:rsid w:val="00A319D7"/>
    <w:rsid w:val="00A31CC2"/>
    <w:rsid w:val="00A33156"/>
    <w:rsid w:val="00A3765E"/>
    <w:rsid w:val="00A40A97"/>
    <w:rsid w:val="00A41E62"/>
    <w:rsid w:val="00A41F37"/>
    <w:rsid w:val="00A422F8"/>
    <w:rsid w:val="00A44AD8"/>
    <w:rsid w:val="00A47AB9"/>
    <w:rsid w:val="00A5008E"/>
    <w:rsid w:val="00A5029A"/>
    <w:rsid w:val="00A5073A"/>
    <w:rsid w:val="00A514B2"/>
    <w:rsid w:val="00A55091"/>
    <w:rsid w:val="00A56D02"/>
    <w:rsid w:val="00A60831"/>
    <w:rsid w:val="00A608DA"/>
    <w:rsid w:val="00A62A46"/>
    <w:rsid w:val="00A647F0"/>
    <w:rsid w:val="00A700C1"/>
    <w:rsid w:val="00A7017C"/>
    <w:rsid w:val="00A724F1"/>
    <w:rsid w:val="00A72DE1"/>
    <w:rsid w:val="00A7534C"/>
    <w:rsid w:val="00A7625F"/>
    <w:rsid w:val="00A7745C"/>
    <w:rsid w:val="00A77D41"/>
    <w:rsid w:val="00A80BF4"/>
    <w:rsid w:val="00A80C9B"/>
    <w:rsid w:val="00A8285F"/>
    <w:rsid w:val="00A82ACA"/>
    <w:rsid w:val="00A82F57"/>
    <w:rsid w:val="00A84930"/>
    <w:rsid w:val="00A84CFD"/>
    <w:rsid w:val="00A8546B"/>
    <w:rsid w:val="00A859F0"/>
    <w:rsid w:val="00A8617D"/>
    <w:rsid w:val="00A86405"/>
    <w:rsid w:val="00A869AE"/>
    <w:rsid w:val="00A8744F"/>
    <w:rsid w:val="00A9144C"/>
    <w:rsid w:val="00A91B36"/>
    <w:rsid w:val="00A92630"/>
    <w:rsid w:val="00A951EE"/>
    <w:rsid w:val="00A95250"/>
    <w:rsid w:val="00AA02B3"/>
    <w:rsid w:val="00AA0A94"/>
    <w:rsid w:val="00AA1667"/>
    <w:rsid w:val="00AA198B"/>
    <w:rsid w:val="00AA19A0"/>
    <w:rsid w:val="00AA1A33"/>
    <w:rsid w:val="00AA1E7E"/>
    <w:rsid w:val="00AA31DA"/>
    <w:rsid w:val="00AA5581"/>
    <w:rsid w:val="00AA6FC8"/>
    <w:rsid w:val="00AA73F3"/>
    <w:rsid w:val="00AB0355"/>
    <w:rsid w:val="00AB137A"/>
    <w:rsid w:val="00AB15FE"/>
    <w:rsid w:val="00AB16E5"/>
    <w:rsid w:val="00AB196F"/>
    <w:rsid w:val="00AB2529"/>
    <w:rsid w:val="00AB252A"/>
    <w:rsid w:val="00AB6974"/>
    <w:rsid w:val="00AC0E98"/>
    <w:rsid w:val="00AC25EE"/>
    <w:rsid w:val="00AC33DC"/>
    <w:rsid w:val="00AC4265"/>
    <w:rsid w:val="00AC47A3"/>
    <w:rsid w:val="00AC5C23"/>
    <w:rsid w:val="00AD0601"/>
    <w:rsid w:val="00AD5403"/>
    <w:rsid w:val="00AD5C7B"/>
    <w:rsid w:val="00AD5FDF"/>
    <w:rsid w:val="00AD751B"/>
    <w:rsid w:val="00AE2551"/>
    <w:rsid w:val="00AE288A"/>
    <w:rsid w:val="00AE2B4F"/>
    <w:rsid w:val="00AE3067"/>
    <w:rsid w:val="00AE4C1E"/>
    <w:rsid w:val="00AE508E"/>
    <w:rsid w:val="00AE5E14"/>
    <w:rsid w:val="00AE60B7"/>
    <w:rsid w:val="00AE70EF"/>
    <w:rsid w:val="00AF0414"/>
    <w:rsid w:val="00AF22ED"/>
    <w:rsid w:val="00AF23E1"/>
    <w:rsid w:val="00AF2597"/>
    <w:rsid w:val="00AF2D00"/>
    <w:rsid w:val="00AF42A5"/>
    <w:rsid w:val="00AF43B7"/>
    <w:rsid w:val="00AF6CB8"/>
    <w:rsid w:val="00AF71E1"/>
    <w:rsid w:val="00AF7499"/>
    <w:rsid w:val="00B00D72"/>
    <w:rsid w:val="00B03D37"/>
    <w:rsid w:val="00B041E1"/>
    <w:rsid w:val="00B0441D"/>
    <w:rsid w:val="00B04A1A"/>
    <w:rsid w:val="00B106E2"/>
    <w:rsid w:val="00B10B28"/>
    <w:rsid w:val="00B1145F"/>
    <w:rsid w:val="00B140DB"/>
    <w:rsid w:val="00B15375"/>
    <w:rsid w:val="00B164F4"/>
    <w:rsid w:val="00B2185F"/>
    <w:rsid w:val="00B23884"/>
    <w:rsid w:val="00B24A02"/>
    <w:rsid w:val="00B27D39"/>
    <w:rsid w:val="00B30B70"/>
    <w:rsid w:val="00B31431"/>
    <w:rsid w:val="00B31491"/>
    <w:rsid w:val="00B318B5"/>
    <w:rsid w:val="00B328C9"/>
    <w:rsid w:val="00B334BC"/>
    <w:rsid w:val="00B3526C"/>
    <w:rsid w:val="00B3556C"/>
    <w:rsid w:val="00B36F2D"/>
    <w:rsid w:val="00B407DD"/>
    <w:rsid w:val="00B44D99"/>
    <w:rsid w:val="00B47C2F"/>
    <w:rsid w:val="00B516B7"/>
    <w:rsid w:val="00B52186"/>
    <w:rsid w:val="00B547AF"/>
    <w:rsid w:val="00B57207"/>
    <w:rsid w:val="00B6161F"/>
    <w:rsid w:val="00B6196C"/>
    <w:rsid w:val="00B61E48"/>
    <w:rsid w:val="00B62BC1"/>
    <w:rsid w:val="00B66571"/>
    <w:rsid w:val="00B742A8"/>
    <w:rsid w:val="00B764A2"/>
    <w:rsid w:val="00B820A6"/>
    <w:rsid w:val="00B84685"/>
    <w:rsid w:val="00B84D78"/>
    <w:rsid w:val="00B8553A"/>
    <w:rsid w:val="00B8676A"/>
    <w:rsid w:val="00B93099"/>
    <w:rsid w:val="00B93F0B"/>
    <w:rsid w:val="00B9494D"/>
    <w:rsid w:val="00B95416"/>
    <w:rsid w:val="00B974C9"/>
    <w:rsid w:val="00BA086C"/>
    <w:rsid w:val="00BA1F5F"/>
    <w:rsid w:val="00BA1FEF"/>
    <w:rsid w:val="00BB0E88"/>
    <w:rsid w:val="00BB131B"/>
    <w:rsid w:val="00BB21C5"/>
    <w:rsid w:val="00BB3888"/>
    <w:rsid w:val="00BB3BEB"/>
    <w:rsid w:val="00BB6BE7"/>
    <w:rsid w:val="00BC128A"/>
    <w:rsid w:val="00BC12B8"/>
    <w:rsid w:val="00BC1EBC"/>
    <w:rsid w:val="00BC1F39"/>
    <w:rsid w:val="00BC301F"/>
    <w:rsid w:val="00BC3391"/>
    <w:rsid w:val="00BC510E"/>
    <w:rsid w:val="00BC6170"/>
    <w:rsid w:val="00BD10DB"/>
    <w:rsid w:val="00BD21FF"/>
    <w:rsid w:val="00BD3FDB"/>
    <w:rsid w:val="00BD4657"/>
    <w:rsid w:val="00BD5FE4"/>
    <w:rsid w:val="00BD78E6"/>
    <w:rsid w:val="00BE036A"/>
    <w:rsid w:val="00BE2DF3"/>
    <w:rsid w:val="00BE33C7"/>
    <w:rsid w:val="00BE48D3"/>
    <w:rsid w:val="00BE63B5"/>
    <w:rsid w:val="00BE65BD"/>
    <w:rsid w:val="00BE67EE"/>
    <w:rsid w:val="00BE6D2A"/>
    <w:rsid w:val="00BE7A2F"/>
    <w:rsid w:val="00BE7C3C"/>
    <w:rsid w:val="00BE7F45"/>
    <w:rsid w:val="00BF06A2"/>
    <w:rsid w:val="00BF29B6"/>
    <w:rsid w:val="00BF3340"/>
    <w:rsid w:val="00BF4673"/>
    <w:rsid w:val="00BF7E3E"/>
    <w:rsid w:val="00C01741"/>
    <w:rsid w:val="00C0382B"/>
    <w:rsid w:val="00C04516"/>
    <w:rsid w:val="00C0684B"/>
    <w:rsid w:val="00C077DE"/>
    <w:rsid w:val="00C101D8"/>
    <w:rsid w:val="00C1099F"/>
    <w:rsid w:val="00C16E8E"/>
    <w:rsid w:val="00C17B2D"/>
    <w:rsid w:val="00C17DA0"/>
    <w:rsid w:val="00C2114B"/>
    <w:rsid w:val="00C21437"/>
    <w:rsid w:val="00C237E4"/>
    <w:rsid w:val="00C23AFC"/>
    <w:rsid w:val="00C25EA7"/>
    <w:rsid w:val="00C26B74"/>
    <w:rsid w:val="00C301ED"/>
    <w:rsid w:val="00C30211"/>
    <w:rsid w:val="00C30EBB"/>
    <w:rsid w:val="00C31469"/>
    <w:rsid w:val="00C3159F"/>
    <w:rsid w:val="00C31746"/>
    <w:rsid w:val="00C31E9F"/>
    <w:rsid w:val="00C34845"/>
    <w:rsid w:val="00C34AAF"/>
    <w:rsid w:val="00C34B0E"/>
    <w:rsid w:val="00C355E3"/>
    <w:rsid w:val="00C35AFA"/>
    <w:rsid w:val="00C367B7"/>
    <w:rsid w:val="00C37A6D"/>
    <w:rsid w:val="00C41DA3"/>
    <w:rsid w:val="00C42373"/>
    <w:rsid w:val="00C42682"/>
    <w:rsid w:val="00C44BA6"/>
    <w:rsid w:val="00C45640"/>
    <w:rsid w:val="00C45B63"/>
    <w:rsid w:val="00C4770E"/>
    <w:rsid w:val="00C477E8"/>
    <w:rsid w:val="00C518A4"/>
    <w:rsid w:val="00C5293E"/>
    <w:rsid w:val="00C53152"/>
    <w:rsid w:val="00C535BB"/>
    <w:rsid w:val="00C562F2"/>
    <w:rsid w:val="00C61B1F"/>
    <w:rsid w:val="00C625B6"/>
    <w:rsid w:val="00C62B4F"/>
    <w:rsid w:val="00C62E30"/>
    <w:rsid w:val="00C64529"/>
    <w:rsid w:val="00C646F9"/>
    <w:rsid w:val="00C64FDA"/>
    <w:rsid w:val="00C65173"/>
    <w:rsid w:val="00C66310"/>
    <w:rsid w:val="00C667EC"/>
    <w:rsid w:val="00C66DBE"/>
    <w:rsid w:val="00C67086"/>
    <w:rsid w:val="00C713E4"/>
    <w:rsid w:val="00C714F3"/>
    <w:rsid w:val="00C73CD7"/>
    <w:rsid w:val="00C74533"/>
    <w:rsid w:val="00C766BE"/>
    <w:rsid w:val="00C80AE8"/>
    <w:rsid w:val="00C80EA1"/>
    <w:rsid w:val="00C826C7"/>
    <w:rsid w:val="00C82A74"/>
    <w:rsid w:val="00C82B45"/>
    <w:rsid w:val="00C83333"/>
    <w:rsid w:val="00C83FA1"/>
    <w:rsid w:val="00C85081"/>
    <w:rsid w:val="00C86067"/>
    <w:rsid w:val="00C87A84"/>
    <w:rsid w:val="00C87CA6"/>
    <w:rsid w:val="00C87DB4"/>
    <w:rsid w:val="00C91994"/>
    <w:rsid w:val="00C91D3E"/>
    <w:rsid w:val="00C927C6"/>
    <w:rsid w:val="00C93A76"/>
    <w:rsid w:val="00C94E25"/>
    <w:rsid w:val="00C9766F"/>
    <w:rsid w:val="00CA20EB"/>
    <w:rsid w:val="00CA25BD"/>
    <w:rsid w:val="00CA27D2"/>
    <w:rsid w:val="00CA2A88"/>
    <w:rsid w:val="00CA7A4E"/>
    <w:rsid w:val="00CB1265"/>
    <w:rsid w:val="00CB2DEF"/>
    <w:rsid w:val="00CB381F"/>
    <w:rsid w:val="00CB3A47"/>
    <w:rsid w:val="00CB3E22"/>
    <w:rsid w:val="00CB4A6F"/>
    <w:rsid w:val="00CB4FBE"/>
    <w:rsid w:val="00CB553C"/>
    <w:rsid w:val="00CB6756"/>
    <w:rsid w:val="00CB749C"/>
    <w:rsid w:val="00CB765E"/>
    <w:rsid w:val="00CC0B21"/>
    <w:rsid w:val="00CC0E3B"/>
    <w:rsid w:val="00CC206E"/>
    <w:rsid w:val="00CC4270"/>
    <w:rsid w:val="00CC4273"/>
    <w:rsid w:val="00CC43C3"/>
    <w:rsid w:val="00CC505A"/>
    <w:rsid w:val="00CC5B54"/>
    <w:rsid w:val="00CC7C4C"/>
    <w:rsid w:val="00CD2086"/>
    <w:rsid w:val="00CD299F"/>
    <w:rsid w:val="00CD36CE"/>
    <w:rsid w:val="00CD3FEA"/>
    <w:rsid w:val="00CD400D"/>
    <w:rsid w:val="00CD70B8"/>
    <w:rsid w:val="00CD7456"/>
    <w:rsid w:val="00CE1085"/>
    <w:rsid w:val="00CE21BA"/>
    <w:rsid w:val="00CE257C"/>
    <w:rsid w:val="00CE2AFA"/>
    <w:rsid w:val="00CE3C6B"/>
    <w:rsid w:val="00CE3F34"/>
    <w:rsid w:val="00CE4E32"/>
    <w:rsid w:val="00CE55BC"/>
    <w:rsid w:val="00CE6267"/>
    <w:rsid w:val="00CE6337"/>
    <w:rsid w:val="00CE6857"/>
    <w:rsid w:val="00CE6DB2"/>
    <w:rsid w:val="00CE715F"/>
    <w:rsid w:val="00CF02F1"/>
    <w:rsid w:val="00CF1C83"/>
    <w:rsid w:val="00CF3A1B"/>
    <w:rsid w:val="00CF5CD4"/>
    <w:rsid w:val="00D0044D"/>
    <w:rsid w:val="00D0053B"/>
    <w:rsid w:val="00D0058F"/>
    <w:rsid w:val="00D006A6"/>
    <w:rsid w:val="00D01E95"/>
    <w:rsid w:val="00D05A99"/>
    <w:rsid w:val="00D06838"/>
    <w:rsid w:val="00D06CA7"/>
    <w:rsid w:val="00D0722D"/>
    <w:rsid w:val="00D07CF1"/>
    <w:rsid w:val="00D10510"/>
    <w:rsid w:val="00D119CE"/>
    <w:rsid w:val="00D12CBA"/>
    <w:rsid w:val="00D12D7D"/>
    <w:rsid w:val="00D13554"/>
    <w:rsid w:val="00D14ACB"/>
    <w:rsid w:val="00D15D0C"/>
    <w:rsid w:val="00D160B7"/>
    <w:rsid w:val="00D16288"/>
    <w:rsid w:val="00D175E7"/>
    <w:rsid w:val="00D17BC8"/>
    <w:rsid w:val="00D17DA6"/>
    <w:rsid w:val="00D20A2A"/>
    <w:rsid w:val="00D225C3"/>
    <w:rsid w:val="00D2331E"/>
    <w:rsid w:val="00D238E0"/>
    <w:rsid w:val="00D25E54"/>
    <w:rsid w:val="00D27CA7"/>
    <w:rsid w:val="00D27D5F"/>
    <w:rsid w:val="00D328FA"/>
    <w:rsid w:val="00D3428B"/>
    <w:rsid w:val="00D3470F"/>
    <w:rsid w:val="00D40910"/>
    <w:rsid w:val="00D41385"/>
    <w:rsid w:val="00D4155B"/>
    <w:rsid w:val="00D41586"/>
    <w:rsid w:val="00D4281D"/>
    <w:rsid w:val="00D42DE9"/>
    <w:rsid w:val="00D45A94"/>
    <w:rsid w:val="00D4747C"/>
    <w:rsid w:val="00D5022E"/>
    <w:rsid w:val="00D518B5"/>
    <w:rsid w:val="00D54C6F"/>
    <w:rsid w:val="00D54E75"/>
    <w:rsid w:val="00D55890"/>
    <w:rsid w:val="00D56239"/>
    <w:rsid w:val="00D564C9"/>
    <w:rsid w:val="00D57CE4"/>
    <w:rsid w:val="00D602A1"/>
    <w:rsid w:val="00D60CE0"/>
    <w:rsid w:val="00D60D9A"/>
    <w:rsid w:val="00D61042"/>
    <w:rsid w:val="00D6232B"/>
    <w:rsid w:val="00D62EBC"/>
    <w:rsid w:val="00D62F6F"/>
    <w:rsid w:val="00D64264"/>
    <w:rsid w:val="00D7207F"/>
    <w:rsid w:val="00D73A50"/>
    <w:rsid w:val="00D73B3E"/>
    <w:rsid w:val="00D73B86"/>
    <w:rsid w:val="00D73EAE"/>
    <w:rsid w:val="00D747A6"/>
    <w:rsid w:val="00D75206"/>
    <w:rsid w:val="00D763AD"/>
    <w:rsid w:val="00D76634"/>
    <w:rsid w:val="00D77F1C"/>
    <w:rsid w:val="00D825ED"/>
    <w:rsid w:val="00D826D4"/>
    <w:rsid w:val="00D83DCA"/>
    <w:rsid w:val="00D84FF9"/>
    <w:rsid w:val="00D86AFE"/>
    <w:rsid w:val="00D875AD"/>
    <w:rsid w:val="00D908A8"/>
    <w:rsid w:val="00D90979"/>
    <w:rsid w:val="00D912B6"/>
    <w:rsid w:val="00D91D5E"/>
    <w:rsid w:val="00D92685"/>
    <w:rsid w:val="00D9355C"/>
    <w:rsid w:val="00D9391B"/>
    <w:rsid w:val="00D94B3B"/>
    <w:rsid w:val="00D94E79"/>
    <w:rsid w:val="00D96380"/>
    <w:rsid w:val="00D97152"/>
    <w:rsid w:val="00DA1073"/>
    <w:rsid w:val="00DA1B54"/>
    <w:rsid w:val="00DA1B72"/>
    <w:rsid w:val="00DA2477"/>
    <w:rsid w:val="00DA3006"/>
    <w:rsid w:val="00DA437D"/>
    <w:rsid w:val="00DA4BDA"/>
    <w:rsid w:val="00DA6367"/>
    <w:rsid w:val="00DB0247"/>
    <w:rsid w:val="00DB249B"/>
    <w:rsid w:val="00DB6542"/>
    <w:rsid w:val="00DB75AE"/>
    <w:rsid w:val="00DC26DA"/>
    <w:rsid w:val="00DC2AB9"/>
    <w:rsid w:val="00DC4021"/>
    <w:rsid w:val="00DC4317"/>
    <w:rsid w:val="00DC6725"/>
    <w:rsid w:val="00DC7BA4"/>
    <w:rsid w:val="00DD0459"/>
    <w:rsid w:val="00DD04DF"/>
    <w:rsid w:val="00DD1722"/>
    <w:rsid w:val="00DD2302"/>
    <w:rsid w:val="00DD4B3A"/>
    <w:rsid w:val="00DD5AE2"/>
    <w:rsid w:val="00DE3854"/>
    <w:rsid w:val="00DE5760"/>
    <w:rsid w:val="00DE5BAE"/>
    <w:rsid w:val="00DE6176"/>
    <w:rsid w:val="00DF0623"/>
    <w:rsid w:val="00DF1842"/>
    <w:rsid w:val="00DF28E8"/>
    <w:rsid w:val="00DF35D5"/>
    <w:rsid w:val="00DF67DF"/>
    <w:rsid w:val="00DF6F8D"/>
    <w:rsid w:val="00DF77F9"/>
    <w:rsid w:val="00E0035B"/>
    <w:rsid w:val="00E00B74"/>
    <w:rsid w:val="00E0174D"/>
    <w:rsid w:val="00E018DC"/>
    <w:rsid w:val="00E027B5"/>
    <w:rsid w:val="00E040FA"/>
    <w:rsid w:val="00E05281"/>
    <w:rsid w:val="00E0612E"/>
    <w:rsid w:val="00E06241"/>
    <w:rsid w:val="00E13A61"/>
    <w:rsid w:val="00E179E7"/>
    <w:rsid w:val="00E17EDF"/>
    <w:rsid w:val="00E20D0D"/>
    <w:rsid w:val="00E218F6"/>
    <w:rsid w:val="00E21BAC"/>
    <w:rsid w:val="00E24F53"/>
    <w:rsid w:val="00E262D7"/>
    <w:rsid w:val="00E2655E"/>
    <w:rsid w:val="00E27362"/>
    <w:rsid w:val="00E30DA3"/>
    <w:rsid w:val="00E31F27"/>
    <w:rsid w:val="00E3204C"/>
    <w:rsid w:val="00E33F4A"/>
    <w:rsid w:val="00E34C84"/>
    <w:rsid w:val="00E36B62"/>
    <w:rsid w:val="00E41032"/>
    <w:rsid w:val="00E416EA"/>
    <w:rsid w:val="00E41DB0"/>
    <w:rsid w:val="00E4240B"/>
    <w:rsid w:val="00E43A3F"/>
    <w:rsid w:val="00E43B06"/>
    <w:rsid w:val="00E44D0E"/>
    <w:rsid w:val="00E44F14"/>
    <w:rsid w:val="00E44F40"/>
    <w:rsid w:val="00E47F84"/>
    <w:rsid w:val="00E56F3F"/>
    <w:rsid w:val="00E63C06"/>
    <w:rsid w:val="00E63CCE"/>
    <w:rsid w:val="00E63F98"/>
    <w:rsid w:val="00E64FA3"/>
    <w:rsid w:val="00E66CA9"/>
    <w:rsid w:val="00E66F80"/>
    <w:rsid w:val="00E67685"/>
    <w:rsid w:val="00E70D57"/>
    <w:rsid w:val="00E71F03"/>
    <w:rsid w:val="00E72F9D"/>
    <w:rsid w:val="00E73E50"/>
    <w:rsid w:val="00E7460F"/>
    <w:rsid w:val="00E75255"/>
    <w:rsid w:val="00E75D5E"/>
    <w:rsid w:val="00E8124E"/>
    <w:rsid w:val="00E81B6F"/>
    <w:rsid w:val="00E87321"/>
    <w:rsid w:val="00E875EE"/>
    <w:rsid w:val="00E876BD"/>
    <w:rsid w:val="00E879A2"/>
    <w:rsid w:val="00E879A8"/>
    <w:rsid w:val="00E90ED8"/>
    <w:rsid w:val="00E911E3"/>
    <w:rsid w:val="00E9161F"/>
    <w:rsid w:val="00E92BDF"/>
    <w:rsid w:val="00E94A38"/>
    <w:rsid w:val="00E950A8"/>
    <w:rsid w:val="00E9517E"/>
    <w:rsid w:val="00E95F44"/>
    <w:rsid w:val="00E96128"/>
    <w:rsid w:val="00E97465"/>
    <w:rsid w:val="00EA0133"/>
    <w:rsid w:val="00EA19FA"/>
    <w:rsid w:val="00EA1A22"/>
    <w:rsid w:val="00EA2709"/>
    <w:rsid w:val="00EA318C"/>
    <w:rsid w:val="00EA3E53"/>
    <w:rsid w:val="00EA7EA6"/>
    <w:rsid w:val="00EB006A"/>
    <w:rsid w:val="00EB01FA"/>
    <w:rsid w:val="00EB0708"/>
    <w:rsid w:val="00EB1EF1"/>
    <w:rsid w:val="00EB2672"/>
    <w:rsid w:val="00EB27BB"/>
    <w:rsid w:val="00EB2FC2"/>
    <w:rsid w:val="00EB4721"/>
    <w:rsid w:val="00EB5264"/>
    <w:rsid w:val="00EB5A5A"/>
    <w:rsid w:val="00EB5B4D"/>
    <w:rsid w:val="00EB6639"/>
    <w:rsid w:val="00EB6FDC"/>
    <w:rsid w:val="00EB70F5"/>
    <w:rsid w:val="00EC0735"/>
    <w:rsid w:val="00EC3E59"/>
    <w:rsid w:val="00EC44A5"/>
    <w:rsid w:val="00EC58FE"/>
    <w:rsid w:val="00EC6016"/>
    <w:rsid w:val="00EC733B"/>
    <w:rsid w:val="00EC73BD"/>
    <w:rsid w:val="00EC769F"/>
    <w:rsid w:val="00ED09A9"/>
    <w:rsid w:val="00ED19C6"/>
    <w:rsid w:val="00ED24F9"/>
    <w:rsid w:val="00ED4608"/>
    <w:rsid w:val="00ED4EF3"/>
    <w:rsid w:val="00ED6150"/>
    <w:rsid w:val="00ED630B"/>
    <w:rsid w:val="00ED6DD1"/>
    <w:rsid w:val="00ED770F"/>
    <w:rsid w:val="00ED7BB2"/>
    <w:rsid w:val="00EE654D"/>
    <w:rsid w:val="00EE6F51"/>
    <w:rsid w:val="00EE77BF"/>
    <w:rsid w:val="00EF0C5D"/>
    <w:rsid w:val="00EF26CA"/>
    <w:rsid w:val="00EF4E53"/>
    <w:rsid w:val="00EF7CCF"/>
    <w:rsid w:val="00F00BB5"/>
    <w:rsid w:val="00F00CF3"/>
    <w:rsid w:val="00F00DD8"/>
    <w:rsid w:val="00F02F80"/>
    <w:rsid w:val="00F05BD6"/>
    <w:rsid w:val="00F0618B"/>
    <w:rsid w:val="00F06C04"/>
    <w:rsid w:val="00F10571"/>
    <w:rsid w:val="00F10715"/>
    <w:rsid w:val="00F124C3"/>
    <w:rsid w:val="00F142C9"/>
    <w:rsid w:val="00F14858"/>
    <w:rsid w:val="00F150AF"/>
    <w:rsid w:val="00F17006"/>
    <w:rsid w:val="00F2107B"/>
    <w:rsid w:val="00F222D2"/>
    <w:rsid w:val="00F23677"/>
    <w:rsid w:val="00F2402A"/>
    <w:rsid w:val="00F27C95"/>
    <w:rsid w:val="00F31C3F"/>
    <w:rsid w:val="00F3439F"/>
    <w:rsid w:val="00F345F8"/>
    <w:rsid w:val="00F36A0A"/>
    <w:rsid w:val="00F37ADD"/>
    <w:rsid w:val="00F37F9C"/>
    <w:rsid w:val="00F40730"/>
    <w:rsid w:val="00F40AB7"/>
    <w:rsid w:val="00F40C4A"/>
    <w:rsid w:val="00F42697"/>
    <w:rsid w:val="00F42E91"/>
    <w:rsid w:val="00F4433A"/>
    <w:rsid w:val="00F4550D"/>
    <w:rsid w:val="00F47574"/>
    <w:rsid w:val="00F478F5"/>
    <w:rsid w:val="00F479ED"/>
    <w:rsid w:val="00F47FF2"/>
    <w:rsid w:val="00F50DC9"/>
    <w:rsid w:val="00F51C31"/>
    <w:rsid w:val="00F52B0A"/>
    <w:rsid w:val="00F547F6"/>
    <w:rsid w:val="00F55CFB"/>
    <w:rsid w:val="00F56128"/>
    <w:rsid w:val="00F57016"/>
    <w:rsid w:val="00F62AE2"/>
    <w:rsid w:val="00F638AF"/>
    <w:rsid w:val="00F64A6A"/>
    <w:rsid w:val="00F6503B"/>
    <w:rsid w:val="00F666B9"/>
    <w:rsid w:val="00F66E9F"/>
    <w:rsid w:val="00F71680"/>
    <w:rsid w:val="00F724A5"/>
    <w:rsid w:val="00F73797"/>
    <w:rsid w:val="00F75A36"/>
    <w:rsid w:val="00F763CB"/>
    <w:rsid w:val="00F76ADD"/>
    <w:rsid w:val="00F77060"/>
    <w:rsid w:val="00F77089"/>
    <w:rsid w:val="00F77B48"/>
    <w:rsid w:val="00F83318"/>
    <w:rsid w:val="00F834A4"/>
    <w:rsid w:val="00F852E5"/>
    <w:rsid w:val="00F85467"/>
    <w:rsid w:val="00F87E26"/>
    <w:rsid w:val="00F901B2"/>
    <w:rsid w:val="00F90FC8"/>
    <w:rsid w:val="00F953ED"/>
    <w:rsid w:val="00F96510"/>
    <w:rsid w:val="00F96545"/>
    <w:rsid w:val="00F96984"/>
    <w:rsid w:val="00F96F17"/>
    <w:rsid w:val="00FA04DC"/>
    <w:rsid w:val="00FA2B1A"/>
    <w:rsid w:val="00FA2E57"/>
    <w:rsid w:val="00FA2E5D"/>
    <w:rsid w:val="00FA48DB"/>
    <w:rsid w:val="00FA4D31"/>
    <w:rsid w:val="00FA50EE"/>
    <w:rsid w:val="00FA6C86"/>
    <w:rsid w:val="00FA755A"/>
    <w:rsid w:val="00FB1411"/>
    <w:rsid w:val="00FB42B0"/>
    <w:rsid w:val="00FB507B"/>
    <w:rsid w:val="00FB5929"/>
    <w:rsid w:val="00FB5BD8"/>
    <w:rsid w:val="00FB5E38"/>
    <w:rsid w:val="00FB65E0"/>
    <w:rsid w:val="00FC327F"/>
    <w:rsid w:val="00FC38B4"/>
    <w:rsid w:val="00FC39E2"/>
    <w:rsid w:val="00FC39E4"/>
    <w:rsid w:val="00FC45C1"/>
    <w:rsid w:val="00FC55D3"/>
    <w:rsid w:val="00FC6E5C"/>
    <w:rsid w:val="00FD33F2"/>
    <w:rsid w:val="00FD41FB"/>
    <w:rsid w:val="00FD5669"/>
    <w:rsid w:val="00FD644D"/>
    <w:rsid w:val="00FD6C62"/>
    <w:rsid w:val="00FD7EF7"/>
    <w:rsid w:val="00FE0131"/>
    <w:rsid w:val="00FE1410"/>
    <w:rsid w:val="00FE3449"/>
    <w:rsid w:val="00FE34D6"/>
    <w:rsid w:val="00FE4159"/>
    <w:rsid w:val="00FE5B0C"/>
    <w:rsid w:val="00FE6299"/>
    <w:rsid w:val="00FE62C7"/>
    <w:rsid w:val="00FE678F"/>
    <w:rsid w:val="00FE6EB2"/>
    <w:rsid w:val="00FE7DAC"/>
    <w:rsid w:val="00FF0AC7"/>
    <w:rsid w:val="00FF2625"/>
    <w:rsid w:val="00FF39BE"/>
    <w:rsid w:val="00FF4570"/>
    <w:rsid w:val="00FF5E0D"/>
    <w:rsid w:val="00FF6992"/>
    <w:rsid w:val="00FF71FA"/>
    <w:rsid w:val="00FF7213"/>
    <w:rsid w:val="00FF7611"/>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066F09-4AEB-4DE9-86E1-07314AFA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bCs/>
      <w:sz w:val="22"/>
      <w:szCs w:val="22"/>
    </w:rPr>
  </w:style>
  <w:style w:type="paragraph" w:styleId="Heading2">
    <w:name w:val="heading 2"/>
    <w:basedOn w:val="Normal"/>
    <w:next w:val="Normal"/>
    <w:link w:val="Heading2Char"/>
    <w:qFormat/>
    <w:pPr>
      <w:ind w:left="567" w:hanging="567"/>
      <w:outlineLvl w:val="1"/>
    </w:pPr>
    <w:rPr>
      <w:b/>
      <w:caps/>
      <w:sz w:val="22"/>
      <w:szCs w:val="22"/>
      <w:lang w:val="en-GB" w:eastAsia="x-none"/>
    </w:rPr>
  </w:style>
  <w:style w:type="paragraph" w:styleId="Heading3">
    <w:name w:val="heading 3"/>
    <w:basedOn w:val="Normal"/>
    <w:next w:val="Normal"/>
    <w:qFormat/>
    <w:pPr>
      <w:tabs>
        <w:tab w:val="left" w:pos="567"/>
      </w:tabs>
      <w:outlineLvl w:val="2"/>
    </w:pPr>
    <w:rPr>
      <w:b/>
      <w:sz w:val="22"/>
      <w:szCs w:val="22"/>
      <w:lang w:val="en-GB"/>
    </w:rPr>
  </w:style>
  <w:style w:type="paragraph" w:styleId="Heading4">
    <w:name w:val="heading 4"/>
    <w:basedOn w:val="BodyText"/>
    <w:next w:val="Normal"/>
    <w:qFormat/>
    <w:pPr>
      <w:outlineLvl w:val="3"/>
    </w:pPr>
    <w:rPr>
      <w:b/>
      <w:bCs/>
    </w:rPr>
  </w:style>
  <w:style w:type="paragraph" w:styleId="Heading5">
    <w:name w:val="heading 5"/>
    <w:basedOn w:val="Heading6"/>
    <w:next w:val="Normal"/>
    <w:qFormat/>
    <w:pPr>
      <w:outlineLvl w:val="4"/>
    </w:pPr>
    <w:rPr>
      <w:szCs w:val="22"/>
      <w:lang w:val="en-GB"/>
    </w:rPr>
  </w:style>
  <w:style w:type="paragraph" w:styleId="Heading6">
    <w:name w:val="heading 6"/>
    <w:basedOn w:val="Normal"/>
    <w:next w:val="Normal"/>
    <w:qFormat/>
    <w:pPr>
      <w:keepNext/>
      <w:tabs>
        <w:tab w:val="left" w:pos="567"/>
      </w:tabs>
      <w:outlineLvl w:val="5"/>
    </w:pPr>
    <w:rPr>
      <w:sz w:val="22"/>
      <w:u w:val="single"/>
    </w:rPr>
  </w:style>
  <w:style w:type="paragraph" w:styleId="Heading7">
    <w:name w:val="heading 7"/>
    <w:basedOn w:val="Normal"/>
    <w:next w:val="Normal"/>
    <w:qFormat/>
    <w:pPr>
      <w:keepNext/>
      <w:widowControl w:val="0"/>
      <w:spacing w:line="260" w:lineRule="exact"/>
      <w:jc w:val="center"/>
      <w:outlineLvl w:val="6"/>
    </w:pPr>
    <w:rPr>
      <w:b/>
      <w:sz w:val="22"/>
      <w:lang w:val="en-GB"/>
    </w:rPr>
  </w:style>
  <w:style w:type="paragraph" w:styleId="Heading8">
    <w:name w:val="heading 8"/>
    <w:basedOn w:val="Normal"/>
    <w:next w:val="Normal"/>
    <w:qFormat/>
    <w:pPr>
      <w:keepNext/>
      <w:ind w:left="709" w:hanging="709"/>
      <w:outlineLvl w:val="7"/>
    </w:pPr>
    <w:rPr>
      <w:b/>
      <w:sz w:val="22"/>
    </w:rPr>
  </w:style>
  <w:style w:type="paragraph" w:styleId="Heading9">
    <w:name w:val="heading 9"/>
    <w:basedOn w:val="Normal"/>
    <w:next w:val="Normal"/>
    <w:qFormat/>
    <w:pPr>
      <w:keepNext/>
      <w:ind w:left="709" w:hanging="709"/>
      <w:outlineLvl w:val="8"/>
    </w:pPr>
    <w:rPr>
      <w:color w:val="FF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sz w:val="24"/>
      <w:lang w:val="da-DK"/>
    </w:rPr>
  </w:style>
  <w:style w:type="paragraph" w:customStyle="1" w:styleId="ZDGName">
    <w:name w:val="Z_DGName"/>
    <w:basedOn w:val="Normal"/>
    <w:pPr>
      <w:ind w:right="85"/>
      <w:jc w:val="both"/>
    </w:pPr>
    <w:rPr>
      <w:rFonts w:ascii="Arial" w:hAnsi="Arial"/>
      <w:sz w:val="16"/>
      <w:lang w:val="da-DK"/>
    </w:rPr>
  </w:style>
  <w:style w:type="paragraph" w:styleId="BodyText">
    <w:name w:val="Body Text"/>
    <w:basedOn w:val="Normal"/>
    <w:rPr>
      <w:sz w:val="22"/>
      <w:szCs w:val="22"/>
      <w:lang w:val="en-GB"/>
    </w:rPr>
  </w:style>
  <w:style w:type="paragraph" w:styleId="BodyText2">
    <w:name w:val="Body Text 2"/>
    <w:basedOn w:val="Normal"/>
    <w:pPr>
      <w:widowControl w:val="0"/>
      <w:ind w:left="567" w:hanging="567"/>
    </w:pPr>
    <w:rPr>
      <w:b/>
      <w:sz w:val="22"/>
      <w:lang w:val="en-GB"/>
    </w:rPr>
  </w:style>
  <w:style w:type="character" w:styleId="PageNumber">
    <w:name w:val="page number"/>
    <w:rPr>
      <w:rFonts w:ascii="Helvetica" w:hAnsi="Helvetica"/>
      <w:sz w:val="16"/>
    </w:rPr>
  </w:style>
  <w:style w:type="paragraph" w:styleId="Footer">
    <w:name w:val="footer"/>
    <w:basedOn w:val="Normal"/>
    <w:pPr>
      <w:widowControl w:val="0"/>
      <w:tabs>
        <w:tab w:val="left" w:pos="567"/>
        <w:tab w:val="center" w:pos="4536"/>
        <w:tab w:val="center" w:pos="8930"/>
      </w:tabs>
    </w:pPr>
    <w:rPr>
      <w:rFonts w:ascii="Helvetica" w:hAnsi="Helvetica"/>
      <w:sz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rPr>
  </w:style>
  <w:style w:type="paragraph" w:styleId="BodyTextIndent">
    <w:name w:val="Body Text Indent"/>
    <w:basedOn w:val="Normal"/>
    <w:pPr>
      <w:tabs>
        <w:tab w:val="left" w:pos="567"/>
      </w:tabs>
      <w:ind w:left="562"/>
    </w:pPr>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rPr>
  </w:style>
  <w:style w:type="paragraph" w:styleId="Title">
    <w:name w:val="Title"/>
    <w:basedOn w:val="Normal"/>
    <w:qFormat/>
    <w:pPr>
      <w:jc w:val="center"/>
    </w:pPr>
    <w:rPr>
      <w:b/>
      <w:sz w:val="22"/>
    </w:rPr>
  </w:style>
  <w:style w:type="paragraph" w:styleId="EndnoteText">
    <w:name w:val="endnote text"/>
    <w:basedOn w:val="Normal"/>
    <w:semiHidden/>
    <w:pPr>
      <w:tabs>
        <w:tab w:val="left" w:pos="567"/>
      </w:tabs>
    </w:pPr>
    <w:rPr>
      <w:sz w:val="22"/>
      <w:lang w:val="en-GB"/>
    </w:rPr>
  </w:style>
  <w:style w:type="paragraph" w:customStyle="1" w:styleId="InsideAddress">
    <w:name w:val="Inside Address"/>
    <w:basedOn w:val="Normal"/>
    <w:next w:val="Normal"/>
    <w:pPr>
      <w:keepLines/>
    </w:pPr>
    <w:rPr>
      <w:rFonts w:ascii="Arial" w:hAnsi="Arial"/>
      <w:sz w:val="22"/>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tyle>
  <w:style w:type="paragraph" w:customStyle="1" w:styleId="Norma">
    <w:name w:val="Norma"/>
    <w:basedOn w:val="InsideAddress"/>
    <w:pPr>
      <w:keepLines w:val="0"/>
    </w:pPr>
    <w:rPr>
      <w:rFonts w:ascii="Times New Roman" w:hAnsi="Times New Roman"/>
    </w:rPr>
  </w:style>
  <w:style w:type="paragraph" w:customStyle="1" w:styleId="Noraml">
    <w:name w:val="Noraml"/>
    <w:basedOn w:val="Heading3"/>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QRDNumberHeading">
    <w:name w:val="QRD Number Heading"/>
    <w:basedOn w:val="Normal"/>
    <w:pPr>
      <w:ind w:left="720" w:hanging="720"/>
    </w:pPr>
    <w:rPr>
      <w:b/>
      <w:bCs/>
      <w:sz w:val="22"/>
    </w:rPr>
  </w:style>
  <w:style w:type="paragraph" w:styleId="CommentSubject">
    <w:name w:val="annotation subject"/>
    <w:basedOn w:val="CommentText"/>
    <w:next w:val="CommentText"/>
    <w:semiHidden/>
    <w:rPr>
      <w:b/>
      <w:bCs/>
    </w:rPr>
  </w:style>
  <w:style w:type="character" w:customStyle="1" w:styleId="xf1">
    <w:name w:val="xf1"/>
    <w:rPr>
      <w:rFonts w:ascii="Arial" w:hAnsi="Arial" w:cs="Arial" w:hint="default"/>
      <w:b/>
      <w:bCs/>
      <w:color w:val="000000"/>
      <w:sz w:val="20"/>
      <w:szCs w:val="20"/>
    </w:rPr>
  </w:style>
  <w:style w:type="character" w:customStyle="1" w:styleId="BodyTextChar">
    <w:name w:val="Body Text Char"/>
    <w:rPr>
      <w:sz w:val="22"/>
      <w:szCs w:val="22"/>
      <w:lang w:val="en-GB" w:eastAsia="en-US" w:bidi="ar-SA"/>
    </w:rPr>
  </w:style>
  <w:style w:type="paragraph" w:customStyle="1" w:styleId="Boxed">
    <w:name w:val="Boxed"/>
    <w:basedOn w:val="Normal"/>
    <w:pPr>
      <w:pBdr>
        <w:top w:val="single" w:sz="4" w:space="1" w:color="auto"/>
        <w:left w:val="single" w:sz="4" w:space="4" w:color="auto"/>
        <w:bottom w:val="single" w:sz="4" w:space="1" w:color="auto"/>
        <w:right w:val="single" w:sz="4" w:space="4" w:color="auto"/>
      </w:pBdr>
      <w:tabs>
        <w:tab w:val="left" w:pos="567"/>
      </w:tabs>
    </w:pPr>
    <w:rPr>
      <w:sz w:val="22"/>
      <w:szCs w:val="22"/>
      <w:lang w:val="en-GB"/>
    </w:rPr>
  </w:style>
  <w:style w:type="paragraph" w:customStyle="1" w:styleId="Heading2bulleted">
    <w:name w:val="Heading 2 bulleted"/>
    <w:basedOn w:val="Normal"/>
    <w:pPr>
      <w:numPr>
        <w:numId w:val="15"/>
      </w:numPr>
    </w:pPr>
    <w:rPr>
      <w:b/>
      <w:sz w:val="22"/>
      <w:szCs w:val="22"/>
      <w:lang w:val="en-GB"/>
    </w:rPr>
  </w:style>
  <w:style w:type="paragraph" w:customStyle="1" w:styleId="Heading1a">
    <w:name w:val="Heading 1a"/>
    <w:basedOn w:val="BodyText"/>
    <w:pPr>
      <w:jc w:val="center"/>
    </w:pPr>
    <w:rPr>
      <w:b/>
      <w:bCs/>
    </w:rPr>
  </w:style>
  <w:style w:type="paragraph" w:customStyle="1" w:styleId="Heading1b">
    <w:name w:val="Heading 1b"/>
    <w:basedOn w:val="BodyText"/>
    <w:pPr>
      <w:ind w:left="1710" w:right="1423" w:hanging="540"/>
    </w:pPr>
    <w:rPr>
      <w:b/>
    </w:rPr>
  </w:style>
  <w:style w:type="paragraph" w:customStyle="1" w:styleId="Labellingbox">
    <w:name w:val="Labelling box"/>
    <w:basedOn w:val="Normal"/>
    <w:pPr>
      <w:pBdr>
        <w:top w:val="single" w:sz="4" w:space="1" w:color="auto"/>
        <w:left w:val="single" w:sz="4" w:space="4" w:color="auto"/>
        <w:bottom w:val="single" w:sz="4" w:space="1" w:color="auto"/>
        <w:right w:val="single" w:sz="4" w:space="4" w:color="auto"/>
      </w:pBdr>
      <w:ind w:left="540" w:hanging="540"/>
    </w:pPr>
    <w:rPr>
      <w:b/>
      <w:sz w:val="22"/>
      <w:szCs w:val="22"/>
      <w:lang w:val="en-GB"/>
    </w:rPr>
  </w:style>
  <w:style w:type="paragraph" w:customStyle="1" w:styleId="Labellingboxheading">
    <w:name w:val="Labelling box heading"/>
    <w:basedOn w:val="Labellingbox"/>
    <w:pPr>
      <w:ind w:left="0" w:firstLine="0"/>
    </w:pPr>
  </w:style>
  <w:style w:type="paragraph" w:customStyle="1" w:styleId="PILbullets">
    <w:name w:val="PIL bullets"/>
    <w:basedOn w:val="Normal"/>
    <w:pPr>
      <w:numPr>
        <w:numId w:val="2"/>
      </w:numPr>
    </w:pPr>
    <w:rPr>
      <w:sz w:val="22"/>
      <w:szCs w:val="22"/>
      <w:lang w:val="en-GB"/>
    </w:rPr>
  </w:style>
  <w:style w:type="paragraph" w:customStyle="1" w:styleId="PILnumbullets">
    <w:name w:val="PIL numbullets"/>
    <w:basedOn w:val="BodyText"/>
    <w:pPr>
      <w:ind w:left="540" w:hanging="540"/>
    </w:pPr>
  </w:style>
  <w:style w:type="paragraph" w:customStyle="1" w:styleId="PILMAHaddress">
    <w:name w:val="PIL MAH address"/>
    <w:basedOn w:val="Normal"/>
    <w:pPr>
      <w:tabs>
        <w:tab w:val="left" w:pos="4320"/>
      </w:tabs>
    </w:pPr>
    <w:rPr>
      <w:sz w:val="22"/>
      <w:szCs w:val="22"/>
      <w:lang w:val="en-GB"/>
    </w:rPr>
  </w:style>
  <w:style w:type="paragraph" w:customStyle="1" w:styleId="LRTable">
    <w:name w:val="LR Table"/>
    <w:basedOn w:val="BodyText"/>
    <w:rPr>
      <w:bCs/>
    </w:rPr>
  </w:style>
  <w:style w:type="paragraph" w:customStyle="1" w:styleId="TitleA">
    <w:name w:val="Title A"/>
    <w:basedOn w:val="Heading1a"/>
    <w:rsid w:val="002628EF"/>
  </w:style>
  <w:style w:type="paragraph" w:customStyle="1" w:styleId="TitleB">
    <w:name w:val="Title B"/>
    <w:basedOn w:val="Heading2"/>
    <w:rsid w:val="002628EF"/>
  </w:style>
  <w:style w:type="paragraph" w:styleId="BlockText">
    <w:name w:val="Block Text"/>
    <w:basedOn w:val="Normal"/>
    <w:rsid w:val="00C518A4"/>
    <w:pPr>
      <w:spacing w:after="120"/>
      <w:ind w:left="1440" w:right="1440"/>
    </w:pPr>
  </w:style>
  <w:style w:type="paragraph" w:styleId="BodyTextFirstIndent">
    <w:name w:val="Body Text First Indent"/>
    <w:basedOn w:val="BodyText"/>
    <w:rsid w:val="00C518A4"/>
    <w:pPr>
      <w:spacing w:after="120"/>
      <w:ind w:firstLine="210"/>
    </w:pPr>
    <w:rPr>
      <w:sz w:val="20"/>
      <w:szCs w:val="20"/>
      <w:lang w:val="en-US"/>
    </w:rPr>
  </w:style>
  <w:style w:type="paragraph" w:styleId="BodyTextFirstIndent2">
    <w:name w:val="Body Text First Indent 2"/>
    <w:basedOn w:val="BodyTextIndent"/>
    <w:rsid w:val="00C518A4"/>
    <w:pPr>
      <w:tabs>
        <w:tab w:val="clear" w:pos="567"/>
      </w:tabs>
      <w:spacing w:after="120"/>
      <w:ind w:left="360" w:firstLine="210"/>
    </w:pPr>
    <w:rPr>
      <w:sz w:val="20"/>
    </w:rPr>
  </w:style>
  <w:style w:type="paragraph" w:styleId="BodyTextIndent3">
    <w:name w:val="Body Text Indent 3"/>
    <w:basedOn w:val="Normal"/>
    <w:rsid w:val="00C518A4"/>
    <w:pPr>
      <w:spacing w:after="120"/>
      <w:ind w:left="360"/>
    </w:pPr>
    <w:rPr>
      <w:sz w:val="16"/>
      <w:szCs w:val="16"/>
    </w:rPr>
  </w:style>
  <w:style w:type="paragraph" w:styleId="Caption">
    <w:name w:val="caption"/>
    <w:basedOn w:val="Normal"/>
    <w:next w:val="Normal"/>
    <w:qFormat/>
    <w:rsid w:val="00C518A4"/>
    <w:rPr>
      <w:b/>
      <w:bCs/>
    </w:rPr>
  </w:style>
  <w:style w:type="paragraph" w:styleId="Closing">
    <w:name w:val="Closing"/>
    <w:basedOn w:val="Normal"/>
    <w:rsid w:val="00C518A4"/>
    <w:pPr>
      <w:ind w:left="4320"/>
    </w:pPr>
  </w:style>
  <w:style w:type="paragraph" w:styleId="DocumentMap">
    <w:name w:val="Document Map"/>
    <w:basedOn w:val="Normal"/>
    <w:semiHidden/>
    <w:rsid w:val="00C518A4"/>
    <w:pPr>
      <w:shd w:val="clear" w:color="auto" w:fill="000080"/>
    </w:pPr>
    <w:rPr>
      <w:rFonts w:ascii="Tahoma" w:hAnsi="Tahoma" w:cs="Tahoma"/>
    </w:rPr>
  </w:style>
  <w:style w:type="paragraph" w:styleId="E-mailSignature">
    <w:name w:val="E-mail Signature"/>
    <w:basedOn w:val="Normal"/>
    <w:rsid w:val="00C518A4"/>
  </w:style>
  <w:style w:type="paragraph" w:styleId="EnvelopeAddress">
    <w:name w:val="envelope address"/>
    <w:basedOn w:val="Normal"/>
    <w:rsid w:val="00C518A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518A4"/>
    <w:rPr>
      <w:rFonts w:ascii="Arial" w:hAnsi="Arial" w:cs="Arial"/>
    </w:rPr>
  </w:style>
  <w:style w:type="paragraph" w:styleId="HTMLAddress">
    <w:name w:val="HTML Address"/>
    <w:basedOn w:val="Normal"/>
    <w:rsid w:val="00C518A4"/>
    <w:rPr>
      <w:i/>
      <w:iCs/>
    </w:rPr>
  </w:style>
  <w:style w:type="paragraph" w:styleId="HTMLPreformatted">
    <w:name w:val="HTML Preformatted"/>
    <w:basedOn w:val="Normal"/>
    <w:rsid w:val="00C518A4"/>
    <w:rPr>
      <w:rFonts w:ascii="Courier New" w:hAnsi="Courier New" w:cs="Courier New"/>
    </w:rPr>
  </w:style>
  <w:style w:type="paragraph" w:styleId="Index1">
    <w:name w:val="index 1"/>
    <w:basedOn w:val="Normal"/>
    <w:next w:val="Normal"/>
    <w:autoRedefine/>
    <w:semiHidden/>
    <w:rsid w:val="00C518A4"/>
    <w:pPr>
      <w:ind w:left="200" w:hanging="200"/>
    </w:pPr>
  </w:style>
  <w:style w:type="paragraph" w:styleId="Index2">
    <w:name w:val="index 2"/>
    <w:basedOn w:val="Normal"/>
    <w:next w:val="Normal"/>
    <w:autoRedefine/>
    <w:semiHidden/>
    <w:rsid w:val="00C518A4"/>
    <w:pPr>
      <w:ind w:left="400" w:hanging="200"/>
    </w:pPr>
  </w:style>
  <w:style w:type="paragraph" w:styleId="Index3">
    <w:name w:val="index 3"/>
    <w:basedOn w:val="Normal"/>
    <w:next w:val="Normal"/>
    <w:autoRedefine/>
    <w:semiHidden/>
    <w:rsid w:val="00C518A4"/>
    <w:pPr>
      <w:ind w:left="600" w:hanging="200"/>
    </w:pPr>
  </w:style>
  <w:style w:type="paragraph" w:styleId="Index4">
    <w:name w:val="index 4"/>
    <w:basedOn w:val="Normal"/>
    <w:next w:val="Normal"/>
    <w:autoRedefine/>
    <w:semiHidden/>
    <w:rsid w:val="00C518A4"/>
    <w:pPr>
      <w:ind w:left="800" w:hanging="200"/>
    </w:pPr>
  </w:style>
  <w:style w:type="paragraph" w:styleId="Index5">
    <w:name w:val="index 5"/>
    <w:basedOn w:val="Normal"/>
    <w:next w:val="Normal"/>
    <w:autoRedefine/>
    <w:semiHidden/>
    <w:rsid w:val="00C518A4"/>
    <w:pPr>
      <w:ind w:left="1000" w:hanging="200"/>
    </w:pPr>
  </w:style>
  <w:style w:type="paragraph" w:styleId="Index6">
    <w:name w:val="index 6"/>
    <w:basedOn w:val="Normal"/>
    <w:next w:val="Normal"/>
    <w:autoRedefine/>
    <w:semiHidden/>
    <w:rsid w:val="00C518A4"/>
    <w:pPr>
      <w:ind w:left="1200" w:hanging="200"/>
    </w:pPr>
  </w:style>
  <w:style w:type="paragraph" w:styleId="Index7">
    <w:name w:val="index 7"/>
    <w:basedOn w:val="Normal"/>
    <w:next w:val="Normal"/>
    <w:autoRedefine/>
    <w:semiHidden/>
    <w:rsid w:val="00C518A4"/>
    <w:pPr>
      <w:ind w:left="1400" w:hanging="200"/>
    </w:pPr>
  </w:style>
  <w:style w:type="paragraph" w:styleId="Index8">
    <w:name w:val="index 8"/>
    <w:basedOn w:val="Normal"/>
    <w:next w:val="Normal"/>
    <w:autoRedefine/>
    <w:semiHidden/>
    <w:rsid w:val="00C518A4"/>
    <w:pPr>
      <w:ind w:left="1600" w:hanging="200"/>
    </w:pPr>
  </w:style>
  <w:style w:type="paragraph" w:styleId="Index9">
    <w:name w:val="index 9"/>
    <w:basedOn w:val="Normal"/>
    <w:next w:val="Normal"/>
    <w:autoRedefine/>
    <w:semiHidden/>
    <w:rsid w:val="00C518A4"/>
    <w:pPr>
      <w:ind w:left="1800" w:hanging="200"/>
    </w:pPr>
  </w:style>
  <w:style w:type="paragraph" w:styleId="IndexHeading">
    <w:name w:val="index heading"/>
    <w:basedOn w:val="Normal"/>
    <w:next w:val="Index1"/>
    <w:semiHidden/>
    <w:rsid w:val="00C518A4"/>
    <w:rPr>
      <w:rFonts w:ascii="Arial" w:hAnsi="Arial" w:cs="Arial"/>
      <w:b/>
      <w:bCs/>
    </w:rPr>
  </w:style>
  <w:style w:type="paragraph" w:styleId="List">
    <w:name w:val="List"/>
    <w:basedOn w:val="Normal"/>
    <w:rsid w:val="00C518A4"/>
    <w:pPr>
      <w:ind w:left="360" w:hanging="360"/>
    </w:pPr>
  </w:style>
  <w:style w:type="paragraph" w:styleId="List2">
    <w:name w:val="List 2"/>
    <w:basedOn w:val="Normal"/>
    <w:rsid w:val="00C518A4"/>
    <w:pPr>
      <w:ind w:left="720" w:hanging="360"/>
    </w:pPr>
  </w:style>
  <w:style w:type="paragraph" w:styleId="List3">
    <w:name w:val="List 3"/>
    <w:basedOn w:val="Normal"/>
    <w:rsid w:val="00C518A4"/>
    <w:pPr>
      <w:ind w:left="1080" w:hanging="360"/>
    </w:pPr>
  </w:style>
  <w:style w:type="paragraph" w:styleId="List4">
    <w:name w:val="List 4"/>
    <w:basedOn w:val="Normal"/>
    <w:rsid w:val="00C518A4"/>
    <w:pPr>
      <w:ind w:left="1440" w:hanging="360"/>
    </w:pPr>
  </w:style>
  <w:style w:type="paragraph" w:styleId="List5">
    <w:name w:val="List 5"/>
    <w:basedOn w:val="Normal"/>
    <w:rsid w:val="00C518A4"/>
    <w:pPr>
      <w:ind w:left="1800" w:hanging="360"/>
    </w:pPr>
  </w:style>
  <w:style w:type="paragraph" w:styleId="ListBullet">
    <w:name w:val="List Bullet"/>
    <w:basedOn w:val="Normal"/>
    <w:rsid w:val="00C518A4"/>
    <w:pPr>
      <w:numPr>
        <w:numId w:val="4"/>
      </w:numPr>
    </w:pPr>
  </w:style>
  <w:style w:type="paragraph" w:styleId="ListBullet2">
    <w:name w:val="List Bullet 2"/>
    <w:basedOn w:val="Normal"/>
    <w:rsid w:val="00C518A4"/>
    <w:pPr>
      <w:numPr>
        <w:numId w:val="5"/>
      </w:numPr>
    </w:pPr>
  </w:style>
  <w:style w:type="paragraph" w:styleId="ListBullet3">
    <w:name w:val="List Bullet 3"/>
    <w:basedOn w:val="Normal"/>
    <w:rsid w:val="00C518A4"/>
    <w:pPr>
      <w:numPr>
        <w:numId w:val="6"/>
      </w:numPr>
    </w:pPr>
  </w:style>
  <w:style w:type="paragraph" w:styleId="ListBullet4">
    <w:name w:val="List Bullet 4"/>
    <w:basedOn w:val="Normal"/>
    <w:rsid w:val="00C518A4"/>
    <w:pPr>
      <w:numPr>
        <w:numId w:val="7"/>
      </w:numPr>
    </w:pPr>
  </w:style>
  <w:style w:type="paragraph" w:styleId="ListBullet5">
    <w:name w:val="List Bullet 5"/>
    <w:basedOn w:val="Normal"/>
    <w:rsid w:val="00C518A4"/>
    <w:pPr>
      <w:numPr>
        <w:numId w:val="8"/>
      </w:numPr>
    </w:pPr>
  </w:style>
  <w:style w:type="paragraph" w:styleId="ListContinue">
    <w:name w:val="List Continue"/>
    <w:basedOn w:val="Normal"/>
    <w:rsid w:val="00C518A4"/>
    <w:pPr>
      <w:spacing w:after="120"/>
      <w:ind w:left="360"/>
    </w:pPr>
  </w:style>
  <w:style w:type="paragraph" w:styleId="ListContinue2">
    <w:name w:val="List Continue 2"/>
    <w:basedOn w:val="Normal"/>
    <w:rsid w:val="00C518A4"/>
    <w:pPr>
      <w:spacing w:after="120"/>
      <w:ind w:left="720"/>
    </w:pPr>
  </w:style>
  <w:style w:type="paragraph" w:styleId="ListContinue3">
    <w:name w:val="List Continue 3"/>
    <w:basedOn w:val="Normal"/>
    <w:rsid w:val="00C518A4"/>
    <w:pPr>
      <w:spacing w:after="120"/>
      <w:ind w:left="1080"/>
    </w:pPr>
  </w:style>
  <w:style w:type="paragraph" w:styleId="ListContinue4">
    <w:name w:val="List Continue 4"/>
    <w:basedOn w:val="Normal"/>
    <w:rsid w:val="00C518A4"/>
    <w:pPr>
      <w:spacing w:after="120"/>
      <w:ind w:left="1440"/>
    </w:pPr>
  </w:style>
  <w:style w:type="paragraph" w:styleId="ListContinue5">
    <w:name w:val="List Continue 5"/>
    <w:basedOn w:val="Normal"/>
    <w:rsid w:val="00C518A4"/>
    <w:pPr>
      <w:spacing w:after="120"/>
      <w:ind w:left="1800"/>
    </w:pPr>
  </w:style>
  <w:style w:type="paragraph" w:styleId="ListNumber">
    <w:name w:val="List Number"/>
    <w:basedOn w:val="Normal"/>
    <w:rsid w:val="00C518A4"/>
    <w:pPr>
      <w:numPr>
        <w:numId w:val="9"/>
      </w:numPr>
    </w:pPr>
  </w:style>
  <w:style w:type="paragraph" w:styleId="ListNumber2">
    <w:name w:val="List Number 2"/>
    <w:basedOn w:val="Normal"/>
    <w:rsid w:val="00C518A4"/>
    <w:pPr>
      <w:numPr>
        <w:numId w:val="10"/>
      </w:numPr>
    </w:pPr>
  </w:style>
  <w:style w:type="paragraph" w:styleId="ListNumber3">
    <w:name w:val="List Number 3"/>
    <w:basedOn w:val="Normal"/>
    <w:rsid w:val="00C518A4"/>
    <w:pPr>
      <w:numPr>
        <w:numId w:val="11"/>
      </w:numPr>
    </w:pPr>
  </w:style>
  <w:style w:type="paragraph" w:styleId="ListNumber4">
    <w:name w:val="List Number 4"/>
    <w:basedOn w:val="Normal"/>
    <w:rsid w:val="00C518A4"/>
    <w:pPr>
      <w:numPr>
        <w:numId w:val="12"/>
      </w:numPr>
    </w:pPr>
  </w:style>
  <w:style w:type="paragraph" w:styleId="ListNumber5">
    <w:name w:val="List Number 5"/>
    <w:basedOn w:val="Normal"/>
    <w:rsid w:val="00C518A4"/>
    <w:pPr>
      <w:numPr>
        <w:numId w:val="13"/>
      </w:numPr>
    </w:pPr>
  </w:style>
  <w:style w:type="paragraph" w:styleId="MacroText">
    <w:name w:val="macro"/>
    <w:semiHidden/>
    <w:rsid w:val="00C518A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C518A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518A4"/>
    <w:rPr>
      <w:sz w:val="24"/>
      <w:szCs w:val="24"/>
    </w:rPr>
  </w:style>
  <w:style w:type="paragraph" w:styleId="NormalIndent">
    <w:name w:val="Normal Indent"/>
    <w:basedOn w:val="Normal"/>
    <w:rsid w:val="00C518A4"/>
    <w:pPr>
      <w:ind w:left="720"/>
    </w:pPr>
  </w:style>
  <w:style w:type="paragraph" w:styleId="NoteHeading">
    <w:name w:val="Note Heading"/>
    <w:basedOn w:val="Normal"/>
    <w:next w:val="Normal"/>
    <w:rsid w:val="00C518A4"/>
  </w:style>
  <w:style w:type="paragraph" w:styleId="Salutation">
    <w:name w:val="Salutation"/>
    <w:basedOn w:val="Normal"/>
    <w:next w:val="Normal"/>
    <w:rsid w:val="00C518A4"/>
  </w:style>
  <w:style w:type="paragraph" w:styleId="Signature">
    <w:name w:val="Signature"/>
    <w:basedOn w:val="Normal"/>
    <w:rsid w:val="00C518A4"/>
    <w:pPr>
      <w:ind w:left="4320"/>
    </w:pPr>
  </w:style>
  <w:style w:type="paragraph" w:styleId="Subtitle">
    <w:name w:val="Subtitle"/>
    <w:basedOn w:val="Normal"/>
    <w:qFormat/>
    <w:rsid w:val="00C518A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518A4"/>
    <w:pPr>
      <w:ind w:left="200" w:hanging="200"/>
    </w:pPr>
  </w:style>
  <w:style w:type="paragraph" w:styleId="TableofFigures">
    <w:name w:val="table of figures"/>
    <w:basedOn w:val="Normal"/>
    <w:next w:val="Normal"/>
    <w:semiHidden/>
    <w:rsid w:val="00C518A4"/>
  </w:style>
  <w:style w:type="paragraph" w:styleId="TOAHeading">
    <w:name w:val="toa heading"/>
    <w:basedOn w:val="Normal"/>
    <w:next w:val="Normal"/>
    <w:semiHidden/>
    <w:rsid w:val="00C518A4"/>
    <w:pPr>
      <w:spacing w:before="120"/>
    </w:pPr>
    <w:rPr>
      <w:rFonts w:ascii="Arial" w:hAnsi="Arial" w:cs="Arial"/>
      <w:b/>
      <w:bCs/>
      <w:sz w:val="24"/>
      <w:szCs w:val="24"/>
    </w:rPr>
  </w:style>
  <w:style w:type="paragraph" w:styleId="TOC1">
    <w:name w:val="toc 1"/>
    <w:basedOn w:val="Normal"/>
    <w:next w:val="Normal"/>
    <w:autoRedefine/>
    <w:semiHidden/>
    <w:rsid w:val="00C518A4"/>
  </w:style>
  <w:style w:type="paragraph" w:styleId="TOC2">
    <w:name w:val="toc 2"/>
    <w:basedOn w:val="Normal"/>
    <w:next w:val="Normal"/>
    <w:autoRedefine/>
    <w:semiHidden/>
    <w:rsid w:val="00C518A4"/>
    <w:pPr>
      <w:ind w:left="200"/>
    </w:pPr>
  </w:style>
  <w:style w:type="paragraph" w:styleId="TOC3">
    <w:name w:val="toc 3"/>
    <w:basedOn w:val="Normal"/>
    <w:next w:val="Normal"/>
    <w:autoRedefine/>
    <w:semiHidden/>
    <w:rsid w:val="00C518A4"/>
    <w:pPr>
      <w:ind w:left="400"/>
    </w:pPr>
  </w:style>
  <w:style w:type="paragraph" w:styleId="TOC4">
    <w:name w:val="toc 4"/>
    <w:basedOn w:val="Normal"/>
    <w:next w:val="Normal"/>
    <w:autoRedefine/>
    <w:semiHidden/>
    <w:rsid w:val="00C518A4"/>
    <w:pPr>
      <w:ind w:left="600"/>
    </w:pPr>
  </w:style>
  <w:style w:type="paragraph" w:styleId="TOC5">
    <w:name w:val="toc 5"/>
    <w:basedOn w:val="Normal"/>
    <w:next w:val="Normal"/>
    <w:autoRedefine/>
    <w:semiHidden/>
    <w:rsid w:val="00C518A4"/>
    <w:pPr>
      <w:ind w:left="800"/>
    </w:pPr>
  </w:style>
  <w:style w:type="paragraph" w:styleId="TOC6">
    <w:name w:val="toc 6"/>
    <w:basedOn w:val="Normal"/>
    <w:next w:val="Normal"/>
    <w:autoRedefine/>
    <w:semiHidden/>
    <w:rsid w:val="00C518A4"/>
    <w:pPr>
      <w:ind w:left="1000"/>
    </w:pPr>
  </w:style>
  <w:style w:type="paragraph" w:styleId="TOC7">
    <w:name w:val="toc 7"/>
    <w:basedOn w:val="Normal"/>
    <w:next w:val="Normal"/>
    <w:autoRedefine/>
    <w:semiHidden/>
    <w:rsid w:val="00C518A4"/>
    <w:pPr>
      <w:ind w:left="1200"/>
    </w:pPr>
  </w:style>
  <w:style w:type="paragraph" w:styleId="TOC8">
    <w:name w:val="toc 8"/>
    <w:basedOn w:val="Normal"/>
    <w:next w:val="Normal"/>
    <w:autoRedefine/>
    <w:semiHidden/>
    <w:rsid w:val="00C518A4"/>
    <w:pPr>
      <w:ind w:left="1400"/>
    </w:pPr>
  </w:style>
  <w:style w:type="paragraph" w:styleId="TOC9">
    <w:name w:val="toc 9"/>
    <w:basedOn w:val="Normal"/>
    <w:next w:val="Normal"/>
    <w:autoRedefine/>
    <w:semiHidden/>
    <w:rsid w:val="00C518A4"/>
    <w:pPr>
      <w:ind w:left="1600"/>
    </w:pPr>
  </w:style>
  <w:style w:type="paragraph" w:styleId="Revision">
    <w:name w:val="Revision"/>
    <w:hidden/>
    <w:uiPriority w:val="99"/>
    <w:semiHidden/>
    <w:rsid w:val="00DB6542"/>
    <w:rPr>
      <w:lang w:val="en-US" w:eastAsia="en-US"/>
    </w:rPr>
  </w:style>
  <w:style w:type="paragraph" w:customStyle="1" w:styleId="header1">
    <w:name w:val="header 1"/>
    <w:basedOn w:val="Heading1"/>
    <w:rsid w:val="00DB6542"/>
    <w:pPr>
      <w:spacing w:before="240" w:after="240"/>
      <w:jc w:val="left"/>
    </w:pPr>
    <w:rPr>
      <w:rFonts w:ascii="Arial" w:hAnsi="Arial" w:cs="Arial"/>
      <w:caps/>
      <w:kern w:val="32"/>
      <w:sz w:val="24"/>
      <w:szCs w:val="32"/>
    </w:rPr>
  </w:style>
  <w:style w:type="character" w:customStyle="1" w:styleId="CommentTextChar">
    <w:name w:val="Comment Text Char"/>
    <w:basedOn w:val="DefaultParagraphFont"/>
    <w:link w:val="CommentText"/>
    <w:uiPriority w:val="99"/>
    <w:rsid w:val="008A25F7"/>
  </w:style>
  <w:style w:type="paragraph" w:styleId="ListParagraph">
    <w:name w:val="List Paragraph"/>
    <w:basedOn w:val="Normal"/>
    <w:uiPriority w:val="34"/>
    <w:qFormat/>
    <w:rsid w:val="00F4550D"/>
    <w:pPr>
      <w:ind w:left="720"/>
    </w:pPr>
    <w:rPr>
      <w:sz w:val="24"/>
      <w:szCs w:val="24"/>
    </w:rPr>
  </w:style>
  <w:style w:type="paragraph" w:customStyle="1" w:styleId="Default">
    <w:name w:val="Default"/>
    <w:rsid w:val="00955AB4"/>
    <w:pPr>
      <w:autoSpaceDE w:val="0"/>
      <w:autoSpaceDN w:val="0"/>
      <w:adjustRightInd w:val="0"/>
    </w:pPr>
    <w:rPr>
      <w:rFonts w:eastAsia="SimSun"/>
      <w:color w:val="000000"/>
      <w:sz w:val="24"/>
      <w:szCs w:val="24"/>
      <w:lang w:val="en-US" w:eastAsia="zh-CN"/>
    </w:rPr>
  </w:style>
  <w:style w:type="character" w:customStyle="1" w:styleId="Heading2Char">
    <w:name w:val="Heading 2 Char"/>
    <w:link w:val="Heading2"/>
    <w:rsid w:val="007743CF"/>
    <w:rPr>
      <w:b/>
      <w:caps/>
      <w:sz w:val="22"/>
      <w:szCs w:val="22"/>
      <w:lang w:val="en-GB"/>
    </w:rPr>
  </w:style>
  <w:style w:type="table" w:styleId="TableGrid">
    <w:name w:val="Table Grid"/>
    <w:basedOn w:val="TableNormal"/>
    <w:rsid w:val="00DA1B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semiHidden/>
    <w:unhideWhenUsed/>
    <w:rsid w:val="00841CC5"/>
  </w:style>
  <w:style w:type="paragraph" w:styleId="IntenseQuote">
    <w:name w:val="Intense Quote"/>
    <w:basedOn w:val="Normal"/>
    <w:next w:val="Normal"/>
    <w:link w:val="IntenseQuoteChar"/>
    <w:uiPriority w:val="30"/>
    <w:qFormat/>
    <w:rsid w:val="00841CC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841CC5"/>
    <w:rPr>
      <w:b/>
      <w:bCs/>
      <w:i/>
      <w:iCs/>
      <w:color w:val="4F81BD"/>
    </w:rPr>
  </w:style>
  <w:style w:type="paragraph" w:styleId="NoSpacing">
    <w:name w:val="No Spacing"/>
    <w:uiPriority w:val="1"/>
    <w:qFormat/>
    <w:rsid w:val="00841CC5"/>
    <w:rPr>
      <w:lang w:val="en-US" w:eastAsia="en-US"/>
    </w:rPr>
  </w:style>
  <w:style w:type="paragraph" w:styleId="Quote">
    <w:name w:val="Quote"/>
    <w:basedOn w:val="Normal"/>
    <w:next w:val="Normal"/>
    <w:link w:val="QuoteChar"/>
    <w:uiPriority w:val="29"/>
    <w:qFormat/>
    <w:rsid w:val="00841CC5"/>
    <w:rPr>
      <w:i/>
      <w:iCs/>
      <w:color w:val="000000"/>
    </w:rPr>
  </w:style>
  <w:style w:type="character" w:customStyle="1" w:styleId="QuoteChar">
    <w:name w:val="Quote Char"/>
    <w:link w:val="Quote"/>
    <w:uiPriority w:val="29"/>
    <w:rsid w:val="00841CC5"/>
    <w:rPr>
      <w:i/>
      <w:iCs/>
      <w:color w:val="000000"/>
    </w:rPr>
  </w:style>
  <w:style w:type="paragraph" w:styleId="TOCHeading">
    <w:name w:val="TOC Heading"/>
    <w:basedOn w:val="Heading1"/>
    <w:next w:val="Normal"/>
    <w:uiPriority w:val="39"/>
    <w:qFormat/>
    <w:rsid w:val="00841CC5"/>
    <w:pPr>
      <w:spacing w:before="240" w:after="60"/>
      <w:jc w:val="left"/>
      <w:outlineLvl w:val="9"/>
    </w:pPr>
    <w:rPr>
      <w:rFonts w:ascii="Cambria" w:hAnsi="Cambria"/>
      <w:kern w:val="32"/>
      <w:sz w:val="32"/>
      <w:szCs w:val="32"/>
    </w:rPr>
  </w:style>
  <w:style w:type="paragraph" w:customStyle="1" w:styleId="BodytextAgency">
    <w:name w:val="Body text (Agency)"/>
    <w:basedOn w:val="Normal"/>
    <w:link w:val="BodytextAgencyChar"/>
    <w:qFormat/>
    <w:rsid w:val="006119BE"/>
    <w:pPr>
      <w:spacing w:after="140" w:line="280" w:lineRule="atLeast"/>
    </w:pPr>
    <w:rPr>
      <w:rFonts w:ascii="Verdana" w:eastAsia="Verdana" w:hAnsi="Verdana"/>
      <w:sz w:val="18"/>
      <w:szCs w:val="18"/>
      <w:lang w:val="x-none" w:eastAsia="x-none"/>
    </w:rPr>
  </w:style>
  <w:style w:type="paragraph" w:customStyle="1" w:styleId="DraftingNotesAgency">
    <w:name w:val="Drafting Notes (Agency)"/>
    <w:basedOn w:val="Normal"/>
    <w:next w:val="BodytextAgency"/>
    <w:link w:val="DraftingNotesAgencyChar"/>
    <w:rsid w:val="006119BE"/>
    <w:pPr>
      <w:spacing w:after="140" w:line="280" w:lineRule="atLeast"/>
    </w:pPr>
    <w:rPr>
      <w:rFonts w:ascii="Courier New" w:eastAsia="Verdana" w:hAnsi="Courier New"/>
      <w:i/>
      <w:color w:val="339966"/>
      <w:sz w:val="22"/>
      <w:szCs w:val="18"/>
      <w:lang w:val="x-none" w:eastAsia="x-none"/>
    </w:rPr>
  </w:style>
  <w:style w:type="paragraph" w:customStyle="1" w:styleId="No-numheading3Agency">
    <w:name w:val="No-num heading 3 (Agency)"/>
    <w:basedOn w:val="Normal"/>
    <w:next w:val="BodytextAgency"/>
    <w:link w:val="No-numheading3AgencyChar"/>
    <w:rsid w:val="006119BE"/>
    <w:pPr>
      <w:keepNext/>
      <w:spacing w:before="280" w:after="220"/>
      <w:outlineLvl w:val="2"/>
    </w:pPr>
    <w:rPr>
      <w:rFonts w:ascii="Verdana" w:eastAsia="Verdana" w:hAnsi="Verdana"/>
      <w:b/>
      <w:bCs/>
      <w:kern w:val="32"/>
      <w:sz w:val="22"/>
      <w:szCs w:val="22"/>
      <w:lang w:val="x-none" w:eastAsia="x-none"/>
    </w:rPr>
  </w:style>
  <w:style w:type="character" w:customStyle="1" w:styleId="DraftingNotesAgencyChar">
    <w:name w:val="Drafting Notes (Agency) Char"/>
    <w:link w:val="DraftingNotesAgency"/>
    <w:rsid w:val="006119BE"/>
    <w:rPr>
      <w:rFonts w:ascii="Courier New" w:eastAsia="Verdana" w:hAnsi="Courier New"/>
      <w:i/>
      <w:color w:val="339966"/>
      <w:sz w:val="22"/>
      <w:szCs w:val="18"/>
      <w:lang w:val="x-none" w:eastAsia="x-none"/>
    </w:rPr>
  </w:style>
  <w:style w:type="character" w:customStyle="1" w:styleId="BodytextAgencyChar">
    <w:name w:val="Body text (Agency) Char"/>
    <w:link w:val="BodytextAgency"/>
    <w:rsid w:val="006119BE"/>
    <w:rPr>
      <w:rFonts w:ascii="Verdana" w:eastAsia="Verdana" w:hAnsi="Verdana"/>
      <w:sz w:val="18"/>
      <w:szCs w:val="18"/>
      <w:lang w:val="x-none" w:eastAsia="x-none"/>
    </w:rPr>
  </w:style>
  <w:style w:type="character" w:customStyle="1" w:styleId="No-numheading3AgencyChar">
    <w:name w:val="No-num heading 3 (Agency) Char"/>
    <w:link w:val="No-numheading3Agency"/>
    <w:rsid w:val="006119BE"/>
    <w:rPr>
      <w:rFonts w:ascii="Verdana" w:eastAsia="Verdana" w:hAnsi="Verdana"/>
      <w:b/>
      <w:bCs/>
      <w:kern w:val="32"/>
      <w:sz w:val="22"/>
      <w:szCs w:val="22"/>
      <w:lang w:val="x-none" w:eastAsia="x-none"/>
    </w:rPr>
  </w:style>
  <w:style w:type="character" w:customStyle="1" w:styleId="FootnoteTextChar">
    <w:name w:val="Footnote Text Char"/>
    <w:link w:val="FootnoteText"/>
    <w:rsid w:val="00611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3076">
      <w:bodyDiv w:val="1"/>
      <w:marLeft w:val="0"/>
      <w:marRight w:val="0"/>
      <w:marTop w:val="0"/>
      <w:marBottom w:val="0"/>
      <w:divBdr>
        <w:top w:val="none" w:sz="0" w:space="0" w:color="auto"/>
        <w:left w:val="none" w:sz="0" w:space="0" w:color="auto"/>
        <w:bottom w:val="none" w:sz="0" w:space="0" w:color="auto"/>
        <w:right w:val="none" w:sz="0" w:space="0" w:color="auto"/>
      </w:divBdr>
    </w:div>
    <w:div w:id="645479451">
      <w:bodyDiv w:val="1"/>
      <w:marLeft w:val="0"/>
      <w:marRight w:val="0"/>
      <w:marTop w:val="0"/>
      <w:marBottom w:val="0"/>
      <w:divBdr>
        <w:top w:val="none" w:sz="0" w:space="0" w:color="auto"/>
        <w:left w:val="none" w:sz="0" w:space="0" w:color="auto"/>
        <w:bottom w:val="none" w:sz="0" w:space="0" w:color="auto"/>
        <w:right w:val="none" w:sz="0" w:space="0" w:color="auto"/>
      </w:divBdr>
    </w:div>
    <w:div w:id="703166470">
      <w:bodyDiv w:val="1"/>
      <w:marLeft w:val="0"/>
      <w:marRight w:val="0"/>
      <w:marTop w:val="0"/>
      <w:marBottom w:val="0"/>
      <w:divBdr>
        <w:top w:val="none" w:sz="0" w:space="0" w:color="auto"/>
        <w:left w:val="none" w:sz="0" w:space="0" w:color="auto"/>
        <w:bottom w:val="none" w:sz="0" w:space="0" w:color="auto"/>
        <w:right w:val="none" w:sz="0" w:space="0" w:color="auto"/>
      </w:divBdr>
    </w:div>
    <w:div w:id="792478927">
      <w:bodyDiv w:val="1"/>
      <w:marLeft w:val="0"/>
      <w:marRight w:val="0"/>
      <w:marTop w:val="0"/>
      <w:marBottom w:val="0"/>
      <w:divBdr>
        <w:top w:val="none" w:sz="0" w:space="0" w:color="auto"/>
        <w:left w:val="none" w:sz="0" w:space="0" w:color="auto"/>
        <w:bottom w:val="none" w:sz="0" w:space="0" w:color="auto"/>
        <w:right w:val="none" w:sz="0" w:space="0" w:color="auto"/>
      </w:divBdr>
    </w:div>
    <w:div w:id="969439964">
      <w:bodyDiv w:val="1"/>
      <w:marLeft w:val="0"/>
      <w:marRight w:val="0"/>
      <w:marTop w:val="0"/>
      <w:marBottom w:val="0"/>
      <w:divBdr>
        <w:top w:val="none" w:sz="0" w:space="0" w:color="auto"/>
        <w:left w:val="none" w:sz="0" w:space="0" w:color="auto"/>
        <w:bottom w:val="none" w:sz="0" w:space="0" w:color="auto"/>
        <w:right w:val="none" w:sz="0" w:space="0" w:color="auto"/>
      </w:divBdr>
    </w:div>
    <w:div w:id="1240168364">
      <w:bodyDiv w:val="1"/>
      <w:marLeft w:val="0"/>
      <w:marRight w:val="0"/>
      <w:marTop w:val="0"/>
      <w:marBottom w:val="0"/>
      <w:divBdr>
        <w:top w:val="none" w:sz="0" w:space="0" w:color="auto"/>
        <w:left w:val="none" w:sz="0" w:space="0" w:color="auto"/>
        <w:bottom w:val="none" w:sz="0" w:space="0" w:color="auto"/>
        <w:right w:val="none" w:sz="0" w:space="0" w:color="auto"/>
      </w:divBdr>
    </w:div>
    <w:div w:id="1344627341">
      <w:bodyDiv w:val="1"/>
      <w:marLeft w:val="0"/>
      <w:marRight w:val="0"/>
      <w:marTop w:val="0"/>
      <w:marBottom w:val="0"/>
      <w:divBdr>
        <w:top w:val="none" w:sz="0" w:space="0" w:color="auto"/>
        <w:left w:val="none" w:sz="0" w:space="0" w:color="auto"/>
        <w:bottom w:val="none" w:sz="0" w:space="0" w:color="auto"/>
        <w:right w:val="none" w:sz="0" w:space="0" w:color="auto"/>
      </w:divBdr>
    </w:div>
    <w:div w:id="1961648878">
      <w:bodyDiv w:val="1"/>
      <w:marLeft w:val="0"/>
      <w:marRight w:val="0"/>
      <w:marTop w:val="0"/>
      <w:marBottom w:val="0"/>
      <w:divBdr>
        <w:top w:val="none" w:sz="0" w:space="0" w:color="auto"/>
        <w:left w:val="none" w:sz="0" w:space="0" w:color="auto"/>
        <w:bottom w:val="none" w:sz="0" w:space="0" w:color="auto"/>
        <w:right w:val="none" w:sz="0" w:space="0" w:color="auto"/>
      </w:divBdr>
    </w:div>
    <w:div w:id="20025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AE973-1788-4AEE-A921-FE01710FC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525C7C-32D6-4DAA-BA66-39F0E0CD7F70}">
  <ds:schemaRefs>
    <ds:schemaRef ds:uri="http://schemas.microsoft.com/sharepoint/v3/contenttype/forms"/>
  </ds:schemaRefs>
</ds:datastoreItem>
</file>

<file path=customXml/itemProps3.xml><?xml version="1.0" encoding="utf-8"?>
<ds:datastoreItem xmlns:ds="http://schemas.openxmlformats.org/officeDocument/2006/customXml" ds:itemID="{53FB2A71-FE44-4C47-90FB-D9B3927713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000CD9-C3EA-4963-A53A-FA10B372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16122</Words>
  <Characters>91902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emea-combined-h-236-en-highlighted</vt:lpstr>
    </vt:vector>
  </TitlesOfParts>
  <Company/>
  <LinksUpToDate>false</LinksUpToDate>
  <CharactersWithSpaces>107809</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emea-combined-h-236-en-highlighted</dc:title>
  <dc:subject>EPAR</dc:subject>
  <dc:creator>CHMP</dc:creator>
  <cp:keywords>Ferriprox, INN-deferiprone</cp:keywords>
  <cp:lastModifiedBy>Voutsas Achilleas</cp:lastModifiedBy>
  <cp:revision>2</cp:revision>
  <cp:lastPrinted>1900-01-01T05:00:00Z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DM_Author">
    <vt:lpwstr/>
  </property>
  <property fmtid="{D5CDD505-2E9C-101B-9397-08002B2CF9AE}" pid="4" name="DM_Authors">
    <vt:lpwstr/>
  </property>
  <property fmtid="{D5CDD505-2E9C-101B-9397-08002B2CF9AE}" pid="5" name="DM_Category">
    <vt:lpwstr>Application-Submission</vt:lpwstr>
  </property>
  <property fmtid="{D5CDD505-2E9C-101B-9397-08002B2CF9AE}" pid="6" name="DM_Creation_Date">
    <vt:lpwstr>07/01/2021 15:40:17</vt:lpwstr>
  </property>
  <property fmtid="{D5CDD505-2E9C-101B-9397-08002B2CF9AE}" pid="7" name="DM_Creator_Name">
    <vt:lpwstr>Balzan Katalin</vt:lpwstr>
  </property>
  <property fmtid="{D5CDD505-2E9C-101B-9397-08002B2CF9AE}" pid="8" name="DM_DocRefId">
    <vt:lpwstr>EMA/9405/2021</vt:lpwstr>
  </property>
  <property fmtid="{D5CDD505-2E9C-101B-9397-08002B2CF9AE}" pid="9" name="DM_emea_bcc">
    <vt:lpwstr/>
  </property>
  <property fmtid="{D5CDD505-2E9C-101B-9397-08002B2CF9AE}" pid="10" name="DM_emea_cc">
    <vt:lpwstr/>
  </property>
  <property fmtid="{D5CDD505-2E9C-101B-9397-08002B2CF9AE}" pid="11" name="DM_emea_doc_category">
    <vt:lpwstr>Product Information</vt:lpwstr>
  </property>
  <property fmtid="{D5CDD505-2E9C-101B-9397-08002B2CF9AE}" pid="12" name="DM_emea_doc_lang">
    <vt:lpwstr/>
  </property>
  <property fmtid="{D5CDD505-2E9C-101B-9397-08002B2CF9AE}" pid="13" name="DM_emea_doc_number">
    <vt:lpwstr>328399</vt:lpwstr>
  </property>
  <property fmtid="{D5CDD505-2E9C-101B-9397-08002B2CF9AE}" pid="14" name="DM_emea_doc_ref_id">
    <vt:lpwstr>EMA/9405/2021</vt:lpwstr>
  </property>
  <property fmtid="{D5CDD505-2E9C-101B-9397-08002B2CF9AE}" pid="15" name="DM_emea_domain">
    <vt:lpwstr>H</vt:lpwstr>
  </property>
  <property fmtid="{D5CDD505-2E9C-101B-9397-08002B2CF9AE}" pid="16" name="DM_emea_from">
    <vt:lpwstr/>
  </property>
  <property fmtid="{D5CDD505-2E9C-101B-9397-08002B2CF9AE}" pid="17" name="DM_emea_internal_label">
    <vt:lpwstr>EMA</vt:lpwstr>
  </property>
  <property fmtid="{D5CDD505-2E9C-101B-9397-08002B2CF9AE}" pid="18" name="DM_emea_legal_date">
    <vt:lpwstr>nulldate</vt:lpwstr>
  </property>
  <property fmtid="{D5CDD505-2E9C-101B-9397-08002B2CF9AE}" pid="19" name="DM_emea_meeting_action">
    <vt:lpwstr/>
  </property>
  <property fmtid="{D5CDD505-2E9C-101B-9397-08002B2CF9AE}" pid="20" name="DM_emea_meeting_flags">
    <vt:lpwstr/>
  </property>
  <property fmtid="{D5CDD505-2E9C-101B-9397-08002B2CF9AE}" pid="21" name="DM_emea_meeting_hyperlink">
    <vt:lpwstr/>
  </property>
  <property fmtid="{D5CDD505-2E9C-101B-9397-08002B2CF9AE}" pid="22" name="DM_emea_meeting_ref">
    <vt:lpwstr/>
  </property>
  <property fmtid="{D5CDD505-2E9C-101B-9397-08002B2CF9AE}" pid="23" name="DM_emea_meeting_status">
    <vt:lpwstr/>
  </property>
  <property fmtid="{D5CDD505-2E9C-101B-9397-08002B2CF9AE}" pid="24" name="DM_emea_meeting_title">
    <vt:lpwstr/>
  </property>
  <property fmtid="{D5CDD505-2E9C-101B-9397-08002B2CF9AE}" pid="25" name="DM_emea_message_subject">
    <vt:lpwstr/>
  </property>
  <property fmtid="{D5CDD505-2E9C-101B-9397-08002B2CF9AE}" pid="26" name="DM_emea_module">
    <vt:lpwstr/>
  </property>
  <property fmtid="{D5CDD505-2E9C-101B-9397-08002B2CF9AE}" pid="27" name="DM_emea_par_dist">
    <vt:lpwstr/>
  </property>
  <property fmtid="{D5CDD505-2E9C-101B-9397-08002B2CF9AE}" pid="28" name="DM_emea_procedure">
    <vt:lpwstr>C</vt:lpwstr>
  </property>
  <property fmtid="{D5CDD505-2E9C-101B-9397-08002B2CF9AE}" pid="29" name="DM_emea_procedure_number">
    <vt:lpwstr>0058</vt:lpwstr>
  </property>
  <property fmtid="{D5CDD505-2E9C-101B-9397-08002B2CF9AE}" pid="30" name="DM_emea_procedure_ref">
    <vt:lpwstr>EMEA/H/C/000236/X/0058</vt:lpwstr>
  </property>
  <property fmtid="{D5CDD505-2E9C-101B-9397-08002B2CF9AE}" pid="31" name="DM_emea_procedure_type">
    <vt:lpwstr>X</vt:lpwstr>
  </property>
  <property fmtid="{D5CDD505-2E9C-101B-9397-08002B2CF9AE}" pid="32" name="DM_emea_product_number">
    <vt:lpwstr>000236</vt:lpwstr>
  </property>
  <property fmtid="{D5CDD505-2E9C-101B-9397-08002B2CF9AE}" pid="33" name="DM_emea_product_substance">
    <vt:lpwstr>Ferriprox</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sent_date">
    <vt:lpwstr>nulldate</vt:lpwstr>
  </property>
  <property fmtid="{D5CDD505-2E9C-101B-9397-08002B2CF9AE}" pid="38" name="DM_emea_to">
    <vt:lpwstr/>
  </property>
  <property fmtid="{D5CDD505-2E9C-101B-9397-08002B2CF9AE}" pid="39" name="DM_emea_year">
    <vt:lpwstr>2010</vt:lpwstr>
  </property>
  <property fmtid="{D5CDD505-2E9C-101B-9397-08002B2CF9AE}" pid="40" name="DM_Keywords">
    <vt:lpwstr/>
  </property>
  <property fmtid="{D5CDD505-2E9C-101B-9397-08002B2CF9AE}" pid="41" name="DM_Language">
    <vt:lpwstr/>
  </property>
  <property fmtid="{D5CDD505-2E9C-101B-9397-08002B2CF9AE}" pid="42" name="DM_Modifer_Name">
    <vt:lpwstr>Balzan Katalin</vt:lpwstr>
  </property>
  <property fmtid="{D5CDD505-2E9C-101B-9397-08002B2CF9AE}" pid="43" name="DM_Modified_Date">
    <vt:lpwstr>07/01/2021 15:40:17</vt:lpwstr>
  </property>
  <property fmtid="{D5CDD505-2E9C-101B-9397-08002B2CF9AE}" pid="44" name="DM_Modifier_Name">
    <vt:lpwstr>Balzan Katalin</vt:lpwstr>
  </property>
  <property fmtid="{D5CDD505-2E9C-101B-9397-08002B2CF9AE}" pid="45" name="DM_Modify_Date">
    <vt:lpwstr>07/01/2021 15:40:17</vt:lpwstr>
  </property>
  <property fmtid="{D5CDD505-2E9C-101B-9397-08002B2CF9AE}" pid="46" name="DM_Name">
    <vt:lpwstr>emea-combined-h-236-en-highlighted</vt:lpwstr>
  </property>
  <property fmtid="{D5CDD505-2E9C-101B-9397-08002B2CF9AE}" pid="47" name="DM_Owner">
    <vt:lpwstr>Gravanis Iordanis</vt:lpwstr>
  </property>
  <property fmtid="{D5CDD505-2E9C-101B-9397-08002B2CF9AE}" pid="48" name="DM_Path">
    <vt:lpwstr>/01. Evaluation of Medicines/H-C/D-F/Ferriprox-000236/05 Post Authorisation/Post Activities/2021-xx-xx-236-IA-0152/01 Submiccions and Validation/0175-workingdocuments</vt:lpwstr>
  </property>
  <property fmtid="{D5CDD505-2E9C-101B-9397-08002B2CF9AE}" pid="49" name="DM_Status">
    <vt:lpwstr/>
  </property>
  <property fmtid="{D5CDD505-2E9C-101B-9397-08002B2CF9AE}" pid="50" name="DM_Subject">
    <vt:lpwstr/>
  </property>
  <property fmtid="{D5CDD505-2E9C-101B-9397-08002B2CF9AE}" pid="51" name="DM_Title">
    <vt:lpwstr/>
  </property>
  <property fmtid="{D5CDD505-2E9C-101B-9397-08002B2CF9AE}" pid="52" name="DM_Type">
    <vt:lpwstr>emea_document</vt:lpwstr>
  </property>
  <property fmtid="{D5CDD505-2E9C-101B-9397-08002B2CF9AE}" pid="53" name="DM_Version">
    <vt:lpwstr>1.1,CURRENT</vt:lpwstr>
  </property>
  <property fmtid="{D5CDD505-2E9C-101B-9397-08002B2CF9AE}" pid="54" name="EMEADocClassificationCode">
    <vt:lpwstr/>
  </property>
  <property fmtid="{D5CDD505-2E9C-101B-9397-08002B2CF9AE}" pid="55" name="EMEADocClassificationHidden">
    <vt:lpwstr>N</vt:lpwstr>
  </property>
  <property fmtid="{D5CDD505-2E9C-101B-9397-08002B2CF9AE}" pid="56" name="EMEADocClassificationText">
    <vt:lpwstr/>
  </property>
  <property fmtid="{D5CDD505-2E9C-101B-9397-08002B2CF9AE}" pid="57" name="EMEADocDate">
    <vt:lpwstr>20040324</vt:lpwstr>
  </property>
  <property fmtid="{D5CDD505-2E9C-101B-9397-08002B2CF9AE}" pid="58" name="EMEADocDateDay">
    <vt:lpwstr>24</vt:lpwstr>
  </property>
  <property fmtid="{D5CDD505-2E9C-101B-9397-08002B2CF9AE}" pid="59" name="EMEADocDateMonth">
    <vt:lpwstr>March</vt:lpwstr>
  </property>
  <property fmtid="{D5CDD505-2E9C-101B-9397-08002B2CF9AE}" pid="60" name="EMEADocDateYear">
    <vt:lpwstr>2004</vt:lpwstr>
  </property>
  <property fmtid="{D5CDD505-2E9C-101B-9397-08002B2CF9AE}" pid="61" name="EMEADocExtCatTitle">
    <vt:lpwstr>The Title will not be included in the External Catalogue.</vt:lpwstr>
  </property>
  <property fmtid="{D5CDD505-2E9C-101B-9397-08002B2CF9AE}" pid="62" name="EMEADocLanguage">
    <vt:lpwstr>en</vt:lpwstr>
  </property>
  <property fmtid="{D5CDD505-2E9C-101B-9397-08002B2CF9AE}" pid="63" name="EMEADocRefFull">
    <vt:lpwstr>EMEA/CPMP/1289/04/en/Adopted</vt:lpwstr>
  </property>
  <property fmtid="{D5CDD505-2E9C-101B-9397-08002B2CF9AE}" pid="64" name="EMEADocRefNum">
    <vt:lpwstr>1289</vt:lpwstr>
  </property>
  <property fmtid="{D5CDD505-2E9C-101B-9397-08002B2CF9AE}" pid="65" name="EMEADocRefPart0">
    <vt:lpwstr>EMEA</vt:lpwstr>
  </property>
  <property fmtid="{D5CDD505-2E9C-101B-9397-08002B2CF9AE}" pid="66" name="EMEADocRefPart1">
    <vt:lpwstr>CPMP</vt:lpwstr>
  </property>
  <property fmtid="{D5CDD505-2E9C-101B-9397-08002B2CF9AE}" pid="67" name="EMEADocRefPart2">
    <vt:lpwstr/>
  </property>
  <property fmtid="{D5CDD505-2E9C-101B-9397-08002B2CF9AE}" pid="68" name="EMEADocRefPart3">
    <vt:lpwstr/>
  </property>
  <property fmtid="{D5CDD505-2E9C-101B-9397-08002B2CF9AE}" pid="69" name="EMEADocRefPartFreeText">
    <vt:lpwstr/>
  </property>
  <property fmtid="{D5CDD505-2E9C-101B-9397-08002B2CF9AE}" pid="70" name="EMEADocRefRoot">
    <vt:lpwstr>EMEA/CPMP/1289/04</vt:lpwstr>
  </property>
  <property fmtid="{D5CDD505-2E9C-101B-9397-08002B2CF9AE}" pid="71" name="EMEADocRefYear">
    <vt:lpwstr>04</vt:lpwstr>
  </property>
  <property fmtid="{D5CDD505-2E9C-101B-9397-08002B2CF9AE}" pid="72" name="EMEADocStatus">
    <vt:lpwstr>Adopted</vt:lpwstr>
  </property>
  <property fmtid="{D5CDD505-2E9C-101B-9397-08002B2CF9AE}" pid="73" name="EMEADocTitle">
    <vt:lpwstr>Clean adopted by CPMP on 24 March 2004</vt:lpwstr>
  </property>
  <property fmtid="{D5CDD505-2E9C-101B-9397-08002B2CF9AE}" pid="74" name="EMEADocTypeCode">
    <vt:lpwstr>plit</vt:lpwstr>
  </property>
  <property fmtid="{D5CDD505-2E9C-101B-9397-08002B2CF9AE}" pid="75" name="EMEADocVersion">
    <vt:lpwstr/>
  </property>
  <property fmtid="{D5CDD505-2E9C-101B-9397-08002B2CF9AE}" pid="76" name="MSIP_Label_afe1b31d-cec0-4074-b4bd-f07689e43d84_ActionId">
    <vt:lpwstr>2a75cf9b-a26c-4083-a50d-3d9b17ee91af</vt:lpwstr>
  </property>
  <property fmtid="{D5CDD505-2E9C-101B-9397-08002B2CF9AE}" pid="77" name="MSIP_Label_afe1b31d-cec0-4074-b4bd-f07689e43d84_Application">
    <vt:lpwstr>Microsoft Azure Information Protection</vt:lpwstr>
  </property>
  <property fmtid="{D5CDD505-2E9C-101B-9397-08002B2CF9AE}" pid="78" name="MSIP_Label_afe1b31d-cec0-4074-b4bd-f07689e43d84_Enabled">
    <vt:lpwstr>True</vt:lpwstr>
  </property>
  <property fmtid="{D5CDD505-2E9C-101B-9397-08002B2CF9AE}" pid="79" name="MSIP_Label_afe1b31d-cec0-4074-b4bd-f07689e43d84_Extended_MSFT_Method">
    <vt:lpwstr>Automatic</vt:lpwstr>
  </property>
  <property fmtid="{D5CDD505-2E9C-101B-9397-08002B2CF9AE}" pid="80" name="MSIP_Label_afe1b31d-cec0-4074-b4bd-f07689e43d84_Name">
    <vt:lpwstr>Internal</vt:lpwstr>
  </property>
  <property fmtid="{D5CDD505-2E9C-101B-9397-08002B2CF9AE}" pid="81" name="MSIP_Label_afe1b31d-cec0-4074-b4bd-f07689e43d84_Owner">
    <vt:lpwstr>katalin.balzan@ema.europa.eu</vt:lpwstr>
  </property>
  <property fmtid="{D5CDD505-2E9C-101B-9397-08002B2CF9AE}" pid="82" name="MSIP_Label_afe1b31d-cec0-4074-b4bd-f07689e43d84_SetDate">
    <vt:lpwstr>2021-01-07T14:18:56.6100769Z</vt:lpwstr>
  </property>
  <property fmtid="{D5CDD505-2E9C-101B-9397-08002B2CF9AE}" pid="83" name="MSIP_Label_afe1b31d-cec0-4074-b4bd-f07689e43d84_SiteId">
    <vt:lpwstr>bc9dc15c-61bc-4f03-b60b-e5b6d8922839</vt:lpwstr>
  </property>
  <property fmtid="{D5CDD505-2E9C-101B-9397-08002B2CF9AE}" pid="84" name="MSIP_Label_0eea11ca-d417-4147-80ed-01a58412c458_Enabled">
    <vt:lpwstr>true</vt:lpwstr>
  </property>
  <property fmtid="{D5CDD505-2E9C-101B-9397-08002B2CF9AE}" pid="85" name="MSIP_Label_0eea11ca-d417-4147-80ed-01a58412c458_SetDate">
    <vt:lpwstr>2021-06-03T23:46:02Z</vt:lpwstr>
  </property>
  <property fmtid="{D5CDD505-2E9C-101B-9397-08002B2CF9AE}" pid="86" name="MSIP_Label_0eea11ca-d417-4147-80ed-01a58412c458_Method">
    <vt:lpwstr>Standard</vt:lpwstr>
  </property>
  <property fmtid="{D5CDD505-2E9C-101B-9397-08002B2CF9AE}" pid="87" name="MSIP_Label_0eea11ca-d417-4147-80ed-01a58412c458_Name">
    <vt:lpwstr>0eea11ca-d417-4147-80ed-01a58412c458</vt:lpwstr>
  </property>
  <property fmtid="{D5CDD505-2E9C-101B-9397-08002B2CF9AE}" pid="88" name="MSIP_Label_0eea11ca-d417-4147-80ed-01a58412c458_SiteId">
    <vt:lpwstr>bc9dc15c-61bc-4f03-b60b-e5b6d8922839</vt:lpwstr>
  </property>
  <property fmtid="{D5CDD505-2E9C-101B-9397-08002B2CF9AE}" pid="89" name="MSIP_Label_0eea11ca-d417-4147-80ed-01a58412c458_ActionId">
    <vt:lpwstr>2a75cf9b-a26c-4083-a50d-3d9b17ee91af</vt:lpwstr>
  </property>
  <property fmtid="{D5CDD505-2E9C-101B-9397-08002B2CF9AE}" pid="90" name="MSIP_Label_0eea11ca-d417-4147-80ed-01a58412c458_ContentBits">
    <vt:lpwstr>2</vt:lpwstr>
  </property>
</Properties>
</file>